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66136" w14:textId="68C191B9" w:rsidR="00163672" w:rsidRDefault="00AD642F" w:rsidP="00AA272B">
      <w:pPr>
        <w:rPr>
          <w:rFonts w:asciiTheme="majorHAnsi" w:eastAsiaTheme="majorEastAsia" w:hAnsiTheme="majorHAnsi" w:cstheme="majorBidi"/>
          <w:b/>
          <w:color w:val="2E74B5" w:themeColor="accent1" w:themeShade="BF"/>
          <w:sz w:val="32"/>
          <w:szCs w:val="32"/>
          <w:lang w:eastAsia="en-GB"/>
        </w:rPr>
      </w:pPr>
      <w:r w:rsidRPr="0023116C">
        <w:rPr>
          <w:rFonts w:ascii="Calibri" w:hAnsi="Calibri"/>
          <w:color w:val="1F497D"/>
        </w:rPr>
        <w:t xml:space="preserve">   </w:t>
      </w:r>
    </w:p>
    <w:p w14:paraId="16739730" w14:textId="3B0AD5D3" w:rsidR="001E764E" w:rsidRPr="00EB5E8A" w:rsidRDefault="00EF78CC" w:rsidP="00394415">
      <w:pPr>
        <w:jc w:val="both"/>
        <w:rPr>
          <w:lang w:eastAsia="en-GB"/>
        </w:rPr>
      </w:pPr>
      <w:r w:rsidRPr="00EB5E8A">
        <w:rPr>
          <w:rFonts w:asciiTheme="majorHAnsi" w:eastAsia="Calibri" w:hAnsiTheme="majorHAnsi" w:cstheme="majorBidi"/>
          <w:color w:val="2E74B5" w:themeColor="accent1" w:themeShade="BF"/>
          <w:sz w:val="32"/>
          <w:szCs w:val="32"/>
        </w:rPr>
        <w:t xml:space="preserve">Stoma formation in Crohn’s Disease and the </w:t>
      </w:r>
      <w:r w:rsidR="00FA48C9" w:rsidRPr="00EB5E8A">
        <w:rPr>
          <w:rFonts w:asciiTheme="majorHAnsi" w:eastAsia="Calibri" w:hAnsiTheme="majorHAnsi" w:cstheme="majorBidi"/>
          <w:color w:val="2E74B5" w:themeColor="accent1" w:themeShade="BF"/>
          <w:sz w:val="32"/>
          <w:szCs w:val="32"/>
        </w:rPr>
        <w:t xml:space="preserve">likelihood </w:t>
      </w:r>
      <w:r w:rsidR="00394415" w:rsidRPr="00EB5E8A">
        <w:rPr>
          <w:rFonts w:asciiTheme="majorHAnsi" w:eastAsia="Calibri" w:hAnsiTheme="majorHAnsi" w:cstheme="majorBidi"/>
          <w:color w:val="2E74B5" w:themeColor="accent1" w:themeShade="BF"/>
          <w:sz w:val="32"/>
          <w:szCs w:val="32"/>
        </w:rPr>
        <w:t xml:space="preserve">of </w:t>
      </w:r>
      <w:r w:rsidRPr="00EB5E8A">
        <w:rPr>
          <w:rFonts w:asciiTheme="majorHAnsi" w:eastAsia="Calibri" w:hAnsiTheme="majorHAnsi" w:cstheme="majorBidi"/>
          <w:color w:val="2E74B5" w:themeColor="accent1" w:themeShade="BF"/>
          <w:sz w:val="32"/>
          <w:szCs w:val="32"/>
        </w:rPr>
        <w:t>antidepressant use: a population</w:t>
      </w:r>
      <w:r w:rsidR="000159EE" w:rsidRPr="00EB5E8A">
        <w:rPr>
          <w:rFonts w:asciiTheme="majorHAnsi" w:eastAsia="Calibri" w:hAnsiTheme="majorHAnsi" w:cstheme="majorBidi"/>
          <w:color w:val="2E74B5" w:themeColor="accent1" w:themeShade="BF"/>
          <w:sz w:val="32"/>
          <w:szCs w:val="32"/>
        </w:rPr>
        <w:t>-</w:t>
      </w:r>
      <w:r w:rsidRPr="00EB5E8A">
        <w:rPr>
          <w:rFonts w:asciiTheme="majorHAnsi" w:eastAsia="Calibri" w:hAnsiTheme="majorHAnsi" w:cstheme="majorBidi"/>
          <w:color w:val="2E74B5" w:themeColor="accent1" w:themeShade="BF"/>
          <w:sz w:val="32"/>
          <w:szCs w:val="32"/>
        </w:rPr>
        <w:t>based cohort study</w:t>
      </w:r>
    </w:p>
    <w:p w14:paraId="1CF69E7D" w14:textId="77777777" w:rsidR="00AD642F" w:rsidRPr="00EB5E8A" w:rsidRDefault="00AD642F" w:rsidP="00AD642F">
      <w:pPr>
        <w:rPr>
          <w:lang w:eastAsia="en-GB"/>
        </w:rPr>
      </w:pPr>
    </w:p>
    <w:p w14:paraId="3092BB13" w14:textId="6BDE3F1B" w:rsidR="00AC12DF" w:rsidRPr="00EB5E8A" w:rsidRDefault="00AC12DF" w:rsidP="00AC12DF">
      <w:pPr>
        <w:spacing w:after="0" w:line="240" w:lineRule="auto"/>
        <w:jc w:val="both"/>
        <w:rPr>
          <w:rFonts w:ascii="Tahoma" w:eastAsia="Times New Roman" w:hAnsi="Tahoma" w:cs="Tahoma"/>
          <w:b/>
          <w:color w:val="444444"/>
          <w:sz w:val="24"/>
          <w:szCs w:val="24"/>
          <w:lang w:eastAsia="en-GB"/>
        </w:rPr>
      </w:pPr>
      <w:r w:rsidRPr="00EB5E8A">
        <w:rPr>
          <w:rFonts w:ascii="Tahoma" w:eastAsia="Times New Roman" w:hAnsi="Tahoma" w:cs="Tahoma"/>
          <w:b/>
          <w:bCs/>
          <w:color w:val="444444"/>
          <w:sz w:val="24"/>
          <w:szCs w:val="24"/>
          <w:lang w:eastAsia="en-GB"/>
        </w:rPr>
        <w:t>J. Blackwell</w:t>
      </w:r>
      <w:r w:rsidRPr="00EB5E8A">
        <w:rPr>
          <w:rFonts w:ascii="Tahoma" w:eastAsia="Times New Roman" w:hAnsi="Tahoma" w:cs="Tahoma"/>
          <w:b/>
          <w:color w:val="444444"/>
          <w:sz w:val="24"/>
          <w:szCs w:val="24"/>
          <w:vertAlign w:val="superscript"/>
          <w:lang w:eastAsia="en-GB"/>
        </w:rPr>
        <w:t>1</w:t>
      </w:r>
      <w:r w:rsidR="008E5EB1" w:rsidRPr="00EB5E8A">
        <w:rPr>
          <w:rFonts w:ascii="Tahoma" w:eastAsia="Times New Roman" w:hAnsi="Tahoma" w:cs="Tahoma"/>
          <w:b/>
          <w:color w:val="444444"/>
          <w:sz w:val="24"/>
          <w:szCs w:val="24"/>
          <w:vertAlign w:val="superscript"/>
          <w:lang w:eastAsia="en-GB"/>
        </w:rPr>
        <w:t>,2,3</w:t>
      </w:r>
      <w:r w:rsidRPr="00EB5E8A">
        <w:rPr>
          <w:rFonts w:ascii="Tahoma" w:eastAsia="Times New Roman" w:hAnsi="Tahoma" w:cs="Tahoma"/>
          <w:b/>
          <w:color w:val="444444"/>
          <w:sz w:val="24"/>
          <w:szCs w:val="24"/>
          <w:lang w:eastAsia="en-GB"/>
        </w:rPr>
        <w:t>, S. Saxena</w:t>
      </w:r>
      <w:r w:rsidR="008E5EB1" w:rsidRPr="00EB5E8A">
        <w:rPr>
          <w:rFonts w:ascii="Tahoma" w:eastAsia="Times New Roman" w:hAnsi="Tahoma" w:cs="Tahoma"/>
          <w:b/>
          <w:color w:val="444444"/>
          <w:sz w:val="24"/>
          <w:szCs w:val="24"/>
          <w:vertAlign w:val="superscript"/>
          <w:lang w:eastAsia="en-GB"/>
        </w:rPr>
        <w:t>3</w:t>
      </w:r>
      <w:r w:rsidRPr="00EB5E8A">
        <w:rPr>
          <w:rFonts w:ascii="Tahoma" w:eastAsia="Times New Roman" w:hAnsi="Tahoma" w:cs="Tahoma"/>
          <w:b/>
          <w:color w:val="444444"/>
          <w:sz w:val="24"/>
          <w:szCs w:val="24"/>
          <w:lang w:eastAsia="en-GB"/>
        </w:rPr>
        <w:t>,</w:t>
      </w:r>
      <w:r w:rsidR="00EF78CC" w:rsidRPr="00EB5E8A">
        <w:rPr>
          <w:rFonts w:ascii="Tahoma" w:eastAsia="Times New Roman" w:hAnsi="Tahoma" w:cs="Tahoma"/>
          <w:b/>
          <w:color w:val="444444"/>
          <w:sz w:val="24"/>
          <w:szCs w:val="24"/>
          <w:lang w:eastAsia="en-GB"/>
        </w:rPr>
        <w:t xml:space="preserve"> N.</w:t>
      </w:r>
      <w:r w:rsidR="00911BBB" w:rsidRPr="00EB5E8A">
        <w:rPr>
          <w:rFonts w:ascii="Tahoma" w:eastAsia="Times New Roman" w:hAnsi="Tahoma" w:cs="Tahoma"/>
          <w:b/>
          <w:color w:val="444444"/>
          <w:sz w:val="24"/>
          <w:szCs w:val="24"/>
          <w:lang w:eastAsia="en-GB"/>
        </w:rPr>
        <w:t xml:space="preserve"> </w:t>
      </w:r>
      <w:r w:rsidR="00EF78CC" w:rsidRPr="00EB5E8A">
        <w:rPr>
          <w:rFonts w:ascii="Tahoma" w:eastAsia="Times New Roman" w:hAnsi="Tahoma" w:cs="Tahoma"/>
          <w:b/>
          <w:color w:val="444444"/>
          <w:sz w:val="24"/>
          <w:szCs w:val="24"/>
          <w:lang w:eastAsia="en-GB"/>
        </w:rPr>
        <w:t>Jayasooriya</w:t>
      </w:r>
      <w:r w:rsidR="00EF78CC" w:rsidRPr="00EB5E8A">
        <w:rPr>
          <w:rFonts w:ascii="Tahoma" w:eastAsia="Times New Roman" w:hAnsi="Tahoma" w:cs="Tahoma"/>
          <w:b/>
          <w:color w:val="444444"/>
          <w:sz w:val="24"/>
          <w:szCs w:val="24"/>
          <w:vertAlign w:val="superscript"/>
          <w:lang w:eastAsia="en-GB"/>
        </w:rPr>
        <w:t>1,2,3</w:t>
      </w:r>
      <w:r w:rsidRPr="00EB5E8A">
        <w:rPr>
          <w:rFonts w:ascii="Tahoma" w:eastAsia="Times New Roman" w:hAnsi="Tahoma" w:cs="Tahoma"/>
          <w:b/>
          <w:color w:val="444444"/>
          <w:sz w:val="24"/>
          <w:szCs w:val="24"/>
          <w:lang w:eastAsia="en-GB"/>
        </w:rPr>
        <w:t xml:space="preserve"> </w:t>
      </w:r>
      <w:r w:rsidR="001E764E" w:rsidRPr="00EB5E8A">
        <w:rPr>
          <w:rFonts w:ascii="Tahoma" w:eastAsia="Times New Roman" w:hAnsi="Tahoma" w:cs="Tahoma"/>
          <w:b/>
          <w:color w:val="444444"/>
          <w:sz w:val="24"/>
          <w:szCs w:val="24"/>
          <w:lang w:eastAsia="en-GB"/>
        </w:rPr>
        <w:t>I.</w:t>
      </w:r>
      <w:r w:rsidR="00911BBB" w:rsidRPr="00EB5E8A">
        <w:rPr>
          <w:rFonts w:ascii="Tahoma" w:eastAsia="Times New Roman" w:hAnsi="Tahoma" w:cs="Tahoma"/>
          <w:b/>
          <w:color w:val="444444"/>
          <w:sz w:val="24"/>
          <w:szCs w:val="24"/>
          <w:lang w:eastAsia="en-GB"/>
        </w:rPr>
        <w:t xml:space="preserve"> </w:t>
      </w:r>
      <w:r w:rsidR="001E764E" w:rsidRPr="00EB5E8A">
        <w:rPr>
          <w:rFonts w:ascii="Tahoma" w:eastAsia="Times New Roman" w:hAnsi="Tahoma" w:cs="Tahoma"/>
          <w:b/>
          <w:color w:val="444444"/>
          <w:sz w:val="24"/>
          <w:szCs w:val="24"/>
          <w:lang w:eastAsia="en-GB"/>
        </w:rPr>
        <w:t>Petersen</w:t>
      </w:r>
      <w:r w:rsidR="008E5EB1" w:rsidRPr="00EB5E8A">
        <w:rPr>
          <w:rFonts w:ascii="Tahoma" w:eastAsia="Times New Roman" w:hAnsi="Tahoma" w:cs="Tahoma"/>
          <w:b/>
          <w:color w:val="444444"/>
          <w:sz w:val="24"/>
          <w:szCs w:val="24"/>
          <w:vertAlign w:val="superscript"/>
          <w:lang w:eastAsia="en-GB"/>
        </w:rPr>
        <w:t>4,5</w:t>
      </w:r>
      <w:r w:rsidR="008E5EB1" w:rsidRPr="00EB5E8A">
        <w:rPr>
          <w:rFonts w:ascii="Tahoma" w:eastAsia="Times New Roman" w:hAnsi="Tahoma" w:cs="Tahoma"/>
          <w:b/>
          <w:color w:val="444444"/>
          <w:sz w:val="24"/>
          <w:szCs w:val="24"/>
          <w:lang w:eastAsia="en-GB"/>
        </w:rPr>
        <w:t xml:space="preserve">, </w:t>
      </w:r>
      <w:r w:rsidR="001E764E" w:rsidRPr="00EB5E8A">
        <w:rPr>
          <w:rFonts w:ascii="Tahoma" w:eastAsia="Times New Roman" w:hAnsi="Tahoma" w:cs="Tahoma"/>
          <w:b/>
          <w:color w:val="444444"/>
          <w:sz w:val="24"/>
          <w:szCs w:val="24"/>
          <w:lang w:eastAsia="en-GB"/>
        </w:rPr>
        <w:t>M.</w:t>
      </w:r>
      <w:r w:rsidR="00911BBB" w:rsidRPr="00EB5E8A">
        <w:rPr>
          <w:rFonts w:ascii="Tahoma" w:eastAsia="Times New Roman" w:hAnsi="Tahoma" w:cs="Tahoma"/>
          <w:b/>
          <w:color w:val="444444"/>
          <w:sz w:val="24"/>
          <w:szCs w:val="24"/>
          <w:lang w:eastAsia="en-GB"/>
        </w:rPr>
        <w:t xml:space="preserve"> </w:t>
      </w:r>
      <w:r w:rsidR="001E764E" w:rsidRPr="00EB5E8A">
        <w:rPr>
          <w:rFonts w:ascii="Tahoma" w:eastAsia="Times New Roman" w:hAnsi="Tahoma" w:cs="Tahoma"/>
          <w:b/>
          <w:color w:val="444444"/>
          <w:sz w:val="24"/>
          <w:szCs w:val="24"/>
          <w:lang w:eastAsia="en-GB"/>
        </w:rPr>
        <w:t>Hotopf</w:t>
      </w:r>
      <w:r w:rsidR="008E5EB1" w:rsidRPr="00EB5E8A">
        <w:rPr>
          <w:rFonts w:ascii="Tahoma" w:eastAsia="Times New Roman" w:hAnsi="Tahoma" w:cs="Tahoma"/>
          <w:b/>
          <w:color w:val="444444"/>
          <w:sz w:val="24"/>
          <w:szCs w:val="24"/>
          <w:vertAlign w:val="superscript"/>
          <w:lang w:eastAsia="en-GB"/>
        </w:rPr>
        <w:t>6</w:t>
      </w:r>
      <w:r w:rsidR="00911BBB" w:rsidRPr="00EB5E8A">
        <w:rPr>
          <w:rFonts w:ascii="Tahoma" w:eastAsia="Times New Roman" w:hAnsi="Tahoma" w:cs="Tahoma"/>
          <w:b/>
          <w:color w:val="444444"/>
          <w:sz w:val="24"/>
          <w:szCs w:val="24"/>
          <w:vertAlign w:val="superscript"/>
          <w:lang w:eastAsia="en-GB"/>
        </w:rPr>
        <w:t>,</w:t>
      </w:r>
      <w:r w:rsidR="00FB480C" w:rsidRPr="00EB5E8A">
        <w:rPr>
          <w:rFonts w:ascii="Tahoma" w:eastAsia="Times New Roman" w:hAnsi="Tahoma" w:cs="Tahoma"/>
          <w:b/>
          <w:color w:val="444444"/>
          <w:sz w:val="24"/>
          <w:szCs w:val="24"/>
          <w:vertAlign w:val="superscript"/>
          <w:lang w:eastAsia="en-GB"/>
        </w:rPr>
        <w:t>7</w:t>
      </w:r>
      <w:r w:rsidRPr="00EB5E8A">
        <w:rPr>
          <w:rFonts w:ascii="Tahoma" w:eastAsia="Times New Roman" w:hAnsi="Tahoma" w:cs="Tahoma"/>
          <w:b/>
          <w:color w:val="444444"/>
          <w:sz w:val="24"/>
          <w:szCs w:val="24"/>
          <w:lang w:eastAsia="en-GB"/>
        </w:rPr>
        <w:t>,</w:t>
      </w:r>
      <w:r w:rsidR="009F5557" w:rsidRPr="00EB5E8A">
        <w:rPr>
          <w:rFonts w:ascii="Tahoma" w:eastAsia="Times New Roman" w:hAnsi="Tahoma" w:cs="Tahoma"/>
          <w:b/>
          <w:color w:val="444444"/>
          <w:sz w:val="24"/>
          <w:szCs w:val="24"/>
          <w:lang w:eastAsia="en-GB"/>
        </w:rPr>
        <w:t xml:space="preserve"> H. Creese</w:t>
      </w:r>
      <w:r w:rsidR="009F5557" w:rsidRPr="00EB5E8A">
        <w:rPr>
          <w:rFonts w:ascii="Tahoma" w:eastAsia="Times New Roman" w:hAnsi="Tahoma" w:cs="Tahoma"/>
          <w:b/>
          <w:color w:val="444444"/>
          <w:sz w:val="24"/>
          <w:szCs w:val="24"/>
          <w:vertAlign w:val="superscript"/>
          <w:lang w:eastAsia="en-GB"/>
        </w:rPr>
        <w:t>3</w:t>
      </w:r>
      <w:r w:rsidR="009F5557" w:rsidRPr="00EB5E8A">
        <w:rPr>
          <w:rFonts w:ascii="Tahoma" w:eastAsia="Times New Roman" w:hAnsi="Tahoma" w:cs="Tahoma"/>
          <w:b/>
          <w:color w:val="444444"/>
          <w:sz w:val="24"/>
          <w:szCs w:val="24"/>
          <w:lang w:eastAsia="en-GB"/>
        </w:rPr>
        <w:t>,</w:t>
      </w:r>
      <w:r w:rsidRPr="00EB5E8A">
        <w:rPr>
          <w:rFonts w:ascii="Tahoma" w:eastAsia="Times New Roman" w:hAnsi="Tahoma" w:cs="Tahoma"/>
          <w:b/>
          <w:color w:val="444444"/>
          <w:sz w:val="24"/>
          <w:szCs w:val="24"/>
          <w:lang w:eastAsia="en-GB"/>
        </w:rPr>
        <w:t xml:space="preserve"> A. Bottle</w:t>
      </w:r>
      <w:r w:rsidR="008E5EB1" w:rsidRPr="00EB5E8A">
        <w:rPr>
          <w:rFonts w:ascii="Tahoma" w:eastAsia="Times New Roman" w:hAnsi="Tahoma" w:cs="Tahoma"/>
          <w:b/>
          <w:color w:val="444444"/>
          <w:sz w:val="24"/>
          <w:szCs w:val="24"/>
          <w:vertAlign w:val="superscript"/>
          <w:lang w:eastAsia="en-GB"/>
        </w:rPr>
        <w:t>3</w:t>
      </w:r>
      <w:r w:rsidR="001E764E" w:rsidRPr="00EB5E8A">
        <w:rPr>
          <w:rFonts w:ascii="Tahoma" w:eastAsia="Times New Roman" w:hAnsi="Tahoma" w:cs="Tahoma"/>
          <w:b/>
          <w:color w:val="444444"/>
          <w:sz w:val="24"/>
          <w:szCs w:val="24"/>
          <w:lang w:eastAsia="en-GB"/>
        </w:rPr>
        <w:t>,</w:t>
      </w:r>
      <w:r w:rsidR="00E106D3" w:rsidRPr="00EB5E8A">
        <w:rPr>
          <w:rFonts w:ascii="Tahoma" w:eastAsia="Times New Roman" w:hAnsi="Tahoma" w:cs="Tahoma"/>
          <w:b/>
          <w:color w:val="444444"/>
          <w:sz w:val="24"/>
          <w:szCs w:val="24"/>
          <w:lang w:eastAsia="en-GB"/>
        </w:rPr>
        <w:t xml:space="preserve"> </w:t>
      </w:r>
      <w:r w:rsidR="001E764E" w:rsidRPr="00EB5E8A">
        <w:rPr>
          <w:rFonts w:ascii="Tahoma" w:eastAsia="Times New Roman" w:hAnsi="Tahoma" w:cs="Tahoma"/>
          <w:b/>
          <w:color w:val="444444"/>
          <w:sz w:val="24"/>
          <w:szCs w:val="24"/>
          <w:lang w:eastAsia="en-GB"/>
        </w:rPr>
        <w:t>R</w:t>
      </w:r>
      <w:r w:rsidRPr="00EB5E8A">
        <w:rPr>
          <w:rFonts w:ascii="Tahoma" w:eastAsia="Times New Roman" w:hAnsi="Tahoma" w:cs="Tahoma"/>
          <w:b/>
          <w:color w:val="444444"/>
          <w:sz w:val="24"/>
          <w:szCs w:val="24"/>
          <w:lang w:eastAsia="en-GB"/>
        </w:rPr>
        <w:t>.C.</w:t>
      </w:r>
      <w:r w:rsidR="00E106D3" w:rsidRPr="00EB5E8A">
        <w:rPr>
          <w:rFonts w:ascii="Tahoma" w:eastAsia="Times New Roman" w:hAnsi="Tahoma" w:cs="Tahoma"/>
          <w:b/>
          <w:color w:val="444444"/>
          <w:sz w:val="24"/>
          <w:szCs w:val="24"/>
          <w:lang w:eastAsia="en-GB"/>
        </w:rPr>
        <w:t>G</w:t>
      </w:r>
      <w:r w:rsidRPr="00EB5E8A">
        <w:rPr>
          <w:rFonts w:ascii="Tahoma" w:eastAsia="Times New Roman" w:hAnsi="Tahoma" w:cs="Tahoma"/>
          <w:b/>
          <w:color w:val="444444"/>
          <w:sz w:val="24"/>
          <w:szCs w:val="24"/>
          <w:lang w:eastAsia="en-GB"/>
        </w:rPr>
        <w:t xml:space="preserve"> Pollok</w:t>
      </w:r>
      <w:r w:rsidRPr="00EB5E8A">
        <w:rPr>
          <w:rFonts w:ascii="Tahoma" w:eastAsia="Times New Roman" w:hAnsi="Tahoma" w:cs="Tahoma"/>
          <w:b/>
          <w:color w:val="444444"/>
          <w:sz w:val="24"/>
          <w:szCs w:val="24"/>
          <w:vertAlign w:val="superscript"/>
          <w:lang w:eastAsia="en-GB"/>
        </w:rPr>
        <w:t>1</w:t>
      </w:r>
      <w:r w:rsidR="008E5EB1" w:rsidRPr="00EB5E8A">
        <w:rPr>
          <w:rFonts w:ascii="Tahoma" w:eastAsia="Times New Roman" w:hAnsi="Tahoma" w:cs="Tahoma"/>
          <w:b/>
          <w:color w:val="444444"/>
          <w:sz w:val="24"/>
          <w:szCs w:val="24"/>
          <w:vertAlign w:val="superscript"/>
          <w:lang w:eastAsia="en-GB"/>
        </w:rPr>
        <w:t>,2,3</w:t>
      </w:r>
      <w:r w:rsidR="00EF78CC" w:rsidRPr="00EB5E8A">
        <w:rPr>
          <w:rFonts w:ascii="Tahoma" w:eastAsia="Times New Roman" w:hAnsi="Tahoma" w:cs="Tahoma"/>
          <w:b/>
          <w:color w:val="444444"/>
          <w:sz w:val="24"/>
          <w:szCs w:val="24"/>
          <w:lang w:eastAsia="en-GB"/>
        </w:rPr>
        <w:t xml:space="preserve"> – POP-IBD study group</w:t>
      </w:r>
    </w:p>
    <w:p w14:paraId="081F8798" w14:textId="77777777" w:rsidR="00AC12DF" w:rsidRPr="00EB5E8A" w:rsidRDefault="00AC12DF" w:rsidP="00AC12DF">
      <w:pPr>
        <w:spacing w:after="0" w:line="240" w:lineRule="auto"/>
        <w:rPr>
          <w:rFonts w:ascii="Tahoma" w:eastAsia="Times New Roman" w:hAnsi="Tahoma" w:cs="Tahoma"/>
          <w:color w:val="444444"/>
          <w:sz w:val="24"/>
          <w:szCs w:val="24"/>
          <w:vertAlign w:val="superscript"/>
          <w:lang w:eastAsia="en-GB"/>
        </w:rPr>
      </w:pPr>
    </w:p>
    <w:p w14:paraId="3CA194D5" w14:textId="77777777" w:rsidR="00AC12DF" w:rsidRPr="00EB5E8A" w:rsidRDefault="00AC12DF" w:rsidP="00AC12DF">
      <w:pPr>
        <w:spacing w:after="0" w:line="240" w:lineRule="auto"/>
        <w:rPr>
          <w:rFonts w:ascii="Tahoma" w:eastAsia="Times New Roman" w:hAnsi="Tahoma" w:cs="Tahoma"/>
          <w:color w:val="444444"/>
          <w:sz w:val="24"/>
          <w:szCs w:val="24"/>
          <w:vertAlign w:val="superscript"/>
          <w:lang w:eastAsia="en-GB"/>
        </w:rPr>
      </w:pPr>
    </w:p>
    <w:p w14:paraId="1DD77537" w14:textId="77777777" w:rsidR="00AC12DF" w:rsidRPr="00EB5E8A" w:rsidRDefault="00AC12DF" w:rsidP="00AC12DF">
      <w:pPr>
        <w:spacing w:after="0" w:line="240" w:lineRule="auto"/>
        <w:rPr>
          <w:rFonts w:ascii="Tahoma" w:eastAsia="Times New Roman" w:hAnsi="Tahoma" w:cs="Tahoma"/>
          <w:color w:val="444444"/>
          <w:sz w:val="24"/>
          <w:szCs w:val="24"/>
          <w:vertAlign w:val="superscript"/>
          <w:lang w:eastAsia="en-GB"/>
        </w:rPr>
      </w:pPr>
    </w:p>
    <w:p w14:paraId="172703B5" w14:textId="77777777" w:rsidR="00AC12DF" w:rsidRPr="00EB5E8A" w:rsidRDefault="00AC12DF" w:rsidP="00AC12DF">
      <w:pPr>
        <w:spacing w:after="0" w:line="240" w:lineRule="auto"/>
        <w:rPr>
          <w:rFonts w:ascii="Tahoma" w:eastAsia="Times New Roman" w:hAnsi="Tahoma" w:cs="Tahoma"/>
          <w:color w:val="444444"/>
          <w:sz w:val="24"/>
          <w:szCs w:val="24"/>
          <w:lang w:eastAsia="en-GB"/>
        </w:rPr>
      </w:pPr>
    </w:p>
    <w:p w14:paraId="6BB0C077" w14:textId="1CCDC0B3" w:rsidR="001E764E" w:rsidRPr="00EB5E8A" w:rsidRDefault="00AC12DF"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 xml:space="preserve">1 </w:t>
      </w:r>
      <w:r w:rsidRPr="00EB5E8A">
        <w:rPr>
          <w:rFonts w:ascii="Tahoma" w:eastAsia="Times New Roman" w:hAnsi="Tahoma" w:cs="Tahoma"/>
          <w:color w:val="444444"/>
          <w:sz w:val="24"/>
          <w:szCs w:val="24"/>
          <w:lang w:eastAsia="en-GB"/>
        </w:rPr>
        <w:t>Dep</w:t>
      </w:r>
      <w:r w:rsidR="004E0095" w:rsidRPr="00EB5E8A">
        <w:rPr>
          <w:rFonts w:ascii="Tahoma" w:eastAsia="Times New Roman" w:hAnsi="Tahoma" w:cs="Tahoma"/>
          <w:color w:val="444444"/>
          <w:sz w:val="24"/>
          <w:szCs w:val="24"/>
          <w:lang w:eastAsia="en-GB"/>
        </w:rPr>
        <w:t>artmen</w:t>
      </w:r>
      <w:r w:rsidRPr="00EB5E8A">
        <w:rPr>
          <w:rFonts w:ascii="Tahoma" w:eastAsia="Times New Roman" w:hAnsi="Tahoma" w:cs="Tahoma"/>
          <w:color w:val="444444"/>
          <w:sz w:val="24"/>
          <w:szCs w:val="24"/>
          <w:lang w:eastAsia="en-GB"/>
        </w:rPr>
        <w:t>t</w:t>
      </w:r>
      <w:r w:rsidR="004E0095" w:rsidRPr="00EB5E8A">
        <w:rPr>
          <w:rFonts w:ascii="Tahoma" w:eastAsia="Times New Roman" w:hAnsi="Tahoma" w:cs="Tahoma"/>
          <w:color w:val="444444"/>
          <w:sz w:val="24"/>
          <w:szCs w:val="24"/>
          <w:lang w:eastAsia="en-GB"/>
        </w:rPr>
        <w:t xml:space="preserve"> of</w:t>
      </w:r>
      <w:r w:rsidRPr="00EB5E8A">
        <w:rPr>
          <w:rFonts w:ascii="Tahoma" w:eastAsia="Times New Roman" w:hAnsi="Tahoma" w:cs="Tahoma"/>
          <w:color w:val="444444"/>
          <w:sz w:val="24"/>
          <w:szCs w:val="24"/>
          <w:lang w:eastAsia="en-GB"/>
        </w:rPr>
        <w:t xml:space="preserve"> Gastroenterology, St George's </w:t>
      </w:r>
      <w:r w:rsidR="00566E7E" w:rsidRPr="00EB5E8A">
        <w:rPr>
          <w:rFonts w:ascii="Tahoma" w:eastAsia="Times New Roman" w:hAnsi="Tahoma" w:cs="Tahoma"/>
          <w:color w:val="444444"/>
          <w:sz w:val="24"/>
          <w:szCs w:val="24"/>
          <w:lang w:eastAsia="en-GB"/>
        </w:rPr>
        <w:t xml:space="preserve">Univ. </w:t>
      </w:r>
      <w:r w:rsidR="001E764E" w:rsidRPr="00EB5E8A">
        <w:rPr>
          <w:rFonts w:ascii="Tahoma" w:eastAsia="Times New Roman" w:hAnsi="Tahoma" w:cs="Tahoma"/>
          <w:color w:val="444444"/>
          <w:sz w:val="24"/>
          <w:szCs w:val="24"/>
          <w:lang w:eastAsia="en-GB"/>
        </w:rPr>
        <w:t>Hospitals NHS Founda</w:t>
      </w:r>
      <w:r w:rsidR="008E5EB1" w:rsidRPr="00EB5E8A">
        <w:rPr>
          <w:rFonts w:ascii="Tahoma" w:eastAsia="Times New Roman" w:hAnsi="Tahoma" w:cs="Tahoma"/>
          <w:color w:val="444444"/>
          <w:sz w:val="24"/>
          <w:szCs w:val="24"/>
          <w:lang w:eastAsia="en-GB"/>
        </w:rPr>
        <w:t>tion Trust, London, UK</w:t>
      </w:r>
    </w:p>
    <w:p w14:paraId="50DDBE74" w14:textId="77777777" w:rsidR="001E764E" w:rsidRPr="00EB5E8A" w:rsidRDefault="001E764E" w:rsidP="00AC12DF">
      <w:pPr>
        <w:spacing w:after="0" w:line="240" w:lineRule="auto"/>
        <w:rPr>
          <w:rFonts w:ascii="Tahoma" w:eastAsia="Times New Roman" w:hAnsi="Tahoma" w:cs="Tahoma"/>
          <w:color w:val="444444"/>
          <w:sz w:val="24"/>
          <w:szCs w:val="24"/>
          <w:lang w:eastAsia="en-GB"/>
        </w:rPr>
      </w:pPr>
    </w:p>
    <w:p w14:paraId="4EC5FDA3" w14:textId="6DAF5DDD" w:rsidR="00AC12DF" w:rsidRPr="00EB5E8A" w:rsidRDefault="008E5EB1"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2</w:t>
      </w:r>
      <w:r w:rsidR="00AC12DF" w:rsidRPr="00EB5E8A">
        <w:rPr>
          <w:rFonts w:ascii="Tahoma" w:eastAsia="Times New Roman" w:hAnsi="Tahoma" w:cs="Tahoma"/>
          <w:color w:val="444444"/>
          <w:sz w:val="24"/>
          <w:szCs w:val="24"/>
          <w:lang w:eastAsia="en-GB"/>
        </w:rPr>
        <w:t xml:space="preserve">St George’s University </w:t>
      </w:r>
      <w:r w:rsidR="00566E7E" w:rsidRPr="00EB5E8A">
        <w:rPr>
          <w:rFonts w:ascii="Tahoma" w:eastAsia="Times New Roman" w:hAnsi="Tahoma" w:cs="Tahoma"/>
          <w:color w:val="444444"/>
          <w:sz w:val="24"/>
          <w:szCs w:val="24"/>
          <w:lang w:eastAsia="en-GB"/>
        </w:rPr>
        <w:t xml:space="preserve">of </w:t>
      </w:r>
      <w:r w:rsidR="00AC12DF" w:rsidRPr="00EB5E8A">
        <w:rPr>
          <w:rFonts w:ascii="Tahoma" w:eastAsia="Times New Roman" w:hAnsi="Tahoma" w:cs="Tahoma"/>
          <w:color w:val="444444"/>
          <w:sz w:val="24"/>
          <w:szCs w:val="24"/>
          <w:lang w:eastAsia="en-GB"/>
        </w:rPr>
        <w:t>London</w:t>
      </w:r>
      <w:r w:rsidR="00566E7E" w:rsidRPr="00EB5E8A">
        <w:rPr>
          <w:rFonts w:ascii="Tahoma" w:eastAsia="Times New Roman" w:hAnsi="Tahoma" w:cs="Tahoma"/>
          <w:color w:val="444444"/>
          <w:sz w:val="24"/>
          <w:szCs w:val="24"/>
          <w:lang w:eastAsia="en-GB"/>
        </w:rPr>
        <w:t xml:space="preserve"> (SGUL)</w:t>
      </w:r>
      <w:r w:rsidR="00AC12DF" w:rsidRPr="00EB5E8A">
        <w:rPr>
          <w:rFonts w:ascii="Tahoma" w:eastAsia="Times New Roman" w:hAnsi="Tahoma" w:cs="Tahoma"/>
          <w:color w:val="444444"/>
          <w:sz w:val="24"/>
          <w:szCs w:val="24"/>
          <w:lang w:eastAsia="en-GB"/>
        </w:rPr>
        <w:t>,</w:t>
      </w:r>
      <w:r w:rsidRPr="00EB5E8A">
        <w:rPr>
          <w:rFonts w:ascii="Tahoma" w:eastAsia="Times New Roman" w:hAnsi="Tahoma" w:cs="Tahoma"/>
          <w:color w:val="444444"/>
          <w:sz w:val="24"/>
          <w:szCs w:val="24"/>
          <w:lang w:eastAsia="en-GB"/>
        </w:rPr>
        <w:t xml:space="preserve"> </w:t>
      </w:r>
      <w:r w:rsidR="00566E7E" w:rsidRPr="00EB5E8A">
        <w:rPr>
          <w:rFonts w:ascii="Tahoma" w:eastAsia="Times New Roman" w:hAnsi="Tahoma" w:cs="Tahoma"/>
          <w:color w:val="444444"/>
          <w:sz w:val="24"/>
          <w:szCs w:val="24"/>
          <w:lang w:eastAsia="en-GB"/>
        </w:rPr>
        <w:t>Institute for</w:t>
      </w:r>
      <w:r w:rsidRPr="00EB5E8A">
        <w:rPr>
          <w:rFonts w:ascii="Tahoma" w:eastAsia="Times New Roman" w:hAnsi="Tahoma" w:cs="Tahoma"/>
          <w:color w:val="444444"/>
          <w:sz w:val="24"/>
          <w:szCs w:val="24"/>
          <w:lang w:eastAsia="en-GB"/>
        </w:rPr>
        <w:t xml:space="preserve"> Infection and Immunity,</w:t>
      </w:r>
      <w:r w:rsidR="00AC12DF" w:rsidRPr="00EB5E8A">
        <w:rPr>
          <w:rFonts w:ascii="Tahoma" w:eastAsia="Times New Roman" w:hAnsi="Tahoma" w:cs="Tahoma"/>
          <w:color w:val="444444"/>
          <w:sz w:val="24"/>
          <w:szCs w:val="24"/>
          <w:lang w:eastAsia="en-GB"/>
        </w:rPr>
        <w:t xml:space="preserve"> </w:t>
      </w:r>
      <w:r w:rsidRPr="00EB5E8A">
        <w:rPr>
          <w:rFonts w:ascii="Tahoma" w:eastAsia="Times New Roman" w:hAnsi="Tahoma" w:cs="Tahoma"/>
          <w:color w:val="444444"/>
          <w:sz w:val="24"/>
          <w:szCs w:val="24"/>
          <w:lang w:eastAsia="en-GB"/>
        </w:rPr>
        <w:t xml:space="preserve">London, </w:t>
      </w:r>
      <w:r w:rsidR="004E0095" w:rsidRPr="00EB5E8A">
        <w:rPr>
          <w:rFonts w:ascii="Tahoma" w:eastAsia="Times New Roman" w:hAnsi="Tahoma" w:cs="Tahoma"/>
          <w:color w:val="444444"/>
          <w:sz w:val="24"/>
          <w:szCs w:val="24"/>
          <w:lang w:eastAsia="en-GB"/>
        </w:rPr>
        <w:t>UK</w:t>
      </w:r>
    </w:p>
    <w:p w14:paraId="1CA0299D" w14:textId="77777777" w:rsidR="00AC12DF" w:rsidRPr="00EB5E8A" w:rsidRDefault="00AC12DF" w:rsidP="00AC12DF">
      <w:pPr>
        <w:spacing w:after="0" w:line="240" w:lineRule="auto"/>
        <w:rPr>
          <w:rFonts w:ascii="Tahoma" w:eastAsia="Times New Roman" w:hAnsi="Tahoma" w:cs="Tahoma"/>
          <w:color w:val="444444"/>
          <w:sz w:val="24"/>
          <w:szCs w:val="24"/>
          <w:lang w:eastAsia="en-GB"/>
        </w:rPr>
      </w:pPr>
    </w:p>
    <w:p w14:paraId="25523170" w14:textId="5E4A1D02" w:rsidR="00AC12DF" w:rsidRPr="00EB5E8A" w:rsidRDefault="008E5EB1"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3</w:t>
      </w:r>
      <w:r w:rsidR="00AC12DF" w:rsidRPr="00EB5E8A">
        <w:rPr>
          <w:rFonts w:ascii="Tahoma" w:eastAsia="Times New Roman" w:hAnsi="Tahoma" w:cs="Tahoma"/>
          <w:color w:val="444444"/>
          <w:sz w:val="24"/>
          <w:szCs w:val="24"/>
          <w:lang w:eastAsia="en-GB"/>
        </w:rPr>
        <w:t>School of Public Health, Imperial College London, London, UK</w:t>
      </w:r>
    </w:p>
    <w:p w14:paraId="39A27DEE" w14:textId="77777777" w:rsidR="00AC12DF" w:rsidRPr="00EB5E8A" w:rsidRDefault="00AC12DF" w:rsidP="00AC12DF">
      <w:pPr>
        <w:spacing w:after="0" w:line="240" w:lineRule="auto"/>
        <w:rPr>
          <w:rFonts w:ascii="Tahoma" w:eastAsia="Times New Roman" w:hAnsi="Tahoma" w:cs="Tahoma"/>
          <w:color w:val="444444"/>
          <w:sz w:val="24"/>
          <w:szCs w:val="24"/>
          <w:lang w:eastAsia="en-GB"/>
        </w:rPr>
      </w:pPr>
    </w:p>
    <w:p w14:paraId="70978ADE" w14:textId="49D2E98C" w:rsidR="00AC12DF" w:rsidRPr="00EB5E8A" w:rsidRDefault="008E5EB1"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4</w:t>
      </w:r>
      <w:r w:rsidR="00AC12DF" w:rsidRPr="00EB5E8A">
        <w:rPr>
          <w:rFonts w:ascii="Tahoma" w:eastAsia="Times New Roman" w:hAnsi="Tahoma" w:cs="Tahoma"/>
          <w:color w:val="444444"/>
          <w:sz w:val="24"/>
          <w:szCs w:val="24"/>
          <w:lang w:eastAsia="en-GB"/>
        </w:rPr>
        <w:t>Dept. Primary Care and Population Health, University College London, UK</w:t>
      </w:r>
    </w:p>
    <w:p w14:paraId="617B818D" w14:textId="77777777" w:rsidR="00AC12DF" w:rsidRPr="00EB5E8A" w:rsidRDefault="00AC12DF" w:rsidP="00AC12DF">
      <w:pPr>
        <w:spacing w:after="0" w:line="240" w:lineRule="auto"/>
        <w:rPr>
          <w:rFonts w:ascii="Tahoma" w:eastAsia="Times New Roman" w:hAnsi="Tahoma" w:cs="Tahoma"/>
          <w:color w:val="444444"/>
          <w:sz w:val="24"/>
          <w:szCs w:val="24"/>
          <w:lang w:eastAsia="en-GB"/>
        </w:rPr>
      </w:pPr>
    </w:p>
    <w:p w14:paraId="5A25F582" w14:textId="3B56853D" w:rsidR="00AC12DF" w:rsidRPr="00EB5E8A" w:rsidRDefault="008E5EB1"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5</w:t>
      </w:r>
      <w:r w:rsidR="00AC12DF" w:rsidRPr="00EB5E8A">
        <w:rPr>
          <w:rFonts w:ascii="Tahoma" w:eastAsia="Times New Roman" w:hAnsi="Tahoma" w:cs="Tahoma"/>
          <w:color w:val="444444"/>
          <w:sz w:val="24"/>
          <w:szCs w:val="24"/>
          <w:lang w:eastAsia="en-GB"/>
        </w:rPr>
        <w:t>Dept. Clinical Epidemiology, Aarhus University, Denmark</w:t>
      </w:r>
    </w:p>
    <w:p w14:paraId="0DFF10CE" w14:textId="77777777" w:rsidR="00AC12DF" w:rsidRPr="00EB5E8A" w:rsidRDefault="00AC12DF" w:rsidP="00AC12DF">
      <w:pPr>
        <w:spacing w:after="0" w:line="240" w:lineRule="auto"/>
        <w:rPr>
          <w:rFonts w:ascii="Tahoma" w:eastAsia="Times New Roman" w:hAnsi="Tahoma" w:cs="Tahoma"/>
          <w:color w:val="444444"/>
          <w:sz w:val="24"/>
          <w:szCs w:val="24"/>
          <w:lang w:eastAsia="en-GB"/>
        </w:rPr>
      </w:pPr>
    </w:p>
    <w:p w14:paraId="0BDD7552" w14:textId="41D77410" w:rsidR="00FB480C" w:rsidRPr="00EB5E8A" w:rsidRDefault="008E5EB1"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6</w:t>
      </w:r>
      <w:r w:rsidR="00FC1FC2" w:rsidRPr="00EB5E8A">
        <w:rPr>
          <w:rFonts w:ascii="Tahoma" w:eastAsia="Times New Roman" w:hAnsi="Tahoma" w:cs="Tahoma"/>
          <w:color w:val="444444"/>
          <w:sz w:val="24"/>
          <w:szCs w:val="24"/>
          <w:lang w:eastAsia="en-GB"/>
        </w:rPr>
        <w:t>Institute of Psychiatry, Psychology and Neuroscience, King’s College London, London, UK</w:t>
      </w:r>
      <w:r w:rsidR="00FC1FC2" w:rsidRPr="00EB5E8A" w:rsidDel="00FC1FC2">
        <w:rPr>
          <w:rFonts w:ascii="Tahoma" w:eastAsia="Times New Roman" w:hAnsi="Tahoma" w:cs="Tahoma"/>
          <w:color w:val="444444"/>
          <w:sz w:val="24"/>
          <w:szCs w:val="24"/>
          <w:lang w:eastAsia="en-GB"/>
        </w:rPr>
        <w:t xml:space="preserve"> </w:t>
      </w:r>
    </w:p>
    <w:p w14:paraId="3079FB5E" w14:textId="77777777" w:rsidR="00FC1FC2" w:rsidRPr="00EB5E8A" w:rsidRDefault="00FC1FC2" w:rsidP="00AC12DF">
      <w:pPr>
        <w:spacing w:after="0" w:line="240" w:lineRule="auto"/>
        <w:rPr>
          <w:rFonts w:ascii="Tahoma" w:eastAsia="Times New Roman" w:hAnsi="Tahoma" w:cs="Tahoma"/>
          <w:color w:val="444444"/>
          <w:sz w:val="24"/>
          <w:szCs w:val="24"/>
          <w:lang w:eastAsia="en-GB"/>
        </w:rPr>
      </w:pPr>
    </w:p>
    <w:p w14:paraId="784C4692" w14:textId="20B5D056" w:rsidR="00FB480C" w:rsidRPr="00EB5E8A" w:rsidRDefault="00FB480C" w:rsidP="00AC12DF">
      <w:pPr>
        <w:spacing w:after="0" w:line="240" w:lineRule="auto"/>
        <w:rPr>
          <w:rFonts w:ascii="Tahoma" w:eastAsia="Times New Roman" w:hAnsi="Tahoma" w:cs="Tahoma"/>
          <w:color w:val="444444"/>
          <w:sz w:val="24"/>
          <w:szCs w:val="24"/>
          <w:lang w:eastAsia="en-GB"/>
        </w:rPr>
      </w:pPr>
      <w:r w:rsidRPr="00EB5E8A">
        <w:rPr>
          <w:rFonts w:ascii="Tahoma" w:eastAsia="Times New Roman" w:hAnsi="Tahoma" w:cs="Tahoma"/>
          <w:color w:val="444444"/>
          <w:sz w:val="24"/>
          <w:szCs w:val="24"/>
          <w:vertAlign w:val="superscript"/>
          <w:lang w:eastAsia="en-GB"/>
        </w:rPr>
        <w:t>7</w:t>
      </w:r>
      <w:r w:rsidR="00FC1FC2" w:rsidRPr="00EB5E8A">
        <w:rPr>
          <w:rFonts w:ascii="Tahoma" w:eastAsia="Times New Roman" w:hAnsi="Tahoma" w:cs="Tahoma"/>
          <w:color w:val="444444"/>
          <w:sz w:val="24"/>
          <w:szCs w:val="24"/>
          <w:lang w:eastAsia="en-GB"/>
        </w:rPr>
        <w:t>South London and Maudsley NHS Foundation Trust, London, UK</w:t>
      </w:r>
    </w:p>
    <w:p w14:paraId="33559D2F" w14:textId="6846AC1F" w:rsidR="00AC12DF" w:rsidRPr="00EB5E8A" w:rsidRDefault="00AC12DF" w:rsidP="00AC12DF">
      <w:pPr>
        <w:spacing w:line="360" w:lineRule="auto"/>
        <w:jc w:val="both"/>
        <w:rPr>
          <w:b/>
          <w:color w:val="5B9BD5" w:themeColor="accent1"/>
          <w:sz w:val="26"/>
          <w:szCs w:val="26"/>
        </w:rPr>
      </w:pPr>
    </w:p>
    <w:p w14:paraId="0957626F" w14:textId="67806EF6" w:rsidR="004E0095" w:rsidRPr="00EB5E8A" w:rsidRDefault="004E0095" w:rsidP="004E0095">
      <w:pPr>
        <w:pStyle w:val="Heading3"/>
        <w:rPr>
          <w:color w:val="2E74B5" w:themeColor="accent1" w:themeShade="BF"/>
        </w:rPr>
      </w:pPr>
      <w:r w:rsidRPr="00EB5E8A">
        <w:rPr>
          <w:color w:val="2E74B5" w:themeColor="accent1" w:themeShade="BF"/>
        </w:rPr>
        <w:t>Corresponding author</w:t>
      </w:r>
      <w:r w:rsidR="003B75B0" w:rsidRPr="00EB5E8A">
        <w:rPr>
          <w:color w:val="2E74B5" w:themeColor="accent1" w:themeShade="BF"/>
        </w:rPr>
        <w:t xml:space="preserve">: </w:t>
      </w:r>
      <w:r w:rsidR="00566E7E" w:rsidRPr="00EB5E8A">
        <w:rPr>
          <w:color w:val="2E74B5" w:themeColor="accent1" w:themeShade="BF"/>
        </w:rPr>
        <w:t>Prof</w:t>
      </w:r>
      <w:r w:rsidR="003B75B0" w:rsidRPr="00EB5E8A">
        <w:rPr>
          <w:color w:val="2E74B5" w:themeColor="accent1" w:themeShade="BF"/>
        </w:rPr>
        <w:t xml:space="preserve"> </w:t>
      </w:r>
      <w:r w:rsidR="00E106D3" w:rsidRPr="00EB5E8A">
        <w:rPr>
          <w:color w:val="2E74B5" w:themeColor="accent1" w:themeShade="BF"/>
        </w:rPr>
        <w:t>Richard Pollok</w:t>
      </w:r>
      <w:r w:rsidRPr="00EB5E8A">
        <w:rPr>
          <w:color w:val="2E74B5" w:themeColor="accent1" w:themeShade="BF"/>
        </w:rPr>
        <w:t xml:space="preserve"> </w:t>
      </w:r>
    </w:p>
    <w:p w14:paraId="127DA364" w14:textId="689445B7" w:rsidR="003B75B0" w:rsidRPr="00EB5E8A" w:rsidRDefault="004E0095" w:rsidP="003B75B0">
      <w:pPr>
        <w:pStyle w:val="Heading3"/>
        <w:rPr>
          <w:color w:val="2E74B5" w:themeColor="accent1" w:themeShade="BF"/>
        </w:rPr>
      </w:pPr>
      <w:r w:rsidRPr="00EB5E8A">
        <w:rPr>
          <w:color w:val="2E74B5" w:themeColor="accent1" w:themeShade="BF"/>
        </w:rPr>
        <w:t>Address</w:t>
      </w:r>
      <w:r w:rsidR="003B75B0" w:rsidRPr="00EB5E8A">
        <w:rPr>
          <w:color w:val="2E74B5" w:themeColor="accent1" w:themeShade="BF"/>
        </w:rPr>
        <w:t xml:space="preserve">: St George’s </w:t>
      </w:r>
      <w:r w:rsidR="008E5EB1" w:rsidRPr="00EB5E8A">
        <w:rPr>
          <w:color w:val="2E74B5" w:themeColor="accent1" w:themeShade="BF"/>
        </w:rPr>
        <w:t xml:space="preserve">Hospitals </w:t>
      </w:r>
      <w:r w:rsidR="003B75B0" w:rsidRPr="00EB5E8A">
        <w:rPr>
          <w:color w:val="2E74B5" w:themeColor="accent1" w:themeShade="BF"/>
        </w:rPr>
        <w:t xml:space="preserve">NHS Foundation Trust, </w:t>
      </w:r>
      <w:r w:rsidR="00E106D3" w:rsidRPr="00EB5E8A">
        <w:rPr>
          <w:color w:val="2E74B5" w:themeColor="accent1" w:themeShade="BF"/>
        </w:rPr>
        <w:t>Dept. Gastroenterology</w:t>
      </w:r>
      <w:r w:rsidR="003B75B0" w:rsidRPr="00EB5E8A">
        <w:rPr>
          <w:color w:val="2E74B5" w:themeColor="accent1" w:themeShade="BF"/>
        </w:rPr>
        <w:t>, Level 2 Grosvenor Wing, Blackshaw Road,</w:t>
      </w:r>
      <w:r w:rsidR="00E106D3" w:rsidRPr="00EB5E8A">
        <w:rPr>
          <w:color w:val="2E74B5" w:themeColor="accent1" w:themeShade="BF"/>
        </w:rPr>
        <w:t xml:space="preserve"> London, </w:t>
      </w:r>
      <w:r w:rsidR="00CC1812" w:rsidRPr="00EB5E8A">
        <w:rPr>
          <w:color w:val="2E74B5" w:themeColor="accent1" w:themeShade="BF"/>
        </w:rPr>
        <w:t xml:space="preserve">SW17 0QT, </w:t>
      </w:r>
      <w:r w:rsidR="00E106D3" w:rsidRPr="00EB5E8A">
        <w:rPr>
          <w:color w:val="2E74B5" w:themeColor="accent1" w:themeShade="BF"/>
        </w:rPr>
        <w:t>UK</w:t>
      </w:r>
    </w:p>
    <w:p w14:paraId="77BC261B" w14:textId="77777777" w:rsidR="00E106D3" w:rsidRPr="00EB5E8A" w:rsidRDefault="00E106D3" w:rsidP="00F918B8"/>
    <w:p w14:paraId="46864120" w14:textId="07B01F87" w:rsidR="003B75B0" w:rsidRPr="00EB5E8A" w:rsidRDefault="003B75B0" w:rsidP="003B75B0">
      <w:pPr>
        <w:pStyle w:val="Heading3"/>
        <w:rPr>
          <w:color w:val="2E74B5" w:themeColor="accent1" w:themeShade="BF"/>
        </w:rPr>
      </w:pPr>
      <w:r w:rsidRPr="00EB5E8A">
        <w:rPr>
          <w:color w:val="2E74B5" w:themeColor="accent1" w:themeShade="BF"/>
        </w:rPr>
        <w:t xml:space="preserve">Email: </w:t>
      </w:r>
      <w:hyperlink r:id="rId8" w:history="1">
        <w:r w:rsidR="00E106D3" w:rsidRPr="00EB5E8A">
          <w:rPr>
            <w:rStyle w:val="Hyperlink"/>
            <w:color w:val="034990" w:themeColor="hyperlink" w:themeShade="BF"/>
          </w:rPr>
          <w:t>richard.pollok@nhs.net</w:t>
        </w:r>
      </w:hyperlink>
    </w:p>
    <w:p w14:paraId="0C23A99B" w14:textId="77777777" w:rsidR="00E460E8" w:rsidRPr="00EB5E8A" w:rsidRDefault="003B65C4" w:rsidP="003B65C4">
      <w:pPr>
        <w:pStyle w:val="Heading2"/>
      </w:pPr>
      <w:r w:rsidRPr="00EB5E8A">
        <w:t>Ethical approval</w:t>
      </w:r>
      <w:r w:rsidR="00044CB9" w:rsidRPr="00EB5E8A">
        <w:t xml:space="preserve">: </w:t>
      </w:r>
    </w:p>
    <w:p w14:paraId="11182267" w14:textId="6C3A1AD1" w:rsidR="003B65C4" w:rsidRPr="00EB5E8A" w:rsidRDefault="00044CB9" w:rsidP="003B65C4">
      <w:pPr>
        <w:pStyle w:val="Heading2"/>
      </w:pPr>
      <w:r w:rsidRPr="00EB5E8A">
        <w:rPr>
          <w:rFonts w:ascii="Calibri" w:eastAsia="Times New Roman" w:hAnsi="Calibri" w:cs="Calibri"/>
          <w:b w:val="0"/>
          <w:bCs w:val="0"/>
          <w:color w:val="auto"/>
          <w:sz w:val="24"/>
          <w:szCs w:val="24"/>
        </w:rPr>
        <w:t>ISAC Protocol number: 15_018R</w:t>
      </w:r>
    </w:p>
    <w:p w14:paraId="2A1F2946" w14:textId="197AA4FC" w:rsidR="001945DE" w:rsidRPr="00EB5E8A" w:rsidRDefault="001945DE" w:rsidP="00E10A51">
      <w:pPr>
        <w:pStyle w:val="Heading2"/>
      </w:pPr>
      <w:r w:rsidRPr="00EB5E8A">
        <w:t>Contributorship</w:t>
      </w:r>
    </w:p>
    <w:p w14:paraId="7375E9F6" w14:textId="5B3DF868" w:rsidR="003B75B0" w:rsidRPr="00EB5E8A" w:rsidRDefault="005E72D8" w:rsidP="005063F6">
      <w:pPr>
        <w:autoSpaceDE w:val="0"/>
        <w:autoSpaceDN w:val="0"/>
        <w:adjustRightInd w:val="0"/>
        <w:spacing w:after="0" w:line="240" w:lineRule="auto"/>
        <w:jc w:val="both"/>
        <w:rPr>
          <w:rFonts w:cs="Calibri"/>
          <w:sz w:val="24"/>
          <w:szCs w:val="24"/>
        </w:rPr>
      </w:pPr>
      <w:r w:rsidRPr="00EB5E8A">
        <w:rPr>
          <w:rFonts w:cs="Calibri"/>
          <w:sz w:val="24"/>
          <w:szCs w:val="24"/>
        </w:rPr>
        <w:t xml:space="preserve">JB, SS, </w:t>
      </w:r>
      <w:r w:rsidR="00053C7A" w:rsidRPr="00EB5E8A">
        <w:rPr>
          <w:rFonts w:cs="Calibri"/>
          <w:sz w:val="24"/>
          <w:szCs w:val="24"/>
        </w:rPr>
        <w:t>RP</w:t>
      </w:r>
      <w:r w:rsidR="00394415" w:rsidRPr="00EB5E8A">
        <w:rPr>
          <w:rFonts w:cs="Calibri"/>
          <w:sz w:val="24"/>
          <w:szCs w:val="24"/>
        </w:rPr>
        <w:t>, NJ</w:t>
      </w:r>
      <w:r w:rsidRPr="00EB5E8A">
        <w:rPr>
          <w:rFonts w:cs="Calibri"/>
          <w:sz w:val="24"/>
          <w:szCs w:val="24"/>
        </w:rPr>
        <w:t>, IP,</w:t>
      </w:r>
      <w:r w:rsidR="009F5557" w:rsidRPr="00EB5E8A">
        <w:rPr>
          <w:rFonts w:cs="Calibri"/>
          <w:sz w:val="24"/>
          <w:szCs w:val="24"/>
        </w:rPr>
        <w:t xml:space="preserve"> HC</w:t>
      </w:r>
      <w:r w:rsidRPr="00EB5E8A">
        <w:rPr>
          <w:rFonts w:cs="Calibri"/>
          <w:sz w:val="24"/>
          <w:szCs w:val="24"/>
        </w:rPr>
        <w:t xml:space="preserve"> &amp; MH</w:t>
      </w:r>
      <w:r w:rsidR="00053C7A" w:rsidRPr="00EB5E8A">
        <w:rPr>
          <w:rFonts w:cs="Calibri"/>
          <w:sz w:val="24"/>
          <w:szCs w:val="24"/>
        </w:rPr>
        <w:t xml:space="preserve"> </w:t>
      </w:r>
      <w:r w:rsidR="00053C7A" w:rsidRPr="00EB5E8A">
        <w:rPr>
          <w:rFonts w:cs="Arial"/>
          <w:sz w:val="24"/>
          <w:szCs w:val="24"/>
          <w:shd w:val="clear" w:color="auto" w:fill="FFFFFF"/>
        </w:rPr>
        <w:t xml:space="preserve">conceived and designed this study. </w:t>
      </w:r>
      <w:r w:rsidR="00EF78CC" w:rsidRPr="00EB5E8A">
        <w:rPr>
          <w:rFonts w:cs="Calibri"/>
          <w:sz w:val="24"/>
          <w:szCs w:val="24"/>
        </w:rPr>
        <w:t>JB</w:t>
      </w:r>
      <w:r w:rsidR="00CC1812" w:rsidRPr="00EB5E8A">
        <w:rPr>
          <w:rFonts w:cs="Calibri"/>
          <w:sz w:val="24"/>
          <w:szCs w:val="24"/>
        </w:rPr>
        <w:t xml:space="preserve"> </w:t>
      </w:r>
      <w:r w:rsidR="00053C7A" w:rsidRPr="00EB5E8A">
        <w:rPr>
          <w:rFonts w:cs="Calibri"/>
          <w:sz w:val="24"/>
          <w:szCs w:val="24"/>
        </w:rPr>
        <w:t xml:space="preserve">prepared the data and carried out statistical analysis </w:t>
      </w:r>
      <w:r w:rsidR="00FA48C9" w:rsidRPr="00EB5E8A">
        <w:rPr>
          <w:rFonts w:cs="Arial"/>
          <w:sz w:val="24"/>
          <w:szCs w:val="24"/>
          <w:shd w:val="clear" w:color="auto" w:fill="FFFFFF"/>
        </w:rPr>
        <w:t xml:space="preserve">supervised </w:t>
      </w:r>
      <w:r w:rsidR="00053C7A" w:rsidRPr="00EB5E8A">
        <w:rPr>
          <w:rFonts w:cs="Arial"/>
          <w:sz w:val="24"/>
          <w:szCs w:val="24"/>
          <w:shd w:val="clear" w:color="auto" w:fill="FFFFFF"/>
        </w:rPr>
        <w:t xml:space="preserve">by </w:t>
      </w:r>
      <w:r w:rsidRPr="00EB5E8A">
        <w:rPr>
          <w:rFonts w:cs="Arial"/>
          <w:sz w:val="24"/>
          <w:szCs w:val="24"/>
          <w:shd w:val="clear" w:color="auto" w:fill="FFFFFF"/>
        </w:rPr>
        <w:t>IP</w:t>
      </w:r>
      <w:r w:rsidR="00053C7A" w:rsidRPr="00EB5E8A">
        <w:rPr>
          <w:rFonts w:cs="Arial"/>
          <w:sz w:val="24"/>
          <w:szCs w:val="24"/>
          <w:shd w:val="clear" w:color="auto" w:fill="FFFFFF"/>
        </w:rPr>
        <w:t xml:space="preserve"> and AB</w:t>
      </w:r>
      <w:r w:rsidR="00053C7A" w:rsidRPr="00EB5E8A">
        <w:rPr>
          <w:rFonts w:cs="Calibri"/>
          <w:sz w:val="24"/>
          <w:szCs w:val="24"/>
        </w:rPr>
        <w:t xml:space="preserve">. </w:t>
      </w:r>
      <w:r w:rsidR="005063F6" w:rsidRPr="00EB5E8A">
        <w:rPr>
          <w:rFonts w:cs="Calibri"/>
          <w:sz w:val="24"/>
          <w:szCs w:val="24"/>
        </w:rPr>
        <w:t xml:space="preserve">All </w:t>
      </w:r>
      <w:r w:rsidR="00053C7A" w:rsidRPr="00EB5E8A">
        <w:rPr>
          <w:rFonts w:cs="Arial"/>
          <w:sz w:val="24"/>
          <w:szCs w:val="24"/>
          <w:shd w:val="clear" w:color="auto" w:fill="FFFFFF"/>
        </w:rPr>
        <w:t xml:space="preserve">authors </w:t>
      </w:r>
      <w:r w:rsidR="008E5EB1" w:rsidRPr="00EB5E8A">
        <w:rPr>
          <w:rFonts w:cs="Arial"/>
          <w:sz w:val="24"/>
          <w:szCs w:val="24"/>
          <w:shd w:val="clear" w:color="auto" w:fill="FFFFFF"/>
        </w:rPr>
        <w:t xml:space="preserve">contributed to the development of the analysis, </w:t>
      </w:r>
      <w:r w:rsidR="00053C7A" w:rsidRPr="00EB5E8A">
        <w:rPr>
          <w:rFonts w:cs="Arial"/>
          <w:sz w:val="24"/>
          <w:szCs w:val="24"/>
          <w:shd w:val="clear" w:color="auto" w:fill="FFFFFF"/>
        </w:rPr>
        <w:t xml:space="preserve">interpreting </w:t>
      </w:r>
      <w:r w:rsidR="008E5EB1" w:rsidRPr="00EB5E8A">
        <w:rPr>
          <w:rFonts w:cs="Arial"/>
          <w:sz w:val="24"/>
          <w:szCs w:val="24"/>
          <w:shd w:val="clear" w:color="auto" w:fill="FFFFFF"/>
        </w:rPr>
        <w:t>data and preparing the manuscript</w:t>
      </w:r>
      <w:r w:rsidR="005063F6" w:rsidRPr="00EB5E8A">
        <w:rPr>
          <w:rFonts w:cs="Arial"/>
          <w:sz w:val="24"/>
          <w:szCs w:val="24"/>
          <w:shd w:val="clear" w:color="auto" w:fill="FFFFFF"/>
        </w:rPr>
        <w:t xml:space="preserve">. </w:t>
      </w:r>
      <w:r w:rsidR="00EF78CC" w:rsidRPr="00EB5E8A">
        <w:rPr>
          <w:rFonts w:cs="Calibri"/>
          <w:sz w:val="24"/>
          <w:szCs w:val="24"/>
        </w:rPr>
        <w:t xml:space="preserve">RP </w:t>
      </w:r>
      <w:r w:rsidR="003B75B0" w:rsidRPr="00EB5E8A">
        <w:rPr>
          <w:rFonts w:cs="Calibri"/>
          <w:sz w:val="24"/>
          <w:szCs w:val="24"/>
        </w:rPr>
        <w:t xml:space="preserve">will act as the guarantor for the </w:t>
      </w:r>
      <w:r w:rsidR="00A67EC9" w:rsidRPr="00EB5E8A">
        <w:rPr>
          <w:rFonts w:cs="Calibri"/>
          <w:sz w:val="24"/>
          <w:szCs w:val="24"/>
        </w:rPr>
        <w:t>study</w:t>
      </w:r>
      <w:r w:rsidR="003B75B0" w:rsidRPr="00EB5E8A">
        <w:rPr>
          <w:rFonts w:cs="Calibri"/>
          <w:sz w:val="24"/>
          <w:szCs w:val="24"/>
        </w:rPr>
        <w:t>.</w:t>
      </w:r>
    </w:p>
    <w:p w14:paraId="006A2A6A" w14:textId="77777777" w:rsidR="002565E8" w:rsidRPr="00EB5E8A" w:rsidRDefault="002565E8" w:rsidP="003B75B0">
      <w:pPr>
        <w:rPr>
          <w:lang w:eastAsia="en-GB"/>
        </w:rPr>
      </w:pPr>
    </w:p>
    <w:p w14:paraId="124F4ABA" w14:textId="5DDB2BB4" w:rsidR="001945DE" w:rsidRPr="00EB5E8A" w:rsidRDefault="001945DE" w:rsidP="00E10A51">
      <w:pPr>
        <w:pStyle w:val="Heading2"/>
      </w:pPr>
      <w:r w:rsidRPr="00EB5E8A">
        <w:lastRenderedPageBreak/>
        <w:t>Competing interests</w:t>
      </w:r>
    </w:p>
    <w:p w14:paraId="3C28712E" w14:textId="2A162C27" w:rsidR="00E460E8" w:rsidRPr="00EB5E8A" w:rsidRDefault="00E460E8" w:rsidP="00B52B08">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None declared</w:t>
      </w:r>
    </w:p>
    <w:p w14:paraId="2831CD5B" w14:textId="77777777" w:rsidR="00E460E8" w:rsidRPr="00EB5E8A" w:rsidRDefault="001945DE" w:rsidP="00E10A51">
      <w:pPr>
        <w:pStyle w:val="Heading2"/>
      </w:pPr>
      <w:r w:rsidRPr="00EB5E8A">
        <w:t>Provenance</w:t>
      </w:r>
    </w:p>
    <w:p w14:paraId="06F27EA4" w14:textId="53D01EE2" w:rsidR="001945DE" w:rsidRPr="00EB5E8A" w:rsidRDefault="00E460E8" w:rsidP="00B52B08">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Not commissioned</w:t>
      </w:r>
    </w:p>
    <w:p w14:paraId="1FF10E7B" w14:textId="7D16CD03" w:rsidR="001945DE" w:rsidRPr="00EB5E8A" w:rsidRDefault="001945DE" w:rsidP="00E10A51">
      <w:pPr>
        <w:pStyle w:val="Heading2"/>
      </w:pPr>
      <w:r w:rsidRPr="00EB5E8A">
        <w:t>Acknowledgements</w:t>
      </w:r>
    </w:p>
    <w:p w14:paraId="36A3BA21" w14:textId="7521491C" w:rsidR="00CC4EBC" w:rsidRPr="00EB5E8A" w:rsidRDefault="005D5F64" w:rsidP="005D5F64">
      <w:pPr>
        <w:rPr>
          <w:rStyle w:val="Heading2Char"/>
          <w:rFonts w:asciiTheme="minorHAnsi" w:hAnsiTheme="minorHAnsi"/>
          <w:b w:val="0"/>
          <w:color w:val="auto"/>
          <w:sz w:val="24"/>
        </w:rPr>
      </w:pPr>
      <w:r w:rsidRPr="00EB5E8A">
        <w:rPr>
          <w:rStyle w:val="Heading2Char"/>
          <w:rFonts w:asciiTheme="minorHAnsi" w:hAnsiTheme="minorHAnsi"/>
          <w:b w:val="0"/>
          <w:color w:val="auto"/>
          <w:sz w:val="24"/>
        </w:rPr>
        <w:t>None</w:t>
      </w:r>
    </w:p>
    <w:p w14:paraId="34C2DBA1" w14:textId="6B052806" w:rsidR="002565E8" w:rsidRPr="00EB5E8A" w:rsidRDefault="002565E8" w:rsidP="002565E8">
      <w:pPr>
        <w:pStyle w:val="NoSpacing"/>
        <w:spacing w:line="276" w:lineRule="auto"/>
        <w:rPr>
          <w:rFonts w:ascii="Arial" w:hAnsi="Arial" w:cs="Arial"/>
          <w:sz w:val="20"/>
          <w:szCs w:val="20"/>
          <w:shd w:val="clear" w:color="auto" w:fill="FFFFFF"/>
          <w:lang w:eastAsia="en-US"/>
        </w:rPr>
      </w:pPr>
      <w:r w:rsidRPr="00EB5E8A">
        <w:rPr>
          <w:rStyle w:val="Heading2Char"/>
        </w:rPr>
        <w:t>Funding</w:t>
      </w:r>
      <w:r w:rsidR="00E460E8" w:rsidRPr="00EB5E8A">
        <w:rPr>
          <w:rStyle w:val="Heading2Char"/>
        </w:rPr>
        <w:t xml:space="preserve"> and disclaimer</w:t>
      </w:r>
      <w:r w:rsidRPr="00EB5E8A">
        <w:rPr>
          <w:rStyle w:val="Heading2Char"/>
        </w:rPr>
        <w:t>:</w:t>
      </w:r>
      <w:r w:rsidRPr="00EB5E8A">
        <w:rPr>
          <w:rFonts w:ascii="Arial" w:hAnsi="Arial" w:cs="Arial"/>
          <w:b/>
          <w:bCs/>
          <w:sz w:val="20"/>
          <w:szCs w:val="20"/>
        </w:rPr>
        <w:t xml:space="preserve"> </w:t>
      </w:r>
    </w:p>
    <w:p w14:paraId="2F7FECE7" w14:textId="77777777" w:rsidR="006324BA" w:rsidRPr="00EB5E8A" w:rsidRDefault="006324BA" w:rsidP="003B75B0">
      <w:pPr>
        <w:autoSpaceDE w:val="0"/>
        <w:autoSpaceDN w:val="0"/>
        <w:adjustRightInd w:val="0"/>
        <w:spacing w:after="0" w:line="240" w:lineRule="auto"/>
        <w:rPr>
          <w:rFonts w:cs="Calibri"/>
          <w:sz w:val="24"/>
          <w:szCs w:val="24"/>
        </w:rPr>
      </w:pPr>
      <w:r w:rsidRPr="00EB5E8A">
        <w:rPr>
          <w:rFonts w:cs="Calibri"/>
          <w:sz w:val="24"/>
          <w:szCs w:val="24"/>
        </w:rPr>
        <w:t>This work was supported by the Living with IBD Research Programme at Crohn’s &amp; Colitis UK (grant number: SP2018/3). This funding source had no role in the design or execution of this study or in the analysis and interpretation of the data. The views expressed are those of the authors and not necessarily those of Crohn’s &amp; Colitis UK.</w:t>
      </w:r>
    </w:p>
    <w:p w14:paraId="08D1653C" w14:textId="59B01BEE" w:rsidR="003B75B0" w:rsidRPr="00EB5E8A" w:rsidRDefault="003B75B0" w:rsidP="003B75B0">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 xml:space="preserve">RP </w:t>
      </w:r>
      <w:r w:rsidR="00CC1812" w:rsidRPr="00EB5E8A">
        <w:rPr>
          <w:rFonts w:ascii="Calibri" w:hAnsi="Calibri" w:cs="Calibri"/>
          <w:sz w:val="24"/>
          <w:szCs w:val="24"/>
        </w:rPr>
        <w:t>received</w:t>
      </w:r>
      <w:r w:rsidRPr="00EB5E8A">
        <w:rPr>
          <w:rFonts w:ascii="Calibri" w:hAnsi="Calibri" w:cs="Calibri"/>
          <w:sz w:val="24"/>
          <w:szCs w:val="24"/>
        </w:rPr>
        <w:t xml:space="preserve"> support</w:t>
      </w:r>
      <w:r w:rsidR="00CC1812" w:rsidRPr="00EB5E8A">
        <w:rPr>
          <w:rFonts w:ascii="Calibri" w:hAnsi="Calibri" w:cs="Calibri"/>
          <w:sz w:val="24"/>
          <w:szCs w:val="24"/>
        </w:rPr>
        <w:t xml:space="preserve"> by a</w:t>
      </w:r>
      <w:r w:rsidRPr="00EB5E8A">
        <w:rPr>
          <w:rFonts w:ascii="Calibri" w:hAnsi="Calibri" w:cs="Calibri"/>
          <w:sz w:val="24"/>
          <w:szCs w:val="24"/>
        </w:rPr>
        <w:t xml:space="preserve"> Wellcome Trust Institute Strategic Support Fund (ISSF) grant.</w:t>
      </w:r>
    </w:p>
    <w:p w14:paraId="64255E73" w14:textId="77777777" w:rsidR="003B75B0" w:rsidRPr="00EB5E8A" w:rsidRDefault="003B75B0" w:rsidP="003B75B0">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SS is funded by the National Institute for Health Research (NIHR) School for Public Health</w:t>
      </w:r>
    </w:p>
    <w:p w14:paraId="1F2CDCA1" w14:textId="20FF5631" w:rsidR="003B75B0" w:rsidRPr="00EB5E8A" w:rsidRDefault="003B75B0" w:rsidP="003B75B0">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Research (SPHR)</w:t>
      </w:r>
      <w:r w:rsidR="00781CF7" w:rsidRPr="00EB5E8A">
        <w:rPr>
          <w:rFonts w:ascii="Calibri" w:hAnsi="Calibri" w:cs="Calibri"/>
          <w:sz w:val="24"/>
          <w:szCs w:val="24"/>
        </w:rPr>
        <w:t xml:space="preserve"> and NIHR Northwest London Applied Research Collaboration (ARC)</w:t>
      </w:r>
      <w:r w:rsidRPr="00EB5E8A">
        <w:rPr>
          <w:rFonts w:ascii="Calibri" w:hAnsi="Calibri" w:cs="Calibri"/>
          <w:sz w:val="24"/>
          <w:szCs w:val="24"/>
        </w:rPr>
        <w:t>. The School for Public Health Imperial College London is also grateful for</w:t>
      </w:r>
      <w:r w:rsidR="00D47172" w:rsidRPr="00EB5E8A">
        <w:rPr>
          <w:rFonts w:ascii="Calibri" w:hAnsi="Calibri" w:cs="Calibri"/>
          <w:sz w:val="24"/>
          <w:szCs w:val="24"/>
        </w:rPr>
        <w:t xml:space="preserve"> </w:t>
      </w:r>
      <w:r w:rsidRPr="00EB5E8A">
        <w:rPr>
          <w:rFonts w:ascii="Calibri" w:hAnsi="Calibri" w:cs="Calibri"/>
          <w:sz w:val="24"/>
          <w:szCs w:val="24"/>
        </w:rPr>
        <w:t>support from the Imperial NIHR Biomedical Research Centre.</w:t>
      </w:r>
      <w:r w:rsidR="006F7DF4" w:rsidRPr="00EB5E8A">
        <w:rPr>
          <w:rFonts w:ascii="Calibri" w:hAnsi="Calibri" w:cs="Calibri"/>
          <w:sz w:val="24"/>
          <w:szCs w:val="24"/>
        </w:rPr>
        <w:t xml:space="preserve">  MH Is funded by the NIHR Biomedical Research Centre at the Maudsley and is an NIHR Senior Investigator.</w:t>
      </w:r>
    </w:p>
    <w:p w14:paraId="0A793F5B" w14:textId="02E3EC8B" w:rsidR="00EF6A4E" w:rsidRPr="00EB5E8A" w:rsidRDefault="002565E8" w:rsidP="003B75B0">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The Dr Foster Unit at Imperial is affiliated with the National Institute of Health Research (NIHR) Imperial Patient Safety Translational Research Centre. The NIHR Imperial Patient Safety Translational Centre is a partnership between the Imperial College Healthcare NHS Trust and Imperial College London. The Dr Foster Unit at Imperial College are grateful for support from the NIHR Biomedical Research Centre funding scheme.</w:t>
      </w:r>
      <w:r w:rsidR="00A31FB3" w:rsidRPr="00EB5E8A">
        <w:rPr>
          <w:rFonts w:ascii="Calibri" w:hAnsi="Calibri" w:cs="Calibri"/>
          <w:sz w:val="24"/>
          <w:szCs w:val="24"/>
        </w:rPr>
        <w:t xml:space="preserve"> AB and the Unit are additionally funded by grants from NIHR</w:t>
      </w:r>
      <w:r w:rsidR="00D47172" w:rsidRPr="00EB5E8A">
        <w:rPr>
          <w:rFonts w:ascii="Calibri" w:hAnsi="Calibri" w:cs="Calibri"/>
          <w:sz w:val="24"/>
          <w:szCs w:val="24"/>
        </w:rPr>
        <w:t xml:space="preserve"> and the British Heart Foundation.</w:t>
      </w:r>
    </w:p>
    <w:p w14:paraId="3FBA7ADD" w14:textId="7E9A5C61" w:rsidR="003B75B0" w:rsidRPr="00EB5E8A" w:rsidRDefault="003B75B0" w:rsidP="00FA48C9">
      <w:pPr>
        <w:autoSpaceDE w:val="0"/>
        <w:autoSpaceDN w:val="0"/>
        <w:adjustRightInd w:val="0"/>
        <w:spacing w:after="0" w:line="240" w:lineRule="auto"/>
        <w:rPr>
          <w:rFonts w:ascii="Calibri" w:hAnsi="Calibri" w:cs="Calibri"/>
          <w:sz w:val="24"/>
          <w:szCs w:val="24"/>
        </w:rPr>
      </w:pPr>
      <w:r w:rsidRPr="00EB5E8A">
        <w:rPr>
          <w:rFonts w:ascii="Calibri" w:hAnsi="Calibri" w:cs="Calibri"/>
          <w:sz w:val="24"/>
          <w:szCs w:val="24"/>
        </w:rPr>
        <w:t>The views expressed in this publication are those of the authors</w:t>
      </w:r>
      <w:r w:rsidR="00D47172" w:rsidRPr="00EB5E8A">
        <w:rPr>
          <w:rFonts w:ascii="Calibri" w:hAnsi="Calibri" w:cs="Calibri"/>
          <w:sz w:val="24"/>
          <w:szCs w:val="24"/>
        </w:rPr>
        <w:t xml:space="preserve"> </w:t>
      </w:r>
      <w:r w:rsidRPr="00EB5E8A">
        <w:rPr>
          <w:rFonts w:ascii="Calibri" w:hAnsi="Calibri" w:cs="Calibri"/>
          <w:sz w:val="24"/>
          <w:szCs w:val="24"/>
        </w:rPr>
        <w:t>and not necessarily those of the NHS, the NIHR or the Department of Health</w:t>
      </w:r>
      <w:r w:rsidR="006F7DF4" w:rsidRPr="00EB5E8A">
        <w:rPr>
          <w:rFonts w:ascii="Calibri" w:hAnsi="Calibri" w:cs="Calibri"/>
          <w:sz w:val="24"/>
          <w:szCs w:val="24"/>
        </w:rPr>
        <w:t xml:space="preserve"> and Social Care</w:t>
      </w:r>
      <w:r w:rsidR="00D47172" w:rsidRPr="00EB5E8A">
        <w:rPr>
          <w:rFonts w:ascii="Calibri" w:hAnsi="Calibri" w:cs="Calibri"/>
          <w:sz w:val="24"/>
          <w:szCs w:val="24"/>
        </w:rPr>
        <w:t>.</w:t>
      </w:r>
    </w:p>
    <w:p w14:paraId="098A148E" w14:textId="77777777" w:rsidR="00FC1FC2" w:rsidRPr="00EB5E8A" w:rsidRDefault="00FC1FC2" w:rsidP="003B75B0">
      <w:pPr>
        <w:rPr>
          <w:rFonts w:ascii="Calibri" w:hAnsi="Calibri" w:cs="Calibri"/>
          <w:sz w:val="24"/>
          <w:szCs w:val="24"/>
        </w:rPr>
      </w:pPr>
    </w:p>
    <w:p w14:paraId="4A180E86" w14:textId="77777777" w:rsidR="00FC1FC2" w:rsidRPr="00EB5E8A" w:rsidRDefault="00DA7C22" w:rsidP="003B75B0">
      <w:pPr>
        <w:rPr>
          <w:rFonts w:ascii="Calibri" w:hAnsi="Calibri" w:cs="Calibri"/>
          <w:sz w:val="24"/>
          <w:szCs w:val="24"/>
        </w:rPr>
      </w:pPr>
      <w:r w:rsidRPr="00EB5E8A">
        <w:rPr>
          <w:rFonts w:ascii="Calibri" w:hAnsi="Calibri" w:cs="Calibri"/>
          <w:sz w:val="24"/>
          <w:szCs w:val="24"/>
        </w:rPr>
        <w:t>O</w:t>
      </w:r>
      <w:r w:rsidR="00911BBB" w:rsidRPr="00EB5E8A">
        <w:rPr>
          <w:rFonts w:ascii="Calibri" w:hAnsi="Calibri" w:cs="Calibri"/>
          <w:sz w:val="24"/>
          <w:szCs w:val="24"/>
        </w:rPr>
        <w:t>RCID number</w:t>
      </w:r>
      <w:r w:rsidRPr="00EB5E8A">
        <w:rPr>
          <w:rFonts w:ascii="Calibri" w:hAnsi="Calibri" w:cs="Calibri"/>
          <w:sz w:val="24"/>
          <w:szCs w:val="24"/>
        </w:rPr>
        <w:t xml:space="preserve"> </w:t>
      </w:r>
    </w:p>
    <w:p w14:paraId="67B505FB" w14:textId="77777777" w:rsidR="00FC1FC2" w:rsidRPr="00EB5E8A" w:rsidRDefault="00FC1FC2" w:rsidP="00FC1FC2">
      <w:pPr>
        <w:spacing w:before="100" w:beforeAutospacing="1" w:after="100" w:afterAutospacing="1"/>
        <w:rPr>
          <w:sz w:val="24"/>
          <w:szCs w:val="24"/>
        </w:rPr>
      </w:pPr>
      <w:r w:rsidRPr="00EB5E8A">
        <w:rPr>
          <w:sz w:val="24"/>
          <w:szCs w:val="24"/>
        </w:rPr>
        <w:t xml:space="preserve">JB </w:t>
      </w:r>
      <w:r w:rsidRPr="00EB5E8A">
        <w:rPr>
          <w:sz w:val="24"/>
          <w:szCs w:val="24"/>
        </w:rPr>
        <w:tab/>
        <w:t>0000-0003-4278-3720</w:t>
      </w:r>
    </w:p>
    <w:p w14:paraId="26B35523" w14:textId="77777777" w:rsidR="00FC1FC2" w:rsidRPr="00EB5E8A" w:rsidRDefault="00FC1FC2" w:rsidP="00FC1FC2">
      <w:pPr>
        <w:spacing w:before="100" w:beforeAutospacing="1" w:after="100" w:afterAutospacing="1"/>
        <w:rPr>
          <w:sz w:val="24"/>
          <w:szCs w:val="24"/>
        </w:rPr>
      </w:pPr>
      <w:r w:rsidRPr="00EB5E8A">
        <w:rPr>
          <w:rFonts w:cs="Calibri"/>
          <w:sz w:val="24"/>
          <w:szCs w:val="24"/>
        </w:rPr>
        <w:t>SS</w:t>
      </w:r>
      <w:r w:rsidRPr="00EB5E8A">
        <w:rPr>
          <w:rFonts w:cs="Calibri"/>
          <w:sz w:val="24"/>
          <w:szCs w:val="24"/>
        </w:rPr>
        <w:tab/>
      </w:r>
      <w:r w:rsidRPr="00EB5E8A">
        <w:rPr>
          <w:sz w:val="24"/>
          <w:szCs w:val="24"/>
        </w:rPr>
        <w:t>0000-0003-3787-2083</w:t>
      </w:r>
    </w:p>
    <w:p w14:paraId="055DCA93" w14:textId="193149FC" w:rsidR="00FC1FC2" w:rsidRPr="00EB5E8A" w:rsidRDefault="00FC1FC2" w:rsidP="00FC1FC2">
      <w:pPr>
        <w:spacing w:before="100" w:beforeAutospacing="1" w:after="100" w:afterAutospacing="1"/>
        <w:rPr>
          <w:sz w:val="24"/>
          <w:szCs w:val="24"/>
        </w:rPr>
      </w:pPr>
      <w:r w:rsidRPr="00EB5E8A">
        <w:rPr>
          <w:sz w:val="24"/>
          <w:szCs w:val="24"/>
        </w:rPr>
        <w:t>NJ</w:t>
      </w:r>
      <w:r w:rsidRPr="00EB5E8A">
        <w:rPr>
          <w:sz w:val="24"/>
          <w:szCs w:val="24"/>
        </w:rPr>
        <w:tab/>
      </w:r>
      <w:r w:rsidRPr="00EB5E8A">
        <w:rPr>
          <w:rFonts w:cs="Arial"/>
          <w:sz w:val="24"/>
          <w:szCs w:val="24"/>
          <w:shd w:val="clear" w:color="auto" w:fill="FFFFFF"/>
        </w:rPr>
        <w:t>0000-0003-1343-2446</w:t>
      </w:r>
    </w:p>
    <w:p w14:paraId="0E0F2734" w14:textId="77777777" w:rsidR="00FC1FC2" w:rsidRPr="00EB5E8A" w:rsidRDefault="00FC1FC2" w:rsidP="00FC1FC2">
      <w:pPr>
        <w:spacing w:before="100" w:beforeAutospacing="1" w:after="100" w:afterAutospacing="1"/>
        <w:rPr>
          <w:sz w:val="24"/>
          <w:szCs w:val="24"/>
        </w:rPr>
      </w:pPr>
      <w:r w:rsidRPr="00EB5E8A">
        <w:rPr>
          <w:sz w:val="24"/>
          <w:szCs w:val="24"/>
        </w:rPr>
        <w:t>IP</w:t>
      </w:r>
      <w:r w:rsidRPr="00EB5E8A">
        <w:rPr>
          <w:sz w:val="24"/>
          <w:szCs w:val="24"/>
        </w:rPr>
        <w:tab/>
      </w:r>
      <w:r w:rsidRPr="00EB5E8A">
        <w:rPr>
          <w:rFonts w:cs="Arial"/>
          <w:sz w:val="24"/>
          <w:szCs w:val="24"/>
          <w:shd w:val="clear" w:color="auto" w:fill="FFFFFF"/>
        </w:rPr>
        <w:t>0000-0002-0037-7524</w:t>
      </w:r>
    </w:p>
    <w:p w14:paraId="765FBF2B" w14:textId="6400550F" w:rsidR="00FC1FC2" w:rsidRPr="00EB5E8A" w:rsidRDefault="00FC1FC2" w:rsidP="00FC1FC2">
      <w:pPr>
        <w:tabs>
          <w:tab w:val="left" w:pos="720"/>
          <w:tab w:val="left" w:pos="1440"/>
          <w:tab w:val="left" w:pos="2160"/>
          <w:tab w:val="left" w:pos="2880"/>
          <w:tab w:val="left" w:pos="3375"/>
        </w:tabs>
        <w:spacing w:before="100" w:beforeAutospacing="1" w:after="100" w:afterAutospacing="1"/>
        <w:rPr>
          <w:sz w:val="24"/>
          <w:szCs w:val="24"/>
        </w:rPr>
      </w:pPr>
      <w:r w:rsidRPr="00EB5E8A">
        <w:rPr>
          <w:sz w:val="24"/>
          <w:szCs w:val="24"/>
        </w:rPr>
        <w:t>MH</w:t>
      </w:r>
      <w:r w:rsidRPr="00EB5E8A">
        <w:rPr>
          <w:sz w:val="24"/>
          <w:szCs w:val="24"/>
        </w:rPr>
        <w:tab/>
        <w:t>0000-0002-3980-4466</w:t>
      </w:r>
      <w:r w:rsidRPr="00EB5E8A">
        <w:rPr>
          <w:sz w:val="24"/>
          <w:szCs w:val="24"/>
        </w:rPr>
        <w:tab/>
      </w:r>
    </w:p>
    <w:p w14:paraId="18470216" w14:textId="77777777" w:rsidR="00FC1FC2" w:rsidRPr="00EB5E8A" w:rsidRDefault="00FC1FC2" w:rsidP="00FC1FC2">
      <w:pPr>
        <w:spacing w:before="100" w:beforeAutospacing="1" w:after="100" w:afterAutospacing="1"/>
        <w:rPr>
          <w:sz w:val="24"/>
          <w:szCs w:val="24"/>
        </w:rPr>
      </w:pPr>
      <w:r w:rsidRPr="00EB5E8A">
        <w:rPr>
          <w:sz w:val="24"/>
          <w:szCs w:val="24"/>
        </w:rPr>
        <w:t>HC</w:t>
      </w:r>
      <w:r w:rsidRPr="00EB5E8A">
        <w:rPr>
          <w:sz w:val="24"/>
          <w:szCs w:val="24"/>
        </w:rPr>
        <w:tab/>
        <w:t>0000-0003-0431-7753</w:t>
      </w:r>
    </w:p>
    <w:p w14:paraId="1570689A" w14:textId="71E8F8F7" w:rsidR="00FC1FC2" w:rsidRPr="00EB5E8A" w:rsidRDefault="00FC1FC2" w:rsidP="00FC1FC2">
      <w:pPr>
        <w:tabs>
          <w:tab w:val="left" w:pos="720"/>
          <w:tab w:val="left" w:pos="1440"/>
          <w:tab w:val="left" w:pos="2160"/>
          <w:tab w:val="left" w:pos="2880"/>
        </w:tabs>
        <w:spacing w:before="100" w:beforeAutospacing="1" w:after="100" w:afterAutospacing="1"/>
        <w:rPr>
          <w:sz w:val="24"/>
          <w:szCs w:val="24"/>
        </w:rPr>
      </w:pPr>
      <w:r w:rsidRPr="00EB5E8A">
        <w:rPr>
          <w:sz w:val="24"/>
          <w:szCs w:val="24"/>
        </w:rPr>
        <w:t>AB</w:t>
      </w:r>
      <w:r w:rsidRPr="00EB5E8A">
        <w:rPr>
          <w:sz w:val="24"/>
          <w:szCs w:val="24"/>
        </w:rPr>
        <w:tab/>
        <w:t>0000-0001-9978-2011</w:t>
      </w:r>
    </w:p>
    <w:p w14:paraId="74274BEF" w14:textId="77777777" w:rsidR="00FC1FC2" w:rsidRPr="00EB5E8A" w:rsidRDefault="00FC1FC2" w:rsidP="00FC1FC2">
      <w:pPr>
        <w:rPr>
          <w:rFonts w:cs="Calibri"/>
          <w:sz w:val="24"/>
          <w:szCs w:val="24"/>
        </w:rPr>
      </w:pPr>
      <w:r w:rsidRPr="00EB5E8A">
        <w:rPr>
          <w:sz w:val="24"/>
          <w:szCs w:val="24"/>
        </w:rPr>
        <w:t>RP</w:t>
      </w:r>
      <w:r w:rsidRPr="00EB5E8A">
        <w:rPr>
          <w:rFonts w:cs="Calibri"/>
          <w:sz w:val="24"/>
          <w:szCs w:val="24"/>
        </w:rPr>
        <w:t xml:space="preserve"> </w:t>
      </w:r>
      <w:r w:rsidRPr="00EB5E8A">
        <w:rPr>
          <w:rFonts w:cs="Calibri"/>
          <w:sz w:val="24"/>
          <w:szCs w:val="24"/>
        </w:rPr>
        <w:tab/>
        <w:t>0000-0001-6452-6763</w:t>
      </w:r>
    </w:p>
    <w:p w14:paraId="4B2633BB" w14:textId="77777777" w:rsidR="00FC1FC2" w:rsidRPr="00EB5E8A" w:rsidRDefault="00FC1FC2" w:rsidP="003B75B0">
      <w:pPr>
        <w:rPr>
          <w:rFonts w:ascii="Calibri" w:hAnsi="Calibri" w:cs="Calibri"/>
          <w:sz w:val="24"/>
          <w:szCs w:val="24"/>
        </w:rPr>
      </w:pPr>
    </w:p>
    <w:p w14:paraId="6613EF13" w14:textId="1019266E" w:rsidR="00272FCB" w:rsidRPr="00EB5E8A" w:rsidRDefault="00272FCB" w:rsidP="00272FCB">
      <w:pPr>
        <w:pStyle w:val="Heading2"/>
      </w:pPr>
      <w:r w:rsidRPr="00EB5E8A">
        <w:t xml:space="preserve">Conflict of interest: </w:t>
      </w:r>
    </w:p>
    <w:p w14:paraId="738F8C29" w14:textId="3AB7F8A2" w:rsidR="00272FCB" w:rsidRPr="00EB5E8A" w:rsidRDefault="00CC4EBC" w:rsidP="00272FCB">
      <w:pPr>
        <w:rPr>
          <w:lang w:eastAsia="en-GB"/>
        </w:rPr>
      </w:pPr>
      <w:r w:rsidRPr="00EB5E8A">
        <w:rPr>
          <w:lang w:eastAsia="en-GB"/>
        </w:rPr>
        <w:t>None declared.</w:t>
      </w:r>
    </w:p>
    <w:p w14:paraId="234316A3" w14:textId="77777777" w:rsidR="005D5F64" w:rsidRPr="00EB5E8A" w:rsidRDefault="001945DE" w:rsidP="00CE4070">
      <w:pPr>
        <w:pStyle w:val="Heading2"/>
      </w:pPr>
      <w:r w:rsidRPr="00EB5E8A">
        <w:t>Key words</w:t>
      </w:r>
      <w:r w:rsidR="00044CB9" w:rsidRPr="00EB5E8A">
        <w:t xml:space="preserve">: </w:t>
      </w:r>
    </w:p>
    <w:p w14:paraId="419252BB" w14:textId="36BD6DF0" w:rsidR="00044CB9" w:rsidRPr="00EB5E8A" w:rsidRDefault="005D5F64" w:rsidP="005D5F64">
      <w:r w:rsidRPr="00EB5E8A">
        <w:t>Inflammatory Bowel Disease, Crohn's Disease, Ulcerative Colitis, Psychosomatic Medicine, Psychological Stress</w:t>
      </w:r>
      <w:r w:rsidR="00CC1812" w:rsidRPr="00EB5E8A">
        <w:t>, depression, antidepressants</w:t>
      </w:r>
    </w:p>
    <w:p w14:paraId="1366FECB" w14:textId="34F43CCE" w:rsidR="001945DE" w:rsidRPr="00EB5E8A" w:rsidRDefault="00044CB9" w:rsidP="00044CB9">
      <w:pPr>
        <w:pStyle w:val="Heading2"/>
      </w:pPr>
      <w:r w:rsidRPr="00EB5E8A">
        <w:t>W</w:t>
      </w:r>
      <w:r w:rsidR="001945DE" w:rsidRPr="00EB5E8A">
        <w:t>ord count</w:t>
      </w:r>
      <w:r w:rsidR="00C32962" w:rsidRPr="00EB5E8A">
        <w:t xml:space="preserve">: 3,584 </w:t>
      </w:r>
    </w:p>
    <w:p w14:paraId="398A9D31" w14:textId="77777777" w:rsidR="00136889" w:rsidRPr="00EB5E8A" w:rsidRDefault="00136889">
      <w:pPr>
        <w:rPr>
          <w:b/>
          <w:color w:val="5B9BD5" w:themeColor="accent1"/>
          <w:sz w:val="26"/>
          <w:szCs w:val="26"/>
        </w:rPr>
      </w:pPr>
    </w:p>
    <w:p w14:paraId="5154F96C" w14:textId="2586A592" w:rsidR="00AC12DF" w:rsidRPr="00EB5E8A" w:rsidRDefault="00AC12DF">
      <w:pPr>
        <w:rPr>
          <w:b/>
          <w:color w:val="5B9BD5" w:themeColor="accent1"/>
          <w:sz w:val="26"/>
          <w:szCs w:val="26"/>
        </w:rPr>
      </w:pPr>
      <w:r w:rsidRPr="00EB5E8A">
        <w:rPr>
          <w:b/>
          <w:color w:val="5B9BD5" w:themeColor="accent1"/>
          <w:sz w:val="26"/>
          <w:szCs w:val="26"/>
        </w:rPr>
        <w:br w:type="page"/>
      </w:r>
    </w:p>
    <w:p w14:paraId="418BFC96" w14:textId="2C901CCE" w:rsidR="003765D3" w:rsidRPr="00EB5E8A" w:rsidRDefault="003765D3" w:rsidP="0037319F">
      <w:pPr>
        <w:pStyle w:val="Heading1"/>
        <w:spacing w:line="360" w:lineRule="auto"/>
        <w:rPr>
          <w:b/>
          <w:color w:val="5B9BD5" w:themeColor="accent1"/>
        </w:rPr>
      </w:pPr>
      <w:r w:rsidRPr="00EB5E8A">
        <w:rPr>
          <w:b/>
          <w:color w:val="5B9BD5" w:themeColor="accent1"/>
        </w:rPr>
        <w:lastRenderedPageBreak/>
        <w:t>Abstract</w:t>
      </w:r>
    </w:p>
    <w:p w14:paraId="0C904053" w14:textId="28A78373" w:rsidR="00173B20" w:rsidRPr="00EB5E8A" w:rsidRDefault="00882EE1" w:rsidP="00B5188F">
      <w:pPr>
        <w:jc w:val="both"/>
        <w:rPr>
          <w:rFonts w:cs="Arial"/>
        </w:rPr>
      </w:pPr>
      <w:r w:rsidRPr="00EB5E8A">
        <w:rPr>
          <w:rFonts w:cs="Arial"/>
          <w:b/>
        </w:rPr>
        <w:t>Background and Aims</w:t>
      </w:r>
    </w:p>
    <w:p w14:paraId="265868DA" w14:textId="1C6D02A9" w:rsidR="00B5188F" w:rsidRPr="00EB5E8A" w:rsidRDefault="00B5188F" w:rsidP="00B5188F">
      <w:pPr>
        <w:jc w:val="both"/>
        <w:rPr>
          <w:rFonts w:cs="Arial"/>
        </w:rPr>
      </w:pPr>
      <w:r w:rsidRPr="00EB5E8A">
        <w:rPr>
          <w:rFonts w:cs="Arial"/>
        </w:rPr>
        <w:t>The impact of a temporary or permanent</w:t>
      </w:r>
      <w:r w:rsidR="006246C4" w:rsidRPr="00EB5E8A">
        <w:rPr>
          <w:rFonts w:cs="Arial"/>
        </w:rPr>
        <w:t xml:space="preserve"> stoma on mental health in Crohn’s Disease</w:t>
      </w:r>
      <w:r w:rsidR="00CC1C2B" w:rsidRPr="00EB5E8A">
        <w:rPr>
          <w:rFonts w:cs="Arial"/>
        </w:rPr>
        <w:t xml:space="preserve"> (CD)</w:t>
      </w:r>
      <w:r w:rsidRPr="00EB5E8A">
        <w:rPr>
          <w:rFonts w:cs="Arial"/>
        </w:rPr>
        <w:t xml:space="preserve"> is unknown.</w:t>
      </w:r>
    </w:p>
    <w:p w14:paraId="28BB34D6" w14:textId="771F2D48" w:rsidR="00B5188F" w:rsidRPr="00EB5E8A" w:rsidRDefault="00B5188F" w:rsidP="00B5188F">
      <w:pPr>
        <w:jc w:val="both"/>
        <w:rPr>
          <w:rFonts w:cs="Arial"/>
        </w:rPr>
      </w:pPr>
      <w:r w:rsidRPr="00EB5E8A">
        <w:rPr>
          <w:rFonts w:cs="Arial"/>
        </w:rPr>
        <w:t>Aim:</w:t>
      </w:r>
      <w:r w:rsidRPr="00EB5E8A">
        <w:rPr>
          <w:rFonts w:cs="Arial"/>
          <w:b/>
        </w:rPr>
        <w:t xml:space="preserve"> </w:t>
      </w:r>
      <w:r w:rsidRPr="00EB5E8A">
        <w:rPr>
          <w:rFonts w:cs="Arial"/>
        </w:rPr>
        <w:t xml:space="preserve">To examine the </w:t>
      </w:r>
      <w:r w:rsidR="00FA48C9" w:rsidRPr="00EB5E8A">
        <w:rPr>
          <w:rFonts w:cs="Arial"/>
        </w:rPr>
        <w:t>association between</w:t>
      </w:r>
      <w:r w:rsidRPr="00EB5E8A">
        <w:rPr>
          <w:rFonts w:cs="Arial"/>
        </w:rPr>
        <w:t xml:space="preserve"> intestinal surgery and stoma formation </w:t>
      </w:r>
      <w:r w:rsidR="00FA48C9" w:rsidRPr="00EB5E8A">
        <w:rPr>
          <w:rFonts w:cs="Arial"/>
        </w:rPr>
        <w:t>and subsequent</w:t>
      </w:r>
      <w:r w:rsidRPr="00EB5E8A">
        <w:rPr>
          <w:rFonts w:cs="Arial"/>
        </w:rPr>
        <w:t xml:space="preserve"> antidepressant medication (ADM) use.</w:t>
      </w:r>
    </w:p>
    <w:p w14:paraId="30E6ADB7" w14:textId="1193157C" w:rsidR="00B5188F" w:rsidRPr="00EB5E8A" w:rsidRDefault="00B5188F" w:rsidP="00B5188F">
      <w:pPr>
        <w:jc w:val="both"/>
        <w:rPr>
          <w:rFonts w:cs="Arial"/>
        </w:rPr>
      </w:pPr>
      <w:r w:rsidRPr="00EB5E8A">
        <w:rPr>
          <w:rFonts w:cs="Arial"/>
          <w:b/>
        </w:rPr>
        <w:t xml:space="preserve">Methods: </w:t>
      </w:r>
      <w:r w:rsidRPr="00EB5E8A">
        <w:rPr>
          <w:rFonts w:cs="Arial"/>
        </w:rPr>
        <w:t xml:space="preserve">Using the Clinical Practice Research Datalink, we identified </w:t>
      </w:r>
      <w:r w:rsidR="00CC1C2B" w:rsidRPr="00EB5E8A">
        <w:rPr>
          <w:rFonts w:cs="Arial"/>
        </w:rPr>
        <w:t>individuals</w:t>
      </w:r>
      <w:r w:rsidRPr="00EB5E8A">
        <w:rPr>
          <w:rFonts w:cs="Arial"/>
        </w:rPr>
        <w:t xml:space="preserve"> with CD who underwent intestinal surgery between 1998-2018. </w:t>
      </w:r>
      <w:r w:rsidR="004965DF" w:rsidRPr="00EB5E8A">
        <w:rPr>
          <w:rFonts w:cs="Arial"/>
        </w:rPr>
        <w:t>We excluded i</w:t>
      </w:r>
      <w:r w:rsidR="00CC1C2B" w:rsidRPr="00EB5E8A">
        <w:rPr>
          <w:rFonts w:cs="Arial"/>
        </w:rPr>
        <w:t>ndividuals</w:t>
      </w:r>
      <w:r w:rsidRPr="00EB5E8A">
        <w:rPr>
          <w:rFonts w:cs="Arial"/>
        </w:rPr>
        <w:t xml:space="preserve"> </w:t>
      </w:r>
      <w:r w:rsidR="004965DF" w:rsidRPr="00EB5E8A">
        <w:rPr>
          <w:rFonts w:cs="Arial"/>
        </w:rPr>
        <w:t>with</w:t>
      </w:r>
      <w:r w:rsidRPr="00EB5E8A">
        <w:rPr>
          <w:rFonts w:cs="Arial"/>
        </w:rPr>
        <w:t xml:space="preserve"> a prescription for an ADM in the 6 months before surgery. </w:t>
      </w:r>
      <w:r w:rsidR="00CC1C2B" w:rsidRPr="00EB5E8A">
        <w:rPr>
          <w:rFonts w:cs="Arial"/>
        </w:rPr>
        <w:t xml:space="preserve">Individuals </w:t>
      </w:r>
      <w:r w:rsidRPr="00EB5E8A">
        <w:rPr>
          <w:rFonts w:cs="Arial"/>
        </w:rPr>
        <w:t xml:space="preserve">were stratified into three groups:  </w:t>
      </w:r>
      <w:r w:rsidR="00173B20" w:rsidRPr="00EB5E8A">
        <w:rPr>
          <w:rFonts w:cs="Arial"/>
        </w:rPr>
        <w:t>no stoma,</w:t>
      </w:r>
      <w:r w:rsidRPr="00EB5E8A">
        <w:rPr>
          <w:rFonts w:cs="Arial"/>
        </w:rPr>
        <w:t xml:space="preserve"> temporary stoma, and permanent stoma. We used Kaplan-Meier curves to </w:t>
      </w:r>
      <w:r w:rsidR="00A67EC9" w:rsidRPr="00EB5E8A">
        <w:rPr>
          <w:rFonts w:cs="Arial"/>
        </w:rPr>
        <w:t>examine initiation</w:t>
      </w:r>
      <w:r w:rsidRPr="00EB5E8A">
        <w:rPr>
          <w:rFonts w:cs="Arial"/>
        </w:rPr>
        <w:t xml:space="preserve"> of ADM after intestinal surgery</w:t>
      </w:r>
      <w:r w:rsidR="00CC1C2B" w:rsidRPr="00EB5E8A">
        <w:rPr>
          <w:rFonts w:cs="Arial"/>
        </w:rPr>
        <w:t xml:space="preserve"> and </w:t>
      </w:r>
      <w:r w:rsidRPr="00EB5E8A">
        <w:rPr>
          <w:rFonts w:cs="Arial"/>
        </w:rPr>
        <w:t>Cox regression to identify risk factors for ADM use after intestinal surgery</w:t>
      </w:r>
      <w:r w:rsidR="006246C4" w:rsidRPr="00EB5E8A">
        <w:rPr>
          <w:rFonts w:cs="Arial"/>
        </w:rPr>
        <w:t>.</w:t>
      </w:r>
    </w:p>
    <w:p w14:paraId="1CA31342" w14:textId="45781585" w:rsidR="00B5188F" w:rsidRPr="00EB5E8A" w:rsidRDefault="00882EE1" w:rsidP="00B5188F">
      <w:pPr>
        <w:jc w:val="both"/>
        <w:rPr>
          <w:lang w:eastAsia="en-GB"/>
        </w:rPr>
      </w:pPr>
      <w:r w:rsidRPr="00EB5E8A">
        <w:rPr>
          <w:rFonts w:cs="Arial"/>
          <w:b/>
        </w:rPr>
        <w:t>Results</w:t>
      </w:r>
      <w:r w:rsidR="00B5188F" w:rsidRPr="00EB5E8A">
        <w:rPr>
          <w:rFonts w:cs="Arial"/>
          <w:b/>
        </w:rPr>
        <w:t xml:space="preserve">: </w:t>
      </w:r>
      <w:r w:rsidR="009600BB" w:rsidRPr="00EB5E8A">
        <w:rPr>
          <w:rFonts w:cs="Arial"/>
        </w:rPr>
        <w:t>We identified 1,272</w:t>
      </w:r>
      <w:r w:rsidR="00B5188F" w:rsidRPr="00EB5E8A">
        <w:rPr>
          <w:rFonts w:cs="Arial"/>
        </w:rPr>
        <w:t xml:space="preserve"> cases of CD undergoing their first intestinal surgery. </w:t>
      </w:r>
      <w:r w:rsidR="004F4A9F" w:rsidRPr="00EB5E8A">
        <w:rPr>
          <w:rFonts w:cs="Arial"/>
        </w:rPr>
        <w:t>Of these, 871</w:t>
      </w:r>
      <w:r w:rsidR="00A67EC9" w:rsidRPr="00EB5E8A">
        <w:rPr>
          <w:rFonts w:cs="Arial"/>
        </w:rPr>
        <w:t xml:space="preserve"> (</w:t>
      </w:r>
      <w:r w:rsidR="009600BB" w:rsidRPr="00EB5E8A">
        <w:t>68.5</w:t>
      </w:r>
      <w:r w:rsidR="00A67EC9" w:rsidRPr="00EB5E8A">
        <w:t>%)</w:t>
      </w:r>
      <w:r w:rsidR="009600BB" w:rsidRPr="00EB5E8A">
        <w:t xml:space="preserve"> had no stoma</w:t>
      </w:r>
      <w:r w:rsidR="00B954F0" w:rsidRPr="00EB5E8A">
        <w:t xml:space="preserve">, </w:t>
      </w:r>
      <w:r w:rsidR="00A67EC9" w:rsidRPr="00EB5E8A">
        <w:t>191 (</w:t>
      </w:r>
      <w:r w:rsidR="00B954F0" w:rsidRPr="00EB5E8A">
        <w:t>15.0%</w:t>
      </w:r>
      <w:r w:rsidR="00A67EC9" w:rsidRPr="00EB5E8A">
        <w:t>)</w:t>
      </w:r>
      <w:r w:rsidR="00B954F0" w:rsidRPr="00EB5E8A">
        <w:t xml:space="preserve"> had a temporary stoma and </w:t>
      </w:r>
      <w:r w:rsidR="00A67EC9" w:rsidRPr="00EB5E8A">
        <w:t>210 (</w:t>
      </w:r>
      <w:r w:rsidR="00B954F0" w:rsidRPr="00EB5E8A">
        <w:t>16.5%</w:t>
      </w:r>
      <w:r w:rsidR="00A67EC9" w:rsidRPr="00EB5E8A">
        <w:t xml:space="preserve">) </w:t>
      </w:r>
      <w:r w:rsidR="00B954F0" w:rsidRPr="00EB5E8A">
        <w:t>had a permanent stoma</w:t>
      </w:r>
      <w:r w:rsidR="00B5188F" w:rsidRPr="00EB5E8A">
        <w:rPr>
          <w:rFonts w:cs="Arial"/>
        </w:rPr>
        <w:t xml:space="preserve">. The 10-year </w:t>
      </w:r>
      <w:r w:rsidR="00FA48C9" w:rsidRPr="00EB5E8A">
        <w:rPr>
          <w:rFonts w:cs="Arial"/>
        </w:rPr>
        <w:t xml:space="preserve">cumulative incidence </w:t>
      </w:r>
      <w:r w:rsidR="00F529C0" w:rsidRPr="00EB5E8A">
        <w:rPr>
          <w:rFonts w:cs="Arial"/>
        </w:rPr>
        <w:t xml:space="preserve">of ADM use was </w:t>
      </w:r>
      <w:r w:rsidR="00173B20" w:rsidRPr="00EB5E8A">
        <w:t>26.4%, 33.4% and 37.3%</w:t>
      </w:r>
      <w:r w:rsidR="00173B20" w:rsidRPr="00EB5E8A">
        <w:rPr>
          <w:rFonts w:cs="Arial"/>
        </w:rPr>
        <w:t xml:space="preserve"> respectively</w:t>
      </w:r>
      <w:r w:rsidR="00A67EC9" w:rsidRPr="00EB5E8A">
        <w:rPr>
          <w:rFonts w:cs="Arial"/>
        </w:rPr>
        <w:t xml:space="preserve">. </w:t>
      </w:r>
      <w:r w:rsidR="00CC1C2B" w:rsidRPr="00EB5E8A">
        <w:rPr>
          <w:rFonts w:cs="Arial"/>
        </w:rPr>
        <w:t xml:space="preserve">Individuals </w:t>
      </w:r>
      <w:r w:rsidR="00B5188F" w:rsidRPr="00EB5E8A">
        <w:rPr>
          <w:rFonts w:cs="Arial"/>
        </w:rPr>
        <w:t xml:space="preserve">with a permanent stoma </w:t>
      </w:r>
      <w:r w:rsidR="006246C4" w:rsidRPr="00EB5E8A">
        <w:rPr>
          <w:rFonts w:cs="Arial"/>
        </w:rPr>
        <w:t>w</w:t>
      </w:r>
      <w:r w:rsidR="00214071" w:rsidRPr="00EB5E8A">
        <w:rPr>
          <w:rFonts w:cs="Arial"/>
        </w:rPr>
        <w:t>ere 71</w:t>
      </w:r>
      <w:r w:rsidR="006246C4" w:rsidRPr="00EB5E8A">
        <w:rPr>
          <w:rFonts w:cs="Arial"/>
        </w:rPr>
        <w:t>%</w:t>
      </w:r>
      <w:r w:rsidR="00173B20" w:rsidRPr="00EB5E8A">
        <w:rPr>
          <w:rFonts w:cs="Arial"/>
        </w:rPr>
        <w:t xml:space="preserve"> more</w:t>
      </w:r>
      <w:r w:rsidR="00F529C0" w:rsidRPr="00EB5E8A">
        <w:rPr>
          <w:rFonts w:cs="Arial"/>
        </w:rPr>
        <w:t xml:space="preserve"> likely to </w:t>
      </w:r>
      <w:r w:rsidR="008E30E4" w:rsidRPr="00EB5E8A">
        <w:rPr>
          <w:rFonts w:cs="Arial"/>
        </w:rPr>
        <w:t xml:space="preserve">receive </w:t>
      </w:r>
      <w:r w:rsidR="00F529C0" w:rsidRPr="00EB5E8A">
        <w:rPr>
          <w:rFonts w:cs="Arial"/>
        </w:rPr>
        <w:t xml:space="preserve">an ADM </w:t>
      </w:r>
      <w:r w:rsidR="006246C4" w:rsidRPr="00EB5E8A">
        <w:rPr>
          <w:rFonts w:cs="Arial"/>
        </w:rPr>
        <w:t xml:space="preserve">than </w:t>
      </w:r>
      <w:r w:rsidR="00B954F0" w:rsidRPr="00EB5E8A">
        <w:rPr>
          <w:rFonts w:cs="Arial"/>
        </w:rPr>
        <w:t xml:space="preserve">those with no stoma </w:t>
      </w:r>
      <w:r w:rsidR="00F529C0" w:rsidRPr="00EB5E8A">
        <w:rPr>
          <w:rFonts w:cs="Arial"/>
        </w:rPr>
        <w:t>(</w:t>
      </w:r>
      <w:r w:rsidR="00214071" w:rsidRPr="00EB5E8A">
        <w:t>HR 1.71</w:t>
      </w:r>
      <w:r w:rsidR="009825C7" w:rsidRPr="00EB5E8A">
        <w:t>, 95% CI 1.2</w:t>
      </w:r>
      <w:r w:rsidR="00214071" w:rsidRPr="00EB5E8A">
        <w:t>0-2.44</w:t>
      </w:r>
      <w:r w:rsidR="00B5188F" w:rsidRPr="00EB5E8A">
        <w:rPr>
          <w:rFonts w:cs="Arial"/>
        </w:rPr>
        <w:t xml:space="preserve">). </w:t>
      </w:r>
      <w:r w:rsidR="00CC1C2B" w:rsidRPr="00EB5E8A">
        <w:rPr>
          <w:rFonts w:cs="Arial"/>
        </w:rPr>
        <w:t xml:space="preserve">Individuals </w:t>
      </w:r>
      <w:r w:rsidR="00B5188F" w:rsidRPr="00EB5E8A">
        <w:rPr>
          <w:rFonts w:cs="Arial"/>
        </w:rPr>
        <w:t>with a temporary stoma</w:t>
      </w:r>
      <w:r w:rsidR="00173B20" w:rsidRPr="00EB5E8A">
        <w:rPr>
          <w:rFonts w:cs="Arial"/>
        </w:rPr>
        <w:t xml:space="preserve"> reversed within 12 months</w:t>
      </w:r>
      <w:r w:rsidR="00B5188F" w:rsidRPr="00EB5E8A">
        <w:rPr>
          <w:rFonts w:cs="Arial"/>
        </w:rPr>
        <w:t xml:space="preserve"> had a similar </w:t>
      </w:r>
      <w:r w:rsidR="00412ECA" w:rsidRPr="00EB5E8A">
        <w:rPr>
          <w:rFonts w:cs="Arial"/>
        </w:rPr>
        <w:t>likelihood</w:t>
      </w:r>
      <w:r w:rsidR="00B5188F" w:rsidRPr="00EB5E8A">
        <w:rPr>
          <w:rFonts w:cs="Arial"/>
        </w:rPr>
        <w:t xml:space="preserve"> of ADM </w:t>
      </w:r>
      <w:r w:rsidR="006246C4" w:rsidRPr="00EB5E8A">
        <w:rPr>
          <w:rFonts w:cs="Arial"/>
        </w:rPr>
        <w:t xml:space="preserve">use </w:t>
      </w:r>
      <w:r w:rsidR="00B5188F" w:rsidRPr="00EB5E8A">
        <w:rPr>
          <w:rFonts w:cs="Arial"/>
        </w:rPr>
        <w:t xml:space="preserve">to </w:t>
      </w:r>
      <w:r w:rsidR="006246C4" w:rsidRPr="00EB5E8A">
        <w:rPr>
          <w:rFonts w:cs="Arial"/>
        </w:rPr>
        <w:t xml:space="preserve">those </w:t>
      </w:r>
      <w:r w:rsidR="00F529C0" w:rsidRPr="00EB5E8A">
        <w:rPr>
          <w:rFonts w:cs="Arial"/>
        </w:rPr>
        <w:t>without stoma formation (</w:t>
      </w:r>
      <w:r w:rsidR="00214071" w:rsidRPr="00EB5E8A">
        <w:rPr>
          <w:lang w:eastAsia="en-GB"/>
        </w:rPr>
        <w:t>HR 0.99, 95% CI 0.64-1.53</w:t>
      </w:r>
      <w:r w:rsidR="00B5188F" w:rsidRPr="00EB5E8A">
        <w:rPr>
          <w:rFonts w:cs="Arial"/>
        </w:rPr>
        <w:t>)</w:t>
      </w:r>
      <w:r w:rsidR="006246C4" w:rsidRPr="00EB5E8A">
        <w:rPr>
          <w:rFonts w:cs="Arial"/>
        </w:rPr>
        <w:t xml:space="preserve"> whereas temporary stoma formation with late reversal after 12 months was associated with </w:t>
      </w:r>
      <w:r w:rsidR="00EF0037" w:rsidRPr="00EB5E8A">
        <w:rPr>
          <w:rFonts w:cs="Arial"/>
        </w:rPr>
        <w:t>significantly greater</w:t>
      </w:r>
      <w:r w:rsidR="006246C4" w:rsidRPr="00EB5E8A">
        <w:rPr>
          <w:rFonts w:cs="Arial"/>
        </w:rPr>
        <w:t xml:space="preserve"> </w:t>
      </w:r>
      <w:r w:rsidR="00412ECA" w:rsidRPr="00EB5E8A">
        <w:rPr>
          <w:rFonts w:cs="Arial"/>
        </w:rPr>
        <w:t>likelihood</w:t>
      </w:r>
      <w:r w:rsidR="006246C4" w:rsidRPr="00EB5E8A">
        <w:rPr>
          <w:rFonts w:cs="Arial"/>
        </w:rPr>
        <w:t xml:space="preserve"> of ADM use (</w:t>
      </w:r>
      <w:r w:rsidR="00214071" w:rsidRPr="00EB5E8A">
        <w:rPr>
          <w:lang w:eastAsia="en-GB"/>
        </w:rPr>
        <w:t>HR 1.85, 95% CI 1.15</w:t>
      </w:r>
      <w:r w:rsidR="00EF0037" w:rsidRPr="00EB5E8A">
        <w:rPr>
          <w:lang w:eastAsia="en-GB"/>
        </w:rPr>
        <w:t>-2</w:t>
      </w:r>
      <w:r w:rsidR="00214071" w:rsidRPr="00EB5E8A">
        <w:rPr>
          <w:lang w:eastAsia="en-GB"/>
        </w:rPr>
        <w:t>.96</w:t>
      </w:r>
      <w:r w:rsidR="006246C4" w:rsidRPr="00EB5E8A">
        <w:rPr>
          <w:lang w:eastAsia="en-GB"/>
        </w:rPr>
        <w:t>)</w:t>
      </w:r>
      <w:r w:rsidR="00B5188F" w:rsidRPr="00EB5E8A">
        <w:rPr>
          <w:rFonts w:cs="Arial"/>
        </w:rPr>
        <w:t xml:space="preserve">. </w:t>
      </w:r>
    </w:p>
    <w:p w14:paraId="0EA53D0F" w14:textId="3953A8A2" w:rsidR="0045647D" w:rsidRPr="00EB5E8A" w:rsidRDefault="00882EE1" w:rsidP="00F86736">
      <w:pPr>
        <w:spacing w:line="276" w:lineRule="auto"/>
        <w:jc w:val="both"/>
        <w:rPr>
          <w:rFonts w:cs="Arial"/>
          <w:b/>
        </w:rPr>
      </w:pPr>
      <w:r w:rsidRPr="00EB5E8A">
        <w:rPr>
          <w:rFonts w:cs="Arial"/>
          <w:b/>
        </w:rPr>
        <w:t>Conclusion</w:t>
      </w:r>
      <w:r w:rsidR="00B5188F" w:rsidRPr="00EB5E8A">
        <w:rPr>
          <w:rFonts w:cs="Arial"/>
          <w:b/>
        </w:rPr>
        <w:t>:</w:t>
      </w:r>
      <w:r w:rsidR="00B5188F" w:rsidRPr="00EB5E8A">
        <w:rPr>
          <w:rFonts w:cs="Arial"/>
        </w:rPr>
        <w:t xml:space="preserve"> </w:t>
      </w:r>
      <w:r w:rsidR="00173B20" w:rsidRPr="00EB5E8A">
        <w:rPr>
          <w:rFonts w:cs="Arial"/>
        </w:rPr>
        <w:t>Permanent stoma</w:t>
      </w:r>
      <w:r w:rsidR="00B77B9A" w:rsidRPr="00EB5E8A">
        <w:rPr>
          <w:rFonts w:cs="Arial"/>
        </w:rPr>
        <w:t xml:space="preserve">s </w:t>
      </w:r>
      <w:r w:rsidR="00173B20" w:rsidRPr="00EB5E8A">
        <w:rPr>
          <w:rFonts w:cs="Arial"/>
        </w:rPr>
        <w:t>and temporary stomas with late reversal surgery are associated with increased ADM use after intestinal surgery</w:t>
      </w:r>
      <w:r w:rsidR="009600BB" w:rsidRPr="00EB5E8A">
        <w:rPr>
          <w:rFonts w:cs="Arial"/>
        </w:rPr>
        <w:t>,</w:t>
      </w:r>
      <w:r w:rsidR="00173B20" w:rsidRPr="00EB5E8A">
        <w:rPr>
          <w:rFonts w:cs="Arial"/>
        </w:rPr>
        <w:t xml:space="preserve"> likely associated with increased anxiety and depression. </w:t>
      </w:r>
    </w:p>
    <w:p w14:paraId="17DD0F69" w14:textId="670357E8" w:rsidR="00170D25" w:rsidRPr="00EB5E8A" w:rsidRDefault="00170D25" w:rsidP="00170D25">
      <w:r w:rsidRPr="00EB5E8A">
        <w:rPr>
          <w:rFonts w:cs="Arial"/>
          <w:b/>
        </w:rPr>
        <w:t xml:space="preserve">Keywords: </w:t>
      </w:r>
      <w:r w:rsidRPr="00EB5E8A">
        <w:t xml:space="preserve">Crohn's Disease; </w:t>
      </w:r>
      <w:r w:rsidR="00C90831" w:rsidRPr="00EB5E8A">
        <w:t>Stoma</w:t>
      </w:r>
      <w:r w:rsidRPr="00EB5E8A">
        <w:t>; Psychosomatic Medicine; Antidepressants</w:t>
      </w:r>
    </w:p>
    <w:p w14:paraId="37269349" w14:textId="70D1F4BA" w:rsidR="00B5188F" w:rsidRPr="00EB5E8A" w:rsidRDefault="00B5188F" w:rsidP="00B5188F">
      <w:pPr>
        <w:jc w:val="both"/>
        <w:rPr>
          <w:rFonts w:cs="Arial"/>
          <w:b/>
        </w:rPr>
      </w:pPr>
    </w:p>
    <w:p w14:paraId="5CB1BDA4" w14:textId="50DCB2B7" w:rsidR="00091BA7" w:rsidRPr="00EB5E8A" w:rsidRDefault="00091BA7" w:rsidP="00B52B08">
      <w:pPr>
        <w:spacing w:line="276" w:lineRule="auto"/>
        <w:jc w:val="both"/>
        <w:rPr>
          <w:rFonts w:ascii="Arial" w:hAnsi="Arial" w:cs="Arial"/>
        </w:rPr>
      </w:pPr>
      <w:r w:rsidRPr="00EB5E8A">
        <w:rPr>
          <w:rFonts w:cs="Arial"/>
          <w:b/>
          <w:color w:val="5B9BD5" w:themeColor="accent1"/>
          <w:sz w:val="24"/>
        </w:rPr>
        <w:t>Abstract Word Count</w:t>
      </w:r>
      <w:r w:rsidRPr="00EB5E8A">
        <w:rPr>
          <w:rFonts w:cs="Arial"/>
          <w:b/>
          <w:sz w:val="24"/>
        </w:rPr>
        <w:t>:</w:t>
      </w:r>
      <w:r w:rsidR="00B954F0" w:rsidRPr="00EB5E8A">
        <w:rPr>
          <w:rFonts w:cs="Arial"/>
          <w:sz w:val="24"/>
        </w:rPr>
        <w:t xml:space="preserve"> </w:t>
      </w:r>
      <w:r w:rsidR="00B77B9A" w:rsidRPr="00EB5E8A">
        <w:rPr>
          <w:rFonts w:cs="Arial"/>
          <w:sz w:val="24"/>
        </w:rPr>
        <w:t>2</w:t>
      </w:r>
      <w:r w:rsidR="00C90831" w:rsidRPr="00EB5E8A">
        <w:rPr>
          <w:rFonts w:cs="Arial"/>
          <w:sz w:val="24"/>
        </w:rPr>
        <w:t>59</w:t>
      </w:r>
      <w:r w:rsidR="00F86736" w:rsidRPr="00EB5E8A">
        <w:rPr>
          <w:rFonts w:cs="Arial"/>
          <w:sz w:val="24"/>
        </w:rPr>
        <w:t>/260</w:t>
      </w:r>
      <w:r w:rsidR="003765D3" w:rsidRPr="00EB5E8A">
        <w:rPr>
          <w:rFonts w:ascii="Arial" w:hAnsi="Arial" w:cs="Arial"/>
        </w:rPr>
        <w:br w:type="page"/>
      </w:r>
    </w:p>
    <w:p w14:paraId="262FD3FB" w14:textId="77777777" w:rsidR="007C6BBA" w:rsidRPr="00EB5E8A" w:rsidRDefault="007C6BBA" w:rsidP="00E10A51">
      <w:pPr>
        <w:pStyle w:val="Heading1"/>
        <w:rPr>
          <w:b/>
          <w:color w:val="5B9BD5" w:themeColor="accent1"/>
        </w:rPr>
      </w:pPr>
    </w:p>
    <w:p w14:paraId="18B1C654" w14:textId="0A97758A" w:rsidR="003C632F" w:rsidRPr="00EB5E8A" w:rsidRDefault="00D83D0C" w:rsidP="00E10A51">
      <w:pPr>
        <w:pStyle w:val="Heading1"/>
        <w:rPr>
          <w:b/>
          <w:color w:val="5B9BD5" w:themeColor="accent1"/>
        </w:rPr>
      </w:pPr>
      <w:r w:rsidRPr="00EB5E8A">
        <w:rPr>
          <w:b/>
          <w:color w:val="5B9BD5" w:themeColor="accent1"/>
        </w:rPr>
        <w:t>Introduction</w:t>
      </w:r>
    </w:p>
    <w:p w14:paraId="5DC52F7E" w14:textId="532EF4DD" w:rsidR="006F3EC6" w:rsidRPr="00EB5E8A" w:rsidRDefault="006F3EC6" w:rsidP="00C13B1E">
      <w:pPr>
        <w:spacing w:line="480" w:lineRule="auto"/>
        <w:jc w:val="both"/>
      </w:pPr>
    </w:p>
    <w:p w14:paraId="292DCB07" w14:textId="5A70E30A" w:rsidR="00E21EEC" w:rsidRPr="00EB5E8A" w:rsidRDefault="00C01EB6" w:rsidP="00C13B1E">
      <w:pPr>
        <w:spacing w:line="480" w:lineRule="auto"/>
        <w:jc w:val="both"/>
        <w:rPr>
          <w:rFonts w:cs="Arial"/>
        </w:rPr>
      </w:pPr>
      <w:r w:rsidRPr="00EB5E8A">
        <w:rPr>
          <w:rFonts w:cs="Arial"/>
        </w:rPr>
        <w:t xml:space="preserve">More than three quarters </w:t>
      </w:r>
      <w:r w:rsidR="0027655F" w:rsidRPr="00EB5E8A">
        <w:rPr>
          <w:rFonts w:cs="Arial"/>
        </w:rPr>
        <w:t>of all patients with</w:t>
      </w:r>
      <w:r w:rsidR="005E238C" w:rsidRPr="00EB5E8A">
        <w:rPr>
          <w:rFonts w:cs="Arial"/>
        </w:rPr>
        <w:t xml:space="preserve"> Crohn’s Disease (CD) </w:t>
      </w:r>
      <w:r w:rsidRPr="00EB5E8A">
        <w:rPr>
          <w:rFonts w:cs="Arial"/>
        </w:rPr>
        <w:t xml:space="preserve">eventually </w:t>
      </w:r>
      <w:r w:rsidR="0027655F" w:rsidRPr="00EB5E8A">
        <w:rPr>
          <w:rFonts w:cs="Arial"/>
        </w:rPr>
        <w:t xml:space="preserve">develop complications of stricturing </w:t>
      </w:r>
      <w:r w:rsidR="00FC1FC2" w:rsidRPr="00EB5E8A">
        <w:rPr>
          <w:rFonts w:cs="Arial"/>
        </w:rPr>
        <w:t>or penetrating disease</w:t>
      </w:r>
      <w:r w:rsidR="0027655F" w:rsidRPr="00EB5E8A">
        <w:rPr>
          <w:rFonts w:cs="Arial"/>
        </w:rPr>
        <w:t>.</w:t>
      </w:r>
      <w:r w:rsidRPr="00EB5E8A">
        <w:rPr>
          <w:rFonts w:cs="Arial"/>
        </w:rPr>
        <w:fldChar w:fldCharType="begin" w:fldLock="1"/>
      </w:r>
      <w:r w:rsidR="0038164D" w:rsidRPr="00EB5E8A">
        <w:rPr>
          <w:rFonts w:cs="Arial"/>
        </w:rPr>
        <w:instrText>ADDIN CSL_CITATION {"citationItems":[{"id":"ITEM-1","itemData":{"DOI":"10.1097/00054725-200207000-00002","ISSN":"1078-0998 (Print)","PMID":"12131607","abstract":"BACKGROUND: The Vienna classification of Crohn's disease (CD) distinguishes three patient subgroups according to disease behavior: stricturing, penetrating, and inflammatory. Our aim was to assess the long-term evolution of the disease behavior of CD and to determine the predictive factors and prognostic implications of this evolution. METHODS: Occurrence and predictive factors of a stricturing and/or a penetrating complication were searched for in 2,002 patients with CD studied retrospectively. In addition, the 1995-2000 disease course was assessed prospectively in a cohort of 646 patients with disease duration &gt;5 years, classified according to their previous disease behavior. RESULTS: 1,199 patients (60%) developed a stricturing (n = 254) or a penetrating (n = 945) complication. Twenty-year actuarial rates of inflammatory, stricturing, and penetrating disease were 12, 18, and 70%, respectively. The initial location of lesions was the main determinant of the time and type of the complication. In the cohort study, year-by-year activity and therapeutic requirements did not show significant sustained differences between behavioral subgroups. CONCLUSION: Most patients with CD will eventually one day develop a stricturing or a perforating complication. Initial location determines the type of the complication. Classification of patients into a behavioral group from previous history has no impact upon activity during the following years.","author":[{"dropping-particle":"","family":"Cosnes","given":"Jacques","non-dropping-particle":"","parse-names":false,"suffix":""},{"dropping-particle":"","family":"Cattan","given":"Stephane","non-dropping-particle":"","parse-names":false,"suffix":""},{"dropping-particle":"","family":"Blain","given":"Antoine","non-dropping-particle":"","parse-names":false,"suffix":""},{"dropping-particle":"","family":"Beaugerie","given":"Laurent","non-dropping-particle":"","parse-names":false,"suffix":""},{"dropping-particle":"","family":"Carbonnel","given":"Franck","non-dropping-particle":"","parse-names":false,"suffix":""},{"dropping-particle":"","family":"Parc","given":"Rolland","non-dropping-particle":"","parse-names":false,"suffix":""},{"dropping-particle":"","family":"Gendre","given":"Jean-Pierre","non-dropping-particle":"","parse-names":false,"suffix":""}],"container-title":"Inflammatory bowel diseases","id":"ITEM-1","issue":"4","issued":{"date-parts":[["2002","7"]]},"language":"eng","page":"244-250","publisher-place":"England","title":"Long-term evolution of disease behavior of Crohn's disease.","type":"article-journal","volume":"8"},"uris":["http://www.mendeley.com/documents/?uuid=c71fe554-0564-4af7-90af-745b5d57d54b"]}],"mendeley":{"formattedCitation":"&lt;sup&gt;1&lt;/sup&gt;","plainTextFormattedCitation":"1","previouslyFormattedCitation":"&lt;sup&gt;1&lt;/sup&gt;"},"properties":{"noteIndex":0},"schema":"https://github.com/citation-style-language/schema/raw/master/csl-citation.json"}</w:instrText>
      </w:r>
      <w:r w:rsidRPr="00EB5E8A">
        <w:rPr>
          <w:rFonts w:cs="Arial"/>
        </w:rPr>
        <w:fldChar w:fldCharType="separate"/>
      </w:r>
      <w:r w:rsidRPr="00EB5E8A">
        <w:rPr>
          <w:rFonts w:cs="Arial"/>
          <w:noProof/>
          <w:vertAlign w:val="superscript"/>
        </w:rPr>
        <w:t>1</w:t>
      </w:r>
      <w:r w:rsidRPr="00EB5E8A">
        <w:rPr>
          <w:rFonts w:cs="Arial"/>
        </w:rPr>
        <w:fldChar w:fldCharType="end"/>
      </w:r>
      <w:r w:rsidR="0008299C" w:rsidRPr="00EB5E8A">
        <w:rPr>
          <w:rFonts w:cs="Arial"/>
        </w:rPr>
        <w:t xml:space="preserve"> As a consequence</w:t>
      </w:r>
      <w:r w:rsidR="009A2DA3" w:rsidRPr="00EB5E8A">
        <w:rPr>
          <w:rFonts w:cs="Arial"/>
        </w:rPr>
        <w:t>,</w:t>
      </w:r>
      <w:r w:rsidR="0008299C" w:rsidRPr="00EB5E8A">
        <w:rPr>
          <w:rFonts w:cs="Arial"/>
        </w:rPr>
        <w:t xml:space="preserve"> </w:t>
      </w:r>
      <w:r w:rsidR="0038164D" w:rsidRPr="00EB5E8A">
        <w:rPr>
          <w:rFonts w:cs="Arial"/>
        </w:rPr>
        <w:t xml:space="preserve">one in two </w:t>
      </w:r>
      <w:r w:rsidR="009A2DA3" w:rsidRPr="00EB5E8A">
        <w:rPr>
          <w:rFonts w:cs="Arial"/>
        </w:rPr>
        <w:t xml:space="preserve"> patients with</w:t>
      </w:r>
      <w:r w:rsidR="0008299C" w:rsidRPr="00EB5E8A">
        <w:rPr>
          <w:rFonts w:cs="Arial"/>
        </w:rPr>
        <w:t xml:space="preserve"> CD require intestinal surgery</w:t>
      </w:r>
      <w:r w:rsidR="00F519DB" w:rsidRPr="00EB5E8A">
        <w:rPr>
          <w:rFonts w:cs="Arial"/>
        </w:rPr>
        <w:t xml:space="preserve"> </w:t>
      </w:r>
      <w:r w:rsidR="009A2DA3" w:rsidRPr="00EB5E8A">
        <w:rPr>
          <w:rFonts w:cs="Arial"/>
        </w:rPr>
        <w:t>within 10</w:t>
      </w:r>
      <w:r w:rsidR="00F519DB" w:rsidRPr="00EB5E8A">
        <w:rPr>
          <w:rFonts w:cs="Arial"/>
        </w:rPr>
        <w:t xml:space="preserve"> years</w:t>
      </w:r>
      <w:r w:rsidR="009A2DA3" w:rsidRPr="00EB5E8A">
        <w:rPr>
          <w:rFonts w:cs="Arial"/>
        </w:rPr>
        <w:t xml:space="preserve"> </w:t>
      </w:r>
      <w:r w:rsidRPr="00EB5E8A">
        <w:rPr>
          <w:rFonts w:cs="Arial"/>
        </w:rPr>
        <w:t>of receiving their</w:t>
      </w:r>
      <w:r w:rsidR="009A2DA3" w:rsidRPr="00EB5E8A">
        <w:rPr>
          <w:rFonts w:cs="Arial"/>
        </w:rPr>
        <w:t xml:space="preserve"> diagnosis</w:t>
      </w:r>
      <w:r w:rsidR="0008299C" w:rsidRPr="00EB5E8A">
        <w:rPr>
          <w:rFonts w:cs="Arial"/>
        </w:rPr>
        <w:t>.</w:t>
      </w:r>
      <w:r w:rsidR="009A2DA3" w:rsidRPr="00EB5E8A">
        <w:rPr>
          <w:rFonts w:cs="Arial"/>
        </w:rPr>
        <w:fldChar w:fldCharType="begin" w:fldLock="1"/>
      </w:r>
      <w:r w:rsidR="0038164D" w:rsidRPr="00EB5E8A">
        <w:rPr>
          <w:rFonts w:cs="Arial"/>
        </w:rPr>
        <w:instrText>ADDIN CSL_CITATION {"citationItems":[{"id":"ITEM-1","itemData":{"DOI":"10.1053/j.gastro.2013.07.041","author":[{"dropping-particle":"","family":"Frolkis","given":"A D","non-dropping-particle":"","parse-names":false,"suffix":""},{"dropping-particle":"","family":"Dykeman","given":"J","non-dropping-particle":"","parse-names":false,"suffix":""},{"dropping-particle":"","family":"Negron","given":"M E","non-dropping-particle":"","parse-names":false,"suffix":""}],"container-title":"Gastroenterology","id":"ITEM-1","issued":{"date-parts":[["2013"]]},"title":"Risk of surgery for the inflammatory bowel diseases has decreased over time: a systematic review and meta-analysis of population-based studies","type":"article-journal","volume":"145"},"uris":["http://www.mendeley.com/documents/?uuid=f1fb11ac-8051-46f5-b9b7-29b2256a9700"]}],"mendeley":{"formattedCitation":"&lt;sup&gt;2&lt;/sup&gt;","plainTextFormattedCitation":"2","previouslyFormattedCitation":"&lt;sup&gt;2&lt;/sup&gt;"},"properties":{"noteIndex":0},"schema":"https://github.com/citation-style-language/schema/raw/master/csl-citation.json"}</w:instrText>
      </w:r>
      <w:r w:rsidR="009A2DA3" w:rsidRPr="00EB5E8A">
        <w:rPr>
          <w:rFonts w:cs="Arial"/>
        </w:rPr>
        <w:fldChar w:fldCharType="separate"/>
      </w:r>
      <w:r w:rsidRPr="00EB5E8A">
        <w:rPr>
          <w:rFonts w:cs="Arial"/>
          <w:noProof/>
          <w:vertAlign w:val="superscript"/>
        </w:rPr>
        <w:t>2</w:t>
      </w:r>
      <w:r w:rsidR="009A2DA3" w:rsidRPr="00EB5E8A">
        <w:rPr>
          <w:rFonts w:cs="Arial"/>
        </w:rPr>
        <w:fldChar w:fldCharType="end"/>
      </w:r>
      <w:r w:rsidR="0008299C" w:rsidRPr="00EB5E8A">
        <w:rPr>
          <w:rFonts w:cs="Arial"/>
        </w:rPr>
        <w:t xml:space="preserve"> </w:t>
      </w:r>
      <w:r w:rsidR="0038164D" w:rsidRPr="00EB5E8A">
        <w:rPr>
          <w:rFonts w:cs="Arial"/>
        </w:rPr>
        <w:t>Each year 1.8% (95% CI: 1.62–1.91) of the CD population undergo surgery resulting in the formation of either a temporary or permanent stoma.</w:t>
      </w:r>
      <w:r w:rsidR="0038164D" w:rsidRPr="00EB5E8A">
        <w:rPr>
          <w:rFonts w:cs="Arial"/>
        </w:rPr>
        <w:fldChar w:fldCharType="begin" w:fldLock="1"/>
      </w:r>
      <w:r w:rsidR="00E21EEC" w:rsidRPr="00EB5E8A">
        <w:rPr>
          <w:rFonts w:cs="Arial"/>
        </w:rPr>
        <w:instrText>ADDIN CSL_CITATION {"citationItems":[{"id":"ITEM-1","itemData":{"DOI":"10.1111/codi.14731","ISSN":"14631318","abstract":"Aim: Trends in surgical rates for Crohn's disease (CD) in the biological era are controversial. We aim to assess modern trends in the formation rates of surgical stomas. Method: Population-based surveillance in the Calgary Health Zone (CHZ), Canada, was conducted between 1 April 2002 and 31 March 2011, using the Discharge Abstract Database to identify adult patients with CD admitted to hospital and treated with surgical stoma formation (n = 545). Annual stoma incidence was calculated by dividing the number of incident stomas by the prevalence of CD in the CHZ. Time trend analysis of the stoma-formation rate was performed, expressed as annual percentage change (APC) with 95% CI. Stoma-formation rates were stratified according to procedure (emergency vs elective) and duration of stoma [temporary (reversed within 2 years of formation) vs permanent]. Results: The overall rate of stoma formation between 2002 and 2011 showed a downwards trend, of a mean of 5.2% (95% CI: −8.5 to −1.8) per year, from a rate of 2.30 stomas/100 person-years (PY) in 2002 to 1.51 stomas/100 PY in 2011. The rate of emergency stoma formation decreased significantly from 2002 to 2011 (mean APC = −9.4%; 95% CI: −15.6 to −2.8), while the rate of elective ostomies essentially showed no change (mean APC = −0.9%; 95% CI: −5.3 to 3.8). The rate of temporary stoma formation decreased significantly, by 4.6% (95% CI: −7.3 to −1.8) per year, while permanent stoma formation was stable (APC = 1.0%; 95% CI: −4.0 to +6.3). Conclusion: A reduction in the overall rate of stoma formation in CD has been driven by fewer emergency stomas, although rates of permanent stoma have remained stable.","author":[{"dropping-particle":"","family":"Ma","given":"C.","non-dropping-particle":"","parse-names":false,"suffix":""},{"dropping-particle":"","family":"Almutairdi","given":"A.","non-dropping-particle":"","parse-names":false,"suffix":""},{"dropping-particle":"","family":"Tanyingoh","given":"D.","non-dropping-particle":"","parse-names":false,"suffix":""},{"dropping-particle":"","family":"Seow","given":"C. H.","non-dropping-particle":"","parse-names":false,"suffix":""},{"dropping-particle":"","family":"Novak","given":"K. L.","non-dropping-particle":"","parse-names":false,"suffix":""},{"dropping-particle":"","family":"Lu","given":"C.","non-dropping-particle":"","parse-names":false,"suffix":""},{"dropping-particle":"","family":"Panaccione","given":"R.","non-dropping-particle":"","parse-names":false,"suffix":""},{"dropping-particle":"","family":"Kaplan","given":"G. G.","non-dropping-particle":"","parse-names":false,"suffix":""},{"dropping-particle":"","family":"Kotze","given":"P. G.","non-dropping-particle":"","parse-names":false,"suffix":""}],"container-title":"Colorectal Disease","id":"ITEM-1","issue":"11","issued":{"date-parts":[["2019"]]},"page":"1279-1287","title":"Reduction in surgical stoma rates in Crohn's disease: a population-based time trend analysis","type":"article-journal","volume":"21"},"uris":["http://www.mendeley.com/documents/?uuid=08d5af99-e7d5-42b6-a5a0-b9faa92c9e8c"]}],"mendeley":{"formattedCitation":"&lt;sup&gt;3&lt;/sup&gt;","plainTextFormattedCitation":"3","previouslyFormattedCitation":"&lt;sup&gt;3&lt;/sup&gt;"},"properties":{"noteIndex":0},"schema":"https://github.com/citation-style-language/schema/raw/master/csl-citation.json"}</w:instrText>
      </w:r>
      <w:r w:rsidR="0038164D" w:rsidRPr="00EB5E8A">
        <w:rPr>
          <w:rFonts w:cs="Arial"/>
        </w:rPr>
        <w:fldChar w:fldCharType="separate"/>
      </w:r>
      <w:r w:rsidR="0038164D" w:rsidRPr="00EB5E8A">
        <w:rPr>
          <w:rFonts w:cs="Arial"/>
          <w:noProof/>
          <w:vertAlign w:val="superscript"/>
        </w:rPr>
        <w:t>3</w:t>
      </w:r>
      <w:r w:rsidR="0038164D" w:rsidRPr="00EB5E8A">
        <w:rPr>
          <w:rFonts w:cs="Arial"/>
        </w:rPr>
        <w:fldChar w:fldCharType="end"/>
      </w:r>
      <w:r w:rsidR="0038164D" w:rsidRPr="00EB5E8A">
        <w:rPr>
          <w:rFonts w:cs="Arial"/>
        </w:rPr>
        <w:t xml:space="preserve"> </w:t>
      </w:r>
      <w:r w:rsidR="00E21EEC" w:rsidRPr="00EB5E8A">
        <w:rPr>
          <w:rFonts w:cs="Arial"/>
        </w:rPr>
        <w:t>Fear of having an ostomy bag is frequently reported as one of the principal concerns of people living with Inflammatory Bowel Disease (IBD).</w:t>
      </w:r>
      <w:r w:rsidR="00E21EEC" w:rsidRPr="00EB5E8A">
        <w:rPr>
          <w:rFonts w:cs="Arial"/>
        </w:rPr>
        <w:fldChar w:fldCharType="begin" w:fldLock="1"/>
      </w:r>
      <w:r w:rsidR="00E21EEC" w:rsidRPr="00EB5E8A">
        <w:rPr>
          <w:rFonts w:cs="Arial"/>
        </w:rPr>
        <w:instrText>ADDIN CSL_CITATION {"citationItems":[{"id":"ITEM-1","itemData":{"DOI":"10.1111/j.1365-2036.2006.02753.x","ISSN":"0269-2813 (Print)","PMID":"16422997","abstract":"BACKGROUND: There are many studies investigating quality of life in recently diagnosed patients and following surgery for Crohn's disease, but there are none investigating quality of life changes with disease duration. The response shift model suggests quality of life improves with time following diagnosis. AIM: To assess how well the model applies to patients with Crohn's disease. METHODS: The Cardiff Crohn's disease database contains data on all patients diagnosed there since 1934. Three hundred and ninety four patients diagnosed before 1 January 1985 were traced and the mortality status on 31 December 2004 established. Two hundred and eleven still living were sent quality of life questionnaires. Two hundred and eighty five questionnaires were sent to patients with varying disease duration attending out-patient clinics in Leicester. RESULTS: Eighty-nine valid replies were received from Cardiff, 63 from Leicester patients diagnosed over 20 years, 69 from Leicester patients diagnosed &lt;10 years. There was no difference in quality of life between newly diagnosed and established patients. Of greatest concern was possible need for ostomy, uncertain nature of disease, and lack of energy. Stepwise regression showed that increased disease severity, older age and smoking adversely affect quality of life. DISCUSSION: Quality of life is equally poor in patients with established disease as in those newly diagnosed, and directly correlates with disease severity. The response shift model may not be applicable in Crohn's disease.","author":[{"dropping-particle":"","family":"Canavan","given":"C","non-dropping-particle":"","parse-names":false,"suffix":""},{"dropping-particle":"","family":"Abrams","given":"K R","non-dropping-particle":"","parse-names":false,"suffix":""},{"dropping-particle":"","family":"Hawthorne","given":"B","non-dropping-particle":"","parse-names":false,"suffix":""},{"dropping-particle":"","family":"Drossman","given":"D","non-dropping-particle":"","parse-names":false,"suffix":""},{"dropping-particle":"","family":"Mayberry","given":"J F","non-dropping-particle":"","parse-names":false,"suffix":""}],"container-title":"Alimentary pharmacology &amp; therapeutics","id":"ITEM-1","issue":"3","issued":{"date-parts":[["2006","2"]]},"language":"eng","page":"377-385","publisher-place":"England","title":"Long-term prognosis in Crohn's disease: factors that affect quality of life.","type":"article-journal","volume":"23"},"uris":["http://www.mendeley.com/documents/?uuid=4f2cbe4e-4fdc-4e84-9c12-cd7bec49a299"]},{"id":"ITEM-2","itemData":{"DOI":"10.1016/j.gcb.2009.08.015","ISSN":"2210-741X (Electronic)","PMID":"21036501","abstract":"AIMS: Inflammatory bowel diseases (IBD) have a negative impact on patients' quality of life. The aims of this survey were to learn more about patients' concerns, and to compare their feelings with the beliefs of their close relations and physicians. PATIENTS AND METHODS: A specific questionnaire, including the RFIPC and the MFI-20, was used. Patients' answers were compared with those given by their close relations and attending physicians. RESULTS: This national survey included 2424 French patients. At the time of diagnosis, 73% of patients expressed having fears, but were also relieved to understand their symptoms. IBD was responsible for fatigue and weariness, and had a negative impact on daily, occupational, leisure, family and personal life. The main fears concerned unpredictable flare-ups followed by need for an ostomy bag and risk of surgery. The answers provided by close relations and physicians matched those of the patients, but physicians overestimated the patient's knowledge and underestimated disease impact. CONCLUSION: IBD has a deleterious effect on quality of life. Close relations of the patient realize the impact the disease has on the patients' life, but attending physicians still tend to minimize patients' symptoms.","author":[{"dropping-particle":"","family":"Lesage","given":"A-C","non-dropping-particle":"","parse-names":false,"suffix":""},{"dropping-particle":"","family":"Hagege","given":"H","non-dropping-particle":"","parse-names":false,"suffix":""},{"dropping-particle":"","family":"Tucat","given":"G","non-dropping-particle":"","parse-names":false,"suffix":""},{"dropping-particle":"","family":"Gendre","given":"J-P","non-dropping-particle":"","parse-names":false,"suffix":""}],"container-title":"Clinics and research in hepatology and gastroenterology","id":"ITEM-2","issue":"2","issued":{"date-parts":[["2011","2"]]},"language":"eng","page":"117-124","publisher-place":"France","title":"Results of a national survey on quality of life in inflammatory bowel diseases.","type":"article-journal","volume":"35"},"uris":["http://www.mendeley.com/documents/?uuid=f7d0910a-bd1d-41ae-b625-bc45a17f36c3"]},{"id":"ITEM-3","itemData":{"DOI":"10.1023/a:1005492806777","ISSN":"0163-2116 (Print)","PMID":"10695609","abstract":"Idiopathic, chronic inflammatory bowel disease (IBD) refers to two diseases-ulcerative colitis (UC) and Crohn's disease (CD). Despite an abundant literature discussing the pathophysiology and treatment of these diseases, little if any empirical studies have focused on patients' subjective experiences with their diseases. The purpose of this paper was to identify and discuss the concerns of individuals with IBD and to suggest that the integration of concerns in clinical management is necessary for a comprehensive understanding of these chronic and debilitating diseases. In addition, case studies were included to highlight the concerns of people with IBD. Our review of the literature identified eight categories of concerns for individuals with IBD. They included loss of energy, loss of control, body image, isolation and fear, not reaching full potential, feeling dirty, and lack of information from the medical community. In conclusion, we argue that the efficacy of treatment for IBD would be greatly improved if psychosocial issues were to be integrated into treatment protocols.","author":[{"dropping-particle":"","family":"Casati","given":"J","non-dropping-particle":"","parse-names":false,"suffix":""},{"dropping-particle":"","family":"Toner","given":"B B","non-dropping-particle":"","parse-names":false,"suffix":""},{"dropping-particle":"","family":"Rooy","given":"E C","non-dropping-particle":"de","parse-names":false,"suffix":""},{"dropping-particle":"","family":"Drossman","given":"D A","non-dropping-particle":"","parse-names":false,"suffix":""},{"dropping-particle":"","family":"Maunder","given":"R G","non-dropping-particle":"","parse-names":false,"suffix":""}],"container-title":"Digestive diseases and sciences","id":"ITEM-3","issue":"1","issued":{"date-parts":[["2000","1"]]},"language":"eng","page":"26-31","publisher-place":"United States","title":"Concerns of patients with inflammatory bowel disease: a review of emerging themes.","type":"article-journal","volume":"45"},"uris":["http://www.mendeley.com/documents/?uuid=158c82da-5ff5-472c-ad2f-2c52b4149c3f"]}],"mendeley":{"formattedCitation":"&lt;sup&gt;4–6&lt;/sup&gt;","plainTextFormattedCitation":"4–6","previouslyFormattedCitation":"&lt;sup&gt;4–6&lt;/sup&gt;"},"properties":{"noteIndex":0},"schema":"https://github.com/citation-style-language/schema/raw/master/csl-citation.json"}</w:instrText>
      </w:r>
      <w:r w:rsidR="00E21EEC" w:rsidRPr="00EB5E8A">
        <w:rPr>
          <w:rFonts w:cs="Arial"/>
        </w:rPr>
        <w:fldChar w:fldCharType="separate"/>
      </w:r>
      <w:r w:rsidR="00E21EEC" w:rsidRPr="00EB5E8A">
        <w:rPr>
          <w:rFonts w:cs="Arial"/>
          <w:noProof/>
          <w:vertAlign w:val="superscript"/>
        </w:rPr>
        <w:t>4–6</w:t>
      </w:r>
      <w:r w:rsidR="00E21EEC" w:rsidRPr="00EB5E8A">
        <w:rPr>
          <w:rFonts w:cs="Arial"/>
        </w:rPr>
        <w:fldChar w:fldCharType="end"/>
      </w:r>
      <w:r w:rsidR="00E21EEC" w:rsidRPr="00EB5E8A">
        <w:rPr>
          <w:rFonts w:cs="Arial"/>
        </w:rPr>
        <w:t xml:space="preserve"> In discret</w:t>
      </w:r>
      <w:r w:rsidR="00EB1A83" w:rsidRPr="00EB5E8A">
        <w:rPr>
          <w:rFonts w:cs="Arial"/>
        </w:rPr>
        <w:t>e</w:t>
      </w:r>
      <w:r w:rsidR="00E21EEC" w:rsidRPr="00EB5E8A">
        <w:rPr>
          <w:rFonts w:cs="Arial"/>
        </w:rPr>
        <w:t xml:space="preserve"> choice experiments, patients were willing to accept a &gt;5% risk of death in order to avoid a permanent stoma.</w:t>
      </w:r>
      <w:r w:rsidR="00E21EEC" w:rsidRPr="00EB5E8A">
        <w:rPr>
          <w:rFonts w:cs="Arial"/>
        </w:rPr>
        <w:fldChar w:fldCharType="begin" w:fldLock="1"/>
      </w:r>
      <w:r w:rsidR="00DC6495" w:rsidRPr="00EB5E8A">
        <w:rPr>
          <w:rFonts w:cs="Arial"/>
        </w:rPr>
        <w:instrText>ADDIN CSL_CITATION {"citationItems":[{"id":"ITEM-1","itemData":{"DOI":"10.1097/01.MIB.0000437498.14804.50","ISBN":"2122633255","ISSN":"1536-4844","PMID":"24280881","abstract":"BACKGROUND: Therapy options for mesalamine-refractory ulcerative colitis (UC) include immunosuppressive medications or surgery. Chronic immunosuppressive therapy increases risks of infection and cancer, whereas surgery produces a permanent change in bowel function. We sought to quantify the willingness of patients with UC to accept the risks of chronic immunosuppression to avoid colectomy.\\n\\nMETHODS: We conducted a state-of-the-art discrete-choice experiment among 293 patients with UC who were offered a choice of medication or surgical treatments with different features. Random parameters logit was used to estimate patients' willingness to accept trade-offs among treatment features in selecting surgery versus medical treatment.\\n\\nRESULTS: A desire to avoid surgery and the surgery type (ostomy versus J-pouch) influenced patients' choices more than a specified range of 10-year mortality risks from lymphoma or infection, or disease activity (mild versus remission). To avoid an ostomy, patients were willing to accept a &gt;5% 10-year risk of dying from lymphoma or infection from medical therapy, regardless of medication efficacy. However, data on patients' stated choice indicated perceived equivalence between J-pouch surgery and incompletely effective medical therapy. Patient characteristics and disease history influenced patients' preferences regarding surgery versus medical therapy.\\n\\nCONCLUSIONS: Patients with UC are willing to accept relatively high risks of fatal complications from medical therapy to avoid a permanent ostomy and to achieve durable clinical remission. However, patients view J-pouch surgery, but not permanent ileostomy, as an acceptable therapy for refractory UC in which medical therapy is unable to induce a durable remission.","author":[{"dropping-particle":"","family":"Bewtra","given":"Meenakshi","non-dropping-particle":"","parse-names":false,"suffix":""},{"dropping-particle":"","family":"Kilambi","given":"Vikram","non-dropping-particle":"","parse-names":false,"suffix":""},{"dropping-particle":"","family":"Fairchild","given":"Angelyn O","non-dropping-particle":"","parse-names":false,"suffix":""},{"dropping-particle":"","family":"Siegel","given":"Corey A","non-dropping-particle":"","parse-names":false,"suffix":""},{"dropping-particle":"","family":"Lewis","given":"James D","non-dropping-particle":"","parse-names":false,"suffix":""},{"dropping-particle":"","family":"Johnson","given":"F Reed","non-dropping-particle":"","parse-names":false,"suffix":""}],"container-title":"Inflammatory bowel diseases","id":"ITEM-1","issue":"1","issued":{"date-parts":[["2014"]]},"page":"103-14","title":"Patient preferences for surgical versus medical therapy for ulcerative colitis.","type":"article-journal","volume":"20"},"uris":["http://www.mendeley.com/documents/?uuid=85b4b35e-9250-476b-a8e6-11ce9eee5049"]}],"mendeley":{"formattedCitation":"&lt;sup&gt;7&lt;/sup&gt;","plainTextFormattedCitation":"7","previouslyFormattedCitation":"&lt;sup&gt;7&lt;/sup&gt;"},"properties":{"noteIndex":0},"schema":"https://github.com/citation-style-language/schema/raw/master/csl-citation.json"}</w:instrText>
      </w:r>
      <w:r w:rsidR="00E21EEC" w:rsidRPr="00EB5E8A">
        <w:rPr>
          <w:rFonts w:cs="Arial"/>
        </w:rPr>
        <w:fldChar w:fldCharType="separate"/>
      </w:r>
      <w:r w:rsidR="00E21EEC" w:rsidRPr="00EB5E8A">
        <w:rPr>
          <w:rFonts w:cs="Arial"/>
          <w:noProof/>
          <w:vertAlign w:val="superscript"/>
        </w:rPr>
        <w:t>7</w:t>
      </w:r>
      <w:r w:rsidR="00E21EEC" w:rsidRPr="00EB5E8A">
        <w:rPr>
          <w:rFonts w:cs="Arial"/>
        </w:rPr>
        <w:fldChar w:fldCharType="end"/>
      </w:r>
    </w:p>
    <w:p w14:paraId="2D20DCAB" w14:textId="58B5591E" w:rsidR="00DC6495" w:rsidRPr="00EB5E8A" w:rsidRDefault="00E21EEC" w:rsidP="00C13B1E">
      <w:pPr>
        <w:spacing w:line="480" w:lineRule="auto"/>
        <w:jc w:val="both"/>
        <w:rPr>
          <w:rFonts w:cs="Arial"/>
        </w:rPr>
      </w:pPr>
      <w:r w:rsidRPr="00EB5E8A">
        <w:rPr>
          <w:rFonts w:cs="Arial"/>
        </w:rPr>
        <w:t>People living with stoma</w:t>
      </w:r>
      <w:r w:rsidR="00DC6495" w:rsidRPr="00EB5E8A">
        <w:rPr>
          <w:rFonts w:cs="Arial"/>
        </w:rPr>
        <w:t>s</w:t>
      </w:r>
      <w:r w:rsidRPr="00EB5E8A">
        <w:rPr>
          <w:rFonts w:cs="Arial"/>
        </w:rPr>
        <w:t xml:space="preserve"> are more likely to report having a negativ</w:t>
      </w:r>
      <w:r w:rsidR="00DC6495" w:rsidRPr="00EB5E8A">
        <w:rPr>
          <w:rFonts w:cs="Arial"/>
        </w:rPr>
        <w:t>e body image than those who had</w:t>
      </w:r>
      <w:r w:rsidRPr="00EB5E8A">
        <w:rPr>
          <w:rFonts w:cs="Arial"/>
        </w:rPr>
        <w:t xml:space="preserve"> IBD related surgery without stoma formation.</w:t>
      </w:r>
      <w:r w:rsidR="00DC6495" w:rsidRPr="00EB5E8A">
        <w:rPr>
          <w:rFonts w:cs="Arial"/>
        </w:rPr>
        <w:fldChar w:fldCharType="begin" w:fldLock="1"/>
      </w:r>
      <w:r w:rsidR="00AB3D1F" w:rsidRPr="00EB5E8A">
        <w:rPr>
          <w:rFonts w:cs="Arial"/>
        </w:rPr>
        <w:instrText>ADDIN CSL_CITATION {"citationItems":[{"id":"ITEM-1","itemData":{"DOI":"10.1002/ibd.21090","ISSN":"1536-4844 (Electronic)","PMID":"19714755","abstract":"BACKGROUND: There is a paucity of literature on the impact of inflammatory bowel  disease (IBD) on relationships, body image, and sexual function from a patient perspective. This study sought to describe patients' perceptions of these issues. METHODS: In all, 347 patients, age 18-50 years, from a hospital-based IBD database were surveyed by post. Quantitative and qualitative data were obtained on demographics, relationships, quality of life (QoL), body image, and sexual function. Comparisons were made by diagnosis, gender, and operative status. Univariate and multivariable analyses and logistic regressions were performed; P &lt; 0.05 was regarded as significant. RESULTS: The response rate was 62.5%. Overall, 88.5% reported impaired QoL; 50.2% a negative effect on relationship status; and 66.8% impaired body image (females 74.8% versus males 51.4%, P = 0.0007; operated 81.4% versus nonoperated 51.3%, P = 0.0003). A greater proportion of women reported decreased frequency of sexual activity, as did operated subjects (female 66.3% versus male 40.5%, P &lt; 0.0001; operated 68.5% versus nonoperated 50.4%, P = 0.0113). Women and operated subjects also more often reported decreased libido (female 67.1% versus male 41.9% P = 0.0005; operated 67.4% versus nonoperated 52.6%, P = 0.035). 9.7% omitted medication because of perceived negative effect(s) on sexual function. Logistic regression revealed that female gender negatively affected body image, libido, and sexual activity, while limited resection surgery negatively affected body image (all P &lt; 0.005). CONCLUSIONS: A large proportion of patients perceive IBD to negatively affect many aspects of sexuality. Females and operated subjects more frequently perceived these negative effects. These findings are important in overall clinical care of patients with IBD and should be addressed.","author":[{"dropping-particle":"","family":"Muller","given":"Kate R","non-dropping-particle":"","parse-names":false,"suffix":""},{"dropping-particle":"","family":"Prosser","given":"Ruth","non-dropping-particle":"","parse-names":false,"suffix":""},{"dropping-particle":"","family":"Bampton","given":"Peter","non-dropping-particle":"","parse-names":false,"suffix":""},{"dropping-particle":"","family":"Mountifield","given":"Reme","non-dropping-particle":"","parse-names":false,"suffix":""},{"dropping-particle":"","family":"Andrews","given":"Jane M","non-dropping-particle":"","parse-names":false,"suffix":""}],"container-title":"Inflammatory bowel diseases","id":"ITEM-1","issue":"4","issued":{"date-parts":[["2010","4"]]},"language":"eng","page":"657-663","publisher-place":"United States","title":"Female gender and surgery impair relationships, body image, and sexuality in inflammatory bowel disease: patient perceptions.","type":"article-journal","volume":"16"},"uris":["http://www.mendeley.com/documents/?uuid=9dbc9b76-08d0-4d48-abe1-77a0979b43f0"]}],"mendeley":{"formattedCitation":"&lt;sup&gt;8&lt;/sup&gt;","plainTextFormattedCitation":"8","previouslyFormattedCitation":"&lt;sup&gt;8&lt;/sup&gt;"},"properties":{"noteIndex":0},"schema":"https://github.com/citation-style-language/schema/raw/master/csl-citation.json"}</w:instrText>
      </w:r>
      <w:r w:rsidR="00DC6495" w:rsidRPr="00EB5E8A">
        <w:rPr>
          <w:rFonts w:cs="Arial"/>
        </w:rPr>
        <w:fldChar w:fldCharType="separate"/>
      </w:r>
      <w:r w:rsidR="00DC6495" w:rsidRPr="00EB5E8A">
        <w:rPr>
          <w:rFonts w:cs="Arial"/>
          <w:noProof/>
          <w:vertAlign w:val="superscript"/>
        </w:rPr>
        <w:t>8</w:t>
      </w:r>
      <w:r w:rsidR="00DC6495" w:rsidRPr="00EB5E8A">
        <w:rPr>
          <w:rFonts w:cs="Arial"/>
        </w:rPr>
        <w:fldChar w:fldCharType="end"/>
      </w:r>
      <w:r w:rsidRPr="00EB5E8A">
        <w:rPr>
          <w:rFonts w:cs="Arial"/>
        </w:rPr>
        <w:t xml:space="preserve"> Furthermore, 40% </w:t>
      </w:r>
      <w:r w:rsidR="00C3275E" w:rsidRPr="00EB5E8A">
        <w:rPr>
          <w:rFonts w:cs="Arial"/>
        </w:rPr>
        <w:t xml:space="preserve">of people living with a </w:t>
      </w:r>
      <w:r w:rsidRPr="00EB5E8A">
        <w:rPr>
          <w:rFonts w:cs="Arial"/>
        </w:rPr>
        <w:t xml:space="preserve">stoma </w:t>
      </w:r>
      <w:r w:rsidR="00C3275E" w:rsidRPr="00EB5E8A">
        <w:rPr>
          <w:rFonts w:cs="Arial"/>
        </w:rPr>
        <w:t>reported it had</w:t>
      </w:r>
      <w:r w:rsidR="00DC6495" w:rsidRPr="00EB5E8A">
        <w:rPr>
          <w:rFonts w:cs="Arial"/>
        </w:rPr>
        <w:t xml:space="preserve"> a negative impact on their</w:t>
      </w:r>
      <w:r w:rsidR="00C3275E" w:rsidRPr="00EB5E8A">
        <w:rPr>
          <w:rFonts w:cs="Arial"/>
        </w:rPr>
        <w:t xml:space="preserve"> sex life.</w:t>
      </w:r>
      <w:r w:rsidR="00DC6495" w:rsidRPr="00EB5E8A">
        <w:rPr>
          <w:rFonts w:cs="Arial"/>
        </w:rPr>
        <w:fldChar w:fldCharType="begin" w:fldLock="1"/>
      </w:r>
      <w:r w:rsidR="00EE60B5" w:rsidRPr="00EB5E8A">
        <w:rPr>
          <w:rFonts w:cs="Arial"/>
        </w:rPr>
        <w:instrText>ADDIN CSL_CITATION {"citationItems":[{"id":"ITEM-1","itemData":{"DOI":"10.4172/2155-9899.1000145","ISBN":"2155-9899","author":[{"dropping-particle":"","family":"El-Tawil, AM, Nightingale","given":"P","non-dropping-particle":"","parse-names":false,"suffix":""}],"container-title":"Journal of Clinical &amp; Cellular Immunology","id":"ITEM-1","issue":"3","issued":{"date-parts":[["2013"]]},"publisher":"OMICS International.,","title":"Living with Stoma: Long-term Effects on Patients' Quality of Life","type":"article","volume":"4"},"uris":["http://www.mendeley.com/documents/?uuid=b89248ec-02fc-426f-8db7-aa243383a3d6"]}],"mendeley":{"formattedCitation":"&lt;sup&gt;9&lt;/sup&gt;","plainTextFormattedCitation":"9","previouslyFormattedCitation":"&lt;sup&gt;9&lt;/sup&gt;"},"properties":{"noteIndex":0},"schema":"https://github.com/citation-style-language/schema/raw/master/csl-citation.json"}</w:instrText>
      </w:r>
      <w:r w:rsidR="00DC6495" w:rsidRPr="00EB5E8A">
        <w:rPr>
          <w:rFonts w:cs="Arial"/>
        </w:rPr>
        <w:fldChar w:fldCharType="separate"/>
      </w:r>
      <w:r w:rsidR="00DC6495" w:rsidRPr="00EB5E8A">
        <w:rPr>
          <w:rFonts w:cs="Arial"/>
          <w:noProof/>
          <w:vertAlign w:val="superscript"/>
        </w:rPr>
        <w:t>9</w:t>
      </w:r>
      <w:r w:rsidR="00DC6495" w:rsidRPr="00EB5E8A">
        <w:rPr>
          <w:rFonts w:cs="Arial"/>
        </w:rPr>
        <w:fldChar w:fldCharType="end"/>
      </w:r>
      <w:r w:rsidR="00FC1FC2" w:rsidRPr="00EB5E8A">
        <w:rPr>
          <w:rFonts w:cs="Arial"/>
        </w:rPr>
        <w:t xml:space="preserve"> </w:t>
      </w:r>
      <w:r w:rsidR="009F4923" w:rsidRPr="00EB5E8A">
        <w:rPr>
          <w:rFonts w:cs="Arial"/>
        </w:rPr>
        <w:t>Despite this</w:t>
      </w:r>
      <w:r w:rsidR="00DC6495" w:rsidRPr="00EB5E8A">
        <w:rPr>
          <w:rFonts w:cs="Arial"/>
        </w:rPr>
        <w:t>, most people living with a stoma reported it was much better than they had anticipated</w:t>
      </w:r>
      <w:r w:rsidR="00020C5D" w:rsidRPr="00EB5E8A">
        <w:rPr>
          <w:rFonts w:cs="Arial"/>
        </w:rPr>
        <w:t>,</w:t>
      </w:r>
      <w:r w:rsidR="00EE60B5" w:rsidRPr="00EB5E8A">
        <w:rPr>
          <w:rFonts w:cs="Arial"/>
        </w:rPr>
        <w:t xml:space="preserve"> and some people with temporary stomas elect not to have reversal surgery for this reason.</w:t>
      </w:r>
      <w:r w:rsidR="00EE60B5" w:rsidRPr="00EB5E8A">
        <w:rPr>
          <w:rFonts w:cs="Arial"/>
        </w:rPr>
        <w:fldChar w:fldCharType="begin" w:fldLock="1"/>
      </w:r>
      <w:r w:rsidR="00043C15" w:rsidRPr="00EB5E8A">
        <w:rPr>
          <w:rFonts w:cs="Arial"/>
        </w:rPr>
        <w:instrText>ADDIN CSL_CITATION {"citationItems":[{"id":"ITEM-1","itemData":{"DOI":"10.1093/ibd/izx043","ISSN":"15364844","abstract":"Background: Many inflammatory bowel disease (IBD) patients worry about stoma-forming surgery (SFS), sometimes enduring poor bowel-related quality of life to avoid it. Anticipation of SFS and whether expectations match experience is underreported. This qualitative study explored influences on patients' SFS decision-making and compared preoperative concerns with postoperative outcomes. Methods: We purposively recruited participants with IBD from UK hospital outpatient and community sources, and IBD clinicians from public hospitals. Four focus groups, 29 semistructured patient participant interviews, and 18 clinician interviews were audio recorded, transcribed, and analysed thematically. Participants had a current temporary, recently-reversed, or permanent stoma, or were stoma naive. Results: Four themes emerged: Preoperative concerns and expectations, Patient decision-making, Surgery and recovery, and Long-term outcomes. Participants and clinicians agreed about most preoperative concerns, that outcomes were often better than expected, and support from others with a stoma is beneficial. Patient decision-making involves multiple factors, including disease status. Some clinicians avoid discussing SFS, and the phrase 'last resort' can bias patient perceptions; others recommend early discussion, increasing dialogue when medical management becomes ineffective. The postoperative period is particularly challenging for patients. Stoma acceptance is influenced by personal perceptions and pre- and postoperative clinical and social support. Conclusion: Patients need balanced information on all treatment options, including surgery, from an early stage. Early multidisciplinary team dialogue about SFS, and contact with others living well with a stoma, could enable informed decision-making. Life with a stoma is often better than anticipated, improving quality of life and control. Ongoing specialist nursing support AIDS recovery and adjustment.","author":[{"dropping-particle":"","family":"Dibley","given":"Lesley","non-dropping-particle":"","parse-names":false,"suffix":""},{"dropping-particle":"","family":"Czuber-Dochan","given":"Wladyslawa","non-dropping-particle":"","parse-names":false,"suffix":""},{"dropping-particle":"","family":"Wade","given":"Tiffany","non-dropping-particle":"","parse-names":false,"suffix":""},{"dropping-particle":"","family":"Duncan","given":"Julie","non-dropping-particle":"","parse-names":false,"suffix":""},{"dropping-particle":"","family":"Burch","given":"Jennie","non-dropping-particle":"","parse-names":false,"suffix":""},{"dropping-particle":"","family":"Warusavitarne","given":"Janindra","non-dropping-particle":"","parse-names":false,"suffix":""},{"dropping-particle":"","family":"Norton","given":"Christine","non-dropping-particle":"","parse-names":false,"suffix":""},{"dropping-particle":"","family":"Artom","given":"Micol","non-dropping-particle":"","parse-names":false,"suffix":""},{"dropping-particle":"","family":"O'Sullivan","given":"Liam","non-dropping-particle":"","parse-names":false,"suffix":""},{"dropping-particle":"","family":"Verjee","given":"Azmina","non-dropping-particle":"","parse-names":false,"suffix":""},{"dropping-particle":"","family":"Cann","given":"Denise","non-dropping-particle":"","parse-names":false,"suffix":""}],"container-title":"Inflammatory Bowel Diseases","id":"ITEM-1","issue":"2","issued":{"date-parts":[["2018"]]},"page":"235-246","title":"Patient Decision-Making about Emergency and Planned Stoma Surgery for IBD: A Qualitative Exploration of Patient and Clinician Perspectives","type":"article-journal","volume":"24"},"uris":["http://www.mendeley.com/documents/?uuid=6db35ead-e41b-42c0-860e-7e97be5a395a"]}],"mendeley":{"formattedCitation":"&lt;sup&gt;10&lt;/sup&gt;","plainTextFormattedCitation":"10","previouslyFormattedCitation":"&lt;sup&gt;10&lt;/sup&gt;"},"properties":{"noteIndex":0},"schema":"https://github.com/citation-style-language/schema/raw/master/csl-citation.json"}</w:instrText>
      </w:r>
      <w:r w:rsidR="00EE60B5" w:rsidRPr="00EB5E8A">
        <w:rPr>
          <w:rFonts w:cs="Arial"/>
        </w:rPr>
        <w:fldChar w:fldCharType="separate"/>
      </w:r>
      <w:r w:rsidR="00EE60B5" w:rsidRPr="00EB5E8A">
        <w:rPr>
          <w:rFonts w:cs="Arial"/>
          <w:noProof/>
          <w:vertAlign w:val="superscript"/>
        </w:rPr>
        <w:t>10</w:t>
      </w:r>
      <w:r w:rsidR="00EE60B5" w:rsidRPr="00EB5E8A">
        <w:rPr>
          <w:rFonts w:cs="Arial"/>
        </w:rPr>
        <w:fldChar w:fldCharType="end"/>
      </w:r>
    </w:p>
    <w:p w14:paraId="7BEBE1A7" w14:textId="0F213A2B" w:rsidR="00EE60B5" w:rsidRPr="00EB5E8A" w:rsidRDefault="00EE60B5" w:rsidP="00C13B1E">
      <w:pPr>
        <w:spacing w:line="480" w:lineRule="auto"/>
        <w:jc w:val="both"/>
      </w:pPr>
      <w:r w:rsidRPr="00EB5E8A">
        <w:t xml:space="preserve">It remains unclear how </w:t>
      </w:r>
      <w:r w:rsidR="00043C15" w:rsidRPr="00EB5E8A">
        <w:t>stoma formation</w:t>
      </w:r>
      <w:r w:rsidRPr="00EB5E8A">
        <w:t xml:space="preserve"> may contribute to the onset of </w:t>
      </w:r>
      <w:r w:rsidR="009F4923" w:rsidRPr="00EB5E8A">
        <w:t xml:space="preserve">mood disorders </w:t>
      </w:r>
      <w:r w:rsidRPr="00EB5E8A">
        <w:t xml:space="preserve">and the need for antidepressant medication. </w:t>
      </w:r>
      <w:r w:rsidR="00043C15" w:rsidRPr="00EB5E8A">
        <w:t xml:space="preserve"> Stoma formation is associated with an increased risk of both anxiety and depression compared with stoma sparing surgery in CD</w:t>
      </w:r>
      <w:r w:rsidR="00D24DF2" w:rsidRPr="00EB5E8A">
        <w:t>,</w:t>
      </w:r>
      <w:r w:rsidR="00043C15" w:rsidRPr="00EB5E8A">
        <w:t xml:space="preserve"> but it is unclear whether this applies to both permanent </w:t>
      </w:r>
      <w:r w:rsidR="00043C15" w:rsidRPr="00EB5E8A">
        <w:rPr>
          <w:i/>
        </w:rPr>
        <w:t>and</w:t>
      </w:r>
      <w:r w:rsidR="00043C15" w:rsidRPr="00EB5E8A">
        <w:t xml:space="preserve"> temporary stomas.</w:t>
      </w:r>
      <w:r w:rsidR="00043C15" w:rsidRPr="00EB5E8A">
        <w:fldChar w:fldCharType="begin" w:fldLock="1"/>
      </w:r>
      <w:r w:rsidR="00027134" w:rsidRPr="00EB5E8A">
        <w:instrText>ADDIN CSL_CITATION {"citationItems":[{"id":"ITEM-1","itemData":{"ISSN":"0002-9270","author":[{"dropping-particle":"","family":"Ananthakrishnan","given":"Ashwin N","non-dropping-particle":"","parse-names":false,"suffix":""},{"dropping-particle":"","family":"Gainer","given":"Vivian S","non-dropping-particle":"","parse-names":false,"suffix":""},{"dropping-particle":"","family":"Cai","given":"Tianxi","non-dropping-particle":"","parse-names":false,"suffix":""},{"dropping-particle":"","family":"Perez","given":"Raul Guzman","non-dropping-particle":"","parse-names":false,"suffix":""},{"dropping-particle":"","family":"Cheng","given":"Su-Chun","non-dropping-particle":"","parse-names":false,"suffix":""},{"dropping-particle":"","family":"Savova","given":"Guergana","non-dropping-particle":"","parse-names":false,"suffix":""},{"dropping-particle":"","family":"Chen","given":"Pei","non-dropping-particle":"","parse-names":false,"suffix":""},{"dropping-particle":"","family":"Szolovits","given":"Peter","non-dropping-particle":"","parse-names":false,"suffix":""},{"dropping-particle":"","family":"Xia","given":"Zongqi","non-dropping-particle":"","parse-names":false,"suffix":""},{"dropping-particle":"","family":"Jager","given":"Philip L","non-dropping-particle":"De","parse-names":false,"suffix":""},{"dropping-particle":"","family":"Shaw","given":"Stanley","non-dropping-particle":"","parse-names":false,"suffix":""},{"dropping-particle":"","family":"Churchill","given":"Susanne","non-dropping-particle":"","parse-names":false,"suffix":""},{"dropping-particle":"","family":"Karlson","given":"Elizabeth W","non-dropping-particle":"","parse-names":false,"suffix":""},{"dropping-particle":"","family":"Kohane","given":"Isaac","non-dropping-particle":"","parse-names":false,"suffix":""},{"dropping-particle":"","family":"Perlis","given":"Roy H","non-dropping-particle":"","parse-names":false,"suffix":""},{"dropping-particle":"","family":"Plenge","given":"Robert M","non-dropping-particle":"","parse-names":false,"suffix":""},{"dropping-particle":"","family":"Murphy","given":"Shawn N","non-dropping-particle":"","parse-names":false,"suffix":""},{"dropping-particle":"","family":"Liao","given":"Katherine P","non-dropping-particle":"","parse-names":false,"suffix":""}],"container-title":"Am J Gastroenterol","id":"ITEM-1","issue":"4","issued":{"date-parts":[["2013","4"]]},"page":"594-601","publisher":"American College of Gastroenterology","title":"Similar Risk of Depression and Anxiety Following Surgery or Hospitalization for Crohn's Disease and Ulcerative Colitis","type":"article-journal","volume":"108"},"uris":["http://www.mendeley.com/documents/?uuid=eff03093-991d-4ff5-bb48-d7ac0c02e0a1"]}],"mendeley":{"formattedCitation":"&lt;sup&gt;11&lt;/sup&gt;","plainTextFormattedCitation":"11","previouslyFormattedCitation":"&lt;sup&gt;11&lt;/sup&gt;"},"properties":{"noteIndex":0},"schema":"https://github.com/citation-style-language/schema/raw/master/csl-citation.json"}</w:instrText>
      </w:r>
      <w:r w:rsidR="00043C15" w:rsidRPr="00EB5E8A">
        <w:fldChar w:fldCharType="separate"/>
      </w:r>
      <w:r w:rsidR="00043C15" w:rsidRPr="00EB5E8A">
        <w:rPr>
          <w:noProof/>
          <w:vertAlign w:val="superscript"/>
        </w:rPr>
        <w:t>11</w:t>
      </w:r>
      <w:r w:rsidR="00043C15" w:rsidRPr="00EB5E8A">
        <w:fldChar w:fldCharType="end"/>
      </w:r>
      <w:r w:rsidR="002877C6" w:rsidRPr="00EB5E8A">
        <w:t xml:space="preserve"> </w:t>
      </w:r>
      <w:r w:rsidR="00027134" w:rsidRPr="00EB5E8A">
        <w:t>Some patients believe it would be easier to cope with the</w:t>
      </w:r>
      <w:r w:rsidR="002877C6" w:rsidRPr="00EB5E8A">
        <w:t xml:space="preserve"> idea of having a temporary stoma </w:t>
      </w:r>
      <w:r w:rsidR="00027134" w:rsidRPr="00EB5E8A">
        <w:t>because it offers the possibility of reversal</w:t>
      </w:r>
      <w:r w:rsidR="00D24DF2" w:rsidRPr="00EB5E8A">
        <w:t>. H</w:t>
      </w:r>
      <w:r w:rsidR="00027134" w:rsidRPr="00EB5E8A">
        <w:t>owever</w:t>
      </w:r>
      <w:r w:rsidR="00D24DF2" w:rsidRPr="00EB5E8A">
        <w:t>,</w:t>
      </w:r>
      <w:r w:rsidR="00027134" w:rsidRPr="00EB5E8A">
        <w:t xml:space="preserve"> it is unclear if this is the case.</w:t>
      </w:r>
      <w:r w:rsidR="00027134" w:rsidRPr="00EB5E8A">
        <w:fldChar w:fldCharType="begin" w:fldLock="1"/>
      </w:r>
      <w:r w:rsidR="00AB60A0" w:rsidRPr="00EB5E8A">
        <w:instrText>ADDIN CSL_CITATION {"citationItems":[{"id":"ITEM-1","itemData":{"DOI":"10.1093/ibd/izx043","ISSN":"15364844","abstract":"Background: Many inflammatory bowel disease (IBD) patients worry about stoma-forming surgery (SFS), sometimes enduring poor bowel-related quality of life to avoid it. Anticipation of SFS and whether expectations match experience is underreported. This qualitative study explored influences on patients' SFS decision-making and compared preoperative concerns with postoperative outcomes. Methods: We purposively recruited participants with IBD from UK hospital outpatient and community sources, and IBD clinicians from public hospitals. Four focus groups, 29 semistructured patient participant interviews, and 18 clinician interviews were audio recorded, transcribed, and analysed thematically. Participants had a current temporary, recently-reversed, or permanent stoma, or were stoma naive. Results: Four themes emerged: Preoperative concerns and expectations, Patient decision-making, Surgery and recovery, and Long-term outcomes. Participants and clinicians agreed about most preoperative concerns, that outcomes were often better than expected, and support from others with a stoma is beneficial. Patient decision-making involves multiple factors, including disease status. Some clinicians avoid discussing SFS, and the phrase 'last resort' can bias patient perceptions; others recommend early discussion, increasing dialogue when medical management becomes ineffective. The postoperative period is particularly challenging for patients. Stoma acceptance is influenced by personal perceptions and pre- and postoperative clinical and social support. Conclusion: Patients need balanced information on all treatment options, including surgery, from an early stage. Early multidisciplinary team dialogue about SFS, and contact with others living well with a stoma, could enable informed decision-making. Life with a stoma is often better than anticipated, improving quality of life and control. Ongoing specialist nursing support AIDS recovery and adjustment.","author":[{"dropping-particle":"","family":"Dibley","given":"Lesley","non-dropping-particle":"","parse-names":false,"suffix":""},{"dropping-particle":"","family":"Czuber-Dochan","given":"Wladyslawa","non-dropping-particle":"","parse-names":false,"suffix":""},{"dropping-particle":"","family":"Wade","given":"Tiffany","non-dropping-particle":"","parse-names":false,"suffix":""},{"dropping-particle":"","family":"Duncan","given":"Julie","non-dropping-particle":"","parse-names":false,"suffix":""},{"dropping-particle":"","family":"Burch","given":"Jennie","non-dropping-particle":"","parse-names":false,"suffix":""},{"dropping-particle":"","family":"Warusavitarne","given":"Janindra","non-dropping-particle":"","parse-names":false,"suffix":""},{"dropping-particle":"","family":"Norton","given":"Christine","non-dropping-particle":"","parse-names":false,"suffix":""},{"dropping-particle":"","family":"Artom","given":"Micol","non-dropping-particle":"","parse-names":false,"suffix":""},{"dropping-particle":"","family":"O'Sullivan","given":"Liam","non-dropping-particle":"","parse-names":false,"suffix":""},{"dropping-particle":"","family":"Verjee","given":"Azmina","non-dropping-particle":"","parse-names":false,"suffix":""},{"dropping-particle":"","family":"Cann","given":"Denise","non-dropping-particle":"","parse-names":false,"suffix":""}],"container-title":"Inflammatory Bowel Diseases","id":"ITEM-1","issue":"2","issued":{"date-parts":[["2018"]]},"page":"235-246","title":"Patient Decision-Making about Emergency and Planned Stoma Surgery for IBD: A Qualitative Exploration of Patient and Clinician Perspectives","type":"article-journal","volume":"24"},"uris":["http://www.mendeley.com/documents/?uuid=6db35ead-e41b-42c0-860e-7e97be5a395a"]}],"mendeley":{"formattedCitation":"&lt;sup&gt;10&lt;/sup&gt;","plainTextFormattedCitation":"10","previouslyFormattedCitation":"&lt;sup&gt;10&lt;/sup&gt;"},"properties":{"noteIndex":0},"schema":"https://github.com/citation-style-language/schema/raw/master/csl-citation.json"}</w:instrText>
      </w:r>
      <w:r w:rsidR="00027134" w:rsidRPr="00EB5E8A">
        <w:fldChar w:fldCharType="separate"/>
      </w:r>
      <w:r w:rsidR="00027134" w:rsidRPr="00EB5E8A">
        <w:rPr>
          <w:noProof/>
          <w:vertAlign w:val="superscript"/>
        </w:rPr>
        <w:t>10</w:t>
      </w:r>
      <w:r w:rsidR="00027134" w:rsidRPr="00EB5E8A">
        <w:fldChar w:fldCharType="end"/>
      </w:r>
    </w:p>
    <w:p w14:paraId="50B8E631" w14:textId="2D004D82" w:rsidR="00043C15" w:rsidRPr="00EB5E8A" w:rsidRDefault="00043C15" w:rsidP="00C13B1E">
      <w:pPr>
        <w:spacing w:line="480" w:lineRule="auto"/>
        <w:jc w:val="both"/>
        <w:rPr>
          <w:rFonts w:cs="Arial"/>
        </w:rPr>
      </w:pPr>
      <w:r w:rsidRPr="00EB5E8A">
        <w:t>We designed a</w:t>
      </w:r>
      <w:r w:rsidR="00027134" w:rsidRPr="00EB5E8A">
        <w:t xml:space="preserve"> nationally</w:t>
      </w:r>
      <w:r w:rsidR="00D24DF2" w:rsidRPr="00EB5E8A">
        <w:t xml:space="preserve"> </w:t>
      </w:r>
      <w:r w:rsidR="00027134" w:rsidRPr="00EB5E8A">
        <w:t>representative</w:t>
      </w:r>
      <w:r w:rsidRPr="00EB5E8A">
        <w:t xml:space="preserve"> </w:t>
      </w:r>
      <w:r w:rsidR="002877C6" w:rsidRPr="00EB5E8A">
        <w:t xml:space="preserve">population based cohort study to test the hypothesis that both permanent </w:t>
      </w:r>
      <w:r w:rsidR="002877C6" w:rsidRPr="00EB5E8A">
        <w:rPr>
          <w:i/>
        </w:rPr>
        <w:t>and</w:t>
      </w:r>
      <w:r w:rsidR="002877C6" w:rsidRPr="00EB5E8A">
        <w:t xml:space="preserve"> temporary stomas are associated with an increased </w:t>
      </w:r>
      <w:r w:rsidR="00412ECA" w:rsidRPr="00EB5E8A">
        <w:t>likel</w:t>
      </w:r>
      <w:r w:rsidR="004F4A9F" w:rsidRPr="00EB5E8A">
        <w:t>i</w:t>
      </w:r>
      <w:r w:rsidR="00412ECA" w:rsidRPr="00EB5E8A">
        <w:t>hood</w:t>
      </w:r>
      <w:r w:rsidR="002877C6" w:rsidRPr="00EB5E8A">
        <w:t xml:space="preserve"> of antidepressant use following intestinal surgery for CD.</w:t>
      </w:r>
    </w:p>
    <w:p w14:paraId="5FA2BBE8" w14:textId="77777777" w:rsidR="0008299C" w:rsidRPr="00EB5E8A" w:rsidRDefault="0008299C" w:rsidP="00C13B1E">
      <w:pPr>
        <w:spacing w:line="480" w:lineRule="auto"/>
        <w:jc w:val="both"/>
        <w:rPr>
          <w:rFonts w:cs="Arial"/>
        </w:rPr>
      </w:pPr>
    </w:p>
    <w:p w14:paraId="45258E17" w14:textId="2F9AD141" w:rsidR="00E106D3" w:rsidRPr="00EB5E8A" w:rsidRDefault="00E106D3" w:rsidP="00E106D3">
      <w:pPr>
        <w:pStyle w:val="Heading1"/>
        <w:rPr>
          <w:b/>
          <w:color w:val="5B9BD5" w:themeColor="accent1"/>
        </w:rPr>
      </w:pPr>
      <w:r w:rsidRPr="00EB5E8A">
        <w:rPr>
          <w:b/>
          <w:color w:val="5B9BD5" w:themeColor="accent1"/>
        </w:rPr>
        <w:t>Methods</w:t>
      </w:r>
    </w:p>
    <w:p w14:paraId="60D7E99D" w14:textId="3FBDE3A4" w:rsidR="00125CBE" w:rsidRPr="00EB5E8A" w:rsidRDefault="0077489F" w:rsidP="00125CBE">
      <w:pPr>
        <w:pStyle w:val="Heading3"/>
        <w:rPr>
          <w:b/>
          <w:color w:val="5B9BD5" w:themeColor="accent1"/>
          <w:sz w:val="26"/>
          <w:szCs w:val="26"/>
        </w:rPr>
      </w:pPr>
      <w:r w:rsidRPr="00EB5E8A">
        <w:rPr>
          <w:b/>
          <w:color w:val="5B9BD5" w:themeColor="accent1"/>
          <w:sz w:val="26"/>
          <w:szCs w:val="26"/>
        </w:rPr>
        <w:t>Data source</w:t>
      </w:r>
      <w:r w:rsidR="00125CBE" w:rsidRPr="00EB5E8A">
        <w:rPr>
          <w:b/>
          <w:color w:val="5B9BD5" w:themeColor="accent1"/>
          <w:sz w:val="26"/>
          <w:szCs w:val="26"/>
        </w:rPr>
        <w:t xml:space="preserve"> and Ethical approval </w:t>
      </w:r>
    </w:p>
    <w:p w14:paraId="4F82C17D" w14:textId="04AF5B3C" w:rsidR="00415DA2" w:rsidRPr="00EB5E8A" w:rsidRDefault="00832E66" w:rsidP="008F6F64">
      <w:pPr>
        <w:spacing w:line="480" w:lineRule="auto"/>
        <w:jc w:val="both"/>
      </w:pPr>
      <w:r w:rsidRPr="00EB5E8A">
        <w:t xml:space="preserve">Clinical Practice Research Datalink </w:t>
      </w:r>
      <w:r w:rsidR="00A23BD1" w:rsidRPr="00EB5E8A">
        <w:t>(</w:t>
      </w:r>
      <w:r w:rsidR="00F07CF9" w:rsidRPr="00EB5E8A">
        <w:t>CPRD</w:t>
      </w:r>
      <w:r w:rsidR="00A23BD1" w:rsidRPr="00EB5E8A">
        <w:t>)</w:t>
      </w:r>
      <w:r w:rsidR="00F07CF9" w:rsidRPr="00EB5E8A">
        <w:t xml:space="preserve"> </w:t>
      </w:r>
      <w:r w:rsidR="00AE0B13" w:rsidRPr="00EB5E8A">
        <w:t xml:space="preserve">is </w:t>
      </w:r>
      <w:r w:rsidR="00F07CF9" w:rsidRPr="00EB5E8A">
        <w:t>one of</w:t>
      </w:r>
      <w:r w:rsidR="0077489F" w:rsidRPr="00EB5E8A">
        <w:t xml:space="preserve"> </w:t>
      </w:r>
      <w:r w:rsidR="0077489F" w:rsidRPr="00EB5E8A">
        <w:rPr>
          <w:rFonts w:cs="Calibri"/>
        </w:rPr>
        <w:t>the largest validated primary care research database</w:t>
      </w:r>
      <w:r w:rsidR="00F07CF9" w:rsidRPr="00EB5E8A">
        <w:rPr>
          <w:rFonts w:cs="Calibri"/>
        </w:rPr>
        <w:t>s</w:t>
      </w:r>
      <w:r w:rsidR="0077489F" w:rsidRPr="00EB5E8A">
        <w:rPr>
          <w:rFonts w:cs="Calibri"/>
        </w:rPr>
        <w:t xml:space="preserve"> in the world. It contains longitudinal, </w:t>
      </w:r>
      <w:r w:rsidR="0077489F" w:rsidRPr="00EB5E8A">
        <w:t xml:space="preserve">patient-level, anonymised electronic health </w:t>
      </w:r>
      <w:r w:rsidR="0077489F" w:rsidRPr="00EB5E8A">
        <w:rPr>
          <w:rFonts w:cs="Calibri"/>
        </w:rPr>
        <w:t xml:space="preserve">records </w:t>
      </w:r>
      <w:r w:rsidR="00DA7C22" w:rsidRPr="00EB5E8A">
        <w:rPr>
          <w:rFonts w:cs="Calibri"/>
        </w:rPr>
        <w:t xml:space="preserve">of </w:t>
      </w:r>
      <w:r w:rsidR="002A0419" w:rsidRPr="00EB5E8A">
        <w:rPr>
          <w:rFonts w:cs="Calibri"/>
        </w:rPr>
        <w:t>1</w:t>
      </w:r>
      <w:r w:rsidR="00A40605" w:rsidRPr="00EB5E8A">
        <w:rPr>
          <w:rFonts w:cs="Calibri"/>
        </w:rPr>
        <w:t>8</w:t>
      </w:r>
      <w:r w:rsidR="002A0419" w:rsidRPr="00EB5E8A">
        <w:rPr>
          <w:rFonts w:cs="Calibri"/>
        </w:rPr>
        <w:t xml:space="preserve"> million</w:t>
      </w:r>
      <w:r w:rsidR="00DA7C22" w:rsidRPr="00EB5E8A">
        <w:rPr>
          <w:rFonts w:cs="Calibri"/>
        </w:rPr>
        <w:t xml:space="preserve"> patients </w:t>
      </w:r>
      <w:r w:rsidR="0077489F" w:rsidRPr="00EB5E8A">
        <w:rPr>
          <w:rFonts w:cs="Calibri"/>
        </w:rPr>
        <w:t xml:space="preserve">from </w:t>
      </w:r>
      <w:r w:rsidR="00C435F7" w:rsidRPr="00EB5E8A">
        <w:rPr>
          <w:rFonts w:cs="Calibri"/>
        </w:rPr>
        <w:t>more than 700</w:t>
      </w:r>
      <w:r w:rsidR="0077489F" w:rsidRPr="00EB5E8A" w:rsidDel="00FE7FD4">
        <w:rPr>
          <w:rFonts w:cs="Calibri"/>
        </w:rPr>
        <w:t xml:space="preserve"> </w:t>
      </w:r>
      <w:r w:rsidR="0077489F" w:rsidRPr="00EB5E8A">
        <w:rPr>
          <w:rFonts w:cs="Calibri"/>
        </w:rPr>
        <w:t>general practices and is representative of the United Kingdom (UK) population</w:t>
      </w:r>
      <w:r w:rsidR="0077489F" w:rsidRPr="00EB5E8A">
        <w:t xml:space="preserve">. Primary care physicians use Read codes to </w:t>
      </w:r>
      <w:r w:rsidR="00A23BD1" w:rsidRPr="00EB5E8A">
        <w:t xml:space="preserve">record </w:t>
      </w:r>
      <w:r w:rsidR="005E238C" w:rsidRPr="00EB5E8A">
        <w:t>diagnoses</w:t>
      </w:r>
      <w:r w:rsidR="00A23BD1" w:rsidRPr="00EB5E8A">
        <w:t>, surgical procedures</w:t>
      </w:r>
      <w:r w:rsidR="005E238C" w:rsidRPr="00EB5E8A">
        <w:t xml:space="preserve"> and prescriptions.</w:t>
      </w:r>
      <w:r w:rsidR="0077489F" w:rsidRPr="00EB5E8A">
        <w:t xml:space="preserve"> Data are audited to ensure accurac</w:t>
      </w:r>
      <w:r w:rsidR="005E238C" w:rsidRPr="00EB5E8A">
        <w:t>y and completeness. The database</w:t>
      </w:r>
      <w:r w:rsidR="00415DA2" w:rsidRPr="00EB5E8A">
        <w:t xml:space="preserve"> has been validated and used for</w:t>
      </w:r>
      <w:r w:rsidR="0077489F" w:rsidRPr="00EB5E8A">
        <w:t xml:space="preserve"> research </w:t>
      </w:r>
      <w:r w:rsidR="00415DA2" w:rsidRPr="00EB5E8A">
        <w:t xml:space="preserve">of long term conditions including </w:t>
      </w:r>
      <w:r w:rsidR="0077489F" w:rsidRPr="00EB5E8A">
        <w:t>IBD</w:t>
      </w:r>
      <w:r w:rsidR="00415DA2" w:rsidRPr="00EB5E8A">
        <w:t xml:space="preserve"> and depression</w:t>
      </w:r>
      <w:r w:rsidR="0077489F" w:rsidRPr="00EB5E8A">
        <w:t>.</w:t>
      </w:r>
      <w:r w:rsidR="00AE0B13" w:rsidRPr="00EB5E8A">
        <w:fldChar w:fldCharType="begin" w:fldLock="1"/>
      </w:r>
      <w:r w:rsidR="00143EE9" w:rsidRPr="00EB5E8A">
        <w:instrText>ADDIN CSL_CITATION {"citationItems":[{"id":"ITEM-1","itemData":{"author":[{"dropping-particle":"","family":"Lewis","given":"James D","non-dropping-particle":"","parse-names":false,"suffix":""},{"dropping-particle":"","family":"Ms","given":"Colleen Brensinger","non-dropping-particle":"","parse-names":false,"suffix":""},{"dropping-particle":"","family":"Bilker","given":"Warren B","non-dropping-particle":"","parse-names":false,"suffix":""},{"dropping-particle":"","family":"Strom","given":"Brian L","non-dropping-particle":"","parse-names":false,"suffix":""}],"container-title":"Pharmacoepidemiol Drug Saf.","id":"ITEM-1","issue":"April","issued":{"date-parts":[["2002"]]},"page":"211-218","title":"Validity and completeness of the General Practice Research Database for studies of inflammatory bowel disease","type":"article-journal"},"uris":["http://www.mendeley.com/documents/?uuid=3137f753-408d-4841-88e8-df936fe93c78"]},{"id":"ITEM-2","itemData":{"DOI":"10.1186/s12911-016-0274-7","ISSN":"14726947","PMID":"26979325","abstract":"Background: The robustness of epidemiological research using routinely collected primary care electronic data to support policy and practice for common mental disorders (CMD) anxiety and depression would be greatly enhanced by appropriate validation of diagnostic codes and algorithms for data extraction. We aimed to create a robust research platform for CMD using population-based, routinely collected primary care electronic data. Methods: We developed a set of Read code lists (diagnosis, symptoms, treatments) for the identification of anxiety and depression in the General Practice Database (GPD) within the Secure Anonymised Information Linkage Databank at Swansea University, and assessed 12 algorithms for Read codes to define cases according to various criteria. Annual incidence rates were calculated per 1000 person years at risk (PYAR) to assess recording practice for these CMD between January 1st 2000 and December 31st 2009. We anonymously linked the 2799 MHI-5 Caerphilly Health and Social Needs Survey (CHSNS) respondents aged 18 to 74 years to their routinely collected GP data in SAIL. We estimated the sensitivity, specificity and positive predictive value of the various algorithms using the MHI-5 as the gold standard. Results: The incidence of combined depression/anxiety diagnoses remained stable over the ten-year period in a population of over 500,000 but symptoms increased from 6.5 to 20.7 per 1000 PYAR. A 'historical' GP diagnosis for depression/anxiety currently treated plus a current diagnosis (treated or untreated) resulted in a specificity of 0.96, sensitivity 0.29 and PPV 0.76. Adding current symptom codes improved sensitivity (0.32) with a marginal effect on specificity (0.95) and PPV (0.74). Conclusions: We have developed an algorithm with a high specificity and PPV of detecting cases of anxiety and depression from routine GP data that incorporates symptom codes to reflect GP coding behaviour. We have demonstrated that using diagnosis and current treatment alone to identify cases for depression and anxiety using routinely collected primary care data will miss a number of true cases given changes in GP recording behaviour. The Read code lists plus the developed algorithms will be applicable to other routinely collected primary care datasets, creating a platform for future e-cohort research into these conditions.","author":[{"dropping-particle":"","family":"John","given":"Ann","non-dropping-particle":"","parse-names":false,"suffix":""},{"dropping-particle":"","family":"McGregor","given":"Joanne","non-dropping-particle":"","parse-names":false,"suffix":""},{"dropping-particle":"","family":"Fone","given":"David","non-dropping-particle":"","parse-names":false,"suffix":""},{"dropping-particle":"","family":"Dunstan","given":"Frank","non-dropping-particle":"","parse-names":false,"suffix":""},{"dropping-particle":"","family":"Cornish","given":"Rosie","non-dropping-particle":"","parse-names":false,"suffix":""},{"dropping-particle":"","family":"Lyons","given":"Ronan A.","non-dropping-particle":"","parse-names":false,"suffix":""},{"dropping-particle":"","family":"Lloyd","given":"Keith R.","non-dropping-particle":"","parse-names":false,"suffix":""}],"container-title":"BMC Medical Informatics and Decision Making","id":"ITEM-2","issue":"1","issued":{"date-parts":[["2016"]]},"page":"1-10","publisher":"BMC Medical Informatics and Decision Making","title":"Case-finding for common mental disorders of anxiety and depression in primary care: An external validation of routinely collected data","type":"article-journal","volume":"16"},"uris":["http://www.mendeley.com/documents/?uuid=45d21beb-ca57-4b9e-8fed-a0b12e437217"]}],"mendeley":{"formattedCitation":"&lt;sup&gt;12,13&lt;/sup&gt;","plainTextFormattedCitation":"12,13","previouslyFormattedCitation":"&lt;sup&gt;12,13&lt;/sup&gt;"},"properties":{"noteIndex":0},"schema":"https://github.com/citation-style-language/schema/raw/master/csl-citation.json"}</w:instrText>
      </w:r>
      <w:r w:rsidR="00AE0B13" w:rsidRPr="00EB5E8A">
        <w:fldChar w:fldCharType="separate"/>
      </w:r>
      <w:r w:rsidR="008558BD" w:rsidRPr="00EB5E8A">
        <w:rPr>
          <w:noProof/>
          <w:vertAlign w:val="superscript"/>
        </w:rPr>
        <w:t>12,13</w:t>
      </w:r>
      <w:r w:rsidR="00AE0B13" w:rsidRPr="00EB5E8A">
        <w:fldChar w:fldCharType="end"/>
      </w:r>
      <w:r w:rsidR="0029557A" w:rsidRPr="00EB5E8A">
        <w:rPr>
          <w:rStyle w:val="CommentReference"/>
          <w:sz w:val="22"/>
        </w:rPr>
        <w:t xml:space="preserve"> </w:t>
      </w:r>
      <w:r w:rsidR="0077489F" w:rsidRPr="00EB5E8A">
        <w:t>We obtained ethical and scientific approval for our study from the Independent Scientific Advisory Committee (ISAC Protocol number: 15_0</w:t>
      </w:r>
      <w:r w:rsidR="008F6F64" w:rsidRPr="00EB5E8A">
        <w:t>18R).</w:t>
      </w:r>
    </w:p>
    <w:p w14:paraId="4E458A98" w14:textId="09B4CD57" w:rsidR="005B23AB" w:rsidRPr="00EB5E8A" w:rsidRDefault="00524EB7" w:rsidP="00E10A51">
      <w:pPr>
        <w:pStyle w:val="Heading3"/>
        <w:rPr>
          <w:b/>
          <w:color w:val="5B9BD5" w:themeColor="accent1"/>
          <w:sz w:val="26"/>
          <w:szCs w:val="26"/>
        </w:rPr>
      </w:pPr>
      <w:r w:rsidRPr="00EB5E8A">
        <w:rPr>
          <w:b/>
          <w:color w:val="5B9BD5" w:themeColor="accent1"/>
          <w:sz w:val="26"/>
          <w:szCs w:val="26"/>
        </w:rPr>
        <w:t>Incident case definition</w:t>
      </w:r>
    </w:p>
    <w:p w14:paraId="7A1FAE91" w14:textId="28D70E2A" w:rsidR="00A97576" w:rsidRPr="00EB5E8A" w:rsidRDefault="004D50C0" w:rsidP="00001F53">
      <w:pPr>
        <w:spacing w:line="480" w:lineRule="auto"/>
        <w:jc w:val="both"/>
      </w:pPr>
      <w:r w:rsidRPr="00EB5E8A">
        <w:t>W</w:t>
      </w:r>
      <w:r w:rsidR="005B23AB" w:rsidRPr="00EB5E8A">
        <w:t>e</w:t>
      </w:r>
      <w:r w:rsidR="00A97576" w:rsidRPr="00EB5E8A">
        <w:t xml:space="preserve"> defined</w:t>
      </w:r>
      <w:r w:rsidR="005B23AB" w:rsidRPr="00EB5E8A">
        <w:t xml:space="preserve"> </w:t>
      </w:r>
      <w:r w:rsidR="00A23BD1" w:rsidRPr="00EB5E8A">
        <w:t>incident CD</w:t>
      </w:r>
      <w:r w:rsidR="00A97576" w:rsidRPr="00EB5E8A">
        <w:t xml:space="preserve"> cases as </w:t>
      </w:r>
      <w:r w:rsidR="00A24C1A" w:rsidRPr="00EB5E8A">
        <w:t>individuals</w:t>
      </w:r>
      <w:r w:rsidR="005B23AB" w:rsidRPr="00EB5E8A">
        <w:t xml:space="preserve"> with a first </w:t>
      </w:r>
      <w:r w:rsidR="00A97576" w:rsidRPr="00EB5E8A">
        <w:t xml:space="preserve">ever diagnosis Read </w:t>
      </w:r>
      <w:r w:rsidR="00A23BD1" w:rsidRPr="00EB5E8A">
        <w:t>code for</w:t>
      </w:r>
      <w:r w:rsidR="00F07CF9" w:rsidRPr="00EB5E8A">
        <w:t xml:space="preserve"> CD</w:t>
      </w:r>
      <w:r w:rsidR="00A23BD1" w:rsidRPr="00EB5E8A">
        <w:t xml:space="preserve"> </w:t>
      </w:r>
      <w:r w:rsidR="005B23AB" w:rsidRPr="00EB5E8A">
        <w:t>at least one year after registering with an 'Up To Standard' practice for the period January 1st 1998 to May 1st 2016</w:t>
      </w:r>
      <w:r w:rsidR="00A97576" w:rsidRPr="00EB5E8A">
        <w:t xml:space="preserve"> in accordance with previously </w:t>
      </w:r>
      <w:r w:rsidR="00E533DB" w:rsidRPr="00EB5E8A">
        <w:t xml:space="preserve">validated </w:t>
      </w:r>
      <w:r w:rsidR="00A97576" w:rsidRPr="00EB5E8A">
        <w:t>methods</w:t>
      </w:r>
      <w:r w:rsidRPr="00EB5E8A">
        <w:t>.</w:t>
      </w:r>
      <w:r w:rsidR="00E533DB" w:rsidRPr="00EB5E8A">
        <w:fldChar w:fldCharType="begin" w:fldLock="1"/>
      </w:r>
      <w:r w:rsidR="00143EE9" w:rsidRPr="00EB5E8A">
        <w:instrText>ADDIN CSL_CITATION {"citationItems":[{"id":"ITEM-1","itemData":{"author":[{"dropping-particle":"","family":"Lewis","given":"James D","non-dropping-particle":"","parse-names":false,"suffix":""},{"dropping-particle":"","family":"Ms","given":"Colleen Brensinger","non-dropping-particle":"","parse-names":false,"suffix":""},{"dropping-particle":"","family":"Bilker","given":"Warren B","non-dropping-particle":"","parse-names":false,"suffix":""},{"dropping-particle":"","family":"Strom","given":"Brian L","non-dropping-particle":"","parse-names":false,"suffix":""}],"container-title":"Pharmacoepidemiol Drug Saf.","id":"ITEM-1","issue":"April","issued":{"date-parts":[["2002"]]},"page":"211-218","title":"Validity and completeness of the General Practice Research Database for studies of inflammatory bowel disease","type":"article-journal"},"uris":["http://www.mendeley.com/documents/?uuid=3137f753-408d-4841-88e8-df936fe93c78"]}],"mendeley":{"formattedCitation":"&lt;sup&gt;12&lt;/sup&gt;","plainTextFormattedCitation":"12","previouslyFormattedCitation":"&lt;sup&gt;12&lt;/sup&gt;"},"properties":{"noteIndex":0},"schema":"https://github.com/citation-style-language/schema/raw/master/csl-citation.json"}</w:instrText>
      </w:r>
      <w:r w:rsidR="00E533DB" w:rsidRPr="00EB5E8A">
        <w:fldChar w:fldCharType="separate"/>
      </w:r>
      <w:r w:rsidR="008558BD" w:rsidRPr="00EB5E8A">
        <w:rPr>
          <w:noProof/>
          <w:vertAlign w:val="superscript"/>
        </w:rPr>
        <w:t>12</w:t>
      </w:r>
      <w:r w:rsidR="00E533DB" w:rsidRPr="00EB5E8A">
        <w:fldChar w:fldCharType="end"/>
      </w:r>
      <w:r w:rsidR="00E533DB" w:rsidRPr="00EB5E8A" w:rsidDel="00E533DB">
        <w:t xml:space="preserve"> </w:t>
      </w:r>
    </w:p>
    <w:p w14:paraId="4D7EFA43" w14:textId="546E3A9E" w:rsidR="003C632F" w:rsidRPr="00EB5E8A" w:rsidRDefault="00A23BD1" w:rsidP="00610454">
      <w:pPr>
        <w:spacing w:line="480" w:lineRule="auto"/>
        <w:jc w:val="both"/>
      </w:pPr>
      <w:r w:rsidRPr="00EB5E8A">
        <w:t>Individuals were included in the cohort if they had a code for intestinal surgery.</w:t>
      </w:r>
      <w:r w:rsidR="00681885" w:rsidRPr="00EB5E8A">
        <w:t xml:space="preserve"> We excluded individuals who received an ADM prescription within the </w:t>
      </w:r>
      <w:r w:rsidR="00FE73E6" w:rsidRPr="00EB5E8A">
        <w:t>six-month</w:t>
      </w:r>
      <w:r w:rsidR="00681885" w:rsidRPr="00EB5E8A">
        <w:t xml:space="preserve"> period before the date of their surgery. </w:t>
      </w:r>
    </w:p>
    <w:p w14:paraId="2FC18CBD" w14:textId="6B91442B" w:rsidR="002B69B6" w:rsidRPr="00EB5E8A" w:rsidRDefault="00A97576" w:rsidP="002B69B6">
      <w:pPr>
        <w:pStyle w:val="Heading2"/>
      </w:pPr>
      <w:r w:rsidRPr="00EB5E8A">
        <w:t xml:space="preserve">Exposure </w:t>
      </w:r>
      <w:r w:rsidR="00B62493" w:rsidRPr="00EB5E8A">
        <w:t>Variable</w:t>
      </w:r>
    </w:p>
    <w:p w14:paraId="29FA628C" w14:textId="6F99DAB1" w:rsidR="00B62493" w:rsidRPr="00EB5E8A" w:rsidRDefault="00B62493" w:rsidP="00FE67A4">
      <w:pPr>
        <w:spacing w:line="480" w:lineRule="auto"/>
        <w:jc w:val="both"/>
        <w:rPr>
          <w:lang w:eastAsia="en-GB"/>
        </w:rPr>
      </w:pPr>
      <w:r w:rsidRPr="00EB5E8A">
        <w:rPr>
          <w:lang w:eastAsia="en-GB"/>
        </w:rPr>
        <w:t>Stoma status following</w:t>
      </w:r>
      <w:r w:rsidR="00EB3CE2" w:rsidRPr="00EB5E8A">
        <w:rPr>
          <w:lang w:eastAsia="en-GB"/>
        </w:rPr>
        <w:t xml:space="preserve"> first</w:t>
      </w:r>
      <w:r w:rsidRPr="00EB5E8A">
        <w:rPr>
          <w:lang w:eastAsia="en-GB"/>
        </w:rPr>
        <w:t xml:space="preserve"> intestinal surgery was the primary exposure variable. Individuals were classed as having `no stoma’, a `temporary stoma’ or a `permanent stoma’.</w:t>
      </w:r>
    </w:p>
    <w:p w14:paraId="013DBBEE" w14:textId="41C21BA9" w:rsidR="00B62493" w:rsidRPr="00EB5E8A" w:rsidRDefault="00BB4613" w:rsidP="00FE67A4">
      <w:pPr>
        <w:spacing w:line="480" w:lineRule="auto"/>
        <w:jc w:val="both"/>
        <w:rPr>
          <w:lang w:eastAsia="en-GB"/>
        </w:rPr>
      </w:pPr>
      <w:r w:rsidRPr="00EB5E8A">
        <w:t>We used prescriptions of stoma bags to identify any patients who had stoma</w:t>
      </w:r>
      <w:r w:rsidR="00227B07" w:rsidRPr="00EB5E8A">
        <w:t>-</w:t>
      </w:r>
      <w:r w:rsidRPr="00EB5E8A">
        <w:t>forming surgery</w:t>
      </w:r>
      <w:r w:rsidR="00E533DB" w:rsidRPr="00EB5E8A">
        <w:t xml:space="preserve"> </w:t>
      </w:r>
      <w:r w:rsidR="00A859C0" w:rsidRPr="00EB5E8A">
        <w:t>(Appendix A</w:t>
      </w:r>
      <w:r w:rsidRPr="00EB5E8A">
        <w:t xml:space="preserve"> – Code List).</w:t>
      </w:r>
    </w:p>
    <w:p w14:paraId="05A361AA" w14:textId="1D145655" w:rsidR="00B62493" w:rsidRPr="00EB5E8A" w:rsidRDefault="00BB4613" w:rsidP="00FE67A4">
      <w:pPr>
        <w:spacing w:line="480" w:lineRule="auto"/>
        <w:jc w:val="both"/>
        <w:rPr>
          <w:lang w:eastAsia="en-GB"/>
        </w:rPr>
      </w:pPr>
      <w:r w:rsidRPr="00EB5E8A">
        <w:rPr>
          <w:lang w:eastAsia="en-GB"/>
        </w:rPr>
        <w:t>We defined patients as having no stoma if they did not receive a prescription for a stoma bag within three months of the date of their first intestinal surgery.</w:t>
      </w:r>
    </w:p>
    <w:p w14:paraId="310032C2" w14:textId="4519CE7E" w:rsidR="00681885" w:rsidRPr="00EB5E8A" w:rsidRDefault="00681885" w:rsidP="00FE67A4">
      <w:pPr>
        <w:spacing w:line="480" w:lineRule="auto"/>
        <w:jc w:val="both"/>
        <w:rPr>
          <w:lang w:eastAsia="en-GB"/>
        </w:rPr>
      </w:pPr>
      <w:r w:rsidRPr="00EB5E8A">
        <w:rPr>
          <w:lang w:eastAsia="en-GB"/>
        </w:rPr>
        <w:lastRenderedPageBreak/>
        <w:t xml:space="preserve">We defined patients as having a permanent stoma if they had a prescription for a stoma bag within three months of the date of their first intestinal surgery and </w:t>
      </w:r>
      <w:r w:rsidR="00652A79" w:rsidRPr="00EB5E8A">
        <w:rPr>
          <w:lang w:eastAsia="en-GB"/>
        </w:rPr>
        <w:t>had consecutive</w:t>
      </w:r>
      <w:r w:rsidRPr="00EB5E8A">
        <w:rPr>
          <w:lang w:eastAsia="en-GB"/>
        </w:rPr>
        <w:t xml:space="preserve"> stoma bag prescriptions each year until the end of their follow-up.</w:t>
      </w:r>
    </w:p>
    <w:p w14:paraId="42533DB6" w14:textId="40044C48" w:rsidR="00E533DB" w:rsidRPr="00EB5E8A" w:rsidRDefault="00E533DB" w:rsidP="00FE67A4">
      <w:pPr>
        <w:spacing w:line="480" w:lineRule="auto"/>
        <w:jc w:val="both"/>
        <w:rPr>
          <w:lang w:eastAsia="en-GB"/>
        </w:rPr>
      </w:pPr>
      <w:r w:rsidRPr="00EB5E8A">
        <w:rPr>
          <w:lang w:eastAsia="en-GB"/>
        </w:rPr>
        <w:t>We defined patients as having a temporary stoma if they had a prescription for a stoma bag within three months of the date of their first intestinal surgery but later had at least one year without any stoma bag prescriptions.</w:t>
      </w:r>
    </w:p>
    <w:p w14:paraId="492FE960" w14:textId="00E84C5D" w:rsidR="00BA0D77" w:rsidRPr="00EB5E8A" w:rsidRDefault="00BA0D77" w:rsidP="00FE67A4">
      <w:pPr>
        <w:spacing w:line="480" w:lineRule="auto"/>
        <w:jc w:val="both"/>
        <w:rPr>
          <w:lang w:eastAsia="en-GB"/>
        </w:rPr>
      </w:pPr>
      <w:r w:rsidRPr="00EB5E8A">
        <w:rPr>
          <w:lang w:eastAsia="en-GB"/>
        </w:rPr>
        <w:t>For patients with a temporary stoma we calculated the time to stoma reversal surgery.</w:t>
      </w:r>
      <w:r w:rsidR="00A04E32" w:rsidRPr="00EB5E8A">
        <w:rPr>
          <w:lang w:eastAsia="en-GB"/>
        </w:rPr>
        <w:t xml:space="preserve"> In a preliminary analysis we determined the median time between stoma bag prescriptions</w:t>
      </w:r>
      <w:r w:rsidRPr="00EB5E8A">
        <w:rPr>
          <w:lang w:eastAsia="en-GB"/>
        </w:rPr>
        <w:t xml:space="preserve"> </w:t>
      </w:r>
      <w:r w:rsidR="00A04E32" w:rsidRPr="00EB5E8A">
        <w:rPr>
          <w:lang w:eastAsia="en-GB"/>
        </w:rPr>
        <w:t>was 3</w:t>
      </w:r>
      <w:r w:rsidR="00A0242A" w:rsidRPr="00EB5E8A">
        <w:rPr>
          <w:lang w:eastAsia="en-GB"/>
        </w:rPr>
        <w:t>2</w:t>
      </w:r>
      <w:r w:rsidR="00A04E32" w:rsidRPr="00EB5E8A">
        <w:rPr>
          <w:lang w:eastAsia="en-GB"/>
        </w:rPr>
        <w:t xml:space="preserve"> days</w:t>
      </w:r>
      <w:r w:rsidR="00A0242A" w:rsidRPr="00EB5E8A">
        <w:rPr>
          <w:lang w:eastAsia="en-GB"/>
        </w:rPr>
        <w:t xml:space="preserve"> (IQR 20-56)</w:t>
      </w:r>
      <w:r w:rsidR="00A04E32" w:rsidRPr="00EB5E8A">
        <w:rPr>
          <w:lang w:eastAsia="en-GB"/>
        </w:rPr>
        <w:t xml:space="preserve">. </w:t>
      </w:r>
      <w:r w:rsidRPr="00EB5E8A">
        <w:rPr>
          <w:lang w:eastAsia="en-GB"/>
        </w:rPr>
        <w:t>We</w:t>
      </w:r>
      <w:r w:rsidR="00A04E32" w:rsidRPr="00EB5E8A">
        <w:rPr>
          <w:lang w:eastAsia="en-GB"/>
        </w:rPr>
        <w:t xml:space="preserve"> therefore</w:t>
      </w:r>
      <w:r w:rsidRPr="00EB5E8A">
        <w:rPr>
          <w:lang w:eastAsia="en-GB"/>
        </w:rPr>
        <w:t xml:space="preserve"> defined </w:t>
      </w:r>
      <w:r w:rsidR="00A04E32" w:rsidRPr="00EB5E8A">
        <w:rPr>
          <w:lang w:eastAsia="en-GB"/>
        </w:rPr>
        <w:t>the time to stoma reversal surgery</w:t>
      </w:r>
      <w:r w:rsidRPr="00EB5E8A">
        <w:rPr>
          <w:lang w:eastAsia="en-GB"/>
        </w:rPr>
        <w:t xml:space="preserve"> as the time from initial surgery to </w:t>
      </w:r>
      <w:r w:rsidR="00DB6990" w:rsidRPr="00EB5E8A">
        <w:rPr>
          <w:lang w:eastAsia="en-GB"/>
        </w:rPr>
        <w:t>3</w:t>
      </w:r>
      <w:r w:rsidR="00A0242A" w:rsidRPr="00EB5E8A">
        <w:rPr>
          <w:lang w:eastAsia="en-GB"/>
        </w:rPr>
        <w:t>2</w:t>
      </w:r>
      <w:r w:rsidR="00DB6990" w:rsidRPr="00EB5E8A">
        <w:rPr>
          <w:lang w:eastAsia="en-GB"/>
        </w:rPr>
        <w:t xml:space="preserve"> days after the</w:t>
      </w:r>
      <w:r w:rsidRPr="00EB5E8A">
        <w:rPr>
          <w:lang w:eastAsia="en-GB"/>
        </w:rPr>
        <w:t xml:space="preserve"> final stoma bag prescription. We subdivided individuals with a temporary stoma into those who </w:t>
      </w:r>
      <w:r w:rsidR="00953438" w:rsidRPr="00EB5E8A">
        <w:rPr>
          <w:lang w:eastAsia="en-GB"/>
        </w:rPr>
        <w:t xml:space="preserve">had `early reversal’ </w:t>
      </w:r>
      <w:r w:rsidRPr="00EB5E8A">
        <w:rPr>
          <w:lang w:eastAsia="en-GB"/>
        </w:rPr>
        <w:t xml:space="preserve">within a year and those who </w:t>
      </w:r>
      <w:r w:rsidR="00953438" w:rsidRPr="00EB5E8A">
        <w:rPr>
          <w:lang w:eastAsia="en-GB"/>
        </w:rPr>
        <w:t>had `late reversal’</w:t>
      </w:r>
      <w:r w:rsidRPr="00EB5E8A">
        <w:rPr>
          <w:lang w:eastAsia="en-GB"/>
        </w:rPr>
        <w:t xml:space="preserve"> after one year.</w:t>
      </w:r>
    </w:p>
    <w:p w14:paraId="4CB5D04F" w14:textId="064D0378" w:rsidR="00681885" w:rsidRPr="00EB5E8A" w:rsidRDefault="00681885" w:rsidP="00681885">
      <w:pPr>
        <w:pStyle w:val="Heading2"/>
      </w:pPr>
      <w:r w:rsidRPr="00EB5E8A">
        <w:t>Outcome Measures</w:t>
      </w:r>
    </w:p>
    <w:p w14:paraId="538AC0C0" w14:textId="6420D074" w:rsidR="00681885" w:rsidRPr="00EB5E8A" w:rsidRDefault="00681885" w:rsidP="00FE67A4">
      <w:pPr>
        <w:spacing w:line="480" w:lineRule="auto"/>
        <w:jc w:val="both"/>
        <w:rPr>
          <w:lang w:eastAsia="en-GB"/>
        </w:rPr>
      </w:pPr>
      <w:r w:rsidRPr="00EB5E8A">
        <w:rPr>
          <w:lang w:eastAsia="en-GB"/>
        </w:rPr>
        <w:t>Our primary outcome measure</w:t>
      </w:r>
      <w:r w:rsidR="00652A79" w:rsidRPr="00EB5E8A">
        <w:rPr>
          <w:lang w:eastAsia="en-GB"/>
        </w:rPr>
        <w:t xml:space="preserve"> was</w:t>
      </w:r>
      <w:r w:rsidRPr="00EB5E8A">
        <w:rPr>
          <w:lang w:eastAsia="en-GB"/>
        </w:rPr>
        <w:t xml:space="preserve"> new ADM use</w:t>
      </w:r>
      <w:r w:rsidR="00D30854" w:rsidRPr="00EB5E8A">
        <w:rPr>
          <w:lang w:eastAsia="en-GB"/>
        </w:rPr>
        <w:t xml:space="preserve"> </w:t>
      </w:r>
      <w:r w:rsidRPr="00EB5E8A">
        <w:rPr>
          <w:lang w:eastAsia="en-GB"/>
        </w:rPr>
        <w:t>following first intestinal surgery.</w:t>
      </w:r>
      <w:r w:rsidR="00652A79" w:rsidRPr="00EB5E8A">
        <w:rPr>
          <w:lang w:eastAsia="en-GB"/>
        </w:rPr>
        <w:t xml:space="preserve"> </w:t>
      </w:r>
      <w:r w:rsidR="00D30854" w:rsidRPr="00EB5E8A">
        <w:t xml:space="preserve">We </w:t>
      </w:r>
      <w:r w:rsidR="00E533DB" w:rsidRPr="00EB5E8A">
        <w:t xml:space="preserve">used </w:t>
      </w:r>
      <w:r w:rsidR="00D30854" w:rsidRPr="00EB5E8A">
        <w:t>antidepressant</w:t>
      </w:r>
      <w:r w:rsidR="00E34962" w:rsidRPr="00EB5E8A">
        <w:t xml:space="preserve"> </w:t>
      </w:r>
      <w:r w:rsidR="00D30854" w:rsidRPr="00EB5E8A">
        <w:t>use</w:t>
      </w:r>
      <w:r w:rsidR="00E34962" w:rsidRPr="00EB5E8A">
        <w:t xml:space="preserve"> </w:t>
      </w:r>
      <w:r w:rsidR="00D30854" w:rsidRPr="00EB5E8A">
        <w:t>as a</w:t>
      </w:r>
      <w:r w:rsidR="008D336E" w:rsidRPr="00EB5E8A">
        <w:t xml:space="preserve"> </w:t>
      </w:r>
      <w:r w:rsidR="00D30854" w:rsidRPr="00EB5E8A">
        <w:t>surrogate marker for anxiety and</w:t>
      </w:r>
      <w:r w:rsidR="00E34962" w:rsidRPr="00EB5E8A">
        <w:t xml:space="preserve"> depression</w:t>
      </w:r>
      <w:r w:rsidR="00D30854" w:rsidRPr="00EB5E8A">
        <w:t xml:space="preserve"> </w:t>
      </w:r>
      <w:r w:rsidR="008D336E" w:rsidRPr="00EB5E8A">
        <w:t xml:space="preserve">since </w:t>
      </w:r>
      <w:r w:rsidR="00E34962" w:rsidRPr="00EB5E8A">
        <w:t xml:space="preserve"> these conditions are known to account</w:t>
      </w:r>
      <w:r w:rsidR="00D30854" w:rsidRPr="00EB5E8A">
        <w:t xml:space="preserve"> for the </w:t>
      </w:r>
      <w:r w:rsidR="00E34962" w:rsidRPr="00EB5E8A">
        <w:t xml:space="preserve">large </w:t>
      </w:r>
      <w:r w:rsidR="00D30854" w:rsidRPr="00EB5E8A">
        <w:t>majority of indications for antidepressant prescriptions.</w:t>
      </w:r>
      <w:r w:rsidR="00D30854" w:rsidRPr="00EB5E8A">
        <w:fldChar w:fldCharType="begin" w:fldLock="1"/>
      </w:r>
      <w:r w:rsidR="00143EE9" w:rsidRPr="00EB5E8A">
        <w:instrText>ADDIN CSL_CITATION {"citationItems":[{"id":"ITEM-1","itemData":{"DOI":"10.1093/ageing/afl020","ISBN":"0002-0729 (Print)\\r0002-0729 (Linking)","ISSN":"00020729","PMID":"16679335","author":[{"dropping-particle":"","family":"Petty","given":"DR","non-dropping-particle":"","parse-names":false,"suffix":""},{"dropping-particle":"","family":"House","given":"A","non-dropping-particle":"","parse-names":false,"suffix":""},{"dropping-particle":"","family":"Knapp","given":"P","non-dropping-particle":"","parse-names":false,"suffix":""},{"dropping-particle":"","family":"Raynor","given":"T","non-dropping-particle":"","parse-names":false,"suffix":""},{"dropping-particle":"","family":"Zermansky","given":"A","non-dropping-particle":"","parse-names":false,"suffix":""}],"container-title":"Age and Ageing","id":"ITEM-1","issue":"5","issued":{"date-parts":[["2006"]]},"page":"520-523","title":"Prevalence, duration and indications for prescribing of antidepressants in primary care","type":"article-journal","volume":"35"},"uris":["http://www.mendeley.com/documents/?uuid=e75addcc-a34b-4246-92a7-2dae89de81b5"]}],"mendeley":{"formattedCitation":"&lt;sup&gt;14&lt;/sup&gt;","plainTextFormattedCitation":"14","previouslyFormattedCitation":"&lt;sup&gt;14&lt;/sup&gt;"},"properties":{"noteIndex":0},"schema":"https://github.com/citation-style-language/schema/raw/master/csl-citation.json"}</w:instrText>
      </w:r>
      <w:r w:rsidR="00D30854" w:rsidRPr="00EB5E8A">
        <w:fldChar w:fldCharType="separate"/>
      </w:r>
      <w:r w:rsidR="008558BD" w:rsidRPr="00EB5E8A">
        <w:rPr>
          <w:noProof/>
          <w:vertAlign w:val="superscript"/>
        </w:rPr>
        <w:t>14</w:t>
      </w:r>
      <w:r w:rsidR="00D30854" w:rsidRPr="00EB5E8A">
        <w:fldChar w:fldCharType="end"/>
      </w:r>
      <w:r w:rsidR="00D30854" w:rsidRPr="00EB5E8A">
        <w:t xml:space="preserve"> </w:t>
      </w:r>
      <w:r w:rsidR="00652A79" w:rsidRPr="00EB5E8A">
        <w:rPr>
          <w:lang w:eastAsia="en-GB"/>
        </w:rPr>
        <w:t>We obtained prescription data for escitalopram, sertraline, citalopram, fluoxetine, paroxetine, venlafaxine</w:t>
      </w:r>
      <w:r w:rsidR="000A26BB" w:rsidRPr="00EB5E8A">
        <w:rPr>
          <w:lang w:eastAsia="en-GB"/>
        </w:rPr>
        <w:t xml:space="preserve"> and</w:t>
      </w:r>
      <w:r w:rsidR="00652A79" w:rsidRPr="00EB5E8A">
        <w:rPr>
          <w:lang w:eastAsia="en-GB"/>
        </w:rPr>
        <w:t xml:space="preserve"> mirtazapine</w:t>
      </w:r>
      <w:r w:rsidR="00A859C0" w:rsidRPr="00EB5E8A">
        <w:rPr>
          <w:lang w:eastAsia="en-GB"/>
        </w:rPr>
        <w:t xml:space="preserve"> (Appendix B – Code List)</w:t>
      </w:r>
      <w:r w:rsidR="00652A79" w:rsidRPr="00EB5E8A">
        <w:rPr>
          <w:lang w:eastAsia="en-GB"/>
        </w:rPr>
        <w:t xml:space="preserve">. </w:t>
      </w:r>
      <w:r w:rsidR="00741301" w:rsidRPr="00EB5E8A">
        <w:rPr>
          <w:lang w:eastAsia="en-GB"/>
        </w:rPr>
        <w:t>We defined the date of new ADM use as the date of the first ADM prescription following intestinal surgery.</w:t>
      </w:r>
      <w:r w:rsidR="00094FA1" w:rsidRPr="00EB5E8A">
        <w:rPr>
          <w:lang w:eastAsia="en-GB"/>
        </w:rPr>
        <w:t xml:space="preserve"> </w:t>
      </w:r>
      <w:r w:rsidR="00094FA1" w:rsidRPr="00EB5E8A">
        <w:t>Tricyclic antidepressants were rarely prescribed in our cohort at the dose required for mood disorders and we therefore excluded these from our outcome measure.</w:t>
      </w:r>
    </w:p>
    <w:p w14:paraId="56EF6E7A" w14:textId="77777777" w:rsidR="002654B5" w:rsidRPr="00EB5E8A" w:rsidRDefault="002654B5" w:rsidP="00E10A51">
      <w:pPr>
        <w:pStyle w:val="Heading3"/>
        <w:rPr>
          <w:b/>
          <w:color w:val="5B9BD5" w:themeColor="accent1"/>
          <w:sz w:val="26"/>
          <w:szCs w:val="26"/>
        </w:rPr>
      </w:pPr>
      <w:r w:rsidRPr="00EB5E8A">
        <w:rPr>
          <w:b/>
          <w:color w:val="5B9BD5" w:themeColor="accent1"/>
          <w:sz w:val="26"/>
          <w:szCs w:val="26"/>
        </w:rPr>
        <w:t>Covariates</w:t>
      </w:r>
    </w:p>
    <w:p w14:paraId="5661EDE7" w14:textId="3DB2C07E" w:rsidR="000F048D" w:rsidRPr="00EB5E8A" w:rsidRDefault="007704DD" w:rsidP="000F048D">
      <w:pPr>
        <w:spacing w:line="480" w:lineRule="auto"/>
        <w:jc w:val="both"/>
      </w:pPr>
      <w:r w:rsidRPr="00EB5E8A">
        <w:t xml:space="preserve">We </w:t>
      </w:r>
      <w:r w:rsidR="001F60B3" w:rsidRPr="00EB5E8A">
        <w:t>adjusted for</w:t>
      </w:r>
      <w:r w:rsidR="00B17F25" w:rsidRPr="00EB5E8A">
        <w:t xml:space="preserve"> covariates </w:t>
      </w:r>
      <w:r w:rsidR="00AB60A0" w:rsidRPr="00EB5E8A">
        <w:t>potentially associated with ADM use including</w:t>
      </w:r>
      <w:r w:rsidR="004C7F41" w:rsidRPr="00EB5E8A">
        <w:t>:</w:t>
      </w:r>
      <w:r w:rsidR="00AB60A0" w:rsidRPr="00EB5E8A">
        <w:t xml:space="preserve"> sex, age at surgery,</w:t>
      </w:r>
      <w:r w:rsidR="00B17F25" w:rsidRPr="00EB5E8A">
        <w:t xml:space="preserve"> </w:t>
      </w:r>
      <w:r w:rsidR="00572E32" w:rsidRPr="00EB5E8A">
        <w:t xml:space="preserve">era of surgery, </w:t>
      </w:r>
      <w:r w:rsidR="00B17F25" w:rsidRPr="00EB5E8A">
        <w:t>smoking</w:t>
      </w:r>
      <w:r w:rsidR="00AB60A0" w:rsidRPr="00EB5E8A">
        <w:t xml:space="preserve"> status,</w:t>
      </w:r>
      <w:r w:rsidR="00B17F25" w:rsidRPr="00EB5E8A">
        <w:t xml:space="preserve"> </w:t>
      </w:r>
      <w:r w:rsidR="00094FA1" w:rsidRPr="00EB5E8A">
        <w:t xml:space="preserve">previous depression or anxiety, </w:t>
      </w:r>
      <w:r w:rsidR="003760FF" w:rsidRPr="00EB5E8A">
        <w:t xml:space="preserve">socio-economic </w:t>
      </w:r>
      <w:r w:rsidR="008409CC" w:rsidRPr="00EB5E8A">
        <w:t>status,</w:t>
      </w:r>
      <w:r w:rsidR="00572E32" w:rsidRPr="00EB5E8A">
        <w:t xml:space="preserve"> </w:t>
      </w:r>
      <w:r w:rsidR="00094FA1" w:rsidRPr="00EB5E8A">
        <w:t>time from diagnosis to</w:t>
      </w:r>
      <w:r w:rsidR="00AB60A0" w:rsidRPr="00EB5E8A">
        <w:t xml:space="preserve"> s</w:t>
      </w:r>
      <w:r w:rsidR="008409CC" w:rsidRPr="00EB5E8A">
        <w:t>urgery and perianal disease.</w:t>
      </w:r>
    </w:p>
    <w:p w14:paraId="652153EE" w14:textId="69B4E926" w:rsidR="00ED1222" w:rsidRPr="00EB5E8A" w:rsidRDefault="00ED1222" w:rsidP="000F048D">
      <w:pPr>
        <w:spacing w:line="480" w:lineRule="auto"/>
        <w:jc w:val="both"/>
      </w:pPr>
      <w:r w:rsidRPr="00EB5E8A">
        <w:t>Age at surgery was included in regression models as a continuous variable.</w:t>
      </w:r>
    </w:p>
    <w:p w14:paraId="3D00CE9E" w14:textId="7B33B182" w:rsidR="00572E32" w:rsidRPr="00EB5E8A" w:rsidRDefault="00572E32" w:rsidP="000F048D">
      <w:pPr>
        <w:spacing w:line="480" w:lineRule="auto"/>
        <w:jc w:val="both"/>
      </w:pPr>
      <w:r w:rsidRPr="00EB5E8A">
        <w:lastRenderedPageBreak/>
        <w:t>We divided the study period into three era</w:t>
      </w:r>
      <w:r w:rsidR="00F14E9B" w:rsidRPr="00EB5E8A">
        <w:t>s</w:t>
      </w:r>
      <w:r w:rsidRPr="00EB5E8A">
        <w:t xml:space="preserve"> (1998-2003, 2004-2010, 2011-2016) and adjusted for the era in which surgery took place.</w:t>
      </w:r>
    </w:p>
    <w:p w14:paraId="535052D5" w14:textId="5C3B90BA" w:rsidR="002D6175" w:rsidRPr="00EB5E8A" w:rsidRDefault="005420EB" w:rsidP="00CC4953">
      <w:pPr>
        <w:spacing w:line="480" w:lineRule="auto"/>
        <w:jc w:val="both"/>
      </w:pPr>
      <w:r w:rsidRPr="00EB5E8A">
        <w:t>Smoking is associated with depression and prognosis following intestinal resection in CD.</w:t>
      </w:r>
      <w:r w:rsidRPr="00EB5E8A">
        <w:fldChar w:fldCharType="begin" w:fldLock="1"/>
      </w:r>
      <w:r w:rsidR="00F05424" w:rsidRPr="00EB5E8A">
        <w:instrText>ADDIN CSL_CITATION {"citationItems":[{"id":"ITEM-1","itemData":{"DOI":"10.1038/s41395-018-0273-7","ISSN":"15720241","PMID":"30323269","abstract":"Background: The impact of smoking at diagnosis and subsequent smoking cessation on clinical outcomes in Crohn’s disease (CD) has not been evaluated in a population-based cohort. Methods: Using a nationally representative clinical research database, we identified incident cases of CD between 2005 and 2014. We compared the following outcomes: overall corticosteroid (CS) use; flares requiring CS; CS dependency and intestinal surgery between smokers and non-smokers at time of CD diagnosis. Differences in these outcomes were also compared between persistent smokers and smokers who quit within 2 years of diagnosis. Results: We identified 3553 patients with a new CD diagnosis over the study period of whom 1121 (32%) were smokers. Smokers at CD diagnosis had significantly higher CS-use (56 versus 47%, p &lt; 0.0001), proportionally more CS flares (&gt;1 CS flare/year: 9 versus 6%, p &lt; 0.0001), and higher CS dependency (27 versus 21%, p &lt; 0.0001) than non-smokers. Regression analysis identified smoking at diagnosis to be associated with a higher risk of intestinal surgery (HR 1.64, 95% CI 1.16–2.52). There was a significantly higher proportion of ‘quitters’ who remained steroid-free through follow-up in comparison to ‘persistent smokers’ (45.4 versus 37.5%, respectively, p = 0.02). ‘Quitters’ also had lower rates of CS dependency compared to ‘persistent smokers’ (24 versus 33%, p = 0.008). Conclusions: Smokers at CD diagnosis have higher CS-use, CS dependency and higher risk of intestinal surgery. Quitting smoking appears to have beneficial effects on disease related outcomes, including reducing CS dependency highlighting the importance of offering early smoking cessation support.","author":[{"dropping-particle":"","family":"Alexakis","given":"Christopher","non-dropping-particle":"","parse-names":false,"suffix":""},{"dropping-particle":"","family":"Saxena","given":"Sonia","non-dropping-particle":"","parse-names":false,"suffix":""},{"dropping-particle":"","family":"Chhaya","given":"Vivek","non-dropping-particle":"","parse-names":false,"suffix":""},{"dropping-particle":"","family":"Cecil","given":"Elizabeth","non-dropping-particle":"","parse-names":false,"suffix":""},{"dropping-particle":"","family":"Majeed","given":"Azeem","non-dropping-particle":"","parse-names":false,"suffix":""},{"dropping-particle":"","family":"Pollok","given":"Richard","non-dropping-particle":"","parse-names":false,"suffix":""}],"container-title":"American Journal of Gastroenterology","id":"ITEM-1","issued":{"date-parts":[["2018"]]},"title":"Smoking Status at Diagnosis and Subsequent Smoking Cessation: Associations With Corticosteroid Use and Intestinal Resection in Crohn’s Disease","type":"article-journal"},"uris":["http://www.mendeley.com/documents/?uuid=77680a91-3789-4a58-835e-dd3e4587270d"]}],"mendeley":{"formattedCitation":"&lt;sup&gt;15&lt;/sup&gt;","plainTextFormattedCitation":"15","previouslyFormattedCitation":"&lt;sup&gt;15&lt;/sup&gt;"},"properties":{"noteIndex":0},"schema":"https://github.com/citation-style-language/schema/raw/master/csl-citation.json"}</w:instrText>
      </w:r>
      <w:r w:rsidRPr="00EB5E8A">
        <w:fldChar w:fldCharType="separate"/>
      </w:r>
      <w:r w:rsidRPr="00EB5E8A">
        <w:rPr>
          <w:noProof/>
          <w:vertAlign w:val="superscript"/>
        </w:rPr>
        <w:t>15</w:t>
      </w:r>
      <w:r w:rsidRPr="00EB5E8A">
        <w:fldChar w:fldCharType="end"/>
      </w:r>
      <w:r w:rsidRPr="00EB5E8A">
        <w:t xml:space="preserve"> </w:t>
      </w:r>
      <w:r w:rsidR="003B6B1F" w:rsidRPr="00EB5E8A">
        <w:t xml:space="preserve">We defined </w:t>
      </w:r>
      <w:r w:rsidR="00A24C1A" w:rsidRPr="00EB5E8A">
        <w:t>individuals</w:t>
      </w:r>
      <w:r w:rsidR="00BC0EDF" w:rsidRPr="00EB5E8A">
        <w:t xml:space="preserve"> as `smokers’</w:t>
      </w:r>
      <w:r w:rsidR="005328C7" w:rsidRPr="00EB5E8A">
        <w:t>, `ex-smokers’ or `non-smokers’ based on</w:t>
      </w:r>
      <w:r w:rsidR="00D77382" w:rsidRPr="00EB5E8A">
        <w:t xml:space="preserve"> </w:t>
      </w:r>
      <w:r w:rsidR="00BC0EDF" w:rsidRPr="00EB5E8A">
        <w:t>codes for smoking status.</w:t>
      </w:r>
      <w:r w:rsidR="00D77382" w:rsidRPr="00EB5E8A">
        <w:t xml:space="preserve"> </w:t>
      </w:r>
      <w:r w:rsidR="00DA4957" w:rsidRPr="00EB5E8A">
        <w:t>Individuals whose most recent code indicated active smoking were classed as `smokers’, those with codes indicating previous but not current smoking were classed as `ex-smokers’</w:t>
      </w:r>
      <w:r w:rsidR="008D336E" w:rsidRPr="00EB5E8A">
        <w:t xml:space="preserve">, </w:t>
      </w:r>
      <w:r w:rsidR="00046A0F" w:rsidRPr="00EB5E8A">
        <w:t xml:space="preserve">and </w:t>
      </w:r>
      <w:r w:rsidR="008D336E" w:rsidRPr="00EB5E8A">
        <w:t>i</w:t>
      </w:r>
      <w:r w:rsidR="00D77382" w:rsidRPr="00EB5E8A">
        <w:t xml:space="preserve">ndividuals who had </w:t>
      </w:r>
      <w:r w:rsidR="003760FF" w:rsidRPr="00EB5E8A">
        <w:rPr>
          <w:i/>
        </w:rPr>
        <w:t>only</w:t>
      </w:r>
      <w:r w:rsidR="003760FF" w:rsidRPr="00EB5E8A">
        <w:t xml:space="preserve"> </w:t>
      </w:r>
      <w:r w:rsidR="00D77382" w:rsidRPr="00EB5E8A">
        <w:t>`non-smoker’ codes were classified as `non-smokers’</w:t>
      </w:r>
      <w:r w:rsidR="00DA4957" w:rsidRPr="00EB5E8A">
        <w:t xml:space="preserve">. </w:t>
      </w:r>
      <w:r w:rsidR="00D77382" w:rsidRPr="00EB5E8A">
        <w:t xml:space="preserve"> </w:t>
      </w:r>
      <w:r w:rsidR="00A24C1A" w:rsidRPr="00EB5E8A">
        <w:t>Individuals</w:t>
      </w:r>
      <w:r w:rsidR="00C85E06" w:rsidRPr="00EB5E8A">
        <w:t xml:space="preserve"> </w:t>
      </w:r>
      <w:r w:rsidR="00BC0EDF" w:rsidRPr="00EB5E8A">
        <w:t xml:space="preserve">without data on smoking </w:t>
      </w:r>
      <w:r w:rsidR="00B05B0D" w:rsidRPr="00EB5E8A">
        <w:t xml:space="preserve">are </w:t>
      </w:r>
      <w:r w:rsidR="00DA4957" w:rsidRPr="00EB5E8A">
        <w:t>likely be either never</w:t>
      </w:r>
      <w:r w:rsidR="00A16B84" w:rsidRPr="00EB5E8A">
        <w:t>-</w:t>
      </w:r>
      <w:r w:rsidR="00DA4957" w:rsidRPr="00EB5E8A">
        <w:t xml:space="preserve">smokers or non-recent smokers and </w:t>
      </w:r>
      <w:r w:rsidR="00BC0EDF" w:rsidRPr="00EB5E8A">
        <w:t xml:space="preserve">were </w:t>
      </w:r>
      <w:r w:rsidR="00A16B84" w:rsidRPr="00EB5E8A">
        <w:t>therefore classed</w:t>
      </w:r>
      <w:r w:rsidR="00BC0EDF" w:rsidRPr="00EB5E8A">
        <w:t xml:space="preserve"> as `</w:t>
      </w:r>
      <w:r w:rsidR="00A16B84" w:rsidRPr="00EB5E8A">
        <w:t>non-smokers’</w:t>
      </w:r>
      <w:r w:rsidR="00BC0EDF" w:rsidRPr="00EB5E8A">
        <w:t>.</w:t>
      </w:r>
      <w:r w:rsidR="00A16B84" w:rsidRPr="00EB5E8A">
        <w:fldChar w:fldCharType="begin" w:fldLock="1"/>
      </w:r>
      <w:r w:rsidR="00F05424" w:rsidRPr="00EB5E8A">
        <w:instrText>ADDIN CSL_CITATION {"citationItems":[{"id":"ITEM-1","itemData":{"DOI":"10.1136/bmjopen-2014-004958","author":[{"dropping-particle":"","family":"Marston","given":"Louise","non-dropping-particle":"","parse-names":false,"suffix":""},{"dropping-particle":"","family":"Carpenter","given":"James R","non-dropping-particle":"","parse-names":false,"suffix":""},{"dropping-particle":"","family":"Walters","given":"Kate R","non-dropping-particle":"","parse-names":false,"suffix":""},{"dropping-particle":"","family":"Morris","given":"Richard W","non-dropping-particle":"","parse-names":false,"suffix":""},{"dropping-particle":"","family":"Nazareth","given":"Irwin","non-dropping-particle":"","parse-names":false,"suffix":""},{"dropping-particle":"","family":"White","given":"Ian R","non-dropping-particle":"","parse-names":false,"suffix":""},{"dropping-particle":"","family":"Petersen","given":"Irene","non-dropping-particle":"","parse-names":false,"suffix":""}],"container-title":"BMJ Open","id":"ITEM-1","issued":{"date-parts":[["2014"]]},"page":"1-7","title":"Smoker , ex-smoker or non-smoker ? The validity of routinely recorded smoking status in UK primary care : a cross-sectional study","type":"article-journal"},"uris":["http://www.mendeley.com/documents/?uuid=1f83d420-f168-40aa-a4f5-e4ec3ac780e0"]}],"mendeley":{"formattedCitation":"&lt;sup&gt;16&lt;/sup&gt;","plainTextFormattedCitation":"16","previouslyFormattedCitation":"&lt;sup&gt;16&lt;/sup&gt;"},"properties":{"noteIndex":0},"schema":"https://github.com/citation-style-language/schema/raw/master/csl-citation.json"}</w:instrText>
      </w:r>
      <w:r w:rsidR="00A16B84" w:rsidRPr="00EB5E8A">
        <w:fldChar w:fldCharType="separate"/>
      </w:r>
      <w:r w:rsidRPr="00EB5E8A">
        <w:rPr>
          <w:noProof/>
          <w:vertAlign w:val="superscript"/>
        </w:rPr>
        <w:t>16</w:t>
      </w:r>
      <w:r w:rsidR="00A16B84" w:rsidRPr="00EB5E8A">
        <w:fldChar w:fldCharType="end"/>
      </w:r>
      <w:r w:rsidR="00DA7C22" w:rsidRPr="00EB5E8A">
        <w:t xml:space="preserve"> </w:t>
      </w:r>
    </w:p>
    <w:p w14:paraId="118E39AF" w14:textId="0F3C5196" w:rsidR="00094FA1" w:rsidRPr="00EB5E8A" w:rsidRDefault="00094FA1" w:rsidP="00CC4953">
      <w:pPr>
        <w:spacing w:line="480" w:lineRule="auto"/>
        <w:jc w:val="both"/>
      </w:pPr>
      <w:r w:rsidRPr="00EB5E8A">
        <w:t xml:space="preserve">Previous episodes of depression or anxiety are associated with the likelihood of further episodes and antidepressant use. We identified all individuals with a previous record of depression, anxiety or antidepressant medication use earlier than six months before the date of their surgery. </w:t>
      </w:r>
    </w:p>
    <w:p w14:paraId="502143AF" w14:textId="6BC00F02" w:rsidR="00CC4953" w:rsidRPr="00EB5E8A" w:rsidRDefault="0091515E" w:rsidP="00CC4953">
      <w:pPr>
        <w:spacing w:line="480" w:lineRule="auto"/>
        <w:jc w:val="both"/>
      </w:pPr>
      <w:r w:rsidRPr="00EB5E8A">
        <w:t>We used the Index of Multiple Deprivation (IMD)</w:t>
      </w:r>
      <w:r w:rsidR="00046A0F" w:rsidRPr="00EB5E8A">
        <w:t>,</w:t>
      </w:r>
      <w:r w:rsidR="004D50C0" w:rsidRPr="00EB5E8A">
        <w:t xml:space="preserve"> </w:t>
      </w:r>
      <w:r w:rsidR="00CB0854" w:rsidRPr="00EB5E8A">
        <w:t xml:space="preserve">a postcode-linked </w:t>
      </w:r>
      <w:r w:rsidR="00512D25" w:rsidRPr="00EB5E8A">
        <w:t xml:space="preserve">measure of </w:t>
      </w:r>
      <w:r w:rsidRPr="00EB5E8A">
        <w:t xml:space="preserve">socio-economic </w:t>
      </w:r>
      <w:r w:rsidR="00CB0854" w:rsidRPr="00EB5E8A">
        <w:t>deprivation</w:t>
      </w:r>
      <w:r w:rsidR="00046A0F" w:rsidRPr="00EB5E8A">
        <w:t>,</w:t>
      </w:r>
      <w:r w:rsidR="00CB0854" w:rsidRPr="00EB5E8A">
        <w:t xml:space="preserve"> to assign i</w:t>
      </w:r>
      <w:r w:rsidR="00A24C1A" w:rsidRPr="00EB5E8A">
        <w:t>ndividuals</w:t>
      </w:r>
      <w:r w:rsidRPr="00EB5E8A">
        <w:t xml:space="preserve"> </w:t>
      </w:r>
      <w:r w:rsidR="00CB0854" w:rsidRPr="00EB5E8A">
        <w:t>to 1 of 5 groups using</w:t>
      </w:r>
      <w:r w:rsidRPr="00EB5E8A">
        <w:t xml:space="preserve"> IMD quintiles, </w:t>
      </w:r>
      <w:r w:rsidR="00CB0854" w:rsidRPr="00EB5E8A">
        <w:t xml:space="preserve">from </w:t>
      </w:r>
      <w:r w:rsidRPr="00EB5E8A">
        <w:t xml:space="preserve">IMD </w:t>
      </w:r>
      <w:r w:rsidR="00CB0854" w:rsidRPr="00EB5E8A">
        <w:t xml:space="preserve">group </w:t>
      </w:r>
      <w:r w:rsidRPr="00EB5E8A">
        <w:t xml:space="preserve">1 </w:t>
      </w:r>
      <w:r w:rsidR="00CB0854" w:rsidRPr="00EB5E8A">
        <w:t>(</w:t>
      </w:r>
      <w:r w:rsidR="004D50C0" w:rsidRPr="00EB5E8A">
        <w:t>least deprived</w:t>
      </w:r>
      <w:r w:rsidR="00CB0854" w:rsidRPr="00EB5E8A">
        <w:t>)</w:t>
      </w:r>
      <w:r w:rsidR="004D50C0" w:rsidRPr="00EB5E8A">
        <w:t xml:space="preserve"> </w:t>
      </w:r>
      <w:r w:rsidR="00CB0854" w:rsidRPr="00EB5E8A">
        <w:t>to</w:t>
      </w:r>
      <w:r w:rsidRPr="00EB5E8A">
        <w:t xml:space="preserve"> 5 </w:t>
      </w:r>
      <w:r w:rsidR="00CB0854" w:rsidRPr="00EB5E8A">
        <w:t>(</w:t>
      </w:r>
      <w:r w:rsidRPr="00EB5E8A">
        <w:t>most deprived</w:t>
      </w:r>
      <w:r w:rsidR="00CB0854" w:rsidRPr="00EB5E8A">
        <w:t>)</w:t>
      </w:r>
      <w:r w:rsidRPr="00EB5E8A">
        <w:t xml:space="preserve">.  </w:t>
      </w:r>
    </w:p>
    <w:p w14:paraId="2DC58783" w14:textId="49519E63" w:rsidR="003B411D" w:rsidRPr="00EB5E8A" w:rsidRDefault="009569EA" w:rsidP="00CC4953">
      <w:pPr>
        <w:spacing w:line="480" w:lineRule="auto"/>
        <w:jc w:val="both"/>
      </w:pPr>
      <w:r w:rsidRPr="00EB5E8A">
        <w:t xml:space="preserve">The peri-diagnostic </w:t>
      </w:r>
      <w:r w:rsidR="00C01868" w:rsidRPr="00EB5E8A">
        <w:t xml:space="preserve">period of CD is associated with an increased risk of incident depression and this may be compounded with </w:t>
      </w:r>
      <w:r w:rsidR="006757F2" w:rsidRPr="00EB5E8A">
        <w:t xml:space="preserve">early </w:t>
      </w:r>
      <w:r w:rsidR="00C01868" w:rsidRPr="00EB5E8A">
        <w:t>surgery.</w:t>
      </w:r>
      <w:r w:rsidR="008558BD" w:rsidRPr="00EB5E8A">
        <w:fldChar w:fldCharType="begin" w:fldLock="1"/>
      </w:r>
      <w:r w:rsidR="00F05424" w:rsidRPr="00EB5E8A">
        <w:instrText>ADDIN CSL_CITATION {"citationItems":[{"id":"ITEM-1","itemData":{"ISSN":"0002-9270","author":[{"dropping-particle":"","family":"Ananthakrishnan","given":"Ashwin N","non-dropping-particle":"","parse-names":false,"suffix":""},{"dropping-particle":"","family":"Gainer","given":"Vivian S","non-dropping-particle":"","parse-names":false,"suffix":""},{"dropping-particle":"","family":"Cai","given":"Tianxi","non-dropping-particle":"","parse-names":false,"suffix":""},{"dropping-particle":"","family":"Perez","given":"Raul Guzman","non-dropping-particle":"","parse-names":false,"suffix":""},{"dropping-particle":"","family":"Cheng","given":"Su-Chun","non-dropping-particle":"","parse-names":false,"suffix":""},{"dropping-particle":"","family":"Savova","given":"Guergana","non-dropping-particle":"","parse-names":false,"suffix":""},{"dropping-particle":"","family":"Chen","given":"Pei","non-dropping-particle":"","parse-names":false,"suffix":""},{"dropping-particle":"","family":"Szolovits","given":"Peter","non-dropping-particle":"","parse-names":false,"suffix":""},{"dropping-particle":"","family":"Xia","given":"Zongqi","non-dropping-particle":"","parse-names":false,"suffix":""},{"dropping-particle":"","family":"Jager","given":"Philip L","non-dropping-particle":"De","parse-names":false,"suffix":""},{"dropping-particle":"","family":"Shaw","given":"Stanley","non-dropping-particle":"","parse-names":false,"suffix":""},{"dropping-particle":"","family":"Churchill","given":"Susanne","non-dropping-particle":"","parse-names":false,"suffix":""},{"dropping-particle":"","family":"Karlson","given":"Elizabeth W","non-dropping-particle":"","parse-names":false,"suffix":""},{"dropping-particle":"","family":"Kohane","given":"Isaac","non-dropping-particle":"","parse-names":false,"suffix":""},{"dropping-particle":"","family":"Perlis","given":"Roy H","non-dropping-particle":"","parse-names":false,"suffix":""},{"dropping-particle":"","family":"Plenge","given":"Robert M","non-dropping-particle":"","parse-names":false,"suffix":""},{"dropping-particle":"","family":"Murphy","given":"Shawn N","non-dropping-particle":"","parse-names":false,"suffix":""},{"dropping-particle":"","family":"Liao","given":"Katherine P","non-dropping-particle":"","parse-names":false,"suffix":""}],"container-title":"Am J Gastroenterol","id":"ITEM-1","issue":"4","issued":{"date-parts":[["2013","4"]]},"page":"594-601","publisher":"American College of Gastroenterology","title":"Similar Risk of Depression and Anxiety Following Surgery or Hospitalization for Crohn's Disease and Ulcerative Colitis","type":"article-journal","volume":"108"},"uris":["http://www.mendeley.com/documents/?uuid=eff03093-991d-4ff5-bb48-d7ac0c02e0a1"]},{"id":"ITEM-2","itemData":{"DOI":"10.1136/gutjnl-2020-322308","abstract":"Objective Depression is a potential risk factor for developing IBD. This association may be related to GI symptoms occurring before diagnosis. We aimed to determine whether depression, adjusted for pre-existing GI symptoms, is associated with subsequent IBD.Design We conducted a nested case–control study using the Clinical Practice Research Datalink identifying incident cases of UC and Crohn’s disease (CD) from 1998 to 2016. Controls without IBD were matched for age and sex. We measured exposure to prevalent depression 4.5–5.5 years before IBD diagnosis. We created two sub-groups with prevalent depression based on whether individuals had reported GI symptoms before the onset of depression. We used conditional logistic regression to derive ORs for the risk of IBD depending on depression status.Results We identified 10 829 UC cases, 4531 CD cases and 15 360 controls. There was an excess of prevalent depression 5 years before IBD diagnosis relative to controls (UC: 3.7% vs 2.7%, CD 3.7% vs 2.9%). Individuals with GI symptoms prior to the diagnosis of depression had increased adjusted risks of developing UC and CD compared with those without depression (UC: OR 1.47, 95% CI 1.21 to 1.79; CD: OR 1.41, 95% CI 1.04 to 1.92). Individuals with depression alone had similar risks of UC and CD to those without depression (UC: OR 1.13, 95% CI 0.99 to 1.29; CD: OR 1.12, 95% CI 0.91 to 1.38).Conclusions Depression, in the absence of prior GI symptoms, is not associated with subsequent development of IBD. However, depression with GI symptoms should prompt investigation for IBD.","author":[{"dropping-particle":"","family":"Blackwell","given":"Jonathan","non-dropping-particle":"","parse-names":false,"suffix":""},{"dropping-particle":"","family":"Saxena","given":"Sonia","non-dropping-particle":"","parse-names":false,"suffix":""},{"dropping-particle":"","family":"Petersen","given":"Irene","non-dropping-particle":"","parse-names":false,"suffix":""},{"dropping-particle":"","family":"Hotopf","given":"Matthew","non-dropping-particle":"","parse-names":false,"suffix":""},{"dropping-particle":"","family":"Creese","given":"Hanna","non-dropping-particle":"","parse-names":false,"suffix":""},{"dropping-particle":"","family":"Bottle","given":"Alex","non-dropping-particle":"","parse-names":false,"suffix":""},{"dropping-particle":"","family":"Alexakis","given":"Christopher","non-dropping-particle":"","parse-names":false,"suffix":""},{"dropping-particle":"","family":"Pollok","given":"Richard C","non-dropping-particle":"","parse-names":false,"suffix":""}],"container-title":"Gut","editor":[{"dropping-particle":"","family":"","given":"","non-dropping-particle":"","parse-names":false,"suffix":""}],"id":"ITEM-2","issued":{"date-parts":[["2020","10","26"]]},"page":"gutjnl-2020-322308","title":"Depression in individuals who subsequently develop inflammatory bowel disease: a population-based nested case–control study","type":"article-journal"},"uris":["http://www.mendeley.com/documents/?uuid=311244fe-24c7-4b16-892a-a61fe0f485e2"]}],"mendeley":{"formattedCitation":"&lt;sup&gt;11,17&lt;/sup&gt;","plainTextFormattedCitation":"11,17","previouslyFormattedCitation":"&lt;sup&gt;11,17&lt;/sup&gt;"},"properties":{"noteIndex":0},"schema":"https://github.com/citation-style-language/schema/raw/master/csl-citation.json"}</w:instrText>
      </w:r>
      <w:r w:rsidR="008558BD" w:rsidRPr="00EB5E8A">
        <w:fldChar w:fldCharType="separate"/>
      </w:r>
      <w:r w:rsidR="005420EB" w:rsidRPr="00EB5E8A">
        <w:rPr>
          <w:noProof/>
          <w:vertAlign w:val="superscript"/>
        </w:rPr>
        <w:t>11,17</w:t>
      </w:r>
      <w:r w:rsidR="008558BD" w:rsidRPr="00EB5E8A">
        <w:fldChar w:fldCharType="end"/>
      </w:r>
      <w:r w:rsidR="00C01868" w:rsidRPr="00EB5E8A">
        <w:t xml:space="preserve"> We </w:t>
      </w:r>
      <w:r w:rsidR="00094FA1" w:rsidRPr="00EB5E8A">
        <w:t xml:space="preserve">adjusted for the time from diagnosis of CD to </w:t>
      </w:r>
      <w:r w:rsidR="00C01868" w:rsidRPr="00EB5E8A">
        <w:t>surgery.</w:t>
      </w:r>
    </w:p>
    <w:p w14:paraId="614444F4" w14:textId="2C2068F2" w:rsidR="008409CC" w:rsidRPr="00EB5E8A" w:rsidRDefault="008409CC" w:rsidP="00CC4953">
      <w:pPr>
        <w:spacing w:line="480" w:lineRule="auto"/>
        <w:jc w:val="both"/>
      </w:pPr>
      <w:r w:rsidRPr="00EB5E8A">
        <w:t>Perianal disease is a risk factor for depression following intestinal surgery</w:t>
      </w:r>
      <w:r w:rsidR="00890594" w:rsidRPr="00EB5E8A">
        <w:t xml:space="preserve"> for CD</w:t>
      </w:r>
      <w:r w:rsidRPr="00EB5E8A">
        <w:t>.</w:t>
      </w:r>
      <w:r w:rsidRPr="00EB5E8A">
        <w:fldChar w:fldCharType="begin" w:fldLock="1"/>
      </w:r>
      <w:r w:rsidR="00095AD2" w:rsidRPr="00EB5E8A">
        <w:instrText>ADDIN CSL_CITATION {"citationItems":[{"id":"ITEM-1","itemData":{"ISSN":"0002-9270","author":[{"dropping-particle":"","family":"Ananthakrishnan","given":"Ashwin N","non-dropping-particle":"","parse-names":false,"suffix":""},{"dropping-particle":"","family":"Gainer","given":"Vivian S","non-dropping-particle":"","parse-names":false,"suffix":""},{"dropping-particle":"","family":"Cai","given":"Tianxi","non-dropping-particle":"","parse-names":false,"suffix":""},{"dropping-particle":"","family":"Perez","given":"Raul Guzman","non-dropping-particle":"","parse-names":false,"suffix":""},{"dropping-particle":"","family":"Cheng","given":"Su-Chun","non-dropping-particle":"","parse-names":false,"suffix":""},{"dropping-particle":"","family":"Savova","given":"Guergana","non-dropping-particle":"","parse-names":false,"suffix":""},{"dropping-particle":"","family":"Chen","given":"Pei","non-dropping-particle":"","parse-names":false,"suffix":""},{"dropping-particle":"","family":"Szolovits","given":"Peter","non-dropping-particle":"","parse-names":false,"suffix":""},{"dropping-particle":"","family":"Xia","given":"Zongqi","non-dropping-particle":"","parse-names":false,"suffix":""},{"dropping-particle":"","family":"Jager","given":"Philip L","non-dropping-particle":"De","parse-names":false,"suffix":""},{"dropping-particle":"","family":"Shaw","given":"Stanley","non-dropping-particle":"","parse-names":false,"suffix":""},{"dropping-particle":"","family":"Churchill","given":"Susanne","non-dropping-particle":"","parse-names":false,"suffix":""},{"dropping-particle":"","family":"Karlson","given":"Elizabeth W","non-dropping-particle":"","parse-names":false,"suffix":""},{"dropping-particle":"","family":"Kohane","given":"Isaac","non-dropping-particle":"","parse-names":false,"suffix":""},{"dropping-particle":"","family":"Perlis","given":"Roy H","non-dropping-particle":"","parse-names":false,"suffix":""},{"dropping-particle":"","family":"Plenge","given":"Robert M","non-dropping-particle":"","parse-names":false,"suffix":""},{"dropping-particle":"","family":"Murphy","given":"Shawn N","non-dropping-particle":"","parse-names":false,"suffix":""},{"dropping-particle":"","family":"Liao","given":"Katherine P","non-dropping-particle":"","parse-names":false,"suffix":""}],"container-title":"Am J Gastroenterol","id":"ITEM-1","issue":"4","issued":{"date-parts":[["2013","4"]]},"page":"594-601","publisher":"American College of Gastroenterology","title":"Similar Risk of Depression and Anxiety Following Surgery or Hospitalization for Crohn's Disease and Ulcerative Colitis","type":"article-journal","volume":"108"},"uris":["http://www.mendeley.com/documents/?uuid=eff03093-991d-4ff5-bb48-d7ac0c02e0a1"]}],"mendeley":{"formattedCitation":"&lt;sup&gt;11&lt;/sup&gt;","plainTextFormattedCitation":"11","previouslyFormattedCitation":"&lt;sup&gt;11&lt;/sup&gt;"},"properties":{"noteIndex":0},"schema":"https://github.com/citation-style-language/schema/raw/master/csl-citation.json"}</w:instrText>
      </w:r>
      <w:r w:rsidRPr="00EB5E8A">
        <w:fldChar w:fldCharType="separate"/>
      </w:r>
      <w:r w:rsidR="00890594" w:rsidRPr="00EB5E8A">
        <w:rPr>
          <w:noProof/>
          <w:vertAlign w:val="superscript"/>
        </w:rPr>
        <w:t>11</w:t>
      </w:r>
      <w:r w:rsidRPr="00EB5E8A">
        <w:fldChar w:fldCharType="end"/>
      </w:r>
      <w:r w:rsidRPr="00EB5E8A">
        <w:t xml:space="preserve"> We defined patients as having perianal disease if they had a </w:t>
      </w:r>
      <w:r w:rsidR="00896F8F" w:rsidRPr="00EB5E8A">
        <w:t>R</w:t>
      </w:r>
      <w:r w:rsidRPr="00EB5E8A">
        <w:t>ead code for perianal surgery in their medical records.</w:t>
      </w:r>
    </w:p>
    <w:p w14:paraId="6F35C290" w14:textId="672052DD" w:rsidR="0029557A" w:rsidRPr="00EB5E8A" w:rsidRDefault="0029557A" w:rsidP="00E10A51">
      <w:pPr>
        <w:pStyle w:val="Heading3"/>
        <w:rPr>
          <w:b/>
          <w:color w:val="5B9BD5" w:themeColor="accent1"/>
          <w:sz w:val="26"/>
          <w:szCs w:val="26"/>
        </w:rPr>
      </w:pPr>
      <w:r w:rsidRPr="00EB5E8A">
        <w:rPr>
          <w:b/>
          <w:color w:val="5B9BD5" w:themeColor="accent1"/>
          <w:sz w:val="26"/>
          <w:szCs w:val="26"/>
        </w:rPr>
        <w:t>Statistical Analysis</w:t>
      </w:r>
    </w:p>
    <w:p w14:paraId="5BC3312D" w14:textId="46460F14" w:rsidR="00C1251B" w:rsidRPr="00EB5E8A" w:rsidRDefault="00CB0854" w:rsidP="002C69F8">
      <w:pPr>
        <w:spacing w:line="480" w:lineRule="auto"/>
        <w:jc w:val="both"/>
      </w:pPr>
      <w:r w:rsidRPr="00EB5E8A">
        <w:t xml:space="preserve">Baseline characteristics of </w:t>
      </w:r>
      <w:r w:rsidR="006757F2" w:rsidRPr="00EB5E8A">
        <w:t>cohort</w:t>
      </w:r>
      <w:r w:rsidRPr="00EB5E8A">
        <w:t xml:space="preserve"> were summarised using frequencies and percentages</w:t>
      </w:r>
      <w:r w:rsidR="00DA7C22" w:rsidRPr="00EB5E8A">
        <w:t xml:space="preserve">. </w:t>
      </w:r>
    </w:p>
    <w:p w14:paraId="4B03B90E" w14:textId="33DEC7E8" w:rsidR="00890594" w:rsidRPr="00EB5E8A" w:rsidRDefault="00B64DD3" w:rsidP="009651CC">
      <w:pPr>
        <w:spacing w:line="480" w:lineRule="auto"/>
        <w:jc w:val="both"/>
      </w:pPr>
      <w:r w:rsidRPr="00EB5E8A">
        <w:t xml:space="preserve">We used </w:t>
      </w:r>
      <w:r w:rsidR="006757F2" w:rsidRPr="00EB5E8A">
        <w:t>Cox</w:t>
      </w:r>
      <w:r w:rsidRPr="00EB5E8A">
        <w:t xml:space="preserve"> regression to calculate </w:t>
      </w:r>
      <w:r w:rsidR="006757F2" w:rsidRPr="00EB5E8A">
        <w:t>hazard ratios</w:t>
      </w:r>
      <w:r w:rsidRPr="00EB5E8A">
        <w:t xml:space="preserve"> </w:t>
      </w:r>
      <w:r w:rsidR="00F06D45" w:rsidRPr="00EB5E8A">
        <w:t xml:space="preserve">and 95% confidence intervals </w:t>
      </w:r>
      <w:r w:rsidRPr="00EB5E8A">
        <w:t xml:space="preserve">for the risk of </w:t>
      </w:r>
      <w:r w:rsidR="00B31984" w:rsidRPr="00EB5E8A">
        <w:t>first antidepressant use by stoma status</w:t>
      </w:r>
      <w:r w:rsidR="00B05B0D" w:rsidRPr="00EB5E8A">
        <w:t xml:space="preserve"> (i.e. no stoma, temporary stoma and permanent stoma)</w:t>
      </w:r>
      <w:r w:rsidR="00B31984" w:rsidRPr="00EB5E8A">
        <w:t>.</w:t>
      </w:r>
      <w:r w:rsidR="009651CC" w:rsidRPr="00EB5E8A">
        <w:t xml:space="preserve"> </w:t>
      </w:r>
    </w:p>
    <w:p w14:paraId="76ED233D" w14:textId="3E5E2305" w:rsidR="00B31984" w:rsidRPr="00EB5E8A" w:rsidRDefault="00B31984" w:rsidP="00B31984">
      <w:pPr>
        <w:spacing w:line="480" w:lineRule="auto"/>
        <w:jc w:val="both"/>
      </w:pPr>
      <w:r w:rsidRPr="00EB5E8A">
        <w:lastRenderedPageBreak/>
        <w:t xml:space="preserve"> </w:t>
      </w:r>
      <w:r w:rsidR="00B05B0D" w:rsidRPr="00EB5E8A">
        <w:t xml:space="preserve">In a further analysis we aimed to determine whether the timing of reversal surgery for a temporary stoma affected the </w:t>
      </w:r>
      <w:r w:rsidR="00412ECA" w:rsidRPr="00EB5E8A">
        <w:t xml:space="preserve">likelihood </w:t>
      </w:r>
      <w:r w:rsidR="00B05B0D" w:rsidRPr="00EB5E8A">
        <w:t xml:space="preserve">of antidepressant use. We subdivided individuals with a temporary stoma into those who had reversal surgery within a year and those who had reversal surgery after one year and compared these groups </w:t>
      </w:r>
      <w:r w:rsidR="00BC54C2" w:rsidRPr="00EB5E8A">
        <w:t>with</w:t>
      </w:r>
      <w:r w:rsidR="00B05B0D" w:rsidRPr="00EB5E8A">
        <w:t xml:space="preserve"> individuals who had no stoma. </w:t>
      </w:r>
      <w:r w:rsidRPr="00EB5E8A">
        <w:t xml:space="preserve">In </w:t>
      </w:r>
      <w:r w:rsidR="006B2456" w:rsidRPr="00EB5E8A">
        <w:t>th</w:t>
      </w:r>
      <w:r w:rsidR="00B05B0D" w:rsidRPr="00EB5E8A">
        <w:t>ese</w:t>
      </w:r>
      <w:r w:rsidRPr="00EB5E8A">
        <w:t xml:space="preserve"> model</w:t>
      </w:r>
      <w:r w:rsidR="004F4942" w:rsidRPr="00EB5E8A">
        <w:t>s</w:t>
      </w:r>
      <w:r w:rsidR="00B64DD3" w:rsidRPr="00EB5E8A">
        <w:t xml:space="preserve"> we adjust</w:t>
      </w:r>
      <w:r w:rsidR="008E595C" w:rsidRPr="00EB5E8A">
        <w:t xml:space="preserve">ed for </w:t>
      </w:r>
      <w:r w:rsidRPr="00EB5E8A">
        <w:t>sex, age at surgery, smoking status,</w:t>
      </w:r>
      <w:r w:rsidR="00094FA1" w:rsidRPr="00EB5E8A">
        <w:t xml:space="preserve"> previous depression or anxiety,</w:t>
      </w:r>
      <w:r w:rsidRPr="00EB5E8A">
        <w:t xml:space="preserve"> socio-economic status</w:t>
      </w:r>
      <w:r w:rsidR="00094FA1" w:rsidRPr="00EB5E8A">
        <w:t>, perianal disease</w:t>
      </w:r>
      <w:r w:rsidRPr="00EB5E8A">
        <w:t xml:space="preserve"> and </w:t>
      </w:r>
      <w:r w:rsidR="00094FA1" w:rsidRPr="00EB5E8A">
        <w:t>time from diagnosis to surgery</w:t>
      </w:r>
      <w:r w:rsidRPr="00EB5E8A">
        <w:t>.</w:t>
      </w:r>
      <w:r w:rsidR="006B772C" w:rsidRPr="00EB5E8A">
        <w:t xml:space="preserve"> </w:t>
      </w:r>
    </w:p>
    <w:p w14:paraId="1418B207" w14:textId="75C82287" w:rsidR="006B2456" w:rsidRPr="00EB5E8A" w:rsidRDefault="006B2456" w:rsidP="002C69F8">
      <w:pPr>
        <w:spacing w:line="480" w:lineRule="auto"/>
        <w:jc w:val="both"/>
      </w:pPr>
      <w:r w:rsidRPr="00EB5E8A">
        <w:t>We generate</w:t>
      </w:r>
      <w:r w:rsidR="004F4942" w:rsidRPr="00EB5E8A">
        <w:t>d</w:t>
      </w:r>
      <w:r w:rsidRPr="00EB5E8A">
        <w:t xml:space="preserve"> Kaplan Meier curves to </w:t>
      </w:r>
      <w:r w:rsidR="00FC317B" w:rsidRPr="00EB5E8A">
        <w:t xml:space="preserve">examine the incidence </w:t>
      </w:r>
      <w:r w:rsidR="00305829" w:rsidRPr="00EB5E8A">
        <w:t>of</w:t>
      </w:r>
      <w:r w:rsidRPr="00EB5E8A">
        <w:t xml:space="preserve"> antidepressant use following surgery by stoma status.</w:t>
      </w:r>
    </w:p>
    <w:p w14:paraId="0CA92C2D" w14:textId="24FE729E" w:rsidR="00094FA1" w:rsidRPr="00EB5E8A" w:rsidRDefault="00094FA1" w:rsidP="002C69F8">
      <w:pPr>
        <w:spacing w:line="480" w:lineRule="auto"/>
        <w:jc w:val="both"/>
      </w:pPr>
      <w:r w:rsidRPr="00EB5E8A">
        <w:t>As disease course after the first surgery may have an impact on the likelihood of subsequent antidepressant medication use we performed a sensitivity analysis where we adjusted for further corticosteroid use and surgery as proxies for ongoing disease activity and severity.</w:t>
      </w:r>
    </w:p>
    <w:p w14:paraId="34415119" w14:textId="5DD3C2E9" w:rsidR="00DA7C22" w:rsidRPr="00EB5E8A" w:rsidRDefault="00321BD7" w:rsidP="002C69F8">
      <w:pPr>
        <w:spacing w:line="480" w:lineRule="auto"/>
        <w:jc w:val="both"/>
      </w:pPr>
      <w:r w:rsidRPr="00EB5E8A">
        <w:t>All analys</w:t>
      </w:r>
      <w:r w:rsidR="00C12A2E" w:rsidRPr="00EB5E8A">
        <w:t>es were performed using STATA 16</w:t>
      </w:r>
      <w:r w:rsidRPr="00EB5E8A">
        <w:t xml:space="preserve"> (Statacorp LP, USA).</w:t>
      </w:r>
    </w:p>
    <w:p w14:paraId="437F8953" w14:textId="77777777" w:rsidR="00DA7C22" w:rsidRPr="00EB5E8A" w:rsidRDefault="00DA7C22">
      <w:r w:rsidRPr="00EB5E8A">
        <w:br w:type="page"/>
      </w:r>
    </w:p>
    <w:p w14:paraId="60D197D8" w14:textId="2BC3027D" w:rsidR="00321BD7" w:rsidRPr="00EB5E8A" w:rsidRDefault="00321BD7" w:rsidP="00E10A51">
      <w:pPr>
        <w:pStyle w:val="Heading1"/>
        <w:rPr>
          <w:b/>
          <w:color w:val="5B9BD5" w:themeColor="accent1"/>
        </w:rPr>
      </w:pPr>
      <w:r w:rsidRPr="00EB5E8A">
        <w:rPr>
          <w:b/>
          <w:color w:val="5B9BD5" w:themeColor="accent1"/>
        </w:rPr>
        <w:lastRenderedPageBreak/>
        <w:t>Results</w:t>
      </w:r>
    </w:p>
    <w:p w14:paraId="73433ED6" w14:textId="77777777" w:rsidR="00ED4B6C" w:rsidRPr="00EB5E8A" w:rsidRDefault="00ED4B6C" w:rsidP="00811E4E"/>
    <w:p w14:paraId="5B56267F" w14:textId="3A483F38" w:rsidR="007E6A08" w:rsidRPr="00EB5E8A" w:rsidRDefault="00321BD7" w:rsidP="007D17E8">
      <w:pPr>
        <w:spacing w:line="480" w:lineRule="auto"/>
        <w:jc w:val="both"/>
      </w:pPr>
      <w:r w:rsidRPr="00EB5E8A">
        <w:t>B</w:t>
      </w:r>
      <w:r w:rsidR="00850F09" w:rsidRPr="00EB5E8A">
        <w:t xml:space="preserve">etween 1st </w:t>
      </w:r>
      <w:r w:rsidR="007569AF" w:rsidRPr="00EB5E8A">
        <w:t xml:space="preserve">January </w:t>
      </w:r>
      <w:r w:rsidR="00850F09" w:rsidRPr="00EB5E8A">
        <w:t>1998</w:t>
      </w:r>
      <w:r w:rsidRPr="00EB5E8A">
        <w:t xml:space="preserve"> and </w:t>
      </w:r>
      <w:r w:rsidR="00DA7C22" w:rsidRPr="00EB5E8A">
        <w:t>1st May 2016,</w:t>
      </w:r>
      <w:r w:rsidR="00033349" w:rsidRPr="00EB5E8A">
        <w:t xml:space="preserve"> we identified 1,272</w:t>
      </w:r>
      <w:r w:rsidRPr="00EB5E8A">
        <w:t xml:space="preserve"> incident cases of CD</w:t>
      </w:r>
      <w:r w:rsidR="005443EF" w:rsidRPr="00EB5E8A">
        <w:t xml:space="preserve"> who underwent intestinal surgery</w:t>
      </w:r>
      <w:r w:rsidR="00956FB7" w:rsidRPr="00EB5E8A">
        <w:t>.</w:t>
      </w:r>
      <w:r w:rsidR="005443EF" w:rsidRPr="00EB5E8A">
        <w:t xml:space="preserve"> Of</w:t>
      </w:r>
      <w:r w:rsidR="00033349" w:rsidRPr="00EB5E8A">
        <w:t xml:space="preserve"> these 68.5% had no stoma (n=871</w:t>
      </w:r>
      <w:r w:rsidR="005443EF" w:rsidRPr="00EB5E8A">
        <w:t>), 15.0% had a temporary stoma (n=191) and 16.5% had a permanent stoma (n=210).</w:t>
      </w:r>
      <w:r w:rsidR="00577373" w:rsidRPr="00EB5E8A">
        <w:t xml:space="preserve"> </w:t>
      </w:r>
      <w:r w:rsidR="00F06D45" w:rsidRPr="00EB5E8A">
        <w:t>Median follo</w:t>
      </w:r>
      <w:r w:rsidR="00577373" w:rsidRPr="00EB5E8A">
        <w:t xml:space="preserve">w-up </w:t>
      </w:r>
      <w:r w:rsidR="005443EF" w:rsidRPr="00EB5E8A">
        <w:t>after</w:t>
      </w:r>
      <w:r w:rsidR="00577373" w:rsidRPr="00EB5E8A">
        <w:t xml:space="preserve"> the </w:t>
      </w:r>
      <w:r w:rsidR="005443EF" w:rsidRPr="00EB5E8A">
        <w:t>surgery date was 5.2</w:t>
      </w:r>
      <w:r w:rsidR="00577373" w:rsidRPr="00EB5E8A">
        <w:t xml:space="preserve"> years.</w:t>
      </w:r>
      <w:r w:rsidR="001F44D8" w:rsidRPr="00EB5E8A">
        <w:t xml:space="preserve"> </w:t>
      </w:r>
      <w:r w:rsidR="00750A49" w:rsidRPr="00EB5E8A">
        <w:t xml:space="preserve">Individuals </w:t>
      </w:r>
      <w:r w:rsidR="004F0F9C" w:rsidRPr="00EB5E8A">
        <w:t>who received a permanent stoma were more</w:t>
      </w:r>
      <w:r w:rsidRPr="00EB5E8A">
        <w:t xml:space="preserve"> likely to </w:t>
      </w:r>
      <w:r w:rsidR="004F0F9C" w:rsidRPr="00EB5E8A">
        <w:t xml:space="preserve">be </w:t>
      </w:r>
      <w:r w:rsidR="005A22EC" w:rsidRPr="00EB5E8A">
        <w:t xml:space="preserve">more </w:t>
      </w:r>
      <w:r w:rsidR="004F0F9C" w:rsidRPr="00EB5E8A">
        <w:t xml:space="preserve">than 39 </w:t>
      </w:r>
      <w:r w:rsidR="005A22EC" w:rsidRPr="00EB5E8A">
        <w:t xml:space="preserve">years old </w:t>
      </w:r>
      <w:r w:rsidR="004F0F9C" w:rsidRPr="00EB5E8A">
        <w:t>at the time of their surgery than those with no stoma or a temporary stoma (61.4% vs 46.3% vs 47.6%, Table 1)</w:t>
      </w:r>
      <w:r w:rsidRPr="00EB5E8A">
        <w:t xml:space="preserve">. </w:t>
      </w:r>
      <w:r w:rsidR="00464D55" w:rsidRPr="00EB5E8A">
        <w:t xml:space="preserve">The median time to stoma reversal for individuals with a temporary stoma was </w:t>
      </w:r>
      <w:r w:rsidR="00A04E32" w:rsidRPr="00EB5E8A">
        <w:t>7.5 months (IQR 3.6-15.7 months)</w:t>
      </w:r>
      <w:r w:rsidR="00464D55" w:rsidRPr="00EB5E8A">
        <w:t xml:space="preserve">. </w:t>
      </w:r>
      <w:r w:rsidR="00B54FE6" w:rsidRPr="00EB5E8A">
        <w:t>The median observed time living with a stoma for individuals with a permanent stoma was 45 months (IQR 11.1-95.7).</w:t>
      </w:r>
      <w:r w:rsidR="009651CC" w:rsidRPr="00EB5E8A">
        <w:t xml:space="preserve"> All Cox regression models met the proportional hazards assumptions.</w:t>
      </w:r>
    </w:p>
    <w:p w14:paraId="3634ADBC" w14:textId="5613BAAB" w:rsidR="00A97C7C" w:rsidRPr="00EB5E8A" w:rsidRDefault="004F0F9C" w:rsidP="00CC2CDF">
      <w:pPr>
        <w:pStyle w:val="Heading2"/>
      </w:pPr>
      <w:r w:rsidRPr="00EB5E8A">
        <w:t>Stoma status</w:t>
      </w:r>
      <w:r w:rsidR="004613D7" w:rsidRPr="00EB5E8A">
        <w:t xml:space="preserve"> and the </w:t>
      </w:r>
      <w:r w:rsidR="00412ECA" w:rsidRPr="00EB5E8A">
        <w:t>likelihood</w:t>
      </w:r>
      <w:r w:rsidR="004613D7" w:rsidRPr="00EB5E8A">
        <w:t xml:space="preserve"> of </w:t>
      </w:r>
      <w:r w:rsidRPr="00EB5E8A">
        <w:t>antidepressant use</w:t>
      </w:r>
    </w:p>
    <w:p w14:paraId="11649C3F" w14:textId="77777777" w:rsidR="004613D7" w:rsidRPr="00EB5E8A" w:rsidRDefault="004613D7" w:rsidP="004613D7"/>
    <w:p w14:paraId="5BCAC6B2" w14:textId="537DE52E" w:rsidR="004613D7" w:rsidRPr="00EB5E8A" w:rsidRDefault="004F0F9C" w:rsidP="00401D85">
      <w:pPr>
        <w:spacing w:line="480" w:lineRule="auto"/>
        <w:jc w:val="both"/>
      </w:pPr>
      <w:r w:rsidRPr="00EB5E8A">
        <w:t xml:space="preserve">The </w:t>
      </w:r>
      <w:r w:rsidR="00E5604C" w:rsidRPr="00EB5E8A">
        <w:t xml:space="preserve">cumulative </w:t>
      </w:r>
      <w:r w:rsidR="00AC4A89" w:rsidRPr="00EB5E8A">
        <w:t>10-year</w:t>
      </w:r>
      <w:r w:rsidR="002E5F8E" w:rsidRPr="00EB5E8A">
        <w:t xml:space="preserve"> incidence</w:t>
      </w:r>
      <w:r w:rsidRPr="00EB5E8A">
        <w:t xml:space="preserve"> of antidepressant use</w:t>
      </w:r>
      <w:r w:rsidR="00666D84" w:rsidRPr="00EB5E8A">
        <w:t xml:space="preserve"> following intestinal surgery was</w:t>
      </w:r>
      <w:r w:rsidRPr="00EB5E8A">
        <w:t xml:space="preserve"> </w:t>
      </w:r>
      <w:r w:rsidR="00666D84" w:rsidRPr="00EB5E8A">
        <w:t>26.4%, 33.4% and 37.3% for patients with no stoma, a temporary stoma and a permanent stoma</w:t>
      </w:r>
      <w:r w:rsidR="00E5604C" w:rsidRPr="00EB5E8A">
        <w:t>,</w:t>
      </w:r>
      <w:r w:rsidR="00666D84" w:rsidRPr="00EB5E8A">
        <w:t xml:space="preserve"> respectively</w:t>
      </w:r>
      <w:r w:rsidR="00305829" w:rsidRPr="00EB5E8A">
        <w:t>.</w:t>
      </w:r>
      <w:r w:rsidR="001A2ACA" w:rsidRPr="00EB5E8A">
        <w:t xml:space="preserve"> </w:t>
      </w:r>
    </w:p>
    <w:p w14:paraId="05CF1D1B" w14:textId="443D4114" w:rsidR="00666D84" w:rsidRPr="00EB5E8A" w:rsidRDefault="002E5F8E" w:rsidP="00401D85">
      <w:pPr>
        <w:spacing w:line="480" w:lineRule="auto"/>
        <w:jc w:val="both"/>
      </w:pPr>
      <w:r w:rsidRPr="00EB5E8A">
        <w:t>Before adjusting for covariates the</w:t>
      </w:r>
      <w:r w:rsidR="001A2ACA" w:rsidRPr="00EB5E8A">
        <w:t xml:space="preserve"> </w:t>
      </w:r>
      <w:r w:rsidRPr="00EB5E8A">
        <w:t xml:space="preserve">likelihood </w:t>
      </w:r>
      <w:r w:rsidR="001A2ACA" w:rsidRPr="00EB5E8A">
        <w:t xml:space="preserve">of antidepressant use for patients who received a temporary stoma was </w:t>
      </w:r>
      <w:r w:rsidR="007859B6" w:rsidRPr="00EB5E8A">
        <w:t xml:space="preserve">not statistically significantly higher than </w:t>
      </w:r>
      <w:r w:rsidR="009825C7" w:rsidRPr="00EB5E8A">
        <w:t>those who had no stoma (HR 1.35, 95% CI 0.96-1.88</w:t>
      </w:r>
      <w:r w:rsidR="001A2ACA" w:rsidRPr="00EB5E8A">
        <w:t>). By contrast</w:t>
      </w:r>
      <w:r w:rsidR="00B34CAA" w:rsidRPr="00EB5E8A">
        <w:t>,</w:t>
      </w:r>
      <w:r w:rsidR="001A2ACA" w:rsidRPr="00EB5E8A">
        <w:t xml:space="preserve"> patients with a permanent stoma</w:t>
      </w:r>
      <w:r w:rsidR="00E5604C" w:rsidRPr="00EB5E8A">
        <w:t xml:space="preserve"> were</w:t>
      </w:r>
      <w:r w:rsidR="001A2ACA" w:rsidRPr="00EB5E8A">
        <w:t xml:space="preserve"> significantly more likely to </w:t>
      </w:r>
      <w:r w:rsidR="00FC317B" w:rsidRPr="00EB5E8A">
        <w:t>receive</w:t>
      </w:r>
      <w:r w:rsidR="001A2ACA" w:rsidRPr="00EB5E8A">
        <w:t xml:space="preserve"> an antidepressant following surgery compared </w:t>
      </w:r>
      <w:r w:rsidR="000F439A" w:rsidRPr="00EB5E8A">
        <w:t>with</w:t>
      </w:r>
      <w:r w:rsidR="001A2ACA" w:rsidRPr="00EB5E8A">
        <w:t xml:space="preserve"> those with no stoma (HR 1.70, 95% CI 1.21-2.37</w:t>
      </w:r>
      <w:r w:rsidR="005F7C96" w:rsidRPr="00EB5E8A">
        <w:t>, Figure 1</w:t>
      </w:r>
      <w:r w:rsidR="001A2ACA" w:rsidRPr="00EB5E8A">
        <w:t>).</w:t>
      </w:r>
    </w:p>
    <w:p w14:paraId="7DFB2174" w14:textId="3F211F88" w:rsidR="001A2ACA" w:rsidRPr="00EB5E8A" w:rsidRDefault="001A2ACA" w:rsidP="00401D85">
      <w:pPr>
        <w:spacing w:line="480" w:lineRule="auto"/>
        <w:jc w:val="both"/>
      </w:pPr>
      <w:r w:rsidRPr="00EB5E8A">
        <w:t xml:space="preserve">After adjusting for the covariates listed, a temporary stoma </w:t>
      </w:r>
      <w:r w:rsidR="00AC4A89" w:rsidRPr="00EB5E8A">
        <w:t>continued to be</w:t>
      </w:r>
      <w:r w:rsidRPr="00EB5E8A">
        <w:t xml:space="preserve"> associated with a similar </w:t>
      </w:r>
      <w:r w:rsidR="002E5F8E" w:rsidRPr="00EB5E8A">
        <w:t>likelihood</w:t>
      </w:r>
      <w:r w:rsidRPr="00EB5E8A">
        <w:t xml:space="preserve"> of antidepressant use relative to those with no stoma</w:t>
      </w:r>
      <w:r w:rsidR="007C7181" w:rsidRPr="00EB5E8A">
        <w:t xml:space="preserve"> (HR 1.27, 95% CI 0.90-1.79</w:t>
      </w:r>
      <w:r w:rsidR="00464D55" w:rsidRPr="00EB5E8A">
        <w:t>, Table 2</w:t>
      </w:r>
      <w:r w:rsidR="00E5604C" w:rsidRPr="00EB5E8A">
        <w:t>)</w:t>
      </w:r>
      <w:r w:rsidRPr="00EB5E8A">
        <w:t>.</w:t>
      </w:r>
      <w:r w:rsidR="00E5604C" w:rsidRPr="00EB5E8A">
        <w:t xml:space="preserve"> A permanent stoma</w:t>
      </w:r>
      <w:r w:rsidR="000F439A" w:rsidRPr="00EB5E8A">
        <w:t>,</w:t>
      </w:r>
      <w:r w:rsidR="00E5604C" w:rsidRPr="00EB5E8A">
        <w:t xml:space="preserve"> </w:t>
      </w:r>
      <w:r w:rsidR="00A32530" w:rsidRPr="00EB5E8A">
        <w:t>however</w:t>
      </w:r>
      <w:r w:rsidR="000F439A" w:rsidRPr="00EB5E8A">
        <w:t>,</w:t>
      </w:r>
      <w:r w:rsidR="00A32530" w:rsidRPr="00EB5E8A">
        <w:t xml:space="preserve"> </w:t>
      </w:r>
      <w:r w:rsidR="00E5604C" w:rsidRPr="00EB5E8A">
        <w:t>was associated with a significantly</w:t>
      </w:r>
      <w:r w:rsidRPr="00EB5E8A">
        <w:t xml:space="preserve"> </w:t>
      </w:r>
      <w:r w:rsidR="00E5604C" w:rsidRPr="00EB5E8A">
        <w:t xml:space="preserve">higher </w:t>
      </w:r>
      <w:r w:rsidR="002E5F8E" w:rsidRPr="00EB5E8A">
        <w:t>likelihood</w:t>
      </w:r>
      <w:r w:rsidRPr="00EB5E8A">
        <w:t xml:space="preserve"> of antidepressant use </w:t>
      </w:r>
      <w:r w:rsidR="00AC4A89" w:rsidRPr="00EB5E8A">
        <w:t>compared</w:t>
      </w:r>
      <w:r w:rsidR="00392587" w:rsidRPr="00EB5E8A">
        <w:t xml:space="preserve"> </w:t>
      </w:r>
      <w:r w:rsidR="000F439A" w:rsidRPr="00EB5E8A">
        <w:t>with</w:t>
      </w:r>
      <w:r w:rsidR="007C7181" w:rsidRPr="00EB5E8A">
        <w:t xml:space="preserve"> no stoma (HR 1.71</w:t>
      </w:r>
      <w:r w:rsidR="00392587" w:rsidRPr="00EB5E8A">
        <w:t>, 95% CI 1.2</w:t>
      </w:r>
      <w:r w:rsidR="007C7181" w:rsidRPr="00EB5E8A">
        <w:t>0</w:t>
      </w:r>
      <w:r w:rsidR="00E5604C" w:rsidRPr="00EB5E8A">
        <w:t>-2.</w:t>
      </w:r>
      <w:r w:rsidR="007C7181" w:rsidRPr="00EB5E8A">
        <w:t>44</w:t>
      </w:r>
      <w:r w:rsidR="00E5604C" w:rsidRPr="00EB5E8A">
        <w:t>).</w:t>
      </w:r>
      <w:r w:rsidR="002F5111" w:rsidRPr="00EB5E8A">
        <w:t xml:space="preserve"> </w:t>
      </w:r>
    </w:p>
    <w:p w14:paraId="51EB5DAF" w14:textId="10DCBE6F" w:rsidR="002F5111" w:rsidRPr="00EB5E8A" w:rsidRDefault="002F5111" w:rsidP="00401D85">
      <w:pPr>
        <w:spacing w:line="480" w:lineRule="auto"/>
        <w:jc w:val="both"/>
      </w:pPr>
    </w:p>
    <w:p w14:paraId="02B2104B" w14:textId="238B5E02" w:rsidR="00E5604C" w:rsidRPr="00EB5E8A" w:rsidRDefault="00E5604C" w:rsidP="00401D85">
      <w:pPr>
        <w:spacing w:line="480" w:lineRule="auto"/>
        <w:jc w:val="both"/>
      </w:pPr>
      <w:r w:rsidRPr="00EB5E8A">
        <w:lastRenderedPageBreak/>
        <w:t>Women were more likely to receive a new antidepressant prescription following intestinal surgery tha</w:t>
      </w:r>
      <w:r w:rsidR="007C7181" w:rsidRPr="00EB5E8A">
        <w:t>n men (HR 1.54, 95% CI 1.17-2.0</w:t>
      </w:r>
      <w:r w:rsidR="00392587" w:rsidRPr="00EB5E8A">
        <w:t>3</w:t>
      </w:r>
      <w:r w:rsidRPr="00EB5E8A">
        <w:t>).</w:t>
      </w:r>
    </w:p>
    <w:p w14:paraId="0F4DB2D5" w14:textId="65135686" w:rsidR="00094FA1" w:rsidRPr="00EB5E8A" w:rsidRDefault="00094FA1" w:rsidP="00401D85">
      <w:pPr>
        <w:spacing w:line="480" w:lineRule="auto"/>
        <w:jc w:val="both"/>
      </w:pPr>
      <w:r w:rsidRPr="00EB5E8A">
        <w:t>Previous depression, anxiety or antidepressant use was associated with a significant increase in the likelihood of initiating an antidepressant medication following surgery (HR 2.20, 95% CI 1.66-2.93).</w:t>
      </w:r>
    </w:p>
    <w:p w14:paraId="46FF8C27" w14:textId="4BCECBB1" w:rsidR="002F5111" w:rsidRPr="00EB5E8A" w:rsidRDefault="00464D55" w:rsidP="00401D85">
      <w:pPr>
        <w:spacing w:line="480" w:lineRule="auto"/>
        <w:jc w:val="both"/>
      </w:pPr>
      <w:r w:rsidRPr="00EB5E8A">
        <w:t xml:space="preserve">Age at surgery, smoking status, socio-economic status, </w:t>
      </w:r>
      <w:r w:rsidR="002813B2" w:rsidRPr="00EB5E8A">
        <w:t>time from CD diagnosis to surgery,</w:t>
      </w:r>
      <w:r w:rsidRPr="00EB5E8A">
        <w:t xml:space="preserve"> and perianal disease were not associated with antidepressant use following intestinal surgery for CD.</w:t>
      </w:r>
    </w:p>
    <w:p w14:paraId="642B72FF" w14:textId="49EC56CE" w:rsidR="00094FA1" w:rsidRPr="00EB5E8A" w:rsidRDefault="00094FA1" w:rsidP="00401D85">
      <w:pPr>
        <w:spacing w:line="480" w:lineRule="auto"/>
        <w:jc w:val="both"/>
      </w:pPr>
      <w:r w:rsidRPr="00EB5E8A">
        <w:t xml:space="preserve">In a sensitivity analysis we also adjusted for events after the first surgery, </w:t>
      </w:r>
      <w:r w:rsidR="007242F7" w:rsidRPr="00EB5E8A">
        <w:t>namely</w:t>
      </w:r>
      <w:r w:rsidRPr="00EB5E8A">
        <w:t xml:space="preserve"> corticosteroid use and further surgery, not including stoma reversal, as markers of ongoing disease activity and severity. Corticosteroid use after surgery was associated with an increased likelihood of initiating an antidepressant medication, as was further surgery (Corticosteroid: HR 1.39, 95% 1.06-1.81, Further Surgery: HR 1.55, 95% CI 1.12-2.16). Adjusting for these did not significantly alter the main findings (Appendix C).</w:t>
      </w:r>
    </w:p>
    <w:p w14:paraId="04F072F3" w14:textId="4B5077C5" w:rsidR="00D324CD" w:rsidRPr="00EB5E8A" w:rsidRDefault="00D324CD" w:rsidP="00D324CD">
      <w:pPr>
        <w:pStyle w:val="Heading2"/>
      </w:pPr>
      <w:r w:rsidRPr="00EB5E8A">
        <w:t xml:space="preserve">Timing of stoma reversal surgery and the </w:t>
      </w:r>
      <w:r w:rsidR="00412ECA" w:rsidRPr="00EB5E8A">
        <w:t>likelihood</w:t>
      </w:r>
      <w:r w:rsidRPr="00EB5E8A">
        <w:t xml:space="preserve"> of antidepressant use</w:t>
      </w:r>
    </w:p>
    <w:p w14:paraId="5DBC59CC" w14:textId="77777777" w:rsidR="00D324CD" w:rsidRPr="00EB5E8A" w:rsidRDefault="00D324CD" w:rsidP="00D324CD">
      <w:pPr>
        <w:rPr>
          <w:lang w:eastAsia="en-GB"/>
        </w:rPr>
      </w:pPr>
    </w:p>
    <w:p w14:paraId="052B5B37" w14:textId="4440CE5A" w:rsidR="00D324CD" w:rsidRPr="00EB5E8A" w:rsidRDefault="00D324CD" w:rsidP="00FE67A4">
      <w:pPr>
        <w:spacing w:line="480" w:lineRule="auto"/>
        <w:jc w:val="both"/>
        <w:rPr>
          <w:lang w:eastAsia="en-GB"/>
        </w:rPr>
      </w:pPr>
      <w:r w:rsidRPr="00EB5E8A">
        <w:rPr>
          <w:lang w:eastAsia="en-GB"/>
        </w:rPr>
        <w:t>Of the 191 individuals who had a temporary stoma, 131 (69%) had</w:t>
      </w:r>
      <w:r w:rsidR="00953438" w:rsidRPr="00EB5E8A">
        <w:rPr>
          <w:lang w:eastAsia="en-GB"/>
        </w:rPr>
        <w:t xml:space="preserve"> `early’</w:t>
      </w:r>
      <w:r w:rsidRPr="00EB5E8A">
        <w:rPr>
          <w:lang w:eastAsia="en-GB"/>
        </w:rPr>
        <w:t xml:space="preserve"> stoma reversal surgery within one year and 60 (31%) had </w:t>
      </w:r>
      <w:r w:rsidR="00953438" w:rsidRPr="00EB5E8A">
        <w:rPr>
          <w:lang w:eastAsia="en-GB"/>
        </w:rPr>
        <w:t xml:space="preserve">`late’ </w:t>
      </w:r>
      <w:r w:rsidRPr="00EB5E8A">
        <w:rPr>
          <w:lang w:eastAsia="en-GB"/>
        </w:rPr>
        <w:t>stoma reversal surgery after one year.</w:t>
      </w:r>
    </w:p>
    <w:p w14:paraId="780B44A8" w14:textId="308788B4" w:rsidR="00D324CD" w:rsidRPr="00EB5E8A" w:rsidRDefault="00D324CD" w:rsidP="00FE67A4">
      <w:pPr>
        <w:tabs>
          <w:tab w:val="left" w:pos="7380"/>
        </w:tabs>
        <w:spacing w:line="480" w:lineRule="auto"/>
        <w:jc w:val="both"/>
        <w:rPr>
          <w:lang w:eastAsia="en-GB"/>
        </w:rPr>
      </w:pPr>
      <w:r w:rsidRPr="00EB5E8A">
        <w:rPr>
          <w:lang w:eastAsia="en-GB"/>
        </w:rPr>
        <w:t>The cumulative 10</w:t>
      </w:r>
      <w:r w:rsidR="00FD4563" w:rsidRPr="00EB5E8A">
        <w:rPr>
          <w:lang w:eastAsia="en-GB"/>
        </w:rPr>
        <w:t>-</w:t>
      </w:r>
      <w:r w:rsidRPr="00EB5E8A">
        <w:rPr>
          <w:lang w:eastAsia="en-GB"/>
        </w:rPr>
        <w:t xml:space="preserve">year </w:t>
      </w:r>
      <w:r w:rsidR="00305829" w:rsidRPr="00EB5E8A">
        <w:rPr>
          <w:lang w:eastAsia="en-GB"/>
        </w:rPr>
        <w:t xml:space="preserve">incidence </w:t>
      </w:r>
      <w:r w:rsidRPr="00EB5E8A">
        <w:rPr>
          <w:lang w:eastAsia="en-GB"/>
        </w:rPr>
        <w:t>of antidepressant use was 26.4%</w:t>
      </w:r>
      <w:r w:rsidR="007205A8" w:rsidRPr="00EB5E8A">
        <w:rPr>
          <w:lang w:eastAsia="en-GB"/>
        </w:rPr>
        <w:t xml:space="preserve"> in </w:t>
      </w:r>
      <w:r w:rsidR="00953438" w:rsidRPr="00EB5E8A">
        <w:rPr>
          <w:lang w:eastAsia="en-GB"/>
        </w:rPr>
        <w:t>individuals with no stoma formed at surgery</w:t>
      </w:r>
      <w:r w:rsidR="00392587" w:rsidRPr="00EB5E8A">
        <w:rPr>
          <w:lang w:eastAsia="en-GB"/>
        </w:rPr>
        <w:t xml:space="preserve"> (n=871</w:t>
      </w:r>
      <w:r w:rsidR="00E13ED8" w:rsidRPr="00EB5E8A">
        <w:rPr>
          <w:lang w:eastAsia="en-GB"/>
        </w:rPr>
        <w:t>)</w:t>
      </w:r>
      <w:r w:rsidR="00953438" w:rsidRPr="00EB5E8A">
        <w:rPr>
          <w:lang w:eastAsia="en-GB"/>
        </w:rPr>
        <w:t>, 25.6% in those with a</w:t>
      </w:r>
      <w:r w:rsidR="00392587" w:rsidRPr="00EB5E8A">
        <w:rPr>
          <w:lang w:eastAsia="en-GB"/>
        </w:rPr>
        <w:t xml:space="preserve"> temporary</w:t>
      </w:r>
      <w:r w:rsidR="00953438" w:rsidRPr="00EB5E8A">
        <w:rPr>
          <w:lang w:eastAsia="en-GB"/>
        </w:rPr>
        <w:t xml:space="preserve"> stoma formed at surgery </w:t>
      </w:r>
      <w:r w:rsidR="00392587" w:rsidRPr="00EB5E8A">
        <w:rPr>
          <w:lang w:eastAsia="en-GB"/>
        </w:rPr>
        <w:t>which was</w:t>
      </w:r>
      <w:r w:rsidR="00953438" w:rsidRPr="00EB5E8A">
        <w:rPr>
          <w:lang w:eastAsia="en-GB"/>
        </w:rPr>
        <w:t xml:space="preserve"> reversed within one year</w:t>
      </w:r>
      <w:r w:rsidR="00FD4563" w:rsidRPr="00EB5E8A">
        <w:rPr>
          <w:lang w:eastAsia="en-GB"/>
        </w:rPr>
        <w:t>,</w:t>
      </w:r>
      <w:r w:rsidR="00953438" w:rsidRPr="00EB5E8A">
        <w:rPr>
          <w:lang w:eastAsia="en-GB"/>
        </w:rPr>
        <w:t xml:space="preserve"> and 45.3% in those with a temporary stoma reversed a</w:t>
      </w:r>
      <w:r w:rsidR="005F7C96" w:rsidRPr="00EB5E8A">
        <w:rPr>
          <w:lang w:eastAsia="en-GB"/>
        </w:rPr>
        <w:t>fter one year (p&lt;0.001, Figure 2</w:t>
      </w:r>
      <w:r w:rsidR="00953438" w:rsidRPr="00EB5E8A">
        <w:rPr>
          <w:lang w:eastAsia="en-GB"/>
        </w:rPr>
        <w:t>).</w:t>
      </w:r>
    </w:p>
    <w:p w14:paraId="6F5E8D84" w14:textId="65A26698" w:rsidR="00E13ED8" w:rsidRPr="00EB5E8A" w:rsidRDefault="002E5F8E" w:rsidP="00FE67A4">
      <w:pPr>
        <w:tabs>
          <w:tab w:val="left" w:pos="7380"/>
        </w:tabs>
        <w:spacing w:line="480" w:lineRule="auto"/>
        <w:jc w:val="both"/>
        <w:rPr>
          <w:lang w:eastAsia="en-GB"/>
        </w:rPr>
      </w:pPr>
      <w:r w:rsidRPr="00EB5E8A">
        <w:rPr>
          <w:lang w:eastAsia="en-GB"/>
        </w:rPr>
        <w:t>After adjusting for the listed covariates, the likelihood</w:t>
      </w:r>
      <w:r w:rsidR="00E13ED8" w:rsidRPr="00EB5E8A">
        <w:rPr>
          <w:lang w:eastAsia="en-GB"/>
        </w:rPr>
        <w:t xml:space="preserve"> of antidepressant use in individuals with e</w:t>
      </w:r>
      <w:r w:rsidR="00953438" w:rsidRPr="00EB5E8A">
        <w:rPr>
          <w:lang w:eastAsia="en-GB"/>
        </w:rPr>
        <w:t xml:space="preserve">arly reversal of their stoma </w:t>
      </w:r>
      <w:r w:rsidR="00E13ED8" w:rsidRPr="00EB5E8A">
        <w:rPr>
          <w:lang w:eastAsia="en-GB"/>
        </w:rPr>
        <w:t xml:space="preserve">was </w:t>
      </w:r>
      <w:r w:rsidR="00744ED0" w:rsidRPr="00EB5E8A">
        <w:rPr>
          <w:lang w:eastAsia="en-GB"/>
        </w:rPr>
        <w:t xml:space="preserve">similar </w:t>
      </w:r>
      <w:r w:rsidR="00E13ED8" w:rsidRPr="00EB5E8A">
        <w:rPr>
          <w:lang w:eastAsia="en-GB"/>
        </w:rPr>
        <w:t xml:space="preserve">to </w:t>
      </w:r>
      <w:r w:rsidR="00FD4563" w:rsidRPr="00EB5E8A">
        <w:rPr>
          <w:lang w:eastAsia="en-GB"/>
        </w:rPr>
        <w:t xml:space="preserve">that in </w:t>
      </w:r>
      <w:r w:rsidR="00E13ED8" w:rsidRPr="00EB5E8A">
        <w:rPr>
          <w:lang w:eastAsia="en-GB"/>
        </w:rPr>
        <w:t>individuals who had no stoma formation at</w:t>
      </w:r>
      <w:r w:rsidR="00480154" w:rsidRPr="00EB5E8A">
        <w:rPr>
          <w:lang w:eastAsia="en-GB"/>
        </w:rPr>
        <w:t xml:space="preserve"> the time of their </w:t>
      </w:r>
      <w:r w:rsidR="00FC1FC2" w:rsidRPr="00EB5E8A">
        <w:rPr>
          <w:lang w:eastAsia="en-GB"/>
        </w:rPr>
        <w:t xml:space="preserve">intestinal </w:t>
      </w:r>
      <w:r w:rsidR="00480154" w:rsidRPr="00EB5E8A">
        <w:rPr>
          <w:lang w:eastAsia="en-GB"/>
        </w:rPr>
        <w:t>surgery (HR 0</w:t>
      </w:r>
      <w:r w:rsidR="007C7181" w:rsidRPr="00EB5E8A">
        <w:rPr>
          <w:lang w:eastAsia="en-GB"/>
        </w:rPr>
        <w:t>.99, 95% CI 0.64-1.53</w:t>
      </w:r>
      <w:r w:rsidR="00E13ED8" w:rsidRPr="00EB5E8A">
        <w:rPr>
          <w:lang w:eastAsia="en-GB"/>
        </w:rPr>
        <w:t xml:space="preserve">, Table 3). However, individuals with late reversal of their stoma had </w:t>
      </w:r>
      <w:r w:rsidR="00480154" w:rsidRPr="00EB5E8A">
        <w:rPr>
          <w:lang w:eastAsia="en-GB"/>
        </w:rPr>
        <w:t xml:space="preserve">significantly increased </w:t>
      </w:r>
      <w:r w:rsidRPr="00EB5E8A">
        <w:rPr>
          <w:lang w:eastAsia="en-GB"/>
        </w:rPr>
        <w:t>likelihood</w:t>
      </w:r>
      <w:r w:rsidR="00E13ED8" w:rsidRPr="00EB5E8A">
        <w:rPr>
          <w:lang w:eastAsia="en-GB"/>
        </w:rPr>
        <w:t xml:space="preserve"> of antidepressant use following their initial surgery </w:t>
      </w:r>
      <w:r w:rsidR="00E13ED8" w:rsidRPr="00EB5E8A">
        <w:rPr>
          <w:lang w:eastAsia="en-GB"/>
        </w:rPr>
        <w:lastRenderedPageBreak/>
        <w:t xml:space="preserve">compared </w:t>
      </w:r>
      <w:r w:rsidR="00F03FE2" w:rsidRPr="00EB5E8A">
        <w:rPr>
          <w:lang w:eastAsia="en-GB"/>
        </w:rPr>
        <w:t>with</w:t>
      </w:r>
      <w:r w:rsidR="00E13ED8" w:rsidRPr="00EB5E8A">
        <w:rPr>
          <w:lang w:eastAsia="en-GB"/>
        </w:rPr>
        <w:t xml:space="preserve"> individuals who had no stoma formation at th</w:t>
      </w:r>
      <w:r w:rsidR="007C7181" w:rsidRPr="00EB5E8A">
        <w:rPr>
          <w:lang w:eastAsia="en-GB"/>
        </w:rPr>
        <w:t>e time of their surgery (HR 1.85, 95% CI 1.15</w:t>
      </w:r>
      <w:r w:rsidR="00480154" w:rsidRPr="00EB5E8A">
        <w:rPr>
          <w:lang w:eastAsia="en-GB"/>
        </w:rPr>
        <w:t>-2</w:t>
      </w:r>
      <w:r w:rsidR="007C7181" w:rsidRPr="00EB5E8A">
        <w:rPr>
          <w:lang w:eastAsia="en-GB"/>
        </w:rPr>
        <w:t>.96</w:t>
      </w:r>
      <w:r w:rsidR="00E13ED8" w:rsidRPr="00EB5E8A">
        <w:rPr>
          <w:lang w:eastAsia="en-GB"/>
        </w:rPr>
        <w:t>, Table 3).</w:t>
      </w:r>
    </w:p>
    <w:p w14:paraId="77779619" w14:textId="77777777" w:rsidR="00F07CF9" w:rsidRPr="00EB5E8A" w:rsidRDefault="00F07CF9" w:rsidP="00E10A51">
      <w:pPr>
        <w:pStyle w:val="Heading1"/>
        <w:rPr>
          <w:b/>
          <w:color w:val="5B9BD5" w:themeColor="accent1"/>
        </w:rPr>
      </w:pPr>
      <w:r w:rsidRPr="00EB5E8A">
        <w:rPr>
          <w:b/>
          <w:color w:val="5B9BD5" w:themeColor="accent1"/>
        </w:rPr>
        <w:t>Discussion</w:t>
      </w:r>
    </w:p>
    <w:p w14:paraId="1F14B3CA" w14:textId="77777777" w:rsidR="00C12876" w:rsidRPr="00EB5E8A" w:rsidRDefault="00C12876" w:rsidP="00C12876"/>
    <w:p w14:paraId="749537C6" w14:textId="2B702BDB" w:rsidR="00F07CF9" w:rsidRPr="00EB5E8A" w:rsidRDefault="00F07CF9" w:rsidP="00E10A51">
      <w:pPr>
        <w:pStyle w:val="Heading3"/>
        <w:rPr>
          <w:b/>
          <w:color w:val="5B9BD5" w:themeColor="accent1"/>
          <w:sz w:val="26"/>
          <w:szCs w:val="26"/>
        </w:rPr>
      </w:pPr>
      <w:r w:rsidRPr="00EB5E8A">
        <w:rPr>
          <w:b/>
          <w:color w:val="5B9BD5" w:themeColor="accent1"/>
          <w:sz w:val="26"/>
          <w:szCs w:val="26"/>
        </w:rPr>
        <w:t>Main findings</w:t>
      </w:r>
    </w:p>
    <w:p w14:paraId="3AFB8FC8" w14:textId="77777777" w:rsidR="000D26F1" w:rsidRPr="00EB5E8A" w:rsidRDefault="000D26F1" w:rsidP="000D26F1"/>
    <w:p w14:paraId="008EE5B8" w14:textId="339430FF" w:rsidR="00F07CF9" w:rsidRPr="00EB5E8A" w:rsidRDefault="00F07CF9" w:rsidP="00FB1FFF">
      <w:pPr>
        <w:spacing w:line="480" w:lineRule="auto"/>
        <w:jc w:val="both"/>
      </w:pPr>
      <w:r w:rsidRPr="00EB5E8A">
        <w:t xml:space="preserve">We found </w:t>
      </w:r>
      <w:r w:rsidR="00A24C1A" w:rsidRPr="00EB5E8A">
        <w:t>individuals</w:t>
      </w:r>
      <w:r w:rsidR="009C35F9" w:rsidRPr="00EB5E8A">
        <w:t xml:space="preserve"> </w:t>
      </w:r>
      <w:r w:rsidR="006460E4" w:rsidRPr="00EB5E8A">
        <w:t xml:space="preserve">with </w:t>
      </w:r>
      <w:r w:rsidR="003679E6" w:rsidRPr="00EB5E8A">
        <w:t xml:space="preserve">CD and </w:t>
      </w:r>
      <w:r w:rsidR="006460E4" w:rsidRPr="00EB5E8A">
        <w:t xml:space="preserve">a permanent stoma after intestinal surgery were </w:t>
      </w:r>
      <w:r w:rsidR="005A22EC" w:rsidRPr="00EB5E8A">
        <w:t>74% more</w:t>
      </w:r>
      <w:r w:rsidR="006460E4" w:rsidRPr="00EB5E8A">
        <w:t xml:space="preserve"> likely to start using an antidepressant </w:t>
      </w:r>
      <w:r w:rsidR="005A22EC" w:rsidRPr="00EB5E8A">
        <w:t xml:space="preserve">compared </w:t>
      </w:r>
      <w:r w:rsidR="00DF2200" w:rsidRPr="00EB5E8A">
        <w:t>with</w:t>
      </w:r>
      <w:r w:rsidR="006460E4" w:rsidRPr="00EB5E8A">
        <w:t xml:space="preserve"> </w:t>
      </w:r>
      <w:r w:rsidR="005A22EC" w:rsidRPr="00EB5E8A">
        <w:t xml:space="preserve">individuals </w:t>
      </w:r>
      <w:r w:rsidR="006460E4" w:rsidRPr="00EB5E8A">
        <w:t xml:space="preserve">who had surgery without stoma formation. </w:t>
      </w:r>
      <w:r w:rsidR="005A22EC" w:rsidRPr="00EB5E8A">
        <w:t>I</w:t>
      </w:r>
      <w:r w:rsidR="006460E4" w:rsidRPr="00EB5E8A">
        <w:t xml:space="preserve">ndividuals </w:t>
      </w:r>
      <w:r w:rsidR="005A22EC" w:rsidRPr="00EB5E8A">
        <w:t xml:space="preserve">with </w:t>
      </w:r>
      <w:r w:rsidR="006460E4" w:rsidRPr="00EB5E8A">
        <w:t xml:space="preserve">a temporary stoma </w:t>
      </w:r>
      <w:r w:rsidR="005A22EC" w:rsidRPr="00EB5E8A">
        <w:t xml:space="preserve">reversed within a year of formation </w:t>
      </w:r>
      <w:r w:rsidR="00412ECA" w:rsidRPr="00EB5E8A">
        <w:t>had a similar likelihood</w:t>
      </w:r>
      <w:r w:rsidR="006460E4" w:rsidRPr="00EB5E8A">
        <w:t xml:space="preserve"> of using an antidepressant after surgery as individuals without a stoma.</w:t>
      </w:r>
      <w:r w:rsidR="005A22EC" w:rsidRPr="00EB5E8A">
        <w:t xml:space="preserve"> However, individuals with a temporary stoma for more than a year were </w:t>
      </w:r>
      <w:r w:rsidR="008F2EE9" w:rsidRPr="00EB5E8A">
        <w:t xml:space="preserve">significantly more likely to receive an </w:t>
      </w:r>
      <w:r w:rsidR="00E019D6" w:rsidRPr="00EB5E8A">
        <w:t>antidepressant medication</w:t>
      </w:r>
      <w:r w:rsidR="008F2EE9" w:rsidRPr="00EB5E8A">
        <w:t xml:space="preserve"> than individuals who had surgery without stoma formation</w:t>
      </w:r>
      <w:r w:rsidR="00FA6993" w:rsidRPr="00EB5E8A">
        <w:t>.</w:t>
      </w:r>
    </w:p>
    <w:p w14:paraId="3CC3FB5E" w14:textId="77777777" w:rsidR="00A21E08" w:rsidRPr="00EB5E8A" w:rsidRDefault="00A21E08" w:rsidP="00A21E08">
      <w:pPr>
        <w:pStyle w:val="Heading2"/>
        <w:spacing w:line="480" w:lineRule="auto"/>
        <w:rPr>
          <w:rFonts w:asciiTheme="minorHAnsi" w:hAnsiTheme="minorHAnsi"/>
        </w:rPr>
      </w:pPr>
      <w:r w:rsidRPr="00EB5E8A">
        <w:rPr>
          <w:rFonts w:asciiTheme="minorHAnsi" w:hAnsiTheme="minorHAnsi"/>
        </w:rPr>
        <w:t>Findings in relation to previous studies</w:t>
      </w:r>
    </w:p>
    <w:p w14:paraId="76E92C84" w14:textId="60845D46" w:rsidR="009A3487" w:rsidRPr="00EB5E8A" w:rsidRDefault="003906ED" w:rsidP="00FE67A4">
      <w:pPr>
        <w:spacing w:line="480" w:lineRule="auto"/>
        <w:jc w:val="both"/>
      </w:pPr>
      <w:r w:rsidRPr="00EB5E8A">
        <w:t xml:space="preserve">We found </w:t>
      </w:r>
      <w:r w:rsidR="003679E6" w:rsidRPr="00EB5E8A">
        <w:t>permanent stoma formation is associated with increased rates of antidepressant use after intestinal surgery for CD</w:t>
      </w:r>
      <w:r w:rsidR="00676636" w:rsidRPr="00EB5E8A">
        <w:t xml:space="preserve"> compared with non-stoma surgery</w:t>
      </w:r>
      <w:r w:rsidRPr="00EB5E8A">
        <w:t>.</w:t>
      </w:r>
      <w:r w:rsidR="003679E6" w:rsidRPr="00EB5E8A">
        <w:t xml:space="preserve"> This is in keeping with the findings of</w:t>
      </w:r>
      <w:r w:rsidR="009F14EB" w:rsidRPr="00EB5E8A">
        <w:t xml:space="preserve"> </w:t>
      </w:r>
      <w:r w:rsidR="004905D0" w:rsidRPr="00EB5E8A">
        <w:t xml:space="preserve">Ananthakrishnan et al. </w:t>
      </w:r>
      <w:r w:rsidR="003679E6" w:rsidRPr="00EB5E8A">
        <w:t xml:space="preserve">that stoma formation is associated with an increased risk of depression in individuals with CD (OR 1.73, 95% CI </w:t>
      </w:r>
      <w:r w:rsidR="00CE465A" w:rsidRPr="00EB5E8A">
        <w:t>1.05-2.85)</w:t>
      </w:r>
      <w:r w:rsidR="00190225" w:rsidRPr="00EB5E8A">
        <w:t>.</w:t>
      </w:r>
      <w:r w:rsidR="00CE3975" w:rsidRPr="00EB5E8A">
        <w:fldChar w:fldCharType="begin" w:fldLock="1"/>
      </w:r>
      <w:r w:rsidR="00CE3975" w:rsidRPr="00EB5E8A">
        <w:instrText>ADDIN CSL_CITATION {"citationItems":[{"id":"ITEM-1","itemData":{"ISSN":"0002-9270","author":[{"dropping-particle":"","family":"Ananthakrishnan","given":"Ashwin N","non-dropping-particle":"","parse-names":false,"suffix":""},{"dropping-particle":"","family":"Gainer","given":"Vivian S","non-dropping-particle":"","parse-names":false,"suffix":""},{"dropping-particle":"","family":"Cai","given":"Tianxi","non-dropping-particle":"","parse-names":false,"suffix":""},{"dropping-particle":"","family":"Perez","given":"Raul Guzman","non-dropping-particle":"","parse-names":false,"suffix":""},{"dropping-particle":"","family":"Cheng","given":"Su-Chun","non-dropping-particle":"","parse-names":false,"suffix":""},{"dropping-particle":"","family":"Savova","given":"Guergana","non-dropping-particle":"","parse-names":false,"suffix":""},{"dropping-particle":"","family":"Chen","given":"Pei","non-dropping-particle":"","parse-names":false,"suffix":""},{"dropping-particle":"","family":"Szolovits","given":"Peter","non-dropping-particle":"","parse-names":false,"suffix":""},{"dropping-particle":"","family":"Xia","given":"Zongqi","non-dropping-particle":"","parse-names":false,"suffix":""},{"dropping-particle":"","family":"Jager","given":"Philip L","non-dropping-particle":"De","parse-names":false,"suffix":""},{"dropping-particle":"","family":"Shaw","given":"Stanley","non-dropping-particle":"","parse-names":false,"suffix":""},{"dropping-particle":"","family":"Churchill","given":"Susanne","non-dropping-particle":"","parse-names":false,"suffix":""},{"dropping-particle":"","family":"Karlson","given":"Elizabeth W","non-dropping-particle":"","parse-names":false,"suffix":""},{"dropping-particle":"","family":"Kohane","given":"Isaac","non-dropping-particle":"","parse-names":false,"suffix":""},{"dropping-particle":"","family":"Perlis","given":"Roy H","non-dropping-particle":"","parse-names":false,"suffix":""},{"dropping-particle":"","family":"Plenge","given":"Robert M","non-dropping-particle":"","parse-names":false,"suffix":""},{"dropping-particle":"","family":"Murphy","given":"Shawn N","non-dropping-particle":"","parse-names":false,"suffix":""},{"dropping-particle":"","family":"Liao","given":"Katherine P","non-dropping-particle":"","parse-names":false,"suffix":""}],"container-title":"Am J Gastroenterol","id":"ITEM-1","issue":"4","issued":{"date-parts":[["2013","4"]]},"page":"594-601","publisher":"American College of Gastroenterology","title":"Similar Risk of Depression and Anxiety Following Surgery or Hospitalization for Crohn's Disease and Ulcerative Colitis","type":"article-journal","volume":"108"},"uris":["http://www.mendeley.com/documents/?uuid=eff03093-991d-4ff5-bb48-d7ac0c02e0a1"]}],"mendeley":{"formattedCitation":"&lt;sup&gt;11&lt;/sup&gt;","plainTextFormattedCitation":"11","previouslyFormattedCitation":"&lt;sup&gt;11&lt;/sup&gt;"},"properties":{"noteIndex":0},"schema":"https://github.com/citation-style-language/schema/raw/master/csl-citation.json"}</w:instrText>
      </w:r>
      <w:r w:rsidR="00CE3975" w:rsidRPr="00EB5E8A">
        <w:fldChar w:fldCharType="separate"/>
      </w:r>
      <w:r w:rsidR="00CE3975" w:rsidRPr="00EB5E8A">
        <w:rPr>
          <w:noProof/>
          <w:vertAlign w:val="superscript"/>
        </w:rPr>
        <w:t>11</w:t>
      </w:r>
      <w:r w:rsidR="00CE3975" w:rsidRPr="00EB5E8A">
        <w:fldChar w:fldCharType="end"/>
      </w:r>
      <w:r w:rsidR="00190225" w:rsidRPr="00EB5E8A">
        <w:t xml:space="preserve"> </w:t>
      </w:r>
    </w:p>
    <w:p w14:paraId="77B2AAF9" w14:textId="099B8750" w:rsidR="00CE3975" w:rsidRPr="00EB5E8A" w:rsidRDefault="00CE3975" w:rsidP="00FE67A4">
      <w:pPr>
        <w:spacing w:line="480" w:lineRule="auto"/>
        <w:jc w:val="both"/>
      </w:pPr>
      <w:r w:rsidRPr="00EB5E8A">
        <w:t xml:space="preserve">The association </w:t>
      </w:r>
      <w:r w:rsidR="009C28F4" w:rsidRPr="00EB5E8A">
        <w:t>between</w:t>
      </w:r>
      <w:r w:rsidRPr="00EB5E8A">
        <w:t xml:space="preserve"> stoma formation and subsequent antidepressant use is likely to be a result of multiple factors. Individuals undergoing stoma formation may have more severe CD, which is associated with increased rates of anxiety and depression.</w:t>
      </w:r>
      <w:r w:rsidRPr="00EB5E8A">
        <w:fldChar w:fldCharType="begin" w:fldLock="1"/>
      </w:r>
      <w:r w:rsidR="00F05424" w:rsidRPr="00EB5E8A">
        <w:instrText>ADDIN CSL_CITATION {"citationItems":[{"id":"ITEM-1","itemData":{"DOI":"10.1002/ibd.21346","ISBN":"1078-0998","ISSN":"1078-0998","abstract":"Background: Studies on anxiety and depression in inflammatory bowel disease (IBD) yielded inconsistent results. We compared anxiety and depression of patients with Crohn's disease (CD) and ulcerative colitis (UC) controlled for sociodemographic and medical variables with age- and sex-matched controls., Methods: In all, 422 IBD patients (50% females, 314 CD, 108 UC) of different settings were compared with 140 age- and sex-matched patients with chronic liver diseases (CLD) of a tertiary care center and with 422 age- and sex-matched persons of a representative sample of the general German population (GP). Anxiety and depression and probable mental disorder were assessed by the German version of the Hospital Anxiety and Depression Scale. Comparisons between CD and UC were adjusted for medical (disease activity, number of IBD-associated diseases) and sociodemographic factors (age, gender, marital status)., Results: CD and UC patients did not differ in the levels of anxiety and depression or in the frequency of a probable mental disorder. The levels of anxiety and depression of IBD patients with active disease were higher than that of the GP, but not of the IBD patients in remission. The depression score of the CLD sample was higher than that of the IBD sample (P &lt; 0.001), but not the anxiety score. Mental disorders were more frequent in IBD patients with slight (27.7%) and moderate/severe disease activity (49.3%) compared to GP (10.4%) (P &lt; 0.001), but not in IBD patients in remission (11.3%)., Conclusions: Patients with active IBD should be screened for anxiety and depression. Inflamm Bowel Dis 2011, (C) Crohn's &amp; Colitis Foundation of America, Inc.","author":[{"dropping-particle":"","family":"Hauser","given":"Winfried","non-dropping-particle":"","parse-names":false,"suffix":""},{"dropping-particle":"","family":"Janke","given":"Karl-Heinz","non-dropping-particle":"","parse-names":false,"suffix":""},{"dropping-particle":"","family":"Klump","given":"Bodo","non-dropping-particle":"","parse-names":false,"suffix":""},{"dropping-particle":"","family":"Hinz","given":"Andreas","non-dropping-particle":"","parse-names":false,"suffix":""}],"container-title":"Inflamm Bowel Dis","id":"ITEM-1","issue":"2","issued":{"date-parts":[["2011"]]},"page":"621-632","title":"Anxiety and depression in patients with inflammatory bowel disease: Comparisons with chronic liver disease patients and the general population.","type":"article-journal","volume":"17"},"uris":["http://www.mendeley.com/documents/?uuid=cd08d3fd-4242-4e4b-891d-bc4d3e419bd5"]}],"mendeley":{"formattedCitation":"&lt;sup&gt;18&lt;/sup&gt;","plainTextFormattedCitation":"18","previouslyFormattedCitation":"&lt;sup&gt;18&lt;/sup&gt;"},"properties":{"noteIndex":0},"schema":"https://github.com/citation-style-language/schema/raw/master/csl-citation.json"}</w:instrText>
      </w:r>
      <w:r w:rsidRPr="00EB5E8A">
        <w:fldChar w:fldCharType="separate"/>
      </w:r>
      <w:r w:rsidR="005420EB" w:rsidRPr="00EB5E8A">
        <w:rPr>
          <w:noProof/>
          <w:vertAlign w:val="superscript"/>
        </w:rPr>
        <w:t>18</w:t>
      </w:r>
      <w:r w:rsidRPr="00EB5E8A">
        <w:fldChar w:fldCharType="end"/>
      </w:r>
      <w:r w:rsidRPr="00EB5E8A">
        <w:t xml:space="preserve"> </w:t>
      </w:r>
      <w:r w:rsidR="009C28F4" w:rsidRPr="00EB5E8A">
        <w:t>Other studies suggest</w:t>
      </w:r>
      <w:r w:rsidRPr="00EB5E8A">
        <w:t xml:space="preserve"> stoma formation may also result in psychiatric</w:t>
      </w:r>
      <w:r w:rsidR="00E019D6" w:rsidRPr="00EB5E8A">
        <w:t xml:space="preserve"> morbidity given</w:t>
      </w:r>
      <w:r w:rsidRPr="00EB5E8A">
        <w:t xml:space="preserve"> </w:t>
      </w:r>
      <w:r w:rsidR="009C28F4" w:rsidRPr="00EB5E8A">
        <w:t>i</w:t>
      </w:r>
      <w:r w:rsidRPr="00EB5E8A">
        <w:t>ndividuals are more likely to report having a negative body image following stoma formation.</w:t>
      </w:r>
      <w:r w:rsidRPr="00EB5E8A">
        <w:fldChar w:fldCharType="begin" w:fldLock="1"/>
      </w:r>
      <w:r w:rsidRPr="00EB5E8A">
        <w:instrText>ADDIN CSL_CITATION {"citationItems":[{"id":"ITEM-1","itemData":{"DOI":"10.4172/2155-9899.1000145","ISBN":"2155-9899","author":[{"dropping-particle":"","family":"El-Tawil, AM, Nightingale","given":"P","non-dropping-particle":"","parse-names":false,"suffix":""}],"container-title":"Journal of Clinical &amp; Cellular Immunology","id":"ITEM-1","issue":"3","issued":{"date-parts":[["2013"]]},"publisher":"OMICS International.,","title":"Living with Stoma: Long-term Effects on Patients' Quality of Life","type":"article","volume":"4"},"uris":["http://www.mendeley.com/documents/?uuid=b89248ec-02fc-426f-8db7-aa243383a3d6"]}],"mendeley":{"formattedCitation":"&lt;sup&gt;9&lt;/sup&gt;","plainTextFormattedCitation":"9","previouslyFormattedCitation":"&lt;sup&gt;9&lt;/sup&gt;"},"properties":{"noteIndex":0},"schema":"https://github.com/citation-style-language/schema/raw/master/csl-citation.json"}</w:instrText>
      </w:r>
      <w:r w:rsidRPr="00EB5E8A">
        <w:fldChar w:fldCharType="separate"/>
      </w:r>
      <w:r w:rsidRPr="00EB5E8A">
        <w:rPr>
          <w:noProof/>
          <w:vertAlign w:val="superscript"/>
        </w:rPr>
        <w:t>9</w:t>
      </w:r>
      <w:r w:rsidRPr="00EB5E8A">
        <w:fldChar w:fldCharType="end"/>
      </w:r>
      <w:r w:rsidRPr="00EB5E8A">
        <w:t xml:space="preserve"> Furthermore,  four out of ten individuals with a stoma report it negatively affects their sex life, and some report being stigmatised for having a stoma and become socially isolated as a result.</w:t>
      </w:r>
      <w:r w:rsidRPr="00EB5E8A">
        <w:fldChar w:fldCharType="begin" w:fldLock="1"/>
      </w:r>
      <w:r w:rsidRPr="00EB5E8A">
        <w:instrText>ADDIN CSL_CITATION {"citationItems":[{"id":"ITEM-1","itemData":{"DOI":"10.1002/ibd.21090","ISSN":"1536-4844 (Electronic)","PMID":"19714755","abstract":"BACKGROUND: There is a paucity of literature on the impact of inflammatory bowel  disease (IBD) on relationships, body image, and sexual function from a patient perspective. This study sought to describe patients' perceptions of these issues. METHODS: In all, 347 patients, age 18-50 years, from a hospital-based IBD database were surveyed by post. Quantitative and qualitative data were obtained on demographics, relationships, quality of life (QoL), body image, and sexual function. Comparisons were made by diagnosis, gender, and operative status. Univariate and multivariable analyses and logistic regressions were performed; P &lt; 0.05 was regarded as significant. RESULTS: The response rate was 62.5%. Overall, 88.5% reported impaired QoL; 50.2% a negative effect on relationship status; and 66.8% impaired body image (females 74.8% versus males 51.4%, P = 0.0007; operated 81.4% versus nonoperated 51.3%, P = 0.0003). A greater proportion of women reported decreased frequency of sexual activity, as did operated subjects (female 66.3% versus male 40.5%, P &lt; 0.0001; operated 68.5% versus nonoperated 50.4%, P = 0.0113). Women and operated subjects also more often reported decreased libido (female 67.1% versus male 41.9% P = 0.0005; operated 67.4% versus nonoperated 52.6%, P = 0.035). 9.7% omitted medication because of perceived negative effect(s) on sexual function. Logistic regression revealed that female gender negatively affected body image, libido, and sexual activity, while limited resection surgery negatively affected body image (all P &lt; 0.005). CONCLUSIONS: A large proportion of patients perceive IBD to negatively affect many aspects of sexuality. Females and operated subjects more frequently perceived these negative effects. These findings are important in overall clinical care of patients with IBD and should be addressed.","author":[{"dropping-particle":"","family":"Muller","given":"Kate R","non-dropping-particle":"","parse-names":false,"suffix":""},{"dropping-particle":"","family":"Prosser","given":"Ruth","non-dropping-particle":"","parse-names":false,"suffix":""},{"dropping-particle":"","family":"Bampton","given":"Peter","non-dropping-particle":"","parse-names":false,"suffix":""},{"dropping-particle":"","family":"Mountifield","given":"Reme","non-dropping-particle":"","parse-names":false,"suffix":""},{"dropping-particle":"","family":"Andrews","given":"Jane M","non-dropping-particle":"","parse-names":false,"suffix":""}],"container-title":"Inflammatory bowel diseases","id":"ITEM-1","issue":"4","issued":{"date-parts":[["2010","4"]]},"language":"eng","page":"657-663","publisher-place":"United States","title":"Female gender and surgery impair relationships, body image, and sexuality in inflammatory bowel disease: patient perceptions.","type":"article-journal","volume":"16"},"uris":["http://www.mendeley.com/documents/?uuid=9dbc9b76-08d0-4d48-abe1-77a0979b43f0"]},{"id":"ITEM-2","itemData":{"DOI":"10.4172/2155-9899.1000145","ISBN":"2155-9899","author":[{"dropping-particle":"","family":"El-Tawil, AM, Nightingale","given":"P","non-dropping-particle":"","parse-names":false,"suffix":""}],"container-title":"Journal of Clinical &amp; Cellular Immunology","id":"ITEM-2","issue":"3","issued":{"date-parts":[["2013"]]},"publisher":"OMICS International.,","title":"Living with Stoma: Long-term Effects on Patients' Quality of Life","type":"article","volume":"4"},"uris":["http://www.mendeley.com/documents/?uuid=b89248ec-02fc-426f-8db7-aa243383a3d6"]},{"id":"ITEM-3","itemData":{"DOI":"10.1093/ibd/izx043","ISSN":"15364844","abstract":"Background: Many inflammatory bowel disease (IBD) patients worry about stoma-forming surgery (SFS), sometimes enduring poor bowel-related quality of life to avoid it. Anticipation of SFS and whether expectations match experience is underreported. This qualitative study explored influences on patients' SFS decision-making and compared preoperative concerns with postoperative outcomes. Methods: We purposively recruited participants with IBD from UK hospital outpatient and community sources, and IBD clinicians from public hospitals. Four focus groups, 29 semistructured patient participant interviews, and 18 clinician interviews were audio recorded, transcribed, and analysed thematically. Participants had a current temporary, recently-reversed, or permanent stoma, or were stoma naive. Results: Four themes emerged: Preoperative concerns and expectations, Patient decision-making, Surgery and recovery, and Long-term outcomes. Participants and clinicians agreed about most preoperative concerns, that outcomes were often better than expected, and support from others with a stoma is beneficial. Patient decision-making involves multiple factors, including disease status. Some clinicians avoid discussing SFS, and the phrase 'last resort' can bias patient perceptions; others recommend early discussion, increasing dialogue when medical management becomes ineffective. The postoperative period is particularly challenging for patients. Stoma acceptance is influenced by personal perceptions and pre- and postoperative clinical and social support. Conclusion: Patients need balanced information on all treatment options, including surgery, from an early stage. Early multidisciplinary team dialogue about SFS, and contact with others living well with a stoma, could enable informed decision-making. Life with a stoma is often better than anticipated, improving quality of life and control. Ongoing specialist nursing support AIDS recovery and adjustment.","author":[{"dropping-particle":"","family":"Dibley","given":"Lesley","non-dropping-particle":"","parse-names":false,"suffix":""},{"dropping-particle":"","family":"Czuber-Dochan","given":"Wladyslawa","non-dropping-particle":"","parse-names":false,"suffix":""},{"dropping-particle":"","family":"Wade","given":"Tiffany","non-dropping-particle":"","parse-names":false,"suffix":""},{"dropping-particle":"","family":"Duncan","given":"Julie","non-dropping-particle":"","parse-names":false,"suffix":""},{"dropping-particle":"","family":"Burch","given":"Jennie","non-dropping-particle":"","parse-names":false,"suffix":""},{"dropping-particle":"","family":"Warusavitarne","given":"Janindra","non-dropping-particle":"","parse-names":false,"suffix":""},{"dropping-particle":"","family":"Norton","given":"Christine","non-dropping-particle":"","parse-names":false,"suffix":""},{"dropping-particle":"","family":"Artom","given":"Micol","non-dropping-particle":"","parse-names":false,"suffix":""},{"dropping-particle":"","family":"O'Sullivan","given":"Liam","non-dropping-particle":"","parse-names":false,"suffix":""},{"dropping-particle":"","family":"Verjee","given":"Azmina","non-dropping-particle":"","parse-names":false,"suffix":""},{"dropping-particle":"","family":"Cann","given":"Denise","non-dropping-particle":"","parse-names":false,"suffix":""}],"container-title":"Inflammatory Bowel Diseases","id":"ITEM-3","issue":"2","issued":{"date-parts":[["2018"]]},"page":"235-246","title":"Patient Decision-Making about Emergency and Planned Stoma Surgery for IBD: A Qualitative Exploration of Patient and Clinician Perspectives","type":"article-journal","volume":"24"},"uris":["http://www.mendeley.com/documents/?uuid=6db35ead-e41b-42c0-860e-7e97be5a395a"]}],"mendeley":{"formattedCitation":"&lt;sup&gt;8–10&lt;/sup&gt;","plainTextFormattedCitation":"8–10","previouslyFormattedCitation":"&lt;sup&gt;8–10&lt;/sup&gt;"},"properties":{"noteIndex":0},"schema":"https://github.com/citation-style-language/schema/raw/master/csl-citation.json"}</w:instrText>
      </w:r>
      <w:r w:rsidRPr="00EB5E8A">
        <w:fldChar w:fldCharType="separate"/>
      </w:r>
      <w:r w:rsidRPr="00EB5E8A">
        <w:rPr>
          <w:noProof/>
          <w:vertAlign w:val="superscript"/>
        </w:rPr>
        <w:t>8–10</w:t>
      </w:r>
      <w:r w:rsidRPr="00EB5E8A">
        <w:fldChar w:fldCharType="end"/>
      </w:r>
      <w:r w:rsidRPr="00EB5E8A">
        <w:t xml:space="preserve"> Four out of five individuals report they had to change their job and diet as a consequence of having a stoma, and half of those questioned changed their clothing style. Most individuals living with a stoma report it took more than 6 months to feel comfortable with</w:t>
      </w:r>
      <w:r w:rsidR="009C28F4" w:rsidRPr="00EB5E8A">
        <w:t xml:space="preserve"> the</w:t>
      </w:r>
      <w:r w:rsidRPr="00EB5E8A">
        <w:t xml:space="preserve"> daily </w:t>
      </w:r>
      <w:r w:rsidRPr="00EB5E8A">
        <w:lastRenderedPageBreak/>
        <w:t>care of their stoma.</w:t>
      </w:r>
      <w:r w:rsidRPr="00EB5E8A">
        <w:fldChar w:fldCharType="begin" w:fldLock="1"/>
      </w:r>
      <w:r w:rsidR="00F05424" w:rsidRPr="00EB5E8A">
        <w:instrText>ADDIN CSL_CITATION {"citationItems":[{"id":"ITEM-1","itemData":{"DOI":"10.4103/0973-1075.105687","ISSN":"0973-1075","abstract":"BACKGROUND: Despite efforts to maintain the intestinal tissue and treat gastrointestinal disease, a large number of patients undergo ostomy surgery each year. Using stoma reduces the patient's quality of life (QOL) greatly. Although there are approximately 3000 patients in Iran; there is little information about the impact of stoma on their QOL. AIMS: The study aims to evaluate QOL of stoma patients using a special measurement tool. SETTINGS AND DESIGN: This survey was a cross-sectional study that was conducted on 102 random samples of stoma patients. MATERIALS AND METHODS: The City of Hope Quality of Life-Ostomy Questionnaire was used for collecting demographic and clinical information and evaluating QOL. STATISTICAL ANALYSIS USED: Univariate and multiple regression analyses were performed to identify predictors of QOL. RESULTS: The mean score for the overall QOL for stoma patients was 7.48 ± 0.9. 70% of patients were dissatisfied with sexual activities. More than half of them reported feelings of depression following stoma surgery. Univariate analysis indicated that factors such as the type of ostomy (temporary/permanent), the underlying disease that had led to the stoma, depression, problem with location of ostomy, and change in clothing style had significant effects on overall QOL and its subscales (P &lt; 0.05). The results of the regression analyses showed that only depression and problem with the location of ostomy were statistically significant in predicting patients' QOL and its subscales (P &lt; 0.05). CONCLUSIONS: The findings demonstrated that living with stoma influences the overall aspect of QOL. Education for the patients and their families is important for improving the stoma patients' QOL. Sexual and psychological consultation may also improve patients' QOL.","author":[{"dropping-particle":"","family":"Anaraki","given":"Fakhrialsadat","non-dropping-particle":"","parse-names":false,"suffix":""},{"dropping-particle":"","family":"Vafaie","given":"Mohamad","non-dropping-particle":"","parse-names":false,"suffix":""},{"dropping-particle":"","family":"Behboo","given":"Roobic","non-dropping-particle":"","parse-names":false,"suffix":""},{"dropping-particle":"","family":"Maghsoodi","given":"Nakisa","non-dropping-particle":"","parse-names":false,"suffix":""},{"dropping-particle":"","family":"Esmaeilpour","given":"Sahar","non-dropping-particle":"","parse-names":false,"suffix":""},{"dropping-particle":"","family":"Safaee","given":"Azadeh","non-dropping-particle":"","parse-names":false,"suffix":""}],"container-title":"Indian journal of palliative care","id":"ITEM-1","issue":"3","issued":{"date-parts":[["2012","9"]]},"language":"eng","page":"176-180","publisher":"Medknow Publications &amp; Media Pvt Ltd","title":"Quality of life outcomes in patients living with stoma","type":"article-journal","volume":"18"},"uris":["http://www.mendeley.com/documents/?uuid=3be1c9f6-2a20-4d7d-bb1c-bbafb9823502"]}],"mendeley":{"formattedCitation":"&lt;sup&gt;19&lt;/sup&gt;","plainTextFormattedCitation":"19","previouslyFormattedCitation":"&lt;sup&gt;19&lt;/sup&gt;"},"properties":{"noteIndex":0},"schema":"https://github.com/citation-style-language/schema/raw/master/csl-citation.json"}</w:instrText>
      </w:r>
      <w:r w:rsidRPr="00EB5E8A">
        <w:fldChar w:fldCharType="separate"/>
      </w:r>
      <w:r w:rsidR="005420EB" w:rsidRPr="00EB5E8A">
        <w:rPr>
          <w:noProof/>
          <w:vertAlign w:val="superscript"/>
        </w:rPr>
        <w:t>19</w:t>
      </w:r>
      <w:r w:rsidRPr="00EB5E8A">
        <w:fldChar w:fldCharType="end"/>
      </w:r>
      <w:r w:rsidRPr="00EB5E8A">
        <w:t xml:space="preserve"> Furthermore, a common concern of people living with a stoma is that the bag may leak or smell, </w:t>
      </w:r>
      <w:r w:rsidR="00F05424" w:rsidRPr="00EB5E8A">
        <w:t xml:space="preserve">potentially resulting in </w:t>
      </w:r>
      <w:r w:rsidR="00E23424" w:rsidRPr="00EB5E8A">
        <w:t xml:space="preserve">low </w:t>
      </w:r>
      <w:r w:rsidRPr="00EB5E8A">
        <w:t>self-esteem and withdraw</w:t>
      </w:r>
      <w:r w:rsidR="00E23424" w:rsidRPr="00EB5E8A">
        <w:t>al</w:t>
      </w:r>
      <w:r w:rsidRPr="00EB5E8A">
        <w:t xml:space="preserve"> from social situations. </w:t>
      </w:r>
    </w:p>
    <w:p w14:paraId="391C0CBD" w14:textId="48799E56" w:rsidR="003F26FA" w:rsidRPr="00EB5E8A" w:rsidRDefault="00CE3975" w:rsidP="00FE67A4">
      <w:pPr>
        <w:spacing w:line="480" w:lineRule="auto"/>
        <w:jc w:val="both"/>
      </w:pPr>
      <w:r w:rsidRPr="00EB5E8A">
        <w:t>Previous research examining the association between depression and stoma formation made no distinction between temporary and permanent stomas.</w:t>
      </w:r>
      <w:r w:rsidRPr="00EB5E8A">
        <w:fldChar w:fldCharType="begin" w:fldLock="1"/>
      </w:r>
      <w:r w:rsidRPr="00EB5E8A">
        <w:instrText>ADDIN CSL_CITATION {"citationItems":[{"id":"ITEM-1","itemData":{"ISSN":"0002-9270","author":[{"dropping-particle":"","family":"Ananthakrishnan","given":"Ashwin N","non-dropping-particle":"","parse-names":false,"suffix":""},{"dropping-particle":"","family":"Gainer","given":"Vivian S","non-dropping-particle":"","parse-names":false,"suffix":""},{"dropping-particle":"","family":"Cai","given":"Tianxi","non-dropping-particle":"","parse-names":false,"suffix":""},{"dropping-particle":"","family":"Perez","given":"Raul Guzman","non-dropping-particle":"","parse-names":false,"suffix":""},{"dropping-particle":"","family":"Cheng","given":"Su-Chun","non-dropping-particle":"","parse-names":false,"suffix":""},{"dropping-particle":"","family":"Savova","given":"Guergana","non-dropping-particle":"","parse-names":false,"suffix":""},{"dropping-particle":"","family":"Chen","given":"Pei","non-dropping-particle":"","parse-names":false,"suffix":""},{"dropping-particle":"","family":"Szolovits","given":"Peter","non-dropping-particle":"","parse-names":false,"suffix":""},{"dropping-particle":"","family":"Xia","given":"Zongqi","non-dropping-particle":"","parse-names":false,"suffix":""},{"dropping-particle":"","family":"Jager","given":"Philip L","non-dropping-particle":"De","parse-names":false,"suffix":""},{"dropping-particle":"","family":"Shaw","given":"Stanley","non-dropping-particle":"","parse-names":false,"suffix":""},{"dropping-particle":"","family":"Churchill","given":"Susanne","non-dropping-particle":"","parse-names":false,"suffix":""},{"dropping-particle":"","family":"Karlson","given":"Elizabeth W","non-dropping-particle":"","parse-names":false,"suffix":""},{"dropping-particle":"","family":"Kohane","given":"Isaac","non-dropping-particle":"","parse-names":false,"suffix":""},{"dropping-particle":"","family":"Perlis","given":"Roy H","non-dropping-particle":"","parse-names":false,"suffix":""},{"dropping-particle":"","family":"Plenge","given":"Robert M","non-dropping-particle":"","parse-names":false,"suffix":""},{"dropping-particle":"","family":"Murphy","given":"Shawn N","non-dropping-particle":"","parse-names":false,"suffix":""},{"dropping-particle":"","family":"Liao","given":"Katherine P","non-dropping-particle":"","parse-names":false,"suffix":""}],"container-title":"Am J Gastroenterol","id":"ITEM-1","issue":"4","issued":{"date-parts":[["2013","4"]]},"page":"594-601","publisher":"American College of Gastroenterology","title":"Similar Risk of Depression and Anxiety Following Surgery or Hospitalization for Crohn's Disease and Ulcerative Colitis","type":"article-journal","volume":"108"},"uris":["http://www.mendeley.com/documents/?uuid=eff03093-991d-4ff5-bb48-d7ac0c02e0a1"]}],"mendeley":{"formattedCitation":"&lt;sup&gt;11&lt;/sup&gt;","plainTextFormattedCitation":"11","previouslyFormattedCitation":"&lt;sup&gt;11&lt;/sup&gt;"},"properties":{"noteIndex":0},"schema":"https://github.com/citation-style-language/schema/raw/master/csl-citation.json"}</w:instrText>
      </w:r>
      <w:r w:rsidRPr="00EB5E8A">
        <w:fldChar w:fldCharType="separate"/>
      </w:r>
      <w:r w:rsidRPr="00EB5E8A">
        <w:rPr>
          <w:noProof/>
          <w:vertAlign w:val="superscript"/>
        </w:rPr>
        <w:t>11</w:t>
      </w:r>
      <w:r w:rsidRPr="00EB5E8A">
        <w:fldChar w:fldCharType="end"/>
      </w:r>
      <w:r w:rsidR="00F05424" w:rsidRPr="00EB5E8A">
        <w:t xml:space="preserve"> There are several potential explanations for our finding that permanent stomas are associated with an increased likelihood of antidepressant use whereas temporary stomas with early reversal surgery are not.</w:t>
      </w:r>
      <w:r w:rsidRPr="00EB5E8A">
        <w:t xml:space="preserve"> </w:t>
      </w:r>
      <w:r w:rsidR="00D30854" w:rsidRPr="00EB5E8A">
        <w:t>Qualitative research has found some patients believe they could cope better with a temporary stoma because it offers the hope of reversal surgery and the potential to return to `normality’.</w:t>
      </w:r>
      <w:r w:rsidR="009F02D6" w:rsidRPr="00EB5E8A">
        <w:fldChar w:fldCharType="begin" w:fldLock="1"/>
      </w:r>
      <w:r w:rsidR="00CE465A" w:rsidRPr="00EB5E8A">
        <w:instrText>ADDIN CSL_CITATION {"citationItems":[{"id":"ITEM-1","itemData":{"DOI":"10.1093/ibd/izx043","ISSN":"15364844","abstract":"Background: Many inflammatory bowel disease (IBD) patients worry about stoma-forming surgery (SFS), sometimes enduring poor bowel-related quality of life to avoid it. Anticipation of SFS and whether expectations match experience is underreported. This qualitative study explored influences on patients' SFS decision-making and compared preoperative concerns with postoperative outcomes. Methods: We purposively recruited participants with IBD from UK hospital outpatient and community sources, and IBD clinicians from public hospitals. Four focus groups, 29 semistructured patient participant interviews, and 18 clinician interviews were audio recorded, transcribed, and analysed thematically. Participants had a current temporary, recently-reversed, or permanent stoma, or were stoma naive. Results: Four themes emerged: Preoperative concerns and expectations, Patient decision-making, Surgery and recovery, and Long-term outcomes. Participants and clinicians agreed about most preoperative concerns, that outcomes were often better than expected, and support from others with a stoma is beneficial. Patient decision-making involves multiple factors, including disease status. Some clinicians avoid discussing SFS, and the phrase 'last resort' can bias patient perceptions; others recommend early discussion, increasing dialogue when medical management becomes ineffective. The postoperative period is particularly challenging for patients. Stoma acceptance is influenced by personal perceptions and pre- and postoperative clinical and social support. Conclusion: Patients need balanced information on all treatment options, including surgery, from an early stage. Early multidisciplinary team dialogue about SFS, and contact with others living well with a stoma, could enable informed decision-making. Life with a stoma is often better than anticipated, improving quality of life and control. Ongoing specialist nursing support AIDS recovery and adjustment.","author":[{"dropping-particle":"","family":"Dibley","given":"Lesley","non-dropping-particle":"","parse-names":false,"suffix":""},{"dropping-particle":"","family":"Czuber-Dochan","given":"Wladyslawa","non-dropping-particle":"","parse-names":false,"suffix":""},{"dropping-particle":"","family":"Wade","given":"Tiffany","non-dropping-particle":"","parse-names":false,"suffix":""},{"dropping-particle":"","family":"Duncan","given":"Julie","non-dropping-particle":"","parse-names":false,"suffix":""},{"dropping-particle":"","family":"Burch","given":"Jennie","non-dropping-particle":"","parse-names":false,"suffix":""},{"dropping-particle":"","family":"Warusavitarne","given":"Janindra","non-dropping-particle":"","parse-names":false,"suffix":""},{"dropping-particle":"","family":"Norton","given":"Christine","non-dropping-particle":"","parse-names":false,"suffix":""},{"dropping-particle":"","family":"Artom","given":"Micol","non-dropping-particle":"","parse-names":false,"suffix":""},{"dropping-particle":"","family":"O'Sullivan","given":"Liam","non-dropping-particle":"","parse-names":false,"suffix":""},{"dropping-particle":"","family":"Verjee","given":"Azmina","non-dropping-particle":"","parse-names":false,"suffix":""},{"dropping-particle":"","family":"Cann","given":"Denise","non-dropping-particle":"","parse-names":false,"suffix":""}],"container-title":"Inflammatory Bowel Diseases","id":"ITEM-1","issue":"2","issued":{"date-parts":[["2018"]]},"page":"235-246","title":"Patient Decision-Making about Emergency and Planned Stoma Surgery for IBD: A Qualitative Exploration of Patient and Clinician Perspectives","type":"article-journal","volume":"24"},"uris":["http://www.mendeley.com/documents/?uuid=6db35ead-e41b-42c0-860e-7e97be5a395a"]}],"mendeley":{"formattedCitation":"&lt;sup&gt;10&lt;/sup&gt;","plainTextFormattedCitation":"10","previouslyFormattedCitation":"&lt;sup&gt;10&lt;/sup&gt;"},"properties":{"noteIndex":0},"schema":"https://github.com/citation-style-language/schema/raw/master/csl-citation.json"}</w:instrText>
      </w:r>
      <w:r w:rsidR="009F02D6" w:rsidRPr="00EB5E8A">
        <w:fldChar w:fldCharType="separate"/>
      </w:r>
      <w:r w:rsidR="009F02D6" w:rsidRPr="00EB5E8A">
        <w:rPr>
          <w:noProof/>
          <w:vertAlign w:val="superscript"/>
        </w:rPr>
        <w:t>10</w:t>
      </w:r>
      <w:r w:rsidR="009F02D6" w:rsidRPr="00EB5E8A">
        <w:fldChar w:fldCharType="end"/>
      </w:r>
      <w:r w:rsidR="009F02D6" w:rsidRPr="00EB5E8A">
        <w:t xml:space="preserve"> </w:t>
      </w:r>
      <w:r w:rsidR="000E0A46" w:rsidRPr="00EB5E8A">
        <w:t xml:space="preserve">We found the </w:t>
      </w:r>
      <w:r w:rsidR="005E5D8E" w:rsidRPr="00EB5E8A">
        <w:t xml:space="preserve">timing of </w:t>
      </w:r>
      <w:r w:rsidR="000E0A46" w:rsidRPr="00EB5E8A">
        <w:t xml:space="preserve">temporary stoma </w:t>
      </w:r>
      <w:r w:rsidR="005E5D8E" w:rsidRPr="00EB5E8A">
        <w:t xml:space="preserve">reversal </w:t>
      </w:r>
      <w:r w:rsidR="000E0A46" w:rsidRPr="00EB5E8A">
        <w:t>was associated</w:t>
      </w:r>
      <w:r w:rsidR="009F02D6" w:rsidRPr="00EB5E8A">
        <w:t xml:space="preserve"> </w:t>
      </w:r>
      <w:r w:rsidR="000E0A46" w:rsidRPr="00EB5E8A">
        <w:t xml:space="preserve">with the </w:t>
      </w:r>
      <w:r w:rsidR="00412ECA" w:rsidRPr="00EB5E8A">
        <w:t xml:space="preserve">likelihood </w:t>
      </w:r>
      <w:r w:rsidR="000E0A46" w:rsidRPr="00EB5E8A">
        <w:t>of antidepressant use</w:t>
      </w:r>
      <w:r w:rsidR="00FD6FA9" w:rsidRPr="00EB5E8A">
        <w:t>. I</w:t>
      </w:r>
      <w:r w:rsidR="000E0A46" w:rsidRPr="00EB5E8A">
        <w:t xml:space="preserve">ndividuals who were reversed </w:t>
      </w:r>
      <w:r w:rsidR="00FD6FA9" w:rsidRPr="00EB5E8A">
        <w:t>within</w:t>
      </w:r>
      <w:r w:rsidR="000E0A46" w:rsidRPr="00EB5E8A">
        <w:t xml:space="preserve"> 12 months</w:t>
      </w:r>
      <w:r w:rsidR="00FD6FA9" w:rsidRPr="00EB5E8A">
        <w:t xml:space="preserve"> of stoma formation had</w:t>
      </w:r>
      <w:r w:rsidR="000E0A46" w:rsidRPr="00EB5E8A">
        <w:t xml:space="preserve"> </w:t>
      </w:r>
      <w:r w:rsidR="00412ECA" w:rsidRPr="00EB5E8A">
        <w:t>a similar likelihood</w:t>
      </w:r>
      <w:r w:rsidR="000E0A46" w:rsidRPr="00EB5E8A">
        <w:t xml:space="preserve"> of </w:t>
      </w:r>
      <w:r w:rsidR="00CE465A" w:rsidRPr="00EB5E8A">
        <w:t>ADM</w:t>
      </w:r>
      <w:r w:rsidR="000E0A46" w:rsidRPr="00EB5E8A">
        <w:t xml:space="preserve"> use </w:t>
      </w:r>
      <w:r w:rsidR="009C28F4" w:rsidRPr="00EB5E8A">
        <w:t>compared with those</w:t>
      </w:r>
      <w:r w:rsidR="00E23424" w:rsidRPr="00EB5E8A">
        <w:t xml:space="preserve"> undergoing intestinal surgery</w:t>
      </w:r>
      <w:r w:rsidR="009C28F4" w:rsidRPr="00EB5E8A">
        <w:t xml:space="preserve"> without stoma</w:t>
      </w:r>
      <w:r w:rsidR="00E23424" w:rsidRPr="00EB5E8A">
        <w:t xml:space="preserve"> formation</w:t>
      </w:r>
      <w:r w:rsidR="00E019D6" w:rsidRPr="00EB5E8A">
        <w:t>,</w:t>
      </w:r>
      <w:r w:rsidR="009C28F4" w:rsidRPr="00EB5E8A">
        <w:t xml:space="preserve"> </w:t>
      </w:r>
      <w:r w:rsidR="00E019D6" w:rsidRPr="00EB5E8A">
        <w:t>however</w:t>
      </w:r>
      <w:r w:rsidR="000E0A46" w:rsidRPr="00EB5E8A">
        <w:t xml:space="preserve"> those reversed after 12 months </w:t>
      </w:r>
      <w:r w:rsidR="00FD6FA9" w:rsidRPr="00EB5E8A">
        <w:t xml:space="preserve">were </w:t>
      </w:r>
      <w:r w:rsidR="009C28F4" w:rsidRPr="00EB5E8A">
        <w:t>significantly more</w:t>
      </w:r>
      <w:r w:rsidR="000E0A46" w:rsidRPr="00EB5E8A">
        <w:t xml:space="preserve"> likely to </w:t>
      </w:r>
      <w:r w:rsidR="009C28F4" w:rsidRPr="00EB5E8A">
        <w:t xml:space="preserve">be prescribed </w:t>
      </w:r>
      <w:r w:rsidR="000E0A46" w:rsidRPr="00EB5E8A">
        <w:t>an ADM.</w:t>
      </w:r>
      <w:r w:rsidR="006B2456" w:rsidRPr="00EB5E8A">
        <w:t xml:space="preserve"> </w:t>
      </w:r>
      <w:r w:rsidR="00300559" w:rsidRPr="00EB5E8A">
        <w:t>Many patients</w:t>
      </w:r>
      <w:r w:rsidR="00805CB8" w:rsidRPr="00EB5E8A">
        <w:t xml:space="preserve"> anticipate</w:t>
      </w:r>
      <w:r w:rsidR="00300559" w:rsidRPr="00EB5E8A">
        <w:t xml:space="preserve"> </w:t>
      </w:r>
      <w:r w:rsidR="00A65BBA" w:rsidRPr="00EB5E8A">
        <w:t xml:space="preserve">early </w:t>
      </w:r>
      <w:r w:rsidR="00300559" w:rsidRPr="00EB5E8A">
        <w:t>stoma reversal surgery</w:t>
      </w:r>
      <w:r w:rsidR="008E1F0E" w:rsidRPr="00EB5E8A">
        <w:t>,</w:t>
      </w:r>
      <w:r w:rsidR="00300559" w:rsidRPr="00EB5E8A">
        <w:t xml:space="preserve"> and it is possible that when their expectations are disappointed this results in increased rates of anxiety or depression.</w:t>
      </w:r>
      <w:r w:rsidR="00CE465A" w:rsidRPr="00EB5E8A">
        <w:fldChar w:fldCharType="begin" w:fldLock="1"/>
      </w:r>
      <w:r w:rsidR="00A04E32" w:rsidRPr="00EB5E8A">
        <w:instrText>ADDIN CSL_CITATION {"citationItems":[{"id":"ITEM-1","itemData":{"DOI":"10.1093/ibd/izx043","ISSN":"15364844","abstract":"Background: Many inflammatory bowel disease (IBD) patients worry about stoma-forming surgery (SFS), sometimes enduring poor bowel-related quality of life to avoid it. Anticipation of SFS and whether expectations match experience is underreported. This qualitative study explored influences on patients' SFS decision-making and compared preoperative concerns with postoperative outcomes. Methods: We purposively recruited participants with IBD from UK hospital outpatient and community sources, and IBD clinicians from public hospitals. Four focus groups, 29 semistructured patient participant interviews, and 18 clinician interviews were audio recorded, transcribed, and analysed thematically. Participants had a current temporary, recently-reversed, or permanent stoma, or were stoma naive. Results: Four themes emerged: Preoperative concerns and expectations, Patient decision-making, Surgery and recovery, and Long-term outcomes. Participants and clinicians agreed about most preoperative concerns, that outcomes were often better than expected, and support from others with a stoma is beneficial. Patient decision-making involves multiple factors, including disease status. Some clinicians avoid discussing SFS, and the phrase 'last resort' can bias patient perceptions; others recommend early discussion, increasing dialogue when medical management becomes ineffective. The postoperative period is particularly challenging for patients. Stoma acceptance is influenced by personal perceptions and pre- and postoperative clinical and social support. Conclusion: Patients need balanced information on all treatment options, including surgery, from an early stage. Early multidisciplinary team dialogue about SFS, and contact with others living well with a stoma, could enable informed decision-making. Life with a stoma is often better than anticipated, improving quality of life and control. Ongoing specialist nursing support AIDS recovery and adjustment.","author":[{"dropping-particle":"","family":"Dibley","given":"Lesley","non-dropping-particle":"","parse-names":false,"suffix":""},{"dropping-particle":"","family":"Czuber-Dochan","given":"Wladyslawa","non-dropping-particle":"","parse-names":false,"suffix":""},{"dropping-particle":"","family":"Wade","given":"Tiffany","non-dropping-particle":"","parse-names":false,"suffix":""},{"dropping-particle":"","family":"Duncan","given":"Julie","non-dropping-particle":"","parse-names":false,"suffix":""},{"dropping-particle":"","family":"Burch","given":"Jennie","non-dropping-particle":"","parse-names":false,"suffix":""},{"dropping-particle":"","family":"Warusavitarne","given":"Janindra","non-dropping-particle":"","parse-names":false,"suffix":""},{"dropping-particle":"","family":"Norton","given":"Christine","non-dropping-particle":"","parse-names":false,"suffix":""},{"dropping-particle":"","family":"Artom","given":"Micol","non-dropping-particle":"","parse-names":false,"suffix":""},{"dropping-particle":"","family":"O'Sullivan","given":"Liam","non-dropping-particle":"","parse-names":false,"suffix":""},{"dropping-particle":"","family":"Verjee","given":"Azmina","non-dropping-particle":"","parse-names":false,"suffix":""},{"dropping-particle":"","family":"Cann","given":"Denise","non-dropping-particle":"","parse-names":false,"suffix":""}],"container-title":"Inflammatory Bowel Diseases","id":"ITEM-1","issue":"2","issued":{"date-parts":[["2018"]]},"page":"235-246","title":"Patient Decision-Making about Emergency and Planned Stoma Surgery for IBD: A Qualitative Exploration of Patient and Clinician Perspectives","type":"article-journal","volume":"24"},"uris":["http://www.mendeley.com/documents/?uuid=6db35ead-e41b-42c0-860e-7e97be5a395a"]}],"mendeley":{"formattedCitation":"&lt;sup&gt;10&lt;/sup&gt;","plainTextFormattedCitation":"10","previouslyFormattedCitation":"&lt;sup&gt;10&lt;/sup&gt;"},"properties":{"noteIndex":0},"schema":"https://github.com/citation-style-language/schema/raw/master/csl-citation.json"}</w:instrText>
      </w:r>
      <w:r w:rsidR="00CE465A" w:rsidRPr="00EB5E8A">
        <w:fldChar w:fldCharType="separate"/>
      </w:r>
      <w:r w:rsidR="00CE465A" w:rsidRPr="00EB5E8A">
        <w:rPr>
          <w:noProof/>
          <w:vertAlign w:val="superscript"/>
        </w:rPr>
        <w:t>10</w:t>
      </w:r>
      <w:r w:rsidR="00CE465A" w:rsidRPr="00EB5E8A">
        <w:fldChar w:fldCharType="end"/>
      </w:r>
      <w:r w:rsidR="00300559" w:rsidRPr="00EB5E8A">
        <w:t xml:space="preserve"> Stoma reversal surgery is often delayed if CD remains active</w:t>
      </w:r>
      <w:r w:rsidR="008E1F0E" w:rsidRPr="00EB5E8A">
        <w:t>,</w:t>
      </w:r>
      <w:r w:rsidR="00300559" w:rsidRPr="00EB5E8A">
        <w:t xml:space="preserve"> and it is therefore possible </w:t>
      </w:r>
      <w:r w:rsidR="00CE465A" w:rsidRPr="00EB5E8A">
        <w:t xml:space="preserve">these individuals are more likely to start an antidepressant medication on account of having more active CD, which </w:t>
      </w:r>
      <w:r w:rsidR="00A65BBA" w:rsidRPr="00EB5E8A">
        <w:t>is</w:t>
      </w:r>
      <w:r w:rsidR="00CE465A" w:rsidRPr="00EB5E8A">
        <w:t xml:space="preserve"> associated with increased rates of depression and anxiety.</w:t>
      </w:r>
      <w:r w:rsidR="00DB6990" w:rsidRPr="00EB5E8A">
        <w:fldChar w:fldCharType="begin" w:fldLock="1"/>
      </w:r>
      <w:r w:rsidR="00F05424" w:rsidRPr="00EB5E8A">
        <w:instrText>ADDIN CSL_CITATION {"citationItems":[{"id":"ITEM-1","itemData":{"DOI":"10.1002/ibd.21346","ISBN":"1078-0998","ISSN":"1078-0998","abstract":"Background: Studies on anxiety and depression in inflammatory bowel disease (IBD) yielded inconsistent results. We compared anxiety and depression of patients with Crohn's disease (CD) and ulcerative colitis (UC) controlled for sociodemographic and medical variables with age- and sex-matched controls., Methods: In all, 422 IBD patients (50% females, 314 CD, 108 UC) of different settings were compared with 140 age- and sex-matched patients with chronic liver diseases (CLD) of a tertiary care center and with 422 age- and sex-matched persons of a representative sample of the general German population (GP). Anxiety and depression and probable mental disorder were assessed by the German version of the Hospital Anxiety and Depression Scale. Comparisons between CD and UC were adjusted for medical (disease activity, number of IBD-associated diseases) and sociodemographic factors (age, gender, marital status)., Results: CD and UC patients did not differ in the levels of anxiety and depression or in the frequency of a probable mental disorder. The levels of anxiety and depression of IBD patients with active disease were higher than that of the GP, but not of the IBD patients in remission. The depression score of the CLD sample was higher than that of the IBD sample (P &lt; 0.001), but not the anxiety score. Mental disorders were more frequent in IBD patients with slight (27.7%) and moderate/severe disease activity (49.3%) compared to GP (10.4%) (P &lt; 0.001), but not in IBD patients in remission (11.3%)., Conclusions: Patients with active IBD should be screened for anxiety and depression. Inflamm Bowel Dis 2011, (C) Crohn's &amp; Colitis Foundation of America, Inc.","author":[{"dropping-particle":"","family":"Hauser","given":"Winfried","non-dropping-particle":"","parse-names":false,"suffix":""},{"dropping-particle":"","family":"Janke","given":"Karl-Heinz","non-dropping-particle":"","parse-names":false,"suffix":""},{"dropping-particle":"","family":"Klump","given":"Bodo","non-dropping-particle":"","parse-names":false,"suffix":""},{"dropping-particle":"","family":"Hinz","given":"Andreas","non-dropping-particle":"","parse-names":false,"suffix":""}],"container-title":"Inflamm Bowel Dis","id":"ITEM-1","issue":"2","issued":{"date-parts":[["2011"]]},"page":"621-632","title":"Anxiety and depression in patients with inflammatory bowel disease: Comparisons with chronic liver disease patients and the general population.","type":"article-journal","volume":"17"},"uris":["http://www.mendeley.com/documents/?uuid=cd08d3fd-4242-4e4b-891d-bc4d3e419bd5"]}],"mendeley":{"formattedCitation":"&lt;sup&gt;18&lt;/sup&gt;","plainTextFormattedCitation":"18","previouslyFormattedCitation":"&lt;sup&gt;18&lt;/sup&gt;"},"properties":{"noteIndex":0},"schema":"https://github.com/citation-style-language/schema/raw/master/csl-citation.json"}</w:instrText>
      </w:r>
      <w:r w:rsidR="00DB6990" w:rsidRPr="00EB5E8A">
        <w:fldChar w:fldCharType="separate"/>
      </w:r>
      <w:r w:rsidR="005420EB" w:rsidRPr="00EB5E8A">
        <w:rPr>
          <w:noProof/>
          <w:vertAlign w:val="superscript"/>
        </w:rPr>
        <w:t>18</w:t>
      </w:r>
      <w:r w:rsidR="00DB6990" w:rsidRPr="00EB5E8A">
        <w:fldChar w:fldCharType="end"/>
      </w:r>
    </w:p>
    <w:p w14:paraId="7DC6D70F" w14:textId="58D19B98" w:rsidR="00F70555" w:rsidRPr="00EB5E8A" w:rsidRDefault="00F70555" w:rsidP="003F26FA">
      <w:pPr>
        <w:spacing w:line="480" w:lineRule="auto"/>
        <w:jc w:val="both"/>
      </w:pPr>
      <w:r w:rsidRPr="00EB5E8A">
        <w:t>We found women were more likely than men to start an ADM following surgery</w:t>
      </w:r>
      <w:r w:rsidR="00482F98" w:rsidRPr="00EB5E8A">
        <w:t xml:space="preserve">. </w:t>
      </w:r>
      <w:r w:rsidR="0071510F" w:rsidRPr="00EB5E8A">
        <w:t xml:space="preserve">This is in keeping with previous studies </w:t>
      </w:r>
      <w:r w:rsidR="007904E7" w:rsidRPr="00EB5E8A">
        <w:t xml:space="preserve">that </w:t>
      </w:r>
      <w:r w:rsidR="0071510F" w:rsidRPr="00EB5E8A">
        <w:t>found women have lower quality of life scores after stoma formation</w:t>
      </w:r>
      <w:r w:rsidR="00761178" w:rsidRPr="00EB5E8A">
        <w:t xml:space="preserve"> than men</w:t>
      </w:r>
      <w:r w:rsidR="007904E7" w:rsidRPr="00EB5E8A">
        <w:t xml:space="preserve">. </w:t>
      </w:r>
      <w:r w:rsidR="00A65BBA" w:rsidRPr="00EB5E8A">
        <w:t>I</w:t>
      </w:r>
      <w:r w:rsidR="00482F98" w:rsidRPr="00EB5E8A">
        <w:t xml:space="preserve">t is </w:t>
      </w:r>
      <w:r w:rsidR="00D71127" w:rsidRPr="00EB5E8A">
        <w:t xml:space="preserve">also </w:t>
      </w:r>
      <w:r w:rsidR="00707557" w:rsidRPr="00EB5E8A">
        <w:t xml:space="preserve">likely </w:t>
      </w:r>
      <w:r w:rsidR="0071510F" w:rsidRPr="00EB5E8A">
        <w:t>our results reflect a</w:t>
      </w:r>
      <w:r w:rsidR="00482F98" w:rsidRPr="00EB5E8A">
        <w:t xml:space="preserve"> </w:t>
      </w:r>
      <w:r w:rsidR="0071510F" w:rsidRPr="00EB5E8A">
        <w:t xml:space="preserve">broader </w:t>
      </w:r>
      <w:r w:rsidR="00805CB8" w:rsidRPr="00EB5E8A">
        <w:t>gender disparity</w:t>
      </w:r>
      <w:r w:rsidR="007904E7" w:rsidRPr="00EB5E8A">
        <w:t>,</w:t>
      </w:r>
      <w:r w:rsidRPr="00EB5E8A">
        <w:t xml:space="preserve"> </w:t>
      </w:r>
      <w:r w:rsidR="00805CB8" w:rsidRPr="00EB5E8A">
        <w:t>with</w:t>
      </w:r>
      <w:r w:rsidR="00F640CA" w:rsidRPr="00EB5E8A">
        <w:t xml:space="preserve"> men being relatively undertreated with antidepressants compared </w:t>
      </w:r>
      <w:r w:rsidR="007904E7" w:rsidRPr="00EB5E8A">
        <w:t>with</w:t>
      </w:r>
      <w:r w:rsidR="00F640CA" w:rsidRPr="00EB5E8A">
        <w:t xml:space="preserve"> women</w:t>
      </w:r>
      <w:r w:rsidR="009C28F4" w:rsidRPr="00EB5E8A">
        <w:t>.</w:t>
      </w:r>
      <w:r w:rsidR="00482F98" w:rsidRPr="00EB5E8A">
        <w:fldChar w:fldCharType="begin" w:fldLock="1"/>
      </w:r>
      <w:r w:rsidR="00F05424" w:rsidRPr="00EB5E8A">
        <w:instrText>ADDIN CSL_CITATION {"citationItems":[{"id":"ITEM-1","itemData":{"ISSN":"0002-9270","author":[{"dropping-particle":"","family":"Juan","given":"Lojo","non-dropping-particle":"","parse-names":false,"suffix":""},{"dropping-particle":"","family":"la Villa Ricardo","given":"","non-dropping-particle":"De","parse-names":false,"suffix":""},{"dropping-particle":"","family":"Mayte","given":"Vega","non-dropping-particle":"","parse-names":false,"suffix":""},{"dropping-particle":"","family":"Esther","given":"Torres","non-dropping-particle":"","parse-names":false,"suffix":""}],"container-title":"American Journal of Gastroenterology","id":"ITEM-1","issued":{"date-parts":[["2018"]]},"title":"Gender Differences in Stoma-Related Quality of Life in Puerto Ricans With IBD: P-056","type":"article-journal","volume":"113"},"uris":["http://www.mendeley.com/documents/?uuid=028a1ef8-4775-4375-8d84-6324fb3c6eaa"]},{"id":"ITEM-2","itemData":{"DOI":"10.1192/pb.bp.116.054270","ISSN":"2056-4694","abstract":"Aims and method To examine gender differences in self-reported depression and prescribed antidepressants (ADs). The Hospital Anxiety and Depression Scale was used to assess depression, and information on prescribed ADs was obtained from the Swedish Prescribed Drug Register. Results Depression was reported by 11.7% of the participants (12.3% men and 11.2% women). ADs were prescribed for 7.6% of the participants (5.3% men, 9.8% women). Among men, 1.8% reported depression and used ADs, 10.5% reported depression but did not use ADs, and 3.6% used ADs but did not report depression. The corresponding figures for women were 2.6%, 8.6% and 7.2%. Clinical implications Men report depression to a greater extent than women but are prescribed ADs to a lesser extent, possibly a sign of under-treatment. Women are prescribed ADs without reporting depression more often than men, possibly a sign of over-treatment. Although the causes remain unclear, diagnostic and treatment guidelines should benefit from considering gender differences in these respects.","author":[{"dropping-particle":"","family":"Thunander Sundbom","given":"Lena","non-dropping-particle":"","parse-names":false,"suffix":""},{"dropping-particle":"","family":"Bingefors","given":"Kerstin","non-dropping-particle":"","parse-names":false,"suffix":""},{"dropping-particle":"","family":"Hedborg","given":"Kerstin","non-dropping-particle":"","parse-names":false,"suffix":""},{"dropping-particle":"","family":"Isacson","given":"Dag","non-dropping-particle":"","parse-names":false,"suffix":""}],"container-title":"BJPsych bulletin","id":"ITEM-2","issue":"3","issued":{"date-parts":[["2017","6"]]},"language":"eng","page":"145-150","publisher":"Royal College of Psychiatrists","title":"Are men under-treated and women over-treated with antidepressants? Findings from a cross-sectional survey in Sweden","type":"article-journal","volume":"41"},"uris":["http://www.mendeley.com/documents/?uuid=1ec3c6ac-4cc6-4190-a9da-69f62f1c803d"]}],"mendeley":{"formattedCitation":"&lt;sup&gt;20,21&lt;/sup&gt;","plainTextFormattedCitation":"20,21","previouslyFormattedCitation":"&lt;sup&gt;20,21&lt;/sup&gt;"},"properties":{"noteIndex":0},"schema":"https://github.com/citation-style-language/schema/raw/master/csl-citation.json"}</w:instrText>
      </w:r>
      <w:r w:rsidR="00482F98" w:rsidRPr="00EB5E8A">
        <w:fldChar w:fldCharType="separate"/>
      </w:r>
      <w:r w:rsidR="005420EB" w:rsidRPr="00EB5E8A">
        <w:rPr>
          <w:noProof/>
          <w:vertAlign w:val="superscript"/>
        </w:rPr>
        <w:t>20,21</w:t>
      </w:r>
      <w:r w:rsidR="00482F98" w:rsidRPr="00EB5E8A">
        <w:fldChar w:fldCharType="end"/>
      </w:r>
      <w:r w:rsidR="00C22FFC" w:rsidRPr="00EB5E8A">
        <w:t xml:space="preserve"> </w:t>
      </w:r>
    </w:p>
    <w:p w14:paraId="5A37DD7B" w14:textId="04218D60" w:rsidR="00710118" w:rsidRPr="00EB5E8A" w:rsidRDefault="00710118" w:rsidP="003F26FA">
      <w:pPr>
        <w:pStyle w:val="Heading2"/>
        <w:rPr>
          <w:rFonts w:asciiTheme="minorHAnsi" w:hAnsiTheme="minorHAnsi"/>
        </w:rPr>
      </w:pPr>
      <w:r w:rsidRPr="00EB5E8A">
        <w:t>Strengths and Limitations</w:t>
      </w:r>
    </w:p>
    <w:p w14:paraId="7AC30C61" w14:textId="461E330C" w:rsidR="0046612D" w:rsidRPr="00EB5E8A" w:rsidRDefault="0048737A" w:rsidP="004F4136">
      <w:pPr>
        <w:spacing w:line="480" w:lineRule="auto"/>
        <w:jc w:val="both"/>
      </w:pPr>
      <w:r w:rsidRPr="00EB5E8A">
        <w:t>To our knowledge this is the first</w:t>
      </w:r>
      <w:r w:rsidR="00C6653A" w:rsidRPr="00EB5E8A">
        <w:t xml:space="preserve"> </w:t>
      </w:r>
      <w:r w:rsidR="00D67B41" w:rsidRPr="00EB5E8A">
        <w:t>population-based</w:t>
      </w:r>
      <w:r w:rsidR="00C6653A" w:rsidRPr="00EB5E8A">
        <w:t xml:space="preserve"> </w:t>
      </w:r>
      <w:r w:rsidRPr="00EB5E8A">
        <w:t xml:space="preserve">study to examine the </w:t>
      </w:r>
      <w:r w:rsidR="00F640CA" w:rsidRPr="00EB5E8A">
        <w:t>association between</w:t>
      </w:r>
      <w:r w:rsidR="00EA01FF" w:rsidRPr="00EB5E8A">
        <w:t xml:space="preserve"> </w:t>
      </w:r>
      <w:r w:rsidR="00F640CA" w:rsidRPr="00EB5E8A">
        <w:t>temporary and permanent stoma formation in CD and subsequent antidepressant use.</w:t>
      </w:r>
      <w:r w:rsidR="00B267A3" w:rsidRPr="00EB5E8A">
        <w:t xml:space="preserve"> Data were drawn from a large nationally representative validated research database, free of referral centre </w:t>
      </w:r>
      <w:r w:rsidR="00E166C9" w:rsidRPr="00EB5E8A">
        <w:t xml:space="preserve">and </w:t>
      </w:r>
      <w:r w:rsidR="00E166C9" w:rsidRPr="00EB5E8A">
        <w:lastRenderedPageBreak/>
        <w:t xml:space="preserve">participant selection </w:t>
      </w:r>
      <w:r w:rsidR="00B267A3" w:rsidRPr="00EB5E8A">
        <w:t>bias</w:t>
      </w:r>
      <w:r w:rsidR="00E166C9" w:rsidRPr="00EB5E8A">
        <w:t>es</w:t>
      </w:r>
      <w:r w:rsidR="00B267A3" w:rsidRPr="00EB5E8A">
        <w:t>.</w:t>
      </w:r>
      <w:r w:rsidR="00C7253B" w:rsidRPr="00EB5E8A">
        <w:t xml:space="preserve"> </w:t>
      </w:r>
      <w:r w:rsidR="00EA01FF" w:rsidRPr="00EB5E8A">
        <w:t xml:space="preserve">Data were </w:t>
      </w:r>
      <w:r w:rsidR="0030566C" w:rsidRPr="00EB5E8A">
        <w:t>recorded at the time of consultation or prescription</w:t>
      </w:r>
      <w:r w:rsidR="00246E00" w:rsidRPr="00EB5E8A">
        <w:t xml:space="preserve"> </w:t>
      </w:r>
      <w:r w:rsidR="00EA01FF" w:rsidRPr="00EB5E8A">
        <w:t xml:space="preserve">and </w:t>
      </w:r>
      <w:r w:rsidR="0030566C" w:rsidRPr="00EB5E8A">
        <w:t xml:space="preserve">are </w:t>
      </w:r>
      <w:r w:rsidR="00EA01FF" w:rsidRPr="00EB5E8A">
        <w:t xml:space="preserve">therefore </w:t>
      </w:r>
      <w:r w:rsidR="005E5D8E" w:rsidRPr="00EB5E8A">
        <w:t xml:space="preserve">not subject to </w:t>
      </w:r>
      <w:r w:rsidR="00246E00" w:rsidRPr="00EB5E8A">
        <w:t>recall bias.</w:t>
      </w:r>
      <w:r w:rsidR="00EA01FF" w:rsidRPr="00EB5E8A">
        <w:t xml:space="preserve"> </w:t>
      </w:r>
    </w:p>
    <w:p w14:paraId="7DC3A158" w14:textId="4EFC8AF1" w:rsidR="00ED260C" w:rsidRPr="00EB5E8A" w:rsidRDefault="00BD6141" w:rsidP="007E1CAE">
      <w:pPr>
        <w:spacing w:line="480" w:lineRule="auto"/>
        <w:jc w:val="both"/>
      </w:pPr>
      <w:r w:rsidRPr="00EB5E8A">
        <w:t>In common with all observational studies using routinely collected data, inaccuracies in coding and completeness may occur.</w:t>
      </w:r>
      <w:r w:rsidR="00ED260C" w:rsidRPr="00EB5E8A">
        <w:t xml:space="preserve"> We were unable to ascertain the indication for intestinal surgery or the severity of CD leading up to it, </w:t>
      </w:r>
      <w:r w:rsidR="00D25851" w:rsidRPr="00EB5E8A">
        <w:t xml:space="preserve">which </w:t>
      </w:r>
      <w:r w:rsidR="00ED260C" w:rsidRPr="00EB5E8A">
        <w:t>may have influenced the likelihood of ADM use afterward.</w:t>
      </w:r>
    </w:p>
    <w:p w14:paraId="71DDE886" w14:textId="682D5D8A" w:rsidR="00094FA1" w:rsidRPr="00EB5E8A" w:rsidRDefault="00ED260C" w:rsidP="007E1CAE">
      <w:pPr>
        <w:spacing w:line="480" w:lineRule="auto"/>
        <w:jc w:val="both"/>
      </w:pPr>
      <w:r w:rsidRPr="00EB5E8A">
        <w:t>We used ADM use as a surrogate marker for</w:t>
      </w:r>
      <w:r w:rsidR="00C76FEB" w:rsidRPr="00EB5E8A">
        <w:t xml:space="preserve"> mood disorders, namely</w:t>
      </w:r>
      <w:r w:rsidRPr="00EB5E8A">
        <w:t xml:space="preserve"> depression or anxiety</w:t>
      </w:r>
      <w:r w:rsidR="00C76FEB" w:rsidRPr="00EB5E8A">
        <w:t>, and extracted data for the most commonly prescribed ADMs in our study period.</w:t>
      </w:r>
      <w:r w:rsidRPr="00EB5E8A">
        <w:t xml:space="preserve"> </w:t>
      </w:r>
      <w:r w:rsidR="00CE6252" w:rsidRPr="00EB5E8A">
        <w:t>W</w:t>
      </w:r>
      <w:r w:rsidR="00C76FEB" w:rsidRPr="00EB5E8A">
        <w:t>e</w:t>
      </w:r>
      <w:r w:rsidRPr="00EB5E8A">
        <w:t xml:space="preserve"> were unable to </w:t>
      </w:r>
      <w:r w:rsidR="00D67B41" w:rsidRPr="00EB5E8A">
        <w:t xml:space="preserve">directly </w:t>
      </w:r>
      <w:r w:rsidRPr="00EB5E8A">
        <w:t>determine the indication for ADM prescriptions</w:t>
      </w:r>
      <w:r w:rsidR="00834502" w:rsidRPr="00EB5E8A">
        <w:t>;</w:t>
      </w:r>
      <w:r w:rsidR="00CE6252" w:rsidRPr="00EB5E8A">
        <w:t xml:space="preserve"> previous studies</w:t>
      </w:r>
      <w:r w:rsidR="00C76FEB" w:rsidRPr="00EB5E8A">
        <w:t xml:space="preserve"> demonstrated that the </w:t>
      </w:r>
      <w:r w:rsidR="00707557" w:rsidRPr="00EB5E8A">
        <w:t xml:space="preserve">large </w:t>
      </w:r>
      <w:r w:rsidR="00C76FEB" w:rsidRPr="00EB5E8A">
        <w:t>majority of ADM prescriptions are f</w:t>
      </w:r>
      <w:r w:rsidR="00CE6252" w:rsidRPr="00EB5E8A">
        <w:t>or either depression or anxiety</w:t>
      </w:r>
      <w:r w:rsidR="00834502" w:rsidRPr="00EB5E8A">
        <w:t>,</w:t>
      </w:r>
      <w:r w:rsidR="00CE6252" w:rsidRPr="00EB5E8A">
        <w:t xml:space="preserve"> and</w:t>
      </w:r>
      <w:r w:rsidR="00C76FEB" w:rsidRPr="00EB5E8A">
        <w:t xml:space="preserve"> this is particularly true of SSRIs which comprised the majority of ADM prescriptions in our study.</w:t>
      </w:r>
      <w:r w:rsidR="00CE6252" w:rsidRPr="00EB5E8A">
        <w:fldChar w:fldCharType="begin" w:fldLock="1"/>
      </w:r>
      <w:r w:rsidR="00143EE9" w:rsidRPr="00EB5E8A">
        <w:instrText>ADDIN CSL_CITATION {"citationItems":[{"id":"ITEM-1","itemData":{"DOI":"10.1093/ageing/afl020","ISBN":"0002-0729 (Print)\\r0002-0729 (Linking)","ISSN":"00020729","PMID":"16679335","author":[{"dropping-particle":"","family":"Petty","given":"DR","non-dropping-particle":"","parse-names":false,"suffix":""},{"dropping-particle":"","family":"House","given":"A","non-dropping-particle":"","parse-names":false,"suffix":""},{"dropping-particle":"","family":"Knapp","given":"P","non-dropping-particle":"","parse-names":false,"suffix":""},{"dropping-particle":"","family":"Raynor","given":"T","non-dropping-particle":"","parse-names":false,"suffix":""},{"dropping-particle":"","family":"Zermansky","given":"A","non-dropping-particle":"","parse-names":false,"suffix":""}],"container-title":"Age and Ageing","id":"ITEM-1","issue":"5","issued":{"date-parts":[["2006"]]},"page":"520-523","title":"Prevalence, duration and indications for prescribing of antidepressants in primary care","type":"article-journal","volume":"35"},"uris":["http://www.mendeley.com/documents/?uuid=e75addcc-a34b-4246-92a7-2dae89de81b5"]}],"mendeley":{"formattedCitation":"&lt;sup&gt;14&lt;/sup&gt;","plainTextFormattedCitation":"14","previouslyFormattedCitation":"&lt;sup&gt;14&lt;/sup&gt;"},"properties":{"noteIndex":0},"schema":"https://github.com/citation-style-language/schema/raw/master/csl-citation.json"}</w:instrText>
      </w:r>
      <w:r w:rsidR="00CE6252" w:rsidRPr="00EB5E8A">
        <w:fldChar w:fldCharType="separate"/>
      </w:r>
      <w:r w:rsidR="008558BD" w:rsidRPr="00EB5E8A">
        <w:rPr>
          <w:noProof/>
          <w:vertAlign w:val="superscript"/>
        </w:rPr>
        <w:t>14</w:t>
      </w:r>
      <w:r w:rsidR="00CE6252" w:rsidRPr="00EB5E8A">
        <w:fldChar w:fldCharType="end"/>
      </w:r>
      <w:r w:rsidR="00C76FEB" w:rsidRPr="00EB5E8A">
        <w:t xml:space="preserve"> Some individuals may have had mood disorders but did not receive an ADM prescription, </w:t>
      </w:r>
      <w:r w:rsidR="00095AD2" w:rsidRPr="00EB5E8A">
        <w:t>potentially cho</w:t>
      </w:r>
      <w:r w:rsidR="00A65BBA" w:rsidRPr="00EB5E8A">
        <w:t>o</w:t>
      </w:r>
      <w:r w:rsidR="00095AD2" w:rsidRPr="00EB5E8A">
        <w:t>sing</w:t>
      </w:r>
      <w:r w:rsidR="00C76FEB" w:rsidRPr="00EB5E8A">
        <w:t xml:space="preserve"> to pursue an alternative treatment such as cognitive behavioural therapy</w:t>
      </w:r>
      <w:r w:rsidR="00B26FFC" w:rsidRPr="00EB5E8A">
        <w:t>, which was not captured in this study</w:t>
      </w:r>
      <w:r w:rsidR="00C76FEB" w:rsidRPr="00EB5E8A">
        <w:t xml:space="preserve">. </w:t>
      </w:r>
      <w:r w:rsidR="008558BD" w:rsidRPr="00EB5E8A">
        <w:t>T</w:t>
      </w:r>
      <w:r w:rsidR="00CE6252" w:rsidRPr="00EB5E8A">
        <w:t>his is likely to have affected our exposure groups equally, though it may have resulted in underestimation of the rate</w:t>
      </w:r>
      <w:r w:rsidR="00095AD2" w:rsidRPr="00EB5E8A">
        <w:t>s of mood disorders</w:t>
      </w:r>
      <w:r w:rsidR="00CE6252" w:rsidRPr="00EB5E8A">
        <w:t>.</w:t>
      </w:r>
      <w:r w:rsidR="00707557" w:rsidRPr="00EB5E8A">
        <w:t xml:space="preserve"> </w:t>
      </w:r>
      <w:r w:rsidR="00094FA1" w:rsidRPr="00EB5E8A">
        <w:t>CPRD contains only limited data on biologic prescriptions as these are prescribed almost exclusively in hospital settings and we were therefore unable to adjust for these.</w:t>
      </w:r>
    </w:p>
    <w:p w14:paraId="4F489A72" w14:textId="5D2DFAAC" w:rsidR="00541D2E" w:rsidRPr="00EB5E8A" w:rsidRDefault="00CE6252" w:rsidP="007E1CAE">
      <w:pPr>
        <w:spacing w:line="480" w:lineRule="auto"/>
        <w:jc w:val="both"/>
      </w:pPr>
      <w:r w:rsidRPr="00EB5E8A">
        <w:t>We used stoma bag prescriptions as a surrogate marker for a stoma but were unable to</w:t>
      </w:r>
      <w:r w:rsidR="00541D2E" w:rsidRPr="00EB5E8A">
        <w:t xml:space="preserve"> definitively</w:t>
      </w:r>
      <w:r w:rsidRPr="00EB5E8A">
        <w:t xml:space="preserve"> determine the indication for these prescriptions. It is highly likely stoma bags indicated either an ileostomy or colostomy had been formed during intestinal surgery as </w:t>
      </w:r>
      <w:r w:rsidR="00707557" w:rsidRPr="00EB5E8A">
        <w:t xml:space="preserve">our analysis </w:t>
      </w:r>
      <w:r w:rsidRPr="00EB5E8A">
        <w:t xml:space="preserve">required stoma bags to have been prescribed within 3 months of the date of intestinal surgery. </w:t>
      </w:r>
    </w:p>
    <w:p w14:paraId="1160972C" w14:textId="6266B8AE" w:rsidR="00FA63F4" w:rsidRPr="00EB5E8A" w:rsidRDefault="00FA63F4" w:rsidP="00FA63F4">
      <w:pPr>
        <w:pStyle w:val="Heading2"/>
        <w:spacing w:line="480" w:lineRule="auto"/>
        <w:rPr>
          <w:rFonts w:asciiTheme="minorHAnsi" w:hAnsiTheme="minorHAnsi"/>
        </w:rPr>
      </w:pPr>
      <w:bookmarkStart w:id="0" w:name="Implications"/>
      <w:bookmarkEnd w:id="0"/>
      <w:r w:rsidRPr="00EB5E8A">
        <w:rPr>
          <w:rFonts w:asciiTheme="minorHAnsi" w:hAnsiTheme="minorHAnsi"/>
        </w:rPr>
        <w:t>Implications</w:t>
      </w:r>
    </w:p>
    <w:p w14:paraId="56EB88C8" w14:textId="24CFFF3F" w:rsidR="00541D2E" w:rsidRPr="00EB5E8A" w:rsidRDefault="008374D1" w:rsidP="00AA10FF">
      <w:pPr>
        <w:spacing w:line="480" w:lineRule="auto"/>
        <w:jc w:val="both"/>
      </w:pPr>
      <w:r w:rsidRPr="00EB5E8A">
        <w:t xml:space="preserve">We found </w:t>
      </w:r>
      <w:r w:rsidR="00541D2E" w:rsidRPr="00EB5E8A">
        <w:t xml:space="preserve">individuals with CD who receive a permanent stoma following intestinal surgery </w:t>
      </w:r>
      <w:r w:rsidR="00412ECA" w:rsidRPr="00EB5E8A">
        <w:t>had a</w:t>
      </w:r>
      <w:r w:rsidR="00541D2E" w:rsidRPr="00EB5E8A">
        <w:t xml:space="preserve"> significantly increased </w:t>
      </w:r>
      <w:r w:rsidR="00412ECA" w:rsidRPr="00EB5E8A">
        <w:t xml:space="preserve">likelihood </w:t>
      </w:r>
      <w:r w:rsidR="00541D2E" w:rsidRPr="00EB5E8A">
        <w:t xml:space="preserve">of subsequent ADM use compared </w:t>
      </w:r>
      <w:r w:rsidR="00ED4871" w:rsidRPr="00EB5E8A">
        <w:t>with</w:t>
      </w:r>
      <w:r w:rsidR="00541D2E" w:rsidRPr="00EB5E8A">
        <w:t xml:space="preserve"> individuals who had intestinal surgery without stoma formation.</w:t>
      </w:r>
    </w:p>
    <w:p w14:paraId="6EA31225" w14:textId="26837796" w:rsidR="00541D2E" w:rsidRPr="00EB5E8A" w:rsidRDefault="00541D2E" w:rsidP="00B511A2">
      <w:pPr>
        <w:spacing w:line="480" w:lineRule="auto"/>
        <w:jc w:val="both"/>
      </w:pPr>
      <w:r w:rsidRPr="00EB5E8A">
        <w:lastRenderedPageBreak/>
        <w:t>Among patients who had a temporary stoma formed</w:t>
      </w:r>
      <w:r w:rsidR="00ED4871" w:rsidRPr="00EB5E8A">
        <w:t>,</w:t>
      </w:r>
      <w:r w:rsidRPr="00EB5E8A">
        <w:t xml:space="preserve"> those who had stoma reversal surgery within 12 months had </w:t>
      </w:r>
      <w:r w:rsidR="00412ECA" w:rsidRPr="00EB5E8A">
        <w:t>a similar likelihood</w:t>
      </w:r>
      <w:r w:rsidRPr="00EB5E8A">
        <w:t xml:space="preserve"> of subsequent ADM use</w:t>
      </w:r>
      <w:r w:rsidR="00FC1F39" w:rsidRPr="00EB5E8A">
        <w:t xml:space="preserve"> to individuals with non-stoma surgery</w:t>
      </w:r>
      <w:r w:rsidR="00197592" w:rsidRPr="00EB5E8A">
        <w:t>,</w:t>
      </w:r>
      <w:r w:rsidRPr="00EB5E8A">
        <w:t xml:space="preserve"> but those reversed later than 12 months after their initial surgery were </w:t>
      </w:r>
      <w:r w:rsidR="00FC1F39" w:rsidRPr="00EB5E8A">
        <w:t>73%</w:t>
      </w:r>
      <w:r w:rsidRPr="00EB5E8A">
        <w:t xml:space="preserve"> </w:t>
      </w:r>
      <w:r w:rsidR="00FC1F39" w:rsidRPr="00EB5E8A">
        <w:t xml:space="preserve">more </w:t>
      </w:r>
      <w:r w:rsidRPr="00EB5E8A">
        <w:t xml:space="preserve">likely to </w:t>
      </w:r>
      <w:r w:rsidR="00FC1F39" w:rsidRPr="00EB5E8A">
        <w:t>receive</w:t>
      </w:r>
      <w:r w:rsidRPr="00EB5E8A">
        <w:t xml:space="preserve"> an ADM.</w:t>
      </w:r>
      <w:r w:rsidR="00B511A2" w:rsidRPr="00EB5E8A">
        <w:t xml:space="preserve"> </w:t>
      </w:r>
    </w:p>
    <w:p w14:paraId="38FC7662" w14:textId="50093726" w:rsidR="00B511A2" w:rsidRPr="00EB5E8A" w:rsidRDefault="00B511A2" w:rsidP="00FE67A4">
      <w:pPr>
        <w:spacing w:line="480" w:lineRule="auto"/>
        <w:jc w:val="both"/>
      </w:pPr>
      <w:r w:rsidRPr="00EB5E8A">
        <w:t xml:space="preserve">In keeping with previous studies, </w:t>
      </w:r>
      <w:r w:rsidR="00D67B41" w:rsidRPr="00EB5E8A">
        <w:t xml:space="preserve">we found </w:t>
      </w:r>
      <w:r w:rsidR="00197592" w:rsidRPr="00EB5E8A">
        <w:t xml:space="preserve">that </w:t>
      </w:r>
      <w:r w:rsidRPr="00EB5E8A">
        <w:t xml:space="preserve">stoma formation is associated with significant psychiatric morbidity and </w:t>
      </w:r>
      <w:r w:rsidR="00197592" w:rsidRPr="00EB5E8A">
        <w:t xml:space="preserve">recommend that </w:t>
      </w:r>
      <w:r w:rsidRPr="00EB5E8A">
        <w:t>patients should be counselled regarding this before undergoing surgery</w:t>
      </w:r>
      <w:r w:rsidR="00761178" w:rsidRPr="00EB5E8A">
        <w:t xml:space="preserve">. However, this </w:t>
      </w:r>
      <w:r w:rsidRPr="00EB5E8A">
        <w:t xml:space="preserve">association is not necessarily causative. It is likely such individuals have more complicated disease and this may account for their increased ADM use, rather than the fact they are living with a stoma. </w:t>
      </w:r>
      <w:r w:rsidR="00094FA1" w:rsidRPr="00EB5E8A">
        <w:t xml:space="preserve">We </w:t>
      </w:r>
      <w:r w:rsidR="007242F7" w:rsidRPr="00EB5E8A">
        <w:t>adjusted</w:t>
      </w:r>
      <w:r w:rsidR="00094FA1" w:rsidRPr="00EB5E8A">
        <w:t xml:space="preserve"> for subsequent corticosteroid use and further surgery as proxies for ongoing disease activity and found both were associated with more antidepressant use. However, permanent stoma formation</w:t>
      </w:r>
      <w:r w:rsidR="002A37C5" w:rsidRPr="00EB5E8A">
        <w:t xml:space="preserve"> and late reversal of a temporary stoma</w:t>
      </w:r>
      <w:r w:rsidR="00094FA1" w:rsidRPr="00EB5E8A">
        <w:t xml:space="preserve"> remained associated with increased subsequent antidepressant use. T</w:t>
      </w:r>
      <w:r w:rsidRPr="00EB5E8A">
        <w:t>his study demonstrates that such individuals are at significant risk of psychiatric morbidity</w:t>
      </w:r>
      <w:r w:rsidR="00D758AC" w:rsidRPr="00EB5E8A">
        <w:t>,</w:t>
      </w:r>
      <w:r w:rsidRPr="00EB5E8A">
        <w:t xml:space="preserve"> and </w:t>
      </w:r>
      <w:r w:rsidR="00AA4C4B" w:rsidRPr="00EB5E8A">
        <w:t xml:space="preserve">therefore </w:t>
      </w:r>
      <w:r w:rsidRPr="00EB5E8A">
        <w:t>clinicians should ensure they screen for mood disorders and ensure treatment is available when required.</w:t>
      </w:r>
    </w:p>
    <w:p w14:paraId="4395C166" w14:textId="5D60ED72" w:rsidR="0030566C" w:rsidRPr="00EB5E8A" w:rsidRDefault="0030566C" w:rsidP="00FE67A4">
      <w:pPr>
        <w:spacing w:line="480" w:lineRule="auto"/>
        <w:jc w:val="both"/>
      </w:pPr>
      <w:r w:rsidRPr="00EB5E8A">
        <w:t>Finally, engagement with a stoma support group may improve psychological adaptation to life with a stoma</w:t>
      </w:r>
      <w:r w:rsidR="00D758AC" w:rsidRPr="00EB5E8A">
        <w:t>,</w:t>
      </w:r>
      <w:r w:rsidRPr="00EB5E8A">
        <w:t xml:space="preserve"> and individuals undergoing stoma formation</w:t>
      </w:r>
      <w:r w:rsidR="003566E3" w:rsidRPr="00EB5E8A">
        <w:t xml:space="preserve"> should be signposted to these resources.</w:t>
      </w:r>
      <w:r w:rsidR="00143EE9" w:rsidRPr="00EB5E8A">
        <w:fldChar w:fldCharType="begin" w:fldLock="1"/>
      </w:r>
      <w:r w:rsidR="00143EE9" w:rsidRPr="00EB5E8A">
        <w:instrText>ADDIN CSL_CITATION {"citationItems":[{"id":"ITEM-1","itemData":{"DOI":"10.1093/ibd/izx043","ISSN":"15364844","abstract":"Background: Many inflammatory bowel disease (IBD) patients worry about stoma-forming surgery (SFS), sometimes enduring poor bowel-related quality of life to avoid it. Anticipation of SFS and whether expectations match experience is underreported. This qualitative study explored influences on patients' SFS decision-making and compared preoperative concerns with postoperative outcomes. Methods: We purposively recruited participants with IBD from UK hospital outpatient and community sources, and IBD clinicians from public hospitals. Four focus groups, 29 semistructured patient participant interviews, and 18 clinician interviews were audio recorded, transcribed, and analysed thematically. Participants had a current temporary, recently-reversed, or permanent stoma, or were stoma naive. Results: Four themes emerged: Preoperative concerns and expectations, Patient decision-making, Surgery and recovery, and Long-term outcomes. Participants and clinicians agreed about most preoperative concerns, that outcomes were often better than expected, and support from others with a stoma is beneficial. Patient decision-making involves multiple factors, including disease status. Some clinicians avoid discussing SFS, and the phrase 'last resort' can bias patient perceptions; others recommend early discussion, increasing dialogue when medical management becomes ineffective. The postoperative period is particularly challenging for patients. Stoma acceptance is influenced by personal perceptions and pre- and postoperative clinical and social support. Conclusion: Patients need balanced information on all treatment options, including surgery, from an early stage. Early multidisciplinary team dialogue about SFS, and contact with others living well with a stoma, could enable informed decision-making. Life with a stoma is often better than anticipated, improving quality of life and control. Ongoing specialist nursing support AIDS recovery and adjustment.","author":[{"dropping-particle":"","family":"Dibley","given":"Lesley","non-dropping-particle":"","parse-names":false,"suffix":""},{"dropping-particle":"","family":"Czuber-Dochan","given":"Wladyslawa","non-dropping-particle":"","parse-names":false,"suffix":""},{"dropping-particle":"","family":"Wade","given":"Tiffany","non-dropping-particle":"","parse-names":false,"suffix":""},{"dropping-particle":"","family":"Duncan","given":"Julie","non-dropping-particle":"","parse-names":false,"suffix":""},{"dropping-particle":"","family":"Burch","given":"Jennie","non-dropping-particle":"","parse-names":false,"suffix":""},{"dropping-particle":"","family":"Warusavitarne","given":"Janindra","non-dropping-particle":"","parse-names":false,"suffix":""},{"dropping-particle":"","family":"Norton","given":"Christine","non-dropping-particle":"","parse-names":false,"suffix":""},{"dropping-particle":"","family":"Artom","given":"Micol","non-dropping-particle":"","parse-names":false,"suffix":""},{"dropping-particle":"","family":"O'Sullivan","given":"Liam","non-dropping-particle":"","parse-names":false,"suffix":""},{"dropping-particle":"","family":"Verjee","given":"Azmina","non-dropping-particle":"","parse-names":false,"suffix":""},{"dropping-particle":"","family":"Cann","given":"Denise","non-dropping-particle":"","parse-names":false,"suffix":""}],"container-title":"Inflammatory Bowel Diseases","id":"ITEM-1","issue":"2","issued":{"date-parts":[["2018"]]},"page":"235-246","title":"Patient Decision-Making about Emergency and Planned Stoma Surgery for IBD: A Qualitative Exploration of Patient and Clinician Perspectives","type":"article-journal","volume":"24"},"uris":["http://www.mendeley.com/documents/?uuid=6db35ead-e41b-42c0-860e-7e97be5a395a"]}],"mendeley":{"formattedCitation":"&lt;sup&gt;10&lt;/sup&gt;","plainTextFormattedCitation":"10","previouslyFormattedCitation":"&lt;sup&gt;10&lt;/sup&gt;"},"properties":{"noteIndex":0},"schema":"https://github.com/citation-style-language/schema/raw/master/csl-citation.json"}</w:instrText>
      </w:r>
      <w:r w:rsidR="00143EE9" w:rsidRPr="00EB5E8A">
        <w:fldChar w:fldCharType="separate"/>
      </w:r>
      <w:r w:rsidR="00143EE9" w:rsidRPr="00EB5E8A">
        <w:rPr>
          <w:noProof/>
          <w:vertAlign w:val="superscript"/>
        </w:rPr>
        <w:t>10</w:t>
      </w:r>
      <w:r w:rsidR="00143EE9" w:rsidRPr="00EB5E8A">
        <w:fldChar w:fldCharType="end"/>
      </w:r>
      <w:r w:rsidR="00143EE9" w:rsidRPr="00EB5E8A">
        <w:t xml:space="preserve"> </w:t>
      </w:r>
    </w:p>
    <w:p w14:paraId="3974EA88" w14:textId="19C7C97A" w:rsidR="0080614F" w:rsidRPr="00EB5E8A" w:rsidRDefault="00861902" w:rsidP="0080614F">
      <w:pPr>
        <w:pStyle w:val="Heading2"/>
        <w:spacing w:line="480" w:lineRule="auto"/>
        <w:rPr>
          <w:rFonts w:asciiTheme="minorHAnsi" w:hAnsiTheme="minorHAnsi"/>
        </w:rPr>
      </w:pPr>
      <w:r w:rsidRPr="00EB5E8A">
        <w:rPr>
          <w:rFonts w:asciiTheme="minorHAnsi" w:hAnsiTheme="minorHAnsi"/>
        </w:rPr>
        <w:t>Conclusions</w:t>
      </w:r>
    </w:p>
    <w:p w14:paraId="37E887AD" w14:textId="407253A9" w:rsidR="005E399E" w:rsidRPr="00EB5E8A" w:rsidRDefault="00173B20" w:rsidP="00FE67A4">
      <w:pPr>
        <w:spacing w:line="480" w:lineRule="auto"/>
        <w:jc w:val="both"/>
        <w:rPr>
          <w:rFonts w:cs="Arial"/>
        </w:rPr>
      </w:pPr>
      <w:r w:rsidRPr="00EB5E8A">
        <w:rPr>
          <w:rFonts w:cs="Arial"/>
        </w:rPr>
        <w:t>Permanent stoma formation and temporary stomas with late reversal are associated with significantly increased</w:t>
      </w:r>
      <w:r w:rsidR="00A8221A" w:rsidRPr="00EB5E8A">
        <w:rPr>
          <w:rFonts w:cs="Arial"/>
        </w:rPr>
        <w:t xml:space="preserve"> rates of</w:t>
      </w:r>
      <w:r w:rsidRPr="00EB5E8A">
        <w:rPr>
          <w:rFonts w:cs="Arial"/>
        </w:rPr>
        <w:t xml:space="preserve"> ADM use after intestinal surgery</w:t>
      </w:r>
      <w:r w:rsidR="0035087E" w:rsidRPr="00EB5E8A">
        <w:rPr>
          <w:rFonts w:cs="Arial"/>
        </w:rPr>
        <w:t>,</w:t>
      </w:r>
      <w:r w:rsidRPr="00EB5E8A">
        <w:rPr>
          <w:rFonts w:cs="Arial"/>
        </w:rPr>
        <w:t xml:space="preserve"> </w:t>
      </w:r>
      <w:r w:rsidR="00761178" w:rsidRPr="00EB5E8A">
        <w:rPr>
          <w:rFonts w:cs="Arial"/>
        </w:rPr>
        <w:t xml:space="preserve">which </w:t>
      </w:r>
      <w:r w:rsidR="00D67B41" w:rsidRPr="00EB5E8A">
        <w:rPr>
          <w:rFonts w:cs="Arial"/>
        </w:rPr>
        <w:t xml:space="preserve">is likely </w:t>
      </w:r>
      <w:r w:rsidRPr="00EB5E8A">
        <w:rPr>
          <w:rFonts w:cs="Arial"/>
        </w:rPr>
        <w:t xml:space="preserve">to be </w:t>
      </w:r>
      <w:r w:rsidR="00A8221A" w:rsidRPr="00EB5E8A">
        <w:rPr>
          <w:rFonts w:cs="Arial"/>
        </w:rPr>
        <w:t xml:space="preserve">indicative of </w:t>
      </w:r>
      <w:r w:rsidRPr="00EB5E8A">
        <w:rPr>
          <w:rFonts w:cs="Arial"/>
        </w:rPr>
        <w:t xml:space="preserve">anxiety and depression. </w:t>
      </w:r>
      <w:r w:rsidR="00FD5870" w:rsidRPr="00EB5E8A">
        <w:t>Clinicians should be vigilant regarding the higher rate of anxiety and depression in this patient group and consider applying approaches to integrate mental and physical healthcare</w:t>
      </w:r>
      <w:r w:rsidR="007934DF" w:rsidRPr="00EB5E8A">
        <w:t xml:space="preserve"> provision</w:t>
      </w:r>
      <w:r w:rsidR="00A1213E" w:rsidRPr="00EB5E8A">
        <w:t>.</w:t>
      </w:r>
      <w:r w:rsidR="00143EE9" w:rsidRPr="00EB5E8A">
        <w:rPr>
          <w:rFonts w:cs="Arial"/>
        </w:rPr>
        <w:t xml:space="preserve"> </w:t>
      </w:r>
    </w:p>
    <w:p w14:paraId="2A57C1B1" w14:textId="77777777" w:rsidR="00D67B41" w:rsidRPr="00EB5E8A" w:rsidRDefault="00D67B41" w:rsidP="00173B20">
      <w:pPr>
        <w:spacing w:line="480" w:lineRule="auto"/>
        <w:rPr>
          <w:lang w:eastAsia="en-GB"/>
        </w:rPr>
      </w:pPr>
    </w:p>
    <w:p w14:paraId="46C4D589" w14:textId="21D715AC" w:rsidR="00710118" w:rsidRPr="00EB5E8A" w:rsidRDefault="00710118" w:rsidP="00710118">
      <w:pPr>
        <w:pStyle w:val="Heading2"/>
        <w:spacing w:line="480" w:lineRule="auto"/>
        <w:rPr>
          <w:rFonts w:asciiTheme="minorHAnsi" w:hAnsiTheme="minorHAnsi"/>
        </w:rPr>
      </w:pPr>
      <w:r w:rsidRPr="00EB5E8A">
        <w:rPr>
          <w:rFonts w:asciiTheme="minorHAnsi" w:hAnsiTheme="minorHAnsi"/>
        </w:rPr>
        <w:lastRenderedPageBreak/>
        <w:t>References</w:t>
      </w:r>
    </w:p>
    <w:p w14:paraId="45EF9A79" w14:textId="35F1B43A" w:rsidR="00F05424" w:rsidRPr="00EB5E8A" w:rsidRDefault="00412A3D" w:rsidP="00F05424">
      <w:pPr>
        <w:widowControl w:val="0"/>
        <w:autoSpaceDE w:val="0"/>
        <w:autoSpaceDN w:val="0"/>
        <w:adjustRightInd w:val="0"/>
        <w:spacing w:line="480" w:lineRule="auto"/>
        <w:ind w:left="640" w:hanging="640"/>
        <w:rPr>
          <w:rFonts w:ascii="Calibri" w:hAnsi="Calibri" w:cs="Times New Roman"/>
          <w:noProof/>
          <w:szCs w:val="24"/>
        </w:rPr>
      </w:pPr>
      <w:r w:rsidRPr="00EB5E8A">
        <w:fldChar w:fldCharType="begin" w:fldLock="1"/>
      </w:r>
      <w:r w:rsidRPr="00EB5E8A">
        <w:instrText xml:space="preserve">ADDIN Mendeley Bibliography CSL_BIBLIOGRAPHY </w:instrText>
      </w:r>
      <w:r w:rsidRPr="00EB5E8A">
        <w:fldChar w:fldCharType="separate"/>
      </w:r>
      <w:r w:rsidR="00F05424" w:rsidRPr="00EB5E8A">
        <w:rPr>
          <w:rFonts w:ascii="Calibri" w:hAnsi="Calibri" w:cs="Times New Roman"/>
          <w:noProof/>
          <w:szCs w:val="24"/>
        </w:rPr>
        <w:t xml:space="preserve">1. </w:t>
      </w:r>
      <w:r w:rsidR="00F05424" w:rsidRPr="00EB5E8A">
        <w:rPr>
          <w:rFonts w:ascii="Calibri" w:hAnsi="Calibri" w:cs="Times New Roman"/>
          <w:noProof/>
          <w:szCs w:val="24"/>
        </w:rPr>
        <w:tab/>
        <w:t xml:space="preserve">Cosnes J, Cattan S, Blain A, et al. Long-term evolution of disease behavior of Crohn’s disease. </w:t>
      </w:r>
      <w:r w:rsidR="00F05424" w:rsidRPr="00EB5E8A">
        <w:rPr>
          <w:rFonts w:ascii="Calibri" w:hAnsi="Calibri" w:cs="Times New Roman"/>
          <w:i/>
          <w:iCs/>
          <w:noProof/>
          <w:szCs w:val="24"/>
        </w:rPr>
        <w:t>Inflamm Bowel Dis</w:t>
      </w:r>
      <w:r w:rsidR="00F05424" w:rsidRPr="00EB5E8A">
        <w:rPr>
          <w:rFonts w:ascii="Calibri" w:hAnsi="Calibri" w:cs="Times New Roman"/>
          <w:noProof/>
          <w:szCs w:val="24"/>
        </w:rPr>
        <w:t>. 2002;8(4):244-250. doi:10.1097/00054725-200207000-00002</w:t>
      </w:r>
    </w:p>
    <w:p w14:paraId="1405EA47"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2. </w:t>
      </w:r>
      <w:r w:rsidRPr="00EB5E8A">
        <w:rPr>
          <w:rFonts w:ascii="Calibri" w:hAnsi="Calibri" w:cs="Times New Roman"/>
          <w:noProof/>
          <w:szCs w:val="24"/>
        </w:rPr>
        <w:tab/>
        <w:t xml:space="preserve">Frolkis AD, Dykeman J, Negron ME. Risk of surgery for the inflammatory bowel diseases has decreased over time: a systematic review and meta-analysis of population-based studies. </w:t>
      </w:r>
      <w:r w:rsidRPr="00EB5E8A">
        <w:rPr>
          <w:rFonts w:ascii="Calibri" w:hAnsi="Calibri" w:cs="Times New Roman"/>
          <w:i/>
          <w:iCs/>
          <w:noProof/>
          <w:szCs w:val="24"/>
        </w:rPr>
        <w:t>Gastroenterology</w:t>
      </w:r>
      <w:r w:rsidRPr="00EB5E8A">
        <w:rPr>
          <w:rFonts w:ascii="Calibri" w:hAnsi="Calibri" w:cs="Times New Roman"/>
          <w:noProof/>
          <w:szCs w:val="24"/>
        </w:rPr>
        <w:t>. 2013;145. doi:10.1053/j.gastro.2013.07.041</w:t>
      </w:r>
    </w:p>
    <w:p w14:paraId="41F962DC"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3. </w:t>
      </w:r>
      <w:r w:rsidRPr="00EB5E8A">
        <w:rPr>
          <w:rFonts w:ascii="Calibri" w:hAnsi="Calibri" w:cs="Times New Roman"/>
          <w:noProof/>
          <w:szCs w:val="24"/>
        </w:rPr>
        <w:tab/>
        <w:t xml:space="preserve">Ma C, Almutairdi A, Tanyingoh D, et al. Reduction in surgical stoma rates in Crohn’s disease: a population-based time trend analysis. </w:t>
      </w:r>
      <w:r w:rsidRPr="00EB5E8A">
        <w:rPr>
          <w:rFonts w:ascii="Calibri" w:hAnsi="Calibri" w:cs="Times New Roman"/>
          <w:i/>
          <w:iCs/>
          <w:noProof/>
          <w:szCs w:val="24"/>
        </w:rPr>
        <w:t>Color Dis</w:t>
      </w:r>
      <w:r w:rsidRPr="00EB5E8A">
        <w:rPr>
          <w:rFonts w:ascii="Calibri" w:hAnsi="Calibri" w:cs="Times New Roman"/>
          <w:noProof/>
          <w:szCs w:val="24"/>
        </w:rPr>
        <w:t>. 2019;21(11):1279-1287. doi:10.1111/codi.14731</w:t>
      </w:r>
    </w:p>
    <w:p w14:paraId="17526D30"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4. </w:t>
      </w:r>
      <w:r w:rsidRPr="00EB5E8A">
        <w:rPr>
          <w:rFonts w:ascii="Calibri" w:hAnsi="Calibri" w:cs="Times New Roman"/>
          <w:noProof/>
          <w:szCs w:val="24"/>
        </w:rPr>
        <w:tab/>
        <w:t xml:space="preserve">Canavan C, Abrams KR, Hawthorne B, Drossman D, Mayberry JF. Long-term prognosis in Crohn’s disease: factors that affect quality of life. </w:t>
      </w:r>
      <w:r w:rsidRPr="00EB5E8A">
        <w:rPr>
          <w:rFonts w:ascii="Calibri" w:hAnsi="Calibri" w:cs="Times New Roman"/>
          <w:i/>
          <w:iCs/>
          <w:noProof/>
          <w:szCs w:val="24"/>
        </w:rPr>
        <w:t>Aliment Pharmacol Ther</w:t>
      </w:r>
      <w:r w:rsidRPr="00EB5E8A">
        <w:rPr>
          <w:rFonts w:ascii="Calibri" w:hAnsi="Calibri" w:cs="Times New Roman"/>
          <w:noProof/>
          <w:szCs w:val="24"/>
        </w:rPr>
        <w:t>. 2006;23(3):377-385. doi:10.1111/j.1365-2036.2006.02753.x</w:t>
      </w:r>
    </w:p>
    <w:p w14:paraId="5033870E"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5. </w:t>
      </w:r>
      <w:r w:rsidRPr="00EB5E8A">
        <w:rPr>
          <w:rFonts w:ascii="Calibri" w:hAnsi="Calibri" w:cs="Times New Roman"/>
          <w:noProof/>
          <w:szCs w:val="24"/>
        </w:rPr>
        <w:tab/>
        <w:t xml:space="preserve">Lesage A-C, Hagege H, Tucat G, Gendre J-P. Results of a national survey on quality of life in inflammatory bowel diseases. </w:t>
      </w:r>
      <w:r w:rsidRPr="00EB5E8A">
        <w:rPr>
          <w:rFonts w:ascii="Calibri" w:hAnsi="Calibri" w:cs="Times New Roman"/>
          <w:i/>
          <w:iCs/>
          <w:noProof/>
          <w:szCs w:val="24"/>
        </w:rPr>
        <w:t>Clin Res Hepatol Gastroenterol</w:t>
      </w:r>
      <w:r w:rsidRPr="00EB5E8A">
        <w:rPr>
          <w:rFonts w:ascii="Calibri" w:hAnsi="Calibri" w:cs="Times New Roman"/>
          <w:noProof/>
          <w:szCs w:val="24"/>
        </w:rPr>
        <w:t>. 2011;35(2):117-124. doi:10.1016/j.gcb.2009.08.015</w:t>
      </w:r>
    </w:p>
    <w:p w14:paraId="63D0FBE6"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6. </w:t>
      </w:r>
      <w:r w:rsidRPr="00EB5E8A">
        <w:rPr>
          <w:rFonts w:ascii="Calibri" w:hAnsi="Calibri" w:cs="Times New Roman"/>
          <w:noProof/>
          <w:szCs w:val="24"/>
        </w:rPr>
        <w:tab/>
        <w:t xml:space="preserve">Casati J, Toner BB, de Rooy EC, Drossman DA, Maunder RG. Concerns of patients with inflammatory bowel disease: a review of emerging themes. </w:t>
      </w:r>
      <w:r w:rsidRPr="00EB5E8A">
        <w:rPr>
          <w:rFonts w:ascii="Calibri" w:hAnsi="Calibri" w:cs="Times New Roman"/>
          <w:i/>
          <w:iCs/>
          <w:noProof/>
          <w:szCs w:val="24"/>
        </w:rPr>
        <w:t>Dig Dis Sci</w:t>
      </w:r>
      <w:r w:rsidRPr="00EB5E8A">
        <w:rPr>
          <w:rFonts w:ascii="Calibri" w:hAnsi="Calibri" w:cs="Times New Roman"/>
          <w:noProof/>
          <w:szCs w:val="24"/>
        </w:rPr>
        <w:t>. 2000;45(1):26-31. doi:10.1023/a:1005492806777</w:t>
      </w:r>
    </w:p>
    <w:p w14:paraId="635CA242"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7. </w:t>
      </w:r>
      <w:r w:rsidRPr="00EB5E8A">
        <w:rPr>
          <w:rFonts w:ascii="Calibri" w:hAnsi="Calibri" w:cs="Times New Roman"/>
          <w:noProof/>
          <w:szCs w:val="24"/>
        </w:rPr>
        <w:tab/>
        <w:t xml:space="preserve">Bewtra M, Kilambi V, Fairchild AO, Siegel CA, Lewis JD, Johnson FR. Patient preferences for surgical versus medical therapy for ulcerative colitis. </w:t>
      </w:r>
      <w:r w:rsidRPr="00EB5E8A">
        <w:rPr>
          <w:rFonts w:ascii="Calibri" w:hAnsi="Calibri" w:cs="Times New Roman"/>
          <w:i/>
          <w:iCs/>
          <w:noProof/>
          <w:szCs w:val="24"/>
        </w:rPr>
        <w:t>Inflamm Bowel Dis</w:t>
      </w:r>
      <w:r w:rsidRPr="00EB5E8A">
        <w:rPr>
          <w:rFonts w:ascii="Calibri" w:hAnsi="Calibri" w:cs="Times New Roman"/>
          <w:noProof/>
          <w:szCs w:val="24"/>
        </w:rPr>
        <w:t>. 2014;20(1):103-114. doi:10.1097/01.MIB.0000437498.14804.50</w:t>
      </w:r>
    </w:p>
    <w:p w14:paraId="73C9B9E8"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8. </w:t>
      </w:r>
      <w:r w:rsidRPr="00EB5E8A">
        <w:rPr>
          <w:rFonts w:ascii="Calibri" w:hAnsi="Calibri" w:cs="Times New Roman"/>
          <w:noProof/>
          <w:szCs w:val="24"/>
        </w:rPr>
        <w:tab/>
        <w:t xml:space="preserve">Muller KR, Prosser R, Bampton P, Mountifield R, Andrews JM. Female gender and surgery impair relationships, body image, and sexuality in inflammatory bowel disease: patient perceptions. </w:t>
      </w:r>
      <w:r w:rsidRPr="00EB5E8A">
        <w:rPr>
          <w:rFonts w:ascii="Calibri" w:hAnsi="Calibri" w:cs="Times New Roman"/>
          <w:i/>
          <w:iCs/>
          <w:noProof/>
          <w:szCs w:val="24"/>
        </w:rPr>
        <w:t>Inflamm Bowel Dis</w:t>
      </w:r>
      <w:r w:rsidRPr="00EB5E8A">
        <w:rPr>
          <w:rFonts w:ascii="Calibri" w:hAnsi="Calibri" w:cs="Times New Roman"/>
          <w:noProof/>
          <w:szCs w:val="24"/>
        </w:rPr>
        <w:t>. 2010;16(4):657-663. doi:10.1002/ibd.21090</w:t>
      </w:r>
    </w:p>
    <w:p w14:paraId="1CEDE3C2"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lastRenderedPageBreak/>
        <w:t xml:space="preserve">9. </w:t>
      </w:r>
      <w:r w:rsidRPr="00EB5E8A">
        <w:rPr>
          <w:rFonts w:ascii="Calibri" w:hAnsi="Calibri" w:cs="Times New Roman"/>
          <w:noProof/>
          <w:szCs w:val="24"/>
        </w:rPr>
        <w:tab/>
        <w:t xml:space="preserve">El-Tawil, AM, Nightingale P. Living with Stoma: Long-term Effects on Patients’ Quality of Life. </w:t>
      </w:r>
      <w:r w:rsidRPr="00EB5E8A">
        <w:rPr>
          <w:rFonts w:ascii="Calibri" w:hAnsi="Calibri" w:cs="Times New Roman"/>
          <w:i/>
          <w:iCs/>
          <w:noProof/>
          <w:szCs w:val="24"/>
        </w:rPr>
        <w:t>J Clin Cell Immunol</w:t>
      </w:r>
      <w:r w:rsidRPr="00EB5E8A">
        <w:rPr>
          <w:rFonts w:ascii="Calibri" w:hAnsi="Calibri" w:cs="Times New Roman"/>
          <w:noProof/>
          <w:szCs w:val="24"/>
        </w:rPr>
        <w:t>. 2013;4(3). doi:10.4172/2155-9899.1000145</w:t>
      </w:r>
    </w:p>
    <w:p w14:paraId="6D47414C"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10. </w:t>
      </w:r>
      <w:r w:rsidRPr="00EB5E8A">
        <w:rPr>
          <w:rFonts w:ascii="Calibri" w:hAnsi="Calibri" w:cs="Times New Roman"/>
          <w:noProof/>
          <w:szCs w:val="24"/>
        </w:rPr>
        <w:tab/>
        <w:t xml:space="preserve">Dibley L, Czuber-Dochan W, Wade T, et al. Patient Decision-Making about Emergency and Planned Stoma Surgery for IBD: A Qualitative Exploration of Patient and Clinician Perspectives. </w:t>
      </w:r>
      <w:r w:rsidRPr="00EB5E8A">
        <w:rPr>
          <w:rFonts w:ascii="Calibri" w:hAnsi="Calibri" w:cs="Times New Roman"/>
          <w:i/>
          <w:iCs/>
          <w:noProof/>
          <w:szCs w:val="24"/>
        </w:rPr>
        <w:t>Inflamm Bowel Dis</w:t>
      </w:r>
      <w:r w:rsidRPr="00EB5E8A">
        <w:rPr>
          <w:rFonts w:ascii="Calibri" w:hAnsi="Calibri" w:cs="Times New Roman"/>
          <w:noProof/>
          <w:szCs w:val="24"/>
        </w:rPr>
        <w:t>. 2018;24(2):235-246. doi:10.1093/ibd/izx043</w:t>
      </w:r>
    </w:p>
    <w:p w14:paraId="61A0E6CF"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11. </w:t>
      </w:r>
      <w:r w:rsidRPr="00EB5E8A">
        <w:rPr>
          <w:rFonts w:ascii="Calibri" w:hAnsi="Calibri" w:cs="Times New Roman"/>
          <w:noProof/>
          <w:szCs w:val="24"/>
        </w:rPr>
        <w:tab/>
        <w:t xml:space="preserve">Ananthakrishnan AN, Gainer VS, Cai T, et al. Similar Risk of Depression and Anxiety Following Surgery or Hospitalization for Crohn’s Disease and Ulcerative Colitis. </w:t>
      </w:r>
      <w:r w:rsidRPr="00EB5E8A">
        <w:rPr>
          <w:rFonts w:ascii="Calibri" w:hAnsi="Calibri" w:cs="Times New Roman"/>
          <w:i/>
          <w:iCs/>
          <w:noProof/>
          <w:szCs w:val="24"/>
        </w:rPr>
        <w:t>Am J Gastroenterol</w:t>
      </w:r>
      <w:r w:rsidRPr="00EB5E8A">
        <w:rPr>
          <w:rFonts w:ascii="Calibri" w:hAnsi="Calibri" w:cs="Times New Roman"/>
          <w:noProof/>
          <w:szCs w:val="24"/>
        </w:rPr>
        <w:t>. 2013;108(4):594-601. http://dx.doi.org/10.1038/ajg.2012.471.</w:t>
      </w:r>
    </w:p>
    <w:p w14:paraId="74C38A1C"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12. </w:t>
      </w:r>
      <w:r w:rsidRPr="00EB5E8A">
        <w:rPr>
          <w:rFonts w:ascii="Calibri" w:hAnsi="Calibri" w:cs="Times New Roman"/>
          <w:noProof/>
          <w:szCs w:val="24"/>
        </w:rPr>
        <w:tab/>
        <w:t xml:space="preserve">Lewis JD, Ms CB, Bilker WB, Strom BL. Validity and completeness of the General Practice Research Database for studies of inflammatory bowel disease. </w:t>
      </w:r>
      <w:r w:rsidRPr="00EB5E8A">
        <w:rPr>
          <w:rFonts w:ascii="Calibri" w:hAnsi="Calibri" w:cs="Times New Roman"/>
          <w:i/>
          <w:iCs/>
          <w:noProof/>
          <w:szCs w:val="24"/>
        </w:rPr>
        <w:t>Pharmacoepidemiol Drug Saf</w:t>
      </w:r>
      <w:r w:rsidRPr="00EB5E8A">
        <w:rPr>
          <w:rFonts w:ascii="Calibri" w:hAnsi="Calibri" w:cs="Times New Roman"/>
          <w:noProof/>
          <w:szCs w:val="24"/>
        </w:rPr>
        <w:t>. 2002;(April):211-218.</w:t>
      </w:r>
    </w:p>
    <w:p w14:paraId="0C963821"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13. </w:t>
      </w:r>
      <w:r w:rsidRPr="00EB5E8A">
        <w:rPr>
          <w:rFonts w:ascii="Calibri" w:hAnsi="Calibri" w:cs="Times New Roman"/>
          <w:noProof/>
          <w:szCs w:val="24"/>
        </w:rPr>
        <w:tab/>
        <w:t xml:space="preserve">John A, McGregor J, Fone D, et al. Case-finding for common mental disorders of anxiety and depression in primary care: An external validation of routinely collected data. </w:t>
      </w:r>
      <w:r w:rsidRPr="00EB5E8A">
        <w:rPr>
          <w:rFonts w:ascii="Calibri" w:hAnsi="Calibri" w:cs="Times New Roman"/>
          <w:i/>
          <w:iCs/>
          <w:noProof/>
          <w:szCs w:val="24"/>
        </w:rPr>
        <w:t>BMC Med Inform Decis Mak</w:t>
      </w:r>
      <w:r w:rsidRPr="00EB5E8A">
        <w:rPr>
          <w:rFonts w:ascii="Calibri" w:hAnsi="Calibri" w:cs="Times New Roman"/>
          <w:noProof/>
          <w:szCs w:val="24"/>
        </w:rPr>
        <w:t>. 2016;16(1):1-10. doi:10.1186/s12911-016-0274-7</w:t>
      </w:r>
    </w:p>
    <w:p w14:paraId="79F40973"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14. </w:t>
      </w:r>
      <w:r w:rsidRPr="00EB5E8A">
        <w:rPr>
          <w:rFonts w:ascii="Calibri" w:hAnsi="Calibri" w:cs="Times New Roman"/>
          <w:noProof/>
          <w:szCs w:val="24"/>
        </w:rPr>
        <w:tab/>
        <w:t xml:space="preserve">Petty D, House A, Knapp P, Raynor T, Zermansky A. Prevalence, duration and indications for prescribing of antidepressants in primary care. </w:t>
      </w:r>
      <w:r w:rsidRPr="00EB5E8A">
        <w:rPr>
          <w:rFonts w:ascii="Calibri" w:hAnsi="Calibri" w:cs="Times New Roman"/>
          <w:i/>
          <w:iCs/>
          <w:noProof/>
          <w:szCs w:val="24"/>
        </w:rPr>
        <w:t>Age Ageing</w:t>
      </w:r>
      <w:r w:rsidRPr="00EB5E8A">
        <w:rPr>
          <w:rFonts w:ascii="Calibri" w:hAnsi="Calibri" w:cs="Times New Roman"/>
          <w:noProof/>
          <w:szCs w:val="24"/>
        </w:rPr>
        <w:t>. 2006;35(5):520-523. doi:10.1093/ageing/afl020</w:t>
      </w:r>
    </w:p>
    <w:p w14:paraId="221B7B36"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15. </w:t>
      </w:r>
      <w:r w:rsidRPr="00EB5E8A">
        <w:rPr>
          <w:rFonts w:ascii="Calibri" w:hAnsi="Calibri" w:cs="Times New Roman"/>
          <w:noProof/>
          <w:szCs w:val="24"/>
        </w:rPr>
        <w:tab/>
        <w:t xml:space="preserve">Alexakis C, Saxena S, Chhaya V, Cecil E, Majeed A, Pollok R. Smoking Status at Diagnosis and Subsequent Smoking Cessation: Associations With Corticosteroid Use and Intestinal Resection in Crohn’s Disease. </w:t>
      </w:r>
      <w:r w:rsidRPr="00EB5E8A">
        <w:rPr>
          <w:rFonts w:ascii="Calibri" w:hAnsi="Calibri" w:cs="Times New Roman"/>
          <w:i/>
          <w:iCs/>
          <w:noProof/>
          <w:szCs w:val="24"/>
        </w:rPr>
        <w:t>Am J Gastroenterol</w:t>
      </w:r>
      <w:r w:rsidRPr="00EB5E8A">
        <w:rPr>
          <w:rFonts w:ascii="Calibri" w:hAnsi="Calibri" w:cs="Times New Roman"/>
          <w:noProof/>
          <w:szCs w:val="24"/>
        </w:rPr>
        <w:t>. 2018. doi:10.1038/s41395-018-0273-7</w:t>
      </w:r>
    </w:p>
    <w:p w14:paraId="135298F7"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16. </w:t>
      </w:r>
      <w:r w:rsidRPr="00EB5E8A">
        <w:rPr>
          <w:rFonts w:ascii="Calibri" w:hAnsi="Calibri" w:cs="Times New Roman"/>
          <w:noProof/>
          <w:szCs w:val="24"/>
        </w:rPr>
        <w:tab/>
        <w:t xml:space="preserve">Marston L, Carpenter JR, Walters KR, et al. Smoker , ex-smoker or non-smoker ? The validity of routinely recorded smoking status in UK primary care : a cross-sectional study. </w:t>
      </w:r>
      <w:r w:rsidRPr="00EB5E8A">
        <w:rPr>
          <w:rFonts w:ascii="Calibri" w:hAnsi="Calibri" w:cs="Times New Roman"/>
          <w:i/>
          <w:iCs/>
          <w:noProof/>
          <w:szCs w:val="24"/>
        </w:rPr>
        <w:t>BMJ Open</w:t>
      </w:r>
      <w:r w:rsidRPr="00EB5E8A">
        <w:rPr>
          <w:rFonts w:ascii="Calibri" w:hAnsi="Calibri" w:cs="Times New Roman"/>
          <w:noProof/>
          <w:szCs w:val="24"/>
        </w:rPr>
        <w:t>. 2014:1-7. doi:10.1136/bmjopen-2014-004958</w:t>
      </w:r>
    </w:p>
    <w:p w14:paraId="62C3071B"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17. </w:t>
      </w:r>
      <w:r w:rsidRPr="00EB5E8A">
        <w:rPr>
          <w:rFonts w:ascii="Calibri" w:hAnsi="Calibri" w:cs="Times New Roman"/>
          <w:noProof/>
          <w:szCs w:val="24"/>
        </w:rPr>
        <w:tab/>
        <w:t xml:space="preserve">Blackwell J, Saxena S, Petersen I, et al. Depression in individuals who subsequently develop </w:t>
      </w:r>
      <w:r w:rsidRPr="00EB5E8A">
        <w:rPr>
          <w:rFonts w:ascii="Calibri" w:hAnsi="Calibri" w:cs="Times New Roman"/>
          <w:noProof/>
          <w:szCs w:val="24"/>
        </w:rPr>
        <w:lastRenderedPageBreak/>
        <w:t xml:space="preserve">inflammatory bowel disease: a population-based nested case–control study. </w:t>
      </w:r>
      <w:r w:rsidRPr="00EB5E8A">
        <w:rPr>
          <w:rFonts w:ascii="Calibri" w:hAnsi="Calibri" w:cs="Times New Roman"/>
          <w:i/>
          <w:iCs/>
          <w:noProof/>
          <w:szCs w:val="24"/>
        </w:rPr>
        <w:t>Gut</w:t>
      </w:r>
      <w:r w:rsidRPr="00EB5E8A">
        <w:rPr>
          <w:rFonts w:ascii="Calibri" w:hAnsi="Calibri" w:cs="Times New Roman"/>
          <w:noProof/>
          <w:szCs w:val="24"/>
        </w:rPr>
        <w:t>. October 2020:gutjnl-2020-322308. doi:10.1136/gutjnl-2020-322308</w:t>
      </w:r>
    </w:p>
    <w:p w14:paraId="6EF48CAB"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18. </w:t>
      </w:r>
      <w:r w:rsidRPr="00EB5E8A">
        <w:rPr>
          <w:rFonts w:ascii="Calibri" w:hAnsi="Calibri" w:cs="Times New Roman"/>
          <w:noProof/>
          <w:szCs w:val="24"/>
        </w:rPr>
        <w:tab/>
        <w:t xml:space="preserve">Hauser W, Janke K-H, Klump B, Hinz A. Anxiety and depression in patients with inflammatory bowel disease: Comparisons with chronic liver disease patients and the general population. </w:t>
      </w:r>
      <w:r w:rsidRPr="00EB5E8A">
        <w:rPr>
          <w:rFonts w:ascii="Calibri" w:hAnsi="Calibri" w:cs="Times New Roman"/>
          <w:i/>
          <w:iCs/>
          <w:noProof/>
          <w:szCs w:val="24"/>
        </w:rPr>
        <w:t>Inflamm Bowel Dis</w:t>
      </w:r>
      <w:r w:rsidRPr="00EB5E8A">
        <w:rPr>
          <w:rFonts w:ascii="Calibri" w:hAnsi="Calibri" w:cs="Times New Roman"/>
          <w:noProof/>
          <w:szCs w:val="24"/>
        </w:rPr>
        <w:t>. 2011;17(2):621-632. doi:10.1002/ibd.21346</w:t>
      </w:r>
    </w:p>
    <w:p w14:paraId="36C5719C" w14:textId="77777777"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19. </w:t>
      </w:r>
      <w:r w:rsidRPr="00EB5E8A">
        <w:rPr>
          <w:rFonts w:ascii="Calibri" w:hAnsi="Calibri" w:cs="Times New Roman"/>
          <w:noProof/>
          <w:szCs w:val="24"/>
        </w:rPr>
        <w:tab/>
        <w:t xml:space="preserve">Anaraki F, Vafaie M, Behboo R, Maghsoodi N, Esmaeilpour S, Safaee A. Quality of life outcomes in patients living with stoma. </w:t>
      </w:r>
      <w:r w:rsidRPr="00EB5E8A">
        <w:rPr>
          <w:rFonts w:ascii="Calibri" w:hAnsi="Calibri" w:cs="Times New Roman"/>
          <w:i/>
          <w:iCs/>
          <w:noProof/>
          <w:szCs w:val="24"/>
        </w:rPr>
        <w:t>Indian J Palliat Care</w:t>
      </w:r>
      <w:r w:rsidRPr="00EB5E8A">
        <w:rPr>
          <w:rFonts w:ascii="Calibri" w:hAnsi="Calibri" w:cs="Times New Roman"/>
          <w:noProof/>
          <w:szCs w:val="24"/>
        </w:rPr>
        <w:t>. 2012;18(3):176-180. doi:10.4103/0973-1075.105687</w:t>
      </w:r>
    </w:p>
    <w:p w14:paraId="4FA44051" w14:textId="7C088B71" w:rsidR="00F05424" w:rsidRPr="00EB5E8A" w:rsidRDefault="00F05424" w:rsidP="00F05424">
      <w:pPr>
        <w:widowControl w:val="0"/>
        <w:autoSpaceDE w:val="0"/>
        <w:autoSpaceDN w:val="0"/>
        <w:adjustRightInd w:val="0"/>
        <w:spacing w:line="480" w:lineRule="auto"/>
        <w:ind w:left="640" w:hanging="640"/>
        <w:rPr>
          <w:rFonts w:ascii="Calibri" w:hAnsi="Calibri" w:cs="Times New Roman"/>
          <w:noProof/>
          <w:szCs w:val="24"/>
        </w:rPr>
      </w:pPr>
      <w:r w:rsidRPr="00EB5E8A">
        <w:rPr>
          <w:rFonts w:ascii="Calibri" w:hAnsi="Calibri" w:cs="Times New Roman"/>
          <w:noProof/>
          <w:szCs w:val="24"/>
        </w:rPr>
        <w:t xml:space="preserve">20. </w:t>
      </w:r>
      <w:r w:rsidRPr="00EB5E8A">
        <w:rPr>
          <w:rFonts w:ascii="Calibri" w:hAnsi="Calibri" w:cs="Times New Roman"/>
          <w:noProof/>
          <w:szCs w:val="24"/>
        </w:rPr>
        <w:tab/>
        <w:t xml:space="preserve">Juan L, De la Villa Ricardo, Mayte V, Esther T. Gender Differences in Stoma-Related Quality of Life in Puerto Ricans With IBD: P-056. </w:t>
      </w:r>
      <w:r w:rsidRPr="00EB5E8A">
        <w:rPr>
          <w:rFonts w:ascii="Calibri" w:hAnsi="Calibri" w:cs="Times New Roman"/>
          <w:i/>
          <w:iCs/>
          <w:noProof/>
          <w:szCs w:val="24"/>
        </w:rPr>
        <w:t>Am J Gastroenterol</w:t>
      </w:r>
      <w:r w:rsidR="003834A6">
        <w:rPr>
          <w:rFonts w:ascii="Calibri" w:hAnsi="Calibri" w:cs="Times New Roman"/>
          <w:noProof/>
          <w:szCs w:val="24"/>
        </w:rPr>
        <w:t>. 2018;113.</w:t>
      </w:r>
      <w:bookmarkStart w:id="1" w:name="_GoBack"/>
      <w:bookmarkEnd w:id="1"/>
    </w:p>
    <w:p w14:paraId="6B444AAD" w14:textId="77777777" w:rsidR="00F05424" w:rsidRPr="00EB5E8A" w:rsidRDefault="00F05424" w:rsidP="00F05424">
      <w:pPr>
        <w:widowControl w:val="0"/>
        <w:autoSpaceDE w:val="0"/>
        <w:autoSpaceDN w:val="0"/>
        <w:adjustRightInd w:val="0"/>
        <w:spacing w:line="480" w:lineRule="auto"/>
        <w:ind w:left="640" w:hanging="640"/>
        <w:rPr>
          <w:rFonts w:ascii="Calibri" w:hAnsi="Calibri"/>
          <w:noProof/>
        </w:rPr>
      </w:pPr>
      <w:r w:rsidRPr="00EB5E8A">
        <w:rPr>
          <w:rFonts w:ascii="Calibri" w:hAnsi="Calibri" w:cs="Times New Roman"/>
          <w:noProof/>
          <w:szCs w:val="24"/>
        </w:rPr>
        <w:t xml:space="preserve">21. </w:t>
      </w:r>
      <w:r w:rsidRPr="00EB5E8A">
        <w:rPr>
          <w:rFonts w:ascii="Calibri" w:hAnsi="Calibri" w:cs="Times New Roman"/>
          <w:noProof/>
          <w:szCs w:val="24"/>
        </w:rPr>
        <w:tab/>
        <w:t xml:space="preserve">Thunander Sundbom L, Bingefors K, Hedborg K, Isacson D. Are men under-treated and women over-treated with antidepressants? Findings from a cross-sectional survey in Sweden. </w:t>
      </w:r>
      <w:r w:rsidRPr="00EB5E8A">
        <w:rPr>
          <w:rFonts w:ascii="Calibri" w:hAnsi="Calibri" w:cs="Times New Roman"/>
          <w:i/>
          <w:iCs/>
          <w:noProof/>
          <w:szCs w:val="24"/>
        </w:rPr>
        <w:t>BJPsych Bull</w:t>
      </w:r>
      <w:r w:rsidRPr="00EB5E8A">
        <w:rPr>
          <w:rFonts w:ascii="Calibri" w:hAnsi="Calibri" w:cs="Times New Roman"/>
          <w:noProof/>
          <w:szCs w:val="24"/>
        </w:rPr>
        <w:t>. 2017;41(3):145-150. doi:10.1192/pb.bp.116.054270</w:t>
      </w:r>
    </w:p>
    <w:p w14:paraId="52F6097E" w14:textId="279237D5" w:rsidR="00192ED0" w:rsidRPr="00EB5E8A" w:rsidRDefault="00412A3D" w:rsidP="004F4136">
      <w:pPr>
        <w:spacing w:line="480" w:lineRule="auto"/>
        <w:jc w:val="both"/>
      </w:pPr>
      <w:r w:rsidRPr="00EB5E8A">
        <w:fldChar w:fldCharType="end"/>
      </w:r>
    </w:p>
    <w:p w14:paraId="2F74BBF3" w14:textId="77777777" w:rsidR="00192ED0" w:rsidRPr="00EB5E8A" w:rsidRDefault="00192ED0">
      <w:r w:rsidRPr="00EB5E8A">
        <w:br w:type="page"/>
      </w:r>
    </w:p>
    <w:p w14:paraId="7C891305" w14:textId="4D902F19" w:rsidR="00830F6D" w:rsidRPr="00EB5E8A" w:rsidRDefault="00830F6D" w:rsidP="00830F6D">
      <w:pPr>
        <w:pStyle w:val="Heading1"/>
      </w:pPr>
      <w:r w:rsidRPr="00EB5E8A">
        <w:lastRenderedPageBreak/>
        <w:t>Table 1: Baseline Characteristics of Cohort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1500"/>
        <w:gridCol w:w="1787"/>
        <w:gridCol w:w="1658"/>
      </w:tblGrid>
      <w:tr w:rsidR="00912D33" w:rsidRPr="00EB5E8A" w14:paraId="42082A2B" w14:textId="77777777" w:rsidTr="00251568">
        <w:trPr>
          <w:trHeight w:val="574"/>
          <w:jc w:val="center"/>
        </w:trPr>
        <w:tc>
          <w:tcPr>
            <w:tcW w:w="2353" w:type="dxa"/>
            <w:shd w:val="clear" w:color="auto" w:fill="DEEAF6" w:themeFill="accent1" w:themeFillTint="33"/>
            <w:hideMark/>
          </w:tcPr>
          <w:p w14:paraId="50486E02" w14:textId="66CDA12F" w:rsidR="00912D33" w:rsidRPr="00EB5E8A" w:rsidRDefault="00912D33">
            <w:pPr>
              <w:rPr>
                <w:rFonts w:asciiTheme="majorHAnsi" w:hAnsiTheme="majorHAnsi"/>
                <w:b/>
                <w:sz w:val="24"/>
              </w:rPr>
            </w:pPr>
          </w:p>
        </w:tc>
        <w:tc>
          <w:tcPr>
            <w:tcW w:w="1500" w:type="dxa"/>
            <w:shd w:val="clear" w:color="auto" w:fill="DEEAF6" w:themeFill="accent1" w:themeFillTint="33"/>
            <w:hideMark/>
          </w:tcPr>
          <w:p w14:paraId="05B135F8" w14:textId="4DFAC10C" w:rsidR="00912D33" w:rsidRPr="00EB5E8A" w:rsidRDefault="00912D33">
            <w:pPr>
              <w:jc w:val="right"/>
              <w:rPr>
                <w:rFonts w:asciiTheme="majorHAnsi" w:hAnsiTheme="majorHAnsi"/>
                <w:b/>
                <w:sz w:val="20"/>
                <w:szCs w:val="18"/>
              </w:rPr>
            </w:pPr>
            <w:r w:rsidRPr="00EB5E8A">
              <w:rPr>
                <w:rFonts w:asciiTheme="majorHAnsi" w:hAnsiTheme="majorHAnsi"/>
                <w:b/>
                <w:sz w:val="20"/>
                <w:szCs w:val="18"/>
              </w:rPr>
              <w:t>No Stoma</w:t>
            </w:r>
          </w:p>
        </w:tc>
        <w:tc>
          <w:tcPr>
            <w:tcW w:w="1787" w:type="dxa"/>
            <w:shd w:val="clear" w:color="auto" w:fill="DEEAF6" w:themeFill="accent1" w:themeFillTint="33"/>
            <w:hideMark/>
          </w:tcPr>
          <w:p w14:paraId="14B6ED7F" w14:textId="77777777" w:rsidR="00912D33" w:rsidRPr="00EB5E8A" w:rsidRDefault="00912D33" w:rsidP="00830F6D">
            <w:pPr>
              <w:jc w:val="right"/>
              <w:rPr>
                <w:rFonts w:asciiTheme="majorHAnsi" w:hAnsiTheme="majorHAnsi"/>
                <w:b/>
                <w:sz w:val="20"/>
                <w:szCs w:val="18"/>
              </w:rPr>
            </w:pPr>
            <w:r w:rsidRPr="00EB5E8A">
              <w:rPr>
                <w:rFonts w:asciiTheme="majorHAnsi" w:hAnsiTheme="majorHAnsi"/>
                <w:b/>
                <w:sz w:val="20"/>
                <w:szCs w:val="18"/>
              </w:rPr>
              <w:t>Temporary</w:t>
            </w:r>
          </w:p>
          <w:p w14:paraId="7A702C81" w14:textId="48C1E313" w:rsidR="00912D33" w:rsidRPr="00EB5E8A" w:rsidRDefault="00912D33" w:rsidP="00830F6D">
            <w:pPr>
              <w:jc w:val="right"/>
              <w:rPr>
                <w:rFonts w:asciiTheme="majorHAnsi" w:hAnsiTheme="majorHAnsi"/>
                <w:b/>
                <w:sz w:val="20"/>
                <w:szCs w:val="18"/>
              </w:rPr>
            </w:pPr>
            <w:r w:rsidRPr="00EB5E8A">
              <w:rPr>
                <w:rFonts w:asciiTheme="majorHAnsi" w:hAnsiTheme="majorHAnsi"/>
                <w:b/>
                <w:sz w:val="20"/>
                <w:szCs w:val="18"/>
              </w:rPr>
              <w:t xml:space="preserve"> Stoma</w:t>
            </w:r>
          </w:p>
        </w:tc>
        <w:tc>
          <w:tcPr>
            <w:tcW w:w="1658" w:type="dxa"/>
            <w:shd w:val="clear" w:color="auto" w:fill="DEEAF6" w:themeFill="accent1" w:themeFillTint="33"/>
            <w:hideMark/>
          </w:tcPr>
          <w:p w14:paraId="3C6840A8" w14:textId="583F12CC" w:rsidR="00912D33" w:rsidRPr="00EB5E8A" w:rsidRDefault="00912D33">
            <w:pPr>
              <w:jc w:val="right"/>
              <w:rPr>
                <w:rFonts w:asciiTheme="majorHAnsi" w:hAnsiTheme="majorHAnsi"/>
                <w:b/>
                <w:sz w:val="20"/>
                <w:szCs w:val="18"/>
              </w:rPr>
            </w:pPr>
            <w:r w:rsidRPr="00EB5E8A">
              <w:rPr>
                <w:rFonts w:asciiTheme="majorHAnsi" w:hAnsiTheme="majorHAnsi"/>
                <w:b/>
                <w:sz w:val="20"/>
                <w:szCs w:val="18"/>
              </w:rPr>
              <w:t>Permanent Stoma</w:t>
            </w:r>
          </w:p>
        </w:tc>
      </w:tr>
      <w:tr w:rsidR="00912D33" w:rsidRPr="00EB5E8A" w14:paraId="58344E9A" w14:textId="77777777" w:rsidTr="00776270">
        <w:trPr>
          <w:trHeight w:val="150"/>
          <w:jc w:val="center"/>
        </w:trPr>
        <w:tc>
          <w:tcPr>
            <w:tcW w:w="2353" w:type="dxa"/>
            <w:shd w:val="clear" w:color="auto" w:fill="DEEAF6" w:themeFill="accent1" w:themeFillTint="33"/>
            <w:hideMark/>
          </w:tcPr>
          <w:p w14:paraId="4E467C87" w14:textId="77777777" w:rsidR="00912D33" w:rsidRPr="00EB5E8A" w:rsidRDefault="00912D33">
            <w:pPr>
              <w:rPr>
                <w:rFonts w:asciiTheme="majorHAnsi" w:hAnsiTheme="majorHAnsi"/>
                <w:b/>
                <w:sz w:val="20"/>
              </w:rPr>
            </w:pPr>
            <w:r w:rsidRPr="00EB5E8A">
              <w:rPr>
                <w:rFonts w:asciiTheme="majorHAnsi" w:hAnsiTheme="majorHAnsi"/>
                <w:b/>
                <w:sz w:val="20"/>
              </w:rPr>
              <w:t>n=</w:t>
            </w:r>
          </w:p>
        </w:tc>
        <w:tc>
          <w:tcPr>
            <w:tcW w:w="1500" w:type="dxa"/>
            <w:shd w:val="clear" w:color="auto" w:fill="DEEAF6" w:themeFill="accent1" w:themeFillTint="33"/>
            <w:hideMark/>
          </w:tcPr>
          <w:p w14:paraId="012416C5" w14:textId="3F3C5131" w:rsidR="00912D33" w:rsidRPr="00EB5E8A" w:rsidRDefault="00CD5114">
            <w:pPr>
              <w:jc w:val="right"/>
              <w:rPr>
                <w:rFonts w:asciiTheme="majorHAnsi" w:hAnsiTheme="majorHAnsi"/>
                <w:b/>
                <w:sz w:val="20"/>
                <w:szCs w:val="18"/>
              </w:rPr>
            </w:pPr>
            <w:r w:rsidRPr="00EB5E8A">
              <w:rPr>
                <w:rFonts w:asciiTheme="majorHAnsi" w:hAnsiTheme="majorHAnsi"/>
                <w:b/>
                <w:sz w:val="20"/>
                <w:szCs w:val="18"/>
              </w:rPr>
              <w:t>871</w:t>
            </w:r>
          </w:p>
        </w:tc>
        <w:tc>
          <w:tcPr>
            <w:tcW w:w="1787" w:type="dxa"/>
            <w:shd w:val="clear" w:color="auto" w:fill="DEEAF6" w:themeFill="accent1" w:themeFillTint="33"/>
            <w:hideMark/>
          </w:tcPr>
          <w:p w14:paraId="608A413B" w14:textId="05BF874D" w:rsidR="00912D33" w:rsidRPr="00EB5E8A" w:rsidRDefault="00912D33">
            <w:pPr>
              <w:jc w:val="right"/>
              <w:rPr>
                <w:rFonts w:asciiTheme="majorHAnsi" w:hAnsiTheme="majorHAnsi"/>
                <w:b/>
                <w:sz w:val="20"/>
                <w:szCs w:val="18"/>
              </w:rPr>
            </w:pPr>
            <w:r w:rsidRPr="00EB5E8A">
              <w:rPr>
                <w:rFonts w:asciiTheme="majorHAnsi" w:hAnsiTheme="majorHAnsi"/>
                <w:b/>
                <w:sz w:val="20"/>
                <w:szCs w:val="18"/>
              </w:rPr>
              <w:t>191</w:t>
            </w:r>
          </w:p>
        </w:tc>
        <w:tc>
          <w:tcPr>
            <w:tcW w:w="1658" w:type="dxa"/>
            <w:shd w:val="clear" w:color="auto" w:fill="DEEAF6" w:themeFill="accent1" w:themeFillTint="33"/>
            <w:hideMark/>
          </w:tcPr>
          <w:p w14:paraId="32F56115" w14:textId="06F43226" w:rsidR="00912D33" w:rsidRPr="00EB5E8A" w:rsidRDefault="00912D33">
            <w:pPr>
              <w:jc w:val="right"/>
              <w:rPr>
                <w:rFonts w:asciiTheme="majorHAnsi" w:hAnsiTheme="majorHAnsi"/>
                <w:b/>
                <w:sz w:val="20"/>
                <w:szCs w:val="18"/>
              </w:rPr>
            </w:pPr>
            <w:r w:rsidRPr="00EB5E8A">
              <w:rPr>
                <w:rFonts w:asciiTheme="majorHAnsi" w:hAnsiTheme="majorHAnsi"/>
                <w:b/>
                <w:sz w:val="20"/>
                <w:szCs w:val="18"/>
              </w:rPr>
              <w:t>210</w:t>
            </w:r>
          </w:p>
        </w:tc>
      </w:tr>
      <w:tr w:rsidR="00912D33" w:rsidRPr="00EB5E8A" w14:paraId="6425B6F0" w14:textId="77777777" w:rsidTr="00776270">
        <w:trPr>
          <w:trHeight w:val="282"/>
          <w:jc w:val="center"/>
        </w:trPr>
        <w:tc>
          <w:tcPr>
            <w:tcW w:w="2353" w:type="dxa"/>
            <w:hideMark/>
          </w:tcPr>
          <w:p w14:paraId="69B85F22" w14:textId="77777777" w:rsidR="00912D33" w:rsidRPr="00EB5E8A" w:rsidRDefault="00912D33">
            <w:pPr>
              <w:rPr>
                <w:rFonts w:asciiTheme="majorHAnsi" w:hAnsiTheme="majorHAnsi"/>
                <w:sz w:val="24"/>
              </w:rPr>
            </w:pPr>
            <w:r w:rsidRPr="00EB5E8A">
              <w:rPr>
                <w:rFonts w:asciiTheme="majorHAnsi" w:hAnsiTheme="majorHAnsi"/>
                <w:color w:val="2E74B5" w:themeColor="accent1" w:themeShade="BF"/>
                <w:sz w:val="24"/>
              </w:rPr>
              <w:t>Demographics</w:t>
            </w:r>
          </w:p>
        </w:tc>
        <w:tc>
          <w:tcPr>
            <w:tcW w:w="1500" w:type="dxa"/>
          </w:tcPr>
          <w:p w14:paraId="6126787C" w14:textId="77777777" w:rsidR="00912D33" w:rsidRPr="00EB5E8A" w:rsidRDefault="00912D33">
            <w:pPr>
              <w:jc w:val="center"/>
              <w:rPr>
                <w:rFonts w:asciiTheme="majorHAnsi" w:hAnsiTheme="majorHAnsi"/>
                <w:b/>
                <w:sz w:val="20"/>
                <w:szCs w:val="18"/>
              </w:rPr>
            </w:pPr>
          </w:p>
        </w:tc>
        <w:tc>
          <w:tcPr>
            <w:tcW w:w="1787" w:type="dxa"/>
          </w:tcPr>
          <w:p w14:paraId="1BE924C9" w14:textId="77777777" w:rsidR="00912D33" w:rsidRPr="00EB5E8A" w:rsidRDefault="00912D33">
            <w:pPr>
              <w:jc w:val="center"/>
              <w:rPr>
                <w:rFonts w:asciiTheme="majorHAnsi" w:hAnsiTheme="majorHAnsi"/>
                <w:b/>
                <w:sz w:val="20"/>
                <w:szCs w:val="18"/>
              </w:rPr>
            </w:pPr>
          </w:p>
        </w:tc>
        <w:tc>
          <w:tcPr>
            <w:tcW w:w="1658" w:type="dxa"/>
          </w:tcPr>
          <w:p w14:paraId="5A34F089" w14:textId="77777777" w:rsidR="00912D33" w:rsidRPr="00EB5E8A" w:rsidRDefault="00912D33">
            <w:pPr>
              <w:jc w:val="center"/>
              <w:rPr>
                <w:rFonts w:asciiTheme="majorHAnsi" w:hAnsiTheme="majorHAnsi"/>
                <w:b/>
                <w:sz w:val="20"/>
                <w:szCs w:val="18"/>
              </w:rPr>
            </w:pPr>
          </w:p>
        </w:tc>
      </w:tr>
      <w:tr w:rsidR="00912D33" w:rsidRPr="00EB5E8A" w14:paraId="10621B1D" w14:textId="77777777" w:rsidTr="00776270">
        <w:trPr>
          <w:trHeight w:val="438"/>
          <w:jc w:val="center"/>
        </w:trPr>
        <w:tc>
          <w:tcPr>
            <w:tcW w:w="2353" w:type="dxa"/>
          </w:tcPr>
          <w:p w14:paraId="0873A20C" w14:textId="41154EA7" w:rsidR="00912D33" w:rsidRPr="00EB5E8A" w:rsidRDefault="00912D33">
            <w:pPr>
              <w:rPr>
                <w:b/>
                <w:sz w:val="20"/>
                <w:szCs w:val="20"/>
              </w:rPr>
            </w:pPr>
            <w:r w:rsidRPr="00EB5E8A">
              <w:rPr>
                <w:b/>
                <w:sz w:val="20"/>
                <w:szCs w:val="20"/>
              </w:rPr>
              <w:t>Male (%)</w:t>
            </w:r>
          </w:p>
        </w:tc>
        <w:tc>
          <w:tcPr>
            <w:tcW w:w="1500" w:type="dxa"/>
          </w:tcPr>
          <w:p w14:paraId="741CCA84" w14:textId="69773FCC" w:rsidR="00912D33" w:rsidRPr="00EB5E8A" w:rsidRDefault="00912D33" w:rsidP="00776270">
            <w:pPr>
              <w:jc w:val="right"/>
              <w:rPr>
                <w:sz w:val="20"/>
                <w:szCs w:val="20"/>
              </w:rPr>
            </w:pPr>
            <w:r w:rsidRPr="00EB5E8A">
              <w:rPr>
                <w:sz w:val="20"/>
                <w:szCs w:val="20"/>
              </w:rPr>
              <w:t>393 (45)</w:t>
            </w:r>
          </w:p>
        </w:tc>
        <w:tc>
          <w:tcPr>
            <w:tcW w:w="1787" w:type="dxa"/>
            <w:hideMark/>
          </w:tcPr>
          <w:p w14:paraId="0F922B35" w14:textId="0C1C7C9E" w:rsidR="00912D33" w:rsidRPr="00EB5E8A" w:rsidRDefault="00094FA1">
            <w:pPr>
              <w:jc w:val="right"/>
              <w:rPr>
                <w:sz w:val="20"/>
                <w:szCs w:val="20"/>
              </w:rPr>
            </w:pPr>
            <w:r w:rsidRPr="00EB5E8A">
              <w:rPr>
                <w:sz w:val="20"/>
                <w:szCs w:val="20"/>
              </w:rPr>
              <w:t>92 (48</w:t>
            </w:r>
            <w:r w:rsidR="00912D33" w:rsidRPr="00EB5E8A">
              <w:rPr>
                <w:sz w:val="20"/>
                <w:szCs w:val="20"/>
              </w:rPr>
              <w:t>)</w:t>
            </w:r>
          </w:p>
        </w:tc>
        <w:tc>
          <w:tcPr>
            <w:tcW w:w="1658" w:type="dxa"/>
            <w:hideMark/>
          </w:tcPr>
          <w:p w14:paraId="75905077" w14:textId="0E612428" w:rsidR="00912D33" w:rsidRPr="00EB5E8A" w:rsidRDefault="00094FA1">
            <w:pPr>
              <w:jc w:val="right"/>
              <w:rPr>
                <w:sz w:val="20"/>
                <w:szCs w:val="20"/>
              </w:rPr>
            </w:pPr>
            <w:r w:rsidRPr="00EB5E8A">
              <w:rPr>
                <w:sz w:val="20"/>
                <w:szCs w:val="20"/>
              </w:rPr>
              <w:t>120 (57</w:t>
            </w:r>
            <w:r w:rsidR="00912D33" w:rsidRPr="00EB5E8A">
              <w:rPr>
                <w:sz w:val="20"/>
                <w:szCs w:val="20"/>
              </w:rPr>
              <w:t>)</w:t>
            </w:r>
          </w:p>
        </w:tc>
      </w:tr>
      <w:tr w:rsidR="00912D33" w:rsidRPr="00EB5E8A" w14:paraId="660537CD" w14:textId="77777777" w:rsidTr="00776270">
        <w:trPr>
          <w:trHeight w:val="1281"/>
          <w:jc w:val="center"/>
        </w:trPr>
        <w:tc>
          <w:tcPr>
            <w:tcW w:w="2353" w:type="dxa"/>
            <w:hideMark/>
          </w:tcPr>
          <w:p w14:paraId="1EB6E8BA" w14:textId="0F5528EC" w:rsidR="00912D33" w:rsidRPr="00EB5E8A" w:rsidRDefault="00912D33">
            <w:pPr>
              <w:spacing w:line="276" w:lineRule="auto"/>
              <w:rPr>
                <w:sz w:val="20"/>
                <w:szCs w:val="20"/>
              </w:rPr>
            </w:pPr>
            <w:r w:rsidRPr="00EB5E8A">
              <w:rPr>
                <w:b/>
                <w:sz w:val="20"/>
                <w:szCs w:val="20"/>
              </w:rPr>
              <w:t>Age at diagnosis (%)</w:t>
            </w:r>
            <w:r w:rsidRPr="00EB5E8A">
              <w:rPr>
                <w:sz w:val="20"/>
                <w:szCs w:val="20"/>
              </w:rPr>
              <w:br/>
              <w:t>&lt;20</w:t>
            </w:r>
            <w:r w:rsidRPr="00EB5E8A">
              <w:rPr>
                <w:sz w:val="20"/>
                <w:szCs w:val="20"/>
              </w:rPr>
              <w:br/>
              <w:t>20-39</w:t>
            </w:r>
            <w:r w:rsidRPr="00EB5E8A">
              <w:rPr>
                <w:sz w:val="20"/>
                <w:szCs w:val="20"/>
              </w:rPr>
              <w:br/>
              <w:t>&gt;39</w:t>
            </w:r>
          </w:p>
        </w:tc>
        <w:tc>
          <w:tcPr>
            <w:tcW w:w="1500" w:type="dxa"/>
            <w:hideMark/>
          </w:tcPr>
          <w:p w14:paraId="2F0AF05A" w14:textId="77777777" w:rsidR="00912D33" w:rsidRPr="00EB5E8A" w:rsidRDefault="00912D33">
            <w:pPr>
              <w:spacing w:line="276" w:lineRule="auto"/>
              <w:jc w:val="right"/>
              <w:rPr>
                <w:sz w:val="20"/>
                <w:szCs w:val="20"/>
              </w:rPr>
            </w:pPr>
          </w:p>
          <w:p w14:paraId="6A0ADC18" w14:textId="0DC18D10" w:rsidR="00912D33" w:rsidRPr="00EB5E8A" w:rsidRDefault="00912D33" w:rsidP="00CD5114">
            <w:pPr>
              <w:spacing w:line="276" w:lineRule="auto"/>
              <w:jc w:val="right"/>
              <w:rPr>
                <w:sz w:val="20"/>
                <w:szCs w:val="20"/>
              </w:rPr>
            </w:pPr>
            <w:r w:rsidRPr="00EB5E8A">
              <w:rPr>
                <w:sz w:val="20"/>
                <w:szCs w:val="20"/>
              </w:rPr>
              <w:t>59    (7)</w:t>
            </w:r>
            <w:r w:rsidRPr="00EB5E8A">
              <w:rPr>
                <w:sz w:val="20"/>
                <w:szCs w:val="20"/>
              </w:rPr>
              <w:br/>
              <w:t>40</w:t>
            </w:r>
            <w:r w:rsidR="00CD5114" w:rsidRPr="00EB5E8A">
              <w:rPr>
                <w:sz w:val="20"/>
                <w:szCs w:val="20"/>
              </w:rPr>
              <w:t>8</w:t>
            </w:r>
            <w:r w:rsidRPr="00EB5E8A">
              <w:rPr>
                <w:sz w:val="20"/>
                <w:szCs w:val="20"/>
              </w:rPr>
              <w:t xml:space="preserve"> (47)</w:t>
            </w:r>
            <w:r w:rsidRPr="00EB5E8A">
              <w:rPr>
                <w:sz w:val="20"/>
                <w:szCs w:val="20"/>
              </w:rPr>
              <w:br/>
              <w:t>404 (46)</w:t>
            </w:r>
          </w:p>
        </w:tc>
        <w:tc>
          <w:tcPr>
            <w:tcW w:w="1787" w:type="dxa"/>
            <w:hideMark/>
          </w:tcPr>
          <w:p w14:paraId="51B381F7" w14:textId="77777777" w:rsidR="00912D33" w:rsidRPr="00EB5E8A" w:rsidRDefault="00912D33" w:rsidP="00830F6D">
            <w:pPr>
              <w:spacing w:line="276" w:lineRule="auto"/>
              <w:jc w:val="right"/>
              <w:rPr>
                <w:sz w:val="20"/>
                <w:szCs w:val="20"/>
              </w:rPr>
            </w:pPr>
          </w:p>
          <w:p w14:paraId="3DAA6B39" w14:textId="7C1A01F4" w:rsidR="00912D33" w:rsidRPr="00EB5E8A" w:rsidRDefault="00912D33" w:rsidP="00830F6D">
            <w:pPr>
              <w:spacing w:line="276" w:lineRule="auto"/>
              <w:jc w:val="right"/>
              <w:rPr>
                <w:sz w:val="20"/>
                <w:szCs w:val="20"/>
              </w:rPr>
            </w:pPr>
            <w:r w:rsidRPr="00EB5E8A">
              <w:rPr>
                <w:sz w:val="20"/>
                <w:szCs w:val="20"/>
              </w:rPr>
              <w:t>10   (5)</w:t>
            </w:r>
            <w:r w:rsidRPr="00EB5E8A">
              <w:rPr>
                <w:sz w:val="20"/>
                <w:szCs w:val="20"/>
              </w:rPr>
              <w:br/>
              <w:t>90 (47)</w:t>
            </w:r>
            <w:r w:rsidRPr="00EB5E8A">
              <w:rPr>
                <w:sz w:val="20"/>
                <w:szCs w:val="20"/>
              </w:rPr>
              <w:br/>
              <w:t>91 (48)</w:t>
            </w:r>
          </w:p>
        </w:tc>
        <w:tc>
          <w:tcPr>
            <w:tcW w:w="1658" w:type="dxa"/>
            <w:hideMark/>
          </w:tcPr>
          <w:p w14:paraId="6E8DAF54" w14:textId="77777777" w:rsidR="00912D33" w:rsidRPr="00EB5E8A" w:rsidRDefault="00912D33">
            <w:pPr>
              <w:spacing w:line="276" w:lineRule="auto"/>
              <w:jc w:val="right"/>
              <w:rPr>
                <w:sz w:val="20"/>
                <w:szCs w:val="20"/>
              </w:rPr>
            </w:pPr>
          </w:p>
          <w:p w14:paraId="4DE02FC4" w14:textId="4772E981" w:rsidR="00912D33" w:rsidRPr="00EB5E8A" w:rsidRDefault="00912D33">
            <w:pPr>
              <w:spacing w:line="276" w:lineRule="auto"/>
              <w:jc w:val="right"/>
              <w:rPr>
                <w:sz w:val="20"/>
                <w:szCs w:val="20"/>
              </w:rPr>
            </w:pPr>
            <w:r w:rsidRPr="00EB5E8A">
              <w:rPr>
                <w:sz w:val="20"/>
                <w:szCs w:val="20"/>
              </w:rPr>
              <w:t>17   (8)</w:t>
            </w:r>
            <w:r w:rsidRPr="00EB5E8A">
              <w:rPr>
                <w:sz w:val="20"/>
                <w:szCs w:val="20"/>
              </w:rPr>
              <w:br/>
              <w:t>64 (30)</w:t>
            </w:r>
            <w:r w:rsidRPr="00EB5E8A">
              <w:rPr>
                <w:sz w:val="20"/>
                <w:szCs w:val="20"/>
              </w:rPr>
              <w:br/>
              <w:t>129 (61)</w:t>
            </w:r>
          </w:p>
        </w:tc>
      </w:tr>
      <w:tr w:rsidR="00912D33" w:rsidRPr="00EB5E8A" w14:paraId="73DCB3FA" w14:textId="77777777" w:rsidTr="00776270">
        <w:trPr>
          <w:trHeight w:val="1303"/>
          <w:jc w:val="center"/>
        </w:trPr>
        <w:tc>
          <w:tcPr>
            <w:tcW w:w="2353" w:type="dxa"/>
            <w:hideMark/>
          </w:tcPr>
          <w:p w14:paraId="713AAE94" w14:textId="77777777" w:rsidR="00912D33" w:rsidRPr="00EB5E8A" w:rsidRDefault="00912D33">
            <w:pPr>
              <w:spacing w:line="276" w:lineRule="auto"/>
              <w:rPr>
                <w:b/>
                <w:sz w:val="20"/>
                <w:szCs w:val="20"/>
              </w:rPr>
            </w:pPr>
            <w:r w:rsidRPr="00EB5E8A">
              <w:rPr>
                <w:b/>
                <w:sz w:val="20"/>
                <w:szCs w:val="20"/>
              </w:rPr>
              <w:t>Social deprivation (%)</w:t>
            </w:r>
          </w:p>
          <w:p w14:paraId="73484E50" w14:textId="3537139D" w:rsidR="00912D33" w:rsidRPr="00EB5E8A" w:rsidRDefault="00912D33">
            <w:pPr>
              <w:spacing w:line="276" w:lineRule="auto"/>
              <w:rPr>
                <w:sz w:val="20"/>
                <w:szCs w:val="20"/>
              </w:rPr>
            </w:pPr>
            <w:r w:rsidRPr="00EB5E8A">
              <w:rPr>
                <w:sz w:val="20"/>
                <w:szCs w:val="20"/>
              </w:rPr>
              <w:t>IMD 1-3</w:t>
            </w:r>
            <w:r w:rsidRPr="00EB5E8A">
              <w:rPr>
                <w:sz w:val="20"/>
                <w:szCs w:val="20"/>
              </w:rPr>
              <w:br/>
              <w:t>IMD 4-5</w:t>
            </w:r>
            <w:r w:rsidRPr="00EB5E8A">
              <w:rPr>
                <w:sz w:val="20"/>
                <w:szCs w:val="20"/>
              </w:rPr>
              <w:br/>
              <w:t>Unknown</w:t>
            </w:r>
          </w:p>
        </w:tc>
        <w:tc>
          <w:tcPr>
            <w:tcW w:w="1500" w:type="dxa"/>
          </w:tcPr>
          <w:p w14:paraId="7B854482" w14:textId="77777777" w:rsidR="00912D33" w:rsidRPr="00EB5E8A" w:rsidRDefault="00912D33">
            <w:pPr>
              <w:spacing w:line="276" w:lineRule="auto"/>
              <w:jc w:val="right"/>
              <w:rPr>
                <w:sz w:val="20"/>
                <w:szCs w:val="20"/>
              </w:rPr>
            </w:pPr>
          </w:p>
          <w:p w14:paraId="42A219A0" w14:textId="152F11F8" w:rsidR="00912D33" w:rsidRPr="00EB5E8A" w:rsidRDefault="00CD5114">
            <w:pPr>
              <w:spacing w:line="276" w:lineRule="auto"/>
              <w:jc w:val="right"/>
              <w:rPr>
                <w:sz w:val="20"/>
                <w:szCs w:val="20"/>
              </w:rPr>
            </w:pPr>
            <w:r w:rsidRPr="00EB5E8A">
              <w:rPr>
                <w:sz w:val="20"/>
                <w:szCs w:val="20"/>
              </w:rPr>
              <w:t>388</w:t>
            </w:r>
            <w:r w:rsidR="00912D33" w:rsidRPr="00EB5E8A">
              <w:rPr>
                <w:sz w:val="20"/>
                <w:szCs w:val="20"/>
              </w:rPr>
              <w:t xml:space="preserve"> (45)</w:t>
            </w:r>
          </w:p>
          <w:p w14:paraId="06DC9812" w14:textId="77777777" w:rsidR="00912D33" w:rsidRPr="00EB5E8A" w:rsidRDefault="00912D33" w:rsidP="00504CAE">
            <w:pPr>
              <w:spacing w:line="276" w:lineRule="auto"/>
              <w:jc w:val="right"/>
              <w:rPr>
                <w:sz w:val="20"/>
                <w:szCs w:val="20"/>
              </w:rPr>
            </w:pPr>
            <w:r w:rsidRPr="00EB5E8A">
              <w:rPr>
                <w:sz w:val="20"/>
                <w:szCs w:val="20"/>
              </w:rPr>
              <w:t>230 (26)</w:t>
            </w:r>
          </w:p>
          <w:p w14:paraId="3C095802" w14:textId="600F72CE" w:rsidR="00912D33" w:rsidRPr="00EB5E8A" w:rsidRDefault="00912D33" w:rsidP="00504CAE">
            <w:pPr>
              <w:spacing w:line="276" w:lineRule="auto"/>
              <w:jc w:val="right"/>
              <w:rPr>
                <w:sz w:val="20"/>
                <w:szCs w:val="20"/>
              </w:rPr>
            </w:pPr>
            <w:r w:rsidRPr="00EB5E8A">
              <w:rPr>
                <w:sz w:val="20"/>
                <w:szCs w:val="20"/>
              </w:rPr>
              <w:t>253 (23)</w:t>
            </w:r>
          </w:p>
        </w:tc>
        <w:tc>
          <w:tcPr>
            <w:tcW w:w="1787" w:type="dxa"/>
          </w:tcPr>
          <w:p w14:paraId="4BB4316F" w14:textId="77777777" w:rsidR="00912D33" w:rsidRPr="00EB5E8A" w:rsidRDefault="00912D33">
            <w:pPr>
              <w:spacing w:line="276" w:lineRule="auto"/>
              <w:jc w:val="right"/>
              <w:rPr>
                <w:sz w:val="20"/>
                <w:szCs w:val="20"/>
              </w:rPr>
            </w:pPr>
          </w:p>
          <w:p w14:paraId="71DE97BB" w14:textId="77777777" w:rsidR="00912D33" w:rsidRPr="00EB5E8A" w:rsidRDefault="00912D33" w:rsidP="00504CAE">
            <w:pPr>
              <w:spacing w:line="276" w:lineRule="auto"/>
              <w:jc w:val="right"/>
              <w:rPr>
                <w:sz w:val="20"/>
                <w:szCs w:val="20"/>
              </w:rPr>
            </w:pPr>
            <w:r w:rsidRPr="00EB5E8A">
              <w:rPr>
                <w:sz w:val="20"/>
                <w:szCs w:val="20"/>
              </w:rPr>
              <w:t>71 (37)</w:t>
            </w:r>
          </w:p>
          <w:p w14:paraId="483E2123" w14:textId="77777777" w:rsidR="00912D33" w:rsidRPr="00EB5E8A" w:rsidRDefault="00912D33" w:rsidP="00504CAE">
            <w:pPr>
              <w:spacing w:line="276" w:lineRule="auto"/>
              <w:jc w:val="right"/>
              <w:rPr>
                <w:sz w:val="20"/>
                <w:szCs w:val="20"/>
              </w:rPr>
            </w:pPr>
            <w:r w:rsidRPr="00EB5E8A">
              <w:rPr>
                <w:sz w:val="20"/>
                <w:szCs w:val="20"/>
              </w:rPr>
              <w:t>48 (20)</w:t>
            </w:r>
          </w:p>
          <w:p w14:paraId="12F29CD3" w14:textId="3B536817" w:rsidR="00912D33" w:rsidRPr="00EB5E8A" w:rsidRDefault="00912D33" w:rsidP="00504CAE">
            <w:pPr>
              <w:spacing w:line="276" w:lineRule="auto"/>
              <w:jc w:val="right"/>
              <w:rPr>
                <w:sz w:val="20"/>
                <w:szCs w:val="20"/>
              </w:rPr>
            </w:pPr>
            <w:r w:rsidRPr="00EB5E8A">
              <w:rPr>
                <w:sz w:val="20"/>
                <w:szCs w:val="20"/>
              </w:rPr>
              <w:t>72 (38)</w:t>
            </w:r>
          </w:p>
        </w:tc>
        <w:tc>
          <w:tcPr>
            <w:tcW w:w="1658" w:type="dxa"/>
          </w:tcPr>
          <w:p w14:paraId="09CD1985" w14:textId="77777777" w:rsidR="00912D33" w:rsidRPr="00EB5E8A" w:rsidRDefault="00912D33">
            <w:pPr>
              <w:spacing w:line="276" w:lineRule="auto"/>
              <w:jc w:val="right"/>
              <w:rPr>
                <w:sz w:val="20"/>
                <w:szCs w:val="20"/>
              </w:rPr>
            </w:pPr>
          </w:p>
          <w:p w14:paraId="1C58AAA8" w14:textId="77777777" w:rsidR="00912D33" w:rsidRPr="00EB5E8A" w:rsidRDefault="00912D33">
            <w:pPr>
              <w:spacing w:line="276" w:lineRule="auto"/>
              <w:jc w:val="right"/>
              <w:rPr>
                <w:sz w:val="20"/>
                <w:szCs w:val="20"/>
              </w:rPr>
            </w:pPr>
            <w:r w:rsidRPr="00EB5E8A">
              <w:rPr>
                <w:sz w:val="20"/>
                <w:szCs w:val="20"/>
              </w:rPr>
              <w:t>64 (30)</w:t>
            </w:r>
          </w:p>
          <w:p w14:paraId="49BDA4B7" w14:textId="77777777" w:rsidR="00912D33" w:rsidRPr="00EB5E8A" w:rsidRDefault="00912D33">
            <w:pPr>
              <w:spacing w:line="276" w:lineRule="auto"/>
              <w:jc w:val="right"/>
              <w:rPr>
                <w:sz w:val="20"/>
                <w:szCs w:val="20"/>
              </w:rPr>
            </w:pPr>
            <w:r w:rsidRPr="00EB5E8A">
              <w:rPr>
                <w:sz w:val="20"/>
                <w:szCs w:val="20"/>
              </w:rPr>
              <w:t>43 (20)</w:t>
            </w:r>
          </w:p>
          <w:p w14:paraId="73F6BC01" w14:textId="5D57390C" w:rsidR="00912D33" w:rsidRPr="00EB5E8A" w:rsidRDefault="00912D33">
            <w:pPr>
              <w:spacing w:line="276" w:lineRule="auto"/>
              <w:jc w:val="right"/>
              <w:rPr>
                <w:sz w:val="20"/>
                <w:szCs w:val="20"/>
              </w:rPr>
            </w:pPr>
            <w:r w:rsidRPr="00EB5E8A">
              <w:rPr>
                <w:sz w:val="20"/>
                <w:szCs w:val="20"/>
              </w:rPr>
              <w:t>103 (49)</w:t>
            </w:r>
          </w:p>
        </w:tc>
      </w:tr>
      <w:tr w:rsidR="00912D33" w:rsidRPr="00EB5E8A" w14:paraId="3D96993C" w14:textId="77777777" w:rsidTr="00776270">
        <w:trPr>
          <w:trHeight w:val="1247"/>
          <w:jc w:val="center"/>
        </w:trPr>
        <w:tc>
          <w:tcPr>
            <w:tcW w:w="2353" w:type="dxa"/>
          </w:tcPr>
          <w:p w14:paraId="5581697D" w14:textId="2B75814D" w:rsidR="00912D33" w:rsidRPr="00EB5E8A" w:rsidRDefault="00912D33">
            <w:pPr>
              <w:spacing w:line="276" w:lineRule="auto"/>
              <w:rPr>
                <w:b/>
                <w:sz w:val="20"/>
                <w:szCs w:val="20"/>
              </w:rPr>
            </w:pPr>
            <w:r w:rsidRPr="00EB5E8A">
              <w:rPr>
                <w:b/>
                <w:sz w:val="20"/>
                <w:szCs w:val="20"/>
              </w:rPr>
              <w:t>Smoking status (%)</w:t>
            </w:r>
          </w:p>
          <w:p w14:paraId="16767438" w14:textId="77777777" w:rsidR="00912D33" w:rsidRPr="00EB5E8A" w:rsidRDefault="00912D33">
            <w:pPr>
              <w:spacing w:line="276" w:lineRule="auto"/>
              <w:rPr>
                <w:sz w:val="20"/>
                <w:szCs w:val="20"/>
              </w:rPr>
            </w:pPr>
            <w:r w:rsidRPr="00EB5E8A">
              <w:rPr>
                <w:sz w:val="20"/>
                <w:szCs w:val="20"/>
              </w:rPr>
              <w:t>Never-Smoker</w:t>
            </w:r>
          </w:p>
          <w:p w14:paraId="59554DA7" w14:textId="77777777" w:rsidR="00912D33" w:rsidRPr="00EB5E8A" w:rsidRDefault="00912D33">
            <w:pPr>
              <w:spacing w:line="276" w:lineRule="auto"/>
              <w:rPr>
                <w:sz w:val="20"/>
                <w:szCs w:val="20"/>
              </w:rPr>
            </w:pPr>
            <w:r w:rsidRPr="00EB5E8A">
              <w:rPr>
                <w:sz w:val="20"/>
                <w:szCs w:val="20"/>
              </w:rPr>
              <w:t>Ex-Smoker</w:t>
            </w:r>
          </w:p>
          <w:p w14:paraId="161B2A0A" w14:textId="280F00BC" w:rsidR="00912D33" w:rsidRPr="00EB5E8A" w:rsidRDefault="00912D33">
            <w:pPr>
              <w:spacing w:line="276" w:lineRule="auto"/>
              <w:rPr>
                <w:sz w:val="20"/>
                <w:szCs w:val="20"/>
              </w:rPr>
            </w:pPr>
            <w:r w:rsidRPr="00EB5E8A">
              <w:rPr>
                <w:sz w:val="20"/>
                <w:szCs w:val="20"/>
              </w:rPr>
              <w:t>Smoker</w:t>
            </w:r>
          </w:p>
        </w:tc>
        <w:tc>
          <w:tcPr>
            <w:tcW w:w="1500" w:type="dxa"/>
          </w:tcPr>
          <w:p w14:paraId="629C06F5" w14:textId="77777777" w:rsidR="00912D33" w:rsidRPr="00EB5E8A" w:rsidRDefault="00912D33">
            <w:pPr>
              <w:spacing w:line="276" w:lineRule="auto"/>
              <w:jc w:val="right"/>
              <w:rPr>
                <w:sz w:val="20"/>
                <w:szCs w:val="20"/>
              </w:rPr>
            </w:pPr>
          </w:p>
          <w:p w14:paraId="7300C226" w14:textId="73169A24" w:rsidR="00912D33" w:rsidRPr="00EB5E8A" w:rsidRDefault="00CD5114">
            <w:pPr>
              <w:spacing w:line="276" w:lineRule="auto"/>
              <w:jc w:val="right"/>
              <w:rPr>
                <w:sz w:val="20"/>
                <w:szCs w:val="20"/>
              </w:rPr>
            </w:pPr>
            <w:r w:rsidRPr="00EB5E8A">
              <w:rPr>
                <w:sz w:val="20"/>
                <w:szCs w:val="20"/>
              </w:rPr>
              <w:t>588 (68</w:t>
            </w:r>
            <w:r w:rsidR="00912D33" w:rsidRPr="00EB5E8A">
              <w:rPr>
                <w:sz w:val="20"/>
                <w:szCs w:val="20"/>
              </w:rPr>
              <w:t>)</w:t>
            </w:r>
          </w:p>
          <w:p w14:paraId="0C6E2FCA" w14:textId="77777777" w:rsidR="00912D33" w:rsidRPr="00EB5E8A" w:rsidRDefault="00912D33" w:rsidP="00496419">
            <w:pPr>
              <w:spacing w:line="276" w:lineRule="auto"/>
              <w:jc w:val="right"/>
              <w:rPr>
                <w:sz w:val="20"/>
                <w:szCs w:val="20"/>
              </w:rPr>
            </w:pPr>
            <w:r w:rsidRPr="00EB5E8A">
              <w:rPr>
                <w:sz w:val="20"/>
                <w:szCs w:val="20"/>
              </w:rPr>
              <w:t>107 (12)</w:t>
            </w:r>
          </w:p>
          <w:p w14:paraId="2B2888BE" w14:textId="1B555803" w:rsidR="00912D33" w:rsidRPr="00EB5E8A" w:rsidRDefault="00CD5114" w:rsidP="00496419">
            <w:pPr>
              <w:spacing w:line="276" w:lineRule="auto"/>
              <w:jc w:val="right"/>
              <w:rPr>
                <w:sz w:val="20"/>
                <w:szCs w:val="20"/>
              </w:rPr>
            </w:pPr>
            <w:r w:rsidRPr="00EB5E8A">
              <w:rPr>
                <w:sz w:val="20"/>
                <w:szCs w:val="20"/>
              </w:rPr>
              <w:t>176</w:t>
            </w:r>
            <w:r w:rsidR="00912D33" w:rsidRPr="00EB5E8A">
              <w:rPr>
                <w:sz w:val="20"/>
                <w:szCs w:val="20"/>
              </w:rPr>
              <w:t xml:space="preserve"> (20)</w:t>
            </w:r>
          </w:p>
        </w:tc>
        <w:tc>
          <w:tcPr>
            <w:tcW w:w="1787" w:type="dxa"/>
          </w:tcPr>
          <w:p w14:paraId="0E927494" w14:textId="77777777" w:rsidR="00912D33" w:rsidRPr="00EB5E8A" w:rsidRDefault="00912D33">
            <w:pPr>
              <w:spacing w:line="276" w:lineRule="auto"/>
              <w:jc w:val="right"/>
              <w:rPr>
                <w:sz w:val="20"/>
                <w:szCs w:val="20"/>
              </w:rPr>
            </w:pPr>
          </w:p>
          <w:p w14:paraId="238EFF19" w14:textId="0DA03E82" w:rsidR="00912D33" w:rsidRPr="00EB5E8A" w:rsidRDefault="00912D33">
            <w:pPr>
              <w:spacing w:line="276" w:lineRule="auto"/>
              <w:jc w:val="right"/>
              <w:rPr>
                <w:sz w:val="20"/>
                <w:szCs w:val="20"/>
              </w:rPr>
            </w:pPr>
            <w:r w:rsidRPr="00EB5E8A">
              <w:rPr>
                <w:sz w:val="20"/>
                <w:szCs w:val="20"/>
              </w:rPr>
              <w:t>125 (65)</w:t>
            </w:r>
          </w:p>
          <w:p w14:paraId="24B28585" w14:textId="01821534" w:rsidR="00912D33" w:rsidRPr="00EB5E8A" w:rsidRDefault="00912D33">
            <w:pPr>
              <w:spacing w:line="276" w:lineRule="auto"/>
              <w:jc w:val="right"/>
              <w:rPr>
                <w:sz w:val="20"/>
                <w:szCs w:val="20"/>
              </w:rPr>
            </w:pPr>
            <w:r w:rsidRPr="00EB5E8A">
              <w:rPr>
                <w:sz w:val="20"/>
                <w:szCs w:val="20"/>
              </w:rPr>
              <w:t>15 (8)</w:t>
            </w:r>
          </w:p>
          <w:p w14:paraId="4D12A2F6" w14:textId="5D706104" w:rsidR="00912D33" w:rsidRPr="00EB5E8A" w:rsidRDefault="00912D33">
            <w:pPr>
              <w:spacing w:line="276" w:lineRule="auto"/>
              <w:jc w:val="right"/>
              <w:rPr>
                <w:sz w:val="20"/>
                <w:szCs w:val="20"/>
              </w:rPr>
            </w:pPr>
            <w:r w:rsidRPr="00EB5E8A">
              <w:rPr>
                <w:sz w:val="20"/>
                <w:szCs w:val="20"/>
              </w:rPr>
              <w:t>51 (27)</w:t>
            </w:r>
          </w:p>
        </w:tc>
        <w:tc>
          <w:tcPr>
            <w:tcW w:w="1658" w:type="dxa"/>
          </w:tcPr>
          <w:p w14:paraId="3B46BFE1" w14:textId="77777777" w:rsidR="00912D33" w:rsidRPr="00EB5E8A" w:rsidRDefault="00912D33">
            <w:pPr>
              <w:spacing w:line="276" w:lineRule="auto"/>
              <w:jc w:val="right"/>
              <w:rPr>
                <w:sz w:val="20"/>
                <w:szCs w:val="20"/>
              </w:rPr>
            </w:pPr>
          </w:p>
          <w:p w14:paraId="28A76005" w14:textId="77777777" w:rsidR="00912D33" w:rsidRPr="00EB5E8A" w:rsidRDefault="00912D33">
            <w:pPr>
              <w:spacing w:line="276" w:lineRule="auto"/>
              <w:jc w:val="right"/>
              <w:rPr>
                <w:sz w:val="20"/>
                <w:szCs w:val="20"/>
              </w:rPr>
            </w:pPr>
            <w:r w:rsidRPr="00EB5E8A">
              <w:rPr>
                <w:sz w:val="20"/>
                <w:szCs w:val="20"/>
              </w:rPr>
              <w:t>126 (60)</w:t>
            </w:r>
          </w:p>
          <w:p w14:paraId="58549AFA" w14:textId="77777777" w:rsidR="00912D33" w:rsidRPr="00EB5E8A" w:rsidRDefault="00912D33">
            <w:pPr>
              <w:spacing w:line="276" w:lineRule="auto"/>
              <w:jc w:val="right"/>
              <w:rPr>
                <w:sz w:val="20"/>
                <w:szCs w:val="20"/>
              </w:rPr>
            </w:pPr>
            <w:r w:rsidRPr="00EB5E8A">
              <w:rPr>
                <w:sz w:val="20"/>
                <w:szCs w:val="20"/>
              </w:rPr>
              <w:t>46 (22)</w:t>
            </w:r>
          </w:p>
          <w:p w14:paraId="5F028B36" w14:textId="2C604891" w:rsidR="00912D33" w:rsidRPr="00EB5E8A" w:rsidRDefault="00912D33">
            <w:pPr>
              <w:spacing w:line="276" w:lineRule="auto"/>
              <w:jc w:val="right"/>
              <w:rPr>
                <w:sz w:val="20"/>
                <w:szCs w:val="20"/>
              </w:rPr>
            </w:pPr>
            <w:r w:rsidRPr="00EB5E8A">
              <w:rPr>
                <w:sz w:val="20"/>
                <w:szCs w:val="20"/>
              </w:rPr>
              <w:t>38 (18)</w:t>
            </w:r>
          </w:p>
        </w:tc>
      </w:tr>
      <w:tr w:rsidR="00912D33" w:rsidRPr="00EB5E8A" w14:paraId="321EFB87" w14:textId="77777777" w:rsidTr="00776270">
        <w:trPr>
          <w:trHeight w:val="712"/>
          <w:jc w:val="center"/>
        </w:trPr>
        <w:tc>
          <w:tcPr>
            <w:tcW w:w="2353" w:type="dxa"/>
          </w:tcPr>
          <w:p w14:paraId="08627989" w14:textId="36DC91ED" w:rsidR="00912D33" w:rsidRPr="00EB5E8A" w:rsidRDefault="00094FA1" w:rsidP="00094FA1">
            <w:pPr>
              <w:spacing w:line="276" w:lineRule="auto"/>
              <w:rPr>
                <w:b/>
                <w:sz w:val="20"/>
                <w:szCs w:val="20"/>
              </w:rPr>
            </w:pPr>
            <w:r w:rsidRPr="00EB5E8A">
              <w:rPr>
                <w:b/>
                <w:sz w:val="20"/>
                <w:szCs w:val="20"/>
              </w:rPr>
              <w:t>D</w:t>
            </w:r>
            <w:r w:rsidR="00912D33" w:rsidRPr="00EB5E8A">
              <w:rPr>
                <w:b/>
                <w:sz w:val="20"/>
                <w:szCs w:val="20"/>
              </w:rPr>
              <w:t>i</w:t>
            </w:r>
            <w:r w:rsidRPr="00EB5E8A">
              <w:rPr>
                <w:b/>
                <w:sz w:val="20"/>
                <w:szCs w:val="20"/>
              </w:rPr>
              <w:t>sease duration before surgery - Months (Range)</w:t>
            </w:r>
          </w:p>
        </w:tc>
        <w:tc>
          <w:tcPr>
            <w:tcW w:w="1500" w:type="dxa"/>
          </w:tcPr>
          <w:p w14:paraId="17BAB928" w14:textId="77777777" w:rsidR="00094FA1" w:rsidRPr="00EB5E8A" w:rsidRDefault="00094FA1">
            <w:pPr>
              <w:spacing w:line="276" w:lineRule="auto"/>
              <w:jc w:val="right"/>
              <w:rPr>
                <w:sz w:val="20"/>
                <w:szCs w:val="20"/>
              </w:rPr>
            </w:pPr>
          </w:p>
          <w:p w14:paraId="44DD33FE" w14:textId="5F938C84" w:rsidR="00912D33" w:rsidRPr="00EB5E8A" w:rsidRDefault="00094FA1">
            <w:pPr>
              <w:spacing w:line="276" w:lineRule="auto"/>
              <w:jc w:val="right"/>
              <w:rPr>
                <w:sz w:val="20"/>
                <w:szCs w:val="20"/>
              </w:rPr>
            </w:pPr>
            <w:r w:rsidRPr="00EB5E8A">
              <w:rPr>
                <w:sz w:val="20"/>
                <w:szCs w:val="20"/>
              </w:rPr>
              <w:t>17 (0-170)</w:t>
            </w:r>
          </w:p>
        </w:tc>
        <w:tc>
          <w:tcPr>
            <w:tcW w:w="1787" w:type="dxa"/>
          </w:tcPr>
          <w:p w14:paraId="3B823D3E" w14:textId="77777777" w:rsidR="00094FA1" w:rsidRPr="00EB5E8A" w:rsidRDefault="00094FA1">
            <w:pPr>
              <w:spacing w:line="276" w:lineRule="auto"/>
              <w:jc w:val="right"/>
              <w:rPr>
                <w:sz w:val="20"/>
                <w:szCs w:val="20"/>
              </w:rPr>
            </w:pPr>
          </w:p>
          <w:p w14:paraId="75206C17" w14:textId="04275AC5" w:rsidR="00912D33" w:rsidRPr="00EB5E8A" w:rsidRDefault="00094FA1">
            <w:pPr>
              <w:spacing w:line="276" w:lineRule="auto"/>
              <w:jc w:val="right"/>
              <w:rPr>
                <w:sz w:val="20"/>
                <w:szCs w:val="20"/>
              </w:rPr>
            </w:pPr>
            <w:r w:rsidRPr="00EB5E8A">
              <w:rPr>
                <w:sz w:val="20"/>
                <w:szCs w:val="20"/>
              </w:rPr>
              <w:t>22 (0-166)</w:t>
            </w:r>
          </w:p>
        </w:tc>
        <w:tc>
          <w:tcPr>
            <w:tcW w:w="1658" w:type="dxa"/>
          </w:tcPr>
          <w:p w14:paraId="1E27C1B4" w14:textId="77777777" w:rsidR="00094FA1" w:rsidRPr="00EB5E8A" w:rsidRDefault="00094FA1">
            <w:pPr>
              <w:spacing w:line="276" w:lineRule="auto"/>
              <w:jc w:val="right"/>
              <w:rPr>
                <w:sz w:val="20"/>
                <w:szCs w:val="20"/>
              </w:rPr>
            </w:pPr>
          </w:p>
          <w:p w14:paraId="77DF9FDE" w14:textId="51B4A5B9" w:rsidR="00912D33" w:rsidRPr="00EB5E8A" w:rsidRDefault="00094FA1">
            <w:pPr>
              <w:spacing w:line="276" w:lineRule="auto"/>
              <w:jc w:val="right"/>
              <w:rPr>
                <w:sz w:val="20"/>
                <w:szCs w:val="20"/>
              </w:rPr>
            </w:pPr>
            <w:r w:rsidRPr="00EB5E8A">
              <w:rPr>
                <w:sz w:val="20"/>
                <w:szCs w:val="20"/>
              </w:rPr>
              <w:t>22 (0-164)</w:t>
            </w:r>
          </w:p>
        </w:tc>
      </w:tr>
      <w:tr w:rsidR="00912D33" w:rsidRPr="00EB5E8A" w14:paraId="27CDD68B" w14:textId="77777777" w:rsidTr="00776270">
        <w:trPr>
          <w:trHeight w:val="424"/>
          <w:jc w:val="center"/>
        </w:trPr>
        <w:tc>
          <w:tcPr>
            <w:tcW w:w="2353" w:type="dxa"/>
          </w:tcPr>
          <w:p w14:paraId="54D5BD92" w14:textId="048EF7DB" w:rsidR="00912D33" w:rsidRPr="00EB5E8A" w:rsidRDefault="00912D33">
            <w:pPr>
              <w:spacing w:line="276" w:lineRule="auto"/>
              <w:rPr>
                <w:b/>
                <w:sz w:val="20"/>
                <w:szCs w:val="20"/>
              </w:rPr>
            </w:pPr>
            <w:r w:rsidRPr="00EB5E8A">
              <w:rPr>
                <w:b/>
                <w:sz w:val="20"/>
                <w:szCs w:val="20"/>
              </w:rPr>
              <w:t>Perianal Disease (%)</w:t>
            </w:r>
          </w:p>
        </w:tc>
        <w:tc>
          <w:tcPr>
            <w:tcW w:w="1500" w:type="dxa"/>
          </w:tcPr>
          <w:p w14:paraId="26D669CD" w14:textId="26C8013E" w:rsidR="00912D33" w:rsidRPr="00EB5E8A" w:rsidRDefault="00912D33">
            <w:pPr>
              <w:spacing w:line="276" w:lineRule="auto"/>
              <w:jc w:val="right"/>
              <w:rPr>
                <w:sz w:val="20"/>
                <w:szCs w:val="20"/>
              </w:rPr>
            </w:pPr>
            <w:r w:rsidRPr="00EB5E8A">
              <w:rPr>
                <w:sz w:val="20"/>
                <w:szCs w:val="20"/>
              </w:rPr>
              <w:t>109 (13)</w:t>
            </w:r>
          </w:p>
        </w:tc>
        <w:tc>
          <w:tcPr>
            <w:tcW w:w="1787" w:type="dxa"/>
          </w:tcPr>
          <w:p w14:paraId="0AA59632" w14:textId="15E1E2DB" w:rsidR="00912D33" w:rsidRPr="00EB5E8A" w:rsidRDefault="00912D33">
            <w:pPr>
              <w:spacing w:line="276" w:lineRule="auto"/>
              <w:jc w:val="right"/>
              <w:rPr>
                <w:sz w:val="20"/>
                <w:szCs w:val="20"/>
              </w:rPr>
            </w:pPr>
            <w:r w:rsidRPr="00EB5E8A">
              <w:rPr>
                <w:sz w:val="20"/>
                <w:szCs w:val="20"/>
              </w:rPr>
              <w:t>36 (19)</w:t>
            </w:r>
          </w:p>
        </w:tc>
        <w:tc>
          <w:tcPr>
            <w:tcW w:w="1658" w:type="dxa"/>
          </w:tcPr>
          <w:p w14:paraId="0D7FC2E6" w14:textId="5038C386" w:rsidR="00912D33" w:rsidRPr="00EB5E8A" w:rsidRDefault="00912D33">
            <w:pPr>
              <w:spacing w:line="276" w:lineRule="auto"/>
              <w:jc w:val="right"/>
              <w:rPr>
                <w:sz w:val="20"/>
                <w:szCs w:val="20"/>
              </w:rPr>
            </w:pPr>
            <w:r w:rsidRPr="00EB5E8A">
              <w:rPr>
                <w:sz w:val="20"/>
                <w:szCs w:val="20"/>
              </w:rPr>
              <w:t>57 (27)</w:t>
            </w:r>
          </w:p>
        </w:tc>
      </w:tr>
      <w:tr w:rsidR="00094FA1" w:rsidRPr="00EB5E8A" w14:paraId="418CE56C" w14:textId="77777777" w:rsidTr="00776270">
        <w:trPr>
          <w:trHeight w:val="424"/>
          <w:jc w:val="center"/>
        </w:trPr>
        <w:tc>
          <w:tcPr>
            <w:tcW w:w="2353" w:type="dxa"/>
          </w:tcPr>
          <w:p w14:paraId="295A8FB1" w14:textId="13D4E27E" w:rsidR="00094FA1" w:rsidRPr="00EB5E8A" w:rsidRDefault="00094FA1">
            <w:pPr>
              <w:spacing w:line="276" w:lineRule="auto"/>
              <w:rPr>
                <w:b/>
                <w:sz w:val="20"/>
                <w:szCs w:val="20"/>
              </w:rPr>
            </w:pPr>
            <w:r w:rsidRPr="00EB5E8A">
              <w:rPr>
                <w:b/>
                <w:sz w:val="20"/>
                <w:szCs w:val="20"/>
              </w:rPr>
              <w:t>Corticosteroids (%)</w:t>
            </w:r>
          </w:p>
        </w:tc>
        <w:tc>
          <w:tcPr>
            <w:tcW w:w="1500" w:type="dxa"/>
          </w:tcPr>
          <w:p w14:paraId="124750F8" w14:textId="400B1FCB" w:rsidR="00094FA1" w:rsidRPr="00EB5E8A" w:rsidRDefault="00094FA1">
            <w:pPr>
              <w:spacing w:line="276" w:lineRule="auto"/>
              <w:jc w:val="right"/>
              <w:rPr>
                <w:sz w:val="20"/>
                <w:szCs w:val="20"/>
              </w:rPr>
            </w:pPr>
            <w:r w:rsidRPr="00EB5E8A">
              <w:rPr>
                <w:sz w:val="20"/>
                <w:szCs w:val="20"/>
              </w:rPr>
              <w:t>498 (57)</w:t>
            </w:r>
          </w:p>
        </w:tc>
        <w:tc>
          <w:tcPr>
            <w:tcW w:w="1787" w:type="dxa"/>
          </w:tcPr>
          <w:p w14:paraId="54FA0180" w14:textId="240F5817" w:rsidR="00094FA1" w:rsidRPr="00EB5E8A" w:rsidRDefault="00094FA1">
            <w:pPr>
              <w:spacing w:line="276" w:lineRule="auto"/>
              <w:jc w:val="right"/>
              <w:rPr>
                <w:sz w:val="20"/>
                <w:szCs w:val="20"/>
              </w:rPr>
            </w:pPr>
            <w:r w:rsidRPr="00EB5E8A">
              <w:rPr>
                <w:sz w:val="20"/>
                <w:szCs w:val="20"/>
              </w:rPr>
              <w:t>120 (63)</w:t>
            </w:r>
          </w:p>
        </w:tc>
        <w:tc>
          <w:tcPr>
            <w:tcW w:w="1658" w:type="dxa"/>
          </w:tcPr>
          <w:p w14:paraId="16186950" w14:textId="22464C54" w:rsidR="00094FA1" w:rsidRPr="00EB5E8A" w:rsidRDefault="00094FA1">
            <w:pPr>
              <w:spacing w:line="276" w:lineRule="auto"/>
              <w:jc w:val="right"/>
              <w:rPr>
                <w:sz w:val="20"/>
                <w:szCs w:val="20"/>
              </w:rPr>
            </w:pPr>
            <w:r w:rsidRPr="00EB5E8A">
              <w:rPr>
                <w:sz w:val="20"/>
                <w:szCs w:val="20"/>
              </w:rPr>
              <w:t>129 (61)</w:t>
            </w:r>
          </w:p>
        </w:tc>
      </w:tr>
      <w:tr w:rsidR="00094FA1" w:rsidRPr="00EB5E8A" w14:paraId="1EEA39F3" w14:textId="77777777" w:rsidTr="00776270">
        <w:trPr>
          <w:trHeight w:val="424"/>
          <w:jc w:val="center"/>
        </w:trPr>
        <w:tc>
          <w:tcPr>
            <w:tcW w:w="2353" w:type="dxa"/>
          </w:tcPr>
          <w:p w14:paraId="7146E61C" w14:textId="281C6B67" w:rsidR="00094FA1" w:rsidRPr="00EB5E8A" w:rsidRDefault="00094FA1">
            <w:pPr>
              <w:spacing w:line="276" w:lineRule="auto"/>
              <w:rPr>
                <w:b/>
                <w:sz w:val="20"/>
                <w:szCs w:val="20"/>
              </w:rPr>
            </w:pPr>
            <w:r w:rsidRPr="00EB5E8A">
              <w:rPr>
                <w:b/>
                <w:sz w:val="20"/>
                <w:szCs w:val="20"/>
              </w:rPr>
              <w:t>Thiopurines (%)</w:t>
            </w:r>
          </w:p>
        </w:tc>
        <w:tc>
          <w:tcPr>
            <w:tcW w:w="1500" w:type="dxa"/>
          </w:tcPr>
          <w:p w14:paraId="47F6AF97" w14:textId="2CAC5E78" w:rsidR="00094FA1" w:rsidRPr="00EB5E8A" w:rsidRDefault="00094FA1">
            <w:pPr>
              <w:spacing w:line="276" w:lineRule="auto"/>
              <w:jc w:val="right"/>
              <w:rPr>
                <w:sz w:val="20"/>
                <w:szCs w:val="20"/>
              </w:rPr>
            </w:pPr>
            <w:r w:rsidRPr="00EB5E8A">
              <w:rPr>
                <w:sz w:val="20"/>
                <w:szCs w:val="20"/>
              </w:rPr>
              <w:t>389 (45)</w:t>
            </w:r>
          </w:p>
        </w:tc>
        <w:tc>
          <w:tcPr>
            <w:tcW w:w="1787" w:type="dxa"/>
          </w:tcPr>
          <w:p w14:paraId="5DBB1197" w14:textId="1D390F23" w:rsidR="00094FA1" w:rsidRPr="00EB5E8A" w:rsidRDefault="00094FA1">
            <w:pPr>
              <w:spacing w:line="276" w:lineRule="auto"/>
              <w:jc w:val="right"/>
              <w:rPr>
                <w:sz w:val="20"/>
                <w:szCs w:val="20"/>
              </w:rPr>
            </w:pPr>
            <w:r w:rsidRPr="00EB5E8A">
              <w:rPr>
                <w:sz w:val="20"/>
                <w:szCs w:val="20"/>
              </w:rPr>
              <w:t>95 (50)</w:t>
            </w:r>
          </w:p>
        </w:tc>
        <w:tc>
          <w:tcPr>
            <w:tcW w:w="1658" w:type="dxa"/>
          </w:tcPr>
          <w:p w14:paraId="6C9EB09C" w14:textId="4EF4D5F9" w:rsidR="00094FA1" w:rsidRPr="00EB5E8A" w:rsidRDefault="00094FA1">
            <w:pPr>
              <w:spacing w:line="276" w:lineRule="auto"/>
              <w:jc w:val="right"/>
              <w:rPr>
                <w:sz w:val="20"/>
                <w:szCs w:val="20"/>
              </w:rPr>
            </w:pPr>
            <w:r w:rsidRPr="00EB5E8A">
              <w:rPr>
                <w:sz w:val="20"/>
                <w:szCs w:val="20"/>
              </w:rPr>
              <w:t>103 (49)</w:t>
            </w:r>
          </w:p>
        </w:tc>
      </w:tr>
      <w:tr w:rsidR="00912D33" w:rsidRPr="00EB5E8A" w14:paraId="6326BFD4" w14:textId="77777777" w:rsidTr="00776270">
        <w:trPr>
          <w:trHeight w:val="1592"/>
          <w:jc w:val="center"/>
        </w:trPr>
        <w:tc>
          <w:tcPr>
            <w:tcW w:w="2353" w:type="dxa"/>
          </w:tcPr>
          <w:p w14:paraId="1B297C32" w14:textId="6C2276F5" w:rsidR="00912D33" w:rsidRPr="00EB5E8A" w:rsidRDefault="00912D33">
            <w:pPr>
              <w:spacing w:line="276" w:lineRule="auto"/>
              <w:rPr>
                <w:b/>
                <w:sz w:val="20"/>
                <w:szCs w:val="20"/>
              </w:rPr>
            </w:pPr>
            <w:r w:rsidRPr="00EB5E8A">
              <w:rPr>
                <w:b/>
                <w:sz w:val="20"/>
                <w:szCs w:val="20"/>
              </w:rPr>
              <w:t>Era of surgery (%)</w:t>
            </w:r>
          </w:p>
          <w:p w14:paraId="6D8B5873" w14:textId="77777777" w:rsidR="00912D33" w:rsidRPr="00EB5E8A" w:rsidRDefault="00912D33">
            <w:pPr>
              <w:spacing w:line="276" w:lineRule="auto"/>
              <w:rPr>
                <w:sz w:val="20"/>
                <w:szCs w:val="20"/>
              </w:rPr>
            </w:pPr>
            <w:r w:rsidRPr="00EB5E8A">
              <w:rPr>
                <w:sz w:val="20"/>
                <w:szCs w:val="20"/>
              </w:rPr>
              <w:t>1998-2003</w:t>
            </w:r>
          </w:p>
          <w:p w14:paraId="784AE43A" w14:textId="77777777" w:rsidR="00912D33" w:rsidRPr="00EB5E8A" w:rsidRDefault="00912D33">
            <w:pPr>
              <w:spacing w:line="276" w:lineRule="auto"/>
              <w:rPr>
                <w:sz w:val="20"/>
                <w:szCs w:val="20"/>
              </w:rPr>
            </w:pPr>
            <w:r w:rsidRPr="00EB5E8A">
              <w:rPr>
                <w:sz w:val="20"/>
                <w:szCs w:val="20"/>
              </w:rPr>
              <w:t>2004-2010</w:t>
            </w:r>
          </w:p>
          <w:p w14:paraId="2E0E8EED" w14:textId="013A98CF" w:rsidR="00912D33" w:rsidRPr="00EB5E8A" w:rsidRDefault="00912D33">
            <w:pPr>
              <w:spacing w:line="276" w:lineRule="auto"/>
              <w:rPr>
                <w:sz w:val="20"/>
                <w:szCs w:val="20"/>
              </w:rPr>
            </w:pPr>
            <w:r w:rsidRPr="00EB5E8A">
              <w:rPr>
                <w:sz w:val="20"/>
                <w:szCs w:val="20"/>
              </w:rPr>
              <w:t>2011-2016</w:t>
            </w:r>
          </w:p>
        </w:tc>
        <w:tc>
          <w:tcPr>
            <w:tcW w:w="1500" w:type="dxa"/>
          </w:tcPr>
          <w:p w14:paraId="4004DDCB" w14:textId="77777777" w:rsidR="00912D33" w:rsidRPr="00EB5E8A" w:rsidRDefault="00912D33">
            <w:pPr>
              <w:spacing w:line="276" w:lineRule="auto"/>
              <w:jc w:val="right"/>
              <w:rPr>
                <w:sz w:val="20"/>
                <w:szCs w:val="20"/>
              </w:rPr>
            </w:pPr>
          </w:p>
          <w:p w14:paraId="24280CBA" w14:textId="77777777" w:rsidR="00912D33" w:rsidRPr="00EB5E8A" w:rsidRDefault="00912D33">
            <w:pPr>
              <w:spacing w:line="276" w:lineRule="auto"/>
              <w:jc w:val="right"/>
              <w:rPr>
                <w:sz w:val="20"/>
                <w:szCs w:val="20"/>
              </w:rPr>
            </w:pPr>
            <w:r w:rsidRPr="00EB5E8A">
              <w:rPr>
                <w:sz w:val="20"/>
                <w:szCs w:val="20"/>
              </w:rPr>
              <w:t>242 (28)</w:t>
            </w:r>
          </w:p>
          <w:p w14:paraId="7935E3C3" w14:textId="77777777" w:rsidR="00912D33" w:rsidRPr="00EB5E8A" w:rsidRDefault="00912D33">
            <w:pPr>
              <w:spacing w:line="276" w:lineRule="auto"/>
              <w:jc w:val="right"/>
              <w:rPr>
                <w:sz w:val="20"/>
                <w:szCs w:val="20"/>
              </w:rPr>
            </w:pPr>
            <w:r w:rsidRPr="00EB5E8A">
              <w:rPr>
                <w:sz w:val="20"/>
                <w:szCs w:val="20"/>
              </w:rPr>
              <w:t>381 (44)</w:t>
            </w:r>
          </w:p>
          <w:p w14:paraId="7F8DDA3C" w14:textId="0AEFB99A" w:rsidR="00912D33" w:rsidRPr="00EB5E8A" w:rsidRDefault="00912D33" w:rsidP="00033349">
            <w:pPr>
              <w:spacing w:line="276" w:lineRule="auto"/>
              <w:jc w:val="right"/>
              <w:rPr>
                <w:sz w:val="20"/>
                <w:szCs w:val="20"/>
              </w:rPr>
            </w:pPr>
            <w:r w:rsidRPr="00EB5E8A">
              <w:rPr>
                <w:sz w:val="20"/>
                <w:szCs w:val="20"/>
              </w:rPr>
              <w:t>24</w:t>
            </w:r>
            <w:r w:rsidR="00033349" w:rsidRPr="00EB5E8A">
              <w:rPr>
                <w:sz w:val="20"/>
                <w:szCs w:val="20"/>
              </w:rPr>
              <w:t>8 (28</w:t>
            </w:r>
            <w:r w:rsidRPr="00EB5E8A">
              <w:rPr>
                <w:sz w:val="20"/>
                <w:szCs w:val="20"/>
              </w:rPr>
              <w:t>)</w:t>
            </w:r>
          </w:p>
        </w:tc>
        <w:tc>
          <w:tcPr>
            <w:tcW w:w="1787" w:type="dxa"/>
          </w:tcPr>
          <w:p w14:paraId="2A2B765D" w14:textId="77777777" w:rsidR="00912D33" w:rsidRPr="00EB5E8A" w:rsidRDefault="00912D33">
            <w:pPr>
              <w:spacing w:line="276" w:lineRule="auto"/>
              <w:jc w:val="right"/>
              <w:rPr>
                <w:sz w:val="20"/>
                <w:szCs w:val="20"/>
              </w:rPr>
            </w:pPr>
          </w:p>
          <w:p w14:paraId="35A5EEA8" w14:textId="77777777" w:rsidR="00912D33" w:rsidRPr="00EB5E8A" w:rsidRDefault="00912D33">
            <w:pPr>
              <w:spacing w:line="276" w:lineRule="auto"/>
              <w:jc w:val="right"/>
              <w:rPr>
                <w:sz w:val="20"/>
                <w:szCs w:val="20"/>
              </w:rPr>
            </w:pPr>
            <w:r w:rsidRPr="00EB5E8A">
              <w:rPr>
                <w:sz w:val="20"/>
                <w:szCs w:val="20"/>
              </w:rPr>
              <w:t>31 (16)</w:t>
            </w:r>
          </w:p>
          <w:p w14:paraId="218D46AC" w14:textId="77777777" w:rsidR="00912D33" w:rsidRPr="00EB5E8A" w:rsidRDefault="00912D33">
            <w:pPr>
              <w:spacing w:line="276" w:lineRule="auto"/>
              <w:jc w:val="right"/>
              <w:rPr>
                <w:sz w:val="20"/>
                <w:szCs w:val="20"/>
              </w:rPr>
            </w:pPr>
            <w:r w:rsidRPr="00EB5E8A">
              <w:rPr>
                <w:sz w:val="20"/>
                <w:szCs w:val="20"/>
              </w:rPr>
              <w:t>92 (48)</w:t>
            </w:r>
          </w:p>
          <w:p w14:paraId="7FFA1C37" w14:textId="67EA8895" w:rsidR="00912D33" w:rsidRPr="00EB5E8A" w:rsidRDefault="00912D33">
            <w:pPr>
              <w:spacing w:line="276" w:lineRule="auto"/>
              <w:jc w:val="right"/>
              <w:rPr>
                <w:sz w:val="20"/>
                <w:szCs w:val="20"/>
              </w:rPr>
            </w:pPr>
            <w:r w:rsidRPr="00EB5E8A">
              <w:rPr>
                <w:sz w:val="20"/>
                <w:szCs w:val="20"/>
              </w:rPr>
              <w:t>68 (36)</w:t>
            </w:r>
          </w:p>
        </w:tc>
        <w:tc>
          <w:tcPr>
            <w:tcW w:w="1658" w:type="dxa"/>
          </w:tcPr>
          <w:p w14:paraId="2B86BD3B" w14:textId="77777777" w:rsidR="00912D33" w:rsidRPr="00EB5E8A" w:rsidRDefault="00912D33">
            <w:pPr>
              <w:spacing w:line="276" w:lineRule="auto"/>
              <w:jc w:val="right"/>
              <w:rPr>
                <w:sz w:val="20"/>
                <w:szCs w:val="20"/>
              </w:rPr>
            </w:pPr>
          </w:p>
          <w:p w14:paraId="5361234D" w14:textId="77777777" w:rsidR="00912D33" w:rsidRPr="00EB5E8A" w:rsidRDefault="00912D33">
            <w:pPr>
              <w:spacing w:line="276" w:lineRule="auto"/>
              <w:jc w:val="right"/>
              <w:rPr>
                <w:sz w:val="20"/>
                <w:szCs w:val="20"/>
              </w:rPr>
            </w:pPr>
            <w:r w:rsidRPr="00EB5E8A">
              <w:rPr>
                <w:sz w:val="20"/>
                <w:szCs w:val="20"/>
              </w:rPr>
              <w:t>43 (20)</w:t>
            </w:r>
          </w:p>
          <w:p w14:paraId="053E4878" w14:textId="77777777" w:rsidR="00912D33" w:rsidRPr="00EB5E8A" w:rsidRDefault="00912D33">
            <w:pPr>
              <w:spacing w:line="276" w:lineRule="auto"/>
              <w:jc w:val="right"/>
              <w:rPr>
                <w:sz w:val="20"/>
                <w:szCs w:val="20"/>
              </w:rPr>
            </w:pPr>
            <w:r w:rsidRPr="00EB5E8A">
              <w:rPr>
                <w:sz w:val="20"/>
                <w:szCs w:val="20"/>
              </w:rPr>
              <w:t>86 (41)</w:t>
            </w:r>
          </w:p>
          <w:p w14:paraId="391963E4" w14:textId="2DFCF65D" w:rsidR="00912D33" w:rsidRPr="00EB5E8A" w:rsidRDefault="00912D33">
            <w:pPr>
              <w:spacing w:line="276" w:lineRule="auto"/>
              <w:jc w:val="right"/>
              <w:rPr>
                <w:sz w:val="20"/>
                <w:szCs w:val="20"/>
              </w:rPr>
            </w:pPr>
            <w:r w:rsidRPr="00EB5E8A">
              <w:rPr>
                <w:sz w:val="20"/>
                <w:szCs w:val="20"/>
              </w:rPr>
              <w:t>81 (39)</w:t>
            </w:r>
          </w:p>
        </w:tc>
      </w:tr>
      <w:tr w:rsidR="00912D33" w:rsidRPr="00EB5E8A" w14:paraId="28B50C08" w14:textId="77777777" w:rsidTr="00776270">
        <w:trPr>
          <w:trHeight w:val="748"/>
          <w:jc w:val="center"/>
        </w:trPr>
        <w:tc>
          <w:tcPr>
            <w:tcW w:w="2353" w:type="dxa"/>
          </w:tcPr>
          <w:p w14:paraId="74F16AB0" w14:textId="416ECE9A" w:rsidR="00912D33" w:rsidRPr="00EB5E8A" w:rsidRDefault="00912D33">
            <w:pPr>
              <w:rPr>
                <w:rFonts w:asciiTheme="majorHAnsi" w:hAnsiTheme="majorHAnsi"/>
                <w:sz w:val="20"/>
                <w:szCs w:val="18"/>
              </w:rPr>
            </w:pPr>
          </w:p>
        </w:tc>
        <w:tc>
          <w:tcPr>
            <w:tcW w:w="1500" w:type="dxa"/>
          </w:tcPr>
          <w:p w14:paraId="6C96DF4A" w14:textId="77777777" w:rsidR="00912D33" w:rsidRPr="00EB5E8A" w:rsidRDefault="00912D33">
            <w:pPr>
              <w:jc w:val="right"/>
              <w:rPr>
                <w:rFonts w:asciiTheme="majorHAnsi" w:hAnsiTheme="majorHAnsi"/>
                <w:b/>
                <w:sz w:val="20"/>
                <w:szCs w:val="18"/>
              </w:rPr>
            </w:pPr>
          </w:p>
        </w:tc>
        <w:tc>
          <w:tcPr>
            <w:tcW w:w="1787" w:type="dxa"/>
          </w:tcPr>
          <w:p w14:paraId="730115BD" w14:textId="77777777" w:rsidR="00912D33" w:rsidRPr="00EB5E8A" w:rsidRDefault="00912D33">
            <w:pPr>
              <w:jc w:val="right"/>
              <w:rPr>
                <w:rFonts w:asciiTheme="majorHAnsi" w:hAnsiTheme="majorHAnsi"/>
                <w:sz w:val="20"/>
                <w:szCs w:val="18"/>
              </w:rPr>
            </w:pPr>
          </w:p>
        </w:tc>
        <w:tc>
          <w:tcPr>
            <w:tcW w:w="1658" w:type="dxa"/>
          </w:tcPr>
          <w:p w14:paraId="0BABD73E" w14:textId="77777777" w:rsidR="00912D33" w:rsidRPr="00EB5E8A" w:rsidRDefault="00912D33">
            <w:pPr>
              <w:jc w:val="right"/>
              <w:rPr>
                <w:rFonts w:asciiTheme="majorHAnsi" w:hAnsiTheme="majorHAnsi"/>
                <w:b/>
                <w:sz w:val="20"/>
                <w:szCs w:val="18"/>
              </w:rPr>
            </w:pPr>
          </w:p>
        </w:tc>
      </w:tr>
    </w:tbl>
    <w:p w14:paraId="78EAB093" w14:textId="77777777" w:rsidR="00331871" w:rsidRPr="00EB5E8A" w:rsidRDefault="00331871" w:rsidP="00251568">
      <w:pPr>
        <w:rPr>
          <w:rFonts w:asciiTheme="majorHAnsi" w:hAnsiTheme="majorHAnsi"/>
          <w:b/>
          <w:sz w:val="18"/>
        </w:rPr>
      </w:pPr>
    </w:p>
    <w:p w14:paraId="51DB7801" w14:textId="2B3C1DDF" w:rsidR="00251568" w:rsidRPr="00EB5E8A" w:rsidRDefault="00251568" w:rsidP="00251568">
      <w:pPr>
        <w:rPr>
          <w:rFonts w:asciiTheme="majorHAnsi" w:hAnsiTheme="majorHAnsi"/>
          <w:b/>
          <w:sz w:val="20"/>
        </w:rPr>
      </w:pPr>
      <w:r w:rsidRPr="00EB5E8A">
        <w:rPr>
          <w:rFonts w:asciiTheme="majorHAnsi" w:hAnsiTheme="majorHAnsi"/>
          <w:b/>
          <w:sz w:val="20"/>
        </w:rPr>
        <w:t xml:space="preserve">IMD – </w:t>
      </w:r>
      <w:r w:rsidRPr="00EB5E8A">
        <w:rPr>
          <w:rFonts w:asciiTheme="majorHAnsi" w:hAnsiTheme="majorHAnsi"/>
          <w:sz w:val="20"/>
        </w:rPr>
        <w:t xml:space="preserve">Index of Multiple Deprivation. </w:t>
      </w:r>
    </w:p>
    <w:p w14:paraId="388A2AA1" w14:textId="323EEF19" w:rsidR="00AD1F23" w:rsidRPr="00EB5E8A" w:rsidRDefault="00AD1F23">
      <w:r w:rsidRPr="00EB5E8A">
        <w:br w:type="page"/>
      </w:r>
    </w:p>
    <w:p w14:paraId="33675A8A" w14:textId="0A0082C1" w:rsidR="00412A3D" w:rsidRPr="00EB5E8A" w:rsidRDefault="00AD1F23" w:rsidP="00AD1F23">
      <w:pPr>
        <w:pStyle w:val="Heading1"/>
      </w:pPr>
      <w:r w:rsidRPr="00EB5E8A">
        <w:lastRenderedPageBreak/>
        <w:t>Table 2: Risk of antidepressant use after first intestinal surgery for Crohn’s Disease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1500"/>
        <w:gridCol w:w="143"/>
        <w:gridCol w:w="1644"/>
        <w:gridCol w:w="1658"/>
        <w:gridCol w:w="1658"/>
      </w:tblGrid>
      <w:tr w:rsidR="00A47066" w:rsidRPr="00EB5E8A" w14:paraId="2B7820C9" w14:textId="783C62AF" w:rsidTr="00A62DA3">
        <w:trPr>
          <w:trHeight w:val="574"/>
          <w:jc w:val="center"/>
        </w:trPr>
        <w:tc>
          <w:tcPr>
            <w:tcW w:w="2353" w:type="dxa"/>
            <w:shd w:val="clear" w:color="auto" w:fill="DEEAF6" w:themeFill="accent1" w:themeFillTint="33"/>
            <w:hideMark/>
          </w:tcPr>
          <w:p w14:paraId="0713517D" w14:textId="77777777" w:rsidR="00A47066" w:rsidRPr="00EB5E8A" w:rsidRDefault="00A47066" w:rsidP="00A62DA3">
            <w:pPr>
              <w:rPr>
                <w:rFonts w:asciiTheme="majorHAnsi" w:hAnsiTheme="majorHAnsi"/>
                <w:b/>
                <w:sz w:val="24"/>
              </w:rPr>
            </w:pPr>
          </w:p>
        </w:tc>
        <w:tc>
          <w:tcPr>
            <w:tcW w:w="3287" w:type="dxa"/>
            <w:gridSpan w:val="3"/>
            <w:shd w:val="clear" w:color="auto" w:fill="DEEAF6" w:themeFill="accent1" w:themeFillTint="33"/>
            <w:hideMark/>
          </w:tcPr>
          <w:p w14:paraId="46D5AE49" w14:textId="7FD83DB5" w:rsidR="00A47066" w:rsidRPr="00EB5E8A" w:rsidRDefault="00A47066" w:rsidP="00A47066">
            <w:pPr>
              <w:jc w:val="center"/>
              <w:rPr>
                <w:rFonts w:asciiTheme="majorHAnsi" w:hAnsiTheme="majorHAnsi"/>
                <w:b/>
                <w:sz w:val="20"/>
                <w:szCs w:val="18"/>
              </w:rPr>
            </w:pPr>
            <w:r w:rsidRPr="00EB5E8A">
              <w:rPr>
                <w:rFonts w:asciiTheme="majorHAnsi" w:hAnsiTheme="majorHAnsi"/>
                <w:b/>
                <w:sz w:val="20"/>
                <w:szCs w:val="18"/>
              </w:rPr>
              <w:t>Unadjusted</w:t>
            </w:r>
          </w:p>
        </w:tc>
        <w:tc>
          <w:tcPr>
            <w:tcW w:w="3316" w:type="dxa"/>
            <w:gridSpan w:val="2"/>
            <w:shd w:val="clear" w:color="auto" w:fill="DEEAF6" w:themeFill="accent1" w:themeFillTint="33"/>
            <w:hideMark/>
          </w:tcPr>
          <w:p w14:paraId="3FA2BCA9" w14:textId="744332E7" w:rsidR="00A47066" w:rsidRPr="00EB5E8A" w:rsidRDefault="00A47066" w:rsidP="00A47066">
            <w:pPr>
              <w:jc w:val="center"/>
              <w:rPr>
                <w:rFonts w:asciiTheme="majorHAnsi" w:hAnsiTheme="majorHAnsi"/>
                <w:b/>
                <w:sz w:val="20"/>
                <w:szCs w:val="18"/>
              </w:rPr>
            </w:pPr>
            <w:r w:rsidRPr="00EB5E8A">
              <w:rPr>
                <w:rFonts w:asciiTheme="majorHAnsi" w:hAnsiTheme="majorHAnsi"/>
                <w:b/>
                <w:sz w:val="20"/>
                <w:szCs w:val="18"/>
              </w:rPr>
              <w:t>Adjusted</w:t>
            </w:r>
          </w:p>
        </w:tc>
      </w:tr>
      <w:tr w:rsidR="00A47066" w:rsidRPr="00EB5E8A" w14:paraId="3004CA6F" w14:textId="612C82F9" w:rsidTr="00A62DA3">
        <w:trPr>
          <w:trHeight w:val="150"/>
          <w:jc w:val="center"/>
        </w:trPr>
        <w:tc>
          <w:tcPr>
            <w:tcW w:w="2353" w:type="dxa"/>
            <w:shd w:val="clear" w:color="auto" w:fill="DEEAF6" w:themeFill="accent1" w:themeFillTint="33"/>
            <w:hideMark/>
          </w:tcPr>
          <w:p w14:paraId="3A8E8DEB" w14:textId="77777777" w:rsidR="00A47066" w:rsidRPr="00EB5E8A" w:rsidRDefault="00A47066" w:rsidP="00A62DA3">
            <w:pPr>
              <w:rPr>
                <w:rFonts w:asciiTheme="majorHAnsi" w:hAnsiTheme="majorHAnsi"/>
                <w:b/>
                <w:sz w:val="20"/>
              </w:rPr>
            </w:pPr>
            <w:r w:rsidRPr="00EB5E8A">
              <w:rPr>
                <w:rFonts w:asciiTheme="majorHAnsi" w:hAnsiTheme="majorHAnsi"/>
                <w:b/>
                <w:sz w:val="20"/>
              </w:rPr>
              <w:t>n=</w:t>
            </w:r>
          </w:p>
        </w:tc>
        <w:tc>
          <w:tcPr>
            <w:tcW w:w="3287" w:type="dxa"/>
            <w:gridSpan w:val="3"/>
            <w:shd w:val="clear" w:color="auto" w:fill="DEEAF6" w:themeFill="accent1" w:themeFillTint="33"/>
            <w:hideMark/>
          </w:tcPr>
          <w:p w14:paraId="0AA09993" w14:textId="36863ADE" w:rsidR="00A47066" w:rsidRPr="00EB5E8A" w:rsidRDefault="009600BB" w:rsidP="00A47066">
            <w:pPr>
              <w:jc w:val="center"/>
              <w:rPr>
                <w:rFonts w:asciiTheme="majorHAnsi" w:hAnsiTheme="majorHAnsi"/>
                <w:b/>
                <w:sz w:val="20"/>
                <w:szCs w:val="18"/>
              </w:rPr>
            </w:pPr>
            <w:r w:rsidRPr="00EB5E8A">
              <w:rPr>
                <w:rFonts w:asciiTheme="majorHAnsi" w:hAnsiTheme="majorHAnsi"/>
                <w:b/>
                <w:sz w:val="20"/>
                <w:szCs w:val="18"/>
              </w:rPr>
              <w:t>1,272</w:t>
            </w:r>
          </w:p>
        </w:tc>
        <w:tc>
          <w:tcPr>
            <w:tcW w:w="3316" w:type="dxa"/>
            <w:gridSpan w:val="2"/>
            <w:shd w:val="clear" w:color="auto" w:fill="DEEAF6" w:themeFill="accent1" w:themeFillTint="33"/>
            <w:hideMark/>
          </w:tcPr>
          <w:p w14:paraId="03A973A9" w14:textId="02FB5C6E" w:rsidR="00A47066" w:rsidRPr="00EB5E8A" w:rsidRDefault="009600BB" w:rsidP="00A47066">
            <w:pPr>
              <w:jc w:val="center"/>
              <w:rPr>
                <w:rFonts w:asciiTheme="majorHAnsi" w:hAnsiTheme="majorHAnsi"/>
                <w:b/>
                <w:sz w:val="20"/>
                <w:szCs w:val="18"/>
              </w:rPr>
            </w:pPr>
            <w:r w:rsidRPr="00EB5E8A">
              <w:rPr>
                <w:rFonts w:asciiTheme="majorHAnsi" w:hAnsiTheme="majorHAnsi"/>
                <w:b/>
                <w:sz w:val="20"/>
                <w:szCs w:val="18"/>
              </w:rPr>
              <w:t>1,272</w:t>
            </w:r>
          </w:p>
        </w:tc>
      </w:tr>
      <w:tr w:rsidR="00A47066" w:rsidRPr="00EB5E8A" w14:paraId="452CD7B4" w14:textId="77777777" w:rsidTr="00A62DA3">
        <w:trPr>
          <w:trHeight w:val="150"/>
          <w:jc w:val="center"/>
        </w:trPr>
        <w:tc>
          <w:tcPr>
            <w:tcW w:w="2353" w:type="dxa"/>
            <w:shd w:val="clear" w:color="auto" w:fill="DEEAF6" w:themeFill="accent1" w:themeFillTint="33"/>
          </w:tcPr>
          <w:p w14:paraId="51659EAD" w14:textId="77777777" w:rsidR="00A47066" w:rsidRPr="00EB5E8A" w:rsidRDefault="00A47066" w:rsidP="00A62DA3">
            <w:pPr>
              <w:rPr>
                <w:rFonts w:asciiTheme="majorHAnsi" w:hAnsiTheme="majorHAnsi"/>
                <w:b/>
                <w:sz w:val="20"/>
              </w:rPr>
            </w:pPr>
          </w:p>
        </w:tc>
        <w:tc>
          <w:tcPr>
            <w:tcW w:w="1643" w:type="dxa"/>
            <w:gridSpan w:val="2"/>
            <w:shd w:val="clear" w:color="auto" w:fill="DEEAF6" w:themeFill="accent1" w:themeFillTint="33"/>
          </w:tcPr>
          <w:p w14:paraId="24785B35" w14:textId="21CB9319" w:rsidR="00A47066" w:rsidRPr="00EB5E8A" w:rsidRDefault="00A47066" w:rsidP="00A47066">
            <w:pPr>
              <w:jc w:val="center"/>
              <w:rPr>
                <w:rFonts w:asciiTheme="majorHAnsi" w:hAnsiTheme="majorHAnsi"/>
                <w:b/>
                <w:sz w:val="20"/>
                <w:szCs w:val="18"/>
              </w:rPr>
            </w:pPr>
            <w:r w:rsidRPr="00EB5E8A">
              <w:rPr>
                <w:rFonts w:asciiTheme="majorHAnsi" w:hAnsiTheme="majorHAnsi"/>
                <w:b/>
                <w:sz w:val="20"/>
                <w:szCs w:val="18"/>
              </w:rPr>
              <w:t>HR</w:t>
            </w:r>
          </w:p>
        </w:tc>
        <w:tc>
          <w:tcPr>
            <w:tcW w:w="1644" w:type="dxa"/>
            <w:shd w:val="clear" w:color="auto" w:fill="DEEAF6" w:themeFill="accent1" w:themeFillTint="33"/>
          </w:tcPr>
          <w:p w14:paraId="4285305C" w14:textId="67899963" w:rsidR="00A47066" w:rsidRPr="00EB5E8A" w:rsidRDefault="00A47066" w:rsidP="00A47066">
            <w:pPr>
              <w:jc w:val="center"/>
              <w:rPr>
                <w:rFonts w:asciiTheme="majorHAnsi" w:hAnsiTheme="majorHAnsi"/>
                <w:b/>
                <w:sz w:val="20"/>
                <w:szCs w:val="18"/>
              </w:rPr>
            </w:pPr>
            <w:r w:rsidRPr="00EB5E8A">
              <w:rPr>
                <w:rFonts w:asciiTheme="majorHAnsi" w:hAnsiTheme="majorHAnsi"/>
                <w:b/>
                <w:sz w:val="20"/>
                <w:szCs w:val="18"/>
              </w:rPr>
              <w:t>95% CI</w:t>
            </w:r>
          </w:p>
        </w:tc>
        <w:tc>
          <w:tcPr>
            <w:tcW w:w="1658" w:type="dxa"/>
            <w:shd w:val="clear" w:color="auto" w:fill="DEEAF6" w:themeFill="accent1" w:themeFillTint="33"/>
          </w:tcPr>
          <w:p w14:paraId="617A0981" w14:textId="19D6FBE1" w:rsidR="00A47066" w:rsidRPr="00EB5E8A" w:rsidRDefault="00A47066" w:rsidP="00A47066">
            <w:pPr>
              <w:jc w:val="center"/>
              <w:rPr>
                <w:rFonts w:asciiTheme="majorHAnsi" w:hAnsiTheme="majorHAnsi"/>
                <w:b/>
                <w:sz w:val="20"/>
                <w:szCs w:val="18"/>
              </w:rPr>
            </w:pPr>
            <w:r w:rsidRPr="00EB5E8A">
              <w:rPr>
                <w:rFonts w:asciiTheme="majorHAnsi" w:hAnsiTheme="majorHAnsi"/>
                <w:b/>
                <w:sz w:val="20"/>
                <w:szCs w:val="18"/>
              </w:rPr>
              <w:t>HR</w:t>
            </w:r>
          </w:p>
        </w:tc>
        <w:tc>
          <w:tcPr>
            <w:tcW w:w="1658" w:type="dxa"/>
            <w:shd w:val="clear" w:color="auto" w:fill="DEEAF6" w:themeFill="accent1" w:themeFillTint="33"/>
          </w:tcPr>
          <w:p w14:paraId="0A9D0747" w14:textId="24CE6314" w:rsidR="00A47066" w:rsidRPr="00EB5E8A" w:rsidRDefault="00A47066" w:rsidP="00A47066">
            <w:pPr>
              <w:jc w:val="center"/>
              <w:rPr>
                <w:rFonts w:asciiTheme="majorHAnsi" w:hAnsiTheme="majorHAnsi"/>
                <w:b/>
                <w:sz w:val="20"/>
                <w:szCs w:val="18"/>
              </w:rPr>
            </w:pPr>
            <w:r w:rsidRPr="00EB5E8A">
              <w:rPr>
                <w:rFonts w:asciiTheme="majorHAnsi" w:hAnsiTheme="majorHAnsi"/>
                <w:b/>
                <w:sz w:val="20"/>
                <w:szCs w:val="18"/>
              </w:rPr>
              <w:t>95% CI</w:t>
            </w:r>
          </w:p>
        </w:tc>
      </w:tr>
      <w:tr w:rsidR="00743510" w:rsidRPr="00EB5E8A" w14:paraId="5AC7F74C" w14:textId="77777777" w:rsidTr="00A62DA3">
        <w:trPr>
          <w:trHeight w:val="282"/>
          <w:jc w:val="center"/>
        </w:trPr>
        <w:tc>
          <w:tcPr>
            <w:tcW w:w="2353" w:type="dxa"/>
          </w:tcPr>
          <w:p w14:paraId="6DEC8C8B" w14:textId="77777777" w:rsidR="00743510" w:rsidRPr="00EB5E8A" w:rsidRDefault="00743510" w:rsidP="00A62DA3">
            <w:pPr>
              <w:rPr>
                <w:rFonts w:asciiTheme="majorHAnsi" w:hAnsiTheme="majorHAnsi"/>
                <w:color w:val="2E74B5" w:themeColor="accent1" w:themeShade="BF"/>
                <w:sz w:val="24"/>
              </w:rPr>
            </w:pPr>
          </w:p>
        </w:tc>
        <w:tc>
          <w:tcPr>
            <w:tcW w:w="1500" w:type="dxa"/>
          </w:tcPr>
          <w:p w14:paraId="26D8AF94" w14:textId="77777777" w:rsidR="00743510" w:rsidRPr="00EB5E8A" w:rsidRDefault="00743510" w:rsidP="00A62DA3">
            <w:pPr>
              <w:jc w:val="center"/>
              <w:rPr>
                <w:rFonts w:asciiTheme="majorHAnsi" w:hAnsiTheme="majorHAnsi"/>
                <w:b/>
                <w:sz w:val="20"/>
                <w:szCs w:val="18"/>
              </w:rPr>
            </w:pPr>
          </w:p>
        </w:tc>
        <w:tc>
          <w:tcPr>
            <w:tcW w:w="1787" w:type="dxa"/>
            <w:gridSpan w:val="2"/>
          </w:tcPr>
          <w:p w14:paraId="61D476A3" w14:textId="77777777" w:rsidR="00743510" w:rsidRPr="00EB5E8A" w:rsidRDefault="00743510" w:rsidP="00A62DA3">
            <w:pPr>
              <w:jc w:val="center"/>
              <w:rPr>
                <w:rFonts w:asciiTheme="majorHAnsi" w:hAnsiTheme="majorHAnsi"/>
                <w:b/>
                <w:sz w:val="20"/>
                <w:szCs w:val="18"/>
              </w:rPr>
            </w:pPr>
          </w:p>
        </w:tc>
        <w:tc>
          <w:tcPr>
            <w:tcW w:w="1658" w:type="dxa"/>
          </w:tcPr>
          <w:p w14:paraId="2ED83C0F" w14:textId="77777777" w:rsidR="00743510" w:rsidRPr="00EB5E8A" w:rsidRDefault="00743510" w:rsidP="00A62DA3">
            <w:pPr>
              <w:jc w:val="center"/>
              <w:rPr>
                <w:rFonts w:asciiTheme="majorHAnsi" w:hAnsiTheme="majorHAnsi"/>
                <w:b/>
                <w:sz w:val="20"/>
                <w:szCs w:val="18"/>
              </w:rPr>
            </w:pPr>
          </w:p>
        </w:tc>
        <w:tc>
          <w:tcPr>
            <w:tcW w:w="1658" w:type="dxa"/>
          </w:tcPr>
          <w:p w14:paraId="3884D40E" w14:textId="77777777" w:rsidR="00743510" w:rsidRPr="00EB5E8A" w:rsidRDefault="00743510" w:rsidP="00A62DA3">
            <w:pPr>
              <w:jc w:val="center"/>
              <w:rPr>
                <w:rFonts w:asciiTheme="majorHAnsi" w:hAnsiTheme="majorHAnsi"/>
                <w:b/>
                <w:sz w:val="20"/>
                <w:szCs w:val="18"/>
              </w:rPr>
            </w:pPr>
          </w:p>
        </w:tc>
      </w:tr>
      <w:tr w:rsidR="00743510" w:rsidRPr="00EB5E8A" w14:paraId="68827C0E" w14:textId="77777777" w:rsidTr="00A47066">
        <w:trPr>
          <w:trHeight w:val="1151"/>
          <w:jc w:val="center"/>
        </w:trPr>
        <w:tc>
          <w:tcPr>
            <w:tcW w:w="2353" w:type="dxa"/>
          </w:tcPr>
          <w:p w14:paraId="3C05E2F7" w14:textId="77777777" w:rsidR="00A47066" w:rsidRPr="00EB5E8A" w:rsidRDefault="00743510" w:rsidP="00FB5AF7">
            <w:pPr>
              <w:spacing w:line="276" w:lineRule="auto"/>
              <w:rPr>
                <w:b/>
                <w:sz w:val="20"/>
              </w:rPr>
            </w:pPr>
            <w:r w:rsidRPr="00EB5E8A">
              <w:rPr>
                <w:b/>
                <w:sz w:val="20"/>
              </w:rPr>
              <w:t>Stoma</w:t>
            </w:r>
            <w:r w:rsidR="00A47066" w:rsidRPr="00EB5E8A">
              <w:rPr>
                <w:b/>
                <w:sz w:val="20"/>
              </w:rPr>
              <w:t xml:space="preserve"> status</w:t>
            </w:r>
          </w:p>
          <w:p w14:paraId="22DA276A" w14:textId="48E0E12A" w:rsidR="00743510" w:rsidRPr="00EB5E8A" w:rsidRDefault="00A47066" w:rsidP="00FB5AF7">
            <w:pPr>
              <w:spacing w:line="276" w:lineRule="auto"/>
              <w:rPr>
                <w:b/>
                <w:sz w:val="20"/>
              </w:rPr>
            </w:pPr>
            <w:r w:rsidRPr="00EB5E8A">
              <w:rPr>
                <w:sz w:val="20"/>
              </w:rPr>
              <w:t>No Stoma</w:t>
            </w:r>
          </w:p>
          <w:p w14:paraId="3C949DDE" w14:textId="77777777" w:rsidR="00A47066" w:rsidRPr="00EB5E8A" w:rsidRDefault="00A47066" w:rsidP="00FB5AF7">
            <w:pPr>
              <w:spacing w:line="276" w:lineRule="auto"/>
              <w:rPr>
                <w:sz w:val="20"/>
              </w:rPr>
            </w:pPr>
            <w:r w:rsidRPr="00EB5E8A">
              <w:rPr>
                <w:sz w:val="20"/>
              </w:rPr>
              <w:t>Temporary Stoma</w:t>
            </w:r>
          </w:p>
          <w:p w14:paraId="7B36EDBF" w14:textId="3EFDF74E" w:rsidR="00A47066" w:rsidRPr="00EB5E8A" w:rsidRDefault="00A47066" w:rsidP="00FB5AF7">
            <w:pPr>
              <w:spacing w:line="276" w:lineRule="auto"/>
              <w:rPr>
                <w:sz w:val="20"/>
              </w:rPr>
            </w:pPr>
            <w:r w:rsidRPr="00EB5E8A">
              <w:rPr>
                <w:sz w:val="20"/>
              </w:rPr>
              <w:t>Permanent Stoma</w:t>
            </w:r>
          </w:p>
        </w:tc>
        <w:tc>
          <w:tcPr>
            <w:tcW w:w="1500" w:type="dxa"/>
          </w:tcPr>
          <w:p w14:paraId="0A2E8C1B" w14:textId="77777777" w:rsidR="00743510" w:rsidRPr="00EB5E8A" w:rsidRDefault="00743510" w:rsidP="00FB5AF7">
            <w:pPr>
              <w:spacing w:line="276" w:lineRule="auto"/>
              <w:jc w:val="center"/>
              <w:rPr>
                <w:rFonts w:asciiTheme="majorHAnsi" w:hAnsiTheme="majorHAnsi"/>
                <w:b/>
                <w:sz w:val="20"/>
                <w:szCs w:val="18"/>
              </w:rPr>
            </w:pPr>
          </w:p>
          <w:p w14:paraId="59875982" w14:textId="77777777" w:rsidR="00A47066" w:rsidRPr="00EB5E8A" w:rsidRDefault="00A47066" w:rsidP="00FB5AF7">
            <w:pPr>
              <w:spacing w:line="276" w:lineRule="auto"/>
              <w:jc w:val="center"/>
              <w:rPr>
                <w:rFonts w:asciiTheme="majorHAnsi" w:hAnsiTheme="majorHAnsi"/>
                <w:sz w:val="20"/>
                <w:szCs w:val="18"/>
              </w:rPr>
            </w:pPr>
            <w:r w:rsidRPr="00EB5E8A">
              <w:rPr>
                <w:rFonts w:asciiTheme="majorHAnsi" w:hAnsiTheme="majorHAnsi"/>
                <w:sz w:val="20"/>
                <w:szCs w:val="18"/>
              </w:rPr>
              <w:t>1</w:t>
            </w:r>
          </w:p>
          <w:p w14:paraId="3881B77B" w14:textId="0CAE433B" w:rsidR="005340EC" w:rsidRPr="00EB5E8A" w:rsidRDefault="009D47D9" w:rsidP="00FB5AF7">
            <w:pPr>
              <w:spacing w:line="276" w:lineRule="auto"/>
              <w:jc w:val="center"/>
              <w:rPr>
                <w:rFonts w:asciiTheme="majorHAnsi" w:hAnsiTheme="majorHAnsi"/>
                <w:sz w:val="20"/>
                <w:szCs w:val="18"/>
              </w:rPr>
            </w:pPr>
            <w:r w:rsidRPr="00EB5E8A">
              <w:rPr>
                <w:rFonts w:asciiTheme="majorHAnsi" w:hAnsiTheme="majorHAnsi"/>
                <w:sz w:val="20"/>
                <w:szCs w:val="18"/>
              </w:rPr>
              <w:t>1.35</w:t>
            </w:r>
          </w:p>
          <w:p w14:paraId="054BBE36" w14:textId="02432ACA" w:rsidR="005340EC" w:rsidRPr="00EB5E8A" w:rsidRDefault="009D47D9" w:rsidP="00FB5AF7">
            <w:pPr>
              <w:spacing w:line="276" w:lineRule="auto"/>
              <w:jc w:val="center"/>
              <w:rPr>
                <w:rFonts w:asciiTheme="majorHAnsi" w:hAnsiTheme="majorHAnsi"/>
                <w:b/>
                <w:sz w:val="20"/>
                <w:szCs w:val="18"/>
              </w:rPr>
            </w:pPr>
            <w:r w:rsidRPr="00EB5E8A">
              <w:rPr>
                <w:rFonts w:asciiTheme="majorHAnsi" w:hAnsiTheme="majorHAnsi"/>
                <w:b/>
                <w:sz w:val="20"/>
                <w:szCs w:val="18"/>
              </w:rPr>
              <w:t>1.70</w:t>
            </w:r>
          </w:p>
        </w:tc>
        <w:tc>
          <w:tcPr>
            <w:tcW w:w="1787" w:type="dxa"/>
            <w:gridSpan w:val="2"/>
          </w:tcPr>
          <w:p w14:paraId="6765C471" w14:textId="77777777" w:rsidR="00743510" w:rsidRPr="00EB5E8A" w:rsidRDefault="00743510" w:rsidP="00FB5AF7">
            <w:pPr>
              <w:spacing w:line="276" w:lineRule="auto"/>
              <w:jc w:val="center"/>
              <w:rPr>
                <w:rFonts w:asciiTheme="majorHAnsi" w:hAnsiTheme="majorHAnsi"/>
                <w:b/>
                <w:sz w:val="20"/>
                <w:szCs w:val="18"/>
              </w:rPr>
            </w:pPr>
          </w:p>
          <w:p w14:paraId="78D42D92" w14:textId="77777777" w:rsidR="00A47066" w:rsidRPr="00EB5E8A" w:rsidRDefault="00A47066" w:rsidP="00FB5AF7">
            <w:pPr>
              <w:spacing w:line="276" w:lineRule="auto"/>
              <w:jc w:val="center"/>
              <w:rPr>
                <w:rFonts w:asciiTheme="majorHAnsi" w:hAnsiTheme="majorHAnsi"/>
                <w:b/>
                <w:sz w:val="20"/>
                <w:szCs w:val="18"/>
              </w:rPr>
            </w:pPr>
            <w:r w:rsidRPr="00EB5E8A">
              <w:rPr>
                <w:rFonts w:asciiTheme="majorHAnsi" w:hAnsiTheme="majorHAnsi"/>
                <w:b/>
                <w:sz w:val="20"/>
                <w:szCs w:val="18"/>
              </w:rPr>
              <w:t>-</w:t>
            </w:r>
          </w:p>
          <w:p w14:paraId="007ADDDF" w14:textId="1BBDFBBD" w:rsidR="009D09AC" w:rsidRPr="00EB5E8A" w:rsidRDefault="009D47D9" w:rsidP="00FB5AF7">
            <w:pPr>
              <w:spacing w:line="276" w:lineRule="auto"/>
              <w:jc w:val="center"/>
              <w:rPr>
                <w:rFonts w:asciiTheme="majorHAnsi" w:hAnsiTheme="majorHAnsi"/>
                <w:sz w:val="20"/>
                <w:szCs w:val="18"/>
              </w:rPr>
            </w:pPr>
            <w:r w:rsidRPr="00EB5E8A">
              <w:rPr>
                <w:rFonts w:asciiTheme="majorHAnsi" w:hAnsiTheme="majorHAnsi"/>
                <w:sz w:val="20"/>
                <w:szCs w:val="18"/>
              </w:rPr>
              <w:t>0.96-1.88</w:t>
            </w:r>
          </w:p>
          <w:p w14:paraId="45CCE0FA" w14:textId="760FC571" w:rsidR="009D09AC" w:rsidRPr="00EB5E8A" w:rsidRDefault="009D47D9" w:rsidP="00FB5AF7">
            <w:pPr>
              <w:spacing w:line="276" w:lineRule="auto"/>
              <w:jc w:val="center"/>
              <w:rPr>
                <w:rFonts w:asciiTheme="majorHAnsi" w:hAnsiTheme="majorHAnsi"/>
                <w:b/>
                <w:sz w:val="20"/>
                <w:szCs w:val="18"/>
              </w:rPr>
            </w:pPr>
            <w:r w:rsidRPr="00EB5E8A">
              <w:rPr>
                <w:rFonts w:asciiTheme="majorHAnsi" w:hAnsiTheme="majorHAnsi"/>
                <w:b/>
                <w:sz w:val="20"/>
                <w:szCs w:val="18"/>
              </w:rPr>
              <w:t>1.21-2.37</w:t>
            </w:r>
          </w:p>
        </w:tc>
        <w:tc>
          <w:tcPr>
            <w:tcW w:w="1658" w:type="dxa"/>
          </w:tcPr>
          <w:p w14:paraId="70FD3DF3" w14:textId="77777777" w:rsidR="00743510" w:rsidRPr="00EB5E8A" w:rsidRDefault="00743510" w:rsidP="00FB5AF7">
            <w:pPr>
              <w:spacing w:line="276" w:lineRule="auto"/>
              <w:jc w:val="center"/>
              <w:rPr>
                <w:rFonts w:asciiTheme="majorHAnsi" w:hAnsiTheme="majorHAnsi"/>
                <w:b/>
                <w:sz w:val="20"/>
                <w:szCs w:val="18"/>
              </w:rPr>
            </w:pPr>
          </w:p>
          <w:p w14:paraId="4A97543C" w14:textId="77777777" w:rsidR="00A47066" w:rsidRPr="00EB5E8A" w:rsidRDefault="00A47066" w:rsidP="00FB5AF7">
            <w:pPr>
              <w:spacing w:line="276" w:lineRule="auto"/>
              <w:jc w:val="center"/>
              <w:rPr>
                <w:rFonts w:asciiTheme="majorHAnsi" w:hAnsiTheme="majorHAnsi"/>
                <w:sz w:val="20"/>
                <w:szCs w:val="18"/>
              </w:rPr>
            </w:pPr>
            <w:r w:rsidRPr="00EB5E8A">
              <w:rPr>
                <w:rFonts w:asciiTheme="majorHAnsi" w:hAnsiTheme="majorHAnsi"/>
                <w:sz w:val="20"/>
                <w:szCs w:val="18"/>
              </w:rPr>
              <w:t>1</w:t>
            </w:r>
          </w:p>
          <w:p w14:paraId="2A874D7A" w14:textId="345F745E" w:rsidR="00A47066" w:rsidRPr="00EB5E8A" w:rsidRDefault="00071556" w:rsidP="00FB5AF7">
            <w:pPr>
              <w:spacing w:line="276" w:lineRule="auto"/>
              <w:jc w:val="center"/>
              <w:rPr>
                <w:rFonts w:asciiTheme="majorHAnsi" w:hAnsiTheme="majorHAnsi"/>
                <w:sz w:val="20"/>
                <w:szCs w:val="18"/>
              </w:rPr>
            </w:pPr>
            <w:r w:rsidRPr="00EB5E8A">
              <w:rPr>
                <w:rFonts w:asciiTheme="majorHAnsi" w:hAnsiTheme="majorHAnsi"/>
                <w:sz w:val="20"/>
                <w:szCs w:val="18"/>
              </w:rPr>
              <w:t>1.27</w:t>
            </w:r>
          </w:p>
          <w:p w14:paraId="5FDFBBF9" w14:textId="090FB22E" w:rsidR="00A47066" w:rsidRPr="00EB5E8A" w:rsidRDefault="00071556" w:rsidP="00FB5AF7">
            <w:pPr>
              <w:spacing w:line="276" w:lineRule="auto"/>
              <w:jc w:val="center"/>
              <w:rPr>
                <w:rFonts w:asciiTheme="majorHAnsi" w:hAnsiTheme="majorHAnsi"/>
                <w:b/>
                <w:sz w:val="20"/>
                <w:szCs w:val="18"/>
              </w:rPr>
            </w:pPr>
            <w:r w:rsidRPr="00EB5E8A">
              <w:rPr>
                <w:rFonts w:asciiTheme="majorHAnsi" w:hAnsiTheme="majorHAnsi"/>
                <w:b/>
                <w:sz w:val="20"/>
                <w:szCs w:val="18"/>
              </w:rPr>
              <w:t>1.71</w:t>
            </w:r>
          </w:p>
        </w:tc>
        <w:tc>
          <w:tcPr>
            <w:tcW w:w="1658" w:type="dxa"/>
          </w:tcPr>
          <w:p w14:paraId="7FA45EE9" w14:textId="77777777" w:rsidR="00743510" w:rsidRPr="00EB5E8A" w:rsidRDefault="00743510" w:rsidP="00FB5AF7">
            <w:pPr>
              <w:spacing w:line="276" w:lineRule="auto"/>
              <w:jc w:val="center"/>
              <w:rPr>
                <w:rFonts w:asciiTheme="majorHAnsi" w:hAnsiTheme="majorHAnsi"/>
                <w:b/>
                <w:sz w:val="20"/>
                <w:szCs w:val="18"/>
              </w:rPr>
            </w:pPr>
          </w:p>
          <w:p w14:paraId="6EDC8E0B" w14:textId="57AF3496" w:rsidR="00A47066" w:rsidRPr="00EB5E8A" w:rsidRDefault="00A47066" w:rsidP="00FB5AF7">
            <w:pPr>
              <w:spacing w:line="276" w:lineRule="auto"/>
              <w:jc w:val="center"/>
              <w:rPr>
                <w:rFonts w:asciiTheme="majorHAnsi" w:hAnsiTheme="majorHAnsi"/>
                <w:sz w:val="20"/>
                <w:szCs w:val="18"/>
              </w:rPr>
            </w:pPr>
            <w:r w:rsidRPr="00EB5E8A">
              <w:rPr>
                <w:rFonts w:asciiTheme="majorHAnsi" w:hAnsiTheme="majorHAnsi"/>
                <w:b/>
                <w:sz w:val="20"/>
                <w:szCs w:val="18"/>
              </w:rPr>
              <w:t>-</w:t>
            </w:r>
            <w:r w:rsidRPr="00EB5E8A">
              <w:rPr>
                <w:rFonts w:asciiTheme="majorHAnsi" w:hAnsiTheme="majorHAnsi"/>
                <w:b/>
                <w:sz w:val="20"/>
                <w:szCs w:val="18"/>
              </w:rPr>
              <w:br/>
            </w:r>
            <w:r w:rsidR="00071556" w:rsidRPr="00EB5E8A">
              <w:rPr>
                <w:rFonts w:asciiTheme="majorHAnsi" w:hAnsiTheme="majorHAnsi"/>
                <w:sz w:val="20"/>
                <w:szCs w:val="18"/>
              </w:rPr>
              <w:t>0.90-1.79</w:t>
            </w:r>
          </w:p>
          <w:p w14:paraId="253B218A" w14:textId="66BA99F1" w:rsidR="00A47066" w:rsidRPr="00EB5E8A" w:rsidRDefault="00071556" w:rsidP="00FB5AF7">
            <w:pPr>
              <w:spacing w:line="276" w:lineRule="auto"/>
              <w:jc w:val="center"/>
              <w:rPr>
                <w:rFonts w:asciiTheme="majorHAnsi" w:hAnsiTheme="majorHAnsi"/>
                <w:b/>
                <w:sz w:val="20"/>
                <w:szCs w:val="18"/>
              </w:rPr>
            </w:pPr>
            <w:r w:rsidRPr="00EB5E8A">
              <w:rPr>
                <w:rFonts w:asciiTheme="majorHAnsi" w:hAnsiTheme="majorHAnsi"/>
                <w:b/>
                <w:sz w:val="20"/>
                <w:szCs w:val="18"/>
              </w:rPr>
              <w:t>1.20-2.44</w:t>
            </w:r>
          </w:p>
        </w:tc>
      </w:tr>
      <w:tr w:rsidR="00743510" w:rsidRPr="00EB5E8A" w14:paraId="7A25E8F8" w14:textId="1D97CAA7" w:rsidTr="00FB5AF7">
        <w:trPr>
          <w:trHeight w:val="912"/>
          <w:jc w:val="center"/>
        </w:trPr>
        <w:tc>
          <w:tcPr>
            <w:tcW w:w="2353" w:type="dxa"/>
          </w:tcPr>
          <w:p w14:paraId="4FE6359D" w14:textId="6368A8B2" w:rsidR="00743510" w:rsidRPr="00EB5E8A" w:rsidRDefault="00743510" w:rsidP="00FB5AF7">
            <w:pPr>
              <w:spacing w:line="276" w:lineRule="auto"/>
              <w:rPr>
                <w:b/>
                <w:sz w:val="20"/>
                <w:szCs w:val="20"/>
              </w:rPr>
            </w:pPr>
            <w:r w:rsidRPr="00EB5E8A">
              <w:rPr>
                <w:b/>
                <w:sz w:val="20"/>
                <w:szCs w:val="20"/>
              </w:rPr>
              <w:t>Sex</w:t>
            </w:r>
          </w:p>
          <w:p w14:paraId="4DA3BB0D" w14:textId="77777777" w:rsidR="00A47066" w:rsidRPr="00EB5E8A" w:rsidRDefault="00A47066" w:rsidP="00FB5AF7">
            <w:pPr>
              <w:spacing w:line="276" w:lineRule="auto"/>
              <w:rPr>
                <w:sz w:val="20"/>
                <w:szCs w:val="20"/>
              </w:rPr>
            </w:pPr>
            <w:r w:rsidRPr="00EB5E8A">
              <w:rPr>
                <w:sz w:val="20"/>
                <w:szCs w:val="20"/>
              </w:rPr>
              <w:t>Male</w:t>
            </w:r>
          </w:p>
          <w:p w14:paraId="67900E2C" w14:textId="7C5C0102" w:rsidR="00A47066" w:rsidRPr="00EB5E8A" w:rsidRDefault="00A47066" w:rsidP="00FB5AF7">
            <w:pPr>
              <w:spacing w:line="276" w:lineRule="auto"/>
              <w:rPr>
                <w:b/>
                <w:sz w:val="20"/>
                <w:szCs w:val="20"/>
              </w:rPr>
            </w:pPr>
            <w:r w:rsidRPr="00EB5E8A">
              <w:rPr>
                <w:sz w:val="20"/>
                <w:szCs w:val="20"/>
              </w:rPr>
              <w:t>Female</w:t>
            </w:r>
          </w:p>
        </w:tc>
        <w:tc>
          <w:tcPr>
            <w:tcW w:w="1500" w:type="dxa"/>
          </w:tcPr>
          <w:p w14:paraId="709FA91A" w14:textId="77777777" w:rsidR="00743510" w:rsidRPr="00EB5E8A" w:rsidRDefault="00743510" w:rsidP="00FB5AF7">
            <w:pPr>
              <w:spacing w:line="276" w:lineRule="auto"/>
              <w:jc w:val="center"/>
              <w:rPr>
                <w:sz w:val="20"/>
                <w:szCs w:val="20"/>
              </w:rPr>
            </w:pPr>
          </w:p>
          <w:p w14:paraId="55312205" w14:textId="773C664E" w:rsidR="00A47066" w:rsidRPr="00EB5E8A" w:rsidRDefault="009D09AC" w:rsidP="00FB5AF7">
            <w:pPr>
              <w:spacing w:line="276" w:lineRule="auto"/>
              <w:jc w:val="center"/>
              <w:rPr>
                <w:sz w:val="20"/>
                <w:szCs w:val="20"/>
              </w:rPr>
            </w:pPr>
            <w:r w:rsidRPr="00EB5E8A">
              <w:rPr>
                <w:sz w:val="20"/>
                <w:szCs w:val="20"/>
              </w:rPr>
              <w:t>1</w:t>
            </w:r>
          </w:p>
          <w:p w14:paraId="1C7C9ED4" w14:textId="63BFFE8F" w:rsidR="00A47066" w:rsidRPr="00EB5E8A" w:rsidRDefault="009D47D9" w:rsidP="00FB5AF7">
            <w:pPr>
              <w:spacing w:line="276" w:lineRule="auto"/>
              <w:jc w:val="center"/>
              <w:rPr>
                <w:b/>
                <w:sz w:val="20"/>
                <w:szCs w:val="20"/>
              </w:rPr>
            </w:pPr>
            <w:r w:rsidRPr="00EB5E8A">
              <w:rPr>
                <w:b/>
                <w:sz w:val="20"/>
                <w:szCs w:val="20"/>
              </w:rPr>
              <w:t>1.62</w:t>
            </w:r>
          </w:p>
        </w:tc>
        <w:tc>
          <w:tcPr>
            <w:tcW w:w="1787" w:type="dxa"/>
            <w:gridSpan w:val="2"/>
          </w:tcPr>
          <w:p w14:paraId="6D88FF27" w14:textId="77777777" w:rsidR="00743510" w:rsidRPr="00EB5E8A" w:rsidRDefault="00743510" w:rsidP="00FB5AF7">
            <w:pPr>
              <w:spacing w:line="276" w:lineRule="auto"/>
              <w:jc w:val="center"/>
              <w:rPr>
                <w:sz w:val="20"/>
                <w:szCs w:val="20"/>
              </w:rPr>
            </w:pPr>
          </w:p>
          <w:p w14:paraId="3BB16B69" w14:textId="77777777" w:rsidR="009D09AC" w:rsidRPr="00EB5E8A" w:rsidRDefault="009D09AC" w:rsidP="00FB5AF7">
            <w:pPr>
              <w:spacing w:line="276" w:lineRule="auto"/>
              <w:jc w:val="center"/>
              <w:rPr>
                <w:sz w:val="20"/>
                <w:szCs w:val="20"/>
              </w:rPr>
            </w:pPr>
            <w:r w:rsidRPr="00EB5E8A">
              <w:rPr>
                <w:sz w:val="20"/>
                <w:szCs w:val="20"/>
              </w:rPr>
              <w:t>-</w:t>
            </w:r>
          </w:p>
          <w:p w14:paraId="73E5F39E" w14:textId="23DCBCF9" w:rsidR="009D09AC" w:rsidRPr="00EB5E8A" w:rsidRDefault="009D47D9" w:rsidP="00FB5AF7">
            <w:pPr>
              <w:spacing w:line="276" w:lineRule="auto"/>
              <w:jc w:val="center"/>
              <w:rPr>
                <w:b/>
                <w:sz w:val="20"/>
                <w:szCs w:val="20"/>
              </w:rPr>
            </w:pPr>
            <w:r w:rsidRPr="00EB5E8A">
              <w:rPr>
                <w:b/>
                <w:sz w:val="20"/>
                <w:szCs w:val="20"/>
              </w:rPr>
              <w:t>1.24-2.12</w:t>
            </w:r>
          </w:p>
        </w:tc>
        <w:tc>
          <w:tcPr>
            <w:tcW w:w="1658" w:type="dxa"/>
          </w:tcPr>
          <w:p w14:paraId="58F2EAE3" w14:textId="77777777" w:rsidR="00743510" w:rsidRPr="00EB5E8A" w:rsidRDefault="00743510" w:rsidP="00FB5AF7">
            <w:pPr>
              <w:spacing w:line="276" w:lineRule="auto"/>
              <w:jc w:val="center"/>
              <w:rPr>
                <w:sz w:val="20"/>
                <w:szCs w:val="20"/>
              </w:rPr>
            </w:pPr>
          </w:p>
          <w:p w14:paraId="7A29F4D5" w14:textId="77777777" w:rsidR="00A47066" w:rsidRPr="00EB5E8A" w:rsidRDefault="00A47066" w:rsidP="00FB5AF7">
            <w:pPr>
              <w:spacing w:line="276" w:lineRule="auto"/>
              <w:jc w:val="center"/>
              <w:rPr>
                <w:sz w:val="20"/>
                <w:szCs w:val="20"/>
              </w:rPr>
            </w:pPr>
            <w:r w:rsidRPr="00EB5E8A">
              <w:rPr>
                <w:sz w:val="20"/>
                <w:szCs w:val="20"/>
              </w:rPr>
              <w:t>1</w:t>
            </w:r>
          </w:p>
          <w:p w14:paraId="57BFF4F9" w14:textId="43C8CDEF" w:rsidR="00A47066" w:rsidRPr="00EB5E8A" w:rsidRDefault="00071556" w:rsidP="00FB5AF7">
            <w:pPr>
              <w:spacing w:line="276" w:lineRule="auto"/>
              <w:jc w:val="center"/>
              <w:rPr>
                <w:b/>
                <w:sz w:val="20"/>
                <w:szCs w:val="20"/>
              </w:rPr>
            </w:pPr>
            <w:r w:rsidRPr="00EB5E8A">
              <w:rPr>
                <w:b/>
                <w:sz w:val="20"/>
                <w:szCs w:val="20"/>
              </w:rPr>
              <w:t>1.54</w:t>
            </w:r>
          </w:p>
        </w:tc>
        <w:tc>
          <w:tcPr>
            <w:tcW w:w="1658" w:type="dxa"/>
          </w:tcPr>
          <w:p w14:paraId="5C483BC3" w14:textId="77777777" w:rsidR="008F2EE9" w:rsidRPr="00EB5E8A" w:rsidRDefault="008F2EE9" w:rsidP="008F2EE9">
            <w:pPr>
              <w:spacing w:line="276" w:lineRule="auto"/>
              <w:rPr>
                <w:sz w:val="20"/>
                <w:szCs w:val="20"/>
              </w:rPr>
            </w:pPr>
          </w:p>
          <w:p w14:paraId="63463B63" w14:textId="57384078" w:rsidR="00A47066" w:rsidRPr="00EB5E8A" w:rsidRDefault="00A47066" w:rsidP="008F2EE9">
            <w:pPr>
              <w:spacing w:line="276" w:lineRule="auto"/>
              <w:jc w:val="center"/>
              <w:rPr>
                <w:sz w:val="20"/>
                <w:szCs w:val="20"/>
              </w:rPr>
            </w:pPr>
            <w:r w:rsidRPr="00EB5E8A">
              <w:rPr>
                <w:sz w:val="20"/>
                <w:szCs w:val="20"/>
              </w:rPr>
              <w:t>-</w:t>
            </w:r>
            <w:r w:rsidR="008F2EE9" w:rsidRPr="00EB5E8A">
              <w:rPr>
                <w:sz w:val="20"/>
                <w:szCs w:val="20"/>
              </w:rPr>
              <w:br/>
            </w:r>
            <w:r w:rsidR="00071556" w:rsidRPr="00EB5E8A">
              <w:rPr>
                <w:b/>
                <w:sz w:val="20"/>
                <w:szCs w:val="20"/>
              </w:rPr>
              <w:t>1.17-2.0</w:t>
            </w:r>
            <w:r w:rsidRPr="00EB5E8A">
              <w:rPr>
                <w:b/>
                <w:sz w:val="20"/>
                <w:szCs w:val="20"/>
              </w:rPr>
              <w:t>3</w:t>
            </w:r>
          </w:p>
        </w:tc>
      </w:tr>
      <w:tr w:rsidR="00743510" w:rsidRPr="00EB5E8A" w14:paraId="6CF302C2" w14:textId="18613330" w:rsidTr="00E6150E">
        <w:trPr>
          <w:trHeight w:val="414"/>
          <w:jc w:val="center"/>
        </w:trPr>
        <w:tc>
          <w:tcPr>
            <w:tcW w:w="2353" w:type="dxa"/>
            <w:hideMark/>
          </w:tcPr>
          <w:p w14:paraId="1B675D3E" w14:textId="4DCF2529" w:rsidR="00743510" w:rsidRPr="00EB5E8A" w:rsidRDefault="00743510" w:rsidP="00E6150E">
            <w:pPr>
              <w:spacing w:line="276" w:lineRule="auto"/>
              <w:rPr>
                <w:sz w:val="20"/>
                <w:szCs w:val="20"/>
              </w:rPr>
            </w:pPr>
            <w:r w:rsidRPr="00EB5E8A">
              <w:rPr>
                <w:b/>
                <w:sz w:val="20"/>
                <w:szCs w:val="20"/>
              </w:rPr>
              <w:t xml:space="preserve">Age at surgery </w:t>
            </w:r>
          </w:p>
        </w:tc>
        <w:tc>
          <w:tcPr>
            <w:tcW w:w="1500" w:type="dxa"/>
          </w:tcPr>
          <w:p w14:paraId="70DEEB02" w14:textId="6F11B3D5" w:rsidR="009D09AC" w:rsidRPr="00EB5E8A" w:rsidRDefault="00E6150E" w:rsidP="00E6150E">
            <w:pPr>
              <w:spacing w:line="276" w:lineRule="auto"/>
              <w:jc w:val="center"/>
              <w:rPr>
                <w:sz w:val="20"/>
                <w:szCs w:val="20"/>
              </w:rPr>
            </w:pPr>
            <w:r w:rsidRPr="00EB5E8A">
              <w:rPr>
                <w:sz w:val="20"/>
                <w:szCs w:val="20"/>
              </w:rPr>
              <w:t>1.00</w:t>
            </w:r>
          </w:p>
        </w:tc>
        <w:tc>
          <w:tcPr>
            <w:tcW w:w="1787" w:type="dxa"/>
            <w:gridSpan w:val="2"/>
          </w:tcPr>
          <w:p w14:paraId="6E516C89" w14:textId="152CF535" w:rsidR="009D09AC" w:rsidRPr="00EB5E8A" w:rsidRDefault="00E6150E" w:rsidP="00FB5AF7">
            <w:pPr>
              <w:spacing w:line="276" w:lineRule="auto"/>
              <w:jc w:val="center"/>
              <w:rPr>
                <w:sz w:val="20"/>
                <w:szCs w:val="20"/>
              </w:rPr>
            </w:pPr>
            <w:r w:rsidRPr="00EB5E8A">
              <w:rPr>
                <w:sz w:val="20"/>
                <w:szCs w:val="20"/>
              </w:rPr>
              <w:t>0.99-1.00</w:t>
            </w:r>
          </w:p>
        </w:tc>
        <w:tc>
          <w:tcPr>
            <w:tcW w:w="1658" w:type="dxa"/>
          </w:tcPr>
          <w:p w14:paraId="3C92F5F8" w14:textId="2F04E84A" w:rsidR="00FB5AF7" w:rsidRPr="00EB5E8A" w:rsidRDefault="00E6150E" w:rsidP="00FB5AF7">
            <w:pPr>
              <w:spacing w:line="276" w:lineRule="auto"/>
              <w:jc w:val="center"/>
              <w:rPr>
                <w:sz w:val="20"/>
                <w:szCs w:val="20"/>
              </w:rPr>
            </w:pPr>
            <w:r w:rsidRPr="00EB5E8A">
              <w:rPr>
                <w:sz w:val="20"/>
                <w:szCs w:val="20"/>
              </w:rPr>
              <w:t>1.00</w:t>
            </w:r>
          </w:p>
        </w:tc>
        <w:tc>
          <w:tcPr>
            <w:tcW w:w="1658" w:type="dxa"/>
          </w:tcPr>
          <w:p w14:paraId="63F57354" w14:textId="22BF6154" w:rsidR="00FB5AF7" w:rsidRPr="00EB5E8A" w:rsidRDefault="00E6150E" w:rsidP="00FB5AF7">
            <w:pPr>
              <w:spacing w:line="276" w:lineRule="auto"/>
              <w:jc w:val="center"/>
              <w:rPr>
                <w:sz w:val="20"/>
                <w:szCs w:val="20"/>
              </w:rPr>
            </w:pPr>
            <w:r w:rsidRPr="00EB5E8A">
              <w:rPr>
                <w:sz w:val="20"/>
                <w:szCs w:val="20"/>
              </w:rPr>
              <w:t>0.99-1.00</w:t>
            </w:r>
          </w:p>
        </w:tc>
      </w:tr>
      <w:tr w:rsidR="00743510" w:rsidRPr="00EB5E8A" w14:paraId="5EC1AA04" w14:textId="5A5654E0" w:rsidTr="00A62DA3">
        <w:trPr>
          <w:trHeight w:val="1303"/>
          <w:jc w:val="center"/>
        </w:trPr>
        <w:tc>
          <w:tcPr>
            <w:tcW w:w="2353" w:type="dxa"/>
            <w:hideMark/>
          </w:tcPr>
          <w:p w14:paraId="41BDBA3F" w14:textId="502CDD64" w:rsidR="00743510" w:rsidRPr="00EB5E8A" w:rsidRDefault="00743510" w:rsidP="00FB5AF7">
            <w:pPr>
              <w:spacing w:line="276" w:lineRule="auto"/>
              <w:rPr>
                <w:b/>
                <w:sz w:val="20"/>
                <w:szCs w:val="20"/>
              </w:rPr>
            </w:pPr>
            <w:r w:rsidRPr="00EB5E8A">
              <w:rPr>
                <w:b/>
                <w:sz w:val="20"/>
                <w:szCs w:val="20"/>
              </w:rPr>
              <w:t>Social deprivation</w:t>
            </w:r>
          </w:p>
          <w:p w14:paraId="269EE0C6" w14:textId="77777777" w:rsidR="00743510" w:rsidRPr="00EB5E8A" w:rsidRDefault="00743510" w:rsidP="00FB5AF7">
            <w:pPr>
              <w:spacing w:line="276" w:lineRule="auto"/>
              <w:rPr>
                <w:sz w:val="20"/>
                <w:szCs w:val="20"/>
              </w:rPr>
            </w:pPr>
            <w:r w:rsidRPr="00EB5E8A">
              <w:rPr>
                <w:sz w:val="20"/>
                <w:szCs w:val="20"/>
              </w:rPr>
              <w:t>IMD 1-3</w:t>
            </w:r>
            <w:r w:rsidRPr="00EB5E8A">
              <w:rPr>
                <w:sz w:val="20"/>
                <w:szCs w:val="20"/>
              </w:rPr>
              <w:br/>
              <w:t>IMD 4-5</w:t>
            </w:r>
            <w:r w:rsidRPr="00EB5E8A">
              <w:rPr>
                <w:sz w:val="20"/>
                <w:szCs w:val="20"/>
              </w:rPr>
              <w:br/>
              <w:t>Unknown</w:t>
            </w:r>
          </w:p>
        </w:tc>
        <w:tc>
          <w:tcPr>
            <w:tcW w:w="1500" w:type="dxa"/>
          </w:tcPr>
          <w:p w14:paraId="2560F3A7" w14:textId="77777777" w:rsidR="00743510" w:rsidRPr="00EB5E8A" w:rsidRDefault="00743510" w:rsidP="00FB5AF7">
            <w:pPr>
              <w:spacing w:line="276" w:lineRule="auto"/>
              <w:jc w:val="center"/>
              <w:rPr>
                <w:sz w:val="20"/>
                <w:szCs w:val="20"/>
              </w:rPr>
            </w:pPr>
          </w:p>
          <w:p w14:paraId="13701B4C" w14:textId="77777777" w:rsidR="003431BC" w:rsidRPr="00EB5E8A" w:rsidRDefault="003431BC" w:rsidP="00FB5AF7">
            <w:pPr>
              <w:spacing w:line="276" w:lineRule="auto"/>
              <w:jc w:val="center"/>
              <w:rPr>
                <w:sz w:val="20"/>
                <w:szCs w:val="20"/>
              </w:rPr>
            </w:pPr>
            <w:r w:rsidRPr="00EB5E8A">
              <w:rPr>
                <w:sz w:val="20"/>
                <w:szCs w:val="20"/>
              </w:rPr>
              <w:t>1</w:t>
            </w:r>
          </w:p>
          <w:p w14:paraId="47A0BCAF" w14:textId="3F7A3DF9" w:rsidR="003431BC" w:rsidRPr="00EB5E8A" w:rsidRDefault="003431BC" w:rsidP="00FB5AF7">
            <w:pPr>
              <w:spacing w:line="276" w:lineRule="auto"/>
              <w:jc w:val="center"/>
              <w:rPr>
                <w:sz w:val="20"/>
                <w:szCs w:val="20"/>
              </w:rPr>
            </w:pPr>
            <w:r w:rsidRPr="00EB5E8A">
              <w:rPr>
                <w:sz w:val="20"/>
                <w:szCs w:val="20"/>
              </w:rPr>
              <w:t>1.2</w:t>
            </w:r>
            <w:r w:rsidR="009D47D9" w:rsidRPr="00EB5E8A">
              <w:rPr>
                <w:sz w:val="20"/>
                <w:szCs w:val="20"/>
              </w:rPr>
              <w:t>0</w:t>
            </w:r>
          </w:p>
          <w:p w14:paraId="5D02C679" w14:textId="07260112" w:rsidR="003431BC" w:rsidRPr="00EB5E8A" w:rsidRDefault="009D47D9" w:rsidP="00FB5AF7">
            <w:pPr>
              <w:spacing w:line="276" w:lineRule="auto"/>
              <w:jc w:val="center"/>
              <w:rPr>
                <w:sz w:val="20"/>
                <w:szCs w:val="20"/>
              </w:rPr>
            </w:pPr>
            <w:r w:rsidRPr="00EB5E8A">
              <w:rPr>
                <w:sz w:val="20"/>
                <w:szCs w:val="20"/>
              </w:rPr>
              <w:t>1.15</w:t>
            </w:r>
          </w:p>
        </w:tc>
        <w:tc>
          <w:tcPr>
            <w:tcW w:w="1787" w:type="dxa"/>
            <w:gridSpan w:val="2"/>
          </w:tcPr>
          <w:p w14:paraId="3FFABBF4" w14:textId="77777777" w:rsidR="00743510" w:rsidRPr="00EB5E8A" w:rsidRDefault="00743510" w:rsidP="00FB5AF7">
            <w:pPr>
              <w:spacing w:line="276" w:lineRule="auto"/>
              <w:jc w:val="center"/>
              <w:rPr>
                <w:sz w:val="20"/>
                <w:szCs w:val="20"/>
              </w:rPr>
            </w:pPr>
          </w:p>
          <w:p w14:paraId="11095151" w14:textId="77777777" w:rsidR="003431BC" w:rsidRPr="00EB5E8A" w:rsidRDefault="003431BC" w:rsidP="00FB5AF7">
            <w:pPr>
              <w:spacing w:line="276" w:lineRule="auto"/>
              <w:jc w:val="center"/>
              <w:rPr>
                <w:sz w:val="20"/>
                <w:szCs w:val="20"/>
              </w:rPr>
            </w:pPr>
            <w:r w:rsidRPr="00EB5E8A">
              <w:rPr>
                <w:sz w:val="20"/>
                <w:szCs w:val="20"/>
              </w:rPr>
              <w:t>-</w:t>
            </w:r>
          </w:p>
          <w:p w14:paraId="1F1C5F14" w14:textId="2C3D36D4" w:rsidR="003431BC" w:rsidRPr="00EB5E8A" w:rsidRDefault="009D47D9" w:rsidP="00FB5AF7">
            <w:pPr>
              <w:spacing w:line="276" w:lineRule="auto"/>
              <w:jc w:val="center"/>
              <w:rPr>
                <w:sz w:val="20"/>
                <w:szCs w:val="20"/>
              </w:rPr>
            </w:pPr>
            <w:r w:rsidRPr="00EB5E8A">
              <w:rPr>
                <w:sz w:val="20"/>
                <w:szCs w:val="20"/>
              </w:rPr>
              <w:t>0.86-1.67</w:t>
            </w:r>
          </w:p>
          <w:p w14:paraId="2872FE7C" w14:textId="4F439332" w:rsidR="00CA6A20" w:rsidRPr="00EB5E8A" w:rsidRDefault="009D47D9" w:rsidP="00FB5AF7">
            <w:pPr>
              <w:spacing w:line="276" w:lineRule="auto"/>
              <w:jc w:val="center"/>
              <w:rPr>
                <w:sz w:val="20"/>
                <w:szCs w:val="20"/>
              </w:rPr>
            </w:pPr>
            <w:r w:rsidRPr="00EB5E8A">
              <w:rPr>
                <w:sz w:val="20"/>
                <w:szCs w:val="20"/>
              </w:rPr>
              <w:t>0.86-1.55</w:t>
            </w:r>
          </w:p>
        </w:tc>
        <w:tc>
          <w:tcPr>
            <w:tcW w:w="1658" w:type="dxa"/>
          </w:tcPr>
          <w:p w14:paraId="0EF64AE5" w14:textId="77777777" w:rsidR="00743510" w:rsidRPr="00EB5E8A" w:rsidRDefault="00743510" w:rsidP="00FB5AF7">
            <w:pPr>
              <w:spacing w:line="276" w:lineRule="auto"/>
              <w:jc w:val="center"/>
              <w:rPr>
                <w:sz w:val="20"/>
                <w:szCs w:val="20"/>
              </w:rPr>
            </w:pPr>
          </w:p>
          <w:p w14:paraId="19A3EAF1" w14:textId="77777777" w:rsidR="00FB5AF7" w:rsidRPr="00EB5E8A" w:rsidRDefault="00FB5AF7" w:rsidP="00FB5AF7">
            <w:pPr>
              <w:spacing w:line="276" w:lineRule="auto"/>
              <w:jc w:val="center"/>
              <w:rPr>
                <w:sz w:val="20"/>
                <w:szCs w:val="20"/>
              </w:rPr>
            </w:pPr>
            <w:r w:rsidRPr="00EB5E8A">
              <w:rPr>
                <w:sz w:val="20"/>
                <w:szCs w:val="20"/>
              </w:rPr>
              <w:t>1</w:t>
            </w:r>
          </w:p>
          <w:p w14:paraId="77137BE6" w14:textId="21A35BB2" w:rsidR="00FB5AF7" w:rsidRPr="00EB5E8A" w:rsidRDefault="00071556" w:rsidP="00FB5AF7">
            <w:pPr>
              <w:spacing w:line="276" w:lineRule="auto"/>
              <w:jc w:val="center"/>
              <w:rPr>
                <w:sz w:val="20"/>
                <w:szCs w:val="20"/>
              </w:rPr>
            </w:pPr>
            <w:r w:rsidRPr="00EB5E8A">
              <w:rPr>
                <w:sz w:val="20"/>
                <w:szCs w:val="20"/>
              </w:rPr>
              <w:t>1.03</w:t>
            </w:r>
          </w:p>
          <w:p w14:paraId="2BE3D726" w14:textId="1832830E" w:rsidR="00FB5AF7" w:rsidRPr="00EB5E8A" w:rsidRDefault="00071556" w:rsidP="00FB5AF7">
            <w:pPr>
              <w:spacing w:line="276" w:lineRule="auto"/>
              <w:jc w:val="center"/>
              <w:rPr>
                <w:sz w:val="20"/>
                <w:szCs w:val="20"/>
              </w:rPr>
            </w:pPr>
            <w:r w:rsidRPr="00EB5E8A">
              <w:rPr>
                <w:sz w:val="20"/>
                <w:szCs w:val="20"/>
              </w:rPr>
              <w:t>1.10</w:t>
            </w:r>
          </w:p>
        </w:tc>
        <w:tc>
          <w:tcPr>
            <w:tcW w:w="1658" w:type="dxa"/>
          </w:tcPr>
          <w:p w14:paraId="48FBB1A4" w14:textId="77777777" w:rsidR="00743510" w:rsidRPr="00EB5E8A" w:rsidRDefault="00743510" w:rsidP="00FB5AF7">
            <w:pPr>
              <w:spacing w:line="276" w:lineRule="auto"/>
              <w:jc w:val="center"/>
              <w:rPr>
                <w:sz w:val="20"/>
                <w:szCs w:val="20"/>
              </w:rPr>
            </w:pPr>
          </w:p>
          <w:p w14:paraId="7ADAAF40" w14:textId="77777777" w:rsidR="00FB5AF7" w:rsidRPr="00EB5E8A" w:rsidRDefault="00FB5AF7" w:rsidP="00FB5AF7">
            <w:pPr>
              <w:spacing w:line="276" w:lineRule="auto"/>
              <w:jc w:val="center"/>
              <w:rPr>
                <w:sz w:val="20"/>
                <w:szCs w:val="20"/>
              </w:rPr>
            </w:pPr>
            <w:r w:rsidRPr="00EB5E8A">
              <w:rPr>
                <w:sz w:val="20"/>
                <w:szCs w:val="20"/>
              </w:rPr>
              <w:t>-</w:t>
            </w:r>
          </w:p>
          <w:p w14:paraId="0B709CF8" w14:textId="5CD2FE12" w:rsidR="00FB5AF7" w:rsidRPr="00EB5E8A" w:rsidRDefault="00071556" w:rsidP="00FB5AF7">
            <w:pPr>
              <w:spacing w:line="276" w:lineRule="auto"/>
              <w:jc w:val="center"/>
              <w:rPr>
                <w:sz w:val="20"/>
                <w:szCs w:val="20"/>
              </w:rPr>
            </w:pPr>
            <w:r w:rsidRPr="00EB5E8A">
              <w:rPr>
                <w:sz w:val="20"/>
                <w:szCs w:val="20"/>
              </w:rPr>
              <w:t>0.74-1.44</w:t>
            </w:r>
          </w:p>
          <w:p w14:paraId="3D02FCC7" w14:textId="311CB2C5" w:rsidR="00FB5AF7" w:rsidRPr="00EB5E8A" w:rsidRDefault="00071556" w:rsidP="00FB5AF7">
            <w:pPr>
              <w:spacing w:line="276" w:lineRule="auto"/>
              <w:jc w:val="center"/>
              <w:rPr>
                <w:sz w:val="20"/>
                <w:szCs w:val="20"/>
              </w:rPr>
            </w:pPr>
            <w:r w:rsidRPr="00EB5E8A">
              <w:rPr>
                <w:sz w:val="20"/>
                <w:szCs w:val="20"/>
              </w:rPr>
              <w:t>0.81-1.49</w:t>
            </w:r>
          </w:p>
        </w:tc>
      </w:tr>
      <w:tr w:rsidR="00743510" w:rsidRPr="00EB5E8A" w14:paraId="1E84714F" w14:textId="36A82B3F" w:rsidTr="00A62DA3">
        <w:trPr>
          <w:trHeight w:val="1247"/>
          <w:jc w:val="center"/>
        </w:trPr>
        <w:tc>
          <w:tcPr>
            <w:tcW w:w="2353" w:type="dxa"/>
          </w:tcPr>
          <w:p w14:paraId="46A433CB" w14:textId="2D814374" w:rsidR="00743510" w:rsidRPr="00EB5E8A" w:rsidRDefault="00743510" w:rsidP="00FB5AF7">
            <w:pPr>
              <w:spacing w:line="276" w:lineRule="auto"/>
              <w:rPr>
                <w:b/>
                <w:sz w:val="20"/>
                <w:szCs w:val="20"/>
              </w:rPr>
            </w:pPr>
            <w:r w:rsidRPr="00EB5E8A">
              <w:rPr>
                <w:b/>
                <w:sz w:val="20"/>
                <w:szCs w:val="20"/>
              </w:rPr>
              <w:t>Smoking status</w:t>
            </w:r>
          </w:p>
          <w:p w14:paraId="2463D282" w14:textId="77777777" w:rsidR="00743510" w:rsidRPr="00EB5E8A" w:rsidRDefault="00743510" w:rsidP="00FB5AF7">
            <w:pPr>
              <w:spacing w:line="276" w:lineRule="auto"/>
              <w:rPr>
                <w:sz w:val="20"/>
                <w:szCs w:val="20"/>
              </w:rPr>
            </w:pPr>
            <w:r w:rsidRPr="00EB5E8A">
              <w:rPr>
                <w:sz w:val="20"/>
                <w:szCs w:val="20"/>
              </w:rPr>
              <w:t>Never-Smoker</w:t>
            </w:r>
          </w:p>
          <w:p w14:paraId="248F7DF3" w14:textId="77777777" w:rsidR="00743510" w:rsidRPr="00EB5E8A" w:rsidRDefault="00743510" w:rsidP="00FB5AF7">
            <w:pPr>
              <w:spacing w:line="276" w:lineRule="auto"/>
              <w:rPr>
                <w:sz w:val="20"/>
                <w:szCs w:val="20"/>
              </w:rPr>
            </w:pPr>
            <w:r w:rsidRPr="00EB5E8A">
              <w:rPr>
                <w:sz w:val="20"/>
                <w:szCs w:val="20"/>
              </w:rPr>
              <w:t>Ex-Smoker</w:t>
            </w:r>
          </w:p>
          <w:p w14:paraId="2FDF9A03" w14:textId="77777777" w:rsidR="00743510" w:rsidRPr="00EB5E8A" w:rsidRDefault="00743510" w:rsidP="00FB5AF7">
            <w:pPr>
              <w:spacing w:line="276" w:lineRule="auto"/>
              <w:rPr>
                <w:sz w:val="20"/>
                <w:szCs w:val="20"/>
              </w:rPr>
            </w:pPr>
            <w:r w:rsidRPr="00EB5E8A">
              <w:rPr>
                <w:sz w:val="20"/>
                <w:szCs w:val="20"/>
              </w:rPr>
              <w:t>Smoker</w:t>
            </w:r>
          </w:p>
        </w:tc>
        <w:tc>
          <w:tcPr>
            <w:tcW w:w="1500" w:type="dxa"/>
          </w:tcPr>
          <w:p w14:paraId="3AE06C9A" w14:textId="77777777" w:rsidR="00743510" w:rsidRPr="00EB5E8A" w:rsidRDefault="00743510" w:rsidP="00FB5AF7">
            <w:pPr>
              <w:spacing w:line="276" w:lineRule="auto"/>
              <w:jc w:val="center"/>
              <w:rPr>
                <w:sz w:val="20"/>
                <w:szCs w:val="20"/>
              </w:rPr>
            </w:pPr>
          </w:p>
          <w:p w14:paraId="4EB33446" w14:textId="77777777" w:rsidR="00CA6A20" w:rsidRPr="00EB5E8A" w:rsidRDefault="00CA6A20" w:rsidP="00FB5AF7">
            <w:pPr>
              <w:spacing w:line="276" w:lineRule="auto"/>
              <w:jc w:val="center"/>
              <w:rPr>
                <w:sz w:val="20"/>
                <w:szCs w:val="20"/>
              </w:rPr>
            </w:pPr>
            <w:r w:rsidRPr="00EB5E8A">
              <w:rPr>
                <w:sz w:val="20"/>
                <w:szCs w:val="20"/>
              </w:rPr>
              <w:t>1</w:t>
            </w:r>
          </w:p>
          <w:p w14:paraId="4ED2A962" w14:textId="429AC099" w:rsidR="00CA6A20" w:rsidRPr="00EB5E8A" w:rsidRDefault="009D47D9" w:rsidP="00FB5AF7">
            <w:pPr>
              <w:spacing w:line="276" w:lineRule="auto"/>
              <w:jc w:val="center"/>
              <w:rPr>
                <w:sz w:val="20"/>
                <w:szCs w:val="20"/>
              </w:rPr>
            </w:pPr>
            <w:r w:rsidRPr="00EB5E8A">
              <w:rPr>
                <w:sz w:val="20"/>
                <w:szCs w:val="20"/>
              </w:rPr>
              <w:t>0.90</w:t>
            </w:r>
          </w:p>
          <w:p w14:paraId="02B8F0EB" w14:textId="0FA825C6" w:rsidR="00CA6A20" w:rsidRPr="00EB5E8A" w:rsidRDefault="009D47D9" w:rsidP="00FB5AF7">
            <w:pPr>
              <w:spacing w:line="276" w:lineRule="auto"/>
              <w:jc w:val="center"/>
              <w:rPr>
                <w:sz w:val="20"/>
                <w:szCs w:val="20"/>
              </w:rPr>
            </w:pPr>
            <w:r w:rsidRPr="00EB5E8A">
              <w:rPr>
                <w:sz w:val="20"/>
                <w:szCs w:val="20"/>
              </w:rPr>
              <w:t>1.17</w:t>
            </w:r>
          </w:p>
          <w:p w14:paraId="1D212F2C" w14:textId="1E96A8B5" w:rsidR="00CA6A20" w:rsidRPr="00EB5E8A" w:rsidRDefault="00CA6A20" w:rsidP="00FB5AF7">
            <w:pPr>
              <w:spacing w:line="276" w:lineRule="auto"/>
              <w:jc w:val="center"/>
              <w:rPr>
                <w:sz w:val="20"/>
                <w:szCs w:val="20"/>
              </w:rPr>
            </w:pPr>
          </w:p>
        </w:tc>
        <w:tc>
          <w:tcPr>
            <w:tcW w:w="1787" w:type="dxa"/>
            <w:gridSpan w:val="2"/>
          </w:tcPr>
          <w:p w14:paraId="4407737F" w14:textId="77777777" w:rsidR="00743510" w:rsidRPr="00EB5E8A" w:rsidRDefault="00743510" w:rsidP="00FB5AF7">
            <w:pPr>
              <w:spacing w:line="276" w:lineRule="auto"/>
              <w:jc w:val="center"/>
              <w:rPr>
                <w:sz w:val="20"/>
                <w:szCs w:val="20"/>
              </w:rPr>
            </w:pPr>
          </w:p>
          <w:p w14:paraId="6CE6B3EA" w14:textId="77777777" w:rsidR="00CA6A20" w:rsidRPr="00EB5E8A" w:rsidRDefault="00CA6A20" w:rsidP="00FB5AF7">
            <w:pPr>
              <w:spacing w:line="276" w:lineRule="auto"/>
              <w:jc w:val="center"/>
              <w:rPr>
                <w:sz w:val="20"/>
                <w:szCs w:val="20"/>
              </w:rPr>
            </w:pPr>
            <w:r w:rsidRPr="00EB5E8A">
              <w:rPr>
                <w:sz w:val="20"/>
                <w:szCs w:val="20"/>
              </w:rPr>
              <w:t>-</w:t>
            </w:r>
          </w:p>
          <w:p w14:paraId="2A9BACD3" w14:textId="288F5EB4" w:rsidR="00CA6A20" w:rsidRPr="00EB5E8A" w:rsidRDefault="009D47D9" w:rsidP="00CA6A20">
            <w:pPr>
              <w:spacing w:line="276" w:lineRule="auto"/>
              <w:jc w:val="center"/>
              <w:rPr>
                <w:sz w:val="20"/>
                <w:szCs w:val="20"/>
              </w:rPr>
            </w:pPr>
            <w:r w:rsidRPr="00EB5E8A">
              <w:rPr>
                <w:sz w:val="20"/>
                <w:szCs w:val="20"/>
              </w:rPr>
              <w:t>0.60-1.37</w:t>
            </w:r>
          </w:p>
          <w:p w14:paraId="574DE537" w14:textId="0DA3D555" w:rsidR="00CA6A20" w:rsidRPr="00EB5E8A" w:rsidRDefault="009D47D9" w:rsidP="00CA6A20">
            <w:pPr>
              <w:spacing w:line="276" w:lineRule="auto"/>
              <w:jc w:val="center"/>
              <w:rPr>
                <w:sz w:val="20"/>
                <w:szCs w:val="20"/>
              </w:rPr>
            </w:pPr>
            <w:r w:rsidRPr="00EB5E8A">
              <w:rPr>
                <w:sz w:val="20"/>
                <w:szCs w:val="20"/>
              </w:rPr>
              <w:t>0.86-1.61</w:t>
            </w:r>
          </w:p>
        </w:tc>
        <w:tc>
          <w:tcPr>
            <w:tcW w:w="1658" w:type="dxa"/>
          </w:tcPr>
          <w:p w14:paraId="4D032DCD" w14:textId="77777777" w:rsidR="00743510" w:rsidRPr="00EB5E8A" w:rsidRDefault="00743510" w:rsidP="00FB5AF7">
            <w:pPr>
              <w:spacing w:line="276" w:lineRule="auto"/>
              <w:jc w:val="center"/>
              <w:rPr>
                <w:sz w:val="20"/>
                <w:szCs w:val="20"/>
              </w:rPr>
            </w:pPr>
          </w:p>
          <w:p w14:paraId="411587FF" w14:textId="77777777" w:rsidR="00A07922" w:rsidRPr="00EB5E8A" w:rsidRDefault="00A07922" w:rsidP="00FB5AF7">
            <w:pPr>
              <w:spacing w:line="276" w:lineRule="auto"/>
              <w:jc w:val="center"/>
              <w:rPr>
                <w:sz w:val="20"/>
                <w:szCs w:val="20"/>
              </w:rPr>
            </w:pPr>
            <w:r w:rsidRPr="00EB5E8A">
              <w:rPr>
                <w:sz w:val="20"/>
                <w:szCs w:val="20"/>
              </w:rPr>
              <w:t>1</w:t>
            </w:r>
          </w:p>
          <w:p w14:paraId="720F20DE" w14:textId="03A93B38" w:rsidR="00A07922" w:rsidRPr="00EB5E8A" w:rsidRDefault="00E6150E" w:rsidP="00FB5AF7">
            <w:pPr>
              <w:spacing w:line="276" w:lineRule="auto"/>
              <w:jc w:val="center"/>
              <w:rPr>
                <w:sz w:val="20"/>
                <w:szCs w:val="20"/>
              </w:rPr>
            </w:pPr>
            <w:r w:rsidRPr="00EB5E8A">
              <w:rPr>
                <w:sz w:val="20"/>
                <w:szCs w:val="20"/>
              </w:rPr>
              <w:t>0.81</w:t>
            </w:r>
          </w:p>
          <w:p w14:paraId="63E33566" w14:textId="620CDC9F" w:rsidR="00A07922" w:rsidRPr="00EB5E8A" w:rsidRDefault="003F4CB9" w:rsidP="00FB5AF7">
            <w:pPr>
              <w:spacing w:line="276" w:lineRule="auto"/>
              <w:jc w:val="center"/>
              <w:rPr>
                <w:sz w:val="20"/>
                <w:szCs w:val="20"/>
              </w:rPr>
            </w:pPr>
            <w:r w:rsidRPr="00EB5E8A">
              <w:rPr>
                <w:sz w:val="20"/>
                <w:szCs w:val="20"/>
              </w:rPr>
              <w:t>0.93</w:t>
            </w:r>
          </w:p>
        </w:tc>
        <w:tc>
          <w:tcPr>
            <w:tcW w:w="1658" w:type="dxa"/>
          </w:tcPr>
          <w:p w14:paraId="53A3B57E" w14:textId="77777777" w:rsidR="00743510" w:rsidRPr="00EB5E8A" w:rsidRDefault="00743510" w:rsidP="00FB5AF7">
            <w:pPr>
              <w:spacing w:line="276" w:lineRule="auto"/>
              <w:jc w:val="center"/>
              <w:rPr>
                <w:sz w:val="20"/>
                <w:szCs w:val="20"/>
              </w:rPr>
            </w:pPr>
          </w:p>
          <w:p w14:paraId="28FA6353" w14:textId="77777777" w:rsidR="00A07922" w:rsidRPr="00EB5E8A" w:rsidRDefault="00A07922" w:rsidP="00FB5AF7">
            <w:pPr>
              <w:spacing w:line="276" w:lineRule="auto"/>
              <w:jc w:val="center"/>
              <w:rPr>
                <w:sz w:val="20"/>
                <w:szCs w:val="20"/>
              </w:rPr>
            </w:pPr>
            <w:r w:rsidRPr="00EB5E8A">
              <w:rPr>
                <w:sz w:val="20"/>
                <w:szCs w:val="20"/>
              </w:rPr>
              <w:t>-</w:t>
            </w:r>
          </w:p>
          <w:p w14:paraId="17D32E5D" w14:textId="0DC9D49D" w:rsidR="00A07922" w:rsidRPr="00EB5E8A" w:rsidRDefault="003F4CB9" w:rsidP="00FB5AF7">
            <w:pPr>
              <w:spacing w:line="276" w:lineRule="auto"/>
              <w:jc w:val="center"/>
              <w:rPr>
                <w:sz w:val="20"/>
                <w:szCs w:val="20"/>
              </w:rPr>
            </w:pPr>
            <w:r w:rsidRPr="00EB5E8A">
              <w:rPr>
                <w:sz w:val="20"/>
                <w:szCs w:val="20"/>
              </w:rPr>
              <w:t>0.52-1.27</w:t>
            </w:r>
          </w:p>
          <w:p w14:paraId="6C8FD844" w14:textId="44DB5428" w:rsidR="00A07922" w:rsidRPr="00EB5E8A" w:rsidRDefault="003F4CB9" w:rsidP="00FB5AF7">
            <w:pPr>
              <w:spacing w:line="276" w:lineRule="auto"/>
              <w:jc w:val="center"/>
              <w:rPr>
                <w:sz w:val="20"/>
                <w:szCs w:val="20"/>
              </w:rPr>
            </w:pPr>
            <w:r w:rsidRPr="00EB5E8A">
              <w:rPr>
                <w:sz w:val="20"/>
                <w:szCs w:val="20"/>
              </w:rPr>
              <w:t>0.65-1.30</w:t>
            </w:r>
          </w:p>
        </w:tc>
      </w:tr>
      <w:tr w:rsidR="00743510" w:rsidRPr="00EB5E8A" w14:paraId="016F6444" w14:textId="65689460" w:rsidTr="00A62DA3">
        <w:trPr>
          <w:trHeight w:val="712"/>
          <w:jc w:val="center"/>
        </w:trPr>
        <w:tc>
          <w:tcPr>
            <w:tcW w:w="2353" w:type="dxa"/>
          </w:tcPr>
          <w:p w14:paraId="59FBA2B6" w14:textId="7FD40929" w:rsidR="00743510" w:rsidRPr="00EB5E8A" w:rsidRDefault="00071556" w:rsidP="00FB5AF7">
            <w:pPr>
              <w:spacing w:line="276" w:lineRule="auto"/>
              <w:rPr>
                <w:b/>
                <w:sz w:val="20"/>
                <w:szCs w:val="20"/>
              </w:rPr>
            </w:pPr>
            <w:r w:rsidRPr="00EB5E8A">
              <w:rPr>
                <w:b/>
                <w:sz w:val="20"/>
                <w:szCs w:val="20"/>
              </w:rPr>
              <w:t>Days from diagnosis to surgery</w:t>
            </w:r>
          </w:p>
        </w:tc>
        <w:tc>
          <w:tcPr>
            <w:tcW w:w="1500" w:type="dxa"/>
          </w:tcPr>
          <w:p w14:paraId="259E171B" w14:textId="4ECA2281" w:rsidR="00743510" w:rsidRPr="00EB5E8A" w:rsidRDefault="009D47D9" w:rsidP="00FB5AF7">
            <w:pPr>
              <w:spacing w:line="276" w:lineRule="auto"/>
              <w:jc w:val="center"/>
              <w:rPr>
                <w:sz w:val="20"/>
                <w:szCs w:val="20"/>
              </w:rPr>
            </w:pPr>
            <w:r w:rsidRPr="00EB5E8A">
              <w:rPr>
                <w:sz w:val="20"/>
                <w:szCs w:val="20"/>
              </w:rPr>
              <w:t>1.06</w:t>
            </w:r>
          </w:p>
        </w:tc>
        <w:tc>
          <w:tcPr>
            <w:tcW w:w="1787" w:type="dxa"/>
            <w:gridSpan w:val="2"/>
          </w:tcPr>
          <w:p w14:paraId="3CE92B5E" w14:textId="08836A8E" w:rsidR="00743510" w:rsidRPr="00EB5E8A" w:rsidRDefault="00553576" w:rsidP="00FB5AF7">
            <w:pPr>
              <w:spacing w:line="276" w:lineRule="auto"/>
              <w:jc w:val="center"/>
              <w:rPr>
                <w:sz w:val="20"/>
                <w:szCs w:val="20"/>
              </w:rPr>
            </w:pPr>
            <w:r w:rsidRPr="00EB5E8A">
              <w:rPr>
                <w:sz w:val="20"/>
                <w:szCs w:val="20"/>
              </w:rPr>
              <w:t>0.80-1.40</w:t>
            </w:r>
          </w:p>
        </w:tc>
        <w:tc>
          <w:tcPr>
            <w:tcW w:w="1658" w:type="dxa"/>
          </w:tcPr>
          <w:p w14:paraId="583196B4" w14:textId="14A85F44" w:rsidR="00743510" w:rsidRPr="00EB5E8A" w:rsidRDefault="003F4CB9" w:rsidP="00FB5AF7">
            <w:pPr>
              <w:spacing w:line="276" w:lineRule="auto"/>
              <w:jc w:val="center"/>
              <w:rPr>
                <w:sz w:val="20"/>
                <w:szCs w:val="20"/>
              </w:rPr>
            </w:pPr>
            <w:r w:rsidRPr="00EB5E8A">
              <w:rPr>
                <w:sz w:val="20"/>
                <w:szCs w:val="20"/>
              </w:rPr>
              <w:t>1.00</w:t>
            </w:r>
          </w:p>
        </w:tc>
        <w:tc>
          <w:tcPr>
            <w:tcW w:w="1658" w:type="dxa"/>
          </w:tcPr>
          <w:p w14:paraId="78110176" w14:textId="275F407A" w:rsidR="00743510" w:rsidRPr="00EB5E8A" w:rsidRDefault="003F4CB9" w:rsidP="00FB5AF7">
            <w:pPr>
              <w:spacing w:line="276" w:lineRule="auto"/>
              <w:jc w:val="center"/>
              <w:rPr>
                <w:sz w:val="20"/>
                <w:szCs w:val="20"/>
              </w:rPr>
            </w:pPr>
            <w:r w:rsidRPr="00EB5E8A">
              <w:rPr>
                <w:sz w:val="20"/>
                <w:szCs w:val="20"/>
              </w:rPr>
              <w:t>0.99-1.00</w:t>
            </w:r>
          </w:p>
        </w:tc>
      </w:tr>
      <w:tr w:rsidR="00743510" w:rsidRPr="00EB5E8A" w14:paraId="16D8ED25" w14:textId="3F71FCDC" w:rsidTr="00A62DA3">
        <w:trPr>
          <w:trHeight w:val="424"/>
          <w:jc w:val="center"/>
        </w:trPr>
        <w:tc>
          <w:tcPr>
            <w:tcW w:w="2353" w:type="dxa"/>
          </w:tcPr>
          <w:p w14:paraId="29663542" w14:textId="7ACD74A7" w:rsidR="00743510" w:rsidRPr="00EB5E8A" w:rsidRDefault="00743510" w:rsidP="00FB5AF7">
            <w:pPr>
              <w:spacing w:line="276" w:lineRule="auto"/>
              <w:rPr>
                <w:b/>
                <w:sz w:val="20"/>
                <w:szCs w:val="20"/>
              </w:rPr>
            </w:pPr>
            <w:r w:rsidRPr="00EB5E8A">
              <w:rPr>
                <w:b/>
                <w:sz w:val="20"/>
                <w:szCs w:val="20"/>
              </w:rPr>
              <w:t>Perianal Disease</w:t>
            </w:r>
          </w:p>
        </w:tc>
        <w:tc>
          <w:tcPr>
            <w:tcW w:w="1500" w:type="dxa"/>
          </w:tcPr>
          <w:p w14:paraId="5115F36D" w14:textId="4D501284" w:rsidR="00743510" w:rsidRPr="00EB5E8A" w:rsidRDefault="00553576" w:rsidP="00FB5AF7">
            <w:pPr>
              <w:spacing w:line="276" w:lineRule="auto"/>
              <w:jc w:val="center"/>
              <w:rPr>
                <w:sz w:val="20"/>
                <w:szCs w:val="20"/>
              </w:rPr>
            </w:pPr>
            <w:r w:rsidRPr="00EB5E8A">
              <w:rPr>
                <w:sz w:val="20"/>
                <w:szCs w:val="20"/>
              </w:rPr>
              <w:t>1.34</w:t>
            </w:r>
          </w:p>
        </w:tc>
        <w:tc>
          <w:tcPr>
            <w:tcW w:w="1787" w:type="dxa"/>
            <w:gridSpan w:val="2"/>
          </w:tcPr>
          <w:p w14:paraId="522888C1" w14:textId="5D2AB6B6" w:rsidR="00743510" w:rsidRPr="00EB5E8A" w:rsidRDefault="00553576" w:rsidP="00FB5AF7">
            <w:pPr>
              <w:spacing w:line="276" w:lineRule="auto"/>
              <w:jc w:val="center"/>
              <w:rPr>
                <w:sz w:val="20"/>
                <w:szCs w:val="20"/>
              </w:rPr>
            </w:pPr>
            <w:r w:rsidRPr="00EB5E8A">
              <w:rPr>
                <w:sz w:val="20"/>
                <w:szCs w:val="20"/>
              </w:rPr>
              <w:t>0.97-1.84</w:t>
            </w:r>
          </w:p>
        </w:tc>
        <w:tc>
          <w:tcPr>
            <w:tcW w:w="1658" w:type="dxa"/>
          </w:tcPr>
          <w:p w14:paraId="781348B3" w14:textId="780F330F" w:rsidR="00743510" w:rsidRPr="00EB5E8A" w:rsidRDefault="00A07922" w:rsidP="00FB5AF7">
            <w:pPr>
              <w:spacing w:line="276" w:lineRule="auto"/>
              <w:jc w:val="center"/>
              <w:rPr>
                <w:sz w:val="20"/>
                <w:szCs w:val="20"/>
              </w:rPr>
            </w:pPr>
            <w:r w:rsidRPr="00EB5E8A">
              <w:rPr>
                <w:sz w:val="20"/>
                <w:szCs w:val="20"/>
              </w:rPr>
              <w:t>1.31</w:t>
            </w:r>
          </w:p>
        </w:tc>
        <w:tc>
          <w:tcPr>
            <w:tcW w:w="1658" w:type="dxa"/>
          </w:tcPr>
          <w:p w14:paraId="12FE5A78" w14:textId="5EF3BE49" w:rsidR="00743510" w:rsidRPr="00EB5E8A" w:rsidRDefault="00E6150E" w:rsidP="00FB5AF7">
            <w:pPr>
              <w:spacing w:line="276" w:lineRule="auto"/>
              <w:jc w:val="center"/>
              <w:rPr>
                <w:sz w:val="20"/>
                <w:szCs w:val="20"/>
              </w:rPr>
            </w:pPr>
            <w:r w:rsidRPr="00EB5E8A">
              <w:rPr>
                <w:sz w:val="20"/>
                <w:szCs w:val="20"/>
              </w:rPr>
              <w:t>0.94</w:t>
            </w:r>
            <w:r w:rsidR="00A07922" w:rsidRPr="00EB5E8A">
              <w:rPr>
                <w:sz w:val="20"/>
                <w:szCs w:val="20"/>
              </w:rPr>
              <w:t>-1.83</w:t>
            </w:r>
          </w:p>
        </w:tc>
      </w:tr>
      <w:tr w:rsidR="00071556" w:rsidRPr="00EB5E8A" w14:paraId="38A1F605" w14:textId="77777777" w:rsidTr="00A62DA3">
        <w:trPr>
          <w:trHeight w:val="424"/>
          <w:jc w:val="center"/>
        </w:trPr>
        <w:tc>
          <w:tcPr>
            <w:tcW w:w="2353" w:type="dxa"/>
          </w:tcPr>
          <w:p w14:paraId="10B41321" w14:textId="4F46D3D9" w:rsidR="00071556" w:rsidRPr="00EB5E8A" w:rsidRDefault="00071556" w:rsidP="00FB5AF7">
            <w:pPr>
              <w:spacing w:line="276" w:lineRule="auto"/>
              <w:rPr>
                <w:b/>
                <w:sz w:val="20"/>
                <w:szCs w:val="20"/>
              </w:rPr>
            </w:pPr>
            <w:r w:rsidRPr="00EB5E8A">
              <w:rPr>
                <w:b/>
                <w:sz w:val="20"/>
                <w:szCs w:val="20"/>
              </w:rPr>
              <w:t>Previous depression or anxiety</w:t>
            </w:r>
            <w:r w:rsidRPr="00EB5E8A">
              <w:rPr>
                <w:b/>
                <w:sz w:val="20"/>
                <w:szCs w:val="20"/>
              </w:rPr>
              <w:br/>
            </w:r>
          </w:p>
        </w:tc>
        <w:tc>
          <w:tcPr>
            <w:tcW w:w="1500" w:type="dxa"/>
          </w:tcPr>
          <w:p w14:paraId="674E9B86" w14:textId="04C3A017" w:rsidR="00071556" w:rsidRPr="00EB5E8A" w:rsidRDefault="003D1AE7" w:rsidP="00FB5AF7">
            <w:pPr>
              <w:spacing w:line="276" w:lineRule="auto"/>
              <w:jc w:val="center"/>
              <w:rPr>
                <w:b/>
                <w:sz w:val="20"/>
                <w:szCs w:val="20"/>
              </w:rPr>
            </w:pPr>
            <w:r w:rsidRPr="00EB5E8A">
              <w:rPr>
                <w:b/>
                <w:sz w:val="20"/>
                <w:szCs w:val="20"/>
              </w:rPr>
              <w:t>2.37</w:t>
            </w:r>
          </w:p>
        </w:tc>
        <w:tc>
          <w:tcPr>
            <w:tcW w:w="1787" w:type="dxa"/>
            <w:gridSpan w:val="2"/>
          </w:tcPr>
          <w:p w14:paraId="4DB148E8" w14:textId="68B55F51" w:rsidR="00071556" w:rsidRPr="00EB5E8A" w:rsidRDefault="003D1AE7" w:rsidP="00FB5AF7">
            <w:pPr>
              <w:spacing w:line="276" w:lineRule="auto"/>
              <w:jc w:val="center"/>
              <w:rPr>
                <w:b/>
                <w:sz w:val="20"/>
                <w:szCs w:val="20"/>
              </w:rPr>
            </w:pPr>
            <w:r w:rsidRPr="00EB5E8A">
              <w:rPr>
                <w:b/>
                <w:sz w:val="20"/>
                <w:szCs w:val="20"/>
              </w:rPr>
              <w:t>1.82-3.10</w:t>
            </w:r>
          </w:p>
        </w:tc>
        <w:tc>
          <w:tcPr>
            <w:tcW w:w="1658" w:type="dxa"/>
          </w:tcPr>
          <w:p w14:paraId="2546D555" w14:textId="092EB77A" w:rsidR="00071556" w:rsidRPr="00EB5E8A" w:rsidRDefault="003F4CB9" w:rsidP="00FB5AF7">
            <w:pPr>
              <w:spacing w:line="276" w:lineRule="auto"/>
              <w:jc w:val="center"/>
              <w:rPr>
                <w:b/>
                <w:sz w:val="20"/>
                <w:szCs w:val="20"/>
              </w:rPr>
            </w:pPr>
            <w:r w:rsidRPr="00EB5E8A">
              <w:rPr>
                <w:b/>
                <w:sz w:val="20"/>
                <w:szCs w:val="20"/>
              </w:rPr>
              <w:t>2.20</w:t>
            </w:r>
          </w:p>
        </w:tc>
        <w:tc>
          <w:tcPr>
            <w:tcW w:w="1658" w:type="dxa"/>
          </w:tcPr>
          <w:p w14:paraId="2972EAAF" w14:textId="599D988F" w:rsidR="00071556" w:rsidRPr="00EB5E8A" w:rsidRDefault="003F4CB9" w:rsidP="00FB5AF7">
            <w:pPr>
              <w:spacing w:line="276" w:lineRule="auto"/>
              <w:jc w:val="center"/>
              <w:rPr>
                <w:b/>
                <w:sz w:val="20"/>
                <w:szCs w:val="20"/>
              </w:rPr>
            </w:pPr>
            <w:r w:rsidRPr="00EB5E8A">
              <w:rPr>
                <w:b/>
                <w:sz w:val="20"/>
                <w:szCs w:val="20"/>
              </w:rPr>
              <w:t>1.66-2.93</w:t>
            </w:r>
          </w:p>
        </w:tc>
      </w:tr>
      <w:tr w:rsidR="00743510" w:rsidRPr="00EB5E8A" w14:paraId="7085E2F0" w14:textId="42E15934" w:rsidTr="00A62DA3">
        <w:trPr>
          <w:trHeight w:val="1592"/>
          <w:jc w:val="center"/>
        </w:trPr>
        <w:tc>
          <w:tcPr>
            <w:tcW w:w="2353" w:type="dxa"/>
          </w:tcPr>
          <w:p w14:paraId="1B0E707F" w14:textId="37012088" w:rsidR="00743510" w:rsidRPr="00EB5E8A" w:rsidRDefault="00743510" w:rsidP="00FB5AF7">
            <w:pPr>
              <w:spacing w:line="276" w:lineRule="auto"/>
              <w:rPr>
                <w:b/>
                <w:sz w:val="20"/>
                <w:szCs w:val="20"/>
              </w:rPr>
            </w:pPr>
            <w:r w:rsidRPr="00EB5E8A">
              <w:rPr>
                <w:b/>
                <w:sz w:val="20"/>
                <w:szCs w:val="20"/>
              </w:rPr>
              <w:t>Era of surgery</w:t>
            </w:r>
          </w:p>
          <w:p w14:paraId="13FE79A1" w14:textId="77777777" w:rsidR="00743510" w:rsidRPr="00EB5E8A" w:rsidRDefault="00743510" w:rsidP="00FB5AF7">
            <w:pPr>
              <w:spacing w:line="276" w:lineRule="auto"/>
              <w:rPr>
                <w:sz w:val="20"/>
                <w:szCs w:val="20"/>
              </w:rPr>
            </w:pPr>
            <w:r w:rsidRPr="00EB5E8A">
              <w:rPr>
                <w:sz w:val="20"/>
                <w:szCs w:val="20"/>
              </w:rPr>
              <w:t>1998-2003</w:t>
            </w:r>
          </w:p>
          <w:p w14:paraId="248CBF86" w14:textId="77777777" w:rsidR="00743510" w:rsidRPr="00EB5E8A" w:rsidRDefault="00743510" w:rsidP="00FB5AF7">
            <w:pPr>
              <w:spacing w:line="276" w:lineRule="auto"/>
              <w:rPr>
                <w:sz w:val="20"/>
                <w:szCs w:val="20"/>
              </w:rPr>
            </w:pPr>
            <w:r w:rsidRPr="00EB5E8A">
              <w:rPr>
                <w:sz w:val="20"/>
                <w:szCs w:val="20"/>
              </w:rPr>
              <w:t>2004-2010</w:t>
            </w:r>
          </w:p>
          <w:p w14:paraId="469C4DB3" w14:textId="77777777" w:rsidR="00743510" w:rsidRPr="00EB5E8A" w:rsidRDefault="00743510" w:rsidP="00FB5AF7">
            <w:pPr>
              <w:spacing w:line="276" w:lineRule="auto"/>
              <w:rPr>
                <w:sz w:val="20"/>
                <w:szCs w:val="20"/>
              </w:rPr>
            </w:pPr>
            <w:r w:rsidRPr="00EB5E8A">
              <w:rPr>
                <w:sz w:val="20"/>
                <w:szCs w:val="20"/>
              </w:rPr>
              <w:t>2011-2016</w:t>
            </w:r>
          </w:p>
        </w:tc>
        <w:tc>
          <w:tcPr>
            <w:tcW w:w="1500" w:type="dxa"/>
          </w:tcPr>
          <w:p w14:paraId="396DE478" w14:textId="77777777" w:rsidR="00743510" w:rsidRPr="00EB5E8A" w:rsidRDefault="00743510" w:rsidP="00FB5AF7">
            <w:pPr>
              <w:spacing w:line="276" w:lineRule="auto"/>
              <w:jc w:val="center"/>
              <w:rPr>
                <w:sz w:val="20"/>
                <w:szCs w:val="20"/>
              </w:rPr>
            </w:pPr>
          </w:p>
          <w:p w14:paraId="47E2B01A" w14:textId="77777777" w:rsidR="00C84361" w:rsidRPr="00EB5E8A" w:rsidRDefault="00C84361" w:rsidP="00FB5AF7">
            <w:pPr>
              <w:spacing w:line="276" w:lineRule="auto"/>
              <w:jc w:val="center"/>
              <w:rPr>
                <w:sz w:val="20"/>
                <w:szCs w:val="20"/>
              </w:rPr>
            </w:pPr>
            <w:r w:rsidRPr="00EB5E8A">
              <w:rPr>
                <w:sz w:val="20"/>
                <w:szCs w:val="20"/>
              </w:rPr>
              <w:t>1</w:t>
            </w:r>
          </w:p>
          <w:p w14:paraId="092E584D" w14:textId="68E65369" w:rsidR="00C84361" w:rsidRPr="00EB5E8A" w:rsidRDefault="00553576" w:rsidP="00FB5AF7">
            <w:pPr>
              <w:spacing w:line="276" w:lineRule="auto"/>
              <w:jc w:val="center"/>
              <w:rPr>
                <w:b/>
                <w:sz w:val="20"/>
                <w:szCs w:val="20"/>
              </w:rPr>
            </w:pPr>
            <w:r w:rsidRPr="00EB5E8A">
              <w:rPr>
                <w:b/>
                <w:sz w:val="20"/>
                <w:szCs w:val="20"/>
              </w:rPr>
              <w:t>1.56</w:t>
            </w:r>
          </w:p>
          <w:p w14:paraId="43DA3734" w14:textId="0CB628D6" w:rsidR="00C84361" w:rsidRPr="00EB5E8A" w:rsidRDefault="00553576" w:rsidP="00FB5AF7">
            <w:pPr>
              <w:spacing w:line="276" w:lineRule="auto"/>
              <w:jc w:val="center"/>
              <w:rPr>
                <w:sz w:val="20"/>
                <w:szCs w:val="20"/>
              </w:rPr>
            </w:pPr>
            <w:r w:rsidRPr="00EB5E8A">
              <w:rPr>
                <w:b/>
                <w:sz w:val="20"/>
                <w:szCs w:val="20"/>
              </w:rPr>
              <w:t>1.90</w:t>
            </w:r>
          </w:p>
        </w:tc>
        <w:tc>
          <w:tcPr>
            <w:tcW w:w="1787" w:type="dxa"/>
            <w:gridSpan w:val="2"/>
          </w:tcPr>
          <w:p w14:paraId="629F9770" w14:textId="77777777" w:rsidR="00743510" w:rsidRPr="00EB5E8A" w:rsidRDefault="00743510" w:rsidP="00FB5AF7">
            <w:pPr>
              <w:spacing w:line="276" w:lineRule="auto"/>
              <w:jc w:val="center"/>
              <w:rPr>
                <w:sz w:val="20"/>
                <w:szCs w:val="20"/>
              </w:rPr>
            </w:pPr>
          </w:p>
          <w:p w14:paraId="1F8191D6" w14:textId="77777777" w:rsidR="00C84361" w:rsidRPr="00EB5E8A" w:rsidRDefault="00C84361" w:rsidP="00FB5AF7">
            <w:pPr>
              <w:spacing w:line="276" w:lineRule="auto"/>
              <w:jc w:val="center"/>
              <w:rPr>
                <w:sz w:val="20"/>
                <w:szCs w:val="20"/>
              </w:rPr>
            </w:pPr>
            <w:r w:rsidRPr="00EB5E8A">
              <w:rPr>
                <w:sz w:val="20"/>
                <w:szCs w:val="20"/>
              </w:rPr>
              <w:t>-</w:t>
            </w:r>
          </w:p>
          <w:p w14:paraId="65D40E2F" w14:textId="3157ED96" w:rsidR="00C84361" w:rsidRPr="00EB5E8A" w:rsidRDefault="00553576" w:rsidP="00FB5AF7">
            <w:pPr>
              <w:spacing w:line="276" w:lineRule="auto"/>
              <w:jc w:val="center"/>
              <w:rPr>
                <w:b/>
                <w:sz w:val="20"/>
                <w:szCs w:val="20"/>
              </w:rPr>
            </w:pPr>
            <w:r w:rsidRPr="00EB5E8A">
              <w:rPr>
                <w:b/>
                <w:sz w:val="20"/>
                <w:szCs w:val="20"/>
              </w:rPr>
              <w:t>1.13-2.14</w:t>
            </w:r>
          </w:p>
          <w:p w14:paraId="63A9FF44" w14:textId="772F525E" w:rsidR="00C84361" w:rsidRPr="00EB5E8A" w:rsidRDefault="00553576" w:rsidP="00FB5AF7">
            <w:pPr>
              <w:spacing w:line="276" w:lineRule="auto"/>
              <w:jc w:val="center"/>
              <w:rPr>
                <w:sz w:val="20"/>
                <w:szCs w:val="20"/>
              </w:rPr>
            </w:pPr>
            <w:r w:rsidRPr="00EB5E8A">
              <w:rPr>
                <w:b/>
                <w:sz w:val="20"/>
                <w:szCs w:val="20"/>
              </w:rPr>
              <w:t>1.29-2.80</w:t>
            </w:r>
          </w:p>
        </w:tc>
        <w:tc>
          <w:tcPr>
            <w:tcW w:w="1658" w:type="dxa"/>
          </w:tcPr>
          <w:p w14:paraId="1446EB36" w14:textId="77777777" w:rsidR="00743510" w:rsidRPr="00EB5E8A" w:rsidRDefault="00743510" w:rsidP="00FB5AF7">
            <w:pPr>
              <w:spacing w:line="276" w:lineRule="auto"/>
              <w:jc w:val="center"/>
              <w:rPr>
                <w:sz w:val="20"/>
                <w:szCs w:val="20"/>
              </w:rPr>
            </w:pPr>
          </w:p>
          <w:p w14:paraId="7FBA37A7" w14:textId="77777777" w:rsidR="00A07922" w:rsidRPr="00EB5E8A" w:rsidRDefault="00A07922" w:rsidP="00FB5AF7">
            <w:pPr>
              <w:spacing w:line="276" w:lineRule="auto"/>
              <w:jc w:val="center"/>
              <w:rPr>
                <w:sz w:val="20"/>
                <w:szCs w:val="20"/>
              </w:rPr>
            </w:pPr>
            <w:r w:rsidRPr="00EB5E8A">
              <w:rPr>
                <w:sz w:val="20"/>
                <w:szCs w:val="20"/>
              </w:rPr>
              <w:t>1</w:t>
            </w:r>
          </w:p>
          <w:p w14:paraId="67C43000" w14:textId="209C7198" w:rsidR="00A07922" w:rsidRPr="00EB5E8A" w:rsidRDefault="003F4CB9" w:rsidP="00FB5AF7">
            <w:pPr>
              <w:spacing w:line="276" w:lineRule="auto"/>
              <w:jc w:val="center"/>
              <w:rPr>
                <w:sz w:val="20"/>
                <w:szCs w:val="20"/>
              </w:rPr>
            </w:pPr>
            <w:r w:rsidRPr="00EB5E8A">
              <w:rPr>
                <w:sz w:val="20"/>
                <w:szCs w:val="20"/>
              </w:rPr>
              <w:t>1.37</w:t>
            </w:r>
          </w:p>
          <w:p w14:paraId="227B5558" w14:textId="03BC4F1A" w:rsidR="00A07922" w:rsidRPr="00EB5E8A" w:rsidRDefault="003F4CB9" w:rsidP="00FB5AF7">
            <w:pPr>
              <w:spacing w:line="276" w:lineRule="auto"/>
              <w:jc w:val="center"/>
              <w:rPr>
                <w:sz w:val="20"/>
                <w:szCs w:val="20"/>
              </w:rPr>
            </w:pPr>
            <w:r w:rsidRPr="00EB5E8A">
              <w:rPr>
                <w:b/>
                <w:sz w:val="20"/>
                <w:szCs w:val="20"/>
              </w:rPr>
              <w:t>1.58</w:t>
            </w:r>
          </w:p>
        </w:tc>
        <w:tc>
          <w:tcPr>
            <w:tcW w:w="1658" w:type="dxa"/>
          </w:tcPr>
          <w:p w14:paraId="3B882B91" w14:textId="77777777" w:rsidR="00743510" w:rsidRPr="00EB5E8A" w:rsidRDefault="00743510" w:rsidP="00FB5AF7">
            <w:pPr>
              <w:spacing w:line="276" w:lineRule="auto"/>
              <w:jc w:val="center"/>
              <w:rPr>
                <w:sz w:val="20"/>
                <w:szCs w:val="20"/>
              </w:rPr>
            </w:pPr>
          </w:p>
          <w:p w14:paraId="71FC37DC" w14:textId="77777777" w:rsidR="00A07922" w:rsidRPr="00EB5E8A" w:rsidRDefault="00A07922" w:rsidP="00FB5AF7">
            <w:pPr>
              <w:spacing w:line="276" w:lineRule="auto"/>
              <w:jc w:val="center"/>
              <w:rPr>
                <w:sz w:val="20"/>
                <w:szCs w:val="20"/>
              </w:rPr>
            </w:pPr>
            <w:r w:rsidRPr="00EB5E8A">
              <w:rPr>
                <w:sz w:val="20"/>
                <w:szCs w:val="20"/>
              </w:rPr>
              <w:t>-</w:t>
            </w:r>
          </w:p>
          <w:p w14:paraId="7D6F8903" w14:textId="4753FCFC" w:rsidR="00A07922" w:rsidRPr="00EB5E8A" w:rsidRDefault="003F4CB9" w:rsidP="00FB5AF7">
            <w:pPr>
              <w:spacing w:line="276" w:lineRule="auto"/>
              <w:jc w:val="center"/>
              <w:rPr>
                <w:sz w:val="20"/>
                <w:szCs w:val="20"/>
              </w:rPr>
            </w:pPr>
            <w:r w:rsidRPr="00EB5E8A">
              <w:rPr>
                <w:sz w:val="20"/>
                <w:szCs w:val="20"/>
              </w:rPr>
              <w:t>0.96-1.94</w:t>
            </w:r>
          </w:p>
          <w:p w14:paraId="5A27EECA" w14:textId="6F2ECE3A" w:rsidR="00A07922" w:rsidRPr="00EB5E8A" w:rsidRDefault="003F4CB9" w:rsidP="00FB5AF7">
            <w:pPr>
              <w:spacing w:line="276" w:lineRule="auto"/>
              <w:jc w:val="center"/>
              <w:rPr>
                <w:sz w:val="20"/>
                <w:szCs w:val="20"/>
              </w:rPr>
            </w:pPr>
            <w:r w:rsidRPr="00EB5E8A">
              <w:rPr>
                <w:b/>
                <w:sz w:val="20"/>
                <w:szCs w:val="20"/>
              </w:rPr>
              <w:t>1.02-2.93</w:t>
            </w:r>
          </w:p>
        </w:tc>
      </w:tr>
      <w:tr w:rsidR="00743510" w:rsidRPr="00EB5E8A" w14:paraId="5AD339AB" w14:textId="49009F7D" w:rsidTr="00A62DA3">
        <w:trPr>
          <w:trHeight w:val="748"/>
          <w:jc w:val="center"/>
        </w:trPr>
        <w:tc>
          <w:tcPr>
            <w:tcW w:w="2353" w:type="dxa"/>
          </w:tcPr>
          <w:p w14:paraId="5B600673" w14:textId="133117EA" w:rsidR="00743510" w:rsidRPr="00EB5E8A" w:rsidRDefault="00743510" w:rsidP="00A62DA3">
            <w:pPr>
              <w:rPr>
                <w:rFonts w:asciiTheme="majorHAnsi" w:hAnsiTheme="majorHAnsi"/>
                <w:sz w:val="20"/>
                <w:szCs w:val="18"/>
              </w:rPr>
            </w:pPr>
          </w:p>
        </w:tc>
        <w:tc>
          <w:tcPr>
            <w:tcW w:w="1500" w:type="dxa"/>
          </w:tcPr>
          <w:p w14:paraId="0DE44DF6" w14:textId="77777777" w:rsidR="00743510" w:rsidRPr="00EB5E8A" w:rsidRDefault="00743510" w:rsidP="00A62DA3">
            <w:pPr>
              <w:jc w:val="right"/>
              <w:rPr>
                <w:rFonts w:asciiTheme="majorHAnsi" w:hAnsiTheme="majorHAnsi"/>
                <w:b/>
                <w:sz w:val="20"/>
                <w:szCs w:val="18"/>
              </w:rPr>
            </w:pPr>
          </w:p>
        </w:tc>
        <w:tc>
          <w:tcPr>
            <w:tcW w:w="1787" w:type="dxa"/>
            <w:gridSpan w:val="2"/>
          </w:tcPr>
          <w:p w14:paraId="0A8F843A" w14:textId="77777777" w:rsidR="00743510" w:rsidRPr="00EB5E8A" w:rsidRDefault="00743510" w:rsidP="00A62DA3">
            <w:pPr>
              <w:jc w:val="right"/>
              <w:rPr>
                <w:rFonts w:asciiTheme="majorHAnsi" w:hAnsiTheme="majorHAnsi"/>
                <w:sz w:val="20"/>
                <w:szCs w:val="18"/>
              </w:rPr>
            </w:pPr>
          </w:p>
        </w:tc>
        <w:tc>
          <w:tcPr>
            <w:tcW w:w="1658" w:type="dxa"/>
          </w:tcPr>
          <w:p w14:paraId="3ED05ED7" w14:textId="77777777" w:rsidR="00743510" w:rsidRPr="00EB5E8A" w:rsidRDefault="00743510" w:rsidP="00A62DA3">
            <w:pPr>
              <w:jc w:val="right"/>
              <w:rPr>
                <w:rFonts w:asciiTheme="majorHAnsi" w:hAnsiTheme="majorHAnsi"/>
                <w:b/>
                <w:sz w:val="20"/>
                <w:szCs w:val="18"/>
              </w:rPr>
            </w:pPr>
          </w:p>
        </w:tc>
        <w:tc>
          <w:tcPr>
            <w:tcW w:w="1658" w:type="dxa"/>
          </w:tcPr>
          <w:p w14:paraId="37F34BA9" w14:textId="77777777" w:rsidR="00743510" w:rsidRPr="00EB5E8A" w:rsidRDefault="00743510" w:rsidP="00A62DA3">
            <w:pPr>
              <w:jc w:val="right"/>
              <w:rPr>
                <w:rFonts w:asciiTheme="majorHAnsi" w:hAnsiTheme="majorHAnsi"/>
                <w:b/>
                <w:sz w:val="20"/>
                <w:szCs w:val="18"/>
              </w:rPr>
            </w:pPr>
          </w:p>
        </w:tc>
      </w:tr>
    </w:tbl>
    <w:p w14:paraId="0458DE78" w14:textId="4ED57FB2" w:rsidR="00331871" w:rsidRPr="00EB5E8A" w:rsidRDefault="00331871" w:rsidP="00331871">
      <w:pPr>
        <w:rPr>
          <w:rFonts w:asciiTheme="majorHAnsi" w:hAnsiTheme="majorHAnsi"/>
          <w:sz w:val="20"/>
        </w:rPr>
      </w:pPr>
      <w:r w:rsidRPr="00EB5E8A">
        <w:rPr>
          <w:rFonts w:asciiTheme="majorHAnsi" w:hAnsiTheme="majorHAnsi"/>
          <w:b/>
          <w:sz w:val="20"/>
        </w:rPr>
        <w:t xml:space="preserve">IMD – </w:t>
      </w:r>
      <w:r w:rsidRPr="00EB5E8A">
        <w:rPr>
          <w:rFonts w:asciiTheme="majorHAnsi" w:hAnsiTheme="majorHAnsi"/>
          <w:sz w:val="20"/>
        </w:rPr>
        <w:t>Index of Multiple Deprivation.</w:t>
      </w:r>
    </w:p>
    <w:p w14:paraId="699415C2" w14:textId="7113B194" w:rsidR="00C84361" w:rsidRPr="00EB5E8A" w:rsidRDefault="00C84361">
      <w:pPr>
        <w:rPr>
          <w:b/>
        </w:rPr>
      </w:pPr>
      <w:r w:rsidRPr="00EB5E8A">
        <w:rPr>
          <w:b/>
        </w:rPr>
        <w:br w:type="page"/>
      </w:r>
    </w:p>
    <w:p w14:paraId="27C66CCD" w14:textId="77777777" w:rsidR="00392587" w:rsidRPr="00EB5E8A" w:rsidRDefault="00392587" w:rsidP="00392587">
      <w:pPr>
        <w:pStyle w:val="Heading1"/>
      </w:pPr>
      <w:r w:rsidRPr="00EB5E8A">
        <w:lastRenderedPageBreak/>
        <w:t>Table 3: Risk of antidepressant use among individuals with Crohn’s Disease and temporary stomas with early and late reversal surgery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1500"/>
        <w:gridCol w:w="143"/>
        <w:gridCol w:w="1644"/>
        <w:gridCol w:w="1658"/>
        <w:gridCol w:w="1658"/>
      </w:tblGrid>
      <w:tr w:rsidR="00392587" w:rsidRPr="00EB5E8A" w14:paraId="7D9A113E" w14:textId="77777777" w:rsidTr="009F4923">
        <w:trPr>
          <w:trHeight w:val="574"/>
          <w:jc w:val="center"/>
        </w:trPr>
        <w:tc>
          <w:tcPr>
            <w:tcW w:w="2353" w:type="dxa"/>
            <w:shd w:val="clear" w:color="auto" w:fill="DEEAF6" w:themeFill="accent1" w:themeFillTint="33"/>
            <w:hideMark/>
          </w:tcPr>
          <w:p w14:paraId="0248CB05" w14:textId="77777777" w:rsidR="00392587" w:rsidRPr="00EB5E8A" w:rsidRDefault="00392587" w:rsidP="009F4923">
            <w:pPr>
              <w:rPr>
                <w:rFonts w:asciiTheme="majorHAnsi" w:hAnsiTheme="majorHAnsi"/>
                <w:b/>
                <w:sz w:val="24"/>
              </w:rPr>
            </w:pPr>
          </w:p>
        </w:tc>
        <w:tc>
          <w:tcPr>
            <w:tcW w:w="3287" w:type="dxa"/>
            <w:gridSpan w:val="3"/>
            <w:shd w:val="clear" w:color="auto" w:fill="DEEAF6" w:themeFill="accent1" w:themeFillTint="33"/>
            <w:hideMark/>
          </w:tcPr>
          <w:p w14:paraId="3DA12A6D" w14:textId="77777777" w:rsidR="00392587" w:rsidRPr="00EB5E8A" w:rsidRDefault="00392587" w:rsidP="009F4923">
            <w:pPr>
              <w:jc w:val="center"/>
              <w:rPr>
                <w:rFonts w:asciiTheme="majorHAnsi" w:hAnsiTheme="majorHAnsi"/>
                <w:b/>
                <w:sz w:val="20"/>
                <w:szCs w:val="18"/>
              </w:rPr>
            </w:pPr>
            <w:r w:rsidRPr="00EB5E8A">
              <w:rPr>
                <w:rFonts w:asciiTheme="majorHAnsi" w:hAnsiTheme="majorHAnsi"/>
                <w:b/>
                <w:sz w:val="20"/>
                <w:szCs w:val="18"/>
              </w:rPr>
              <w:t>Unadjusted</w:t>
            </w:r>
          </w:p>
        </w:tc>
        <w:tc>
          <w:tcPr>
            <w:tcW w:w="3316" w:type="dxa"/>
            <w:gridSpan w:val="2"/>
            <w:shd w:val="clear" w:color="auto" w:fill="DEEAF6" w:themeFill="accent1" w:themeFillTint="33"/>
            <w:hideMark/>
          </w:tcPr>
          <w:p w14:paraId="6AE5667F" w14:textId="77777777" w:rsidR="00392587" w:rsidRPr="00EB5E8A" w:rsidRDefault="00392587" w:rsidP="009F4923">
            <w:pPr>
              <w:jc w:val="center"/>
              <w:rPr>
                <w:rFonts w:asciiTheme="majorHAnsi" w:hAnsiTheme="majorHAnsi"/>
                <w:b/>
                <w:sz w:val="20"/>
                <w:szCs w:val="18"/>
              </w:rPr>
            </w:pPr>
            <w:r w:rsidRPr="00EB5E8A">
              <w:rPr>
                <w:rFonts w:asciiTheme="majorHAnsi" w:hAnsiTheme="majorHAnsi"/>
                <w:b/>
                <w:sz w:val="20"/>
                <w:szCs w:val="18"/>
              </w:rPr>
              <w:t>Adjusted</w:t>
            </w:r>
          </w:p>
        </w:tc>
      </w:tr>
      <w:tr w:rsidR="00392587" w:rsidRPr="00EB5E8A" w14:paraId="775711B9" w14:textId="77777777" w:rsidTr="009F4923">
        <w:trPr>
          <w:trHeight w:val="150"/>
          <w:jc w:val="center"/>
        </w:trPr>
        <w:tc>
          <w:tcPr>
            <w:tcW w:w="2353" w:type="dxa"/>
            <w:shd w:val="clear" w:color="auto" w:fill="DEEAF6" w:themeFill="accent1" w:themeFillTint="33"/>
            <w:hideMark/>
          </w:tcPr>
          <w:p w14:paraId="1A946226" w14:textId="77777777" w:rsidR="00392587" w:rsidRPr="00EB5E8A" w:rsidRDefault="00392587" w:rsidP="009F4923">
            <w:pPr>
              <w:rPr>
                <w:rFonts w:asciiTheme="majorHAnsi" w:hAnsiTheme="majorHAnsi"/>
                <w:b/>
                <w:sz w:val="20"/>
              </w:rPr>
            </w:pPr>
            <w:r w:rsidRPr="00EB5E8A">
              <w:rPr>
                <w:rFonts w:asciiTheme="majorHAnsi" w:hAnsiTheme="majorHAnsi"/>
                <w:b/>
                <w:sz w:val="20"/>
              </w:rPr>
              <w:t>n=</w:t>
            </w:r>
          </w:p>
        </w:tc>
        <w:tc>
          <w:tcPr>
            <w:tcW w:w="3287" w:type="dxa"/>
            <w:gridSpan w:val="3"/>
            <w:shd w:val="clear" w:color="auto" w:fill="DEEAF6" w:themeFill="accent1" w:themeFillTint="33"/>
            <w:hideMark/>
          </w:tcPr>
          <w:p w14:paraId="49861190" w14:textId="5882E327" w:rsidR="00392587" w:rsidRPr="00EB5E8A" w:rsidRDefault="009600BB" w:rsidP="009F4923">
            <w:pPr>
              <w:jc w:val="center"/>
              <w:rPr>
                <w:rFonts w:asciiTheme="majorHAnsi" w:hAnsiTheme="majorHAnsi"/>
                <w:b/>
                <w:sz w:val="20"/>
                <w:szCs w:val="18"/>
              </w:rPr>
            </w:pPr>
            <w:r w:rsidRPr="00EB5E8A">
              <w:rPr>
                <w:rFonts w:asciiTheme="majorHAnsi" w:hAnsiTheme="majorHAnsi"/>
                <w:b/>
                <w:sz w:val="20"/>
                <w:szCs w:val="18"/>
              </w:rPr>
              <w:t>1,062</w:t>
            </w:r>
          </w:p>
        </w:tc>
        <w:tc>
          <w:tcPr>
            <w:tcW w:w="3316" w:type="dxa"/>
            <w:gridSpan w:val="2"/>
            <w:shd w:val="clear" w:color="auto" w:fill="DEEAF6" w:themeFill="accent1" w:themeFillTint="33"/>
            <w:hideMark/>
          </w:tcPr>
          <w:p w14:paraId="375C9F46" w14:textId="371A0F85" w:rsidR="00392587" w:rsidRPr="00EB5E8A" w:rsidRDefault="009600BB" w:rsidP="009F4923">
            <w:pPr>
              <w:jc w:val="center"/>
              <w:rPr>
                <w:rFonts w:asciiTheme="majorHAnsi" w:hAnsiTheme="majorHAnsi"/>
                <w:b/>
                <w:sz w:val="20"/>
                <w:szCs w:val="18"/>
              </w:rPr>
            </w:pPr>
            <w:r w:rsidRPr="00EB5E8A">
              <w:rPr>
                <w:rFonts w:asciiTheme="majorHAnsi" w:hAnsiTheme="majorHAnsi"/>
                <w:b/>
                <w:sz w:val="20"/>
                <w:szCs w:val="18"/>
              </w:rPr>
              <w:t>1,062</w:t>
            </w:r>
          </w:p>
        </w:tc>
      </w:tr>
      <w:tr w:rsidR="00392587" w:rsidRPr="00EB5E8A" w14:paraId="6B481760" w14:textId="77777777" w:rsidTr="009F4923">
        <w:trPr>
          <w:trHeight w:val="150"/>
          <w:jc w:val="center"/>
        </w:trPr>
        <w:tc>
          <w:tcPr>
            <w:tcW w:w="2353" w:type="dxa"/>
            <w:shd w:val="clear" w:color="auto" w:fill="DEEAF6" w:themeFill="accent1" w:themeFillTint="33"/>
          </w:tcPr>
          <w:p w14:paraId="624FE97B" w14:textId="77777777" w:rsidR="00392587" w:rsidRPr="00EB5E8A" w:rsidRDefault="00392587" w:rsidP="009F4923">
            <w:pPr>
              <w:rPr>
                <w:rFonts w:asciiTheme="majorHAnsi" w:hAnsiTheme="majorHAnsi"/>
                <w:b/>
                <w:sz w:val="20"/>
              </w:rPr>
            </w:pPr>
          </w:p>
        </w:tc>
        <w:tc>
          <w:tcPr>
            <w:tcW w:w="1643" w:type="dxa"/>
            <w:gridSpan w:val="2"/>
            <w:shd w:val="clear" w:color="auto" w:fill="DEEAF6" w:themeFill="accent1" w:themeFillTint="33"/>
          </w:tcPr>
          <w:p w14:paraId="2EBCF684" w14:textId="77777777" w:rsidR="00392587" w:rsidRPr="00EB5E8A" w:rsidRDefault="00392587" w:rsidP="009F4923">
            <w:pPr>
              <w:jc w:val="center"/>
              <w:rPr>
                <w:rFonts w:asciiTheme="majorHAnsi" w:hAnsiTheme="majorHAnsi"/>
                <w:b/>
                <w:sz w:val="20"/>
                <w:szCs w:val="18"/>
              </w:rPr>
            </w:pPr>
            <w:r w:rsidRPr="00EB5E8A">
              <w:rPr>
                <w:rFonts w:asciiTheme="majorHAnsi" w:hAnsiTheme="majorHAnsi"/>
                <w:b/>
                <w:sz w:val="20"/>
                <w:szCs w:val="18"/>
              </w:rPr>
              <w:t>HR</w:t>
            </w:r>
          </w:p>
        </w:tc>
        <w:tc>
          <w:tcPr>
            <w:tcW w:w="1644" w:type="dxa"/>
            <w:shd w:val="clear" w:color="auto" w:fill="DEEAF6" w:themeFill="accent1" w:themeFillTint="33"/>
          </w:tcPr>
          <w:p w14:paraId="2249EFD6" w14:textId="77777777" w:rsidR="00392587" w:rsidRPr="00EB5E8A" w:rsidRDefault="00392587" w:rsidP="009F4923">
            <w:pPr>
              <w:jc w:val="center"/>
              <w:rPr>
                <w:rFonts w:asciiTheme="majorHAnsi" w:hAnsiTheme="majorHAnsi"/>
                <w:b/>
                <w:sz w:val="20"/>
                <w:szCs w:val="18"/>
              </w:rPr>
            </w:pPr>
            <w:r w:rsidRPr="00EB5E8A">
              <w:rPr>
                <w:rFonts w:asciiTheme="majorHAnsi" w:hAnsiTheme="majorHAnsi"/>
                <w:b/>
                <w:sz w:val="20"/>
                <w:szCs w:val="18"/>
              </w:rPr>
              <w:t>95% CI</w:t>
            </w:r>
          </w:p>
        </w:tc>
        <w:tc>
          <w:tcPr>
            <w:tcW w:w="1658" w:type="dxa"/>
            <w:shd w:val="clear" w:color="auto" w:fill="DEEAF6" w:themeFill="accent1" w:themeFillTint="33"/>
          </w:tcPr>
          <w:p w14:paraId="09829BF8" w14:textId="77777777" w:rsidR="00392587" w:rsidRPr="00EB5E8A" w:rsidRDefault="00392587" w:rsidP="009F4923">
            <w:pPr>
              <w:jc w:val="center"/>
              <w:rPr>
                <w:rFonts w:asciiTheme="majorHAnsi" w:hAnsiTheme="majorHAnsi"/>
                <w:b/>
                <w:sz w:val="20"/>
                <w:szCs w:val="18"/>
              </w:rPr>
            </w:pPr>
            <w:r w:rsidRPr="00EB5E8A">
              <w:rPr>
                <w:rFonts w:asciiTheme="majorHAnsi" w:hAnsiTheme="majorHAnsi"/>
                <w:b/>
                <w:sz w:val="20"/>
                <w:szCs w:val="18"/>
              </w:rPr>
              <w:t>HR</w:t>
            </w:r>
          </w:p>
        </w:tc>
        <w:tc>
          <w:tcPr>
            <w:tcW w:w="1658" w:type="dxa"/>
            <w:shd w:val="clear" w:color="auto" w:fill="DEEAF6" w:themeFill="accent1" w:themeFillTint="33"/>
          </w:tcPr>
          <w:p w14:paraId="72A6278C" w14:textId="77777777" w:rsidR="00392587" w:rsidRPr="00EB5E8A" w:rsidRDefault="00392587" w:rsidP="009F4923">
            <w:pPr>
              <w:jc w:val="center"/>
              <w:rPr>
                <w:rFonts w:asciiTheme="majorHAnsi" w:hAnsiTheme="majorHAnsi"/>
                <w:b/>
                <w:sz w:val="20"/>
                <w:szCs w:val="18"/>
              </w:rPr>
            </w:pPr>
            <w:r w:rsidRPr="00EB5E8A">
              <w:rPr>
                <w:rFonts w:asciiTheme="majorHAnsi" w:hAnsiTheme="majorHAnsi"/>
                <w:b/>
                <w:sz w:val="20"/>
                <w:szCs w:val="18"/>
              </w:rPr>
              <w:t>95% CI</w:t>
            </w:r>
          </w:p>
        </w:tc>
      </w:tr>
      <w:tr w:rsidR="00392587" w:rsidRPr="00EB5E8A" w14:paraId="5E3FBBCF" w14:textId="77777777" w:rsidTr="009F4923">
        <w:trPr>
          <w:trHeight w:val="282"/>
          <w:jc w:val="center"/>
        </w:trPr>
        <w:tc>
          <w:tcPr>
            <w:tcW w:w="2353" w:type="dxa"/>
          </w:tcPr>
          <w:p w14:paraId="47B59EE8" w14:textId="77777777" w:rsidR="00392587" w:rsidRPr="00EB5E8A" w:rsidRDefault="00392587" w:rsidP="009F4923">
            <w:pPr>
              <w:rPr>
                <w:rFonts w:asciiTheme="majorHAnsi" w:hAnsiTheme="majorHAnsi"/>
                <w:color w:val="2E74B5" w:themeColor="accent1" w:themeShade="BF"/>
                <w:sz w:val="24"/>
              </w:rPr>
            </w:pPr>
          </w:p>
        </w:tc>
        <w:tc>
          <w:tcPr>
            <w:tcW w:w="1500" w:type="dxa"/>
          </w:tcPr>
          <w:p w14:paraId="1D9E0CD0" w14:textId="77777777" w:rsidR="00392587" w:rsidRPr="00EB5E8A" w:rsidRDefault="00392587" w:rsidP="009F4923">
            <w:pPr>
              <w:jc w:val="center"/>
              <w:rPr>
                <w:rFonts w:asciiTheme="majorHAnsi" w:hAnsiTheme="majorHAnsi"/>
                <w:b/>
                <w:sz w:val="20"/>
                <w:szCs w:val="18"/>
              </w:rPr>
            </w:pPr>
          </w:p>
        </w:tc>
        <w:tc>
          <w:tcPr>
            <w:tcW w:w="1787" w:type="dxa"/>
            <w:gridSpan w:val="2"/>
          </w:tcPr>
          <w:p w14:paraId="535E5BEE" w14:textId="77777777" w:rsidR="00392587" w:rsidRPr="00EB5E8A" w:rsidRDefault="00392587" w:rsidP="009F4923">
            <w:pPr>
              <w:jc w:val="center"/>
              <w:rPr>
                <w:rFonts w:asciiTheme="majorHAnsi" w:hAnsiTheme="majorHAnsi"/>
                <w:b/>
                <w:sz w:val="20"/>
                <w:szCs w:val="18"/>
              </w:rPr>
            </w:pPr>
          </w:p>
        </w:tc>
        <w:tc>
          <w:tcPr>
            <w:tcW w:w="1658" w:type="dxa"/>
          </w:tcPr>
          <w:p w14:paraId="65F9A787" w14:textId="77777777" w:rsidR="00392587" w:rsidRPr="00EB5E8A" w:rsidRDefault="00392587" w:rsidP="009F4923">
            <w:pPr>
              <w:jc w:val="center"/>
              <w:rPr>
                <w:rFonts w:asciiTheme="majorHAnsi" w:hAnsiTheme="majorHAnsi"/>
                <w:b/>
                <w:sz w:val="20"/>
                <w:szCs w:val="18"/>
              </w:rPr>
            </w:pPr>
          </w:p>
        </w:tc>
        <w:tc>
          <w:tcPr>
            <w:tcW w:w="1658" w:type="dxa"/>
          </w:tcPr>
          <w:p w14:paraId="359CDFBA" w14:textId="77777777" w:rsidR="00392587" w:rsidRPr="00EB5E8A" w:rsidRDefault="00392587" w:rsidP="009F4923">
            <w:pPr>
              <w:jc w:val="center"/>
              <w:rPr>
                <w:rFonts w:asciiTheme="majorHAnsi" w:hAnsiTheme="majorHAnsi"/>
                <w:b/>
                <w:sz w:val="20"/>
                <w:szCs w:val="18"/>
              </w:rPr>
            </w:pPr>
          </w:p>
        </w:tc>
      </w:tr>
      <w:tr w:rsidR="00392587" w:rsidRPr="00EB5E8A" w14:paraId="48223EAF" w14:textId="77777777" w:rsidTr="009F4923">
        <w:trPr>
          <w:trHeight w:val="1151"/>
          <w:jc w:val="center"/>
        </w:trPr>
        <w:tc>
          <w:tcPr>
            <w:tcW w:w="2353" w:type="dxa"/>
          </w:tcPr>
          <w:p w14:paraId="4E14DADA" w14:textId="77777777" w:rsidR="00392587" w:rsidRPr="00EB5E8A" w:rsidRDefault="00392587" w:rsidP="009F4923">
            <w:pPr>
              <w:spacing w:line="276" w:lineRule="auto"/>
              <w:rPr>
                <w:b/>
                <w:sz w:val="20"/>
              </w:rPr>
            </w:pPr>
            <w:r w:rsidRPr="00EB5E8A">
              <w:rPr>
                <w:b/>
                <w:sz w:val="20"/>
              </w:rPr>
              <w:t>Stoma status</w:t>
            </w:r>
          </w:p>
          <w:p w14:paraId="111CB131" w14:textId="77777777" w:rsidR="00392587" w:rsidRPr="00EB5E8A" w:rsidRDefault="00392587" w:rsidP="009F4923">
            <w:pPr>
              <w:spacing w:line="276" w:lineRule="auto"/>
              <w:rPr>
                <w:b/>
                <w:sz w:val="20"/>
              </w:rPr>
            </w:pPr>
            <w:r w:rsidRPr="00EB5E8A">
              <w:rPr>
                <w:sz w:val="20"/>
              </w:rPr>
              <w:t>No Stoma</w:t>
            </w:r>
          </w:p>
          <w:p w14:paraId="14C67008" w14:textId="77777777" w:rsidR="00392587" w:rsidRPr="00EB5E8A" w:rsidRDefault="00392587" w:rsidP="009F4923">
            <w:pPr>
              <w:spacing w:line="276" w:lineRule="auto"/>
              <w:rPr>
                <w:sz w:val="20"/>
              </w:rPr>
            </w:pPr>
            <w:r w:rsidRPr="00EB5E8A">
              <w:rPr>
                <w:sz w:val="20"/>
              </w:rPr>
              <w:t>Early Stoma Reversal</w:t>
            </w:r>
          </w:p>
          <w:p w14:paraId="1BC4A479" w14:textId="77777777" w:rsidR="00392587" w:rsidRPr="00EB5E8A" w:rsidRDefault="00392587" w:rsidP="009F4923">
            <w:pPr>
              <w:spacing w:line="276" w:lineRule="auto"/>
              <w:rPr>
                <w:sz w:val="20"/>
              </w:rPr>
            </w:pPr>
            <w:r w:rsidRPr="00EB5E8A">
              <w:rPr>
                <w:sz w:val="20"/>
              </w:rPr>
              <w:t>Late Stoma Reversal</w:t>
            </w:r>
          </w:p>
        </w:tc>
        <w:tc>
          <w:tcPr>
            <w:tcW w:w="1500" w:type="dxa"/>
          </w:tcPr>
          <w:p w14:paraId="61E666F5" w14:textId="77777777" w:rsidR="00392587" w:rsidRPr="00EB5E8A" w:rsidRDefault="00392587" w:rsidP="009F4923">
            <w:pPr>
              <w:spacing w:line="276" w:lineRule="auto"/>
              <w:jc w:val="center"/>
              <w:rPr>
                <w:rFonts w:asciiTheme="majorHAnsi" w:hAnsiTheme="majorHAnsi"/>
                <w:b/>
                <w:sz w:val="20"/>
                <w:szCs w:val="18"/>
              </w:rPr>
            </w:pPr>
          </w:p>
          <w:p w14:paraId="5F08BD43" w14:textId="77777777" w:rsidR="00392587" w:rsidRPr="00EB5E8A" w:rsidRDefault="00392587" w:rsidP="009F4923">
            <w:pPr>
              <w:spacing w:line="276" w:lineRule="auto"/>
              <w:jc w:val="center"/>
              <w:rPr>
                <w:rFonts w:asciiTheme="majorHAnsi" w:hAnsiTheme="majorHAnsi"/>
                <w:sz w:val="20"/>
                <w:szCs w:val="18"/>
              </w:rPr>
            </w:pPr>
            <w:r w:rsidRPr="00EB5E8A">
              <w:rPr>
                <w:rFonts w:asciiTheme="majorHAnsi" w:hAnsiTheme="majorHAnsi"/>
                <w:sz w:val="20"/>
                <w:szCs w:val="18"/>
              </w:rPr>
              <w:t>1</w:t>
            </w:r>
          </w:p>
          <w:p w14:paraId="6D51A1A2" w14:textId="77777777" w:rsidR="00392587" w:rsidRPr="00EB5E8A" w:rsidRDefault="00392587" w:rsidP="009F4923">
            <w:pPr>
              <w:spacing w:line="276" w:lineRule="auto"/>
              <w:jc w:val="center"/>
              <w:rPr>
                <w:rFonts w:asciiTheme="majorHAnsi" w:hAnsiTheme="majorHAnsi"/>
                <w:sz w:val="20"/>
                <w:szCs w:val="18"/>
              </w:rPr>
            </w:pPr>
            <w:r w:rsidRPr="00EB5E8A">
              <w:rPr>
                <w:rFonts w:asciiTheme="majorHAnsi" w:hAnsiTheme="majorHAnsi"/>
                <w:sz w:val="20"/>
                <w:szCs w:val="18"/>
              </w:rPr>
              <w:t>1.06</w:t>
            </w:r>
          </w:p>
          <w:p w14:paraId="6FB2AC13" w14:textId="77777777" w:rsidR="00392587" w:rsidRPr="00EB5E8A" w:rsidRDefault="00392587" w:rsidP="009F4923">
            <w:pPr>
              <w:spacing w:line="276" w:lineRule="auto"/>
              <w:jc w:val="center"/>
              <w:rPr>
                <w:rFonts w:asciiTheme="majorHAnsi" w:hAnsiTheme="majorHAnsi"/>
                <w:b/>
                <w:sz w:val="20"/>
                <w:szCs w:val="18"/>
              </w:rPr>
            </w:pPr>
            <w:r w:rsidRPr="00EB5E8A">
              <w:rPr>
                <w:rFonts w:asciiTheme="majorHAnsi" w:hAnsiTheme="majorHAnsi"/>
                <w:b/>
                <w:sz w:val="20"/>
                <w:szCs w:val="18"/>
              </w:rPr>
              <w:t>1.97</w:t>
            </w:r>
          </w:p>
        </w:tc>
        <w:tc>
          <w:tcPr>
            <w:tcW w:w="1787" w:type="dxa"/>
            <w:gridSpan w:val="2"/>
          </w:tcPr>
          <w:p w14:paraId="34804838" w14:textId="77777777" w:rsidR="00392587" w:rsidRPr="00EB5E8A" w:rsidRDefault="00392587" w:rsidP="009F4923">
            <w:pPr>
              <w:spacing w:line="276" w:lineRule="auto"/>
              <w:jc w:val="center"/>
              <w:rPr>
                <w:rFonts w:asciiTheme="majorHAnsi" w:hAnsiTheme="majorHAnsi"/>
                <w:b/>
                <w:sz w:val="20"/>
                <w:szCs w:val="18"/>
              </w:rPr>
            </w:pPr>
          </w:p>
          <w:p w14:paraId="385F54CD" w14:textId="77777777" w:rsidR="00392587" w:rsidRPr="00EB5E8A" w:rsidRDefault="00392587" w:rsidP="009F4923">
            <w:pPr>
              <w:spacing w:line="276" w:lineRule="auto"/>
              <w:jc w:val="center"/>
              <w:rPr>
                <w:rFonts w:asciiTheme="majorHAnsi" w:hAnsiTheme="majorHAnsi"/>
                <w:b/>
                <w:sz w:val="20"/>
                <w:szCs w:val="18"/>
              </w:rPr>
            </w:pPr>
            <w:r w:rsidRPr="00EB5E8A">
              <w:rPr>
                <w:rFonts w:asciiTheme="majorHAnsi" w:hAnsiTheme="majorHAnsi"/>
                <w:b/>
                <w:sz w:val="20"/>
                <w:szCs w:val="18"/>
              </w:rPr>
              <w:t>-</w:t>
            </w:r>
          </w:p>
          <w:p w14:paraId="3C4508C0" w14:textId="77777777" w:rsidR="00392587" w:rsidRPr="00EB5E8A" w:rsidRDefault="00392587" w:rsidP="009F4923">
            <w:pPr>
              <w:spacing w:line="276" w:lineRule="auto"/>
              <w:jc w:val="center"/>
              <w:rPr>
                <w:rFonts w:asciiTheme="majorHAnsi" w:hAnsiTheme="majorHAnsi"/>
                <w:sz w:val="20"/>
                <w:szCs w:val="18"/>
              </w:rPr>
            </w:pPr>
            <w:r w:rsidRPr="00EB5E8A">
              <w:rPr>
                <w:rFonts w:asciiTheme="majorHAnsi" w:hAnsiTheme="majorHAnsi"/>
                <w:sz w:val="20"/>
                <w:szCs w:val="18"/>
              </w:rPr>
              <w:t>0.69-1.63</w:t>
            </w:r>
          </w:p>
          <w:p w14:paraId="3F6D8425" w14:textId="77777777" w:rsidR="00392587" w:rsidRPr="00EB5E8A" w:rsidRDefault="00392587" w:rsidP="009F4923">
            <w:pPr>
              <w:spacing w:line="276" w:lineRule="auto"/>
              <w:jc w:val="center"/>
              <w:rPr>
                <w:rFonts w:asciiTheme="majorHAnsi" w:hAnsiTheme="majorHAnsi"/>
                <w:b/>
                <w:sz w:val="20"/>
                <w:szCs w:val="18"/>
              </w:rPr>
            </w:pPr>
            <w:r w:rsidRPr="00EB5E8A">
              <w:rPr>
                <w:rFonts w:asciiTheme="majorHAnsi" w:hAnsiTheme="majorHAnsi"/>
                <w:b/>
                <w:sz w:val="20"/>
                <w:szCs w:val="18"/>
              </w:rPr>
              <w:t>1.24-3.11</w:t>
            </w:r>
          </w:p>
        </w:tc>
        <w:tc>
          <w:tcPr>
            <w:tcW w:w="1658" w:type="dxa"/>
          </w:tcPr>
          <w:p w14:paraId="67734379" w14:textId="77777777" w:rsidR="00392587" w:rsidRPr="00EB5E8A" w:rsidRDefault="00392587" w:rsidP="009F4923">
            <w:pPr>
              <w:spacing w:line="276" w:lineRule="auto"/>
              <w:jc w:val="center"/>
              <w:rPr>
                <w:rFonts w:asciiTheme="majorHAnsi" w:hAnsiTheme="majorHAnsi"/>
                <w:b/>
                <w:sz w:val="20"/>
                <w:szCs w:val="18"/>
              </w:rPr>
            </w:pPr>
          </w:p>
          <w:p w14:paraId="4BF07676" w14:textId="77777777" w:rsidR="00392587" w:rsidRPr="00EB5E8A" w:rsidRDefault="00392587" w:rsidP="009F4923">
            <w:pPr>
              <w:spacing w:line="276" w:lineRule="auto"/>
              <w:jc w:val="center"/>
              <w:rPr>
                <w:rFonts w:asciiTheme="majorHAnsi" w:hAnsiTheme="majorHAnsi"/>
                <w:sz w:val="20"/>
                <w:szCs w:val="18"/>
              </w:rPr>
            </w:pPr>
            <w:r w:rsidRPr="00EB5E8A">
              <w:rPr>
                <w:rFonts w:asciiTheme="majorHAnsi" w:hAnsiTheme="majorHAnsi"/>
                <w:sz w:val="20"/>
                <w:szCs w:val="18"/>
              </w:rPr>
              <w:t>1</w:t>
            </w:r>
          </w:p>
          <w:p w14:paraId="62FD7038" w14:textId="4AF000E9" w:rsidR="00392587" w:rsidRPr="00EB5E8A" w:rsidRDefault="00F960E2" w:rsidP="009F4923">
            <w:pPr>
              <w:spacing w:line="276" w:lineRule="auto"/>
              <w:jc w:val="center"/>
              <w:rPr>
                <w:rFonts w:asciiTheme="majorHAnsi" w:hAnsiTheme="majorHAnsi"/>
                <w:sz w:val="20"/>
                <w:szCs w:val="18"/>
              </w:rPr>
            </w:pPr>
            <w:r w:rsidRPr="00EB5E8A">
              <w:rPr>
                <w:rFonts w:asciiTheme="majorHAnsi" w:hAnsiTheme="majorHAnsi"/>
                <w:sz w:val="20"/>
                <w:szCs w:val="18"/>
              </w:rPr>
              <w:t>0.99</w:t>
            </w:r>
          </w:p>
          <w:p w14:paraId="2FC70F01" w14:textId="31260DDE" w:rsidR="00392587" w:rsidRPr="00EB5E8A" w:rsidRDefault="00F960E2" w:rsidP="009F4923">
            <w:pPr>
              <w:spacing w:line="276" w:lineRule="auto"/>
              <w:jc w:val="center"/>
              <w:rPr>
                <w:rFonts w:asciiTheme="majorHAnsi" w:hAnsiTheme="majorHAnsi"/>
                <w:b/>
                <w:sz w:val="20"/>
                <w:szCs w:val="18"/>
              </w:rPr>
            </w:pPr>
            <w:r w:rsidRPr="00EB5E8A">
              <w:rPr>
                <w:rFonts w:asciiTheme="majorHAnsi" w:hAnsiTheme="majorHAnsi"/>
                <w:b/>
                <w:sz w:val="20"/>
                <w:szCs w:val="18"/>
              </w:rPr>
              <w:t>1.85</w:t>
            </w:r>
          </w:p>
        </w:tc>
        <w:tc>
          <w:tcPr>
            <w:tcW w:w="1658" w:type="dxa"/>
          </w:tcPr>
          <w:p w14:paraId="02975A1B" w14:textId="77777777" w:rsidR="00392587" w:rsidRPr="00EB5E8A" w:rsidRDefault="00392587" w:rsidP="009F4923">
            <w:pPr>
              <w:spacing w:line="276" w:lineRule="auto"/>
              <w:jc w:val="center"/>
              <w:rPr>
                <w:rFonts w:asciiTheme="majorHAnsi" w:hAnsiTheme="majorHAnsi"/>
                <w:b/>
                <w:sz w:val="20"/>
                <w:szCs w:val="18"/>
              </w:rPr>
            </w:pPr>
          </w:p>
          <w:p w14:paraId="03686EE4" w14:textId="4423EF9E" w:rsidR="00392587" w:rsidRPr="00EB5E8A" w:rsidRDefault="00392587" w:rsidP="009F4923">
            <w:pPr>
              <w:spacing w:line="276" w:lineRule="auto"/>
              <w:jc w:val="center"/>
              <w:rPr>
                <w:rFonts w:asciiTheme="majorHAnsi" w:hAnsiTheme="majorHAnsi"/>
                <w:sz w:val="20"/>
                <w:szCs w:val="18"/>
              </w:rPr>
            </w:pPr>
            <w:r w:rsidRPr="00EB5E8A">
              <w:rPr>
                <w:rFonts w:asciiTheme="majorHAnsi" w:hAnsiTheme="majorHAnsi"/>
                <w:b/>
                <w:sz w:val="20"/>
                <w:szCs w:val="18"/>
              </w:rPr>
              <w:t>-</w:t>
            </w:r>
            <w:r w:rsidRPr="00EB5E8A">
              <w:rPr>
                <w:rFonts w:asciiTheme="majorHAnsi" w:hAnsiTheme="majorHAnsi"/>
                <w:b/>
                <w:sz w:val="20"/>
                <w:szCs w:val="18"/>
              </w:rPr>
              <w:br/>
            </w:r>
            <w:r w:rsidR="00F960E2" w:rsidRPr="00EB5E8A">
              <w:rPr>
                <w:rFonts w:asciiTheme="majorHAnsi" w:hAnsiTheme="majorHAnsi"/>
                <w:sz w:val="20"/>
                <w:szCs w:val="18"/>
              </w:rPr>
              <w:t>0.64</w:t>
            </w:r>
            <w:r w:rsidRPr="00EB5E8A">
              <w:rPr>
                <w:rFonts w:asciiTheme="majorHAnsi" w:hAnsiTheme="majorHAnsi"/>
                <w:sz w:val="20"/>
                <w:szCs w:val="18"/>
              </w:rPr>
              <w:t>-</w:t>
            </w:r>
            <w:r w:rsidR="00F960E2" w:rsidRPr="00EB5E8A">
              <w:rPr>
                <w:rFonts w:asciiTheme="majorHAnsi" w:hAnsiTheme="majorHAnsi"/>
                <w:sz w:val="20"/>
                <w:szCs w:val="18"/>
              </w:rPr>
              <w:t>1.53</w:t>
            </w:r>
          </w:p>
          <w:p w14:paraId="5872D355" w14:textId="2F236668" w:rsidR="00392587" w:rsidRPr="00EB5E8A" w:rsidRDefault="00F960E2" w:rsidP="009F4923">
            <w:pPr>
              <w:spacing w:line="276" w:lineRule="auto"/>
              <w:jc w:val="center"/>
              <w:rPr>
                <w:rFonts w:asciiTheme="majorHAnsi" w:hAnsiTheme="majorHAnsi"/>
                <w:b/>
                <w:sz w:val="20"/>
                <w:szCs w:val="18"/>
              </w:rPr>
            </w:pPr>
            <w:r w:rsidRPr="00EB5E8A">
              <w:rPr>
                <w:rFonts w:asciiTheme="majorHAnsi" w:hAnsiTheme="majorHAnsi"/>
                <w:b/>
                <w:sz w:val="20"/>
                <w:szCs w:val="18"/>
              </w:rPr>
              <w:t>1.15</w:t>
            </w:r>
            <w:r w:rsidR="00392587" w:rsidRPr="00EB5E8A">
              <w:rPr>
                <w:rFonts w:asciiTheme="majorHAnsi" w:hAnsiTheme="majorHAnsi"/>
                <w:b/>
                <w:sz w:val="20"/>
                <w:szCs w:val="18"/>
              </w:rPr>
              <w:t>-</w:t>
            </w:r>
            <w:r w:rsidRPr="00EB5E8A">
              <w:rPr>
                <w:rFonts w:asciiTheme="majorHAnsi" w:hAnsiTheme="majorHAnsi"/>
                <w:b/>
                <w:sz w:val="20"/>
                <w:szCs w:val="18"/>
              </w:rPr>
              <w:t>2.96</w:t>
            </w:r>
          </w:p>
        </w:tc>
      </w:tr>
      <w:tr w:rsidR="00392587" w:rsidRPr="00EB5E8A" w14:paraId="1067FE48" w14:textId="77777777" w:rsidTr="009F4923">
        <w:trPr>
          <w:trHeight w:val="912"/>
          <w:jc w:val="center"/>
        </w:trPr>
        <w:tc>
          <w:tcPr>
            <w:tcW w:w="2353" w:type="dxa"/>
          </w:tcPr>
          <w:p w14:paraId="64CB8FD2" w14:textId="77777777" w:rsidR="00392587" w:rsidRPr="00EB5E8A" w:rsidRDefault="00392587" w:rsidP="009F4923">
            <w:pPr>
              <w:spacing w:line="276" w:lineRule="auto"/>
              <w:rPr>
                <w:b/>
                <w:sz w:val="20"/>
                <w:szCs w:val="20"/>
              </w:rPr>
            </w:pPr>
            <w:r w:rsidRPr="00EB5E8A">
              <w:rPr>
                <w:b/>
                <w:sz w:val="20"/>
                <w:szCs w:val="20"/>
              </w:rPr>
              <w:t>Sex</w:t>
            </w:r>
          </w:p>
          <w:p w14:paraId="705959BB" w14:textId="77777777" w:rsidR="00392587" w:rsidRPr="00EB5E8A" w:rsidRDefault="00392587" w:rsidP="009F4923">
            <w:pPr>
              <w:spacing w:line="276" w:lineRule="auto"/>
              <w:rPr>
                <w:sz w:val="20"/>
                <w:szCs w:val="20"/>
              </w:rPr>
            </w:pPr>
            <w:r w:rsidRPr="00EB5E8A">
              <w:rPr>
                <w:sz w:val="20"/>
                <w:szCs w:val="20"/>
              </w:rPr>
              <w:t>Male</w:t>
            </w:r>
          </w:p>
          <w:p w14:paraId="2ED45119" w14:textId="77777777" w:rsidR="00392587" w:rsidRPr="00EB5E8A" w:rsidRDefault="00392587" w:rsidP="009F4923">
            <w:pPr>
              <w:spacing w:line="276" w:lineRule="auto"/>
              <w:rPr>
                <w:b/>
                <w:sz w:val="20"/>
                <w:szCs w:val="20"/>
              </w:rPr>
            </w:pPr>
            <w:r w:rsidRPr="00EB5E8A">
              <w:rPr>
                <w:sz w:val="20"/>
                <w:szCs w:val="20"/>
              </w:rPr>
              <w:t>Female</w:t>
            </w:r>
          </w:p>
        </w:tc>
        <w:tc>
          <w:tcPr>
            <w:tcW w:w="1500" w:type="dxa"/>
          </w:tcPr>
          <w:p w14:paraId="2237F0CB" w14:textId="77777777" w:rsidR="00392587" w:rsidRPr="00EB5E8A" w:rsidRDefault="00392587" w:rsidP="009F4923">
            <w:pPr>
              <w:spacing w:line="276" w:lineRule="auto"/>
              <w:jc w:val="center"/>
              <w:rPr>
                <w:sz w:val="20"/>
                <w:szCs w:val="20"/>
              </w:rPr>
            </w:pPr>
          </w:p>
          <w:p w14:paraId="571D64E0" w14:textId="77777777" w:rsidR="00392587" w:rsidRPr="00EB5E8A" w:rsidRDefault="00392587" w:rsidP="009F4923">
            <w:pPr>
              <w:spacing w:line="276" w:lineRule="auto"/>
              <w:jc w:val="center"/>
              <w:rPr>
                <w:sz w:val="20"/>
                <w:szCs w:val="20"/>
              </w:rPr>
            </w:pPr>
            <w:r w:rsidRPr="00EB5E8A">
              <w:rPr>
                <w:sz w:val="20"/>
                <w:szCs w:val="20"/>
              </w:rPr>
              <w:t>1</w:t>
            </w:r>
          </w:p>
          <w:p w14:paraId="1DB3CA02" w14:textId="77777777" w:rsidR="00392587" w:rsidRPr="00EB5E8A" w:rsidRDefault="00392587" w:rsidP="009F4923">
            <w:pPr>
              <w:spacing w:line="276" w:lineRule="auto"/>
              <w:jc w:val="center"/>
              <w:rPr>
                <w:b/>
                <w:sz w:val="20"/>
                <w:szCs w:val="20"/>
              </w:rPr>
            </w:pPr>
            <w:r w:rsidRPr="00EB5E8A">
              <w:rPr>
                <w:b/>
                <w:sz w:val="20"/>
                <w:szCs w:val="20"/>
              </w:rPr>
              <w:t>1.65</w:t>
            </w:r>
          </w:p>
        </w:tc>
        <w:tc>
          <w:tcPr>
            <w:tcW w:w="1787" w:type="dxa"/>
            <w:gridSpan w:val="2"/>
          </w:tcPr>
          <w:p w14:paraId="15596008" w14:textId="77777777" w:rsidR="00392587" w:rsidRPr="00EB5E8A" w:rsidRDefault="00392587" w:rsidP="009F4923">
            <w:pPr>
              <w:spacing w:line="276" w:lineRule="auto"/>
              <w:jc w:val="center"/>
              <w:rPr>
                <w:sz w:val="20"/>
                <w:szCs w:val="20"/>
              </w:rPr>
            </w:pPr>
          </w:p>
          <w:p w14:paraId="20C5DA51" w14:textId="77777777" w:rsidR="00392587" w:rsidRPr="00EB5E8A" w:rsidRDefault="00392587" w:rsidP="009F4923">
            <w:pPr>
              <w:spacing w:line="276" w:lineRule="auto"/>
              <w:jc w:val="center"/>
              <w:rPr>
                <w:sz w:val="20"/>
                <w:szCs w:val="20"/>
              </w:rPr>
            </w:pPr>
            <w:r w:rsidRPr="00EB5E8A">
              <w:rPr>
                <w:sz w:val="20"/>
                <w:szCs w:val="20"/>
              </w:rPr>
              <w:t>-</w:t>
            </w:r>
          </w:p>
          <w:p w14:paraId="61550CDF" w14:textId="77777777" w:rsidR="00392587" w:rsidRPr="00EB5E8A" w:rsidRDefault="00392587" w:rsidP="009F4923">
            <w:pPr>
              <w:spacing w:line="276" w:lineRule="auto"/>
              <w:jc w:val="center"/>
              <w:rPr>
                <w:b/>
                <w:sz w:val="20"/>
                <w:szCs w:val="20"/>
              </w:rPr>
            </w:pPr>
            <w:r w:rsidRPr="00EB5E8A">
              <w:rPr>
                <w:b/>
                <w:sz w:val="20"/>
                <w:szCs w:val="20"/>
              </w:rPr>
              <w:t>1.22-2.22</w:t>
            </w:r>
          </w:p>
        </w:tc>
        <w:tc>
          <w:tcPr>
            <w:tcW w:w="1658" w:type="dxa"/>
          </w:tcPr>
          <w:p w14:paraId="16DBB0BD" w14:textId="77777777" w:rsidR="00392587" w:rsidRPr="00EB5E8A" w:rsidRDefault="00392587" w:rsidP="009F4923">
            <w:pPr>
              <w:spacing w:line="276" w:lineRule="auto"/>
              <w:jc w:val="center"/>
              <w:rPr>
                <w:sz w:val="20"/>
                <w:szCs w:val="20"/>
              </w:rPr>
            </w:pPr>
          </w:p>
          <w:p w14:paraId="05180174" w14:textId="77777777" w:rsidR="00392587" w:rsidRPr="00EB5E8A" w:rsidRDefault="00392587" w:rsidP="009F4923">
            <w:pPr>
              <w:spacing w:line="276" w:lineRule="auto"/>
              <w:jc w:val="center"/>
              <w:rPr>
                <w:sz w:val="20"/>
                <w:szCs w:val="20"/>
              </w:rPr>
            </w:pPr>
            <w:r w:rsidRPr="00EB5E8A">
              <w:rPr>
                <w:sz w:val="20"/>
                <w:szCs w:val="20"/>
              </w:rPr>
              <w:t>1</w:t>
            </w:r>
          </w:p>
          <w:p w14:paraId="04FC7ADD" w14:textId="4224F54A" w:rsidR="00392587" w:rsidRPr="00EB5E8A" w:rsidRDefault="00F960E2" w:rsidP="009F4923">
            <w:pPr>
              <w:spacing w:line="276" w:lineRule="auto"/>
              <w:jc w:val="center"/>
              <w:rPr>
                <w:b/>
                <w:sz w:val="20"/>
                <w:szCs w:val="20"/>
              </w:rPr>
            </w:pPr>
            <w:r w:rsidRPr="00EB5E8A">
              <w:rPr>
                <w:b/>
                <w:sz w:val="20"/>
                <w:szCs w:val="20"/>
              </w:rPr>
              <w:t>1.54</w:t>
            </w:r>
          </w:p>
        </w:tc>
        <w:tc>
          <w:tcPr>
            <w:tcW w:w="1658" w:type="dxa"/>
          </w:tcPr>
          <w:p w14:paraId="65021AD8" w14:textId="77777777" w:rsidR="00392587" w:rsidRPr="00EB5E8A" w:rsidRDefault="00392587" w:rsidP="009F4923">
            <w:pPr>
              <w:spacing w:line="276" w:lineRule="auto"/>
              <w:jc w:val="center"/>
              <w:rPr>
                <w:sz w:val="20"/>
                <w:szCs w:val="20"/>
              </w:rPr>
            </w:pPr>
          </w:p>
          <w:p w14:paraId="1CCCB0E7" w14:textId="77777777" w:rsidR="00392587" w:rsidRPr="00EB5E8A" w:rsidRDefault="00392587" w:rsidP="009F4923">
            <w:pPr>
              <w:spacing w:line="276" w:lineRule="auto"/>
              <w:jc w:val="center"/>
              <w:rPr>
                <w:sz w:val="20"/>
                <w:szCs w:val="20"/>
              </w:rPr>
            </w:pPr>
            <w:r w:rsidRPr="00EB5E8A">
              <w:rPr>
                <w:sz w:val="20"/>
                <w:szCs w:val="20"/>
              </w:rPr>
              <w:t>-</w:t>
            </w:r>
          </w:p>
          <w:p w14:paraId="73AB5EFD" w14:textId="7CD00FCD" w:rsidR="00392587" w:rsidRPr="00EB5E8A" w:rsidRDefault="00F960E2" w:rsidP="009F4923">
            <w:pPr>
              <w:spacing w:line="276" w:lineRule="auto"/>
              <w:jc w:val="center"/>
              <w:rPr>
                <w:b/>
                <w:sz w:val="20"/>
                <w:szCs w:val="20"/>
              </w:rPr>
            </w:pPr>
            <w:r w:rsidRPr="00EB5E8A">
              <w:rPr>
                <w:b/>
                <w:sz w:val="20"/>
                <w:szCs w:val="20"/>
              </w:rPr>
              <w:t>1.13</w:t>
            </w:r>
            <w:r w:rsidR="00392587" w:rsidRPr="00EB5E8A">
              <w:rPr>
                <w:b/>
                <w:sz w:val="20"/>
                <w:szCs w:val="20"/>
              </w:rPr>
              <w:t>-</w:t>
            </w:r>
            <w:r w:rsidRPr="00EB5E8A">
              <w:rPr>
                <w:b/>
                <w:sz w:val="20"/>
                <w:szCs w:val="20"/>
              </w:rPr>
              <w:t>2.10</w:t>
            </w:r>
          </w:p>
        </w:tc>
      </w:tr>
      <w:tr w:rsidR="00392587" w:rsidRPr="00EB5E8A" w14:paraId="29292EEC" w14:textId="77777777" w:rsidTr="00C93A3B">
        <w:trPr>
          <w:trHeight w:val="414"/>
          <w:jc w:val="center"/>
        </w:trPr>
        <w:tc>
          <w:tcPr>
            <w:tcW w:w="2353" w:type="dxa"/>
            <w:hideMark/>
          </w:tcPr>
          <w:p w14:paraId="0092D911" w14:textId="11DF4254" w:rsidR="00392587" w:rsidRPr="00EB5E8A" w:rsidRDefault="00392587" w:rsidP="00C93A3B">
            <w:pPr>
              <w:spacing w:line="276" w:lineRule="auto"/>
              <w:rPr>
                <w:sz w:val="20"/>
                <w:szCs w:val="20"/>
              </w:rPr>
            </w:pPr>
            <w:r w:rsidRPr="00EB5E8A">
              <w:rPr>
                <w:b/>
                <w:sz w:val="20"/>
                <w:szCs w:val="20"/>
              </w:rPr>
              <w:t xml:space="preserve">Age at surgery </w:t>
            </w:r>
          </w:p>
        </w:tc>
        <w:tc>
          <w:tcPr>
            <w:tcW w:w="1500" w:type="dxa"/>
          </w:tcPr>
          <w:p w14:paraId="03860BAE" w14:textId="569BC0B4" w:rsidR="00392587" w:rsidRPr="00EB5E8A" w:rsidRDefault="00C93A3B" w:rsidP="00C93A3B">
            <w:pPr>
              <w:spacing w:line="276" w:lineRule="auto"/>
              <w:jc w:val="center"/>
              <w:rPr>
                <w:sz w:val="20"/>
                <w:szCs w:val="20"/>
              </w:rPr>
            </w:pPr>
            <w:r w:rsidRPr="00EB5E8A">
              <w:rPr>
                <w:sz w:val="20"/>
                <w:szCs w:val="20"/>
              </w:rPr>
              <w:t>0.99</w:t>
            </w:r>
          </w:p>
        </w:tc>
        <w:tc>
          <w:tcPr>
            <w:tcW w:w="1787" w:type="dxa"/>
            <w:gridSpan w:val="2"/>
          </w:tcPr>
          <w:p w14:paraId="6524C14F" w14:textId="303C8DC3" w:rsidR="00392587" w:rsidRPr="00EB5E8A" w:rsidRDefault="00C93A3B" w:rsidP="00C93A3B">
            <w:pPr>
              <w:spacing w:line="276" w:lineRule="auto"/>
              <w:jc w:val="center"/>
              <w:rPr>
                <w:sz w:val="20"/>
                <w:szCs w:val="20"/>
              </w:rPr>
            </w:pPr>
            <w:r w:rsidRPr="00EB5E8A">
              <w:rPr>
                <w:sz w:val="20"/>
                <w:szCs w:val="20"/>
              </w:rPr>
              <w:t>0.99-1.00</w:t>
            </w:r>
          </w:p>
        </w:tc>
        <w:tc>
          <w:tcPr>
            <w:tcW w:w="1658" w:type="dxa"/>
          </w:tcPr>
          <w:p w14:paraId="3651B088" w14:textId="5393608F" w:rsidR="00392587" w:rsidRPr="00EB5E8A" w:rsidRDefault="00F960E2" w:rsidP="00C93A3B">
            <w:pPr>
              <w:spacing w:line="276" w:lineRule="auto"/>
              <w:jc w:val="center"/>
              <w:rPr>
                <w:sz w:val="20"/>
                <w:szCs w:val="20"/>
              </w:rPr>
            </w:pPr>
            <w:r w:rsidRPr="00EB5E8A">
              <w:rPr>
                <w:sz w:val="20"/>
                <w:szCs w:val="20"/>
              </w:rPr>
              <w:t>0.99</w:t>
            </w:r>
          </w:p>
        </w:tc>
        <w:tc>
          <w:tcPr>
            <w:tcW w:w="1658" w:type="dxa"/>
          </w:tcPr>
          <w:p w14:paraId="349DEA10" w14:textId="1C3DB712" w:rsidR="00392587" w:rsidRPr="00EB5E8A" w:rsidRDefault="00F960E2" w:rsidP="00C93A3B">
            <w:pPr>
              <w:spacing w:line="276" w:lineRule="auto"/>
              <w:jc w:val="center"/>
              <w:rPr>
                <w:sz w:val="20"/>
                <w:szCs w:val="20"/>
              </w:rPr>
            </w:pPr>
            <w:r w:rsidRPr="00EB5E8A">
              <w:rPr>
                <w:sz w:val="20"/>
                <w:szCs w:val="20"/>
              </w:rPr>
              <w:t>0.98</w:t>
            </w:r>
            <w:r w:rsidR="00C93A3B" w:rsidRPr="00EB5E8A">
              <w:rPr>
                <w:sz w:val="20"/>
                <w:szCs w:val="20"/>
              </w:rPr>
              <w:t>-1.00</w:t>
            </w:r>
          </w:p>
        </w:tc>
      </w:tr>
      <w:tr w:rsidR="00392587" w:rsidRPr="00EB5E8A" w14:paraId="3551BA68" w14:textId="77777777" w:rsidTr="009F4923">
        <w:trPr>
          <w:trHeight w:val="1303"/>
          <w:jc w:val="center"/>
        </w:trPr>
        <w:tc>
          <w:tcPr>
            <w:tcW w:w="2353" w:type="dxa"/>
            <w:hideMark/>
          </w:tcPr>
          <w:p w14:paraId="2BF9D5AC" w14:textId="77777777" w:rsidR="00392587" w:rsidRPr="00EB5E8A" w:rsidRDefault="00392587" w:rsidP="009F4923">
            <w:pPr>
              <w:spacing w:line="276" w:lineRule="auto"/>
              <w:rPr>
                <w:b/>
                <w:sz w:val="20"/>
                <w:szCs w:val="20"/>
              </w:rPr>
            </w:pPr>
            <w:r w:rsidRPr="00EB5E8A">
              <w:rPr>
                <w:b/>
                <w:sz w:val="20"/>
                <w:szCs w:val="20"/>
              </w:rPr>
              <w:t>Social deprivation</w:t>
            </w:r>
          </w:p>
          <w:p w14:paraId="2A86FB55" w14:textId="77777777" w:rsidR="00392587" w:rsidRPr="00EB5E8A" w:rsidRDefault="00392587" w:rsidP="009F4923">
            <w:pPr>
              <w:spacing w:line="276" w:lineRule="auto"/>
              <w:rPr>
                <w:sz w:val="20"/>
                <w:szCs w:val="20"/>
              </w:rPr>
            </w:pPr>
            <w:r w:rsidRPr="00EB5E8A">
              <w:rPr>
                <w:sz w:val="20"/>
                <w:szCs w:val="20"/>
              </w:rPr>
              <w:t>IMD 1-3</w:t>
            </w:r>
            <w:r w:rsidRPr="00EB5E8A">
              <w:rPr>
                <w:sz w:val="20"/>
                <w:szCs w:val="20"/>
              </w:rPr>
              <w:br/>
              <w:t>IMD 4-5</w:t>
            </w:r>
            <w:r w:rsidRPr="00EB5E8A">
              <w:rPr>
                <w:sz w:val="20"/>
                <w:szCs w:val="20"/>
              </w:rPr>
              <w:br/>
              <w:t>Unknown</w:t>
            </w:r>
          </w:p>
        </w:tc>
        <w:tc>
          <w:tcPr>
            <w:tcW w:w="1500" w:type="dxa"/>
          </w:tcPr>
          <w:p w14:paraId="1764A92C" w14:textId="77777777" w:rsidR="00392587" w:rsidRPr="00EB5E8A" w:rsidRDefault="00392587" w:rsidP="009F4923">
            <w:pPr>
              <w:spacing w:line="276" w:lineRule="auto"/>
              <w:jc w:val="center"/>
              <w:rPr>
                <w:sz w:val="20"/>
                <w:szCs w:val="20"/>
              </w:rPr>
            </w:pPr>
          </w:p>
          <w:p w14:paraId="0BBAC6CB" w14:textId="77777777" w:rsidR="00392587" w:rsidRPr="00EB5E8A" w:rsidRDefault="00392587" w:rsidP="009F4923">
            <w:pPr>
              <w:spacing w:line="276" w:lineRule="auto"/>
              <w:jc w:val="center"/>
              <w:rPr>
                <w:sz w:val="20"/>
                <w:szCs w:val="20"/>
              </w:rPr>
            </w:pPr>
            <w:r w:rsidRPr="00EB5E8A">
              <w:rPr>
                <w:sz w:val="20"/>
                <w:szCs w:val="20"/>
              </w:rPr>
              <w:t>1</w:t>
            </w:r>
          </w:p>
          <w:p w14:paraId="17690A01" w14:textId="77777777" w:rsidR="00392587" w:rsidRPr="00EB5E8A" w:rsidRDefault="00392587" w:rsidP="009F4923">
            <w:pPr>
              <w:spacing w:line="276" w:lineRule="auto"/>
              <w:jc w:val="center"/>
              <w:rPr>
                <w:sz w:val="20"/>
                <w:szCs w:val="20"/>
              </w:rPr>
            </w:pPr>
            <w:r w:rsidRPr="00EB5E8A">
              <w:rPr>
                <w:sz w:val="20"/>
                <w:szCs w:val="20"/>
              </w:rPr>
              <w:t>1.19</w:t>
            </w:r>
          </w:p>
          <w:p w14:paraId="33B17AF1" w14:textId="77777777" w:rsidR="00392587" w:rsidRPr="00EB5E8A" w:rsidRDefault="00392587" w:rsidP="009F4923">
            <w:pPr>
              <w:spacing w:line="276" w:lineRule="auto"/>
              <w:jc w:val="center"/>
              <w:rPr>
                <w:sz w:val="20"/>
                <w:szCs w:val="20"/>
              </w:rPr>
            </w:pPr>
            <w:r w:rsidRPr="00EB5E8A">
              <w:rPr>
                <w:sz w:val="20"/>
                <w:szCs w:val="20"/>
              </w:rPr>
              <w:t>0.94</w:t>
            </w:r>
          </w:p>
        </w:tc>
        <w:tc>
          <w:tcPr>
            <w:tcW w:w="1787" w:type="dxa"/>
            <w:gridSpan w:val="2"/>
          </w:tcPr>
          <w:p w14:paraId="3AC63A54" w14:textId="77777777" w:rsidR="00392587" w:rsidRPr="00EB5E8A" w:rsidRDefault="00392587" w:rsidP="009F4923">
            <w:pPr>
              <w:spacing w:line="276" w:lineRule="auto"/>
              <w:jc w:val="center"/>
              <w:rPr>
                <w:sz w:val="20"/>
                <w:szCs w:val="20"/>
              </w:rPr>
            </w:pPr>
          </w:p>
          <w:p w14:paraId="61B88CFE" w14:textId="77777777" w:rsidR="00392587" w:rsidRPr="00EB5E8A" w:rsidRDefault="00392587" w:rsidP="009F4923">
            <w:pPr>
              <w:spacing w:line="276" w:lineRule="auto"/>
              <w:jc w:val="center"/>
              <w:rPr>
                <w:sz w:val="20"/>
                <w:szCs w:val="20"/>
              </w:rPr>
            </w:pPr>
            <w:r w:rsidRPr="00EB5E8A">
              <w:rPr>
                <w:sz w:val="20"/>
                <w:szCs w:val="20"/>
              </w:rPr>
              <w:t>-</w:t>
            </w:r>
          </w:p>
          <w:p w14:paraId="0005DC5F" w14:textId="77777777" w:rsidR="00392587" w:rsidRPr="00EB5E8A" w:rsidRDefault="00392587" w:rsidP="009F4923">
            <w:pPr>
              <w:spacing w:line="276" w:lineRule="auto"/>
              <w:jc w:val="center"/>
              <w:rPr>
                <w:sz w:val="20"/>
                <w:szCs w:val="20"/>
              </w:rPr>
            </w:pPr>
            <w:r w:rsidRPr="00EB5E8A">
              <w:rPr>
                <w:sz w:val="20"/>
                <w:szCs w:val="20"/>
              </w:rPr>
              <w:t>0.84-1.69</w:t>
            </w:r>
          </w:p>
          <w:p w14:paraId="7BE3D1CB" w14:textId="77777777" w:rsidR="00392587" w:rsidRPr="00EB5E8A" w:rsidRDefault="00392587" w:rsidP="009F4923">
            <w:pPr>
              <w:spacing w:line="276" w:lineRule="auto"/>
              <w:jc w:val="center"/>
              <w:rPr>
                <w:sz w:val="20"/>
                <w:szCs w:val="20"/>
              </w:rPr>
            </w:pPr>
            <w:r w:rsidRPr="00EB5E8A">
              <w:rPr>
                <w:sz w:val="20"/>
                <w:szCs w:val="20"/>
              </w:rPr>
              <w:t>0.67-1.32</w:t>
            </w:r>
          </w:p>
        </w:tc>
        <w:tc>
          <w:tcPr>
            <w:tcW w:w="1658" w:type="dxa"/>
          </w:tcPr>
          <w:p w14:paraId="6DF45C2B" w14:textId="77777777" w:rsidR="00392587" w:rsidRPr="00EB5E8A" w:rsidRDefault="00392587" w:rsidP="009F4923">
            <w:pPr>
              <w:spacing w:line="276" w:lineRule="auto"/>
              <w:jc w:val="center"/>
              <w:rPr>
                <w:sz w:val="20"/>
                <w:szCs w:val="20"/>
              </w:rPr>
            </w:pPr>
          </w:p>
          <w:p w14:paraId="5280DC53" w14:textId="77777777" w:rsidR="00392587" w:rsidRPr="00EB5E8A" w:rsidRDefault="00392587" w:rsidP="009F4923">
            <w:pPr>
              <w:spacing w:line="276" w:lineRule="auto"/>
              <w:jc w:val="center"/>
              <w:rPr>
                <w:sz w:val="20"/>
                <w:szCs w:val="20"/>
              </w:rPr>
            </w:pPr>
            <w:r w:rsidRPr="00EB5E8A">
              <w:rPr>
                <w:sz w:val="20"/>
                <w:szCs w:val="20"/>
              </w:rPr>
              <w:t>1</w:t>
            </w:r>
          </w:p>
          <w:p w14:paraId="34913BFD" w14:textId="111B4324" w:rsidR="00392587" w:rsidRPr="00EB5E8A" w:rsidRDefault="00F960E2" w:rsidP="009F4923">
            <w:pPr>
              <w:spacing w:line="276" w:lineRule="auto"/>
              <w:jc w:val="center"/>
              <w:rPr>
                <w:sz w:val="20"/>
                <w:szCs w:val="20"/>
              </w:rPr>
            </w:pPr>
            <w:r w:rsidRPr="00EB5E8A">
              <w:rPr>
                <w:sz w:val="20"/>
                <w:szCs w:val="20"/>
              </w:rPr>
              <w:t>0.99</w:t>
            </w:r>
          </w:p>
          <w:p w14:paraId="42B71899" w14:textId="7AB2E486" w:rsidR="00392587" w:rsidRPr="00EB5E8A" w:rsidRDefault="00F960E2" w:rsidP="009F4923">
            <w:pPr>
              <w:spacing w:line="276" w:lineRule="auto"/>
              <w:jc w:val="center"/>
              <w:rPr>
                <w:sz w:val="20"/>
                <w:szCs w:val="20"/>
              </w:rPr>
            </w:pPr>
            <w:r w:rsidRPr="00EB5E8A">
              <w:rPr>
                <w:sz w:val="20"/>
                <w:szCs w:val="20"/>
              </w:rPr>
              <w:t>0.91</w:t>
            </w:r>
          </w:p>
        </w:tc>
        <w:tc>
          <w:tcPr>
            <w:tcW w:w="1658" w:type="dxa"/>
          </w:tcPr>
          <w:p w14:paraId="05378E8F" w14:textId="77777777" w:rsidR="00392587" w:rsidRPr="00EB5E8A" w:rsidRDefault="00392587" w:rsidP="009F4923">
            <w:pPr>
              <w:spacing w:line="276" w:lineRule="auto"/>
              <w:jc w:val="center"/>
              <w:rPr>
                <w:sz w:val="20"/>
                <w:szCs w:val="20"/>
              </w:rPr>
            </w:pPr>
          </w:p>
          <w:p w14:paraId="3F64C9C8" w14:textId="77777777" w:rsidR="00392587" w:rsidRPr="00EB5E8A" w:rsidRDefault="00392587" w:rsidP="009F4923">
            <w:pPr>
              <w:spacing w:line="276" w:lineRule="auto"/>
              <w:jc w:val="center"/>
              <w:rPr>
                <w:sz w:val="20"/>
                <w:szCs w:val="20"/>
              </w:rPr>
            </w:pPr>
            <w:r w:rsidRPr="00EB5E8A">
              <w:rPr>
                <w:sz w:val="20"/>
                <w:szCs w:val="20"/>
              </w:rPr>
              <w:t>-</w:t>
            </w:r>
          </w:p>
          <w:p w14:paraId="189DE296" w14:textId="5E225915" w:rsidR="00392587" w:rsidRPr="00EB5E8A" w:rsidRDefault="00F960E2" w:rsidP="009F4923">
            <w:pPr>
              <w:spacing w:line="276" w:lineRule="auto"/>
              <w:jc w:val="center"/>
              <w:rPr>
                <w:sz w:val="20"/>
                <w:szCs w:val="20"/>
              </w:rPr>
            </w:pPr>
            <w:r w:rsidRPr="00EB5E8A">
              <w:rPr>
                <w:sz w:val="20"/>
                <w:szCs w:val="20"/>
              </w:rPr>
              <w:t>0.70-1.42</w:t>
            </w:r>
          </w:p>
          <w:p w14:paraId="7C0A61AA" w14:textId="381B3930" w:rsidR="00392587" w:rsidRPr="00EB5E8A" w:rsidRDefault="00F960E2" w:rsidP="009F4923">
            <w:pPr>
              <w:spacing w:line="276" w:lineRule="auto"/>
              <w:jc w:val="center"/>
              <w:rPr>
                <w:sz w:val="20"/>
                <w:szCs w:val="20"/>
              </w:rPr>
            </w:pPr>
            <w:r w:rsidRPr="00EB5E8A">
              <w:rPr>
                <w:sz w:val="20"/>
                <w:szCs w:val="20"/>
              </w:rPr>
              <w:t>0.64-1.2</w:t>
            </w:r>
            <w:r w:rsidR="00C93A3B" w:rsidRPr="00EB5E8A">
              <w:rPr>
                <w:sz w:val="20"/>
                <w:szCs w:val="20"/>
              </w:rPr>
              <w:t>9</w:t>
            </w:r>
          </w:p>
        </w:tc>
      </w:tr>
      <w:tr w:rsidR="00392587" w:rsidRPr="00EB5E8A" w14:paraId="5A1B27B8" w14:textId="77777777" w:rsidTr="009F4923">
        <w:trPr>
          <w:trHeight w:val="1247"/>
          <w:jc w:val="center"/>
        </w:trPr>
        <w:tc>
          <w:tcPr>
            <w:tcW w:w="2353" w:type="dxa"/>
          </w:tcPr>
          <w:p w14:paraId="1B69072B" w14:textId="77777777" w:rsidR="00392587" w:rsidRPr="00EB5E8A" w:rsidRDefault="00392587" w:rsidP="009F4923">
            <w:pPr>
              <w:spacing w:line="276" w:lineRule="auto"/>
              <w:rPr>
                <w:b/>
                <w:sz w:val="20"/>
                <w:szCs w:val="20"/>
              </w:rPr>
            </w:pPr>
            <w:r w:rsidRPr="00EB5E8A">
              <w:rPr>
                <w:b/>
                <w:sz w:val="20"/>
                <w:szCs w:val="20"/>
              </w:rPr>
              <w:t>Smoking status</w:t>
            </w:r>
          </w:p>
          <w:p w14:paraId="2744B8DE" w14:textId="77777777" w:rsidR="00392587" w:rsidRPr="00EB5E8A" w:rsidRDefault="00392587" w:rsidP="009F4923">
            <w:pPr>
              <w:spacing w:line="276" w:lineRule="auto"/>
              <w:rPr>
                <w:sz w:val="20"/>
                <w:szCs w:val="20"/>
              </w:rPr>
            </w:pPr>
            <w:r w:rsidRPr="00EB5E8A">
              <w:rPr>
                <w:sz w:val="20"/>
                <w:szCs w:val="20"/>
              </w:rPr>
              <w:t>Never-Smoker</w:t>
            </w:r>
          </w:p>
          <w:p w14:paraId="1274D1A0" w14:textId="77777777" w:rsidR="00392587" w:rsidRPr="00EB5E8A" w:rsidRDefault="00392587" w:rsidP="009F4923">
            <w:pPr>
              <w:spacing w:line="276" w:lineRule="auto"/>
              <w:rPr>
                <w:sz w:val="20"/>
                <w:szCs w:val="20"/>
              </w:rPr>
            </w:pPr>
            <w:r w:rsidRPr="00EB5E8A">
              <w:rPr>
                <w:sz w:val="20"/>
                <w:szCs w:val="20"/>
              </w:rPr>
              <w:t>Ex-Smoker</w:t>
            </w:r>
          </w:p>
          <w:p w14:paraId="269AAAB6" w14:textId="77777777" w:rsidR="00392587" w:rsidRPr="00EB5E8A" w:rsidRDefault="00392587" w:rsidP="009F4923">
            <w:pPr>
              <w:spacing w:line="276" w:lineRule="auto"/>
              <w:rPr>
                <w:sz w:val="20"/>
                <w:szCs w:val="20"/>
              </w:rPr>
            </w:pPr>
            <w:r w:rsidRPr="00EB5E8A">
              <w:rPr>
                <w:sz w:val="20"/>
                <w:szCs w:val="20"/>
              </w:rPr>
              <w:t>Smoker</w:t>
            </w:r>
          </w:p>
        </w:tc>
        <w:tc>
          <w:tcPr>
            <w:tcW w:w="1500" w:type="dxa"/>
          </w:tcPr>
          <w:p w14:paraId="1693DBD1" w14:textId="77777777" w:rsidR="00392587" w:rsidRPr="00EB5E8A" w:rsidRDefault="00392587" w:rsidP="009F4923">
            <w:pPr>
              <w:spacing w:line="276" w:lineRule="auto"/>
              <w:jc w:val="center"/>
              <w:rPr>
                <w:sz w:val="20"/>
                <w:szCs w:val="20"/>
              </w:rPr>
            </w:pPr>
          </w:p>
          <w:p w14:paraId="41649048" w14:textId="77777777" w:rsidR="00392587" w:rsidRPr="00EB5E8A" w:rsidRDefault="00392587" w:rsidP="009F4923">
            <w:pPr>
              <w:spacing w:line="276" w:lineRule="auto"/>
              <w:jc w:val="center"/>
              <w:rPr>
                <w:sz w:val="20"/>
                <w:szCs w:val="20"/>
              </w:rPr>
            </w:pPr>
            <w:r w:rsidRPr="00EB5E8A">
              <w:rPr>
                <w:sz w:val="20"/>
                <w:szCs w:val="20"/>
              </w:rPr>
              <w:t>1</w:t>
            </w:r>
          </w:p>
          <w:p w14:paraId="49FFEC34" w14:textId="77777777" w:rsidR="00392587" w:rsidRPr="00EB5E8A" w:rsidRDefault="00392587" w:rsidP="009F4923">
            <w:pPr>
              <w:spacing w:line="276" w:lineRule="auto"/>
              <w:jc w:val="center"/>
              <w:rPr>
                <w:sz w:val="20"/>
                <w:szCs w:val="20"/>
              </w:rPr>
            </w:pPr>
            <w:r w:rsidRPr="00EB5E8A">
              <w:rPr>
                <w:sz w:val="20"/>
                <w:szCs w:val="20"/>
              </w:rPr>
              <w:t>0.76</w:t>
            </w:r>
          </w:p>
          <w:p w14:paraId="7A155CC1" w14:textId="77777777" w:rsidR="00392587" w:rsidRPr="00EB5E8A" w:rsidRDefault="00392587" w:rsidP="009F4923">
            <w:pPr>
              <w:spacing w:line="276" w:lineRule="auto"/>
              <w:jc w:val="center"/>
              <w:rPr>
                <w:sz w:val="20"/>
                <w:szCs w:val="20"/>
              </w:rPr>
            </w:pPr>
            <w:r w:rsidRPr="00EB5E8A">
              <w:rPr>
                <w:sz w:val="20"/>
                <w:szCs w:val="20"/>
              </w:rPr>
              <w:t>1.10</w:t>
            </w:r>
          </w:p>
          <w:p w14:paraId="20945E76" w14:textId="77777777" w:rsidR="00392587" w:rsidRPr="00EB5E8A" w:rsidRDefault="00392587" w:rsidP="009F4923">
            <w:pPr>
              <w:spacing w:line="276" w:lineRule="auto"/>
              <w:jc w:val="center"/>
              <w:rPr>
                <w:sz w:val="20"/>
                <w:szCs w:val="20"/>
              </w:rPr>
            </w:pPr>
          </w:p>
        </w:tc>
        <w:tc>
          <w:tcPr>
            <w:tcW w:w="1787" w:type="dxa"/>
            <w:gridSpan w:val="2"/>
          </w:tcPr>
          <w:p w14:paraId="76F8A291" w14:textId="77777777" w:rsidR="00392587" w:rsidRPr="00EB5E8A" w:rsidRDefault="00392587" w:rsidP="009F4923">
            <w:pPr>
              <w:spacing w:line="276" w:lineRule="auto"/>
              <w:jc w:val="center"/>
              <w:rPr>
                <w:sz w:val="20"/>
                <w:szCs w:val="20"/>
              </w:rPr>
            </w:pPr>
          </w:p>
          <w:p w14:paraId="3B817C61" w14:textId="77777777" w:rsidR="00392587" w:rsidRPr="00EB5E8A" w:rsidRDefault="00392587" w:rsidP="009F4923">
            <w:pPr>
              <w:spacing w:line="276" w:lineRule="auto"/>
              <w:jc w:val="center"/>
              <w:rPr>
                <w:sz w:val="20"/>
                <w:szCs w:val="20"/>
              </w:rPr>
            </w:pPr>
            <w:r w:rsidRPr="00EB5E8A">
              <w:rPr>
                <w:sz w:val="20"/>
                <w:szCs w:val="20"/>
              </w:rPr>
              <w:t>-</w:t>
            </w:r>
          </w:p>
          <w:p w14:paraId="718D57B2" w14:textId="77777777" w:rsidR="00392587" w:rsidRPr="00EB5E8A" w:rsidRDefault="00392587" w:rsidP="009F4923">
            <w:pPr>
              <w:spacing w:line="276" w:lineRule="auto"/>
              <w:jc w:val="center"/>
              <w:rPr>
                <w:sz w:val="20"/>
                <w:szCs w:val="20"/>
              </w:rPr>
            </w:pPr>
            <w:r w:rsidRPr="00EB5E8A">
              <w:rPr>
                <w:sz w:val="20"/>
                <w:szCs w:val="20"/>
              </w:rPr>
              <w:t>0.45-1.29</w:t>
            </w:r>
          </w:p>
          <w:p w14:paraId="566A4C49" w14:textId="77777777" w:rsidR="00392587" w:rsidRPr="00EB5E8A" w:rsidRDefault="00392587" w:rsidP="009F4923">
            <w:pPr>
              <w:spacing w:line="276" w:lineRule="auto"/>
              <w:jc w:val="center"/>
              <w:rPr>
                <w:sz w:val="20"/>
                <w:szCs w:val="20"/>
              </w:rPr>
            </w:pPr>
            <w:r w:rsidRPr="00EB5E8A">
              <w:rPr>
                <w:sz w:val="20"/>
                <w:szCs w:val="20"/>
              </w:rPr>
              <w:t>0.77-1.56</w:t>
            </w:r>
          </w:p>
        </w:tc>
        <w:tc>
          <w:tcPr>
            <w:tcW w:w="1658" w:type="dxa"/>
          </w:tcPr>
          <w:p w14:paraId="46FD79D7" w14:textId="77777777" w:rsidR="00392587" w:rsidRPr="00EB5E8A" w:rsidRDefault="00392587" w:rsidP="009F4923">
            <w:pPr>
              <w:spacing w:line="276" w:lineRule="auto"/>
              <w:jc w:val="center"/>
              <w:rPr>
                <w:sz w:val="20"/>
                <w:szCs w:val="20"/>
              </w:rPr>
            </w:pPr>
          </w:p>
          <w:p w14:paraId="05380779" w14:textId="77777777" w:rsidR="00392587" w:rsidRPr="00EB5E8A" w:rsidRDefault="00392587" w:rsidP="009F4923">
            <w:pPr>
              <w:spacing w:line="276" w:lineRule="auto"/>
              <w:jc w:val="center"/>
              <w:rPr>
                <w:sz w:val="20"/>
                <w:szCs w:val="20"/>
              </w:rPr>
            </w:pPr>
            <w:r w:rsidRPr="00EB5E8A">
              <w:rPr>
                <w:sz w:val="20"/>
                <w:szCs w:val="20"/>
              </w:rPr>
              <w:t>1</w:t>
            </w:r>
          </w:p>
          <w:p w14:paraId="518362AE" w14:textId="0CE3A07B" w:rsidR="00392587" w:rsidRPr="00EB5E8A" w:rsidRDefault="00F960E2" w:rsidP="009F4923">
            <w:pPr>
              <w:spacing w:line="276" w:lineRule="auto"/>
              <w:jc w:val="center"/>
              <w:rPr>
                <w:sz w:val="20"/>
                <w:szCs w:val="20"/>
              </w:rPr>
            </w:pPr>
            <w:r w:rsidRPr="00EB5E8A">
              <w:rPr>
                <w:sz w:val="20"/>
                <w:szCs w:val="20"/>
              </w:rPr>
              <w:t>0.75</w:t>
            </w:r>
          </w:p>
          <w:p w14:paraId="386D901E" w14:textId="2A6431E1" w:rsidR="00392587" w:rsidRPr="00EB5E8A" w:rsidRDefault="00F960E2" w:rsidP="009F4923">
            <w:pPr>
              <w:spacing w:line="276" w:lineRule="auto"/>
              <w:jc w:val="center"/>
              <w:rPr>
                <w:sz w:val="20"/>
                <w:szCs w:val="20"/>
              </w:rPr>
            </w:pPr>
            <w:r w:rsidRPr="00EB5E8A">
              <w:rPr>
                <w:sz w:val="20"/>
                <w:szCs w:val="20"/>
              </w:rPr>
              <w:t>0.88</w:t>
            </w:r>
          </w:p>
        </w:tc>
        <w:tc>
          <w:tcPr>
            <w:tcW w:w="1658" w:type="dxa"/>
          </w:tcPr>
          <w:p w14:paraId="5E3E9FBF" w14:textId="77777777" w:rsidR="00392587" w:rsidRPr="00EB5E8A" w:rsidRDefault="00392587" w:rsidP="009F4923">
            <w:pPr>
              <w:spacing w:line="276" w:lineRule="auto"/>
              <w:jc w:val="center"/>
              <w:rPr>
                <w:sz w:val="20"/>
                <w:szCs w:val="20"/>
              </w:rPr>
            </w:pPr>
          </w:p>
          <w:p w14:paraId="23833BDA" w14:textId="77777777" w:rsidR="00392587" w:rsidRPr="00EB5E8A" w:rsidRDefault="00392587" w:rsidP="009F4923">
            <w:pPr>
              <w:spacing w:line="276" w:lineRule="auto"/>
              <w:jc w:val="center"/>
              <w:rPr>
                <w:sz w:val="20"/>
                <w:szCs w:val="20"/>
              </w:rPr>
            </w:pPr>
            <w:r w:rsidRPr="00EB5E8A">
              <w:rPr>
                <w:sz w:val="20"/>
                <w:szCs w:val="20"/>
              </w:rPr>
              <w:t>-</w:t>
            </w:r>
          </w:p>
          <w:p w14:paraId="7C9BEF63" w14:textId="3AE6E1B4" w:rsidR="00392587" w:rsidRPr="00EB5E8A" w:rsidRDefault="00F960E2" w:rsidP="009F4923">
            <w:pPr>
              <w:spacing w:line="276" w:lineRule="auto"/>
              <w:jc w:val="center"/>
              <w:rPr>
                <w:sz w:val="20"/>
                <w:szCs w:val="20"/>
              </w:rPr>
            </w:pPr>
            <w:r w:rsidRPr="00EB5E8A">
              <w:rPr>
                <w:sz w:val="20"/>
                <w:szCs w:val="20"/>
              </w:rPr>
              <w:t>0.44-1.30</w:t>
            </w:r>
          </w:p>
          <w:p w14:paraId="053B96F7" w14:textId="58D222C5" w:rsidR="00392587" w:rsidRPr="00EB5E8A" w:rsidRDefault="00F960E2" w:rsidP="009F4923">
            <w:pPr>
              <w:spacing w:line="276" w:lineRule="auto"/>
              <w:jc w:val="center"/>
              <w:rPr>
                <w:sz w:val="20"/>
                <w:szCs w:val="20"/>
              </w:rPr>
            </w:pPr>
            <w:r w:rsidRPr="00EB5E8A">
              <w:rPr>
                <w:sz w:val="20"/>
                <w:szCs w:val="20"/>
              </w:rPr>
              <w:t>0.60-1.29</w:t>
            </w:r>
          </w:p>
        </w:tc>
      </w:tr>
      <w:tr w:rsidR="00392587" w:rsidRPr="00EB5E8A" w14:paraId="69A82E9E" w14:textId="77777777" w:rsidTr="009F4923">
        <w:trPr>
          <w:trHeight w:val="712"/>
          <w:jc w:val="center"/>
        </w:trPr>
        <w:tc>
          <w:tcPr>
            <w:tcW w:w="2353" w:type="dxa"/>
          </w:tcPr>
          <w:p w14:paraId="5ECF9B34" w14:textId="4D893990" w:rsidR="00392587" w:rsidRPr="00EB5E8A" w:rsidRDefault="00071556" w:rsidP="009F4923">
            <w:pPr>
              <w:spacing w:line="276" w:lineRule="auto"/>
              <w:rPr>
                <w:b/>
                <w:sz w:val="20"/>
                <w:szCs w:val="20"/>
              </w:rPr>
            </w:pPr>
            <w:r w:rsidRPr="00EB5E8A">
              <w:rPr>
                <w:b/>
                <w:sz w:val="20"/>
                <w:szCs w:val="20"/>
              </w:rPr>
              <w:t>Days from diagnosis to surgery</w:t>
            </w:r>
          </w:p>
        </w:tc>
        <w:tc>
          <w:tcPr>
            <w:tcW w:w="1500" w:type="dxa"/>
          </w:tcPr>
          <w:p w14:paraId="5D82002B" w14:textId="03ABDF73" w:rsidR="00392587" w:rsidRPr="00EB5E8A" w:rsidRDefault="003A1EC0" w:rsidP="009F4923">
            <w:pPr>
              <w:spacing w:line="276" w:lineRule="auto"/>
              <w:jc w:val="center"/>
              <w:rPr>
                <w:sz w:val="20"/>
                <w:szCs w:val="20"/>
              </w:rPr>
            </w:pPr>
            <w:r w:rsidRPr="00EB5E8A">
              <w:rPr>
                <w:sz w:val="20"/>
                <w:szCs w:val="20"/>
              </w:rPr>
              <w:t>1.00</w:t>
            </w:r>
          </w:p>
        </w:tc>
        <w:tc>
          <w:tcPr>
            <w:tcW w:w="1787" w:type="dxa"/>
            <w:gridSpan w:val="2"/>
          </w:tcPr>
          <w:p w14:paraId="5F4D4923" w14:textId="5D4A7A65" w:rsidR="00392587" w:rsidRPr="00EB5E8A" w:rsidRDefault="003A1EC0" w:rsidP="009F4923">
            <w:pPr>
              <w:spacing w:line="276" w:lineRule="auto"/>
              <w:jc w:val="center"/>
              <w:rPr>
                <w:sz w:val="20"/>
                <w:szCs w:val="20"/>
              </w:rPr>
            </w:pPr>
            <w:r w:rsidRPr="00EB5E8A">
              <w:rPr>
                <w:sz w:val="20"/>
                <w:szCs w:val="20"/>
              </w:rPr>
              <w:t>0.99-1.00</w:t>
            </w:r>
          </w:p>
        </w:tc>
        <w:tc>
          <w:tcPr>
            <w:tcW w:w="1658" w:type="dxa"/>
          </w:tcPr>
          <w:p w14:paraId="32FBA38D" w14:textId="4FAEF54E" w:rsidR="00392587" w:rsidRPr="00EB5E8A" w:rsidRDefault="00F960E2" w:rsidP="009F4923">
            <w:pPr>
              <w:spacing w:line="276" w:lineRule="auto"/>
              <w:jc w:val="center"/>
              <w:rPr>
                <w:sz w:val="20"/>
                <w:szCs w:val="20"/>
              </w:rPr>
            </w:pPr>
            <w:r w:rsidRPr="00EB5E8A">
              <w:rPr>
                <w:sz w:val="20"/>
                <w:szCs w:val="20"/>
              </w:rPr>
              <w:t>1.00</w:t>
            </w:r>
          </w:p>
        </w:tc>
        <w:tc>
          <w:tcPr>
            <w:tcW w:w="1658" w:type="dxa"/>
          </w:tcPr>
          <w:p w14:paraId="7ABE17E9" w14:textId="07220867" w:rsidR="00392587" w:rsidRPr="00EB5E8A" w:rsidRDefault="00F960E2" w:rsidP="009F4923">
            <w:pPr>
              <w:spacing w:line="276" w:lineRule="auto"/>
              <w:jc w:val="center"/>
              <w:rPr>
                <w:sz w:val="20"/>
                <w:szCs w:val="20"/>
              </w:rPr>
            </w:pPr>
            <w:r w:rsidRPr="00EB5E8A">
              <w:rPr>
                <w:sz w:val="20"/>
                <w:szCs w:val="20"/>
              </w:rPr>
              <w:t>0.99-1.00</w:t>
            </w:r>
          </w:p>
        </w:tc>
      </w:tr>
      <w:tr w:rsidR="00392587" w:rsidRPr="00EB5E8A" w14:paraId="2904BD77" w14:textId="77777777" w:rsidTr="009F4923">
        <w:trPr>
          <w:trHeight w:val="424"/>
          <w:jc w:val="center"/>
        </w:trPr>
        <w:tc>
          <w:tcPr>
            <w:tcW w:w="2353" w:type="dxa"/>
          </w:tcPr>
          <w:p w14:paraId="74114FAB" w14:textId="77777777" w:rsidR="00392587" w:rsidRPr="00EB5E8A" w:rsidRDefault="00392587" w:rsidP="009F4923">
            <w:pPr>
              <w:spacing w:line="276" w:lineRule="auto"/>
              <w:rPr>
                <w:b/>
                <w:sz w:val="20"/>
                <w:szCs w:val="20"/>
              </w:rPr>
            </w:pPr>
            <w:r w:rsidRPr="00EB5E8A">
              <w:rPr>
                <w:b/>
                <w:sz w:val="20"/>
                <w:szCs w:val="20"/>
              </w:rPr>
              <w:t>Perianal Disease</w:t>
            </w:r>
          </w:p>
        </w:tc>
        <w:tc>
          <w:tcPr>
            <w:tcW w:w="1500" w:type="dxa"/>
          </w:tcPr>
          <w:p w14:paraId="572A3F04" w14:textId="77777777" w:rsidR="00392587" w:rsidRPr="00EB5E8A" w:rsidRDefault="00392587" w:rsidP="009F4923">
            <w:pPr>
              <w:spacing w:line="276" w:lineRule="auto"/>
              <w:jc w:val="center"/>
              <w:rPr>
                <w:b/>
                <w:sz w:val="20"/>
                <w:szCs w:val="20"/>
              </w:rPr>
            </w:pPr>
            <w:r w:rsidRPr="00EB5E8A">
              <w:rPr>
                <w:b/>
                <w:sz w:val="20"/>
                <w:szCs w:val="20"/>
              </w:rPr>
              <w:t>1.50</w:t>
            </w:r>
          </w:p>
        </w:tc>
        <w:tc>
          <w:tcPr>
            <w:tcW w:w="1787" w:type="dxa"/>
            <w:gridSpan w:val="2"/>
          </w:tcPr>
          <w:p w14:paraId="0AC06BE0" w14:textId="77777777" w:rsidR="00392587" w:rsidRPr="00EB5E8A" w:rsidRDefault="00392587" w:rsidP="009F4923">
            <w:pPr>
              <w:spacing w:line="276" w:lineRule="auto"/>
              <w:jc w:val="center"/>
              <w:rPr>
                <w:b/>
                <w:sz w:val="20"/>
                <w:szCs w:val="20"/>
              </w:rPr>
            </w:pPr>
            <w:r w:rsidRPr="00EB5E8A">
              <w:rPr>
                <w:b/>
                <w:sz w:val="20"/>
                <w:szCs w:val="20"/>
              </w:rPr>
              <w:t>1.05-2.16</w:t>
            </w:r>
          </w:p>
        </w:tc>
        <w:tc>
          <w:tcPr>
            <w:tcW w:w="1658" w:type="dxa"/>
          </w:tcPr>
          <w:p w14:paraId="12F727AD" w14:textId="3F5889E3" w:rsidR="00392587" w:rsidRPr="00EB5E8A" w:rsidRDefault="00F960E2" w:rsidP="009F4923">
            <w:pPr>
              <w:spacing w:line="276" w:lineRule="auto"/>
              <w:jc w:val="center"/>
              <w:rPr>
                <w:sz w:val="20"/>
                <w:szCs w:val="20"/>
              </w:rPr>
            </w:pPr>
            <w:r w:rsidRPr="00EB5E8A">
              <w:rPr>
                <w:sz w:val="20"/>
                <w:szCs w:val="20"/>
              </w:rPr>
              <w:t>1.40</w:t>
            </w:r>
          </w:p>
        </w:tc>
        <w:tc>
          <w:tcPr>
            <w:tcW w:w="1658" w:type="dxa"/>
          </w:tcPr>
          <w:p w14:paraId="2EB9CD46" w14:textId="2C4E958A" w:rsidR="00392587" w:rsidRPr="00EB5E8A" w:rsidRDefault="00F960E2" w:rsidP="00F960E2">
            <w:pPr>
              <w:spacing w:line="276" w:lineRule="auto"/>
              <w:jc w:val="center"/>
              <w:rPr>
                <w:sz w:val="20"/>
                <w:szCs w:val="20"/>
              </w:rPr>
            </w:pPr>
            <w:r w:rsidRPr="00EB5E8A">
              <w:rPr>
                <w:sz w:val="20"/>
                <w:szCs w:val="20"/>
              </w:rPr>
              <w:t>0.96</w:t>
            </w:r>
            <w:r w:rsidR="00C93A3B" w:rsidRPr="00EB5E8A">
              <w:rPr>
                <w:sz w:val="20"/>
                <w:szCs w:val="20"/>
              </w:rPr>
              <w:t>-2.0</w:t>
            </w:r>
            <w:r w:rsidRPr="00EB5E8A">
              <w:rPr>
                <w:sz w:val="20"/>
                <w:szCs w:val="20"/>
              </w:rPr>
              <w:t>4</w:t>
            </w:r>
          </w:p>
        </w:tc>
      </w:tr>
      <w:tr w:rsidR="00071556" w:rsidRPr="00EB5E8A" w14:paraId="24926F9D" w14:textId="77777777" w:rsidTr="009F4923">
        <w:trPr>
          <w:trHeight w:val="424"/>
          <w:jc w:val="center"/>
        </w:trPr>
        <w:tc>
          <w:tcPr>
            <w:tcW w:w="2353" w:type="dxa"/>
          </w:tcPr>
          <w:p w14:paraId="3031F77E" w14:textId="77777777" w:rsidR="00071556" w:rsidRPr="00EB5E8A" w:rsidRDefault="00071556" w:rsidP="009F4923">
            <w:pPr>
              <w:spacing w:line="276" w:lineRule="auto"/>
              <w:rPr>
                <w:b/>
                <w:sz w:val="20"/>
                <w:szCs w:val="20"/>
              </w:rPr>
            </w:pPr>
            <w:r w:rsidRPr="00EB5E8A">
              <w:rPr>
                <w:b/>
                <w:sz w:val="20"/>
                <w:szCs w:val="20"/>
              </w:rPr>
              <w:t>Previous depression or anxiety</w:t>
            </w:r>
          </w:p>
          <w:p w14:paraId="3FD7A0BB" w14:textId="1C1D6DDF" w:rsidR="00071556" w:rsidRPr="00EB5E8A" w:rsidRDefault="00071556" w:rsidP="009F4923">
            <w:pPr>
              <w:spacing w:line="276" w:lineRule="auto"/>
              <w:rPr>
                <w:b/>
                <w:sz w:val="20"/>
                <w:szCs w:val="20"/>
              </w:rPr>
            </w:pPr>
          </w:p>
        </w:tc>
        <w:tc>
          <w:tcPr>
            <w:tcW w:w="1500" w:type="dxa"/>
          </w:tcPr>
          <w:p w14:paraId="4E3DF954" w14:textId="72948957" w:rsidR="00071556" w:rsidRPr="00EB5E8A" w:rsidRDefault="003D1AE7" w:rsidP="009F4923">
            <w:pPr>
              <w:spacing w:line="276" w:lineRule="auto"/>
              <w:jc w:val="center"/>
              <w:rPr>
                <w:b/>
                <w:sz w:val="20"/>
                <w:szCs w:val="20"/>
              </w:rPr>
            </w:pPr>
            <w:r w:rsidRPr="00EB5E8A">
              <w:rPr>
                <w:b/>
                <w:sz w:val="20"/>
                <w:szCs w:val="20"/>
              </w:rPr>
              <w:t>2.26</w:t>
            </w:r>
          </w:p>
        </w:tc>
        <w:tc>
          <w:tcPr>
            <w:tcW w:w="1787" w:type="dxa"/>
            <w:gridSpan w:val="2"/>
          </w:tcPr>
          <w:p w14:paraId="3A92EBB9" w14:textId="051331AB" w:rsidR="00071556" w:rsidRPr="00EB5E8A" w:rsidRDefault="003D1AE7" w:rsidP="009F4923">
            <w:pPr>
              <w:spacing w:line="276" w:lineRule="auto"/>
              <w:jc w:val="center"/>
              <w:rPr>
                <w:b/>
                <w:sz w:val="20"/>
                <w:szCs w:val="20"/>
              </w:rPr>
            </w:pPr>
            <w:r w:rsidRPr="00EB5E8A">
              <w:rPr>
                <w:b/>
                <w:sz w:val="20"/>
                <w:szCs w:val="20"/>
              </w:rPr>
              <w:t>1.67-3.05</w:t>
            </w:r>
          </w:p>
        </w:tc>
        <w:tc>
          <w:tcPr>
            <w:tcW w:w="1658" w:type="dxa"/>
          </w:tcPr>
          <w:p w14:paraId="3169FABD" w14:textId="442DD1C4" w:rsidR="00071556" w:rsidRPr="00EB5E8A" w:rsidRDefault="00F960E2" w:rsidP="009F4923">
            <w:pPr>
              <w:spacing w:line="276" w:lineRule="auto"/>
              <w:jc w:val="center"/>
              <w:rPr>
                <w:b/>
                <w:sz w:val="20"/>
                <w:szCs w:val="20"/>
              </w:rPr>
            </w:pPr>
            <w:r w:rsidRPr="00EB5E8A">
              <w:rPr>
                <w:b/>
                <w:sz w:val="20"/>
                <w:szCs w:val="20"/>
              </w:rPr>
              <w:t>2.12</w:t>
            </w:r>
          </w:p>
        </w:tc>
        <w:tc>
          <w:tcPr>
            <w:tcW w:w="1658" w:type="dxa"/>
          </w:tcPr>
          <w:p w14:paraId="49C4F907" w14:textId="69A0DDB8" w:rsidR="00071556" w:rsidRPr="00EB5E8A" w:rsidRDefault="00F960E2" w:rsidP="009F4923">
            <w:pPr>
              <w:spacing w:line="276" w:lineRule="auto"/>
              <w:jc w:val="center"/>
              <w:rPr>
                <w:b/>
                <w:sz w:val="20"/>
                <w:szCs w:val="20"/>
              </w:rPr>
            </w:pPr>
            <w:r w:rsidRPr="00EB5E8A">
              <w:rPr>
                <w:b/>
                <w:sz w:val="20"/>
                <w:szCs w:val="20"/>
              </w:rPr>
              <w:t>1.54-2.92</w:t>
            </w:r>
          </w:p>
        </w:tc>
      </w:tr>
      <w:tr w:rsidR="00392587" w:rsidRPr="00EB5E8A" w14:paraId="05FC252A" w14:textId="77777777" w:rsidTr="009F4923">
        <w:trPr>
          <w:trHeight w:val="1592"/>
          <w:jc w:val="center"/>
        </w:trPr>
        <w:tc>
          <w:tcPr>
            <w:tcW w:w="2353" w:type="dxa"/>
          </w:tcPr>
          <w:p w14:paraId="35E53933" w14:textId="77777777" w:rsidR="00392587" w:rsidRPr="00EB5E8A" w:rsidRDefault="00392587" w:rsidP="009F4923">
            <w:pPr>
              <w:spacing w:line="276" w:lineRule="auto"/>
              <w:rPr>
                <w:b/>
                <w:sz w:val="20"/>
                <w:szCs w:val="20"/>
              </w:rPr>
            </w:pPr>
            <w:r w:rsidRPr="00EB5E8A">
              <w:rPr>
                <w:b/>
                <w:sz w:val="20"/>
                <w:szCs w:val="20"/>
              </w:rPr>
              <w:t>Era of surgery</w:t>
            </w:r>
          </w:p>
          <w:p w14:paraId="35D0317E" w14:textId="77777777" w:rsidR="00392587" w:rsidRPr="00EB5E8A" w:rsidRDefault="00392587" w:rsidP="009F4923">
            <w:pPr>
              <w:spacing w:line="276" w:lineRule="auto"/>
              <w:rPr>
                <w:sz w:val="20"/>
                <w:szCs w:val="20"/>
              </w:rPr>
            </w:pPr>
            <w:r w:rsidRPr="00EB5E8A">
              <w:rPr>
                <w:sz w:val="20"/>
                <w:szCs w:val="20"/>
              </w:rPr>
              <w:t>1998-2003</w:t>
            </w:r>
          </w:p>
          <w:p w14:paraId="0F07920F" w14:textId="77777777" w:rsidR="00392587" w:rsidRPr="00EB5E8A" w:rsidRDefault="00392587" w:rsidP="009F4923">
            <w:pPr>
              <w:spacing w:line="276" w:lineRule="auto"/>
              <w:rPr>
                <w:sz w:val="20"/>
                <w:szCs w:val="20"/>
              </w:rPr>
            </w:pPr>
            <w:r w:rsidRPr="00EB5E8A">
              <w:rPr>
                <w:sz w:val="20"/>
                <w:szCs w:val="20"/>
              </w:rPr>
              <w:t>2004-2010</w:t>
            </w:r>
          </w:p>
          <w:p w14:paraId="307AF06A" w14:textId="77777777" w:rsidR="00392587" w:rsidRPr="00EB5E8A" w:rsidRDefault="00392587" w:rsidP="009F4923">
            <w:pPr>
              <w:spacing w:line="276" w:lineRule="auto"/>
              <w:rPr>
                <w:sz w:val="20"/>
                <w:szCs w:val="20"/>
              </w:rPr>
            </w:pPr>
            <w:r w:rsidRPr="00EB5E8A">
              <w:rPr>
                <w:sz w:val="20"/>
                <w:szCs w:val="20"/>
              </w:rPr>
              <w:t>2011-2016</w:t>
            </w:r>
          </w:p>
        </w:tc>
        <w:tc>
          <w:tcPr>
            <w:tcW w:w="1500" w:type="dxa"/>
          </w:tcPr>
          <w:p w14:paraId="7765D75D" w14:textId="77777777" w:rsidR="00392587" w:rsidRPr="00EB5E8A" w:rsidRDefault="00392587" w:rsidP="009F4923">
            <w:pPr>
              <w:spacing w:line="276" w:lineRule="auto"/>
              <w:jc w:val="center"/>
              <w:rPr>
                <w:sz w:val="20"/>
                <w:szCs w:val="20"/>
              </w:rPr>
            </w:pPr>
          </w:p>
          <w:p w14:paraId="19040838" w14:textId="77777777" w:rsidR="00392587" w:rsidRPr="00EB5E8A" w:rsidRDefault="00392587" w:rsidP="009F4923">
            <w:pPr>
              <w:spacing w:line="276" w:lineRule="auto"/>
              <w:jc w:val="center"/>
              <w:rPr>
                <w:sz w:val="20"/>
                <w:szCs w:val="20"/>
              </w:rPr>
            </w:pPr>
            <w:r w:rsidRPr="00EB5E8A">
              <w:rPr>
                <w:sz w:val="20"/>
                <w:szCs w:val="20"/>
              </w:rPr>
              <w:t>1</w:t>
            </w:r>
          </w:p>
          <w:p w14:paraId="4ABC0284" w14:textId="77777777" w:rsidR="00392587" w:rsidRPr="00EB5E8A" w:rsidRDefault="00392587" w:rsidP="009F4923">
            <w:pPr>
              <w:spacing w:line="276" w:lineRule="auto"/>
              <w:jc w:val="center"/>
              <w:rPr>
                <w:b/>
                <w:sz w:val="20"/>
                <w:szCs w:val="20"/>
              </w:rPr>
            </w:pPr>
            <w:r w:rsidRPr="00EB5E8A">
              <w:rPr>
                <w:b/>
                <w:sz w:val="20"/>
                <w:szCs w:val="20"/>
              </w:rPr>
              <w:t>1.53</w:t>
            </w:r>
          </w:p>
          <w:p w14:paraId="29B9684F" w14:textId="77777777" w:rsidR="00392587" w:rsidRPr="00EB5E8A" w:rsidRDefault="00392587" w:rsidP="009F4923">
            <w:pPr>
              <w:spacing w:line="276" w:lineRule="auto"/>
              <w:jc w:val="center"/>
              <w:rPr>
                <w:sz w:val="20"/>
                <w:szCs w:val="20"/>
              </w:rPr>
            </w:pPr>
            <w:r w:rsidRPr="00EB5E8A">
              <w:rPr>
                <w:b/>
                <w:sz w:val="20"/>
                <w:szCs w:val="20"/>
              </w:rPr>
              <w:t>1.78</w:t>
            </w:r>
          </w:p>
        </w:tc>
        <w:tc>
          <w:tcPr>
            <w:tcW w:w="1787" w:type="dxa"/>
            <w:gridSpan w:val="2"/>
          </w:tcPr>
          <w:p w14:paraId="48E356D2" w14:textId="77777777" w:rsidR="00392587" w:rsidRPr="00EB5E8A" w:rsidRDefault="00392587" w:rsidP="009F4923">
            <w:pPr>
              <w:spacing w:line="276" w:lineRule="auto"/>
              <w:jc w:val="center"/>
              <w:rPr>
                <w:sz w:val="20"/>
                <w:szCs w:val="20"/>
              </w:rPr>
            </w:pPr>
          </w:p>
          <w:p w14:paraId="54869200" w14:textId="77777777" w:rsidR="00392587" w:rsidRPr="00EB5E8A" w:rsidRDefault="00392587" w:rsidP="009F4923">
            <w:pPr>
              <w:spacing w:line="276" w:lineRule="auto"/>
              <w:jc w:val="center"/>
              <w:rPr>
                <w:sz w:val="20"/>
                <w:szCs w:val="20"/>
              </w:rPr>
            </w:pPr>
            <w:r w:rsidRPr="00EB5E8A">
              <w:rPr>
                <w:sz w:val="20"/>
                <w:szCs w:val="20"/>
              </w:rPr>
              <w:t>-</w:t>
            </w:r>
          </w:p>
          <w:p w14:paraId="499BF06D" w14:textId="77777777" w:rsidR="00392587" w:rsidRPr="00EB5E8A" w:rsidRDefault="00392587" w:rsidP="009F4923">
            <w:pPr>
              <w:spacing w:line="276" w:lineRule="auto"/>
              <w:jc w:val="center"/>
              <w:rPr>
                <w:b/>
                <w:sz w:val="20"/>
                <w:szCs w:val="20"/>
              </w:rPr>
            </w:pPr>
            <w:r w:rsidRPr="00EB5E8A">
              <w:rPr>
                <w:b/>
                <w:sz w:val="20"/>
                <w:szCs w:val="20"/>
              </w:rPr>
              <w:t>1.08-2.17</w:t>
            </w:r>
          </w:p>
          <w:p w14:paraId="7E636B0C" w14:textId="77777777" w:rsidR="00392587" w:rsidRPr="00EB5E8A" w:rsidRDefault="00392587" w:rsidP="009F4923">
            <w:pPr>
              <w:spacing w:line="276" w:lineRule="auto"/>
              <w:jc w:val="center"/>
              <w:rPr>
                <w:sz w:val="20"/>
                <w:szCs w:val="20"/>
              </w:rPr>
            </w:pPr>
            <w:r w:rsidRPr="00EB5E8A">
              <w:rPr>
                <w:b/>
                <w:sz w:val="20"/>
                <w:szCs w:val="20"/>
              </w:rPr>
              <w:t>1.15-2.75</w:t>
            </w:r>
          </w:p>
        </w:tc>
        <w:tc>
          <w:tcPr>
            <w:tcW w:w="1658" w:type="dxa"/>
          </w:tcPr>
          <w:p w14:paraId="470EA950" w14:textId="77777777" w:rsidR="00392587" w:rsidRPr="00EB5E8A" w:rsidRDefault="00392587" w:rsidP="009F4923">
            <w:pPr>
              <w:spacing w:line="276" w:lineRule="auto"/>
              <w:jc w:val="center"/>
              <w:rPr>
                <w:sz w:val="20"/>
                <w:szCs w:val="20"/>
              </w:rPr>
            </w:pPr>
          </w:p>
          <w:p w14:paraId="188248F1" w14:textId="77777777" w:rsidR="00392587" w:rsidRPr="00EB5E8A" w:rsidRDefault="00392587" w:rsidP="009F4923">
            <w:pPr>
              <w:spacing w:line="276" w:lineRule="auto"/>
              <w:jc w:val="center"/>
              <w:rPr>
                <w:sz w:val="20"/>
                <w:szCs w:val="20"/>
              </w:rPr>
            </w:pPr>
            <w:r w:rsidRPr="00EB5E8A">
              <w:rPr>
                <w:sz w:val="20"/>
                <w:szCs w:val="20"/>
              </w:rPr>
              <w:t>1</w:t>
            </w:r>
          </w:p>
          <w:p w14:paraId="59350816" w14:textId="535A2A51" w:rsidR="00392587" w:rsidRPr="00EB5E8A" w:rsidRDefault="00F960E2" w:rsidP="009F4923">
            <w:pPr>
              <w:spacing w:line="276" w:lineRule="auto"/>
              <w:jc w:val="center"/>
              <w:rPr>
                <w:sz w:val="20"/>
                <w:szCs w:val="20"/>
              </w:rPr>
            </w:pPr>
            <w:r w:rsidRPr="00EB5E8A">
              <w:rPr>
                <w:sz w:val="20"/>
                <w:szCs w:val="20"/>
              </w:rPr>
              <w:t>1.34</w:t>
            </w:r>
          </w:p>
          <w:p w14:paraId="62841938" w14:textId="0C15CD79" w:rsidR="00392587" w:rsidRPr="00EB5E8A" w:rsidRDefault="00F960E2" w:rsidP="009F4923">
            <w:pPr>
              <w:spacing w:line="276" w:lineRule="auto"/>
              <w:jc w:val="center"/>
              <w:rPr>
                <w:sz w:val="20"/>
                <w:szCs w:val="20"/>
              </w:rPr>
            </w:pPr>
            <w:r w:rsidRPr="00EB5E8A">
              <w:rPr>
                <w:sz w:val="20"/>
                <w:szCs w:val="20"/>
              </w:rPr>
              <w:t>1.50</w:t>
            </w:r>
          </w:p>
        </w:tc>
        <w:tc>
          <w:tcPr>
            <w:tcW w:w="1658" w:type="dxa"/>
          </w:tcPr>
          <w:p w14:paraId="00C86266" w14:textId="77777777" w:rsidR="00392587" w:rsidRPr="00EB5E8A" w:rsidRDefault="00392587" w:rsidP="009F4923">
            <w:pPr>
              <w:spacing w:line="276" w:lineRule="auto"/>
              <w:jc w:val="center"/>
              <w:rPr>
                <w:sz w:val="20"/>
                <w:szCs w:val="20"/>
              </w:rPr>
            </w:pPr>
          </w:p>
          <w:p w14:paraId="2273897F" w14:textId="77777777" w:rsidR="00392587" w:rsidRPr="00EB5E8A" w:rsidRDefault="00392587" w:rsidP="009F4923">
            <w:pPr>
              <w:spacing w:line="276" w:lineRule="auto"/>
              <w:jc w:val="center"/>
              <w:rPr>
                <w:sz w:val="20"/>
                <w:szCs w:val="20"/>
              </w:rPr>
            </w:pPr>
            <w:r w:rsidRPr="00EB5E8A">
              <w:rPr>
                <w:sz w:val="20"/>
                <w:szCs w:val="20"/>
              </w:rPr>
              <w:t>-</w:t>
            </w:r>
          </w:p>
          <w:p w14:paraId="456E8795" w14:textId="4F685BCA" w:rsidR="00392587" w:rsidRPr="00EB5E8A" w:rsidRDefault="00F960E2" w:rsidP="009F4923">
            <w:pPr>
              <w:spacing w:line="276" w:lineRule="auto"/>
              <w:jc w:val="center"/>
              <w:rPr>
                <w:sz w:val="20"/>
                <w:szCs w:val="20"/>
              </w:rPr>
            </w:pPr>
            <w:r w:rsidRPr="00EB5E8A">
              <w:rPr>
                <w:sz w:val="20"/>
                <w:szCs w:val="20"/>
              </w:rPr>
              <w:t>0.91</w:t>
            </w:r>
            <w:r w:rsidR="00392587" w:rsidRPr="00EB5E8A">
              <w:rPr>
                <w:sz w:val="20"/>
                <w:szCs w:val="20"/>
              </w:rPr>
              <w:t>-</w:t>
            </w:r>
            <w:r w:rsidRPr="00EB5E8A">
              <w:rPr>
                <w:sz w:val="20"/>
                <w:szCs w:val="20"/>
              </w:rPr>
              <w:t>1.96</w:t>
            </w:r>
          </w:p>
          <w:p w14:paraId="3C54382F" w14:textId="146924B0" w:rsidR="00392587" w:rsidRPr="00EB5E8A" w:rsidRDefault="00F960E2" w:rsidP="009F4923">
            <w:pPr>
              <w:spacing w:line="276" w:lineRule="auto"/>
              <w:jc w:val="center"/>
              <w:rPr>
                <w:sz w:val="20"/>
                <w:szCs w:val="20"/>
              </w:rPr>
            </w:pPr>
            <w:r w:rsidRPr="00EB5E8A">
              <w:rPr>
                <w:sz w:val="20"/>
                <w:szCs w:val="20"/>
              </w:rPr>
              <w:t>0.92</w:t>
            </w:r>
            <w:r w:rsidR="00392587" w:rsidRPr="00EB5E8A">
              <w:rPr>
                <w:sz w:val="20"/>
                <w:szCs w:val="20"/>
              </w:rPr>
              <w:t>-</w:t>
            </w:r>
            <w:r w:rsidRPr="00EB5E8A">
              <w:rPr>
                <w:sz w:val="20"/>
                <w:szCs w:val="20"/>
              </w:rPr>
              <w:t>2.43</w:t>
            </w:r>
          </w:p>
        </w:tc>
      </w:tr>
      <w:tr w:rsidR="00392587" w:rsidRPr="00EB5E8A" w14:paraId="67D32A22" w14:textId="77777777" w:rsidTr="009F4923">
        <w:trPr>
          <w:trHeight w:val="748"/>
          <w:jc w:val="center"/>
        </w:trPr>
        <w:tc>
          <w:tcPr>
            <w:tcW w:w="2353" w:type="dxa"/>
          </w:tcPr>
          <w:p w14:paraId="352A77AD" w14:textId="77777777" w:rsidR="00392587" w:rsidRPr="00EB5E8A" w:rsidRDefault="00392587" w:rsidP="009F4923">
            <w:pPr>
              <w:rPr>
                <w:rFonts w:asciiTheme="majorHAnsi" w:hAnsiTheme="majorHAnsi"/>
                <w:sz w:val="20"/>
                <w:szCs w:val="18"/>
              </w:rPr>
            </w:pPr>
          </w:p>
        </w:tc>
        <w:tc>
          <w:tcPr>
            <w:tcW w:w="1500" w:type="dxa"/>
          </w:tcPr>
          <w:p w14:paraId="393E0343" w14:textId="77777777" w:rsidR="00392587" w:rsidRPr="00EB5E8A" w:rsidRDefault="00392587" w:rsidP="009F4923">
            <w:pPr>
              <w:jc w:val="right"/>
              <w:rPr>
                <w:rFonts w:asciiTheme="majorHAnsi" w:hAnsiTheme="majorHAnsi"/>
                <w:b/>
                <w:sz w:val="20"/>
                <w:szCs w:val="18"/>
              </w:rPr>
            </w:pPr>
          </w:p>
        </w:tc>
        <w:tc>
          <w:tcPr>
            <w:tcW w:w="1787" w:type="dxa"/>
            <w:gridSpan w:val="2"/>
          </w:tcPr>
          <w:p w14:paraId="1B0FEBE5" w14:textId="77777777" w:rsidR="00392587" w:rsidRPr="00EB5E8A" w:rsidRDefault="00392587" w:rsidP="009F4923">
            <w:pPr>
              <w:jc w:val="right"/>
              <w:rPr>
                <w:rFonts w:asciiTheme="majorHAnsi" w:hAnsiTheme="majorHAnsi"/>
                <w:sz w:val="20"/>
                <w:szCs w:val="18"/>
              </w:rPr>
            </w:pPr>
          </w:p>
        </w:tc>
        <w:tc>
          <w:tcPr>
            <w:tcW w:w="1658" w:type="dxa"/>
          </w:tcPr>
          <w:p w14:paraId="4CD97FC4" w14:textId="77777777" w:rsidR="00392587" w:rsidRPr="00EB5E8A" w:rsidRDefault="00392587" w:rsidP="009F4923">
            <w:pPr>
              <w:jc w:val="right"/>
              <w:rPr>
                <w:rFonts w:asciiTheme="majorHAnsi" w:hAnsiTheme="majorHAnsi"/>
                <w:b/>
                <w:sz w:val="20"/>
                <w:szCs w:val="18"/>
              </w:rPr>
            </w:pPr>
          </w:p>
        </w:tc>
        <w:tc>
          <w:tcPr>
            <w:tcW w:w="1658" w:type="dxa"/>
          </w:tcPr>
          <w:p w14:paraId="4F07584C" w14:textId="77777777" w:rsidR="00392587" w:rsidRPr="00EB5E8A" w:rsidRDefault="00392587" w:rsidP="009F4923">
            <w:pPr>
              <w:jc w:val="right"/>
              <w:rPr>
                <w:rFonts w:asciiTheme="majorHAnsi" w:hAnsiTheme="majorHAnsi"/>
                <w:b/>
                <w:sz w:val="20"/>
                <w:szCs w:val="18"/>
              </w:rPr>
            </w:pPr>
          </w:p>
        </w:tc>
      </w:tr>
    </w:tbl>
    <w:p w14:paraId="69FD6D98" w14:textId="1FE215AB" w:rsidR="00392587" w:rsidRPr="00EB5E8A" w:rsidRDefault="00331871" w:rsidP="00392587">
      <w:pPr>
        <w:rPr>
          <w:rFonts w:asciiTheme="majorHAnsi" w:hAnsiTheme="majorHAnsi"/>
          <w:b/>
          <w:sz w:val="20"/>
        </w:rPr>
      </w:pPr>
      <w:r w:rsidRPr="00EB5E8A">
        <w:rPr>
          <w:rFonts w:asciiTheme="majorHAnsi" w:hAnsiTheme="majorHAnsi"/>
          <w:b/>
          <w:sz w:val="20"/>
        </w:rPr>
        <w:t xml:space="preserve">No Stoma – </w:t>
      </w:r>
      <w:r w:rsidR="008255A5" w:rsidRPr="00EB5E8A">
        <w:rPr>
          <w:rFonts w:asciiTheme="majorHAnsi" w:hAnsiTheme="majorHAnsi"/>
          <w:sz w:val="20"/>
        </w:rPr>
        <w:t>I</w:t>
      </w:r>
      <w:r w:rsidRPr="00EB5E8A">
        <w:rPr>
          <w:rFonts w:asciiTheme="majorHAnsi" w:hAnsiTheme="majorHAnsi"/>
          <w:sz w:val="20"/>
        </w:rPr>
        <w:t>ntestinal surgery for Crohn’s Disease without stoma formation.</w:t>
      </w:r>
      <w:r w:rsidRPr="00EB5E8A">
        <w:rPr>
          <w:rFonts w:asciiTheme="majorHAnsi" w:hAnsiTheme="majorHAnsi"/>
          <w:b/>
          <w:sz w:val="20"/>
        </w:rPr>
        <w:br/>
        <w:t xml:space="preserve">Early Stoma Reversal – </w:t>
      </w:r>
      <w:r w:rsidR="008255A5" w:rsidRPr="00EB5E8A">
        <w:rPr>
          <w:rFonts w:asciiTheme="majorHAnsi" w:hAnsiTheme="majorHAnsi"/>
          <w:sz w:val="20"/>
        </w:rPr>
        <w:t>T</w:t>
      </w:r>
      <w:r w:rsidRPr="00EB5E8A">
        <w:rPr>
          <w:rFonts w:asciiTheme="majorHAnsi" w:hAnsiTheme="majorHAnsi"/>
          <w:sz w:val="20"/>
        </w:rPr>
        <w:t>emporary stoma reversed within a year of formation.</w:t>
      </w:r>
      <w:r w:rsidRPr="00EB5E8A">
        <w:rPr>
          <w:rFonts w:asciiTheme="majorHAnsi" w:hAnsiTheme="majorHAnsi"/>
          <w:b/>
          <w:sz w:val="20"/>
        </w:rPr>
        <w:br/>
        <w:t xml:space="preserve">Late Stoma Reversal – </w:t>
      </w:r>
      <w:r w:rsidR="008255A5" w:rsidRPr="00EB5E8A">
        <w:rPr>
          <w:rFonts w:asciiTheme="majorHAnsi" w:hAnsiTheme="majorHAnsi"/>
          <w:sz w:val="20"/>
        </w:rPr>
        <w:t>T</w:t>
      </w:r>
      <w:r w:rsidRPr="00EB5E8A">
        <w:rPr>
          <w:rFonts w:asciiTheme="majorHAnsi" w:hAnsiTheme="majorHAnsi"/>
          <w:sz w:val="20"/>
        </w:rPr>
        <w:t>emporary stoma reversed more than one year after formation.</w:t>
      </w:r>
      <w:r w:rsidRPr="00EB5E8A">
        <w:rPr>
          <w:rFonts w:asciiTheme="majorHAnsi" w:hAnsiTheme="majorHAnsi"/>
          <w:b/>
          <w:sz w:val="20"/>
        </w:rPr>
        <w:br/>
        <w:t xml:space="preserve">IMD – </w:t>
      </w:r>
      <w:r w:rsidRPr="00EB5E8A">
        <w:rPr>
          <w:rFonts w:asciiTheme="majorHAnsi" w:hAnsiTheme="majorHAnsi"/>
          <w:sz w:val="20"/>
        </w:rPr>
        <w:t>Index of Multiple Deprivation</w:t>
      </w:r>
    </w:p>
    <w:p w14:paraId="57A31FBF" w14:textId="22659328" w:rsidR="00440EC6" w:rsidRPr="00EB5E8A" w:rsidRDefault="00440EC6" w:rsidP="00440EC6">
      <w:pPr>
        <w:pStyle w:val="Heading1"/>
      </w:pPr>
      <w:r w:rsidRPr="00EB5E8A">
        <w:lastRenderedPageBreak/>
        <w:t>Figure 1: Antidepressant medication use following first intestinal surgery for Crohn’s disease by stoma status</w:t>
      </w:r>
    </w:p>
    <w:p w14:paraId="6D2EB9A7" w14:textId="0A12B60A" w:rsidR="00BE040E" w:rsidRPr="00EB5E8A" w:rsidRDefault="00BE040E" w:rsidP="00AD1F23">
      <w:pPr>
        <w:rPr>
          <w:b/>
        </w:rPr>
      </w:pPr>
    </w:p>
    <w:p w14:paraId="5FD1D0A3" w14:textId="36DCB98B" w:rsidR="00440EC6" w:rsidRPr="00EB5E8A" w:rsidRDefault="00A4584E">
      <w:r w:rsidRPr="00EB5E8A">
        <w:br/>
      </w:r>
      <w:r w:rsidR="00440EC6" w:rsidRPr="00EB5E8A">
        <w:br w:type="page"/>
      </w:r>
    </w:p>
    <w:p w14:paraId="55F6A89D" w14:textId="3412CBC2" w:rsidR="00440EC6" w:rsidRPr="00EB5E8A" w:rsidRDefault="00440EC6" w:rsidP="00440EC6">
      <w:pPr>
        <w:pStyle w:val="Heading1"/>
      </w:pPr>
      <w:r w:rsidRPr="00EB5E8A">
        <w:lastRenderedPageBreak/>
        <w:t>Figure 2: Antidepressant medication use following first intestinal surgery for Crohn’s Disease among individuals with temporary stomas with early and late reversal surgery</w:t>
      </w:r>
    </w:p>
    <w:p w14:paraId="501F9510" w14:textId="77777777" w:rsidR="00440EC6" w:rsidRPr="00EB5E8A" w:rsidRDefault="00440EC6" w:rsidP="00440EC6"/>
    <w:p w14:paraId="66A65A81" w14:textId="2F2DC607" w:rsidR="00440EC6" w:rsidRPr="00EB5E8A" w:rsidRDefault="00440EC6" w:rsidP="00440EC6"/>
    <w:p w14:paraId="57E64D2A" w14:textId="5462C2D4" w:rsidR="00A4584E" w:rsidRPr="00A4584E" w:rsidRDefault="00A4584E" w:rsidP="00A4584E">
      <w:r w:rsidRPr="00EB5E8A">
        <w:rPr>
          <w:b/>
        </w:rPr>
        <w:t>No Stoma –</w:t>
      </w:r>
      <w:r w:rsidRPr="00EB5E8A">
        <w:t xml:space="preserve"> </w:t>
      </w:r>
      <w:r w:rsidR="00D46BC6" w:rsidRPr="00EB5E8A">
        <w:t>I</w:t>
      </w:r>
      <w:r w:rsidRPr="00EB5E8A">
        <w:t>ntestinal surgery for Crohn’s Disease without stoma formation.</w:t>
      </w:r>
      <w:r w:rsidRPr="00EB5E8A">
        <w:rPr>
          <w:b/>
        </w:rPr>
        <w:br/>
        <w:t>Temporary Stoma: Early Reversal –</w:t>
      </w:r>
      <w:r w:rsidR="008255A5" w:rsidRPr="00EB5E8A">
        <w:t xml:space="preserve"> R</w:t>
      </w:r>
      <w:r w:rsidRPr="00EB5E8A">
        <w:t>eversed within a year of formation.</w:t>
      </w:r>
      <w:r w:rsidRPr="00EB5E8A">
        <w:br/>
      </w:r>
      <w:r w:rsidRPr="00EB5E8A">
        <w:rPr>
          <w:b/>
        </w:rPr>
        <w:t xml:space="preserve">Temporary Stoma: Late Reversal – </w:t>
      </w:r>
      <w:r w:rsidR="008255A5" w:rsidRPr="00EB5E8A">
        <w:t>R</w:t>
      </w:r>
      <w:r w:rsidRPr="00EB5E8A">
        <w:t>eversed more than one year after formation.</w:t>
      </w:r>
      <w:r>
        <w:br/>
      </w:r>
    </w:p>
    <w:p w14:paraId="0E640A57" w14:textId="77777777" w:rsidR="00A4584E" w:rsidRPr="00A4584E" w:rsidRDefault="00A4584E" w:rsidP="00440EC6"/>
    <w:sectPr w:rsidR="00A4584E" w:rsidRPr="00A4584E" w:rsidSect="00094FA1">
      <w:headerReference w:type="default" r:id="rId9"/>
      <w:footerReference w:type="default" r:id="rId10"/>
      <w:pgSz w:w="11906" w:h="16838"/>
      <w:pgMar w:top="1440" w:right="1440" w:bottom="1440" w:left="1440" w:header="708" w:footer="708" w:gutter="0"/>
      <w:lnNumType w:countBy="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D4E0" w16cex:dateUtc="2020-09-11T09:50:00Z"/>
  <w16cex:commentExtensible w16cex:durableId="2305D4FD" w16cex:dateUtc="2020-09-11T09:50:00Z"/>
  <w16cex:commentExtensible w16cex:durableId="2305D668" w16cex:dateUtc="2020-09-11T09:56:00Z"/>
  <w16cex:commentExtensible w16cex:durableId="2304AE3A" w16cex:dateUtc="2020-09-10T12:52:00Z"/>
  <w16cex:commentExtensible w16cex:durableId="2305D71C" w16cex:dateUtc="2020-09-11T09:59:00Z"/>
  <w16cex:commentExtensible w16cex:durableId="2304AE0B" w16cex:dateUtc="2020-09-10T12:52:00Z"/>
  <w16cex:commentExtensible w16cex:durableId="2305D767" w16cex:dateUtc="2020-09-11T10:00:00Z"/>
  <w16cex:commentExtensible w16cex:durableId="2304AEA8" w16cex:dateUtc="2020-09-10T12:54:00Z"/>
  <w16cex:commentExtensible w16cex:durableId="2304AEC6" w16cex:dateUtc="2020-09-10T12:55:00Z"/>
  <w16cex:commentExtensible w16cex:durableId="2305D7AE" w16cex:dateUtc="2020-09-11T10:02:00Z"/>
  <w16cex:commentExtensible w16cex:durableId="2304CB33" w16cex:dateUtc="2020-09-10T14:56:00Z"/>
  <w16cex:commentExtensible w16cex:durableId="2304C782" w16cex:dateUtc="2020-09-10T14:40:00Z"/>
  <w16cex:commentExtensible w16cex:durableId="2304C6F1" w16cex:dateUtc="2020-09-10T14:38:00Z"/>
  <w16cex:commentExtensible w16cex:durableId="2304C873" w16cex:dateUtc="2020-09-10T14:44:00Z"/>
  <w16cex:commentExtensible w16cex:durableId="2304C853" w16cex:dateUtc="2020-09-10T14:44:00Z"/>
  <w16cex:commentExtensible w16cex:durableId="2304C8A0" w16cex:dateUtc="2020-09-10T14:45:00Z"/>
  <w16cex:commentExtensible w16cex:durableId="2305DA57" w16cex:dateUtc="2020-09-11T10:13:00Z"/>
  <w16cex:commentExtensible w16cex:durableId="2305DAEE" w16cex:dateUtc="2020-09-11T10:15:00Z"/>
  <w16cex:commentExtensible w16cex:durableId="2304C942" w16cex:dateUtc="2020-09-10T14:48:00Z"/>
  <w16cex:commentExtensible w16cex:durableId="2305DB77" w16cex:dateUtc="2020-09-11T10:18:00Z"/>
  <w16cex:commentExtensible w16cex:durableId="2304CAD8" w16cex:dateUtc="2020-09-10T14:55:00Z"/>
  <w16cex:commentExtensible w16cex:durableId="2304CAEF" w16cex:dateUtc="2020-09-10T14:55:00Z"/>
  <w16cex:commentExtensible w16cex:durableId="2305DBAA" w16cex:dateUtc="2020-09-11T10:19:00Z"/>
  <w16cex:commentExtensible w16cex:durableId="2305DBE1" w16cex:dateUtc="2020-09-11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A0E1E" w16cid:durableId="236A1D2D"/>
  <w16cid:commentId w16cid:paraId="07AA5A72" w16cid:durableId="236A1E18"/>
  <w16cid:commentId w16cid:paraId="548B5B19" w16cid:durableId="236A1E1F"/>
  <w16cid:commentId w16cid:paraId="2E4D01FB" w16cid:durableId="236A109B"/>
  <w16cid:commentId w16cid:paraId="53A9B632" w16cid:durableId="236A10C6"/>
  <w16cid:commentId w16cid:paraId="72BDFB60" w16cid:durableId="236A1E36"/>
  <w16cid:commentId w16cid:paraId="0A8F8829" w16cid:durableId="236A1D46"/>
  <w16cid:commentId w16cid:paraId="05922729" w16cid:durableId="236A2035"/>
  <w16cid:commentId w16cid:paraId="0C1DF31A" w16cid:durableId="236A1203"/>
  <w16cid:commentId w16cid:paraId="0E96A742" w16cid:durableId="236A12EB"/>
  <w16cid:commentId w16cid:paraId="3594B412" w16cid:durableId="236A12FE"/>
  <w16cid:commentId w16cid:paraId="6C6B82E3" w16cid:durableId="236A152C"/>
  <w16cid:commentId w16cid:paraId="4CF594F6" w16cid:durableId="236A1585"/>
  <w16cid:commentId w16cid:paraId="65987119" w16cid:durableId="236A16E5"/>
  <w16cid:commentId w16cid:paraId="5A1BF471" w16cid:durableId="236A27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33704" w14:textId="77777777" w:rsidR="0080619C" w:rsidRDefault="0080619C" w:rsidP="004E0095">
      <w:pPr>
        <w:spacing w:after="0" w:line="240" w:lineRule="auto"/>
      </w:pPr>
      <w:r>
        <w:separator/>
      </w:r>
    </w:p>
  </w:endnote>
  <w:endnote w:type="continuationSeparator" w:id="0">
    <w:p w14:paraId="48497E66" w14:textId="77777777" w:rsidR="0080619C" w:rsidRDefault="0080619C" w:rsidP="004E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828726"/>
      <w:docPartObj>
        <w:docPartGallery w:val="Page Numbers (Bottom of Page)"/>
        <w:docPartUnique/>
      </w:docPartObj>
    </w:sdtPr>
    <w:sdtEndPr>
      <w:rPr>
        <w:noProof/>
      </w:rPr>
    </w:sdtEndPr>
    <w:sdtContent>
      <w:p w14:paraId="16C29B8E" w14:textId="48E1B95E" w:rsidR="00FC1FC2" w:rsidRDefault="00FC1FC2">
        <w:pPr>
          <w:pStyle w:val="Footer"/>
        </w:pPr>
        <w:r>
          <w:fldChar w:fldCharType="begin"/>
        </w:r>
        <w:r>
          <w:instrText xml:space="preserve"> PAGE   \* MERGEFORMAT </w:instrText>
        </w:r>
        <w:r>
          <w:fldChar w:fldCharType="separate"/>
        </w:r>
        <w:r w:rsidR="003834A6">
          <w:rPr>
            <w:noProof/>
          </w:rPr>
          <w:t>22</w:t>
        </w:r>
        <w:r>
          <w:rPr>
            <w:noProof/>
          </w:rPr>
          <w:fldChar w:fldCharType="end"/>
        </w:r>
      </w:p>
    </w:sdtContent>
  </w:sdt>
  <w:p w14:paraId="36051BA2" w14:textId="77777777" w:rsidR="00FC1FC2" w:rsidRDefault="00FC1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A4A51" w14:textId="77777777" w:rsidR="0080619C" w:rsidRDefault="0080619C" w:rsidP="004E0095">
      <w:pPr>
        <w:spacing w:after="0" w:line="240" w:lineRule="auto"/>
      </w:pPr>
      <w:r>
        <w:separator/>
      </w:r>
    </w:p>
  </w:footnote>
  <w:footnote w:type="continuationSeparator" w:id="0">
    <w:p w14:paraId="58DC7AB3" w14:textId="77777777" w:rsidR="0080619C" w:rsidRDefault="0080619C" w:rsidP="004E0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5786" w14:textId="01B72DCA" w:rsidR="00FC1FC2" w:rsidRPr="006419D4" w:rsidRDefault="006419D4" w:rsidP="006419D4">
    <w:pPr>
      <w:pStyle w:val="Header"/>
    </w:pPr>
    <w:r w:rsidRPr="006419D4">
      <w:t>Stoma formation in Crohn’s Disease and the likelihood of antidepressant use: a population-based cohort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9C9"/>
    <w:multiLevelType w:val="hybridMultilevel"/>
    <w:tmpl w:val="AB64B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D3EF8"/>
    <w:multiLevelType w:val="multilevel"/>
    <w:tmpl w:val="C2A0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255B9"/>
    <w:multiLevelType w:val="hybridMultilevel"/>
    <w:tmpl w:val="C1BAA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60EBE"/>
    <w:multiLevelType w:val="hybridMultilevel"/>
    <w:tmpl w:val="3A22AE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74F9F"/>
    <w:multiLevelType w:val="hybridMultilevel"/>
    <w:tmpl w:val="78E42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43D36"/>
    <w:multiLevelType w:val="hybridMultilevel"/>
    <w:tmpl w:val="7042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6425C"/>
    <w:multiLevelType w:val="hybridMultilevel"/>
    <w:tmpl w:val="F50A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25764"/>
    <w:multiLevelType w:val="hybridMultilevel"/>
    <w:tmpl w:val="D89EA472"/>
    <w:lvl w:ilvl="0" w:tplc="1FAC9042">
      <w:start w:val="1"/>
      <w:numFmt w:val="bullet"/>
      <w:lvlText w:val="•"/>
      <w:lvlJc w:val="left"/>
      <w:pPr>
        <w:tabs>
          <w:tab w:val="num" w:pos="720"/>
        </w:tabs>
        <w:ind w:left="720" w:hanging="360"/>
      </w:pPr>
      <w:rPr>
        <w:rFonts w:ascii="Arial" w:hAnsi="Arial" w:hint="default"/>
      </w:rPr>
    </w:lvl>
    <w:lvl w:ilvl="1" w:tplc="B100D0F2" w:tentative="1">
      <w:start w:val="1"/>
      <w:numFmt w:val="bullet"/>
      <w:lvlText w:val="•"/>
      <w:lvlJc w:val="left"/>
      <w:pPr>
        <w:tabs>
          <w:tab w:val="num" w:pos="1440"/>
        </w:tabs>
        <w:ind w:left="1440" w:hanging="360"/>
      </w:pPr>
      <w:rPr>
        <w:rFonts w:ascii="Arial" w:hAnsi="Arial" w:hint="default"/>
      </w:rPr>
    </w:lvl>
    <w:lvl w:ilvl="2" w:tplc="58BEC5C4" w:tentative="1">
      <w:start w:val="1"/>
      <w:numFmt w:val="bullet"/>
      <w:lvlText w:val="•"/>
      <w:lvlJc w:val="left"/>
      <w:pPr>
        <w:tabs>
          <w:tab w:val="num" w:pos="2160"/>
        </w:tabs>
        <w:ind w:left="2160" w:hanging="360"/>
      </w:pPr>
      <w:rPr>
        <w:rFonts w:ascii="Arial" w:hAnsi="Arial" w:hint="default"/>
      </w:rPr>
    </w:lvl>
    <w:lvl w:ilvl="3" w:tplc="9EA6B056" w:tentative="1">
      <w:start w:val="1"/>
      <w:numFmt w:val="bullet"/>
      <w:lvlText w:val="•"/>
      <w:lvlJc w:val="left"/>
      <w:pPr>
        <w:tabs>
          <w:tab w:val="num" w:pos="2880"/>
        </w:tabs>
        <w:ind w:left="2880" w:hanging="360"/>
      </w:pPr>
      <w:rPr>
        <w:rFonts w:ascii="Arial" w:hAnsi="Arial" w:hint="default"/>
      </w:rPr>
    </w:lvl>
    <w:lvl w:ilvl="4" w:tplc="798ED452" w:tentative="1">
      <w:start w:val="1"/>
      <w:numFmt w:val="bullet"/>
      <w:lvlText w:val="•"/>
      <w:lvlJc w:val="left"/>
      <w:pPr>
        <w:tabs>
          <w:tab w:val="num" w:pos="3600"/>
        </w:tabs>
        <w:ind w:left="3600" w:hanging="360"/>
      </w:pPr>
      <w:rPr>
        <w:rFonts w:ascii="Arial" w:hAnsi="Arial" w:hint="default"/>
      </w:rPr>
    </w:lvl>
    <w:lvl w:ilvl="5" w:tplc="CC72A81E" w:tentative="1">
      <w:start w:val="1"/>
      <w:numFmt w:val="bullet"/>
      <w:lvlText w:val="•"/>
      <w:lvlJc w:val="left"/>
      <w:pPr>
        <w:tabs>
          <w:tab w:val="num" w:pos="4320"/>
        </w:tabs>
        <w:ind w:left="4320" w:hanging="360"/>
      </w:pPr>
      <w:rPr>
        <w:rFonts w:ascii="Arial" w:hAnsi="Arial" w:hint="default"/>
      </w:rPr>
    </w:lvl>
    <w:lvl w:ilvl="6" w:tplc="370E95E4" w:tentative="1">
      <w:start w:val="1"/>
      <w:numFmt w:val="bullet"/>
      <w:lvlText w:val="•"/>
      <w:lvlJc w:val="left"/>
      <w:pPr>
        <w:tabs>
          <w:tab w:val="num" w:pos="5040"/>
        </w:tabs>
        <w:ind w:left="5040" w:hanging="360"/>
      </w:pPr>
      <w:rPr>
        <w:rFonts w:ascii="Arial" w:hAnsi="Arial" w:hint="default"/>
      </w:rPr>
    </w:lvl>
    <w:lvl w:ilvl="7" w:tplc="DCD47114" w:tentative="1">
      <w:start w:val="1"/>
      <w:numFmt w:val="bullet"/>
      <w:lvlText w:val="•"/>
      <w:lvlJc w:val="left"/>
      <w:pPr>
        <w:tabs>
          <w:tab w:val="num" w:pos="5760"/>
        </w:tabs>
        <w:ind w:left="5760" w:hanging="360"/>
      </w:pPr>
      <w:rPr>
        <w:rFonts w:ascii="Arial" w:hAnsi="Arial" w:hint="default"/>
      </w:rPr>
    </w:lvl>
    <w:lvl w:ilvl="8" w:tplc="80082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172C61"/>
    <w:multiLevelType w:val="hybridMultilevel"/>
    <w:tmpl w:val="6002A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621A1"/>
    <w:multiLevelType w:val="multilevel"/>
    <w:tmpl w:val="11C28450"/>
    <w:lvl w:ilvl="0">
      <w:start w:val="1"/>
      <w:numFmt w:val="decimal"/>
      <w:lvlText w:val="%1."/>
      <w:lvlJc w:val="left"/>
      <w:pPr>
        <w:tabs>
          <w:tab w:val="num" w:pos="360"/>
        </w:tabs>
        <w:ind w:left="360" w:hanging="360"/>
      </w:pPr>
      <w:rPr>
        <w:rFonts w:ascii="Calibri" w:hAnsi="Calibri" w:cs="Calibri" w:hint="default"/>
        <w:b w:val="0"/>
        <w:i w:val="0"/>
        <w:sz w:val="22"/>
        <w:szCs w:val="22"/>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65D1229"/>
    <w:multiLevelType w:val="hybridMultilevel"/>
    <w:tmpl w:val="253E2E56"/>
    <w:lvl w:ilvl="0" w:tplc="27FC5738">
      <w:start w:val="1"/>
      <w:numFmt w:val="decimal"/>
      <w:lvlText w:val="%1."/>
      <w:lvlJc w:val="left"/>
      <w:pPr>
        <w:ind w:left="720" w:hanging="360"/>
      </w:pPr>
      <w:rPr>
        <w:rFonts w:ascii="NimbusSanL-Regu" w:eastAsiaTheme="minorHAnsi" w:hAnsi="NimbusSanL-Regu" w:cs="NimbusSanL-Reg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8"/>
  </w:num>
  <w:num w:numId="5">
    <w:abstractNumId w:val="2"/>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9F"/>
    <w:rsid w:val="0000114F"/>
    <w:rsid w:val="00001F53"/>
    <w:rsid w:val="0000250D"/>
    <w:rsid w:val="00003B1A"/>
    <w:rsid w:val="00003E74"/>
    <w:rsid w:val="00004549"/>
    <w:rsid w:val="000057E0"/>
    <w:rsid w:val="00007D90"/>
    <w:rsid w:val="00011099"/>
    <w:rsid w:val="00012C12"/>
    <w:rsid w:val="00013ABE"/>
    <w:rsid w:val="000143DA"/>
    <w:rsid w:val="000159EE"/>
    <w:rsid w:val="00020C5D"/>
    <w:rsid w:val="00023AA6"/>
    <w:rsid w:val="00025B2E"/>
    <w:rsid w:val="00027134"/>
    <w:rsid w:val="00027165"/>
    <w:rsid w:val="00030D7B"/>
    <w:rsid w:val="00033349"/>
    <w:rsid w:val="000358FC"/>
    <w:rsid w:val="00043C15"/>
    <w:rsid w:val="00044CB9"/>
    <w:rsid w:val="00046A0F"/>
    <w:rsid w:val="00047537"/>
    <w:rsid w:val="00050B13"/>
    <w:rsid w:val="00050D1B"/>
    <w:rsid w:val="000539F0"/>
    <w:rsid w:val="00053C7A"/>
    <w:rsid w:val="00053DB2"/>
    <w:rsid w:val="00060982"/>
    <w:rsid w:val="000639EA"/>
    <w:rsid w:val="00071556"/>
    <w:rsid w:val="00072BCD"/>
    <w:rsid w:val="00076AFD"/>
    <w:rsid w:val="00076FA3"/>
    <w:rsid w:val="0008299C"/>
    <w:rsid w:val="000914EC"/>
    <w:rsid w:val="000918AF"/>
    <w:rsid w:val="00091BA7"/>
    <w:rsid w:val="00092010"/>
    <w:rsid w:val="00094FA1"/>
    <w:rsid w:val="00095AD2"/>
    <w:rsid w:val="000A008C"/>
    <w:rsid w:val="000A236D"/>
    <w:rsid w:val="000A2685"/>
    <w:rsid w:val="000A26BB"/>
    <w:rsid w:val="000B0AF0"/>
    <w:rsid w:val="000B1D2A"/>
    <w:rsid w:val="000B262B"/>
    <w:rsid w:val="000B4610"/>
    <w:rsid w:val="000C151F"/>
    <w:rsid w:val="000C1726"/>
    <w:rsid w:val="000C5DF4"/>
    <w:rsid w:val="000C62A7"/>
    <w:rsid w:val="000C633F"/>
    <w:rsid w:val="000D26F1"/>
    <w:rsid w:val="000D48B0"/>
    <w:rsid w:val="000E0602"/>
    <w:rsid w:val="000E0A46"/>
    <w:rsid w:val="000E3B93"/>
    <w:rsid w:val="000E4546"/>
    <w:rsid w:val="000F048D"/>
    <w:rsid w:val="000F1C09"/>
    <w:rsid w:val="000F439A"/>
    <w:rsid w:val="001002AA"/>
    <w:rsid w:val="00101250"/>
    <w:rsid w:val="00101A96"/>
    <w:rsid w:val="0010381D"/>
    <w:rsid w:val="00103A0C"/>
    <w:rsid w:val="00103B4F"/>
    <w:rsid w:val="00104353"/>
    <w:rsid w:val="00105939"/>
    <w:rsid w:val="0010779F"/>
    <w:rsid w:val="00110626"/>
    <w:rsid w:val="00110E1B"/>
    <w:rsid w:val="00111D65"/>
    <w:rsid w:val="001161BA"/>
    <w:rsid w:val="001174C3"/>
    <w:rsid w:val="00124A18"/>
    <w:rsid w:val="00125CBE"/>
    <w:rsid w:val="001262F3"/>
    <w:rsid w:val="00126FAA"/>
    <w:rsid w:val="00130E5A"/>
    <w:rsid w:val="00132267"/>
    <w:rsid w:val="00132BF3"/>
    <w:rsid w:val="00134910"/>
    <w:rsid w:val="001352B6"/>
    <w:rsid w:val="00136344"/>
    <w:rsid w:val="00136889"/>
    <w:rsid w:val="00141FB7"/>
    <w:rsid w:val="00143EE9"/>
    <w:rsid w:val="00143FD0"/>
    <w:rsid w:val="001454CF"/>
    <w:rsid w:val="00151266"/>
    <w:rsid w:val="00152F36"/>
    <w:rsid w:val="00154FEC"/>
    <w:rsid w:val="00155A28"/>
    <w:rsid w:val="001564F7"/>
    <w:rsid w:val="00157997"/>
    <w:rsid w:val="00157E93"/>
    <w:rsid w:val="001607FD"/>
    <w:rsid w:val="00162D29"/>
    <w:rsid w:val="00163672"/>
    <w:rsid w:val="00166FD4"/>
    <w:rsid w:val="00167590"/>
    <w:rsid w:val="00170D25"/>
    <w:rsid w:val="00171F8D"/>
    <w:rsid w:val="00172AA1"/>
    <w:rsid w:val="00173B20"/>
    <w:rsid w:val="00173F7C"/>
    <w:rsid w:val="0017526E"/>
    <w:rsid w:val="00175C40"/>
    <w:rsid w:val="00176A46"/>
    <w:rsid w:val="00177E14"/>
    <w:rsid w:val="00182BD0"/>
    <w:rsid w:val="00190225"/>
    <w:rsid w:val="0019098E"/>
    <w:rsid w:val="00192ED0"/>
    <w:rsid w:val="001935A3"/>
    <w:rsid w:val="001945DE"/>
    <w:rsid w:val="00197592"/>
    <w:rsid w:val="001A2ACA"/>
    <w:rsid w:val="001B5B39"/>
    <w:rsid w:val="001B5E94"/>
    <w:rsid w:val="001C205A"/>
    <w:rsid w:val="001C3862"/>
    <w:rsid w:val="001C4725"/>
    <w:rsid w:val="001C732B"/>
    <w:rsid w:val="001D17F2"/>
    <w:rsid w:val="001D4745"/>
    <w:rsid w:val="001D4B26"/>
    <w:rsid w:val="001E0462"/>
    <w:rsid w:val="001E4B67"/>
    <w:rsid w:val="001E4FD3"/>
    <w:rsid w:val="001E5A01"/>
    <w:rsid w:val="001E743E"/>
    <w:rsid w:val="001E764E"/>
    <w:rsid w:val="001F14EB"/>
    <w:rsid w:val="001F44D8"/>
    <w:rsid w:val="001F49EC"/>
    <w:rsid w:val="001F60B3"/>
    <w:rsid w:val="002004F3"/>
    <w:rsid w:val="00201834"/>
    <w:rsid w:val="00205699"/>
    <w:rsid w:val="00211B72"/>
    <w:rsid w:val="00213D5C"/>
    <w:rsid w:val="00214071"/>
    <w:rsid w:val="00214180"/>
    <w:rsid w:val="002221F5"/>
    <w:rsid w:val="002236F7"/>
    <w:rsid w:val="00226F74"/>
    <w:rsid w:val="0022766B"/>
    <w:rsid w:val="00227B07"/>
    <w:rsid w:val="0023116C"/>
    <w:rsid w:val="00231B35"/>
    <w:rsid w:val="00233D6D"/>
    <w:rsid w:val="00236028"/>
    <w:rsid w:val="00241E6A"/>
    <w:rsid w:val="00246E00"/>
    <w:rsid w:val="00250FBB"/>
    <w:rsid w:val="00251568"/>
    <w:rsid w:val="0025337C"/>
    <w:rsid w:val="0025467A"/>
    <w:rsid w:val="002557BD"/>
    <w:rsid w:val="002565E8"/>
    <w:rsid w:val="0025671A"/>
    <w:rsid w:val="00256BF0"/>
    <w:rsid w:val="00256D78"/>
    <w:rsid w:val="002604A6"/>
    <w:rsid w:val="002606D5"/>
    <w:rsid w:val="002639E3"/>
    <w:rsid w:val="0026424F"/>
    <w:rsid w:val="00264EFE"/>
    <w:rsid w:val="002654B5"/>
    <w:rsid w:val="00267F5A"/>
    <w:rsid w:val="00271DBA"/>
    <w:rsid w:val="00272FCB"/>
    <w:rsid w:val="00273E5B"/>
    <w:rsid w:val="00275E38"/>
    <w:rsid w:val="0027655F"/>
    <w:rsid w:val="002813B2"/>
    <w:rsid w:val="002830F9"/>
    <w:rsid w:val="002846BD"/>
    <w:rsid w:val="002847BD"/>
    <w:rsid w:val="0028698D"/>
    <w:rsid w:val="002877C6"/>
    <w:rsid w:val="00291A8A"/>
    <w:rsid w:val="0029557A"/>
    <w:rsid w:val="002A0419"/>
    <w:rsid w:val="002A0F43"/>
    <w:rsid w:val="002A1443"/>
    <w:rsid w:val="002A20D4"/>
    <w:rsid w:val="002A3140"/>
    <w:rsid w:val="002A37C5"/>
    <w:rsid w:val="002A393F"/>
    <w:rsid w:val="002A3F57"/>
    <w:rsid w:val="002A44A6"/>
    <w:rsid w:val="002B13DF"/>
    <w:rsid w:val="002B1C2E"/>
    <w:rsid w:val="002B26C3"/>
    <w:rsid w:val="002B33D2"/>
    <w:rsid w:val="002B4B0A"/>
    <w:rsid w:val="002B69B6"/>
    <w:rsid w:val="002B7A39"/>
    <w:rsid w:val="002C11A4"/>
    <w:rsid w:val="002C263E"/>
    <w:rsid w:val="002C51CE"/>
    <w:rsid w:val="002C69F8"/>
    <w:rsid w:val="002D3761"/>
    <w:rsid w:val="002D48F0"/>
    <w:rsid w:val="002D57F6"/>
    <w:rsid w:val="002D6175"/>
    <w:rsid w:val="002E049F"/>
    <w:rsid w:val="002E238E"/>
    <w:rsid w:val="002E27BE"/>
    <w:rsid w:val="002E5F8E"/>
    <w:rsid w:val="002F0A49"/>
    <w:rsid w:val="002F1BC2"/>
    <w:rsid w:val="002F40B9"/>
    <w:rsid w:val="002F5111"/>
    <w:rsid w:val="002F58DA"/>
    <w:rsid w:val="002F794D"/>
    <w:rsid w:val="00300559"/>
    <w:rsid w:val="003022E3"/>
    <w:rsid w:val="00302DB3"/>
    <w:rsid w:val="003040E3"/>
    <w:rsid w:val="0030566C"/>
    <w:rsid w:val="00305829"/>
    <w:rsid w:val="00306171"/>
    <w:rsid w:val="003071E2"/>
    <w:rsid w:val="00313DA0"/>
    <w:rsid w:val="00314E72"/>
    <w:rsid w:val="00315475"/>
    <w:rsid w:val="003169C2"/>
    <w:rsid w:val="00316A4D"/>
    <w:rsid w:val="00317D68"/>
    <w:rsid w:val="00321BD7"/>
    <w:rsid w:val="00325D05"/>
    <w:rsid w:val="00327B6B"/>
    <w:rsid w:val="00330CD0"/>
    <w:rsid w:val="00331871"/>
    <w:rsid w:val="00331C2F"/>
    <w:rsid w:val="00332A03"/>
    <w:rsid w:val="00335677"/>
    <w:rsid w:val="003431BC"/>
    <w:rsid w:val="003449B3"/>
    <w:rsid w:val="00345266"/>
    <w:rsid w:val="0035087E"/>
    <w:rsid w:val="00355121"/>
    <w:rsid w:val="003566E3"/>
    <w:rsid w:val="00360DBA"/>
    <w:rsid w:val="00363222"/>
    <w:rsid w:val="00365A50"/>
    <w:rsid w:val="003679E6"/>
    <w:rsid w:val="0037319F"/>
    <w:rsid w:val="00373F64"/>
    <w:rsid w:val="003760FF"/>
    <w:rsid w:val="003765D3"/>
    <w:rsid w:val="0037701C"/>
    <w:rsid w:val="00377D49"/>
    <w:rsid w:val="0038164D"/>
    <w:rsid w:val="0038260A"/>
    <w:rsid w:val="003834A6"/>
    <w:rsid w:val="0038591F"/>
    <w:rsid w:val="003906ED"/>
    <w:rsid w:val="00391D75"/>
    <w:rsid w:val="00392587"/>
    <w:rsid w:val="00392A27"/>
    <w:rsid w:val="00392BDC"/>
    <w:rsid w:val="00393BE5"/>
    <w:rsid w:val="00394415"/>
    <w:rsid w:val="00396045"/>
    <w:rsid w:val="003A17C8"/>
    <w:rsid w:val="003A1EC0"/>
    <w:rsid w:val="003A2BE6"/>
    <w:rsid w:val="003B0B58"/>
    <w:rsid w:val="003B22C6"/>
    <w:rsid w:val="003B3787"/>
    <w:rsid w:val="003B3F54"/>
    <w:rsid w:val="003B411D"/>
    <w:rsid w:val="003B53F6"/>
    <w:rsid w:val="003B65C4"/>
    <w:rsid w:val="003B6B1F"/>
    <w:rsid w:val="003B75B0"/>
    <w:rsid w:val="003B7A74"/>
    <w:rsid w:val="003C1E26"/>
    <w:rsid w:val="003C6155"/>
    <w:rsid w:val="003C632F"/>
    <w:rsid w:val="003D1AE7"/>
    <w:rsid w:val="003D3C97"/>
    <w:rsid w:val="003D5D6D"/>
    <w:rsid w:val="003D6876"/>
    <w:rsid w:val="003D713C"/>
    <w:rsid w:val="003D73DE"/>
    <w:rsid w:val="003E436C"/>
    <w:rsid w:val="003E5542"/>
    <w:rsid w:val="003F02C6"/>
    <w:rsid w:val="003F0D49"/>
    <w:rsid w:val="003F26FA"/>
    <w:rsid w:val="003F32CB"/>
    <w:rsid w:val="003F4B63"/>
    <w:rsid w:val="003F4CB9"/>
    <w:rsid w:val="003F5EA6"/>
    <w:rsid w:val="00401D85"/>
    <w:rsid w:val="0040254F"/>
    <w:rsid w:val="00403C73"/>
    <w:rsid w:val="00404DD7"/>
    <w:rsid w:val="004059B1"/>
    <w:rsid w:val="00412A3D"/>
    <w:rsid w:val="00412ECA"/>
    <w:rsid w:val="00412FE4"/>
    <w:rsid w:val="00415DA2"/>
    <w:rsid w:val="00421157"/>
    <w:rsid w:val="00421CAB"/>
    <w:rsid w:val="0042270E"/>
    <w:rsid w:val="0043178B"/>
    <w:rsid w:val="004333A4"/>
    <w:rsid w:val="0043465F"/>
    <w:rsid w:val="00434E29"/>
    <w:rsid w:val="004352BE"/>
    <w:rsid w:val="00440EC6"/>
    <w:rsid w:val="00443E10"/>
    <w:rsid w:val="00444580"/>
    <w:rsid w:val="00444D8F"/>
    <w:rsid w:val="0044714C"/>
    <w:rsid w:val="0045647D"/>
    <w:rsid w:val="00460792"/>
    <w:rsid w:val="0046080F"/>
    <w:rsid w:val="004613D7"/>
    <w:rsid w:val="00461780"/>
    <w:rsid w:val="004620B2"/>
    <w:rsid w:val="00464C35"/>
    <w:rsid w:val="00464D55"/>
    <w:rsid w:val="0046612D"/>
    <w:rsid w:val="00470156"/>
    <w:rsid w:val="004716C4"/>
    <w:rsid w:val="004724DD"/>
    <w:rsid w:val="004724FE"/>
    <w:rsid w:val="00475041"/>
    <w:rsid w:val="00480154"/>
    <w:rsid w:val="00480FBA"/>
    <w:rsid w:val="0048117F"/>
    <w:rsid w:val="00481DCA"/>
    <w:rsid w:val="00482F98"/>
    <w:rsid w:val="00483469"/>
    <w:rsid w:val="0048737A"/>
    <w:rsid w:val="004900A9"/>
    <w:rsid w:val="004905D0"/>
    <w:rsid w:val="00491316"/>
    <w:rsid w:val="00496419"/>
    <w:rsid w:val="004965DF"/>
    <w:rsid w:val="004B316A"/>
    <w:rsid w:val="004B317F"/>
    <w:rsid w:val="004B5555"/>
    <w:rsid w:val="004B5E40"/>
    <w:rsid w:val="004B67CC"/>
    <w:rsid w:val="004C12CC"/>
    <w:rsid w:val="004C5E58"/>
    <w:rsid w:val="004C7F41"/>
    <w:rsid w:val="004D2371"/>
    <w:rsid w:val="004D2E7B"/>
    <w:rsid w:val="004D50C0"/>
    <w:rsid w:val="004D7CDB"/>
    <w:rsid w:val="004E0095"/>
    <w:rsid w:val="004E5E4B"/>
    <w:rsid w:val="004E7B87"/>
    <w:rsid w:val="004F0F9C"/>
    <w:rsid w:val="004F23C4"/>
    <w:rsid w:val="004F4136"/>
    <w:rsid w:val="004F4942"/>
    <w:rsid w:val="004F4A9F"/>
    <w:rsid w:val="004F7BEC"/>
    <w:rsid w:val="0050276B"/>
    <w:rsid w:val="00502EC8"/>
    <w:rsid w:val="005035B8"/>
    <w:rsid w:val="005044F7"/>
    <w:rsid w:val="00504806"/>
    <w:rsid w:val="00504CAE"/>
    <w:rsid w:val="005060A0"/>
    <w:rsid w:val="005063F6"/>
    <w:rsid w:val="00511D86"/>
    <w:rsid w:val="00512D25"/>
    <w:rsid w:val="00523D70"/>
    <w:rsid w:val="00524EB7"/>
    <w:rsid w:val="005250A6"/>
    <w:rsid w:val="00527157"/>
    <w:rsid w:val="00531A3C"/>
    <w:rsid w:val="00531A58"/>
    <w:rsid w:val="005328C7"/>
    <w:rsid w:val="005340EC"/>
    <w:rsid w:val="00540F5C"/>
    <w:rsid w:val="00541D2E"/>
    <w:rsid w:val="005420EB"/>
    <w:rsid w:val="00543995"/>
    <w:rsid w:val="005443EF"/>
    <w:rsid w:val="005460F8"/>
    <w:rsid w:val="005501C5"/>
    <w:rsid w:val="00550C71"/>
    <w:rsid w:val="005525C1"/>
    <w:rsid w:val="00553576"/>
    <w:rsid w:val="0055440E"/>
    <w:rsid w:val="005550FD"/>
    <w:rsid w:val="00564FF5"/>
    <w:rsid w:val="00566E7E"/>
    <w:rsid w:val="00567D34"/>
    <w:rsid w:val="0057030B"/>
    <w:rsid w:val="00570744"/>
    <w:rsid w:val="00571B6A"/>
    <w:rsid w:val="00572623"/>
    <w:rsid w:val="00572E32"/>
    <w:rsid w:val="00573E60"/>
    <w:rsid w:val="00575400"/>
    <w:rsid w:val="00575B55"/>
    <w:rsid w:val="00577373"/>
    <w:rsid w:val="00580637"/>
    <w:rsid w:val="005821F2"/>
    <w:rsid w:val="005870FE"/>
    <w:rsid w:val="00590FA9"/>
    <w:rsid w:val="00597525"/>
    <w:rsid w:val="005A1225"/>
    <w:rsid w:val="005A1782"/>
    <w:rsid w:val="005A22EC"/>
    <w:rsid w:val="005A232F"/>
    <w:rsid w:val="005A3762"/>
    <w:rsid w:val="005A4860"/>
    <w:rsid w:val="005B23AB"/>
    <w:rsid w:val="005B3A14"/>
    <w:rsid w:val="005B5079"/>
    <w:rsid w:val="005C0033"/>
    <w:rsid w:val="005C00F1"/>
    <w:rsid w:val="005C20FB"/>
    <w:rsid w:val="005C3B41"/>
    <w:rsid w:val="005C6967"/>
    <w:rsid w:val="005C78AE"/>
    <w:rsid w:val="005D028D"/>
    <w:rsid w:val="005D4089"/>
    <w:rsid w:val="005D5F64"/>
    <w:rsid w:val="005E238C"/>
    <w:rsid w:val="005E399E"/>
    <w:rsid w:val="005E5D8E"/>
    <w:rsid w:val="005E6740"/>
    <w:rsid w:val="005E6D45"/>
    <w:rsid w:val="005E72D8"/>
    <w:rsid w:val="005E7F22"/>
    <w:rsid w:val="005F0733"/>
    <w:rsid w:val="005F1123"/>
    <w:rsid w:val="005F3AE9"/>
    <w:rsid w:val="005F5B5E"/>
    <w:rsid w:val="005F7C96"/>
    <w:rsid w:val="005F7D6D"/>
    <w:rsid w:val="00600E07"/>
    <w:rsid w:val="006010E6"/>
    <w:rsid w:val="00606C0E"/>
    <w:rsid w:val="00610454"/>
    <w:rsid w:val="00610B70"/>
    <w:rsid w:val="00611924"/>
    <w:rsid w:val="006119FD"/>
    <w:rsid w:val="006129A3"/>
    <w:rsid w:val="00614BF9"/>
    <w:rsid w:val="006203E9"/>
    <w:rsid w:val="00621AC7"/>
    <w:rsid w:val="006240BC"/>
    <w:rsid w:val="006246C4"/>
    <w:rsid w:val="00624E2A"/>
    <w:rsid w:val="006324BA"/>
    <w:rsid w:val="00632FED"/>
    <w:rsid w:val="00634A07"/>
    <w:rsid w:val="00635475"/>
    <w:rsid w:val="006366A4"/>
    <w:rsid w:val="00636743"/>
    <w:rsid w:val="006419D4"/>
    <w:rsid w:val="00642C5D"/>
    <w:rsid w:val="006460E4"/>
    <w:rsid w:val="00646457"/>
    <w:rsid w:val="00652A79"/>
    <w:rsid w:val="00657B1A"/>
    <w:rsid w:val="00660CC5"/>
    <w:rsid w:val="00661C45"/>
    <w:rsid w:val="00662466"/>
    <w:rsid w:val="00663588"/>
    <w:rsid w:val="00666D84"/>
    <w:rsid w:val="00672A0A"/>
    <w:rsid w:val="00673747"/>
    <w:rsid w:val="006757F2"/>
    <w:rsid w:val="00675AF8"/>
    <w:rsid w:val="00676636"/>
    <w:rsid w:val="00676C10"/>
    <w:rsid w:val="00676F31"/>
    <w:rsid w:val="00680256"/>
    <w:rsid w:val="006805F1"/>
    <w:rsid w:val="00680AF6"/>
    <w:rsid w:val="006814EC"/>
    <w:rsid w:val="00681885"/>
    <w:rsid w:val="00681898"/>
    <w:rsid w:val="006862DA"/>
    <w:rsid w:val="00691C95"/>
    <w:rsid w:val="00692CC0"/>
    <w:rsid w:val="00695EEA"/>
    <w:rsid w:val="00696B70"/>
    <w:rsid w:val="00696C71"/>
    <w:rsid w:val="006A27BE"/>
    <w:rsid w:val="006A313D"/>
    <w:rsid w:val="006A59EB"/>
    <w:rsid w:val="006B0764"/>
    <w:rsid w:val="006B0AFD"/>
    <w:rsid w:val="006B1838"/>
    <w:rsid w:val="006B1EBE"/>
    <w:rsid w:val="006B2456"/>
    <w:rsid w:val="006B3296"/>
    <w:rsid w:val="006B39BA"/>
    <w:rsid w:val="006B5931"/>
    <w:rsid w:val="006B772C"/>
    <w:rsid w:val="006C1149"/>
    <w:rsid w:val="006C1B95"/>
    <w:rsid w:val="006C3511"/>
    <w:rsid w:val="006C37BD"/>
    <w:rsid w:val="006E0231"/>
    <w:rsid w:val="006E1E7C"/>
    <w:rsid w:val="006E39D9"/>
    <w:rsid w:val="006E7B54"/>
    <w:rsid w:val="006F069A"/>
    <w:rsid w:val="006F1F13"/>
    <w:rsid w:val="006F2F89"/>
    <w:rsid w:val="006F3EC6"/>
    <w:rsid w:val="006F7DF4"/>
    <w:rsid w:val="007021E9"/>
    <w:rsid w:val="00702B91"/>
    <w:rsid w:val="0070497A"/>
    <w:rsid w:val="00704C6A"/>
    <w:rsid w:val="00707557"/>
    <w:rsid w:val="007079D5"/>
    <w:rsid w:val="00710118"/>
    <w:rsid w:val="00713B99"/>
    <w:rsid w:val="0071510F"/>
    <w:rsid w:val="0071737F"/>
    <w:rsid w:val="007205A8"/>
    <w:rsid w:val="00720765"/>
    <w:rsid w:val="007242F7"/>
    <w:rsid w:val="007272A9"/>
    <w:rsid w:val="00727EEE"/>
    <w:rsid w:val="007338FD"/>
    <w:rsid w:val="00735D5B"/>
    <w:rsid w:val="00736FE2"/>
    <w:rsid w:val="00740448"/>
    <w:rsid w:val="00741301"/>
    <w:rsid w:val="00743510"/>
    <w:rsid w:val="00744ED0"/>
    <w:rsid w:val="00744F42"/>
    <w:rsid w:val="0074527E"/>
    <w:rsid w:val="0074610A"/>
    <w:rsid w:val="00750A49"/>
    <w:rsid w:val="00751677"/>
    <w:rsid w:val="00755FCC"/>
    <w:rsid w:val="007569AF"/>
    <w:rsid w:val="00761178"/>
    <w:rsid w:val="00767462"/>
    <w:rsid w:val="007704DD"/>
    <w:rsid w:val="00772F74"/>
    <w:rsid w:val="007733C0"/>
    <w:rsid w:val="0077489F"/>
    <w:rsid w:val="00776270"/>
    <w:rsid w:val="00781CF7"/>
    <w:rsid w:val="00783D79"/>
    <w:rsid w:val="00783E8C"/>
    <w:rsid w:val="0078547E"/>
    <w:rsid w:val="007859B6"/>
    <w:rsid w:val="007866CB"/>
    <w:rsid w:val="007873B6"/>
    <w:rsid w:val="0078743D"/>
    <w:rsid w:val="007904E7"/>
    <w:rsid w:val="00790DF4"/>
    <w:rsid w:val="007912A8"/>
    <w:rsid w:val="007919F0"/>
    <w:rsid w:val="007934DF"/>
    <w:rsid w:val="007967F7"/>
    <w:rsid w:val="007A72D4"/>
    <w:rsid w:val="007B0794"/>
    <w:rsid w:val="007B27C7"/>
    <w:rsid w:val="007B67A7"/>
    <w:rsid w:val="007B7B6D"/>
    <w:rsid w:val="007C48C1"/>
    <w:rsid w:val="007C6815"/>
    <w:rsid w:val="007C6BBA"/>
    <w:rsid w:val="007C7181"/>
    <w:rsid w:val="007D17E8"/>
    <w:rsid w:val="007D3910"/>
    <w:rsid w:val="007D5A6F"/>
    <w:rsid w:val="007D68FB"/>
    <w:rsid w:val="007D7A50"/>
    <w:rsid w:val="007E00A8"/>
    <w:rsid w:val="007E0C8F"/>
    <w:rsid w:val="007E1CAE"/>
    <w:rsid w:val="007E212A"/>
    <w:rsid w:val="007E393F"/>
    <w:rsid w:val="007E495C"/>
    <w:rsid w:val="007E6677"/>
    <w:rsid w:val="007E6A08"/>
    <w:rsid w:val="007E6E4B"/>
    <w:rsid w:val="007E7FA5"/>
    <w:rsid w:val="007F2F5E"/>
    <w:rsid w:val="007F440A"/>
    <w:rsid w:val="007F44C6"/>
    <w:rsid w:val="007F4574"/>
    <w:rsid w:val="00800AC0"/>
    <w:rsid w:val="00801FD3"/>
    <w:rsid w:val="00802651"/>
    <w:rsid w:val="00805286"/>
    <w:rsid w:val="00805CB8"/>
    <w:rsid w:val="0080614F"/>
    <w:rsid w:val="0080619C"/>
    <w:rsid w:val="008102D1"/>
    <w:rsid w:val="0081065A"/>
    <w:rsid w:val="00811E4E"/>
    <w:rsid w:val="00812808"/>
    <w:rsid w:val="00812E1A"/>
    <w:rsid w:val="00816605"/>
    <w:rsid w:val="008255A5"/>
    <w:rsid w:val="00826255"/>
    <w:rsid w:val="00830F6D"/>
    <w:rsid w:val="008326E0"/>
    <w:rsid w:val="00832E66"/>
    <w:rsid w:val="00834502"/>
    <w:rsid w:val="008372BA"/>
    <w:rsid w:val="008374D1"/>
    <w:rsid w:val="008409CC"/>
    <w:rsid w:val="00842B7C"/>
    <w:rsid w:val="00850077"/>
    <w:rsid w:val="00850F09"/>
    <w:rsid w:val="00852499"/>
    <w:rsid w:val="008558BD"/>
    <w:rsid w:val="00855976"/>
    <w:rsid w:val="00857759"/>
    <w:rsid w:val="00860D2B"/>
    <w:rsid w:val="00861902"/>
    <w:rsid w:val="00867D44"/>
    <w:rsid w:val="008701D1"/>
    <w:rsid w:val="00874D6C"/>
    <w:rsid w:val="0087575A"/>
    <w:rsid w:val="00880051"/>
    <w:rsid w:val="00882EE1"/>
    <w:rsid w:val="00884F9A"/>
    <w:rsid w:val="00886064"/>
    <w:rsid w:val="00890594"/>
    <w:rsid w:val="00891F78"/>
    <w:rsid w:val="00893D16"/>
    <w:rsid w:val="008945D4"/>
    <w:rsid w:val="00895B2C"/>
    <w:rsid w:val="00896F8F"/>
    <w:rsid w:val="008A224A"/>
    <w:rsid w:val="008A2717"/>
    <w:rsid w:val="008B00F3"/>
    <w:rsid w:val="008B1FD5"/>
    <w:rsid w:val="008B7412"/>
    <w:rsid w:val="008C01DB"/>
    <w:rsid w:val="008C0BCF"/>
    <w:rsid w:val="008C1729"/>
    <w:rsid w:val="008C26A4"/>
    <w:rsid w:val="008C6B24"/>
    <w:rsid w:val="008C6BFE"/>
    <w:rsid w:val="008C7B21"/>
    <w:rsid w:val="008D336E"/>
    <w:rsid w:val="008D3ABA"/>
    <w:rsid w:val="008D4F7E"/>
    <w:rsid w:val="008D5B94"/>
    <w:rsid w:val="008D6F2D"/>
    <w:rsid w:val="008E04EB"/>
    <w:rsid w:val="008E0ECF"/>
    <w:rsid w:val="008E1F0E"/>
    <w:rsid w:val="008E2E50"/>
    <w:rsid w:val="008E30E4"/>
    <w:rsid w:val="008E57BD"/>
    <w:rsid w:val="008E595C"/>
    <w:rsid w:val="008E5EB1"/>
    <w:rsid w:val="008E61AF"/>
    <w:rsid w:val="008F20E1"/>
    <w:rsid w:val="008F24AD"/>
    <w:rsid w:val="008F2EE9"/>
    <w:rsid w:val="008F6F64"/>
    <w:rsid w:val="008F77C3"/>
    <w:rsid w:val="00900644"/>
    <w:rsid w:val="00903B1B"/>
    <w:rsid w:val="009075BB"/>
    <w:rsid w:val="00910CE1"/>
    <w:rsid w:val="00911BBB"/>
    <w:rsid w:val="00912D33"/>
    <w:rsid w:val="00913A03"/>
    <w:rsid w:val="00913B57"/>
    <w:rsid w:val="009143E5"/>
    <w:rsid w:val="00914D30"/>
    <w:rsid w:val="0091515E"/>
    <w:rsid w:val="00916D9F"/>
    <w:rsid w:val="00917065"/>
    <w:rsid w:val="00923968"/>
    <w:rsid w:val="009254D7"/>
    <w:rsid w:val="00925939"/>
    <w:rsid w:val="00931302"/>
    <w:rsid w:val="00931E6F"/>
    <w:rsid w:val="009322C8"/>
    <w:rsid w:val="00932C29"/>
    <w:rsid w:val="009336C0"/>
    <w:rsid w:val="00937EF7"/>
    <w:rsid w:val="009408EA"/>
    <w:rsid w:val="0094263A"/>
    <w:rsid w:val="00945035"/>
    <w:rsid w:val="009468D3"/>
    <w:rsid w:val="0094718A"/>
    <w:rsid w:val="00947BAC"/>
    <w:rsid w:val="00950CF5"/>
    <w:rsid w:val="0095200E"/>
    <w:rsid w:val="00953438"/>
    <w:rsid w:val="00954618"/>
    <w:rsid w:val="00955B60"/>
    <w:rsid w:val="009560F2"/>
    <w:rsid w:val="009569EA"/>
    <w:rsid w:val="00956FB7"/>
    <w:rsid w:val="009600BB"/>
    <w:rsid w:val="0096031A"/>
    <w:rsid w:val="009616B5"/>
    <w:rsid w:val="00961A2C"/>
    <w:rsid w:val="00962B4F"/>
    <w:rsid w:val="009651CC"/>
    <w:rsid w:val="009673E0"/>
    <w:rsid w:val="00967758"/>
    <w:rsid w:val="00974DBA"/>
    <w:rsid w:val="00976C50"/>
    <w:rsid w:val="009825C7"/>
    <w:rsid w:val="00982795"/>
    <w:rsid w:val="00984944"/>
    <w:rsid w:val="00987BC2"/>
    <w:rsid w:val="00987CC1"/>
    <w:rsid w:val="0099157A"/>
    <w:rsid w:val="009933F9"/>
    <w:rsid w:val="0099448A"/>
    <w:rsid w:val="009953B7"/>
    <w:rsid w:val="00996D1F"/>
    <w:rsid w:val="00997140"/>
    <w:rsid w:val="009A176A"/>
    <w:rsid w:val="009A2DA3"/>
    <w:rsid w:val="009A3487"/>
    <w:rsid w:val="009A407C"/>
    <w:rsid w:val="009A5C13"/>
    <w:rsid w:val="009A746C"/>
    <w:rsid w:val="009B615D"/>
    <w:rsid w:val="009C28F4"/>
    <w:rsid w:val="009C35F9"/>
    <w:rsid w:val="009C365C"/>
    <w:rsid w:val="009C5BFE"/>
    <w:rsid w:val="009C77E7"/>
    <w:rsid w:val="009D09AC"/>
    <w:rsid w:val="009D1F3B"/>
    <w:rsid w:val="009D4344"/>
    <w:rsid w:val="009D47D9"/>
    <w:rsid w:val="009D533D"/>
    <w:rsid w:val="009E4F9E"/>
    <w:rsid w:val="009E6250"/>
    <w:rsid w:val="009F02D6"/>
    <w:rsid w:val="009F14EB"/>
    <w:rsid w:val="009F3768"/>
    <w:rsid w:val="009F4923"/>
    <w:rsid w:val="009F5557"/>
    <w:rsid w:val="009F58B2"/>
    <w:rsid w:val="009F7909"/>
    <w:rsid w:val="00A00F3C"/>
    <w:rsid w:val="00A0117F"/>
    <w:rsid w:val="00A01A83"/>
    <w:rsid w:val="00A01FCE"/>
    <w:rsid w:val="00A0242A"/>
    <w:rsid w:val="00A04E32"/>
    <w:rsid w:val="00A07922"/>
    <w:rsid w:val="00A10DBE"/>
    <w:rsid w:val="00A1213E"/>
    <w:rsid w:val="00A128F4"/>
    <w:rsid w:val="00A16B84"/>
    <w:rsid w:val="00A16E6B"/>
    <w:rsid w:val="00A170AD"/>
    <w:rsid w:val="00A174F2"/>
    <w:rsid w:val="00A21E08"/>
    <w:rsid w:val="00A23BD1"/>
    <w:rsid w:val="00A24151"/>
    <w:rsid w:val="00A24C1A"/>
    <w:rsid w:val="00A3005D"/>
    <w:rsid w:val="00A31F42"/>
    <w:rsid w:val="00A31FB3"/>
    <w:rsid w:val="00A32530"/>
    <w:rsid w:val="00A347B0"/>
    <w:rsid w:val="00A40605"/>
    <w:rsid w:val="00A4524D"/>
    <w:rsid w:val="00A4584E"/>
    <w:rsid w:val="00A46D3C"/>
    <w:rsid w:val="00A47066"/>
    <w:rsid w:val="00A506B7"/>
    <w:rsid w:val="00A53CE1"/>
    <w:rsid w:val="00A567D9"/>
    <w:rsid w:val="00A57E81"/>
    <w:rsid w:val="00A61D28"/>
    <w:rsid w:val="00A62DA3"/>
    <w:rsid w:val="00A65BBA"/>
    <w:rsid w:val="00A665E3"/>
    <w:rsid w:val="00A67472"/>
    <w:rsid w:val="00A67EC9"/>
    <w:rsid w:val="00A809D0"/>
    <w:rsid w:val="00A8221A"/>
    <w:rsid w:val="00A83FED"/>
    <w:rsid w:val="00A859C0"/>
    <w:rsid w:val="00A8646A"/>
    <w:rsid w:val="00A9220D"/>
    <w:rsid w:val="00A95870"/>
    <w:rsid w:val="00A97576"/>
    <w:rsid w:val="00A97C7C"/>
    <w:rsid w:val="00AA10FF"/>
    <w:rsid w:val="00AA272B"/>
    <w:rsid w:val="00AA4440"/>
    <w:rsid w:val="00AA4C4B"/>
    <w:rsid w:val="00AA7776"/>
    <w:rsid w:val="00AB0D09"/>
    <w:rsid w:val="00AB3D1F"/>
    <w:rsid w:val="00AB60A0"/>
    <w:rsid w:val="00AC12DF"/>
    <w:rsid w:val="00AC26F0"/>
    <w:rsid w:val="00AC30B6"/>
    <w:rsid w:val="00AC4A89"/>
    <w:rsid w:val="00AD0311"/>
    <w:rsid w:val="00AD0C29"/>
    <w:rsid w:val="00AD15C3"/>
    <w:rsid w:val="00AD1F23"/>
    <w:rsid w:val="00AD3393"/>
    <w:rsid w:val="00AD3679"/>
    <w:rsid w:val="00AD642F"/>
    <w:rsid w:val="00AD72CF"/>
    <w:rsid w:val="00AD7CF8"/>
    <w:rsid w:val="00AE0B13"/>
    <w:rsid w:val="00AE3326"/>
    <w:rsid w:val="00AE3601"/>
    <w:rsid w:val="00AF5052"/>
    <w:rsid w:val="00AF7437"/>
    <w:rsid w:val="00B0025E"/>
    <w:rsid w:val="00B05B0D"/>
    <w:rsid w:val="00B111D5"/>
    <w:rsid w:val="00B1408E"/>
    <w:rsid w:val="00B15A5E"/>
    <w:rsid w:val="00B17F25"/>
    <w:rsid w:val="00B20037"/>
    <w:rsid w:val="00B21F63"/>
    <w:rsid w:val="00B236F3"/>
    <w:rsid w:val="00B2540E"/>
    <w:rsid w:val="00B26495"/>
    <w:rsid w:val="00B267A3"/>
    <w:rsid w:val="00B26E7E"/>
    <w:rsid w:val="00B26FFC"/>
    <w:rsid w:val="00B31984"/>
    <w:rsid w:val="00B3198C"/>
    <w:rsid w:val="00B34CAA"/>
    <w:rsid w:val="00B35466"/>
    <w:rsid w:val="00B35A47"/>
    <w:rsid w:val="00B4184F"/>
    <w:rsid w:val="00B427F7"/>
    <w:rsid w:val="00B435BF"/>
    <w:rsid w:val="00B502E8"/>
    <w:rsid w:val="00B511A2"/>
    <w:rsid w:val="00B5188F"/>
    <w:rsid w:val="00B52B08"/>
    <w:rsid w:val="00B535A8"/>
    <w:rsid w:val="00B53EA3"/>
    <w:rsid w:val="00B54FE6"/>
    <w:rsid w:val="00B5550A"/>
    <w:rsid w:val="00B569B7"/>
    <w:rsid w:val="00B62493"/>
    <w:rsid w:val="00B62AA9"/>
    <w:rsid w:val="00B62F54"/>
    <w:rsid w:val="00B64DD3"/>
    <w:rsid w:val="00B64F78"/>
    <w:rsid w:val="00B70D79"/>
    <w:rsid w:val="00B7173D"/>
    <w:rsid w:val="00B75041"/>
    <w:rsid w:val="00B761E4"/>
    <w:rsid w:val="00B77B9A"/>
    <w:rsid w:val="00B8207D"/>
    <w:rsid w:val="00B82BC9"/>
    <w:rsid w:val="00B851D4"/>
    <w:rsid w:val="00B928EB"/>
    <w:rsid w:val="00B937BA"/>
    <w:rsid w:val="00B9447C"/>
    <w:rsid w:val="00B954B3"/>
    <w:rsid w:val="00B954F0"/>
    <w:rsid w:val="00B955B5"/>
    <w:rsid w:val="00B9634B"/>
    <w:rsid w:val="00BA0D77"/>
    <w:rsid w:val="00BA1930"/>
    <w:rsid w:val="00BA792B"/>
    <w:rsid w:val="00BB39EA"/>
    <w:rsid w:val="00BB4102"/>
    <w:rsid w:val="00BB43EE"/>
    <w:rsid w:val="00BB4613"/>
    <w:rsid w:val="00BB4AF5"/>
    <w:rsid w:val="00BB4F23"/>
    <w:rsid w:val="00BB6145"/>
    <w:rsid w:val="00BC0EDF"/>
    <w:rsid w:val="00BC214E"/>
    <w:rsid w:val="00BC54C2"/>
    <w:rsid w:val="00BC5614"/>
    <w:rsid w:val="00BC7739"/>
    <w:rsid w:val="00BD2830"/>
    <w:rsid w:val="00BD2EC0"/>
    <w:rsid w:val="00BD6141"/>
    <w:rsid w:val="00BD7619"/>
    <w:rsid w:val="00BD76AC"/>
    <w:rsid w:val="00BE040E"/>
    <w:rsid w:val="00BE2C6A"/>
    <w:rsid w:val="00BE2C93"/>
    <w:rsid w:val="00BE2DE4"/>
    <w:rsid w:val="00BE39EB"/>
    <w:rsid w:val="00BE480C"/>
    <w:rsid w:val="00BE4A2E"/>
    <w:rsid w:val="00BE5B76"/>
    <w:rsid w:val="00BE5D22"/>
    <w:rsid w:val="00BE73EE"/>
    <w:rsid w:val="00BF7029"/>
    <w:rsid w:val="00BF71A2"/>
    <w:rsid w:val="00C0104A"/>
    <w:rsid w:val="00C01868"/>
    <w:rsid w:val="00C01EB6"/>
    <w:rsid w:val="00C0509B"/>
    <w:rsid w:val="00C07108"/>
    <w:rsid w:val="00C1251B"/>
    <w:rsid w:val="00C12876"/>
    <w:rsid w:val="00C12A2E"/>
    <w:rsid w:val="00C13B1E"/>
    <w:rsid w:val="00C1497E"/>
    <w:rsid w:val="00C22FFC"/>
    <w:rsid w:val="00C27841"/>
    <w:rsid w:val="00C27A11"/>
    <w:rsid w:val="00C30DA2"/>
    <w:rsid w:val="00C3275E"/>
    <w:rsid w:val="00C32962"/>
    <w:rsid w:val="00C4162C"/>
    <w:rsid w:val="00C435F7"/>
    <w:rsid w:val="00C439E1"/>
    <w:rsid w:val="00C4544D"/>
    <w:rsid w:val="00C53C2A"/>
    <w:rsid w:val="00C542F5"/>
    <w:rsid w:val="00C5605E"/>
    <w:rsid w:val="00C565B7"/>
    <w:rsid w:val="00C60F42"/>
    <w:rsid w:val="00C61775"/>
    <w:rsid w:val="00C62251"/>
    <w:rsid w:val="00C63BBC"/>
    <w:rsid w:val="00C6653A"/>
    <w:rsid w:val="00C67C3B"/>
    <w:rsid w:val="00C700A5"/>
    <w:rsid w:val="00C70B5B"/>
    <w:rsid w:val="00C71627"/>
    <w:rsid w:val="00C7253B"/>
    <w:rsid w:val="00C73DB3"/>
    <w:rsid w:val="00C76FEB"/>
    <w:rsid w:val="00C77FAD"/>
    <w:rsid w:val="00C812AC"/>
    <w:rsid w:val="00C82D7F"/>
    <w:rsid w:val="00C82F2F"/>
    <w:rsid w:val="00C84361"/>
    <w:rsid w:val="00C85E06"/>
    <w:rsid w:val="00C906D0"/>
    <w:rsid w:val="00C90831"/>
    <w:rsid w:val="00C91E21"/>
    <w:rsid w:val="00C93A3B"/>
    <w:rsid w:val="00C95B07"/>
    <w:rsid w:val="00CA14E6"/>
    <w:rsid w:val="00CA15E0"/>
    <w:rsid w:val="00CA6A20"/>
    <w:rsid w:val="00CB0854"/>
    <w:rsid w:val="00CB5159"/>
    <w:rsid w:val="00CC1812"/>
    <w:rsid w:val="00CC1C2B"/>
    <w:rsid w:val="00CC2CDF"/>
    <w:rsid w:val="00CC3634"/>
    <w:rsid w:val="00CC4953"/>
    <w:rsid w:val="00CC4EBC"/>
    <w:rsid w:val="00CD0B1B"/>
    <w:rsid w:val="00CD187D"/>
    <w:rsid w:val="00CD3075"/>
    <w:rsid w:val="00CD4305"/>
    <w:rsid w:val="00CD4FE1"/>
    <w:rsid w:val="00CD5114"/>
    <w:rsid w:val="00CE3975"/>
    <w:rsid w:val="00CE4070"/>
    <w:rsid w:val="00CE465A"/>
    <w:rsid w:val="00CE6252"/>
    <w:rsid w:val="00CE7339"/>
    <w:rsid w:val="00CF0431"/>
    <w:rsid w:val="00CF7233"/>
    <w:rsid w:val="00D00613"/>
    <w:rsid w:val="00D025A4"/>
    <w:rsid w:val="00D05694"/>
    <w:rsid w:val="00D06BF5"/>
    <w:rsid w:val="00D07384"/>
    <w:rsid w:val="00D1104D"/>
    <w:rsid w:val="00D17038"/>
    <w:rsid w:val="00D2239C"/>
    <w:rsid w:val="00D23C0C"/>
    <w:rsid w:val="00D24DF2"/>
    <w:rsid w:val="00D25851"/>
    <w:rsid w:val="00D30854"/>
    <w:rsid w:val="00D324CD"/>
    <w:rsid w:val="00D32F9F"/>
    <w:rsid w:val="00D33071"/>
    <w:rsid w:val="00D337D3"/>
    <w:rsid w:val="00D33A98"/>
    <w:rsid w:val="00D347EC"/>
    <w:rsid w:val="00D35F85"/>
    <w:rsid w:val="00D379AC"/>
    <w:rsid w:val="00D4088B"/>
    <w:rsid w:val="00D41C3C"/>
    <w:rsid w:val="00D43AD4"/>
    <w:rsid w:val="00D456F4"/>
    <w:rsid w:val="00D46BC6"/>
    <w:rsid w:val="00D47172"/>
    <w:rsid w:val="00D50BBF"/>
    <w:rsid w:val="00D52322"/>
    <w:rsid w:val="00D5700B"/>
    <w:rsid w:val="00D6130F"/>
    <w:rsid w:val="00D63A73"/>
    <w:rsid w:val="00D65FB1"/>
    <w:rsid w:val="00D6629B"/>
    <w:rsid w:val="00D67B41"/>
    <w:rsid w:val="00D71127"/>
    <w:rsid w:val="00D758AC"/>
    <w:rsid w:val="00D76352"/>
    <w:rsid w:val="00D77382"/>
    <w:rsid w:val="00D8059B"/>
    <w:rsid w:val="00D80663"/>
    <w:rsid w:val="00D83D0C"/>
    <w:rsid w:val="00DA4957"/>
    <w:rsid w:val="00DA66FA"/>
    <w:rsid w:val="00DA7C22"/>
    <w:rsid w:val="00DB03C6"/>
    <w:rsid w:val="00DB2CE0"/>
    <w:rsid w:val="00DB314F"/>
    <w:rsid w:val="00DB5B3F"/>
    <w:rsid w:val="00DB6990"/>
    <w:rsid w:val="00DB6DEC"/>
    <w:rsid w:val="00DC1320"/>
    <w:rsid w:val="00DC6495"/>
    <w:rsid w:val="00DD125C"/>
    <w:rsid w:val="00DD3CC8"/>
    <w:rsid w:val="00DD4284"/>
    <w:rsid w:val="00DD794A"/>
    <w:rsid w:val="00DE00CD"/>
    <w:rsid w:val="00DE54BB"/>
    <w:rsid w:val="00DE57FB"/>
    <w:rsid w:val="00DE58C1"/>
    <w:rsid w:val="00DE6932"/>
    <w:rsid w:val="00DF2200"/>
    <w:rsid w:val="00E00046"/>
    <w:rsid w:val="00E0030E"/>
    <w:rsid w:val="00E01171"/>
    <w:rsid w:val="00E019D6"/>
    <w:rsid w:val="00E0300A"/>
    <w:rsid w:val="00E033E5"/>
    <w:rsid w:val="00E03FCD"/>
    <w:rsid w:val="00E106D3"/>
    <w:rsid w:val="00E10A51"/>
    <w:rsid w:val="00E1159E"/>
    <w:rsid w:val="00E1224F"/>
    <w:rsid w:val="00E126D7"/>
    <w:rsid w:val="00E13ED8"/>
    <w:rsid w:val="00E166C9"/>
    <w:rsid w:val="00E208DC"/>
    <w:rsid w:val="00E21EEC"/>
    <w:rsid w:val="00E23424"/>
    <w:rsid w:val="00E24E7C"/>
    <w:rsid w:val="00E27B43"/>
    <w:rsid w:val="00E32AEA"/>
    <w:rsid w:val="00E34962"/>
    <w:rsid w:val="00E3543A"/>
    <w:rsid w:val="00E357E1"/>
    <w:rsid w:val="00E375B1"/>
    <w:rsid w:val="00E40BDD"/>
    <w:rsid w:val="00E419E6"/>
    <w:rsid w:val="00E4236A"/>
    <w:rsid w:val="00E460E8"/>
    <w:rsid w:val="00E47176"/>
    <w:rsid w:val="00E5304C"/>
    <w:rsid w:val="00E533DB"/>
    <w:rsid w:val="00E54A58"/>
    <w:rsid w:val="00E5604C"/>
    <w:rsid w:val="00E5722E"/>
    <w:rsid w:val="00E57D81"/>
    <w:rsid w:val="00E60285"/>
    <w:rsid w:val="00E6150E"/>
    <w:rsid w:val="00E63F32"/>
    <w:rsid w:val="00E64FFB"/>
    <w:rsid w:val="00E67B78"/>
    <w:rsid w:val="00E705C8"/>
    <w:rsid w:val="00E83391"/>
    <w:rsid w:val="00E84D91"/>
    <w:rsid w:val="00E87D1E"/>
    <w:rsid w:val="00E903C8"/>
    <w:rsid w:val="00E91C04"/>
    <w:rsid w:val="00E94BF7"/>
    <w:rsid w:val="00E97026"/>
    <w:rsid w:val="00EA01FF"/>
    <w:rsid w:val="00EA405C"/>
    <w:rsid w:val="00EA7001"/>
    <w:rsid w:val="00EA71B3"/>
    <w:rsid w:val="00EB1A83"/>
    <w:rsid w:val="00EB29BC"/>
    <w:rsid w:val="00EB344D"/>
    <w:rsid w:val="00EB3CE2"/>
    <w:rsid w:val="00EB3F50"/>
    <w:rsid w:val="00EB4EF4"/>
    <w:rsid w:val="00EB57BC"/>
    <w:rsid w:val="00EB5E8A"/>
    <w:rsid w:val="00EB73CC"/>
    <w:rsid w:val="00EC2405"/>
    <w:rsid w:val="00EC4278"/>
    <w:rsid w:val="00ED1222"/>
    <w:rsid w:val="00ED260C"/>
    <w:rsid w:val="00ED30CB"/>
    <w:rsid w:val="00ED4871"/>
    <w:rsid w:val="00ED4B6C"/>
    <w:rsid w:val="00EE18F5"/>
    <w:rsid w:val="00EE60B5"/>
    <w:rsid w:val="00EE6F84"/>
    <w:rsid w:val="00EF0037"/>
    <w:rsid w:val="00EF162F"/>
    <w:rsid w:val="00EF3F2A"/>
    <w:rsid w:val="00EF6A4E"/>
    <w:rsid w:val="00EF78CC"/>
    <w:rsid w:val="00EF7B33"/>
    <w:rsid w:val="00F0394E"/>
    <w:rsid w:val="00F03BEC"/>
    <w:rsid w:val="00F03FE2"/>
    <w:rsid w:val="00F05424"/>
    <w:rsid w:val="00F06D45"/>
    <w:rsid w:val="00F071DD"/>
    <w:rsid w:val="00F07590"/>
    <w:rsid w:val="00F07CF9"/>
    <w:rsid w:val="00F07F0B"/>
    <w:rsid w:val="00F13746"/>
    <w:rsid w:val="00F1469A"/>
    <w:rsid w:val="00F14E9B"/>
    <w:rsid w:val="00F21952"/>
    <w:rsid w:val="00F23AE9"/>
    <w:rsid w:val="00F23ECC"/>
    <w:rsid w:val="00F26C21"/>
    <w:rsid w:val="00F34519"/>
    <w:rsid w:val="00F36053"/>
    <w:rsid w:val="00F468F6"/>
    <w:rsid w:val="00F46B20"/>
    <w:rsid w:val="00F514B8"/>
    <w:rsid w:val="00F519DB"/>
    <w:rsid w:val="00F529C0"/>
    <w:rsid w:val="00F640CA"/>
    <w:rsid w:val="00F6530A"/>
    <w:rsid w:val="00F70555"/>
    <w:rsid w:val="00F76DB8"/>
    <w:rsid w:val="00F77082"/>
    <w:rsid w:val="00F81751"/>
    <w:rsid w:val="00F8184C"/>
    <w:rsid w:val="00F81D6F"/>
    <w:rsid w:val="00F84387"/>
    <w:rsid w:val="00F86736"/>
    <w:rsid w:val="00F918B8"/>
    <w:rsid w:val="00F91916"/>
    <w:rsid w:val="00F91AA9"/>
    <w:rsid w:val="00F923E5"/>
    <w:rsid w:val="00F9259E"/>
    <w:rsid w:val="00F94B1D"/>
    <w:rsid w:val="00F960E2"/>
    <w:rsid w:val="00FA0523"/>
    <w:rsid w:val="00FA48C9"/>
    <w:rsid w:val="00FA63F4"/>
    <w:rsid w:val="00FA6993"/>
    <w:rsid w:val="00FA73B4"/>
    <w:rsid w:val="00FB1FFF"/>
    <w:rsid w:val="00FB2ED3"/>
    <w:rsid w:val="00FB480C"/>
    <w:rsid w:val="00FB48BB"/>
    <w:rsid w:val="00FB5AF7"/>
    <w:rsid w:val="00FB64F5"/>
    <w:rsid w:val="00FC0D80"/>
    <w:rsid w:val="00FC1F39"/>
    <w:rsid w:val="00FC1FC2"/>
    <w:rsid w:val="00FC2F7A"/>
    <w:rsid w:val="00FC3127"/>
    <w:rsid w:val="00FC317B"/>
    <w:rsid w:val="00FC3CD3"/>
    <w:rsid w:val="00FD0145"/>
    <w:rsid w:val="00FD4563"/>
    <w:rsid w:val="00FD5870"/>
    <w:rsid w:val="00FD6FA9"/>
    <w:rsid w:val="00FD72D8"/>
    <w:rsid w:val="00FE02D1"/>
    <w:rsid w:val="00FE189C"/>
    <w:rsid w:val="00FE30FD"/>
    <w:rsid w:val="00FE322C"/>
    <w:rsid w:val="00FE53BB"/>
    <w:rsid w:val="00FE67A4"/>
    <w:rsid w:val="00FE73E6"/>
    <w:rsid w:val="00FE7850"/>
    <w:rsid w:val="00FE7FF4"/>
    <w:rsid w:val="00FF04EF"/>
    <w:rsid w:val="00FF426A"/>
    <w:rsid w:val="00FF4474"/>
    <w:rsid w:val="00FF4520"/>
    <w:rsid w:val="00FF5E54"/>
    <w:rsid w:val="00FF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99C92"/>
  <w15:docId w15:val="{D02C5757-4D85-438A-9F7F-BA36E2F8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23A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GB"/>
    </w:rPr>
  </w:style>
  <w:style w:type="paragraph" w:styleId="Heading3">
    <w:name w:val="heading 3"/>
    <w:basedOn w:val="Normal"/>
    <w:next w:val="Normal"/>
    <w:link w:val="Heading3Char"/>
    <w:uiPriority w:val="9"/>
    <w:unhideWhenUsed/>
    <w:qFormat/>
    <w:rsid w:val="004E00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6E"/>
    <w:rPr>
      <w:rFonts w:ascii="Segoe UI" w:hAnsi="Segoe UI" w:cs="Segoe UI"/>
      <w:sz w:val="18"/>
      <w:szCs w:val="18"/>
    </w:rPr>
  </w:style>
  <w:style w:type="character" w:styleId="CommentReference">
    <w:name w:val="annotation reference"/>
    <w:basedOn w:val="DefaultParagraphFont"/>
    <w:uiPriority w:val="99"/>
    <w:semiHidden/>
    <w:unhideWhenUsed/>
    <w:rsid w:val="00F6530A"/>
    <w:rPr>
      <w:sz w:val="16"/>
      <w:szCs w:val="16"/>
    </w:rPr>
  </w:style>
  <w:style w:type="paragraph" w:styleId="CommentText">
    <w:name w:val="annotation text"/>
    <w:basedOn w:val="Normal"/>
    <w:link w:val="CommentTextChar"/>
    <w:uiPriority w:val="99"/>
    <w:unhideWhenUsed/>
    <w:rsid w:val="00F6530A"/>
    <w:pPr>
      <w:spacing w:line="240" w:lineRule="auto"/>
    </w:pPr>
    <w:rPr>
      <w:sz w:val="20"/>
      <w:szCs w:val="20"/>
    </w:rPr>
  </w:style>
  <w:style w:type="character" w:customStyle="1" w:styleId="CommentTextChar">
    <w:name w:val="Comment Text Char"/>
    <w:basedOn w:val="DefaultParagraphFont"/>
    <w:link w:val="CommentText"/>
    <w:uiPriority w:val="99"/>
    <w:rsid w:val="00F6530A"/>
    <w:rPr>
      <w:sz w:val="20"/>
      <w:szCs w:val="20"/>
    </w:rPr>
  </w:style>
  <w:style w:type="paragraph" w:styleId="CommentSubject">
    <w:name w:val="annotation subject"/>
    <w:basedOn w:val="CommentText"/>
    <w:next w:val="CommentText"/>
    <w:link w:val="CommentSubjectChar"/>
    <w:uiPriority w:val="99"/>
    <w:semiHidden/>
    <w:unhideWhenUsed/>
    <w:rsid w:val="00F6530A"/>
    <w:rPr>
      <w:b/>
      <w:bCs/>
    </w:rPr>
  </w:style>
  <w:style w:type="character" w:customStyle="1" w:styleId="CommentSubjectChar">
    <w:name w:val="Comment Subject Char"/>
    <w:basedOn w:val="CommentTextChar"/>
    <w:link w:val="CommentSubject"/>
    <w:uiPriority w:val="99"/>
    <w:semiHidden/>
    <w:rsid w:val="00F6530A"/>
    <w:rPr>
      <w:b/>
      <w:bCs/>
      <w:sz w:val="20"/>
      <w:szCs w:val="20"/>
    </w:rPr>
  </w:style>
  <w:style w:type="character" w:customStyle="1" w:styleId="Heading2Char">
    <w:name w:val="Heading 2 Char"/>
    <w:basedOn w:val="DefaultParagraphFont"/>
    <w:link w:val="Heading2"/>
    <w:uiPriority w:val="9"/>
    <w:rsid w:val="005B23AB"/>
    <w:rPr>
      <w:rFonts w:asciiTheme="majorHAnsi" w:eastAsiaTheme="majorEastAsia" w:hAnsiTheme="majorHAnsi" w:cstheme="majorBidi"/>
      <w:b/>
      <w:bCs/>
      <w:color w:val="5B9BD5" w:themeColor="accent1"/>
      <w:sz w:val="26"/>
      <w:szCs w:val="26"/>
      <w:lang w:eastAsia="en-GB"/>
    </w:rPr>
  </w:style>
  <w:style w:type="paragraph" w:styleId="ListParagraph">
    <w:name w:val="List Paragraph"/>
    <w:basedOn w:val="Normal"/>
    <w:uiPriority w:val="34"/>
    <w:qFormat/>
    <w:rsid w:val="002C51CE"/>
    <w:pPr>
      <w:ind w:left="720"/>
      <w:contextualSpacing/>
    </w:pPr>
  </w:style>
  <w:style w:type="character" w:customStyle="1" w:styleId="Heading1Char">
    <w:name w:val="Heading 1 Char"/>
    <w:basedOn w:val="DefaultParagraphFont"/>
    <w:link w:val="Heading1"/>
    <w:uiPriority w:val="9"/>
    <w:rsid w:val="00F07CF9"/>
    <w:rPr>
      <w:rFonts w:asciiTheme="majorHAnsi" w:eastAsiaTheme="majorEastAsia" w:hAnsiTheme="majorHAnsi" w:cstheme="majorBidi"/>
      <w:color w:val="2E74B5" w:themeColor="accent1" w:themeShade="BF"/>
      <w:sz w:val="32"/>
      <w:szCs w:val="32"/>
    </w:rPr>
  </w:style>
  <w:style w:type="paragraph" w:customStyle="1" w:styleId="Default">
    <w:name w:val="Default"/>
    <w:rsid w:val="003765D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111D5"/>
    <w:pPr>
      <w:spacing w:after="0" w:line="240" w:lineRule="auto"/>
    </w:pPr>
  </w:style>
  <w:style w:type="character" w:customStyle="1" w:styleId="Heading3Char">
    <w:name w:val="Heading 3 Char"/>
    <w:basedOn w:val="DefaultParagraphFont"/>
    <w:link w:val="Heading3"/>
    <w:uiPriority w:val="9"/>
    <w:rsid w:val="004E00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E0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95"/>
  </w:style>
  <w:style w:type="paragraph" w:styleId="Footer">
    <w:name w:val="footer"/>
    <w:basedOn w:val="Normal"/>
    <w:link w:val="FooterChar"/>
    <w:uiPriority w:val="99"/>
    <w:unhideWhenUsed/>
    <w:rsid w:val="004E0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95"/>
  </w:style>
  <w:style w:type="character" w:styleId="Hyperlink">
    <w:name w:val="Hyperlink"/>
    <w:basedOn w:val="DefaultParagraphFont"/>
    <w:uiPriority w:val="99"/>
    <w:unhideWhenUsed/>
    <w:rsid w:val="003B75B0"/>
    <w:rPr>
      <w:color w:val="0563C1" w:themeColor="hyperlink"/>
      <w:u w:val="single"/>
    </w:rPr>
  </w:style>
  <w:style w:type="paragraph" w:styleId="NoSpacing">
    <w:name w:val="No Spacing"/>
    <w:uiPriority w:val="1"/>
    <w:qFormat/>
    <w:rsid w:val="002565E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B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256"/>
    <w:rPr>
      <w:color w:val="605E5C"/>
      <w:shd w:val="clear" w:color="auto" w:fill="E1DFDD"/>
    </w:rPr>
  </w:style>
  <w:style w:type="character" w:customStyle="1" w:styleId="highlight1">
    <w:name w:val="highlight1"/>
    <w:basedOn w:val="DefaultParagraphFont"/>
    <w:rsid w:val="00AD3393"/>
  </w:style>
  <w:style w:type="paragraph" w:styleId="NormalWeb">
    <w:name w:val="Normal (Web)"/>
    <w:basedOn w:val="Normal"/>
    <w:uiPriority w:val="99"/>
    <w:semiHidden/>
    <w:unhideWhenUsed/>
    <w:rsid w:val="00676C10"/>
    <w:pPr>
      <w:spacing w:before="100" w:beforeAutospacing="1" w:after="360"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09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0131">
      <w:bodyDiv w:val="1"/>
      <w:marLeft w:val="0"/>
      <w:marRight w:val="0"/>
      <w:marTop w:val="0"/>
      <w:marBottom w:val="0"/>
      <w:divBdr>
        <w:top w:val="none" w:sz="0" w:space="0" w:color="auto"/>
        <w:left w:val="none" w:sz="0" w:space="0" w:color="auto"/>
        <w:bottom w:val="none" w:sz="0" w:space="0" w:color="auto"/>
        <w:right w:val="none" w:sz="0" w:space="0" w:color="auto"/>
      </w:divBdr>
    </w:div>
    <w:div w:id="348914489">
      <w:bodyDiv w:val="1"/>
      <w:marLeft w:val="0"/>
      <w:marRight w:val="0"/>
      <w:marTop w:val="0"/>
      <w:marBottom w:val="0"/>
      <w:divBdr>
        <w:top w:val="none" w:sz="0" w:space="0" w:color="auto"/>
        <w:left w:val="none" w:sz="0" w:space="0" w:color="auto"/>
        <w:bottom w:val="none" w:sz="0" w:space="0" w:color="auto"/>
        <w:right w:val="none" w:sz="0" w:space="0" w:color="auto"/>
      </w:divBdr>
    </w:div>
    <w:div w:id="487482422">
      <w:bodyDiv w:val="1"/>
      <w:marLeft w:val="0"/>
      <w:marRight w:val="0"/>
      <w:marTop w:val="0"/>
      <w:marBottom w:val="0"/>
      <w:divBdr>
        <w:top w:val="none" w:sz="0" w:space="0" w:color="auto"/>
        <w:left w:val="none" w:sz="0" w:space="0" w:color="auto"/>
        <w:bottom w:val="none" w:sz="0" w:space="0" w:color="auto"/>
        <w:right w:val="none" w:sz="0" w:space="0" w:color="auto"/>
      </w:divBdr>
    </w:div>
    <w:div w:id="648560002">
      <w:bodyDiv w:val="1"/>
      <w:marLeft w:val="0"/>
      <w:marRight w:val="0"/>
      <w:marTop w:val="0"/>
      <w:marBottom w:val="0"/>
      <w:divBdr>
        <w:top w:val="none" w:sz="0" w:space="0" w:color="auto"/>
        <w:left w:val="none" w:sz="0" w:space="0" w:color="auto"/>
        <w:bottom w:val="none" w:sz="0" w:space="0" w:color="auto"/>
        <w:right w:val="none" w:sz="0" w:space="0" w:color="auto"/>
      </w:divBdr>
      <w:divsChild>
        <w:div w:id="2006010120">
          <w:marLeft w:val="360"/>
          <w:marRight w:val="0"/>
          <w:marTop w:val="200"/>
          <w:marBottom w:val="0"/>
          <w:divBdr>
            <w:top w:val="none" w:sz="0" w:space="0" w:color="auto"/>
            <w:left w:val="none" w:sz="0" w:space="0" w:color="auto"/>
            <w:bottom w:val="none" w:sz="0" w:space="0" w:color="auto"/>
            <w:right w:val="none" w:sz="0" w:space="0" w:color="auto"/>
          </w:divBdr>
        </w:div>
        <w:div w:id="1158769065">
          <w:marLeft w:val="360"/>
          <w:marRight w:val="0"/>
          <w:marTop w:val="200"/>
          <w:marBottom w:val="0"/>
          <w:divBdr>
            <w:top w:val="none" w:sz="0" w:space="0" w:color="auto"/>
            <w:left w:val="none" w:sz="0" w:space="0" w:color="auto"/>
            <w:bottom w:val="none" w:sz="0" w:space="0" w:color="auto"/>
            <w:right w:val="none" w:sz="0" w:space="0" w:color="auto"/>
          </w:divBdr>
        </w:div>
      </w:divsChild>
    </w:div>
    <w:div w:id="879392038">
      <w:bodyDiv w:val="1"/>
      <w:marLeft w:val="0"/>
      <w:marRight w:val="0"/>
      <w:marTop w:val="0"/>
      <w:marBottom w:val="0"/>
      <w:divBdr>
        <w:top w:val="none" w:sz="0" w:space="0" w:color="auto"/>
        <w:left w:val="none" w:sz="0" w:space="0" w:color="auto"/>
        <w:bottom w:val="none" w:sz="0" w:space="0" w:color="auto"/>
        <w:right w:val="none" w:sz="0" w:space="0" w:color="auto"/>
      </w:divBdr>
    </w:div>
    <w:div w:id="896819502">
      <w:bodyDiv w:val="1"/>
      <w:marLeft w:val="0"/>
      <w:marRight w:val="0"/>
      <w:marTop w:val="0"/>
      <w:marBottom w:val="0"/>
      <w:divBdr>
        <w:top w:val="none" w:sz="0" w:space="0" w:color="auto"/>
        <w:left w:val="none" w:sz="0" w:space="0" w:color="auto"/>
        <w:bottom w:val="none" w:sz="0" w:space="0" w:color="auto"/>
        <w:right w:val="none" w:sz="0" w:space="0" w:color="auto"/>
      </w:divBdr>
    </w:div>
    <w:div w:id="901215630">
      <w:bodyDiv w:val="1"/>
      <w:marLeft w:val="0"/>
      <w:marRight w:val="0"/>
      <w:marTop w:val="0"/>
      <w:marBottom w:val="0"/>
      <w:divBdr>
        <w:top w:val="none" w:sz="0" w:space="0" w:color="auto"/>
        <w:left w:val="none" w:sz="0" w:space="0" w:color="auto"/>
        <w:bottom w:val="none" w:sz="0" w:space="0" w:color="auto"/>
        <w:right w:val="none" w:sz="0" w:space="0" w:color="auto"/>
      </w:divBdr>
    </w:div>
    <w:div w:id="970019875">
      <w:bodyDiv w:val="1"/>
      <w:marLeft w:val="0"/>
      <w:marRight w:val="0"/>
      <w:marTop w:val="0"/>
      <w:marBottom w:val="0"/>
      <w:divBdr>
        <w:top w:val="none" w:sz="0" w:space="0" w:color="auto"/>
        <w:left w:val="none" w:sz="0" w:space="0" w:color="auto"/>
        <w:bottom w:val="none" w:sz="0" w:space="0" w:color="auto"/>
        <w:right w:val="none" w:sz="0" w:space="0" w:color="auto"/>
      </w:divBdr>
      <w:divsChild>
        <w:div w:id="747654755">
          <w:marLeft w:val="0"/>
          <w:marRight w:val="0"/>
          <w:marTop w:val="0"/>
          <w:marBottom w:val="0"/>
          <w:divBdr>
            <w:top w:val="none" w:sz="0" w:space="0" w:color="auto"/>
            <w:left w:val="none" w:sz="0" w:space="0" w:color="auto"/>
            <w:bottom w:val="none" w:sz="0" w:space="0" w:color="auto"/>
            <w:right w:val="none" w:sz="0" w:space="0" w:color="auto"/>
          </w:divBdr>
          <w:divsChild>
            <w:div w:id="1377850762">
              <w:marLeft w:val="0"/>
              <w:marRight w:val="0"/>
              <w:marTop w:val="100"/>
              <w:marBottom w:val="100"/>
              <w:divBdr>
                <w:top w:val="none" w:sz="0" w:space="0" w:color="auto"/>
                <w:left w:val="none" w:sz="0" w:space="0" w:color="auto"/>
                <w:bottom w:val="none" w:sz="0" w:space="0" w:color="auto"/>
                <w:right w:val="none" w:sz="0" w:space="0" w:color="auto"/>
              </w:divBdr>
              <w:divsChild>
                <w:div w:id="994533408">
                  <w:marLeft w:val="0"/>
                  <w:marRight w:val="0"/>
                  <w:marTop w:val="0"/>
                  <w:marBottom w:val="0"/>
                  <w:divBdr>
                    <w:top w:val="none" w:sz="0" w:space="0" w:color="auto"/>
                    <w:left w:val="none" w:sz="0" w:space="0" w:color="auto"/>
                    <w:bottom w:val="none" w:sz="0" w:space="0" w:color="auto"/>
                    <w:right w:val="none" w:sz="0" w:space="0" w:color="auto"/>
                  </w:divBdr>
                  <w:divsChild>
                    <w:div w:id="223486686">
                      <w:marLeft w:val="0"/>
                      <w:marRight w:val="0"/>
                      <w:marTop w:val="0"/>
                      <w:marBottom w:val="0"/>
                      <w:divBdr>
                        <w:top w:val="none" w:sz="0" w:space="0" w:color="auto"/>
                        <w:left w:val="none" w:sz="0" w:space="0" w:color="auto"/>
                        <w:bottom w:val="none" w:sz="0" w:space="0" w:color="auto"/>
                        <w:right w:val="none" w:sz="0" w:space="0" w:color="auto"/>
                      </w:divBdr>
                      <w:divsChild>
                        <w:div w:id="16158623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87194344">
      <w:bodyDiv w:val="1"/>
      <w:marLeft w:val="0"/>
      <w:marRight w:val="0"/>
      <w:marTop w:val="0"/>
      <w:marBottom w:val="0"/>
      <w:divBdr>
        <w:top w:val="none" w:sz="0" w:space="0" w:color="auto"/>
        <w:left w:val="none" w:sz="0" w:space="0" w:color="auto"/>
        <w:bottom w:val="none" w:sz="0" w:space="0" w:color="auto"/>
        <w:right w:val="none" w:sz="0" w:space="0" w:color="auto"/>
      </w:divBdr>
    </w:div>
    <w:div w:id="1094933527">
      <w:bodyDiv w:val="1"/>
      <w:marLeft w:val="0"/>
      <w:marRight w:val="0"/>
      <w:marTop w:val="0"/>
      <w:marBottom w:val="0"/>
      <w:divBdr>
        <w:top w:val="none" w:sz="0" w:space="0" w:color="auto"/>
        <w:left w:val="none" w:sz="0" w:space="0" w:color="auto"/>
        <w:bottom w:val="none" w:sz="0" w:space="0" w:color="auto"/>
        <w:right w:val="none" w:sz="0" w:space="0" w:color="auto"/>
      </w:divBdr>
    </w:div>
    <w:div w:id="1204517938">
      <w:bodyDiv w:val="1"/>
      <w:marLeft w:val="0"/>
      <w:marRight w:val="0"/>
      <w:marTop w:val="0"/>
      <w:marBottom w:val="0"/>
      <w:divBdr>
        <w:top w:val="none" w:sz="0" w:space="0" w:color="auto"/>
        <w:left w:val="none" w:sz="0" w:space="0" w:color="auto"/>
        <w:bottom w:val="none" w:sz="0" w:space="0" w:color="auto"/>
        <w:right w:val="none" w:sz="0" w:space="0" w:color="auto"/>
      </w:divBdr>
      <w:divsChild>
        <w:div w:id="164782272">
          <w:marLeft w:val="0"/>
          <w:marRight w:val="0"/>
          <w:marTop w:val="0"/>
          <w:marBottom w:val="0"/>
          <w:divBdr>
            <w:top w:val="none" w:sz="0" w:space="0" w:color="auto"/>
            <w:left w:val="none" w:sz="0" w:space="0" w:color="auto"/>
            <w:bottom w:val="none" w:sz="0" w:space="0" w:color="auto"/>
            <w:right w:val="none" w:sz="0" w:space="0" w:color="auto"/>
          </w:divBdr>
          <w:divsChild>
            <w:div w:id="1829250544">
              <w:marLeft w:val="0"/>
              <w:marRight w:val="0"/>
              <w:marTop w:val="0"/>
              <w:marBottom w:val="0"/>
              <w:divBdr>
                <w:top w:val="none" w:sz="0" w:space="0" w:color="auto"/>
                <w:left w:val="none" w:sz="0" w:space="0" w:color="auto"/>
                <w:bottom w:val="none" w:sz="0" w:space="0" w:color="auto"/>
                <w:right w:val="none" w:sz="0" w:space="0" w:color="auto"/>
              </w:divBdr>
              <w:divsChild>
                <w:div w:id="1824202110">
                  <w:marLeft w:val="0"/>
                  <w:marRight w:val="0"/>
                  <w:marTop w:val="0"/>
                  <w:marBottom w:val="0"/>
                  <w:divBdr>
                    <w:top w:val="none" w:sz="0" w:space="0" w:color="auto"/>
                    <w:left w:val="none" w:sz="0" w:space="0" w:color="auto"/>
                    <w:bottom w:val="none" w:sz="0" w:space="0" w:color="auto"/>
                    <w:right w:val="none" w:sz="0" w:space="0" w:color="auto"/>
                  </w:divBdr>
                  <w:divsChild>
                    <w:div w:id="1386568333">
                      <w:marLeft w:val="0"/>
                      <w:marRight w:val="0"/>
                      <w:marTop w:val="0"/>
                      <w:marBottom w:val="0"/>
                      <w:divBdr>
                        <w:top w:val="none" w:sz="0" w:space="0" w:color="auto"/>
                        <w:left w:val="none" w:sz="0" w:space="0" w:color="auto"/>
                        <w:bottom w:val="none" w:sz="0" w:space="0" w:color="auto"/>
                        <w:right w:val="none" w:sz="0" w:space="0" w:color="auto"/>
                      </w:divBdr>
                      <w:divsChild>
                        <w:div w:id="851994320">
                          <w:marLeft w:val="0"/>
                          <w:marRight w:val="0"/>
                          <w:marTop w:val="0"/>
                          <w:marBottom w:val="0"/>
                          <w:divBdr>
                            <w:top w:val="none" w:sz="0" w:space="0" w:color="auto"/>
                            <w:left w:val="none" w:sz="0" w:space="0" w:color="auto"/>
                            <w:bottom w:val="none" w:sz="0" w:space="0" w:color="auto"/>
                            <w:right w:val="none" w:sz="0" w:space="0" w:color="auto"/>
                          </w:divBdr>
                          <w:divsChild>
                            <w:div w:id="1633510805">
                              <w:marLeft w:val="0"/>
                              <w:marRight w:val="0"/>
                              <w:marTop w:val="0"/>
                              <w:marBottom w:val="0"/>
                              <w:divBdr>
                                <w:top w:val="none" w:sz="0" w:space="0" w:color="auto"/>
                                <w:left w:val="single" w:sz="6" w:space="0" w:color="E5E3E3"/>
                                <w:bottom w:val="none" w:sz="0" w:space="0" w:color="auto"/>
                                <w:right w:val="none" w:sz="0" w:space="0" w:color="auto"/>
                              </w:divBdr>
                              <w:divsChild>
                                <w:div w:id="436944576">
                                  <w:marLeft w:val="0"/>
                                  <w:marRight w:val="0"/>
                                  <w:marTop w:val="0"/>
                                  <w:marBottom w:val="0"/>
                                  <w:divBdr>
                                    <w:top w:val="none" w:sz="0" w:space="0" w:color="auto"/>
                                    <w:left w:val="none" w:sz="0" w:space="0" w:color="auto"/>
                                    <w:bottom w:val="none" w:sz="0" w:space="0" w:color="auto"/>
                                    <w:right w:val="none" w:sz="0" w:space="0" w:color="auto"/>
                                  </w:divBdr>
                                  <w:divsChild>
                                    <w:div w:id="1864397733">
                                      <w:marLeft w:val="0"/>
                                      <w:marRight w:val="0"/>
                                      <w:marTop w:val="0"/>
                                      <w:marBottom w:val="0"/>
                                      <w:divBdr>
                                        <w:top w:val="none" w:sz="0" w:space="0" w:color="auto"/>
                                        <w:left w:val="none" w:sz="0" w:space="0" w:color="auto"/>
                                        <w:bottom w:val="none" w:sz="0" w:space="0" w:color="auto"/>
                                        <w:right w:val="none" w:sz="0" w:space="0" w:color="auto"/>
                                      </w:divBdr>
                                      <w:divsChild>
                                        <w:div w:id="316883982">
                                          <w:marLeft w:val="0"/>
                                          <w:marRight w:val="0"/>
                                          <w:marTop w:val="0"/>
                                          <w:marBottom w:val="0"/>
                                          <w:divBdr>
                                            <w:top w:val="none" w:sz="0" w:space="0" w:color="auto"/>
                                            <w:left w:val="none" w:sz="0" w:space="0" w:color="auto"/>
                                            <w:bottom w:val="none" w:sz="0" w:space="0" w:color="auto"/>
                                            <w:right w:val="none" w:sz="0" w:space="0" w:color="auto"/>
                                          </w:divBdr>
                                          <w:divsChild>
                                            <w:div w:id="1896618083">
                                              <w:marLeft w:val="0"/>
                                              <w:marRight w:val="0"/>
                                              <w:marTop w:val="0"/>
                                              <w:marBottom w:val="0"/>
                                              <w:divBdr>
                                                <w:top w:val="none" w:sz="0" w:space="0" w:color="auto"/>
                                                <w:left w:val="none" w:sz="0" w:space="0" w:color="auto"/>
                                                <w:bottom w:val="none" w:sz="0" w:space="0" w:color="auto"/>
                                                <w:right w:val="none" w:sz="0" w:space="0" w:color="auto"/>
                                              </w:divBdr>
                                              <w:divsChild>
                                                <w:div w:id="1327518212">
                                                  <w:marLeft w:val="0"/>
                                                  <w:marRight w:val="0"/>
                                                  <w:marTop w:val="0"/>
                                                  <w:marBottom w:val="0"/>
                                                  <w:divBdr>
                                                    <w:top w:val="none" w:sz="0" w:space="0" w:color="auto"/>
                                                    <w:left w:val="none" w:sz="0" w:space="0" w:color="auto"/>
                                                    <w:bottom w:val="none" w:sz="0" w:space="0" w:color="auto"/>
                                                    <w:right w:val="none" w:sz="0" w:space="0" w:color="auto"/>
                                                  </w:divBdr>
                                                  <w:divsChild>
                                                    <w:div w:id="1648515894">
                                                      <w:marLeft w:val="0"/>
                                                      <w:marRight w:val="0"/>
                                                      <w:marTop w:val="0"/>
                                                      <w:marBottom w:val="0"/>
                                                      <w:divBdr>
                                                        <w:top w:val="none" w:sz="0" w:space="0" w:color="auto"/>
                                                        <w:left w:val="none" w:sz="0" w:space="0" w:color="auto"/>
                                                        <w:bottom w:val="none" w:sz="0" w:space="0" w:color="auto"/>
                                                        <w:right w:val="none" w:sz="0" w:space="0" w:color="auto"/>
                                                      </w:divBdr>
                                                      <w:divsChild>
                                                        <w:div w:id="1106733776">
                                                          <w:marLeft w:val="480"/>
                                                          <w:marRight w:val="0"/>
                                                          <w:marTop w:val="0"/>
                                                          <w:marBottom w:val="0"/>
                                                          <w:divBdr>
                                                            <w:top w:val="none" w:sz="0" w:space="0" w:color="auto"/>
                                                            <w:left w:val="none" w:sz="0" w:space="0" w:color="auto"/>
                                                            <w:bottom w:val="none" w:sz="0" w:space="0" w:color="auto"/>
                                                            <w:right w:val="none" w:sz="0" w:space="0" w:color="auto"/>
                                                          </w:divBdr>
                                                          <w:divsChild>
                                                            <w:div w:id="120729351">
                                                              <w:marLeft w:val="0"/>
                                                              <w:marRight w:val="0"/>
                                                              <w:marTop w:val="0"/>
                                                              <w:marBottom w:val="0"/>
                                                              <w:divBdr>
                                                                <w:top w:val="none" w:sz="0" w:space="0" w:color="auto"/>
                                                                <w:left w:val="none" w:sz="0" w:space="0" w:color="auto"/>
                                                                <w:bottom w:val="none" w:sz="0" w:space="0" w:color="auto"/>
                                                                <w:right w:val="none" w:sz="0" w:space="0" w:color="auto"/>
                                                              </w:divBdr>
                                                              <w:divsChild>
                                                                <w:div w:id="78867650">
                                                                  <w:marLeft w:val="0"/>
                                                                  <w:marRight w:val="0"/>
                                                                  <w:marTop w:val="0"/>
                                                                  <w:marBottom w:val="0"/>
                                                                  <w:divBdr>
                                                                    <w:top w:val="none" w:sz="0" w:space="0" w:color="auto"/>
                                                                    <w:left w:val="none" w:sz="0" w:space="0" w:color="auto"/>
                                                                    <w:bottom w:val="none" w:sz="0" w:space="0" w:color="auto"/>
                                                                    <w:right w:val="none" w:sz="0" w:space="0" w:color="auto"/>
                                                                  </w:divBdr>
                                                                  <w:divsChild>
                                                                    <w:div w:id="2118520356">
                                                                      <w:marLeft w:val="0"/>
                                                                      <w:marRight w:val="0"/>
                                                                      <w:marTop w:val="240"/>
                                                                      <w:marBottom w:val="0"/>
                                                                      <w:divBdr>
                                                                        <w:top w:val="none" w:sz="0" w:space="0" w:color="auto"/>
                                                                        <w:left w:val="none" w:sz="0" w:space="0" w:color="auto"/>
                                                                        <w:bottom w:val="none" w:sz="0" w:space="0" w:color="auto"/>
                                                                        <w:right w:val="none" w:sz="0" w:space="0" w:color="auto"/>
                                                                      </w:divBdr>
                                                                      <w:divsChild>
                                                                        <w:div w:id="1062101222">
                                                                          <w:marLeft w:val="0"/>
                                                                          <w:marRight w:val="0"/>
                                                                          <w:marTop w:val="0"/>
                                                                          <w:marBottom w:val="0"/>
                                                                          <w:divBdr>
                                                                            <w:top w:val="none" w:sz="0" w:space="0" w:color="auto"/>
                                                                            <w:left w:val="none" w:sz="0" w:space="0" w:color="auto"/>
                                                                            <w:bottom w:val="none" w:sz="0" w:space="0" w:color="auto"/>
                                                                            <w:right w:val="none" w:sz="0" w:space="0" w:color="auto"/>
                                                                          </w:divBdr>
                                                                          <w:divsChild>
                                                                            <w:div w:id="233204238">
                                                                              <w:marLeft w:val="0"/>
                                                                              <w:marRight w:val="0"/>
                                                                              <w:marTop w:val="0"/>
                                                                              <w:marBottom w:val="0"/>
                                                                              <w:divBdr>
                                                                                <w:top w:val="none" w:sz="0" w:space="0" w:color="auto"/>
                                                                                <w:left w:val="none" w:sz="0" w:space="0" w:color="auto"/>
                                                                                <w:bottom w:val="none" w:sz="0" w:space="0" w:color="auto"/>
                                                                                <w:right w:val="none" w:sz="0" w:space="0" w:color="auto"/>
                                                                              </w:divBdr>
                                                                              <w:divsChild>
                                                                                <w:div w:id="1057044564">
                                                                                  <w:marLeft w:val="0"/>
                                                                                  <w:marRight w:val="0"/>
                                                                                  <w:marTop w:val="0"/>
                                                                                  <w:marBottom w:val="0"/>
                                                                                  <w:divBdr>
                                                                                    <w:top w:val="none" w:sz="0" w:space="0" w:color="auto"/>
                                                                                    <w:left w:val="none" w:sz="0" w:space="0" w:color="auto"/>
                                                                                    <w:bottom w:val="none" w:sz="0" w:space="0" w:color="auto"/>
                                                                                    <w:right w:val="none" w:sz="0" w:space="0" w:color="auto"/>
                                                                                  </w:divBdr>
                                                                                  <w:divsChild>
                                                                                    <w:div w:id="1472864870">
                                                                                      <w:marLeft w:val="0"/>
                                                                                      <w:marRight w:val="0"/>
                                                                                      <w:marTop w:val="0"/>
                                                                                      <w:marBottom w:val="0"/>
                                                                                      <w:divBdr>
                                                                                        <w:top w:val="none" w:sz="0" w:space="0" w:color="auto"/>
                                                                                        <w:left w:val="none" w:sz="0" w:space="0" w:color="auto"/>
                                                                                        <w:bottom w:val="none" w:sz="0" w:space="0" w:color="auto"/>
                                                                                        <w:right w:val="none" w:sz="0" w:space="0" w:color="auto"/>
                                                                                      </w:divBdr>
                                                                                      <w:divsChild>
                                                                                        <w:div w:id="213008124">
                                                                                          <w:marLeft w:val="0"/>
                                                                                          <w:marRight w:val="0"/>
                                                                                          <w:marTop w:val="0"/>
                                                                                          <w:marBottom w:val="0"/>
                                                                                          <w:divBdr>
                                                                                            <w:top w:val="none" w:sz="0" w:space="0" w:color="auto"/>
                                                                                            <w:left w:val="none" w:sz="0" w:space="0" w:color="auto"/>
                                                                                            <w:bottom w:val="none" w:sz="0" w:space="0" w:color="auto"/>
                                                                                            <w:right w:val="none" w:sz="0" w:space="0" w:color="auto"/>
                                                                                          </w:divBdr>
                                                                                          <w:divsChild>
                                                                                            <w:div w:id="1287077365">
                                                                                              <w:marLeft w:val="0"/>
                                                                                              <w:marRight w:val="0"/>
                                                                                              <w:marTop w:val="0"/>
                                                                                              <w:marBottom w:val="0"/>
                                                                                              <w:divBdr>
                                                                                                <w:top w:val="none" w:sz="0" w:space="0" w:color="auto"/>
                                                                                                <w:left w:val="none" w:sz="0" w:space="0" w:color="auto"/>
                                                                                                <w:bottom w:val="none" w:sz="0" w:space="0" w:color="auto"/>
                                                                                                <w:right w:val="none" w:sz="0" w:space="0" w:color="auto"/>
                                                                                              </w:divBdr>
                                                                                              <w:divsChild>
                                                                                                <w:div w:id="1337460708">
                                                                                                  <w:marLeft w:val="0"/>
                                                                                                  <w:marRight w:val="0"/>
                                                                                                  <w:marTop w:val="0"/>
                                                                                                  <w:marBottom w:val="0"/>
                                                                                                  <w:divBdr>
                                                                                                    <w:top w:val="none" w:sz="0" w:space="0" w:color="auto"/>
                                                                                                    <w:left w:val="none" w:sz="0" w:space="0" w:color="auto"/>
                                                                                                    <w:bottom w:val="none" w:sz="0" w:space="0" w:color="auto"/>
                                                                                                    <w:right w:val="none" w:sz="0" w:space="0" w:color="auto"/>
                                                                                                  </w:divBdr>
                                                                                                  <w:divsChild>
                                                                                                    <w:div w:id="50228677">
                                                                                                      <w:marLeft w:val="0"/>
                                                                                                      <w:marRight w:val="0"/>
                                                                                                      <w:marTop w:val="0"/>
                                                                                                      <w:marBottom w:val="0"/>
                                                                                                      <w:divBdr>
                                                                                                        <w:top w:val="none" w:sz="0" w:space="0" w:color="auto"/>
                                                                                                        <w:left w:val="none" w:sz="0" w:space="0" w:color="auto"/>
                                                                                                        <w:bottom w:val="none" w:sz="0" w:space="0" w:color="auto"/>
                                                                                                        <w:right w:val="none" w:sz="0" w:space="0" w:color="auto"/>
                                                                                                      </w:divBdr>
                                                                                                      <w:divsChild>
                                                                                                        <w:div w:id="140020866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37793336">
                                                                                                              <w:marLeft w:val="0"/>
                                                                                                              <w:marRight w:val="0"/>
                                                                                                              <w:marTop w:val="0"/>
                                                                                                              <w:marBottom w:val="0"/>
                                                                                                              <w:divBdr>
                                                                                                                <w:top w:val="none" w:sz="0" w:space="0" w:color="auto"/>
                                                                                                                <w:left w:val="none" w:sz="0" w:space="0" w:color="auto"/>
                                                                                                                <w:bottom w:val="none" w:sz="0" w:space="0" w:color="auto"/>
                                                                                                                <w:right w:val="none" w:sz="0" w:space="0" w:color="auto"/>
                                                                                                              </w:divBdr>
                                                                                                              <w:divsChild>
                                                                                                                <w:div w:id="17563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7320">
                                                                                                          <w:marLeft w:val="0"/>
                                                                                                          <w:marRight w:val="0"/>
                                                                                                          <w:marTop w:val="0"/>
                                                                                                          <w:marBottom w:val="0"/>
                                                                                                          <w:divBdr>
                                                                                                            <w:top w:val="none" w:sz="0" w:space="0" w:color="auto"/>
                                                                                                            <w:left w:val="none" w:sz="0" w:space="0" w:color="auto"/>
                                                                                                            <w:bottom w:val="none" w:sz="0" w:space="0" w:color="auto"/>
                                                                                                            <w:right w:val="none" w:sz="0" w:space="0" w:color="auto"/>
                                                                                                          </w:divBdr>
                                                                                                        </w:div>
                                                                                                      </w:divsChild>
                                                                                                    </w:div>
                                                                                                    <w:div w:id="229271015">
                                                                                                      <w:marLeft w:val="0"/>
                                                                                                      <w:marRight w:val="0"/>
                                                                                                      <w:marTop w:val="0"/>
                                                                                                      <w:marBottom w:val="0"/>
                                                                                                      <w:divBdr>
                                                                                                        <w:top w:val="none" w:sz="0" w:space="0" w:color="auto"/>
                                                                                                        <w:left w:val="none" w:sz="0" w:space="0" w:color="auto"/>
                                                                                                        <w:bottom w:val="none" w:sz="0" w:space="0" w:color="auto"/>
                                                                                                        <w:right w:val="none" w:sz="0" w:space="0" w:color="auto"/>
                                                                                                      </w:divBdr>
                                                                                                      <w:divsChild>
                                                                                                        <w:div w:id="25060746">
                                                                                                          <w:marLeft w:val="0"/>
                                                                                                          <w:marRight w:val="0"/>
                                                                                                          <w:marTop w:val="0"/>
                                                                                                          <w:marBottom w:val="0"/>
                                                                                                          <w:divBdr>
                                                                                                            <w:top w:val="none" w:sz="0" w:space="0" w:color="auto"/>
                                                                                                            <w:left w:val="none" w:sz="0" w:space="0" w:color="auto"/>
                                                                                                            <w:bottom w:val="none" w:sz="0" w:space="0" w:color="auto"/>
                                                                                                            <w:right w:val="none" w:sz="0" w:space="0" w:color="auto"/>
                                                                                                          </w:divBdr>
                                                                                                        </w:div>
                                                                                                        <w:div w:id="437912112">
                                                                                                          <w:marLeft w:val="0"/>
                                                                                                          <w:marRight w:val="0"/>
                                                                                                          <w:marTop w:val="0"/>
                                                                                                          <w:marBottom w:val="0"/>
                                                                                                          <w:divBdr>
                                                                                                            <w:top w:val="none" w:sz="0" w:space="0" w:color="auto"/>
                                                                                                            <w:left w:val="none" w:sz="0" w:space="0" w:color="auto"/>
                                                                                                            <w:bottom w:val="none" w:sz="0" w:space="0" w:color="auto"/>
                                                                                                            <w:right w:val="none" w:sz="0" w:space="0" w:color="auto"/>
                                                                                                          </w:divBdr>
                                                                                                        </w:div>
                                                                                                        <w:div w:id="509681373">
                                                                                                          <w:marLeft w:val="0"/>
                                                                                                          <w:marRight w:val="0"/>
                                                                                                          <w:marTop w:val="0"/>
                                                                                                          <w:marBottom w:val="0"/>
                                                                                                          <w:divBdr>
                                                                                                            <w:top w:val="none" w:sz="0" w:space="0" w:color="auto"/>
                                                                                                            <w:left w:val="none" w:sz="0" w:space="0" w:color="auto"/>
                                                                                                            <w:bottom w:val="none" w:sz="0" w:space="0" w:color="auto"/>
                                                                                                            <w:right w:val="none" w:sz="0" w:space="0" w:color="auto"/>
                                                                                                          </w:divBdr>
                                                                                                        </w:div>
                                                                                                        <w:div w:id="585920488">
                                                                                                          <w:marLeft w:val="0"/>
                                                                                                          <w:marRight w:val="0"/>
                                                                                                          <w:marTop w:val="0"/>
                                                                                                          <w:marBottom w:val="0"/>
                                                                                                          <w:divBdr>
                                                                                                            <w:top w:val="none" w:sz="0" w:space="0" w:color="auto"/>
                                                                                                            <w:left w:val="none" w:sz="0" w:space="0" w:color="auto"/>
                                                                                                            <w:bottom w:val="none" w:sz="0" w:space="0" w:color="auto"/>
                                                                                                            <w:right w:val="none" w:sz="0" w:space="0" w:color="auto"/>
                                                                                                          </w:divBdr>
                                                                                                        </w:div>
                                                                                                        <w:div w:id="634140776">
                                                                                                          <w:marLeft w:val="0"/>
                                                                                                          <w:marRight w:val="0"/>
                                                                                                          <w:marTop w:val="0"/>
                                                                                                          <w:marBottom w:val="0"/>
                                                                                                          <w:divBdr>
                                                                                                            <w:top w:val="none" w:sz="0" w:space="0" w:color="auto"/>
                                                                                                            <w:left w:val="none" w:sz="0" w:space="0" w:color="auto"/>
                                                                                                            <w:bottom w:val="none" w:sz="0" w:space="0" w:color="auto"/>
                                                                                                            <w:right w:val="none" w:sz="0" w:space="0" w:color="auto"/>
                                                                                                          </w:divBdr>
                                                                                                        </w:div>
                                                                                                        <w:div w:id="758332057">
                                                                                                          <w:marLeft w:val="0"/>
                                                                                                          <w:marRight w:val="0"/>
                                                                                                          <w:marTop w:val="0"/>
                                                                                                          <w:marBottom w:val="0"/>
                                                                                                          <w:divBdr>
                                                                                                            <w:top w:val="none" w:sz="0" w:space="0" w:color="auto"/>
                                                                                                            <w:left w:val="none" w:sz="0" w:space="0" w:color="auto"/>
                                                                                                            <w:bottom w:val="none" w:sz="0" w:space="0" w:color="auto"/>
                                                                                                            <w:right w:val="none" w:sz="0" w:space="0" w:color="auto"/>
                                                                                                          </w:divBdr>
                                                                                                        </w:div>
                                                                                                        <w:div w:id="901676273">
                                                                                                          <w:marLeft w:val="0"/>
                                                                                                          <w:marRight w:val="0"/>
                                                                                                          <w:marTop w:val="0"/>
                                                                                                          <w:marBottom w:val="0"/>
                                                                                                          <w:divBdr>
                                                                                                            <w:top w:val="none" w:sz="0" w:space="0" w:color="auto"/>
                                                                                                            <w:left w:val="none" w:sz="0" w:space="0" w:color="auto"/>
                                                                                                            <w:bottom w:val="none" w:sz="0" w:space="0" w:color="auto"/>
                                                                                                            <w:right w:val="none" w:sz="0" w:space="0" w:color="auto"/>
                                                                                                          </w:divBdr>
                                                                                                        </w:div>
                                                                                                        <w:div w:id="1167398319">
                                                                                                          <w:marLeft w:val="0"/>
                                                                                                          <w:marRight w:val="0"/>
                                                                                                          <w:marTop w:val="0"/>
                                                                                                          <w:marBottom w:val="0"/>
                                                                                                          <w:divBdr>
                                                                                                            <w:top w:val="none" w:sz="0" w:space="0" w:color="auto"/>
                                                                                                            <w:left w:val="none" w:sz="0" w:space="0" w:color="auto"/>
                                                                                                            <w:bottom w:val="none" w:sz="0" w:space="0" w:color="auto"/>
                                                                                                            <w:right w:val="none" w:sz="0" w:space="0" w:color="auto"/>
                                                                                                          </w:divBdr>
                                                                                                        </w:div>
                                                                                                        <w:div w:id="1191600633">
                                                                                                          <w:marLeft w:val="0"/>
                                                                                                          <w:marRight w:val="0"/>
                                                                                                          <w:marTop w:val="0"/>
                                                                                                          <w:marBottom w:val="0"/>
                                                                                                          <w:divBdr>
                                                                                                            <w:top w:val="none" w:sz="0" w:space="0" w:color="auto"/>
                                                                                                            <w:left w:val="none" w:sz="0" w:space="0" w:color="auto"/>
                                                                                                            <w:bottom w:val="none" w:sz="0" w:space="0" w:color="auto"/>
                                                                                                            <w:right w:val="none" w:sz="0" w:space="0" w:color="auto"/>
                                                                                                          </w:divBdr>
                                                                                                        </w:div>
                                                                                                        <w:div w:id="1540700875">
                                                                                                          <w:marLeft w:val="0"/>
                                                                                                          <w:marRight w:val="0"/>
                                                                                                          <w:marTop w:val="0"/>
                                                                                                          <w:marBottom w:val="0"/>
                                                                                                          <w:divBdr>
                                                                                                            <w:top w:val="none" w:sz="0" w:space="0" w:color="auto"/>
                                                                                                            <w:left w:val="none" w:sz="0" w:space="0" w:color="auto"/>
                                                                                                            <w:bottom w:val="none" w:sz="0" w:space="0" w:color="auto"/>
                                                                                                            <w:right w:val="none" w:sz="0" w:space="0" w:color="auto"/>
                                                                                                          </w:divBdr>
                                                                                                        </w:div>
                                                                                                        <w:div w:id="1644583854">
                                                                                                          <w:marLeft w:val="0"/>
                                                                                                          <w:marRight w:val="0"/>
                                                                                                          <w:marTop w:val="0"/>
                                                                                                          <w:marBottom w:val="0"/>
                                                                                                          <w:divBdr>
                                                                                                            <w:top w:val="none" w:sz="0" w:space="0" w:color="auto"/>
                                                                                                            <w:left w:val="none" w:sz="0" w:space="0" w:color="auto"/>
                                                                                                            <w:bottom w:val="none" w:sz="0" w:space="0" w:color="auto"/>
                                                                                                            <w:right w:val="none" w:sz="0" w:space="0" w:color="auto"/>
                                                                                                          </w:divBdr>
                                                                                                        </w:div>
                                                                                                        <w:div w:id="1680961243">
                                                                                                          <w:marLeft w:val="0"/>
                                                                                                          <w:marRight w:val="0"/>
                                                                                                          <w:marTop w:val="0"/>
                                                                                                          <w:marBottom w:val="0"/>
                                                                                                          <w:divBdr>
                                                                                                            <w:top w:val="none" w:sz="0" w:space="0" w:color="auto"/>
                                                                                                            <w:left w:val="none" w:sz="0" w:space="0" w:color="auto"/>
                                                                                                            <w:bottom w:val="none" w:sz="0" w:space="0" w:color="auto"/>
                                                                                                            <w:right w:val="none" w:sz="0" w:space="0" w:color="auto"/>
                                                                                                          </w:divBdr>
                                                                                                        </w:div>
                                                                                                        <w:div w:id="1971471119">
                                                                                                          <w:marLeft w:val="0"/>
                                                                                                          <w:marRight w:val="0"/>
                                                                                                          <w:marTop w:val="0"/>
                                                                                                          <w:marBottom w:val="0"/>
                                                                                                          <w:divBdr>
                                                                                                            <w:top w:val="none" w:sz="0" w:space="0" w:color="auto"/>
                                                                                                            <w:left w:val="none" w:sz="0" w:space="0" w:color="auto"/>
                                                                                                            <w:bottom w:val="none" w:sz="0" w:space="0" w:color="auto"/>
                                                                                                            <w:right w:val="none" w:sz="0" w:space="0" w:color="auto"/>
                                                                                                          </w:divBdr>
                                                                                                        </w:div>
                                                                                                        <w:div w:id="1982879033">
                                                                                                          <w:marLeft w:val="0"/>
                                                                                                          <w:marRight w:val="0"/>
                                                                                                          <w:marTop w:val="0"/>
                                                                                                          <w:marBottom w:val="0"/>
                                                                                                          <w:divBdr>
                                                                                                            <w:top w:val="none" w:sz="0" w:space="0" w:color="auto"/>
                                                                                                            <w:left w:val="none" w:sz="0" w:space="0" w:color="auto"/>
                                                                                                            <w:bottom w:val="none" w:sz="0" w:space="0" w:color="auto"/>
                                                                                                            <w:right w:val="none" w:sz="0" w:space="0" w:color="auto"/>
                                                                                                          </w:divBdr>
                                                                                                        </w:div>
                                                                                                        <w:div w:id="20446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190160">
      <w:bodyDiv w:val="1"/>
      <w:marLeft w:val="0"/>
      <w:marRight w:val="0"/>
      <w:marTop w:val="0"/>
      <w:marBottom w:val="0"/>
      <w:divBdr>
        <w:top w:val="none" w:sz="0" w:space="0" w:color="auto"/>
        <w:left w:val="none" w:sz="0" w:space="0" w:color="auto"/>
        <w:bottom w:val="none" w:sz="0" w:space="0" w:color="auto"/>
        <w:right w:val="none" w:sz="0" w:space="0" w:color="auto"/>
      </w:divBdr>
    </w:div>
    <w:div w:id="1359235504">
      <w:bodyDiv w:val="1"/>
      <w:marLeft w:val="0"/>
      <w:marRight w:val="0"/>
      <w:marTop w:val="0"/>
      <w:marBottom w:val="0"/>
      <w:divBdr>
        <w:top w:val="none" w:sz="0" w:space="0" w:color="auto"/>
        <w:left w:val="none" w:sz="0" w:space="0" w:color="auto"/>
        <w:bottom w:val="none" w:sz="0" w:space="0" w:color="auto"/>
        <w:right w:val="none" w:sz="0" w:space="0" w:color="auto"/>
      </w:divBdr>
    </w:div>
    <w:div w:id="1465005304">
      <w:bodyDiv w:val="1"/>
      <w:marLeft w:val="0"/>
      <w:marRight w:val="0"/>
      <w:marTop w:val="0"/>
      <w:marBottom w:val="0"/>
      <w:divBdr>
        <w:top w:val="none" w:sz="0" w:space="0" w:color="auto"/>
        <w:left w:val="none" w:sz="0" w:space="0" w:color="auto"/>
        <w:bottom w:val="none" w:sz="0" w:space="0" w:color="auto"/>
        <w:right w:val="none" w:sz="0" w:space="0" w:color="auto"/>
      </w:divBdr>
      <w:divsChild>
        <w:div w:id="2119566742">
          <w:marLeft w:val="0"/>
          <w:marRight w:val="0"/>
          <w:marTop w:val="0"/>
          <w:marBottom w:val="0"/>
          <w:divBdr>
            <w:top w:val="none" w:sz="0" w:space="0" w:color="auto"/>
            <w:left w:val="none" w:sz="0" w:space="0" w:color="auto"/>
            <w:bottom w:val="none" w:sz="0" w:space="0" w:color="auto"/>
            <w:right w:val="none" w:sz="0" w:space="0" w:color="auto"/>
          </w:divBdr>
        </w:div>
        <w:div w:id="1537738175">
          <w:marLeft w:val="0"/>
          <w:marRight w:val="0"/>
          <w:marTop w:val="0"/>
          <w:marBottom w:val="0"/>
          <w:divBdr>
            <w:top w:val="none" w:sz="0" w:space="0" w:color="auto"/>
            <w:left w:val="none" w:sz="0" w:space="0" w:color="auto"/>
            <w:bottom w:val="none" w:sz="0" w:space="0" w:color="auto"/>
            <w:right w:val="none" w:sz="0" w:space="0" w:color="auto"/>
          </w:divBdr>
        </w:div>
        <w:div w:id="103310282">
          <w:marLeft w:val="0"/>
          <w:marRight w:val="0"/>
          <w:marTop w:val="0"/>
          <w:marBottom w:val="0"/>
          <w:divBdr>
            <w:top w:val="none" w:sz="0" w:space="0" w:color="auto"/>
            <w:left w:val="none" w:sz="0" w:space="0" w:color="auto"/>
            <w:bottom w:val="none" w:sz="0" w:space="0" w:color="auto"/>
            <w:right w:val="none" w:sz="0" w:space="0" w:color="auto"/>
          </w:divBdr>
        </w:div>
        <w:div w:id="1878351240">
          <w:marLeft w:val="0"/>
          <w:marRight w:val="0"/>
          <w:marTop w:val="0"/>
          <w:marBottom w:val="0"/>
          <w:divBdr>
            <w:top w:val="none" w:sz="0" w:space="0" w:color="auto"/>
            <w:left w:val="none" w:sz="0" w:space="0" w:color="auto"/>
            <w:bottom w:val="none" w:sz="0" w:space="0" w:color="auto"/>
            <w:right w:val="none" w:sz="0" w:space="0" w:color="auto"/>
          </w:divBdr>
        </w:div>
        <w:div w:id="1019427414">
          <w:marLeft w:val="0"/>
          <w:marRight w:val="0"/>
          <w:marTop w:val="0"/>
          <w:marBottom w:val="0"/>
          <w:divBdr>
            <w:top w:val="none" w:sz="0" w:space="0" w:color="auto"/>
            <w:left w:val="none" w:sz="0" w:space="0" w:color="auto"/>
            <w:bottom w:val="none" w:sz="0" w:space="0" w:color="auto"/>
            <w:right w:val="none" w:sz="0" w:space="0" w:color="auto"/>
          </w:divBdr>
        </w:div>
        <w:div w:id="2091728723">
          <w:marLeft w:val="0"/>
          <w:marRight w:val="0"/>
          <w:marTop w:val="0"/>
          <w:marBottom w:val="0"/>
          <w:divBdr>
            <w:top w:val="none" w:sz="0" w:space="0" w:color="auto"/>
            <w:left w:val="none" w:sz="0" w:space="0" w:color="auto"/>
            <w:bottom w:val="none" w:sz="0" w:space="0" w:color="auto"/>
            <w:right w:val="none" w:sz="0" w:space="0" w:color="auto"/>
          </w:divBdr>
        </w:div>
        <w:div w:id="2078938079">
          <w:marLeft w:val="0"/>
          <w:marRight w:val="0"/>
          <w:marTop w:val="0"/>
          <w:marBottom w:val="0"/>
          <w:divBdr>
            <w:top w:val="none" w:sz="0" w:space="0" w:color="auto"/>
            <w:left w:val="none" w:sz="0" w:space="0" w:color="auto"/>
            <w:bottom w:val="none" w:sz="0" w:space="0" w:color="auto"/>
            <w:right w:val="none" w:sz="0" w:space="0" w:color="auto"/>
          </w:divBdr>
        </w:div>
        <w:div w:id="1387798550">
          <w:marLeft w:val="0"/>
          <w:marRight w:val="0"/>
          <w:marTop w:val="0"/>
          <w:marBottom w:val="0"/>
          <w:divBdr>
            <w:top w:val="none" w:sz="0" w:space="0" w:color="auto"/>
            <w:left w:val="none" w:sz="0" w:space="0" w:color="auto"/>
            <w:bottom w:val="none" w:sz="0" w:space="0" w:color="auto"/>
            <w:right w:val="none" w:sz="0" w:space="0" w:color="auto"/>
          </w:divBdr>
        </w:div>
        <w:div w:id="64766355">
          <w:marLeft w:val="0"/>
          <w:marRight w:val="0"/>
          <w:marTop w:val="0"/>
          <w:marBottom w:val="0"/>
          <w:divBdr>
            <w:top w:val="none" w:sz="0" w:space="0" w:color="auto"/>
            <w:left w:val="none" w:sz="0" w:space="0" w:color="auto"/>
            <w:bottom w:val="none" w:sz="0" w:space="0" w:color="auto"/>
            <w:right w:val="none" w:sz="0" w:space="0" w:color="auto"/>
          </w:divBdr>
        </w:div>
      </w:divsChild>
    </w:div>
    <w:div w:id="2142921915">
      <w:bodyDiv w:val="1"/>
      <w:marLeft w:val="0"/>
      <w:marRight w:val="0"/>
      <w:marTop w:val="0"/>
      <w:marBottom w:val="0"/>
      <w:divBdr>
        <w:top w:val="none" w:sz="0" w:space="0" w:color="auto"/>
        <w:left w:val="none" w:sz="0" w:space="0" w:color="auto"/>
        <w:bottom w:val="none" w:sz="0" w:space="0" w:color="auto"/>
        <w:right w:val="none" w:sz="0" w:space="0" w:color="auto"/>
      </w:divBdr>
      <w:divsChild>
        <w:div w:id="312301549">
          <w:marLeft w:val="0"/>
          <w:marRight w:val="0"/>
          <w:marTop w:val="0"/>
          <w:marBottom w:val="0"/>
          <w:divBdr>
            <w:top w:val="none" w:sz="0" w:space="0" w:color="auto"/>
            <w:left w:val="none" w:sz="0" w:space="0" w:color="auto"/>
            <w:bottom w:val="none" w:sz="0" w:space="0" w:color="auto"/>
            <w:right w:val="none" w:sz="0" w:space="0" w:color="auto"/>
          </w:divBdr>
        </w:div>
        <w:div w:id="826674545">
          <w:marLeft w:val="0"/>
          <w:marRight w:val="0"/>
          <w:marTop w:val="0"/>
          <w:marBottom w:val="0"/>
          <w:divBdr>
            <w:top w:val="none" w:sz="0" w:space="0" w:color="auto"/>
            <w:left w:val="none" w:sz="0" w:space="0" w:color="auto"/>
            <w:bottom w:val="none" w:sz="0" w:space="0" w:color="auto"/>
            <w:right w:val="none" w:sz="0" w:space="0" w:color="auto"/>
          </w:divBdr>
        </w:div>
        <w:div w:id="660081484">
          <w:marLeft w:val="0"/>
          <w:marRight w:val="0"/>
          <w:marTop w:val="0"/>
          <w:marBottom w:val="0"/>
          <w:divBdr>
            <w:top w:val="none" w:sz="0" w:space="0" w:color="auto"/>
            <w:left w:val="none" w:sz="0" w:space="0" w:color="auto"/>
            <w:bottom w:val="none" w:sz="0" w:space="0" w:color="auto"/>
            <w:right w:val="none" w:sz="0" w:space="0" w:color="auto"/>
          </w:divBdr>
        </w:div>
        <w:div w:id="1675918386">
          <w:marLeft w:val="0"/>
          <w:marRight w:val="0"/>
          <w:marTop w:val="0"/>
          <w:marBottom w:val="0"/>
          <w:divBdr>
            <w:top w:val="none" w:sz="0" w:space="0" w:color="auto"/>
            <w:left w:val="none" w:sz="0" w:space="0" w:color="auto"/>
            <w:bottom w:val="none" w:sz="0" w:space="0" w:color="auto"/>
            <w:right w:val="none" w:sz="0" w:space="0" w:color="auto"/>
          </w:divBdr>
        </w:div>
        <w:div w:id="1046027209">
          <w:marLeft w:val="0"/>
          <w:marRight w:val="0"/>
          <w:marTop w:val="0"/>
          <w:marBottom w:val="0"/>
          <w:divBdr>
            <w:top w:val="none" w:sz="0" w:space="0" w:color="auto"/>
            <w:left w:val="none" w:sz="0" w:space="0" w:color="auto"/>
            <w:bottom w:val="none" w:sz="0" w:space="0" w:color="auto"/>
            <w:right w:val="none" w:sz="0" w:space="0" w:color="auto"/>
          </w:divBdr>
        </w:div>
        <w:div w:id="262537772">
          <w:marLeft w:val="0"/>
          <w:marRight w:val="0"/>
          <w:marTop w:val="0"/>
          <w:marBottom w:val="0"/>
          <w:divBdr>
            <w:top w:val="none" w:sz="0" w:space="0" w:color="auto"/>
            <w:left w:val="none" w:sz="0" w:space="0" w:color="auto"/>
            <w:bottom w:val="none" w:sz="0" w:space="0" w:color="auto"/>
            <w:right w:val="none" w:sz="0" w:space="0" w:color="auto"/>
          </w:divBdr>
        </w:div>
        <w:div w:id="1520505503">
          <w:marLeft w:val="0"/>
          <w:marRight w:val="0"/>
          <w:marTop w:val="0"/>
          <w:marBottom w:val="0"/>
          <w:divBdr>
            <w:top w:val="none" w:sz="0" w:space="0" w:color="auto"/>
            <w:left w:val="none" w:sz="0" w:space="0" w:color="auto"/>
            <w:bottom w:val="none" w:sz="0" w:space="0" w:color="auto"/>
            <w:right w:val="none" w:sz="0" w:space="0" w:color="auto"/>
          </w:divBdr>
        </w:div>
        <w:div w:id="2000764864">
          <w:marLeft w:val="0"/>
          <w:marRight w:val="0"/>
          <w:marTop w:val="0"/>
          <w:marBottom w:val="0"/>
          <w:divBdr>
            <w:top w:val="none" w:sz="0" w:space="0" w:color="auto"/>
            <w:left w:val="none" w:sz="0" w:space="0" w:color="auto"/>
            <w:bottom w:val="none" w:sz="0" w:space="0" w:color="auto"/>
            <w:right w:val="none" w:sz="0" w:space="0" w:color="auto"/>
          </w:divBdr>
        </w:div>
        <w:div w:id="100978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nyblackwell@gmail.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E99D-8B22-47AD-A1F7-60AE5EF2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19498</Words>
  <Characters>109970</Characters>
  <Application>Microsoft Office Word</Application>
  <DocSecurity>0</DocSecurity>
  <Lines>1896</Lines>
  <Paragraphs>541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Blackwell</dc:creator>
  <cp:lastModifiedBy>Jonathan Blackwell</cp:lastModifiedBy>
  <cp:revision>4</cp:revision>
  <cp:lastPrinted>2019-07-11T17:42:00Z</cp:lastPrinted>
  <dcterms:created xsi:type="dcterms:W3CDTF">2020-12-04T15:01:00Z</dcterms:created>
  <dcterms:modified xsi:type="dcterms:W3CDTF">2020-12-04T15:14:00Z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61802b10-0e76-354d-a587-c251043a81ac</vt:lpwstr>
  </property>
  <property fmtid="{D5CDD505-2E9C-101B-9397-08002B2CF9AE}" pid="24" name="Mendeley Citation Style_1">
    <vt:lpwstr>http://www.zotero.org/styles/american-medical-association</vt:lpwstr>
  </property>
</Properties>
</file>