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85E42" w14:textId="77777777" w:rsidR="00092048" w:rsidRDefault="00092048" w:rsidP="00092048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 xml:space="preserve">S8 Table. Adverse drug events for surgical patients 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3137"/>
        <w:gridCol w:w="1957"/>
        <w:gridCol w:w="1957"/>
        <w:gridCol w:w="1959"/>
      </w:tblGrid>
      <w:tr w:rsidR="00092048" w14:paraId="340E4132" w14:textId="77777777" w:rsidTr="00EC5756">
        <w:trPr>
          <w:trHeight w:val="75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C4B8" w14:textId="2A5649D2" w:rsidR="00092048" w:rsidRDefault="00092048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B044" w14:textId="565671EB" w:rsidR="00092048" w:rsidRDefault="006D2DE7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Cumulative adverse effects over 5 years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1059" w14:textId="77777777" w:rsidR="00092048" w:rsidRDefault="00092048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24"/>
                <w:lang w:eastAsia="en-US"/>
              </w:rPr>
              <w:t>Deterministic sensitivity analysis range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F28A" w14:textId="77777777" w:rsidR="00092048" w:rsidRDefault="00092048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092048" w14:paraId="3EA0306F" w14:textId="77777777" w:rsidTr="00EC5756">
        <w:trPr>
          <w:trHeight w:val="49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E352" w14:textId="1BEE006C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Oedema Risk</w:t>
            </w:r>
            <w:r w:rsidR="006D2DE7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(%)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978E" w14:textId="4D6AFEEA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0976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DCC5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  <w:tr w:rsidR="00092048" w14:paraId="68040DF7" w14:textId="77777777" w:rsidTr="00EC5756">
        <w:trPr>
          <w:trHeight w:val="49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D503" w14:textId="37C0C5C4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Hypoglycemia Risk</w:t>
            </w:r>
            <w:r w:rsidR="006D2DE7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(%)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A0E5" w14:textId="796FB476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bookmarkStart w:id="0" w:name="_Hlk41242736"/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3.94</w:t>
            </w:r>
            <w:bookmarkEnd w:id="0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2BA3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D9C4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Beta</w:t>
            </w:r>
          </w:p>
        </w:tc>
      </w:tr>
      <w:tr w:rsidR="00092048" w14:paraId="3180C648" w14:textId="77777777" w:rsidTr="00EC5756">
        <w:trPr>
          <w:trHeight w:val="49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DCB" w14:textId="1441708B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Hip Fracture Risk</w:t>
            </w:r>
            <w:r w:rsidR="006D2DE7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(%)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489F" w14:textId="2D873593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99D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5B4E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  <w:tr w:rsidR="00092048" w14:paraId="7296FCB5" w14:textId="77777777" w:rsidTr="00EC5756">
        <w:trPr>
          <w:trHeight w:val="49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73E" w14:textId="142696C0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Non-Compliance</w:t>
            </w:r>
            <w:r w:rsidR="006D2DE7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Risk</w:t>
            </w:r>
            <w:r w:rsidR="006D2DE7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*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EC42" w14:textId="371F2145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656F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3BC6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  <w:tr w:rsidR="00092048" w14:paraId="3D7FC8C7" w14:textId="77777777" w:rsidTr="00EC5756">
        <w:trPr>
          <w:trHeight w:val="49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E73" w14:textId="32D7B138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Weight gain</w:t>
            </w:r>
            <w:r w:rsidR="00AC29CD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(kg)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786C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B0CE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CC7D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  <w:tr w:rsidR="00092048" w14:paraId="204CF540" w14:textId="77777777" w:rsidTr="00EC5756">
        <w:trPr>
          <w:trHeight w:val="49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4D63" w14:textId="5754982C" w:rsidR="00092048" w:rsidRDefault="00AC29CD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Deterioration</w:t>
            </w:r>
            <w:r w:rsidR="00092048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in TC: HDL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 (%)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9AA" w14:textId="58BCE5DF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7B68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3E04" w14:textId="77777777" w:rsidR="00092048" w:rsidRDefault="000920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Fixed</w:t>
            </w:r>
          </w:p>
        </w:tc>
      </w:tr>
    </w:tbl>
    <w:p w14:paraId="2278FC46" w14:textId="77777777" w:rsidR="006F0628" w:rsidRDefault="00092048" w:rsidP="006F0628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* % of patients with reduced drug dose and increase in HbA1c</w:t>
      </w:r>
      <w:r w:rsidR="006F06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. </w:t>
      </w:r>
      <w:r w:rsidR="006F062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TC:HDL (total cholesterol: high-density lipoproteins)</w:t>
      </w:r>
    </w:p>
    <w:p w14:paraId="43694AE7" w14:textId="1672BB8F" w:rsidR="00092048" w:rsidRDefault="00092048" w:rsidP="00092048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396B51AA" w14:textId="77777777" w:rsidR="00092048" w:rsidRDefault="00092048" w:rsidP="00092048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2638A5C2" w14:textId="77777777" w:rsidR="00BE05D8" w:rsidRDefault="006F0628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48"/>
    <w:rsid w:val="00092048"/>
    <w:rsid w:val="00192F7A"/>
    <w:rsid w:val="006023B7"/>
    <w:rsid w:val="006D2DE7"/>
    <w:rsid w:val="006F0628"/>
    <w:rsid w:val="00AC29CD"/>
    <w:rsid w:val="00AF693F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437C8"/>
  <w15:chartTrackingRefBased/>
  <w15:docId w15:val="{A64A1189-CE10-8841-B625-B0960DA3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4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920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3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B7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2020-09-07T19:03:00Z</dcterms:created>
  <dcterms:modified xsi:type="dcterms:W3CDTF">2020-09-07T19:03:00Z</dcterms:modified>
</cp:coreProperties>
</file>