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46425" w14:textId="5C73E91E" w:rsidR="00E878BC" w:rsidRPr="00304CA8" w:rsidRDefault="00030268">
      <w:pPr>
        <w:rPr>
          <w:rFonts w:ascii="Arial" w:hAnsi="Arial" w:cs="Arial"/>
        </w:rPr>
      </w:pPr>
      <w:r w:rsidRPr="00304CA8">
        <w:rPr>
          <w:rFonts w:ascii="Arial" w:hAnsi="Arial" w:cs="Arial"/>
        </w:rPr>
        <w:t>Preparation for Practice</w:t>
      </w:r>
      <w:r w:rsidR="00304CA8">
        <w:rPr>
          <w:rFonts w:ascii="Arial" w:hAnsi="Arial" w:cs="Arial"/>
        </w:rPr>
        <w:t xml:space="preserve"> Teaching Programme</w:t>
      </w:r>
    </w:p>
    <w:p w14:paraId="0ED10CC3" w14:textId="77777777" w:rsidR="00030268" w:rsidRPr="00304CA8" w:rsidRDefault="00030268">
      <w:pPr>
        <w:rPr>
          <w:rFonts w:ascii="Arial" w:hAnsi="Arial" w:cs="Arial"/>
        </w:rPr>
      </w:pPr>
    </w:p>
    <w:p w14:paraId="2F36C589" w14:textId="2DCB7B41" w:rsidR="00B20062" w:rsidRPr="00304CA8" w:rsidRDefault="00B20062">
      <w:pPr>
        <w:rPr>
          <w:rFonts w:ascii="Arial" w:hAnsi="Arial" w:cs="Arial"/>
        </w:rPr>
      </w:pPr>
      <w:r w:rsidRPr="00304CA8">
        <w:rPr>
          <w:rFonts w:ascii="Arial" w:hAnsi="Arial" w:cs="Arial"/>
        </w:rPr>
        <w:t>What problem was addressed</w:t>
      </w:r>
    </w:p>
    <w:p w14:paraId="12EBDBA3" w14:textId="04DD6595" w:rsidR="00B20062" w:rsidRPr="00304CA8" w:rsidRDefault="00C15A9F" w:rsidP="00B20062">
      <w:pPr>
        <w:shd w:val="clear" w:color="auto" w:fill="FFFFFF"/>
        <w:spacing w:before="100" w:beforeAutospacing="1" w:after="100" w:afterAutospacing="1"/>
        <w:jc w:val="both"/>
        <w:rPr>
          <w:rFonts w:ascii="Arial" w:eastAsia="Times New Roman" w:hAnsi="Arial" w:cs="Arial"/>
          <w:color w:val="171717"/>
          <w:lang w:eastAsia="en-GB"/>
        </w:rPr>
      </w:pPr>
      <w:r>
        <w:rPr>
          <w:rFonts w:ascii="Arial" w:eastAsia="Times New Roman" w:hAnsi="Arial" w:cs="Arial"/>
          <w:color w:val="171717"/>
          <w:lang w:eastAsia="en-GB"/>
        </w:rPr>
        <w:t xml:space="preserve">There is evidence that </w:t>
      </w:r>
      <w:r w:rsidR="00B20062" w:rsidRPr="00304CA8">
        <w:rPr>
          <w:rFonts w:ascii="Arial" w:eastAsia="Times New Roman" w:hAnsi="Arial" w:cs="Arial"/>
          <w:color w:val="171717"/>
          <w:lang w:eastAsia="en-GB"/>
        </w:rPr>
        <w:t xml:space="preserve">Medical schools </w:t>
      </w:r>
      <w:r>
        <w:rPr>
          <w:rFonts w:ascii="Arial" w:eastAsia="Times New Roman" w:hAnsi="Arial" w:cs="Arial"/>
          <w:color w:val="171717"/>
          <w:lang w:eastAsia="en-GB"/>
        </w:rPr>
        <w:t xml:space="preserve">programmes may not adequately </w:t>
      </w:r>
      <w:r w:rsidR="00B20062" w:rsidRPr="00304CA8">
        <w:rPr>
          <w:rFonts w:ascii="Arial" w:eastAsia="Times New Roman" w:hAnsi="Arial" w:cs="Arial"/>
          <w:color w:val="171717"/>
          <w:lang w:eastAsia="en-GB"/>
        </w:rPr>
        <w:t>prepar</w:t>
      </w:r>
      <w:r>
        <w:rPr>
          <w:rFonts w:ascii="Arial" w:eastAsia="Times New Roman" w:hAnsi="Arial" w:cs="Arial"/>
          <w:color w:val="171717"/>
          <w:lang w:eastAsia="en-GB"/>
        </w:rPr>
        <w:t>e</w:t>
      </w:r>
      <w:r w:rsidR="00B20062" w:rsidRPr="00304CA8">
        <w:rPr>
          <w:rFonts w:ascii="Arial" w:eastAsia="Times New Roman" w:hAnsi="Arial" w:cs="Arial"/>
          <w:color w:val="171717"/>
          <w:lang w:eastAsia="en-GB"/>
        </w:rPr>
        <w:t xml:space="preserve"> students for </w:t>
      </w:r>
      <w:r w:rsidR="00304CA8" w:rsidRPr="00304CA8">
        <w:rPr>
          <w:rFonts w:ascii="Arial" w:eastAsia="Times New Roman" w:hAnsi="Arial" w:cs="Arial"/>
          <w:color w:val="171717"/>
          <w:lang w:eastAsia="en-GB"/>
        </w:rPr>
        <w:t>work as</w:t>
      </w:r>
      <w:r w:rsidR="00B20062" w:rsidRPr="00304CA8">
        <w:rPr>
          <w:rFonts w:ascii="Arial" w:eastAsia="Times New Roman" w:hAnsi="Arial" w:cs="Arial"/>
          <w:color w:val="171717"/>
          <w:lang w:eastAsia="en-GB"/>
        </w:rPr>
        <w:t xml:space="preserve"> doctors.</w:t>
      </w:r>
      <w:r w:rsidR="0064780D">
        <w:rPr>
          <w:rFonts w:ascii="Arial" w:eastAsia="Times New Roman" w:hAnsi="Arial" w:cs="Arial"/>
          <w:color w:val="171717"/>
          <w:lang w:eastAsia="en-GB"/>
        </w:rPr>
        <w:fldChar w:fldCharType="begin"/>
      </w:r>
      <w:r w:rsidR="0064780D">
        <w:rPr>
          <w:rFonts w:ascii="Arial" w:eastAsia="Times New Roman" w:hAnsi="Arial" w:cs="Arial"/>
          <w:color w:val="171717"/>
          <w:lang w:eastAsia="en-GB"/>
        </w:rPr>
        <w:instrText xml:space="preserve"> ADDIN EN.CITE &lt;EndNote&gt;&lt;Cite&gt;&lt;Author&gt;Cameron&lt;/Author&gt;&lt;Year&gt;2014&lt;/Year&gt;&lt;RecNum&gt;30&lt;/RecNum&gt;&lt;DisplayText&gt;(1)&lt;/DisplayText&gt;&lt;record&gt;&lt;rec-number&gt;30&lt;/rec-number&gt;&lt;foreign-keys&gt;&lt;key app="EN" db-id="xes29dped2zzvfeerv3p9a9ztpr25d2sv0w5" timestamp="1586166247"&gt;30&lt;/key&gt;&lt;/foreign-keys&gt;&lt;ref-type name="Journal Article"&gt;17&lt;/ref-type&gt;&lt;contributors&gt;&lt;authors&gt;&lt;author&gt;Cameron, Alexander&lt;/author&gt;&lt;author&gt;Millar, James&lt;/author&gt;&lt;author&gt;Szmidt, Natasha&lt;/author&gt;&lt;author&gt;Hanlon, Katie&lt;/author&gt;&lt;author&gt;Cleland, Jennifer&lt;/author&gt;&lt;/authors&gt;&lt;/contributors&gt;&lt;titles&gt;&lt;title&gt;Can new doctors be prepared for practice? A review&lt;/title&gt;&lt;secondary-title&gt;The Clinical Teacher&lt;/secondary-title&gt;&lt;/titles&gt;&lt;periodical&gt;&lt;full-title&gt;The Clinical Teacher&lt;/full-title&gt;&lt;/periodical&gt;&lt;pages&gt;188-192&lt;/pages&gt;&lt;volume&gt;11&lt;/volume&gt;&lt;number&gt;3&lt;/number&gt;&lt;dates&gt;&lt;year&gt;2014&lt;/year&gt;&lt;pub-dates&gt;&lt;date&gt;2014/06/01&lt;/date&gt;&lt;/pub-dates&gt;&lt;/dates&gt;&lt;publisher&gt;John Wiley &amp;amp; Sons, Ltd&lt;/publisher&gt;&lt;isbn&gt;1743-4971&lt;/isbn&gt;&lt;urls&gt;&lt;related-urls&gt;&lt;url&gt;https://doi.org/10.1111/tct.12127&lt;/url&gt;&lt;/related-urls&gt;&lt;/urls&gt;&lt;electronic-resource-num&gt;10.1111/tct.12127&lt;/electronic-resource-num&gt;&lt;access-date&gt;2020/04/06&lt;/access-date&gt;&lt;/record&gt;&lt;/Cite&gt;&lt;/EndNote&gt;</w:instrText>
      </w:r>
      <w:r w:rsidR="0064780D">
        <w:rPr>
          <w:rFonts w:ascii="Arial" w:eastAsia="Times New Roman" w:hAnsi="Arial" w:cs="Arial"/>
          <w:color w:val="171717"/>
          <w:lang w:eastAsia="en-GB"/>
        </w:rPr>
        <w:fldChar w:fldCharType="separate"/>
      </w:r>
      <w:r w:rsidR="0064780D">
        <w:rPr>
          <w:rFonts w:ascii="Arial" w:eastAsia="Times New Roman" w:hAnsi="Arial" w:cs="Arial"/>
          <w:noProof/>
          <w:color w:val="171717"/>
          <w:lang w:eastAsia="en-GB"/>
        </w:rPr>
        <w:t>(1)</w:t>
      </w:r>
      <w:r w:rsidR="0064780D">
        <w:rPr>
          <w:rFonts w:ascii="Arial" w:eastAsia="Times New Roman" w:hAnsi="Arial" w:cs="Arial"/>
          <w:color w:val="171717"/>
          <w:lang w:eastAsia="en-GB"/>
        </w:rPr>
        <w:fldChar w:fldCharType="end"/>
      </w:r>
      <w:r w:rsidR="00322247">
        <w:rPr>
          <w:rFonts w:ascii="Arial" w:eastAsia="Times New Roman" w:hAnsi="Arial" w:cs="Arial"/>
          <w:color w:val="171717"/>
          <w:lang w:eastAsia="en-GB"/>
        </w:rPr>
        <w:t xml:space="preserve"> </w:t>
      </w:r>
      <w:r w:rsidR="00631F62">
        <w:rPr>
          <w:rFonts w:ascii="Arial" w:eastAsia="Times New Roman" w:hAnsi="Arial" w:cs="Arial"/>
          <w:color w:val="171717"/>
          <w:lang w:eastAsia="en-GB"/>
        </w:rPr>
        <w:t>T</w:t>
      </w:r>
      <w:r w:rsidR="00B20062" w:rsidRPr="00304CA8">
        <w:rPr>
          <w:rFonts w:ascii="Arial" w:eastAsia="Times New Roman" w:hAnsi="Arial" w:cs="Arial"/>
          <w:color w:val="171717"/>
          <w:lang w:eastAsia="en-GB"/>
        </w:rPr>
        <w:t>he UK</w:t>
      </w:r>
      <w:r w:rsidR="00631F62">
        <w:rPr>
          <w:rFonts w:ascii="Arial" w:eastAsia="Times New Roman" w:hAnsi="Arial" w:cs="Arial"/>
          <w:color w:val="171717"/>
          <w:lang w:eastAsia="en-GB"/>
        </w:rPr>
        <w:t xml:space="preserve"> </w:t>
      </w:r>
      <w:r w:rsidR="00B20062" w:rsidRPr="00304CA8">
        <w:rPr>
          <w:rFonts w:ascii="Arial" w:eastAsia="Times New Roman" w:hAnsi="Arial" w:cs="Arial"/>
          <w:color w:val="171717"/>
          <w:lang w:eastAsia="en-GB"/>
        </w:rPr>
        <w:t xml:space="preserve">GMC </w:t>
      </w:r>
      <w:r w:rsidR="00631F62">
        <w:rPr>
          <w:rFonts w:ascii="Arial" w:eastAsia="Times New Roman" w:hAnsi="Arial" w:cs="Arial"/>
          <w:color w:val="171717"/>
          <w:lang w:eastAsia="en-GB"/>
        </w:rPr>
        <w:t xml:space="preserve">has </w:t>
      </w:r>
      <w:r w:rsidR="00B20062" w:rsidRPr="00304CA8">
        <w:rPr>
          <w:rFonts w:ascii="Arial" w:eastAsia="Times New Roman" w:hAnsi="Arial" w:cs="Arial"/>
          <w:color w:val="171717"/>
          <w:lang w:eastAsia="en-GB"/>
        </w:rPr>
        <w:t>push</w:t>
      </w:r>
      <w:r w:rsidR="00631F62">
        <w:rPr>
          <w:rFonts w:ascii="Arial" w:eastAsia="Times New Roman" w:hAnsi="Arial" w:cs="Arial"/>
          <w:color w:val="171717"/>
          <w:lang w:eastAsia="en-GB"/>
        </w:rPr>
        <w:t>ed</w:t>
      </w:r>
      <w:r w:rsidR="00B20062" w:rsidRPr="00304CA8">
        <w:rPr>
          <w:rFonts w:ascii="Arial" w:eastAsia="Times New Roman" w:hAnsi="Arial" w:cs="Arial"/>
          <w:color w:val="171717"/>
          <w:lang w:eastAsia="en-GB"/>
        </w:rPr>
        <w:t xml:space="preserve"> for better preparation.</w:t>
      </w:r>
      <w:r w:rsidR="00322247">
        <w:rPr>
          <w:rFonts w:ascii="Arial" w:eastAsia="Times New Roman" w:hAnsi="Arial" w:cs="Arial"/>
          <w:color w:val="171717"/>
          <w:lang w:eastAsia="en-GB"/>
        </w:rPr>
        <w:t xml:space="preserve"> </w:t>
      </w:r>
      <w:r w:rsidR="00B20062" w:rsidRPr="00304CA8">
        <w:rPr>
          <w:rFonts w:ascii="Arial" w:eastAsia="Times New Roman" w:hAnsi="Arial" w:cs="Arial"/>
          <w:color w:val="171717"/>
          <w:lang w:eastAsia="en-GB"/>
        </w:rPr>
        <w:t>We describe a campus-based teaching programme, delivered at University College London, which aims to prepare 4</w:t>
      </w:r>
      <w:r w:rsidR="00B20062" w:rsidRPr="00304CA8">
        <w:rPr>
          <w:rFonts w:ascii="Arial" w:eastAsia="Times New Roman" w:hAnsi="Arial" w:cs="Arial"/>
          <w:color w:val="171717"/>
          <w:vertAlign w:val="superscript"/>
          <w:lang w:eastAsia="en-GB"/>
        </w:rPr>
        <w:t>th</w:t>
      </w:r>
      <w:r w:rsidR="00B20062" w:rsidRPr="00304CA8">
        <w:rPr>
          <w:rFonts w:ascii="Arial" w:eastAsia="Times New Roman" w:hAnsi="Arial" w:cs="Arial"/>
          <w:color w:val="171717"/>
          <w:lang w:eastAsia="en-GB"/>
        </w:rPr>
        <w:t xml:space="preserve"> year students for practice across community &amp; hospital settings.</w:t>
      </w:r>
    </w:p>
    <w:p w14:paraId="148997EC" w14:textId="368A4127" w:rsidR="00B20062" w:rsidRPr="00304CA8" w:rsidRDefault="00B20062">
      <w:pPr>
        <w:rPr>
          <w:rFonts w:ascii="Arial" w:hAnsi="Arial" w:cs="Arial"/>
        </w:rPr>
      </w:pPr>
      <w:r w:rsidRPr="00304CA8">
        <w:rPr>
          <w:rFonts w:ascii="Arial" w:hAnsi="Arial" w:cs="Arial"/>
        </w:rPr>
        <w:t>What was tried</w:t>
      </w:r>
    </w:p>
    <w:p w14:paraId="7C11947C" w14:textId="3C8ECB0A" w:rsidR="00B20062" w:rsidRPr="00304CA8" w:rsidRDefault="00631F62" w:rsidP="00B20062">
      <w:pPr>
        <w:shd w:val="clear" w:color="auto" w:fill="FFFFFF"/>
        <w:spacing w:before="100" w:beforeAutospacing="1" w:after="100" w:afterAutospacing="1"/>
        <w:jc w:val="both"/>
        <w:rPr>
          <w:rFonts w:ascii="Arial" w:eastAsia="Times New Roman" w:hAnsi="Arial" w:cs="Arial"/>
          <w:color w:val="000000" w:themeColor="text1"/>
          <w:lang w:eastAsia="en-GB"/>
        </w:rPr>
      </w:pPr>
      <w:r>
        <w:rPr>
          <w:rFonts w:ascii="Arial" w:eastAsia="Times New Roman" w:hAnsi="Arial" w:cs="Arial"/>
          <w:color w:val="171717"/>
          <w:lang w:eastAsia="en-GB"/>
        </w:rPr>
        <w:t>“</w:t>
      </w:r>
      <w:r w:rsidR="00B20062" w:rsidRPr="00304CA8">
        <w:rPr>
          <w:rFonts w:ascii="Arial" w:eastAsia="Times New Roman" w:hAnsi="Arial" w:cs="Arial"/>
          <w:color w:val="171717"/>
          <w:lang w:eastAsia="en-GB"/>
        </w:rPr>
        <w:t>Preparation for Practic</w:t>
      </w:r>
      <w:r w:rsidR="00322247">
        <w:rPr>
          <w:rFonts w:ascii="Arial" w:eastAsia="Times New Roman" w:hAnsi="Arial" w:cs="Arial"/>
          <w:color w:val="171717"/>
          <w:lang w:eastAsia="en-GB"/>
        </w:rPr>
        <w:t>e</w:t>
      </w:r>
      <w:r>
        <w:rPr>
          <w:rFonts w:ascii="Arial" w:eastAsia="Times New Roman" w:hAnsi="Arial" w:cs="Arial"/>
          <w:color w:val="171717"/>
          <w:lang w:eastAsia="en-GB"/>
        </w:rPr>
        <w:t>”</w:t>
      </w:r>
      <w:r w:rsidR="00B20062" w:rsidRPr="00304CA8">
        <w:rPr>
          <w:rFonts w:ascii="Arial" w:eastAsia="Times New Roman" w:hAnsi="Arial" w:cs="Arial"/>
          <w:color w:val="171717"/>
          <w:lang w:eastAsia="en-GB"/>
        </w:rPr>
        <w:t xml:space="preserve"> </w:t>
      </w:r>
      <w:r w:rsidR="00304CA8" w:rsidRPr="00304CA8">
        <w:rPr>
          <w:rFonts w:ascii="Arial" w:eastAsia="Times New Roman" w:hAnsi="Arial" w:cs="Arial"/>
          <w:color w:val="171717"/>
          <w:lang w:eastAsia="en-GB"/>
        </w:rPr>
        <w:t>is a week-long programme</w:t>
      </w:r>
      <w:r w:rsidR="00304CA8">
        <w:rPr>
          <w:rFonts w:ascii="Arial" w:eastAsia="Times New Roman" w:hAnsi="Arial" w:cs="Arial"/>
          <w:color w:val="171717"/>
          <w:lang w:eastAsia="en-GB"/>
        </w:rPr>
        <w:t xml:space="preserve"> that started </w:t>
      </w:r>
      <w:r w:rsidR="00B20062" w:rsidRPr="00304CA8">
        <w:rPr>
          <w:rFonts w:ascii="Arial" w:eastAsia="Times New Roman" w:hAnsi="Arial" w:cs="Arial"/>
          <w:color w:val="171717"/>
          <w:lang w:eastAsia="en-GB"/>
        </w:rPr>
        <w:t xml:space="preserve">in </w:t>
      </w:r>
      <w:r w:rsidR="00B20062" w:rsidRPr="00322247">
        <w:rPr>
          <w:rFonts w:ascii="Arial" w:eastAsia="Times New Roman" w:hAnsi="Arial" w:cs="Arial"/>
          <w:color w:val="171717"/>
          <w:lang w:eastAsia="en-GB"/>
        </w:rPr>
        <w:t>201</w:t>
      </w:r>
      <w:r w:rsidR="00322247">
        <w:rPr>
          <w:rFonts w:ascii="Arial" w:eastAsia="Times New Roman" w:hAnsi="Arial" w:cs="Arial"/>
          <w:color w:val="171717"/>
          <w:lang w:eastAsia="en-GB"/>
        </w:rPr>
        <w:t>2.</w:t>
      </w:r>
      <w:r w:rsidR="00B20062" w:rsidRPr="00304CA8">
        <w:rPr>
          <w:rFonts w:ascii="Arial" w:eastAsia="Times New Roman" w:hAnsi="Arial" w:cs="Arial"/>
          <w:color w:val="171717"/>
          <w:lang w:eastAsia="en-GB"/>
        </w:rPr>
        <w:t xml:space="preserve"> </w:t>
      </w:r>
      <w:r w:rsidR="004F0D0B">
        <w:rPr>
          <w:rFonts w:ascii="Arial" w:eastAsia="Times New Roman" w:hAnsi="Arial" w:cs="Arial"/>
          <w:color w:val="171717"/>
          <w:lang w:eastAsia="en-GB"/>
        </w:rPr>
        <w:t>I</w:t>
      </w:r>
      <w:r w:rsidR="00B20062" w:rsidRPr="00304CA8">
        <w:rPr>
          <w:rFonts w:ascii="Arial" w:eastAsia="Times New Roman" w:hAnsi="Arial" w:cs="Arial"/>
          <w:color w:val="171717"/>
          <w:lang w:eastAsia="en-GB"/>
        </w:rPr>
        <w:t xml:space="preserve">n the first session students encounter four clinical </w:t>
      </w:r>
      <w:r w:rsidR="00322247">
        <w:rPr>
          <w:rFonts w:ascii="Arial" w:eastAsia="Times New Roman" w:hAnsi="Arial" w:cs="Arial"/>
          <w:color w:val="171717"/>
          <w:lang w:eastAsia="en-GB"/>
        </w:rPr>
        <w:t>patient-based</w:t>
      </w:r>
      <w:r w:rsidR="004F0D0B">
        <w:rPr>
          <w:rFonts w:ascii="Arial" w:eastAsia="Times New Roman" w:hAnsi="Arial" w:cs="Arial"/>
          <w:color w:val="171717"/>
          <w:lang w:eastAsia="en-GB"/>
        </w:rPr>
        <w:t xml:space="preserve"> </w:t>
      </w:r>
      <w:r w:rsidR="00B20062" w:rsidRPr="00304CA8">
        <w:rPr>
          <w:rFonts w:ascii="Arial" w:eastAsia="Times New Roman" w:hAnsi="Arial" w:cs="Arial"/>
          <w:color w:val="171717"/>
          <w:lang w:eastAsia="en-GB"/>
        </w:rPr>
        <w:t xml:space="preserve">scenarios in </w:t>
      </w:r>
      <w:r w:rsidR="00322247">
        <w:rPr>
          <w:rFonts w:ascii="Arial" w:eastAsia="Times New Roman" w:hAnsi="Arial" w:cs="Arial"/>
          <w:color w:val="171717"/>
          <w:lang w:eastAsia="en-GB"/>
        </w:rPr>
        <w:t xml:space="preserve">a </w:t>
      </w:r>
      <w:r w:rsidR="004F0D0B">
        <w:rPr>
          <w:rFonts w:ascii="Arial" w:eastAsia="Times New Roman" w:hAnsi="Arial" w:cs="Arial"/>
          <w:color w:val="171717"/>
          <w:lang w:eastAsia="en-GB"/>
        </w:rPr>
        <w:t>general practice</w:t>
      </w:r>
      <w:r w:rsidR="00B20062" w:rsidRPr="00304CA8">
        <w:rPr>
          <w:rFonts w:ascii="Arial" w:eastAsia="Times New Roman" w:hAnsi="Arial" w:cs="Arial"/>
          <w:color w:val="171717"/>
          <w:lang w:eastAsia="en-GB"/>
        </w:rPr>
        <w:t xml:space="preserve"> setting. </w:t>
      </w:r>
      <w:r>
        <w:rPr>
          <w:rFonts w:ascii="Arial" w:eastAsia="Times New Roman" w:hAnsi="Arial" w:cs="Arial"/>
          <w:color w:val="171717"/>
          <w:lang w:eastAsia="en-GB"/>
        </w:rPr>
        <w:t>D</w:t>
      </w:r>
      <w:r w:rsidR="00B20062" w:rsidRPr="00304CA8">
        <w:rPr>
          <w:rFonts w:ascii="Arial" w:eastAsia="Times New Roman" w:hAnsi="Arial" w:cs="Arial"/>
          <w:color w:val="171717"/>
          <w:lang w:eastAsia="en-GB"/>
        </w:rPr>
        <w:t xml:space="preserve">uring the week all four patients require a hospital admission. The cases include a young person with meningitis, a middle-aged person at high risk of diabetes who has an MI, an older person with pneumonia and a young person with depression who takes an overdose. </w:t>
      </w:r>
      <w:r w:rsidR="00B20062" w:rsidRPr="00304CA8">
        <w:rPr>
          <w:rFonts w:ascii="Arial" w:eastAsia="Times New Roman" w:hAnsi="Arial" w:cs="Arial"/>
          <w:color w:val="000000" w:themeColor="text1"/>
          <w:lang w:eastAsia="en-GB"/>
        </w:rPr>
        <w:t>In these cases, the students gain experience in history taking, making a diagnosis</w:t>
      </w:r>
      <w:r w:rsidR="004F0D0B">
        <w:rPr>
          <w:rFonts w:ascii="Arial" w:eastAsia="Times New Roman" w:hAnsi="Arial" w:cs="Arial"/>
          <w:color w:val="000000" w:themeColor="text1"/>
          <w:lang w:eastAsia="en-GB"/>
        </w:rPr>
        <w:t>, assessing risk</w:t>
      </w:r>
      <w:r w:rsidR="00322247">
        <w:rPr>
          <w:rFonts w:ascii="Arial" w:eastAsia="Times New Roman" w:hAnsi="Arial" w:cs="Arial"/>
          <w:color w:val="000000" w:themeColor="text1"/>
          <w:lang w:eastAsia="en-GB"/>
        </w:rPr>
        <w:t>,</w:t>
      </w:r>
      <w:r w:rsidR="00B20062" w:rsidRPr="00304CA8">
        <w:rPr>
          <w:rFonts w:ascii="Arial" w:eastAsia="Times New Roman" w:hAnsi="Arial" w:cs="Arial"/>
          <w:color w:val="000000" w:themeColor="text1"/>
          <w:lang w:eastAsia="en-GB"/>
        </w:rPr>
        <w:t xml:space="preserve"> and referring unwell patients to </w:t>
      </w:r>
      <w:r w:rsidR="00304CA8">
        <w:rPr>
          <w:rFonts w:ascii="Arial" w:eastAsia="Times New Roman" w:hAnsi="Arial" w:cs="Arial"/>
          <w:color w:val="000000" w:themeColor="text1"/>
          <w:lang w:eastAsia="en-GB"/>
        </w:rPr>
        <w:t>hospital</w:t>
      </w:r>
      <w:r w:rsidR="00B20062" w:rsidRPr="00304CA8">
        <w:rPr>
          <w:rFonts w:ascii="Arial" w:eastAsia="Times New Roman" w:hAnsi="Arial" w:cs="Arial"/>
          <w:color w:val="000000" w:themeColor="text1"/>
          <w:lang w:eastAsia="en-GB"/>
        </w:rPr>
        <w:t>.</w:t>
      </w:r>
    </w:p>
    <w:p w14:paraId="497A5B59" w14:textId="4D10042A" w:rsidR="00B20062" w:rsidRPr="00304CA8" w:rsidRDefault="00B20062" w:rsidP="00B20062">
      <w:pPr>
        <w:shd w:val="clear" w:color="auto" w:fill="FFFFFF"/>
        <w:spacing w:before="100" w:beforeAutospacing="1" w:after="100" w:afterAutospacing="1"/>
        <w:jc w:val="both"/>
        <w:rPr>
          <w:rFonts w:ascii="Arial" w:eastAsia="Times New Roman" w:hAnsi="Arial" w:cs="Arial"/>
          <w:color w:val="171717"/>
          <w:lang w:eastAsia="en-GB"/>
        </w:rPr>
      </w:pPr>
      <w:r w:rsidRPr="00304CA8">
        <w:rPr>
          <w:rFonts w:ascii="Arial" w:eastAsia="Times New Roman" w:hAnsi="Arial" w:cs="Arial"/>
          <w:color w:val="171717"/>
          <w:lang w:eastAsia="en-GB"/>
        </w:rPr>
        <w:t xml:space="preserve">The students follow the patients’ journeys through hospital where they cover Advance Life Support, handover, prescribing, and writing discharge summaries. In the final session, the patients have been discharged and the students review them back in the community. Here they engage in issues such as continuity of care, risk prevention, </w:t>
      </w:r>
      <w:r w:rsidR="001B5C8B">
        <w:rPr>
          <w:rFonts w:ascii="Arial" w:eastAsia="Times New Roman" w:hAnsi="Arial" w:cs="Arial"/>
          <w:color w:val="171717"/>
          <w:lang w:eastAsia="en-GB"/>
        </w:rPr>
        <w:t xml:space="preserve">fit </w:t>
      </w:r>
      <w:r w:rsidR="001B5C8B" w:rsidRPr="00304CA8">
        <w:rPr>
          <w:rFonts w:ascii="Arial" w:eastAsia="Times New Roman" w:hAnsi="Arial" w:cs="Arial"/>
          <w:color w:val="171717"/>
          <w:lang w:eastAsia="en-GB"/>
        </w:rPr>
        <w:t>notes</w:t>
      </w:r>
      <w:r w:rsidR="004F0D0B">
        <w:rPr>
          <w:rFonts w:ascii="Arial" w:eastAsia="Times New Roman" w:hAnsi="Arial" w:cs="Arial"/>
          <w:color w:val="171717"/>
          <w:lang w:eastAsia="en-GB"/>
        </w:rPr>
        <w:t xml:space="preserve"> (Med3)</w:t>
      </w:r>
      <w:r w:rsidRPr="00304CA8">
        <w:rPr>
          <w:rFonts w:ascii="Arial" w:eastAsia="Times New Roman" w:hAnsi="Arial" w:cs="Arial"/>
          <w:color w:val="171717"/>
          <w:lang w:eastAsia="en-GB"/>
        </w:rPr>
        <w:t xml:space="preserve">, complaints and discussions around </w:t>
      </w:r>
      <w:r w:rsidR="00C15A9F">
        <w:rPr>
          <w:rFonts w:ascii="Arial" w:eastAsia="Times New Roman" w:hAnsi="Arial" w:cs="Arial"/>
          <w:color w:val="171717"/>
          <w:lang w:eastAsia="en-GB"/>
        </w:rPr>
        <w:t>“</w:t>
      </w:r>
      <w:r w:rsidR="004F0D0B">
        <w:rPr>
          <w:rFonts w:ascii="Arial" w:eastAsia="Times New Roman" w:hAnsi="Arial" w:cs="Arial"/>
          <w:color w:val="171717"/>
          <w:lang w:eastAsia="en-GB"/>
        </w:rPr>
        <w:t>Do not attempt resuscitation</w:t>
      </w:r>
      <w:r w:rsidR="00C15A9F">
        <w:rPr>
          <w:rFonts w:ascii="Arial" w:eastAsia="Times New Roman" w:hAnsi="Arial" w:cs="Arial"/>
          <w:color w:val="171717"/>
          <w:lang w:eastAsia="en-GB"/>
        </w:rPr>
        <w:t>”</w:t>
      </w:r>
      <w:r w:rsidR="004F0D0B">
        <w:rPr>
          <w:rFonts w:ascii="Arial" w:eastAsia="Times New Roman" w:hAnsi="Arial" w:cs="Arial"/>
          <w:color w:val="171717"/>
          <w:lang w:eastAsia="en-GB"/>
        </w:rPr>
        <w:t xml:space="preserve"> decisions (</w:t>
      </w:r>
      <w:r w:rsidRPr="00304CA8">
        <w:rPr>
          <w:rFonts w:ascii="Arial" w:eastAsia="Times New Roman" w:hAnsi="Arial" w:cs="Arial"/>
          <w:color w:val="171717"/>
          <w:lang w:eastAsia="en-GB"/>
        </w:rPr>
        <w:t>DNAR</w:t>
      </w:r>
      <w:r w:rsidR="004F0D0B">
        <w:rPr>
          <w:rFonts w:ascii="Arial" w:eastAsia="Times New Roman" w:hAnsi="Arial" w:cs="Arial"/>
          <w:color w:val="171717"/>
          <w:lang w:eastAsia="en-GB"/>
        </w:rPr>
        <w:t>)</w:t>
      </w:r>
      <w:r w:rsidRPr="00304CA8">
        <w:rPr>
          <w:rFonts w:ascii="Arial" w:eastAsia="Times New Roman" w:hAnsi="Arial" w:cs="Arial"/>
          <w:color w:val="171717"/>
          <w:lang w:eastAsia="en-GB"/>
        </w:rPr>
        <w:t>.</w:t>
      </w:r>
    </w:p>
    <w:p w14:paraId="760F3A5F" w14:textId="448E572A" w:rsidR="00B20062" w:rsidRPr="00304CA8" w:rsidRDefault="00B20062" w:rsidP="00B20062">
      <w:pPr>
        <w:shd w:val="clear" w:color="auto" w:fill="FFFFFF"/>
        <w:spacing w:before="100" w:beforeAutospacing="1" w:after="100" w:afterAutospacing="1"/>
        <w:jc w:val="both"/>
        <w:rPr>
          <w:rFonts w:ascii="Arial" w:eastAsia="Times New Roman" w:hAnsi="Arial" w:cs="Arial"/>
          <w:color w:val="171717"/>
          <w:lang w:eastAsia="en-GB"/>
        </w:rPr>
      </w:pPr>
      <w:r w:rsidRPr="00304CA8">
        <w:rPr>
          <w:rFonts w:ascii="Arial" w:hAnsi="Arial" w:cs="Arial"/>
        </w:rPr>
        <w:t xml:space="preserve">The programme is multidisciplinary and taught by </w:t>
      </w:r>
      <w:r w:rsidR="00631F62">
        <w:rPr>
          <w:rFonts w:ascii="Arial" w:hAnsi="Arial" w:cs="Arial"/>
        </w:rPr>
        <w:t>GP</w:t>
      </w:r>
      <w:r w:rsidR="00304CA8">
        <w:rPr>
          <w:rFonts w:ascii="Arial" w:hAnsi="Arial" w:cs="Arial"/>
        </w:rPr>
        <w:t>s</w:t>
      </w:r>
      <w:r w:rsidRPr="00304CA8">
        <w:rPr>
          <w:rFonts w:ascii="Arial" w:hAnsi="Arial" w:cs="Arial"/>
        </w:rPr>
        <w:t xml:space="preserve"> (and trainees), pharmacists, librarians, simulated patients and acute medical trainees. Sessions include role play, interactive sessions, self-directed learning and practical skills teaching. Questionnaires are used to evaluate each GP led session with free text questions and </w:t>
      </w:r>
      <w:r w:rsidR="004F0D0B">
        <w:rPr>
          <w:rFonts w:ascii="Arial" w:hAnsi="Arial" w:cs="Arial"/>
        </w:rPr>
        <w:t>L</w:t>
      </w:r>
      <w:r w:rsidRPr="00304CA8">
        <w:rPr>
          <w:rFonts w:ascii="Arial" w:hAnsi="Arial" w:cs="Arial"/>
        </w:rPr>
        <w:t xml:space="preserve">ikert scales at the end of each term to evaluate the week as a whole. </w:t>
      </w:r>
    </w:p>
    <w:p w14:paraId="7AD5EDD2" w14:textId="6FF6FAB1" w:rsidR="00B20062" w:rsidRPr="00304CA8" w:rsidRDefault="00B20062">
      <w:pPr>
        <w:rPr>
          <w:rFonts w:ascii="Arial" w:hAnsi="Arial" w:cs="Arial"/>
        </w:rPr>
      </w:pPr>
      <w:r w:rsidRPr="00304CA8">
        <w:rPr>
          <w:rFonts w:ascii="Arial" w:hAnsi="Arial" w:cs="Arial"/>
        </w:rPr>
        <w:t>What lessons were learnt</w:t>
      </w:r>
    </w:p>
    <w:p w14:paraId="278916D1" w14:textId="23B2BB3B" w:rsidR="00B20062" w:rsidRPr="00304CA8" w:rsidRDefault="00B20062" w:rsidP="00B20062">
      <w:pPr>
        <w:shd w:val="clear" w:color="auto" w:fill="FFFFFF"/>
        <w:spacing w:before="100" w:beforeAutospacing="1" w:after="100" w:afterAutospacing="1"/>
        <w:jc w:val="both"/>
        <w:rPr>
          <w:rFonts w:ascii="Arial" w:eastAsia="Times New Roman" w:hAnsi="Arial" w:cs="Arial"/>
          <w:color w:val="171717"/>
          <w:lang w:eastAsia="en-GB"/>
        </w:rPr>
      </w:pPr>
      <w:r w:rsidRPr="00304CA8">
        <w:rPr>
          <w:rFonts w:ascii="Arial" w:eastAsia="Times New Roman" w:hAnsi="Arial" w:cs="Arial"/>
          <w:color w:val="171717"/>
          <w:lang w:eastAsia="en-GB"/>
        </w:rPr>
        <w:t xml:space="preserve">Almost 100% of students provide feedback after each GP led session, allowing us to </w:t>
      </w:r>
      <w:r w:rsidR="00C15A9F">
        <w:rPr>
          <w:rFonts w:ascii="Arial" w:eastAsia="Times New Roman" w:hAnsi="Arial" w:cs="Arial"/>
          <w:color w:val="171717"/>
          <w:lang w:eastAsia="en-GB"/>
        </w:rPr>
        <w:t xml:space="preserve">continually </w:t>
      </w:r>
      <w:r w:rsidRPr="00304CA8">
        <w:rPr>
          <w:rFonts w:ascii="Arial" w:eastAsia="Times New Roman" w:hAnsi="Arial" w:cs="Arial"/>
          <w:color w:val="171717"/>
          <w:lang w:eastAsia="en-GB"/>
        </w:rPr>
        <w:t>improve the programme. We are also able to identify which elements of the course students’ value most. In particular, almost all students commented positively about the role</w:t>
      </w:r>
      <w:r w:rsidR="00322247">
        <w:rPr>
          <w:rFonts w:ascii="Arial" w:eastAsia="Times New Roman" w:hAnsi="Arial" w:cs="Arial"/>
          <w:color w:val="171717"/>
          <w:lang w:eastAsia="en-GB"/>
        </w:rPr>
        <w:t>-</w:t>
      </w:r>
      <w:r w:rsidRPr="00304CA8">
        <w:rPr>
          <w:rFonts w:ascii="Arial" w:eastAsia="Times New Roman" w:hAnsi="Arial" w:cs="Arial"/>
          <w:color w:val="171717"/>
          <w:lang w:eastAsia="en-GB"/>
        </w:rPr>
        <w:t>play with the simulated patient. This included explaining DNAR and taking a depression history, providing them with an introduction to communication in difficult situations. Many specifically mentioned it was realistic and that it was a good experience allowing them to practice communication skills.</w:t>
      </w:r>
    </w:p>
    <w:p w14:paraId="68CD02B0" w14:textId="2E02328D" w:rsidR="00B20062" w:rsidRPr="00304CA8" w:rsidRDefault="00304CA8" w:rsidP="00B20062">
      <w:pPr>
        <w:shd w:val="clear" w:color="auto" w:fill="FFFFFF"/>
        <w:spacing w:before="100" w:beforeAutospacing="1" w:after="100" w:afterAutospacing="1"/>
        <w:jc w:val="both"/>
        <w:rPr>
          <w:rFonts w:ascii="Arial" w:eastAsia="Times New Roman" w:hAnsi="Arial" w:cs="Arial"/>
          <w:color w:val="171717"/>
          <w:lang w:eastAsia="en-GB"/>
        </w:rPr>
      </w:pPr>
      <w:r>
        <w:rPr>
          <w:rFonts w:ascii="Arial" w:eastAsia="Times New Roman" w:hAnsi="Arial" w:cs="Arial"/>
          <w:color w:val="171717"/>
          <w:lang w:eastAsia="en-GB"/>
        </w:rPr>
        <w:t xml:space="preserve">We have also overcome challenges. </w:t>
      </w:r>
      <w:r w:rsidR="00B20062" w:rsidRPr="00304CA8">
        <w:rPr>
          <w:rFonts w:ascii="Arial" w:eastAsia="Times New Roman" w:hAnsi="Arial" w:cs="Arial"/>
          <w:color w:val="171717"/>
          <w:lang w:eastAsia="en-GB"/>
        </w:rPr>
        <w:t xml:space="preserve">Previously it was </w:t>
      </w:r>
      <w:r>
        <w:rPr>
          <w:rFonts w:ascii="Arial" w:eastAsia="Times New Roman" w:hAnsi="Arial" w:cs="Arial"/>
          <w:color w:val="171717"/>
          <w:lang w:eastAsia="en-GB"/>
        </w:rPr>
        <w:t>hard</w:t>
      </w:r>
      <w:r w:rsidR="00B20062" w:rsidRPr="00304CA8">
        <w:rPr>
          <w:rFonts w:ascii="Arial" w:eastAsia="Times New Roman" w:hAnsi="Arial" w:cs="Arial"/>
          <w:color w:val="171717"/>
          <w:lang w:eastAsia="en-GB"/>
        </w:rPr>
        <w:t xml:space="preserve"> recruiting GPs to teach the primary care components of the programme, negatively impacting the students’ experience. However, this has significantly improved </w:t>
      </w:r>
      <w:r>
        <w:rPr>
          <w:rFonts w:ascii="Arial" w:eastAsia="Times New Roman" w:hAnsi="Arial" w:cs="Arial"/>
          <w:color w:val="171717"/>
          <w:lang w:eastAsia="en-GB"/>
        </w:rPr>
        <w:t>after receiving</w:t>
      </w:r>
      <w:r w:rsidR="00B20062" w:rsidRPr="00304CA8">
        <w:rPr>
          <w:rFonts w:ascii="Arial" w:eastAsia="Times New Roman" w:hAnsi="Arial" w:cs="Arial"/>
          <w:color w:val="171717"/>
          <w:lang w:eastAsia="en-GB"/>
        </w:rPr>
        <w:t xml:space="preserve"> more admin</w:t>
      </w:r>
      <w:r w:rsidR="00C15A9F">
        <w:rPr>
          <w:rFonts w:ascii="Arial" w:eastAsia="Times New Roman" w:hAnsi="Arial" w:cs="Arial"/>
          <w:color w:val="171717"/>
          <w:lang w:eastAsia="en-GB"/>
        </w:rPr>
        <w:t>istrative</w:t>
      </w:r>
      <w:r w:rsidR="00B20062" w:rsidRPr="00304CA8">
        <w:rPr>
          <w:rFonts w:ascii="Arial" w:eastAsia="Times New Roman" w:hAnsi="Arial" w:cs="Arial"/>
          <w:color w:val="171717"/>
          <w:lang w:eastAsia="en-GB"/>
        </w:rPr>
        <w:t xml:space="preserve"> support and using GP trainees with an interest in teaching to deliver the sessions. </w:t>
      </w:r>
    </w:p>
    <w:p w14:paraId="1966E336" w14:textId="103DD020" w:rsidR="00B20062" w:rsidRPr="00304CA8" w:rsidRDefault="00C15A9F" w:rsidP="00B20062">
      <w:pPr>
        <w:shd w:val="clear" w:color="auto" w:fill="FFFFFF"/>
        <w:spacing w:before="100" w:beforeAutospacing="1" w:after="100" w:afterAutospacing="1"/>
        <w:jc w:val="both"/>
        <w:rPr>
          <w:rFonts w:ascii="Arial" w:eastAsia="Times New Roman" w:hAnsi="Arial" w:cs="Arial"/>
          <w:color w:val="171717"/>
          <w:lang w:eastAsia="en-GB"/>
        </w:rPr>
      </w:pPr>
      <w:r>
        <w:rPr>
          <w:rFonts w:ascii="Arial" w:eastAsia="Times New Roman" w:hAnsi="Arial" w:cs="Arial"/>
          <w:color w:val="171717"/>
          <w:lang w:eastAsia="en-GB"/>
        </w:rPr>
        <w:lastRenderedPageBreak/>
        <w:t xml:space="preserve">In the most recent </w:t>
      </w:r>
      <w:r w:rsidR="00B20062" w:rsidRPr="00304CA8">
        <w:rPr>
          <w:rFonts w:ascii="Arial" w:eastAsia="Times New Roman" w:hAnsi="Arial" w:cs="Arial"/>
          <w:color w:val="171717"/>
          <w:lang w:eastAsia="en-GB"/>
        </w:rPr>
        <w:t>term students rated the</w:t>
      </w:r>
      <w:r>
        <w:rPr>
          <w:rFonts w:ascii="Arial" w:eastAsia="Times New Roman" w:hAnsi="Arial" w:cs="Arial"/>
          <w:color w:val="171717"/>
          <w:lang w:eastAsia="en-GB"/>
        </w:rPr>
        <w:t xml:space="preserve"> course </w:t>
      </w:r>
      <w:r w:rsidR="00B20062" w:rsidRPr="00304CA8">
        <w:rPr>
          <w:rFonts w:ascii="Arial" w:eastAsia="Times New Roman" w:hAnsi="Arial" w:cs="Arial"/>
          <w:color w:val="171717"/>
          <w:lang w:eastAsia="en-GB"/>
        </w:rPr>
        <w:t>highly</w:t>
      </w:r>
      <w:r w:rsidR="00322247">
        <w:rPr>
          <w:rFonts w:ascii="Arial" w:eastAsia="Times New Roman" w:hAnsi="Arial" w:cs="Arial"/>
          <w:color w:val="171717"/>
          <w:lang w:eastAsia="en-GB"/>
        </w:rPr>
        <w:t>; 81% rated it as above average, good or excellent</w:t>
      </w:r>
      <w:r w:rsidR="00B20062" w:rsidRPr="00304CA8">
        <w:rPr>
          <w:rFonts w:ascii="Arial" w:eastAsia="Times New Roman" w:hAnsi="Arial" w:cs="Arial"/>
          <w:color w:val="171717"/>
          <w:lang w:eastAsia="en-GB"/>
        </w:rPr>
        <w:t>. Many students mentioned it was interactive, useful, re</w:t>
      </w:r>
      <w:r w:rsidR="00136F65">
        <w:rPr>
          <w:rFonts w:ascii="Arial" w:eastAsia="Times New Roman" w:hAnsi="Arial" w:cs="Arial"/>
          <w:color w:val="171717"/>
          <w:lang w:eastAsia="en-GB"/>
        </w:rPr>
        <w:t>f</w:t>
      </w:r>
      <w:r w:rsidR="00B20062" w:rsidRPr="00304CA8">
        <w:rPr>
          <w:rFonts w:ascii="Arial" w:eastAsia="Times New Roman" w:hAnsi="Arial" w:cs="Arial"/>
          <w:color w:val="171717"/>
          <w:lang w:eastAsia="en-GB"/>
        </w:rPr>
        <w:t>l</w:t>
      </w:r>
      <w:r w:rsidR="00136F65">
        <w:rPr>
          <w:rFonts w:ascii="Arial" w:eastAsia="Times New Roman" w:hAnsi="Arial" w:cs="Arial"/>
          <w:color w:val="171717"/>
          <w:lang w:eastAsia="en-GB"/>
        </w:rPr>
        <w:t>ec</w:t>
      </w:r>
      <w:r w:rsidR="00B20062" w:rsidRPr="00304CA8">
        <w:rPr>
          <w:rFonts w:ascii="Arial" w:eastAsia="Times New Roman" w:hAnsi="Arial" w:cs="Arial"/>
          <w:color w:val="171717"/>
          <w:lang w:eastAsia="en-GB"/>
        </w:rPr>
        <w:t xml:space="preserve">tive, interactive and well structured. </w:t>
      </w:r>
      <w:r w:rsidR="00304CA8">
        <w:rPr>
          <w:rFonts w:ascii="Arial" w:eastAsia="Times New Roman" w:hAnsi="Arial" w:cs="Arial"/>
          <w:color w:val="171717"/>
          <w:lang w:eastAsia="en-GB"/>
        </w:rPr>
        <w:t>Some</w:t>
      </w:r>
      <w:r w:rsidR="00B20062" w:rsidRPr="00304CA8">
        <w:rPr>
          <w:rFonts w:ascii="Arial" w:eastAsia="Times New Roman" w:hAnsi="Arial" w:cs="Arial"/>
          <w:color w:val="171717"/>
          <w:lang w:eastAsia="en-GB"/>
        </w:rPr>
        <w:t xml:space="preserve"> mentioned it was useful for their exams </w:t>
      </w:r>
      <w:r w:rsidR="00304CA8">
        <w:rPr>
          <w:rFonts w:ascii="Arial" w:eastAsia="Times New Roman" w:hAnsi="Arial" w:cs="Arial"/>
          <w:color w:val="171717"/>
          <w:lang w:eastAsia="en-GB"/>
        </w:rPr>
        <w:t>but</w:t>
      </w:r>
      <w:r w:rsidR="00B20062" w:rsidRPr="00304CA8">
        <w:rPr>
          <w:rFonts w:ascii="Arial" w:eastAsia="Times New Roman" w:hAnsi="Arial" w:cs="Arial"/>
          <w:color w:val="171717"/>
          <w:lang w:eastAsia="en-GB"/>
        </w:rPr>
        <w:t xml:space="preserve"> also future work as a doctor.</w:t>
      </w:r>
    </w:p>
    <w:p w14:paraId="55EF1FFD" w14:textId="13B85234" w:rsidR="00B20062" w:rsidRPr="00304CA8" w:rsidRDefault="00B20062" w:rsidP="00B20062">
      <w:pPr>
        <w:shd w:val="clear" w:color="auto" w:fill="FFFFFF"/>
        <w:spacing w:before="100" w:beforeAutospacing="1" w:after="100" w:afterAutospacing="1"/>
        <w:jc w:val="both"/>
        <w:rPr>
          <w:rFonts w:ascii="Arial" w:eastAsia="Times New Roman" w:hAnsi="Arial" w:cs="Arial"/>
          <w:color w:val="171717"/>
          <w:lang w:eastAsia="en-GB"/>
        </w:rPr>
      </w:pPr>
      <w:r w:rsidRPr="00304CA8">
        <w:rPr>
          <w:rFonts w:ascii="Arial" w:eastAsia="Times New Roman" w:hAnsi="Arial" w:cs="Arial"/>
          <w:color w:val="171717"/>
          <w:lang w:eastAsia="en-GB"/>
        </w:rPr>
        <w:t xml:space="preserve">This teaching week provides skills in communication, prevention and the management of </w:t>
      </w:r>
      <w:r w:rsidR="00304CA8">
        <w:rPr>
          <w:rFonts w:ascii="Arial" w:eastAsia="Times New Roman" w:hAnsi="Arial" w:cs="Arial"/>
          <w:color w:val="171717"/>
          <w:lang w:eastAsia="en-GB"/>
        </w:rPr>
        <w:t xml:space="preserve">acute and </w:t>
      </w:r>
      <w:r w:rsidRPr="00304CA8">
        <w:rPr>
          <w:rFonts w:ascii="Arial" w:eastAsia="Times New Roman" w:hAnsi="Arial" w:cs="Arial"/>
          <w:color w:val="171717"/>
          <w:lang w:eastAsia="en-GB"/>
        </w:rPr>
        <w:t xml:space="preserve">long-term conditions. </w:t>
      </w:r>
      <w:r w:rsidR="00304CA8">
        <w:rPr>
          <w:rFonts w:ascii="Arial" w:eastAsia="Times New Roman" w:hAnsi="Arial" w:cs="Arial"/>
          <w:color w:val="171717"/>
          <w:lang w:eastAsia="en-GB"/>
        </w:rPr>
        <w:t xml:space="preserve">It also </w:t>
      </w:r>
      <w:r w:rsidR="00304CA8" w:rsidRPr="00304CA8">
        <w:rPr>
          <w:rFonts w:ascii="Arial" w:eastAsia="Times New Roman" w:hAnsi="Arial" w:cs="Arial"/>
          <w:color w:val="171717"/>
          <w:lang w:eastAsia="en-GB"/>
        </w:rPr>
        <w:t xml:space="preserve">exposes medical students to important aspects of working as a junior doctor in both </w:t>
      </w:r>
      <w:r w:rsidR="00304CA8">
        <w:rPr>
          <w:rFonts w:ascii="Arial" w:eastAsia="Times New Roman" w:hAnsi="Arial" w:cs="Arial"/>
          <w:color w:val="171717"/>
          <w:lang w:eastAsia="en-GB"/>
        </w:rPr>
        <w:t>community</w:t>
      </w:r>
      <w:r w:rsidR="00304CA8" w:rsidRPr="00304CA8">
        <w:rPr>
          <w:rFonts w:ascii="Arial" w:eastAsia="Times New Roman" w:hAnsi="Arial" w:cs="Arial"/>
          <w:color w:val="171717"/>
          <w:lang w:eastAsia="en-GB"/>
        </w:rPr>
        <w:t xml:space="preserve"> and </w:t>
      </w:r>
      <w:r w:rsidR="00304CA8">
        <w:rPr>
          <w:rFonts w:ascii="Arial" w:eastAsia="Times New Roman" w:hAnsi="Arial" w:cs="Arial"/>
          <w:color w:val="171717"/>
          <w:lang w:eastAsia="en-GB"/>
        </w:rPr>
        <w:t>hospital</w:t>
      </w:r>
      <w:r w:rsidR="00304CA8" w:rsidRPr="00304CA8">
        <w:rPr>
          <w:rFonts w:ascii="Arial" w:eastAsia="Times New Roman" w:hAnsi="Arial" w:cs="Arial"/>
          <w:color w:val="171717"/>
          <w:lang w:eastAsia="en-GB"/>
        </w:rPr>
        <w:t xml:space="preserve"> </w:t>
      </w:r>
      <w:r w:rsidR="00304CA8">
        <w:rPr>
          <w:rFonts w:ascii="Arial" w:eastAsia="Times New Roman" w:hAnsi="Arial" w:cs="Arial"/>
          <w:color w:val="171717"/>
          <w:lang w:eastAsia="en-GB"/>
        </w:rPr>
        <w:t>settings. Thus, preparing them for clinical practice</w:t>
      </w:r>
      <w:r w:rsidR="00677F30">
        <w:rPr>
          <w:rFonts w:ascii="Arial" w:eastAsia="Times New Roman" w:hAnsi="Arial" w:cs="Arial"/>
          <w:color w:val="171717"/>
          <w:lang w:eastAsia="en-GB"/>
        </w:rPr>
        <w:t>.</w:t>
      </w:r>
      <w:bookmarkStart w:id="0" w:name="_GoBack"/>
      <w:bookmarkEnd w:id="0"/>
    </w:p>
    <w:p w14:paraId="60506E28" w14:textId="77777777" w:rsidR="009249EC" w:rsidRDefault="009249EC">
      <w:pPr>
        <w:rPr>
          <w:rFonts w:ascii="Arial" w:hAnsi="Arial" w:cs="Arial"/>
        </w:rPr>
      </w:pPr>
    </w:p>
    <w:p w14:paraId="3352464C" w14:textId="0CCB40F8" w:rsidR="0064780D" w:rsidRPr="0064780D" w:rsidRDefault="009249EC" w:rsidP="0064780D">
      <w:pPr>
        <w:pStyle w:val="EndNoteBibliography"/>
      </w:pPr>
      <w:r>
        <w:rPr>
          <w:rFonts w:ascii="Arial" w:hAnsi="Arial" w:cs="Arial"/>
        </w:rPr>
        <w:fldChar w:fldCharType="begin"/>
      </w:r>
      <w:r>
        <w:rPr>
          <w:rFonts w:ascii="Arial" w:hAnsi="Arial" w:cs="Arial"/>
        </w:rPr>
        <w:instrText xml:space="preserve"> ADDIN EN.REFLIST </w:instrText>
      </w:r>
      <w:r>
        <w:rPr>
          <w:rFonts w:ascii="Arial" w:hAnsi="Arial" w:cs="Arial"/>
        </w:rPr>
        <w:fldChar w:fldCharType="separate"/>
      </w:r>
      <w:r w:rsidR="0064780D" w:rsidRPr="0064780D">
        <w:t>1.</w:t>
      </w:r>
      <w:r w:rsidR="0064780D" w:rsidRPr="0064780D">
        <w:tab/>
        <w:t>Cameron A,Millar J,Szmidt N,</w:t>
      </w:r>
      <w:r w:rsidR="001B5C8B">
        <w:t>et al</w:t>
      </w:r>
      <w:r w:rsidR="0064780D" w:rsidRPr="0064780D">
        <w:t>.Can new doctors be prepared for practice?A review.The Clinical Teacher.2014;11(3):188-92.</w:t>
      </w:r>
    </w:p>
    <w:p w14:paraId="7C73DCA9" w14:textId="0A8BFEEC" w:rsidR="00B20062" w:rsidRPr="00304CA8" w:rsidRDefault="009249EC" w:rsidP="0064780D">
      <w:pPr>
        <w:rPr>
          <w:rFonts w:ascii="Arial" w:hAnsi="Arial" w:cs="Arial"/>
        </w:rPr>
      </w:pPr>
      <w:r>
        <w:rPr>
          <w:rFonts w:ascii="Arial" w:hAnsi="Arial" w:cs="Arial"/>
        </w:rPr>
        <w:fldChar w:fldCharType="end"/>
      </w:r>
    </w:p>
    <w:sectPr w:rsidR="00B20062" w:rsidRPr="00304CA8" w:rsidSect="0067103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es29dped2zzvfeerv3p9a9ztpr25d2sv0w5&quot;&gt;My EndNote Library&lt;record-ids&gt;&lt;item&gt;29&lt;/item&gt;&lt;item&gt;30&lt;/item&gt;&lt;item&gt;31&lt;/item&gt;&lt;/record-ids&gt;&lt;/item&gt;&lt;/Libraries&gt;"/>
  </w:docVars>
  <w:rsids>
    <w:rsidRoot w:val="00B20062"/>
    <w:rsid w:val="00030268"/>
    <w:rsid w:val="00136F65"/>
    <w:rsid w:val="001B5C8B"/>
    <w:rsid w:val="00245184"/>
    <w:rsid w:val="00304CA8"/>
    <w:rsid w:val="00322247"/>
    <w:rsid w:val="004F0D0B"/>
    <w:rsid w:val="00631F62"/>
    <w:rsid w:val="0064780D"/>
    <w:rsid w:val="00671037"/>
    <w:rsid w:val="00677F30"/>
    <w:rsid w:val="00833A2E"/>
    <w:rsid w:val="009249EC"/>
    <w:rsid w:val="00B20062"/>
    <w:rsid w:val="00B95DC5"/>
    <w:rsid w:val="00BA513B"/>
    <w:rsid w:val="00C15A9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6332F"/>
  <w15:chartTrackingRefBased/>
  <w15:docId w15:val="{233ADCA2-F5A5-364A-9647-09A2AEA0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20062"/>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0062"/>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B20062"/>
    <w:rPr>
      <w:b/>
      <w:bCs/>
    </w:rPr>
  </w:style>
  <w:style w:type="character" w:customStyle="1" w:styleId="Heading3Char">
    <w:name w:val="Heading 3 Char"/>
    <w:basedOn w:val="DefaultParagraphFont"/>
    <w:link w:val="Heading3"/>
    <w:uiPriority w:val="9"/>
    <w:rsid w:val="00B20062"/>
    <w:rPr>
      <w:rFonts w:ascii="Times New Roman" w:eastAsia="Times New Roman" w:hAnsi="Times New Roman" w:cs="Times New Roman"/>
      <w:b/>
      <w:bCs/>
      <w:sz w:val="27"/>
      <w:szCs w:val="27"/>
      <w:lang w:eastAsia="en-GB"/>
    </w:rPr>
  </w:style>
  <w:style w:type="paragraph" w:styleId="BalloonText">
    <w:name w:val="Balloon Text"/>
    <w:basedOn w:val="Normal"/>
    <w:link w:val="BalloonTextChar"/>
    <w:uiPriority w:val="99"/>
    <w:semiHidden/>
    <w:unhideWhenUsed/>
    <w:rsid w:val="00677F3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77F3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F0D0B"/>
    <w:rPr>
      <w:sz w:val="16"/>
      <w:szCs w:val="16"/>
    </w:rPr>
  </w:style>
  <w:style w:type="paragraph" w:styleId="CommentText">
    <w:name w:val="annotation text"/>
    <w:basedOn w:val="Normal"/>
    <w:link w:val="CommentTextChar"/>
    <w:uiPriority w:val="99"/>
    <w:semiHidden/>
    <w:unhideWhenUsed/>
    <w:rsid w:val="004F0D0B"/>
    <w:rPr>
      <w:sz w:val="20"/>
      <w:szCs w:val="20"/>
    </w:rPr>
  </w:style>
  <w:style w:type="character" w:customStyle="1" w:styleId="CommentTextChar">
    <w:name w:val="Comment Text Char"/>
    <w:basedOn w:val="DefaultParagraphFont"/>
    <w:link w:val="CommentText"/>
    <w:uiPriority w:val="99"/>
    <w:semiHidden/>
    <w:rsid w:val="004F0D0B"/>
    <w:rPr>
      <w:sz w:val="20"/>
      <w:szCs w:val="20"/>
    </w:rPr>
  </w:style>
  <w:style w:type="paragraph" w:styleId="CommentSubject">
    <w:name w:val="annotation subject"/>
    <w:basedOn w:val="CommentText"/>
    <w:next w:val="CommentText"/>
    <w:link w:val="CommentSubjectChar"/>
    <w:uiPriority w:val="99"/>
    <w:semiHidden/>
    <w:unhideWhenUsed/>
    <w:rsid w:val="004F0D0B"/>
    <w:rPr>
      <w:b/>
      <w:bCs/>
    </w:rPr>
  </w:style>
  <w:style w:type="character" w:customStyle="1" w:styleId="CommentSubjectChar">
    <w:name w:val="Comment Subject Char"/>
    <w:basedOn w:val="CommentTextChar"/>
    <w:link w:val="CommentSubject"/>
    <w:uiPriority w:val="99"/>
    <w:semiHidden/>
    <w:rsid w:val="004F0D0B"/>
    <w:rPr>
      <w:b/>
      <w:bCs/>
      <w:sz w:val="20"/>
      <w:szCs w:val="20"/>
    </w:rPr>
  </w:style>
  <w:style w:type="paragraph" w:customStyle="1" w:styleId="EndNoteBibliographyTitle">
    <w:name w:val="EndNote Bibliography Title"/>
    <w:basedOn w:val="Normal"/>
    <w:link w:val="EndNoteBibliographyTitleChar"/>
    <w:rsid w:val="009249EC"/>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9249EC"/>
    <w:rPr>
      <w:rFonts w:ascii="Calibri" w:hAnsi="Calibri" w:cs="Calibri"/>
      <w:noProof/>
      <w:lang w:val="en-US"/>
    </w:rPr>
  </w:style>
  <w:style w:type="paragraph" w:customStyle="1" w:styleId="EndNoteBibliography">
    <w:name w:val="EndNote Bibliography"/>
    <w:basedOn w:val="Normal"/>
    <w:link w:val="EndNoteBibliographyChar"/>
    <w:rsid w:val="009249EC"/>
    <w:rPr>
      <w:rFonts w:ascii="Calibri" w:hAnsi="Calibri" w:cs="Calibri"/>
      <w:noProof/>
      <w:lang w:val="en-US"/>
    </w:rPr>
  </w:style>
  <w:style w:type="character" w:customStyle="1" w:styleId="EndNoteBibliographyChar">
    <w:name w:val="EndNote Bibliography Char"/>
    <w:basedOn w:val="DefaultParagraphFont"/>
    <w:link w:val="EndNoteBibliography"/>
    <w:rsid w:val="009249EC"/>
    <w:rPr>
      <w:rFonts w:ascii="Calibri" w:hAnsi="Calibri" w:cs="Calibri"/>
      <w:noProof/>
      <w:lang w:val="en-US"/>
    </w:rPr>
  </w:style>
  <w:style w:type="character" w:styleId="Hyperlink">
    <w:name w:val="Hyperlink"/>
    <w:basedOn w:val="DefaultParagraphFont"/>
    <w:uiPriority w:val="99"/>
    <w:unhideWhenUsed/>
    <w:rsid w:val="009249EC"/>
    <w:rPr>
      <w:color w:val="0563C1" w:themeColor="hyperlink"/>
      <w:u w:val="single"/>
    </w:rPr>
  </w:style>
  <w:style w:type="character" w:styleId="UnresolvedMention">
    <w:name w:val="Unresolved Mention"/>
    <w:basedOn w:val="DefaultParagraphFont"/>
    <w:uiPriority w:val="99"/>
    <w:semiHidden/>
    <w:unhideWhenUsed/>
    <w:rsid w:val="00924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166313">
      <w:bodyDiv w:val="1"/>
      <w:marLeft w:val="0"/>
      <w:marRight w:val="0"/>
      <w:marTop w:val="0"/>
      <w:marBottom w:val="0"/>
      <w:divBdr>
        <w:top w:val="none" w:sz="0" w:space="0" w:color="auto"/>
        <w:left w:val="none" w:sz="0" w:space="0" w:color="auto"/>
        <w:bottom w:val="none" w:sz="0" w:space="0" w:color="auto"/>
        <w:right w:val="none" w:sz="0" w:space="0" w:color="auto"/>
      </w:divBdr>
    </w:div>
    <w:div w:id="156395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Nimmons, Danielle</dc:creator>
  <cp:keywords/>
  <dc:description/>
  <cp:lastModifiedBy>Jones, Melvyn</cp:lastModifiedBy>
  <cp:revision>3</cp:revision>
  <dcterms:created xsi:type="dcterms:W3CDTF">2020-07-31T16:09:00Z</dcterms:created>
  <dcterms:modified xsi:type="dcterms:W3CDTF">2020-07-31T16:09:00Z</dcterms:modified>
</cp:coreProperties>
</file>