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A83D" w14:textId="2721C366" w:rsidR="00262A92" w:rsidRPr="00443048" w:rsidRDefault="008C7AD3" w:rsidP="00604B88">
      <w:pPr>
        <w:spacing w:line="480" w:lineRule="auto"/>
        <w:jc w:val="both"/>
        <w:rPr>
          <w:b/>
          <w:bCs/>
          <w:sz w:val="24"/>
          <w:szCs w:val="24"/>
        </w:rPr>
      </w:pPr>
      <w:bookmarkStart w:id="0" w:name="_Hlk40367786"/>
      <w:bookmarkStart w:id="1" w:name="_GoBack"/>
      <w:bookmarkEnd w:id="0"/>
      <w:bookmarkEnd w:id="1"/>
      <w:proofErr w:type="spellStart"/>
      <w:r w:rsidRPr="00443048">
        <w:rPr>
          <w:b/>
          <w:bCs/>
          <w:sz w:val="24"/>
          <w:szCs w:val="24"/>
        </w:rPr>
        <w:t>Derepression</w:t>
      </w:r>
      <w:proofErr w:type="spellEnd"/>
      <w:r w:rsidRPr="00443048">
        <w:rPr>
          <w:b/>
          <w:bCs/>
          <w:sz w:val="24"/>
          <w:szCs w:val="24"/>
        </w:rPr>
        <w:t xml:space="preserve"> of glomerular filtration</w:t>
      </w:r>
      <w:r w:rsidR="00AC2313" w:rsidRPr="00443048">
        <w:rPr>
          <w:b/>
          <w:bCs/>
          <w:sz w:val="24"/>
          <w:szCs w:val="24"/>
        </w:rPr>
        <w:t xml:space="preserve">, renal </w:t>
      </w:r>
      <w:r w:rsidRPr="00443048">
        <w:rPr>
          <w:b/>
          <w:bCs/>
          <w:sz w:val="24"/>
          <w:szCs w:val="24"/>
        </w:rPr>
        <w:t>blood flow and antioxidant defence in patients with type 2 diabetes at high</w:t>
      </w:r>
      <w:r w:rsidR="00AC2313" w:rsidRPr="00443048">
        <w:rPr>
          <w:b/>
          <w:bCs/>
          <w:sz w:val="24"/>
          <w:szCs w:val="24"/>
        </w:rPr>
        <w:t>-</w:t>
      </w:r>
      <w:r w:rsidRPr="00443048">
        <w:rPr>
          <w:b/>
          <w:bCs/>
          <w:sz w:val="24"/>
          <w:szCs w:val="24"/>
        </w:rPr>
        <w:t>risk of cardiorenal disease</w:t>
      </w:r>
    </w:p>
    <w:p w14:paraId="3637E343" w14:textId="77777777" w:rsidR="009937CF" w:rsidRPr="00443048" w:rsidRDefault="009937CF" w:rsidP="00604B88">
      <w:pPr>
        <w:spacing w:line="480" w:lineRule="auto"/>
        <w:jc w:val="both"/>
        <w:rPr>
          <w:b/>
          <w:bCs/>
          <w:sz w:val="24"/>
          <w:szCs w:val="24"/>
        </w:rPr>
      </w:pPr>
    </w:p>
    <w:p w14:paraId="1105A73B" w14:textId="4AA850FD" w:rsidR="00744E52" w:rsidRPr="00443048" w:rsidRDefault="005A321A" w:rsidP="00604B88">
      <w:pPr>
        <w:spacing w:line="480" w:lineRule="auto"/>
        <w:jc w:val="both"/>
        <w:rPr>
          <w:sz w:val="24"/>
          <w:szCs w:val="24"/>
        </w:rPr>
      </w:pPr>
      <w:r w:rsidRPr="00443048">
        <w:rPr>
          <w:b/>
          <w:bCs/>
          <w:sz w:val="24"/>
          <w:szCs w:val="24"/>
        </w:rPr>
        <w:t xml:space="preserve">Running title: </w:t>
      </w:r>
      <w:r w:rsidRPr="00443048">
        <w:rPr>
          <w:sz w:val="24"/>
          <w:szCs w:val="24"/>
        </w:rPr>
        <w:t>Antioxidant status and nephroprotection</w:t>
      </w:r>
    </w:p>
    <w:p w14:paraId="062E2DFF" w14:textId="77777777" w:rsidR="009937CF" w:rsidRPr="00443048" w:rsidRDefault="009937CF" w:rsidP="00604B88">
      <w:pPr>
        <w:spacing w:line="480" w:lineRule="auto"/>
        <w:jc w:val="both"/>
        <w:rPr>
          <w:bCs/>
          <w:sz w:val="24"/>
          <w:szCs w:val="24"/>
          <w:vertAlign w:val="superscript"/>
        </w:rPr>
      </w:pPr>
    </w:p>
    <w:p w14:paraId="068F0F25" w14:textId="683B1780" w:rsidR="00262A92" w:rsidRPr="00443048" w:rsidRDefault="00262A92" w:rsidP="00604B88">
      <w:pPr>
        <w:spacing w:line="480" w:lineRule="auto"/>
        <w:jc w:val="both"/>
        <w:rPr>
          <w:bCs/>
          <w:sz w:val="24"/>
          <w:szCs w:val="24"/>
        </w:rPr>
      </w:pPr>
      <w:r w:rsidRPr="00443048">
        <w:rPr>
          <w:bCs/>
          <w:sz w:val="24"/>
          <w:szCs w:val="24"/>
          <w:vertAlign w:val="superscript"/>
        </w:rPr>
        <w:t>1</w:t>
      </w:r>
      <w:r w:rsidRPr="00443048">
        <w:rPr>
          <w:bCs/>
          <w:sz w:val="24"/>
          <w:szCs w:val="24"/>
        </w:rPr>
        <w:t xml:space="preserve">Karima Zitouni PhD, </w:t>
      </w:r>
      <w:r w:rsidRPr="00443048">
        <w:rPr>
          <w:bCs/>
          <w:sz w:val="24"/>
          <w:szCs w:val="24"/>
          <w:vertAlign w:val="superscript"/>
        </w:rPr>
        <w:t>2</w:t>
      </w:r>
      <w:r w:rsidRPr="00443048">
        <w:rPr>
          <w:bCs/>
          <w:sz w:val="24"/>
          <w:szCs w:val="24"/>
        </w:rPr>
        <w:t>Mia Steyn MRCP,</w:t>
      </w:r>
      <w:r w:rsidR="0059711F" w:rsidRPr="00443048">
        <w:rPr>
          <w:bCs/>
          <w:sz w:val="24"/>
          <w:szCs w:val="24"/>
        </w:rPr>
        <w:t xml:space="preserve"> </w:t>
      </w:r>
      <w:r w:rsidR="00226E2D">
        <w:rPr>
          <w:bCs/>
          <w:sz w:val="24"/>
          <w:szCs w:val="24"/>
          <w:vertAlign w:val="superscript"/>
        </w:rPr>
        <w:t>5</w:t>
      </w:r>
      <w:r w:rsidR="0059711F" w:rsidRPr="00443048">
        <w:rPr>
          <w:bCs/>
          <w:sz w:val="24"/>
          <w:szCs w:val="24"/>
        </w:rPr>
        <w:t>Eliza Lyka</w:t>
      </w:r>
      <w:r w:rsidR="001D75BB" w:rsidRPr="00443048">
        <w:rPr>
          <w:bCs/>
          <w:sz w:val="24"/>
          <w:szCs w:val="24"/>
        </w:rPr>
        <w:t xml:space="preserve"> MB BS</w:t>
      </w:r>
      <w:r w:rsidR="008163E9" w:rsidRPr="00443048">
        <w:rPr>
          <w:bCs/>
          <w:sz w:val="24"/>
          <w:szCs w:val="24"/>
        </w:rPr>
        <w:t>,</w:t>
      </w:r>
      <w:r w:rsidR="0059711F" w:rsidRPr="00443048">
        <w:rPr>
          <w:bCs/>
          <w:sz w:val="24"/>
          <w:szCs w:val="24"/>
        </w:rPr>
        <w:t xml:space="preserve"> </w:t>
      </w:r>
      <w:r w:rsidRPr="00443048">
        <w:rPr>
          <w:bCs/>
          <w:sz w:val="24"/>
          <w:szCs w:val="24"/>
          <w:vertAlign w:val="superscript"/>
        </w:rPr>
        <w:t>3</w:t>
      </w:r>
      <w:r w:rsidRPr="00443048">
        <w:rPr>
          <w:bCs/>
          <w:sz w:val="24"/>
          <w:szCs w:val="24"/>
        </w:rPr>
        <w:t xml:space="preserve">Frank J. Kelly PhD, </w:t>
      </w:r>
      <w:r w:rsidRPr="00443048">
        <w:rPr>
          <w:bCs/>
          <w:sz w:val="24"/>
          <w:szCs w:val="24"/>
          <w:vertAlign w:val="superscript"/>
        </w:rPr>
        <w:t>4</w:t>
      </w:r>
      <w:r w:rsidRPr="00443048">
        <w:rPr>
          <w:bCs/>
          <w:sz w:val="24"/>
          <w:szCs w:val="24"/>
        </w:rPr>
        <w:t xml:space="preserve">Paul Cook MD, </w:t>
      </w:r>
      <w:r w:rsidRPr="00443048">
        <w:rPr>
          <w:bCs/>
          <w:sz w:val="24"/>
          <w:szCs w:val="24"/>
          <w:vertAlign w:val="superscript"/>
        </w:rPr>
        <w:t>1</w:t>
      </w:r>
      <w:r w:rsidRPr="00443048">
        <w:rPr>
          <w:bCs/>
          <w:sz w:val="24"/>
          <w:szCs w:val="24"/>
        </w:rPr>
        <w:t xml:space="preserve">Irina Chis Ster PhD and </w:t>
      </w:r>
      <w:r w:rsidRPr="00443048">
        <w:rPr>
          <w:bCs/>
          <w:sz w:val="24"/>
          <w:szCs w:val="24"/>
          <w:vertAlign w:val="superscript"/>
        </w:rPr>
        <w:t>2,5</w:t>
      </w:r>
      <w:r w:rsidRPr="00443048">
        <w:rPr>
          <w:bCs/>
          <w:sz w:val="24"/>
          <w:szCs w:val="24"/>
        </w:rPr>
        <w:t xml:space="preserve">Kenneth Anthony Earle MD </w:t>
      </w:r>
    </w:p>
    <w:p w14:paraId="45E4D148" w14:textId="77777777" w:rsidR="00262A92" w:rsidRPr="00443048" w:rsidRDefault="00262A92" w:rsidP="00604B88">
      <w:pPr>
        <w:jc w:val="both"/>
        <w:rPr>
          <w:bCs/>
          <w:sz w:val="24"/>
          <w:szCs w:val="24"/>
        </w:rPr>
      </w:pPr>
    </w:p>
    <w:p w14:paraId="3944AFE5" w14:textId="2D58E20D" w:rsidR="00262A92" w:rsidRPr="00443048" w:rsidRDefault="00262A92" w:rsidP="00604B88">
      <w:pPr>
        <w:jc w:val="both"/>
        <w:rPr>
          <w:bCs/>
          <w:sz w:val="24"/>
          <w:szCs w:val="24"/>
        </w:rPr>
      </w:pPr>
      <w:r w:rsidRPr="00443048">
        <w:rPr>
          <w:bCs/>
          <w:sz w:val="24"/>
          <w:szCs w:val="24"/>
        </w:rPr>
        <w:t>Affiliations:</w:t>
      </w:r>
    </w:p>
    <w:p w14:paraId="1B1CB98A" w14:textId="77777777" w:rsidR="00262A92" w:rsidRPr="00443048" w:rsidRDefault="00262A92" w:rsidP="00604B88">
      <w:pPr>
        <w:jc w:val="both"/>
        <w:rPr>
          <w:sz w:val="24"/>
          <w:szCs w:val="24"/>
        </w:rPr>
      </w:pPr>
      <w:r w:rsidRPr="00443048">
        <w:rPr>
          <w:sz w:val="24"/>
          <w:szCs w:val="24"/>
          <w:vertAlign w:val="superscript"/>
        </w:rPr>
        <w:t>1</w:t>
      </w:r>
      <w:r w:rsidRPr="00443048">
        <w:rPr>
          <w:sz w:val="24"/>
          <w:szCs w:val="24"/>
        </w:rPr>
        <w:t xml:space="preserve">St Georges University of London, Institute of Infection and Immunity, London, UK </w:t>
      </w:r>
    </w:p>
    <w:p w14:paraId="38069257" w14:textId="77777777" w:rsidR="00262A92" w:rsidRPr="00443048" w:rsidRDefault="00262A92" w:rsidP="00604B88">
      <w:pPr>
        <w:jc w:val="both"/>
        <w:rPr>
          <w:bCs/>
          <w:sz w:val="24"/>
          <w:szCs w:val="24"/>
        </w:rPr>
      </w:pPr>
      <w:r w:rsidRPr="00443048">
        <w:rPr>
          <w:bCs/>
          <w:sz w:val="24"/>
          <w:szCs w:val="24"/>
          <w:vertAlign w:val="superscript"/>
        </w:rPr>
        <w:t>2</w:t>
      </w:r>
      <w:r w:rsidRPr="00443048">
        <w:rPr>
          <w:bCs/>
          <w:sz w:val="24"/>
          <w:szCs w:val="24"/>
        </w:rPr>
        <w:t>St Georges University Hospitals NHS Foundation Trust, Thomas Addison Unit, London, UK</w:t>
      </w:r>
    </w:p>
    <w:p w14:paraId="6F28D7B6" w14:textId="77777777" w:rsidR="00262A92" w:rsidRPr="00443048" w:rsidRDefault="00262A92" w:rsidP="00604B88">
      <w:pPr>
        <w:jc w:val="both"/>
        <w:rPr>
          <w:bCs/>
          <w:sz w:val="24"/>
          <w:szCs w:val="24"/>
        </w:rPr>
      </w:pPr>
      <w:r w:rsidRPr="00443048">
        <w:rPr>
          <w:bCs/>
          <w:sz w:val="24"/>
          <w:szCs w:val="24"/>
          <w:vertAlign w:val="superscript"/>
        </w:rPr>
        <w:t>3</w:t>
      </w:r>
      <w:r w:rsidRPr="00443048">
        <w:rPr>
          <w:bCs/>
          <w:sz w:val="24"/>
          <w:szCs w:val="24"/>
        </w:rPr>
        <w:t>Kings College London, Analytical, Environmental and Forensic Sciences Department, London, UK</w:t>
      </w:r>
    </w:p>
    <w:p w14:paraId="0CE86598" w14:textId="77777777" w:rsidR="00262A92" w:rsidRPr="00443048" w:rsidRDefault="00262A92" w:rsidP="00604B88">
      <w:pPr>
        <w:jc w:val="both"/>
        <w:rPr>
          <w:bCs/>
          <w:sz w:val="24"/>
          <w:szCs w:val="24"/>
        </w:rPr>
      </w:pPr>
      <w:r w:rsidRPr="00443048">
        <w:rPr>
          <w:bCs/>
          <w:sz w:val="24"/>
          <w:szCs w:val="24"/>
          <w:vertAlign w:val="superscript"/>
        </w:rPr>
        <w:t>4</w:t>
      </w:r>
      <w:r w:rsidRPr="00443048">
        <w:rPr>
          <w:bCs/>
          <w:sz w:val="24"/>
          <w:szCs w:val="24"/>
        </w:rPr>
        <w:t>University Hospital Southampton NHS Foundation Trust, Trace Element Unit, Southampton, UK</w:t>
      </w:r>
    </w:p>
    <w:p w14:paraId="4A8E3117" w14:textId="77777777" w:rsidR="00262A92" w:rsidRPr="00443048" w:rsidRDefault="00262A92" w:rsidP="00604B88">
      <w:pPr>
        <w:jc w:val="both"/>
        <w:rPr>
          <w:bCs/>
          <w:sz w:val="24"/>
          <w:szCs w:val="24"/>
        </w:rPr>
      </w:pPr>
      <w:r w:rsidRPr="00443048">
        <w:rPr>
          <w:bCs/>
          <w:sz w:val="24"/>
          <w:szCs w:val="24"/>
          <w:vertAlign w:val="superscript"/>
        </w:rPr>
        <w:t>5</w:t>
      </w:r>
      <w:r w:rsidRPr="00443048">
        <w:rPr>
          <w:bCs/>
          <w:sz w:val="24"/>
          <w:szCs w:val="24"/>
        </w:rPr>
        <w:t>St Georges University of London, Institute of Biomedical &amp; Medical Education, London, UK</w:t>
      </w:r>
    </w:p>
    <w:p w14:paraId="4BFE1406" w14:textId="77777777" w:rsidR="00262A92" w:rsidRPr="00443048" w:rsidRDefault="00262A92" w:rsidP="00604B88">
      <w:pPr>
        <w:jc w:val="both"/>
        <w:rPr>
          <w:bCs/>
          <w:sz w:val="24"/>
          <w:szCs w:val="24"/>
        </w:rPr>
      </w:pPr>
    </w:p>
    <w:p w14:paraId="6D530DC2" w14:textId="77777777" w:rsidR="00262A92" w:rsidRPr="00443048" w:rsidRDefault="00262A92" w:rsidP="00604B88">
      <w:pPr>
        <w:jc w:val="both"/>
        <w:rPr>
          <w:bCs/>
          <w:sz w:val="24"/>
          <w:szCs w:val="24"/>
        </w:rPr>
      </w:pPr>
      <w:r w:rsidRPr="00443048">
        <w:rPr>
          <w:bCs/>
          <w:sz w:val="24"/>
          <w:szCs w:val="24"/>
        </w:rPr>
        <w:t>Contact Author:</w:t>
      </w:r>
    </w:p>
    <w:p w14:paraId="2643B4AE" w14:textId="77777777" w:rsidR="00262A92" w:rsidRPr="00443048" w:rsidRDefault="00262A92" w:rsidP="00604B88">
      <w:pPr>
        <w:jc w:val="both"/>
        <w:rPr>
          <w:bCs/>
          <w:sz w:val="24"/>
          <w:szCs w:val="24"/>
        </w:rPr>
      </w:pPr>
      <w:r w:rsidRPr="00443048">
        <w:rPr>
          <w:bCs/>
          <w:sz w:val="24"/>
          <w:szCs w:val="24"/>
        </w:rPr>
        <w:t>Kenneth Anthony Earle</w:t>
      </w:r>
    </w:p>
    <w:p w14:paraId="0E772B97" w14:textId="77777777" w:rsidR="00262A92" w:rsidRPr="00443048" w:rsidRDefault="00262A92" w:rsidP="00604B88">
      <w:pPr>
        <w:jc w:val="both"/>
        <w:rPr>
          <w:bCs/>
          <w:sz w:val="24"/>
          <w:szCs w:val="24"/>
        </w:rPr>
      </w:pPr>
      <w:r w:rsidRPr="00443048">
        <w:rPr>
          <w:bCs/>
          <w:sz w:val="24"/>
          <w:szCs w:val="24"/>
        </w:rPr>
        <w:t>St Georges University Hospitals NHS Foundation Trust</w:t>
      </w:r>
    </w:p>
    <w:p w14:paraId="0CCFF210" w14:textId="77777777" w:rsidR="00262A92" w:rsidRPr="00443048" w:rsidRDefault="00262A92" w:rsidP="00604B88">
      <w:pPr>
        <w:jc w:val="both"/>
        <w:rPr>
          <w:bCs/>
          <w:sz w:val="24"/>
          <w:szCs w:val="24"/>
        </w:rPr>
      </w:pPr>
      <w:r w:rsidRPr="00443048">
        <w:rPr>
          <w:bCs/>
          <w:sz w:val="24"/>
          <w:szCs w:val="24"/>
        </w:rPr>
        <w:t>Thomas Addison Unit</w:t>
      </w:r>
    </w:p>
    <w:p w14:paraId="2085F7C0" w14:textId="77777777" w:rsidR="00262A92" w:rsidRPr="00443048" w:rsidRDefault="00262A92" w:rsidP="00604B88">
      <w:pPr>
        <w:jc w:val="both"/>
        <w:rPr>
          <w:bCs/>
          <w:sz w:val="24"/>
          <w:szCs w:val="24"/>
        </w:rPr>
      </w:pPr>
      <w:proofErr w:type="spellStart"/>
      <w:r w:rsidRPr="00443048">
        <w:rPr>
          <w:bCs/>
          <w:sz w:val="24"/>
          <w:szCs w:val="24"/>
        </w:rPr>
        <w:t>Blackshaw</w:t>
      </w:r>
      <w:proofErr w:type="spellEnd"/>
      <w:r w:rsidRPr="00443048">
        <w:rPr>
          <w:bCs/>
          <w:sz w:val="24"/>
          <w:szCs w:val="24"/>
        </w:rPr>
        <w:t xml:space="preserve"> Rd</w:t>
      </w:r>
    </w:p>
    <w:p w14:paraId="4E7E5378" w14:textId="77777777" w:rsidR="00262A92" w:rsidRPr="00443048" w:rsidRDefault="00262A92" w:rsidP="00604B88">
      <w:pPr>
        <w:jc w:val="both"/>
        <w:rPr>
          <w:bCs/>
          <w:sz w:val="24"/>
          <w:szCs w:val="24"/>
        </w:rPr>
      </w:pPr>
      <w:r w:rsidRPr="00443048">
        <w:rPr>
          <w:bCs/>
          <w:sz w:val="24"/>
          <w:szCs w:val="24"/>
        </w:rPr>
        <w:t>London SW17 0RE</w:t>
      </w:r>
    </w:p>
    <w:p w14:paraId="5F5510D0" w14:textId="77777777" w:rsidR="00262A92" w:rsidRPr="00443048" w:rsidRDefault="00262A92" w:rsidP="00604B88">
      <w:pPr>
        <w:jc w:val="both"/>
        <w:rPr>
          <w:bCs/>
          <w:sz w:val="24"/>
          <w:szCs w:val="24"/>
        </w:rPr>
      </w:pPr>
      <w:r w:rsidRPr="00443048">
        <w:rPr>
          <w:bCs/>
          <w:sz w:val="24"/>
          <w:szCs w:val="24"/>
        </w:rPr>
        <w:t>United Kingdom</w:t>
      </w:r>
    </w:p>
    <w:p w14:paraId="4EA62834" w14:textId="763D98B6" w:rsidR="00D065E6" w:rsidRPr="00443048" w:rsidRDefault="00D065E6" w:rsidP="00604B88">
      <w:pPr>
        <w:jc w:val="both"/>
        <w:rPr>
          <w:sz w:val="24"/>
          <w:szCs w:val="24"/>
        </w:rPr>
      </w:pPr>
    </w:p>
    <w:p w14:paraId="04CAFDEC" w14:textId="77777777" w:rsidR="009F6A41" w:rsidRPr="00443048" w:rsidRDefault="009F6A41" w:rsidP="00604B88">
      <w:pPr>
        <w:jc w:val="both"/>
        <w:rPr>
          <w:sz w:val="24"/>
          <w:szCs w:val="24"/>
        </w:rPr>
      </w:pPr>
    </w:p>
    <w:p w14:paraId="01E73389" w14:textId="030F0BDF" w:rsidR="009F6A41" w:rsidRPr="00443048" w:rsidRDefault="00A54B85" w:rsidP="00604B88">
      <w:pPr>
        <w:jc w:val="both"/>
        <w:rPr>
          <w:sz w:val="24"/>
          <w:szCs w:val="24"/>
        </w:rPr>
      </w:pPr>
      <w:r w:rsidRPr="00443048">
        <w:rPr>
          <w:sz w:val="24"/>
          <w:szCs w:val="24"/>
        </w:rPr>
        <w:t>Word count:</w:t>
      </w:r>
      <w:r w:rsidR="00987BAD" w:rsidRPr="00443048">
        <w:rPr>
          <w:sz w:val="24"/>
          <w:szCs w:val="24"/>
        </w:rPr>
        <w:t xml:space="preserve"> </w:t>
      </w:r>
      <w:r w:rsidR="005063CF">
        <w:rPr>
          <w:sz w:val="24"/>
          <w:szCs w:val="24"/>
        </w:rPr>
        <w:t>3193</w:t>
      </w:r>
    </w:p>
    <w:p w14:paraId="6A161D56" w14:textId="28692FDA" w:rsidR="00470116" w:rsidRPr="00443048" w:rsidRDefault="006B0AE1" w:rsidP="00604B88">
      <w:pPr>
        <w:jc w:val="both"/>
        <w:rPr>
          <w:sz w:val="24"/>
          <w:szCs w:val="24"/>
        </w:rPr>
      </w:pPr>
      <w:r w:rsidRPr="00443048">
        <w:rPr>
          <w:sz w:val="24"/>
          <w:szCs w:val="24"/>
        </w:rPr>
        <w:lastRenderedPageBreak/>
        <w:t xml:space="preserve"> </w:t>
      </w:r>
    </w:p>
    <w:p w14:paraId="29E4744D" w14:textId="5BDA15F8" w:rsidR="006537D2" w:rsidRPr="00443048" w:rsidRDefault="006537D2" w:rsidP="00604B88">
      <w:pPr>
        <w:jc w:val="both"/>
        <w:rPr>
          <w:b/>
          <w:bCs/>
          <w:sz w:val="24"/>
          <w:szCs w:val="24"/>
        </w:rPr>
      </w:pPr>
      <w:r w:rsidRPr="00443048">
        <w:rPr>
          <w:b/>
          <w:bCs/>
          <w:sz w:val="24"/>
          <w:szCs w:val="24"/>
        </w:rPr>
        <w:t>Abstract</w:t>
      </w:r>
    </w:p>
    <w:p w14:paraId="27E31498" w14:textId="77777777" w:rsidR="006537D2" w:rsidRPr="00443048" w:rsidRDefault="006537D2" w:rsidP="00604B88">
      <w:pPr>
        <w:spacing w:line="480" w:lineRule="auto"/>
        <w:jc w:val="both"/>
        <w:rPr>
          <w:sz w:val="24"/>
          <w:szCs w:val="24"/>
        </w:rPr>
      </w:pPr>
    </w:p>
    <w:p w14:paraId="0F8151D5" w14:textId="3C4E6E1D" w:rsidR="008E3826" w:rsidRPr="00443048" w:rsidRDefault="008E3826" w:rsidP="00604B88">
      <w:pPr>
        <w:spacing w:line="480" w:lineRule="auto"/>
        <w:jc w:val="both"/>
        <w:rPr>
          <w:sz w:val="24"/>
          <w:szCs w:val="24"/>
        </w:rPr>
      </w:pPr>
      <w:r w:rsidRPr="00443048">
        <w:rPr>
          <w:sz w:val="24"/>
          <w:szCs w:val="24"/>
        </w:rPr>
        <w:t>Background</w:t>
      </w:r>
    </w:p>
    <w:p w14:paraId="6F2D1DC3" w14:textId="11A10983" w:rsidR="008E3826" w:rsidRPr="00443048" w:rsidRDefault="000D002A" w:rsidP="00604B88">
      <w:pPr>
        <w:spacing w:line="480" w:lineRule="auto"/>
        <w:jc w:val="both"/>
        <w:rPr>
          <w:sz w:val="24"/>
          <w:szCs w:val="24"/>
        </w:rPr>
      </w:pPr>
      <w:r>
        <w:rPr>
          <w:sz w:val="24"/>
          <w:szCs w:val="24"/>
        </w:rPr>
        <w:t>The role of a</w:t>
      </w:r>
      <w:r w:rsidR="008E3826" w:rsidRPr="00443048">
        <w:rPr>
          <w:sz w:val="24"/>
          <w:szCs w:val="24"/>
        </w:rPr>
        <w:t xml:space="preserve">ntioxidant status </w:t>
      </w:r>
      <w:r>
        <w:rPr>
          <w:sz w:val="24"/>
          <w:szCs w:val="24"/>
        </w:rPr>
        <w:t xml:space="preserve">on </w:t>
      </w:r>
      <w:r w:rsidR="008E3826" w:rsidRPr="00443048">
        <w:rPr>
          <w:sz w:val="24"/>
          <w:szCs w:val="24"/>
        </w:rPr>
        <w:t>microvascular blood flow and glomerular filtration (eGFR) in patients with type 2 diabetes</w:t>
      </w:r>
      <w:r w:rsidR="00492C6F">
        <w:rPr>
          <w:sz w:val="24"/>
          <w:szCs w:val="24"/>
        </w:rPr>
        <w:t xml:space="preserve"> and</w:t>
      </w:r>
      <w:r w:rsidR="00371A46">
        <w:rPr>
          <w:sz w:val="24"/>
          <w:szCs w:val="24"/>
        </w:rPr>
        <w:t xml:space="preserve"> </w:t>
      </w:r>
      <w:r w:rsidR="001D7DBC">
        <w:rPr>
          <w:sz w:val="24"/>
          <w:szCs w:val="24"/>
        </w:rPr>
        <w:t xml:space="preserve">hypertension </w:t>
      </w:r>
      <w:r w:rsidR="00BC3DA8">
        <w:rPr>
          <w:sz w:val="24"/>
          <w:szCs w:val="24"/>
        </w:rPr>
        <w:t xml:space="preserve">whose risk of </w:t>
      </w:r>
      <w:r w:rsidR="00492C6F">
        <w:rPr>
          <w:sz w:val="24"/>
          <w:szCs w:val="24"/>
        </w:rPr>
        <w:t xml:space="preserve">progressive renal disease varies by ethnicity </w:t>
      </w:r>
      <w:r w:rsidR="008E3826" w:rsidRPr="00443048">
        <w:rPr>
          <w:sz w:val="24"/>
          <w:szCs w:val="24"/>
        </w:rPr>
        <w:t xml:space="preserve">is </w:t>
      </w:r>
      <w:r w:rsidR="00604B88" w:rsidRPr="00443048">
        <w:rPr>
          <w:sz w:val="24"/>
          <w:szCs w:val="24"/>
        </w:rPr>
        <w:t>unknown</w:t>
      </w:r>
      <w:r w:rsidR="008E3826" w:rsidRPr="00443048">
        <w:rPr>
          <w:sz w:val="24"/>
          <w:szCs w:val="24"/>
        </w:rPr>
        <w:t xml:space="preserve">. </w:t>
      </w:r>
    </w:p>
    <w:p w14:paraId="30DBA353" w14:textId="77777777" w:rsidR="008E3826" w:rsidRPr="00443048" w:rsidRDefault="008E3826" w:rsidP="00604B88">
      <w:pPr>
        <w:spacing w:line="480" w:lineRule="auto"/>
        <w:jc w:val="both"/>
        <w:rPr>
          <w:sz w:val="24"/>
          <w:szCs w:val="24"/>
        </w:rPr>
      </w:pPr>
    </w:p>
    <w:p w14:paraId="751566C3" w14:textId="77777777" w:rsidR="008E3826" w:rsidRPr="00443048" w:rsidRDefault="008E3826" w:rsidP="00604B88">
      <w:pPr>
        <w:spacing w:line="480" w:lineRule="auto"/>
        <w:jc w:val="both"/>
        <w:rPr>
          <w:sz w:val="24"/>
          <w:szCs w:val="24"/>
        </w:rPr>
      </w:pPr>
      <w:r w:rsidRPr="00443048">
        <w:rPr>
          <w:sz w:val="24"/>
          <w:szCs w:val="24"/>
        </w:rPr>
        <w:t xml:space="preserve">Methods </w:t>
      </w:r>
    </w:p>
    <w:p w14:paraId="51144F35" w14:textId="3789BDDC" w:rsidR="008E3826" w:rsidRPr="00443048" w:rsidRDefault="008E3826" w:rsidP="00604B88">
      <w:pPr>
        <w:spacing w:line="480" w:lineRule="auto"/>
        <w:jc w:val="both"/>
        <w:rPr>
          <w:sz w:val="24"/>
          <w:szCs w:val="24"/>
        </w:rPr>
      </w:pPr>
      <w:r w:rsidRPr="00443048">
        <w:rPr>
          <w:sz w:val="24"/>
          <w:szCs w:val="24"/>
        </w:rPr>
        <w:t>Adult, non-Caucasian (n=101) and Caucasian (n=69) patients with type 2 diabetes, hypertension and/or microalbuminuria and an eGFR &gt; 45 mL/min/1.73m² were randomised to 400 IU vitamin E and/or 20 ug selenium daily or matching placebo. eGFR (CKD-EPI) was measured at baseline, 3,6 and 12 months and renal blood flow by contrast</w:t>
      </w:r>
      <w:r w:rsidR="00654E79">
        <w:rPr>
          <w:sz w:val="24"/>
          <w:szCs w:val="24"/>
        </w:rPr>
        <w:t>-enhanced ultrasonography</w:t>
      </w:r>
      <w:r w:rsidRPr="00443048">
        <w:rPr>
          <w:sz w:val="24"/>
          <w:szCs w:val="24"/>
        </w:rPr>
        <w:t xml:space="preserve"> in a sub-group (n=9) at baseline and 3 months</w:t>
      </w:r>
      <w:r w:rsidR="00B11126">
        <w:rPr>
          <w:sz w:val="24"/>
          <w:szCs w:val="24"/>
        </w:rPr>
        <w:t xml:space="preserve"> by assessing the area</w:t>
      </w:r>
      <w:r w:rsidR="001B7A9F">
        <w:rPr>
          <w:sz w:val="24"/>
          <w:szCs w:val="24"/>
        </w:rPr>
        <w:t xml:space="preserve"> under the </w:t>
      </w:r>
      <w:r w:rsidR="00DE0D97">
        <w:rPr>
          <w:sz w:val="24"/>
          <w:szCs w:val="24"/>
        </w:rPr>
        <w:t>time intensi</w:t>
      </w:r>
      <w:r w:rsidR="00413FE2">
        <w:rPr>
          <w:sz w:val="24"/>
          <w:szCs w:val="24"/>
        </w:rPr>
        <w:t xml:space="preserve">ty </w:t>
      </w:r>
      <w:r w:rsidR="001B7A9F">
        <w:rPr>
          <w:sz w:val="24"/>
          <w:szCs w:val="24"/>
        </w:rPr>
        <w:t>curve (</w:t>
      </w:r>
      <w:r w:rsidR="00413FE2">
        <w:rPr>
          <w:sz w:val="24"/>
          <w:szCs w:val="24"/>
        </w:rPr>
        <w:t>TIC</w:t>
      </w:r>
      <w:r w:rsidR="001B7A9F">
        <w:rPr>
          <w:sz w:val="24"/>
          <w:szCs w:val="24"/>
        </w:rPr>
        <w:t>)</w:t>
      </w:r>
      <w:r w:rsidR="00777117">
        <w:rPr>
          <w:sz w:val="24"/>
          <w:szCs w:val="24"/>
        </w:rPr>
        <w:t>.</w:t>
      </w:r>
      <w:r w:rsidR="0090184A" w:rsidRPr="00443048">
        <w:rPr>
          <w:sz w:val="24"/>
          <w:szCs w:val="24"/>
        </w:rPr>
        <w:t xml:space="preserve"> </w:t>
      </w:r>
      <w:r w:rsidR="0090184A">
        <w:rPr>
          <w:sz w:val="24"/>
          <w:szCs w:val="24"/>
        </w:rPr>
        <w:t>Circulating g</w:t>
      </w:r>
      <w:r w:rsidRPr="00443048">
        <w:rPr>
          <w:sz w:val="24"/>
          <w:szCs w:val="24"/>
        </w:rPr>
        <w:t xml:space="preserve">lutathione peroxidase 3 (GPx-3) </w:t>
      </w:r>
      <w:r w:rsidR="0090184A">
        <w:rPr>
          <w:sz w:val="24"/>
          <w:szCs w:val="24"/>
        </w:rPr>
        <w:t xml:space="preserve">activity was </w:t>
      </w:r>
      <w:r w:rsidR="004B7BB8">
        <w:rPr>
          <w:sz w:val="24"/>
          <w:szCs w:val="24"/>
        </w:rPr>
        <w:t xml:space="preserve">measured </w:t>
      </w:r>
      <w:r w:rsidRPr="00443048">
        <w:rPr>
          <w:sz w:val="24"/>
          <w:szCs w:val="24"/>
        </w:rPr>
        <w:t>as a biomarker of oxidative defence</w:t>
      </w:r>
      <w:r w:rsidR="004B7BB8">
        <w:rPr>
          <w:sz w:val="24"/>
          <w:szCs w:val="24"/>
        </w:rPr>
        <w:t xml:space="preserve"> status</w:t>
      </w:r>
      <w:r w:rsidRPr="00443048">
        <w:rPr>
          <w:sz w:val="24"/>
          <w:szCs w:val="24"/>
        </w:rPr>
        <w:t>.</w:t>
      </w:r>
    </w:p>
    <w:p w14:paraId="132F9493" w14:textId="77777777" w:rsidR="008E3826" w:rsidRPr="00443048" w:rsidRDefault="008E3826" w:rsidP="00604B88">
      <w:pPr>
        <w:spacing w:line="480" w:lineRule="auto"/>
        <w:jc w:val="both"/>
        <w:rPr>
          <w:sz w:val="24"/>
          <w:szCs w:val="24"/>
        </w:rPr>
      </w:pPr>
    </w:p>
    <w:p w14:paraId="23638998" w14:textId="77777777" w:rsidR="008E3826" w:rsidRPr="00443048" w:rsidRDefault="008E3826" w:rsidP="00604B88">
      <w:pPr>
        <w:spacing w:line="480" w:lineRule="auto"/>
        <w:jc w:val="both"/>
        <w:rPr>
          <w:sz w:val="24"/>
          <w:szCs w:val="24"/>
        </w:rPr>
      </w:pPr>
      <w:r w:rsidRPr="00443048">
        <w:rPr>
          <w:sz w:val="24"/>
          <w:szCs w:val="24"/>
        </w:rPr>
        <w:t>Results</w:t>
      </w:r>
    </w:p>
    <w:p w14:paraId="3CA25CEB" w14:textId="6BE6B1C8" w:rsidR="008E3826" w:rsidRPr="00443048" w:rsidRDefault="008E3826" w:rsidP="00604B88">
      <w:pPr>
        <w:spacing w:line="480" w:lineRule="auto"/>
        <w:jc w:val="both"/>
        <w:rPr>
          <w:sz w:val="24"/>
          <w:szCs w:val="24"/>
        </w:rPr>
      </w:pPr>
      <w:r w:rsidRPr="00443048">
        <w:rPr>
          <w:sz w:val="24"/>
          <w:szCs w:val="24"/>
        </w:rPr>
        <w:t>Th</w:t>
      </w:r>
      <w:r w:rsidR="000151A6">
        <w:rPr>
          <w:sz w:val="24"/>
          <w:szCs w:val="24"/>
        </w:rPr>
        <w:t xml:space="preserve">e </w:t>
      </w:r>
      <w:r w:rsidR="000F244C">
        <w:rPr>
          <w:sz w:val="24"/>
          <w:szCs w:val="24"/>
        </w:rPr>
        <w:t xml:space="preserve">time to </w:t>
      </w:r>
      <w:r w:rsidR="006163FE">
        <w:rPr>
          <w:sz w:val="24"/>
          <w:szCs w:val="24"/>
        </w:rPr>
        <w:t>change in</w:t>
      </w:r>
      <w:r w:rsidR="000F244C">
        <w:rPr>
          <w:sz w:val="24"/>
          <w:szCs w:val="24"/>
        </w:rPr>
        <w:t xml:space="preserve"> </w:t>
      </w:r>
      <w:r w:rsidRPr="00443048">
        <w:rPr>
          <w:sz w:val="24"/>
          <w:szCs w:val="24"/>
        </w:rPr>
        <w:t xml:space="preserve">eGFR was shortest with </w:t>
      </w:r>
      <w:r w:rsidR="00105AA7">
        <w:rPr>
          <w:sz w:val="24"/>
          <w:szCs w:val="24"/>
        </w:rPr>
        <w:t xml:space="preserve">combined </w:t>
      </w:r>
      <w:r w:rsidRPr="00443048">
        <w:rPr>
          <w:sz w:val="24"/>
          <w:szCs w:val="24"/>
        </w:rPr>
        <w:t>vitamin E and selenium</w:t>
      </w:r>
      <w:r w:rsidR="004A6921">
        <w:rPr>
          <w:sz w:val="24"/>
          <w:szCs w:val="24"/>
        </w:rPr>
        <w:t xml:space="preserve"> than usual care</w:t>
      </w:r>
      <w:r w:rsidRPr="00443048">
        <w:rPr>
          <w:sz w:val="24"/>
          <w:szCs w:val="24"/>
        </w:rPr>
        <w:t xml:space="preserve"> (5.6 [4.0-7.0] vs 8.9 [6.8-10.9 months]; p=0.006)</w:t>
      </w:r>
      <w:r w:rsidR="00A16063">
        <w:rPr>
          <w:sz w:val="24"/>
          <w:szCs w:val="24"/>
        </w:rPr>
        <w:t xml:space="preserve">. </w:t>
      </w:r>
      <w:r w:rsidR="00D14550">
        <w:rPr>
          <w:sz w:val="24"/>
          <w:szCs w:val="24"/>
        </w:rPr>
        <w:t xml:space="preserve">Area under the TIC was reduced compared </w:t>
      </w:r>
      <w:r w:rsidR="00D14550" w:rsidRPr="00443048">
        <w:rPr>
          <w:sz w:val="24"/>
          <w:szCs w:val="24"/>
        </w:rPr>
        <w:t xml:space="preserve">to baseline (38.52 [22.41- 90.49] vs 123 [86.98- </w:t>
      </w:r>
      <w:proofErr w:type="gramStart"/>
      <w:r w:rsidR="00D14550" w:rsidRPr="00443048">
        <w:rPr>
          <w:sz w:val="24"/>
          <w:szCs w:val="24"/>
        </w:rPr>
        <w:t>367.03]</w:t>
      </w:r>
      <w:proofErr w:type="spellStart"/>
      <w:r w:rsidR="00D14550">
        <w:rPr>
          <w:sz w:val="24"/>
          <w:szCs w:val="24"/>
        </w:rPr>
        <w:t>dB</w:t>
      </w:r>
      <w:proofErr w:type="gramEnd"/>
      <w:r w:rsidR="00D14550">
        <w:rPr>
          <w:sz w:val="24"/>
          <w:szCs w:val="24"/>
        </w:rPr>
        <w:t>.s</w:t>
      </w:r>
      <w:proofErr w:type="spellEnd"/>
      <w:r w:rsidR="00D14550" w:rsidRPr="00443048">
        <w:rPr>
          <w:sz w:val="24"/>
          <w:szCs w:val="24"/>
        </w:rPr>
        <w:t>; P≤0.05 and 347 [175.88- 654.92] vs 928.03 [448.45-1683]</w:t>
      </w:r>
      <w:proofErr w:type="spellStart"/>
      <w:r w:rsidR="00D14550">
        <w:rPr>
          <w:sz w:val="24"/>
          <w:szCs w:val="24"/>
        </w:rPr>
        <w:t>dB.s</w:t>
      </w:r>
      <w:proofErr w:type="spellEnd"/>
      <w:r w:rsidR="00D14550">
        <w:rPr>
          <w:sz w:val="24"/>
          <w:szCs w:val="24"/>
        </w:rPr>
        <w:t>; P≤0.05, respectively] at 3 months</w:t>
      </w:r>
      <w:r w:rsidR="000F244C">
        <w:rPr>
          <w:sz w:val="24"/>
          <w:szCs w:val="24"/>
        </w:rPr>
        <w:t xml:space="preserve"> suggesting </w:t>
      </w:r>
      <w:r w:rsidR="000F244C">
        <w:rPr>
          <w:sz w:val="24"/>
          <w:szCs w:val="24"/>
        </w:rPr>
        <w:lastRenderedPageBreak/>
        <w:t>an increase in rate of perfusion</w:t>
      </w:r>
      <w:r w:rsidR="00D14550">
        <w:rPr>
          <w:sz w:val="24"/>
          <w:szCs w:val="24"/>
        </w:rPr>
        <w:t xml:space="preserve">. </w:t>
      </w:r>
      <w:r w:rsidR="008F3EC9">
        <w:rPr>
          <w:sz w:val="24"/>
          <w:szCs w:val="24"/>
        </w:rPr>
        <w:t xml:space="preserve">The proportional change in eGFR at 12 months was greater in the group whose </w:t>
      </w:r>
      <w:r w:rsidR="00D24A86" w:rsidRPr="00443048">
        <w:rPr>
          <w:sz w:val="24"/>
          <w:szCs w:val="24"/>
        </w:rPr>
        <w:t>GPx-3</w:t>
      </w:r>
      <w:r w:rsidR="00B868CE">
        <w:rPr>
          <w:sz w:val="24"/>
          <w:szCs w:val="24"/>
        </w:rPr>
        <w:t xml:space="preserve"> activity</w:t>
      </w:r>
      <w:r w:rsidR="00D24A86" w:rsidRPr="00443048">
        <w:rPr>
          <w:sz w:val="24"/>
          <w:szCs w:val="24"/>
        </w:rPr>
        <w:t xml:space="preserve"> </w:t>
      </w:r>
      <w:r w:rsidR="008F3EC9">
        <w:rPr>
          <w:sz w:val="24"/>
          <w:szCs w:val="24"/>
        </w:rPr>
        <w:t>was above</w:t>
      </w:r>
      <w:r w:rsidR="000151A6">
        <w:rPr>
          <w:sz w:val="24"/>
          <w:szCs w:val="24"/>
        </w:rPr>
        <w:t>,</w:t>
      </w:r>
      <w:r w:rsidR="008F3EC9">
        <w:rPr>
          <w:sz w:val="24"/>
          <w:szCs w:val="24"/>
        </w:rPr>
        <w:t xml:space="preserve"> compared with those below the </w:t>
      </w:r>
      <w:r w:rsidR="00B021C1">
        <w:rPr>
          <w:sz w:val="24"/>
          <w:szCs w:val="24"/>
        </w:rPr>
        <w:t>cohort median (</w:t>
      </w:r>
      <w:r w:rsidR="00D24A86" w:rsidRPr="00443048">
        <w:rPr>
          <w:sz w:val="24"/>
          <w:szCs w:val="24"/>
        </w:rPr>
        <w:t>360 U/L</w:t>
      </w:r>
      <w:r w:rsidR="00B021C1">
        <w:rPr>
          <w:sz w:val="24"/>
          <w:szCs w:val="24"/>
        </w:rPr>
        <w:t xml:space="preserve">) </w:t>
      </w:r>
      <w:r w:rsidRPr="00443048">
        <w:rPr>
          <w:sz w:val="24"/>
          <w:szCs w:val="24"/>
        </w:rPr>
        <w:t>in the non-Caucasian and the Caucasian groups (19.1(12.5 to 25.7] % vs 6.5[-3.5 to 16.5] % and 12.8 [0.7 to 24] % vs 0.2 [-</w:t>
      </w:r>
      <w:r w:rsidR="00830F9F">
        <w:rPr>
          <w:sz w:val="24"/>
          <w:szCs w:val="24"/>
        </w:rPr>
        <w:t>6.1 to 6.5] %</w:t>
      </w:r>
      <w:proofErr w:type="gramStart"/>
      <w:r w:rsidR="00830F9F">
        <w:rPr>
          <w:sz w:val="24"/>
          <w:szCs w:val="24"/>
        </w:rPr>
        <w:t xml:space="preserve">).  </w:t>
      </w:r>
      <w:r w:rsidRPr="00443048">
        <w:rPr>
          <w:sz w:val="24"/>
          <w:szCs w:val="24"/>
        </w:rPr>
        <w:t>.</w:t>
      </w:r>
      <w:proofErr w:type="gramEnd"/>
      <w:r w:rsidRPr="00443048">
        <w:rPr>
          <w:sz w:val="24"/>
          <w:szCs w:val="24"/>
        </w:rPr>
        <w:t xml:space="preserve"> </w:t>
      </w:r>
    </w:p>
    <w:p w14:paraId="3BD36EE6" w14:textId="77777777" w:rsidR="008E3826" w:rsidRPr="00443048" w:rsidRDefault="008E3826" w:rsidP="00604B88">
      <w:pPr>
        <w:spacing w:line="480" w:lineRule="auto"/>
        <w:jc w:val="both"/>
        <w:rPr>
          <w:sz w:val="24"/>
          <w:szCs w:val="24"/>
        </w:rPr>
      </w:pPr>
    </w:p>
    <w:p w14:paraId="39524AFE" w14:textId="77777777" w:rsidR="008E3826" w:rsidRPr="00443048" w:rsidRDefault="008E3826" w:rsidP="00604B88">
      <w:pPr>
        <w:spacing w:line="480" w:lineRule="auto"/>
        <w:jc w:val="both"/>
        <w:rPr>
          <w:sz w:val="24"/>
          <w:szCs w:val="24"/>
        </w:rPr>
      </w:pPr>
      <w:r w:rsidRPr="00443048">
        <w:rPr>
          <w:sz w:val="24"/>
          <w:szCs w:val="24"/>
        </w:rPr>
        <w:t>Conclusion</w:t>
      </w:r>
    </w:p>
    <w:p w14:paraId="6F1D924E" w14:textId="283B05D2" w:rsidR="008E3826" w:rsidRPr="00443048" w:rsidRDefault="001B38A6" w:rsidP="00604B88">
      <w:pPr>
        <w:spacing w:line="480" w:lineRule="auto"/>
        <w:jc w:val="both"/>
        <w:rPr>
          <w:sz w:val="24"/>
          <w:szCs w:val="24"/>
        </w:rPr>
      </w:pPr>
      <w:r>
        <w:rPr>
          <w:sz w:val="24"/>
          <w:szCs w:val="24"/>
        </w:rPr>
        <w:t xml:space="preserve">In </w:t>
      </w:r>
      <w:r w:rsidR="00B6474F">
        <w:rPr>
          <w:sz w:val="24"/>
          <w:szCs w:val="24"/>
        </w:rPr>
        <w:t xml:space="preserve">these patients with </w:t>
      </w:r>
      <w:r w:rsidR="006345EE">
        <w:rPr>
          <w:sz w:val="24"/>
          <w:szCs w:val="24"/>
        </w:rPr>
        <w:t>type 2 diabetes</w:t>
      </w:r>
      <w:r w:rsidR="00B6474F">
        <w:rPr>
          <w:sz w:val="24"/>
          <w:szCs w:val="24"/>
        </w:rPr>
        <w:t xml:space="preserve"> and early CKD</w:t>
      </w:r>
      <w:r>
        <w:rPr>
          <w:sz w:val="24"/>
          <w:szCs w:val="24"/>
        </w:rPr>
        <w:t>, a</w:t>
      </w:r>
      <w:r w:rsidR="00CC7F88">
        <w:rPr>
          <w:sz w:val="24"/>
          <w:szCs w:val="24"/>
        </w:rPr>
        <w:t xml:space="preserve">ntioxidant treatment </w:t>
      </w:r>
      <w:proofErr w:type="spellStart"/>
      <w:r w:rsidR="00CC7F88">
        <w:rPr>
          <w:sz w:val="24"/>
          <w:szCs w:val="24"/>
        </w:rPr>
        <w:t>derepresses</w:t>
      </w:r>
      <w:proofErr w:type="spellEnd"/>
      <w:r w:rsidR="00CC7F88">
        <w:rPr>
          <w:sz w:val="24"/>
          <w:szCs w:val="24"/>
        </w:rPr>
        <w:t xml:space="preserve"> </w:t>
      </w:r>
      <w:r w:rsidR="008E3826" w:rsidRPr="4060BEDF">
        <w:rPr>
          <w:sz w:val="24"/>
          <w:szCs w:val="24"/>
        </w:rPr>
        <w:t xml:space="preserve">renal blood </w:t>
      </w:r>
      <w:r w:rsidR="00C335AC" w:rsidRPr="4060BEDF">
        <w:rPr>
          <w:sz w:val="24"/>
          <w:szCs w:val="24"/>
        </w:rPr>
        <w:t xml:space="preserve">flow </w:t>
      </w:r>
      <w:r w:rsidR="00CC7F88">
        <w:rPr>
          <w:sz w:val="24"/>
          <w:szCs w:val="24"/>
        </w:rPr>
        <w:t xml:space="preserve">and </w:t>
      </w:r>
      <w:r w:rsidR="00830701">
        <w:rPr>
          <w:sz w:val="24"/>
          <w:szCs w:val="24"/>
        </w:rPr>
        <w:t xml:space="preserve">a </w:t>
      </w:r>
      <w:r w:rsidR="007135BF">
        <w:rPr>
          <w:sz w:val="24"/>
          <w:szCs w:val="24"/>
        </w:rPr>
        <w:t xml:space="preserve">rise </w:t>
      </w:r>
      <w:r w:rsidR="00D13B83">
        <w:rPr>
          <w:sz w:val="24"/>
          <w:szCs w:val="24"/>
        </w:rPr>
        <w:t>in eGFR</w:t>
      </w:r>
      <w:r w:rsidR="00CC7F88">
        <w:rPr>
          <w:sz w:val="24"/>
          <w:szCs w:val="24"/>
        </w:rPr>
        <w:t xml:space="preserve"> </w:t>
      </w:r>
      <w:r w:rsidR="00830701">
        <w:rPr>
          <w:sz w:val="24"/>
          <w:szCs w:val="24"/>
        </w:rPr>
        <w:t>correlate</w:t>
      </w:r>
      <w:r w:rsidR="00732EAF">
        <w:rPr>
          <w:sz w:val="24"/>
          <w:szCs w:val="24"/>
        </w:rPr>
        <w:t>d</w:t>
      </w:r>
      <w:r w:rsidR="00830701">
        <w:rPr>
          <w:sz w:val="24"/>
          <w:szCs w:val="24"/>
        </w:rPr>
        <w:t xml:space="preserve"> </w:t>
      </w:r>
      <w:r w:rsidR="00AB3193">
        <w:rPr>
          <w:sz w:val="24"/>
          <w:szCs w:val="24"/>
        </w:rPr>
        <w:t xml:space="preserve">directly </w:t>
      </w:r>
      <w:r w:rsidR="00830701">
        <w:rPr>
          <w:sz w:val="24"/>
          <w:szCs w:val="24"/>
        </w:rPr>
        <w:t xml:space="preserve">with </w:t>
      </w:r>
      <w:r>
        <w:rPr>
          <w:sz w:val="24"/>
          <w:szCs w:val="24"/>
        </w:rPr>
        <w:t>GPx-3</w:t>
      </w:r>
      <w:r w:rsidR="00836F03">
        <w:rPr>
          <w:sz w:val="24"/>
          <w:szCs w:val="24"/>
        </w:rPr>
        <w:t xml:space="preserve"> activity</w:t>
      </w:r>
      <w:r>
        <w:rPr>
          <w:sz w:val="24"/>
          <w:szCs w:val="24"/>
        </w:rPr>
        <w:t>.</w:t>
      </w:r>
      <w:r w:rsidR="00D13B83">
        <w:rPr>
          <w:sz w:val="24"/>
          <w:szCs w:val="24"/>
        </w:rPr>
        <w:t xml:space="preserve"> </w:t>
      </w:r>
    </w:p>
    <w:p w14:paraId="19C8D0A2" w14:textId="77777777" w:rsidR="008E3826" w:rsidRPr="00443048" w:rsidRDefault="008E3826" w:rsidP="00604B88">
      <w:pPr>
        <w:spacing w:line="480" w:lineRule="auto"/>
        <w:jc w:val="both"/>
        <w:rPr>
          <w:b/>
          <w:bCs/>
          <w:sz w:val="24"/>
          <w:szCs w:val="24"/>
        </w:rPr>
      </w:pPr>
    </w:p>
    <w:p w14:paraId="28CABD0E" w14:textId="6D829AD8" w:rsidR="008E3826" w:rsidRPr="00443048" w:rsidRDefault="00A77582" w:rsidP="00604B88">
      <w:pPr>
        <w:spacing w:line="480" w:lineRule="auto"/>
        <w:jc w:val="both"/>
        <w:rPr>
          <w:b/>
          <w:bCs/>
          <w:sz w:val="24"/>
          <w:szCs w:val="24"/>
        </w:rPr>
      </w:pPr>
      <w:r w:rsidRPr="00443048">
        <w:rPr>
          <w:b/>
          <w:bCs/>
          <w:sz w:val="24"/>
          <w:szCs w:val="24"/>
        </w:rPr>
        <w:t>Significance</w:t>
      </w:r>
    </w:p>
    <w:p w14:paraId="66ED0793" w14:textId="584B8E37" w:rsidR="00154CFF" w:rsidRPr="00443048" w:rsidRDefault="0060253B" w:rsidP="00604B88">
      <w:pPr>
        <w:spacing w:line="480" w:lineRule="auto"/>
        <w:jc w:val="both"/>
        <w:rPr>
          <w:sz w:val="24"/>
          <w:szCs w:val="24"/>
        </w:rPr>
      </w:pPr>
      <w:r w:rsidRPr="00443048">
        <w:rPr>
          <w:sz w:val="24"/>
          <w:szCs w:val="24"/>
        </w:rPr>
        <w:t>Diabetes mellitus is the world’s leading cause of end-stage renal disease w</w:t>
      </w:r>
      <w:r w:rsidR="0018193F" w:rsidRPr="00443048">
        <w:rPr>
          <w:sz w:val="24"/>
          <w:szCs w:val="24"/>
        </w:rPr>
        <w:t xml:space="preserve">hich has a predilection </w:t>
      </w:r>
      <w:r w:rsidRPr="00443048">
        <w:rPr>
          <w:sz w:val="24"/>
          <w:szCs w:val="24"/>
        </w:rPr>
        <w:t xml:space="preserve">for </w:t>
      </w:r>
      <w:r w:rsidR="00D861AC" w:rsidRPr="00443048">
        <w:rPr>
          <w:sz w:val="24"/>
          <w:szCs w:val="24"/>
        </w:rPr>
        <w:t xml:space="preserve">black and minor ethnic groups compared with </w:t>
      </w:r>
      <w:r w:rsidR="006D6716" w:rsidRPr="00443048">
        <w:rPr>
          <w:sz w:val="24"/>
          <w:szCs w:val="24"/>
        </w:rPr>
        <w:t>Caucasians</w:t>
      </w:r>
      <w:r w:rsidR="00CF6F8F" w:rsidRPr="00443048">
        <w:rPr>
          <w:sz w:val="24"/>
          <w:szCs w:val="24"/>
        </w:rPr>
        <w:t>. The</w:t>
      </w:r>
      <w:r w:rsidR="00FF4127" w:rsidRPr="00443048">
        <w:rPr>
          <w:sz w:val="24"/>
          <w:szCs w:val="24"/>
        </w:rPr>
        <w:t xml:space="preserve"> differences in risk despite the benefits of c</w:t>
      </w:r>
      <w:r w:rsidR="00443048">
        <w:rPr>
          <w:sz w:val="24"/>
          <w:szCs w:val="24"/>
        </w:rPr>
        <w:t>onventional care</w:t>
      </w:r>
      <w:r w:rsidR="00AD58FD" w:rsidRPr="00443048">
        <w:rPr>
          <w:sz w:val="24"/>
          <w:szCs w:val="24"/>
        </w:rPr>
        <w:t xml:space="preserve"> </w:t>
      </w:r>
      <w:r w:rsidR="005357C4" w:rsidRPr="00443048">
        <w:rPr>
          <w:sz w:val="24"/>
          <w:szCs w:val="24"/>
        </w:rPr>
        <w:t xml:space="preserve">may be </w:t>
      </w:r>
      <w:r w:rsidR="0075133C">
        <w:rPr>
          <w:sz w:val="24"/>
          <w:szCs w:val="24"/>
        </w:rPr>
        <w:t>related</w:t>
      </w:r>
      <w:r w:rsidR="00581E6D" w:rsidRPr="00443048">
        <w:rPr>
          <w:sz w:val="24"/>
          <w:szCs w:val="24"/>
        </w:rPr>
        <w:t xml:space="preserve"> </w:t>
      </w:r>
      <w:r w:rsidR="00F6351A" w:rsidRPr="00443048">
        <w:rPr>
          <w:sz w:val="24"/>
          <w:szCs w:val="24"/>
        </w:rPr>
        <w:t xml:space="preserve">to </w:t>
      </w:r>
      <w:r w:rsidR="00581E6D" w:rsidRPr="00443048">
        <w:rPr>
          <w:sz w:val="24"/>
          <w:szCs w:val="24"/>
        </w:rPr>
        <w:t xml:space="preserve">oxidative stress. </w:t>
      </w:r>
      <w:r w:rsidR="00D96C28" w:rsidRPr="00443048">
        <w:rPr>
          <w:sz w:val="24"/>
          <w:szCs w:val="24"/>
        </w:rPr>
        <w:t xml:space="preserve">We found </w:t>
      </w:r>
      <w:r w:rsidR="0060495F" w:rsidRPr="00443048">
        <w:rPr>
          <w:sz w:val="24"/>
          <w:szCs w:val="24"/>
        </w:rPr>
        <w:t>that glomerular filtration and renal bloo</w:t>
      </w:r>
      <w:r w:rsidR="00222D31" w:rsidRPr="00443048">
        <w:rPr>
          <w:sz w:val="24"/>
          <w:szCs w:val="24"/>
        </w:rPr>
        <w:t>d</w:t>
      </w:r>
      <w:r w:rsidR="0060495F" w:rsidRPr="00443048">
        <w:rPr>
          <w:sz w:val="24"/>
          <w:szCs w:val="24"/>
        </w:rPr>
        <w:t xml:space="preserve"> flow is suppressed </w:t>
      </w:r>
      <w:r w:rsidR="003974E7" w:rsidRPr="00443048">
        <w:rPr>
          <w:sz w:val="24"/>
          <w:szCs w:val="24"/>
        </w:rPr>
        <w:t xml:space="preserve">when </w:t>
      </w:r>
      <w:r w:rsidR="001548F5" w:rsidRPr="00443048">
        <w:rPr>
          <w:sz w:val="24"/>
          <w:szCs w:val="24"/>
        </w:rPr>
        <w:t>renal func</w:t>
      </w:r>
      <w:r w:rsidR="00222D31" w:rsidRPr="00443048">
        <w:rPr>
          <w:sz w:val="24"/>
          <w:szCs w:val="24"/>
        </w:rPr>
        <w:t xml:space="preserve">tion is preserved in </w:t>
      </w:r>
      <w:r w:rsidR="00197029" w:rsidRPr="00443048">
        <w:rPr>
          <w:sz w:val="24"/>
          <w:szCs w:val="24"/>
        </w:rPr>
        <w:t xml:space="preserve">high-risk </w:t>
      </w:r>
      <w:r w:rsidR="00222D31" w:rsidRPr="00443048">
        <w:rPr>
          <w:sz w:val="24"/>
          <w:szCs w:val="24"/>
        </w:rPr>
        <w:t xml:space="preserve">patients with type 2 diabetes. </w:t>
      </w:r>
      <w:r w:rsidR="009C222A" w:rsidRPr="00443048">
        <w:rPr>
          <w:sz w:val="24"/>
          <w:szCs w:val="24"/>
        </w:rPr>
        <w:t>Convent</w:t>
      </w:r>
      <w:r w:rsidR="00835327" w:rsidRPr="00443048">
        <w:rPr>
          <w:sz w:val="24"/>
          <w:szCs w:val="24"/>
        </w:rPr>
        <w:t>ional care s</w:t>
      </w:r>
      <w:r w:rsidR="00BE61D0" w:rsidRPr="00443048">
        <w:rPr>
          <w:sz w:val="24"/>
          <w:szCs w:val="24"/>
        </w:rPr>
        <w:t>upplemented with</w:t>
      </w:r>
      <w:r w:rsidR="009C222A" w:rsidRPr="00443048">
        <w:rPr>
          <w:sz w:val="24"/>
          <w:szCs w:val="24"/>
        </w:rPr>
        <w:t xml:space="preserve"> </w:t>
      </w:r>
      <w:r w:rsidR="00AD1781" w:rsidRPr="00443048">
        <w:rPr>
          <w:sz w:val="24"/>
          <w:szCs w:val="24"/>
        </w:rPr>
        <w:t>selenium</w:t>
      </w:r>
      <w:r w:rsidR="00062737" w:rsidRPr="00443048">
        <w:rPr>
          <w:sz w:val="24"/>
          <w:szCs w:val="24"/>
        </w:rPr>
        <w:t xml:space="preserve"> </w:t>
      </w:r>
      <w:r w:rsidR="00927A56" w:rsidRPr="00443048">
        <w:rPr>
          <w:sz w:val="24"/>
          <w:szCs w:val="24"/>
        </w:rPr>
        <w:t>-</w:t>
      </w:r>
      <w:r w:rsidR="00AD1781" w:rsidRPr="00443048">
        <w:rPr>
          <w:sz w:val="24"/>
          <w:szCs w:val="24"/>
        </w:rPr>
        <w:t xml:space="preserve"> </w:t>
      </w:r>
      <w:r w:rsidR="00062737" w:rsidRPr="00443048">
        <w:rPr>
          <w:sz w:val="24"/>
          <w:szCs w:val="24"/>
        </w:rPr>
        <w:t xml:space="preserve">the co-factor for </w:t>
      </w:r>
      <w:r w:rsidR="00927A56" w:rsidRPr="00443048">
        <w:rPr>
          <w:sz w:val="24"/>
          <w:szCs w:val="24"/>
        </w:rPr>
        <w:t>g</w:t>
      </w:r>
      <w:r w:rsidR="00062737" w:rsidRPr="00443048">
        <w:rPr>
          <w:sz w:val="24"/>
          <w:szCs w:val="24"/>
        </w:rPr>
        <w:t>lutathione peroxidase-3 (GPx-3)</w:t>
      </w:r>
      <w:r w:rsidR="00927A56" w:rsidRPr="00443048">
        <w:rPr>
          <w:sz w:val="24"/>
          <w:szCs w:val="24"/>
        </w:rPr>
        <w:t xml:space="preserve"> - </w:t>
      </w:r>
      <w:r w:rsidR="00B66520" w:rsidRPr="00443048">
        <w:rPr>
          <w:sz w:val="24"/>
          <w:szCs w:val="24"/>
        </w:rPr>
        <w:t xml:space="preserve">improves </w:t>
      </w:r>
      <w:r w:rsidR="00B80575" w:rsidRPr="00443048">
        <w:rPr>
          <w:sz w:val="24"/>
          <w:szCs w:val="24"/>
        </w:rPr>
        <w:t xml:space="preserve">renal </w:t>
      </w:r>
      <w:r w:rsidR="00B66520" w:rsidRPr="00443048">
        <w:rPr>
          <w:sz w:val="24"/>
          <w:szCs w:val="24"/>
        </w:rPr>
        <w:t>b</w:t>
      </w:r>
      <w:r w:rsidR="00197029" w:rsidRPr="00443048">
        <w:rPr>
          <w:sz w:val="24"/>
          <w:szCs w:val="24"/>
        </w:rPr>
        <w:t xml:space="preserve">lood flow and glomerular </w:t>
      </w:r>
      <w:r w:rsidR="001065C2" w:rsidRPr="00443048">
        <w:rPr>
          <w:sz w:val="24"/>
          <w:szCs w:val="24"/>
        </w:rPr>
        <w:t>filtration in sub-g</w:t>
      </w:r>
      <w:r w:rsidR="009C222A" w:rsidRPr="00443048">
        <w:rPr>
          <w:sz w:val="24"/>
          <w:szCs w:val="24"/>
        </w:rPr>
        <w:t>r</w:t>
      </w:r>
      <w:r w:rsidR="001065C2" w:rsidRPr="00443048">
        <w:rPr>
          <w:sz w:val="24"/>
          <w:szCs w:val="24"/>
        </w:rPr>
        <w:t>oups with low</w:t>
      </w:r>
      <w:r w:rsidR="009C222A" w:rsidRPr="00443048">
        <w:rPr>
          <w:sz w:val="24"/>
          <w:szCs w:val="24"/>
        </w:rPr>
        <w:t>e</w:t>
      </w:r>
      <w:r w:rsidR="00E27E9F" w:rsidRPr="00443048">
        <w:rPr>
          <w:sz w:val="24"/>
          <w:szCs w:val="24"/>
        </w:rPr>
        <w:t>r</w:t>
      </w:r>
      <w:r w:rsidR="001065C2" w:rsidRPr="00443048">
        <w:rPr>
          <w:sz w:val="24"/>
          <w:szCs w:val="24"/>
        </w:rPr>
        <w:t xml:space="preserve"> host antioxidant defence</w:t>
      </w:r>
      <w:r w:rsidR="00146049" w:rsidRPr="00443048">
        <w:rPr>
          <w:sz w:val="24"/>
          <w:szCs w:val="24"/>
        </w:rPr>
        <w:t xml:space="preserve"> determined by GPx-3 activity</w:t>
      </w:r>
      <w:r w:rsidR="008611EB" w:rsidRPr="00443048">
        <w:rPr>
          <w:sz w:val="24"/>
          <w:szCs w:val="24"/>
        </w:rPr>
        <w:t>. C</w:t>
      </w:r>
      <w:r w:rsidR="00BE61D0" w:rsidRPr="00443048">
        <w:rPr>
          <w:sz w:val="24"/>
          <w:szCs w:val="24"/>
        </w:rPr>
        <w:t>irculating</w:t>
      </w:r>
      <w:r w:rsidR="001F27D3" w:rsidRPr="00443048">
        <w:rPr>
          <w:sz w:val="24"/>
          <w:szCs w:val="24"/>
        </w:rPr>
        <w:t xml:space="preserve"> GPx-3</w:t>
      </w:r>
      <w:r w:rsidR="00927A56" w:rsidRPr="00443048">
        <w:rPr>
          <w:sz w:val="24"/>
          <w:szCs w:val="24"/>
        </w:rPr>
        <w:t xml:space="preserve"> activity </w:t>
      </w:r>
      <w:r w:rsidR="005B5C58" w:rsidRPr="00443048">
        <w:rPr>
          <w:sz w:val="24"/>
          <w:szCs w:val="24"/>
        </w:rPr>
        <w:t xml:space="preserve">warrants further investigation as </w:t>
      </w:r>
      <w:r w:rsidR="001F27D3" w:rsidRPr="00443048">
        <w:rPr>
          <w:sz w:val="24"/>
          <w:szCs w:val="24"/>
        </w:rPr>
        <w:t>a novel</w:t>
      </w:r>
      <w:r w:rsidR="00177A1C" w:rsidRPr="00443048">
        <w:rPr>
          <w:sz w:val="24"/>
          <w:szCs w:val="24"/>
        </w:rPr>
        <w:t xml:space="preserve"> </w:t>
      </w:r>
      <w:r w:rsidR="001F27D3" w:rsidRPr="00443048">
        <w:rPr>
          <w:sz w:val="24"/>
          <w:szCs w:val="24"/>
        </w:rPr>
        <w:t xml:space="preserve">biomarker </w:t>
      </w:r>
      <w:r w:rsidR="00E91D05" w:rsidRPr="00443048">
        <w:rPr>
          <w:sz w:val="24"/>
          <w:szCs w:val="24"/>
        </w:rPr>
        <w:t xml:space="preserve">of </w:t>
      </w:r>
      <w:r w:rsidR="00085F34" w:rsidRPr="00443048">
        <w:rPr>
          <w:sz w:val="24"/>
          <w:szCs w:val="24"/>
        </w:rPr>
        <w:t xml:space="preserve">reversible </w:t>
      </w:r>
      <w:r w:rsidR="000C05E3" w:rsidRPr="00443048">
        <w:rPr>
          <w:sz w:val="24"/>
          <w:szCs w:val="24"/>
        </w:rPr>
        <w:t xml:space="preserve">haemodynamic changes in </w:t>
      </w:r>
      <w:r w:rsidR="00E91D05" w:rsidRPr="00443048">
        <w:rPr>
          <w:sz w:val="24"/>
          <w:szCs w:val="24"/>
        </w:rPr>
        <w:t>earl</w:t>
      </w:r>
      <w:r w:rsidR="00192762" w:rsidRPr="00443048">
        <w:rPr>
          <w:sz w:val="24"/>
          <w:szCs w:val="24"/>
        </w:rPr>
        <w:t>y</w:t>
      </w:r>
      <w:r w:rsidR="00085F34" w:rsidRPr="00443048">
        <w:rPr>
          <w:sz w:val="24"/>
          <w:szCs w:val="24"/>
        </w:rPr>
        <w:t xml:space="preserve"> </w:t>
      </w:r>
      <w:r w:rsidR="008E43F0" w:rsidRPr="00443048">
        <w:rPr>
          <w:sz w:val="24"/>
          <w:szCs w:val="24"/>
        </w:rPr>
        <w:t xml:space="preserve">diabetic </w:t>
      </w:r>
      <w:r w:rsidR="00E91D05" w:rsidRPr="00443048">
        <w:rPr>
          <w:sz w:val="24"/>
          <w:szCs w:val="24"/>
        </w:rPr>
        <w:t>kidney disease</w:t>
      </w:r>
      <w:r w:rsidR="002C201F" w:rsidRPr="00443048">
        <w:rPr>
          <w:sz w:val="24"/>
          <w:szCs w:val="24"/>
        </w:rPr>
        <w:t xml:space="preserve"> </w:t>
      </w:r>
      <w:r w:rsidR="005B5C58" w:rsidRPr="00443048">
        <w:rPr>
          <w:sz w:val="24"/>
          <w:szCs w:val="24"/>
        </w:rPr>
        <w:t xml:space="preserve">to better </w:t>
      </w:r>
      <w:r w:rsidR="008E43F0" w:rsidRPr="00443048">
        <w:rPr>
          <w:sz w:val="24"/>
          <w:szCs w:val="24"/>
        </w:rPr>
        <w:t xml:space="preserve">enable </w:t>
      </w:r>
      <w:r w:rsidR="00B35B2C" w:rsidRPr="00443048">
        <w:rPr>
          <w:sz w:val="24"/>
          <w:szCs w:val="24"/>
        </w:rPr>
        <w:t xml:space="preserve">targeting of </w:t>
      </w:r>
      <w:proofErr w:type="spellStart"/>
      <w:r w:rsidR="00B35B2C" w:rsidRPr="00443048">
        <w:rPr>
          <w:sz w:val="24"/>
          <w:szCs w:val="24"/>
        </w:rPr>
        <w:t>renoprotecti</w:t>
      </w:r>
      <w:r w:rsidR="008E43F0" w:rsidRPr="00443048">
        <w:rPr>
          <w:sz w:val="24"/>
          <w:szCs w:val="24"/>
        </w:rPr>
        <w:t>ve</w:t>
      </w:r>
      <w:proofErr w:type="spellEnd"/>
      <w:r w:rsidR="008E43F0" w:rsidRPr="00443048">
        <w:rPr>
          <w:sz w:val="24"/>
          <w:szCs w:val="24"/>
        </w:rPr>
        <w:t xml:space="preserve"> strategies. </w:t>
      </w:r>
    </w:p>
    <w:p w14:paraId="206B79CB" w14:textId="2A4B3901" w:rsidR="00154CFF" w:rsidRPr="00443048" w:rsidRDefault="00154CFF" w:rsidP="00604B88">
      <w:pPr>
        <w:jc w:val="both"/>
        <w:rPr>
          <w:sz w:val="24"/>
          <w:szCs w:val="24"/>
        </w:rPr>
      </w:pPr>
    </w:p>
    <w:p w14:paraId="22D6AB04" w14:textId="53824376" w:rsidR="00154CFF" w:rsidRPr="00443048" w:rsidRDefault="00154CFF" w:rsidP="00604B88">
      <w:pPr>
        <w:jc w:val="both"/>
        <w:rPr>
          <w:sz w:val="24"/>
          <w:szCs w:val="24"/>
        </w:rPr>
      </w:pPr>
    </w:p>
    <w:p w14:paraId="400D88F6" w14:textId="77777777" w:rsidR="005254E5" w:rsidRPr="00443048" w:rsidRDefault="005254E5" w:rsidP="00604B88">
      <w:pPr>
        <w:spacing w:line="480" w:lineRule="auto"/>
        <w:jc w:val="both"/>
        <w:rPr>
          <w:sz w:val="24"/>
          <w:szCs w:val="24"/>
        </w:rPr>
      </w:pPr>
    </w:p>
    <w:p w14:paraId="4DD5F744" w14:textId="2948BF2B" w:rsidR="00DB7656" w:rsidRPr="00443048" w:rsidRDefault="00DB7656" w:rsidP="00604B88">
      <w:pPr>
        <w:spacing w:line="480" w:lineRule="auto"/>
        <w:jc w:val="both"/>
        <w:rPr>
          <w:sz w:val="24"/>
          <w:szCs w:val="24"/>
          <w:u w:val="single"/>
        </w:rPr>
      </w:pPr>
      <w:r w:rsidRPr="00443048">
        <w:rPr>
          <w:sz w:val="24"/>
          <w:szCs w:val="24"/>
          <w:u w:val="single"/>
        </w:rPr>
        <w:t>Trial registration</w:t>
      </w:r>
    </w:p>
    <w:p w14:paraId="105ADE5F" w14:textId="17F930E8" w:rsidR="005E4D73" w:rsidRPr="00443048" w:rsidRDefault="00DB7656" w:rsidP="00604B88">
      <w:pPr>
        <w:spacing w:line="480" w:lineRule="auto"/>
        <w:jc w:val="both"/>
        <w:rPr>
          <w:sz w:val="24"/>
          <w:szCs w:val="24"/>
        </w:rPr>
      </w:pPr>
      <w:r w:rsidRPr="00443048">
        <w:rPr>
          <w:sz w:val="24"/>
          <w:szCs w:val="24"/>
        </w:rPr>
        <w:t>ISRCTN 9735811</w:t>
      </w:r>
    </w:p>
    <w:p w14:paraId="6520CE22" w14:textId="77777777" w:rsidR="00EF3325" w:rsidRPr="00443048" w:rsidRDefault="00EF3325" w:rsidP="00604B88">
      <w:pPr>
        <w:spacing w:line="480" w:lineRule="auto"/>
        <w:jc w:val="both"/>
        <w:rPr>
          <w:sz w:val="24"/>
          <w:szCs w:val="24"/>
        </w:rPr>
      </w:pPr>
      <w:r w:rsidRPr="00443048">
        <w:rPr>
          <w:sz w:val="24"/>
          <w:szCs w:val="24"/>
          <w:u w:val="single"/>
        </w:rPr>
        <w:t>Funding</w:t>
      </w:r>
    </w:p>
    <w:p w14:paraId="3156EA58" w14:textId="59599CF3" w:rsidR="00DB7656" w:rsidRPr="00443048" w:rsidRDefault="00EF3325" w:rsidP="00604B88">
      <w:pPr>
        <w:spacing w:line="480" w:lineRule="auto"/>
        <w:jc w:val="both"/>
        <w:rPr>
          <w:sz w:val="24"/>
          <w:szCs w:val="24"/>
        </w:rPr>
      </w:pPr>
      <w:r w:rsidRPr="00443048">
        <w:rPr>
          <w:sz w:val="24"/>
          <w:szCs w:val="24"/>
        </w:rPr>
        <w:t xml:space="preserve">This research was supported by a grant from Dialysis Clinic Inc (C-3305) and the National Institutes of Health Research (UKCRN ID: 8432). Neither sponsor </w:t>
      </w:r>
      <w:r w:rsidR="004073A3" w:rsidRPr="00443048">
        <w:rPr>
          <w:sz w:val="24"/>
          <w:szCs w:val="24"/>
        </w:rPr>
        <w:t>had a role in the preparation and presentation of this manusc</w:t>
      </w:r>
      <w:r w:rsidR="00B32616" w:rsidRPr="00443048">
        <w:rPr>
          <w:sz w:val="24"/>
          <w:szCs w:val="24"/>
        </w:rPr>
        <w:t>ript.</w:t>
      </w:r>
    </w:p>
    <w:p w14:paraId="22946A5D" w14:textId="241A2B8D" w:rsidR="00BD5C91" w:rsidRPr="00443048" w:rsidRDefault="00BD5C91" w:rsidP="00604B88">
      <w:pPr>
        <w:spacing w:line="480" w:lineRule="auto"/>
        <w:jc w:val="both"/>
        <w:rPr>
          <w:sz w:val="24"/>
          <w:szCs w:val="24"/>
        </w:rPr>
      </w:pPr>
    </w:p>
    <w:p w14:paraId="00B071F2" w14:textId="78AABF85" w:rsidR="006D6E23" w:rsidRPr="00443048" w:rsidRDefault="00154CFF" w:rsidP="00604B88">
      <w:pPr>
        <w:jc w:val="both"/>
        <w:rPr>
          <w:sz w:val="24"/>
          <w:szCs w:val="24"/>
        </w:rPr>
      </w:pPr>
      <w:r w:rsidRPr="00443048">
        <w:rPr>
          <w:sz w:val="24"/>
          <w:szCs w:val="24"/>
        </w:rPr>
        <w:br w:type="page"/>
      </w:r>
    </w:p>
    <w:p w14:paraId="120626E9" w14:textId="66E6AE06" w:rsidR="004561FC" w:rsidRPr="00443048" w:rsidRDefault="004561FC" w:rsidP="00604B88">
      <w:pPr>
        <w:spacing w:line="480" w:lineRule="auto"/>
        <w:jc w:val="both"/>
        <w:rPr>
          <w:rFonts w:eastAsia="Calibri" w:cs="Times New Roman"/>
          <w:b/>
          <w:sz w:val="24"/>
          <w:szCs w:val="24"/>
        </w:rPr>
      </w:pPr>
      <w:r w:rsidRPr="00443048">
        <w:rPr>
          <w:rFonts w:eastAsia="Calibri" w:cs="Times New Roman"/>
          <w:b/>
          <w:sz w:val="24"/>
          <w:szCs w:val="24"/>
        </w:rPr>
        <w:lastRenderedPageBreak/>
        <w:t xml:space="preserve">INTRODUCTION </w:t>
      </w:r>
    </w:p>
    <w:p w14:paraId="110F7D95" w14:textId="70EFA232" w:rsidR="004561FC" w:rsidRPr="00443048" w:rsidRDefault="004561FC" w:rsidP="00317B35">
      <w:pPr>
        <w:spacing w:line="480" w:lineRule="auto"/>
      </w:pPr>
      <w:r w:rsidRPr="00443048">
        <w:rPr>
          <w:rFonts w:eastAsia="Calibri" w:cs="Times New Roman"/>
          <w:sz w:val="24"/>
          <w:szCs w:val="24"/>
        </w:rPr>
        <w:t>Throughout the world, diabetes is the leading cause of chronic kidney disease (CKD) and the need for renal replacement therapy which is associated with premature cardiovascular death.  The greatest disease burden resides in populations of low- and middle-income countries and groups of patients of non-Caucasian heritage living in developed countries</w:t>
      </w:r>
      <w:r w:rsidR="006E31D5" w:rsidRPr="00443048">
        <w:rPr>
          <w:rFonts w:eastAsia="Calibri" w:cs="Times New Roman"/>
          <w:sz w:val="24"/>
          <w:szCs w:val="24"/>
        </w:rPr>
        <w:t xml:space="preserve"> [1,2]</w:t>
      </w:r>
      <w:r w:rsidRPr="00443048">
        <w:rPr>
          <w:rFonts w:eastAsia="Calibri" w:cs="Times New Roman"/>
          <w:sz w:val="24"/>
          <w:szCs w:val="24"/>
        </w:rPr>
        <w:t>. The phenotype of diabetic kidney disease is heterogeneous. Classically, its development and progression are described as being heralded by an increased urinary albumin excretion. However, albuminuria does not occur in 1:3 cases of CKD and hence its value as a comprehensive biomarker is debatable</w:t>
      </w:r>
      <w:r w:rsidR="006E31D5" w:rsidRPr="00443048">
        <w:rPr>
          <w:rFonts w:eastAsia="Calibri" w:cs="Times New Roman"/>
          <w:sz w:val="24"/>
          <w:szCs w:val="24"/>
        </w:rPr>
        <w:t xml:space="preserve"> [3]</w:t>
      </w:r>
      <w:r w:rsidRPr="00443048">
        <w:rPr>
          <w:rFonts w:eastAsia="Calibri" w:cs="Times New Roman"/>
          <w:sz w:val="24"/>
          <w:szCs w:val="24"/>
        </w:rPr>
        <w:t>. Furthermore, although modulators of the renin-angiotensin system are effective and established as nephroprotective treatments a considerable</w:t>
      </w:r>
      <w:r w:rsidR="005A321A" w:rsidRPr="00443048">
        <w:rPr>
          <w:rFonts w:eastAsia="Calibri" w:cs="Times New Roman"/>
          <w:sz w:val="24"/>
          <w:szCs w:val="24"/>
        </w:rPr>
        <w:t>,</w:t>
      </w:r>
      <w:r w:rsidRPr="00443048">
        <w:rPr>
          <w:rFonts w:eastAsia="Calibri" w:cs="Times New Roman"/>
          <w:sz w:val="24"/>
          <w:szCs w:val="24"/>
        </w:rPr>
        <w:t xml:space="preserve"> residual risk of CKD persists that could be associated with non-traditional factors linked to obesity and heritage</w:t>
      </w:r>
      <w:r w:rsidR="006E31D5" w:rsidRPr="00443048">
        <w:rPr>
          <w:rFonts w:eastAsia="Calibri" w:cs="Times New Roman"/>
          <w:sz w:val="24"/>
          <w:szCs w:val="24"/>
        </w:rPr>
        <w:t xml:space="preserve"> [4,5].</w:t>
      </w:r>
      <w:r w:rsidRPr="00443048">
        <w:rPr>
          <w:rFonts w:eastAsia="Calibri" w:cs="Times New Roman"/>
          <w:sz w:val="24"/>
          <w:szCs w:val="24"/>
        </w:rPr>
        <w:t xml:space="preserve"> </w:t>
      </w:r>
    </w:p>
    <w:p w14:paraId="1A5174CE" w14:textId="77777777" w:rsidR="004561FC" w:rsidRPr="00443048" w:rsidRDefault="004561FC" w:rsidP="00604B88">
      <w:pPr>
        <w:spacing w:line="480" w:lineRule="auto"/>
        <w:jc w:val="both"/>
        <w:rPr>
          <w:rFonts w:eastAsia="Calibri" w:cs="Times New Roman"/>
          <w:sz w:val="24"/>
          <w:szCs w:val="24"/>
        </w:rPr>
      </w:pPr>
    </w:p>
    <w:p w14:paraId="41FAB4BD" w14:textId="25E1C9E1" w:rsidR="004561FC" w:rsidRPr="00443048" w:rsidRDefault="004561FC" w:rsidP="00604B88">
      <w:pPr>
        <w:spacing w:line="480" w:lineRule="auto"/>
        <w:jc w:val="both"/>
        <w:rPr>
          <w:rFonts w:eastAsia="Calibri" w:cs="Times New Roman"/>
          <w:sz w:val="24"/>
          <w:szCs w:val="24"/>
          <w:vertAlign w:val="superscript"/>
        </w:rPr>
      </w:pPr>
      <w:r w:rsidRPr="702898A1">
        <w:rPr>
          <w:rFonts w:eastAsia="Calibri" w:cs="Times New Roman"/>
          <w:sz w:val="24"/>
          <w:szCs w:val="24"/>
        </w:rPr>
        <w:t>A strong experimental evidence base implicates increased oxidative stress in the development of haemodynamic alterations and histological features of diabetic kidney disease</w:t>
      </w:r>
      <w:r w:rsidR="008F559A" w:rsidRPr="702898A1">
        <w:rPr>
          <w:rFonts w:eastAsia="Calibri" w:cs="Times New Roman"/>
          <w:sz w:val="24"/>
          <w:szCs w:val="24"/>
        </w:rPr>
        <w:t xml:space="preserve"> [6,7]</w:t>
      </w:r>
      <w:r w:rsidRPr="702898A1">
        <w:rPr>
          <w:rFonts w:eastAsia="Calibri" w:cs="Times New Roman"/>
          <w:sz w:val="24"/>
          <w:szCs w:val="24"/>
        </w:rPr>
        <w:t xml:space="preserve">. </w:t>
      </w:r>
      <w:r w:rsidR="324BEC02" w:rsidRPr="702898A1">
        <w:rPr>
          <w:rFonts w:eastAsia="Calibri" w:cs="Times New Roman"/>
          <w:sz w:val="24"/>
          <w:szCs w:val="24"/>
        </w:rPr>
        <w:t>In e</w:t>
      </w:r>
      <w:r w:rsidR="00FF635D" w:rsidRPr="702898A1">
        <w:rPr>
          <w:rFonts w:eastAsia="Calibri" w:cs="Times New Roman"/>
          <w:sz w:val="24"/>
          <w:szCs w:val="24"/>
        </w:rPr>
        <w:t>xperimental studies</w:t>
      </w:r>
      <w:r w:rsidR="7DC47CFF" w:rsidRPr="702898A1">
        <w:rPr>
          <w:rFonts w:eastAsia="Calibri" w:cs="Times New Roman"/>
          <w:sz w:val="24"/>
          <w:szCs w:val="24"/>
        </w:rPr>
        <w:t xml:space="preserve">, </w:t>
      </w:r>
      <w:r w:rsidR="00FF635D" w:rsidRPr="702898A1">
        <w:rPr>
          <w:rFonts w:eastAsia="Calibri" w:cs="Times New Roman"/>
          <w:sz w:val="24"/>
          <w:szCs w:val="24"/>
        </w:rPr>
        <w:t>m</w:t>
      </w:r>
      <w:r w:rsidRPr="702898A1">
        <w:rPr>
          <w:rFonts w:eastAsia="Calibri" w:cs="Times New Roman"/>
          <w:sz w:val="24"/>
          <w:szCs w:val="24"/>
        </w:rPr>
        <w:t>icronutrient supplementation</w:t>
      </w:r>
      <w:r w:rsidR="001C6368" w:rsidRPr="702898A1">
        <w:rPr>
          <w:rFonts w:eastAsia="Calibri" w:cs="Times New Roman"/>
          <w:sz w:val="24"/>
          <w:szCs w:val="24"/>
        </w:rPr>
        <w:t xml:space="preserve"> </w:t>
      </w:r>
      <w:r w:rsidRPr="702898A1">
        <w:rPr>
          <w:rFonts w:eastAsia="Calibri" w:cs="Times New Roman"/>
          <w:sz w:val="24"/>
          <w:szCs w:val="24"/>
        </w:rPr>
        <w:t>reduces markers of oxidative stress, pro-inflammatory cytokines and mediators of renal fibrosis</w:t>
      </w:r>
      <w:r w:rsidR="1ABE7A88" w:rsidRPr="702898A1">
        <w:rPr>
          <w:rFonts w:eastAsia="Calibri" w:cs="Times New Roman"/>
          <w:sz w:val="24"/>
          <w:szCs w:val="24"/>
        </w:rPr>
        <w:t xml:space="preserve"> that </w:t>
      </w:r>
      <w:r w:rsidR="482D9C45" w:rsidRPr="702898A1">
        <w:rPr>
          <w:rFonts w:eastAsia="Calibri" w:cs="Times New Roman"/>
          <w:sz w:val="24"/>
          <w:szCs w:val="24"/>
        </w:rPr>
        <w:t>is</w:t>
      </w:r>
      <w:r w:rsidR="1ABE7A88" w:rsidRPr="702898A1">
        <w:rPr>
          <w:rFonts w:eastAsia="Calibri" w:cs="Times New Roman"/>
          <w:sz w:val="24"/>
          <w:szCs w:val="24"/>
        </w:rPr>
        <w:t xml:space="preserve"> typical of </w:t>
      </w:r>
      <w:r w:rsidR="00FF635D" w:rsidRPr="702898A1">
        <w:rPr>
          <w:rFonts w:eastAsia="Calibri" w:cs="Times New Roman"/>
          <w:sz w:val="24"/>
          <w:szCs w:val="24"/>
        </w:rPr>
        <w:t>human</w:t>
      </w:r>
      <w:r w:rsidR="34B1B3E4" w:rsidRPr="702898A1">
        <w:rPr>
          <w:rFonts w:eastAsia="Calibri" w:cs="Times New Roman"/>
          <w:sz w:val="24"/>
          <w:szCs w:val="24"/>
        </w:rPr>
        <w:t>,</w:t>
      </w:r>
      <w:r w:rsidR="00FF635D" w:rsidRPr="702898A1">
        <w:rPr>
          <w:rFonts w:eastAsia="Calibri" w:cs="Times New Roman"/>
          <w:sz w:val="24"/>
          <w:szCs w:val="24"/>
        </w:rPr>
        <w:t xml:space="preserve"> diabetic kidney disease </w:t>
      </w:r>
      <w:r w:rsidR="008F559A" w:rsidRPr="702898A1">
        <w:rPr>
          <w:rFonts w:eastAsia="Calibri" w:cs="Times New Roman"/>
          <w:sz w:val="24"/>
          <w:szCs w:val="24"/>
        </w:rPr>
        <w:t>[8</w:t>
      </w:r>
      <w:r w:rsidR="00FF635D" w:rsidRPr="702898A1">
        <w:rPr>
          <w:rFonts w:eastAsia="Calibri" w:cs="Times New Roman"/>
          <w:sz w:val="24"/>
          <w:szCs w:val="24"/>
        </w:rPr>
        <w:t>,9</w:t>
      </w:r>
      <w:r w:rsidR="008F559A" w:rsidRPr="702898A1">
        <w:rPr>
          <w:rFonts w:eastAsia="Calibri" w:cs="Times New Roman"/>
          <w:sz w:val="24"/>
          <w:szCs w:val="24"/>
        </w:rPr>
        <w:t>].</w:t>
      </w:r>
      <w:r w:rsidRPr="702898A1">
        <w:rPr>
          <w:rFonts w:eastAsia="Calibri" w:cs="Times New Roman"/>
          <w:sz w:val="24"/>
          <w:szCs w:val="24"/>
          <w:vertAlign w:val="superscript"/>
        </w:rPr>
        <w:t xml:space="preserve"> </w:t>
      </w:r>
      <w:r w:rsidR="00C65858" w:rsidRPr="702898A1">
        <w:rPr>
          <w:rFonts w:eastAsia="Calibri" w:cs="Times New Roman"/>
          <w:sz w:val="24"/>
          <w:szCs w:val="24"/>
        </w:rPr>
        <w:t xml:space="preserve"> </w:t>
      </w:r>
      <w:r w:rsidRPr="702898A1">
        <w:rPr>
          <w:rFonts w:eastAsia="Calibri" w:cs="Times New Roman"/>
          <w:sz w:val="24"/>
          <w:szCs w:val="24"/>
        </w:rPr>
        <w:t>Clinical studies in patients without diabetes, have reported that vitamin E reduces blood pressure and the incidence of vascular events in select groups with genetically determined de</w:t>
      </w:r>
      <w:r w:rsidR="005A321A" w:rsidRPr="702898A1">
        <w:rPr>
          <w:rFonts w:eastAsia="Calibri" w:cs="Times New Roman"/>
          <w:sz w:val="24"/>
          <w:szCs w:val="24"/>
        </w:rPr>
        <w:t>fects</w:t>
      </w:r>
      <w:r w:rsidRPr="702898A1">
        <w:rPr>
          <w:rFonts w:eastAsia="Calibri" w:cs="Times New Roman"/>
          <w:sz w:val="24"/>
          <w:szCs w:val="24"/>
        </w:rPr>
        <w:t xml:space="preserve"> in antioxidant defence</w:t>
      </w:r>
      <w:r w:rsidR="008F559A" w:rsidRPr="702898A1">
        <w:rPr>
          <w:rFonts w:eastAsia="Calibri" w:cs="Times New Roman"/>
          <w:sz w:val="24"/>
          <w:szCs w:val="24"/>
        </w:rPr>
        <w:t xml:space="preserve"> [</w:t>
      </w:r>
      <w:r w:rsidR="00FF635D" w:rsidRPr="702898A1">
        <w:rPr>
          <w:rFonts w:eastAsia="Calibri" w:cs="Times New Roman"/>
          <w:sz w:val="24"/>
          <w:szCs w:val="24"/>
        </w:rPr>
        <w:t>10,11</w:t>
      </w:r>
      <w:r w:rsidR="008F559A" w:rsidRPr="702898A1">
        <w:rPr>
          <w:rFonts w:eastAsia="Calibri" w:cs="Times New Roman"/>
          <w:sz w:val="24"/>
          <w:szCs w:val="24"/>
        </w:rPr>
        <w:t>]</w:t>
      </w:r>
      <w:r w:rsidRPr="702898A1">
        <w:rPr>
          <w:rFonts w:eastAsia="Calibri" w:cs="Times New Roman"/>
          <w:sz w:val="24"/>
          <w:szCs w:val="24"/>
        </w:rPr>
        <w:t xml:space="preserve">. However, </w:t>
      </w:r>
      <w:r w:rsidR="00FF635D" w:rsidRPr="702898A1">
        <w:rPr>
          <w:rFonts w:eastAsia="Calibri" w:cs="Times New Roman"/>
          <w:sz w:val="24"/>
          <w:szCs w:val="24"/>
        </w:rPr>
        <w:t xml:space="preserve">in patients with diabetes, </w:t>
      </w:r>
      <w:r w:rsidRPr="702898A1">
        <w:rPr>
          <w:rFonts w:eastAsia="Calibri" w:cs="Times New Roman"/>
          <w:sz w:val="24"/>
          <w:szCs w:val="24"/>
        </w:rPr>
        <w:t>a recent meta-analysis was unable to confirm an effect of micronutrient intervention(s) beyond improvement in biomarkers of renal injury</w:t>
      </w:r>
      <w:r w:rsidR="008F559A" w:rsidRPr="702898A1">
        <w:rPr>
          <w:rFonts w:eastAsia="Calibri" w:cs="Times New Roman"/>
          <w:sz w:val="24"/>
          <w:szCs w:val="24"/>
        </w:rPr>
        <w:t xml:space="preserve"> [12]</w:t>
      </w:r>
      <w:r w:rsidRPr="702898A1">
        <w:rPr>
          <w:rFonts w:eastAsia="Calibri" w:cs="Times New Roman"/>
          <w:sz w:val="24"/>
          <w:szCs w:val="24"/>
        </w:rPr>
        <w:t xml:space="preserve">.  </w:t>
      </w:r>
    </w:p>
    <w:p w14:paraId="37FBF4C1" w14:textId="328155FB" w:rsidR="702898A1" w:rsidRDefault="702898A1" w:rsidP="702898A1">
      <w:pPr>
        <w:spacing w:line="480" w:lineRule="auto"/>
        <w:jc w:val="both"/>
        <w:rPr>
          <w:rFonts w:eastAsia="Calibri" w:cs="Times New Roman"/>
          <w:sz w:val="24"/>
          <w:szCs w:val="24"/>
        </w:rPr>
      </w:pPr>
    </w:p>
    <w:p w14:paraId="463011FB" w14:textId="46800874" w:rsidR="004561FC" w:rsidRPr="00443048" w:rsidRDefault="004561FC" w:rsidP="00604B88">
      <w:pPr>
        <w:spacing w:line="480" w:lineRule="auto"/>
        <w:jc w:val="both"/>
        <w:rPr>
          <w:rFonts w:eastAsia="Calibri" w:cs="Times New Roman"/>
          <w:sz w:val="24"/>
          <w:szCs w:val="24"/>
        </w:rPr>
      </w:pPr>
      <w:r w:rsidRPr="702898A1">
        <w:rPr>
          <w:rFonts w:eastAsia="Calibri" w:cs="Times New Roman"/>
          <w:sz w:val="24"/>
          <w:szCs w:val="24"/>
        </w:rPr>
        <w:lastRenderedPageBreak/>
        <w:t>Glutathione peroxidase-3 (GPx-3) is member of the family of selenium-dependent antioxidant enzymes</w:t>
      </w:r>
      <w:r w:rsidR="00092B59" w:rsidRPr="702898A1">
        <w:rPr>
          <w:rFonts w:eastAsia="Calibri" w:cs="Times New Roman"/>
          <w:sz w:val="24"/>
          <w:szCs w:val="24"/>
        </w:rPr>
        <w:t xml:space="preserve"> and component of the endogenous antioxidant pathways</w:t>
      </w:r>
      <w:r w:rsidRPr="702898A1">
        <w:rPr>
          <w:rFonts w:eastAsia="Calibri" w:cs="Times New Roman"/>
          <w:sz w:val="24"/>
          <w:szCs w:val="24"/>
        </w:rPr>
        <w:t>. Neutralisation of reactive oxygen species (ROS) by these enzymes is associated with reduced glucose-dependent renal and vascular damage</w:t>
      </w:r>
      <w:r w:rsidR="00092B59" w:rsidRPr="702898A1">
        <w:rPr>
          <w:rFonts w:eastAsia="Calibri" w:cs="Times New Roman"/>
          <w:sz w:val="24"/>
          <w:szCs w:val="24"/>
        </w:rPr>
        <w:t xml:space="preserve"> [13,14].</w:t>
      </w:r>
      <w:r w:rsidR="00912777" w:rsidRPr="702898A1">
        <w:rPr>
          <w:rFonts w:eastAsia="Calibri" w:cs="Times New Roman"/>
          <w:sz w:val="24"/>
          <w:szCs w:val="24"/>
        </w:rPr>
        <w:t xml:space="preserve">  </w:t>
      </w:r>
      <w:r w:rsidR="3C9DD624" w:rsidRPr="702898A1">
        <w:rPr>
          <w:rFonts w:eastAsia="Calibri" w:cs="Times New Roman"/>
          <w:sz w:val="24"/>
          <w:szCs w:val="24"/>
        </w:rPr>
        <w:t xml:space="preserve">Moreover, </w:t>
      </w:r>
      <w:r w:rsidR="00912777" w:rsidRPr="702898A1">
        <w:rPr>
          <w:rFonts w:eastAsia="Calibri" w:cs="Times New Roman"/>
          <w:sz w:val="24"/>
          <w:szCs w:val="24"/>
        </w:rPr>
        <w:t xml:space="preserve">GPx-3 </w:t>
      </w:r>
      <w:r w:rsidRPr="702898A1">
        <w:rPr>
          <w:rFonts w:eastAsia="Calibri" w:cs="Times New Roman"/>
          <w:sz w:val="24"/>
          <w:szCs w:val="24"/>
        </w:rPr>
        <w:t xml:space="preserve">activity </w:t>
      </w:r>
      <w:r w:rsidR="0B31CD8B" w:rsidRPr="702898A1">
        <w:rPr>
          <w:rFonts w:eastAsia="Calibri" w:cs="Times New Roman"/>
          <w:sz w:val="24"/>
          <w:szCs w:val="24"/>
        </w:rPr>
        <w:t xml:space="preserve">appears to have </w:t>
      </w:r>
      <w:r w:rsidRPr="702898A1">
        <w:rPr>
          <w:rFonts w:eastAsia="Calibri" w:cs="Times New Roman"/>
          <w:sz w:val="24"/>
          <w:szCs w:val="24"/>
        </w:rPr>
        <w:t xml:space="preserve">an inverse relationship </w:t>
      </w:r>
      <w:r w:rsidR="00912777" w:rsidRPr="702898A1">
        <w:rPr>
          <w:rFonts w:eastAsia="Calibri" w:cs="Times New Roman"/>
          <w:sz w:val="24"/>
          <w:szCs w:val="24"/>
        </w:rPr>
        <w:t xml:space="preserve">with </w:t>
      </w:r>
      <w:r w:rsidRPr="702898A1">
        <w:rPr>
          <w:rFonts w:eastAsia="Calibri" w:cs="Times New Roman"/>
          <w:sz w:val="24"/>
          <w:szCs w:val="24"/>
        </w:rPr>
        <w:t xml:space="preserve">the rate of decline in </w:t>
      </w:r>
      <w:r w:rsidR="00092B59" w:rsidRPr="702898A1">
        <w:rPr>
          <w:rFonts w:eastAsia="Calibri" w:cs="Times New Roman"/>
          <w:sz w:val="24"/>
          <w:szCs w:val="24"/>
        </w:rPr>
        <w:t>eGFR</w:t>
      </w:r>
      <w:r w:rsidR="00C02499" w:rsidRPr="702898A1">
        <w:rPr>
          <w:rFonts w:eastAsia="Calibri" w:cs="Times New Roman"/>
          <w:sz w:val="24"/>
          <w:szCs w:val="24"/>
        </w:rPr>
        <w:t xml:space="preserve"> </w:t>
      </w:r>
      <w:r w:rsidRPr="702898A1">
        <w:rPr>
          <w:rFonts w:eastAsia="Calibri" w:cs="Times New Roman"/>
          <w:sz w:val="24"/>
          <w:szCs w:val="24"/>
        </w:rPr>
        <w:t>in patients with diabetes and advanced CKD</w:t>
      </w:r>
      <w:r w:rsidR="00092B59" w:rsidRPr="702898A1">
        <w:rPr>
          <w:rFonts w:eastAsia="Calibri" w:cs="Times New Roman"/>
          <w:sz w:val="24"/>
          <w:szCs w:val="24"/>
        </w:rPr>
        <w:t xml:space="preserve"> [15].</w:t>
      </w:r>
      <w:r w:rsidRPr="702898A1">
        <w:rPr>
          <w:rFonts w:eastAsia="Calibri" w:cs="Times New Roman"/>
          <w:sz w:val="24"/>
          <w:szCs w:val="24"/>
        </w:rPr>
        <w:t xml:space="preserve"> </w:t>
      </w:r>
      <w:r w:rsidR="1B3B775F" w:rsidRPr="702898A1">
        <w:rPr>
          <w:rFonts w:eastAsia="Calibri" w:cs="Times New Roman"/>
          <w:sz w:val="24"/>
          <w:szCs w:val="24"/>
        </w:rPr>
        <w:t xml:space="preserve"> </w:t>
      </w:r>
      <w:r w:rsidR="1EBA034E" w:rsidRPr="702898A1">
        <w:rPr>
          <w:rFonts w:eastAsia="Calibri" w:cs="Times New Roman"/>
          <w:sz w:val="24"/>
          <w:szCs w:val="24"/>
        </w:rPr>
        <w:t>A consequence of renal injury is a reduction in renal reserve which</w:t>
      </w:r>
      <w:r w:rsidR="00092B59" w:rsidRPr="702898A1">
        <w:rPr>
          <w:rFonts w:eastAsia="Calibri" w:cs="Times New Roman"/>
          <w:sz w:val="24"/>
          <w:szCs w:val="24"/>
        </w:rPr>
        <w:t xml:space="preserve"> increases the risk of ESRD [16].  </w:t>
      </w:r>
      <w:r w:rsidR="00804632" w:rsidRPr="702898A1">
        <w:rPr>
          <w:rFonts w:eastAsia="Calibri" w:cs="Times New Roman"/>
          <w:sz w:val="24"/>
          <w:szCs w:val="24"/>
        </w:rPr>
        <w:t xml:space="preserve">One </w:t>
      </w:r>
      <w:r w:rsidR="00092B59" w:rsidRPr="702898A1">
        <w:rPr>
          <w:rFonts w:eastAsia="Calibri" w:cs="Times New Roman"/>
          <w:sz w:val="24"/>
          <w:szCs w:val="24"/>
        </w:rPr>
        <w:t xml:space="preserve">therapeutic </w:t>
      </w:r>
      <w:r w:rsidR="00804632" w:rsidRPr="702898A1">
        <w:rPr>
          <w:rFonts w:eastAsia="Calibri" w:cs="Times New Roman"/>
          <w:sz w:val="24"/>
          <w:szCs w:val="24"/>
        </w:rPr>
        <w:t xml:space="preserve">agent </w:t>
      </w:r>
      <w:r w:rsidR="00092B59" w:rsidRPr="702898A1">
        <w:rPr>
          <w:rFonts w:eastAsia="Calibri" w:cs="Times New Roman"/>
          <w:sz w:val="24"/>
          <w:szCs w:val="24"/>
        </w:rPr>
        <w:t xml:space="preserve">has been reported </w:t>
      </w:r>
      <w:r w:rsidR="001429F7" w:rsidRPr="702898A1">
        <w:rPr>
          <w:rFonts w:eastAsia="Calibri" w:cs="Times New Roman"/>
          <w:sz w:val="24"/>
          <w:szCs w:val="24"/>
        </w:rPr>
        <w:t xml:space="preserve">to increase eGFR </w:t>
      </w:r>
      <w:r w:rsidR="00912777" w:rsidRPr="702898A1">
        <w:rPr>
          <w:rFonts w:eastAsia="Calibri" w:cs="Times New Roman"/>
          <w:sz w:val="24"/>
          <w:szCs w:val="24"/>
        </w:rPr>
        <w:t>in patients</w:t>
      </w:r>
      <w:r w:rsidR="00092B59" w:rsidRPr="702898A1">
        <w:rPr>
          <w:rFonts w:eastAsia="Calibri" w:cs="Times New Roman"/>
          <w:sz w:val="24"/>
          <w:szCs w:val="24"/>
        </w:rPr>
        <w:t xml:space="preserve"> with diabetes and advanced CKD [17].</w:t>
      </w:r>
      <w:r w:rsidR="00912777" w:rsidRPr="702898A1">
        <w:rPr>
          <w:rFonts w:eastAsia="Calibri" w:cs="Times New Roman"/>
          <w:sz w:val="24"/>
          <w:szCs w:val="24"/>
        </w:rPr>
        <w:t xml:space="preserve"> </w:t>
      </w:r>
      <w:r w:rsidR="00A44D9C" w:rsidRPr="702898A1">
        <w:rPr>
          <w:rFonts w:eastAsia="Calibri" w:cs="Times New Roman"/>
          <w:sz w:val="24"/>
          <w:szCs w:val="24"/>
        </w:rPr>
        <w:t xml:space="preserve">However, the role of redox status in </w:t>
      </w:r>
      <w:r w:rsidR="00B073D6" w:rsidRPr="702898A1">
        <w:rPr>
          <w:rFonts w:eastAsia="Calibri" w:cs="Times New Roman"/>
          <w:sz w:val="24"/>
          <w:szCs w:val="24"/>
        </w:rPr>
        <w:t xml:space="preserve">the </w:t>
      </w:r>
      <w:r w:rsidR="00A44D9C" w:rsidRPr="702898A1">
        <w:rPr>
          <w:rFonts w:eastAsia="Calibri" w:cs="Times New Roman"/>
          <w:sz w:val="24"/>
          <w:szCs w:val="24"/>
        </w:rPr>
        <w:t>protecti</w:t>
      </w:r>
      <w:r w:rsidR="00B073D6" w:rsidRPr="702898A1">
        <w:rPr>
          <w:rFonts w:eastAsia="Calibri" w:cs="Times New Roman"/>
          <w:sz w:val="24"/>
          <w:szCs w:val="24"/>
        </w:rPr>
        <w:t>on</w:t>
      </w:r>
      <w:r w:rsidR="00A44D9C" w:rsidRPr="702898A1">
        <w:rPr>
          <w:rFonts w:eastAsia="Calibri" w:cs="Times New Roman"/>
          <w:sz w:val="24"/>
          <w:szCs w:val="24"/>
        </w:rPr>
        <w:t xml:space="preserve"> </w:t>
      </w:r>
      <w:r w:rsidR="00B073D6" w:rsidRPr="702898A1">
        <w:rPr>
          <w:rFonts w:eastAsia="Calibri" w:cs="Times New Roman"/>
          <w:sz w:val="24"/>
          <w:szCs w:val="24"/>
        </w:rPr>
        <w:t xml:space="preserve">of </w:t>
      </w:r>
      <w:r w:rsidR="001429F7" w:rsidRPr="702898A1">
        <w:rPr>
          <w:rFonts w:eastAsia="Calibri" w:cs="Times New Roman"/>
          <w:sz w:val="24"/>
          <w:szCs w:val="24"/>
        </w:rPr>
        <w:t xml:space="preserve">renal function </w:t>
      </w:r>
      <w:r w:rsidR="00EB30C3" w:rsidRPr="702898A1">
        <w:rPr>
          <w:rFonts w:eastAsia="Calibri" w:cs="Times New Roman"/>
          <w:sz w:val="24"/>
          <w:szCs w:val="24"/>
        </w:rPr>
        <w:t xml:space="preserve">in patients with </w:t>
      </w:r>
      <w:r w:rsidR="007929D6" w:rsidRPr="702898A1">
        <w:rPr>
          <w:rFonts w:eastAsia="Calibri" w:cs="Times New Roman"/>
          <w:sz w:val="24"/>
          <w:szCs w:val="24"/>
        </w:rPr>
        <w:t xml:space="preserve">earlier stages of </w:t>
      </w:r>
      <w:r w:rsidR="00A44D9C" w:rsidRPr="702898A1">
        <w:rPr>
          <w:rFonts w:eastAsia="Calibri" w:cs="Times New Roman"/>
          <w:sz w:val="24"/>
          <w:szCs w:val="24"/>
        </w:rPr>
        <w:t xml:space="preserve">diabetic </w:t>
      </w:r>
      <w:r w:rsidR="00606CF5" w:rsidRPr="702898A1">
        <w:rPr>
          <w:rFonts w:eastAsia="Calibri" w:cs="Times New Roman"/>
          <w:sz w:val="24"/>
          <w:szCs w:val="24"/>
        </w:rPr>
        <w:t xml:space="preserve">kidney disease </w:t>
      </w:r>
      <w:r w:rsidR="001429F7" w:rsidRPr="702898A1">
        <w:rPr>
          <w:rFonts w:eastAsia="Calibri" w:cs="Times New Roman"/>
          <w:sz w:val="24"/>
          <w:szCs w:val="24"/>
        </w:rPr>
        <w:t xml:space="preserve">is unknown. </w:t>
      </w:r>
      <w:r w:rsidR="00710C21" w:rsidRPr="702898A1">
        <w:rPr>
          <w:rFonts w:eastAsia="Calibri" w:cs="Times New Roman"/>
          <w:sz w:val="24"/>
          <w:szCs w:val="24"/>
        </w:rPr>
        <w:t xml:space="preserve">Here we </w:t>
      </w:r>
      <w:r w:rsidRPr="702898A1">
        <w:rPr>
          <w:rFonts w:eastAsia="Calibri" w:cs="Times New Roman"/>
          <w:sz w:val="24"/>
          <w:szCs w:val="24"/>
        </w:rPr>
        <w:t xml:space="preserve">examine the effect </w:t>
      </w:r>
      <w:r w:rsidR="00A44D9C" w:rsidRPr="702898A1">
        <w:rPr>
          <w:rFonts w:eastAsia="Calibri" w:cs="Times New Roman"/>
          <w:sz w:val="24"/>
          <w:szCs w:val="24"/>
        </w:rPr>
        <w:t xml:space="preserve">of the antioxidant </w:t>
      </w:r>
      <w:r w:rsidRPr="702898A1">
        <w:rPr>
          <w:rFonts w:eastAsia="Calibri" w:cs="Times New Roman"/>
          <w:sz w:val="24"/>
          <w:szCs w:val="24"/>
        </w:rPr>
        <w:t>vitamin E, selenium</w:t>
      </w:r>
      <w:r w:rsidR="0254512A" w:rsidRPr="702898A1">
        <w:rPr>
          <w:rFonts w:eastAsia="Calibri" w:cs="Times New Roman"/>
          <w:sz w:val="24"/>
          <w:szCs w:val="24"/>
        </w:rPr>
        <w:t>-</w:t>
      </w:r>
      <w:r w:rsidR="00FF0F48" w:rsidRPr="702898A1">
        <w:rPr>
          <w:rFonts w:eastAsia="Calibri" w:cs="Times New Roman"/>
          <w:sz w:val="24"/>
          <w:szCs w:val="24"/>
        </w:rPr>
        <w:t>the co-factor for G</w:t>
      </w:r>
      <w:r w:rsidR="0095795E" w:rsidRPr="702898A1">
        <w:rPr>
          <w:rFonts w:eastAsia="Calibri" w:cs="Times New Roman"/>
          <w:sz w:val="24"/>
          <w:szCs w:val="24"/>
        </w:rPr>
        <w:t>Px</w:t>
      </w:r>
      <w:r w:rsidR="00FF0F48" w:rsidRPr="702898A1">
        <w:rPr>
          <w:rFonts w:eastAsia="Calibri" w:cs="Times New Roman"/>
          <w:sz w:val="24"/>
          <w:szCs w:val="24"/>
        </w:rPr>
        <w:t>-3</w:t>
      </w:r>
      <w:r w:rsidRPr="702898A1">
        <w:rPr>
          <w:rFonts w:eastAsia="Calibri" w:cs="Times New Roman"/>
          <w:sz w:val="24"/>
          <w:szCs w:val="24"/>
        </w:rPr>
        <w:t xml:space="preserve"> </w:t>
      </w:r>
      <w:r w:rsidR="78DED78A" w:rsidRPr="702898A1">
        <w:rPr>
          <w:rFonts w:eastAsia="Calibri" w:cs="Times New Roman"/>
          <w:sz w:val="24"/>
          <w:szCs w:val="24"/>
        </w:rPr>
        <w:t xml:space="preserve">with </w:t>
      </w:r>
      <w:r w:rsidRPr="702898A1">
        <w:rPr>
          <w:rFonts w:eastAsia="Calibri" w:cs="Times New Roman"/>
          <w:sz w:val="24"/>
          <w:szCs w:val="24"/>
        </w:rPr>
        <w:t>usual care on</w:t>
      </w:r>
      <w:r w:rsidR="0095795E" w:rsidRPr="702898A1">
        <w:rPr>
          <w:rFonts w:eastAsia="Calibri" w:cs="Times New Roman"/>
          <w:sz w:val="24"/>
          <w:szCs w:val="24"/>
        </w:rPr>
        <w:t xml:space="preserve"> </w:t>
      </w:r>
      <w:r w:rsidRPr="702898A1">
        <w:rPr>
          <w:rFonts w:eastAsia="Calibri" w:cs="Times New Roman"/>
          <w:sz w:val="24"/>
          <w:szCs w:val="24"/>
        </w:rPr>
        <w:t xml:space="preserve">eGFR </w:t>
      </w:r>
      <w:r w:rsidR="59ABC323" w:rsidRPr="702898A1">
        <w:rPr>
          <w:rFonts w:eastAsia="Calibri" w:cs="Times New Roman"/>
          <w:sz w:val="24"/>
          <w:szCs w:val="24"/>
        </w:rPr>
        <w:t>over time</w:t>
      </w:r>
      <w:r w:rsidR="00D94ED3" w:rsidRPr="702898A1">
        <w:rPr>
          <w:rFonts w:eastAsia="Calibri" w:cs="Times New Roman"/>
          <w:sz w:val="24"/>
          <w:szCs w:val="24"/>
        </w:rPr>
        <w:t xml:space="preserve"> in relation to</w:t>
      </w:r>
      <w:r w:rsidR="00887020" w:rsidRPr="702898A1">
        <w:rPr>
          <w:rFonts w:eastAsia="Calibri" w:cs="Times New Roman"/>
          <w:sz w:val="24"/>
          <w:szCs w:val="24"/>
        </w:rPr>
        <w:t xml:space="preserve"> ethnic</w:t>
      </w:r>
      <w:r w:rsidR="1C1F4483" w:rsidRPr="702898A1">
        <w:rPr>
          <w:rFonts w:eastAsia="Calibri" w:cs="Times New Roman"/>
          <w:sz w:val="24"/>
          <w:szCs w:val="24"/>
        </w:rPr>
        <w:t xml:space="preserve">ity </w:t>
      </w:r>
      <w:r w:rsidRPr="702898A1">
        <w:rPr>
          <w:rFonts w:eastAsia="Calibri" w:cs="Times New Roman"/>
          <w:sz w:val="24"/>
          <w:szCs w:val="24"/>
        </w:rPr>
        <w:t xml:space="preserve">and GPx-3 </w:t>
      </w:r>
      <w:r w:rsidR="0045584D" w:rsidRPr="702898A1">
        <w:rPr>
          <w:rFonts w:eastAsia="Calibri" w:cs="Times New Roman"/>
          <w:sz w:val="24"/>
          <w:szCs w:val="24"/>
        </w:rPr>
        <w:t>activity.</w:t>
      </w:r>
    </w:p>
    <w:p w14:paraId="4C67825E" w14:textId="77777777" w:rsidR="00A44D9C" w:rsidRPr="00443048" w:rsidRDefault="00A44D9C" w:rsidP="00604B88">
      <w:pPr>
        <w:jc w:val="both"/>
        <w:rPr>
          <w:sz w:val="24"/>
          <w:szCs w:val="24"/>
        </w:rPr>
      </w:pPr>
    </w:p>
    <w:p w14:paraId="43925A69" w14:textId="77777777" w:rsidR="00A07DFB" w:rsidRPr="00443048" w:rsidRDefault="00A07DFB" w:rsidP="00604B88">
      <w:pPr>
        <w:spacing w:line="480" w:lineRule="auto"/>
        <w:jc w:val="both"/>
        <w:rPr>
          <w:b/>
          <w:sz w:val="24"/>
          <w:szCs w:val="24"/>
        </w:rPr>
      </w:pPr>
      <w:r w:rsidRPr="00443048">
        <w:rPr>
          <w:b/>
          <w:sz w:val="24"/>
          <w:szCs w:val="24"/>
        </w:rPr>
        <w:t>METHODS:</w:t>
      </w:r>
    </w:p>
    <w:p w14:paraId="60A3437C" w14:textId="508C95B3" w:rsidR="00A07DFB" w:rsidRPr="00443048" w:rsidRDefault="00A07DFB" w:rsidP="00604B88">
      <w:pPr>
        <w:spacing w:line="480" w:lineRule="auto"/>
        <w:jc w:val="both"/>
        <w:rPr>
          <w:sz w:val="24"/>
          <w:szCs w:val="24"/>
        </w:rPr>
      </w:pPr>
      <w:r w:rsidRPr="00443048">
        <w:rPr>
          <w:b/>
          <w:sz w:val="24"/>
          <w:szCs w:val="24"/>
        </w:rPr>
        <w:t>Tria</w:t>
      </w:r>
      <w:r w:rsidR="001A1957" w:rsidRPr="00443048">
        <w:rPr>
          <w:b/>
          <w:sz w:val="24"/>
          <w:szCs w:val="24"/>
        </w:rPr>
        <w:t>l Design</w:t>
      </w:r>
    </w:p>
    <w:p w14:paraId="7260E7FA" w14:textId="41A42FCA" w:rsidR="00A07DFB" w:rsidRPr="00443048" w:rsidRDefault="00A07DFB" w:rsidP="00604B88">
      <w:pPr>
        <w:spacing w:line="480" w:lineRule="auto"/>
        <w:jc w:val="both"/>
        <w:rPr>
          <w:sz w:val="24"/>
          <w:szCs w:val="24"/>
        </w:rPr>
      </w:pPr>
      <w:r w:rsidRPr="00443048">
        <w:rPr>
          <w:sz w:val="24"/>
          <w:szCs w:val="24"/>
        </w:rPr>
        <w:t xml:space="preserve">The </w:t>
      </w:r>
      <w:proofErr w:type="spellStart"/>
      <w:r w:rsidRPr="00443048">
        <w:rPr>
          <w:sz w:val="24"/>
          <w:szCs w:val="24"/>
        </w:rPr>
        <w:t>PRospective</w:t>
      </w:r>
      <w:proofErr w:type="spellEnd"/>
      <w:r w:rsidRPr="00443048">
        <w:rPr>
          <w:sz w:val="24"/>
          <w:szCs w:val="24"/>
        </w:rPr>
        <w:t xml:space="preserve"> </w:t>
      </w:r>
      <w:proofErr w:type="spellStart"/>
      <w:r w:rsidRPr="00443048">
        <w:rPr>
          <w:sz w:val="24"/>
          <w:szCs w:val="24"/>
        </w:rPr>
        <w:t>EValuation</w:t>
      </w:r>
      <w:proofErr w:type="spellEnd"/>
      <w:r w:rsidRPr="00443048">
        <w:rPr>
          <w:sz w:val="24"/>
          <w:szCs w:val="24"/>
        </w:rPr>
        <w:t xml:space="preserve"> of Early Nephropathy and its Treatment (PREVENT) study </w:t>
      </w:r>
      <w:r w:rsidR="00F50818" w:rsidRPr="00443048">
        <w:rPr>
          <w:sz w:val="24"/>
          <w:szCs w:val="24"/>
        </w:rPr>
        <w:t xml:space="preserve">is </w:t>
      </w:r>
      <w:r w:rsidRPr="00443048">
        <w:rPr>
          <w:sz w:val="24"/>
          <w:szCs w:val="24"/>
        </w:rPr>
        <w:t xml:space="preserve">a double-blind, randomized, placebo-controlled trial designed to assess whether changes in </w:t>
      </w:r>
      <w:r w:rsidR="00861A2F" w:rsidRPr="00443048">
        <w:rPr>
          <w:sz w:val="24"/>
          <w:szCs w:val="24"/>
        </w:rPr>
        <w:t xml:space="preserve">eGFR in the early stages of diabetic </w:t>
      </w:r>
      <w:r w:rsidR="000B0DA9" w:rsidRPr="00443048">
        <w:rPr>
          <w:sz w:val="24"/>
          <w:szCs w:val="24"/>
        </w:rPr>
        <w:t xml:space="preserve">kidney disease </w:t>
      </w:r>
      <w:r w:rsidRPr="00443048">
        <w:rPr>
          <w:sz w:val="24"/>
          <w:szCs w:val="24"/>
        </w:rPr>
        <w:t>are related to, or modified by, oxidative stress and host</w:t>
      </w:r>
      <w:r w:rsidR="000B0DA9" w:rsidRPr="00443048">
        <w:rPr>
          <w:sz w:val="24"/>
          <w:szCs w:val="24"/>
        </w:rPr>
        <w:t xml:space="preserve"> antioxidant defence mechanisms [18].</w:t>
      </w:r>
      <w:r w:rsidRPr="00443048">
        <w:rPr>
          <w:sz w:val="24"/>
          <w:szCs w:val="24"/>
        </w:rPr>
        <w:t xml:space="preserve"> The trial was conducted at a single site in South West London, United Kingdom (UK) in collaboration with local general practices</w:t>
      </w:r>
      <w:r w:rsidR="0045584D" w:rsidRPr="00443048">
        <w:rPr>
          <w:sz w:val="24"/>
          <w:szCs w:val="24"/>
        </w:rPr>
        <w:t xml:space="preserve"> serving a population of 107,565.</w:t>
      </w:r>
      <w:r w:rsidRPr="00443048">
        <w:rPr>
          <w:sz w:val="24"/>
          <w:szCs w:val="24"/>
        </w:rPr>
        <w:t xml:space="preserve"> </w:t>
      </w:r>
    </w:p>
    <w:p w14:paraId="286BB76F" w14:textId="7D0642DB" w:rsidR="00A07DFB" w:rsidRPr="00443048" w:rsidRDefault="00A07DFB" w:rsidP="00604B88">
      <w:pPr>
        <w:spacing w:line="480" w:lineRule="auto"/>
        <w:jc w:val="both"/>
        <w:rPr>
          <w:sz w:val="24"/>
          <w:szCs w:val="24"/>
        </w:rPr>
      </w:pPr>
      <w:r w:rsidRPr="00443048">
        <w:rPr>
          <w:sz w:val="24"/>
          <w:szCs w:val="24"/>
        </w:rPr>
        <w:t xml:space="preserve">The protocol was approved by the UK National Health Service (NHS) National Research and Ethics Committee and written informed consent was obtained from all trial participants prior to enrolment. The trial was conducted in the Clinical Research Facility at St George’s </w:t>
      </w:r>
      <w:r w:rsidRPr="00443048">
        <w:rPr>
          <w:sz w:val="24"/>
          <w:szCs w:val="24"/>
        </w:rPr>
        <w:lastRenderedPageBreak/>
        <w:t>University Hospital NHS Foundation Trust, London, UK by trained nurses. Clinical data were captured in electronic proformas and externally audited through the Joint Research and Enterprise Office of St George’s University of London. All authors had access to the final trial results and have revised and approved this manuscript.</w:t>
      </w:r>
    </w:p>
    <w:p w14:paraId="4768DD2A" w14:textId="77777777" w:rsidR="00A07DFB" w:rsidRPr="00443048" w:rsidRDefault="00A07DFB" w:rsidP="00604B88">
      <w:pPr>
        <w:spacing w:line="480" w:lineRule="auto"/>
        <w:jc w:val="both"/>
        <w:rPr>
          <w:sz w:val="24"/>
          <w:szCs w:val="24"/>
        </w:rPr>
      </w:pPr>
      <w:r w:rsidRPr="00443048">
        <w:rPr>
          <w:sz w:val="24"/>
          <w:szCs w:val="24"/>
        </w:rPr>
        <w:t xml:space="preserve">  </w:t>
      </w:r>
    </w:p>
    <w:p w14:paraId="1CF964CF" w14:textId="18AB8E9D" w:rsidR="00A07DFB" w:rsidRPr="00443048" w:rsidRDefault="00A07DFB" w:rsidP="00604B88">
      <w:pPr>
        <w:spacing w:line="480" w:lineRule="auto"/>
        <w:jc w:val="both"/>
        <w:rPr>
          <w:sz w:val="24"/>
          <w:szCs w:val="24"/>
        </w:rPr>
      </w:pPr>
      <w:r w:rsidRPr="00443048">
        <w:rPr>
          <w:b/>
          <w:sz w:val="24"/>
          <w:szCs w:val="24"/>
        </w:rPr>
        <w:t>Patients, eligibility and tre</w:t>
      </w:r>
      <w:r w:rsidR="001A1957" w:rsidRPr="00443048">
        <w:rPr>
          <w:b/>
          <w:sz w:val="24"/>
          <w:szCs w:val="24"/>
        </w:rPr>
        <w:t>atm</w:t>
      </w:r>
      <w:r w:rsidRPr="00443048">
        <w:rPr>
          <w:b/>
          <w:sz w:val="24"/>
          <w:szCs w:val="24"/>
        </w:rPr>
        <w:t>ents:</w:t>
      </w:r>
    </w:p>
    <w:p w14:paraId="7380290F" w14:textId="1277BB3F" w:rsidR="00A07DFB" w:rsidRPr="00443048" w:rsidRDefault="001A1957" w:rsidP="00604B88">
      <w:pPr>
        <w:spacing w:line="480" w:lineRule="auto"/>
        <w:jc w:val="both"/>
        <w:rPr>
          <w:sz w:val="24"/>
          <w:szCs w:val="24"/>
        </w:rPr>
      </w:pPr>
      <w:r w:rsidRPr="00443048">
        <w:rPr>
          <w:sz w:val="24"/>
          <w:szCs w:val="24"/>
        </w:rPr>
        <w:t xml:space="preserve">We </w:t>
      </w:r>
      <w:r w:rsidR="0045584D" w:rsidRPr="00443048">
        <w:rPr>
          <w:sz w:val="24"/>
          <w:szCs w:val="24"/>
        </w:rPr>
        <w:t xml:space="preserve">screened the community diabetes registers for </w:t>
      </w:r>
      <w:r w:rsidRPr="00443048">
        <w:rPr>
          <w:sz w:val="24"/>
          <w:szCs w:val="24"/>
        </w:rPr>
        <w:t>p</w:t>
      </w:r>
      <w:r w:rsidR="00A07DFB" w:rsidRPr="00443048">
        <w:rPr>
          <w:sz w:val="24"/>
          <w:szCs w:val="24"/>
        </w:rPr>
        <w:t xml:space="preserve">atients with Type 2 Diabetes </w:t>
      </w:r>
      <w:r w:rsidRPr="00443048">
        <w:rPr>
          <w:sz w:val="24"/>
          <w:szCs w:val="24"/>
        </w:rPr>
        <w:t>of</w:t>
      </w:r>
      <w:r w:rsidR="00A07DFB" w:rsidRPr="00443048">
        <w:rPr>
          <w:sz w:val="24"/>
          <w:szCs w:val="24"/>
        </w:rPr>
        <w:t xml:space="preserve"> Caucasian and non-Caucasian heritage </w:t>
      </w:r>
      <w:r w:rsidRPr="00443048">
        <w:rPr>
          <w:sz w:val="24"/>
          <w:szCs w:val="24"/>
        </w:rPr>
        <w:t xml:space="preserve">with hypertension and CKD stages 1 or 2. </w:t>
      </w:r>
      <w:r w:rsidR="00A07DFB" w:rsidRPr="00443048">
        <w:rPr>
          <w:sz w:val="24"/>
          <w:szCs w:val="24"/>
        </w:rPr>
        <w:t xml:space="preserve">Type 2 Diabetes was diagnosed according to WHO criteria; hypertension was diagnosed if three consecutive sitting systolic/diastolic blood pressure readings were </w:t>
      </w:r>
      <w:r w:rsidR="00A07DFB" w:rsidRPr="00443048">
        <w:rPr>
          <w:sz w:val="24"/>
          <w:szCs w:val="24"/>
          <w:u w:val="single"/>
        </w:rPr>
        <w:t>&gt;</w:t>
      </w:r>
      <w:r w:rsidR="00A07DFB" w:rsidRPr="00443048">
        <w:rPr>
          <w:sz w:val="24"/>
          <w:szCs w:val="24"/>
        </w:rPr>
        <w:t xml:space="preserve">140/90mmHg respectively without treatment or if treatment for known hypertension was prescribed. Hypertensive patients with microalbuminuria - urinary albumin: creatinine ratio </w:t>
      </w:r>
      <w:r w:rsidR="00A07DFB" w:rsidRPr="00443048">
        <w:rPr>
          <w:sz w:val="24"/>
          <w:szCs w:val="24"/>
          <w:u w:val="single"/>
        </w:rPr>
        <w:t>&gt;</w:t>
      </w:r>
      <w:r w:rsidR="00A07DFB" w:rsidRPr="00443048">
        <w:rPr>
          <w:sz w:val="24"/>
          <w:szCs w:val="24"/>
        </w:rPr>
        <w:t xml:space="preserve">3 and &lt; 300 mg/mmol - or without microalbuminuria and an eGFR &lt; 90 and </w:t>
      </w:r>
      <w:r w:rsidR="00A07DFB" w:rsidRPr="00443048">
        <w:rPr>
          <w:sz w:val="24"/>
          <w:szCs w:val="24"/>
          <w:u w:val="single"/>
        </w:rPr>
        <w:t>&gt;</w:t>
      </w:r>
      <w:r w:rsidR="00A07DFB" w:rsidRPr="00443048">
        <w:rPr>
          <w:sz w:val="24"/>
          <w:szCs w:val="24"/>
        </w:rPr>
        <w:t xml:space="preserve"> 45 mL/min/1.73m</w:t>
      </w:r>
      <w:r w:rsidR="00A07DFB" w:rsidRPr="00443048">
        <w:rPr>
          <w:sz w:val="24"/>
          <w:szCs w:val="24"/>
          <w:vertAlign w:val="superscript"/>
        </w:rPr>
        <w:t xml:space="preserve">2 </w:t>
      </w:r>
      <w:r w:rsidR="00A07DFB" w:rsidRPr="00443048">
        <w:rPr>
          <w:sz w:val="24"/>
          <w:szCs w:val="24"/>
        </w:rPr>
        <w:t>- determined using the Chronic Kidney Disease Epidemiology equation - were considered high risk of developing cardiovascular and progressive renal disease. Exclusion criteria were: a history of ischaemic heart disease (angina, myocardial infarction, coronary artery revascularization and/or heart failure), peripheral vascular disease (intermittent claudication or peripheral artery revascularization) or cerebrovascular disease (transient ischaemic episodes or stroke), malignancy, any other life threatening illness, current pregnancy, systolic blood pressure &gt;200 mmHg, diastolic blood pressure &gt;160 mmHg, haemoglobin A1c (HbA1c) &gt; 86 mmol/mol (10 %), significant renal impairment (eGFR &lt; 45 mL/min 1.73 m</w:t>
      </w:r>
      <w:r w:rsidR="00A07DFB" w:rsidRPr="00443048">
        <w:rPr>
          <w:sz w:val="24"/>
          <w:szCs w:val="24"/>
          <w:vertAlign w:val="superscript"/>
        </w:rPr>
        <w:t>2</w:t>
      </w:r>
      <w:r w:rsidR="00A07DFB" w:rsidRPr="00443048">
        <w:rPr>
          <w:sz w:val="24"/>
          <w:szCs w:val="24"/>
        </w:rPr>
        <w:t xml:space="preserve">) or </w:t>
      </w:r>
      <w:proofErr w:type="spellStart"/>
      <w:r w:rsidR="00A07DFB" w:rsidRPr="00443048">
        <w:rPr>
          <w:sz w:val="24"/>
          <w:szCs w:val="24"/>
        </w:rPr>
        <w:t>albumin:creatinine</w:t>
      </w:r>
      <w:proofErr w:type="spellEnd"/>
      <w:r w:rsidR="00A07DFB" w:rsidRPr="00443048">
        <w:rPr>
          <w:sz w:val="24"/>
          <w:szCs w:val="24"/>
        </w:rPr>
        <w:t xml:space="preserve"> ratio </w:t>
      </w:r>
      <w:r w:rsidR="00A07DFB" w:rsidRPr="00443048">
        <w:rPr>
          <w:sz w:val="24"/>
          <w:szCs w:val="24"/>
          <w:u w:val="single"/>
        </w:rPr>
        <w:t>&gt;</w:t>
      </w:r>
      <w:r w:rsidR="00A07DFB" w:rsidRPr="00443048">
        <w:rPr>
          <w:sz w:val="24"/>
          <w:szCs w:val="24"/>
        </w:rPr>
        <w:t>300 mg/mmol.</w:t>
      </w:r>
    </w:p>
    <w:p w14:paraId="16B410F3" w14:textId="77777777" w:rsidR="00A07DFB" w:rsidRPr="00443048" w:rsidRDefault="00A07DFB" w:rsidP="00604B88">
      <w:pPr>
        <w:spacing w:line="480" w:lineRule="auto"/>
        <w:jc w:val="both"/>
        <w:rPr>
          <w:sz w:val="24"/>
          <w:szCs w:val="24"/>
        </w:rPr>
      </w:pPr>
    </w:p>
    <w:p w14:paraId="14FAEE5B" w14:textId="7A00EC20" w:rsidR="00A07DFB" w:rsidRPr="00443048" w:rsidRDefault="0045584D" w:rsidP="00604B88">
      <w:pPr>
        <w:spacing w:line="480" w:lineRule="auto"/>
        <w:jc w:val="both"/>
        <w:rPr>
          <w:b/>
          <w:sz w:val="24"/>
          <w:szCs w:val="24"/>
        </w:rPr>
      </w:pPr>
      <w:r w:rsidRPr="00443048">
        <w:rPr>
          <w:b/>
          <w:sz w:val="24"/>
          <w:szCs w:val="24"/>
        </w:rPr>
        <w:lastRenderedPageBreak/>
        <w:t>Investigations</w:t>
      </w:r>
    </w:p>
    <w:p w14:paraId="7996D5BF" w14:textId="77777777" w:rsidR="00A07DFB" w:rsidRPr="00443048" w:rsidRDefault="00A07DFB" w:rsidP="00604B88">
      <w:pPr>
        <w:spacing w:line="480" w:lineRule="auto"/>
        <w:jc w:val="both"/>
        <w:rPr>
          <w:sz w:val="24"/>
          <w:szCs w:val="24"/>
        </w:rPr>
      </w:pPr>
      <w:r w:rsidRPr="00443048">
        <w:rPr>
          <w:sz w:val="24"/>
          <w:szCs w:val="24"/>
        </w:rPr>
        <w:t xml:space="preserve">Anthropometric measures included height in metres, weight in kilogrammes, and waist circumference in centimetres. Body mass index was calculated from the weight in kilogrammes divided by the height in metres squared. Sitting blood pressure was measured by digital </w:t>
      </w:r>
      <w:proofErr w:type="spellStart"/>
      <w:r w:rsidRPr="00443048">
        <w:rPr>
          <w:sz w:val="24"/>
          <w:szCs w:val="24"/>
        </w:rPr>
        <w:t>oscillometry</w:t>
      </w:r>
      <w:proofErr w:type="spellEnd"/>
      <w:r w:rsidRPr="00443048">
        <w:rPr>
          <w:sz w:val="24"/>
          <w:szCs w:val="24"/>
        </w:rPr>
        <w:t xml:space="preserve"> (Omron 705IT, OMRON Healthcare Europe, The Netherlands). </w:t>
      </w:r>
    </w:p>
    <w:p w14:paraId="2A930589" w14:textId="77777777" w:rsidR="00A07DFB" w:rsidRPr="00443048" w:rsidRDefault="00A07DFB" w:rsidP="00604B88">
      <w:pPr>
        <w:spacing w:line="480" w:lineRule="auto"/>
        <w:jc w:val="both"/>
        <w:rPr>
          <w:sz w:val="24"/>
          <w:szCs w:val="24"/>
        </w:rPr>
      </w:pPr>
    </w:p>
    <w:p w14:paraId="5BEA4DD2" w14:textId="07A70AB5" w:rsidR="00A07DFB" w:rsidRPr="00443048" w:rsidRDefault="00A07DFB" w:rsidP="00604B88">
      <w:pPr>
        <w:spacing w:line="480" w:lineRule="auto"/>
        <w:jc w:val="both"/>
        <w:rPr>
          <w:sz w:val="24"/>
          <w:szCs w:val="24"/>
        </w:rPr>
      </w:pPr>
      <w:r w:rsidRPr="73D80F66">
        <w:rPr>
          <w:sz w:val="24"/>
          <w:szCs w:val="24"/>
        </w:rPr>
        <w:t>The presence or absence of retinopathy was assessed by standardized, digital retinal fundal photography and reported according to NHS guidelines by retinal screeners who were unaware of the patient’s participation in the study.  Peripheral vascular disease was assessed by the appreciation of the dorsalis pedis and posterior tibial artery pulsation by digital examination.  The modified Rose questionnaire and resting, 12-lead electrocardiography (</w:t>
      </w:r>
      <w:proofErr w:type="spellStart"/>
      <w:r w:rsidRPr="73D80F66">
        <w:rPr>
          <w:sz w:val="24"/>
          <w:szCs w:val="24"/>
        </w:rPr>
        <w:t>Seca</w:t>
      </w:r>
      <w:proofErr w:type="spellEnd"/>
      <w:r w:rsidRPr="73D80F66">
        <w:rPr>
          <w:sz w:val="24"/>
          <w:szCs w:val="24"/>
        </w:rPr>
        <w:t xml:space="preserve"> </w:t>
      </w:r>
      <w:proofErr w:type="spellStart"/>
      <w:r w:rsidRPr="73D80F66">
        <w:rPr>
          <w:sz w:val="24"/>
          <w:szCs w:val="24"/>
        </w:rPr>
        <w:t>CardioConcept</w:t>
      </w:r>
      <w:proofErr w:type="spellEnd"/>
      <w:r w:rsidRPr="73D80F66">
        <w:rPr>
          <w:sz w:val="24"/>
          <w:szCs w:val="24"/>
        </w:rPr>
        <w:t xml:space="preserve"> 5.6, </w:t>
      </w:r>
      <w:proofErr w:type="spellStart"/>
      <w:r w:rsidRPr="73D80F66">
        <w:rPr>
          <w:sz w:val="24"/>
          <w:szCs w:val="24"/>
        </w:rPr>
        <w:t>Seca</w:t>
      </w:r>
      <w:proofErr w:type="spellEnd"/>
      <w:r w:rsidRPr="73D80F66">
        <w:rPr>
          <w:sz w:val="24"/>
          <w:szCs w:val="24"/>
        </w:rPr>
        <w:t xml:space="preserve"> UK) were used to screen for ischaemic heart disease</w:t>
      </w:r>
      <w:r w:rsidR="00770A93" w:rsidRPr="73D80F66">
        <w:rPr>
          <w:sz w:val="24"/>
          <w:szCs w:val="24"/>
        </w:rPr>
        <w:t xml:space="preserve"> [19</w:t>
      </w:r>
      <w:r w:rsidR="00D952EE" w:rsidRPr="73D80F66">
        <w:rPr>
          <w:sz w:val="24"/>
          <w:szCs w:val="24"/>
        </w:rPr>
        <w:t>]</w:t>
      </w:r>
      <w:r w:rsidRPr="73D80F66">
        <w:rPr>
          <w:sz w:val="24"/>
          <w:szCs w:val="24"/>
        </w:rPr>
        <w:t>. Biochemical assessments included a fasting lipid profile, renal function and HbA1c. Oxidative</w:t>
      </w:r>
      <w:r w:rsidR="0012368A" w:rsidRPr="73D80F66">
        <w:rPr>
          <w:sz w:val="24"/>
          <w:szCs w:val="24"/>
        </w:rPr>
        <w:t>,</w:t>
      </w:r>
      <w:r w:rsidR="004E4776" w:rsidRPr="73D80F66">
        <w:rPr>
          <w:sz w:val="24"/>
          <w:szCs w:val="24"/>
        </w:rPr>
        <w:t xml:space="preserve"> DNA damage</w:t>
      </w:r>
      <w:r w:rsidRPr="73D80F66">
        <w:rPr>
          <w:sz w:val="24"/>
          <w:szCs w:val="24"/>
        </w:rPr>
        <w:t xml:space="preserve"> was </w:t>
      </w:r>
      <w:r w:rsidR="004E4776" w:rsidRPr="73D80F66">
        <w:rPr>
          <w:sz w:val="24"/>
          <w:szCs w:val="24"/>
        </w:rPr>
        <w:t xml:space="preserve">assessed </w:t>
      </w:r>
      <w:r w:rsidRPr="73D80F66">
        <w:rPr>
          <w:sz w:val="24"/>
          <w:szCs w:val="24"/>
        </w:rPr>
        <w:t xml:space="preserve">by measuring urinary 8-hydroxydeoxyguanosine (8-OHdG) </w:t>
      </w:r>
      <w:r w:rsidR="0045584D" w:rsidRPr="73D80F66">
        <w:rPr>
          <w:sz w:val="24"/>
          <w:szCs w:val="24"/>
        </w:rPr>
        <w:t xml:space="preserve">and </w:t>
      </w:r>
      <w:r w:rsidRPr="73D80F66">
        <w:rPr>
          <w:sz w:val="24"/>
          <w:szCs w:val="24"/>
        </w:rPr>
        <w:t>endogenous</w:t>
      </w:r>
      <w:r w:rsidR="0012368A" w:rsidRPr="73D80F66">
        <w:rPr>
          <w:sz w:val="24"/>
          <w:szCs w:val="24"/>
        </w:rPr>
        <w:t>,</w:t>
      </w:r>
      <w:r w:rsidRPr="73D80F66">
        <w:rPr>
          <w:sz w:val="24"/>
          <w:szCs w:val="24"/>
        </w:rPr>
        <w:t xml:space="preserve"> antioxidant status was measured according to activities of circulating </w:t>
      </w:r>
      <w:r w:rsidR="0012368A" w:rsidRPr="73D80F66">
        <w:rPr>
          <w:sz w:val="24"/>
          <w:szCs w:val="24"/>
        </w:rPr>
        <w:t xml:space="preserve">plasma </w:t>
      </w:r>
      <w:r w:rsidRPr="73D80F66">
        <w:rPr>
          <w:sz w:val="24"/>
          <w:szCs w:val="24"/>
        </w:rPr>
        <w:t>GPx-3 and superoxide dismutase (SOD) as previously described</w:t>
      </w:r>
      <w:r w:rsidR="00D2799A" w:rsidRPr="73D80F66">
        <w:rPr>
          <w:sz w:val="24"/>
          <w:szCs w:val="24"/>
        </w:rPr>
        <w:t xml:space="preserve"> </w:t>
      </w:r>
      <w:r w:rsidR="00617F94" w:rsidRPr="73D80F66">
        <w:rPr>
          <w:sz w:val="24"/>
          <w:szCs w:val="24"/>
        </w:rPr>
        <w:t>[18]</w:t>
      </w:r>
      <w:r w:rsidRPr="73D80F66">
        <w:rPr>
          <w:sz w:val="24"/>
          <w:szCs w:val="24"/>
        </w:rPr>
        <w:t>.</w:t>
      </w:r>
    </w:p>
    <w:p w14:paraId="46B86188" w14:textId="77777777" w:rsidR="00A07DFB" w:rsidRPr="00443048" w:rsidRDefault="00A07DFB" w:rsidP="00604B88">
      <w:pPr>
        <w:pStyle w:val="Heading3"/>
        <w:spacing w:line="480" w:lineRule="auto"/>
        <w:jc w:val="both"/>
        <w:rPr>
          <w:rStyle w:val="toptext"/>
          <w:rFonts w:asciiTheme="minorHAnsi" w:hAnsiTheme="minorHAnsi"/>
          <w:b/>
          <w:color w:val="auto"/>
        </w:rPr>
      </w:pPr>
    </w:p>
    <w:p w14:paraId="2A827BFE" w14:textId="40C9BCCB" w:rsidR="00A07DFB" w:rsidRPr="00443048" w:rsidRDefault="001924E4" w:rsidP="00604B88">
      <w:pPr>
        <w:pStyle w:val="Heading3"/>
        <w:spacing w:line="480" w:lineRule="auto"/>
        <w:jc w:val="both"/>
        <w:rPr>
          <w:rFonts w:asciiTheme="minorHAnsi" w:hAnsiTheme="minorHAnsi"/>
          <w:b/>
          <w:color w:val="auto"/>
          <w:lang w:val="en-US"/>
        </w:rPr>
      </w:pPr>
      <w:r w:rsidRPr="00443048">
        <w:rPr>
          <w:rStyle w:val="toptext"/>
          <w:rFonts w:asciiTheme="minorHAnsi" w:hAnsiTheme="minorHAnsi"/>
          <w:b/>
          <w:color w:val="auto"/>
        </w:rPr>
        <w:t xml:space="preserve">Randomisation </w:t>
      </w:r>
    </w:p>
    <w:p w14:paraId="6ADB9417" w14:textId="10AE7116" w:rsidR="00A07DFB" w:rsidRPr="00443048" w:rsidRDefault="0045584D" w:rsidP="00604B88">
      <w:pPr>
        <w:spacing w:line="480" w:lineRule="auto"/>
        <w:jc w:val="both"/>
        <w:rPr>
          <w:sz w:val="24"/>
          <w:szCs w:val="24"/>
        </w:rPr>
      </w:pPr>
      <w:r w:rsidRPr="73D80F66">
        <w:rPr>
          <w:sz w:val="24"/>
          <w:szCs w:val="24"/>
        </w:rPr>
        <w:t xml:space="preserve">Eligible </w:t>
      </w:r>
      <w:r w:rsidR="00A07DFB" w:rsidRPr="73D80F66">
        <w:rPr>
          <w:sz w:val="24"/>
          <w:szCs w:val="24"/>
        </w:rPr>
        <w:t>patients were block randomised (block sizes of 20) by ethnicity to receive either active selenium (200μg once daily) or its placebo and/or vitamin E (400 IU once daily) or its placebo in a 2x2 factorial design</w:t>
      </w:r>
      <w:r w:rsidR="05FCB7DB" w:rsidRPr="73D80F66">
        <w:rPr>
          <w:sz w:val="24"/>
          <w:szCs w:val="24"/>
        </w:rPr>
        <w:t xml:space="preserve"> (Fig 1)</w:t>
      </w:r>
      <w:r w:rsidR="00A07DFB" w:rsidRPr="73D80F66">
        <w:rPr>
          <w:sz w:val="24"/>
          <w:szCs w:val="24"/>
        </w:rPr>
        <w:t xml:space="preserve">. The randomisation chart was prepared by an independent biostatistician and codes were generated using SPSS (Chicago IL, US) for each treatment allocation by heritage group which the research pharmacist used to administer the treatment.  </w:t>
      </w:r>
      <w:r w:rsidR="00A07DFB" w:rsidRPr="73D80F66">
        <w:rPr>
          <w:sz w:val="24"/>
          <w:szCs w:val="24"/>
        </w:rPr>
        <w:lastRenderedPageBreak/>
        <w:t>Patients, research investigators, and study staff were blinded to treatment allocation. Tablet return counts at three monthly intervals were used to assess compliance.</w:t>
      </w:r>
      <w:r w:rsidR="001924E4" w:rsidRPr="73D80F66">
        <w:rPr>
          <w:sz w:val="24"/>
          <w:szCs w:val="24"/>
        </w:rPr>
        <w:t xml:space="preserve">   </w:t>
      </w:r>
      <w:r w:rsidR="000763A3" w:rsidRPr="73D80F66">
        <w:rPr>
          <w:sz w:val="24"/>
          <w:szCs w:val="24"/>
        </w:rPr>
        <w:t>Recruitment began in November 2012 and follo</w:t>
      </w:r>
      <w:r w:rsidR="00107157" w:rsidRPr="73D80F66">
        <w:rPr>
          <w:sz w:val="24"/>
          <w:szCs w:val="24"/>
        </w:rPr>
        <w:t xml:space="preserve">w-up </w:t>
      </w:r>
      <w:r w:rsidR="00665EF2" w:rsidRPr="73D80F66">
        <w:rPr>
          <w:sz w:val="24"/>
          <w:szCs w:val="24"/>
        </w:rPr>
        <w:t>the study</w:t>
      </w:r>
      <w:r w:rsidR="00107157" w:rsidRPr="73D80F66">
        <w:rPr>
          <w:sz w:val="24"/>
          <w:szCs w:val="24"/>
        </w:rPr>
        <w:t xml:space="preserve"> completed in July 2016.</w:t>
      </w:r>
    </w:p>
    <w:p w14:paraId="0C948B06" w14:textId="77777777" w:rsidR="0012368A" w:rsidRPr="00443048" w:rsidRDefault="0012368A" w:rsidP="00604B88">
      <w:pPr>
        <w:spacing w:line="480" w:lineRule="auto"/>
        <w:jc w:val="both"/>
        <w:rPr>
          <w:b/>
          <w:bCs/>
          <w:sz w:val="24"/>
          <w:szCs w:val="24"/>
        </w:rPr>
      </w:pPr>
    </w:p>
    <w:p w14:paraId="121E5E7D" w14:textId="699315BF" w:rsidR="5A9B6F39" w:rsidRDefault="5A9B6F39" w:rsidP="73D80F66">
      <w:pPr>
        <w:spacing w:line="480" w:lineRule="auto"/>
        <w:jc w:val="both"/>
      </w:pPr>
      <w:r>
        <w:rPr>
          <w:noProof/>
          <w:lang w:eastAsia="en-GB"/>
        </w:rPr>
        <w:drawing>
          <wp:inline distT="0" distB="0" distL="0" distR="0" wp14:anchorId="3A3A0B09" wp14:editId="5DA08CC7">
            <wp:extent cx="5724524" cy="5848352"/>
            <wp:effectExtent l="0" t="0" r="0" b="0"/>
            <wp:docPr id="280180566" name="Picture 28018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180566"/>
                    <pic:cNvPicPr/>
                  </pic:nvPicPr>
                  <pic:blipFill>
                    <a:blip r:embed="rId11">
                      <a:extLst>
                        <a:ext uri="{28A0092B-C50C-407E-A947-70E740481C1C}">
                          <a14:useLocalDpi xmlns:a14="http://schemas.microsoft.com/office/drawing/2010/main" val="0"/>
                        </a:ext>
                      </a:extLst>
                    </a:blip>
                    <a:stretch>
                      <a:fillRect/>
                    </a:stretch>
                  </pic:blipFill>
                  <pic:spPr>
                    <a:xfrm>
                      <a:off x="0" y="0"/>
                      <a:ext cx="5724524" cy="5848352"/>
                    </a:xfrm>
                    <a:prstGeom prst="rect">
                      <a:avLst/>
                    </a:prstGeom>
                  </pic:spPr>
                </pic:pic>
              </a:graphicData>
            </a:graphic>
          </wp:inline>
        </w:drawing>
      </w:r>
    </w:p>
    <w:p w14:paraId="78A015CE" w14:textId="3DB00C4E" w:rsidR="73D80F66" w:rsidRDefault="73D80F66" w:rsidP="73D80F66">
      <w:pPr>
        <w:spacing w:line="480" w:lineRule="auto"/>
        <w:jc w:val="both"/>
      </w:pPr>
    </w:p>
    <w:p w14:paraId="69F551FF" w14:textId="79DBCEEF" w:rsidR="73D80F66" w:rsidRDefault="00D371DC" w:rsidP="004739A9">
      <w:pPr>
        <w:spacing w:line="276" w:lineRule="auto"/>
        <w:jc w:val="both"/>
        <w:rPr>
          <w:b/>
          <w:bCs/>
          <w:sz w:val="24"/>
          <w:szCs w:val="24"/>
        </w:rPr>
      </w:pPr>
      <w:r>
        <w:rPr>
          <w:b/>
          <w:bCs/>
          <w:sz w:val="24"/>
          <w:szCs w:val="24"/>
        </w:rPr>
        <w:t>Fig 1.</w:t>
      </w:r>
      <w:r w:rsidRPr="004739A9">
        <w:rPr>
          <w:sz w:val="24"/>
          <w:szCs w:val="24"/>
        </w:rPr>
        <w:t xml:space="preserve"> Flow diagram of patients with type 2 diabetes at increased risk of </w:t>
      </w:r>
      <w:r w:rsidR="004739A9">
        <w:rPr>
          <w:sz w:val="24"/>
          <w:szCs w:val="24"/>
        </w:rPr>
        <w:t xml:space="preserve">progressive </w:t>
      </w:r>
      <w:r w:rsidRPr="004739A9">
        <w:rPr>
          <w:sz w:val="24"/>
          <w:szCs w:val="24"/>
        </w:rPr>
        <w:t>cardiorenal disease recruited and block randomised to antioxi</w:t>
      </w:r>
      <w:r w:rsidR="004739A9" w:rsidRPr="004739A9">
        <w:rPr>
          <w:sz w:val="24"/>
          <w:szCs w:val="24"/>
        </w:rPr>
        <w:t>dant therapy and usual care</w:t>
      </w:r>
      <w:r w:rsidR="00D8403C">
        <w:rPr>
          <w:sz w:val="24"/>
          <w:szCs w:val="24"/>
        </w:rPr>
        <w:t>.</w:t>
      </w:r>
    </w:p>
    <w:p w14:paraId="7CDF99DF" w14:textId="6F9A46A1" w:rsidR="004B14D1" w:rsidRPr="00443048" w:rsidRDefault="0012368A" w:rsidP="00604B88">
      <w:pPr>
        <w:spacing w:line="480" w:lineRule="auto"/>
        <w:jc w:val="both"/>
        <w:rPr>
          <w:b/>
          <w:bCs/>
          <w:sz w:val="24"/>
          <w:szCs w:val="24"/>
        </w:rPr>
      </w:pPr>
      <w:r w:rsidRPr="00443048">
        <w:rPr>
          <w:b/>
          <w:bCs/>
          <w:sz w:val="24"/>
          <w:szCs w:val="24"/>
        </w:rPr>
        <w:lastRenderedPageBreak/>
        <w:t xml:space="preserve">Contrast-enhanced ultrasonography (CEUS) measurement of renal blood flow </w:t>
      </w:r>
    </w:p>
    <w:p w14:paraId="7DC99E48" w14:textId="488D8A23" w:rsidR="001359FD" w:rsidRPr="00443048" w:rsidRDefault="0012368A" w:rsidP="0012368A">
      <w:pPr>
        <w:spacing w:line="480" w:lineRule="auto"/>
        <w:jc w:val="both"/>
        <w:rPr>
          <w:sz w:val="24"/>
          <w:szCs w:val="24"/>
        </w:rPr>
      </w:pPr>
      <w:r w:rsidRPr="702898A1">
        <w:rPr>
          <w:sz w:val="24"/>
          <w:szCs w:val="24"/>
        </w:rPr>
        <w:t>A sub-group of patients</w:t>
      </w:r>
      <w:r w:rsidR="00326CBE" w:rsidRPr="702898A1">
        <w:rPr>
          <w:sz w:val="24"/>
          <w:szCs w:val="24"/>
        </w:rPr>
        <w:t xml:space="preserve"> </w:t>
      </w:r>
      <w:r w:rsidRPr="702898A1">
        <w:rPr>
          <w:sz w:val="24"/>
          <w:szCs w:val="24"/>
        </w:rPr>
        <w:t xml:space="preserve">were randomly allocated </w:t>
      </w:r>
      <w:r w:rsidR="000B761A" w:rsidRPr="702898A1">
        <w:rPr>
          <w:sz w:val="24"/>
          <w:szCs w:val="24"/>
        </w:rPr>
        <w:t>for</w:t>
      </w:r>
      <w:r w:rsidRPr="702898A1">
        <w:rPr>
          <w:sz w:val="24"/>
          <w:szCs w:val="24"/>
        </w:rPr>
        <w:t xml:space="preserve"> </w:t>
      </w:r>
      <w:r w:rsidR="004106D7" w:rsidRPr="702898A1">
        <w:rPr>
          <w:sz w:val="24"/>
          <w:szCs w:val="24"/>
        </w:rPr>
        <w:t xml:space="preserve">CEUS to investigate renal blood flow </w:t>
      </w:r>
      <w:r w:rsidR="00F41789" w:rsidRPr="702898A1">
        <w:rPr>
          <w:sz w:val="24"/>
          <w:szCs w:val="24"/>
        </w:rPr>
        <w:t>[20]</w:t>
      </w:r>
      <w:r w:rsidR="00025D34" w:rsidRPr="702898A1">
        <w:rPr>
          <w:sz w:val="24"/>
          <w:szCs w:val="24"/>
        </w:rPr>
        <w:t xml:space="preserve">. </w:t>
      </w:r>
      <w:r w:rsidR="00326CBE" w:rsidRPr="702898A1">
        <w:rPr>
          <w:sz w:val="24"/>
          <w:szCs w:val="24"/>
        </w:rPr>
        <w:t xml:space="preserve">Scans were performed at baseline and after 3 months in patients who were </w:t>
      </w:r>
      <w:r w:rsidR="00025D34" w:rsidRPr="702898A1">
        <w:rPr>
          <w:sz w:val="24"/>
          <w:szCs w:val="24"/>
        </w:rPr>
        <w:t xml:space="preserve">either </w:t>
      </w:r>
      <w:r w:rsidR="00326CBE" w:rsidRPr="702898A1">
        <w:rPr>
          <w:sz w:val="24"/>
          <w:szCs w:val="24"/>
        </w:rPr>
        <w:t xml:space="preserve">randomised to </w:t>
      </w:r>
      <w:r w:rsidR="00025D34" w:rsidRPr="702898A1">
        <w:rPr>
          <w:sz w:val="24"/>
          <w:szCs w:val="24"/>
        </w:rPr>
        <w:t xml:space="preserve">vitamin E and/ or selenium (n=6) or placebo (n=3) with usual </w:t>
      </w:r>
      <w:r w:rsidR="00AE2BDF" w:rsidRPr="702898A1">
        <w:rPr>
          <w:sz w:val="24"/>
          <w:szCs w:val="24"/>
        </w:rPr>
        <w:t xml:space="preserve">care. </w:t>
      </w:r>
      <w:r w:rsidR="00C24D53" w:rsidRPr="702898A1">
        <w:rPr>
          <w:sz w:val="24"/>
          <w:szCs w:val="24"/>
        </w:rPr>
        <w:t>A 1 ml intravenous bolus injection of</w:t>
      </w:r>
      <w:r w:rsidR="005063CF" w:rsidRPr="702898A1">
        <w:rPr>
          <w:sz w:val="24"/>
          <w:szCs w:val="24"/>
        </w:rPr>
        <w:t xml:space="preserve"> </w:t>
      </w:r>
      <w:proofErr w:type="spellStart"/>
      <w:r w:rsidR="00590A3D" w:rsidRPr="702898A1">
        <w:rPr>
          <w:sz w:val="24"/>
          <w:szCs w:val="24"/>
        </w:rPr>
        <w:t>SonoVue</w:t>
      </w:r>
      <w:proofErr w:type="spellEnd"/>
      <w:r w:rsidR="00590A3D" w:rsidRPr="702898A1">
        <w:rPr>
          <w:sz w:val="24"/>
          <w:szCs w:val="24"/>
        </w:rPr>
        <w:t xml:space="preserve">® </w:t>
      </w:r>
      <w:r w:rsidR="0C7A1CC8" w:rsidRPr="702898A1">
        <w:rPr>
          <w:sz w:val="24"/>
          <w:szCs w:val="24"/>
        </w:rPr>
        <w:t xml:space="preserve">- </w:t>
      </w:r>
      <w:r w:rsidR="00590A3D" w:rsidRPr="702898A1">
        <w:rPr>
          <w:sz w:val="24"/>
          <w:szCs w:val="24"/>
        </w:rPr>
        <w:t xml:space="preserve">a mixture of stabilised, </w:t>
      </w:r>
      <w:r w:rsidR="005063CF" w:rsidRPr="702898A1">
        <w:rPr>
          <w:sz w:val="24"/>
          <w:szCs w:val="24"/>
        </w:rPr>
        <w:t>sodium hexafluoride</w:t>
      </w:r>
      <w:r w:rsidR="00C24D53" w:rsidRPr="702898A1">
        <w:rPr>
          <w:sz w:val="24"/>
          <w:szCs w:val="24"/>
        </w:rPr>
        <w:t xml:space="preserve"> </w:t>
      </w:r>
      <w:r w:rsidR="005063CF" w:rsidRPr="702898A1">
        <w:rPr>
          <w:sz w:val="24"/>
          <w:szCs w:val="24"/>
        </w:rPr>
        <w:t>(</w:t>
      </w:r>
      <w:r w:rsidR="00C24D53" w:rsidRPr="702898A1">
        <w:rPr>
          <w:sz w:val="24"/>
          <w:szCs w:val="24"/>
        </w:rPr>
        <w:t>Bracco</w:t>
      </w:r>
      <w:r w:rsidR="00226E2D" w:rsidRPr="702898A1">
        <w:rPr>
          <w:sz w:val="24"/>
          <w:szCs w:val="24"/>
        </w:rPr>
        <w:t xml:space="preserve"> I</w:t>
      </w:r>
      <w:r w:rsidR="00590A3D" w:rsidRPr="702898A1">
        <w:rPr>
          <w:sz w:val="24"/>
          <w:szCs w:val="24"/>
        </w:rPr>
        <w:t>maging</w:t>
      </w:r>
      <w:r w:rsidR="005063CF" w:rsidRPr="702898A1">
        <w:rPr>
          <w:sz w:val="24"/>
          <w:szCs w:val="24"/>
        </w:rPr>
        <w:t>,</w:t>
      </w:r>
      <w:r w:rsidR="00C24D53" w:rsidRPr="702898A1">
        <w:rPr>
          <w:sz w:val="24"/>
          <w:szCs w:val="24"/>
        </w:rPr>
        <w:t xml:space="preserve"> </w:t>
      </w:r>
      <w:r w:rsidR="00590A3D" w:rsidRPr="702898A1">
        <w:rPr>
          <w:sz w:val="24"/>
          <w:szCs w:val="24"/>
        </w:rPr>
        <w:t xml:space="preserve">Milan, </w:t>
      </w:r>
      <w:r w:rsidR="00C24D53" w:rsidRPr="702898A1">
        <w:rPr>
          <w:sz w:val="24"/>
          <w:szCs w:val="24"/>
        </w:rPr>
        <w:t xml:space="preserve">Italy) </w:t>
      </w:r>
      <w:r w:rsidR="7D5D8282" w:rsidRPr="702898A1">
        <w:rPr>
          <w:sz w:val="24"/>
          <w:szCs w:val="24"/>
        </w:rPr>
        <w:t xml:space="preserve">with </w:t>
      </w:r>
      <w:r w:rsidR="00590A3D" w:rsidRPr="702898A1">
        <w:rPr>
          <w:sz w:val="24"/>
          <w:szCs w:val="24"/>
        </w:rPr>
        <w:t>5 ml saline</w:t>
      </w:r>
      <w:r w:rsidR="00C24D53" w:rsidRPr="702898A1">
        <w:rPr>
          <w:sz w:val="24"/>
          <w:szCs w:val="24"/>
        </w:rPr>
        <w:t xml:space="preserve">. Dynamic image changes were continuously recorded using an </w:t>
      </w:r>
      <w:proofErr w:type="spellStart"/>
      <w:r w:rsidR="00C24D53" w:rsidRPr="702898A1">
        <w:rPr>
          <w:sz w:val="24"/>
          <w:szCs w:val="24"/>
        </w:rPr>
        <w:t>Aplio</w:t>
      </w:r>
      <w:proofErr w:type="spellEnd"/>
      <w:r w:rsidR="00C24D53" w:rsidRPr="702898A1">
        <w:rPr>
          <w:sz w:val="24"/>
          <w:szCs w:val="24"/>
        </w:rPr>
        <w:t xml:space="preserve">™ 500 ultrasonographic device (Toshiba America Medical Systems Inc.). Renal perfusion images were analysed using </w:t>
      </w:r>
      <w:proofErr w:type="spellStart"/>
      <w:r w:rsidR="00C24D53" w:rsidRPr="702898A1">
        <w:rPr>
          <w:sz w:val="24"/>
          <w:szCs w:val="24"/>
        </w:rPr>
        <w:t>Aplio’s</w:t>
      </w:r>
      <w:proofErr w:type="spellEnd"/>
      <w:r w:rsidR="00C24D53" w:rsidRPr="702898A1">
        <w:rPr>
          <w:sz w:val="24"/>
          <w:szCs w:val="24"/>
        </w:rPr>
        <w:t xml:space="preserve"> CEUS analysis software for the TIC (time intensity curve) analysis. Time- intensity curves</w:t>
      </w:r>
      <w:r w:rsidR="00025D34" w:rsidRPr="702898A1">
        <w:rPr>
          <w:sz w:val="24"/>
          <w:szCs w:val="24"/>
        </w:rPr>
        <w:t xml:space="preserve"> and quantitative ind</w:t>
      </w:r>
      <w:r w:rsidR="001E3C18" w:rsidRPr="702898A1">
        <w:rPr>
          <w:sz w:val="24"/>
          <w:szCs w:val="24"/>
        </w:rPr>
        <w:t>ic</w:t>
      </w:r>
      <w:r w:rsidR="00025D34" w:rsidRPr="702898A1">
        <w:rPr>
          <w:sz w:val="24"/>
          <w:szCs w:val="24"/>
        </w:rPr>
        <w:t xml:space="preserve">es for the derived peak intensity, the ascending slope, and the areas under the ascending </w:t>
      </w:r>
      <w:r w:rsidR="00226E2D" w:rsidRPr="702898A1">
        <w:rPr>
          <w:sz w:val="24"/>
          <w:szCs w:val="24"/>
        </w:rPr>
        <w:t>(wash-in</w:t>
      </w:r>
      <w:r w:rsidR="00590A3D" w:rsidRPr="702898A1">
        <w:rPr>
          <w:sz w:val="24"/>
          <w:szCs w:val="24"/>
        </w:rPr>
        <w:t xml:space="preserve">) </w:t>
      </w:r>
      <w:r w:rsidR="00025D34" w:rsidRPr="702898A1">
        <w:rPr>
          <w:sz w:val="24"/>
          <w:szCs w:val="24"/>
        </w:rPr>
        <w:t xml:space="preserve">and descending </w:t>
      </w:r>
      <w:r w:rsidR="00590A3D" w:rsidRPr="702898A1">
        <w:rPr>
          <w:sz w:val="24"/>
          <w:szCs w:val="24"/>
        </w:rPr>
        <w:t>(wash</w:t>
      </w:r>
      <w:r w:rsidR="04F8CAA7" w:rsidRPr="702898A1">
        <w:rPr>
          <w:sz w:val="24"/>
          <w:szCs w:val="24"/>
        </w:rPr>
        <w:t>-</w:t>
      </w:r>
      <w:r w:rsidR="00590A3D" w:rsidRPr="702898A1">
        <w:rPr>
          <w:sz w:val="24"/>
          <w:szCs w:val="24"/>
        </w:rPr>
        <w:t xml:space="preserve">out) </w:t>
      </w:r>
      <w:r w:rsidR="00025D34" w:rsidRPr="702898A1">
        <w:rPr>
          <w:sz w:val="24"/>
          <w:szCs w:val="24"/>
        </w:rPr>
        <w:t xml:space="preserve">curves (AUC1 and AUC2) </w:t>
      </w:r>
      <w:r w:rsidR="00451FDC" w:rsidRPr="702898A1">
        <w:rPr>
          <w:sz w:val="24"/>
          <w:szCs w:val="24"/>
        </w:rPr>
        <w:t xml:space="preserve">were calculated for the renal cortex </w:t>
      </w:r>
      <w:r w:rsidR="00F41789" w:rsidRPr="702898A1">
        <w:rPr>
          <w:sz w:val="24"/>
          <w:szCs w:val="24"/>
        </w:rPr>
        <w:t>[21]</w:t>
      </w:r>
      <w:r w:rsidR="00025D34" w:rsidRPr="702898A1">
        <w:rPr>
          <w:sz w:val="24"/>
          <w:szCs w:val="24"/>
        </w:rPr>
        <w:t>.</w:t>
      </w:r>
      <w:r w:rsidR="001D5D83" w:rsidRPr="702898A1">
        <w:rPr>
          <w:sz w:val="24"/>
          <w:szCs w:val="24"/>
        </w:rPr>
        <w:t xml:space="preserve"> </w:t>
      </w:r>
      <w:r w:rsidR="001E3C18" w:rsidRPr="702898A1">
        <w:rPr>
          <w:sz w:val="24"/>
          <w:szCs w:val="24"/>
        </w:rPr>
        <w:t xml:space="preserve"> The operator and data analyst </w:t>
      </w:r>
      <w:r w:rsidR="00C24D53" w:rsidRPr="702898A1">
        <w:rPr>
          <w:sz w:val="24"/>
          <w:szCs w:val="24"/>
        </w:rPr>
        <w:t xml:space="preserve">(EL) </w:t>
      </w:r>
      <w:r w:rsidR="001E3C18" w:rsidRPr="702898A1">
        <w:rPr>
          <w:sz w:val="24"/>
          <w:szCs w:val="24"/>
        </w:rPr>
        <w:t xml:space="preserve">were blinded to the treatment </w:t>
      </w:r>
      <w:r w:rsidR="00C24D53" w:rsidRPr="702898A1">
        <w:rPr>
          <w:sz w:val="24"/>
          <w:szCs w:val="24"/>
        </w:rPr>
        <w:t xml:space="preserve">group </w:t>
      </w:r>
      <w:r w:rsidR="001E3C18" w:rsidRPr="702898A1">
        <w:rPr>
          <w:sz w:val="24"/>
          <w:szCs w:val="24"/>
        </w:rPr>
        <w:t>allocation.</w:t>
      </w:r>
    </w:p>
    <w:p w14:paraId="7DC203D4" w14:textId="30E10ABD" w:rsidR="702898A1" w:rsidRDefault="702898A1" w:rsidP="702898A1">
      <w:pPr>
        <w:spacing w:line="480" w:lineRule="auto"/>
        <w:jc w:val="both"/>
        <w:rPr>
          <w:sz w:val="24"/>
          <w:szCs w:val="24"/>
        </w:rPr>
      </w:pPr>
    </w:p>
    <w:p w14:paraId="4D7F770B" w14:textId="45A2428B" w:rsidR="00A07DFB" w:rsidRPr="00443048" w:rsidRDefault="0045584D" w:rsidP="00604B88">
      <w:pPr>
        <w:spacing w:line="480" w:lineRule="auto"/>
        <w:jc w:val="both"/>
        <w:rPr>
          <w:sz w:val="24"/>
          <w:szCs w:val="24"/>
        </w:rPr>
      </w:pPr>
      <w:r w:rsidRPr="00443048">
        <w:rPr>
          <w:b/>
          <w:sz w:val="24"/>
          <w:szCs w:val="24"/>
        </w:rPr>
        <w:t>Statistical analyses</w:t>
      </w:r>
      <w:r w:rsidR="00A07DFB" w:rsidRPr="00443048">
        <w:rPr>
          <w:b/>
          <w:sz w:val="24"/>
          <w:szCs w:val="24"/>
        </w:rPr>
        <w:t xml:space="preserve"> </w:t>
      </w:r>
    </w:p>
    <w:p w14:paraId="2E06C374" w14:textId="5809BEE1" w:rsidR="00A07DFB" w:rsidRPr="00443048" w:rsidRDefault="00A07DFB" w:rsidP="00604B88">
      <w:pPr>
        <w:spacing w:line="480" w:lineRule="auto"/>
        <w:jc w:val="both"/>
        <w:rPr>
          <w:sz w:val="24"/>
          <w:szCs w:val="24"/>
        </w:rPr>
      </w:pPr>
      <w:r w:rsidRPr="00443048">
        <w:rPr>
          <w:sz w:val="24"/>
          <w:szCs w:val="24"/>
        </w:rPr>
        <w:t>Mixed (or random</w:t>
      </w:r>
      <w:r w:rsidR="00A62ECC" w:rsidRPr="00443048">
        <w:rPr>
          <w:sz w:val="24"/>
          <w:szCs w:val="24"/>
        </w:rPr>
        <w:t xml:space="preserve"> coefficient) non-linear models</w:t>
      </w:r>
      <w:r w:rsidR="001331F3" w:rsidRPr="00443048">
        <w:rPr>
          <w:sz w:val="24"/>
          <w:szCs w:val="24"/>
        </w:rPr>
        <w:t xml:space="preserve"> </w:t>
      </w:r>
      <w:r w:rsidRPr="00443048">
        <w:rPr>
          <w:sz w:val="24"/>
          <w:szCs w:val="24"/>
        </w:rPr>
        <w:t>were fit to the longitudinal outcome, eGFR, which was measured at baseline, three, six and 12 months after randomisation</w:t>
      </w:r>
      <w:r w:rsidR="00665779" w:rsidRPr="00443048">
        <w:rPr>
          <w:sz w:val="24"/>
          <w:szCs w:val="24"/>
        </w:rPr>
        <w:t xml:space="preserve"> and </w:t>
      </w:r>
      <w:r w:rsidRPr="00443048">
        <w:rPr>
          <w:sz w:val="24"/>
          <w:szCs w:val="24"/>
        </w:rPr>
        <w:t xml:space="preserve">the percentage change from baseline at one year of follow-up. </w:t>
      </w:r>
      <w:r w:rsidR="00E32CEF" w:rsidRPr="00443048">
        <w:rPr>
          <w:sz w:val="24"/>
          <w:szCs w:val="24"/>
        </w:rPr>
        <w:t xml:space="preserve"> </w:t>
      </w:r>
    </w:p>
    <w:p w14:paraId="2995FBCB" w14:textId="77777777" w:rsidR="00617F94" w:rsidRPr="00443048" w:rsidRDefault="00617F94" w:rsidP="00604B88">
      <w:pPr>
        <w:spacing w:line="480" w:lineRule="auto"/>
        <w:jc w:val="both"/>
        <w:rPr>
          <w:sz w:val="24"/>
          <w:szCs w:val="24"/>
        </w:rPr>
      </w:pPr>
    </w:p>
    <w:p w14:paraId="5485068A" w14:textId="73414236" w:rsidR="00A07DFB" w:rsidRPr="00443048" w:rsidRDefault="00A07DFB" w:rsidP="00604B88">
      <w:pPr>
        <w:spacing w:line="480" w:lineRule="auto"/>
        <w:jc w:val="both"/>
        <w:rPr>
          <w:sz w:val="24"/>
          <w:szCs w:val="24"/>
        </w:rPr>
      </w:pPr>
      <w:r w:rsidRPr="00443048">
        <w:rPr>
          <w:sz w:val="24"/>
          <w:szCs w:val="24"/>
        </w:rPr>
        <w:t xml:space="preserve">Mixed models of increasing complexity were fitted to the data, starting with assessing the treatment effect only on the absolute and percentage change in eGFR. Demographics factors (age and ethnicity) were added to the model as well as baseline levels of albuminuria and GPx-3 activity. </w:t>
      </w:r>
      <w:r w:rsidRPr="00443048">
        <w:rPr>
          <w:sz w:val="24"/>
          <w:szCs w:val="24"/>
          <w:lang w:val="en-US"/>
        </w:rPr>
        <w:t xml:space="preserve">The two groups whose slopes are compared over time are thought of as either, </w:t>
      </w:r>
      <w:r w:rsidRPr="00443048">
        <w:rPr>
          <w:sz w:val="24"/>
          <w:szCs w:val="24"/>
          <w:lang w:val="en-US"/>
        </w:rPr>
        <w:lastRenderedPageBreak/>
        <w:t>(a) Caucasian and non-Caucasian, or (b) High and Low levels of oxidative stress/inflammation according to GPx-3 activity dichotomized at its median value.</w:t>
      </w:r>
      <w:r w:rsidRPr="00443048">
        <w:rPr>
          <w:sz w:val="24"/>
          <w:szCs w:val="24"/>
        </w:rPr>
        <w:t xml:space="preserve"> Interactions between the explanatory variables were also considered. An unstructured variance-covariance matrix has been considered as the most general assumption on the random effects. Model comparisons (on similar number of observations selected by the most complex model) have been made using the likelihood ratio, Akaike information criterion and Bayesian information criterion. </w:t>
      </w:r>
    </w:p>
    <w:p w14:paraId="0E58CE54" w14:textId="77777777" w:rsidR="00A07DFB" w:rsidRPr="00443048" w:rsidRDefault="00A07DFB" w:rsidP="00604B88">
      <w:pPr>
        <w:spacing w:line="480" w:lineRule="auto"/>
        <w:jc w:val="both"/>
        <w:rPr>
          <w:sz w:val="24"/>
          <w:szCs w:val="24"/>
        </w:rPr>
      </w:pPr>
    </w:p>
    <w:p w14:paraId="00A70F65" w14:textId="2F7D6F69" w:rsidR="00A174DB" w:rsidRPr="00443048" w:rsidRDefault="00734143" w:rsidP="00604B88">
      <w:pPr>
        <w:spacing w:line="480" w:lineRule="auto"/>
        <w:jc w:val="both"/>
        <w:rPr>
          <w:sz w:val="24"/>
          <w:szCs w:val="24"/>
        </w:rPr>
      </w:pPr>
      <w:r w:rsidRPr="702898A1">
        <w:rPr>
          <w:sz w:val="24"/>
          <w:szCs w:val="24"/>
        </w:rPr>
        <w:t>The d</w:t>
      </w:r>
      <w:r w:rsidR="006B164E" w:rsidRPr="702898A1">
        <w:rPr>
          <w:sz w:val="24"/>
          <w:szCs w:val="24"/>
        </w:rPr>
        <w:t>ata w</w:t>
      </w:r>
      <w:r w:rsidRPr="702898A1">
        <w:rPr>
          <w:sz w:val="24"/>
          <w:szCs w:val="24"/>
        </w:rPr>
        <w:t>ere</w:t>
      </w:r>
      <w:r w:rsidR="006B164E" w:rsidRPr="702898A1">
        <w:rPr>
          <w:sz w:val="24"/>
          <w:szCs w:val="24"/>
        </w:rPr>
        <w:t xml:space="preserve"> analysed on an intention-to-treat basis. </w:t>
      </w:r>
      <w:r w:rsidR="00A07DFB" w:rsidRPr="702898A1">
        <w:rPr>
          <w:sz w:val="24"/>
          <w:szCs w:val="24"/>
        </w:rPr>
        <w:t>Patterns in the missing data at the follow-up were carefully explored. Mixed models’ estimation used the maximum likelihood methods and assume that missing data are at random. Population average models using generalized estimation equations were also explored as they exhibit robustness with regards to the assumption on the correlation structure. The results from both approaches were similar</w:t>
      </w:r>
      <w:r w:rsidR="415643D1" w:rsidRPr="702898A1">
        <w:rPr>
          <w:sz w:val="24"/>
          <w:szCs w:val="24"/>
        </w:rPr>
        <w:t>,</w:t>
      </w:r>
      <w:r w:rsidR="00A07DFB" w:rsidRPr="702898A1">
        <w:rPr>
          <w:sz w:val="24"/>
          <w:szCs w:val="24"/>
        </w:rPr>
        <w:t xml:space="preserve"> as expected for Gaussian outcomes but only the inference from mixed models is presented given the availability of formal methods for model comparison based on complete data.  Marginal interpretation and predictions illustrate the effect of each explanatory on the outcomes. Effects resulting in P-values &lt; 0.05 were considered statistically significant and the uncertainty was assessed by the corresponding 95% confidence intervals. </w:t>
      </w:r>
    </w:p>
    <w:p w14:paraId="1176F09D" w14:textId="24523059" w:rsidR="702898A1" w:rsidRDefault="702898A1" w:rsidP="702898A1">
      <w:pPr>
        <w:spacing w:line="480" w:lineRule="auto"/>
        <w:jc w:val="both"/>
        <w:rPr>
          <w:sz w:val="24"/>
          <w:szCs w:val="24"/>
        </w:rPr>
      </w:pPr>
    </w:p>
    <w:p w14:paraId="3F7F777A" w14:textId="7990F651" w:rsidR="002053F4" w:rsidRPr="00443048" w:rsidRDefault="00A174DB" w:rsidP="702898A1">
      <w:pPr>
        <w:spacing w:line="480" w:lineRule="auto"/>
        <w:jc w:val="both"/>
        <w:rPr>
          <w:sz w:val="24"/>
          <w:szCs w:val="24"/>
        </w:rPr>
      </w:pPr>
      <w:r w:rsidRPr="73D80F66">
        <w:rPr>
          <w:sz w:val="24"/>
          <w:szCs w:val="24"/>
        </w:rPr>
        <w:t xml:space="preserve">The effect sizes are conservative and </w:t>
      </w:r>
      <w:r w:rsidR="00E6142E" w:rsidRPr="73D80F66">
        <w:rPr>
          <w:sz w:val="24"/>
          <w:szCs w:val="24"/>
        </w:rPr>
        <w:t>are</w:t>
      </w:r>
      <w:r w:rsidRPr="73D80F66">
        <w:rPr>
          <w:sz w:val="24"/>
          <w:szCs w:val="24"/>
        </w:rPr>
        <w:t xml:space="preserve"> based on the estimated changes from baseline to 1 year [17].</w:t>
      </w:r>
      <w:r w:rsidR="61C3DB51" w:rsidRPr="73D80F66">
        <w:rPr>
          <w:sz w:val="24"/>
          <w:szCs w:val="24"/>
        </w:rPr>
        <w:t xml:space="preserve"> The required sample sizes corresponding to various strengths of correlation among repeated measures for this proposal and various correlation structures and attrition rates were derived according to </w:t>
      </w:r>
      <w:proofErr w:type="spellStart"/>
      <w:r w:rsidR="61C3DB51" w:rsidRPr="73D80F66">
        <w:rPr>
          <w:sz w:val="24"/>
          <w:szCs w:val="24"/>
        </w:rPr>
        <w:t>Hedeker</w:t>
      </w:r>
      <w:proofErr w:type="spellEnd"/>
      <w:r w:rsidR="61C3DB51" w:rsidRPr="73D80F66">
        <w:rPr>
          <w:sz w:val="24"/>
          <w:szCs w:val="24"/>
        </w:rPr>
        <w:t xml:space="preserve"> et al [22].  S</w:t>
      </w:r>
      <w:r w:rsidR="00D80A3C" w:rsidRPr="73D80F66">
        <w:rPr>
          <w:sz w:val="24"/>
          <w:szCs w:val="24"/>
        </w:rPr>
        <w:t xml:space="preserve">ample sizes of </w:t>
      </w:r>
      <w:r w:rsidR="001D0782" w:rsidRPr="73D80F66">
        <w:rPr>
          <w:sz w:val="24"/>
          <w:szCs w:val="24"/>
        </w:rPr>
        <w:t>73</w:t>
      </w:r>
      <w:r w:rsidR="00D80A3C" w:rsidRPr="73D80F66">
        <w:rPr>
          <w:sz w:val="24"/>
          <w:szCs w:val="24"/>
        </w:rPr>
        <w:t xml:space="preserve"> subjects in each </w:t>
      </w:r>
      <w:r w:rsidR="008677B5" w:rsidRPr="73D80F66">
        <w:rPr>
          <w:sz w:val="24"/>
          <w:szCs w:val="24"/>
        </w:rPr>
        <w:t xml:space="preserve">group </w:t>
      </w:r>
      <w:r w:rsidR="006D5E6E" w:rsidRPr="73D80F66">
        <w:rPr>
          <w:sz w:val="24"/>
          <w:szCs w:val="24"/>
        </w:rPr>
        <w:t xml:space="preserve">divided according </w:t>
      </w:r>
      <w:r w:rsidR="2A125462" w:rsidRPr="73D80F66">
        <w:rPr>
          <w:sz w:val="24"/>
          <w:szCs w:val="24"/>
        </w:rPr>
        <w:t xml:space="preserve">by </w:t>
      </w:r>
      <w:r w:rsidR="006D5E6E" w:rsidRPr="73D80F66">
        <w:rPr>
          <w:sz w:val="24"/>
          <w:szCs w:val="24"/>
        </w:rPr>
        <w:t xml:space="preserve">heritage or the median </w:t>
      </w:r>
      <w:r w:rsidR="00402DF3" w:rsidRPr="73D80F66">
        <w:rPr>
          <w:sz w:val="24"/>
          <w:szCs w:val="24"/>
        </w:rPr>
        <w:t xml:space="preserve">value of GPx-3 </w:t>
      </w:r>
      <w:r w:rsidR="00D80A3C" w:rsidRPr="73D80F66">
        <w:rPr>
          <w:sz w:val="24"/>
          <w:szCs w:val="24"/>
        </w:rPr>
        <w:t>provided 80% power using a 2-</w:t>
      </w:r>
      <w:r w:rsidR="00D80A3C" w:rsidRPr="73D80F66">
        <w:rPr>
          <w:sz w:val="24"/>
          <w:szCs w:val="24"/>
        </w:rPr>
        <w:lastRenderedPageBreak/>
        <w:t>tailed alpha of 5% to detect a</w:t>
      </w:r>
      <w:r w:rsidR="2C121CA3" w:rsidRPr="73D80F66">
        <w:rPr>
          <w:sz w:val="24"/>
          <w:szCs w:val="24"/>
        </w:rPr>
        <w:t>n</w:t>
      </w:r>
      <w:r w:rsidR="00D80A3C" w:rsidRPr="73D80F66">
        <w:rPr>
          <w:sz w:val="24"/>
          <w:szCs w:val="24"/>
        </w:rPr>
        <w:t xml:space="preserve"> effect size </w:t>
      </w:r>
      <w:r w:rsidR="07E2A36C" w:rsidRPr="73D80F66">
        <w:rPr>
          <w:sz w:val="24"/>
          <w:szCs w:val="24"/>
        </w:rPr>
        <w:t xml:space="preserve">of </w:t>
      </w:r>
      <w:r w:rsidR="00D80A3C" w:rsidRPr="73D80F66">
        <w:rPr>
          <w:sz w:val="24"/>
          <w:szCs w:val="24"/>
        </w:rPr>
        <w:t>0.5 standard deviation units which equates to detecting a biologically significant difference in eGFR</w:t>
      </w:r>
      <w:r w:rsidR="003B1B2B" w:rsidRPr="73D80F66">
        <w:rPr>
          <w:sz w:val="24"/>
          <w:szCs w:val="24"/>
        </w:rPr>
        <w:t>.</w:t>
      </w:r>
      <w:r w:rsidR="00D80A3C" w:rsidRPr="73D80F66">
        <w:rPr>
          <w:sz w:val="24"/>
          <w:szCs w:val="24"/>
        </w:rPr>
        <w:t xml:space="preserve"> </w:t>
      </w:r>
    </w:p>
    <w:p w14:paraId="4756491D" w14:textId="2A0C9EED" w:rsidR="007F0DA5" w:rsidRPr="00443048" w:rsidRDefault="007F0DA5" w:rsidP="73D80F66">
      <w:pPr>
        <w:spacing w:line="480" w:lineRule="auto"/>
        <w:jc w:val="both"/>
        <w:rPr>
          <w:sz w:val="24"/>
          <w:szCs w:val="24"/>
        </w:rPr>
      </w:pPr>
    </w:p>
    <w:p w14:paraId="1C44312C" w14:textId="68014A4F" w:rsidR="007F0DA5" w:rsidRPr="00443048" w:rsidRDefault="007F0DA5" w:rsidP="73D80F66">
      <w:pPr>
        <w:spacing w:line="480" w:lineRule="auto"/>
        <w:jc w:val="both"/>
        <w:rPr>
          <w:b/>
          <w:bCs/>
          <w:sz w:val="24"/>
          <w:szCs w:val="24"/>
        </w:rPr>
      </w:pPr>
      <w:r w:rsidRPr="73D80F66">
        <w:rPr>
          <w:b/>
          <w:bCs/>
          <w:sz w:val="24"/>
          <w:szCs w:val="24"/>
        </w:rPr>
        <w:t>Results</w:t>
      </w:r>
    </w:p>
    <w:p w14:paraId="42D97A61" w14:textId="4E2DDF3A" w:rsidR="00665779" w:rsidRPr="00443048" w:rsidRDefault="0045584D" w:rsidP="73D80F66">
      <w:pPr>
        <w:spacing w:line="480" w:lineRule="auto"/>
        <w:jc w:val="both"/>
        <w:rPr>
          <w:rStyle w:val="normaltextrun"/>
          <w:sz w:val="24"/>
          <w:szCs w:val="24"/>
        </w:rPr>
      </w:pPr>
      <w:r w:rsidRPr="73D80F66">
        <w:rPr>
          <w:rStyle w:val="normaltextrun"/>
          <w:sz w:val="24"/>
          <w:szCs w:val="24"/>
        </w:rPr>
        <w:t>Two-hund</w:t>
      </w:r>
      <w:r w:rsidR="00AF1724">
        <w:rPr>
          <w:rStyle w:val="normaltextrun"/>
          <w:sz w:val="24"/>
          <w:szCs w:val="24"/>
        </w:rPr>
        <w:t>red and thirty-</w:t>
      </w:r>
      <w:r w:rsidRPr="73D80F66">
        <w:rPr>
          <w:rStyle w:val="normaltextrun"/>
          <w:sz w:val="24"/>
          <w:szCs w:val="24"/>
        </w:rPr>
        <w:t>three patients were screened in the research centre and of these 17</w:t>
      </w:r>
      <w:r w:rsidR="00C76A77" w:rsidRPr="73D80F66">
        <w:rPr>
          <w:rStyle w:val="normaltextrun"/>
          <w:sz w:val="24"/>
          <w:szCs w:val="24"/>
        </w:rPr>
        <w:t>1</w:t>
      </w:r>
      <w:r w:rsidRPr="73D80F66">
        <w:rPr>
          <w:rStyle w:val="normaltextrun"/>
          <w:sz w:val="24"/>
          <w:szCs w:val="24"/>
        </w:rPr>
        <w:t xml:space="preserve"> </w:t>
      </w:r>
      <w:r w:rsidR="002053F4" w:rsidRPr="73D80F66">
        <w:rPr>
          <w:rStyle w:val="normaltextrun"/>
          <w:sz w:val="24"/>
          <w:szCs w:val="24"/>
        </w:rPr>
        <w:t xml:space="preserve">were </w:t>
      </w:r>
      <w:r w:rsidRPr="73D80F66">
        <w:rPr>
          <w:rStyle w:val="normaltextrun"/>
          <w:sz w:val="24"/>
          <w:szCs w:val="24"/>
        </w:rPr>
        <w:t>enrolled</w:t>
      </w:r>
      <w:r w:rsidR="003739B1" w:rsidRPr="73D80F66">
        <w:rPr>
          <w:sz w:val="24"/>
          <w:szCs w:val="24"/>
        </w:rPr>
        <w:t xml:space="preserve"> and </w:t>
      </w:r>
      <w:r w:rsidR="002053F4" w:rsidRPr="73D80F66">
        <w:rPr>
          <w:rStyle w:val="normaltextrun"/>
          <w:sz w:val="24"/>
          <w:szCs w:val="24"/>
        </w:rPr>
        <w:t>block-randomised as either Caucasian (n=</w:t>
      </w:r>
      <w:r w:rsidR="00790EA9" w:rsidRPr="73D80F66">
        <w:rPr>
          <w:rStyle w:val="normaltextrun"/>
          <w:sz w:val="24"/>
          <w:szCs w:val="24"/>
        </w:rPr>
        <w:t>70</w:t>
      </w:r>
      <w:r w:rsidR="002053F4" w:rsidRPr="73D80F66">
        <w:rPr>
          <w:rStyle w:val="normaltextrun"/>
          <w:sz w:val="24"/>
          <w:szCs w:val="24"/>
        </w:rPr>
        <w:t>) or non-Caucasian (n=101) heritage in to one of four intervention groups (Placebo, Vitamin E/Placebo, Selenium/Placebo and double-active Vitamin E/Selenium).</w:t>
      </w:r>
      <w:r w:rsidR="000763A3" w:rsidRPr="73D80F66">
        <w:rPr>
          <w:rStyle w:val="normaltextrun"/>
          <w:sz w:val="24"/>
          <w:szCs w:val="24"/>
        </w:rPr>
        <w:t xml:space="preserve"> </w:t>
      </w:r>
      <w:r w:rsidR="006C1831" w:rsidRPr="73D80F66">
        <w:rPr>
          <w:rStyle w:val="normaltextrun"/>
          <w:sz w:val="24"/>
          <w:szCs w:val="24"/>
        </w:rPr>
        <w:t>Data from one patient was eval</w:t>
      </w:r>
      <w:r w:rsidR="009B2F35" w:rsidRPr="73D80F66">
        <w:rPr>
          <w:rStyle w:val="normaltextrun"/>
          <w:sz w:val="24"/>
          <w:szCs w:val="24"/>
        </w:rPr>
        <w:t>uable due to a protocol violation</w:t>
      </w:r>
      <w:r w:rsidR="0010530E" w:rsidRPr="73D80F66">
        <w:rPr>
          <w:rStyle w:val="normaltextrun"/>
          <w:sz w:val="24"/>
          <w:szCs w:val="24"/>
        </w:rPr>
        <w:t>.</w:t>
      </w:r>
      <w:r w:rsidR="009B2F35" w:rsidRPr="73D80F66">
        <w:rPr>
          <w:rStyle w:val="normaltextrun"/>
          <w:sz w:val="24"/>
          <w:szCs w:val="24"/>
        </w:rPr>
        <w:t xml:space="preserve"> </w:t>
      </w:r>
    </w:p>
    <w:p w14:paraId="70ECE9B8" w14:textId="77777777" w:rsidR="00E000CA" w:rsidRDefault="00E000CA" w:rsidP="00604B88">
      <w:pPr>
        <w:spacing w:line="480" w:lineRule="auto"/>
        <w:jc w:val="both"/>
        <w:rPr>
          <w:rStyle w:val="normaltextrun"/>
          <w:sz w:val="24"/>
          <w:szCs w:val="24"/>
        </w:rPr>
      </w:pPr>
    </w:p>
    <w:p w14:paraId="71142B1D" w14:textId="349BE40F" w:rsidR="00665779" w:rsidRPr="00443048" w:rsidRDefault="003739B1" w:rsidP="00604B88">
      <w:pPr>
        <w:spacing w:line="480" w:lineRule="auto"/>
        <w:jc w:val="both"/>
        <w:rPr>
          <w:rStyle w:val="normaltextrun"/>
          <w:sz w:val="24"/>
          <w:szCs w:val="24"/>
        </w:rPr>
      </w:pPr>
      <w:r w:rsidRPr="73D80F66">
        <w:rPr>
          <w:rStyle w:val="normaltextrun"/>
          <w:sz w:val="24"/>
          <w:szCs w:val="24"/>
        </w:rPr>
        <w:t xml:space="preserve">There were no differences between the demographic, clinical and anthropometric characteristics of the treatment groups at baseline except in the smaller proportion of patients prescribed </w:t>
      </w:r>
      <w:proofErr w:type="spellStart"/>
      <w:r w:rsidRPr="73D80F66">
        <w:rPr>
          <w:rStyle w:val="spellingerror"/>
          <w:sz w:val="24"/>
          <w:szCs w:val="24"/>
        </w:rPr>
        <w:t>sulphonylureas</w:t>
      </w:r>
      <w:proofErr w:type="spellEnd"/>
      <w:r w:rsidRPr="73D80F66">
        <w:rPr>
          <w:rStyle w:val="normaltextrun"/>
          <w:sz w:val="24"/>
          <w:szCs w:val="24"/>
        </w:rPr>
        <w:t xml:space="preserve"> in the Selenium/Placebo intervention group in comparison to the other groups (Table 1).  </w:t>
      </w:r>
      <w:r w:rsidR="00AF1724">
        <w:rPr>
          <w:rStyle w:val="normaltextrun"/>
          <w:sz w:val="24"/>
          <w:szCs w:val="24"/>
        </w:rPr>
        <w:t xml:space="preserve">The proportions of patients with hypertension that were treated with either angiotensin converting enzyme inhibitor </w:t>
      </w:r>
      <w:r w:rsidR="00C22899">
        <w:rPr>
          <w:rStyle w:val="normaltextrun"/>
          <w:sz w:val="24"/>
          <w:szCs w:val="24"/>
        </w:rPr>
        <w:t>(</w:t>
      </w:r>
      <w:proofErr w:type="spellStart"/>
      <w:r w:rsidR="00C22899">
        <w:rPr>
          <w:rStyle w:val="normaltextrun"/>
          <w:sz w:val="24"/>
          <w:szCs w:val="24"/>
        </w:rPr>
        <w:t>ACEi</w:t>
      </w:r>
      <w:proofErr w:type="spellEnd"/>
      <w:r w:rsidR="00C22899">
        <w:rPr>
          <w:rStyle w:val="normaltextrun"/>
          <w:sz w:val="24"/>
          <w:szCs w:val="24"/>
        </w:rPr>
        <w:t xml:space="preserve">) </w:t>
      </w:r>
      <w:r w:rsidR="00AF1724">
        <w:rPr>
          <w:rStyle w:val="normaltextrun"/>
          <w:sz w:val="24"/>
          <w:szCs w:val="24"/>
        </w:rPr>
        <w:t xml:space="preserve">or angiotensin 2 receptor blocking </w:t>
      </w:r>
      <w:r w:rsidR="00C22899">
        <w:rPr>
          <w:rStyle w:val="normaltextrun"/>
          <w:sz w:val="24"/>
          <w:szCs w:val="24"/>
        </w:rPr>
        <w:t xml:space="preserve">(ARB) </w:t>
      </w:r>
      <w:r w:rsidR="00AF1724">
        <w:rPr>
          <w:rStyle w:val="normaltextrun"/>
          <w:sz w:val="24"/>
          <w:szCs w:val="24"/>
        </w:rPr>
        <w:t xml:space="preserve">agents was similar between the </w:t>
      </w:r>
      <w:r w:rsidR="004B6F0F">
        <w:rPr>
          <w:rStyle w:val="normaltextrun"/>
          <w:sz w:val="24"/>
          <w:szCs w:val="24"/>
        </w:rPr>
        <w:t xml:space="preserve">groups receiving double </w:t>
      </w:r>
      <w:r w:rsidR="00AF1724">
        <w:rPr>
          <w:rStyle w:val="normaltextrun"/>
          <w:sz w:val="24"/>
          <w:szCs w:val="24"/>
        </w:rPr>
        <w:t>placebo</w:t>
      </w:r>
      <w:r w:rsidR="004B6F0F">
        <w:rPr>
          <w:rStyle w:val="normaltextrun"/>
          <w:sz w:val="24"/>
          <w:szCs w:val="24"/>
        </w:rPr>
        <w:t xml:space="preserve">, active selenium alone, active vitamin E alone or both active vitamin E and selenium (63.6 vs 58.5 vs 76.2 vs 61.9) respectively. </w:t>
      </w:r>
    </w:p>
    <w:p w14:paraId="1DF6429E" w14:textId="77777777" w:rsidR="00E000CA" w:rsidRDefault="00E000CA" w:rsidP="73D80F66">
      <w:pPr>
        <w:spacing w:line="480" w:lineRule="auto"/>
        <w:jc w:val="both"/>
        <w:rPr>
          <w:sz w:val="24"/>
          <w:szCs w:val="24"/>
        </w:rPr>
      </w:pPr>
    </w:p>
    <w:p w14:paraId="34FE49E6" w14:textId="02A8BA0D" w:rsidR="005658D5" w:rsidRPr="00443048" w:rsidRDefault="005658D5" w:rsidP="73D80F66">
      <w:pPr>
        <w:spacing w:line="480" w:lineRule="auto"/>
        <w:jc w:val="both"/>
        <w:rPr>
          <w:sz w:val="24"/>
          <w:szCs w:val="24"/>
        </w:rPr>
      </w:pPr>
      <w:r w:rsidRPr="73D80F66">
        <w:rPr>
          <w:sz w:val="24"/>
          <w:szCs w:val="24"/>
        </w:rPr>
        <w:t xml:space="preserve">Compliance </w:t>
      </w:r>
      <w:r w:rsidR="00CC75D8" w:rsidRPr="73D80F66">
        <w:rPr>
          <w:sz w:val="24"/>
          <w:szCs w:val="24"/>
        </w:rPr>
        <w:t xml:space="preserve">with treatment was generally good with between 0 and 10 tablets </w:t>
      </w:r>
      <w:r w:rsidR="00646B8D" w:rsidRPr="73D80F66">
        <w:rPr>
          <w:sz w:val="24"/>
          <w:szCs w:val="24"/>
        </w:rPr>
        <w:t xml:space="preserve">of allocated treatment returned </w:t>
      </w:r>
      <w:r w:rsidR="00CC75D8" w:rsidRPr="73D80F66">
        <w:rPr>
          <w:sz w:val="24"/>
          <w:szCs w:val="24"/>
        </w:rPr>
        <w:t>every 3 mon</w:t>
      </w:r>
      <w:r w:rsidR="00646B8D" w:rsidRPr="73D80F66">
        <w:rPr>
          <w:sz w:val="24"/>
          <w:szCs w:val="24"/>
        </w:rPr>
        <w:t xml:space="preserve">ths </w:t>
      </w:r>
      <w:r w:rsidR="00A62043" w:rsidRPr="73D80F66">
        <w:rPr>
          <w:sz w:val="24"/>
          <w:szCs w:val="24"/>
        </w:rPr>
        <w:t xml:space="preserve">which </w:t>
      </w:r>
      <w:r w:rsidR="007F5594" w:rsidRPr="73D80F66">
        <w:rPr>
          <w:sz w:val="24"/>
          <w:szCs w:val="24"/>
        </w:rPr>
        <w:t>was non-significantly higher in the non-</w:t>
      </w:r>
      <w:r w:rsidRPr="73D80F66">
        <w:rPr>
          <w:sz w:val="24"/>
          <w:szCs w:val="24"/>
        </w:rPr>
        <w:t xml:space="preserve">Caucasian </w:t>
      </w:r>
      <w:r w:rsidR="00A20EC0" w:rsidRPr="73D80F66">
        <w:rPr>
          <w:sz w:val="24"/>
          <w:szCs w:val="24"/>
        </w:rPr>
        <w:t xml:space="preserve">compared with the </w:t>
      </w:r>
      <w:r w:rsidRPr="73D80F66">
        <w:rPr>
          <w:sz w:val="24"/>
          <w:szCs w:val="24"/>
        </w:rPr>
        <w:t>Caucasian</w:t>
      </w:r>
      <w:r w:rsidR="00A20EC0" w:rsidRPr="73D80F66">
        <w:rPr>
          <w:sz w:val="24"/>
          <w:szCs w:val="24"/>
        </w:rPr>
        <w:t xml:space="preserve"> </w:t>
      </w:r>
      <w:r w:rsidR="5BCB7FEC" w:rsidRPr="73D80F66">
        <w:rPr>
          <w:sz w:val="24"/>
          <w:szCs w:val="24"/>
        </w:rPr>
        <w:t xml:space="preserve">heritage </w:t>
      </w:r>
      <w:r w:rsidR="00A20EC0" w:rsidRPr="73D80F66">
        <w:rPr>
          <w:sz w:val="24"/>
          <w:szCs w:val="24"/>
        </w:rPr>
        <w:t>treatment</w:t>
      </w:r>
      <w:r w:rsidR="00750F4C" w:rsidRPr="73D80F66">
        <w:rPr>
          <w:sz w:val="24"/>
          <w:szCs w:val="24"/>
        </w:rPr>
        <w:t xml:space="preserve"> groups</w:t>
      </w:r>
      <w:r w:rsidRPr="73D80F66">
        <w:rPr>
          <w:sz w:val="24"/>
          <w:szCs w:val="24"/>
        </w:rPr>
        <w:t xml:space="preserve">. Twelve adverse events were </w:t>
      </w:r>
      <w:r w:rsidRPr="73D80F66">
        <w:rPr>
          <w:sz w:val="24"/>
          <w:szCs w:val="24"/>
        </w:rPr>
        <w:lastRenderedPageBreak/>
        <w:t>reported (8 in the active - and 4 in the placebo group) that were judged to be unrelated to trial procedures or treatment (Appendix S</w:t>
      </w:r>
      <w:r w:rsidR="007E1D50" w:rsidRPr="73D80F66">
        <w:rPr>
          <w:sz w:val="24"/>
          <w:szCs w:val="24"/>
        </w:rPr>
        <w:t>1</w:t>
      </w:r>
      <w:r w:rsidRPr="73D80F66">
        <w:rPr>
          <w:sz w:val="24"/>
          <w:szCs w:val="24"/>
        </w:rPr>
        <w:t xml:space="preserve">). </w:t>
      </w:r>
    </w:p>
    <w:p w14:paraId="06F1BB3D" w14:textId="77777777" w:rsidR="00E000CA" w:rsidRDefault="00E000CA" w:rsidP="73D80F66">
      <w:pPr>
        <w:spacing w:line="480" w:lineRule="auto"/>
        <w:jc w:val="both"/>
        <w:rPr>
          <w:sz w:val="24"/>
          <w:szCs w:val="24"/>
        </w:rPr>
      </w:pPr>
    </w:p>
    <w:p w14:paraId="44C92094" w14:textId="77777777" w:rsidR="001E2B40" w:rsidRPr="00234B2D" w:rsidRDefault="001E2B40" w:rsidP="001E2B40">
      <w:pPr>
        <w:autoSpaceDE w:val="0"/>
        <w:autoSpaceDN w:val="0"/>
        <w:adjustRightInd w:val="0"/>
        <w:spacing w:after="0" w:line="480" w:lineRule="auto"/>
        <w:jc w:val="both"/>
        <w:rPr>
          <w:rFonts w:ascii="Calibri" w:eastAsia="Calibri" w:hAnsi="Calibri" w:cs="Times New Roman"/>
          <w:sz w:val="24"/>
          <w:szCs w:val="24"/>
        </w:rPr>
      </w:pPr>
      <w:r w:rsidRPr="00234B2D">
        <w:rPr>
          <w:rFonts w:ascii="Calibri" w:eastAsia="Calibri" w:hAnsi="Calibri" w:cs="Times New Roman"/>
          <w:sz w:val="24"/>
          <w:szCs w:val="24"/>
        </w:rPr>
        <w:t>Table 1. Baseline demographic, anthropometric, clinical and biochemical characteristics of patients with type 2 diabetes allocated to antioxidant treatment and/or placebo.</w:t>
      </w:r>
    </w:p>
    <w:p w14:paraId="72F3B96F" w14:textId="77777777" w:rsidR="001E2B40" w:rsidRPr="00234B2D" w:rsidRDefault="001E2B40" w:rsidP="001E2B40">
      <w:pPr>
        <w:autoSpaceDE w:val="0"/>
        <w:autoSpaceDN w:val="0"/>
        <w:adjustRightInd w:val="0"/>
        <w:spacing w:after="0" w:line="480" w:lineRule="auto"/>
        <w:ind w:right="60"/>
        <w:rPr>
          <w:rFonts w:ascii="Calibri" w:eastAsia="Calibri" w:hAnsi="Calibri" w:cs="Times New Roman"/>
          <w:sz w:val="24"/>
          <w:szCs w:val="24"/>
        </w:rPr>
      </w:pPr>
      <w:r w:rsidRPr="48AF0A54">
        <w:rPr>
          <w:rFonts w:ascii="Calibri" w:eastAsia="Calibri" w:hAnsi="Calibri" w:cs="Times New Roman"/>
          <w:sz w:val="24"/>
          <w:szCs w:val="24"/>
        </w:rPr>
        <w:fldChar w:fldCharType="begin"/>
      </w:r>
      <w:r w:rsidRPr="00234B2D">
        <w:rPr>
          <w:rFonts w:ascii="Calibri" w:eastAsia="Calibri" w:hAnsi="Calibri" w:cs="Times New Roman"/>
          <w:sz w:val="24"/>
          <w:szCs w:val="24"/>
        </w:rPr>
        <w:instrText xml:space="preserve"> LINK Excel.Sheet.12 "F:\\demographics NEJM7.xlsx" Sheet1!R55C1:R82C5 \a \f 4 \h  \* MERGEFORMAT </w:instrText>
      </w:r>
      <w:r w:rsidRPr="48AF0A54">
        <w:rPr>
          <w:rFonts w:ascii="Calibri" w:eastAsia="Calibri" w:hAnsi="Calibri" w:cs="Times New Roman"/>
          <w:sz w:val="24"/>
          <w:szCs w:val="24"/>
        </w:rPr>
        <w:fldChar w:fldCharType="separate"/>
      </w:r>
    </w:p>
    <w:tbl>
      <w:tblPr>
        <w:tblStyle w:val="TableGrid"/>
        <w:tblW w:w="0" w:type="dxa"/>
        <w:jc w:val="center"/>
        <w:tblInd w:w="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628"/>
        <w:gridCol w:w="1628"/>
        <w:gridCol w:w="1628"/>
        <w:gridCol w:w="1628"/>
      </w:tblGrid>
      <w:tr w:rsidR="001E2B40" w:rsidRPr="00234B2D" w14:paraId="69053127" w14:textId="77777777" w:rsidTr="0062312D">
        <w:trPr>
          <w:trHeight w:val="20"/>
          <w:jc w:val="center"/>
        </w:trPr>
        <w:tc>
          <w:tcPr>
            <w:tcW w:w="2547" w:type="dxa"/>
            <w:tcBorders>
              <w:top w:val="single" w:sz="4" w:space="0" w:color="auto"/>
              <w:left w:val="nil"/>
              <w:bottom w:val="single" w:sz="12" w:space="0" w:color="auto"/>
              <w:right w:val="nil"/>
            </w:tcBorders>
          </w:tcPr>
          <w:p w14:paraId="0B1DD834" w14:textId="77777777" w:rsidR="001E2B40" w:rsidRPr="00234B2D" w:rsidRDefault="001E2B40" w:rsidP="0062312D">
            <w:pPr>
              <w:spacing w:line="480" w:lineRule="auto"/>
            </w:pPr>
          </w:p>
        </w:tc>
        <w:tc>
          <w:tcPr>
            <w:tcW w:w="1628" w:type="dxa"/>
            <w:tcBorders>
              <w:top w:val="single" w:sz="4" w:space="0" w:color="auto"/>
              <w:left w:val="nil"/>
              <w:bottom w:val="single" w:sz="12" w:space="0" w:color="auto"/>
              <w:right w:val="nil"/>
            </w:tcBorders>
          </w:tcPr>
          <w:p w14:paraId="12FC068E" w14:textId="77777777" w:rsidR="001E2B40" w:rsidRPr="00234B2D" w:rsidRDefault="001E2B40" w:rsidP="0062312D">
            <w:pPr>
              <w:spacing w:line="480" w:lineRule="auto"/>
              <w:ind w:right="-71"/>
              <w:jc w:val="center"/>
            </w:pPr>
            <w:r w:rsidRPr="00234B2D">
              <w:t>Double Placebos</w:t>
            </w:r>
          </w:p>
          <w:p w14:paraId="699429E2" w14:textId="77777777" w:rsidR="001E2B40" w:rsidRPr="00234B2D" w:rsidRDefault="001E2B40" w:rsidP="0062312D">
            <w:pPr>
              <w:spacing w:line="480" w:lineRule="auto"/>
              <w:ind w:right="-71"/>
              <w:jc w:val="center"/>
            </w:pPr>
          </w:p>
          <w:p w14:paraId="7417BB0F" w14:textId="77777777" w:rsidR="001E2B40" w:rsidRPr="00234B2D" w:rsidRDefault="001E2B40" w:rsidP="0062312D">
            <w:pPr>
              <w:spacing w:line="480" w:lineRule="auto"/>
              <w:ind w:right="-71"/>
              <w:jc w:val="center"/>
            </w:pPr>
          </w:p>
          <w:p w14:paraId="4D70273C" w14:textId="77777777" w:rsidR="001E2B40" w:rsidRPr="00234B2D" w:rsidRDefault="001E2B40" w:rsidP="0062312D">
            <w:pPr>
              <w:spacing w:line="480" w:lineRule="auto"/>
              <w:ind w:right="-71"/>
              <w:jc w:val="center"/>
            </w:pPr>
            <w:r w:rsidRPr="00234B2D">
              <w:t>(n = 44)</w:t>
            </w:r>
          </w:p>
        </w:tc>
        <w:tc>
          <w:tcPr>
            <w:tcW w:w="1628" w:type="dxa"/>
            <w:tcBorders>
              <w:top w:val="single" w:sz="4" w:space="0" w:color="auto"/>
              <w:left w:val="nil"/>
              <w:bottom w:val="single" w:sz="12" w:space="0" w:color="auto"/>
              <w:right w:val="nil"/>
            </w:tcBorders>
            <w:hideMark/>
          </w:tcPr>
          <w:p w14:paraId="629DFB24" w14:textId="77777777" w:rsidR="001E2B40" w:rsidRPr="00234B2D" w:rsidRDefault="001E2B40" w:rsidP="0062312D">
            <w:pPr>
              <w:spacing w:line="480" w:lineRule="auto"/>
              <w:ind w:right="-142"/>
              <w:jc w:val="center"/>
            </w:pPr>
            <w:r w:rsidRPr="00234B2D">
              <w:t>Active vitamin E &amp; placebo selenium</w:t>
            </w:r>
          </w:p>
          <w:p w14:paraId="61B885D1" w14:textId="77777777" w:rsidR="001E2B40" w:rsidRPr="00234B2D" w:rsidRDefault="001E2B40" w:rsidP="0062312D">
            <w:pPr>
              <w:spacing w:line="480" w:lineRule="auto"/>
              <w:ind w:right="-142"/>
              <w:jc w:val="center"/>
            </w:pPr>
            <w:r w:rsidRPr="00234B2D">
              <w:t>(n = 42)</w:t>
            </w:r>
          </w:p>
        </w:tc>
        <w:tc>
          <w:tcPr>
            <w:tcW w:w="1628" w:type="dxa"/>
            <w:tcBorders>
              <w:top w:val="single" w:sz="4" w:space="0" w:color="auto"/>
              <w:left w:val="nil"/>
              <w:bottom w:val="single" w:sz="12" w:space="0" w:color="auto"/>
              <w:right w:val="nil"/>
            </w:tcBorders>
            <w:hideMark/>
          </w:tcPr>
          <w:p w14:paraId="7EF298C9" w14:textId="77777777" w:rsidR="001E2B40" w:rsidRPr="00234B2D" w:rsidRDefault="001E2B40" w:rsidP="0062312D">
            <w:pPr>
              <w:spacing w:line="480" w:lineRule="auto"/>
              <w:ind w:right="-71"/>
              <w:jc w:val="center"/>
            </w:pPr>
            <w:r w:rsidRPr="00234B2D">
              <w:t>Active selenium &amp; placebo vitamin E</w:t>
            </w:r>
          </w:p>
          <w:p w14:paraId="3BDC4C82" w14:textId="77777777" w:rsidR="001E2B40" w:rsidRPr="00234B2D" w:rsidRDefault="001E2B40" w:rsidP="0062312D">
            <w:pPr>
              <w:spacing w:line="480" w:lineRule="auto"/>
              <w:jc w:val="center"/>
            </w:pPr>
            <w:r w:rsidRPr="00234B2D">
              <w:t>(n = 42)</w:t>
            </w:r>
          </w:p>
        </w:tc>
        <w:tc>
          <w:tcPr>
            <w:tcW w:w="1628" w:type="dxa"/>
            <w:tcBorders>
              <w:top w:val="single" w:sz="4" w:space="0" w:color="auto"/>
              <w:left w:val="nil"/>
              <w:bottom w:val="single" w:sz="12" w:space="0" w:color="auto"/>
              <w:right w:val="nil"/>
            </w:tcBorders>
          </w:tcPr>
          <w:p w14:paraId="0D6FE9E0" w14:textId="77777777" w:rsidR="001E2B40" w:rsidRPr="00234B2D" w:rsidRDefault="001E2B40" w:rsidP="0062312D">
            <w:pPr>
              <w:spacing w:line="480" w:lineRule="auto"/>
              <w:ind w:right="-142"/>
              <w:jc w:val="center"/>
            </w:pPr>
            <w:r w:rsidRPr="00234B2D">
              <w:t>Double Active</w:t>
            </w:r>
          </w:p>
          <w:p w14:paraId="196BF744" w14:textId="77777777" w:rsidR="001E2B40" w:rsidRPr="00234B2D" w:rsidRDefault="001E2B40" w:rsidP="0062312D">
            <w:pPr>
              <w:spacing w:line="480" w:lineRule="auto"/>
              <w:jc w:val="center"/>
            </w:pPr>
          </w:p>
          <w:p w14:paraId="5DF9AAB7" w14:textId="77777777" w:rsidR="001E2B40" w:rsidRPr="00234B2D" w:rsidRDefault="001E2B40" w:rsidP="0062312D">
            <w:pPr>
              <w:spacing w:line="480" w:lineRule="auto"/>
              <w:jc w:val="center"/>
            </w:pPr>
          </w:p>
          <w:p w14:paraId="4E172577" w14:textId="77777777" w:rsidR="001E2B40" w:rsidRPr="00234B2D" w:rsidRDefault="001E2B40" w:rsidP="0062312D">
            <w:pPr>
              <w:spacing w:line="480" w:lineRule="auto"/>
              <w:jc w:val="center"/>
            </w:pPr>
            <w:r w:rsidRPr="00234B2D">
              <w:t>(n = 42)</w:t>
            </w:r>
          </w:p>
        </w:tc>
      </w:tr>
      <w:tr w:rsidR="001E2B40" w:rsidRPr="00234B2D" w14:paraId="3736ED38" w14:textId="77777777" w:rsidTr="0062312D">
        <w:trPr>
          <w:trHeight w:val="20"/>
          <w:jc w:val="center"/>
        </w:trPr>
        <w:tc>
          <w:tcPr>
            <w:tcW w:w="2547" w:type="dxa"/>
            <w:tcBorders>
              <w:top w:val="single" w:sz="12" w:space="0" w:color="auto"/>
              <w:left w:val="nil"/>
              <w:bottom w:val="nil"/>
              <w:right w:val="nil"/>
            </w:tcBorders>
            <w:hideMark/>
          </w:tcPr>
          <w:p w14:paraId="073B86BA" w14:textId="77777777" w:rsidR="001E2B40" w:rsidRPr="00234B2D" w:rsidRDefault="001E2B40" w:rsidP="0062312D">
            <w:pPr>
              <w:spacing w:line="480" w:lineRule="auto"/>
              <w:ind w:right="-141"/>
            </w:pPr>
            <w:r w:rsidRPr="00234B2D">
              <w:t>Age (years)</w:t>
            </w:r>
          </w:p>
        </w:tc>
        <w:tc>
          <w:tcPr>
            <w:tcW w:w="1628" w:type="dxa"/>
            <w:tcBorders>
              <w:top w:val="single" w:sz="12" w:space="0" w:color="auto"/>
              <w:left w:val="nil"/>
              <w:bottom w:val="nil"/>
              <w:right w:val="nil"/>
            </w:tcBorders>
            <w:hideMark/>
          </w:tcPr>
          <w:p w14:paraId="11AC5415" w14:textId="77777777" w:rsidR="001E2B40" w:rsidRPr="00234B2D" w:rsidRDefault="001E2B40" w:rsidP="0062312D">
            <w:pPr>
              <w:spacing w:line="480" w:lineRule="auto"/>
              <w:ind w:right="-71"/>
              <w:jc w:val="center"/>
            </w:pPr>
            <w:r w:rsidRPr="00234B2D">
              <w:t>61.2 ± 7.3</w:t>
            </w:r>
          </w:p>
        </w:tc>
        <w:tc>
          <w:tcPr>
            <w:tcW w:w="1628" w:type="dxa"/>
            <w:tcBorders>
              <w:top w:val="single" w:sz="12" w:space="0" w:color="auto"/>
              <w:left w:val="nil"/>
              <w:bottom w:val="nil"/>
              <w:right w:val="nil"/>
            </w:tcBorders>
            <w:hideMark/>
          </w:tcPr>
          <w:p w14:paraId="1B225A2F" w14:textId="77777777" w:rsidR="001E2B40" w:rsidRPr="00234B2D" w:rsidRDefault="001E2B40" w:rsidP="0062312D">
            <w:pPr>
              <w:spacing w:line="480" w:lineRule="auto"/>
              <w:ind w:right="-142"/>
              <w:jc w:val="center"/>
            </w:pPr>
            <w:r w:rsidRPr="00234B2D">
              <w:t>60.6 ± 8.2</w:t>
            </w:r>
          </w:p>
        </w:tc>
        <w:tc>
          <w:tcPr>
            <w:tcW w:w="1628" w:type="dxa"/>
            <w:tcBorders>
              <w:top w:val="single" w:sz="12" w:space="0" w:color="auto"/>
              <w:left w:val="nil"/>
              <w:bottom w:val="nil"/>
              <w:right w:val="nil"/>
            </w:tcBorders>
            <w:hideMark/>
          </w:tcPr>
          <w:p w14:paraId="0FEA8B87" w14:textId="77777777" w:rsidR="001E2B40" w:rsidRPr="00234B2D" w:rsidRDefault="001E2B40" w:rsidP="0062312D">
            <w:pPr>
              <w:spacing w:line="480" w:lineRule="auto"/>
              <w:jc w:val="center"/>
            </w:pPr>
            <w:r w:rsidRPr="00234B2D">
              <w:t>61.9 ± 8.0</w:t>
            </w:r>
          </w:p>
        </w:tc>
        <w:tc>
          <w:tcPr>
            <w:tcW w:w="1628" w:type="dxa"/>
            <w:tcBorders>
              <w:top w:val="single" w:sz="12" w:space="0" w:color="auto"/>
              <w:left w:val="nil"/>
              <w:bottom w:val="nil"/>
              <w:right w:val="nil"/>
            </w:tcBorders>
            <w:hideMark/>
          </w:tcPr>
          <w:p w14:paraId="33F77457" w14:textId="77777777" w:rsidR="001E2B40" w:rsidRPr="00234B2D" w:rsidRDefault="001E2B40" w:rsidP="0062312D">
            <w:pPr>
              <w:spacing w:line="480" w:lineRule="auto"/>
              <w:jc w:val="center"/>
            </w:pPr>
            <w:r w:rsidRPr="00234B2D">
              <w:t>59.1 ± 7.3</w:t>
            </w:r>
          </w:p>
        </w:tc>
      </w:tr>
      <w:tr w:rsidR="001E2B40" w:rsidRPr="00234B2D" w14:paraId="361AAC52" w14:textId="77777777" w:rsidTr="0062312D">
        <w:trPr>
          <w:trHeight w:val="20"/>
          <w:jc w:val="center"/>
        </w:trPr>
        <w:tc>
          <w:tcPr>
            <w:tcW w:w="2547" w:type="dxa"/>
            <w:tcBorders>
              <w:top w:val="nil"/>
              <w:left w:val="nil"/>
              <w:bottom w:val="nil"/>
              <w:right w:val="nil"/>
            </w:tcBorders>
            <w:hideMark/>
          </w:tcPr>
          <w:p w14:paraId="51375F59" w14:textId="77777777" w:rsidR="001E2B40" w:rsidRPr="00234B2D" w:rsidRDefault="001E2B40" w:rsidP="0062312D">
            <w:pPr>
              <w:spacing w:line="480" w:lineRule="auto"/>
              <w:ind w:right="-141"/>
            </w:pPr>
            <w:r w:rsidRPr="00234B2D">
              <w:t>Gender: Male (%)</w:t>
            </w:r>
          </w:p>
        </w:tc>
        <w:tc>
          <w:tcPr>
            <w:tcW w:w="1628" w:type="dxa"/>
            <w:tcBorders>
              <w:top w:val="nil"/>
              <w:left w:val="nil"/>
              <w:bottom w:val="nil"/>
              <w:right w:val="nil"/>
            </w:tcBorders>
            <w:hideMark/>
          </w:tcPr>
          <w:p w14:paraId="5451C9A6" w14:textId="77777777" w:rsidR="001E2B40" w:rsidRPr="00234B2D" w:rsidRDefault="001E2B40" w:rsidP="0062312D">
            <w:pPr>
              <w:spacing w:line="480" w:lineRule="auto"/>
              <w:ind w:right="-71"/>
              <w:jc w:val="center"/>
            </w:pPr>
            <w:r w:rsidRPr="00234B2D">
              <w:t>48</w:t>
            </w:r>
          </w:p>
        </w:tc>
        <w:tc>
          <w:tcPr>
            <w:tcW w:w="1628" w:type="dxa"/>
            <w:tcBorders>
              <w:top w:val="nil"/>
              <w:left w:val="nil"/>
              <w:bottom w:val="nil"/>
              <w:right w:val="nil"/>
            </w:tcBorders>
            <w:hideMark/>
          </w:tcPr>
          <w:p w14:paraId="60B1C9DB" w14:textId="77777777" w:rsidR="001E2B40" w:rsidRPr="00234B2D" w:rsidRDefault="001E2B40" w:rsidP="0062312D">
            <w:pPr>
              <w:spacing w:line="480" w:lineRule="auto"/>
              <w:ind w:right="-142"/>
              <w:jc w:val="center"/>
            </w:pPr>
            <w:r w:rsidRPr="00234B2D">
              <w:t>41</w:t>
            </w:r>
          </w:p>
        </w:tc>
        <w:tc>
          <w:tcPr>
            <w:tcW w:w="1628" w:type="dxa"/>
            <w:tcBorders>
              <w:top w:val="nil"/>
              <w:left w:val="nil"/>
              <w:bottom w:val="nil"/>
              <w:right w:val="nil"/>
            </w:tcBorders>
            <w:hideMark/>
          </w:tcPr>
          <w:p w14:paraId="1F99CD9F" w14:textId="77777777" w:rsidR="001E2B40" w:rsidRPr="00234B2D" w:rsidRDefault="001E2B40" w:rsidP="0062312D">
            <w:pPr>
              <w:spacing w:line="480" w:lineRule="auto"/>
              <w:jc w:val="center"/>
            </w:pPr>
            <w:r w:rsidRPr="00234B2D">
              <w:t>49</w:t>
            </w:r>
          </w:p>
        </w:tc>
        <w:tc>
          <w:tcPr>
            <w:tcW w:w="1628" w:type="dxa"/>
            <w:tcBorders>
              <w:top w:val="nil"/>
              <w:left w:val="nil"/>
              <w:bottom w:val="nil"/>
              <w:right w:val="nil"/>
            </w:tcBorders>
            <w:hideMark/>
          </w:tcPr>
          <w:p w14:paraId="6A72184A" w14:textId="77777777" w:rsidR="001E2B40" w:rsidRPr="00234B2D" w:rsidRDefault="001E2B40" w:rsidP="0062312D">
            <w:pPr>
              <w:spacing w:line="480" w:lineRule="auto"/>
              <w:jc w:val="center"/>
            </w:pPr>
            <w:r w:rsidRPr="00234B2D">
              <w:t>64</w:t>
            </w:r>
          </w:p>
        </w:tc>
      </w:tr>
      <w:tr w:rsidR="001E2B40" w:rsidRPr="00234B2D" w14:paraId="4584D9BA" w14:textId="77777777" w:rsidTr="0062312D">
        <w:trPr>
          <w:trHeight w:val="20"/>
          <w:jc w:val="center"/>
        </w:trPr>
        <w:tc>
          <w:tcPr>
            <w:tcW w:w="2547" w:type="dxa"/>
            <w:tcBorders>
              <w:top w:val="nil"/>
              <w:left w:val="nil"/>
              <w:bottom w:val="nil"/>
              <w:right w:val="nil"/>
            </w:tcBorders>
            <w:hideMark/>
          </w:tcPr>
          <w:p w14:paraId="38518CAC" w14:textId="77777777" w:rsidR="001E2B40" w:rsidRPr="00234B2D" w:rsidRDefault="001E2B40" w:rsidP="0062312D">
            <w:pPr>
              <w:spacing w:line="480" w:lineRule="auto"/>
              <w:ind w:right="-141"/>
            </w:pPr>
            <w:r w:rsidRPr="00234B2D">
              <w:t>Ethnicity: Caucasian (%)</w:t>
            </w:r>
          </w:p>
        </w:tc>
        <w:tc>
          <w:tcPr>
            <w:tcW w:w="1628" w:type="dxa"/>
            <w:tcBorders>
              <w:top w:val="nil"/>
              <w:left w:val="nil"/>
              <w:bottom w:val="nil"/>
              <w:right w:val="nil"/>
            </w:tcBorders>
            <w:hideMark/>
          </w:tcPr>
          <w:p w14:paraId="2B8E75E2" w14:textId="77777777" w:rsidR="001E2B40" w:rsidRPr="00234B2D" w:rsidRDefault="001E2B40" w:rsidP="0062312D">
            <w:pPr>
              <w:spacing w:line="480" w:lineRule="auto"/>
              <w:ind w:right="-71"/>
              <w:jc w:val="center"/>
            </w:pPr>
            <w:r w:rsidRPr="00234B2D">
              <w:t>43</w:t>
            </w:r>
          </w:p>
        </w:tc>
        <w:tc>
          <w:tcPr>
            <w:tcW w:w="1628" w:type="dxa"/>
            <w:tcBorders>
              <w:top w:val="nil"/>
              <w:left w:val="nil"/>
              <w:bottom w:val="nil"/>
              <w:right w:val="nil"/>
            </w:tcBorders>
            <w:hideMark/>
          </w:tcPr>
          <w:p w14:paraId="134D18F3" w14:textId="77777777" w:rsidR="001E2B40" w:rsidRPr="00234B2D" w:rsidRDefault="001E2B40" w:rsidP="0062312D">
            <w:pPr>
              <w:spacing w:line="480" w:lineRule="auto"/>
              <w:ind w:right="-142"/>
              <w:jc w:val="center"/>
            </w:pPr>
            <w:r w:rsidRPr="00234B2D">
              <w:t>37</w:t>
            </w:r>
          </w:p>
        </w:tc>
        <w:tc>
          <w:tcPr>
            <w:tcW w:w="1628" w:type="dxa"/>
            <w:tcBorders>
              <w:top w:val="nil"/>
              <w:left w:val="nil"/>
              <w:bottom w:val="nil"/>
              <w:right w:val="nil"/>
            </w:tcBorders>
            <w:hideMark/>
          </w:tcPr>
          <w:p w14:paraId="0FC2DE73" w14:textId="77777777" w:rsidR="001E2B40" w:rsidRPr="00234B2D" w:rsidRDefault="001E2B40" w:rsidP="0062312D">
            <w:pPr>
              <w:spacing w:line="480" w:lineRule="auto"/>
              <w:jc w:val="center"/>
            </w:pPr>
            <w:r w:rsidRPr="00234B2D">
              <w:t>42</w:t>
            </w:r>
          </w:p>
        </w:tc>
        <w:tc>
          <w:tcPr>
            <w:tcW w:w="1628" w:type="dxa"/>
            <w:tcBorders>
              <w:top w:val="nil"/>
              <w:left w:val="nil"/>
              <w:bottom w:val="nil"/>
              <w:right w:val="nil"/>
            </w:tcBorders>
            <w:hideMark/>
          </w:tcPr>
          <w:p w14:paraId="41DC8FC9" w14:textId="77777777" w:rsidR="001E2B40" w:rsidRPr="00234B2D" w:rsidRDefault="001E2B40" w:rsidP="0062312D">
            <w:pPr>
              <w:spacing w:line="480" w:lineRule="auto"/>
              <w:jc w:val="center"/>
            </w:pPr>
            <w:r w:rsidRPr="00234B2D">
              <w:t>41</w:t>
            </w:r>
          </w:p>
        </w:tc>
      </w:tr>
      <w:tr w:rsidR="001E2B40" w:rsidRPr="00234B2D" w14:paraId="751F2B59" w14:textId="77777777" w:rsidTr="0062312D">
        <w:trPr>
          <w:trHeight w:val="20"/>
          <w:jc w:val="center"/>
        </w:trPr>
        <w:tc>
          <w:tcPr>
            <w:tcW w:w="2547" w:type="dxa"/>
            <w:tcBorders>
              <w:top w:val="nil"/>
              <w:left w:val="nil"/>
              <w:bottom w:val="nil"/>
              <w:right w:val="nil"/>
            </w:tcBorders>
            <w:hideMark/>
          </w:tcPr>
          <w:p w14:paraId="14A187E5" w14:textId="77777777" w:rsidR="001E2B40" w:rsidRPr="00234B2D" w:rsidRDefault="001E2B40" w:rsidP="0062312D">
            <w:pPr>
              <w:spacing w:line="480" w:lineRule="auto"/>
              <w:ind w:right="-141"/>
            </w:pPr>
            <w:r w:rsidRPr="00234B2D">
              <w:rPr>
                <w:rFonts w:eastAsia="Times New Roman"/>
                <w:color w:val="000000"/>
                <w:lang w:eastAsia="en-GB"/>
              </w:rPr>
              <w:t>Diabetes duration</w:t>
            </w:r>
            <w:r w:rsidRPr="00234B2D">
              <w:t xml:space="preserve"> (years)</w:t>
            </w:r>
          </w:p>
        </w:tc>
        <w:tc>
          <w:tcPr>
            <w:tcW w:w="1628" w:type="dxa"/>
            <w:tcBorders>
              <w:top w:val="nil"/>
              <w:left w:val="nil"/>
              <w:bottom w:val="nil"/>
              <w:right w:val="nil"/>
            </w:tcBorders>
            <w:hideMark/>
          </w:tcPr>
          <w:p w14:paraId="13E70F12" w14:textId="77777777" w:rsidR="001E2B40" w:rsidRPr="00234B2D" w:rsidRDefault="001E2B40" w:rsidP="0062312D">
            <w:pPr>
              <w:spacing w:line="480" w:lineRule="auto"/>
              <w:ind w:right="-71"/>
              <w:jc w:val="center"/>
            </w:pPr>
            <w:r w:rsidRPr="00234B2D">
              <w:t>8.0 [4.0-12.5]</w:t>
            </w:r>
          </w:p>
        </w:tc>
        <w:tc>
          <w:tcPr>
            <w:tcW w:w="1628" w:type="dxa"/>
            <w:tcBorders>
              <w:top w:val="nil"/>
              <w:left w:val="nil"/>
              <w:bottom w:val="nil"/>
              <w:right w:val="nil"/>
            </w:tcBorders>
            <w:hideMark/>
          </w:tcPr>
          <w:p w14:paraId="2239E5D4" w14:textId="77777777" w:rsidR="001E2B40" w:rsidRPr="00234B2D" w:rsidRDefault="001E2B40" w:rsidP="0062312D">
            <w:pPr>
              <w:spacing w:line="480" w:lineRule="auto"/>
              <w:ind w:right="-142"/>
              <w:jc w:val="center"/>
            </w:pPr>
            <w:r w:rsidRPr="00234B2D">
              <w:t>8.0 [5.3-14.8]</w:t>
            </w:r>
          </w:p>
        </w:tc>
        <w:tc>
          <w:tcPr>
            <w:tcW w:w="1628" w:type="dxa"/>
            <w:tcBorders>
              <w:top w:val="nil"/>
              <w:left w:val="nil"/>
              <w:bottom w:val="nil"/>
              <w:right w:val="nil"/>
            </w:tcBorders>
            <w:hideMark/>
          </w:tcPr>
          <w:p w14:paraId="2232CA03" w14:textId="77777777" w:rsidR="001E2B40" w:rsidRPr="00234B2D" w:rsidRDefault="001E2B40" w:rsidP="0062312D">
            <w:pPr>
              <w:spacing w:line="480" w:lineRule="auto"/>
              <w:jc w:val="center"/>
            </w:pPr>
            <w:r w:rsidRPr="00234B2D">
              <w:t>9.0 [4.0-17.5]</w:t>
            </w:r>
          </w:p>
        </w:tc>
        <w:tc>
          <w:tcPr>
            <w:tcW w:w="1628" w:type="dxa"/>
            <w:tcBorders>
              <w:top w:val="nil"/>
              <w:left w:val="nil"/>
              <w:bottom w:val="nil"/>
              <w:right w:val="nil"/>
            </w:tcBorders>
            <w:hideMark/>
          </w:tcPr>
          <w:p w14:paraId="117CA052" w14:textId="77777777" w:rsidR="001E2B40" w:rsidRPr="00234B2D" w:rsidRDefault="001E2B40" w:rsidP="0062312D">
            <w:pPr>
              <w:spacing w:line="480" w:lineRule="auto"/>
              <w:jc w:val="center"/>
            </w:pPr>
            <w:r w:rsidRPr="00234B2D">
              <w:t>9.0 [4.3-16.8]</w:t>
            </w:r>
          </w:p>
        </w:tc>
      </w:tr>
      <w:tr w:rsidR="001E2B40" w:rsidRPr="00234B2D" w14:paraId="3876EFAA" w14:textId="77777777" w:rsidTr="0062312D">
        <w:trPr>
          <w:trHeight w:val="20"/>
          <w:jc w:val="center"/>
        </w:trPr>
        <w:tc>
          <w:tcPr>
            <w:tcW w:w="2547" w:type="dxa"/>
            <w:tcBorders>
              <w:top w:val="nil"/>
              <w:left w:val="nil"/>
              <w:bottom w:val="nil"/>
              <w:right w:val="nil"/>
            </w:tcBorders>
            <w:hideMark/>
          </w:tcPr>
          <w:p w14:paraId="47CEF310" w14:textId="4FC86322" w:rsidR="001E2B40" w:rsidRPr="00234B2D" w:rsidRDefault="001E2B40" w:rsidP="0062312D">
            <w:pPr>
              <w:spacing w:line="480" w:lineRule="auto"/>
              <w:ind w:right="-141"/>
            </w:pPr>
            <w:r w:rsidRPr="00234B2D">
              <w:rPr>
                <w:rFonts w:eastAsia="Times New Roman"/>
                <w:color w:val="000000"/>
                <w:lang w:eastAsia="en-GB"/>
              </w:rPr>
              <w:t>Smoki</w:t>
            </w:r>
            <w:r w:rsidR="00AF1724">
              <w:rPr>
                <w:rFonts w:eastAsia="Times New Roman"/>
                <w:color w:val="000000"/>
                <w:lang w:eastAsia="en-GB"/>
              </w:rPr>
              <w:t xml:space="preserve">ng: Yes/No/Ex- </w:t>
            </w:r>
            <w:r w:rsidRPr="00234B2D">
              <w:rPr>
                <w:rFonts w:eastAsia="Times New Roman"/>
                <w:color w:val="000000"/>
                <w:lang w:eastAsia="en-GB"/>
              </w:rPr>
              <w:t>(%)</w:t>
            </w:r>
          </w:p>
        </w:tc>
        <w:tc>
          <w:tcPr>
            <w:tcW w:w="1628" w:type="dxa"/>
            <w:tcBorders>
              <w:top w:val="nil"/>
              <w:left w:val="nil"/>
              <w:bottom w:val="nil"/>
              <w:right w:val="nil"/>
            </w:tcBorders>
            <w:hideMark/>
          </w:tcPr>
          <w:p w14:paraId="694F7EDB" w14:textId="77777777" w:rsidR="001E2B40" w:rsidRPr="00234B2D" w:rsidRDefault="001E2B40" w:rsidP="0062312D">
            <w:pPr>
              <w:spacing w:line="480" w:lineRule="auto"/>
              <w:ind w:right="-71"/>
              <w:jc w:val="center"/>
            </w:pPr>
            <w:r w:rsidRPr="00234B2D">
              <w:t>9/62/29</w:t>
            </w:r>
          </w:p>
        </w:tc>
        <w:tc>
          <w:tcPr>
            <w:tcW w:w="1628" w:type="dxa"/>
            <w:tcBorders>
              <w:top w:val="nil"/>
              <w:left w:val="nil"/>
              <w:bottom w:val="nil"/>
              <w:right w:val="nil"/>
            </w:tcBorders>
            <w:hideMark/>
          </w:tcPr>
          <w:p w14:paraId="29C293CB" w14:textId="77777777" w:rsidR="001E2B40" w:rsidRPr="00234B2D" w:rsidRDefault="001E2B40" w:rsidP="0062312D">
            <w:pPr>
              <w:spacing w:line="480" w:lineRule="auto"/>
              <w:ind w:right="-142"/>
              <w:jc w:val="center"/>
            </w:pPr>
            <w:r w:rsidRPr="00234B2D">
              <w:t>8/59/33</w:t>
            </w:r>
          </w:p>
        </w:tc>
        <w:tc>
          <w:tcPr>
            <w:tcW w:w="1628" w:type="dxa"/>
            <w:tcBorders>
              <w:top w:val="nil"/>
              <w:left w:val="nil"/>
              <w:bottom w:val="nil"/>
              <w:right w:val="nil"/>
            </w:tcBorders>
            <w:hideMark/>
          </w:tcPr>
          <w:p w14:paraId="28AC8C5E" w14:textId="77777777" w:rsidR="001E2B40" w:rsidRPr="00234B2D" w:rsidRDefault="001E2B40" w:rsidP="0062312D">
            <w:pPr>
              <w:spacing w:line="480" w:lineRule="auto"/>
              <w:jc w:val="center"/>
            </w:pPr>
            <w:r w:rsidRPr="00234B2D">
              <w:t>5/59/36</w:t>
            </w:r>
          </w:p>
        </w:tc>
        <w:tc>
          <w:tcPr>
            <w:tcW w:w="1628" w:type="dxa"/>
            <w:tcBorders>
              <w:top w:val="nil"/>
              <w:left w:val="nil"/>
              <w:bottom w:val="nil"/>
              <w:right w:val="nil"/>
            </w:tcBorders>
            <w:hideMark/>
          </w:tcPr>
          <w:p w14:paraId="7E91BFC5" w14:textId="77777777" w:rsidR="001E2B40" w:rsidRPr="00234B2D" w:rsidRDefault="001E2B40" w:rsidP="0062312D">
            <w:pPr>
              <w:spacing w:line="480" w:lineRule="auto"/>
              <w:jc w:val="center"/>
            </w:pPr>
            <w:r w:rsidRPr="00234B2D">
              <w:t>12/55/33</w:t>
            </w:r>
          </w:p>
        </w:tc>
      </w:tr>
      <w:tr w:rsidR="001E2B40" w:rsidRPr="00234B2D" w14:paraId="3AC4249A" w14:textId="77777777" w:rsidTr="0062312D">
        <w:trPr>
          <w:trHeight w:val="20"/>
          <w:jc w:val="center"/>
        </w:trPr>
        <w:tc>
          <w:tcPr>
            <w:tcW w:w="2547" w:type="dxa"/>
            <w:tcBorders>
              <w:top w:val="nil"/>
              <w:left w:val="nil"/>
              <w:bottom w:val="nil"/>
              <w:right w:val="nil"/>
            </w:tcBorders>
            <w:hideMark/>
          </w:tcPr>
          <w:p w14:paraId="45D5136A" w14:textId="77777777" w:rsidR="001E2B40" w:rsidRPr="00234B2D" w:rsidRDefault="001E2B40" w:rsidP="0062312D">
            <w:pPr>
              <w:spacing w:line="480" w:lineRule="auto"/>
              <w:ind w:right="-141"/>
            </w:pPr>
            <w:r w:rsidRPr="00234B2D">
              <w:t>Retinopathy (</w:t>
            </w:r>
            <w:proofErr w:type="gramStart"/>
            <w:r w:rsidRPr="00234B2D">
              <w:t>%)†</w:t>
            </w:r>
            <w:proofErr w:type="gramEnd"/>
          </w:p>
        </w:tc>
        <w:tc>
          <w:tcPr>
            <w:tcW w:w="1628" w:type="dxa"/>
            <w:tcBorders>
              <w:top w:val="nil"/>
              <w:left w:val="nil"/>
              <w:bottom w:val="nil"/>
              <w:right w:val="nil"/>
            </w:tcBorders>
            <w:hideMark/>
          </w:tcPr>
          <w:p w14:paraId="1A56AE5D" w14:textId="77777777" w:rsidR="001E2B40" w:rsidRPr="00234B2D" w:rsidRDefault="001E2B40" w:rsidP="0062312D">
            <w:pPr>
              <w:spacing w:line="480" w:lineRule="auto"/>
              <w:ind w:right="-71"/>
              <w:jc w:val="center"/>
            </w:pPr>
            <w:r w:rsidRPr="00234B2D">
              <w:t>53.6</w:t>
            </w:r>
          </w:p>
        </w:tc>
        <w:tc>
          <w:tcPr>
            <w:tcW w:w="1628" w:type="dxa"/>
            <w:tcBorders>
              <w:top w:val="nil"/>
              <w:left w:val="nil"/>
              <w:bottom w:val="nil"/>
              <w:right w:val="nil"/>
            </w:tcBorders>
            <w:hideMark/>
          </w:tcPr>
          <w:p w14:paraId="0A6BEBFF" w14:textId="77777777" w:rsidR="001E2B40" w:rsidRPr="00234B2D" w:rsidRDefault="001E2B40" w:rsidP="0062312D">
            <w:pPr>
              <w:spacing w:line="480" w:lineRule="auto"/>
              <w:ind w:right="-142"/>
              <w:jc w:val="center"/>
            </w:pPr>
            <w:r w:rsidRPr="00234B2D">
              <w:t>32.4</w:t>
            </w:r>
          </w:p>
        </w:tc>
        <w:tc>
          <w:tcPr>
            <w:tcW w:w="1628" w:type="dxa"/>
            <w:tcBorders>
              <w:top w:val="nil"/>
              <w:left w:val="nil"/>
              <w:bottom w:val="nil"/>
              <w:right w:val="nil"/>
            </w:tcBorders>
            <w:hideMark/>
          </w:tcPr>
          <w:p w14:paraId="694950AE" w14:textId="77777777" w:rsidR="001E2B40" w:rsidRPr="00234B2D" w:rsidRDefault="001E2B40" w:rsidP="0062312D">
            <w:pPr>
              <w:spacing w:line="480" w:lineRule="auto"/>
              <w:jc w:val="center"/>
            </w:pPr>
            <w:r w:rsidRPr="00234B2D">
              <w:t>35.1</w:t>
            </w:r>
          </w:p>
        </w:tc>
        <w:tc>
          <w:tcPr>
            <w:tcW w:w="1628" w:type="dxa"/>
            <w:tcBorders>
              <w:top w:val="nil"/>
              <w:left w:val="nil"/>
              <w:bottom w:val="nil"/>
              <w:right w:val="nil"/>
            </w:tcBorders>
            <w:hideMark/>
          </w:tcPr>
          <w:p w14:paraId="3CA90225" w14:textId="77777777" w:rsidR="001E2B40" w:rsidRPr="00234B2D" w:rsidRDefault="001E2B40" w:rsidP="0062312D">
            <w:pPr>
              <w:spacing w:line="480" w:lineRule="auto"/>
              <w:jc w:val="center"/>
            </w:pPr>
            <w:r w:rsidRPr="00234B2D">
              <w:t>48.6</w:t>
            </w:r>
          </w:p>
        </w:tc>
      </w:tr>
      <w:tr w:rsidR="001E2B40" w:rsidRPr="00234B2D" w14:paraId="058DE13F" w14:textId="77777777" w:rsidTr="0062312D">
        <w:trPr>
          <w:trHeight w:val="20"/>
          <w:jc w:val="center"/>
        </w:trPr>
        <w:tc>
          <w:tcPr>
            <w:tcW w:w="2547" w:type="dxa"/>
            <w:tcBorders>
              <w:top w:val="nil"/>
              <w:left w:val="nil"/>
              <w:bottom w:val="nil"/>
              <w:right w:val="nil"/>
            </w:tcBorders>
            <w:hideMark/>
          </w:tcPr>
          <w:p w14:paraId="11BCF5A6" w14:textId="77777777" w:rsidR="001E2B40" w:rsidRPr="00234B2D" w:rsidRDefault="001E2B40" w:rsidP="0062312D">
            <w:pPr>
              <w:spacing w:line="480" w:lineRule="auto"/>
              <w:ind w:right="-141"/>
            </w:pPr>
            <w:r w:rsidRPr="00234B2D">
              <w:t>Insulin (%)</w:t>
            </w:r>
          </w:p>
        </w:tc>
        <w:tc>
          <w:tcPr>
            <w:tcW w:w="1628" w:type="dxa"/>
            <w:tcBorders>
              <w:top w:val="nil"/>
              <w:left w:val="nil"/>
              <w:bottom w:val="nil"/>
              <w:right w:val="nil"/>
            </w:tcBorders>
            <w:hideMark/>
          </w:tcPr>
          <w:p w14:paraId="1928A2A5" w14:textId="77777777" w:rsidR="001E2B40" w:rsidRPr="00234B2D" w:rsidRDefault="001E2B40" w:rsidP="0062312D">
            <w:pPr>
              <w:spacing w:line="480" w:lineRule="auto"/>
              <w:ind w:right="-71"/>
              <w:jc w:val="center"/>
            </w:pPr>
            <w:r w:rsidRPr="00234B2D">
              <w:t>31.8</w:t>
            </w:r>
          </w:p>
        </w:tc>
        <w:tc>
          <w:tcPr>
            <w:tcW w:w="1628" w:type="dxa"/>
            <w:tcBorders>
              <w:top w:val="nil"/>
              <w:left w:val="nil"/>
              <w:bottom w:val="nil"/>
              <w:right w:val="nil"/>
            </w:tcBorders>
            <w:hideMark/>
          </w:tcPr>
          <w:p w14:paraId="46F45667" w14:textId="77777777" w:rsidR="001E2B40" w:rsidRPr="00234B2D" w:rsidRDefault="001E2B40" w:rsidP="0062312D">
            <w:pPr>
              <w:spacing w:line="480" w:lineRule="auto"/>
              <w:ind w:right="-142"/>
              <w:jc w:val="center"/>
            </w:pPr>
            <w:r w:rsidRPr="00234B2D">
              <w:t>17.1</w:t>
            </w:r>
          </w:p>
        </w:tc>
        <w:tc>
          <w:tcPr>
            <w:tcW w:w="1628" w:type="dxa"/>
            <w:tcBorders>
              <w:top w:val="nil"/>
              <w:left w:val="nil"/>
              <w:bottom w:val="nil"/>
              <w:right w:val="nil"/>
            </w:tcBorders>
            <w:hideMark/>
          </w:tcPr>
          <w:p w14:paraId="26A38BAE" w14:textId="77777777" w:rsidR="001E2B40" w:rsidRPr="00234B2D" w:rsidRDefault="001E2B40" w:rsidP="0062312D">
            <w:pPr>
              <w:spacing w:line="480" w:lineRule="auto"/>
              <w:jc w:val="center"/>
            </w:pPr>
            <w:r w:rsidRPr="00234B2D">
              <w:t>30.2</w:t>
            </w:r>
          </w:p>
        </w:tc>
        <w:tc>
          <w:tcPr>
            <w:tcW w:w="1628" w:type="dxa"/>
            <w:tcBorders>
              <w:top w:val="nil"/>
              <w:left w:val="nil"/>
              <w:bottom w:val="nil"/>
              <w:right w:val="nil"/>
            </w:tcBorders>
            <w:hideMark/>
          </w:tcPr>
          <w:p w14:paraId="6B325904" w14:textId="77777777" w:rsidR="001E2B40" w:rsidRPr="00234B2D" w:rsidRDefault="001E2B40" w:rsidP="0062312D">
            <w:pPr>
              <w:spacing w:line="480" w:lineRule="auto"/>
              <w:jc w:val="center"/>
            </w:pPr>
            <w:r w:rsidRPr="00234B2D">
              <w:t>14.3</w:t>
            </w:r>
          </w:p>
        </w:tc>
      </w:tr>
      <w:tr w:rsidR="001E2B40" w:rsidRPr="00234B2D" w14:paraId="565D7B01" w14:textId="77777777" w:rsidTr="0062312D">
        <w:trPr>
          <w:trHeight w:val="20"/>
          <w:jc w:val="center"/>
        </w:trPr>
        <w:tc>
          <w:tcPr>
            <w:tcW w:w="2547" w:type="dxa"/>
            <w:tcBorders>
              <w:top w:val="nil"/>
              <w:left w:val="nil"/>
              <w:bottom w:val="nil"/>
              <w:right w:val="nil"/>
            </w:tcBorders>
            <w:hideMark/>
          </w:tcPr>
          <w:p w14:paraId="2F06EBDB" w14:textId="77777777" w:rsidR="001E2B40" w:rsidRPr="00234B2D" w:rsidRDefault="001E2B40" w:rsidP="0062312D">
            <w:pPr>
              <w:spacing w:line="480" w:lineRule="auto"/>
              <w:ind w:right="-141"/>
            </w:pPr>
            <w:r w:rsidRPr="00234B2D">
              <w:t xml:space="preserve"> </w:t>
            </w:r>
            <w:proofErr w:type="spellStart"/>
            <w:r w:rsidRPr="00234B2D">
              <w:t>Sulphonylurea</w:t>
            </w:r>
            <w:proofErr w:type="spellEnd"/>
            <w:r w:rsidRPr="00234B2D">
              <w:t xml:space="preserve"> (</w:t>
            </w:r>
            <w:proofErr w:type="gramStart"/>
            <w:r w:rsidRPr="00234B2D">
              <w:t>%)§</w:t>
            </w:r>
            <w:proofErr w:type="gramEnd"/>
          </w:p>
        </w:tc>
        <w:tc>
          <w:tcPr>
            <w:tcW w:w="1628" w:type="dxa"/>
            <w:tcBorders>
              <w:top w:val="nil"/>
              <w:left w:val="nil"/>
              <w:bottom w:val="nil"/>
              <w:right w:val="nil"/>
            </w:tcBorders>
            <w:hideMark/>
          </w:tcPr>
          <w:p w14:paraId="3792EC5A" w14:textId="77777777" w:rsidR="001E2B40" w:rsidRPr="00234B2D" w:rsidRDefault="001E2B40" w:rsidP="0062312D">
            <w:pPr>
              <w:spacing w:line="480" w:lineRule="auto"/>
              <w:ind w:right="-71"/>
              <w:jc w:val="center"/>
            </w:pPr>
            <w:r w:rsidRPr="00234B2D">
              <w:t>15.9</w:t>
            </w:r>
          </w:p>
        </w:tc>
        <w:tc>
          <w:tcPr>
            <w:tcW w:w="1628" w:type="dxa"/>
            <w:tcBorders>
              <w:top w:val="nil"/>
              <w:left w:val="nil"/>
              <w:bottom w:val="nil"/>
              <w:right w:val="nil"/>
            </w:tcBorders>
            <w:hideMark/>
          </w:tcPr>
          <w:p w14:paraId="1A821097" w14:textId="77777777" w:rsidR="001E2B40" w:rsidRPr="00234B2D" w:rsidRDefault="001E2B40" w:rsidP="0062312D">
            <w:pPr>
              <w:spacing w:line="480" w:lineRule="auto"/>
              <w:ind w:right="-142"/>
              <w:jc w:val="center"/>
            </w:pPr>
            <w:r w:rsidRPr="00234B2D">
              <w:t>26.8</w:t>
            </w:r>
          </w:p>
        </w:tc>
        <w:tc>
          <w:tcPr>
            <w:tcW w:w="1628" w:type="dxa"/>
            <w:tcBorders>
              <w:top w:val="nil"/>
              <w:left w:val="nil"/>
              <w:bottom w:val="nil"/>
              <w:right w:val="nil"/>
            </w:tcBorders>
            <w:hideMark/>
          </w:tcPr>
          <w:p w14:paraId="0AC326CF" w14:textId="77777777" w:rsidR="001E2B40" w:rsidRPr="00234B2D" w:rsidRDefault="001E2B40" w:rsidP="0062312D">
            <w:pPr>
              <w:spacing w:line="480" w:lineRule="auto"/>
              <w:jc w:val="center"/>
            </w:pPr>
            <w:r w:rsidRPr="00234B2D">
              <w:t>4.7</w:t>
            </w:r>
          </w:p>
        </w:tc>
        <w:tc>
          <w:tcPr>
            <w:tcW w:w="1628" w:type="dxa"/>
            <w:tcBorders>
              <w:top w:val="nil"/>
              <w:left w:val="nil"/>
              <w:bottom w:val="nil"/>
              <w:right w:val="nil"/>
            </w:tcBorders>
            <w:hideMark/>
          </w:tcPr>
          <w:p w14:paraId="7BB47E48" w14:textId="77777777" w:rsidR="001E2B40" w:rsidRPr="00234B2D" w:rsidRDefault="001E2B40" w:rsidP="0062312D">
            <w:pPr>
              <w:spacing w:line="480" w:lineRule="auto"/>
              <w:jc w:val="center"/>
            </w:pPr>
            <w:r w:rsidRPr="00234B2D">
              <w:t>28.6</w:t>
            </w:r>
          </w:p>
        </w:tc>
      </w:tr>
      <w:tr w:rsidR="001E2B40" w:rsidRPr="00234B2D" w14:paraId="6905E4E9" w14:textId="77777777" w:rsidTr="0062312D">
        <w:trPr>
          <w:trHeight w:val="20"/>
          <w:jc w:val="center"/>
        </w:trPr>
        <w:tc>
          <w:tcPr>
            <w:tcW w:w="2547" w:type="dxa"/>
            <w:tcBorders>
              <w:top w:val="nil"/>
              <w:left w:val="nil"/>
              <w:bottom w:val="nil"/>
              <w:right w:val="nil"/>
            </w:tcBorders>
            <w:hideMark/>
          </w:tcPr>
          <w:p w14:paraId="5B44B01A" w14:textId="77777777" w:rsidR="001E2B40" w:rsidRPr="00234B2D" w:rsidRDefault="001E2B40" w:rsidP="0062312D">
            <w:pPr>
              <w:spacing w:line="480" w:lineRule="auto"/>
              <w:ind w:right="-141"/>
            </w:pPr>
            <w:r w:rsidRPr="00234B2D">
              <w:t xml:space="preserve"> Antihypertensive (%)</w:t>
            </w:r>
          </w:p>
        </w:tc>
        <w:tc>
          <w:tcPr>
            <w:tcW w:w="1628" w:type="dxa"/>
            <w:tcBorders>
              <w:top w:val="nil"/>
              <w:left w:val="nil"/>
              <w:bottom w:val="nil"/>
              <w:right w:val="nil"/>
            </w:tcBorders>
            <w:hideMark/>
          </w:tcPr>
          <w:p w14:paraId="7524AE02" w14:textId="77777777" w:rsidR="001E2B40" w:rsidRPr="00234B2D" w:rsidRDefault="001E2B40" w:rsidP="0062312D">
            <w:pPr>
              <w:spacing w:line="480" w:lineRule="auto"/>
              <w:ind w:right="-71"/>
              <w:jc w:val="center"/>
            </w:pPr>
            <w:r w:rsidRPr="00234B2D">
              <w:t>75.0</w:t>
            </w:r>
          </w:p>
        </w:tc>
        <w:tc>
          <w:tcPr>
            <w:tcW w:w="1628" w:type="dxa"/>
            <w:tcBorders>
              <w:top w:val="nil"/>
              <w:left w:val="nil"/>
              <w:bottom w:val="nil"/>
              <w:right w:val="nil"/>
            </w:tcBorders>
            <w:hideMark/>
          </w:tcPr>
          <w:p w14:paraId="1B347764" w14:textId="77777777" w:rsidR="001E2B40" w:rsidRPr="00234B2D" w:rsidRDefault="001E2B40" w:rsidP="0062312D">
            <w:pPr>
              <w:spacing w:line="480" w:lineRule="auto"/>
              <w:ind w:right="-142"/>
              <w:jc w:val="center"/>
            </w:pPr>
            <w:r w:rsidRPr="00234B2D">
              <w:t>68.3</w:t>
            </w:r>
          </w:p>
        </w:tc>
        <w:tc>
          <w:tcPr>
            <w:tcW w:w="1628" w:type="dxa"/>
            <w:tcBorders>
              <w:top w:val="nil"/>
              <w:left w:val="nil"/>
              <w:bottom w:val="nil"/>
              <w:right w:val="nil"/>
            </w:tcBorders>
            <w:hideMark/>
          </w:tcPr>
          <w:p w14:paraId="46D50A20" w14:textId="77777777" w:rsidR="001E2B40" w:rsidRPr="00234B2D" w:rsidRDefault="001E2B40" w:rsidP="0062312D">
            <w:pPr>
              <w:spacing w:line="480" w:lineRule="auto"/>
              <w:jc w:val="center"/>
            </w:pPr>
            <w:r w:rsidRPr="00234B2D">
              <w:t>76.2</w:t>
            </w:r>
          </w:p>
        </w:tc>
        <w:tc>
          <w:tcPr>
            <w:tcW w:w="1628" w:type="dxa"/>
            <w:tcBorders>
              <w:top w:val="nil"/>
              <w:left w:val="nil"/>
              <w:bottom w:val="nil"/>
              <w:right w:val="nil"/>
            </w:tcBorders>
            <w:hideMark/>
          </w:tcPr>
          <w:p w14:paraId="75F23C72" w14:textId="77777777" w:rsidR="001E2B40" w:rsidRPr="00234B2D" w:rsidRDefault="001E2B40" w:rsidP="0062312D">
            <w:pPr>
              <w:spacing w:line="480" w:lineRule="auto"/>
              <w:jc w:val="center"/>
            </w:pPr>
            <w:r w:rsidRPr="00234B2D">
              <w:t>76.2</w:t>
            </w:r>
          </w:p>
        </w:tc>
      </w:tr>
      <w:tr w:rsidR="001E2B40" w:rsidRPr="00234B2D" w14:paraId="473632AD" w14:textId="77777777" w:rsidTr="0062312D">
        <w:trPr>
          <w:trHeight w:val="20"/>
          <w:jc w:val="center"/>
        </w:trPr>
        <w:tc>
          <w:tcPr>
            <w:tcW w:w="2547" w:type="dxa"/>
            <w:tcBorders>
              <w:top w:val="nil"/>
              <w:left w:val="nil"/>
              <w:bottom w:val="nil"/>
              <w:right w:val="nil"/>
            </w:tcBorders>
            <w:hideMark/>
          </w:tcPr>
          <w:p w14:paraId="222BB675" w14:textId="77777777" w:rsidR="001E2B40" w:rsidRPr="00234B2D" w:rsidRDefault="001E2B40" w:rsidP="0062312D">
            <w:pPr>
              <w:spacing w:line="480" w:lineRule="auto"/>
              <w:ind w:right="-141"/>
            </w:pPr>
            <w:r w:rsidRPr="00234B2D">
              <w:t>Lipid lowering - statin (%)</w:t>
            </w:r>
          </w:p>
        </w:tc>
        <w:tc>
          <w:tcPr>
            <w:tcW w:w="1628" w:type="dxa"/>
            <w:tcBorders>
              <w:top w:val="nil"/>
              <w:left w:val="nil"/>
              <w:bottom w:val="nil"/>
              <w:right w:val="nil"/>
            </w:tcBorders>
            <w:hideMark/>
          </w:tcPr>
          <w:p w14:paraId="02036AFE" w14:textId="77777777" w:rsidR="001E2B40" w:rsidRPr="00234B2D" w:rsidRDefault="001E2B40" w:rsidP="0062312D">
            <w:pPr>
              <w:spacing w:line="480" w:lineRule="auto"/>
              <w:ind w:right="-71"/>
              <w:jc w:val="center"/>
            </w:pPr>
            <w:r w:rsidRPr="00234B2D">
              <w:t>75.0</w:t>
            </w:r>
          </w:p>
        </w:tc>
        <w:tc>
          <w:tcPr>
            <w:tcW w:w="1628" w:type="dxa"/>
            <w:tcBorders>
              <w:top w:val="nil"/>
              <w:left w:val="nil"/>
              <w:bottom w:val="nil"/>
              <w:right w:val="nil"/>
            </w:tcBorders>
            <w:hideMark/>
          </w:tcPr>
          <w:p w14:paraId="582C467F" w14:textId="77777777" w:rsidR="001E2B40" w:rsidRPr="00234B2D" w:rsidRDefault="001E2B40" w:rsidP="0062312D">
            <w:pPr>
              <w:spacing w:line="480" w:lineRule="auto"/>
              <w:ind w:right="-142"/>
              <w:jc w:val="center"/>
            </w:pPr>
            <w:r w:rsidRPr="00234B2D">
              <w:t>73.2</w:t>
            </w:r>
          </w:p>
        </w:tc>
        <w:tc>
          <w:tcPr>
            <w:tcW w:w="1628" w:type="dxa"/>
            <w:tcBorders>
              <w:top w:val="nil"/>
              <w:left w:val="nil"/>
              <w:bottom w:val="nil"/>
              <w:right w:val="nil"/>
            </w:tcBorders>
            <w:hideMark/>
          </w:tcPr>
          <w:p w14:paraId="35996722" w14:textId="77777777" w:rsidR="001E2B40" w:rsidRPr="00234B2D" w:rsidRDefault="001E2B40" w:rsidP="0062312D">
            <w:pPr>
              <w:spacing w:line="480" w:lineRule="auto"/>
              <w:jc w:val="center"/>
            </w:pPr>
            <w:r w:rsidRPr="00234B2D">
              <w:t>69.8</w:t>
            </w:r>
          </w:p>
        </w:tc>
        <w:tc>
          <w:tcPr>
            <w:tcW w:w="1628" w:type="dxa"/>
            <w:tcBorders>
              <w:top w:val="nil"/>
              <w:left w:val="nil"/>
              <w:bottom w:val="nil"/>
              <w:right w:val="nil"/>
            </w:tcBorders>
            <w:hideMark/>
          </w:tcPr>
          <w:p w14:paraId="59164A88" w14:textId="77777777" w:rsidR="001E2B40" w:rsidRPr="00234B2D" w:rsidRDefault="001E2B40" w:rsidP="0062312D">
            <w:pPr>
              <w:spacing w:line="480" w:lineRule="auto"/>
              <w:jc w:val="center"/>
            </w:pPr>
            <w:r w:rsidRPr="00234B2D">
              <w:t>76.2</w:t>
            </w:r>
          </w:p>
        </w:tc>
      </w:tr>
      <w:tr w:rsidR="001E2B40" w:rsidRPr="00234B2D" w14:paraId="5B55935A" w14:textId="77777777" w:rsidTr="0062312D">
        <w:trPr>
          <w:trHeight w:val="20"/>
          <w:jc w:val="center"/>
        </w:trPr>
        <w:tc>
          <w:tcPr>
            <w:tcW w:w="2547" w:type="dxa"/>
            <w:tcBorders>
              <w:top w:val="nil"/>
              <w:left w:val="nil"/>
              <w:bottom w:val="nil"/>
              <w:right w:val="nil"/>
            </w:tcBorders>
            <w:hideMark/>
          </w:tcPr>
          <w:p w14:paraId="0542E693" w14:textId="77777777" w:rsidR="001E2B40" w:rsidRPr="00234B2D" w:rsidRDefault="001E2B40" w:rsidP="0062312D">
            <w:pPr>
              <w:spacing w:line="480" w:lineRule="auto"/>
              <w:ind w:right="-141"/>
            </w:pPr>
            <w:r w:rsidRPr="00234B2D">
              <w:t>Body mass index (Kg/m</w:t>
            </w:r>
            <w:r w:rsidRPr="00234B2D">
              <w:rPr>
                <w:vertAlign w:val="superscript"/>
              </w:rPr>
              <w:t>2</w:t>
            </w:r>
            <w:r w:rsidRPr="00234B2D">
              <w:t>)</w:t>
            </w:r>
          </w:p>
        </w:tc>
        <w:tc>
          <w:tcPr>
            <w:tcW w:w="1628" w:type="dxa"/>
            <w:tcBorders>
              <w:top w:val="nil"/>
              <w:left w:val="nil"/>
              <w:bottom w:val="nil"/>
              <w:right w:val="nil"/>
            </w:tcBorders>
            <w:hideMark/>
          </w:tcPr>
          <w:p w14:paraId="72945311" w14:textId="77777777" w:rsidR="001E2B40" w:rsidRPr="00234B2D" w:rsidRDefault="001E2B40" w:rsidP="0062312D">
            <w:pPr>
              <w:spacing w:line="480" w:lineRule="auto"/>
              <w:ind w:right="-71"/>
              <w:jc w:val="center"/>
            </w:pPr>
            <w:r w:rsidRPr="00234B2D">
              <w:t>31.1 ± 5.5</w:t>
            </w:r>
          </w:p>
        </w:tc>
        <w:tc>
          <w:tcPr>
            <w:tcW w:w="1628" w:type="dxa"/>
            <w:tcBorders>
              <w:top w:val="nil"/>
              <w:left w:val="nil"/>
              <w:bottom w:val="nil"/>
              <w:right w:val="nil"/>
            </w:tcBorders>
            <w:hideMark/>
          </w:tcPr>
          <w:p w14:paraId="3F439FD2" w14:textId="77777777" w:rsidR="001E2B40" w:rsidRPr="00234B2D" w:rsidRDefault="001E2B40" w:rsidP="0062312D">
            <w:pPr>
              <w:spacing w:line="480" w:lineRule="auto"/>
              <w:ind w:right="-142"/>
              <w:jc w:val="center"/>
            </w:pPr>
            <w:r w:rsidRPr="00234B2D">
              <w:t>30.54 ± 7.8</w:t>
            </w:r>
          </w:p>
        </w:tc>
        <w:tc>
          <w:tcPr>
            <w:tcW w:w="1628" w:type="dxa"/>
            <w:tcBorders>
              <w:top w:val="nil"/>
              <w:left w:val="nil"/>
              <w:bottom w:val="nil"/>
              <w:right w:val="nil"/>
            </w:tcBorders>
            <w:hideMark/>
          </w:tcPr>
          <w:p w14:paraId="205723D1" w14:textId="77777777" w:rsidR="001E2B40" w:rsidRPr="00234B2D" w:rsidRDefault="001E2B40" w:rsidP="0062312D">
            <w:pPr>
              <w:spacing w:line="480" w:lineRule="auto"/>
              <w:jc w:val="center"/>
            </w:pPr>
            <w:r w:rsidRPr="00234B2D">
              <w:t>30.28 ± 5.2</w:t>
            </w:r>
          </w:p>
        </w:tc>
        <w:tc>
          <w:tcPr>
            <w:tcW w:w="1628" w:type="dxa"/>
            <w:tcBorders>
              <w:top w:val="nil"/>
              <w:left w:val="nil"/>
              <w:bottom w:val="nil"/>
              <w:right w:val="nil"/>
            </w:tcBorders>
            <w:hideMark/>
          </w:tcPr>
          <w:p w14:paraId="4A05CB50" w14:textId="77777777" w:rsidR="001E2B40" w:rsidRPr="00234B2D" w:rsidRDefault="001E2B40" w:rsidP="0062312D">
            <w:pPr>
              <w:spacing w:line="480" w:lineRule="auto"/>
              <w:jc w:val="center"/>
            </w:pPr>
            <w:r w:rsidRPr="00234B2D">
              <w:t>29.81 ± 5.3</w:t>
            </w:r>
          </w:p>
        </w:tc>
      </w:tr>
      <w:tr w:rsidR="001E2B40" w:rsidRPr="00234B2D" w14:paraId="2ED17085" w14:textId="77777777" w:rsidTr="0062312D">
        <w:trPr>
          <w:trHeight w:val="20"/>
          <w:jc w:val="center"/>
        </w:trPr>
        <w:tc>
          <w:tcPr>
            <w:tcW w:w="2547" w:type="dxa"/>
            <w:tcBorders>
              <w:top w:val="nil"/>
              <w:left w:val="nil"/>
              <w:bottom w:val="nil"/>
              <w:right w:val="nil"/>
            </w:tcBorders>
            <w:hideMark/>
          </w:tcPr>
          <w:p w14:paraId="7D02D4FC" w14:textId="77777777" w:rsidR="001E2B40" w:rsidRPr="00234B2D" w:rsidRDefault="001E2B40" w:rsidP="0062312D">
            <w:pPr>
              <w:spacing w:line="480" w:lineRule="auto"/>
              <w:ind w:right="-141"/>
            </w:pPr>
            <w:r w:rsidRPr="00234B2D">
              <w:t>Waist circumference (Cm)</w:t>
            </w:r>
          </w:p>
        </w:tc>
        <w:tc>
          <w:tcPr>
            <w:tcW w:w="1628" w:type="dxa"/>
            <w:tcBorders>
              <w:top w:val="nil"/>
              <w:left w:val="nil"/>
              <w:bottom w:val="nil"/>
              <w:right w:val="nil"/>
            </w:tcBorders>
            <w:hideMark/>
          </w:tcPr>
          <w:p w14:paraId="70B1B9F6" w14:textId="77777777" w:rsidR="001E2B40" w:rsidRPr="00234B2D" w:rsidRDefault="001E2B40" w:rsidP="0062312D">
            <w:pPr>
              <w:spacing w:line="480" w:lineRule="auto"/>
              <w:ind w:right="-71"/>
              <w:jc w:val="center"/>
            </w:pPr>
            <w:r w:rsidRPr="00234B2D">
              <w:t>102.4 ± 13.2</w:t>
            </w:r>
          </w:p>
        </w:tc>
        <w:tc>
          <w:tcPr>
            <w:tcW w:w="1628" w:type="dxa"/>
            <w:tcBorders>
              <w:top w:val="nil"/>
              <w:left w:val="nil"/>
              <w:bottom w:val="nil"/>
              <w:right w:val="nil"/>
            </w:tcBorders>
            <w:hideMark/>
          </w:tcPr>
          <w:p w14:paraId="6D37FA4A" w14:textId="77777777" w:rsidR="001E2B40" w:rsidRPr="00234B2D" w:rsidRDefault="001E2B40" w:rsidP="0062312D">
            <w:pPr>
              <w:spacing w:line="480" w:lineRule="auto"/>
              <w:ind w:right="-142"/>
              <w:jc w:val="center"/>
            </w:pPr>
            <w:r w:rsidRPr="00234B2D">
              <w:t>102.0 ± 12.6</w:t>
            </w:r>
          </w:p>
        </w:tc>
        <w:tc>
          <w:tcPr>
            <w:tcW w:w="1628" w:type="dxa"/>
            <w:tcBorders>
              <w:top w:val="nil"/>
              <w:left w:val="nil"/>
              <w:bottom w:val="nil"/>
              <w:right w:val="nil"/>
            </w:tcBorders>
            <w:hideMark/>
          </w:tcPr>
          <w:p w14:paraId="1789E6B1" w14:textId="77777777" w:rsidR="001E2B40" w:rsidRPr="00234B2D" w:rsidRDefault="001E2B40" w:rsidP="0062312D">
            <w:pPr>
              <w:spacing w:line="480" w:lineRule="auto"/>
              <w:jc w:val="center"/>
            </w:pPr>
            <w:r w:rsidRPr="00234B2D">
              <w:t>102.9 ± 13.0</w:t>
            </w:r>
          </w:p>
        </w:tc>
        <w:tc>
          <w:tcPr>
            <w:tcW w:w="1628" w:type="dxa"/>
            <w:tcBorders>
              <w:top w:val="nil"/>
              <w:left w:val="nil"/>
              <w:bottom w:val="nil"/>
              <w:right w:val="nil"/>
            </w:tcBorders>
            <w:hideMark/>
          </w:tcPr>
          <w:p w14:paraId="2063C6E1" w14:textId="77777777" w:rsidR="001E2B40" w:rsidRPr="00234B2D" w:rsidRDefault="001E2B40" w:rsidP="0062312D">
            <w:pPr>
              <w:spacing w:line="480" w:lineRule="auto"/>
              <w:jc w:val="center"/>
            </w:pPr>
            <w:r w:rsidRPr="00234B2D">
              <w:t>101.0 ± 13.2</w:t>
            </w:r>
          </w:p>
        </w:tc>
      </w:tr>
      <w:tr w:rsidR="001E2B40" w:rsidRPr="00234B2D" w14:paraId="747A4988" w14:textId="77777777" w:rsidTr="0062312D">
        <w:trPr>
          <w:trHeight w:val="20"/>
          <w:jc w:val="center"/>
        </w:trPr>
        <w:tc>
          <w:tcPr>
            <w:tcW w:w="2547" w:type="dxa"/>
            <w:tcBorders>
              <w:top w:val="nil"/>
              <w:left w:val="nil"/>
              <w:bottom w:val="nil"/>
              <w:right w:val="nil"/>
            </w:tcBorders>
          </w:tcPr>
          <w:p w14:paraId="33D65C6F" w14:textId="77777777" w:rsidR="001E2B40" w:rsidRPr="00234B2D" w:rsidRDefault="001E2B40" w:rsidP="0062312D">
            <w:pPr>
              <w:spacing w:line="480" w:lineRule="auto"/>
              <w:ind w:right="-141"/>
            </w:pPr>
          </w:p>
          <w:p w14:paraId="41A4D80E" w14:textId="77777777" w:rsidR="001E2B40" w:rsidRPr="00234B2D" w:rsidRDefault="001E2B40" w:rsidP="0062312D">
            <w:pPr>
              <w:spacing w:line="480" w:lineRule="auto"/>
              <w:ind w:right="-141"/>
            </w:pPr>
            <w:r w:rsidRPr="00234B2D">
              <w:lastRenderedPageBreak/>
              <w:t>Systolic blood pressure (mmHg)</w:t>
            </w:r>
          </w:p>
        </w:tc>
        <w:tc>
          <w:tcPr>
            <w:tcW w:w="1628" w:type="dxa"/>
            <w:tcBorders>
              <w:top w:val="nil"/>
              <w:left w:val="nil"/>
              <w:bottom w:val="nil"/>
              <w:right w:val="nil"/>
            </w:tcBorders>
          </w:tcPr>
          <w:p w14:paraId="6C0160BB" w14:textId="77777777" w:rsidR="001E2B40" w:rsidRPr="00234B2D" w:rsidRDefault="001E2B40" w:rsidP="0062312D">
            <w:pPr>
              <w:spacing w:line="480" w:lineRule="auto"/>
              <w:ind w:right="-71"/>
              <w:jc w:val="center"/>
            </w:pPr>
          </w:p>
          <w:p w14:paraId="0BE8E95D" w14:textId="77777777" w:rsidR="001E2B40" w:rsidRPr="00234B2D" w:rsidRDefault="001E2B40" w:rsidP="0062312D">
            <w:pPr>
              <w:spacing w:line="480" w:lineRule="auto"/>
              <w:ind w:right="-71"/>
              <w:jc w:val="center"/>
            </w:pPr>
            <w:r w:rsidRPr="00234B2D">
              <w:t>141.8 ± 15.7</w:t>
            </w:r>
          </w:p>
        </w:tc>
        <w:tc>
          <w:tcPr>
            <w:tcW w:w="1628" w:type="dxa"/>
            <w:tcBorders>
              <w:top w:val="nil"/>
              <w:left w:val="nil"/>
              <w:bottom w:val="nil"/>
              <w:right w:val="nil"/>
            </w:tcBorders>
          </w:tcPr>
          <w:p w14:paraId="014D38FB" w14:textId="77777777" w:rsidR="001E2B40" w:rsidRPr="00234B2D" w:rsidRDefault="001E2B40" w:rsidP="0062312D">
            <w:pPr>
              <w:spacing w:line="480" w:lineRule="auto"/>
              <w:ind w:right="-142"/>
              <w:jc w:val="center"/>
            </w:pPr>
          </w:p>
          <w:p w14:paraId="0A8F9E66" w14:textId="77777777" w:rsidR="001E2B40" w:rsidRPr="00234B2D" w:rsidRDefault="001E2B40" w:rsidP="0062312D">
            <w:pPr>
              <w:spacing w:line="480" w:lineRule="auto"/>
              <w:ind w:right="-142"/>
              <w:jc w:val="center"/>
            </w:pPr>
            <w:r w:rsidRPr="00234B2D">
              <w:t>143.83 ± 17.5</w:t>
            </w:r>
          </w:p>
        </w:tc>
        <w:tc>
          <w:tcPr>
            <w:tcW w:w="1628" w:type="dxa"/>
            <w:tcBorders>
              <w:top w:val="nil"/>
              <w:left w:val="nil"/>
              <w:bottom w:val="nil"/>
              <w:right w:val="nil"/>
            </w:tcBorders>
          </w:tcPr>
          <w:p w14:paraId="42BC5EC9" w14:textId="77777777" w:rsidR="001E2B40" w:rsidRPr="00234B2D" w:rsidRDefault="001E2B40" w:rsidP="0062312D">
            <w:pPr>
              <w:spacing w:line="480" w:lineRule="auto"/>
              <w:jc w:val="center"/>
            </w:pPr>
          </w:p>
          <w:p w14:paraId="4F8D1F0C" w14:textId="77777777" w:rsidR="001E2B40" w:rsidRPr="00234B2D" w:rsidRDefault="001E2B40" w:rsidP="0062312D">
            <w:pPr>
              <w:spacing w:line="480" w:lineRule="auto"/>
              <w:jc w:val="center"/>
            </w:pPr>
            <w:r w:rsidRPr="00234B2D">
              <w:t>137.6 ±18.8</w:t>
            </w:r>
          </w:p>
        </w:tc>
        <w:tc>
          <w:tcPr>
            <w:tcW w:w="1628" w:type="dxa"/>
            <w:tcBorders>
              <w:top w:val="nil"/>
              <w:left w:val="nil"/>
              <w:bottom w:val="nil"/>
              <w:right w:val="nil"/>
            </w:tcBorders>
          </w:tcPr>
          <w:p w14:paraId="73ECDF3B" w14:textId="77777777" w:rsidR="001E2B40" w:rsidRPr="00234B2D" w:rsidRDefault="001E2B40" w:rsidP="0062312D">
            <w:pPr>
              <w:spacing w:line="480" w:lineRule="auto"/>
              <w:jc w:val="center"/>
            </w:pPr>
          </w:p>
          <w:p w14:paraId="613CCC66" w14:textId="77777777" w:rsidR="001E2B40" w:rsidRPr="00234B2D" w:rsidRDefault="001E2B40" w:rsidP="0062312D">
            <w:pPr>
              <w:spacing w:line="480" w:lineRule="auto"/>
              <w:jc w:val="center"/>
            </w:pPr>
            <w:r w:rsidRPr="00234B2D">
              <w:t>137.7 ± 12.0</w:t>
            </w:r>
          </w:p>
        </w:tc>
      </w:tr>
      <w:tr w:rsidR="001E2B40" w:rsidRPr="00234B2D" w14:paraId="4D58D28B" w14:textId="77777777" w:rsidTr="0062312D">
        <w:trPr>
          <w:trHeight w:val="20"/>
          <w:jc w:val="center"/>
        </w:trPr>
        <w:tc>
          <w:tcPr>
            <w:tcW w:w="2547" w:type="dxa"/>
            <w:tcBorders>
              <w:top w:val="nil"/>
              <w:left w:val="nil"/>
              <w:bottom w:val="nil"/>
              <w:right w:val="nil"/>
            </w:tcBorders>
            <w:hideMark/>
          </w:tcPr>
          <w:p w14:paraId="1263D681" w14:textId="77777777" w:rsidR="001E2B40" w:rsidRPr="00234B2D" w:rsidRDefault="001E2B40" w:rsidP="0062312D">
            <w:pPr>
              <w:spacing w:line="480" w:lineRule="auto"/>
              <w:ind w:right="-141"/>
            </w:pPr>
            <w:r w:rsidRPr="00234B2D">
              <w:t>Diastolic blood pressure (mmHg)</w:t>
            </w:r>
          </w:p>
        </w:tc>
        <w:tc>
          <w:tcPr>
            <w:tcW w:w="1628" w:type="dxa"/>
            <w:tcBorders>
              <w:top w:val="nil"/>
              <w:left w:val="nil"/>
              <w:bottom w:val="nil"/>
              <w:right w:val="nil"/>
            </w:tcBorders>
            <w:hideMark/>
          </w:tcPr>
          <w:p w14:paraId="1B28BC27" w14:textId="77777777" w:rsidR="001E2B40" w:rsidRPr="00234B2D" w:rsidRDefault="001E2B40" w:rsidP="0062312D">
            <w:pPr>
              <w:spacing w:line="480" w:lineRule="auto"/>
              <w:ind w:right="-71"/>
              <w:jc w:val="center"/>
            </w:pPr>
            <w:r w:rsidRPr="00234B2D">
              <w:t>81.9 ± 7.6</w:t>
            </w:r>
          </w:p>
        </w:tc>
        <w:tc>
          <w:tcPr>
            <w:tcW w:w="1628" w:type="dxa"/>
            <w:tcBorders>
              <w:top w:val="nil"/>
              <w:left w:val="nil"/>
              <w:bottom w:val="nil"/>
              <w:right w:val="nil"/>
            </w:tcBorders>
            <w:hideMark/>
          </w:tcPr>
          <w:p w14:paraId="04C6DADF" w14:textId="77777777" w:rsidR="001E2B40" w:rsidRPr="00234B2D" w:rsidRDefault="001E2B40" w:rsidP="0062312D">
            <w:pPr>
              <w:spacing w:line="480" w:lineRule="auto"/>
              <w:ind w:right="-142"/>
              <w:jc w:val="center"/>
            </w:pPr>
            <w:r w:rsidRPr="00234B2D">
              <w:t>83.8 ± 10.7</w:t>
            </w:r>
          </w:p>
        </w:tc>
        <w:tc>
          <w:tcPr>
            <w:tcW w:w="1628" w:type="dxa"/>
            <w:tcBorders>
              <w:top w:val="nil"/>
              <w:left w:val="nil"/>
              <w:bottom w:val="nil"/>
              <w:right w:val="nil"/>
            </w:tcBorders>
            <w:hideMark/>
          </w:tcPr>
          <w:p w14:paraId="5BC7410D" w14:textId="77777777" w:rsidR="001E2B40" w:rsidRPr="00234B2D" w:rsidRDefault="001E2B40" w:rsidP="0062312D">
            <w:pPr>
              <w:spacing w:line="480" w:lineRule="auto"/>
              <w:jc w:val="center"/>
            </w:pPr>
            <w:r w:rsidRPr="00234B2D">
              <w:t>82.7 ± 9.2</w:t>
            </w:r>
          </w:p>
        </w:tc>
        <w:tc>
          <w:tcPr>
            <w:tcW w:w="1628" w:type="dxa"/>
            <w:tcBorders>
              <w:top w:val="nil"/>
              <w:left w:val="nil"/>
              <w:bottom w:val="nil"/>
              <w:right w:val="nil"/>
            </w:tcBorders>
            <w:hideMark/>
          </w:tcPr>
          <w:p w14:paraId="061777BA" w14:textId="77777777" w:rsidR="001E2B40" w:rsidRPr="00234B2D" w:rsidRDefault="001E2B40" w:rsidP="0062312D">
            <w:pPr>
              <w:spacing w:line="480" w:lineRule="auto"/>
              <w:jc w:val="center"/>
            </w:pPr>
            <w:r w:rsidRPr="00234B2D">
              <w:t>80.3 ± 9.4</w:t>
            </w:r>
          </w:p>
        </w:tc>
      </w:tr>
      <w:tr w:rsidR="001E2B40" w:rsidRPr="00234B2D" w14:paraId="23810F85" w14:textId="77777777" w:rsidTr="0062312D">
        <w:trPr>
          <w:trHeight w:val="20"/>
          <w:jc w:val="center"/>
        </w:trPr>
        <w:tc>
          <w:tcPr>
            <w:tcW w:w="2547" w:type="dxa"/>
            <w:tcBorders>
              <w:top w:val="nil"/>
              <w:left w:val="nil"/>
              <w:bottom w:val="nil"/>
              <w:right w:val="nil"/>
            </w:tcBorders>
            <w:hideMark/>
          </w:tcPr>
          <w:p w14:paraId="6391EC45" w14:textId="77777777" w:rsidR="001E2B40" w:rsidRPr="00234B2D" w:rsidRDefault="001E2B40" w:rsidP="0062312D">
            <w:pPr>
              <w:spacing w:line="480" w:lineRule="auto"/>
            </w:pPr>
            <w:r w:rsidRPr="00234B2D">
              <w:t xml:space="preserve"> </w:t>
            </w:r>
            <w:proofErr w:type="spellStart"/>
            <w:r w:rsidRPr="00234B2D">
              <w:t>Haemoglobin</w:t>
            </w:r>
            <w:proofErr w:type="spellEnd"/>
            <w:r w:rsidRPr="00234B2D">
              <w:t xml:space="preserve"> A1c %</w:t>
            </w:r>
          </w:p>
          <w:p w14:paraId="702201BC" w14:textId="77777777" w:rsidR="001E2B40" w:rsidRPr="00234B2D" w:rsidRDefault="001E2B40" w:rsidP="0062312D">
            <w:pPr>
              <w:spacing w:line="480" w:lineRule="auto"/>
              <w:ind w:right="-141"/>
            </w:pPr>
            <w:r w:rsidRPr="00234B2D">
              <w:t>(mmol /mol)</w:t>
            </w:r>
          </w:p>
        </w:tc>
        <w:tc>
          <w:tcPr>
            <w:tcW w:w="1628" w:type="dxa"/>
            <w:tcBorders>
              <w:top w:val="nil"/>
              <w:left w:val="nil"/>
              <w:bottom w:val="nil"/>
              <w:right w:val="nil"/>
            </w:tcBorders>
            <w:hideMark/>
          </w:tcPr>
          <w:p w14:paraId="63A96E00" w14:textId="77777777" w:rsidR="001E2B40" w:rsidRPr="00234B2D" w:rsidRDefault="001E2B40" w:rsidP="0062312D">
            <w:pPr>
              <w:spacing w:line="480" w:lineRule="auto"/>
              <w:ind w:right="-71"/>
              <w:jc w:val="center"/>
            </w:pPr>
            <w:r w:rsidRPr="00234B2D">
              <w:t>6.9[6.3-8.4]-52.0[45.0-68.0]</w:t>
            </w:r>
          </w:p>
        </w:tc>
        <w:tc>
          <w:tcPr>
            <w:tcW w:w="1628" w:type="dxa"/>
            <w:tcBorders>
              <w:top w:val="nil"/>
              <w:left w:val="nil"/>
              <w:bottom w:val="nil"/>
              <w:right w:val="nil"/>
            </w:tcBorders>
            <w:hideMark/>
          </w:tcPr>
          <w:p w14:paraId="75EDD4A2" w14:textId="77777777" w:rsidR="001E2B40" w:rsidRPr="00234B2D" w:rsidRDefault="001E2B40" w:rsidP="0062312D">
            <w:pPr>
              <w:spacing w:line="480" w:lineRule="auto"/>
              <w:ind w:right="-142"/>
              <w:jc w:val="center"/>
            </w:pPr>
            <w:r w:rsidRPr="00234B2D">
              <w:t>6.7[6.3-7.9]-50.0[45.5-63.0]</w:t>
            </w:r>
          </w:p>
        </w:tc>
        <w:tc>
          <w:tcPr>
            <w:tcW w:w="1628" w:type="dxa"/>
            <w:tcBorders>
              <w:top w:val="nil"/>
              <w:left w:val="nil"/>
              <w:bottom w:val="nil"/>
              <w:right w:val="nil"/>
            </w:tcBorders>
            <w:hideMark/>
          </w:tcPr>
          <w:p w14:paraId="40033480" w14:textId="77777777" w:rsidR="001E2B40" w:rsidRPr="00234B2D" w:rsidRDefault="001E2B40" w:rsidP="0062312D">
            <w:pPr>
              <w:spacing w:line="480" w:lineRule="auto"/>
              <w:jc w:val="center"/>
            </w:pPr>
            <w:r w:rsidRPr="00234B2D">
              <w:t>6.8[6.4-8.1]-51.0[46.5-64.5]</w:t>
            </w:r>
          </w:p>
        </w:tc>
        <w:tc>
          <w:tcPr>
            <w:tcW w:w="1628" w:type="dxa"/>
            <w:tcBorders>
              <w:top w:val="nil"/>
              <w:left w:val="nil"/>
              <w:bottom w:val="nil"/>
              <w:right w:val="nil"/>
            </w:tcBorders>
            <w:hideMark/>
          </w:tcPr>
          <w:p w14:paraId="5601F0D5" w14:textId="77777777" w:rsidR="001E2B40" w:rsidRPr="00234B2D" w:rsidRDefault="001E2B40" w:rsidP="0062312D">
            <w:pPr>
              <w:spacing w:line="480" w:lineRule="auto"/>
              <w:jc w:val="center"/>
            </w:pPr>
            <w:r w:rsidRPr="00234B2D">
              <w:t>7.1[6.5-8.1]-54.0[47.8-65.3]</w:t>
            </w:r>
          </w:p>
        </w:tc>
      </w:tr>
      <w:tr w:rsidR="001E2B40" w:rsidRPr="00234B2D" w14:paraId="3233F0EE" w14:textId="77777777" w:rsidTr="0062312D">
        <w:trPr>
          <w:trHeight w:val="20"/>
          <w:jc w:val="center"/>
        </w:trPr>
        <w:tc>
          <w:tcPr>
            <w:tcW w:w="2547" w:type="dxa"/>
            <w:tcBorders>
              <w:top w:val="nil"/>
              <w:left w:val="nil"/>
              <w:bottom w:val="nil"/>
              <w:right w:val="nil"/>
            </w:tcBorders>
            <w:hideMark/>
          </w:tcPr>
          <w:p w14:paraId="293D29A0" w14:textId="77777777" w:rsidR="001E2B40" w:rsidRPr="00234B2D" w:rsidRDefault="001E2B40" w:rsidP="0062312D">
            <w:pPr>
              <w:spacing w:line="480" w:lineRule="auto"/>
              <w:ind w:right="-141"/>
            </w:pPr>
            <w:r w:rsidRPr="00234B2D">
              <w:t>Total Cholesterol (mmol/L)</w:t>
            </w:r>
          </w:p>
        </w:tc>
        <w:tc>
          <w:tcPr>
            <w:tcW w:w="1628" w:type="dxa"/>
            <w:tcBorders>
              <w:top w:val="nil"/>
              <w:left w:val="nil"/>
              <w:bottom w:val="nil"/>
              <w:right w:val="nil"/>
            </w:tcBorders>
            <w:hideMark/>
          </w:tcPr>
          <w:p w14:paraId="2A729D78" w14:textId="77777777" w:rsidR="001E2B40" w:rsidRPr="00234B2D" w:rsidRDefault="001E2B40" w:rsidP="0062312D">
            <w:pPr>
              <w:spacing w:line="480" w:lineRule="auto"/>
              <w:ind w:right="-71"/>
              <w:jc w:val="center"/>
            </w:pPr>
            <w:r w:rsidRPr="00234B2D">
              <w:t>4.2 ± 0.8</w:t>
            </w:r>
          </w:p>
        </w:tc>
        <w:tc>
          <w:tcPr>
            <w:tcW w:w="1628" w:type="dxa"/>
            <w:tcBorders>
              <w:top w:val="nil"/>
              <w:left w:val="nil"/>
              <w:bottom w:val="nil"/>
              <w:right w:val="nil"/>
            </w:tcBorders>
            <w:hideMark/>
          </w:tcPr>
          <w:p w14:paraId="0A0FBCDE" w14:textId="77777777" w:rsidR="001E2B40" w:rsidRPr="00234B2D" w:rsidRDefault="001E2B40" w:rsidP="0062312D">
            <w:pPr>
              <w:spacing w:line="480" w:lineRule="auto"/>
              <w:ind w:right="-142"/>
              <w:jc w:val="center"/>
            </w:pPr>
            <w:r w:rsidRPr="00234B2D">
              <w:t>4.0 ± 0.7</w:t>
            </w:r>
          </w:p>
        </w:tc>
        <w:tc>
          <w:tcPr>
            <w:tcW w:w="1628" w:type="dxa"/>
            <w:tcBorders>
              <w:top w:val="nil"/>
              <w:left w:val="nil"/>
              <w:bottom w:val="nil"/>
              <w:right w:val="nil"/>
            </w:tcBorders>
            <w:hideMark/>
          </w:tcPr>
          <w:p w14:paraId="18CD53F0" w14:textId="77777777" w:rsidR="001E2B40" w:rsidRPr="00234B2D" w:rsidRDefault="001E2B40" w:rsidP="0062312D">
            <w:pPr>
              <w:spacing w:line="480" w:lineRule="auto"/>
              <w:jc w:val="center"/>
            </w:pPr>
            <w:r w:rsidRPr="00234B2D">
              <w:t>4.1 ± 0.9</w:t>
            </w:r>
          </w:p>
        </w:tc>
        <w:tc>
          <w:tcPr>
            <w:tcW w:w="1628" w:type="dxa"/>
            <w:tcBorders>
              <w:top w:val="nil"/>
              <w:left w:val="nil"/>
              <w:bottom w:val="nil"/>
              <w:right w:val="nil"/>
            </w:tcBorders>
            <w:hideMark/>
          </w:tcPr>
          <w:p w14:paraId="1819D603" w14:textId="77777777" w:rsidR="001E2B40" w:rsidRPr="00234B2D" w:rsidRDefault="001E2B40" w:rsidP="0062312D">
            <w:pPr>
              <w:spacing w:line="480" w:lineRule="auto"/>
              <w:jc w:val="center"/>
            </w:pPr>
            <w:r w:rsidRPr="00234B2D">
              <w:t>4.1 ±0.9</w:t>
            </w:r>
          </w:p>
        </w:tc>
      </w:tr>
      <w:tr w:rsidR="001E2B40" w:rsidRPr="00234B2D" w14:paraId="5E084013" w14:textId="77777777" w:rsidTr="0062312D">
        <w:trPr>
          <w:trHeight w:val="20"/>
          <w:jc w:val="center"/>
        </w:trPr>
        <w:tc>
          <w:tcPr>
            <w:tcW w:w="2547" w:type="dxa"/>
            <w:tcBorders>
              <w:top w:val="nil"/>
              <w:left w:val="nil"/>
              <w:bottom w:val="nil"/>
              <w:right w:val="nil"/>
            </w:tcBorders>
            <w:hideMark/>
          </w:tcPr>
          <w:p w14:paraId="0DAEAB03" w14:textId="77777777" w:rsidR="001E2B40" w:rsidRPr="00234B2D" w:rsidRDefault="001E2B40" w:rsidP="0062312D">
            <w:pPr>
              <w:spacing w:line="480" w:lineRule="auto"/>
              <w:ind w:right="-141"/>
            </w:pPr>
            <w:r w:rsidRPr="00234B2D">
              <w:t>Triglycerides (mmol/L)</w:t>
            </w:r>
          </w:p>
        </w:tc>
        <w:tc>
          <w:tcPr>
            <w:tcW w:w="1628" w:type="dxa"/>
            <w:tcBorders>
              <w:top w:val="nil"/>
              <w:left w:val="nil"/>
              <w:bottom w:val="nil"/>
              <w:right w:val="nil"/>
            </w:tcBorders>
            <w:hideMark/>
          </w:tcPr>
          <w:p w14:paraId="00E34FAF" w14:textId="77777777" w:rsidR="001E2B40" w:rsidRPr="00234B2D" w:rsidRDefault="001E2B40" w:rsidP="0062312D">
            <w:pPr>
              <w:spacing w:line="480" w:lineRule="auto"/>
              <w:ind w:right="-71"/>
              <w:jc w:val="center"/>
            </w:pPr>
            <w:r w:rsidRPr="00234B2D">
              <w:t>1.3[0.9-1.8]</w:t>
            </w:r>
          </w:p>
        </w:tc>
        <w:tc>
          <w:tcPr>
            <w:tcW w:w="1628" w:type="dxa"/>
            <w:tcBorders>
              <w:top w:val="nil"/>
              <w:left w:val="nil"/>
              <w:bottom w:val="nil"/>
              <w:right w:val="nil"/>
            </w:tcBorders>
            <w:hideMark/>
          </w:tcPr>
          <w:p w14:paraId="2B74ABE4" w14:textId="77777777" w:rsidR="001E2B40" w:rsidRPr="00234B2D" w:rsidRDefault="001E2B40" w:rsidP="0062312D">
            <w:pPr>
              <w:spacing w:line="480" w:lineRule="auto"/>
              <w:ind w:right="-142"/>
              <w:jc w:val="center"/>
            </w:pPr>
            <w:r w:rsidRPr="00234B2D">
              <w:t>1.3[1.0-1.8]</w:t>
            </w:r>
          </w:p>
        </w:tc>
        <w:tc>
          <w:tcPr>
            <w:tcW w:w="1628" w:type="dxa"/>
            <w:tcBorders>
              <w:top w:val="nil"/>
              <w:left w:val="nil"/>
              <w:bottom w:val="nil"/>
              <w:right w:val="nil"/>
            </w:tcBorders>
            <w:hideMark/>
          </w:tcPr>
          <w:p w14:paraId="35F30FF7" w14:textId="77777777" w:rsidR="001E2B40" w:rsidRPr="00234B2D" w:rsidRDefault="001E2B40" w:rsidP="0062312D">
            <w:pPr>
              <w:spacing w:line="480" w:lineRule="auto"/>
              <w:jc w:val="center"/>
            </w:pPr>
            <w:r w:rsidRPr="00234B2D">
              <w:t>1.3[0.8-2.1]</w:t>
            </w:r>
          </w:p>
        </w:tc>
        <w:tc>
          <w:tcPr>
            <w:tcW w:w="1628" w:type="dxa"/>
            <w:tcBorders>
              <w:top w:val="nil"/>
              <w:left w:val="nil"/>
              <w:bottom w:val="nil"/>
              <w:right w:val="nil"/>
            </w:tcBorders>
            <w:hideMark/>
          </w:tcPr>
          <w:p w14:paraId="48B8364F" w14:textId="77777777" w:rsidR="001E2B40" w:rsidRPr="00234B2D" w:rsidRDefault="001E2B40" w:rsidP="0062312D">
            <w:pPr>
              <w:spacing w:line="480" w:lineRule="auto"/>
              <w:jc w:val="center"/>
            </w:pPr>
            <w:r w:rsidRPr="00234B2D">
              <w:t>1.6[1.0-2.0]</w:t>
            </w:r>
          </w:p>
        </w:tc>
      </w:tr>
      <w:tr w:rsidR="001E2B40" w:rsidRPr="00234B2D" w14:paraId="03C65FCE" w14:textId="77777777" w:rsidTr="0062312D">
        <w:trPr>
          <w:trHeight w:val="20"/>
          <w:jc w:val="center"/>
        </w:trPr>
        <w:tc>
          <w:tcPr>
            <w:tcW w:w="2547" w:type="dxa"/>
            <w:tcBorders>
              <w:top w:val="nil"/>
              <w:left w:val="nil"/>
              <w:bottom w:val="nil"/>
              <w:right w:val="nil"/>
            </w:tcBorders>
            <w:hideMark/>
          </w:tcPr>
          <w:p w14:paraId="7D8F0EC3" w14:textId="77777777" w:rsidR="001E2B40" w:rsidRPr="00234B2D" w:rsidRDefault="001E2B40" w:rsidP="0062312D">
            <w:pPr>
              <w:spacing w:line="480" w:lineRule="auto"/>
              <w:ind w:right="-141"/>
            </w:pPr>
            <w:r w:rsidRPr="00234B2D">
              <w:t>HDL-cholesterol (mmol/L)</w:t>
            </w:r>
          </w:p>
        </w:tc>
        <w:tc>
          <w:tcPr>
            <w:tcW w:w="1628" w:type="dxa"/>
            <w:tcBorders>
              <w:top w:val="nil"/>
              <w:left w:val="nil"/>
              <w:bottom w:val="nil"/>
              <w:right w:val="nil"/>
            </w:tcBorders>
            <w:hideMark/>
          </w:tcPr>
          <w:p w14:paraId="74364453" w14:textId="77777777" w:rsidR="001E2B40" w:rsidRPr="00234B2D" w:rsidRDefault="001E2B40" w:rsidP="0062312D">
            <w:pPr>
              <w:spacing w:line="480" w:lineRule="auto"/>
              <w:ind w:right="-71"/>
              <w:jc w:val="center"/>
            </w:pPr>
            <w:r w:rsidRPr="00234B2D">
              <w:t>1.3 ± 0.3</w:t>
            </w:r>
          </w:p>
        </w:tc>
        <w:tc>
          <w:tcPr>
            <w:tcW w:w="1628" w:type="dxa"/>
            <w:tcBorders>
              <w:top w:val="nil"/>
              <w:left w:val="nil"/>
              <w:bottom w:val="nil"/>
              <w:right w:val="nil"/>
            </w:tcBorders>
            <w:hideMark/>
          </w:tcPr>
          <w:p w14:paraId="60E81D29" w14:textId="77777777" w:rsidR="001E2B40" w:rsidRPr="00234B2D" w:rsidRDefault="001E2B40" w:rsidP="0062312D">
            <w:pPr>
              <w:spacing w:line="480" w:lineRule="auto"/>
              <w:ind w:right="-142"/>
              <w:jc w:val="center"/>
            </w:pPr>
            <w:r w:rsidRPr="00234B2D">
              <w:t>1.3 ± 0.3</w:t>
            </w:r>
          </w:p>
        </w:tc>
        <w:tc>
          <w:tcPr>
            <w:tcW w:w="1628" w:type="dxa"/>
            <w:tcBorders>
              <w:top w:val="nil"/>
              <w:left w:val="nil"/>
              <w:bottom w:val="nil"/>
              <w:right w:val="nil"/>
            </w:tcBorders>
            <w:hideMark/>
          </w:tcPr>
          <w:p w14:paraId="43B39539" w14:textId="77777777" w:rsidR="001E2B40" w:rsidRPr="00234B2D" w:rsidRDefault="001E2B40" w:rsidP="0062312D">
            <w:pPr>
              <w:spacing w:line="480" w:lineRule="auto"/>
              <w:jc w:val="center"/>
            </w:pPr>
            <w:r w:rsidRPr="00234B2D">
              <w:t>1.2 ± 0.3</w:t>
            </w:r>
          </w:p>
        </w:tc>
        <w:tc>
          <w:tcPr>
            <w:tcW w:w="1628" w:type="dxa"/>
            <w:tcBorders>
              <w:top w:val="nil"/>
              <w:left w:val="nil"/>
              <w:bottom w:val="nil"/>
              <w:right w:val="nil"/>
            </w:tcBorders>
            <w:hideMark/>
          </w:tcPr>
          <w:p w14:paraId="5B7071B0" w14:textId="77777777" w:rsidR="001E2B40" w:rsidRPr="00234B2D" w:rsidRDefault="001E2B40" w:rsidP="0062312D">
            <w:pPr>
              <w:spacing w:line="480" w:lineRule="auto"/>
              <w:jc w:val="center"/>
            </w:pPr>
            <w:r w:rsidRPr="00234B2D">
              <w:t>1.3 ± 0.4</w:t>
            </w:r>
          </w:p>
        </w:tc>
      </w:tr>
      <w:tr w:rsidR="001E2B40" w:rsidRPr="00234B2D" w14:paraId="1573A579" w14:textId="77777777" w:rsidTr="0062312D">
        <w:trPr>
          <w:trHeight w:val="20"/>
          <w:jc w:val="center"/>
        </w:trPr>
        <w:tc>
          <w:tcPr>
            <w:tcW w:w="2547" w:type="dxa"/>
            <w:tcBorders>
              <w:top w:val="nil"/>
              <w:left w:val="nil"/>
              <w:bottom w:val="nil"/>
              <w:right w:val="nil"/>
            </w:tcBorders>
            <w:hideMark/>
          </w:tcPr>
          <w:p w14:paraId="6C5626C5" w14:textId="77777777" w:rsidR="001E2B40" w:rsidRPr="00234B2D" w:rsidRDefault="001E2B40" w:rsidP="0062312D">
            <w:pPr>
              <w:spacing w:line="480" w:lineRule="auto"/>
              <w:ind w:right="-141"/>
            </w:pPr>
            <w:r w:rsidRPr="00234B2D">
              <w:t>LDL-cholesterol (mmol/L)</w:t>
            </w:r>
          </w:p>
        </w:tc>
        <w:tc>
          <w:tcPr>
            <w:tcW w:w="1628" w:type="dxa"/>
            <w:tcBorders>
              <w:top w:val="nil"/>
              <w:left w:val="nil"/>
              <w:bottom w:val="nil"/>
              <w:right w:val="nil"/>
            </w:tcBorders>
            <w:hideMark/>
          </w:tcPr>
          <w:p w14:paraId="401A319A" w14:textId="77777777" w:rsidR="001E2B40" w:rsidRPr="00234B2D" w:rsidRDefault="001E2B40" w:rsidP="0062312D">
            <w:pPr>
              <w:spacing w:line="480" w:lineRule="auto"/>
              <w:ind w:right="-71"/>
              <w:jc w:val="center"/>
            </w:pPr>
            <w:r w:rsidRPr="00234B2D">
              <w:t>2.2 ± 0.6</w:t>
            </w:r>
          </w:p>
        </w:tc>
        <w:tc>
          <w:tcPr>
            <w:tcW w:w="1628" w:type="dxa"/>
            <w:tcBorders>
              <w:top w:val="nil"/>
              <w:left w:val="nil"/>
              <w:bottom w:val="nil"/>
              <w:right w:val="nil"/>
            </w:tcBorders>
            <w:hideMark/>
          </w:tcPr>
          <w:p w14:paraId="47EDB949" w14:textId="77777777" w:rsidR="001E2B40" w:rsidRPr="00234B2D" w:rsidRDefault="001E2B40" w:rsidP="0062312D">
            <w:pPr>
              <w:spacing w:line="480" w:lineRule="auto"/>
              <w:ind w:right="-142"/>
              <w:jc w:val="center"/>
            </w:pPr>
            <w:r w:rsidRPr="00234B2D">
              <w:t>2.0 ±0.7</w:t>
            </w:r>
          </w:p>
        </w:tc>
        <w:tc>
          <w:tcPr>
            <w:tcW w:w="1628" w:type="dxa"/>
            <w:tcBorders>
              <w:top w:val="nil"/>
              <w:left w:val="nil"/>
              <w:bottom w:val="nil"/>
              <w:right w:val="nil"/>
            </w:tcBorders>
            <w:hideMark/>
          </w:tcPr>
          <w:p w14:paraId="05EA0548" w14:textId="77777777" w:rsidR="001E2B40" w:rsidRPr="00234B2D" w:rsidRDefault="001E2B40" w:rsidP="0062312D">
            <w:pPr>
              <w:spacing w:line="480" w:lineRule="auto"/>
              <w:jc w:val="center"/>
            </w:pPr>
            <w:r w:rsidRPr="00234B2D">
              <w:t>2.2 ± 0.9</w:t>
            </w:r>
          </w:p>
        </w:tc>
        <w:tc>
          <w:tcPr>
            <w:tcW w:w="1628" w:type="dxa"/>
            <w:tcBorders>
              <w:top w:val="nil"/>
              <w:left w:val="nil"/>
              <w:bottom w:val="nil"/>
              <w:right w:val="nil"/>
            </w:tcBorders>
            <w:hideMark/>
          </w:tcPr>
          <w:p w14:paraId="7DD953E0" w14:textId="77777777" w:rsidR="001E2B40" w:rsidRPr="00234B2D" w:rsidRDefault="001E2B40" w:rsidP="0062312D">
            <w:pPr>
              <w:spacing w:line="480" w:lineRule="auto"/>
              <w:jc w:val="center"/>
            </w:pPr>
            <w:r w:rsidRPr="00234B2D">
              <w:t>2.2 ± 0.7</w:t>
            </w:r>
          </w:p>
        </w:tc>
      </w:tr>
      <w:tr w:rsidR="001E2B40" w:rsidRPr="00234B2D" w14:paraId="5908D2F9" w14:textId="77777777" w:rsidTr="0062312D">
        <w:trPr>
          <w:trHeight w:val="20"/>
          <w:jc w:val="center"/>
        </w:trPr>
        <w:tc>
          <w:tcPr>
            <w:tcW w:w="2547" w:type="dxa"/>
            <w:tcBorders>
              <w:top w:val="nil"/>
              <w:left w:val="nil"/>
              <w:bottom w:val="nil"/>
              <w:right w:val="nil"/>
            </w:tcBorders>
            <w:hideMark/>
          </w:tcPr>
          <w:p w14:paraId="109FD86B" w14:textId="77777777" w:rsidR="001E2B40" w:rsidRPr="00234B2D" w:rsidRDefault="001E2B40" w:rsidP="0062312D">
            <w:pPr>
              <w:spacing w:line="480" w:lineRule="auto"/>
              <w:ind w:right="-141"/>
            </w:pPr>
            <w:r w:rsidRPr="00234B2D">
              <w:t xml:space="preserve">Estimated </w:t>
            </w:r>
            <w:proofErr w:type="gramStart"/>
            <w:r w:rsidRPr="00234B2D">
              <w:t>GFR  (</w:t>
            </w:r>
            <w:proofErr w:type="gramEnd"/>
            <w:r w:rsidRPr="00234B2D">
              <w:t>mL/min/1.73 m</w:t>
            </w:r>
            <w:r w:rsidRPr="00234B2D">
              <w:rPr>
                <w:vertAlign w:val="superscript"/>
              </w:rPr>
              <w:t>2</w:t>
            </w:r>
            <w:r w:rsidRPr="00234B2D">
              <w:t>)</w:t>
            </w:r>
          </w:p>
        </w:tc>
        <w:tc>
          <w:tcPr>
            <w:tcW w:w="1628" w:type="dxa"/>
            <w:tcBorders>
              <w:top w:val="nil"/>
              <w:left w:val="nil"/>
              <w:bottom w:val="nil"/>
              <w:right w:val="nil"/>
            </w:tcBorders>
            <w:hideMark/>
          </w:tcPr>
          <w:p w14:paraId="5F3E42F5" w14:textId="77777777" w:rsidR="001E2B40" w:rsidRPr="00234B2D" w:rsidRDefault="001E2B40" w:rsidP="0062312D">
            <w:pPr>
              <w:spacing w:line="480" w:lineRule="auto"/>
              <w:ind w:right="-71"/>
              <w:jc w:val="center"/>
            </w:pPr>
            <w:r w:rsidRPr="00234B2D">
              <w:t>90.5</w:t>
            </w:r>
          </w:p>
          <w:p w14:paraId="729B92C8" w14:textId="77777777" w:rsidR="001E2B40" w:rsidRPr="00234B2D" w:rsidRDefault="001E2B40" w:rsidP="0062312D">
            <w:pPr>
              <w:spacing w:line="480" w:lineRule="auto"/>
              <w:ind w:right="-71"/>
              <w:jc w:val="center"/>
            </w:pPr>
            <w:r w:rsidRPr="00234B2D">
              <w:t>[77.8-101.0]</w:t>
            </w:r>
          </w:p>
        </w:tc>
        <w:tc>
          <w:tcPr>
            <w:tcW w:w="1628" w:type="dxa"/>
            <w:tcBorders>
              <w:top w:val="nil"/>
              <w:left w:val="nil"/>
              <w:bottom w:val="nil"/>
              <w:right w:val="nil"/>
            </w:tcBorders>
            <w:hideMark/>
          </w:tcPr>
          <w:p w14:paraId="555B046E" w14:textId="77777777" w:rsidR="001E2B40" w:rsidRPr="00234B2D" w:rsidRDefault="001E2B40" w:rsidP="0062312D">
            <w:pPr>
              <w:spacing w:line="480" w:lineRule="auto"/>
              <w:ind w:right="-142"/>
              <w:jc w:val="center"/>
            </w:pPr>
            <w:r w:rsidRPr="00234B2D">
              <w:t>95.0</w:t>
            </w:r>
          </w:p>
          <w:p w14:paraId="1FC5E0E1" w14:textId="77777777" w:rsidR="001E2B40" w:rsidRPr="00234B2D" w:rsidRDefault="001E2B40" w:rsidP="0062312D">
            <w:pPr>
              <w:spacing w:line="480" w:lineRule="auto"/>
              <w:ind w:right="-142"/>
              <w:jc w:val="center"/>
            </w:pPr>
            <w:r w:rsidRPr="00234B2D">
              <w:t>[80.5-99.0]</w:t>
            </w:r>
          </w:p>
        </w:tc>
        <w:tc>
          <w:tcPr>
            <w:tcW w:w="1628" w:type="dxa"/>
            <w:tcBorders>
              <w:top w:val="nil"/>
              <w:left w:val="nil"/>
              <w:bottom w:val="nil"/>
              <w:right w:val="nil"/>
            </w:tcBorders>
            <w:hideMark/>
          </w:tcPr>
          <w:p w14:paraId="0550E751" w14:textId="77777777" w:rsidR="001E2B40" w:rsidRPr="00234B2D" w:rsidRDefault="001E2B40" w:rsidP="0062312D">
            <w:pPr>
              <w:spacing w:line="480" w:lineRule="auto"/>
              <w:jc w:val="center"/>
            </w:pPr>
            <w:r w:rsidRPr="00234B2D">
              <w:t>91.0</w:t>
            </w:r>
          </w:p>
          <w:p w14:paraId="0BC6BE29" w14:textId="77777777" w:rsidR="001E2B40" w:rsidRPr="00234B2D" w:rsidRDefault="001E2B40" w:rsidP="0062312D">
            <w:pPr>
              <w:spacing w:line="480" w:lineRule="auto"/>
              <w:jc w:val="center"/>
            </w:pPr>
            <w:r w:rsidRPr="00234B2D">
              <w:t>[75.0-100.0]</w:t>
            </w:r>
          </w:p>
        </w:tc>
        <w:tc>
          <w:tcPr>
            <w:tcW w:w="1628" w:type="dxa"/>
            <w:tcBorders>
              <w:top w:val="nil"/>
              <w:left w:val="nil"/>
              <w:bottom w:val="nil"/>
              <w:right w:val="nil"/>
            </w:tcBorders>
            <w:hideMark/>
          </w:tcPr>
          <w:p w14:paraId="6279D30E" w14:textId="77777777" w:rsidR="001E2B40" w:rsidRPr="00234B2D" w:rsidRDefault="001E2B40" w:rsidP="0062312D">
            <w:pPr>
              <w:spacing w:line="480" w:lineRule="auto"/>
              <w:jc w:val="center"/>
            </w:pPr>
            <w:r w:rsidRPr="00234B2D">
              <w:t>97.5</w:t>
            </w:r>
          </w:p>
          <w:p w14:paraId="76A2A7B5" w14:textId="77777777" w:rsidR="001E2B40" w:rsidRPr="00234B2D" w:rsidRDefault="001E2B40" w:rsidP="0062312D">
            <w:pPr>
              <w:spacing w:line="480" w:lineRule="auto"/>
              <w:jc w:val="center"/>
            </w:pPr>
            <w:r w:rsidRPr="00234B2D">
              <w:t>[84.5-103.0]</w:t>
            </w:r>
          </w:p>
        </w:tc>
      </w:tr>
      <w:tr w:rsidR="001E2B40" w:rsidRPr="00234B2D" w14:paraId="3257C096" w14:textId="77777777" w:rsidTr="0062312D">
        <w:trPr>
          <w:trHeight w:val="20"/>
          <w:jc w:val="center"/>
        </w:trPr>
        <w:tc>
          <w:tcPr>
            <w:tcW w:w="2547" w:type="dxa"/>
            <w:tcBorders>
              <w:top w:val="nil"/>
              <w:left w:val="nil"/>
              <w:bottom w:val="nil"/>
              <w:right w:val="nil"/>
            </w:tcBorders>
            <w:hideMark/>
          </w:tcPr>
          <w:p w14:paraId="42927CFD" w14:textId="77777777" w:rsidR="001E2B40" w:rsidRPr="00234B2D" w:rsidRDefault="001E2B40" w:rsidP="0062312D">
            <w:pPr>
              <w:spacing w:line="480" w:lineRule="auto"/>
              <w:ind w:right="-141"/>
            </w:pPr>
            <w:r w:rsidRPr="00234B2D">
              <w:t>Albumin: creatinine ratio (mg/mmol)</w:t>
            </w:r>
          </w:p>
        </w:tc>
        <w:tc>
          <w:tcPr>
            <w:tcW w:w="1628" w:type="dxa"/>
            <w:tcBorders>
              <w:top w:val="nil"/>
              <w:left w:val="nil"/>
              <w:bottom w:val="nil"/>
              <w:right w:val="nil"/>
            </w:tcBorders>
            <w:hideMark/>
          </w:tcPr>
          <w:p w14:paraId="08D1CA48" w14:textId="77777777" w:rsidR="001E2B40" w:rsidRPr="00234B2D" w:rsidRDefault="001E2B40" w:rsidP="0062312D">
            <w:pPr>
              <w:spacing w:line="480" w:lineRule="auto"/>
              <w:ind w:right="-71"/>
              <w:jc w:val="center"/>
            </w:pPr>
            <w:r w:rsidRPr="00234B2D">
              <w:t>0.9[0.0-5.0]</w:t>
            </w:r>
          </w:p>
        </w:tc>
        <w:tc>
          <w:tcPr>
            <w:tcW w:w="1628" w:type="dxa"/>
            <w:tcBorders>
              <w:top w:val="nil"/>
              <w:left w:val="nil"/>
              <w:bottom w:val="nil"/>
              <w:right w:val="nil"/>
            </w:tcBorders>
            <w:hideMark/>
          </w:tcPr>
          <w:p w14:paraId="7349F3DC" w14:textId="77777777" w:rsidR="001E2B40" w:rsidRPr="00234B2D" w:rsidRDefault="001E2B40" w:rsidP="0062312D">
            <w:pPr>
              <w:spacing w:line="480" w:lineRule="auto"/>
              <w:ind w:right="-142"/>
              <w:jc w:val="center"/>
            </w:pPr>
            <w:r w:rsidRPr="00234B2D">
              <w:t>0.6[0.0-2.2]</w:t>
            </w:r>
          </w:p>
        </w:tc>
        <w:tc>
          <w:tcPr>
            <w:tcW w:w="1628" w:type="dxa"/>
            <w:tcBorders>
              <w:top w:val="nil"/>
              <w:left w:val="nil"/>
              <w:bottom w:val="nil"/>
              <w:right w:val="nil"/>
            </w:tcBorders>
            <w:hideMark/>
          </w:tcPr>
          <w:p w14:paraId="771D389A" w14:textId="77777777" w:rsidR="001E2B40" w:rsidRPr="00234B2D" w:rsidRDefault="001E2B40" w:rsidP="0062312D">
            <w:pPr>
              <w:spacing w:line="480" w:lineRule="auto"/>
              <w:jc w:val="center"/>
            </w:pPr>
            <w:r w:rsidRPr="00234B2D">
              <w:t>0.9[0.0-3.1]</w:t>
            </w:r>
          </w:p>
        </w:tc>
        <w:tc>
          <w:tcPr>
            <w:tcW w:w="1628" w:type="dxa"/>
            <w:tcBorders>
              <w:top w:val="nil"/>
              <w:left w:val="nil"/>
              <w:bottom w:val="nil"/>
              <w:right w:val="nil"/>
            </w:tcBorders>
            <w:hideMark/>
          </w:tcPr>
          <w:p w14:paraId="37116B8D" w14:textId="77777777" w:rsidR="001E2B40" w:rsidRPr="00234B2D" w:rsidRDefault="001E2B40" w:rsidP="0062312D">
            <w:pPr>
              <w:spacing w:line="480" w:lineRule="auto"/>
              <w:jc w:val="center"/>
            </w:pPr>
            <w:r w:rsidRPr="00234B2D">
              <w:t>0.9[0.0-5.0]</w:t>
            </w:r>
          </w:p>
        </w:tc>
      </w:tr>
      <w:tr w:rsidR="001E2B40" w:rsidRPr="00234B2D" w14:paraId="0DA16F80" w14:textId="77777777" w:rsidTr="0062312D">
        <w:trPr>
          <w:trHeight w:val="20"/>
          <w:jc w:val="center"/>
        </w:trPr>
        <w:tc>
          <w:tcPr>
            <w:tcW w:w="2547" w:type="dxa"/>
            <w:tcBorders>
              <w:top w:val="nil"/>
              <w:left w:val="nil"/>
              <w:bottom w:val="nil"/>
              <w:right w:val="nil"/>
            </w:tcBorders>
            <w:hideMark/>
          </w:tcPr>
          <w:p w14:paraId="6B841574" w14:textId="77777777" w:rsidR="001E2B40" w:rsidRPr="00234B2D" w:rsidRDefault="001E2B40" w:rsidP="0062312D">
            <w:pPr>
              <w:spacing w:line="480" w:lineRule="auto"/>
              <w:ind w:right="-141"/>
            </w:pPr>
            <w:r w:rsidRPr="00234B2D">
              <w:t>Vitamin E: total-cholesterol (µmol/mmol)</w:t>
            </w:r>
          </w:p>
        </w:tc>
        <w:tc>
          <w:tcPr>
            <w:tcW w:w="1628" w:type="dxa"/>
            <w:tcBorders>
              <w:top w:val="nil"/>
              <w:left w:val="nil"/>
              <w:bottom w:val="nil"/>
              <w:right w:val="nil"/>
            </w:tcBorders>
            <w:hideMark/>
          </w:tcPr>
          <w:p w14:paraId="4537F09C" w14:textId="77777777" w:rsidR="001E2B40" w:rsidRPr="00234B2D" w:rsidRDefault="001E2B40" w:rsidP="0062312D">
            <w:pPr>
              <w:spacing w:line="480" w:lineRule="auto"/>
              <w:ind w:right="-71"/>
              <w:jc w:val="center"/>
            </w:pPr>
            <w:r w:rsidRPr="00234B2D">
              <w:t>8.2 ± 2.5</w:t>
            </w:r>
          </w:p>
        </w:tc>
        <w:tc>
          <w:tcPr>
            <w:tcW w:w="1628" w:type="dxa"/>
            <w:tcBorders>
              <w:top w:val="nil"/>
              <w:left w:val="nil"/>
              <w:bottom w:val="nil"/>
              <w:right w:val="nil"/>
            </w:tcBorders>
            <w:hideMark/>
          </w:tcPr>
          <w:p w14:paraId="0E16790D" w14:textId="77777777" w:rsidR="001E2B40" w:rsidRPr="00234B2D" w:rsidRDefault="001E2B40" w:rsidP="0062312D">
            <w:pPr>
              <w:spacing w:line="480" w:lineRule="auto"/>
              <w:ind w:right="-142"/>
              <w:jc w:val="center"/>
            </w:pPr>
            <w:r w:rsidRPr="00234B2D">
              <w:t>9.0 ± 2.8</w:t>
            </w:r>
          </w:p>
        </w:tc>
        <w:tc>
          <w:tcPr>
            <w:tcW w:w="1628" w:type="dxa"/>
            <w:tcBorders>
              <w:top w:val="nil"/>
              <w:left w:val="nil"/>
              <w:bottom w:val="nil"/>
              <w:right w:val="nil"/>
            </w:tcBorders>
            <w:hideMark/>
          </w:tcPr>
          <w:p w14:paraId="0F2E9C2D" w14:textId="77777777" w:rsidR="001E2B40" w:rsidRPr="00234B2D" w:rsidRDefault="001E2B40" w:rsidP="0062312D">
            <w:pPr>
              <w:spacing w:line="480" w:lineRule="auto"/>
              <w:jc w:val="center"/>
            </w:pPr>
            <w:r w:rsidRPr="00234B2D">
              <w:t>9.4 ± 3.5</w:t>
            </w:r>
          </w:p>
        </w:tc>
        <w:tc>
          <w:tcPr>
            <w:tcW w:w="1628" w:type="dxa"/>
            <w:tcBorders>
              <w:top w:val="nil"/>
              <w:left w:val="nil"/>
              <w:bottom w:val="nil"/>
              <w:right w:val="nil"/>
            </w:tcBorders>
            <w:hideMark/>
          </w:tcPr>
          <w:p w14:paraId="0A2A2386" w14:textId="77777777" w:rsidR="001E2B40" w:rsidRPr="00234B2D" w:rsidRDefault="001E2B40" w:rsidP="0062312D">
            <w:pPr>
              <w:spacing w:line="480" w:lineRule="auto"/>
              <w:jc w:val="center"/>
            </w:pPr>
            <w:r w:rsidRPr="00234B2D">
              <w:t>9.0 ± 2.2</w:t>
            </w:r>
          </w:p>
        </w:tc>
      </w:tr>
      <w:tr w:rsidR="001E2B40" w:rsidRPr="00234B2D" w14:paraId="2BC012DF" w14:textId="77777777" w:rsidTr="0062312D">
        <w:trPr>
          <w:trHeight w:val="20"/>
          <w:jc w:val="center"/>
        </w:trPr>
        <w:tc>
          <w:tcPr>
            <w:tcW w:w="2547" w:type="dxa"/>
            <w:tcBorders>
              <w:top w:val="nil"/>
              <w:left w:val="nil"/>
              <w:bottom w:val="nil"/>
              <w:right w:val="nil"/>
            </w:tcBorders>
            <w:hideMark/>
          </w:tcPr>
          <w:p w14:paraId="053F2E3C" w14:textId="77777777" w:rsidR="001E2B40" w:rsidRPr="00234B2D" w:rsidRDefault="001E2B40" w:rsidP="0062312D">
            <w:pPr>
              <w:spacing w:line="480" w:lineRule="auto"/>
              <w:ind w:right="-141"/>
            </w:pPr>
            <w:r w:rsidRPr="00234B2D">
              <w:t>Plasma Selenium (µmol/L)</w:t>
            </w:r>
          </w:p>
        </w:tc>
        <w:tc>
          <w:tcPr>
            <w:tcW w:w="1628" w:type="dxa"/>
            <w:tcBorders>
              <w:top w:val="nil"/>
              <w:left w:val="nil"/>
              <w:bottom w:val="nil"/>
              <w:right w:val="nil"/>
            </w:tcBorders>
            <w:hideMark/>
          </w:tcPr>
          <w:p w14:paraId="63DD7821" w14:textId="77777777" w:rsidR="001E2B40" w:rsidRPr="00234B2D" w:rsidRDefault="001E2B40" w:rsidP="0062312D">
            <w:pPr>
              <w:spacing w:line="480" w:lineRule="auto"/>
              <w:ind w:right="-71"/>
              <w:jc w:val="center"/>
            </w:pPr>
            <w:r w:rsidRPr="00234B2D">
              <w:t>1.3 ± 0.3</w:t>
            </w:r>
          </w:p>
        </w:tc>
        <w:tc>
          <w:tcPr>
            <w:tcW w:w="1628" w:type="dxa"/>
            <w:tcBorders>
              <w:top w:val="nil"/>
              <w:left w:val="nil"/>
              <w:bottom w:val="nil"/>
              <w:right w:val="nil"/>
            </w:tcBorders>
            <w:hideMark/>
          </w:tcPr>
          <w:p w14:paraId="42567D01" w14:textId="77777777" w:rsidR="001E2B40" w:rsidRPr="00234B2D" w:rsidRDefault="001E2B40" w:rsidP="0062312D">
            <w:pPr>
              <w:spacing w:line="480" w:lineRule="auto"/>
              <w:ind w:right="-142"/>
              <w:jc w:val="center"/>
            </w:pPr>
            <w:r w:rsidRPr="00234B2D">
              <w:t>1.2 ± 0.3</w:t>
            </w:r>
          </w:p>
        </w:tc>
        <w:tc>
          <w:tcPr>
            <w:tcW w:w="1628" w:type="dxa"/>
            <w:tcBorders>
              <w:top w:val="nil"/>
              <w:left w:val="nil"/>
              <w:bottom w:val="nil"/>
              <w:right w:val="nil"/>
            </w:tcBorders>
            <w:hideMark/>
          </w:tcPr>
          <w:p w14:paraId="0B06623D" w14:textId="77777777" w:rsidR="001E2B40" w:rsidRPr="00234B2D" w:rsidRDefault="001E2B40" w:rsidP="0062312D">
            <w:pPr>
              <w:spacing w:line="480" w:lineRule="auto"/>
              <w:jc w:val="center"/>
            </w:pPr>
            <w:r w:rsidRPr="00234B2D">
              <w:t>1.3 ± 0.2</w:t>
            </w:r>
          </w:p>
        </w:tc>
        <w:tc>
          <w:tcPr>
            <w:tcW w:w="1628" w:type="dxa"/>
            <w:tcBorders>
              <w:top w:val="nil"/>
              <w:left w:val="nil"/>
              <w:bottom w:val="nil"/>
              <w:right w:val="nil"/>
            </w:tcBorders>
            <w:hideMark/>
          </w:tcPr>
          <w:p w14:paraId="0EF36D98" w14:textId="77777777" w:rsidR="001E2B40" w:rsidRPr="00234B2D" w:rsidRDefault="001E2B40" w:rsidP="0062312D">
            <w:pPr>
              <w:spacing w:line="480" w:lineRule="auto"/>
              <w:jc w:val="center"/>
            </w:pPr>
            <w:r w:rsidRPr="00234B2D">
              <w:t>1.3 ± 0.3</w:t>
            </w:r>
          </w:p>
        </w:tc>
      </w:tr>
      <w:tr w:rsidR="001E2B40" w:rsidRPr="00234B2D" w14:paraId="099C4F5E" w14:textId="77777777" w:rsidTr="0062312D">
        <w:trPr>
          <w:trHeight w:val="20"/>
          <w:jc w:val="center"/>
        </w:trPr>
        <w:tc>
          <w:tcPr>
            <w:tcW w:w="2547" w:type="dxa"/>
            <w:tcBorders>
              <w:top w:val="nil"/>
              <w:left w:val="nil"/>
              <w:bottom w:val="nil"/>
              <w:right w:val="nil"/>
            </w:tcBorders>
            <w:hideMark/>
          </w:tcPr>
          <w:p w14:paraId="02A0C6C3" w14:textId="77777777" w:rsidR="001E2B40" w:rsidRPr="00234B2D" w:rsidRDefault="001E2B40" w:rsidP="0062312D">
            <w:pPr>
              <w:spacing w:line="480" w:lineRule="auto"/>
              <w:ind w:right="-141"/>
            </w:pPr>
            <w:r w:rsidRPr="00234B2D">
              <w:t>Glutathione peroxidase activity (U/L)</w:t>
            </w:r>
          </w:p>
        </w:tc>
        <w:tc>
          <w:tcPr>
            <w:tcW w:w="1628" w:type="dxa"/>
            <w:tcBorders>
              <w:top w:val="nil"/>
              <w:left w:val="nil"/>
              <w:bottom w:val="nil"/>
              <w:right w:val="nil"/>
            </w:tcBorders>
            <w:hideMark/>
          </w:tcPr>
          <w:p w14:paraId="6CF5E0D5" w14:textId="77777777" w:rsidR="001E2B40" w:rsidRPr="00234B2D" w:rsidRDefault="001E2B40" w:rsidP="0062312D">
            <w:pPr>
              <w:spacing w:line="480" w:lineRule="auto"/>
              <w:ind w:right="-71"/>
              <w:jc w:val="center"/>
            </w:pPr>
            <w:r w:rsidRPr="00234B2D">
              <w:t>366.4 ± 118.5</w:t>
            </w:r>
          </w:p>
        </w:tc>
        <w:tc>
          <w:tcPr>
            <w:tcW w:w="1628" w:type="dxa"/>
            <w:tcBorders>
              <w:top w:val="nil"/>
              <w:left w:val="nil"/>
              <w:bottom w:val="nil"/>
              <w:right w:val="nil"/>
            </w:tcBorders>
            <w:hideMark/>
          </w:tcPr>
          <w:p w14:paraId="2FBF3BDA" w14:textId="77777777" w:rsidR="001E2B40" w:rsidRPr="00234B2D" w:rsidRDefault="001E2B40" w:rsidP="0062312D">
            <w:pPr>
              <w:spacing w:line="480" w:lineRule="auto"/>
              <w:ind w:right="-142"/>
              <w:jc w:val="center"/>
            </w:pPr>
            <w:r w:rsidRPr="00234B2D">
              <w:t>368.0 ± 123.7</w:t>
            </w:r>
          </w:p>
        </w:tc>
        <w:tc>
          <w:tcPr>
            <w:tcW w:w="1628" w:type="dxa"/>
            <w:tcBorders>
              <w:top w:val="nil"/>
              <w:left w:val="nil"/>
              <w:bottom w:val="nil"/>
              <w:right w:val="nil"/>
            </w:tcBorders>
            <w:hideMark/>
          </w:tcPr>
          <w:p w14:paraId="5667D6F6" w14:textId="77777777" w:rsidR="001E2B40" w:rsidRPr="00234B2D" w:rsidRDefault="001E2B40" w:rsidP="0062312D">
            <w:pPr>
              <w:spacing w:line="480" w:lineRule="auto"/>
              <w:jc w:val="center"/>
            </w:pPr>
            <w:r w:rsidRPr="00234B2D">
              <w:t>359.2 ± 114.6</w:t>
            </w:r>
          </w:p>
        </w:tc>
        <w:tc>
          <w:tcPr>
            <w:tcW w:w="1628" w:type="dxa"/>
            <w:tcBorders>
              <w:top w:val="nil"/>
              <w:left w:val="nil"/>
              <w:bottom w:val="nil"/>
              <w:right w:val="nil"/>
            </w:tcBorders>
            <w:hideMark/>
          </w:tcPr>
          <w:p w14:paraId="68AE811E" w14:textId="77777777" w:rsidR="001E2B40" w:rsidRPr="00234B2D" w:rsidRDefault="001E2B40" w:rsidP="0062312D">
            <w:pPr>
              <w:spacing w:line="480" w:lineRule="auto"/>
              <w:jc w:val="center"/>
            </w:pPr>
            <w:r w:rsidRPr="00234B2D">
              <w:t>357.9 ± 114.5</w:t>
            </w:r>
          </w:p>
        </w:tc>
      </w:tr>
      <w:tr w:rsidR="001E2B40" w:rsidRPr="00234B2D" w14:paraId="5315783D" w14:textId="77777777" w:rsidTr="0062312D">
        <w:trPr>
          <w:trHeight w:val="20"/>
          <w:jc w:val="center"/>
        </w:trPr>
        <w:tc>
          <w:tcPr>
            <w:tcW w:w="2547" w:type="dxa"/>
            <w:tcBorders>
              <w:top w:val="nil"/>
              <w:left w:val="nil"/>
              <w:bottom w:val="nil"/>
              <w:right w:val="nil"/>
            </w:tcBorders>
            <w:hideMark/>
          </w:tcPr>
          <w:p w14:paraId="4C9D791A" w14:textId="77777777" w:rsidR="001E2B40" w:rsidRPr="00234B2D" w:rsidRDefault="001E2B40" w:rsidP="0062312D">
            <w:pPr>
              <w:spacing w:line="480" w:lineRule="auto"/>
              <w:ind w:right="-141"/>
            </w:pPr>
            <w:r w:rsidRPr="00234B2D">
              <w:t>Superoxide dismutase activity (U/L)</w:t>
            </w:r>
          </w:p>
        </w:tc>
        <w:tc>
          <w:tcPr>
            <w:tcW w:w="1628" w:type="dxa"/>
            <w:tcBorders>
              <w:top w:val="nil"/>
              <w:left w:val="nil"/>
              <w:bottom w:val="nil"/>
              <w:right w:val="nil"/>
            </w:tcBorders>
            <w:hideMark/>
          </w:tcPr>
          <w:p w14:paraId="503BBDE0" w14:textId="77777777" w:rsidR="001E2B40" w:rsidRPr="00234B2D" w:rsidRDefault="001E2B40" w:rsidP="0062312D">
            <w:pPr>
              <w:spacing w:line="480" w:lineRule="auto"/>
              <w:ind w:right="-71"/>
              <w:jc w:val="center"/>
            </w:pPr>
            <w:r w:rsidRPr="00234B2D">
              <w:t>59.6</w:t>
            </w:r>
          </w:p>
          <w:p w14:paraId="1EF015A4" w14:textId="77777777" w:rsidR="001E2B40" w:rsidRPr="00234B2D" w:rsidRDefault="001E2B40" w:rsidP="0062312D">
            <w:pPr>
              <w:spacing w:line="480" w:lineRule="auto"/>
              <w:ind w:right="-71"/>
              <w:jc w:val="center"/>
            </w:pPr>
            <w:r w:rsidRPr="00234B2D">
              <w:t>[1.0-103.6]</w:t>
            </w:r>
          </w:p>
        </w:tc>
        <w:tc>
          <w:tcPr>
            <w:tcW w:w="1628" w:type="dxa"/>
            <w:tcBorders>
              <w:top w:val="nil"/>
              <w:left w:val="nil"/>
              <w:bottom w:val="nil"/>
              <w:right w:val="nil"/>
            </w:tcBorders>
            <w:hideMark/>
          </w:tcPr>
          <w:p w14:paraId="7B7AF131" w14:textId="77777777" w:rsidR="001E2B40" w:rsidRPr="00234B2D" w:rsidRDefault="001E2B40" w:rsidP="0062312D">
            <w:pPr>
              <w:spacing w:line="480" w:lineRule="auto"/>
              <w:ind w:right="-142"/>
              <w:jc w:val="center"/>
            </w:pPr>
            <w:r w:rsidRPr="00234B2D">
              <w:t>68.3</w:t>
            </w:r>
          </w:p>
          <w:p w14:paraId="3683E2FB" w14:textId="77777777" w:rsidR="001E2B40" w:rsidRPr="00234B2D" w:rsidRDefault="001E2B40" w:rsidP="0062312D">
            <w:pPr>
              <w:spacing w:line="480" w:lineRule="auto"/>
              <w:ind w:right="-142"/>
              <w:jc w:val="center"/>
            </w:pPr>
            <w:r w:rsidRPr="00234B2D">
              <w:t>[15.2-97.9]</w:t>
            </w:r>
          </w:p>
        </w:tc>
        <w:tc>
          <w:tcPr>
            <w:tcW w:w="1628" w:type="dxa"/>
            <w:tcBorders>
              <w:top w:val="nil"/>
              <w:left w:val="nil"/>
              <w:bottom w:val="nil"/>
              <w:right w:val="nil"/>
            </w:tcBorders>
            <w:hideMark/>
          </w:tcPr>
          <w:p w14:paraId="7CA78C86" w14:textId="77777777" w:rsidR="001E2B40" w:rsidRPr="00234B2D" w:rsidRDefault="001E2B40" w:rsidP="0062312D">
            <w:pPr>
              <w:spacing w:line="480" w:lineRule="auto"/>
              <w:jc w:val="center"/>
            </w:pPr>
            <w:r w:rsidRPr="00234B2D">
              <w:t>60.5</w:t>
            </w:r>
          </w:p>
          <w:p w14:paraId="42C6EC9C" w14:textId="77777777" w:rsidR="001E2B40" w:rsidRPr="00234B2D" w:rsidRDefault="001E2B40" w:rsidP="0062312D">
            <w:pPr>
              <w:spacing w:line="480" w:lineRule="auto"/>
              <w:jc w:val="center"/>
            </w:pPr>
            <w:r w:rsidRPr="00234B2D">
              <w:t>[25.7113.8]</w:t>
            </w:r>
          </w:p>
        </w:tc>
        <w:tc>
          <w:tcPr>
            <w:tcW w:w="1628" w:type="dxa"/>
            <w:tcBorders>
              <w:top w:val="nil"/>
              <w:left w:val="nil"/>
              <w:bottom w:val="nil"/>
              <w:right w:val="nil"/>
            </w:tcBorders>
            <w:hideMark/>
          </w:tcPr>
          <w:p w14:paraId="6470074B" w14:textId="77777777" w:rsidR="001E2B40" w:rsidRPr="00234B2D" w:rsidRDefault="001E2B40" w:rsidP="0062312D">
            <w:pPr>
              <w:spacing w:line="480" w:lineRule="auto"/>
              <w:jc w:val="center"/>
            </w:pPr>
            <w:r w:rsidRPr="00234B2D">
              <w:t>61.4</w:t>
            </w:r>
          </w:p>
          <w:p w14:paraId="38D4B44B" w14:textId="77777777" w:rsidR="001E2B40" w:rsidRPr="00234B2D" w:rsidRDefault="001E2B40" w:rsidP="0062312D">
            <w:pPr>
              <w:spacing w:line="480" w:lineRule="auto"/>
              <w:jc w:val="center"/>
            </w:pPr>
            <w:r w:rsidRPr="00234B2D">
              <w:t>[13.1-92.7]</w:t>
            </w:r>
          </w:p>
        </w:tc>
      </w:tr>
      <w:tr w:rsidR="001E2B40" w:rsidRPr="00234B2D" w14:paraId="0B0F8998" w14:textId="77777777" w:rsidTr="0062312D">
        <w:trPr>
          <w:trHeight w:val="20"/>
          <w:jc w:val="center"/>
        </w:trPr>
        <w:tc>
          <w:tcPr>
            <w:tcW w:w="2547" w:type="dxa"/>
            <w:tcBorders>
              <w:top w:val="nil"/>
              <w:left w:val="nil"/>
              <w:bottom w:val="nil"/>
              <w:right w:val="nil"/>
            </w:tcBorders>
            <w:hideMark/>
          </w:tcPr>
          <w:p w14:paraId="79B29193" w14:textId="77777777" w:rsidR="001E2B40" w:rsidRPr="00234B2D" w:rsidRDefault="001E2B40" w:rsidP="0062312D">
            <w:pPr>
              <w:spacing w:line="480" w:lineRule="auto"/>
              <w:ind w:right="-141"/>
            </w:pPr>
            <w:r w:rsidRPr="00234B2D">
              <w:t>8-OHdG (ng/mL) ‡</w:t>
            </w:r>
          </w:p>
        </w:tc>
        <w:tc>
          <w:tcPr>
            <w:tcW w:w="1628" w:type="dxa"/>
            <w:tcBorders>
              <w:top w:val="nil"/>
              <w:left w:val="nil"/>
              <w:bottom w:val="nil"/>
              <w:right w:val="nil"/>
            </w:tcBorders>
            <w:hideMark/>
          </w:tcPr>
          <w:p w14:paraId="5287B74D" w14:textId="77777777" w:rsidR="001E2B40" w:rsidRPr="00234B2D" w:rsidRDefault="001E2B40" w:rsidP="0062312D">
            <w:pPr>
              <w:spacing w:line="480" w:lineRule="auto"/>
              <w:ind w:right="-71"/>
              <w:jc w:val="center"/>
            </w:pPr>
            <w:r w:rsidRPr="00234B2D">
              <w:t>272.2</w:t>
            </w:r>
          </w:p>
          <w:p w14:paraId="3B8FEB66" w14:textId="77777777" w:rsidR="001E2B40" w:rsidRPr="00234B2D" w:rsidRDefault="001E2B40" w:rsidP="0062312D">
            <w:pPr>
              <w:spacing w:line="480" w:lineRule="auto"/>
              <w:ind w:right="-71"/>
              <w:jc w:val="center"/>
            </w:pPr>
            <w:r w:rsidRPr="00234B2D">
              <w:t>[104.4-377.5]</w:t>
            </w:r>
          </w:p>
        </w:tc>
        <w:tc>
          <w:tcPr>
            <w:tcW w:w="1628" w:type="dxa"/>
            <w:tcBorders>
              <w:top w:val="nil"/>
              <w:left w:val="nil"/>
              <w:bottom w:val="nil"/>
              <w:right w:val="nil"/>
            </w:tcBorders>
            <w:hideMark/>
          </w:tcPr>
          <w:p w14:paraId="1B468D83" w14:textId="77777777" w:rsidR="001E2B40" w:rsidRPr="00234B2D" w:rsidRDefault="001E2B40" w:rsidP="0062312D">
            <w:pPr>
              <w:spacing w:line="480" w:lineRule="auto"/>
              <w:ind w:right="-142"/>
              <w:jc w:val="center"/>
            </w:pPr>
            <w:r w:rsidRPr="00234B2D">
              <w:t>227.4</w:t>
            </w:r>
          </w:p>
          <w:p w14:paraId="7CAF8BD0" w14:textId="77777777" w:rsidR="001E2B40" w:rsidRPr="00234B2D" w:rsidRDefault="001E2B40" w:rsidP="0062312D">
            <w:pPr>
              <w:spacing w:line="480" w:lineRule="auto"/>
              <w:ind w:right="-142"/>
              <w:jc w:val="center"/>
            </w:pPr>
            <w:r w:rsidRPr="00234B2D">
              <w:t>[114.1-431.7]</w:t>
            </w:r>
          </w:p>
        </w:tc>
        <w:tc>
          <w:tcPr>
            <w:tcW w:w="1628" w:type="dxa"/>
            <w:tcBorders>
              <w:top w:val="nil"/>
              <w:left w:val="nil"/>
              <w:bottom w:val="nil"/>
              <w:right w:val="nil"/>
            </w:tcBorders>
            <w:hideMark/>
          </w:tcPr>
          <w:p w14:paraId="7593B7B9" w14:textId="77777777" w:rsidR="001E2B40" w:rsidRPr="00234B2D" w:rsidRDefault="001E2B40" w:rsidP="0062312D">
            <w:pPr>
              <w:spacing w:line="480" w:lineRule="auto"/>
              <w:jc w:val="center"/>
            </w:pPr>
            <w:r w:rsidRPr="00234B2D">
              <w:t>230.0</w:t>
            </w:r>
          </w:p>
          <w:p w14:paraId="3EFC3C81" w14:textId="77777777" w:rsidR="001E2B40" w:rsidRPr="00234B2D" w:rsidRDefault="001E2B40" w:rsidP="0062312D">
            <w:pPr>
              <w:spacing w:line="480" w:lineRule="auto"/>
              <w:jc w:val="center"/>
            </w:pPr>
            <w:r w:rsidRPr="00234B2D">
              <w:t>[159.4-626.6]</w:t>
            </w:r>
          </w:p>
        </w:tc>
        <w:tc>
          <w:tcPr>
            <w:tcW w:w="1628" w:type="dxa"/>
            <w:tcBorders>
              <w:top w:val="nil"/>
              <w:left w:val="nil"/>
              <w:bottom w:val="nil"/>
              <w:right w:val="nil"/>
            </w:tcBorders>
            <w:hideMark/>
          </w:tcPr>
          <w:p w14:paraId="6DA9E3EC" w14:textId="77777777" w:rsidR="001E2B40" w:rsidRPr="00234B2D" w:rsidRDefault="001E2B40" w:rsidP="0062312D">
            <w:pPr>
              <w:spacing w:line="480" w:lineRule="auto"/>
              <w:jc w:val="center"/>
            </w:pPr>
            <w:r w:rsidRPr="00234B2D">
              <w:t>296.7</w:t>
            </w:r>
          </w:p>
          <w:p w14:paraId="2999C461" w14:textId="77777777" w:rsidR="001E2B40" w:rsidRPr="00234B2D" w:rsidRDefault="001E2B40" w:rsidP="0062312D">
            <w:pPr>
              <w:spacing w:line="480" w:lineRule="auto"/>
              <w:jc w:val="center"/>
            </w:pPr>
            <w:r w:rsidRPr="00234B2D">
              <w:t>[119.3-578.6]</w:t>
            </w:r>
          </w:p>
        </w:tc>
      </w:tr>
      <w:tr w:rsidR="001E2B40" w:rsidRPr="00234B2D" w14:paraId="51323D99" w14:textId="77777777" w:rsidTr="0062312D">
        <w:trPr>
          <w:trHeight w:val="20"/>
          <w:jc w:val="center"/>
        </w:trPr>
        <w:tc>
          <w:tcPr>
            <w:tcW w:w="2547" w:type="dxa"/>
            <w:tcBorders>
              <w:top w:val="nil"/>
              <w:left w:val="nil"/>
              <w:bottom w:val="single" w:sz="12" w:space="0" w:color="auto"/>
              <w:right w:val="nil"/>
            </w:tcBorders>
            <w:hideMark/>
          </w:tcPr>
          <w:p w14:paraId="6E1E4337" w14:textId="77777777" w:rsidR="001E2B40" w:rsidRPr="00234B2D" w:rsidRDefault="001E2B40" w:rsidP="0062312D">
            <w:pPr>
              <w:spacing w:line="480" w:lineRule="auto"/>
              <w:ind w:right="-141"/>
            </w:pPr>
            <w:r w:rsidRPr="00234B2D">
              <w:t>8-OHdG:Creatinine ratio (ng/mg) ‡</w:t>
            </w:r>
          </w:p>
        </w:tc>
        <w:tc>
          <w:tcPr>
            <w:tcW w:w="1628" w:type="dxa"/>
            <w:tcBorders>
              <w:top w:val="nil"/>
              <w:left w:val="nil"/>
              <w:bottom w:val="single" w:sz="12" w:space="0" w:color="auto"/>
              <w:right w:val="nil"/>
            </w:tcBorders>
            <w:hideMark/>
          </w:tcPr>
          <w:p w14:paraId="1A057B43" w14:textId="77777777" w:rsidR="001E2B40" w:rsidRPr="00234B2D" w:rsidRDefault="001E2B40" w:rsidP="0062312D">
            <w:pPr>
              <w:spacing w:line="480" w:lineRule="auto"/>
              <w:ind w:right="-71"/>
              <w:jc w:val="center"/>
            </w:pPr>
            <w:r w:rsidRPr="00234B2D">
              <w:t>27.8[12.3-61.3]</w:t>
            </w:r>
          </w:p>
        </w:tc>
        <w:tc>
          <w:tcPr>
            <w:tcW w:w="1628" w:type="dxa"/>
            <w:tcBorders>
              <w:top w:val="nil"/>
              <w:left w:val="nil"/>
              <w:bottom w:val="single" w:sz="12" w:space="0" w:color="auto"/>
              <w:right w:val="nil"/>
            </w:tcBorders>
            <w:hideMark/>
          </w:tcPr>
          <w:p w14:paraId="5F566A91" w14:textId="77777777" w:rsidR="001E2B40" w:rsidRPr="00234B2D" w:rsidRDefault="001E2B40" w:rsidP="0062312D">
            <w:pPr>
              <w:spacing w:line="480" w:lineRule="auto"/>
              <w:ind w:right="-142"/>
              <w:jc w:val="center"/>
            </w:pPr>
            <w:r w:rsidRPr="00234B2D">
              <w:t>33.7[16.7-63.3]</w:t>
            </w:r>
          </w:p>
        </w:tc>
        <w:tc>
          <w:tcPr>
            <w:tcW w:w="1628" w:type="dxa"/>
            <w:tcBorders>
              <w:top w:val="nil"/>
              <w:left w:val="nil"/>
              <w:bottom w:val="single" w:sz="12" w:space="0" w:color="auto"/>
              <w:right w:val="nil"/>
            </w:tcBorders>
            <w:hideMark/>
          </w:tcPr>
          <w:p w14:paraId="1143237B" w14:textId="77777777" w:rsidR="001E2B40" w:rsidRPr="00234B2D" w:rsidRDefault="001E2B40" w:rsidP="0062312D">
            <w:pPr>
              <w:spacing w:line="480" w:lineRule="auto"/>
              <w:jc w:val="center"/>
            </w:pPr>
            <w:r w:rsidRPr="00234B2D">
              <w:t>28.7[17.4-78.1]</w:t>
            </w:r>
          </w:p>
        </w:tc>
        <w:tc>
          <w:tcPr>
            <w:tcW w:w="1628" w:type="dxa"/>
            <w:tcBorders>
              <w:top w:val="nil"/>
              <w:left w:val="nil"/>
              <w:bottom w:val="single" w:sz="12" w:space="0" w:color="auto"/>
              <w:right w:val="nil"/>
            </w:tcBorders>
            <w:hideMark/>
          </w:tcPr>
          <w:p w14:paraId="57B4E140" w14:textId="77777777" w:rsidR="001E2B40" w:rsidRPr="00234B2D" w:rsidRDefault="001E2B40" w:rsidP="0062312D">
            <w:pPr>
              <w:spacing w:line="480" w:lineRule="auto"/>
              <w:jc w:val="center"/>
            </w:pPr>
            <w:r w:rsidRPr="00234B2D">
              <w:t>38.7[20.3-64.4]</w:t>
            </w:r>
          </w:p>
        </w:tc>
      </w:tr>
    </w:tbl>
    <w:p w14:paraId="0F71FF43" w14:textId="77777777" w:rsidR="001E2B40" w:rsidRPr="00234B2D" w:rsidRDefault="001E2B40" w:rsidP="001E2B40">
      <w:pPr>
        <w:autoSpaceDE w:val="0"/>
        <w:autoSpaceDN w:val="0"/>
        <w:adjustRightInd w:val="0"/>
        <w:spacing w:after="0" w:line="480" w:lineRule="auto"/>
        <w:ind w:right="60"/>
        <w:jc w:val="both"/>
        <w:rPr>
          <w:rFonts w:ascii="Calibri" w:eastAsia="OTNEJMScalaSansLF" w:hAnsi="Calibri" w:cs="Times New Roman"/>
          <w:sz w:val="24"/>
          <w:szCs w:val="24"/>
        </w:rPr>
      </w:pPr>
      <w:r w:rsidRPr="48AF0A54">
        <w:rPr>
          <w:rFonts w:ascii="Calibri" w:eastAsia="Calibri" w:hAnsi="Calibri" w:cs="Times New Roman"/>
          <w:sz w:val="24"/>
          <w:szCs w:val="24"/>
        </w:rPr>
        <w:lastRenderedPageBreak/>
        <w:fldChar w:fldCharType="end"/>
      </w:r>
      <w:r w:rsidRPr="48AF0A54">
        <w:rPr>
          <w:rFonts w:ascii="Calibri" w:eastAsia="Calibri" w:hAnsi="Calibri" w:cs="Times New Roman"/>
          <w:sz w:val="24"/>
          <w:szCs w:val="24"/>
        </w:rPr>
        <w:t xml:space="preserve">* </w:t>
      </w:r>
      <w:r w:rsidRPr="48AF0A54">
        <w:rPr>
          <w:rFonts w:ascii="Calibri" w:eastAsia="Calibri" w:hAnsi="Calibri" w:cs="Times New Roman"/>
        </w:rPr>
        <w:t xml:space="preserve">Data expressed as mean ± SD or median [interquartile range] depending on variables distribution. † Retinopathy denotes the presence of background, pre-proliferative or proliferative retinopathy. ‡ 8-OHdG, 8 hydroxy 2’deoguanosine.  § </w:t>
      </w:r>
      <w:r w:rsidRPr="48AF0A54">
        <w:rPr>
          <w:rFonts w:ascii="Calibri" w:eastAsia="OTNEJMScalaSansLF" w:hAnsi="Calibri" w:cs="Times New Roman"/>
        </w:rPr>
        <w:t xml:space="preserve">There was a significant between-group difference in the proportion of patients who were prescribed </w:t>
      </w:r>
      <w:proofErr w:type="spellStart"/>
      <w:r w:rsidRPr="48AF0A54">
        <w:rPr>
          <w:rFonts w:ascii="Calibri" w:eastAsia="Calibri" w:hAnsi="Calibri" w:cs="Times New Roman"/>
        </w:rPr>
        <w:t>sulphonylurea</w:t>
      </w:r>
      <w:proofErr w:type="spellEnd"/>
      <w:r w:rsidRPr="48AF0A54">
        <w:rPr>
          <w:rFonts w:ascii="Calibri" w:eastAsia="Calibri" w:hAnsi="Calibri" w:cs="Times New Roman"/>
        </w:rPr>
        <w:t xml:space="preserve"> (P=0.02).</w:t>
      </w:r>
      <w:r w:rsidRPr="48AF0A54">
        <w:rPr>
          <w:rFonts w:ascii="Calibri" w:eastAsia="OTNEJMScalaSansLF" w:hAnsi="Calibri" w:cs="OTNEJMScalaSansLF"/>
        </w:rPr>
        <w:t xml:space="preserve"> </w:t>
      </w:r>
      <w:r w:rsidRPr="48AF0A54">
        <w:rPr>
          <w:rFonts w:ascii="Calibri" w:eastAsia="OTNEJMScalaSansLF" w:hAnsi="Calibri" w:cs="Times New Roman"/>
        </w:rPr>
        <w:t>There were no significant differences in any other baseline characteristics between groups.</w:t>
      </w:r>
    </w:p>
    <w:p w14:paraId="7596E935" w14:textId="333B7D84" w:rsidR="48AF0A54" w:rsidRDefault="48AF0A54" w:rsidP="48AF0A54">
      <w:pPr>
        <w:spacing w:line="480" w:lineRule="auto"/>
        <w:jc w:val="both"/>
        <w:rPr>
          <w:sz w:val="24"/>
          <w:szCs w:val="24"/>
        </w:rPr>
      </w:pPr>
    </w:p>
    <w:p w14:paraId="49F595CF" w14:textId="7917F8DD" w:rsidR="001E7AFB" w:rsidRDefault="00965B6F" w:rsidP="73D80F66">
      <w:pPr>
        <w:spacing w:line="480" w:lineRule="auto"/>
        <w:jc w:val="both"/>
        <w:rPr>
          <w:sz w:val="24"/>
          <w:szCs w:val="24"/>
        </w:rPr>
      </w:pPr>
      <w:r w:rsidRPr="73D80F66">
        <w:rPr>
          <w:sz w:val="24"/>
          <w:szCs w:val="24"/>
        </w:rPr>
        <w:t>A rise in eGFR occurred for all the interventions</w:t>
      </w:r>
      <w:r w:rsidR="00087BFC" w:rsidRPr="73D80F66">
        <w:rPr>
          <w:sz w:val="24"/>
          <w:szCs w:val="24"/>
        </w:rPr>
        <w:t xml:space="preserve"> in a </w:t>
      </w:r>
      <w:r w:rsidR="00EA5E88" w:rsidRPr="73D80F66">
        <w:rPr>
          <w:sz w:val="24"/>
          <w:szCs w:val="24"/>
        </w:rPr>
        <w:t>non-lin</w:t>
      </w:r>
      <w:r w:rsidR="00470EA4" w:rsidRPr="73D80F66">
        <w:rPr>
          <w:sz w:val="24"/>
          <w:szCs w:val="24"/>
        </w:rPr>
        <w:t xml:space="preserve">ear, </w:t>
      </w:r>
      <w:r w:rsidR="000516FA" w:rsidRPr="73D80F66">
        <w:rPr>
          <w:sz w:val="24"/>
          <w:szCs w:val="24"/>
        </w:rPr>
        <w:t xml:space="preserve">quadratic trend </w:t>
      </w:r>
      <w:r w:rsidR="00470EA4" w:rsidRPr="73D80F66">
        <w:rPr>
          <w:sz w:val="24"/>
          <w:szCs w:val="24"/>
        </w:rPr>
        <w:t>with t</w:t>
      </w:r>
      <w:r w:rsidR="00087BFC" w:rsidRPr="73D80F66">
        <w:rPr>
          <w:sz w:val="24"/>
          <w:szCs w:val="24"/>
        </w:rPr>
        <w:t>ime</w:t>
      </w:r>
      <w:r w:rsidR="000516FA" w:rsidRPr="73D80F66">
        <w:rPr>
          <w:sz w:val="24"/>
          <w:szCs w:val="24"/>
        </w:rPr>
        <w:t>.  The predicted mean [95% confidence interval] time to peak rise (TPR) in eGFR was shortest in the double-active treatment group compared with placebo (5.6 [4.0-7.0] vs 8.9 [6.8-10.9 months]; p=0.006), followed by vitamin E alone (6.82 [5.2-8.5] months) and was longest with selenium only (7.6 [5.7-9.4] months)</w:t>
      </w:r>
      <w:r w:rsidR="62622530" w:rsidRPr="73D80F66">
        <w:rPr>
          <w:sz w:val="24"/>
          <w:szCs w:val="24"/>
        </w:rPr>
        <w:t xml:space="preserve"> and </w:t>
      </w:r>
      <w:r w:rsidR="000516FA" w:rsidRPr="73D80F66">
        <w:rPr>
          <w:sz w:val="24"/>
          <w:szCs w:val="24"/>
        </w:rPr>
        <w:t xml:space="preserve">consistent between heritage groups (Figure </w:t>
      </w:r>
      <w:r w:rsidR="007E1D50" w:rsidRPr="73D80F66">
        <w:rPr>
          <w:sz w:val="24"/>
          <w:szCs w:val="24"/>
        </w:rPr>
        <w:t>2</w:t>
      </w:r>
      <w:r w:rsidR="000516FA" w:rsidRPr="73D80F66">
        <w:rPr>
          <w:sz w:val="24"/>
          <w:szCs w:val="24"/>
        </w:rPr>
        <w:t>).   </w:t>
      </w:r>
      <w:r w:rsidR="004B5082" w:rsidRPr="73D80F66">
        <w:rPr>
          <w:sz w:val="24"/>
          <w:szCs w:val="24"/>
        </w:rPr>
        <w:t xml:space="preserve"> </w:t>
      </w:r>
    </w:p>
    <w:p w14:paraId="67B7DFBB" w14:textId="77777777" w:rsidR="0073201E" w:rsidRPr="00443048" w:rsidRDefault="0073201E" w:rsidP="73D80F66">
      <w:pPr>
        <w:spacing w:line="480" w:lineRule="auto"/>
        <w:jc w:val="both"/>
        <w:rPr>
          <w:sz w:val="24"/>
          <w:szCs w:val="24"/>
        </w:rPr>
      </w:pPr>
    </w:p>
    <w:p w14:paraId="61521613" w14:textId="5106F4BB" w:rsidR="73D80F66" w:rsidRDefault="0073201E" w:rsidP="73D80F66">
      <w:pPr>
        <w:spacing w:line="480" w:lineRule="auto"/>
        <w:jc w:val="both"/>
        <w:rPr>
          <w:sz w:val="24"/>
          <w:szCs w:val="24"/>
        </w:rPr>
      </w:pPr>
      <w:r>
        <w:rPr>
          <w:noProof/>
          <w:lang w:eastAsia="en-GB"/>
        </w:rPr>
        <w:drawing>
          <wp:inline distT="0" distB="0" distL="0" distR="0" wp14:anchorId="28056F81" wp14:editId="2B2D0932">
            <wp:extent cx="4993004" cy="3633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4993004" cy="3633470"/>
                    </a:xfrm>
                    <a:prstGeom prst="rect">
                      <a:avLst/>
                    </a:prstGeom>
                  </pic:spPr>
                </pic:pic>
              </a:graphicData>
            </a:graphic>
          </wp:inline>
        </w:drawing>
      </w:r>
    </w:p>
    <w:p w14:paraId="581F08CA" w14:textId="1251647D" w:rsidR="73D80F66" w:rsidRDefault="00DB7BA5" w:rsidP="00917FC1">
      <w:pPr>
        <w:spacing w:before="100" w:beforeAutospacing="1" w:after="100" w:afterAutospacing="1" w:line="240" w:lineRule="auto"/>
        <w:jc w:val="both"/>
        <w:textAlignment w:val="baseline"/>
        <w:rPr>
          <w:rFonts w:eastAsia="Times New Roman" w:cs="Times New Roman"/>
          <w:sz w:val="24"/>
          <w:szCs w:val="24"/>
          <w:lang w:eastAsia="en-GB"/>
        </w:rPr>
      </w:pPr>
      <w:r w:rsidRPr="006832C8">
        <w:rPr>
          <w:rFonts w:eastAsia="Times New Roman" w:cs="Times New Roman"/>
          <w:b/>
          <w:bCs/>
          <w:sz w:val="24"/>
          <w:szCs w:val="24"/>
          <w:lang w:eastAsia="en-GB"/>
        </w:rPr>
        <w:lastRenderedPageBreak/>
        <w:t>Figure 2.</w:t>
      </w:r>
      <w:r>
        <w:rPr>
          <w:rFonts w:eastAsia="Times New Roman" w:cs="Times New Roman"/>
          <w:b/>
          <w:bCs/>
          <w:sz w:val="24"/>
          <w:szCs w:val="24"/>
          <w:lang w:eastAsia="en-GB"/>
        </w:rPr>
        <w:t xml:space="preserve"> </w:t>
      </w:r>
      <w:r w:rsidRPr="00DB7BA5">
        <w:rPr>
          <w:rFonts w:eastAsia="Times New Roman" w:cs="Times New Roman"/>
          <w:sz w:val="24"/>
          <w:szCs w:val="24"/>
          <w:lang w:eastAsia="en-GB"/>
        </w:rPr>
        <w:t>Time to peak rise (TPR) in eGFR (hashed vertical lines) as predicted by models of the absolute values accounting for the treatment effect only. The horizontal bars on the right depict the effect of ethnicity</w:t>
      </w:r>
      <w:r w:rsidR="00A876D2">
        <w:rPr>
          <w:rFonts w:eastAsia="Times New Roman" w:cs="Times New Roman"/>
          <w:sz w:val="24"/>
          <w:szCs w:val="24"/>
          <w:lang w:eastAsia="en-GB"/>
        </w:rPr>
        <w:t>/heritage</w:t>
      </w:r>
      <w:r w:rsidRPr="00DB7BA5">
        <w:rPr>
          <w:rFonts w:eastAsia="Times New Roman" w:cs="Times New Roman"/>
          <w:sz w:val="24"/>
          <w:szCs w:val="24"/>
          <w:lang w:eastAsia="en-GB"/>
        </w:rPr>
        <w:t xml:space="preserve"> on the TPR which are prolonged in the non-Caucasians</w:t>
      </w:r>
      <w:r w:rsidR="00917FC1">
        <w:rPr>
          <w:rFonts w:eastAsia="Times New Roman" w:cs="Times New Roman"/>
          <w:sz w:val="24"/>
          <w:szCs w:val="24"/>
          <w:lang w:eastAsia="en-GB"/>
        </w:rPr>
        <w:t xml:space="preserve"> group</w:t>
      </w:r>
      <w:r w:rsidRPr="00DB7BA5">
        <w:rPr>
          <w:rFonts w:eastAsia="Times New Roman" w:cs="Times New Roman"/>
          <w:sz w:val="24"/>
          <w:szCs w:val="24"/>
          <w:lang w:eastAsia="en-GB"/>
        </w:rPr>
        <w:t xml:space="preserve">. </w:t>
      </w:r>
    </w:p>
    <w:p w14:paraId="5788C68E" w14:textId="77777777" w:rsidR="00917FC1" w:rsidRPr="00917FC1" w:rsidRDefault="00917FC1" w:rsidP="00917FC1">
      <w:pPr>
        <w:spacing w:before="100" w:beforeAutospacing="1" w:after="100" w:afterAutospacing="1" w:line="240" w:lineRule="auto"/>
        <w:jc w:val="both"/>
        <w:textAlignment w:val="baseline"/>
        <w:rPr>
          <w:rFonts w:eastAsia="Times New Roman" w:cs="Times New Roman"/>
          <w:sz w:val="24"/>
          <w:szCs w:val="24"/>
          <w:lang w:eastAsia="en-GB"/>
        </w:rPr>
      </w:pPr>
    </w:p>
    <w:p w14:paraId="02273A50" w14:textId="01528FB7" w:rsidR="000B761A" w:rsidRPr="00443048" w:rsidRDefault="00A84FEC" w:rsidP="702898A1">
      <w:pPr>
        <w:spacing w:line="480" w:lineRule="auto"/>
        <w:jc w:val="both"/>
        <w:rPr>
          <w:sz w:val="24"/>
          <w:szCs w:val="24"/>
        </w:rPr>
      </w:pPr>
      <w:r w:rsidRPr="702898A1">
        <w:rPr>
          <w:sz w:val="24"/>
          <w:szCs w:val="24"/>
        </w:rPr>
        <w:t xml:space="preserve">Patients randomised to </w:t>
      </w:r>
      <w:r w:rsidR="003F172B" w:rsidRPr="702898A1">
        <w:rPr>
          <w:sz w:val="24"/>
          <w:szCs w:val="24"/>
        </w:rPr>
        <w:t>the CEUS sub-study</w:t>
      </w:r>
      <w:r w:rsidRPr="702898A1">
        <w:rPr>
          <w:sz w:val="24"/>
          <w:szCs w:val="24"/>
        </w:rPr>
        <w:t xml:space="preserve"> in the control and antioxidant treatment groups had similar chronological </w:t>
      </w:r>
      <w:r w:rsidR="00A71A3C" w:rsidRPr="702898A1">
        <w:rPr>
          <w:sz w:val="24"/>
          <w:szCs w:val="24"/>
        </w:rPr>
        <w:t xml:space="preserve">age, BMI, </w:t>
      </w:r>
      <w:r w:rsidRPr="702898A1">
        <w:rPr>
          <w:sz w:val="24"/>
          <w:szCs w:val="24"/>
        </w:rPr>
        <w:t>haemoglobin A1c</w:t>
      </w:r>
      <w:r w:rsidR="0075133C" w:rsidRPr="702898A1">
        <w:rPr>
          <w:sz w:val="24"/>
          <w:szCs w:val="24"/>
        </w:rPr>
        <w:t>,</w:t>
      </w:r>
      <w:r w:rsidR="00A71A3C" w:rsidRPr="702898A1">
        <w:rPr>
          <w:sz w:val="24"/>
          <w:szCs w:val="24"/>
        </w:rPr>
        <w:t xml:space="preserve"> systolic blood pressure and eGFR </w:t>
      </w:r>
      <w:r w:rsidR="003F172B" w:rsidRPr="702898A1">
        <w:rPr>
          <w:sz w:val="24"/>
          <w:szCs w:val="24"/>
        </w:rPr>
        <w:t>(58.67[10.6] vs 66.33[8.89] years</w:t>
      </w:r>
      <w:r w:rsidRPr="702898A1">
        <w:rPr>
          <w:sz w:val="24"/>
          <w:szCs w:val="24"/>
        </w:rPr>
        <w:t>;</w:t>
      </w:r>
      <w:r w:rsidR="003F172B" w:rsidRPr="702898A1">
        <w:rPr>
          <w:sz w:val="24"/>
          <w:szCs w:val="24"/>
        </w:rPr>
        <w:t xml:space="preserve"> 31.83[2.8] vs 33.18[5.43]kg/m²</w:t>
      </w:r>
      <w:r w:rsidRPr="702898A1">
        <w:rPr>
          <w:sz w:val="24"/>
          <w:szCs w:val="24"/>
        </w:rPr>
        <w:t>;</w:t>
      </w:r>
      <w:r w:rsidR="003F172B" w:rsidRPr="702898A1">
        <w:rPr>
          <w:sz w:val="24"/>
          <w:szCs w:val="24"/>
        </w:rPr>
        <w:t xml:space="preserve"> </w:t>
      </w:r>
      <w:r w:rsidRPr="702898A1">
        <w:rPr>
          <w:sz w:val="24"/>
          <w:szCs w:val="24"/>
        </w:rPr>
        <w:t>64.0 [32.9] vs 60.50[20.2] mmol/mol; 144.67[7.3] vs 144.83[13.9] mmHg; and 96[17.4] vs 80.66[25.4]mL/min/1.73 m²) T</w:t>
      </w:r>
      <w:r w:rsidR="001E7AFB" w:rsidRPr="702898A1">
        <w:rPr>
          <w:sz w:val="24"/>
          <w:szCs w:val="24"/>
        </w:rPr>
        <w:t xml:space="preserve">here were no differences in plasma GPx-3 activity and </w:t>
      </w:r>
      <w:r w:rsidRPr="702898A1">
        <w:rPr>
          <w:sz w:val="24"/>
          <w:szCs w:val="24"/>
        </w:rPr>
        <w:t xml:space="preserve">the </w:t>
      </w:r>
      <w:r w:rsidR="001E7AFB" w:rsidRPr="702898A1">
        <w:rPr>
          <w:sz w:val="24"/>
          <w:szCs w:val="24"/>
        </w:rPr>
        <w:t xml:space="preserve">levels of vitamin E and selenium. </w:t>
      </w:r>
      <w:r w:rsidR="6FAE71BC" w:rsidRPr="702898A1">
        <w:rPr>
          <w:sz w:val="24"/>
          <w:szCs w:val="24"/>
        </w:rPr>
        <w:t xml:space="preserve"> </w:t>
      </w:r>
    </w:p>
    <w:p w14:paraId="5B93618D" w14:textId="44E00C1D" w:rsidR="000B761A" w:rsidRDefault="00A84FEC" w:rsidP="001E7AFB">
      <w:pPr>
        <w:spacing w:line="480" w:lineRule="auto"/>
        <w:jc w:val="both"/>
        <w:rPr>
          <w:sz w:val="24"/>
          <w:szCs w:val="24"/>
        </w:rPr>
      </w:pPr>
      <w:r w:rsidRPr="702898A1">
        <w:rPr>
          <w:sz w:val="24"/>
          <w:szCs w:val="24"/>
        </w:rPr>
        <w:t>Quantitative evaluation of</w:t>
      </w:r>
      <w:r w:rsidR="00AD4631" w:rsidRPr="702898A1">
        <w:rPr>
          <w:sz w:val="24"/>
          <w:szCs w:val="24"/>
        </w:rPr>
        <w:t xml:space="preserve"> </w:t>
      </w:r>
      <w:r w:rsidR="00CC37D6" w:rsidRPr="702898A1">
        <w:rPr>
          <w:sz w:val="24"/>
          <w:szCs w:val="24"/>
        </w:rPr>
        <w:t xml:space="preserve">the signal intensity </w:t>
      </w:r>
      <w:r w:rsidR="00AD4631" w:rsidRPr="702898A1">
        <w:rPr>
          <w:sz w:val="24"/>
          <w:szCs w:val="24"/>
        </w:rPr>
        <w:t xml:space="preserve">allowed calculation of the </w:t>
      </w:r>
      <w:r w:rsidR="001E7AFB" w:rsidRPr="702898A1">
        <w:rPr>
          <w:sz w:val="24"/>
          <w:szCs w:val="24"/>
        </w:rPr>
        <w:t xml:space="preserve">AUC1 </w:t>
      </w:r>
      <w:r w:rsidR="00AD4631" w:rsidRPr="702898A1">
        <w:rPr>
          <w:sz w:val="24"/>
          <w:szCs w:val="24"/>
        </w:rPr>
        <w:t xml:space="preserve">as </w:t>
      </w:r>
      <w:r w:rsidR="001E7AFB" w:rsidRPr="702898A1">
        <w:rPr>
          <w:sz w:val="24"/>
          <w:szCs w:val="24"/>
        </w:rPr>
        <w:t xml:space="preserve">evidence of maximum volume of </w:t>
      </w:r>
      <w:r w:rsidR="00320D92" w:rsidRPr="702898A1">
        <w:rPr>
          <w:sz w:val="24"/>
          <w:szCs w:val="24"/>
        </w:rPr>
        <w:t xml:space="preserve">wash-in </w:t>
      </w:r>
      <w:r w:rsidR="001E7AFB" w:rsidRPr="702898A1">
        <w:rPr>
          <w:sz w:val="24"/>
          <w:szCs w:val="24"/>
        </w:rPr>
        <w:t xml:space="preserve">and AUC2 </w:t>
      </w:r>
      <w:r w:rsidR="00AD4631" w:rsidRPr="702898A1">
        <w:rPr>
          <w:sz w:val="24"/>
          <w:szCs w:val="24"/>
        </w:rPr>
        <w:t xml:space="preserve">as the </w:t>
      </w:r>
      <w:r w:rsidR="001E7AFB" w:rsidRPr="702898A1">
        <w:rPr>
          <w:sz w:val="24"/>
          <w:szCs w:val="24"/>
        </w:rPr>
        <w:t xml:space="preserve">parameter to evaluate the </w:t>
      </w:r>
      <w:r w:rsidR="00320D92" w:rsidRPr="702898A1">
        <w:rPr>
          <w:sz w:val="24"/>
          <w:szCs w:val="24"/>
        </w:rPr>
        <w:t xml:space="preserve">wash-out from </w:t>
      </w:r>
      <w:r w:rsidR="00CC37D6" w:rsidRPr="702898A1">
        <w:rPr>
          <w:sz w:val="24"/>
          <w:szCs w:val="24"/>
        </w:rPr>
        <w:t xml:space="preserve">the </w:t>
      </w:r>
      <w:r w:rsidR="001E7AFB" w:rsidRPr="702898A1">
        <w:rPr>
          <w:sz w:val="24"/>
          <w:szCs w:val="24"/>
        </w:rPr>
        <w:t>renal microvascular bed</w:t>
      </w:r>
      <w:r w:rsidR="00CC37D6" w:rsidRPr="702898A1">
        <w:rPr>
          <w:sz w:val="24"/>
          <w:szCs w:val="24"/>
        </w:rPr>
        <w:t xml:space="preserve">. </w:t>
      </w:r>
      <w:r w:rsidR="5E848BF4" w:rsidRPr="702898A1">
        <w:rPr>
          <w:sz w:val="24"/>
          <w:szCs w:val="24"/>
        </w:rPr>
        <w:t xml:space="preserve">Others have reported that </w:t>
      </w:r>
      <w:r w:rsidR="004E34FD" w:rsidRPr="702898A1">
        <w:rPr>
          <w:sz w:val="24"/>
          <w:szCs w:val="24"/>
        </w:rPr>
        <w:t xml:space="preserve">patients with diabetes and CKD stages 1-2 </w:t>
      </w:r>
      <w:r w:rsidR="403FCA7A" w:rsidRPr="702898A1">
        <w:rPr>
          <w:sz w:val="24"/>
          <w:szCs w:val="24"/>
        </w:rPr>
        <w:t xml:space="preserve">have reduced </w:t>
      </w:r>
      <w:r w:rsidR="004E34FD" w:rsidRPr="702898A1">
        <w:rPr>
          <w:sz w:val="24"/>
          <w:szCs w:val="24"/>
        </w:rPr>
        <w:t>perfusion</w:t>
      </w:r>
      <w:r w:rsidR="00AD4631" w:rsidRPr="702898A1">
        <w:rPr>
          <w:sz w:val="24"/>
          <w:szCs w:val="24"/>
        </w:rPr>
        <w:t xml:space="preserve"> </w:t>
      </w:r>
      <w:r w:rsidR="6BD1823F" w:rsidRPr="702898A1">
        <w:rPr>
          <w:sz w:val="24"/>
          <w:szCs w:val="24"/>
        </w:rPr>
        <w:t xml:space="preserve">when </w:t>
      </w:r>
      <w:r w:rsidR="00320D92" w:rsidRPr="702898A1">
        <w:rPr>
          <w:sz w:val="24"/>
          <w:szCs w:val="24"/>
        </w:rPr>
        <w:t xml:space="preserve">evaluated with CEUS </w:t>
      </w:r>
      <w:r w:rsidR="00AD4631" w:rsidRPr="702898A1">
        <w:rPr>
          <w:sz w:val="24"/>
          <w:szCs w:val="24"/>
        </w:rPr>
        <w:t>compared with non-diabetic controls</w:t>
      </w:r>
      <w:r w:rsidR="00BE5AC1">
        <w:rPr>
          <w:sz w:val="24"/>
          <w:szCs w:val="24"/>
        </w:rPr>
        <w:t xml:space="preserve"> </w:t>
      </w:r>
      <w:r w:rsidR="00396E99" w:rsidRPr="702898A1">
        <w:rPr>
          <w:sz w:val="24"/>
          <w:szCs w:val="24"/>
        </w:rPr>
        <w:t>[</w:t>
      </w:r>
      <w:r w:rsidR="00AD4631" w:rsidRPr="702898A1">
        <w:rPr>
          <w:sz w:val="24"/>
          <w:szCs w:val="24"/>
        </w:rPr>
        <w:t>23,</w:t>
      </w:r>
      <w:r w:rsidR="00396E99" w:rsidRPr="702898A1">
        <w:rPr>
          <w:sz w:val="24"/>
          <w:szCs w:val="24"/>
        </w:rPr>
        <w:t>24</w:t>
      </w:r>
      <w:r w:rsidR="001F641F" w:rsidRPr="702898A1">
        <w:rPr>
          <w:sz w:val="24"/>
          <w:szCs w:val="24"/>
        </w:rPr>
        <w:t xml:space="preserve">]. </w:t>
      </w:r>
      <w:r w:rsidR="001E7AFB" w:rsidRPr="702898A1">
        <w:rPr>
          <w:sz w:val="24"/>
          <w:szCs w:val="24"/>
        </w:rPr>
        <w:t xml:space="preserve">In </w:t>
      </w:r>
      <w:r w:rsidR="00320D92" w:rsidRPr="702898A1">
        <w:rPr>
          <w:sz w:val="24"/>
          <w:szCs w:val="24"/>
        </w:rPr>
        <w:t xml:space="preserve">this study, </w:t>
      </w:r>
      <w:r w:rsidR="001E7AFB" w:rsidRPr="702898A1">
        <w:rPr>
          <w:sz w:val="24"/>
          <w:szCs w:val="24"/>
        </w:rPr>
        <w:t xml:space="preserve">the </w:t>
      </w:r>
      <w:r w:rsidR="4121930B" w:rsidRPr="702898A1">
        <w:rPr>
          <w:sz w:val="24"/>
          <w:szCs w:val="24"/>
        </w:rPr>
        <w:t>3</w:t>
      </w:r>
      <w:r w:rsidR="6C64640E" w:rsidRPr="702898A1">
        <w:rPr>
          <w:sz w:val="24"/>
          <w:szCs w:val="24"/>
        </w:rPr>
        <w:t>-</w:t>
      </w:r>
      <w:r w:rsidR="4121930B" w:rsidRPr="702898A1">
        <w:rPr>
          <w:sz w:val="24"/>
          <w:szCs w:val="24"/>
        </w:rPr>
        <w:t xml:space="preserve">month </w:t>
      </w:r>
      <w:r w:rsidR="001E7AFB" w:rsidRPr="702898A1">
        <w:rPr>
          <w:sz w:val="24"/>
          <w:szCs w:val="24"/>
        </w:rPr>
        <w:t>fo</w:t>
      </w:r>
      <w:r w:rsidR="004E34FD" w:rsidRPr="702898A1">
        <w:rPr>
          <w:sz w:val="24"/>
          <w:szCs w:val="24"/>
        </w:rPr>
        <w:t xml:space="preserve">llow-up scan </w:t>
      </w:r>
      <w:r w:rsidR="0AC10FFB" w:rsidRPr="702898A1">
        <w:rPr>
          <w:sz w:val="24"/>
          <w:szCs w:val="24"/>
        </w:rPr>
        <w:t xml:space="preserve">with </w:t>
      </w:r>
      <w:r w:rsidR="00320D92" w:rsidRPr="702898A1">
        <w:rPr>
          <w:sz w:val="24"/>
          <w:szCs w:val="24"/>
        </w:rPr>
        <w:t xml:space="preserve">antioxidant treatment </w:t>
      </w:r>
      <w:r w:rsidR="004E34FD" w:rsidRPr="702898A1">
        <w:rPr>
          <w:sz w:val="24"/>
          <w:szCs w:val="24"/>
        </w:rPr>
        <w:t xml:space="preserve">showed a decrease in </w:t>
      </w:r>
      <w:r w:rsidR="004B7762" w:rsidRPr="702898A1">
        <w:rPr>
          <w:sz w:val="24"/>
          <w:szCs w:val="24"/>
        </w:rPr>
        <w:t xml:space="preserve">time to </w:t>
      </w:r>
      <w:r w:rsidR="00521962" w:rsidRPr="702898A1">
        <w:rPr>
          <w:sz w:val="24"/>
          <w:szCs w:val="24"/>
        </w:rPr>
        <w:t>peak intensity</w:t>
      </w:r>
      <w:r w:rsidR="00320D92" w:rsidRPr="702898A1">
        <w:rPr>
          <w:sz w:val="24"/>
          <w:szCs w:val="24"/>
        </w:rPr>
        <w:t xml:space="preserve"> of contrast</w:t>
      </w:r>
      <w:r w:rsidR="1F768603" w:rsidRPr="702898A1">
        <w:rPr>
          <w:sz w:val="24"/>
          <w:szCs w:val="24"/>
        </w:rPr>
        <w:t xml:space="preserve"> and </w:t>
      </w:r>
      <w:r w:rsidR="00CC37D6" w:rsidRPr="702898A1">
        <w:rPr>
          <w:sz w:val="24"/>
          <w:szCs w:val="24"/>
        </w:rPr>
        <w:t xml:space="preserve">a </w:t>
      </w:r>
      <w:r w:rsidR="00521962" w:rsidRPr="702898A1">
        <w:rPr>
          <w:sz w:val="24"/>
          <w:szCs w:val="24"/>
        </w:rPr>
        <w:t xml:space="preserve">decrease </w:t>
      </w:r>
      <w:r w:rsidR="004E34FD" w:rsidRPr="702898A1">
        <w:rPr>
          <w:sz w:val="24"/>
          <w:szCs w:val="24"/>
        </w:rPr>
        <w:t xml:space="preserve">in the </w:t>
      </w:r>
      <w:r w:rsidR="001E7AFB" w:rsidRPr="702898A1">
        <w:rPr>
          <w:sz w:val="24"/>
          <w:szCs w:val="24"/>
        </w:rPr>
        <w:t>AUC1 and AUC 2 in comparison to the baseline scans (38.52 [22.41- 90.49] vs 123 [86.98- 367.03]</w:t>
      </w:r>
      <w:proofErr w:type="spellStart"/>
      <w:r w:rsidR="00320D92" w:rsidRPr="702898A1">
        <w:rPr>
          <w:sz w:val="24"/>
          <w:szCs w:val="24"/>
        </w:rPr>
        <w:t>dB.s</w:t>
      </w:r>
      <w:proofErr w:type="spellEnd"/>
      <w:r w:rsidR="001E7AFB" w:rsidRPr="702898A1">
        <w:rPr>
          <w:sz w:val="24"/>
          <w:szCs w:val="24"/>
        </w:rPr>
        <w:t>; P≤0.05 and 347 [175.88- 654.92] vs 928.03 [448.45- 1683]</w:t>
      </w:r>
      <w:proofErr w:type="spellStart"/>
      <w:r w:rsidR="00320D92" w:rsidRPr="702898A1">
        <w:rPr>
          <w:sz w:val="24"/>
          <w:szCs w:val="24"/>
        </w:rPr>
        <w:t>dB.s</w:t>
      </w:r>
      <w:proofErr w:type="spellEnd"/>
      <w:r w:rsidR="001E7AFB" w:rsidRPr="702898A1">
        <w:rPr>
          <w:sz w:val="24"/>
          <w:szCs w:val="24"/>
        </w:rPr>
        <w:t>; P≤0.05, respectively)</w:t>
      </w:r>
      <w:r w:rsidR="00521962" w:rsidRPr="702898A1">
        <w:rPr>
          <w:sz w:val="24"/>
          <w:szCs w:val="24"/>
        </w:rPr>
        <w:t xml:space="preserve"> reflecting more rapid perfusion and clearance</w:t>
      </w:r>
      <w:r w:rsidR="00910839" w:rsidRPr="702898A1">
        <w:rPr>
          <w:sz w:val="24"/>
          <w:szCs w:val="24"/>
        </w:rPr>
        <w:t xml:space="preserve"> of contrast</w:t>
      </w:r>
      <w:r w:rsidR="0B65193A" w:rsidRPr="702898A1">
        <w:rPr>
          <w:sz w:val="24"/>
          <w:szCs w:val="24"/>
        </w:rPr>
        <w:t xml:space="preserve"> (Figure 3)</w:t>
      </w:r>
      <w:r w:rsidR="001E7AFB" w:rsidRPr="702898A1">
        <w:rPr>
          <w:sz w:val="24"/>
          <w:szCs w:val="24"/>
        </w:rPr>
        <w:t xml:space="preserve">. </w:t>
      </w:r>
      <w:r w:rsidR="00521962" w:rsidRPr="702898A1">
        <w:rPr>
          <w:sz w:val="24"/>
          <w:szCs w:val="24"/>
        </w:rPr>
        <w:t>N</w:t>
      </w:r>
      <w:r w:rsidR="001E7AFB" w:rsidRPr="702898A1">
        <w:rPr>
          <w:sz w:val="24"/>
          <w:szCs w:val="24"/>
        </w:rPr>
        <w:t xml:space="preserve">o changes </w:t>
      </w:r>
      <w:r w:rsidR="00521962" w:rsidRPr="702898A1">
        <w:rPr>
          <w:sz w:val="24"/>
          <w:szCs w:val="24"/>
        </w:rPr>
        <w:t>were</w:t>
      </w:r>
      <w:r w:rsidR="00CC37D6" w:rsidRPr="702898A1">
        <w:rPr>
          <w:sz w:val="24"/>
          <w:szCs w:val="24"/>
        </w:rPr>
        <w:t xml:space="preserve"> observed in </w:t>
      </w:r>
      <w:r w:rsidR="00C335AC" w:rsidRPr="702898A1">
        <w:rPr>
          <w:sz w:val="24"/>
          <w:szCs w:val="24"/>
        </w:rPr>
        <w:t xml:space="preserve">AUCs </w:t>
      </w:r>
      <w:r w:rsidR="00CC37D6" w:rsidRPr="702898A1">
        <w:rPr>
          <w:sz w:val="24"/>
          <w:szCs w:val="24"/>
        </w:rPr>
        <w:t>between the</w:t>
      </w:r>
      <w:r w:rsidR="00521962" w:rsidRPr="702898A1">
        <w:rPr>
          <w:sz w:val="24"/>
          <w:szCs w:val="24"/>
        </w:rPr>
        <w:t xml:space="preserve"> </w:t>
      </w:r>
      <w:r w:rsidR="00CC37D6" w:rsidRPr="702898A1">
        <w:rPr>
          <w:sz w:val="24"/>
          <w:szCs w:val="24"/>
        </w:rPr>
        <w:t>3</w:t>
      </w:r>
      <w:r w:rsidR="06686391" w:rsidRPr="702898A1">
        <w:rPr>
          <w:sz w:val="24"/>
          <w:szCs w:val="24"/>
        </w:rPr>
        <w:t>-</w:t>
      </w:r>
      <w:r w:rsidR="00CC37D6" w:rsidRPr="702898A1">
        <w:rPr>
          <w:sz w:val="24"/>
          <w:szCs w:val="24"/>
        </w:rPr>
        <w:t xml:space="preserve">month follow–up and baseline scans </w:t>
      </w:r>
      <w:r w:rsidR="004B7762" w:rsidRPr="702898A1">
        <w:rPr>
          <w:sz w:val="24"/>
          <w:szCs w:val="24"/>
        </w:rPr>
        <w:t xml:space="preserve">in the </w:t>
      </w:r>
      <w:r w:rsidR="001E7AFB" w:rsidRPr="702898A1">
        <w:rPr>
          <w:sz w:val="24"/>
          <w:szCs w:val="24"/>
        </w:rPr>
        <w:t>pl</w:t>
      </w:r>
      <w:r w:rsidR="004E34FD" w:rsidRPr="702898A1">
        <w:rPr>
          <w:sz w:val="24"/>
          <w:szCs w:val="24"/>
        </w:rPr>
        <w:t>acebo group</w:t>
      </w:r>
      <w:r w:rsidR="001E7AFB" w:rsidRPr="702898A1">
        <w:rPr>
          <w:sz w:val="24"/>
          <w:szCs w:val="24"/>
        </w:rPr>
        <w:t>.</w:t>
      </w:r>
    </w:p>
    <w:p w14:paraId="7EBADE2C" w14:textId="77777777" w:rsidR="0001348E" w:rsidRPr="00443048" w:rsidRDefault="0001348E" w:rsidP="001E7AFB">
      <w:pPr>
        <w:spacing w:line="480" w:lineRule="auto"/>
        <w:jc w:val="both"/>
        <w:rPr>
          <w:sz w:val="24"/>
          <w:szCs w:val="24"/>
        </w:rPr>
      </w:pPr>
    </w:p>
    <w:p w14:paraId="2712DC65" w14:textId="07A2B073" w:rsidR="0001348E" w:rsidRDefault="0001348E" w:rsidP="004C5357">
      <w:pPr>
        <w:spacing w:line="276" w:lineRule="auto"/>
        <w:jc w:val="both"/>
        <w:rPr>
          <w:sz w:val="24"/>
          <w:szCs w:val="24"/>
        </w:rPr>
      </w:pPr>
      <w:r>
        <w:rPr>
          <w:noProof/>
          <w:lang w:eastAsia="en-GB"/>
        </w:rPr>
        <w:lastRenderedPageBreak/>
        <w:drawing>
          <wp:inline distT="0" distB="0" distL="0" distR="0" wp14:anchorId="1D9DE138" wp14:editId="57E6ECFD">
            <wp:extent cx="5730238" cy="3019242"/>
            <wp:effectExtent l="0" t="0" r="3810" b="0"/>
            <wp:docPr id="1042212970" name="Picture 104221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12970"/>
                    <pic:cNvPicPr/>
                  </pic:nvPicPr>
                  <pic:blipFill>
                    <a:blip r:embed="rId13">
                      <a:extLst>
                        <a:ext uri="{28A0092B-C50C-407E-A947-70E740481C1C}">
                          <a14:useLocalDpi xmlns:a14="http://schemas.microsoft.com/office/drawing/2010/main" val="0"/>
                        </a:ext>
                      </a:extLst>
                    </a:blip>
                    <a:stretch>
                      <a:fillRect/>
                    </a:stretch>
                  </pic:blipFill>
                  <pic:spPr>
                    <a:xfrm>
                      <a:off x="0" y="0"/>
                      <a:ext cx="5730238" cy="3019242"/>
                    </a:xfrm>
                    <a:prstGeom prst="rect">
                      <a:avLst/>
                    </a:prstGeom>
                  </pic:spPr>
                </pic:pic>
              </a:graphicData>
            </a:graphic>
          </wp:inline>
        </w:drawing>
      </w:r>
      <w:r w:rsidRPr="48AF0A54">
        <w:rPr>
          <w:b/>
          <w:bCs/>
          <w:sz w:val="24"/>
          <w:szCs w:val="24"/>
        </w:rPr>
        <w:t>Fig 3.</w:t>
      </w:r>
      <w:r w:rsidRPr="48AF0A54">
        <w:rPr>
          <w:sz w:val="24"/>
          <w:szCs w:val="24"/>
        </w:rPr>
        <w:t xml:space="preserve"> </w:t>
      </w:r>
      <w:r w:rsidR="00857B0E" w:rsidRPr="48AF0A54">
        <w:rPr>
          <w:sz w:val="24"/>
          <w:szCs w:val="24"/>
        </w:rPr>
        <w:t xml:space="preserve">Changes in perfusion. </w:t>
      </w:r>
      <w:r w:rsidRPr="48AF0A54">
        <w:rPr>
          <w:sz w:val="24"/>
          <w:szCs w:val="24"/>
        </w:rPr>
        <w:t xml:space="preserve">Representative </w:t>
      </w:r>
      <w:r w:rsidR="00857B0E" w:rsidRPr="48AF0A54">
        <w:rPr>
          <w:sz w:val="24"/>
          <w:szCs w:val="24"/>
        </w:rPr>
        <w:t xml:space="preserve">example of a </w:t>
      </w:r>
      <w:r w:rsidRPr="48AF0A54">
        <w:rPr>
          <w:sz w:val="24"/>
          <w:szCs w:val="24"/>
        </w:rPr>
        <w:t xml:space="preserve">time intensity curve (TIC) of </w:t>
      </w:r>
      <w:r w:rsidR="00857B0E" w:rsidRPr="48AF0A54">
        <w:rPr>
          <w:sz w:val="24"/>
          <w:szCs w:val="24"/>
        </w:rPr>
        <w:t xml:space="preserve">cortical </w:t>
      </w:r>
      <w:r w:rsidRPr="48AF0A54">
        <w:rPr>
          <w:sz w:val="24"/>
          <w:szCs w:val="24"/>
        </w:rPr>
        <w:t>renal perfusion</w:t>
      </w:r>
      <w:r w:rsidR="00857B0E" w:rsidRPr="48AF0A54">
        <w:rPr>
          <w:sz w:val="24"/>
          <w:szCs w:val="24"/>
        </w:rPr>
        <w:t xml:space="preserve"> after antioxidant treatment in a patient showing peak intensity is reached sooner with increased rates of wash-in and wash-out of contrast compared to baseline. </w:t>
      </w:r>
    </w:p>
    <w:p w14:paraId="55093377" w14:textId="77777777" w:rsidR="0001348E" w:rsidRDefault="0001348E" w:rsidP="702898A1">
      <w:pPr>
        <w:spacing w:line="480" w:lineRule="auto"/>
        <w:jc w:val="both"/>
        <w:rPr>
          <w:sz w:val="24"/>
          <w:szCs w:val="24"/>
        </w:rPr>
      </w:pPr>
    </w:p>
    <w:p w14:paraId="0468EE37" w14:textId="7E863BC8" w:rsidR="00801B8E" w:rsidRPr="00443048" w:rsidRDefault="171D03B2" w:rsidP="702898A1">
      <w:pPr>
        <w:spacing w:line="480" w:lineRule="auto"/>
        <w:jc w:val="both"/>
        <w:rPr>
          <w:sz w:val="24"/>
          <w:szCs w:val="24"/>
        </w:rPr>
      </w:pPr>
      <w:r w:rsidRPr="702898A1">
        <w:rPr>
          <w:sz w:val="24"/>
          <w:szCs w:val="24"/>
        </w:rPr>
        <w:t>After 12 months follow-up, the rise in eGFR was greater in patients classified as having high vs low GPx-3 activity</w:t>
      </w:r>
      <w:r w:rsidR="000B761A" w:rsidRPr="702898A1">
        <w:rPr>
          <w:sz w:val="24"/>
          <w:szCs w:val="24"/>
        </w:rPr>
        <w:t xml:space="preserve"> in both the non-Caucasian and the Caucasian patients (19.1(12.5 to 25.7] % vs 6.5[-3.5 to 16.5] % and 12.8 [0.7 to 24] % vs 0.2 [-6.1 to 6.5] %). </w:t>
      </w:r>
      <w:r w:rsidR="000516FA" w:rsidRPr="702898A1">
        <w:rPr>
          <w:sz w:val="24"/>
          <w:szCs w:val="24"/>
        </w:rPr>
        <w:t xml:space="preserve"> </w:t>
      </w:r>
      <w:r w:rsidR="000C4CEE" w:rsidRPr="702898A1">
        <w:rPr>
          <w:sz w:val="24"/>
          <w:szCs w:val="24"/>
        </w:rPr>
        <w:t>Selenium</w:t>
      </w:r>
      <w:r w:rsidR="6E0C7E91" w:rsidRPr="702898A1">
        <w:rPr>
          <w:sz w:val="24"/>
          <w:szCs w:val="24"/>
        </w:rPr>
        <w:t xml:space="preserve"> alone </w:t>
      </w:r>
      <w:r w:rsidR="000C4CEE" w:rsidRPr="702898A1">
        <w:rPr>
          <w:sz w:val="24"/>
          <w:szCs w:val="24"/>
        </w:rPr>
        <w:t>was associated with a significant rise in eGFR over baseline in p</w:t>
      </w:r>
      <w:r w:rsidR="008E7F10" w:rsidRPr="702898A1">
        <w:rPr>
          <w:sz w:val="24"/>
          <w:szCs w:val="24"/>
        </w:rPr>
        <w:t xml:space="preserve">atients of non-Caucasian </w:t>
      </w:r>
      <w:r w:rsidR="000444F8" w:rsidRPr="702898A1">
        <w:rPr>
          <w:sz w:val="24"/>
          <w:szCs w:val="24"/>
        </w:rPr>
        <w:t>heritage</w:t>
      </w:r>
      <w:r w:rsidR="00593F14" w:rsidRPr="702898A1">
        <w:rPr>
          <w:sz w:val="24"/>
          <w:szCs w:val="24"/>
        </w:rPr>
        <w:t xml:space="preserve"> </w:t>
      </w:r>
      <w:r w:rsidR="000C4CEE" w:rsidRPr="702898A1">
        <w:rPr>
          <w:sz w:val="24"/>
          <w:szCs w:val="24"/>
        </w:rPr>
        <w:t xml:space="preserve">with </w:t>
      </w:r>
      <w:r w:rsidR="00593F14" w:rsidRPr="702898A1">
        <w:rPr>
          <w:sz w:val="24"/>
          <w:szCs w:val="24"/>
        </w:rPr>
        <w:t xml:space="preserve">high </w:t>
      </w:r>
      <w:r w:rsidR="000C4CEE" w:rsidRPr="702898A1">
        <w:rPr>
          <w:sz w:val="24"/>
          <w:szCs w:val="24"/>
        </w:rPr>
        <w:t xml:space="preserve">and </w:t>
      </w:r>
      <w:r w:rsidR="00593F14" w:rsidRPr="702898A1">
        <w:rPr>
          <w:sz w:val="24"/>
          <w:szCs w:val="24"/>
        </w:rPr>
        <w:t>low GPx-3 activity</w:t>
      </w:r>
      <w:r w:rsidR="000C4CEE" w:rsidRPr="702898A1">
        <w:rPr>
          <w:sz w:val="24"/>
          <w:szCs w:val="24"/>
        </w:rPr>
        <w:t xml:space="preserve"> (9.1 [-0.9 to 19.2] and 9.4 [2.3 to 16.6] %) compared </w:t>
      </w:r>
      <w:r w:rsidR="004B7762" w:rsidRPr="702898A1">
        <w:rPr>
          <w:sz w:val="24"/>
          <w:szCs w:val="24"/>
        </w:rPr>
        <w:t xml:space="preserve">with </w:t>
      </w:r>
      <w:r w:rsidR="00593F14" w:rsidRPr="702898A1">
        <w:rPr>
          <w:sz w:val="24"/>
          <w:szCs w:val="24"/>
        </w:rPr>
        <w:t>usual care</w:t>
      </w:r>
      <w:r w:rsidR="000516FA" w:rsidRPr="702898A1">
        <w:rPr>
          <w:sz w:val="24"/>
          <w:szCs w:val="24"/>
        </w:rPr>
        <w:t xml:space="preserve"> </w:t>
      </w:r>
      <w:r w:rsidR="007D6B96" w:rsidRPr="702898A1">
        <w:rPr>
          <w:sz w:val="24"/>
          <w:szCs w:val="24"/>
        </w:rPr>
        <w:t xml:space="preserve">(Fig </w:t>
      </w:r>
      <w:r w:rsidR="001E7AFB" w:rsidRPr="702898A1">
        <w:rPr>
          <w:sz w:val="24"/>
          <w:szCs w:val="24"/>
        </w:rPr>
        <w:t>4</w:t>
      </w:r>
      <w:r w:rsidR="007D6B96" w:rsidRPr="702898A1">
        <w:rPr>
          <w:sz w:val="24"/>
          <w:szCs w:val="24"/>
        </w:rPr>
        <w:t>).</w:t>
      </w:r>
      <w:r w:rsidR="000516FA" w:rsidRPr="702898A1">
        <w:rPr>
          <w:sz w:val="24"/>
          <w:szCs w:val="24"/>
        </w:rPr>
        <w:t> </w:t>
      </w:r>
      <w:r w:rsidR="00C22899">
        <w:rPr>
          <w:sz w:val="24"/>
          <w:szCs w:val="24"/>
        </w:rPr>
        <w:t xml:space="preserve"> </w:t>
      </w:r>
      <w:r w:rsidR="00C22899" w:rsidRPr="00C22899">
        <w:rPr>
          <w:sz w:val="24"/>
          <w:szCs w:val="24"/>
        </w:rPr>
        <w:t xml:space="preserve">We found no effect over time of </w:t>
      </w:r>
      <w:r w:rsidR="00C22899">
        <w:rPr>
          <w:sz w:val="24"/>
          <w:szCs w:val="24"/>
        </w:rPr>
        <w:t xml:space="preserve">either the </w:t>
      </w:r>
      <w:proofErr w:type="spellStart"/>
      <w:r w:rsidR="00C22899">
        <w:rPr>
          <w:sz w:val="24"/>
          <w:szCs w:val="24"/>
        </w:rPr>
        <w:t>albumin:creatinine</w:t>
      </w:r>
      <w:proofErr w:type="spellEnd"/>
      <w:r w:rsidR="00C22899">
        <w:rPr>
          <w:sz w:val="24"/>
          <w:szCs w:val="24"/>
        </w:rPr>
        <w:t xml:space="preserve"> ratio </w:t>
      </w:r>
      <w:r w:rsidR="00C22899" w:rsidRPr="00C22899">
        <w:rPr>
          <w:sz w:val="24"/>
          <w:szCs w:val="24"/>
        </w:rPr>
        <w:t>(β -0.138 96%</w:t>
      </w:r>
      <w:r w:rsidR="00C22899">
        <w:rPr>
          <w:sz w:val="24"/>
          <w:szCs w:val="24"/>
        </w:rPr>
        <w:t xml:space="preserve"> CI [-0.296 to 0.021] p=0.09) </w:t>
      </w:r>
      <w:proofErr w:type="gramStart"/>
      <w:r w:rsidR="00C22899">
        <w:rPr>
          <w:sz w:val="24"/>
          <w:szCs w:val="24"/>
        </w:rPr>
        <w:t xml:space="preserve">or </w:t>
      </w:r>
      <w:r w:rsidR="00C22899" w:rsidRPr="00C22899">
        <w:rPr>
          <w:sz w:val="24"/>
          <w:szCs w:val="24"/>
        </w:rPr>
        <w:t xml:space="preserve"> </w:t>
      </w:r>
      <w:r w:rsidR="00C22899">
        <w:rPr>
          <w:sz w:val="24"/>
          <w:szCs w:val="24"/>
        </w:rPr>
        <w:t>antihypertensive</w:t>
      </w:r>
      <w:proofErr w:type="gramEnd"/>
      <w:r w:rsidR="00C22899">
        <w:rPr>
          <w:sz w:val="24"/>
          <w:szCs w:val="24"/>
        </w:rPr>
        <w:t xml:space="preserve"> treatment with </w:t>
      </w:r>
      <w:r w:rsidR="00C22899" w:rsidRPr="00C22899">
        <w:rPr>
          <w:sz w:val="24"/>
          <w:szCs w:val="24"/>
        </w:rPr>
        <w:t xml:space="preserve">ACEI </w:t>
      </w:r>
      <w:r w:rsidR="00C22899">
        <w:rPr>
          <w:sz w:val="24"/>
          <w:szCs w:val="24"/>
        </w:rPr>
        <w:t>or ARB (β -2.560 95%CI [-6.427 to 1.308]</w:t>
      </w:r>
      <w:r w:rsidR="00C22899" w:rsidRPr="00C22899">
        <w:rPr>
          <w:sz w:val="24"/>
          <w:szCs w:val="24"/>
        </w:rPr>
        <w:t xml:space="preserve"> p=0.20) on the change in eGFR with</w:t>
      </w:r>
      <w:r w:rsidR="00C22899">
        <w:rPr>
          <w:sz w:val="24"/>
          <w:szCs w:val="24"/>
        </w:rPr>
        <w:t xml:space="preserve"> the antioxidant </w:t>
      </w:r>
      <w:r w:rsidR="00C22899" w:rsidRPr="00C22899">
        <w:rPr>
          <w:sz w:val="24"/>
          <w:szCs w:val="24"/>
        </w:rPr>
        <w:t xml:space="preserve"> intervention</w:t>
      </w:r>
      <w:r w:rsidR="00C22899">
        <w:rPr>
          <w:sz w:val="24"/>
          <w:szCs w:val="24"/>
        </w:rPr>
        <w:t>s</w:t>
      </w:r>
      <w:r w:rsidR="00C22899" w:rsidRPr="00C22899">
        <w:rPr>
          <w:sz w:val="24"/>
          <w:szCs w:val="24"/>
        </w:rPr>
        <w:t>.</w:t>
      </w:r>
    </w:p>
    <w:p w14:paraId="3DDCB731" w14:textId="77777777" w:rsidR="00A71A3C" w:rsidRPr="00443048" w:rsidRDefault="00A71A3C" w:rsidP="00604B88">
      <w:pPr>
        <w:jc w:val="both"/>
        <w:rPr>
          <w:b/>
          <w:sz w:val="24"/>
          <w:szCs w:val="24"/>
        </w:rPr>
      </w:pPr>
    </w:p>
    <w:p w14:paraId="576CA226" w14:textId="77777777" w:rsidR="00A71A3C" w:rsidRPr="00443048" w:rsidRDefault="00A71A3C" w:rsidP="702898A1">
      <w:pPr>
        <w:jc w:val="both"/>
        <w:rPr>
          <w:b/>
          <w:bCs/>
          <w:sz w:val="24"/>
          <w:szCs w:val="24"/>
        </w:rPr>
      </w:pPr>
    </w:p>
    <w:p w14:paraId="3772FBF6" w14:textId="0C1B0119" w:rsidR="187A93E2" w:rsidRDefault="187A93E2" w:rsidP="702898A1">
      <w:pPr>
        <w:jc w:val="both"/>
      </w:pPr>
      <w:r>
        <w:rPr>
          <w:noProof/>
          <w:lang w:eastAsia="en-GB"/>
        </w:rPr>
        <w:lastRenderedPageBreak/>
        <w:drawing>
          <wp:inline distT="0" distB="0" distL="0" distR="0" wp14:anchorId="10808A30" wp14:editId="5DA676D2">
            <wp:extent cx="4714875" cy="3429000"/>
            <wp:effectExtent l="0" t="0" r="0" b="0"/>
            <wp:docPr id="838708503" name="Picture 838708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708503"/>
                    <pic:cNvPicPr/>
                  </pic:nvPicPr>
                  <pic:blipFill>
                    <a:blip r:embed="rId14">
                      <a:extLst>
                        <a:ext uri="{28A0092B-C50C-407E-A947-70E740481C1C}">
                          <a14:useLocalDpi xmlns:a14="http://schemas.microsoft.com/office/drawing/2010/main" val="0"/>
                        </a:ext>
                      </a:extLst>
                    </a:blip>
                    <a:stretch>
                      <a:fillRect/>
                    </a:stretch>
                  </pic:blipFill>
                  <pic:spPr>
                    <a:xfrm>
                      <a:off x="0" y="0"/>
                      <a:ext cx="4714875" cy="3429000"/>
                    </a:xfrm>
                    <a:prstGeom prst="rect">
                      <a:avLst/>
                    </a:prstGeom>
                  </pic:spPr>
                </pic:pic>
              </a:graphicData>
            </a:graphic>
          </wp:inline>
        </w:drawing>
      </w:r>
    </w:p>
    <w:p w14:paraId="52C83A90" w14:textId="4D00B119" w:rsidR="702898A1" w:rsidRDefault="702898A1" w:rsidP="702898A1">
      <w:pPr>
        <w:jc w:val="both"/>
        <w:rPr>
          <w:b/>
          <w:bCs/>
          <w:sz w:val="24"/>
          <w:szCs w:val="24"/>
        </w:rPr>
      </w:pPr>
    </w:p>
    <w:p w14:paraId="0CEBE499" w14:textId="507FF402" w:rsidR="702898A1" w:rsidRDefault="702898A1" w:rsidP="702898A1">
      <w:pPr>
        <w:jc w:val="both"/>
        <w:rPr>
          <w:b/>
          <w:bCs/>
          <w:sz w:val="24"/>
          <w:szCs w:val="24"/>
        </w:rPr>
      </w:pPr>
    </w:p>
    <w:p w14:paraId="05EBA3AA" w14:textId="7BAEDD41" w:rsidR="001C65C2" w:rsidRPr="001C65C2" w:rsidRDefault="001C65C2" w:rsidP="001C65C2">
      <w:pPr>
        <w:jc w:val="both"/>
        <w:rPr>
          <w:b/>
          <w:bCs/>
          <w:sz w:val="24"/>
          <w:szCs w:val="24"/>
        </w:rPr>
      </w:pPr>
      <w:r w:rsidRPr="001C65C2">
        <w:rPr>
          <w:b/>
          <w:bCs/>
          <w:sz w:val="24"/>
          <w:szCs w:val="24"/>
        </w:rPr>
        <w:t>Figure 4.</w:t>
      </w:r>
      <w:r>
        <w:rPr>
          <w:b/>
          <w:bCs/>
          <w:sz w:val="24"/>
          <w:szCs w:val="24"/>
        </w:rPr>
        <w:t xml:space="preserve"> </w:t>
      </w:r>
      <w:r w:rsidR="00981F11">
        <w:rPr>
          <w:bCs/>
          <w:sz w:val="24"/>
          <w:szCs w:val="24"/>
        </w:rPr>
        <w:t>Change in m</w:t>
      </w:r>
      <w:r w:rsidRPr="001C65C2">
        <w:rPr>
          <w:bCs/>
          <w:sz w:val="24"/>
          <w:szCs w:val="24"/>
        </w:rPr>
        <w:t xml:space="preserve">ean </w:t>
      </w:r>
      <w:r w:rsidR="00981F11">
        <w:rPr>
          <w:bCs/>
          <w:sz w:val="24"/>
          <w:szCs w:val="24"/>
        </w:rPr>
        <w:t xml:space="preserve">percentage </w:t>
      </w:r>
      <w:r w:rsidRPr="001C65C2">
        <w:rPr>
          <w:bCs/>
          <w:sz w:val="24"/>
          <w:szCs w:val="24"/>
        </w:rPr>
        <w:t xml:space="preserve">[95% confidence interval] eGFR at 12 months follow-up </w:t>
      </w:r>
      <w:r w:rsidR="00981F11">
        <w:rPr>
          <w:bCs/>
          <w:sz w:val="24"/>
          <w:szCs w:val="24"/>
        </w:rPr>
        <w:t xml:space="preserve">in </w:t>
      </w:r>
      <w:r w:rsidRPr="001C65C2">
        <w:rPr>
          <w:bCs/>
          <w:sz w:val="24"/>
          <w:szCs w:val="24"/>
        </w:rPr>
        <w:t xml:space="preserve">patients with type 2 diabetes </w:t>
      </w:r>
      <w:r w:rsidR="00981F11">
        <w:rPr>
          <w:bCs/>
          <w:sz w:val="24"/>
          <w:szCs w:val="24"/>
        </w:rPr>
        <w:t xml:space="preserve">at high risk of cardiorenal disease </w:t>
      </w:r>
      <w:r w:rsidRPr="001C65C2">
        <w:rPr>
          <w:bCs/>
          <w:sz w:val="24"/>
          <w:szCs w:val="24"/>
        </w:rPr>
        <w:t xml:space="preserve">stratified by ethnic group, GPx-3 status and </w:t>
      </w:r>
      <w:r w:rsidR="00981F11">
        <w:rPr>
          <w:bCs/>
          <w:sz w:val="24"/>
          <w:szCs w:val="24"/>
        </w:rPr>
        <w:t xml:space="preserve">treatment </w:t>
      </w:r>
      <w:r w:rsidRPr="001C65C2">
        <w:rPr>
          <w:bCs/>
          <w:sz w:val="24"/>
          <w:szCs w:val="24"/>
        </w:rPr>
        <w:t>allocat</w:t>
      </w:r>
      <w:r w:rsidR="00981F11">
        <w:rPr>
          <w:bCs/>
          <w:sz w:val="24"/>
          <w:szCs w:val="24"/>
        </w:rPr>
        <w:t>ion</w:t>
      </w:r>
      <w:r w:rsidRPr="001C65C2">
        <w:rPr>
          <w:bCs/>
          <w:sz w:val="24"/>
          <w:szCs w:val="24"/>
        </w:rPr>
        <w:t>.</w:t>
      </w:r>
      <w:r w:rsidR="00672ABD">
        <w:rPr>
          <w:bCs/>
          <w:sz w:val="24"/>
          <w:szCs w:val="24"/>
        </w:rPr>
        <w:t xml:space="preserve"> </w:t>
      </w:r>
      <w:r w:rsidR="00EF1E58">
        <w:rPr>
          <w:bCs/>
          <w:sz w:val="24"/>
          <w:szCs w:val="24"/>
        </w:rPr>
        <w:t xml:space="preserve">Increases </w:t>
      </w:r>
      <w:r w:rsidR="00672ABD">
        <w:rPr>
          <w:bCs/>
          <w:sz w:val="24"/>
          <w:szCs w:val="24"/>
        </w:rPr>
        <w:t xml:space="preserve">in eGFR </w:t>
      </w:r>
      <w:r w:rsidR="00EF1E58">
        <w:rPr>
          <w:bCs/>
          <w:sz w:val="24"/>
          <w:szCs w:val="24"/>
        </w:rPr>
        <w:t xml:space="preserve">above baseline </w:t>
      </w:r>
      <w:r w:rsidR="00672ABD">
        <w:rPr>
          <w:bCs/>
          <w:sz w:val="24"/>
          <w:szCs w:val="24"/>
        </w:rPr>
        <w:t>were sustained in</w:t>
      </w:r>
      <w:r w:rsidR="00EF1E58">
        <w:rPr>
          <w:bCs/>
          <w:sz w:val="24"/>
          <w:szCs w:val="24"/>
        </w:rPr>
        <w:t xml:space="preserve"> patients with </w:t>
      </w:r>
      <w:r w:rsidR="00C7726C">
        <w:rPr>
          <w:bCs/>
          <w:sz w:val="24"/>
          <w:szCs w:val="24"/>
        </w:rPr>
        <w:t xml:space="preserve">high GPx-3 activity independent of antioxidant treatment intervention. </w:t>
      </w:r>
    </w:p>
    <w:p w14:paraId="225FA46A" w14:textId="77777777" w:rsidR="00857B0E" w:rsidRDefault="00857B0E" w:rsidP="00604B88">
      <w:pPr>
        <w:jc w:val="both"/>
        <w:rPr>
          <w:b/>
          <w:sz w:val="24"/>
          <w:szCs w:val="24"/>
        </w:rPr>
      </w:pPr>
    </w:p>
    <w:p w14:paraId="54606F07" w14:textId="77777777" w:rsidR="00024B28" w:rsidRDefault="00024B28" w:rsidP="00604B88">
      <w:pPr>
        <w:jc w:val="both"/>
        <w:rPr>
          <w:b/>
          <w:sz w:val="24"/>
          <w:szCs w:val="24"/>
        </w:rPr>
      </w:pPr>
    </w:p>
    <w:p w14:paraId="5DC5C28B" w14:textId="474F9DAA" w:rsidR="007F0DA5" w:rsidRPr="00443048" w:rsidRDefault="007F0DA5" w:rsidP="00604B88">
      <w:pPr>
        <w:jc w:val="both"/>
        <w:rPr>
          <w:b/>
          <w:sz w:val="24"/>
          <w:szCs w:val="24"/>
        </w:rPr>
      </w:pPr>
      <w:r w:rsidRPr="00443048">
        <w:rPr>
          <w:b/>
          <w:sz w:val="24"/>
          <w:szCs w:val="24"/>
        </w:rPr>
        <w:t>Discussion</w:t>
      </w:r>
    </w:p>
    <w:p w14:paraId="1016BAED" w14:textId="77777777" w:rsidR="00FF5D22" w:rsidRPr="00443048" w:rsidRDefault="00FF5D22" w:rsidP="00604B88">
      <w:pPr>
        <w:jc w:val="both"/>
        <w:rPr>
          <w:b/>
          <w:sz w:val="24"/>
          <w:szCs w:val="24"/>
        </w:rPr>
      </w:pPr>
    </w:p>
    <w:p w14:paraId="685E82F1" w14:textId="54DBC972" w:rsidR="002B0959" w:rsidRPr="00443048" w:rsidRDefault="00FF5D22" w:rsidP="00F2725D">
      <w:pPr>
        <w:spacing w:line="480" w:lineRule="auto"/>
        <w:jc w:val="both"/>
        <w:rPr>
          <w:sz w:val="24"/>
          <w:szCs w:val="24"/>
        </w:rPr>
      </w:pPr>
      <w:r w:rsidRPr="00443048">
        <w:rPr>
          <w:sz w:val="24"/>
          <w:szCs w:val="24"/>
        </w:rPr>
        <w:t>In this study of patients with type 2 diabetes at high risk of</w:t>
      </w:r>
      <w:r w:rsidR="005B28AA" w:rsidRPr="00443048">
        <w:rPr>
          <w:sz w:val="24"/>
          <w:szCs w:val="24"/>
        </w:rPr>
        <w:t xml:space="preserve"> </w:t>
      </w:r>
      <w:r w:rsidR="001F48F6" w:rsidRPr="00443048">
        <w:rPr>
          <w:sz w:val="24"/>
          <w:szCs w:val="24"/>
        </w:rPr>
        <w:t xml:space="preserve">progressive </w:t>
      </w:r>
      <w:r w:rsidR="005B28AA" w:rsidRPr="00443048">
        <w:rPr>
          <w:sz w:val="24"/>
          <w:szCs w:val="24"/>
        </w:rPr>
        <w:t>CKD</w:t>
      </w:r>
      <w:r w:rsidR="00B57253" w:rsidRPr="00443048">
        <w:rPr>
          <w:sz w:val="24"/>
          <w:szCs w:val="24"/>
        </w:rPr>
        <w:t xml:space="preserve"> who were supplemented with vitamin E and</w:t>
      </w:r>
      <w:r w:rsidR="002B0959" w:rsidRPr="00443048">
        <w:rPr>
          <w:sz w:val="24"/>
          <w:szCs w:val="24"/>
        </w:rPr>
        <w:t>/or</w:t>
      </w:r>
      <w:r w:rsidR="00B57253" w:rsidRPr="00443048">
        <w:rPr>
          <w:sz w:val="24"/>
          <w:szCs w:val="24"/>
        </w:rPr>
        <w:t xml:space="preserve"> selenium</w:t>
      </w:r>
      <w:r w:rsidR="005B28AA" w:rsidRPr="00443048">
        <w:rPr>
          <w:sz w:val="24"/>
          <w:szCs w:val="24"/>
        </w:rPr>
        <w:t xml:space="preserve">, </w:t>
      </w:r>
      <w:r w:rsidR="001F48F6" w:rsidRPr="00443048">
        <w:rPr>
          <w:sz w:val="24"/>
          <w:szCs w:val="24"/>
        </w:rPr>
        <w:t xml:space="preserve">eGFR </w:t>
      </w:r>
      <w:r w:rsidR="00B57253" w:rsidRPr="00443048">
        <w:rPr>
          <w:sz w:val="24"/>
          <w:szCs w:val="24"/>
        </w:rPr>
        <w:t xml:space="preserve">significantly </w:t>
      </w:r>
      <w:r w:rsidR="001F48F6" w:rsidRPr="00443048">
        <w:rPr>
          <w:sz w:val="24"/>
          <w:szCs w:val="24"/>
        </w:rPr>
        <w:t xml:space="preserve">increased </w:t>
      </w:r>
      <w:r w:rsidR="00B57253" w:rsidRPr="00443048">
        <w:rPr>
          <w:sz w:val="24"/>
          <w:szCs w:val="24"/>
        </w:rPr>
        <w:t xml:space="preserve">in the short-term with evidence of </w:t>
      </w:r>
      <w:r w:rsidR="0001725D" w:rsidRPr="00443048">
        <w:rPr>
          <w:sz w:val="24"/>
          <w:szCs w:val="24"/>
        </w:rPr>
        <w:t xml:space="preserve">an increase in renal perfusion. </w:t>
      </w:r>
      <w:r w:rsidR="00B57253" w:rsidRPr="00443048">
        <w:rPr>
          <w:sz w:val="24"/>
          <w:szCs w:val="24"/>
        </w:rPr>
        <w:t xml:space="preserve"> After 12 months of follow-up,</w:t>
      </w:r>
      <w:r w:rsidR="00CE1014" w:rsidRPr="00443048">
        <w:rPr>
          <w:sz w:val="24"/>
          <w:szCs w:val="24"/>
        </w:rPr>
        <w:t xml:space="preserve"> </w:t>
      </w:r>
      <w:r w:rsidR="00B57253" w:rsidRPr="00443048">
        <w:rPr>
          <w:sz w:val="24"/>
          <w:szCs w:val="24"/>
        </w:rPr>
        <w:t xml:space="preserve">only patients receiving </w:t>
      </w:r>
      <w:r w:rsidR="00CE1014" w:rsidRPr="00443048">
        <w:rPr>
          <w:sz w:val="24"/>
          <w:szCs w:val="24"/>
        </w:rPr>
        <w:t xml:space="preserve">usual </w:t>
      </w:r>
      <w:r w:rsidR="00B57253" w:rsidRPr="00443048">
        <w:rPr>
          <w:sz w:val="24"/>
          <w:szCs w:val="24"/>
        </w:rPr>
        <w:t xml:space="preserve">care with high activity of </w:t>
      </w:r>
      <w:r w:rsidR="0001725D" w:rsidRPr="00443048">
        <w:rPr>
          <w:sz w:val="24"/>
          <w:szCs w:val="24"/>
        </w:rPr>
        <w:t>GPx-3</w:t>
      </w:r>
      <w:r w:rsidR="00D275A5" w:rsidRPr="00443048">
        <w:rPr>
          <w:sz w:val="24"/>
          <w:szCs w:val="24"/>
        </w:rPr>
        <w:t xml:space="preserve"> </w:t>
      </w:r>
      <w:r w:rsidR="002B0959" w:rsidRPr="00443048">
        <w:rPr>
          <w:sz w:val="24"/>
          <w:szCs w:val="24"/>
        </w:rPr>
        <w:t xml:space="preserve">retained </w:t>
      </w:r>
      <w:r w:rsidR="00B57253" w:rsidRPr="00443048">
        <w:rPr>
          <w:sz w:val="24"/>
          <w:szCs w:val="24"/>
        </w:rPr>
        <w:t xml:space="preserve">a sustained increase in renal function. </w:t>
      </w:r>
      <w:r w:rsidR="00BE1381" w:rsidRPr="00443048">
        <w:rPr>
          <w:sz w:val="24"/>
          <w:szCs w:val="24"/>
        </w:rPr>
        <w:t xml:space="preserve">In these patients with early CKD, </w:t>
      </w:r>
      <w:proofErr w:type="spellStart"/>
      <w:r w:rsidR="002B0959" w:rsidRPr="00443048">
        <w:rPr>
          <w:sz w:val="24"/>
          <w:szCs w:val="24"/>
        </w:rPr>
        <w:t>derepression</w:t>
      </w:r>
      <w:proofErr w:type="spellEnd"/>
      <w:r w:rsidR="002B0959" w:rsidRPr="00443048">
        <w:rPr>
          <w:sz w:val="24"/>
          <w:szCs w:val="24"/>
        </w:rPr>
        <w:t xml:space="preserve"> of renal blood flow </w:t>
      </w:r>
      <w:r w:rsidR="00BC64E7" w:rsidRPr="00443048">
        <w:rPr>
          <w:sz w:val="24"/>
          <w:szCs w:val="24"/>
        </w:rPr>
        <w:t>with antioxidant treatment is associated with improvement in</w:t>
      </w:r>
      <w:r w:rsidR="002B0959" w:rsidRPr="00443048">
        <w:rPr>
          <w:sz w:val="24"/>
          <w:szCs w:val="24"/>
        </w:rPr>
        <w:t xml:space="preserve"> eGFR </w:t>
      </w:r>
      <w:r w:rsidR="00BC64E7" w:rsidRPr="00443048">
        <w:rPr>
          <w:sz w:val="24"/>
          <w:szCs w:val="24"/>
        </w:rPr>
        <w:t xml:space="preserve">and sustained by activation of antioxidant defences.  </w:t>
      </w:r>
    </w:p>
    <w:p w14:paraId="55BEA1D2" w14:textId="77777777" w:rsidR="00BC64E7" w:rsidRPr="00443048" w:rsidRDefault="00BC64E7" w:rsidP="00604B88">
      <w:pPr>
        <w:spacing w:line="480" w:lineRule="auto"/>
        <w:jc w:val="both"/>
        <w:rPr>
          <w:sz w:val="24"/>
          <w:szCs w:val="24"/>
        </w:rPr>
      </w:pPr>
    </w:p>
    <w:p w14:paraId="2B1AAA99" w14:textId="6ED8B727" w:rsidR="001924E4" w:rsidRPr="00443048" w:rsidRDefault="00DC1411" w:rsidP="00604B88">
      <w:pPr>
        <w:spacing w:line="480" w:lineRule="auto"/>
        <w:jc w:val="both"/>
        <w:rPr>
          <w:sz w:val="24"/>
          <w:szCs w:val="24"/>
        </w:rPr>
      </w:pPr>
      <w:r w:rsidRPr="00443048">
        <w:rPr>
          <w:rStyle w:val="normaltextrun"/>
          <w:sz w:val="24"/>
          <w:szCs w:val="24"/>
        </w:rPr>
        <w:lastRenderedPageBreak/>
        <w:t>A r</w:t>
      </w:r>
      <w:r w:rsidR="004D3638" w:rsidRPr="00443048">
        <w:rPr>
          <w:rStyle w:val="normaltextrun"/>
          <w:sz w:val="24"/>
          <w:szCs w:val="24"/>
        </w:rPr>
        <w:t xml:space="preserve">eserve of renal function </w:t>
      </w:r>
      <w:r w:rsidR="0074266B" w:rsidRPr="00443048">
        <w:rPr>
          <w:rStyle w:val="normaltextrun"/>
          <w:sz w:val="24"/>
          <w:szCs w:val="24"/>
        </w:rPr>
        <w:t>is</w:t>
      </w:r>
      <w:r w:rsidR="004D3638" w:rsidRPr="00443048">
        <w:rPr>
          <w:rStyle w:val="normaltextrun"/>
          <w:sz w:val="24"/>
          <w:szCs w:val="24"/>
        </w:rPr>
        <w:t xml:space="preserve"> considered evident </w:t>
      </w:r>
      <w:r w:rsidR="0074266B" w:rsidRPr="00443048">
        <w:rPr>
          <w:rStyle w:val="normaltextrun"/>
          <w:sz w:val="24"/>
          <w:szCs w:val="24"/>
        </w:rPr>
        <w:t xml:space="preserve">when </w:t>
      </w:r>
      <w:r w:rsidR="004D3638" w:rsidRPr="00443048">
        <w:rPr>
          <w:rStyle w:val="normaltextrun"/>
          <w:sz w:val="24"/>
          <w:szCs w:val="24"/>
        </w:rPr>
        <w:t>glomerular filtration increases in response to physiological or pathological stimuli</w:t>
      </w:r>
      <w:r w:rsidR="00703F0A" w:rsidRPr="00443048">
        <w:rPr>
          <w:rStyle w:val="normaltextrun"/>
          <w:sz w:val="24"/>
          <w:szCs w:val="24"/>
        </w:rPr>
        <w:t xml:space="preserve"> [2</w:t>
      </w:r>
      <w:r w:rsidR="00396E99" w:rsidRPr="00443048">
        <w:rPr>
          <w:rStyle w:val="normaltextrun"/>
          <w:sz w:val="24"/>
          <w:szCs w:val="24"/>
        </w:rPr>
        <w:t>5</w:t>
      </w:r>
      <w:r w:rsidR="00703F0A" w:rsidRPr="00443048">
        <w:rPr>
          <w:rStyle w:val="normaltextrun"/>
          <w:sz w:val="24"/>
          <w:szCs w:val="24"/>
        </w:rPr>
        <w:t>]</w:t>
      </w:r>
      <w:r w:rsidR="00E235EB" w:rsidRPr="00443048">
        <w:rPr>
          <w:rStyle w:val="normaltextrun"/>
          <w:sz w:val="24"/>
          <w:szCs w:val="24"/>
        </w:rPr>
        <w:t>.</w:t>
      </w:r>
      <w:r w:rsidR="0074266B" w:rsidRPr="00443048">
        <w:rPr>
          <w:rStyle w:val="normaltextrun"/>
          <w:sz w:val="24"/>
          <w:szCs w:val="24"/>
        </w:rPr>
        <w:t xml:space="preserve"> </w:t>
      </w:r>
      <w:r w:rsidR="004D3638" w:rsidRPr="00443048">
        <w:rPr>
          <w:rStyle w:val="normaltextrun"/>
          <w:sz w:val="24"/>
          <w:szCs w:val="24"/>
        </w:rPr>
        <w:t xml:space="preserve"> </w:t>
      </w:r>
      <w:r w:rsidR="006A0D8D" w:rsidRPr="00443048">
        <w:rPr>
          <w:rStyle w:val="normaltextrun"/>
          <w:sz w:val="24"/>
          <w:szCs w:val="24"/>
        </w:rPr>
        <w:t xml:space="preserve">It </w:t>
      </w:r>
      <w:r w:rsidR="004D3638" w:rsidRPr="00443048">
        <w:rPr>
          <w:rStyle w:val="normaltextrun"/>
          <w:sz w:val="24"/>
          <w:szCs w:val="24"/>
        </w:rPr>
        <w:t xml:space="preserve">may be absent when basal function remains normal </w:t>
      </w:r>
      <w:r w:rsidR="00640B23" w:rsidRPr="00443048">
        <w:rPr>
          <w:rStyle w:val="normaltextrun"/>
          <w:sz w:val="24"/>
          <w:szCs w:val="24"/>
        </w:rPr>
        <w:t xml:space="preserve">- </w:t>
      </w:r>
      <w:r w:rsidR="00F23153" w:rsidRPr="00443048">
        <w:rPr>
          <w:rStyle w:val="normaltextrun"/>
          <w:sz w:val="24"/>
          <w:szCs w:val="24"/>
        </w:rPr>
        <w:t xml:space="preserve">even </w:t>
      </w:r>
      <w:r w:rsidR="004D3638" w:rsidRPr="00443048">
        <w:rPr>
          <w:rStyle w:val="normaltextrun"/>
          <w:sz w:val="24"/>
          <w:szCs w:val="24"/>
        </w:rPr>
        <w:t>with significant nephron loss</w:t>
      </w:r>
      <w:r w:rsidR="00640B23" w:rsidRPr="00443048">
        <w:rPr>
          <w:rStyle w:val="normaltextrun"/>
          <w:sz w:val="24"/>
          <w:szCs w:val="24"/>
        </w:rPr>
        <w:t xml:space="preserve">, </w:t>
      </w:r>
      <w:r w:rsidR="00442145" w:rsidRPr="00443048">
        <w:rPr>
          <w:rStyle w:val="normaltextrun"/>
          <w:sz w:val="24"/>
          <w:szCs w:val="24"/>
        </w:rPr>
        <w:t xml:space="preserve">and </w:t>
      </w:r>
      <w:r w:rsidR="00EC399C" w:rsidRPr="00443048">
        <w:rPr>
          <w:rStyle w:val="normaltextrun"/>
          <w:sz w:val="24"/>
          <w:szCs w:val="24"/>
        </w:rPr>
        <w:t xml:space="preserve">is associated with </w:t>
      </w:r>
      <w:r w:rsidR="003C32FF" w:rsidRPr="00443048">
        <w:rPr>
          <w:rStyle w:val="normaltextrun"/>
          <w:sz w:val="24"/>
          <w:szCs w:val="24"/>
        </w:rPr>
        <w:t xml:space="preserve">progressive CKD </w:t>
      </w:r>
      <w:r w:rsidR="004F5111" w:rsidRPr="00443048">
        <w:rPr>
          <w:rStyle w:val="normaltextrun"/>
          <w:sz w:val="24"/>
          <w:szCs w:val="24"/>
        </w:rPr>
        <w:t>[2</w:t>
      </w:r>
      <w:r w:rsidR="00396E99" w:rsidRPr="00443048">
        <w:rPr>
          <w:rStyle w:val="normaltextrun"/>
          <w:sz w:val="24"/>
          <w:szCs w:val="24"/>
        </w:rPr>
        <w:t>6</w:t>
      </w:r>
      <w:r w:rsidR="003B47FC" w:rsidRPr="00443048">
        <w:rPr>
          <w:rStyle w:val="normaltextrun"/>
          <w:sz w:val="24"/>
          <w:szCs w:val="24"/>
        </w:rPr>
        <w:t>,2</w:t>
      </w:r>
      <w:r w:rsidR="00396E99" w:rsidRPr="00443048">
        <w:rPr>
          <w:rStyle w:val="normaltextrun"/>
          <w:sz w:val="24"/>
          <w:szCs w:val="24"/>
        </w:rPr>
        <w:t>7</w:t>
      </w:r>
      <w:r w:rsidR="005828BB" w:rsidRPr="00443048">
        <w:rPr>
          <w:rStyle w:val="normaltextrun"/>
          <w:sz w:val="24"/>
          <w:szCs w:val="24"/>
        </w:rPr>
        <w:t xml:space="preserve">]. </w:t>
      </w:r>
      <w:r w:rsidR="003B47FC" w:rsidRPr="00443048">
        <w:rPr>
          <w:rStyle w:val="normaltextrun"/>
          <w:sz w:val="24"/>
          <w:szCs w:val="24"/>
        </w:rPr>
        <w:t xml:space="preserve">Subjects </w:t>
      </w:r>
      <w:r w:rsidR="00A45F17" w:rsidRPr="00443048">
        <w:rPr>
          <w:rStyle w:val="normaltextrun"/>
          <w:sz w:val="24"/>
          <w:szCs w:val="24"/>
        </w:rPr>
        <w:t xml:space="preserve">with reduced renal reserve have </w:t>
      </w:r>
      <w:r w:rsidR="00D70914" w:rsidRPr="00443048">
        <w:rPr>
          <w:rStyle w:val="normaltextrun"/>
          <w:sz w:val="24"/>
          <w:szCs w:val="24"/>
        </w:rPr>
        <w:t xml:space="preserve">a </w:t>
      </w:r>
      <w:r w:rsidR="004D3638" w:rsidRPr="00443048">
        <w:rPr>
          <w:rStyle w:val="normaltextrun"/>
          <w:sz w:val="24"/>
          <w:szCs w:val="24"/>
        </w:rPr>
        <w:t xml:space="preserve">higher rate of decline in </w:t>
      </w:r>
      <w:r w:rsidR="00AD66B6" w:rsidRPr="00443048">
        <w:rPr>
          <w:rStyle w:val="normaltextrun"/>
          <w:sz w:val="24"/>
          <w:szCs w:val="24"/>
        </w:rPr>
        <w:t xml:space="preserve">renal function </w:t>
      </w:r>
      <w:r w:rsidR="00311130" w:rsidRPr="00443048">
        <w:rPr>
          <w:rStyle w:val="normaltextrun"/>
          <w:sz w:val="24"/>
          <w:szCs w:val="24"/>
        </w:rPr>
        <w:t xml:space="preserve">compared with </w:t>
      </w:r>
      <w:r w:rsidR="004D3638" w:rsidRPr="00443048">
        <w:rPr>
          <w:rStyle w:val="normaltextrun"/>
          <w:sz w:val="24"/>
          <w:szCs w:val="24"/>
        </w:rPr>
        <w:t>matched controls with normal reserve</w:t>
      </w:r>
      <w:r w:rsidR="00404EB6" w:rsidRPr="00443048">
        <w:rPr>
          <w:rStyle w:val="normaltextrun"/>
          <w:sz w:val="24"/>
          <w:szCs w:val="24"/>
        </w:rPr>
        <w:t xml:space="preserve"> [2</w:t>
      </w:r>
      <w:r w:rsidR="00396E99" w:rsidRPr="00443048">
        <w:rPr>
          <w:rStyle w:val="normaltextrun"/>
          <w:sz w:val="24"/>
          <w:szCs w:val="24"/>
        </w:rPr>
        <w:t>8</w:t>
      </w:r>
      <w:r w:rsidR="00404EB6" w:rsidRPr="00443048">
        <w:rPr>
          <w:rStyle w:val="normaltextrun"/>
          <w:sz w:val="24"/>
          <w:szCs w:val="24"/>
        </w:rPr>
        <w:t>].</w:t>
      </w:r>
      <w:r w:rsidR="004D3638" w:rsidRPr="00443048">
        <w:rPr>
          <w:rStyle w:val="normaltextrun"/>
          <w:sz w:val="24"/>
          <w:szCs w:val="24"/>
        </w:rPr>
        <w:t> </w:t>
      </w:r>
      <w:r w:rsidR="00842DA1" w:rsidRPr="00443048">
        <w:rPr>
          <w:rStyle w:val="normaltextrun"/>
          <w:sz w:val="24"/>
          <w:szCs w:val="24"/>
        </w:rPr>
        <w:t xml:space="preserve">Prospective, </w:t>
      </w:r>
      <w:r w:rsidR="00842DA1" w:rsidRPr="00443048">
        <w:rPr>
          <w:sz w:val="24"/>
          <w:szCs w:val="24"/>
        </w:rPr>
        <w:t>l</w:t>
      </w:r>
      <w:r w:rsidR="00C6707B" w:rsidRPr="00443048">
        <w:rPr>
          <w:sz w:val="24"/>
          <w:szCs w:val="24"/>
        </w:rPr>
        <w:t xml:space="preserve">ongitudinal studies suggest that a 5% rise in eGFR over 12 </w:t>
      </w:r>
      <w:r w:rsidR="006B3E2B" w:rsidRPr="00443048">
        <w:rPr>
          <w:sz w:val="24"/>
          <w:szCs w:val="24"/>
        </w:rPr>
        <w:t>months is biologically relevant</w:t>
      </w:r>
      <w:r w:rsidR="00C6707B" w:rsidRPr="00443048">
        <w:rPr>
          <w:sz w:val="24"/>
          <w:szCs w:val="24"/>
        </w:rPr>
        <w:t xml:space="preserve"> and associated with a reduced risk of ESRD [2</w:t>
      </w:r>
      <w:r w:rsidR="00396E99" w:rsidRPr="00443048">
        <w:rPr>
          <w:sz w:val="24"/>
          <w:szCs w:val="24"/>
        </w:rPr>
        <w:t>9</w:t>
      </w:r>
      <w:r w:rsidR="00E81F7E" w:rsidRPr="00443048">
        <w:rPr>
          <w:sz w:val="24"/>
          <w:szCs w:val="24"/>
        </w:rPr>
        <w:t>,</w:t>
      </w:r>
      <w:r w:rsidR="00396E99" w:rsidRPr="00443048">
        <w:rPr>
          <w:sz w:val="24"/>
          <w:szCs w:val="24"/>
        </w:rPr>
        <w:t>30</w:t>
      </w:r>
      <w:r w:rsidR="00E81F7E" w:rsidRPr="00443048">
        <w:rPr>
          <w:sz w:val="24"/>
          <w:szCs w:val="24"/>
        </w:rPr>
        <w:t>]</w:t>
      </w:r>
      <w:r w:rsidR="00B92FB8" w:rsidRPr="00443048">
        <w:rPr>
          <w:sz w:val="24"/>
          <w:szCs w:val="24"/>
        </w:rPr>
        <w:t xml:space="preserve">. </w:t>
      </w:r>
      <w:r w:rsidR="002A235A" w:rsidRPr="00443048">
        <w:rPr>
          <w:sz w:val="24"/>
          <w:szCs w:val="24"/>
        </w:rPr>
        <w:t>T</w:t>
      </w:r>
      <w:r w:rsidR="0059567E" w:rsidRPr="00443048">
        <w:rPr>
          <w:sz w:val="24"/>
          <w:szCs w:val="24"/>
        </w:rPr>
        <w:t>he</w:t>
      </w:r>
      <w:r w:rsidR="003D46F3" w:rsidRPr="00443048">
        <w:rPr>
          <w:sz w:val="24"/>
          <w:szCs w:val="24"/>
        </w:rPr>
        <w:t>refore,</w:t>
      </w:r>
      <w:r w:rsidR="0059567E" w:rsidRPr="00443048">
        <w:rPr>
          <w:sz w:val="24"/>
          <w:szCs w:val="24"/>
        </w:rPr>
        <w:t xml:space="preserve"> </w:t>
      </w:r>
      <w:r w:rsidR="003D46F3" w:rsidRPr="00443048">
        <w:rPr>
          <w:sz w:val="24"/>
          <w:szCs w:val="24"/>
        </w:rPr>
        <w:t xml:space="preserve">the </w:t>
      </w:r>
      <w:r w:rsidR="0059567E" w:rsidRPr="00443048">
        <w:rPr>
          <w:sz w:val="24"/>
          <w:szCs w:val="24"/>
        </w:rPr>
        <w:t xml:space="preserve">rise in eGFR </w:t>
      </w:r>
      <w:r w:rsidR="00B92FB8" w:rsidRPr="00443048">
        <w:rPr>
          <w:sz w:val="24"/>
          <w:szCs w:val="24"/>
        </w:rPr>
        <w:t xml:space="preserve">as a measure of reserve </w:t>
      </w:r>
      <w:r w:rsidR="00B04748" w:rsidRPr="00443048">
        <w:rPr>
          <w:sz w:val="24"/>
          <w:szCs w:val="24"/>
        </w:rPr>
        <w:t>could be</w:t>
      </w:r>
      <w:r w:rsidR="002A235A" w:rsidRPr="00443048">
        <w:rPr>
          <w:sz w:val="24"/>
          <w:szCs w:val="24"/>
        </w:rPr>
        <w:t xml:space="preserve"> </w:t>
      </w:r>
      <w:r w:rsidR="00B04748" w:rsidRPr="00443048">
        <w:rPr>
          <w:sz w:val="24"/>
          <w:szCs w:val="24"/>
        </w:rPr>
        <w:t xml:space="preserve">a surrogate marker for the future risk of CKD and </w:t>
      </w:r>
      <w:r w:rsidR="000D7D01" w:rsidRPr="00443048">
        <w:rPr>
          <w:sz w:val="24"/>
          <w:szCs w:val="24"/>
        </w:rPr>
        <w:t xml:space="preserve">its </w:t>
      </w:r>
      <w:r w:rsidR="00634BEF" w:rsidRPr="00443048">
        <w:rPr>
          <w:sz w:val="24"/>
          <w:szCs w:val="24"/>
        </w:rPr>
        <w:t xml:space="preserve">measurement </w:t>
      </w:r>
      <w:r w:rsidR="000D7D01" w:rsidRPr="00443048">
        <w:rPr>
          <w:sz w:val="24"/>
          <w:szCs w:val="24"/>
        </w:rPr>
        <w:t xml:space="preserve">in </w:t>
      </w:r>
      <w:r w:rsidR="002E46DF" w:rsidRPr="00443048">
        <w:rPr>
          <w:sz w:val="24"/>
          <w:szCs w:val="24"/>
        </w:rPr>
        <w:t xml:space="preserve">select, </w:t>
      </w:r>
      <w:r w:rsidR="000D7D01" w:rsidRPr="00443048">
        <w:rPr>
          <w:sz w:val="24"/>
          <w:szCs w:val="24"/>
        </w:rPr>
        <w:t>high</w:t>
      </w:r>
      <w:r w:rsidR="002E46DF" w:rsidRPr="00443048">
        <w:rPr>
          <w:sz w:val="24"/>
          <w:szCs w:val="24"/>
        </w:rPr>
        <w:t>-</w:t>
      </w:r>
      <w:r w:rsidR="000D7D01" w:rsidRPr="00443048">
        <w:rPr>
          <w:sz w:val="24"/>
          <w:szCs w:val="24"/>
        </w:rPr>
        <w:t xml:space="preserve">risk groups could </w:t>
      </w:r>
      <w:r w:rsidR="003D46F3" w:rsidRPr="00443048">
        <w:rPr>
          <w:sz w:val="24"/>
          <w:szCs w:val="24"/>
        </w:rPr>
        <w:t xml:space="preserve">potentially </w:t>
      </w:r>
      <w:r w:rsidR="00660DFE" w:rsidRPr="00443048">
        <w:rPr>
          <w:sz w:val="24"/>
          <w:szCs w:val="24"/>
        </w:rPr>
        <w:t xml:space="preserve">have a role in </w:t>
      </w:r>
      <w:r w:rsidR="000D7D01" w:rsidRPr="00443048">
        <w:rPr>
          <w:sz w:val="24"/>
          <w:szCs w:val="24"/>
        </w:rPr>
        <w:t xml:space="preserve">the </w:t>
      </w:r>
      <w:r w:rsidR="00B04748" w:rsidRPr="00443048">
        <w:rPr>
          <w:sz w:val="24"/>
          <w:szCs w:val="24"/>
        </w:rPr>
        <w:t xml:space="preserve">development of preventative strategies. </w:t>
      </w:r>
    </w:p>
    <w:p w14:paraId="223471E0" w14:textId="77777777" w:rsidR="00311130" w:rsidRPr="00443048" w:rsidRDefault="00311130" w:rsidP="00604B88">
      <w:pPr>
        <w:spacing w:line="480" w:lineRule="auto"/>
        <w:jc w:val="both"/>
        <w:rPr>
          <w:sz w:val="24"/>
          <w:szCs w:val="24"/>
        </w:rPr>
      </w:pPr>
    </w:p>
    <w:p w14:paraId="7465E72B" w14:textId="6B964186" w:rsidR="000C711C" w:rsidRPr="00443048" w:rsidRDefault="000D14AA" w:rsidP="00604B88">
      <w:pPr>
        <w:spacing w:line="480" w:lineRule="auto"/>
        <w:jc w:val="both"/>
        <w:rPr>
          <w:sz w:val="24"/>
          <w:szCs w:val="24"/>
        </w:rPr>
      </w:pPr>
      <w:r w:rsidRPr="00443048">
        <w:rPr>
          <w:sz w:val="24"/>
          <w:szCs w:val="24"/>
        </w:rPr>
        <w:t>The mechanism</w:t>
      </w:r>
      <w:r w:rsidR="00DD0FB0" w:rsidRPr="00443048">
        <w:rPr>
          <w:sz w:val="24"/>
          <w:szCs w:val="24"/>
        </w:rPr>
        <w:t>(</w:t>
      </w:r>
      <w:r w:rsidR="00292FCC" w:rsidRPr="00443048">
        <w:rPr>
          <w:sz w:val="24"/>
          <w:szCs w:val="24"/>
        </w:rPr>
        <w:t>s</w:t>
      </w:r>
      <w:r w:rsidR="00DD0FB0" w:rsidRPr="00443048">
        <w:rPr>
          <w:sz w:val="24"/>
          <w:szCs w:val="24"/>
        </w:rPr>
        <w:t>)</w:t>
      </w:r>
      <w:r w:rsidRPr="00443048">
        <w:rPr>
          <w:sz w:val="24"/>
          <w:szCs w:val="24"/>
        </w:rPr>
        <w:t xml:space="preserve"> of a stimulated rise in eGFR in patients with type 2 diabetes are not clearly understood. </w:t>
      </w:r>
      <w:r w:rsidR="00260AF5" w:rsidRPr="00443048">
        <w:rPr>
          <w:sz w:val="24"/>
          <w:szCs w:val="24"/>
        </w:rPr>
        <w:t xml:space="preserve"> </w:t>
      </w:r>
      <w:r w:rsidR="006A0D8D" w:rsidRPr="00443048">
        <w:rPr>
          <w:sz w:val="24"/>
          <w:szCs w:val="24"/>
        </w:rPr>
        <w:t>Studies have shown that r</w:t>
      </w:r>
      <w:r w:rsidR="00DD0FB0" w:rsidRPr="00443048">
        <w:rPr>
          <w:sz w:val="24"/>
          <w:szCs w:val="24"/>
        </w:rPr>
        <w:t xml:space="preserve">enal function can improve as determined by </w:t>
      </w:r>
      <w:r w:rsidR="00DD0FB0" w:rsidRPr="00443048">
        <w:rPr>
          <w:sz w:val="24"/>
          <w:szCs w:val="24"/>
          <w:vertAlign w:val="superscript"/>
        </w:rPr>
        <w:t>51</w:t>
      </w:r>
      <w:r w:rsidR="00DD0FB0" w:rsidRPr="00443048">
        <w:rPr>
          <w:sz w:val="24"/>
          <w:szCs w:val="24"/>
        </w:rPr>
        <w:t>Cr-EDTA clearance</w:t>
      </w:r>
      <w:r w:rsidR="006A0D8D" w:rsidRPr="00443048">
        <w:rPr>
          <w:sz w:val="24"/>
          <w:szCs w:val="24"/>
        </w:rPr>
        <w:t>,</w:t>
      </w:r>
      <w:r w:rsidR="00DD0FB0" w:rsidRPr="00443048">
        <w:rPr>
          <w:sz w:val="24"/>
          <w:szCs w:val="24"/>
        </w:rPr>
        <w:t xml:space="preserve"> at any stage of CKD in patients with non-diabetic nephropathies.  </w:t>
      </w:r>
      <w:r w:rsidR="00060F9C">
        <w:rPr>
          <w:sz w:val="24"/>
          <w:szCs w:val="24"/>
        </w:rPr>
        <w:t xml:space="preserve">In these so-called </w:t>
      </w:r>
      <w:r w:rsidR="00060F9C" w:rsidRPr="00443048">
        <w:rPr>
          <w:sz w:val="24"/>
          <w:szCs w:val="24"/>
        </w:rPr>
        <w:t>‘improvers’</w:t>
      </w:r>
      <w:r w:rsidR="00060F9C">
        <w:rPr>
          <w:sz w:val="24"/>
          <w:szCs w:val="24"/>
        </w:rPr>
        <w:t xml:space="preserve"> who achieve more treatment goals it is not clear what changes occur within the kidney compared to their ‘non-responder’ counterparts </w:t>
      </w:r>
      <w:r w:rsidR="00D57CBF" w:rsidRPr="00443048">
        <w:rPr>
          <w:sz w:val="24"/>
          <w:szCs w:val="24"/>
        </w:rPr>
        <w:t>[</w:t>
      </w:r>
      <w:r w:rsidR="00F41789" w:rsidRPr="00443048">
        <w:rPr>
          <w:sz w:val="24"/>
          <w:szCs w:val="24"/>
        </w:rPr>
        <w:t>3</w:t>
      </w:r>
      <w:r w:rsidR="00396E99" w:rsidRPr="00443048">
        <w:rPr>
          <w:sz w:val="24"/>
          <w:szCs w:val="24"/>
        </w:rPr>
        <w:t>1</w:t>
      </w:r>
      <w:r w:rsidR="00D57CBF" w:rsidRPr="00443048">
        <w:rPr>
          <w:sz w:val="24"/>
          <w:szCs w:val="24"/>
        </w:rPr>
        <w:t>].</w:t>
      </w:r>
      <w:r w:rsidR="004E34FD" w:rsidRPr="00443048">
        <w:rPr>
          <w:sz w:val="24"/>
          <w:szCs w:val="24"/>
        </w:rPr>
        <w:t xml:space="preserve"> </w:t>
      </w:r>
      <w:r w:rsidR="00D57CBF" w:rsidRPr="00443048">
        <w:rPr>
          <w:sz w:val="24"/>
          <w:szCs w:val="24"/>
        </w:rPr>
        <w:t xml:space="preserve"> </w:t>
      </w:r>
      <w:r w:rsidR="00F07506">
        <w:rPr>
          <w:sz w:val="24"/>
          <w:szCs w:val="24"/>
        </w:rPr>
        <w:t>P</w:t>
      </w:r>
      <w:r w:rsidR="00F07506" w:rsidRPr="00F07506">
        <w:rPr>
          <w:sz w:val="24"/>
          <w:szCs w:val="24"/>
        </w:rPr>
        <w:t>erfusion is a parameter of tissue viability and functionality</w:t>
      </w:r>
      <w:r w:rsidR="00F07506">
        <w:rPr>
          <w:sz w:val="24"/>
          <w:szCs w:val="24"/>
        </w:rPr>
        <w:t xml:space="preserve"> and </w:t>
      </w:r>
      <w:r w:rsidR="00F07506" w:rsidRPr="00F07506">
        <w:rPr>
          <w:sz w:val="24"/>
          <w:szCs w:val="24"/>
        </w:rPr>
        <w:t xml:space="preserve">its measurement </w:t>
      </w:r>
      <w:r w:rsidR="00F07506">
        <w:rPr>
          <w:sz w:val="24"/>
          <w:szCs w:val="24"/>
        </w:rPr>
        <w:t xml:space="preserve">is of value in </w:t>
      </w:r>
      <w:r w:rsidR="00F07506" w:rsidRPr="00F07506">
        <w:rPr>
          <w:sz w:val="24"/>
          <w:szCs w:val="24"/>
        </w:rPr>
        <w:t>characteriz</w:t>
      </w:r>
      <w:r w:rsidR="00F07506">
        <w:rPr>
          <w:sz w:val="24"/>
          <w:szCs w:val="24"/>
        </w:rPr>
        <w:t xml:space="preserve">ing </w:t>
      </w:r>
      <w:r w:rsidR="00F07506" w:rsidRPr="00F07506">
        <w:rPr>
          <w:sz w:val="24"/>
          <w:szCs w:val="24"/>
        </w:rPr>
        <w:t>pathological changes in ischemia</w:t>
      </w:r>
      <w:r w:rsidR="00F07506">
        <w:rPr>
          <w:sz w:val="24"/>
          <w:szCs w:val="24"/>
        </w:rPr>
        <w:t xml:space="preserve"> and </w:t>
      </w:r>
      <w:r w:rsidR="00F07506" w:rsidRPr="00F07506">
        <w:rPr>
          <w:sz w:val="24"/>
          <w:szCs w:val="24"/>
        </w:rPr>
        <w:t>inflammation</w:t>
      </w:r>
      <w:r w:rsidR="00F07506">
        <w:rPr>
          <w:sz w:val="24"/>
          <w:szCs w:val="24"/>
        </w:rPr>
        <w:t xml:space="preserve">.  </w:t>
      </w:r>
      <w:r w:rsidR="00F5565A">
        <w:rPr>
          <w:sz w:val="24"/>
          <w:szCs w:val="24"/>
        </w:rPr>
        <w:t xml:space="preserve">Using CEUS, we like others have shown that this technique has utility is demonstrating impairment </w:t>
      </w:r>
      <w:r w:rsidR="00F07506">
        <w:rPr>
          <w:sz w:val="24"/>
          <w:szCs w:val="24"/>
        </w:rPr>
        <w:t xml:space="preserve">of tissue blood flow and changes with treatment </w:t>
      </w:r>
      <w:r w:rsidR="00F5565A">
        <w:rPr>
          <w:sz w:val="24"/>
          <w:szCs w:val="24"/>
        </w:rPr>
        <w:t xml:space="preserve">in </w:t>
      </w:r>
      <w:r w:rsidR="00F07506">
        <w:rPr>
          <w:sz w:val="24"/>
          <w:szCs w:val="24"/>
        </w:rPr>
        <w:t>inflammatory condition</w:t>
      </w:r>
      <w:r w:rsidR="00060F9C">
        <w:rPr>
          <w:sz w:val="24"/>
          <w:szCs w:val="24"/>
        </w:rPr>
        <w:t>s [32]</w:t>
      </w:r>
      <w:r w:rsidR="004056B6">
        <w:rPr>
          <w:sz w:val="24"/>
          <w:szCs w:val="24"/>
        </w:rPr>
        <w:t>.</w:t>
      </w:r>
      <w:r w:rsidR="00F5565A">
        <w:rPr>
          <w:sz w:val="24"/>
          <w:szCs w:val="24"/>
        </w:rPr>
        <w:t xml:space="preserve"> </w:t>
      </w:r>
      <w:r w:rsidR="004E0311" w:rsidRPr="00443048">
        <w:rPr>
          <w:sz w:val="24"/>
          <w:szCs w:val="24"/>
        </w:rPr>
        <w:t xml:space="preserve">The </w:t>
      </w:r>
      <w:r w:rsidR="00C335AC">
        <w:rPr>
          <w:sz w:val="24"/>
          <w:szCs w:val="24"/>
        </w:rPr>
        <w:t xml:space="preserve">baseline </w:t>
      </w:r>
      <w:r w:rsidR="004E0311" w:rsidRPr="00443048">
        <w:rPr>
          <w:sz w:val="24"/>
          <w:szCs w:val="24"/>
        </w:rPr>
        <w:t xml:space="preserve">renal cortical perfusion </w:t>
      </w:r>
      <w:r w:rsidR="00C335AC">
        <w:rPr>
          <w:sz w:val="24"/>
          <w:szCs w:val="24"/>
        </w:rPr>
        <w:t xml:space="preserve">characteristics </w:t>
      </w:r>
      <w:r w:rsidR="00F5565A">
        <w:rPr>
          <w:sz w:val="24"/>
          <w:szCs w:val="24"/>
        </w:rPr>
        <w:t xml:space="preserve">we found </w:t>
      </w:r>
      <w:r w:rsidR="004E0311" w:rsidRPr="00443048">
        <w:rPr>
          <w:sz w:val="24"/>
          <w:szCs w:val="24"/>
        </w:rPr>
        <w:t xml:space="preserve">were similar to that reported in patients with early CKD (24). </w:t>
      </w:r>
      <w:r w:rsidR="00F5565A">
        <w:rPr>
          <w:sz w:val="24"/>
          <w:szCs w:val="24"/>
        </w:rPr>
        <w:t xml:space="preserve"> </w:t>
      </w:r>
      <w:r w:rsidR="004E0311" w:rsidRPr="00443048">
        <w:rPr>
          <w:sz w:val="24"/>
          <w:szCs w:val="24"/>
        </w:rPr>
        <w:t xml:space="preserve">We </w:t>
      </w:r>
      <w:r w:rsidR="00C335AC">
        <w:rPr>
          <w:sz w:val="24"/>
          <w:szCs w:val="24"/>
        </w:rPr>
        <w:t xml:space="preserve">have shown for the first time </w:t>
      </w:r>
      <w:r w:rsidR="004E0311" w:rsidRPr="00443048">
        <w:rPr>
          <w:sz w:val="24"/>
          <w:szCs w:val="24"/>
        </w:rPr>
        <w:t>that antioxidant</w:t>
      </w:r>
      <w:r w:rsidR="00C335AC">
        <w:rPr>
          <w:sz w:val="24"/>
          <w:szCs w:val="24"/>
        </w:rPr>
        <w:t xml:space="preserve"> supplementation </w:t>
      </w:r>
      <w:r w:rsidR="00F5565A">
        <w:rPr>
          <w:sz w:val="24"/>
          <w:szCs w:val="24"/>
        </w:rPr>
        <w:t xml:space="preserve">may reverse </w:t>
      </w:r>
      <w:r w:rsidR="004E0311" w:rsidRPr="00443048">
        <w:rPr>
          <w:sz w:val="24"/>
          <w:szCs w:val="24"/>
        </w:rPr>
        <w:t xml:space="preserve">the impedance to </w:t>
      </w:r>
      <w:r w:rsidR="00F5565A">
        <w:rPr>
          <w:sz w:val="24"/>
          <w:szCs w:val="24"/>
        </w:rPr>
        <w:t xml:space="preserve">renal </w:t>
      </w:r>
      <w:r w:rsidR="004E0311" w:rsidRPr="00443048">
        <w:rPr>
          <w:sz w:val="24"/>
          <w:szCs w:val="24"/>
        </w:rPr>
        <w:t>blood flow</w:t>
      </w:r>
      <w:r w:rsidR="00C335AC">
        <w:rPr>
          <w:sz w:val="24"/>
          <w:szCs w:val="24"/>
        </w:rPr>
        <w:t xml:space="preserve"> in patients with type 2 diabetes</w:t>
      </w:r>
      <w:r w:rsidR="00E41504">
        <w:rPr>
          <w:sz w:val="24"/>
          <w:szCs w:val="24"/>
        </w:rPr>
        <w:t xml:space="preserve"> and early CKD and is a response that could be </w:t>
      </w:r>
      <w:r w:rsidR="004E0311" w:rsidRPr="00443048">
        <w:rPr>
          <w:sz w:val="24"/>
          <w:szCs w:val="24"/>
        </w:rPr>
        <w:t>of pathological significance</w:t>
      </w:r>
      <w:r w:rsidR="00E41504">
        <w:rPr>
          <w:sz w:val="24"/>
          <w:szCs w:val="24"/>
        </w:rPr>
        <w:t xml:space="preserve"> in the rate of disease progression.</w:t>
      </w:r>
    </w:p>
    <w:p w14:paraId="49A47E06" w14:textId="77777777" w:rsidR="000C711C" w:rsidRPr="00443048" w:rsidRDefault="000C711C" w:rsidP="00604B88">
      <w:pPr>
        <w:spacing w:line="480" w:lineRule="auto"/>
        <w:jc w:val="both"/>
        <w:rPr>
          <w:sz w:val="24"/>
          <w:szCs w:val="24"/>
        </w:rPr>
      </w:pPr>
    </w:p>
    <w:p w14:paraId="4FAEF506" w14:textId="41EDC1C8" w:rsidR="000D14AA" w:rsidRPr="00443048" w:rsidRDefault="00226CF0" w:rsidP="00604B88">
      <w:pPr>
        <w:spacing w:line="480" w:lineRule="auto"/>
        <w:jc w:val="both"/>
        <w:rPr>
          <w:sz w:val="24"/>
          <w:szCs w:val="24"/>
        </w:rPr>
      </w:pPr>
      <w:r w:rsidRPr="00443048">
        <w:rPr>
          <w:sz w:val="24"/>
          <w:szCs w:val="24"/>
        </w:rPr>
        <w:t>Our data suggest activation of the en</w:t>
      </w:r>
      <w:r w:rsidR="000C711C" w:rsidRPr="00443048">
        <w:rPr>
          <w:sz w:val="24"/>
          <w:szCs w:val="24"/>
        </w:rPr>
        <w:t>dogenous antioxidant pathways was</w:t>
      </w:r>
      <w:r w:rsidRPr="00443048">
        <w:rPr>
          <w:sz w:val="24"/>
          <w:szCs w:val="24"/>
        </w:rPr>
        <w:t xml:space="preserve"> n</w:t>
      </w:r>
      <w:r w:rsidR="000C711C" w:rsidRPr="00443048">
        <w:rPr>
          <w:sz w:val="24"/>
          <w:szCs w:val="24"/>
        </w:rPr>
        <w:t>ecessary to preserve</w:t>
      </w:r>
      <w:r w:rsidRPr="00443048">
        <w:rPr>
          <w:sz w:val="24"/>
          <w:szCs w:val="24"/>
        </w:rPr>
        <w:t xml:space="preserve"> eGFR. </w:t>
      </w:r>
      <w:r w:rsidR="006A0D8D" w:rsidRPr="00443048">
        <w:rPr>
          <w:sz w:val="24"/>
          <w:szCs w:val="24"/>
        </w:rPr>
        <w:t>The a</w:t>
      </w:r>
      <w:r w:rsidR="000D14AA" w:rsidRPr="00443048">
        <w:rPr>
          <w:sz w:val="24"/>
          <w:szCs w:val="24"/>
        </w:rPr>
        <w:t>ttenuat</w:t>
      </w:r>
      <w:r w:rsidR="00A038A1" w:rsidRPr="00443048">
        <w:rPr>
          <w:sz w:val="24"/>
          <w:szCs w:val="24"/>
        </w:rPr>
        <w:t xml:space="preserve">ion of </w:t>
      </w:r>
      <w:r w:rsidR="000D14AA" w:rsidRPr="00443048">
        <w:rPr>
          <w:sz w:val="24"/>
          <w:szCs w:val="24"/>
        </w:rPr>
        <w:t>inflammatory and oxidative stress increase</w:t>
      </w:r>
      <w:r w:rsidR="00A038A1" w:rsidRPr="00443048">
        <w:rPr>
          <w:sz w:val="24"/>
          <w:szCs w:val="24"/>
        </w:rPr>
        <w:t>s</w:t>
      </w:r>
      <w:r w:rsidR="000D14AA" w:rsidRPr="00443048">
        <w:rPr>
          <w:sz w:val="24"/>
          <w:szCs w:val="24"/>
        </w:rPr>
        <w:t xml:space="preserve"> glomerular filtration. A sustained improvement in eGFR with an antioxidant modulator</w:t>
      </w:r>
      <w:r w:rsidR="00F5565A">
        <w:rPr>
          <w:sz w:val="24"/>
          <w:szCs w:val="24"/>
        </w:rPr>
        <w:t xml:space="preserve">, Bardoxolone </w:t>
      </w:r>
      <w:r w:rsidR="007D397F" w:rsidRPr="00443048">
        <w:rPr>
          <w:sz w:val="24"/>
          <w:szCs w:val="24"/>
        </w:rPr>
        <w:t xml:space="preserve">that increases redox signalling through the </w:t>
      </w:r>
      <w:r w:rsidR="000D14AA" w:rsidRPr="00443048">
        <w:rPr>
          <w:sz w:val="24"/>
          <w:szCs w:val="24"/>
        </w:rPr>
        <w:t xml:space="preserve">Keap1-Nrf2 pathway has been </w:t>
      </w:r>
      <w:r w:rsidR="00460A13" w:rsidRPr="00443048">
        <w:rPr>
          <w:sz w:val="24"/>
          <w:szCs w:val="24"/>
        </w:rPr>
        <w:t xml:space="preserve">previously </w:t>
      </w:r>
      <w:r w:rsidR="000D14AA" w:rsidRPr="00443048">
        <w:rPr>
          <w:sz w:val="24"/>
          <w:szCs w:val="24"/>
        </w:rPr>
        <w:t xml:space="preserve">reported in patients with type 2 diabetes and CKD stage </w:t>
      </w:r>
      <w:r w:rsidR="005C1377" w:rsidRPr="00443048">
        <w:rPr>
          <w:sz w:val="24"/>
          <w:szCs w:val="24"/>
        </w:rPr>
        <w:t>3</w:t>
      </w:r>
      <w:r w:rsidR="00BD705E" w:rsidRPr="00443048">
        <w:rPr>
          <w:sz w:val="24"/>
          <w:szCs w:val="24"/>
        </w:rPr>
        <w:t xml:space="preserve"> [17</w:t>
      </w:r>
      <w:r w:rsidR="0093560B" w:rsidRPr="00443048">
        <w:rPr>
          <w:sz w:val="24"/>
          <w:szCs w:val="24"/>
        </w:rPr>
        <w:t>].</w:t>
      </w:r>
      <w:r w:rsidR="00AF7F4B" w:rsidRPr="00443048">
        <w:rPr>
          <w:sz w:val="24"/>
          <w:szCs w:val="24"/>
        </w:rPr>
        <w:t xml:space="preserve"> </w:t>
      </w:r>
      <w:r w:rsidR="00B6584B" w:rsidRPr="00443048">
        <w:rPr>
          <w:sz w:val="24"/>
          <w:szCs w:val="24"/>
        </w:rPr>
        <w:t>T</w:t>
      </w:r>
      <w:r w:rsidR="000D14AA" w:rsidRPr="00443048">
        <w:rPr>
          <w:sz w:val="24"/>
          <w:szCs w:val="24"/>
        </w:rPr>
        <w:t xml:space="preserve">he </w:t>
      </w:r>
      <w:r w:rsidR="005432DB" w:rsidRPr="00443048">
        <w:rPr>
          <w:sz w:val="24"/>
          <w:szCs w:val="24"/>
        </w:rPr>
        <w:t xml:space="preserve">reported </w:t>
      </w:r>
      <w:r w:rsidR="000D14AA" w:rsidRPr="00443048">
        <w:rPr>
          <w:sz w:val="24"/>
          <w:szCs w:val="24"/>
        </w:rPr>
        <w:t xml:space="preserve">early rise in eGFR was </w:t>
      </w:r>
      <w:r w:rsidR="005432DB" w:rsidRPr="00443048">
        <w:rPr>
          <w:sz w:val="24"/>
          <w:szCs w:val="24"/>
        </w:rPr>
        <w:t xml:space="preserve">thought related to </w:t>
      </w:r>
      <w:r w:rsidR="000D14AA" w:rsidRPr="00443048">
        <w:rPr>
          <w:sz w:val="24"/>
          <w:szCs w:val="24"/>
        </w:rPr>
        <w:t>a haemodynamic mechanism</w:t>
      </w:r>
      <w:r w:rsidR="005432DB" w:rsidRPr="00443048">
        <w:rPr>
          <w:sz w:val="24"/>
          <w:szCs w:val="24"/>
        </w:rPr>
        <w:t xml:space="preserve"> which is supported by our work. However, s</w:t>
      </w:r>
      <w:r w:rsidR="000D14AA" w:rsidRPr="00443048">
        <w:rPr>
          <w:sz w:val="24"/>
          <w:szCs w:val="24"/>
        </w:rPr>
        <w:t xml:space="preserve">tructural changes </w:t>
      </w:r>
      <w:r w:rsidR="005432DB" w:rsidRPr="00443048">
        <w:rPr>
          <w:sz w:val="24"/>
          <w:szCs w:val="24"/>
        </w:rPr>
        <w:t xml:space="preserve">- which </w:t>
      </w:r>
      <w:r w:rsidR="00F5565A">
        <w:rPr>
          <w:sz w:val="24"/>
          <w:szCs w:val="24"/>
        </w:rPr>
        <w:t xml:space="preserve">similar </w:t>
      </w:r>
      <w:r w:rsidR="005432DB" w:rsidRPr="00443048">
        <w:rPr>
          <w:sz w:val="24"/>
          <w:szCs w:val="24"/>
        </w:rPr>
        <w:t>compound</w:t>
      </w:r>
      <w:r w:rsidR="00F5565A">
        <w:rPr>
          <w:sz w:val="24"/>
          <w:szCs w:val="24"/>
        </w:rPr>
        <w:t>s</w:t>
      </w:r>
      <w:r w:rsidR="005432DB" w:rsidRPr="00443048">
        <w:rPr>
          <w:sz w:val="24"/>
          <w:szCs w:val="24"/>
        </w:rPr>
        <w:t xml:space="preserve"> produce in an experimental, murine diabetes model - are </w:t>
      </w:r>
      <w:r w:rsidR="000C711C" w:rsidRPr="00443048">
        <w:rPr>
          <w:sz w:val="24"/>
          <w:szCs w:val="24"/>
        </w:rPr>
        <w:t xml:space="preserve">also </w:t>
      </w:r>
      <w:r w:rsidR="005432DB" w:rsidRPr="00443048">
        <w:rPr>
          <w:sz w:val="24"/>
          <w:szCs w:val="24"/>
        </w:rPr>
        <w:t xml:space="preserve">considered likely to explain the </w:t>
      </w:r>
      <w:r w:rsidR="000C711C" w:rsidRPr="00443048">
        <w:rPr>
          <w:sz w:val="24"/>
          <w:szCs w:val="24"/>
        </w:rPr>
        <w:t xml:space="preserve">sustained </w:t>
      </w:r>
      <w:r w:rsidR="000D14AA" w:rsidRPr="00443048">
        <w:rPr>
          <w:sz w:val="24"/>
          <w:szCs w:val="24"/>
        </w:rPr>
        <w:t xml:space="preserve">response </w:t>
      </w:r>
      <w:r w:rsidR="005432DB" w:rsidRPr="00443048">
        <w:rPr>
          <w:sz w:val="24"/>
          <w:szCs w:val="24"/>
        </w:rPr>
        <w:t xml:space="preserve">in eGFR after </w:t>
      </w:r>
      <w:r w:rsidR="000D14AA" w:rsidRPr="00443048">
        <w:rPr>
          <w:sz w:val="24"/>
          <w:szCs w:val="24"/>
        </w:rPr>
        <w:t>12 months</w:t>
      </w:r>
      <w:r w:rsidR="00292FCC" w:rsidRPr="00443048">
        <w:rPr>
          <w:sz w:val="24"/>
          <w:szCs w:val="24"/>
        </w:rPr>
        <w:t xml:space="preserve"> </w:t>
      </w:r>
      <w:r w:rsidR="00D57CBF" w:rsidRPr="00443048">
        <w:rPr>
          <w:sz w:val="24"/>
          <w:szCs w:val="24"/>
        </w:rPr>
        <w:t>[</w:t>
      </w:r>
      <w:r w:rsidR="00F41789" w:rsidRPr="00443048">
        <w:rPr>
          <w:sz w:val="24"/>
          <w:szCs w:val="24"/>
        </w:rPr>
        <w:t>3</w:t>
      </w:r>
      <w:r w:rsidR="00E41504">
        <w:rPr>
          <w:sz w:val="24"/>
          <w:szCs w:val="24"/>
        </w:rPr>
        <w:t>3</w:t>
      </w:r>
      <w:r w:rsidR="0093560B" w:rsidRPr="00443048">
        <w:rPr>
          <w:sz w:val="24"/>
          <w:szCs w:val="24"/>
        </w:rPr>
        <w:t>]</w:t>
      </w:r>
      <w:r w:rsidR="00AF7F4B" w:rsidRPr="00443048">
        <w:rPr>
          <w:sz w:val="24"/>
          <w:szCs w:val="24"/>
        </w:rPr>
        <w:t>.</w:t>
      </w:r>
      <w:r w:rsidR="000D14AA" w:rsidRPr="00443048">
        <w:rPr>
          <w:sz w:val="24"/>
          <w:szCs w:val="24"/>
        </w:rPr>
        <w:t xml:space="preserve">  </w:t>
      </w:r>
    </w:p>
    <w:p w14:paraId="5E165946" w14:textId="45ABD8A1" w:rsidR="006B34E1" w:rsidRPr="00443048" w:rsidRDefault="008605BC" w:rsidP="00604B88">
      <w:pPr>
        <w:spacing w:line="480" w:lineRule="auto"/>
        <w:jc w:val="both"/>
        <w:rPr>
          <w:sz w:val="24"/>
          <w:szCs w:val="24"/>
        </w:rPr>
      </w:pPr>
      <w:r w:rsidRPr="00443048">
        <w:rPr>
          <w:sz w:val="24"/>
          <w:szCs w:val="24"/>
        </w:rPr>
        <w:t xml:space="preserve">The </w:t>
      </w:r>
      <w:r w:rsidR="000C711C" w:rsidRPr="00443048">
        <w:rPr>
          <w:sz w:val="24"/>
          <w:szCs w:val="24"/>
        </w:rPr>
        <w:t xml:space="preserve">difference in rate of </w:t>
      </w:r>
      <w:r w:rsidR="00AE573C" w:rsidRPr="00443048">
        <w:rPr>
          <w:sz w:val="24"/>
          <w:szCs w:val="24"/>
        </w:rPr>
        <w:t xml:space="preserve">change in </w:t>
      </w:r>
      <w:r w:rsidR="001A5405" w:rsidRPr="00443048">
        <w:rPr>
          <w:sz w:val="24"/>
          <w:szCs w:val="24"/>
        </w:rPr>
        <w:t xml:space="preserve">eGFR </w:t>
      </w:r>
      <w:r w:rsidR="00AE573C" w:rsidRPr="00443048">
        <w:rPr>
          <w:sz w:val="24"/>
          <w:szCs w:val="24"/>
        </w:rPr>
        <w:t xml:space="preserve">between patients of Caucasian and non-Caucasian ethnicity was notable and </w:t>
      </w:r>
      <w:r w:rsidR="00CD0FB5" w:rsidRPr="00443048">
        <w:rPr>
          <w:sz w:val="24"/>
          <w:szCs w:val="24"/>
        </w:rPr>
        <w:t xml:space="preserve">may be </w:t>
      </w:r>
      <w:r w:rsidR="00F04F91" w:rsidRPr="00443048">
        <w:rPr>
          <w:sz w:val="24"/>
          <w:szCs w:val="24"/>
        </w:rPr>
        <w:t xml:space="preserve">relevant </w:t>
      </w:r>
      <w:r w:rsidR="000C711C" w:rsidRPr="00443048">
        <w:rPr>
          <w:sz w:val="24"/>
          <w:szCs w:val="24"/>
        </w:rPr>
        <w:t xml:space="preserve">to </w:t>
      </w:r>
      <w:r w:rsidR="001A5405" w:rsidRPr="00443048">
        <w:rPr>
          <w:sz w:val="24"/>
          <w:szCs w:val="24"/>
        </w:rPr>
        <w:t xml:space="preserve">susceptibility to CKD </w:t>
      </w:r>
      <w:r w:rsidR="00491962" w:rsidRPr="00443048">
        <w:rPr>
          <w:sz w:val="24"/>
          <w:szCs w:val="24"/>
        </w:rPr>
        <w:t xml:space="preserve">progression </w:t>
      </w:r>
      <w:r w:rsidR="001A5405" w:rsidRPr="00443048">
        <w:rPr>
          <w:sz w:val="24"/>
          <w:szCs w:val="24"/>
        </w:rPr>
        <w:t>[</w:t>
      </w:r>
      <w:r w:rsidR="00F41789" w:rsidRPr="00443048">
        <w:rPr>
          <w:sz w:val="24"/>
          <w:szCs w:val="24"/>
        </w:rPr>
        <w:t>3</w:t>
      </w:r>
      <w:r w:rsidR="00E41504">
        <w:rPr>
          <w:sz w:val="24"/>
          <w:szCs w:val="24"/>
        </w:rPr>
        <w:t>4</w:t>
      </w:r>
      <w:r w:rsidR="001A5405" w:rsidRPr="00443048">
        <w:rPr>
          <w:sz w:val="24"/>
          <w:szCs w:val="24"/>
        </w:rPr>
        <w:t xml:space="preserve">].   </w:t>
      </w:r>
      <w:r w:rsidR="00873A4C" w:rsidRPr="00443048">
        <w:rPr>
          <w:sz w:val="24"/>
          <w:szCs w:val="24"/>
        </w:rPr>
        <w:t>T</w:t>
      </w:r>
      <w:r w:rsidR="00B91032" w:rsidRPr="00443048">
        <w:rPr>
          <w:sz w:val="24"/>
          <w:szCs w:val="24"/>
        </w:rPr>
        <w:t xml:space="preserve">he </w:t>
      </w:r>
      <w:r w:rsidR="00BD465C" w:rsidRPr="00443048">
        <w:rPr>
          <w:sz w:val="24"/>
          <w:szCs w:val="24"/>
        </w:rPr>
        <w:t xml:space="preserve">non-Caucasian patients appear to have a </w:t>
      </w:r>
      <w:r w:rsidR="0093560B" w:rsidRPr="00443048">
        <w:rPr>
          <w:sz w:val="24"/>
          <w:szCs w:val="24"/>
        </w:rPr>
        <w:t xml:space="preserve">slower </w:t>
      </w:r>
      <w:r w:rsidR="007E2285" w:rsidRPr="00443048">
        <w:rPr>
          <w:sz w:val="24"/>
          <w:szCs w:val="24"/>
        </w:rPr>
        <w:t>respons</w:t>
      </w:r>
      <w:r w:rsidR="001C2AF7" w:rsidRPr="00443048">
        <w:rPr>
          <w:sz w:val="24"/>
          <w:szCs w:val="24"/>
        </w:rPr>
        <w:t xml:space="preserve">e </w:t>
      </w:r>
      <w:r w:rsidR="00873A4C" w:rsidRPr="00443048">
        <w:rPr>
          <w:sz w:val="24"/>
          <w:szCs w:val="24"/>
        </w:rPr>
        <w:t xml:space="preserve">to </w:t>
      </w:r>
      <w:r w:rsidR="001C2AF7" w:rsidRPr="00443048">
        <w:rPr>
          <w:sz w:val="24"/>
          <w:szCs w:val="24"/>
        </w:rPr>
        <w:t xml:space="preserve">the </w:t>
      </w:r>
      <w:r w:rsidR="00873A4C" w:rsidRPr="00443048">
        <w:rPr>
          <w:sz w:val="24"/>
          <w:szCs w:val="24"/>
        </w:rPr>
        <w:t xml:space="preserve">interventions </w:t>
      </w:r>
      <w:r w:rsidR="00BD465C" w:rsidRPr="00443048">
        <w:rPr>
          <w:sz w:val="24"/>
          <w:szCs w:val="24"/>
        </w:rPr>
        <w:t xml:space="preserve">which we consider </w:t>
      </w:r>
      <w:r w:rsidR="007D397F" w:rsidRPr="00443048">
        <w:rPr>
          <w:sz w:val="24"/>
          <w:szCs w:val="24"/>
        </w:rPr>
        <w:t>could be related to reduced/</w:t>
      </w:r>
      <w:r w:rsidR="00ED20EE" w:rsidRPr="00443048">
        <w:rPr>
          <w:sz w:val="24"/>
          <w:szCs w:val="24"/>
        </w:rPr>
        <w:t xml:space="preserve">altered </w:t>
      </w:r>
      <w:r w:rsidR="00A677B0" w:rsidRPr="00443048">
        <w:rPr>
          <w:sz w:val="24"/>
          <w:szCs w:val="24"/>
        </w:rPr>
        <w:t xml:space="preserve">vascular </w:t>
      </w:r>
      <w:r w:rsidR="00B91032" w:rsidRPr="00443048">
        <w:rPr>
          <w:sz w:val="24"/>
          <w:szCs w:val="24"/>
        </w:rPr>
        <w:t>reactivity</w:t>
      </w:r>
      <w:r w:rsidR="009C5E2D" w:rsidRPr="00443048">
        <w:rPr>
          <w:sz w:val="24"/>
          <w:szCs w:val="24"/>
        </w:rPr>
        <w:t xml:space="preserve"> [</w:t>
      </w:r>
      <w:r w:rsidR="00C81DEA" w:rsidRPr="00443048">
        <w:rPr>
          <w:sz w:val="24"/>
          <w:szCs w:val="24"/>
        </w:rPr>
        <w:t>3</w:t>
      </w:r>
      <w:r w:rsidR="00E41504">
        <w:rPr>
          <w:sz w:val="24"/>
          <w:szCs w:val="24"/>
        </w:rPr>
        <w:t>5</w:t>
      </w:r>
      <w:r w:rsidR="00ED20EE" w:rsidRPr="00443048">
        <w:rPr>
          <w:sz w:val="24"/>
          <w:szCs w:val="24"/>
        </w:rPr>
        <w:t>]</w:t>
      </w:r>
      <w:r w:rsidR="00A677B0" w:rsidRPr="00443048">
        <w:rPr>
          <w:sz w:val="24"/>
          <w:szCs w:val="24"/>
        </w:rPr>
        <w:t>.</w:t>
      </w:r>
      <w:r w:rsidR="00DD2FDC" w:rsidRPr="00443048">
        <w:rPr>
          <w:sz w:val="24"/>
          <w:szCs w:val="24"/>
        </w:rPr>
        <w:t xml:space="preserve"> </w:t>
      </w:r>
      <w:r w:rsidR="00CB6B3A" w:rsidRPr="00443048">
        <w:rPr>
          <w:sz w:val="24"/>
          <w:szCs w:val="24"/>
        </w:rPr>
        <w:t xml:space="preserve">We previously reported that patients </w:t>
      </w:r>
      <w:r w:rsidR="00873A4C" w:rsidRPr="00443048">
        <w:rPr>
          <w:sz w:val="24"/>
          <w:szCs w:val="24"/>
        </w:rPr>
        <w:t xml:space="preserve">of African origin with </w:t>
      </w:r>
      <w:r w:rsidR="00A677B0" w:rsidRPr="00443048">
        <w:rPr>
          <w:sz w:val="24"/>
          <w:szCs w:val="24"/>
        </w:rPr>
        <w:t xml:space="preserve">type 2 diabetes have a lower renal reserve compared with Caucasian patients in relation to a reduced </w:t>
      </w:r>
      <w:r w:rsidR="00DD2FDC" w:rsidRPr="00443048">
        <w:rPr>
          <w:sz w:val="24"/>
          <w:szCs w:val="24"/>
        </w:rPr>
        <w:t>bio</w:t>
      </w:r>
      <w:r w:rsidR="00A677B0" w:rsidRPr="00443048">
        <w:rPr>
          <w:sz w:val="24"/>
          <w:szCs w:val="24"/>
        </w:rPr>
        <w:t xml:space="preserve">availability of the systemic </w:t>
      </w:r>
      <w:r w:rsidR="00DD2FDC" w:rsidRPr="00443048">
        <w:rPr>
          <w:sz w:val="24"/>
          <w:szCs w:val="24"/>
        </w:rPr>
        <w:t>vasodilator nitric oxide</w:t>
      </w:r>
      <w:r w:rsidR="00E41504">
        <w:rPr>
          <w:sz w:val="24"/>
          <w:szCs w:val="24"/>
        </w:rPr>
        <w:t xml:space="preserve"> [3</w:t>
      </w:r>
      <w:r w:rsidR="00396E99" w:rsidRPr="00443048">
        <w:rPr>
          <w:sz w:val="24"/>
          <w:szCs w:val="24"/>
        </w:rPr>
        <w:t>6</w:t>
      </w:r>
      <w:r w:rsidR="00E41504">
        <w:rPr>
          <w:sz w:val="24"/>
          <w:szCs w:val="24"/>
        </w:rPr>
        <w:t>,37</w:t>
      </w:r>
      <w:r w:rsidR="00873A4C" w:rsidRPr="00443048">
        <w:rPr>
          <w:sz w:val="24"/>
          <w:szCs w:val="24"/>
        </w:rPr>
        <w:t>]</w:t>
      </w:r>
      <w:r w:rsidR="00A677B0" w:rsidRPr="00443048">
        <w:rPr>
          <w:sz w:val="24"/>
          <w:szCs w:val="24"/>
        </w:rPr>
        <w:t xml:space="preserve">. </w:t>
      </w:r>
      <w:r w:rsidR="000F38A6" w:rsidRPr="00443048">
        <w:rPr>
          <w:sz w:val="24"/>
          <w:szCs w:val="24"/>
        </w:rPr>
        <w:t xml:space="preserve"> </w:t>
      </w:r>
      <w:r w:rsidR="00BD465C" w:rsidRPr="00443048">
        <w:rPr>
          <w:sz w:val="24"/>
          <w:szCs w:val="24"/>
        </w:rPr>
        <w:t xml:space="preserve">The </w:t>
      </w:r>
      <w:r w:rsidR="000F38A6" w:rsidRPr="00443048">
        <w:rPr>
          <w:sz w:val="24"/>
          <w:szCs w:val="24"/>
        </w:rPr>
        <w:t xml:space="preserve">higher antioxidant enzyme activity </w:t>
      </w:r>
      <w:r w:rsidR="006275CB" w:rsidRPr="00443048">
        <w:rPr>
          <w:sz w:val="24"/>
          <w:szCs w:val="24"/>
        </w:rPr>
        <w:t xml:space="preserve">of GPx-3 and </w:t>
      </w:r>
      <w:r w:rsidR="001C0971" w:rsidRPr="00443048">
        <w:rPr>
          <w:sz w:val="24"/>
          <w:szCs w:val="24"/>
        </w:rPr>
        <w:t xml:space="preserve">SOD </w:t>
      </w:r>
      <w:r w:rsidR="000F38A6" w:rsidRPr="00443048">
        <w:rPr>
          <w:sz w:val="24"/>
          <w:szCs w:val="24"/>
        </w:rPr>
        <w:t xml:space="preserve">observed in the non-Caucasian compared with Caucasian patients </w:t>
      </w:r>
      <w:r w:rsidR="00BD465C" w:rsidRPr="00443048">
        <w:rPr>
          <w:sz w:val="24"/>
          <w:szCs w:val="24"/>
        </w:rPr>
        <w:t xml:space="preserve">could be </w:t>
      </w:r>
      <w:r w:rsidR="000F38A6" w:rsidRPr="00443048">
        <w:rPr>
          <w:sz w:val="24"/>
          <w:szCs w:val="24"/>
        </w:rPr>
        <w:t xml:space="preserve">a response to higher oxidative stress. </w:t>
      </w:r>
      <w:r w:rsidR="00A677B0" w:rsidRPr="00443048">
        <w:rPr>
          <w:sz w:val="24"/>
          <w:szCs w:val="24"/>
        </w:rPr>
        <w:t>Increased oxidative stress neutralises nitric oxide</w:t>
      </w:r>
      <w:r w:rsidR="00BD465C" w:rsidRPr="00443048">
        <w:rPr>
          <w:sz w:val="24"/>
          <w:szCs w:val="24"/>
        </w:rPr>
        <w:t xml:space="preserve"> which occurs in </w:t>
      </w:r>
      <w:r w:rsidR="00A677B0" w:rsidRPr="00443048">
        <w:rPr>
          <w:sz w:val="24"/>
          <w:szCs w:val="24"/>
        </w:rPr>
        <w:t>advanced stages CKD</w:t>
      </w:r>
      <w:r w:rsidR="007E2285" w:rsidRPr="00443048">
        <w:rPr>
          <w:sz w:val="24"/>
          <w:szCs w:val="24"/>
        </w:rPr>
        <w:t xml:space="preserve"> and</w:t>
      </w:r>
      <w:r w:rsidR="00A677B0" w:rsidRPr="00443048">
        <w:rPr>
          <w:sz w:val="24"/>
          <w:szCs w:val="24"/>
        </w:rPr>
        <w:t xml:space="preserve"> hypertension </w:t>
      </w:r>
      <w:r w:rsidR="001530E9" w:rsidRPr="00443048">
        <w:rPr>
          <w:sz w:val="24"/>
          <w:szCs w:val="24"/>
        </w:rPr>
        <w:t xml:space="preserve">and has been </w:t>
      </w:r>
      <w:r w:rsidR="00AF14D5" w:rsidRPr="00443048">
        <w:rPr>
          <w:sz w:val="24"/>
          <w:szCs w:val="24"/>
        </w:rPr>
        <w:t xml:space="preserve">recently </w:t>
      </w:r>
      <w:r w:rsidR="00DD2FDC" w:rsidRPr="00443048">
        <w:rPr>
          <w:sz w:val="24"/>
          <w:szCs w:val="24"/>
        </w:rPr>
        <w:t xml:space="preserve">recognised </w:t>
      </w:r>
      <w:r w:rsidR="007E2285" w:rsidRPr="00443048">
        <w:rPr>
          <w:sz w:val="24"/>
          <w:szCs w:val="24"/>
        </w:rPr>
        <w:t xml:space="preserve">as a </w:t>
      </w:r>
      <w:r w:rsidR="00AF14D5" w:rsidRPr="00443048">
        <w:rPr>
          <w:sz w:val="24"/>
          <w:szCs w:val="24"/>
        </w:rPr>
        <w:t>f</w:t>
      </w:r>
      <w:r w:rsidR="000F38A6" w:rsidRPr="00443048">
        <w:rPr>
          <w:sz w:val="24"/>
          <w:szCs w:val="24"/>
        </w:rPr>
        <w:t xml:space="preserve">eature </w:t>
      </w:r>
      <w:r w:rsidR="00AF14D5" w:rsidRPr="00443048">
        <w:rPr>
          <w:sz w:val="24"/>
          <w:szCs w:val="24"/>
        </w:rPr>
        <w:t xml:space="preserve">of </w:t>
      </w:r>
      <w:r w:rsidR="00DD2FDC" w:rsidRPr="00443048">
        <w:rPr>
          <w:sz w:val="24"/>
          <w:szCs w:val="24"/>
        </w:rPr>
        <w:t xml:space="preserve">early </w:t>
      </w:r>
      <w:r w:rsidR="000F38A6" w:rsidRPr="00443048">
        <w:rPr>
          <w:sz w:val="24"/>
          <w:szCs w:val="24"/>
        </w:rPr>
        <w:t>diabetic kidney disease</w:t>
      </w:r>
      <w:r w:rsidR="009C5E2D" w:rsidRPr="00443048">
        <w:rPr>
          <w:sz w:val="24"/>
          <w:szCs w:val="24"/>
        </w:rPr>
        <w:t xml:space="preserve"> [3</w:t>
      </w:r>
      <w:r w:rsidR="00E41504">
        <w:rPr>
          <w:sz w:val="24"/>
          <w:szCs w:val="24"/>
        </w:rPr>
        <w:t>8</w:t>
      </w:r>
      <w:r w:rsidR="00873A4C" w:rsidRPr="00443048">
        <w:rPr>
          <w:sz w:val="24"/>
          <w:szCs w:val="24"/>
        </w:rPr>
        <w:t>]</w:t>
      </w:r>
      <w:r w:rsidR="000F38A6" w:rsidRPr="00443048">
        <w:rPr>
          <w:sz w:val="24"/>
          <w:szCs w:val="24"/>
        </w:rPr>
        <w:t xml:space="preserve">. </w:t>
      </w:r>
      <w:r w:rsidR="006B34E1" w:rsidRPr="00443048">
        <w:rPr>
          <w:sz w:val="24"/>
          <w:szCs w:val="24"/>
        </w:rPr>
        <w:t xml:space="preserve"> </w:t>
      </w:r>
    </w:p>
    <w:p w14:paraId="494ABCC8" w14:textId="77777777" w:rsidR="000C711C" w:rsidRPr="00443048" w:rsidRDefault="000C711C" w:rsidP="00604B88">
      <w:pPr>
        <w:spacing w:line="480" w:lineRule="auto"/>
        <w:jc w:val="both"/>
        <w:rPr>
          <w:sz w:val="24"/>
          <w:szCs w:val="24"/>
        </w:rPr>
      </w:pPr>
    </w:p>
    <w:p w14:paraId="1B0FF84F" w14:textId="7E846C8F" w:rsidR="001D234B" w:rsidRPr="00443048" w:rsidRDefault="000C711C" w:rsidP="00604B88">
      <w:pPr>
        <w:spacing w:line="480" w:lineRule="auto"/>
        <w:jc w:val="both"/>
        <w:rPr>
          <w:sz w:val="24"/>
          <w:szCs w:val="24"/>
        </w:rPr>
      </w:pPr>
      <w:r w:rsidRPr="00443048">
        <w:rPr>
          <w:sz w:val="24"/>
          <w:szCs w:val="24"/>
        </w:rPr>
        <w:lastRenderedPageBreak/>
        <w:t>We found that the</w:t>
      </w:r>
      <w:r w:rsidR="00C93547" w:rsidRPr="00443048">
        <w:rPr>
          <w:sz w:val="24"/>
          <w:szCs w:val="24"/>
        </w:rPr>
        <w:t xml:space="preserve"> </w:t>
      </w:r>
      <w:r w:rsidR="00F33395" w:rsidRPr="00443048">
        <w:rPr>
          <w:sz w:val="24"/>
          <w:szCs w:val="24"/>
        </w:rPr>
        <w:t xml:space="preserve">sustained improvement in renal function with usual care </w:t>
      </w:r>
      <w:r w:rsidR="00D6383D" w:rsidRPr="00443048">
        <w:rPr>
          <w:sz w:val="24"/>
          <w:szCs w:val="24"/>
        </w:rPr>
        <w:t xml:space="preserve">to which both heritage groups were equally compliant in the study </w:t>
      </w:r>
      <w:r w:rsidR="00F33395" w:rsidRPr="00443048">
        <w:rPr>
          <w:sz w:val="24"/>
          <w:szCs w:val="24"/>
        </w:rPr>
        <w:t xml:space="preserve">was modulated by the activity of GPx-3.  </w:t>
      </w:r>
      <w:r w:rsidR="00866677" w:rsidRPr="00443048">
        <w:rPr>
          <w:sz w:val="24"/>
          <w:szCs w:val="24"/>
        </w:rPr>
        <w:t xml:space="preserve">The </w:t>
      </w:r>
      <w:proofErr w:type="spellStart"/>
      <w:r w:rsidR="00A677B0" w:rsidRPr="00443048">
        <w:rPr>
          <w:sz w:val="24"/>
          <w:szCs w:val="24"/>
        </w:rPr>
        <w:t>GPx</w:t>
      </w:r>
      <w:proofErr w:type="spellEnd"/>
      <w:r w:rsidR="00866677" w:rsidRPr="00443048">
        <w:rPr>
          <w:sz w:val="24"/>
          <w:szCs w:val="24"/>
        </w:rPr>
        <w:t xml:space="preserve"> family of antioxidant enzymes are ubi</w:t>
      </w:r>
      <w:r w:rsidR="0009383B" w:rsidRPr="00443048">
        <w:rPr>
          <w:sz w:val="24"/>
          <w:szCs w:val="24"/>
        </w:rPr>
        <w:t xml:space="preserve">quitously expressed and involved in the </w:t>
      </w:r>
      <w:r w:rsidR="007E2285" w:rsidRPr="00443048">
        <w:rPr>
          <w:sz w:val="24"/>
          <w:szCs w:val="24"/>
        </w:rPr>
        <w:t xml:space="preserve">early response </w:t>
      </w:r>
      <w:r w:rsidR="00A677B0" w:rsidRPr="00443048">
        <w:rPr>
          <w:sz w:val="24"/>
          <w:szCs w:val="24"/>
        </w:rPr>
        <w:t>to</w:t>
      </w:r>
      <w:r w:rsidR="001479FF" w:rsidRPr="00443048">
        <w:rPr>
          <w:sz w:val="24"/>
          <w:szCs w:val="24"/>
        </w:rPr>
        <w:t xml:space="preserve"> increased </w:t>
      </w:r>
      <w:r w:rsidR="00A677B0" w:rsidRPr="00443048">
        <w:rPr>
          <w:sz w:val="24"/>
          <w:szCs w:val="24"/>
        </w:rPr>
        <w:t xml:space="preserve">systemic </w:t>
      </w:r>
      <w:r w:rsidR="007E2285" w:rsidRPr="00443048">
        <w:rPr>
          <w:sz w:val="24"/>
          <w:szCs w:val="24"/>
        </w:rPr>
        <w:t>oxidative stress</w:t>
      </w:r>
      <w:r w:rsidR="00D83BC6" w:rsidRPr="00443048">
        <w:rPr>
          <w:sz w:val="24"/>
          <w:szCs w:val="24"/>
        </w:rPr>
        <w:t>,</w:t>
      </w:r>
      <w:r w:rsidR="004C092F" w:rsidRPr="00443048">
        <w:rPr>
          <w:sz w:val="24"/>
          <w:szCs w:val="24"/>
        </w:rPr>
        <w:t xml:space="preserve"> neutralising</w:t>
      </w:r>
      <w:r w:rsidR="007E2285" w:rsidRPr="00443048">
        <w:rPr>
          <w:sz w:val="24"/>
          <w:szCs w:val="24"/>
        </w:rPr>
        <w:t xml:space="preserve"> reactive </w:t>
      </w:r>
      <w:r w:rsidR="00274F77" w:rsidRPr="00443048">
        <w:rPr>
          <w:sz w:val="24"/>
          <w:szCs w:val="24"/>
        </w:rPr>
        <w:t xml:space="preserve">hydrogen peroxide </w:t>
      </w:r>
      <w:r w:rsidR="007E2285" w:rsidRPr="00443048">
        <w:rPr>
          <w:sz w:val="24"/>
          <w:szCs w:val="24"/>
        </w:rPr>
        <w:t xml:space="preserve">oxygen species </w:t>
      </w:r>
      <w:r w:rsidR="006275CB" w:rsidRPr="00443048">
        <w:rPr>
          <w:sz w:val="24"/>
          <w:szCs w:val="24"/>
        </w:rPr>
        <w:t xml:space="preserve">to </w:t>
      </w:r>
      <w:r w:rsidR="00274F77" w:rsidRPr="00443048">
        <w:rPr>
          <w:sz w:val="24"/>
          <w:szCs w:val="24"/>
        </w:rPr>
        <w:t>water</w:t>
      </w:r>
      <w:r w:rsidR="009C5E2D" w:rsidRPr="00443048">
        <w:rPr>
          <w:sz w:val="24"/>
          <w:szCs w:val="24"/>
        </w:rPr>
        <w:t xml:space="preserve"> [3</w:t>
      </w:r>
      <w:r w:rsidR="00E41504">
        <w:rPr>
          <w:sz w:val="24"/>
          <w:szCs w:val="24"/>
        </w:rPr>
        <w:t>9</w:t>
      </w:r>
      <w:r w:rsidR="00873A4C" w:rsidRPr="00443048">
        <w:rPr>
          <w:sz w:val="24"/>
          <w:szCs w:val="24"/>
        </w:rPr>
        <w:t>].</w:t>
      </w:r>
      <w:r w:rsidR="00A677B0" w:rsidRPr="00443048">
        <w:rPr>
          <w:sz w:val="24"/>
          <w:szCs w:val="24"/>
        </w:rPr>
        <w:t xml:space="preserve"> </w:t>
      </w:r>
      <w:r w:rsidR="007E2285" w:rsidRPr="00443048">
        <w:rPr>
          <w:sz w:val="24"/>
          <w:szCs w:val="24"/>
        </w:rPr>
        <w:t>In experimental studies of tissue injury</w:t>
      </w:r>
      <w:r w:rsidR="00873A4C" w:rsidRPr="00443048">
        <w:rPr>
          <w:sz w:val="24"/>
          <w:szCs w:val="24"/>
        </w:rPr>
        <w:t>,</w:t>
      </w:r>
      <w:r w:rsidR="007E2285" w:rsidRPr="00443048">
        <w:rPr>
          <w:sz w:val="24"/>
          <w:szCs w:val="24"/>
        </w:rPr>
        <w:t xml:space="preserve"> the expression of GPx-3 </w:t>
      </w:r>
      <w:r w:rsidR="00873A4C" w:rsidRPr="00443048">
        <w:rPr>
          <w:sz w:val="24"/>
          <w:szCs w:val="24"/>
        </w:rPr>
        <w:t xml:space="preserve">is </w:t>
      </w:r>
      <w:r w:rsidR="007E2285" w:rsidRPr="00443048">
        <w:rPr>
          <w:sz w:val="24"/>
          <w:szCs w:val="24"/>
        </w:rPr>
        <w:t xml:space="preserve">permissively cytoprotective </w:t>
      </w:r>
      <w:r w:rsidR="00274F77" w:rsidRPr="00443048">
        <w:rPr>
          <w:sz w:val="24"/>
          <w:szCs w:val="24"/>
        </w:rPr>
        <w:t>and its downregulation associated with cell death</w:t>
      </w:r>
      <w:r w:rsidR="009C5E2D" w:rsidRPr="00443048">
        <w:rPr>
          <w:sz w:val="24"/>
          <w:szCs w:val="24"/>
        </w:rPr>
        <w:t xml:space="preserve"> [</w:t>
      </w:r>
      <w:r w:rsidR="00E41504">
        <w:rPr>
          <w:sz w:val="24"/>
          <w:szCs w:val="24"/>
        </w:rPr>
        <w:t>4</w:t>
      </w:r>
      <w:r w:rsidR="00396E99" w:rsidRPr="00443048">
        <w:rPr>
          <w:sz w:val="24"/>
          <w:szCs w:val="24"/>
        </w:rPr>
        <w:t>0</w:t>
      </w:r>
      <w:r w:rsidR="00E41504">
        <w:rPr>
          <w:sz w:val="24"/>
          <w:szCs w:val="24"/>
        </w:rPr>
        <w:t>,41</w:t>
      </w:r>
      <w:r w:rsidR="00B90702" w:rsidRPr="00443048">
        <w:rPr>
          <w:sz w:val="24"/>
          <w:szCs w:val="24"/>
        </w:rPr>
        <w:t>]</w:t>
      </w:r>
      <w:r w:rsidR="007E2285" w:rsidRPr="00443048">
        <w:rPr>
          <w:sz w:val="24"/>
          <w:szCs w:val="24"/>
        </w:rPr>
        <w:t xml:space="preserve">. </w:t>
      </w:r>
      <w:proofErr w:type="gramStart"/>
      <w:r w:rsidR="006B34E1" w:rsidRPr="00443048">
        <w:rPr>
          <w:sz w:val="24"/>
          <w:szCs w:val="24"/>
        </w:rPr>
        <w:t>Therefore</w:t>
      </w:r>
      <w:proofErr w:type="gramEnd"/>
      <w:r w:rsidR="00F97756" w:rsidRPr="00443048">
        <w:rPr>
          <w:sz w:val="24"/>
          <w:szCs w:val="24"/>
        </w:rPr>
        <w:t xml:space="preserve"> an</w:t>
      </w:r>
      <w:r w:rsidR="006B34E1" w:rsidRPr="00443048">
        <w:rPr>
          <w:sz w:val="24"/>
          <w:szCs w:val="24"/>
        </w:rPr>
        <w:t xml:space="preserve"> </w:t>
      </w:r>
      <w:r w:rsidR="00F97756" w:rsidRPr="00443048">
        <w:rPr>
          <w:sz w:val="24"/>
          <w:szCs w:val="24"/>
        </w:rPr>
        <w:t>increase in</w:t>
      </w:r>
      <w:r w:rsidR="001821EE" w:rsidRPr="00443048">
        <w:rPr>
          <w:sz w:val="24"/>
          <w:szCs w:val="24"/>
        </w:rPr>
        <w:t xml:space="preserve"> </w:t>
      </w:r>
      <w:r w:rsidR="006B34E1" w:rsidRPr="00443048">
        <w:rPr>
          <w:sz w:val="24"/>
          <w:szCs w:val="24"/>
        </w:rPr>
        <w:t xml:space="preserve">endogenous </w:t>
      </w:r>
      <w:r w:rsidR="00F97756" w:rsidRPr="00443048">
        <w:rPr>
          <w:sz w:val="24"/>
          <w:szCs w:val="24"/>
        </w:rPr>
        <w:t xml:space="preserve">antioxidant </w:t>
      </w:r>
      <w:r w:rsidR="001821EE" w:rsidRPr="00443048">
        <w:rPr>
          <w:sz w:val="24"/>
          <w:szCs w:val="24"/>
        </w:rPr>
        <w:t xml:space="preserve">activity could </w:t>
      </w:r>
      <w:r w:rsidR="00F97756" w:rsidRPr="00443048">
        <w:rPr>
          <w:sz w:val="24"/>
          <w:szCs w:val="24"/>
        </w:rPr>
        <w:t xml:space="preserve">augment </w:t>
      </w:r>
      <w:r w:rsidR="006B34E1" w:rsidRPr="00443048">
        <w:rPr>
          <w:sz w:val="24"/>
          <w:szCs w:val="24"/>
        </w:rPr>
        <w:t>the</w:t>
      </w:r>
      <w:r w:rsidR="00580ADD" w:rsidRPr="00443048">
        <w:rPr>
          <w:sz w:val="24"/>
          <w:szCs w:val="24"/>
        </w:rPr>
        <w:t xml:space="preserve"> action of </w:t>
      </w:r>
      <w:r w:rsidR="001821EE" w:rsidRPr="00443048">
        <w:rPr>
          <w:sz w:val="24"/>
          <w:szCs w:val="24"/>
        </w:rPr>
        <w:t xml:space="preserve">cardio- and </w:t>
      </w:r>
      <w:r w:rsidR="006B34E1" w:rsidRPr="00443048">
        <w:rPr>
          <w:sz w:val="24"/>
          <w:szCs w:val="24"/>
        </w:rPr>
        <w:t>nephroprotective treatments</w:t>
      </w:r>
      <w:r w:rsidR="00580ADD" w:rsidRPr="00443048">
        <w:rPr>
          <w:sz w:val="24"/>
          <w:szCs w:val="24"/>
        </w:rPr>
        <w:t xml:space="preserve"> (angiotensin converting enzyme inhibitors, angiotensin 2 receptor blockers and aldosterone</w:t>
      </w:r>
      <w:r w:rsidRPr="00443048">
        <w:rPr>
          <w:sz w:val="24"/>
          <w:szCs w:val="24"/>
        </w:rPr>
        <w:t xml:space="preserve"> antagonists</w:t>
      </w:r>
      <w:r w:rsidR="00580ADD" w:rsidRPr="00443048">
        <w:rPr>
          <w:sz w:val="24"/>
          <w:szCs w:val="24"/>
        </w:rPr>
        <w:t xml:space="preserve">) in current treatment strategies, which </w:t>
      </w:r>
      <w:r w:rsidR="00D6383D" w:rsidRPr="00443048">
        <w:rPr>
          <w:sz w:val="24"/>
          <w:szCs w:val="24"/>
        </w:rPr>
        <w:t xml:space="preserve">act to </w:t>
      </w:r>
      <w:r w:rsidR="00580ADD" w:rsidRPr="00443048">
        <w:rPr>
          <w:sz w:val="24"/>
          <w:szCs w:val="24"/>
        </w:rPr>
        <w:t xml:space="preserve">limit the pro-inflammatory and vasoconstrictive effects of angiotensin-2 mediated by ROS </w:t>
      </w:r>
      <w:r w:rsidR="00E41504">
        <w:rPr>
          <w:sz w:val="24"/>
          <w:szCs w:val="24"/>
        </w:rPr>
        <w:t>[</w:t>
      </w:r>
      <w:r w:rsidR="00580ADD" w:rsidRPr="00443048">
        <w:rPr>
          <w:sz w:val="24"/>
          <w:szCs w:val="24"/>
        </w:rPr>
        <w:t>42</w:t>
      </w:r>
      <w:r w:rsidR="00E41504">
        <w:rPr>
          <w:sz w:val="24"/>
          <w:szCs w:val="24"/>
        </w:rPr>
        <w:t>,43</w:t>
      </w:r>
      <w:r w:rsidR="00396E99" w:rsidRPr="00443048">
        <w:rPr>
          <w:sz w:val="24"/>
          <w:szCs w:val="24"/>
        </w:rPr>
        <w:t>]</w:t>
      </w:r>
      <w:r w:rsidR="00C93547" w:rsidRPr="00443048">
        <w:rPr>
          <w:sz w:val="24"/>
          <w:szCs w:val="24"/>
        </w:rPr>
        <w:t xml:space="preserve">.  </w:t>
      </w:r>
    </w:p>
    <w:p w14:paraId="2521E0EB" w14:textId="77777777" w:rsidR="0049513E" w:rsidRPr="00443048" w:rsidRDefault="0049513E" w:rsidP="00604B88">
      <w:pPr>
        <w:spacing w:line="480" w:lineRule="auto"/>
        <w:jc w:val="both"/>
        <w:rPr>
          <w:rStyle w:val="normaltextrun"/>
          <w:sz w:val="24"/>
          <w:szCs w:val="24"/>
        </w:rPr>
      </w:pPr>
    </w:p>
    <w:p w14:paraId="03573191" w14:textId="4D2E442E" w:rsidR="004E7F93" w:rsidRPr="00443048" w:rsidRDefault="004C092F" w:rsidP="00604B88">
      <w:pPr>
        <w:spacing w:line="480" w:lineRule="auto"/>
        <w:jc w:val="both"/>
        <w:rPr>
          <w:rStyle w:val="normaltextrun"/>
          <w:sz w:val="24"/>
          <w:szCs w:val="24"/>
        </w:rPr>
      </w:pPr>
      <w:r w:rsidRPr="00443048">
        <w:rPr>
          <w:rStyle w:val="normaltextrun"/>
          <w:sz w:val="24"/>
          <w:szCs w:val="24"/>
        </w:rPr>
        <w:t>Disruptions to endoge</w:t>
      </w:r>
      <w:r w:rsidR="00CF5EE6" w:rsidRPr="00443048">
        <w:rPr>
          <w:rStyle w:val="normaltextrun"/>
          <w:sz w:val="24"/>
          <w:szCs w:val="24"/>
        </w:rPr>
        <w:t>nous antioxidant defence mechan</w:t>
      </w:r>
      <w:r w:rsidRPr="00443048">
        <w:rPr>
          <w:rStyle w:val="normaltextrun"/>
          <w:sz w:val="24"/>
          <w:szCs w:val="24"/>
        </w:rPr>
        <w:t>i</w:t>
      </w:r>
      <w:r w:rsidR="00CF5EE6" w:rsidRPr="00443048">
        <w:rPr>
          <w:rStyle w:val="normaltextrun"/>
          <w:sz w:val="24"/>
          <w:szCs w:val="24"/>
        </w:rPr>
        <w:t>s</w:t>
      </w:r>
      <w:r w:rsidRPr="00443048">
        <w:rPr>
          <w:rStyle w:val="normaltextrun"/>
          <w:sz w:val="24"/>
          <w:szCs w:val="24"/>
        </w:rPr>
        <w:t xml:space="preserve">ms are linked to the development of kidney disease. </w:t>
      </w:r>
      <w:r w:rsidR="00901218" w:rsidRPr="00443048">
        <w:rPr>
          <w:sz w:val="24"/>
          <w:szCs w:val="24"/>
        </w:rPr>
        <w:t>P</w:t>
      </w:r>
      <w:r w:rsidR="00E238FA" w:rsidRPr="00443048">
        <w:rPr>
          <w:rStyle w:val="contextualspellingandgrammarerror"/>
          <w:sz w:val="24"/>
          <w:szCs w:val="24"/>
        </w:rPr>
        <w:t>atients with type 1 diabetes</w:t>
      </w:r>
      <w:r w:rsidR="00554B86" w:rsidRPr="00443048">
        <w:rPr>
          <w:rStyle w:val="contextualspellingandgrammarerror"/>
          <w:sz w:val="24"/>
          <w:szCs w:val="24"/>
        </w:rPr>
        <w:t xml:space="preserve"> </w:t>
      </w:r>
      <w:r w:rsidR="00DB4E25" w:rsidRPr="00443048">
        <w:rPr>
          <w:rStyle w:val="contextualspellingandgrammarerror"/>
          <w:sz w:val="24"/>
          <w:szCs w:val="24"/>
        </w:rPr>
        <w:t xml:space="preserve">in the </w:t>
      </w:r>
      <w:r w:rsidR="00DB4E25" w:rsidRPr="00443048">
        <w:rPr>
          <w:sz w:val="24"/>
          <w:szCs w:val="24"/>
        </w:rPr>
        <w:t>GENEDIAB cohort study</w:t>
      </w:r>
      <w:r w:rsidR="00DB4E25" w:rsidRPr="00443048">
        <w:rPr>
          <w:rStyle w:val="contextualspellingandgrammarerror"/>
          <w:sz w:val="24"/>
          <w:szCs w:val="24"/>
        </w:rPr>
        <w:t xml:space="preserve"> </w:t>
      </w:r>
      <w:r w:rsidR="00554B86" w:rsidRPr="00443048">
        <w:rPr>
          <w:rStyle w:val="contextualspellingandgrammarerror"/>
          <w:sz w:val="24"/>
          <w:szCs w:val="24"/>
        </w:rPr>
        <w:t>carrying the</w:t>
      </w:r>
      <w:r w:rsidR="00E238FA" w:rsidRPr="00443048">
        <w:rPr>
          <w:rStyle w:val="contextualspellingandgrammarerror"/>
          <w:sz w:val="24"/>
          <w:szCs w:val="24"/>
        </w:rPr>
        <w:t xml:space="preserve"> </w:t>
      </w:r>
      <w:r w:rsidR="00554B86" w:rsidRPr="00443048">
        <w:rPr>
          <w:sz w:val="24"/>
          <w:szCs w:val="24"/>
        </w:rPr>
        <w:t xml:space="preserve">minor T-allele of rs3448 </w:t>
      </w:r>
      <w:r w:rsidR="00713515" w:rsidRPr="00443048">
        <w:rPr>
          <w:sz w:val="24"/>
          <w:szCs w:val="24"/>
        </w:rPr>
        <w:t xml:space="preserve">of the </w:t>
      </w:r>
      <w:r w:rsidR="00E238FA" w:rsidRPr="00443048">
        <w:rPr>
          <w:rStyle w:val="normaltextrun"/>
          <w:sz w:val="24"/>
          <w:szCs w:val="24"/>
        </w:rPr>
        <w:t>GPx</w:t>
      </w:r>
      <w:r w:rsidR="004657A1" w:rsidRPr="00443048">
        <w:rPr>
          <w:rStyle w:val="normaltextrun"/>
          <w:sz w:val="24"/>
          <w:szCs w:val="24"/>
        </w:rPr>
        <w:t>-</w:t>
      </w:r>
      <w:r w:rsidR="00713515" w:rsidRPr="00443048">
        <w:rPr>
          <w:rStyle w:val="normaltextrun"/>
          <w:sz w:val="24"/>
          <w:szCs w:val="24"/>
        </w:rPr>
        <w:t>1</w:t>
      </w:r>
      <w:r w:rsidR="00E238FA" w:rsidRPr="00443048">
        <w:rPr>
          <w:rStyle w:val="normaltextrun"/>
          <w:sz w:val="24"/>
          <w:szCs w:val="24"/>
        </w:rPr>
        <w:t xml:space="preserve"> gene </w:t>
      </w:r>
      <w:r w:rsidR="00901218" w:rsidRPr="00443048">
        <w:rPr>
          <w:rStyle w:val="normaltextrun"/>
          <w:sz w:val="24"/>
          <w:szCs w:val="24"/>
        </w:rPr>
        <w:t>reportedly had</w:t>
      </w:r>
      <w:r w:rsidR="00713515" w:rsidRPr="00443048">
        <w:rPr>
          <w:rStyle w:val="normaltextrun"/>
          <w:sz w:val="24"/>
          <w:szCs w:val="24"/>
        </w:rPr>
        <w:t xml:space="preserve"> higher circulating levels of </w:t>
      </w:r>
      <w:proofErr w:type="spellStart"/>
      <w:r w:rsidR="00713515" w:rsidRPr="00443048">
        <w:rPr>
          <w:rStyle w:val="normaltextrun"/>
          <w:sz w:val="24"/>
          <w:szCs w:val="24"/>
        </w:rPr>
        <w:t>isoprostane</w:t>
      </w:r>
      <w:proofErr w:type="spellEnd"/>
      <w:r w:rsidR="00713515" w:rsidRPr="00443048">
        <w:rPr>
          <w:rStyle w:val="normaltextrun"/>
          <w:sz w:val="24"/>
          <w:szCs w:val="24"/>
        </w:rPr>
        <w:t>, a marker of oxid</w:t>
      </w:r>
      <w:r w:rsidR="00FD3A54" w:rsidRPr="00443048">
        <w:rPr>
          <w:rStyle w:val="normaltextrun"/>
          <w:sz w:val="24"/>
          <w:szCs w:val="24"/>
        </w:rPr>
        <w:t xml:space="preserve">ative stress and </w:t>
      </w:r>
      <w:r w:rsidR="0024310E" w:rsidRPr="00443048">
        <w:rPr>
          <w:rStyle w:val="normaltextrun"/>
          <w:sz w:val="24"/>
          <w:szCs w:val="24"/>
        </w:rPr>
        <w:t xml:space="preserve">after 5-9 years </w:t>
      </w:r>
      <w:r w:rsidR="009D59F0" w:rsidRPr="00443048">
        <w:rPr>
          <w:rStyle w:val="normaltextrun"/>
          <w:sz w:val="24"/>
          <w:szCs w:val="24"/>
        </w:rPr>
        <w:t xml:space="preserve">of </w:t>
      </w:r>
      <w:r w:rsidR="0024310E" w:rsidRPr="00443048">
        <w:rPr>
          <w:rStyle w:val="normaltextrun"/>
          <w:sz w:val="24"/>
          <w:szCs w:val="24"/>
        </w:rPr>
        <w:t xml:space="preserve">follow-up </w:t>
      </w:r>
      <w:r w:rsidR="00D6383D" w:rsidRPr="00443048">
        <w:rPr>
          <w:rStyle w:val="normaltextrun"/>
          <w:sz w:val="24"/>
          <w:szCs w:val="24"/>
        </w:rPr>
        <w:t xml:space="preserve">had </w:t>
      </w:r>
      <w:r w:rsidR="00DB4E25" w:rsidRPr="00443048">
        <w:rPr>
          <w:rStyle w:val="normaltextrun"/>
          <w:sz w:val="24"/>
          <w:szCs w:val="24"/>
        </w:rPr>
        <w:t>a</w:t>
      </w:r>
      <w:r w:rsidR="0024310E" w:rsidRPr="00443048">
        <w:rPr>
          <w:rStyle w:val="normaltextrun"/>
          <w:sz w:val="24"/>
          <w:szCs w:val="24"/>
        </w:rPr>
        <w:t xml:space="preserve"> </w:t>
      </w:r>
      <w:r w:rsidR="0029513B" w:rsidRPr="00443048">
        <w:rPr>
          <w:rStyle w:val="normaltextrun"/>
          <w:sz w:val="24"/>
          <w:szCs w:val="24"/>
        </w:rPr>
        <w:t xml:space="preserve">3-fold higher </w:t>
      </w:r>
      <w:r w:rsidR="00FD3A54" w:rsidRPr="00443048">
        <w:rPr>
          <w:rStyle w:val="normaltextrun"/>
          <w:sz w:val="24"/>
          <w:szCs w:val="24"/>
        </w:rPr>
        <w:t>incidence of ESRD</w:t>
      </w:r>
      <w:r w:rsidR="0029513B" w:rsidRPr="00443048">
        <w:rPr>
          <w:rStyle w:val="normaltextrun"/>
          <w:sz w:val="24"/>
          <w:szCs w:val="24"/>
        </w:rPr>
        <w:t xml:space="preserve"> [</w:t>
      </w:r>
      <w:r w:rsidR="009D59F0" w:rsidRPr="00443048">
        <w:rPr>
          <w:rStyle w:val="normaltextrun"/>
          <w:sz w:val="24"/>
          <w:szCs w:val="24"/>
        </w:rPr>
        <w:t>4</w:t>
      </w:r>
      <w:r w:rsidR="00E41504">
        <w:rPr>
          <w:rStyle w:val="normaltextrun"/>
          <w:sz w:val="24"/>
          <w:szCs w:val="24"/>
        </w:rPr>
        <w:t>4</w:t>
      </w:r>
      <w:r w:rsidR="0029513B" w:rsidRPr="00443048">
        <w:rPr>
          <w:rStyle w:val="normaltextrun"/>
          <w:sz w:val="24"/>
          <w:szCs w:val="24"/>
        </w:rPr>
        <w:t>].</w:t>
      </w:r>
      <w:r w:rsidR="00554B86" w:rsidRPr="00443048">
        <w:rPr>
          <w:sz w:val="24"/>
          <w:szCs w:val="24"/>
        </w:rPr>
        <w:t xml:space="preserve"> </w:t>
      </w:r>
      <w:r w:rsidRPr="00443048">
        <w:rPr>
          <w:rStyle w:val="normaltextrun"/>
          <w:sz w:val="24"/>
          <w:szCs w:val="24"/>
        </w:rPr>
        <w:t xml:space="preserve">  </w:t>
      </w:r>
      <w:r w:rsidR="009D59F0" w:rsidRPr="00443048">
        <w:rPr>
          <w:rStyle w:val="normaltextrun"/>
          <w:sz w:val="24"/>
          <w:szCs w:val="24"/>
        </w:rPr>
        <w:t>Recently, patients with type 2 diabetes and a</w:t>
      </w:r>
      <w:r w:rsidR="002E7CD6" w:rsidRPr="00443048">
        <w:rPr>
          <w:rStyle w:val="normaltextrun"/>
          <w:sz w:val="24"/>
          <w:szCs w:val="24"/>
        </w:rPr>
        <w:t xml:space="preserve">dvanced stages of CKD </w:t>
      </w:r>
      <w:r w:rsidR="009D59F0" w:rsidRPr="00443048">
        <w:rPr>
          <w:rStyle w:val="normaltextrun"/>
          <w:sz w:val="24"/>
          <w:szCs w:val="24"/>
        </w:rPr>
        <w:t xml:space="preserve">have been </w:t>
      </w:r>
      <w:r w:rsidR="00850CB7" w:rsidRPr="00443048">
        <w:rPr>
          <w:rStyle w:val="normaltextrun"/>
          <w:sz w:val="24"/>
          <w:szCs w:val="24"/>
        </w:rPr>
        <w:t xml:space="preserve">recognised </w:t>
      </w:r>
      <w:r w:rsidR="009D59F0" w:rsidRPr="00443048">
        <w:rPr>
          <w:rStyle w:val="normaltextrun"/>
          <w:sz w:val="24"/>
          <w:szCs w:val="24"/>
        </w:rPr>
        <w:t xml:space="preserve">to have </w:t>
      </w:r>
      <w:r w:rsidR="00850CB7" w:rsidRPr="00443048">
        <w:rPr>
          <w:rStyle w:val="normaltextrun"/>
          <w:sz w:val="24"/>
          <w:szCs w:val="24"/>
        </w:rPr>
        <w:t xml:space="preserve">a </w:t>
      </w:r>
      <w:r w:rsidR="00772547" w:rsidRPr="00443048">
        <w:rPr>
          <w:rStyle w:val="normaltextrun"/>
          <w:sz w:val="24"/>
          <w:szCs w:val="24"/>
        </w:rPr>
        <w:t xml:space="preserve">reduction in thiols which provide the </w:t>
      </w:r>
      <w:r w:rsidR="00292FCC" w:rsidRPr="00443048">
        <w:rPr>
          <w:rStyle w:val="normaltextrun"/>
          <w:sz w:val="24"/>
          <w:szCs w:val="24"/>
        </w:rPr>
        <w:t>capaci</w:t>
      </w:r>
      <w:r w:rsidR="00772547" w:rsidRPr="00443048">
        <w:rPr>
          <w:rStyle w:val="normaltextrun"/>
          <w:sz w:val="24"/>
          <w:szCs w:val="24"/>
        </w:rPr>
        <w:t xml:space="preserve">ty to reduce oxidative species </w:t>
      </w:r>
      <w:r w:rsidR="009C5E2D" w:rsidRPr="00443048">
        <w:rPr>
          <w:rStyle w:val="normaltextrun"/>
          <w:sz w:val="24"/>
          <w:szCs w:val="24"/>
        </w:rPr>
        <w:t>[</w:t>
      </w:r>
      <w:r w:rsidR="009D59F0" w:rsidRPr="00443048">
        <w:rPr>
          <w:rStyle w:val="normaltextrun"/>
          <w:sz w:val="24"/>
          <w:szCs w:val="24"/>
        </w:rPr>
        <w:t>4</w:t>
      </w:r>
      <w:r w:rsidR="00E41504">
        <w:rPr>
          <w:rStyle w:val="normaltextrun"/>
          <w:sz w:val="24"/>
          <w:szCs w:val="24"/>
        </w:rPr>
        <w:t>5</w:t>
      </w:r>
      <w:r w:rsidR="00772547" w:rsidRPr="00443048">
        <w:rPr>
          <w:rStyle w:val="normaltextrun"/>
          <w:sz w:val="24"/>
          <w:szCs w:val="24"/>
        </w:rPr>
        <w:t xml:space="preserve">]. </w:t>
      </w:r>
      <w:r w:rsidR="00224C2F" w:rsidRPr="00443048">
        <w:rPr>
          <w:rStyle w:val="normaltextrun"/>
          <w:sz w:val="24"/>
          <w:szCs w:val="24"/>
        </w:rPr>
        <w:t xml:space="preserve"> </w:t>
      </w:r>
      <w:r w:rsidR="009D59F0" w:rsidRPr="00443048">
        <w:rPr>
          <w:rStyle w:val="normaltextrun"/>
          <w:sz w:val="24"/>
          <w:szCs w:val="24"/>
        </w:rPr>
        <w:t xml:space="preserve">Also, </w:t>
      </w:r>
      <w:r w:rsidR="00D003A6" w:rsidRPr="00443048">
        <w:rPr>
          <w:rStyle w:val="normaltextrun"/>
          <w:sz w:val="24"/>
          <w:szCs w:val="24"/>
        </w:rPr>
        <w:t>Neves et al reported that reversing suppressed redox signalling caused by adipokines in a murine model of diabetes, prevented the development and progression kidney disease [</w:t>
      </w:r>
      <w:r w:rsidR="001823C2" w:rsidRPr="00443048">
        <w:rPr>
          <w:rStyle w:val="normaltextrun"/>
          <w:sz w:val="24"/>
          <w:szCs w:val="24"/>
        </w:rPr>
        <w:t>4</w:t>
      </w:r>
      <w:r w:rsidR="00E41504">
        <w:rPr>
          <w:rStyle w:val="normaltextrun"/>
          <w:sz w:val="24"/>
          <w:szCs w:val="24"/>
        </w:rPr>
        <w:t>6</w:t>
      </w:r>
      <w:r w:rsidR="00D003A6" w:rsidRPr="00443048">
        <w:rPr>
          <w:rStyle w:val="normaltextrun"/>
          <w:sz w:val="24"/>
          <w:szCs w:val="24"/>
        </w:rPr>
        <w:t xml:space="preserve">]. </w:t>
      </w:r>
      <w:r w:rsidR="00470D82" w:rsidRPr="00443048">
        <w:rPr>
          <w:rStyle w:val="normaltextrun"/>
          <w:sz w:val="24"/>
          <w:szCs w:val="24"/>
        </w:rPr>
        <w:t xml:space="preserve">Finally, </w:t>
      </w:r>
      <w:r w:rsidR="001823C2" w:rsidRPr="00443048">
        <w:rPr>
          <w:rStyle w:val="normaltextrun"/>
          <w:sz w:val="24"/>
          <w:szCs w:val="24"/>
        </w:rPr>
        <w:t xml:space="preserve">suppression of the endogenous antioxidant response by an </w:t>
      </w:r>
      <w:r w:rsidR="00BA2AA9" w:rsidRPr="00443048">
        <w:rPr>
          <w:rStyle w:val="normaltextrun"/>
          <w:sz w:val="24"/>
          <w:szCs w:val="24"/>
        </w:rPr>
        <w:t xml:space="preserve">exogenous </w:t>
      </w:r>
      <w:r w:rsidR="00EE7BD6" w:rsidRPr="00443048">
        <w:rPr>
          <w:rStyle w:val="normaltextrun"/>
          <w:sz w:val="24"/>
          <w:szCs w:val="24"/>
        </w:rPr>
        <w:t>antioxidant</w:t>
      </w:r>
      <w:r w:rsidR="001823C2" w:rsidRPr="00443048">
        <w:rPr>
          <w:rStyle w:val="normaltextrun"/>
          <w:sz w:val="24"/>
          <w:szCs w:val="24"/>
        </w:rPr>
        <w:t xml:space="preserve">, </w:t>
      </w:r>
      <w:r w:rsidR="00EE7BD6" w:rsidRPr="00443048">
        <w:rPr>
          <w:rStyle w:val="normaltextrun"/>
          <w:sz w:val="24"/>
          <w:szCs w:val="24"/>
        </w:rPr>
        <w:t xml:space="preserve">N-acetyl cysteine </w:t>
      </w:r>
      <w:r w:rsidR="001823C2" w:rsidRPr="00443048">
        <w:rPr>
          <w:rStyle w:val="normaltextrun"/>
          <w:sz w:val="24"/>
          <w:szCs w:val="24"/>
        </w:rPr>
        <w:t xml:space="preserve">can </w:t>
      </w:r>
      <w:r w:rsidR="004E7F93" w:rsidRPr="00443048">
        <w:rPr>
          <w:rStyle w:val="normaltextrun"/>
          <w:sz w:val="24"/>
          <w:szCs w:val="24"/>
        </w:rPr>
        <w:t>promote</w:t>
      </w:r>
      <w:r w:rsidR="009C5E2D" w:rsidRPr="00443048">
        <w:rPr>
          <w:rStyle w:val="normaltextrun"/>
          <w:sz w:val="24"/>
          <w:szCs w:val="24"/>
        </w:rPr>
        <w:t xml:space="preserve"> the development of CKD [</w:t>
      </w:r>
      <w:r w:rsidR="00AA0EA0" w:rsidRPr="00443048">
        <w:rPr>
          <w:rStyle w:val="normaltextrun"/>
          <w:sz w:val="24"/>
          <w:szCs w:val="24"/>
        </w:rPr>
        <w:t>4</w:t>
      </w:r>
      <w:r w:rsidR="00E41504">
        <w:rPr>
          <w:rStyle w:val="normaltextrun"/>
          <w:sz w:val="24"/>
          <w:szCs w:val="24"/>
        </w:rPr>
        <w:t>7</w:t>
      </w:r>
      <w:r w:rsidR="00EE7BD6" w:rsidRPr="00443048">
        <w:rPr>
          <w:rStyle w:val="normaltextrun"/>
          <w:sz w:val="24"/>
          <w:szCs w:val="24"/>
        </w:rPr>
        <w:t xml:space="preserve">]. </w:t>
      </w:r>
      <w:r w:rsidR="0049513E" w:rsidRPr="00443048">
        <w:rPr>
          <w:rStyle w:val="normaltextrun"/>
          <w:sz w:val="24"/>
          <w:szCs w:val="24"/>
        </w:rPr>
        <w:t xml:space="preserve"> </w:t>
      </w:r>
      <w:r w:rsidR="00BF3FB3" w:rsidRPr="00443048">
        <w:rPr>
          <w:rStyle w:val="normaltextrun"/>
          <w:sz w:val="24"/>
          <w:szCs w:val="24"/>
        </w:rPr>
        <w:lastRenderedPageBreak/>
        <w:t>Together, t</w:t>
      </w:r>
      <w:r w:rsidR="00C076D7" w:rsidRPr="00443048">
        <w:rPr>
          <w:rStyle w:val="normaltextrun"/>
          <w:sz w:val="24"/>
          <w:szCs w:val="24"/>
        </w:rPr>
        <w:t>hese</w:t>
      </w:r>
      <w:r w:rsidR="00F85FBB" w:rsidRPr="00443048">
        <w:rPr>
          <w:rStyle w:val="normaltextrun"/>
          <w:sz w:val="24"/>
          <w:szCs w:val="24"/>
        </w:rPr>
        <w:t xml:space="preserve"> observation</w:t>
      </w:r>
      <w:r w:rsidR="004E7F93" w:rsidRPr="00443048">
        <w:rPr>
          <w:rStyle w:val="normaltextrun"/>
          <w:sz w:val="24"/>
          <w:szCs w:val="24"/>
        </w:rPr>
        <w:t>s s</w:t>
      </w:r>
      <w:r w:rsidR="0096200C" w:rsidRPr="00443048">
        <w:rPr>
          <w:rStyle w:val="normaltextrun"/>
          <w:sz w:val="24"/>
          <w:szCs w:val="24"/>
        </w:rPr>
        <w:t xml:space="preserve">upport a hypothesis </w:t>
      </w:r>
      <w:r w:rsidR="0097222A" w:rsidRPr="00443048">
        <w:rPr>
          <w:rStyle w:val="normaltextrun"/>
          <w:sz w:val="24"/>
          <w:szCs w:val="24"/>
        </w:rPr>
        <w:t>th</w:t>
      </w:r>
      <w:r w:rsidR="00263620" w:rsidRPr="00443048">
        <w:rPr>
          <w:rStyle w:val="normaltextrun"/>
          <w:sz w:val="24"/>
          <w:szCs w:val="24"/>
        </w:rPr>
        <w:t xml:space="preserve">at </w:t>
      </w:r>
      <w:r w:rsidR="00F85FBB" w:rsidRPr="00443048">
        <w:rPr>
          <w:rStyle w:val="normaltextrun"/>
          <w:sz w:val="24"/>
          <w:szCs w:val="24"/>
        </w:rPr>
        <w:t xml:space="preserve">endogenous antioxidant defence </w:t>
      </w:r>
      <w:r w:rsidR="0097222A" w:rsidRPr="00443048">
        <w:rPr>
          <w:rStyle w:val="normaltextrun"/>
          <w:sz w:val="24"/>
          <w:szCs w:val="24"/>
        </w:rPr>
        <w:t xml:space="preserve">is </w:t>
      </w:r>
      <w:r w:rsidR="00550AF9" w:rsidRPr="00443048">
        <w:rPr>
          <w:rStyle w:val="normaltextrun"/>
          <w:sz w:val="24"/>
          <w:szCs w:val="24"/>
        </w:rPr>
        <w:t xml:space="preserve">permissive in </w:t>
      </w:r>
      <w:r w:rsidR="00F73810" w:rsidRPr="00443048">
        <w:rPr>
          <w:rStyle w:val="normaltextrun"/>
          <w:sz w:val="24"/>
          <w:szCs w:val="24"/>
        </w:rPr>
        <w:t>pr</w:t>
      </w:r>
      <w:r w:rsidR="001B41AD" w:rsidRPr="00443048">
        <w:rPr>
          <w:rStyle w:val="normaltextrun"/>
          <w:sz w:val="24"/>
          <w:szCs w:val="24"/>
        </w:rPr>
        <w:t xml:space="preserve">eserving </w:t>
      </w:r>
      <w:r w:rsidR="000D5153" w:rsidRPr="00443048">
        <w:rPr>
          <w:rStyle w:val="normaltextrun"/>
          <w:sz w:val="24"/>
          <w:szCs w:val="24"/>
        </w:rPr>
        <w:t xml:space="preserve">kidney function in </w:t>
      </w:r>
      <w:r w:rsidR="0096200C" w:rsidRPr="00443048">
        <w:rPr>
          <w:rStyle w:val="normaltextrun"/>
          <w:sz w:val="24"/>
          <w:szCs w:val="24"/>
        </w:rPr>
        <w:t xml:space="preserve">patients with </w:t>
      </w:r>
      <w:r w:rsidR="000D5153" w:rsidRPr="00443048">
        <w:rPr>
          <w:rStyle w:val="normaltextrun"/>
          <w:sz w:val="24"/>
          <w:szCs w:val="24"/>
        </w:rPr>
        <w:t xml:space="preserve">diabetes. </w:t>
      </w:r>
    </w:p>
    <w:p w14:paraId="1F3DA7D8" w14:textId="77777777" w:rsidR="004E7F93" w:rsidRPr="00443048" w:rsidRDefault="004E7F93" w:rsidP="00604B88">
      <w:pPr>
        <w:spacing w:line="480" w:lineRule="auto"/>
        <w:jc w:val="both"/>
        <w:rPr>
          <w:rStyle w:val="normaltextrun"/>
          <w:sz w:val="24"/>
          <w:szCs w:val="24"/>
        </w:rPr>
      </w:pPr>
    </w:p>
    <w:p w14:paraId="0D200F02" w14:textId="77345011" w:rsidR="00892978" w:rsidRPr="00443048" w:rsidRDefault="004E7F93" w:rsidP="00604B88">
      <w:pPr>
        <w:spacing w:line="480" w:lineRule="auto"/>
        <w:jc w:val="both"/>
        <w:rPr>
          <w:rStyle w:val="normaltextrun"/>
          <w:sz w:val="24"/>
          <w:szCs w:val="24"/>
        </w:rPr>
      </w:pPr>
      <w:r w:rsidRPr="00443048">
        <w:rPr>
          <w:rStyle w:val="normaltextrun"/>
          <w:sz w:val="24"/>
          <w:szCs w:val="24"/>
        </w:rPr>
        <w:t>Our</w:t>
      </w:r>
      <w:r w:rsidR="008B309E" w:rsidRPr="00443048">
        <w:rPr>
          <w:rStyle w:val="normaltextrun"/>
          <w:sz w:val="24"/>
          <w:szCs w:val="24"/>
        </w:rPr>
        <w:t xml:space="preserve"> findings </w:t>
      </w:r>
      <w:r w:rsidRPr="00443048">
        <w:rPr>
          <w:rStyle w:val="normaltextrun"/>
          <w:sz w:val="24"/>
          <w:szCs w:val="24"/>
        </w:rPr>
        <w:t xml:space="preserve">of a </w:t>
      </w:r>
      <w:r w:rsidR="00A073C7" w:rsidRPr="00443048">
        <w:rPr>
          <w:rStyle w:val="normaltextrun"/>
          <w:sz w:val="24"/>
          <w:szCs w:val="24"/>
        </w:rPr>
        <w:t xml:space="preserve">treatment </w:t>
      </w:r>
      <w:r w:rsidRPr="00443048">
        <w:rPr>
          <w:rStyle w:val="normaltextrun"/>
          <w:sz w:val="24"/>
          <w:szCs w:val="24"/>
        </w:rPr>
        <w:t xml:space="preserve">effect that </w:t>
      </w:r>
      <w:r w:rsidR="00A073C7" w:rsidRPr="00443048">
        <w:rPr>
          <w:rStyle w:val="normaltextrun"/>
          <w:sz w:val="24"/>
          <w:szCs w:val="24"/>
        </w:rPr>
        <w:t xml:space="preserve">was dependent on </w:t>
      </w:r>
      <w:r w:rsidR="005F4B0D" w:rsidRPr="00443048">
        <w:rPr>
          <w:rStyle w:val="normaltextrun"/>
          <w:sz w:val="24"/>
          <w:szCs w:val="24"/>
        </w:rPr>
        <w:t xml:space="preserve">GPx-3 </w:t>
      </w:r>
      <w:r w:rsidRPr="00443048">
        <w:rPr>
          <w:rStyle w:val="normaltextrun"/>
          <w:sz w:val="24"/>
          <w:szCs w:val="24"/>
        </w:rPr>
        <w:t xml:space="preserve">enzyme activity </w:t>
      </w:r>
      <w:r w:rsidR="005F4B0D" w:rsidRPr="00443048">
        <w:rPr>
          <w:rStyle w:val="normaltextrun"/>
          <w:sz w:val="24"/>
          <w:szCs w:val="24"/>
        </w:rPr>
        <w:t>was striki</w:t>
      </w:r>
      <w:r w:rsidR="005F36F7" w:rsidRPr="00443048">
        <w:rPr>
          <w:rStyle w:val="normaltextrun"/>
          <w:sz w:val="24"/>
          <w:szCs w:val="24"/>
        </w:rPr>
        <w:t>ng</w:t>
      </w:r>
      <w:r w:rsidR="007E0490" w:rsidRPr="00443048">
        <w:rPr>
          <w:rStyle w:val="normaltextrun"/>
          <w:sz w:val="24"/>
          <w:szCs w:val="24"/>
        </w:rPr>
        <w:t xml:space="preserve">. </w:t>
      </w:r>
      <w:r w:rsidRPr="00443048">
        <w:rPr>
          <w:rStyle w:val="normaltextrun"/>
          <w:sz w:val="24"/>
          <w:szCs w:val="24"/>
        </w:rPr>
        <w:t xml:space="preserve">We used </w:t>
      </w:r>
      <w:r w:rsidR="00593DA9" w:rsidRPr="00443048">
        <w:rPr>
          <w:rStyle w:val="normaltextrun"/>
          <w:sz w:val="24"/>
          <w:szCs w:val="24"/>
        </w:rPr>
        <w:t xml:space="preserve">multiple estimates of eGFR </w:t>
      </w:r>
      <w:r w:rsidR="00AF1AE3" w:rsidRPr="00443048">
        <w:rPr>
          <w:rStyle w:val="normaltextrun"/>
          <w:sz w:val="24"/>
          <w:szCs w:val="24"/>
        </w:rPr>
        <w:t xml:space="preserve">over time </w:t>
      </w:r>
      <w:r w:rsidR="00593DA9" w:rsidRPr="00443048">
        <w:rPr>
          <w:rStyle w:val="normaltextrun"/>
          <w:sz w:val="24"/>
          <w:szCs w:val="24"/>
        </w:rPr>
        <w:t>from</w:t>
      </w:r>
      <w:r w:rsidR="007F4156" w:rsidRPr="00443048">
        <w:rPr>
          <w:rStyle w:val="normaltextrun"/>
          <w:sz w:val="24"/>
          <w:szCs w:val="24"/>
        </w:rPr>
        <w:t xml:space="preserve"> </w:t>
      </w:r>
      <w:r w:rsidR="00593DA9" w:rsidRPr="00443048">
        <w:rPr>
          <w:rStyle w:val="normaltextrun"/>
          <w:sz w:val="24"/>
          <w:szCs w:val="24"/>
        </w:rPr>
        <w:t xml:space="preserve">a single </w:t>
      </w:r>
      <w:r w:rsidR="007F4156" w:rsidRPr="00443048">
        <w:rPr>
          <w:rStyle w:val="normaltextrun"/>
          <w:sz w:val="24"/>
          <w:szCs w:val="24"/>
        </w:rPr>
        <w:t xml:space="preserve">laboratory </w:t>
      </w:r>
      <w:r w:rsidR="00FA4A65" w:rsidRPr="00443048">
        <w:rPr>
          <w:rStyle w:val="normaltextrun"/>
          <w:sz w:val="24"/>
          <w:szCs w:val="24"/>
        </w:rPr>
        <w:t xml:space="preserve">which </w:t>
      </w:r>
      <w:r w:rsidR="00FC0FD8" w:rsidRPr="00443048">
        <w:rPr>
          <w:rStyle w:val="normaltextrun"/>
          <w:sz w:val="24"/>
          <w:szCs w:val="24"/>
        </w:rPr>
        <w:t xml:space="preserve">allowed us to </w:t>
      </w:r>
      <w:r w:rsidR="00FA4A65" w:rsidRPr="00443048">
        <w:rPr>
          <w:rStyle w:val="normaltextrun"/>
          <w:sz w:val="24"/>
          <w:szCs w:val="24"/>
        </w:rPr>
        <w:t>des</w:t>
      </w:r>
      <w:r w:rsidR="002E4D73" w:rsidRPr="00443048">
        <w:rPr>
          <w:rStyle w:val="normaltextrun"/>
          <w:sz w:val="24"/>
          <w:szCs w:val="24"/>
        </w:rPr>
        <w:t xml:space="preserve">cribe </w:t>
      </w:r>
      <w:r w:rsidR="00A073C7" w:rsidRPr="00443048">
        <w:rPr>
          <w:rStyle w:val="normaltextrun"/>
          <w:sz w:val="24"/>
          <w:szCs w:val="24"/>
        </w:rPr>
        <w:t xml:space="preserve">and predict </w:t>
      </w:r>
      <w:r w:rsidR="00FC0FD8" w:rsidRPr="00443048">
        <w:rPr>
          <w:rStyle w:val="normaltextrun"/>
          <w:sz w:val="24"/>
          <w:szCs w:val="24"/>
        </w:rPr>
        <w:t xml:space="preserve">the </w:t>
      </w:r>
      <w:r w:rsidR="002E4D73" w:rsidRPr="00443048">
        <w:rPr>
          <w:rStyle w:val="normaltextrun"/>
          <w:sz w:val="24"/>
          <w:szCs w:val="24"/>
        </w:rPr>
        <w:t>pattern of change</w:t>
      </w:r>
      <w:r w:rsidR="00A073C7" w:rsidRPr="00443048">
        <w:rPr>
          <w:rStyle w:val="normaltextrun"/>
          <w:sz w:val="24"/>
          <w:szCs w:val="24"/>
        </w:rPr>
        <w:t xml:space="preserve"> with some confidence</w:t>
      </w:r>
      <w:r w:rsidR="00D30F1E" w:rsidRPr="00443048">
        <w:rPr>
          <w:rStyle w:val="normaltextrun"/>
          <w:sz w:val="24"/>
          <w:szCs w:val="24"/>
        </w:rPr>
        <w:t xml:space="preserve">. </w:t>
      </w:r>
      <w:r w:rsidR="00B136D5" w:rsidRPr="00443048">
        <w:rPr>
          <w:rStyle w:val="normaltextrun"/>
          <w:sz w:val="24"/>
          <w:szCs w:val="24"/>
        </w:rPr>
        <w:t xml:space="preserve">Our sub-study was limited in power and </w:t>
      </w:r>
      <w:r w:rsidR="00CB522E" w:rsidRPr="00443048">
        <w:rPr>
          <w:rStyle w:val="normaltextrun"/>
          <w:sz w:val="24"/>
          <w:szCs w:val="24"/>
        </w:rPr>
        <w:t>c</w:t>
      </w:r>
      <w:r w:rsidR="006F1A44" w:rsidRPr="00443048">
        <w:rPr>
          <w:rStyle w:val="normaltextrun"/>
          <w:sz w:val="24"/>
          <w:szCs w:val="24"/>
        </w:rPr>
        <w:t>aution is required in generalising these findings due to limitations in the length of fol</w:t>
      </w:r>
      <w:r w:rsidR="004B1997" w:rsidRPr="00443048">
        <w:rPr>
          <w:rStyle w:val="normaltextrun"/>
          <w:sz w:val="24"/>
          <w:szCs w:val="24"/>
        </w:rPr>
        <w:t>low</w:t>
      </w:r>
      <w:r w:rsidR="00CB522E" w:rsidRPr="00443048">
        <w:rPr>
          <w:rStyle w:val="normaltextrun"/>
          <w:sz w:val="24"/>
          <w:szCs w:val="24"/>
        </w:rPr>
        <w:t>-up</w:t>
      </w:r>
      <w:r w:rsidR="004B1997" w:rsidRPr="00443048">
        <w:rPr>
          <w:rStyle w:val="normaltextrun"/>
          <w:sz w:val="24"/>
          <w:szCs w:val="24"/>
        </w:rPr>
        <w:t xml:space="preserve"> and </w:t>
      </w:r>
      <w:r w:rsidR="00B136D5" w:rsidRPr="00443048">
        <w:rPr>
          <w:rStyle w:val="normaltextrun"/>
          <w:sz w:val="24"/>
          <w:szCs w:val="24"/>
        </w:rPr>
        <w:t xml:space="preserve">variety of ethnicities </w:t>
      </w:r>
      <w:r w:rsidR="00CC23DF" w:rsidRPr="00443048">
        <w:rPr>
          <w:rStyle w:val="normaltextrun"/>
          <w:sz w:val="24"/>
          <w:szCs w:val="24"/>
        </w:rPr>
        <w:t xml:space="preserve">in the </w:t>
      </w:r>
      <w:r w:rsidR="00B136D5" w:rsidRPr="00443048">
        <w:rPr>
          <w:rStyle w:val="normaltextrun"/>
          <w:sz w:val="24"/>
          <w:szCs w:val="24"/>
        </w:rPr>
        <w:t>heritage classification</w:t>
      </w:r>
      <w:r w:rsidR="003D4B55" w:rsidRPr="00443048">
        <w:rPr>
          <w:rStyle w:val="normaltextrun"/>
          <w:sz w:val="24"/>
          <w:szCs w:val="24"/>
        </w:rPr>
        <w:t xml:space="preserve">. </w:t>
      </w:r>
      <w:r w:rsidR="00AF1D84" w:rsidRPr="00443048">
        <w:rPr>
          <w:rStyle w:val="normaltextrun"/>
          <w:sz w:val="24"/>
          <w:szCs w:val="24"/>
        </w:rPr>
        <w:t xml:space="preserve">Longer-term </w:t>
      </w:r>
      <w:r w:rsidR="00AE3373" w:rsidRPr="00443048">
        <w:rPr>
          <w:rStyle w:val="normaltextrun"/>
          <w:sz w:val="24"/>
          <w:szCs w:val="24"/>
        </w:rPr>
        <w:t xml:space="preserve">studies are required to assess </w:t>
      </w:r>
      <w:r w:rsidR="006257D9" w:rsidRPr="00443048">
        <w:rPr>
          <w:rStyle w:val="normaltextrun"/>
          <w:sz w:val="24"/>
          <w:szCs w:val="24"/>
        </w:rPr>
        <w:t xml:space="preserve">GPx-3 activity </w:t>
      </w:r>
      <w:r w:rsidR="00B136D5" w:rsidRPr="00443048">
        <w:rPr>
          <w:rStyle w:val="normaltextrun"/>
          <w:sz w:val="24"/>
          <w:szCs w:val="24"/>
        </w:rPr>
        <w:t>as a novel biomarker</w:t>
      </w:r>
      <w:r w:rsidR="008624AF" w:rsidRPr="00443048">
        <w:rPr>
          <w:rStyle w:val="normaltextrun"/>
          <w:sz w:val="24"/>
          <w:szCs w:val="24"/>
        </w:rPr>
        <w:t xml:space="preserve"> </w:t>
      </w:r>
      <w:r w:rsidR="00B136D5" w:rsidRPr="00443048">
        <w:rPr>
          <w:rStyle w:val="normaltextrun"/>
          <w:sz w:val="24"/>
          <w:szCs w:val="24"/>
        </w:rPr>
        <w:t xml:space="preserve">of treatment response to improving renal perfusion and protecting glomerular filtration in high-risk patients </w:t>
      </w:r>
      <w:r w:rsidR="00D6383D" w:rsidRPr="00443048">
        <w:rPr>
          <w:rStyle w:val="normaltextrun"/>
          <w:sz w:val="24"/>
          <w:szCs w:val="24"/>
        </w:rPr>
        <w:t xml:space="preserve">with type 2 diabetes with </w:t>
      </w:r>
      <w:r w:rsidR="00860FC5" w:rsidRPr="00443048">
        <w:rPr>
          <w:rStyle w:val="normaltextrun"/>
          <w:sz w:val="24"/>
          <w:szCs w:val="24"/>
        </w:rPr>
        <w:t xml:space="preserve">early stage CKD. </w:t>
      </w:r>
    </w:p>
    <w:p w14:paraId="3AC6E288" w14:textId="77777777" w:rsidR="00B136D5" w:rsidRPr="00443048" w:rsidRDefault="00B136D5" w:rsidP="00604B88">
      <w:pPr>
        <w:spacing w:line="480" w:lineRule="auto"/>
        <w:jc w:val="both"/>
        <w:rPr>
          <w:sz w:val="24"/>
          <w:szCs w:val="24"/>
        </w:rPr>
      </w:pPr>
    </w:p>
    <w:p w14:paraId="2FB0C5EB" w14:textId="77777777" w:rsidR="00F632AC" w:rsidRDefault="00F632AC" w:rsidP="00604B88">
      <w:pPr>
        <w:pStyle w:val="paragraph"/>
        <w:jc w:val="both"/>
        <w:textAlignment w:val="baseline"/>
        <w:rPr>
          <w:rFonts w:asciiTheme="minorHAnsi" w:hAnsiTheme="minorHAnsi" w:cstheme="minorHAnsi"/>
          <w:b/>
          <w:bCs/>
        </w:rPr>
      </w:pPr>
    </w:p>
    <w:p w14:paraId="07F45558" w14:textId="77777777" w:rsidR="00F632AC" w:rsidRDefault="00F632AC" w:rsidP="00604B88">
      <w:pPr>
        <w:pStyle w:val="paragraph"/>
        <w:jc w:val="both"/>
        <w:textAlignment w:val="baseline"/>
        <w:rPr>
          <w:rFonts w:asciiTheme="minorHAnsi" w:hAnsiTheme="minorHAnsi" w:cstheme="minorHAnsi"/>
          <w:b/>
          <w:bCs/>
        </w:rPr>
      </w:pPr>
    </w:p>
    <w:p w14:paraId="5548582F" w14:textId="77777777" w:rsidR="00F632AC" w:rsidRDefault="00F632AC" w:rsidP="00604B88">
      <w:pPr>
        <w:pStyle w:val="paragraph"/>
        <w:jc w:val="both"/>
        <w:textAlignment w:val="baseline"/>
        <w:rPr>
          <w:rFonts w:asciiTheme="minorHAnsi" w:hAnsiTheme="minorHAnsi" w:cstheme="minorHAnsi"/>
          <w:b/>
          <w:bCs/>
        </w:rPr>
      </w:pPr>
    </w:p>
    <w:p w14:paraId="6CEFA434" w14:textId="77777777" w:rsidR="00F632AC" w:rsidRDefault="00F632AC" w:rsidP="00604B88">
      <w:pPr>
        <w:pStyle w:val="paragraph"/>
        <w:jc w:val="both"/>
        <w:textAlignment w:val="baseline"/>
        <w:rPr>
          <w:rFonts w:asciiTheme="minorHAnsi" w:hAnsiTheme="minorHAnsi" w:cstheme="minorHAnsi"/>
          <w:b/>
          <w:bCs/>
        </w:rPr>
      </w:pPr>
    </w:p>
    <w:p w14:paraId="21B48BA2" w14:textId="536BE2FB" w:rsidR="00314967" w:rsidRPr="00443048" w:rsidRDefault="004A2B39" w:rsidP="00604B88">
      <w:pPr>
        <w:pStyle w:val="paragraph"/>
        <w:jc w:val="both"/>
        <w:textAlignment w:val="baseline"/>
        <w:rPr>
          <w:rFonts w:asciiTheme="minorHAnsi" w:hAnsiTheme="minorHAnsi" w:cstheme="minorHAnsi"/>
          <w:b/>
          <w:bCs/>
        </w:rPr>
      </w:pPr>
      <w:r w:rsidRPr="00443048">
        <w:rPr>
          <w:rFonts w:asciiTheme="minorHAnsi" w:hAnsiTheme="minorHAnsi" w:cstheme="minorHAnsi"/>
          <w:b/>
          <w:bCs/>
        </w:rPr>
        <w:t>Author contribution</w:t>
      </w:r>
    </w:p>
    <w:p w14:paraId="1D445E7C" w14:textId="1849370E" w:rsidR="0039300C" w:rsidRPr="00443048" w:rsidRDefault="00604B88" w:rsidP="00604B88">
      <w:pPr>
        <w:spacing w:line="480" w:lineRule="auto"/>
        <w:jc w:val="both"/>
      </w:pPr>
      <w:r w:rsidRPr="00443048">
        <w:t>KAE and</w:t>
      </w:r>
      <w:r w:rsidR="0075133C">
        <w:t xml:space="preserve"> KZ conceived and designed the </w:t>
      </w:r>
      <w:r w:rsidR="0039300C" w:rsidRPr="00443048">
        <w:t xml:space="preserve">study.  </w:t>
      </w:r>
      <w:r w:rsidRPr="00443048">
        <w:t>MS, FJK</w:t>
      </w:r>
      <w:r w:rsidR="0075133C">
        <w:t xml:space="preserve"> and PC provided methodological</w:t>
      </w:r>
      <w:r w:rsidR="0039300C" w:rsidRPr="00443048">
        <w:t xml:space="preserve"> support. KAE secured funding for </w:t>
      </w:r>
      <w:r w:rsidRPr="00443048">
        <w:t>the project</w:t>
      </w:r>
      <w:r w:rsidR="0039300C" w:rsidRPr="00443048">
        <w:t xml:space="preserve">. KAE provided clinical leadership, </w:t>
      </w:r>
      <w:r w:rsidRPr="00443048">
        <w:t>while KZ</w:t>
      </w:r>
      <w:r w:rsidR="0039300C" w:rsidRPr="00443048">
        <w:t xml:space="preserve"> managed the study. EL contributed to the </w:t>
      </w:r>
      <w:r w:rsidR="00891A4A" w:rsidRPr="00443048">
        <w:t>sub</w:t>
      </w:r>
      <w:r w:rsidR="0075133C">
        <w:t>-</w:t>
      </w:r>
      <w:r w:rsidR="00891A4A" w:rsidRPr="00443048">
        <w:t>study and</w:t>
      </w:r>
      <w:r w:rsidR="0039300C" w:rsidRPr="00443048">
        <w:t xml:space="preserve"> to the analysis of the results</w:t>
      </w:r>
      <w:r w:rsidR="00891A4A" w:rsidRPr="00443048">
        <w:t xml:space="preserve">. </w:t>
      </w:r>
      <w:r w:rsidR="0039300C" w:rsidRPr="00443048">
        <w:t xml:space="preserve"> ICS drafted the statistical analysis plan and holds responsibility for all the data analyses. All authors contributed to data interpretation. KAE wrote the first draft of the paper. All authors reviewed and critically revised the manuscript and approved it before submission.</w:t>
      </w:r>
    </w:p>
    <w:p w14:paraId="265D9B32" w14:textId="140EFA14" w:rsidR="00314967" w:rsidRDefault="00314967" w:rsidP="00604B88">
      <w:pPr>
        <w:pStyle w:val="paragraph"/>
        <w:jc w:val="both"/>
        <w:textAlignment w:val="baseline"/>
        <w:rPr>
          <w:rStyle w:val="eop"/>
          <w:rFonts w:ascii="Calibri" w:hAnsi="Calibri"/>
        </w:rPr>
      </w:pPr>
      <w:r w:rsidRPr="00443048">
        <w:rPr>
          <w:rStyle w:val="eop"/>
          <w:rFonts w:ascii="Calibri" w:hAnsi="Calibri"/>
        </w:rPr>
        <w:lastRenderedPageBreak/>
        <w:t> </w:t>
      </w:r>
    </w:p>
    <w:p w14:paraId="1D9C8F62" w14:textId="77777777" w:rsidR="0073201E" w:rsidRPr="00443048" w:rsidRDefault="0073201E" w:rsidP="00604B88">
      <w:pPr>
        <w:pStyle w:val="paragraph"/>
        <w:jc w:val="both"/>
        <w:textAlignment w:val="baseline"/>
        <w:rPr>
          <w:rStyle w:val="eop"/>
          <w:rFonts w:ascii="Calibri" w:hAnsi="Calibri"/>
          <w:b/>
          <w:bCs/>
        </w:rPr>
      </w:pPr>
    </w:p>
    <w:p w14:paraId="2E81D105" w14:textId="0A037478" w:rsidR="004A2B39" w:rsidRPr="00443048" w:rsidRDefault="004A2B39" w:rsidP="00604B88">
      <w:pPr>
        <w:pStyle w:val="paragraph"/>
        <w:jc w:val="both"/>
        <w:textAlignment w:val="baseline"/>
        <w:rPr>
          <w:b/>
          <w:bCs/>
        </w:rPr>
      </w:pPr>
      <w:r w:rsidRPr="00443048">
        <w:rPr>
          <w:rStyle w:val="eop"/>
          <w:rFonts w:ascii="Calibri" w:hAnsi="Calibri"/>
          <w:b/>
          <w:bCs/>
        </w:rPr>
        <w:t>Acknowledgements</w:t>
      </w:r>
    </w:p>
    <w:p w14:paraId="372CE81D" w14:textId="77777777" w:rsidR="00F632AC" w:rsidRDefault="004A2B39" w:rsidP="00F632AC">
      <w:pPr>
        <w:spacing w:line="480" w:lineRule="auto"/>
        <w:jc w:val="both"/>
        <w:rPr>
          <w:sz w:val="24"/>
          <w:szCs w:val="24"/>
        </w:rPr>
      </w:pPr>
      <w:r w:rsidRPr="00443048">
        <w:rPr>
          <w:sz w:val="24"/>
          <w:szCs w:val="24"/>
        </w:rPr>
        <w:t xml:space="preserve">I would like to thank Dr John Pepe of Richmond University, New </w:t>
      </w:r>
      <w:r w:rsidR="00604B88" w:rsidRPr="00443048">
        <w:rPr>
          <w:sz w:val="24"/>
          <w:szCs w:val="24"/>
        </w:rPr>
        <w:t>York and</w:t>
      </w:r>
      <w:r w:rsidRPr="00443048">
        <w:rPr>
          <w:sz w:val="24"/>
          <w:szCs w:val="24"/>
        </w:rPr>
        <w:t xml:space="preserve"> </w:t>
      </w:r>
      <w:r w:rsidR="00131347">
        <w:rPr>
          <w:sz w:val="24"/>
          <w:szCs w:val="24"/>
        </w:rPr>
        <w:t xml:space="preserve">Professor </w:t>
      </w:r>
      <w:r w:rsidRPr="00443048">
        <w:rPr>
          <w:sz w:val="24"/>
          <w:szCs w:val="24"/>
        </w:rPr>
        <w:t xml:space="preserve">John </w:t>
      </w:r>
      <w:proofErr w:type="spellStart"/>
      <w:r w:rsidRPr="00443048">
        <w:rPr>
          <w:sz w:val="24"/>
          <w:szCs w:val="24"/>
        </w:rPr>
        <w:t>Godbold</w:t>
      </w:r>
      <w:proofErr w:type="spellEnd"/>
      <w:r w:rsidRPr="00443048">
        <w:rPr>
          <w:sz w:val="24"/>
          <w:szCs w:val="24"/>
        </w:rPr>
        <w:t xml:space="preserve"> of Mount Sinai School of Medicine, New York for supporting the development of this research </w:t>
      </w:r>
      <w:r w:rsidR="0075133C">
        <w:rPr>
          <w:sz w:val="24"/>
          <w:szCs w:val="24"/>
        </w:rPr>
        <w:t xml:space="preserve">Dr James Pilcher from St Georges University Hospitals NH Foundation Trust for facilitating the radiological investigations </w:t>
      </w:r>
      <w:r w:rsidRPr="00443048">
        <w:rPr>
          <w:sz w:val="24"/>
          <w:szCs w:val="24"/>
        </w:rPr>
        <w:t xml:space="preserve">and Dr Joanna Lewis of the Institute of Child Health, London for her valuable overview of the analysis and presentation. </w:t>
      </w:r>
    </w:p>
    <w:p w14:paraId="0B3755C1" w14:textId="77777777" w:rsidR="00F632AC" w:rsidRDefault="00F632AC" w:rsidP="00F632AC">
      <w:pPr>
        <w:spacing w:line="480" w:lineRule="auto"/>
        <w:jc w:val="both"/>
        <w:rPr>
          <w:sz w:val="24"/>
          <w:szCs w:val="24"/>
        </w:rPr>
      </w:pPr>
    </w:p>
    <w:p w14:paraId="3B314577" w14:textId="77777777" w:rsidR="00F632AC" w:rsidRDefault="00F632AC" w:rsidP="00F632AC">
      <w:pPr>
        <w:spacing w:line="480" w:lineRule="auto"/>
        <w:jc w:val="both"/>
        <w:rPr>
          <w:sz w:val="24"/>
          <w:szCs w:val="24"/>
        </w:rPr>
      </w:pPr>
    </w:p>
    <w:p w14:paraId="589B5B07" w14:textId="77777777" w:rsidR="00F632AC" w:rsidRDefault="00F632AC" w:rsidP="00F632AC">
      <w:pPr>
        <w:spacing w:line="480" w:lineRule="auto"/>
        <w:jc w:val="both"/>
        <w:rPr>
          <w:sz w:val="24"/>
          <w:szCs w:val="24"/>
        </w:rPr>
      </w:pPr>
    </w:p>
    <w:p w14:paraId="5D7733A1" w14:textId="77777777" w:rsidR="00033111" w:rsidRDefault="00033111" w:rsidP="00F632AC">
      <w:pPr>
        <w:spacing w:line="480" w:lineRule="auto"/>
        <w:jc w:val="both"/>
        <w:rPr>
          <w:b/>
          <w:bCs/>
          <w:sz w:val="24"/>
          <w:szCs w:val="24"/>
        </w:rPr>
      </w:pPr>
    </w:p>
    <w:p w14:paraId="7517CE79" w14:textId="310D11F8" w:rsidR="00A677B0" w:rsidRPr="00F632AC" w:rsidRDefault="004A2B39" w:rsidP="00F632AC">
      <w:pPr>
        <w:spacing w:line="480" w:lineRule="auto"/>
        <w:jc w:val="both"/>
        <w:rPr>
          <w:sz w:val="24"/>
          <w:szCs w:val="24"/>
        </w:rPr>
      </w:pPr>
      <w:r w:rsidRPr="00443048">
        <w:rPr>
          <w:b/>
          <w:bCs/>
          <w:sz w:val="24"/>
          <w:szCs w:val="24"/>
        </w:rPr>
        <w:t>Disclosures</w:t>
      </w:r>
    </w:p>
    <w:p w14:paraId="1227516F" w14:textId="635E25FD" w:rsidR="005249D8" w:rsidRPr="00443048" w:rsidRDefault="001E1D46" w:rsidP="00604B88">
      <w:pPr>
        <w:jc w:val="both"/>
        <w:rPr>
          <w:bCs/>
          <w:sz w:val="24"/>
          <w:szCs w:val="24"/>
        </w:rPr>
      </w:pPr>
      <w:r w:rsidRPr="00443048">
        <w:rPr>
          <w:rStyle w:val="st"/>
        </w:rPr>
        <w:t>There are no financial conflicts of interest to disclose</w:t>
      </w:r>
    </w:p>
    <w:p w14:paraId="657C52C7" w14:textId="38C967AA" w:rsidR="004A2B39" w:rsidRPr="00443048" w:rsidRDefault="004A2B39" w:rsidP="00604B88">
      <w:pPr>
        <w:jc w:val="both"/>
        <w:rPr>
          <w:b/>
          <w:bCs/>
          <w:sz w:val="24"/>
          <w:szCs w:val="24"/>
        </w:rPr>
      </w:pPr>
    </w:p>
    <w:p w14:paraId="3AC38534" w14:textId="79D9ED26" w:rsidR="004A2B39" w:rsidRPr="00443048" w:rsidRDefault="004A2B39" w:rsidP="00604B88">
      <w:pPr>
        <w:jc w:val="both"/>
        <w:rPr>
          <w:b/>
          <w:bCs/>
          <w:sz w:val="24"/>
          <w:szCs w:val="24"/>
        </w:rPr>
      </w:pPr>
    </w:p>
    <w:p w14:paraId="386BB774" w14:textId="77777777" w:rsidR="004A2B39" w:rsidRPr="00443048" w:rsidRDefault="004A2B39" w:rsidP="00604B88">
      <w:pPr>
        <w:jc w:val="both"/>
        <w:rPr>
          <w:b/>
          <w:bCs/>
          <w:sz w:val="24"/>
          <w:szCs w:val="24"/>
        </w:rPr>
      </w:pPr>
    </w:p>
    <w:p w14:paraId="6F1F3C9A" w14:textId="282198B9" w:rsidR="00E76428" w:rsidRPr="00443048" w:rsidRDefault="00E76428" w:rsidP="00604B88">
      <w:pPr>
        <w:spacing w:line="480" w:lineRule="auto"/>
        <w:jc w:val="both"/>
        <w:rPr>
          <w:b/>
          <w:bCs/>
          <w:sz w:val="24"/>
          <w:szCs w:val="24"/>
        </w:rPr>
      </w:pPr>
      <w:r w:rsidRPr="00443048">
        <w:rPr>
          <w:b/>
          <w:bCs/>
          <w:sz w:val="24"/>
          <w:szCs w:val="24"/>
        </w:rPr>
        <w:t>References</w:t>
      </w:r>
    </w:p>
    <w:p w14:paraId="4BED90D9" w14:textId="77777777" w:rsidR="000A7D27" w:rsidRPr="00443048" w:rsidRDefault="000A7D27" w:rsidP="00604B88">
      <w:pPr>
        <w:numPr>
          <w:ilvl w:val="0"/>
          <w:numId w:val="1"/>
        </w:numPr>
        <w:spacing w:line="480" w:lineRule="auto"/>
        <w:contextualSpacing/>
        <w:jc w:val="both"/>
        <w:rPr>
          <w:rFonts w:eastAsia="Calibri" w:cs="Times New Roman"/>
          <w:sz w:val="24"/>
          <w:szCs w:val="24"/>
        </w:rPr>
      </w:pPr>
      <w:proofErr w:type="spellStart"/>
      <w:r w:rsidRPr="00443048">
        <w:rPr>
          <w:rFonts w:eastAsia="Calibri" w:cs="Times New Roman"/>
          <w:sz w:val="24"/>
          <w:szCs w:val="24"/>
        </w:rPr>
        <w:t>Stanifer</w:t>
      </w:r>
      <w:proofErr w:type="spellEnd"/>
      <w:r w:rsidRPr="00443048">
        <w:rPr>
          <w:rFonts w:eastAsia="Calibri" w:cs="Times New Roman"/>
          <w:sz w:val="24"/>
          <w:szCs w:val="24"/>
        </w:rPr>
        <w:t xml:space="preserve"> JW, Jing B, Tolan S, et al. The epidemiology of chronic kidney disease in sub-Saharan Africa: a systematic review and meta-analysis. Lancet Glob Health 2014; 2(3</w:t>
      </w:r>
      <w:proofErr w:type="gramStart"/>
      <w:r w:rsidRPr="00443048">
        <w:rPr>
          <w:rFonts w:eastAsia="Calibri" w:cs="Times New Roman"/>
          <w:sz w:val="24"/>
          <w:szCs w:val="24"/>
        </w:rPr>
        <w:t>):e</w:t>
      </w:r>
      <w:proofErr w:type="gramEnd"/>
      <w:r w:rsidRPr="00443048">
        <w:rPr>
          <w:rFonts w:eastAsia="Calibri" w:cs="Times New Roman"/>
          <w:sz w:val="24"/>
          <w:szCs w:val="24"/>
        </w:rPr>
        <w:t>174-81.</w:t>
      </w:r>
    </w:p>
    <w:p w14:paraId="73DAB7E2" w14:textId="78DEB462" w:rsidR="000A7D27" w:rsidRPr="00443048" w:rsidRDefault="000A7D27" w:rsidP="00604B88">
      <w:pPr>
        <w:numPr>
          <w:ilvl w:val="0"/>
          <w:numId w:val="1"/>
        </w:numPr>
        <w:spacing w:line="480" w:lineRule="auto"/>
        <w:contextualSpacing/>
        <w:jc w:val="both"/>
        <w:rPr>
          <w:rFonts w:eastAsia="Calibri" w:cs="Times New Roman"/>
          <w:sz w:val="24"/>
          <w:szCs w:val="24"/>
        </w:rPr>
      </w:pPr>
      <w:proofErr w:type="spellStart"/>
      <w:r w:rsidRPr="00443048">
        <w:rPr>
          <w:rFonts w:eastAsia="Calibri" w:cs="Times New Roman"/>
          <w:sz w:val="24"/>
          <w:szCs w:val="24"/>
        </w:rPr>
        <w:t>Regunathan</w:t>
      </w:r>
      <w:proofErr w:type="spellEnd"/>
      <w:r w:rsidRPr="00443048">
        <w:rPr>
          <w:rFonts w:eastAsia="Calibri" w:cs="Times New Roman"/>
          <w:sz w:val="24"/>
          <w:szCs w:val="24"/>
        </w:rPr>
        <w:t xml:space="preserve">-Shenk R, Hussain FN, Ganda A. Chronic kidney disease and end-stage renal disease in disadvantaged communities of North America: an investigational </w:t>
      </w:r>
      <w:r w:rsidRPr="00443048">
        <w:rPr>
          <w:rFonts w:eastAsia="Calibri" w:cs="Times New Roman"/>
          <w:sz w:val="24"/>
          <w:szCs w:val="24"/>
        </w:rPr>
        <w:lastRenderedPageBreak/>
        <w:t xml:space="preserve">challenge to limit disease progression and cardiovascular risk. Clin </w:t>
      </w:r>
      <w:proofErr w:type="spellStart"/>
      <w:r w:rsidRPr="00443048">
        <w:rPr>
          <w:rFonts w:eastAsia="Calibri" w:cs="Times New Roman"/>
          <w:sz w:val="24"/>
          <w:szCs w:val="24"/>
        </w:rPr>
        <w:t>Nephrol</w:t>
      </w:r>
      <w:proofErr w:type="spellEnd"/>
      <w:r w:rsidRPr="00443048">
        <w:rPr>
          <w:rFonts w:eastAsia="Calibri" w:cs="Times New Roman"/>
          <w:sz w:val="24"/>
          <w:szCs w:val="24"/>
        </w:rPr>
        <w:t xml:space="preserve"> 2016 Supplement 1; 86 (13):37-40.</w:t>
      </w:r>
    </w:p>
    <w:p w14:paraId="28CD5E40" w14:textId="7070F6E9" w:rsidR="000A7D27" w:rsidRPr="00443048" w:rsidRDefault="000A7D27" w:rsidP="00604B88">
      <w:pPr>
        <w:numPr>
          <w:ilvl w:val="0"/>
          <w:numId w:val="1"/>
        </w:numPr>
        <w:spacing w:line="480" w:lineRule="auto"/>
        <w:contextualSpacing/>
        <w:jc w:val="both"/>
        <w:rPr>
          <w:rFonts w:eastAsia="Calibri" w:cs="Times New Roman"/>
          <w:sz w:val="24"/>
          <w:szCs w:val="24"/>
        </w:rPr>
      </w:pPr>
      <w:r w:rsidRPr="00443048">
        <w:rPr>
          <w:rFonts w:eastAsia="Calibri" w:cs="Times New Roman"/>
          <w:sz w:val="24"/>
          <w:szCs w:val="24"/>
        </w:rPr>
        <w:t xml:space="preserve">MacIsaac RJ, </w:t>
      </w:r>
      <w:proofErr w:type="spellStart"/>
      <w:r w:rsidRPr="00443048">
        <w:rPr>
          <w:rFonts w:eastAsia="Calibri" w:cs="Times New Roman"/>
          <w:sz w:val="24"/>
          <w:szCs w:val="24"/>
        </w:rPr>
        <w:t>Ekinci</w:t>
      </w:r>
      <w:proofErr w:type="spellEnd"/>
      <w:r w:rsidRPr="00443048">
        <w:rPr>
          <w:rFonts w:eastAsia="Calibri" w:cs="Times New Roman"/>
          <w:sz w:val="24"/>
          <w:szCs w:val="24"/>
        </w:rPr>
        <w:t xml:space="preserve"> EI, </w:t>
      </w:r>
      <w:proofErr w:type="spellStart"/>
      <w:r w:rsidRPr="00443048">
        <w:rPr>
          <w:rFonts w:eastAsia="Calibri" w:cs="Times New Roman"/>
          <w:sz w:val="24"/>
          <w:szCs w:val="24"/>
        </w:rPr>
        <w:t>Jerums</w:t>
      </w:r>
      <w:proofErr w:type="spellEnd"/>
      <w:r w:rsidRPr="00443048">
        <w:rPr>
          <w:rFonts w:eastAsia="Calibri" w:cs="Times New Roman"/>
          <w:sz w:val="24"/>
          <w:szCs w:val="24"/>
        </w:rPr>
        <w:t xml:space="preserve"> G. 'Progressive diabetic nephropathy. How useful is </w:t>
      </w:r>
      <w:r w:rsidR="00604B88" w:rsidRPr="00443048">
        <w:rPr>
          <w:rFonts w:eastAsia="Calibri" w:cs="Times New Roman"/>
          <w:sz w:val="24"/>
          <w:szCs w:val="24"/>
        </w:rPr>
        <w:t>microalbuminuria:</w:t>
      </w:r>
      <w:r w:rsidRPr="00443048">
        <w:rPr>
          <w:rFonts w:eastAsia="Calibri" w:cs="Times New Roman"/>
          <w:sz w:val="24"/>
          <w:szCs w:val="24"/>
        </w:rPr>
        <w:t xml:space="preserve"> contra</w:t>
      </w:r>
      <w:proofErr w:type="gramStart"/>
      <w:r w:rsidRPr="00443048">
        <w:rPr>
          <w:rFonts w:eastAsia="Calibri" w:cs="Times New Roman"/>
          <w:sz w:val="24"/>
          <w:szCs w:val="24"/>
        </w:rPr>
        <w:t>'.</w:t>
      </w:r>
      <w:proofErr w:type="gramEnd"/>
      <w:r w:rsidRPr="00443048">
        <w:rPr>
          <w:rFonts w:eastAsia="Calibri" w:cs="Times New Roman"/>
          <w:sz w:val="24"/>
          <w:szCs w:val="24"/>
        </w:rPr>
        <w:t xml:space="preserve"> Kidney Int 2014; 86(1):50-57.</w:t>
      </w:r>
    </w:p>
    <w:p w14:paraId="69A58E8C" w14:textId="12BB1707" w:rsidR="000A7D27" w:rsidRPr="00443048" w:rsidRDefault="000A7D27" w:rsidP="00604B88">
      <w:pPr>
        <w:numPr>
          <w:ilvl w:val="0"/>
          <w:numId w:val="1"/>
        </w:numPr>
        <w:spacing w:line="480" w:lineRule="auto"/>
        <w:contextualSpacing/>
        <w:jc w:val="both"/>
        <w:rPr>
          <w:rFonts w:eastAsia="Calibri" w:cs="Times New Roman"/>
          <w:sz w:val="24"/>
          <w:szCs w:val="24"/>
        </w:rPr>
      </w:pPr>
      <w:r w:rsidRPr="00443048">
        <w:rPr>
          <w:rFonts w:eastAsia="Calibri" w:cs="Times New Roman"/>
          <w:sz w:val="24"/>
          <w:szCs w:val="24"/>
        </w:rPr>
        <w:t>Whaley-Connell A, Sowers JR. Obesity and kidney disease: from population to basic science and the search for new therapeutic targets. Kidney Int 2017; 92(2):313-323.</w:t>
      </w:r>
    </w:p>
    <w:p w14:paraId="0F5A6DC6" w14:textId="77777777" w:rsidR="000A7D27" w:rsidRPr="00443048" w:rsidRDefault="000A7D27" w:rsidP="00604B88">
      <w:pPr>
        <w:numPr>
          <w:ilvl w:val="0"/>
          <w:numId w:val="1"/>
        </w:numPr>
        <w:spacing w:line="480" w:lineRule="auto"/>
        <w:contextualSpacing/>
        <w:jc w:val="both"/>
        <w:rPr>
          <w:rFonts w:eastAsia="Calibri" w:cs="Times New Roman"/>
          <w:sz w:val="24"/>
          <w:szCs w:val="24"/>
        </w:rPr>
      </w:pPr>
      <w:proofErr w:type="spellStart"/>
      <w:r w:rsidRPr="00443048">
        <w:rPr>
          <w:rFonts w:eastAsia="Calibri" w:cs="Times New Roman"/>
          <w:sz w:val="24"/>
          <w:szCs w:val="24"/>
        </w:rPr>
        <w:t>Babayev</w:t>
      </w:r>
      <w:proofErr w:type="spellEnd"/>
      <w:r w:rsidRPr="00443048">
        <w:rPr>
          <w:rFonts w:eastAsia="Calibri" w:cs="Times New Roman"/>
          <w:sz w:val="24"/>
          <w:szCs w:val="24"/>
        </w:rPr>
        <w:t xml:space="preserve"> R, Whaley-Connell A, </w:t>
      </w:r>
      <w:proofErr w:type="spellStart"/>
      <w:r w:rsidRPr="00443048">
        <w:rPr>
          <w:rFonts w:eastAsia="Calibri" w:cs="Times New Roman"/>
          <w:sz w:val="24"/>
          <w:szCs w:val="24"/>
        </w:rPr>
        <w:t>Kshirsagar</w:t>
      </w:r>
      <w:proofErr w:type="spellEnd"/>
      <w:r w:rsidRPr="00443048">
        <w:rPr>
          <w:rFonts w:eastAsia="Calibri" w:cs="Times New Roman"/>
          <w:sz w:val="24"/>
          <w:szCs w:val="24"/>
        </w:rPr>
        <w:t xml:space="preserve"> A, et al. Association of race and body mass index with ESRD and mortality in CKD stages 3-4: results from the Kidney Early Evaluation Program (KEEP). Am J Kidney Dis 2013; 61(3):404-412.</w:t>
      </w:r>
    </w:p>
    <w:p w14:paraId="1B320166" w14:textId="77777777" w:rsidR="000A7D27" w:rsidRPr="00443048" w:rsidRDefault="000A7D27" w:rsidP="00604B88">
      <w:pPr>
        <w:numPr>
          <w:ilvl w:val="0"/>
          <w:numId w:val="1"/>
        </w:numPr>
        <w:spacing w:line="480" w:lineRule="auto"/>
        <w:contextualSpacing/>
        <w:jc w:val="both"/>
        <w:rPr>
          <w:rFonts w:eastAsia="Calibri" w:cs="Times New Roman"/>
          <w:sz w:val="24"/>
          <w:szCs w:val="24"/>
        </w:rPr>
      </w:pPr>
      <w:r w:rsidRPr="00443048">
        <w:rPr>
          <w:rFonts w:eastAsia="Calibri" w:cs="Times New Roman"/>
          <w:sz w:val="24"/>
          <w:szCs w:val="24"/>
        </w:rPr>
        <w:t xml:space="preserve">Jha JC, Banal C, Chow BS, Cooper ME, </w:t>
      </w:r>
      <w:proofErr w:type="spellStart"/>
      <w:r w:rsidRPr="00443048">
        <w:rPr>
          <w:rFonts w:eastAsia="Calibri" w:cs="Times New Roman"/>
          <w:sz w:val="24"/>
          <w:szCs w:val="24"/>
        </w:rPr>
        <w:t>Jandeleit-Dahm</w:t>
      </w:r>
      <w:proofErr w:type="spellEnd"/>
      <w:r w:rsidRPr="00443048">
        <w:rPr>
          <w:rFonts w:eastAsia="Calibri" w:cs="Times New Roman"/>
          <w:sz w:val="24"/>
          <w:szCs w:val="24"/>
        </w:rPr>
        <w:t xml:space="preserve"> K. Diabetes and Kidney Disease: Role of Oxidative Stress. </w:t>
      </w:r>
      <w:proofErr w:type="spellStart"/>
      <w:r w:rsidRPr="00443048">
        <w:rPr>
          <w:rFonts w:eastAsia="Calibri" w:cs="Times New Roman"/>
          <w:sz w:val="24"/>
          <w:szCs w:val="24"/>
        </w:rPr>
        <w:t>Antioxid</w:t>
      </w:r>
      <w:proofErr w:type="spellEnd"/>
      <w:r w:rsidRPr="00443048">
        <w:rPr>
          <w:rFonts w:eastAsia="Calibri" w:cs="Times New Roman"/>
          <w:sz w:val="24"/>
          <w:szCs w:val="24"/>
        </w:rPr>
        <w:t xml:space="preserve"> Redox Signal 2016; 25(12):657-684. </w:t>
      </w:r>
    </w:p>
    <w:p w14:paraId="686C6FEF" w14:textId="77777777" w:rsidR="000A7D27" w:rsidRPr="00443048" w:rsidRDefault="000A7D27" w:rsidP="00604B88">
      <w:pPr>
        <w:numPr>
          <w:ilvl w:val="0"/>
          <w:numId w:val="1"/>
        </w:numPr>
        <w:spacing w:line="480" w:lineRule="auto"/>
        <w:contextualSpacing/>
        <w:jc w:val="both"/>
        <w:rPr>
          <w:rFonts w:eastAsia="Calibri" w:cs="Times New Roman"/>
          <w:sz w:val="24"/>
          <w:szCs w:val="24"/>
        </w:rPr>
      </w:pPr>
      <w:r w:rsidRPr="00443048">
        <w:rPr>
          <w:rFonts w:eastAsia="Calibri" w:cs="Times New Roman"/>
          <w:sz w:val="24"/>
          <w:szCs w:val="24"/>
        </w:rPr>
        <w:t>Forbes JM, Coughlan MT, Cooper ME. Oxidative stress as a major culprit in kidney disease in diabetes. Diabetes 2008; 57(6):1446-1454.</w:t>
      </w:r>
    </w:p>
    <w:p w14:paraId="230F0169" w14:textId="62AB6292" w:rsidR="000A7D27" w:rsidRPr="00443048" w:rsidRDefault="000A7D27" w:rsidP="00604B88">
      <w:pPr>
        <w:numPr>
          <w:ilvl w:val="0"/>
          <w:numId w:val="1"/>
        </w:numPr>
        <w:spacing w:line="480" w:lineRule="auto"/>
        <w:contextualSpacing/>
        <w:jc w:val="both"/>
        <w:rPr>
          <w:rFonts w:eastAsia="Calibri" w:cs="Times New Roman"/>
          <w:sz w:val="24"/>
          <w:szCs w:val="24"/>
        </w:rPr>
      </w:pPr>
      <w:r w:rsidRPr="00443048">
        <w:rPr>
          <w:rFonts w:eastAsia="Calibri" w:cs="Times New Roman"/>
          <w:sz w:val="24"/>
          <w:szCs w:val="24"/>
        </w:rPr>
        <w:t xml:space="preserve">Clarke C, Baghdadi H, Howie AF, Mason JI, Walker SW, Beckett GJ. Selenium supplementation attenuates procollagen-1 and interleukin-8 production in fat-loaded human C3A hepatoblastoma cells treated with TGFbeta1. </w:t>
      </w:r>
      <w:proofErr w:type="spellStart"/>
      <w:r w:rsidRPr="00443048">
        <w:rPr>
          <w:rFonts w:eastAsia="Calibri" w:cs="Times New Roman"/>
          <w:sz w:val="24"/>
          <w:szCs w:val="24"/>
        </w:rPr>
        <w:t>Biochim</w:t>
      </w:r>
      <w:proofErr w:type="spellEnd"/>
      <w:r w:rsidRPr="00443048">
        <w:rPr>
          <w:rFonts w:eastAsia="Calibri" w:cs="Times New Roman"/>
          <w:sz w:val="24"/>
          <w:szCs w:val="24"/>
        </w:rPr>
        <w:t xml:space="preserve"> </w:t>
      </w:r>
      <w:proofErr w:type="spellStart"/>
      <w:r w:rsidRPr="00443048">
        <w:rPr>
          <w:rFonts w:eastAsia="Calibri" w:cs="Times New Roman"/>
          <w:sz w:val="24"/>
          <w:szCs w:val="24"/>
        </w:rPr>
        <w:t>Biophys</w:t>
      </w:r>
      <w:proofErr w:type="spellEnd"/>
      <w:r w:rsidRPr="00443048">
        <w:rPr>
          <w:rFonts w:eastAsia="Calibri" w:cs="Times New Roman"/>
          <w:sz w:val="24"/>
          <w:szCs w:val="24"/>
        </w:rPr>
        <w:t xml:space="preserve"> Acta 2010; 1800(6):611-618.</w:t>
      </w:r>
    </w:p>
    <w:p w14:paraId="63F157CC" w14:textId="7222FAE1" w:rsidR="00FF635D" w:rsidRPr="00443048" w:rsidRDefault="00FF635D" w:rsidP="00FF635D">
      <w:pPr>
        <w:numPr>
          <w:ilvl w:val="0"/>
          <w:numId w:val="1"/>
        </w:numPr>
        <w:spacing w:line="480" w:lineRule="auto"/>
        <w:contextualSpacing/>
        <w:jc w:val="both"/>
        <w:rPr>
          <w:rFonts w:eastAsia="Calibri" w:cs="Times New Roman"/>
          <w:sz w:val="24"/>
          <w:szCs w:val="24"/>
        </w:rPr>
      </w:pPr>
      <w:r w:rsidRPr="00443048">
        <w:rPr>
          <w:rFonts w:eastAsia="Calibri" w:cs="Times New Roman"/>
          <w:sz w:val="24"/>
          <w:szCs w:val="24"/>
        </w:rPr>
        <w:t xml:space="preserve">Farid N, </w:t>
      </w:r>
      <w:proofErr w:type="spellStart"/>
      <w:r w:rsidRPr="00443048">
        <w:rPr>
          <w:rFonts w:eastAsia="Calibri" w:cs="Times New Roman"/>
          <w:sz w:val="24"/>
          <w:szCs w:val="24"/>
        </w:rPr>
        <w:t>Inbal</w:t>
      </w:r>
      <w:proofErr w:type="spellEnd"/>
      <w:r w:rsidRPr="00443048">
        <w:rPr>
          <w:rFonts w:eastAsia="Calibri" w:cs="Times New Roman"/>
          <w:sz w:val="24"/>
          <w:szCs w:val="24"/>
        </w:rPr>
        <w:t xml:space="preserve"> D, </w:t>
      </w:r>
      <w:proofErr w:type="spellStart"/>
      <w:r w:rsidRPr="00443048">
        <w:rPr>
          <w:rFonts w:eastAsia="Calibri" w:cs="Times New Roman"/>
          <w:sz w:val="24"/>
          <w:szCs w:val="24"/>
        </w:rPr>
        <w:t>Nakhoul</w:t>
      </w:r>
      <w:proofErr w:type="spellEnd"/>
      <w:r w:rsidRPr="00443048">
        <w:rPr>
          <w:rFonts w:eastAsia="Calibri" w:cs="Times New Roman"/>
          <w:sz w:val="24"/>
          <w:szCs w:val="24"/>
        </w:rPr>
        <w:t xml:space="preserve"> N, et al. Vitamin E and diabetic nephropathy in mice model and humans. World J </w:t>
      </w:r>
      <w:proofErr w:type="spellStart"/>
      <w:r w:rsidRPr="00443048">
        <w:rPr>
          <w:rFonts w:eastAsia="Calibri" w:cs="Times New Roman"/>
          <w:sz w:val="24"/>
          <w:szCs w:val="24"/>
        </w:rPr>
        <w:t>Nephrol</w:t>
      </w:r>
      <w:proofErr w:type="spellEnd"/>
      <w:r w:rsidRPr="00443048">
        <w:rPr>
          <w:rFonts w:eastAsia="Calibri" w:cs="Times New Roman"/>
          <w:sz w:val="24"/>
          <w:szCs w:val="24"/>
        </w:rPr>
        <w:t xml:space="preserve"> 2013; 2 (4):111-124.</w:t>
      </w:r>
    </w:p>
    <w:p w14:paraId="11B5EDF7" w14:textId="77777777" w:rsidR="000A7D27" w:rsidRPr="00443048" w:rsidRDefault="000A7D27" w:rsidP="00604B88">
      <w:pPr>
        <w:numPr>
          <w:ilvl w:val="0"/>
          <w:numId w:val="1"/>
        </w:numPr>
        <w:spacing w:line="480" w:lineRule="auto"/>
        <w:contextualSpacing/>
        <w:jc w:val="both"/>
        <w:rPr>
          <w:rFonts w:eastAsia="Calibri" w:cs="Times New Roman"/>
          <w:sz w:val="24"/>
          <w:szCs w:val="24"/>
        </w:rPr>
      </w:pPr>
      <w:proofErr w:type="spellStart"/>
      <w:r w:rsidRPr="00443048">
        <w:rPr>
          <w:rFonts w:eastAsia="Calibri" w:cs="Times New Roman"/>
          <w:sz w:val="24"/>
          <w:szCs w:val="24"/>
        </w:rPr>
        <w:t>Tesoriere</w:t>
      </w:r>
      <w:proofErr w:type="spellEnd"/>
      <w:r w:rsidRPr="00443048">
        <w:rPr>
          <w:rFonts w:eastAsia="Calibri" w:cs="Times New Roman"/>
          <w:sz w:val="24"/>
          <w:szCs w:val="24"/>
        </w:rPr>
        <w:t xml:space="preserve"> L, </w:t>
      </w:r>
      <w:proofErr w:type="spellStart"/>
      <w:r w:rsidRPr="00443048">
        <w:rPr>
          <w:rFonts w:eastAsia="Calibri" w:cs="Times New Roman"/>
          <w:sz w:val="24"/>
          <w:szCs w:val="24"/>
        </w:rPr>
        <w:t>D'Arpa</w:t>
      </w:r>
      <w:proofErr w:type="spellEnd"/>
      <w:r w:rsidRPr="00443048">
        <w:rPr>
          <w:rFonts w:eastAsia="Calibri" w:cs="Times New Roman"/>
          <w:sz w:val="24"/>
          <w:szCs w:val="24"/>
        </w:rPr>
        <w:t xml:space="preserve"> D, Butera D, et al. Oral supplements of vitamin E improve measures of oxidative stress in plasma and reduce oxidative damage to LDL and erythrocytes in beta-thalassemia intermedia patients. Free </w:t>
      </w:r>
      <w:proofErr w:type="spellStart"/>
      <w:r w:rsidRPr="00443048">
        <w:rPr>
          <w:rFonts w:eastAsia="Calibri" w:cs="Times New Roman"/>
          <w:sz w:val="24"/>
          <w:szCs w:val="24"/>
        </w:rPr>
        <w:t>Radic</w:t>
      </w:r>
      <w:proofErr w:type="spellEnd"/>
      <w:r w:rsidRPr="00443048">
        <w:rPr>
          <w:rFonts w:eastAsia="Calibri" w:cs="Times New Roman"/>
          <w:sz w:val="24"/>
          <w:szCs w:val="24"/>
        </w:rPr>
        <w:t xml:space="preserve"> Res 2001; 34(5):529-540.</w:t>
      </w:r>
    </w:p>
    <w:p w14:paraId="0B76E7E3" w14:textId="77777777" w:rsidR="000A7D27" w:rsidRPr="00443048" w:rsidRDefault="000A7D27" w:rsidP="00604B88">
      <w:pPr>
        <w:numPr>
          <w:ilvl w:val="0"/>
          <w:numId w:val="1"/>
        </w:numPr>
        <w:spacing w:line="480" w:lineRule="auto"/>
        <w:contextualSpacing/>
        <w:jc w:val="both"/>
        <w:rPr>
          <w:rFonts w:eastAsia="Calibri" w:cs="Times New Roman"/>
          <w:sz w:val="24"/>
          <w:szCs w:val="24"/>
        </w:rPr>
      </w:pPr>
      <w:r w:rsidRPr="00443048">
        <w:rPr>
          <w:rFonts w:eastAsia="Calibri" w:cs="Times New Roman"/>
          <w:sz w:val="24"/>
          <w:szCs w:val="24"/>
        </w:rPr>
        <w:t xml:space="preserve">Rodrigo R, Prat H, </w:t>
      </w:r>
      <w:proofErr w:type="spellStart"/>
      <w:r w:rsidRPr="00443048">
        <w:rPr>
          <w:rFonts w:eastAsia="Calibri" w:cs="Times New Roman"/>
          <w:sz w:val="24"/>
          <w:szCs w:val="24"/>
        </w:rPr>
        <w:t>Passalacqua</w:t>
      </w:r>
      <w:proofErr w:type="spellEnd"/>
      <w:r w:rsidRPr="00443048">
        <w:rPr>
          <w:rFonts w:eastAsia="Calibri" w:cs="Times New Roman"/>
          <w:sz w:val="24"/>
          <w:szCs w:val="24"/>
        </w:rPr>
        <w:t xml:space="preserve"> W, Araya J, Bachler JP. Decrease in oxidative stress through supplementation of vitamins C and E is associated with a reduction in blood </w:t>
      </w:r>
      <w:r w:rsidRPr="00443048">
        <w:rPr>
          <w:rFonts w:eastAsia="Calibri" w:cs="Times New Roman"/>
          <w:sz w:val="24"/>
          <w:szCs w:val="24"/>
        </w:rPr>
        <w:lastRenderedPageBreak/>
        <w:t>pressure in patients with essential hypertension. Clin Sci (</w:t>
      </w:r>
      <w:proofErr w:type="spellStart"/>
      <w:r w:rsidRPr="00443048">
        <w:rPr>
          <w:rFonts w:eastAsia="Calibri" w:cs="Times New Roman"/>
          <w:sz w:val="24"/>
          <w:szCs w:val="24"/>
        </w:rPr>
        <w:t>Lond</w:t>
      </w:r>
      <w:proofErr w:type="spellEnd"/>
      <w:r w:rsidRPr="00443048">
        <w:rPr>
          <w:rFonts w:eastAsia="Calibri" w:cs="Times New Roman"/>
          <w:sz w:val="24"/>
          <w:szCs w:val="24"/>
        </w:rPr>
        <w:t>) 2008; 114(10):625-634.</w:t>
      </w:r>
    </w:p>
    <w:p w14:paraId="0D4ADCF1" w14:textId="77777777" w:rsidR="000A7D27" w:rsidRPr="00443048" w:rsidRDefault="000A7D27" w:rsidP="00604B88">
      <w:pPr>
        <w:numPr>
          <w:ilvl w:val="0"/>
          <w:numId w:val="1"/>
        </w:numPr>
        <w:spacing w:line="480" w:lineRule="auto"/>
        <w:contextualSpacing/>
        <w:jc w:val="both"/>
        <w:rPr>
          <w:rFonts w:eastAsia="Calibri" w:cs="Times New Roman"/>
          <w:bCs/>
          <w:sz w:val="24"/>
          <w:szCs w:val="24"/>
        </w:rPr>
      </w:pPr>
      <w:proofErr w:type="spellStart"/>
      <w:r w:rsidRPr="00443048">
        <w:rPr>
          <w:rFonts w:eastAsia="Calibri" w:cs="Times New Roman"/>
          <w:sz w:val="24"/>
          <w:szCs w:val="24"/>
        </w:rPr>
        <w:t>Bolignano</w:t>
      </w:r>
      <w:proofErr w:type="spellEnd"/>
      <w:r w:rsidRPr="00443048">
        <w:rPr>
          <w:rFonts w:eastAsia="Calibri" w:cs="Times New Roman"/>
          <w:sz w:val="24"/>
          <w:szCs w:val="24"/>
        </w:rPr>
        <w:t xml:space="preserve"> D, </w:t>
      </w:r>
      <w:proofErr w:type="spellStart"/>
      <w:r w:rsidRPr="00443048">
        <w:rPr>
          <w:rFonts w:eastAsia="Calibri" w:cs="Times New Roman"/>
          <w:sz w:val="24"/>
          <w:szCs w:val="24"/>
        </w:rPr>
        <w:t>Cernaro</w:t>
      </w:r>
      <w:proofErr w:type="spellEnd"/>
      <w:r w:rsidRPr="00443048">
        <w:rPr>
          <w:rFonts w:eastAsia="Calibri" w:cs="Times New Roman"/>
          <w:sz w:val="24"/>
          <w:szCs w:val="24"/>
        </w:rPr>
        <w:t xml:space="preserve"> V, </w:t>
      </w:r>
      <w:proofErr w:type="spellStart"/>
      <w:r w:rsidRPr="00443048">
        <w:rPr>
          <w:rFonts w:eastAsia="Calibri" w:cs="Times New Roman"/>
          <w:sz w:val="24"/>
          <w:szCs w:val="24"/>
        </w:rPr>
        <w:t>Gembillo</w:t>
      </w:r>
      <w:proofErr w:type="spellEnd"/>
      <w:r w:rsidRPr="00443048">
        <w:rPr>
          <w:rFonts w:eastAsia="Calibri" w:cs="Times New Roman"/>
          <w:sz w:val="24"/>
          <w:szCs w:val="24"/>
        </w:rPr>
        <w:t xml:space="preserve"> G, et al. Antioxidant agents for delaying diabetic kidney disease progression: A systematic review and meta-analysis. </w:t>
      </w:r>
      <w:proofErr w:type="spellStart"/>
      <w:r w:rsidRPr="00443048">
        <w:rPr>
          <w:rFonts w:eastAsia="Calibri" w:cs="Times New Roman"/>
          <w:sz w:val="24"/>
          <w:szCs w:val="24"/>
        </w:rPr>
        <w:t>PLoS</w:t>
      </w:r>
      <w:proofErr w:type="spellEnd"/>
      <w:r w:rsidRPr="00443048">
        <w:rPr>
          <w:rFonts w:eastAsia="Calibri" w:cs="Times New Roman"/>
          <w:sz w:val="24"/>
          <w:szCs w:val="24"/>
        </w:rPr>
        <w:t xml:space="preserve"> One 2017; 12(6</w:t>
      </w:r>
      <w:proofErr w:type="gramStart"/>
      <w:r w:rsidRPr="00443048">
        <w:rPr>
          <w:rFonts w:eastAsia="Calibri" w:cs="Times New Roman"/>
          <w:sz w:val="24"/>
          <w:szCs w:val="24"/>
        </w:rPr>
        <w:t>):e</w:t>
      </w:r>
      <w:proofErr w:type="gramEnd"/>
      <w:r w:rsidRPr="00443048">
        <w:rPr>
          <w:rFonts w:eastAsia="Calibri" w:cs="Times New Roman"/>
          <w:sz w:val="24"/>
          <w:szCs w:val="24"/>
        </w:rPr>
        <w:t>0178699.</w:t>
      </w:r>
    </w:p>
    <w:p w14:paraId="0C0AB4CA" w14:textId="77777777" w:rsidR="000A7D27" w:rsidRPr="00443048" w:rsidRDefault="000A7D27" w:rsidP="00604B88">
      <w:pPr>
        <w:numPr>
          <w:ilvl w:val="0"/>
          <w:numId w:val="1"/>
        </w:numPr>
        <w:spacing w:line="480" w:lineRule="auto"/>
        <w:contextualSpacing/>
        <w:jc w:val="both"/>
        <w:rPr>
          <w:rFonts w:eastAsia="Calibri" w:cs="Times New Roman"/>
          <w:sz w:val="24"/>
          <w:szCs w:val="24"/>
        </w:rPr>
      </w:pPr>
      <w:r w:rsidRPr="00443048">
        <w:rPr>
          <w:rFonts w:eastAsia="Calibri" w:cs="Times New Roman"/>
          <w:sz w:val="24"/>
          <w:szCs w:val="24"/>
        </w:rPr>
        <w:t>Lewis P, Stefanovic N, Pete J, et al. Lack of the antioxidant enzyme glutathione peroxidase-1 accelerates atherosclerosis in diabetic apolipoprotein E-deficient mice. Circulation 2007; 115(16):2178-2187.</w:t>
      </w:r>
    </w:p>
    <w:p w14:paraId="11C65572" w14:textId="77777777" w:rsidR="000A7D27" w:rsidRPr="00443048" w:rsidRDefault="000A7D27" w:rsidP="00604B88">
      <w:pPr>
        <w:numPr>
          <w:ilvl w:val="0"/>
          <w:numId w:val="1"/>
        </w:numPr>
        <w:spacing w:line="480" w:lineRule="auto"/>
        <w:contextualSpacing/>
        <w:jc w:val="both"/>
        <w:rPr>
          <w:rFonts w:eastAsia="Calibri" w:cs="Times New Roman"/>
          <w:bCs/>
          <w:sz w:val="24"/>
          <w:szCs w:val="24"/>
        </w:rPr>
      </w:pPr>
      <w:proofErr w:type="spellStart"/>
      <w:r w:rsidRPr="00443048">
        <w:rPr>
          <w:rFonts w:eastAsia="Calibri" w:cs="Times New Roman"/>
          <w:sz w:val="24"/>
          <w:szCs w:val="24"/>
        </w:rPr>
        <w:t>Blankenberg</w:t>
      </w:r>
      <w:proofErr w:type="spellEnd"/>
      <w:r w:rsidRPr="00443048">
        <w:rPr>
          <w:rFonts w:eastAsia="Calibri" w:cs="Times New Roman"/>
          <w:sz w:val="24"/>
          <w:szCs w:val="24"/>
        </w:rPr>
        <w:t xml:space="preserve"> S, </w:t>
      </w:r>
      <w:proofErr w:type="spellStart"/>
      <w:r w:rsidR="00576D08">
        <w:fldChar w:fldCharType="begin"/>
      </w:r>
      <w:r w:rsidR="00576D08">
        <w:instrText xml:space="preserve"> HYPERLINK "https://www.ncbi.nlm.nih.gov/pubmed/?term=Rupprecht%20HJ%5BAuthor%5D&amp;cauthor=true&amp;cauthor_uid=14573732" </w:instrText>
      </w:r>
      <w:r w:rsidR="00576D08">
        <w:fldChar w:fldCharType="separate"/>
      </w:r>
      <w:r w:rsidRPr="00443048">
        <w:rPr>
          <w:rFonts w:eastAsia="Calibri" w:cs="Times New Roman"/>
          <w:sz w:val="24"/>
          <w:szCs w:val="24"/>
        </w:rPr>
        <w:t>Rupprecht</w:t>
      </w:r>
      <w:proofErr w:type="spellEnd"/>
      <w:r w:rsidRPr="00443048">
        <w:rPr>
          <w:rFonts w:eastAsia="Calibri" w:cs="Times New Roman"/>
          <w:sz w:val="24"/>
          <w:szCs w:val="24"/>
        </w:rPr>
        <w:t xml:space="preserve"> HJ</w:t>
      </w:r>
      <w:r w:rsidR="00576D08">
        <w:rPr>
          <w:rFonts w:eastAsia="Calibri" w:cs="Times New Roman"/>
          <w:sz w:val="24"/>
          <w:szCs w:val="24"/>
        </w:rPr>
        <w:fldChar w:fldCharType="end"/>
      </w:r>
      <w:r w:rsidRPr="00443048">
        <w:rPr>
          <w:rFonts w:eastAsia="Calibri" w:cs="Times New Roman"/>
          <w:sz w:val="24"/>
          <w:szCs w:val="24"/>
        </w:rPr>
        <w:t>, </w:t>
      </w:r>
      <w:hyperlink r:id="rId15" w:history="1">
        <w:r w:rsidRPr="00443048">
          <w:rPr>
            <w:rFonts w:eastAsia="Calibri" w:cs="Times New Roman"/>
            <w:sz w:val="24"/>
            <w:szCs w:val="24"/>
          </w:rPr>
          <w:t>Bickel C</w:t>
        </w:r>
      </w:hyperlink>
      <w:r w:rsidRPr="00443048">
        <w:rPr>
          <w:rFonts w:eastAsia="Calibri" w:cs="Times New Roman"/>
          <w:sz w:val="24"/>
          <w:szCs w:val="24"/>
        </w:rPr>
        <w:t xml:space="preserve">, et al. </w:t>
      </w:r>
      <w:r w:rsidRPr="00443048">
        <w:rPr>
          <w:rFonts w:eastAsia="Calibri" w:cs="Times New Roman"/>
          <w:bCs/>
          <w:sz w:val="24"/>
          <w:szCs w:val="24"/>
        </w:rPr>
        <w:t xml:space="preserve">Glutathione peroxidase 1 activity and cardiovascular events in patients with coronary artery disease. </w:t>
      </w:r>
      <w:hyperlink r:id="rId16" w:tooltip="The New England journal of medicine." w:history="1">
        <w:r w:rsidRPr="00443048">
          <w:rPr>
            <w:rFonts w:eastAsia="Calibri" w:cs="Times New Roman"/>
            <w:bCs/>
            <w:sz w:val="24"/>
            <w:szCs w:val="24"/>
          </w:rPr>
          <w:t xml:space="preserve">N </w:t>
        </w:r>
        <w:proofErr w:type="spellStart"/>
        <w:r w:rsidRPr="00443048">
          <w:rPr>
            <w:rFonts w:eastAsia="Calibri" w:cs="Times New Roman"/>
            <w:bCs/>
            <w:sz w:val="24"/>
            <w:szCs w:val="24"/>
          </w:rPr>
          <w:t>Engl</w:t>
        </w:r>
        <w:proofErr w:type="spellEnd"/>
        <w:r w:rsidRPr="00443048">
          <w:rPr>
            <w:rFonts w:eastAsia="Calibri" w:cs="Times New Roman"/>
            <w:bCs/>
            <w:sz w:val="24"/>
            <w:szCs w:val="24"/>
          </w:rPr>
          <w:t xml:space="preserve"> J Med.</w:t>
        </w:r>
      </w:hyperlink>
      <w:r w:rsidRPr="00443048">
        <w:rPr>
          <w:rFonts w:eastAsia="Calibri" w:cs="Times New Roman"/>
          <w:bCs/>
          <w:sz w:val="24"/>
          <w:szCs w:val="24"/>
        </w:rPr>
        <w:t> 2003; 349 (17):1605-13</w:t>
      </w:r>
    </w:p>
    <w:p w14:paraId="62DC5016" w14:textId="77777777" w:rsidR="001429F7" w:rsidRPr="00443048" w:rsidRDefault="000A7D27" w:rsidP="00604B88">
      <w:pPr>
        <w:numPr>
          <w:ilvl w:val="0"/>
          <w:numId w:val="1"/>
        </w:numPr>
        <w:spacing w:line="480" w:lineRule="auto"/>
        <w:contextualSpacing/>
        <w:jc w:val="both"/>
        <w:rPr>
          <w:rFonts w:eastAsia="Calibri" w:cs="Times New Roman"/>
          <w:sz w:val="24"/>
          <w:szCs w:val="24"/>
        </w:rPr>
      </w:pPr>
      <w:r w:rsidRPr="00443048">
        <w:rPr>
          <w:rFonts w:eastAsia="Calibri" w:cs="Times New Roman"/>
          <w:sz w:val="24"/>
          <w:szCs w:val="24"/>
        </w:rPr>
        <w:t xml:space="preserve">Zitouni K, </w:t>
      </w:r>
      <w:proofErr w:type="spellStart"/>
      <w:r w:rsidRPr="00443048">
        <w:rPr>
          <w:rFonts w:eastAsia="Calibri" w:cs="Times New Roman"/>
          <w:sz w:val="24"/>
          <w:szCs w:val="24"/>
        </w:rPr>
        <w:t>Nourooz</w:t>
      </w:r>
      <w:proofErr w:type="spellEnd"/>
      <w:r w:rsidRPr="00443048">
        <w:rPr>
          <w:rFonts w:eastAsia="Calibri" w:cs="Times New Roman"/>
          <w:sz w:val="24"/>
          <w:szCs w:val="24"/>
        </w:rPr>
        <w:t>-Zadeh J, Harry D, et al. Race-specific differences in antioxidant enzyme activity in patients with type 2 diabetes: a potential association with the risk of developing nephropathy. Diabetes Care 2005; 28(7):1698-1703.</w:t>
      </w:r>
      <w:r w:rsidR="001429F7" w:rsidRPr="00443048">
        <w:rPr>
          <w:rFonts w:eastAsia="Calibri" w:cs="Times New Roman"/>
          <w:sz w:val="24"/>
          <w:szCs w:val="24"/>
        </w:rPr>
        <w:t xml:space="preserve"> </w:t>
      </w:r>
    </w:p>
    <w:p w14:paraId="00C8A267" w14:textId="6E90CB8A" w:rsidR="000A7D27" w:rsidRPr="00443048" w:rsidRDefault="001429F7" w:rsidP="00604B88">
      <w:pPr>
        <w:numPr>
          <w:ilvl w:val="0"/>
          <w:numId w:val="1"/>
        </w:numPr>
        <w:spacing w:line="480" w:lineRule="auto"/>
        <w:contextualSpacing/>
        <w:jc w:val="both"/>
        <w:rPr>
          <w:rFonts w:eastAsia="Calibri" w:cs="Times New Roman"/>
          <w:sz w:val="24"/>
          <w:szCs w:val="24"/>
        </w:rPr>
      </w:pPr>
      <w:proofErr w:type="spellStart"/>
      <w:r w:rsidRPr="00443048">
        <w:rPr>
          <w:rFonts w:eastAsia="Calibri" w:cs="Times New Roman"/>
          <w:sz w:val="24"/>
          <w:szCs w:val="24"/>
        </w:rPr>
        <w:t>Barai</w:t>
      </w:r>
      <w:proofErr w:type="spellEnd"/>
      <w:r w:rsidRPr="00443048">
        <w:rPr>
          <w:rFonts w:eastAsia="Calibri" w:cs="Times New Roman"/>
          <w:sz w:val="24"/>
          <w:szCs w:val="24"/>
        </w:rPr>
        <w:t xml:space="preserve"> S, Gambhir S, Prasad N, Sharma RK, Ora M. Functional renal reserve capacity in different stages of chronic kidney disease. Nephrology (Carlton) 2010; 15(3):350-353.</w:t>
      </w:r>
    </w:p>
    <w:p w14:paraId="2C0AEE6F" w14:textId="0FB19E89" w:rsidR="000A7D27" w:rsidRPr="00443048" w:rsidRDefault="000A7D27" w:rsidP="00604B88">
      <w:pPr>
        <w:numPr>
          <w:ilvl w:val="0"/>
          <w:numId w:val="1"/>
        </w:numPr>
        <w:spacing w:line="480" w:lineRule="auto"/>
        <w:contextualSpacing/>
        <w:jc w:val="both"/>
        <w:rPr>
          <w:rFonts w:eastAsia="Calibri" w:cs="Times New Roman"/>
          <w:sz w:val="24"/>
          <w:szCs w:val="24"/>
        </w:rPr>
      </w:pPr>
      <w:r w:rsidRPr="00443048">
        <w:rPr>
          <w:rFonts w:eastAsia="Calibri" w:cs="Times New Roman"/>
          <w:sz w:val="24"/>
          <w:szCs w:val="24"/>
        </w:rPr>
        <w:t xml:space="preserve">Pergola PE, </w:t>
      </w:r>
      <w:proofErr w:type="spellStart"/>
      <w:r w:rsidRPr="00443048">
        <w:rPr>
          <w:rFonts w:eastAsia="Calibri" w:cs="Times New Roman"/>
          <w:sz w:val="24"/>
          <w:szCs w:val="24"/>
        </w:rPr>
        <w:t>Raskin</w:t>
      </w:r>
      <w:proofErr w:type="spellEnd"/>
      <w:r w:rsidRPr="00443048">
        <w:rPr>
          <w:rFonts w:eastAsia="Calibri" w:cs="Times New Roman"/>
          <w:sz w:val="24"/>
          <w:szCs w:val="24"/>
        </w:rPr>
        <w:t xml:space="preserve"> P, Toto RD, et al. Bardoxolone methyl and kidney function in CKD with type 2 diabetes. N </w:t>
      </w:r>
      <w:proofErr w:type="spellStart"/>
      <w:r w:rsidRPr="00443048">
        <w:rPr>
          <w:rFonts w:eastAsia="Calibri" w:cs="Times New Roman"/>
          <w:sz w:val="24"/>
          <w:szCs w:val="24"/>
        </w:rPr>
        <w:t>Engl</w:t>
      </w:r>
      <w:proofErr w:type="spellEnd"/>
      <w:r w:rsidRPr="00443048">
        <w:rPr>
          <w:rFonts w:eastAsia="Calibri" w:cs="Times New Roman"/>
          <w:sz w:val="24"/>
          <w:szCs w:val="24"/>
        </w:rPr>
        <w:t xml:space="preserve"> J Med 2011; 365(4):327-336.</w:t>
      </w:r>
    </w:p>
    <w:p w14:paraId="03DC8E5D" w14:textId="08257E4A" w:rsidR="00326CBE" w:rsidRPr="00443048" w:rsidRDefault="00326CBE" w:rsidP="007C402F">
      <w:pPr>
        <w:pStyle w:val="ListParagraph"/>
        <w:numPr>
          <w:ilvl w:val="0"/>
          <w:numId w:val="1"/>
        </w:numPr>
        <w:spacing w:line="480" w:lineRule="auto"/>
        <w:jc w:val="both"/>
        <w:rPr>
          <w:sz w:val="24"/>
          <w:szCs w:val="24"/>
        </w:rPr>
      </w:pPr>
      <w:r w:rsidRPr="00443048">
        <w:rPr>
          <w:sz w:val="24"/>
          <w:szCs w:val="24"/>
        </w:rPr>
        <w:t xml:space="preserve">Earle KA, Zitouni K, Pepe J, </w:t>
      </w:r>
      <w:proofErr w:type="spellStart"/>
      <w:r w:rsidRPr="00443048">
        <w:rPr>
          <w:sz w:val="24"/>
          <w:szCs w:val="24"/>
        </w:rPr>
        <w:t>Karaflou</w:t>
      </w:r>
      <w:proofErr w:type="spellEnd"/>
      <w:r w:rsidRPr="00443048">
        <w:rPr>
          <w:sz w:val="24"/>
          <w:szCs w:val="24"/>
        </w:rPr>
        <w:t xml:space="preserve"> M, </w:t>
      </w:r>
      <w:proofErr w:type="spellStart"/>
      <w:r w:rsidRPr="00443048">
        <w:rPr>
          <w:sz w:val="24"/>
          <w:szCs w:val="24"/>
        </w:rPr>
        <w:t>Godbold</w:t>
      </w:r>
      <w:proofErr w:type="spellEnd"/>
      <w:r w:rsidRPr="00443048">
        <w:rPr>
          <w:sz w:val="24"/>
          <w:szCs w:val="24"/>
        </w:rPr>
        <w:t xml:space="preserve"> J Jr. Modulation of endogenous antioxidant defence and the progression of kidney disease in multi-heritage groups of patients with type 2 diabetes: </w:t>
      </w:r>
      <w:proofErr w:type="spellStart"/>
      <w:r w:rsidRPr="00443048">
        <w:rPr>
          <w:sz w:val="24"/>
          <w:szCs w:val="24"/>
        </w:rPr>
        <w:t>PRospective</w:t>
      </w:r>
      <w:proofErr w:type="spellEnd"/>
      <w:r w:rsidRPr="00443048">
        <w:rPr>
          <w:sz w:val="24"/>
          <w:szCs w:val="24"/>
        </w:rPr>
        <w:t xml:space="preserve"> </w:t>
      </w:r>
      <w:proofErr w:type="spellStart"/>
      <w:r w:rsidRPr="00443048">
        <w:rPr>
          <w:sz w:val="24"/>
          <w:szCs w:val="24"/>
        </w:rPr>
        <w:t>EValuation</w:t>
      </w:r>
      <w:proofErr w:type="spellEnd"/>
      <w:r w:rsidRPr="00443048">
        <w:rPr>
          <w:sz w:val="24"/>
          <w:szCs w:val="24"/>
        </w:rPr>
        <w:t xml:space="preserve"> of Early Nephropathy and its Treatment (PREVENT). J </w:t>
      </w:r>
      <w:proofErr w:type="spellStart"/>
      <w:r w:rsidRPr="00443048">
        <w:rPr>
          <w:sz w:val="24"/>
          <w:szCs w:val="24"/>
        </w:rPr>
        <w:t>Transl</w:t>
      </w:r>
      <w:proofErr w:type="spellEnd"/>
      <w:r w:rsidRPr="00443048">
        <w:rPr>
          <w:sz w:val="24"/>
          <w:szCs w:val="24"/>
        </w:rPr>
        <w:t xml:space="preserve"> Med 2016; 14(1):234-016-0975-9</w:t>
      </w:r>
    </w:p>
    <w:p w14:paraId="247333FA" w14:textId="01E09365" w:rsidR="00C32CC6" w:rsidRPr="00443048" w:rsidRDefault="003E5582" w:rsidP="007C402F">
      <w:pPr>
        <w:pStyle w:val="ListParagraph"/>
        <w:numPr>
          <w:ilvl w:val="0"/>
          <w:numId w:val="1"/>
        </w:numPr>
        <w:spacing w:line="480" w:lineRule="auto"/>
        <w:jc w:val="both"/>
        <w:rPr>
          <w:sz w:val="24"/>
          <w:szCs w:val="24"/>
        </w:rPr>
      </w:pPr>
      <w:r w:rsidRPr="00443048">
        <w:rPr>
          <w:sz w:val="24"/>
          <w:szCs w:val="24"/>
        </w:rPr>
        <w:t xml:space="preserve">Cook DG, Shaper AG, MacFarlane PW. Using the WHO (Rose) angina questionnaire in cardiovascular epidemiology. Int J </w:t>
      </w:r>
      <w:proofErr w:type="spellStart"/>
      <w:r w:rsidRPr="00443048">
        <w:rPr>
          <w:sz w:val="24"/>
          <w:szCs w:val="24"/>
        </w:rPr>
        <w:t>Epidemiol</w:t>
      </w:r>
      <w:proofErr w:type="spellEnd"/>
      <w:r w:rsidRPr="00443048">
        <w:rPr>
          <w:sz w:val="24"/>
          <w:szCs w:val="24"/>
        </w:rPr>
        <w:t xml:space="preserve"> 1989; 18(3):607-613.</w:t>
      </w:r>
    </w:p>
    <w:p w14:paraId="10A24900" w14:textId="77777777" w:rsidR="00F41789" w:rsidRPr="00443048" w:rsidRDefault="00F41789" w:rsidP="00F41789">
      <w:pPr>
        <w:pStyle w:val="ListParagraph"/>
        <w:rPr>
          <w:sz w:val="24"/>
          <w:szCs w:val="24"/>
        </w:rPr>
      </w:pPr>
    </w:p>
    <w:p w14:paraId="6A9E985A" w14:textId="1AE96039" w:rsidR="00F41789" w:rsidRPr="00443048" w:rsidRDefault="00F41789" w:rsidP="00490494">
      <w:pPr>
        <w:pStyle w:val="ListParagraph"/>
        <w:numPr>
          <w:ilvl w:val="0"/>
          <w:numId w:val="1"/>
        </w:numPr>
        <w:spacing w:line="480" w:lineRule="auto"/>
        <w:jc w:val="both"/>
        <w:rPr>
          <w:sz w:val="24"/>
          <w:szCs w:val="24"/>
        </w:rPr>
      </w:pPr>
      <w:proofErr w:type="spellStart"/>
      <w:r w:rsidRPr="00443048">
        <w:rPr>
          <w:sz w:val="24"/>
          <w:szCs w:val="24"/>
        </w:rPr>
        <w:t>Cokkinos</w:t>
      </w:r>
      <w:proofErr w:type="spellEnd"/>
      <w:r w:rsidRPr="00443048">
        <w:rPr>
          <w:sz w:val="24"/>
          <w:szCs w:val="24"/>
        </w:rPr>
        <w:t xml:space="preserve"> DD, </w:t>
      </w:r>
      <w:proofErr w:type="spellStart"/>
      <w:r w:rsidRPr="00443048">
        <w:rPr>
          <w:sz w:val="24"/>
          <w:szCs w:val="24"/>
        </w:rPr>
        <w:t>Antypa</w:t>
      </w:r>
      <w:proofErr w:type="spellEnd"/>
      <w:r w:rsidRPr="00443048">
        <w:rPr>
          <w:sz w:val="24"/>
          <w:szCs w:val="24"/>
        </w:rPr>
        <w:t xml:space="preserve"> EG, </w:t>
      </w:r>
      <w:proofErr w:type="spellStart"/>
      <w:r w:rsidRPr="00443048">
        <w:rPr>
          <w:sz w:val="24"/>
          <w:szCs w:val="24"/>
        </w:rPr>
        <w:t>Skilakaki</w:t>
      </w:r>
      <w:proofErr w:type="spellEnd"/>
      <w:r w:rsidRPr="00443048">
        <w:rPr>
          <w:sz w:val="24"/>
          <w:szCs w:val="24"/>
        </w:rPr>
        <w:t xml:space="preserve"> M, </w:t>
      </w:r>
      <w:proofErr w:type="spellStart"/>
      <w:r w:rsidRPr="00443048">
        <w:rPr>
          <w:sz w:val="24"/>
          <w:szCs w:val="24"/>
        </w:rPr>
        <w:t>Kriketou</w:t>
      </w:r>
      <w:proofErr w:type="spellEnd"/>
      <w:r w:rsidRPr="00443048">
        <w:rPr>
          <w:sz w:val="24"/>
          <w:szCs w:val="24"/>
        </w:rPr>
        <w:t xml:space="preserve"> D, </w:t>
      </w:r>
      <w:proofErr w:type="spellStart"/>
      <w:r w:rsidRPr="00443048">
        <w:rPr>
          <w:sz w:val="24"/>
          <w:szCs w:val="24"/>
        </w:rPr>
        <w:t>Tavernaraki</w:t>
      </w:r>
      <w:proofErr w:type="spellEnd"/>
      <w:r w:rsidRPr="00443048">
        <w:rPr>
          <w:sz w:val="24"/>
          <w:szCs w:val="24"/>
        </w:rPr>
        <w:t xml:space="preserve"> E, </w:t>
      </w:r>
      <w:proofErr w:type="spellStart"/>
      <w:r w:rsidRPr="00443048">
        <w:rPr>
          <w:sz w:val="24"/>
          <w:szCs w:val="24"/>
        </w:rPr>
        <w:t>Piperopoulos</w:t>
      </w:r>
      <w:proofErr w:type="spellEnd"/>
      <w:r w:rsidRPr="00443048">
        <w:rPr>
          <w:sz w:val="24"/>
          <w:szCs w:val="24"/>
        </w:rPr>
        <w:t xml:space="preserve"> PN. Contrast enhanced ultrasound of the kidneys: what is it capable of? </w:t>
      </w:r>
      <w:r w:rsidRPr="00443048">
        <w:rPr>
          <w:i/>
          <w:iCs/>
          <w:sz w:val="24"/>
          <w:szCs w:val="24"/>
        </w:rPr>
        <w:t>Biomed Res Int</w:t>
      </w:r>
      <w:r w:rsidRPr="00443048">
        <w:rPr>
          <w:sz w:val="24"/>
          <w:szCs w:val="24"/>
        </w:rPr>
        <w:t xml:space="preserve">. </w:t>
      </w:r>
      <w:proofErr w:type="gramStart"/>
      <w:r w:rsidRPr="00443048">
        <w:rPr>
          <w:sz w:val="24"/>
          <w:szCs w:val="24"/>
        </w:rPr>
        <w:t>2013;2013:595873</w:t>
      </w:r>
      <w:proofErr w:type="gramEnd"/>
      <w:r w:rsidRPr="00443048">
        <w:rPr>
          <w:sz w:val="24"/>
          <w:szCs w:val="24"/>
        </w:rPr>
        <w:t xml:space="preserve">. </w:t>
      </w:r>
    </w:p>
    <w:p w14:paraId="46ECD9F0" w14:textId="65B1A7F9" w:rsidR="00F41789" w:rsidRPr="00443048" w:rsidRDefault="00F41789" w:rsidP="00F41789">
      <w:pPr>
        <w:pStyle w:val="ListParagraph"/>
        <w:numPr>
          <w:ilvl w:val="0"/>
          <w:numId w:val="1"/>
        </w:numPr>
        <w:spacing w:line="480" w:lineRule="auto"/>
        <w:jc w:val="both"/>
        <w:rPr>
          <w:sz w:val="24"/>
          <w:szCs w:val="24"/>
        </w:rPr>
      </w:pPr>
      <w:r w:rsidRPr="00443048">
        <w:rPr>
          <w:sz w:val="24"/>
          <w:szCs w:val="24"/>
        </w:rPr>
        <w:t xml:space="preserve">Dong Y, Wang WP, Cao J, Fan P, Lin X. Early assessment of chronic kidney dysfunction using contrast-enhanced ultrasound: a pilot study. </w:t>
      </w:r>
      <w:r w:rsidRPr="00443048">
        <w:rPr>
          <w:i/>
          <w:iCs/>
          <w:sz w:val="24"/>
          <w:szCs w:val="24"/>
        </w:rPr>
        <w:t xml:space="preserve">Br J </w:t>
      </w:r>
      <w:proofErr w:type="spellStart"/>
      <w:r w:rsidRPr="00443048">
        <w:rPr>
          <w:i/>
          <w:iCs/>
          <w:sz w:val="24"/>
          <w:szCs w:val="24"/>
        </w:rPr>
        <w:t>Radiol</w:t>
      </w:r>
      <w:proofErr w:type="spellEnd"/>
      <w:r w:rsidRPr="00443048">
        <w:rPr>
          <w:sz w:val="24"/>
          <w:szCs w:val="24"/>
        </w:rPr>
        <w:t xml:space="preserve">. 2014;87(1042):20140350. </w:t>
      </w:r>
    </w:p>
    <w:p w14:paraId="76D393FB" w14:textId="77777777" w:rsidR="00F41789" w:rsidRPr="00443048" w:rsidRDefault="00F41789" w:rsidP="00F41789">
      <w:pPr>
        <w:pStyle w:val="ListParagraph"/>
        <w:rPr>
          <w:sz w:val="24"/>
          <w:szCs w:val="24"/>
        </w:rPr>
      </w:pPr>
    </w:p>
    <w:p w14:paraId="5097C770" w14:textId="77777777" w:rsidR="00F41789" w:rsidRPr="00443048" w:rsidRDefault="00F41789" w:rsidP="00F41789">
      <w:pPr>
        <w:pStyle w:val="ListParagraph"/>
        <w:rPr>
          <w:sz w:val="24"/>
          <w:szCs w:val="24"/>
        </w:rPr>
      </w:pPr>
    </w:p>
    <w:p w14:paraId="1FCB2D5B" w14:textId="77777777" w:rsidR="00F41789" w:rsidRPr="00443048" w:rsidRDefault="00F41789" w:rsidP="00F41789">
      <w:pPr>
        <w:pStyle w:val="ListParagraph"/>
        <w:spacing w:line="480" w:lineRule="auto"/>
        <w:jc w:val="both"/>
        <w:rPr>
          <w:sz w:val="24"/>
          <w:szCs w:val="24"/>
        </w:rPr>
      </w:pPr>
    </w:p>
    <w:p w14:paraId="50FE3222" w14:textId="3FF04A14" w:rsidR="009F3834" w:rsidRPr="00443048" w:rsidRDefault="009F3834" w:rsidP="00F41789">
      <w:pPr>
        <w:pStyle w:val="ListParagraph"/>
        <w:numPr>
          <w:ilvl w:val="0"/>
          <w:numId w:val="1"/>
        </w:numPr>
        <w:spacing w:line="480" w:lineRule="auto"/>
        <w:ind w:left="714" w:hanging="357"/>
        <w:jc w:val="both"/>
        <w:rPr>
          <w:sz w:val="24"/>
          <w:szCs w:val="24"/>
        </w:rPr>
      </w:pPr>
      <w:proofErr w:type="spellStart"/>
      <w:r w:rsidRPr="00443048">
        <w:rPr>
          <w:sz w:val="24"/>
          <w:szCs w:val="24"/>
        </w:rPr>
        <w:t>Hedeker</w:t>
      </w:r>
      <w:proofErr w:type="spellEnd"/>
      <w:r w:rsidRPr="00443048">
        <w:rPr>
          <w:sz w:val="24"/>
          <w:szCs w:val="24"/>
        </w:rPr>
        <w:t xml:space="preserve"> D, Gibbons RD, and </w:t>
      </w:r>
      <w:proofErr w:type="spellStart"/>
      <w:r w:rsidRPr="00443048">
        <w:rPr>
          <w:sz w:val="24"/>
          <w:szCs w:val="24"/>
        </w:rPr>
        <w:t>Waternaux</w:t>
      </w:r>
      <w:proofErr w:type="spellEnd"/>
      <w:r w:rsidRPr="00443048">
        <w:rPr>
          <w:sz w:val="24"/>
          <w:szCs w:val="24"/>
        </w:rPr>
        <w:t xml:space="preserve"> C. Sample size estimation for longitudinal designs with attrition: comparing time-related contrasts between two groups. Journal of Educational and </w:t>
      </w:r>
      <w:proofErr w:type="spellStart"/>
      <w:r w:rsidRPr="00443048">
        <w:rPr>
          <w:sz w:val="24"/>
          <w:szCs w:val="24"/>
        </w:rPr>
        <w:t>Behavioral</w:t>
      </w:r>
      <w:proofErr w:type="spellEnd"/>
      <w:r w:rsidRPr="00443048">
        <w:rPr>
          <w:sz w:val="24"/>
          <w:szCs w:val="24"/>
        </w:rPr>
        <w:t xml:space="preserve"> Statistics 1999; 24: 70 – 93</w:t>
      </w:r>
    </w:p>
    <w:p w14:paraId="0056BE68" w14:textId="23277CD4" w:rsidR="00F41789" w:rsidRPr="00443048" w:rsidRDefault="00F41789" w:rsidP="00F41789">
      <w:pPr>
        <w:pStyle w:val="ListParagraph"/>
        <w:numPr>
          <w:ilvl w:val="0"/>
          <w:numId w:val="1"/>
        </w:numPr>
        <w:spacing w:line="480" w:lineRule="auto"/>
        <w:jc w:val="both"/>
        <w:rPr>
          <w:sz w:val="24"/>
          <w:szCs w:val="24"/>
        </w:rPr>
      </w:pPr>
      <w:r w:rsidRPr="00443048">
        <w:rPr>
          <w:sz w:val="24"/>
          <w:szCs w:val="24"/>
        </w:rPr>
        <w:t xml:space="preserve">Ma F, </w:t>
      </w:r>
      <w:proofErr w:type="spellStart"/>
      <w:r w:rsidRPr="00443048">
        <w:rPr>
          <w:sz w:val="24"/>
          <w:szCs w:val="24"/>
        </w:rPr>
        <w:t>Cang</w:t>
      </w:r>
      <w:proofErr w:type="spellEnd"/>
      <w:r w:rsidRPr="00443048">
        <w:rPr>
          <w:sz w:val="24"/>
          <w:szCs w:val="24"/>
        </w:rPr>
        <w:t xml:space="preserve"> Y, Zhao B, et al. Contrast-enhanced ultrasound with </w:t>
      </w:r>
      <w:proofErr w:type="spellStart"/>
      <w:r w:rsidRPr="00443048">
        <w:rPr>
          <w:sz w:val="24"/>
          <w:szCs w:val="24"/>
        </w:rPr>
        <w:t>SonoVue</w:t>
      </w:r>
      <w:proofErr w:type="spellEnd"/>
      <w:r w:rsidRPr="00443048">
        <w:rPr>
          <w:sz w:val="24"/>
          <w:szCs w:val="24"/>
        </w:rPr>
        <w:t xml:space="preserve"> could accurately assess the renal microvascular perfusion in diabetic kidney damage. </w:t>
      </w:r>
      <w:proofErr w:type="spellStart"/>
      <w:r w:rsidRPr="00443048">
        <w:rPr>
          <w:sz w:val="24"/>
          <w:szCs w:val="24"/>
        </w:rPr>
        <w:t>Nephrol</w:t>
      </w:r>
      <w:proofErr w:type="spellEnd"/>
      <w:r w:rsidRPr="00443048">
        <w:rPr>
          <w:sz w:val="24"/>
          <w:szCs w:val="24"/>
        </w:rPr>
        <w:t xml:space="preserve"> Dial Transplant. 2012;27(7):2891–2898. </w:t>
      </w:r>
    </w:p>
    <w:p w14:paraId="3CEC9547" w14:textId="3A8587E5" w:rsidR="00396E99" w:rsidRPr="00443048" w:rsidRDefault="00396E99" w:rsidP="00F41789">
      <w:pPr>
        <w:pStyle w:val="ListParagraph"/>
        <w:numPr>
          <w:ilvl w:val="0"/>
          <w:numId w:val="1"/>
        </w:numPr>
        <w:spacing w:line="480" w:lineRule="auto"/>
        <w:jc w:val="both"/>
        <w:rPr>
          <w:sz w:val="24"/>
          <w:szCs w:val="24"/>
        </w:rPr>
      </w:pPr>
      <w:r w:rsidRPr="00443048">
        <w:rPr>
          <w:sz w:val="24"/>
          <w:szCs w:val="24"/>
        </w:rPr>
        <w:t xml:space="preserve">Dong Y, Wang WP, Cao J, Fan P, Lin X. Early assessment of chronic kidney dysfunction using contrast-enhanced ultrasound: a pilot study. Br J </w:t>
      </w:r>
      <w:proofErr w:type="spellStart"/>
      <w:r w:rsidRPr="00443048">
        <w:rPr>
          <w:sz w:val="24"/>
          <w:szCs w:val="24"/>
        </w:rPr>
        <w:t>Radiol</w:t>
      </w:r>
      <w:proofErr w:type="spellEnd"/>
      <w:r w:rsidRPr="00443048">
        <w:rPr>
          <w:sz w:val="24"/>
          <w:szCs w:val="24"/>
        </w:rPr>
        <w:t>. 2014;87(1042):20140350. doi:10.1259/bjr.20140350</w:t>
      </w:r>
    </w:p>
    <w:p w14:paraId="7D7B36BF" w14:textId="713BEE07" w:rsidR="00396E99" w:rsidRPr="00443048" w:rsidRDefault="0074266B" w:rsidP="00396E99">
      <w:pPr>
        <w:pStyle w:val="ListParagraph"/>
        <w:numPr>
          <w:ilvl w:val="0"/>
          <w:numId w:val="1"/>
        </w:numPr>
        <w:spacing w:before="100" w:beforeAutospacing="1" w:after="100" w:afterAutospacing="1" w:line="480" w:lineRule="auto"/>
        <w:jc w:val="both"/>
        <w:textAlignment w:val="baseline"/>
        <w:rPr>
          <w:rFonts w:eastAsia="Times New Roman" w:cs="Times New Roman"/>
          <w:sz w:val="24"/>
          <w:szCs w:val="24"/>
          <w:lang w:eastAsia="en-GB"/>
        </w:rPr>
      </w:pPr>
      <w:r w:rsidRPr="00443048">
        <w:rPr>
          <w:rFonts w:eastAsia="Times New Roman" w:cs="Calibri"/>
          <w:sz w:val="24"/>
          <w:szCs w:val="24"/>
          <w:lang w:eastAsia="en-GB"/>
        </w:rPr>
        <w:t xml:space="preserve"> Gabbai FB. The role of renal response to amino acid infusion and oral protein load in normal kidneys and kidney with acute and chronic disease. </w:t>
      </w:r>
      <w:proofErr w:type="spellStart"/>
      <w:r w:rsidRPr="00443048">
        <w:rPr>
          <w:rFonts w:eastAsia="Times New Roman" w:cs="Calibri"/>
          <w:sz w:val="24"/>
          <w:szCs w:val="24"/>
          <w:lang w:eastAsia="en-GB"/>
        </w:rPr>
        <w:t>Curr</w:t>
      </w:r>
      <w:proofErr w:type="spellEnd"/>
      <w:r w:rsidRPr="00443048">
        <w:rPr>
          <w:rFonts w:eastAsia="Times New Roman" w:cs="Calibri"/>
          <w:sz w:val="24"/>
          <w:szCs w:val="24"/>
          <w:lang w:eastAsia="en-GB"/>
        </w:rPr>
        <w:t xml:space="preserve"> </w:t>
      </w:r>
      <w:proofErr w:type="spellStart"/>
      <w:r w:rsidRPr="00443048">
        <w:rPr>
          <w:rFonts w:eastAsia="Times New Roman" w:cs="Calibri"/>
          <w:sz w:val="24"/>
          <w:szCs w:val="24"/>
          <w:lang w:eastAsia="en-GB"/>
        </w:rPr>
        <w:t>Opin</w:t>
      </w:r>
      <w:proofErr w:type="spellEnd"/>
      <w:r w:rsidRPr="00443048">
        <w:rPr>
          <w:rFonts w:eastAsia="Times New Roman" w:cs="Calibri"/>
          <w:sz w:val="24"/>
          <w:szCs w:val="24"/>
          <w:lang w:eastAsia="en-GB"/>
        </w:rPr>
        <w:t xml:space="preserve"> </w:t>
      </w:r>
      <w:proofErr w:type="spellStart"/>
      <w:r w:rsidRPr="00443048">
        <w:rPr>
          <w:rFonts w:eastAsia="Times New Roman" w:cs="Calibri"/>
          <w:sz w:val="24"/>
          <w:szCs w:val="24"/>
          <w:lang w:eastAsia="en-GB"/>
        </w:rPr>
        <w:t>Nephrol</w:t>
      </w:r>
      <w:proofErr w:type="spellEnd"/>
      <w:r w:rsidRPr="00443048">
        <w:rPr>
          <w:rFonts w:eastAsia="Times New Roman" w:cs="Calibri"/>
          <w:sz w:val="24"/>
          <w:szCs w:val="24"/>
          <w:lang w:eastAsia="en-GB"/>
        </w:rPr>
        <w:t xml:space="preserve"> </w:t>
      </w:r>
      <w:proofErr w:type="spellStart"/>
      <w:r w:rsidRPr="00443048">
        <w:rPr>
          <w:rFonts w:eastAsia="Times New Roman" w:cs="Calibri"/>
          <w:sz w:val="24"/>
          <w:szCs w:val="24"/>
          <w:lang w:eastAsia="en-GB"/>
        </w:rPr>
        <w:t>Hypertens</w:t>
      </w:r>
      <w:proofErr w:type="spellEnd"/>
      <w:r w:rsidRPr="00443048">
        <w:rPr>
          <w:rFonts w:eastAsia="Times New Roman" w:cs="Calibri"/>
          <w:sz w:val="24"/>
          <w:szCs w:val="24"/>
          <w:lang w:eastAsia="en-GB"/>
        </w:rPr>
        <w:t xml:space="preserve"> 2018 Jan;27(1):23-29. </w:t>
      </w:r>
    </w:p>
    <w:p w14:paraId="7B58CD49" w14:textId="4039D3D9" w:rsidR="0074266B" w:rsidRPr="00443048" w:rsidRDefault="0074266B" w:rsidP="00F41789">
      <w:pPr>
        <w:pStyle w:val="ListParagraph"/>
        <w:numPr>
          <w:ilvl w:val="0"/>
          <w:numId w:val="1"/>
        </w:numPr>
        <w:spacing w:before="100" w:beforeAutospacing="1" w:after="100" w:afterAutospacing="1" w:line="480" w:lineRule="auto"/>
        <w:jc w:val="both"/>
        <w:textAlignment w:val="baseline"/>
        <w:rPr>
          <w:rFonts w:eastAsia="Times New Roman" w:cs="Times New Roman"/>
          <w:sz w:val="24"/>
          <w:szCs w:val="24"/>
          <w:lang w:eastAsia="en-GB"/>
        </w:rPr>
      </w:pPr>
      <w:r w:rsidRPr="00443048">
        <w:rPr>
          <w:rFonts w:eastAsia="Times New Roman" w:cs="Calibri"/>
          <w:sz w:val="24"/>
          <w:szCs w:val="24"/>
          <w:lang w:eastAsia="en-GB"/>
        </w:rPr>
        <w:t xml:space="preserve"> </w:t>
      </w:r>
      <w:proofErr w:type="spellStart"/>
      <w:r w:rsidRPr="00443048">
        <w:rPr>
          <w:rFonts w:eastAsia="Times New Roman" w:cs="Calibri"/>
          <w:sz w:val="24"/>
          <w:szCs w:val="24"/>
          <w:lang w:eastAsia="en-GB"/>
        </w:rPr>
        <w:t>Hodgin</w:t>
      </w:r>
      <w:proofErr w:type="spellEnd"/>
      <w:r w:rsidRPr="00443048">
        <w:rPr>
          <w:rFonts w:eastAsia="Times New Roman" w:cs="Calibri"/>
          <w:sz w:val="24"/>
          <w:szCs w:val="24"/>
          <w:lang w:eastAsia="en-GB"/>
        </w:rPr>
        <w:t xml:space="preserve"> JB, Bitzer M, Wickman L, </w:t>
      </w:r>
      <w:proofErr w:type="spellStart"/>
      <w:r w:rsidRPr="00443048">
        <w:rPr>
          <w:rFonts w:eastAsia="Times New Roman" w:cs="Calibri"/>
          <w:sz w:val="24"/>
          <w:szCs w:val="24"/>
          <w:lang w:eastAsia="en-GB"/>
        </w:rPr>
        <w:t>Afshinnia</w:t>
      </w:r>
      <w:proofErr w:type="spellEnd"/>
      <w:r w:rsidRPr="00443048">
        <w:rPr>
          <w:rFonts w:eastAsia="Times New Roman" w:cs="Calibri"/>
          <w:sz w:val="24"/>
          <w:szCs w:val="24"/>
          <w:lang w:eastAsia="en-GB"/>
        </w:rPr>
        <w:t xml:space="preserve"> F, Wang SQ, O'Connor C, et al. Glomerular Aging and Focal Global Glomerulosclerosis: A </w:t>
      </w:r>
      <w:proofErr w:type="spellStart"/>
      <w:r w:rsidRPr="00443048">
        <w:rPr>
          <w:rFonts w:eastAsia="Times New Roman" w:cs="Calibri"/>
          <w:sz w:val="24"/>
          <w:szCs w:val="24"/>
          <w:lang w:eastAsia="en-GB"/>
        </w:rPr>
        <w:t>Podometric</w:t>
      </w:r>
      <w:proofErr w:type="spellEnd"/>
      <w:r w:rsidRPr="00443048">
        <w:rPr>
          <w:rFonts w:eastAsia="Times New Roman" w:cs="Calibri"/>
          <w:sz w:val="24"/>
          <w:szCs w:val="24"/>
          <w:lang w:eastAsia="en-GB"/>
        </w:rPr>
        <w:t xml:space="preserve"> Perspective. J Am Soc </w:t>
      </w:r>
      <w:proofErr w:type="spellStart"/>
      <w:r w:rsidRPr="00443048">
        <w:rPr>
          <w:rFonts w:eastAsia="Times New Roman" w:cs="Calibri"/>
          <w:sz w:val="24"/>
          <w:szCs w:val="24"/>
          <w:lang w:eastAsia="en-GB"/>
        </w:rPr>
        <w:t>Nephrol</w:t>
      </w:r>
      <w:proofErr w:type="spellEnd"/>
      <w:r w:rsidRPr="00443048">
        <w:rPr>
          <w:rFonts w:eastAsia="Times New Roman" w:cs="Calibri"/>
          <w:sz w:val="24"/>
          <w:szCs w:val="24"/>
          <w:lang w:eastAsia="en-GB"/>
        </w:rPr>
        <w:t xml:space="preserve"> 2015;26(12):3162-3178. </w:t>
      </w:r>
    </w:p>
    <w:p w14:paraId="444E28C1" w14:textId="77777777" w:rsidR="00D156D6" w:rsidRPr="00443048" w:rsidRDefault="0074266B" w:rsidP="00F41789">
      <w:pPr>
        <w:pStyle w:val="ListParagraph"/>
        <w:numPr>
          <w:ilvl w:val="0"/>
          <w:numId w:val="1"/>
        </w:numPr>
        <w:spacing w:before="100" w:beforeAutospacing="1" w:after="100" w:afterAutospacing="1" w:line="480" w:lineRule="auto"/>
        <w:jc w:val="both"/>
        <w:textAlignment w:val="baseline"/>
        <w:rPr>
          <w:rFonts w:eastAsia="Times New Roman" w:cs="Times New Roman"/>
          <w:sz w:val="24"/>
          <w:szCs w:val="24"/>
          <w:lang w:eastAsia="en-GB"/>
        </w:rPr>
      </w:pPr>
      <w:r w:rsidRPr="00443048">
        <w:rPr>
          <w:rFonts w:eastAsia="Times New Roman" w:cs="Calibri"/>
          <w:sz w:val="24"/>
          <w:szCs w:val="24"/>
          <w:lang w:eastAsia="en-GB"/>
        </w:rPr>
        <w:lastRenderedPageBreak/>
        <w:t> </w:t>
      </w:r>
      <w:proofErr w:type="spellStart"/>
      <w:r w:rsidR="00D156D6" w:rsidRPr="00443048">
        <w:rPr>
          <w:rFonts w:eastAsia="Times New Roman" w:cs="Calibri"/>
          <w:sz w:val="24"/>
          <w:szCs w:val="24"/>
          <w:lang w:eastAsia="en-GB"/>
        </w:rPr>
        <w:t>Barai</w:t>
      </w:r>
      <w:proofErr w:type="spellEnd"/>
      <w:r w:rsidR="00D156D6" w:rsidRPr="00443048">
        <w:rPr>
          <w:rFonts w:eastAsia="Times New Roman" w:cs="Calibri"/>
          <w:sz w:val="24"/>
          <w:szCs w:val="24"/>
          <w:lang w:eastAsia="en-GB"/>
        </w:rPr>
        <w:t xml:space="preserve"> S, Gambhir S, Prasad N, Sharma RK, Ora M. Functional renal reserve capacity in different stages of chronic kidney disease. Nephrology (Carlton) 2010;15(3):350-353. </w:t>
      </w:r>
    </w:p>
    <w:p w14:paraId="5CE2C0A3" w14:textId="03899E09" w:rsidR="0074266B" w:rsidRPr="00443048" w:rsidRDefault="0074266B" w:rsidP="00F41789">
      <w:pPr>
        <w:pStyle w:val="ListParagraph"/>
        <w:numPr>
          <w:ilvl w:val="0"/>
          <w:numId w:val="1"/>
        </w:numPr>
        <w:spacing w:before="100" w:beforeAutospacing="1" w:after="100" w:afterAutospacing="1" w:line="480" w:lineRule="auto"/>
        <w:jc w:val="both"/>
        <w:textAlignment w:val="baseline"/>
        <w:rPr>
          <w:rFonts w:eastAsia="Times New Roman" w:cs="Times New Roman"/>
          <w:sz w:val="24"/>
          <w:szCs w:val="24"/>
          <w:lang w:eastAsia="en-GB"/>
        </w:rPr>
      </w:pPr>
      <w:proofErr w:type="spellStart"/>
      <w:r w:rsidRPr="00443048">
        <w:rPr>
          <w:rFonts w:eastAsia="Times New Roman" w:cs="Calibri"/>
          <w:sz w:val="24"/>
          <w:szCs w:val="24"/>
          <w:lang w:eastAsia="en-GB"/>
        </w:rPr>
        <w:t>Livi</w:t>
      </w:r>
      <w:proofErr w:type="spellEnd"/>
      <w:r w:rsidRPr="00443048">
        <w:rPr>
          <w:rFonts w:eastAsia="Times New Roman" w:cs="Calibri"/>
          <w:sz w:val="24"/>
          <w:szCs w:val="24"/>
          <w:lang w:eastAsia="en-GB"/>
        </w:rPr>
        <w:t xml:space="preserve"> R, </w:t>
      </w:r>
      <w:proofErr w:type="spellStart"/>
      <w:r w:rsidRPr="00443048">
        <w:rPr>
          <w:rFonts w:eastAsia="Times New Roman" w:cs="Calibri"/>
          <w:sz w:val="24"/>
          <w:szCs w:val="24"/>
          <w:lang w:eastAsia="en-GB"/>
        </w:rPr>
        <w:t>Guiducci</w:t>
      </w:r>
      <w:proofErr w:type="spellEnd"/>
      <w:r w:rsidRPr="00443048">
        <w:rPr>
          <w:rFonts w:eastAsia="Times New Roman" w:cs="Calibri"/>
          <w:sz w:val="24"/>
          <w:szCs w:val="24"/>
          <w:lang w:eastAsia="en-GB"/>
        </w:rPr>
        <w:t xml:space="preserve"> S, Perfetto F, </w:t>
      </w:r>
      <w:proofErr w:type="spellStart"/>
      <w:r w:rsidRPr="00443048">
        <w:rPr>
          <w:rFonts w:eastAsia="Times New Roman" w:cs="Calibri"/>
          <w:sz w:val="24"/>
          <w:szCs w:val="24"/>
          <w:lang w:eastAsia="en-GB"/>
        </w:rPr>
        <w:t>Ciuti</w:t>
      </w:r>
      <w:proofErr w:type="spellEnd"/>
      <w:r w:rsidRPr="00443048">
        <w:rPr>
          <w:rFonts w:eastAsia="Times New Roman" w:cs="Calibri"/>
          <w:sz w:val="24"/>
          <w:szCs w:val="24"/>
          <w:lang w:eastAsia="en-GB"/>
        </w:rPr>
        <w:t xml:space="preserve"> G, </w:t>
      </w:r>
      <w:proofErr w:type="spellStart"/>
      <w:r w:rsidRPr="00443048">
        <w:rPr>
          <w:rFonts w:eastAsia="Times New Roman" w:cs="Calibri"/>
          <w:sz w:val="24"/>
          <w:szCs w:val="24"/>
          <w:lang w:eastAsia="en-GB"/>
        </w:rPr>
        <w:t>Gri</w:t>
      </w:r>
      <w:proofErr w:type="spellEnd"/>
      <w:r w:rsidRPr="00443048">
        <w:rPr>
          <w:rFonts w:eastAsia="Times New Roman" w:cs="Calibri"/>
          <w:sz w:val="24"/>
          <w:szCs w:val="24"/>
          <w:lang w:eastAsia="en-GB"/>
        </w:rPr>
        <w:t xml:space="preserve">- </w:t>
      </w:r>
      <w:proofErr w:type="spellStart"/>
      <w:r w:rsidRPr="00443048">
        <w:rPr>
          <w:rFonts w:eastAsia="Times New Roman" w:cs="Calibri"/>
          <w:sz w:val="24"/>
          <w:szCs w:val="24"/>
          <w:lang w:eastAsia="en-GB"/>
        </w:rPr>
        <w:t>foni</w:t>
      </w:r>
      <w:proofErr w:type="spellEnd"/>
      <w:r w:rsidRPr="00443048">
        <w:rPr>
          <w:rFonts w:eastAsia="Times New Roman" w:cs="Calibri"/>
          <w:sz w:val="24"/>
          <w:szCs w:val="24"/>
          <w:lang w:eastAsia="en-GB"/>
        </w:rPr>
        <w:t xml:space="preserve"> E, </w:t>
      </w:r>
      <w:proofErr w:type="spellStart"/>
      <w:r w:rsidRPr="00443048">
        <w:rPr>
          <w:rFonts w:eastAsia="Times New Roman" w:cs="Calibri"/>
          <w:sz w:val="24"/>
          <w:szCs w:val="24"/>
          <w:lang w:eastAsia="en-GB"/>
        </w:rPr>
        <w:t>Conforti</w:t>
      </w:r>
      <w:proofErr w:type="spellEnd"/>
      <w:r w:rsidRPr="00443048">
        <w:rPr>
          <w:rFonts w:eastAsia="Times New Roman" w:cs="Calibri"/>
          <w:sz w:val="24"/>
          <w:szCs w:val="24"/>
          <w:lang w:eastAsia="en-GB"/>
        </w:rPr>
        <w:t xml:space="preserve"> L, Galluccio F, </w:t>
      </w:r>
      <w:proofErr w:type="spellStart"/>
      <w:r w:rsidRPr="00443048">
        <w:rPr>
          <w:rFonts w:eastAsia="Times New Roman" w:cs="Calibri"/>
          <w:sz w:val="24"/>
          <w:szCs w:val="24"/>
          <w:lang w:eastAsia="en-GB"/>
        </w:rPr>
        <w:t>Moggi</w:t>
      </w:r>
      <w:proofErr w:type="spellEnd"/>
      <w:r w:rsidRPr="00443048">
        <w:rPr>
          <w:rFonts w:eastAsia="Times New Roman" w:cs="Calibri"/>
          <w:sz w:val="24"/>
          <w:szCs w:val="24"/>
          <w:lang w:eastAsia="en-GB"/>
        </w:rPr>
        <w:t xml:space="preserve"> Pi- </w:t>
      </w:r>
      <w:proofErr w:type="spellStart"/>
      <w:r w:rsidRPr="00443048">
        <w:rPr>
          <w:rFonts w:eastAsia="Times New Roman" w:cs="Calibri"/>
          <w:sz w:val="24"/>
          <w:szCs w:val="24"/>
          <w:lang w:eastAsia="en-GB"/>
        </w:rPr>
        <w:t>gnone</w:t>
      </w:r>
      <w:proofErr w:type="spellEnd"/>
      <w:r w:rsidRPr="00443048">
        <w:rPr>
          <w:rFonts w:eastAsia="Times New Roman" w:cs="Calibri"/>
          <w:sz w:val="24"/>
          <w:szCs w:val="24"/>
          <w:lang w:eastAsia="en-GB"/>
        </w:rPr>
        <w:t xml:space="preserve"> A, </w:t>
      </w:r>
      <w:proofErr w:type="spellStart"/>
      <w:r w:rsidRPr="00443048">
        <w:rPr>
          <w:rFonts w:eastAsia="Times New Roman" w:cs="Calibri"/>
          <w:sz w:val="24"/>
          <w:szCs w:val="24"/>
          <w:lang w:eastAsia="en-GB"/>
        </w:rPr>
        <w:t>Matucci</w:t>
      </w:r>
      <w:proofErr w:type="spellEnd"/>
      <w:r w:rsidRPr="00443048">
        <w:rPr>
          <w:rFonts w:eastAsia="Times New Roman" w:cs="Calibri"/>
          <w:sz w:val="24"/>
          <w:szCs w:val="24"/>
          <w:lang w:eastAsia="en-GB"/>
        </w:rPr>
        <w:t xml:space="preserve"> </w:t>
      </w:r>
      <w:proofErr w:type="spellStart"/>
      <w:r w:rsidRPr="00443048">
        <w:rPr>
          <w:rFonts w:eastAsia="Times New Roman" w:cs="Calibri"/>
          <w:sz w:val="24"/>
          <w:szCs w:val="24"/>
          <w:lang w:eastAsia="en-GB"/>
        </w:rPr>
        <w:t>Cerinic</w:t>
      </w:r>
      <w:proofErr w:type="spellEnd"/>
      <w:r w:rsidRPr="00443048">
        <w:rPr>
          <w:rFonts w:eastAsia="Times New Roman" w:cs="Calibri"/>
          <w:sz w:val="24"/>
          <w:szCs w:val="24"/>
          <w:lang w:eastAsia="en-GB"/>
        </w:rPr>
        <w:t xml:space="preserve"> M: Lack of activation of renal functional reserve predicts the risk of significant renal involvement in systemic sclerosis. Ann Rheum Dis 2011;70: 1963–1967. </w:t>
      </w:r>
    </w:p>
    <w:p w14:paraId="3E428AC6" w14:textId="77777777" w:rsidR="00E81F7E" w:rsidRPr="00443048" w:rsidRDefault="00E81F7E" w:rsidP="00F41789">
      <w:pPr>
        <w:pStyle w:val="ListParagraph"/>
        <w:numPr>
          <w:ilvl w:val="0"/>
          <w:numId w:val="1"/>
        </w:numPr>
        <w:spacing w:before="100" w:beforeAutospacing="1" w:after="100" w:afterAutospacing="1" w:line="480" w:lineRule="auto"/>
        <w:jc w:val="both"/>
        <w:textAlignment w:val="baseline"/>
        <w:rPr>
          <w:rFonts w:eastAsia="Times New Roman" w:cs="Times New Roman"/>
          <w:sz w:val="24"/>
          <w:szCs w:val="24"/>
          <w:lang w:eastAsia="en-GB"/>
        </w:rPr>
      </w:pPr>
      <w:r w:rsidRPr="00443048">
        <w:rPr>
          <w:rFonts w:eastAsia="Times New Roman" w:cs="Calibri"/>
          <w:sz w:val="24"/>
          <w:szCs w:val="24"/>
          <w:lang w:eastAsia="en-GB"/>
        </w:rPr>
        <w:t xml:space="preserve">Christensen PK, Gall M-A, </w:t>
      </w:r>
      <w:proofErr w:type="spellStart"/>
      <w:r w:rsidRPr="00443048">
        <w:rPr>
          <w:rFonts w:eastAsia="Times New Roman" w:cs="Calibri"/>
          <w:sz w:val="24"/>
          <w:szCs w:val="24"/>
          <w:lang w:eastAsia="en-GB"/>
        </w:rPr>
        <w:t>Parving</w:t>
      </w:r>
      <w:proofErr w:type="spellEnd"/>
      <w:r w:rsidRPr="00443048">
        <w:rPr>
          <w:rFonts w:eastAsia="Times New Roman" w:cs="Calibri"/>
          <w:sz w:val="24"/>
          <w:szCs w:val="24"/>
          <w:lang w:eastAsia="en-GB"/>
        </w:rPr>
        <w:t xml:space="preserve"> H-H.</w:t>
      </w:r>
      <w:r w:rsidRPr="00443048">
        <w:rPr>
          <w:rFonts w:eastAsia="Times New Roman" w:cs="Times New Roman"/>
          <w:sz w:val="24"/>
          <w:szCs w:val="24"/>
          <w:lang w:eastAsia="en-GB"/>
        </w:rPr>
        <w:t xml:space="preserve"> </w:t>
      </w:r>
      <w:r w:rsidRPr="00443048">
        <w:rPr>
          <w:rFonts w:eastAsia="Times New Roman" w:cs="Calibri"/>
          <w:sz w:val="24"/>
          <w:szCs w:val="24"/>
          <w:lang w:eastAsia="en-GB"/>
        </w:rPr>
        <w:t xml:space="preserve">Course of Glomerular Filtration Rate in </w:t>
      </w:r>
      <w:proofErr w:type="spellStart"/>
      <w:r w:rsidRPr="00443048">
        <w:rPr>
          <w:rFonts w:eastAsia="Times New Roman" w:cs="Calibri"/>
          <w:sz w:val="24"/>
          <w:szCs w:val="24"/>
          <w:lang w:eastAsia="en-GB"/>
        </w:rPr>
        <w:t>Albuminuric</w:t>
      </w:r>
      <w:proofErr w:type="spellEnd"/>
      <w:r w:rsidRPr="00443048">
        <w:rPr>
          <w:rFonts w:eastAsia="Times New Roman" w:cs="Calibri"/>
          <w:sz w:val="24"/>
          <w:szCs w:val="24"/>
          <w:lang w:eastAsia="en-GB"/>
        </w:rPr>
        <w:t xml:space="preserve"> Type 2 Diabetic Patients </w:t>
      </w:r>
      <w:proofErr w:type="gramStart"/>
      <w:r w:rsidRPr="00443048">
        <w:rPr>
          <w:rFonts w:eastAsia="Times New Roman" w:cs="Calibri"/>
          <w:sz w:val="24"/>
          <w:szCs w:val="24"/>
          <w:lang w:eastAsia="en-GB"/>
        </w:rPr>
        <w:t>With</w:t>
      </w:r>
      <w:proofErr w:type="gramEnd"/>
      <w:r w:rsidRPr="00443048">
        <w:rPr>
          <w:rFonts w:eastAsia="Times New Roman" w:cs="Calibri"/>
          <w:sz w:val="24"/>
          <w:szCs w:val="24"/>
          <w:lang w:eastAsia="en-GB"/>
        </w:rPr>
        <w:t xml:space="preserve"> or Without Diabetic Glomerulopathy. Diabetes Care 2000; 23 (Suppl.2</w:t>
      </w:r>
      <w:proofErr w:type="gramStart"/>
      <w:r w:rsidRPr="00443048">
        <w:rPr>
          <w:rFonts w:eastAsia="Times New Roman" w:cs="Calibri"/>
          <w:sz w:val="24"/>
          <w:szCs w:val="24"/>
          <w:lang w:eastAsia="en-GB"/>
        </w:rPr>
        <w:t>):B</w:t>
      </w:r>
      <w:proofErr w:type="gramEnd"/>
      <w:r w:rsidRPr="00443048">
        <w:rPr>
          <w:rFonts w:eastAsia="Times New Roman" w:cs="Calibri"/>
          <w:sz w:val="24"/>
          <w:szCs w:val="24"/>
          <w:lang w:eastAsia="en-GB"/>
        </w:rPr>
        <w:t>14-B20.  </w:t>
      </w:r>
    </w:p>
    <w:p w14:paraId="19D2999C" w14:textId="6BEABB61" w:rsidR="00E81F7E" w:rsidRPr="00443048" w:rsidRDefault="00E81F7E" w:rsidP="00F41789">
      <w:pPr>
        <w:pStyle w:val="ListParagraph"/>
        <w:numPr>
          <w:ilvl w:val="0"/>
          <w:numId w:val="1"/>
        </w:numPr>
        <w:spacing w:before="100" w:beforeAutospacing="1" w:after="100" w:afterAutospacing="1" w:line="480" w:lineRule="auto"/>
        <w:jc w:val="both"/>
        <w:textAlignment w:val="baseline"/>
        <w:rPr>
          <w:rFonts w:eastAsia="Times New Roman" w:cs="Times New Roman"/>
          <w:sz w:val="24"/>
          <w:szCs w:val="24"/>
          <w:lang w:eastAsia="en-GB"/>
        </w:rPr>
      </w:pPr>
      <w:r w:rsidRPr="00443048">
        <w:rPr>
          <w:rFonts w:eastAsia="Times New Roman" w:cs="Calibri"/>
          <w:sz w:val="24"/>
          <w:szCs w:val="24"/>
          <w:lang w:eastAsia="en-GB"/>
        </w:rPr>
        <w:t>(20)</w:t>
      </w:r>
      <w:r w:rsidRPr="00443048">
        <w:rPr>
          <w:rFonts w:eastAsia="Times New Roman" w:cs="Arial"/>
          <w:sz w:val="24"/>
          <w:szCs w:val="24"/>
          <w:shd w:val="clear" w:color="auto" w:fill="FFFFFF"/>
          <w:lang w:eastAsia="en-GB"/>
        </w:rPr>
        <w:t xml:space="preserve"> </w:t>
      </w:r>
      <w:r w:rsidRPr="00443048">
        <w:rPr>
          <w:rFonts w:eastAsia="Times New Roman" w:cs="Calibri"/>
          <w:sz w:val="24"/>
          <w:szCs w:val="24"/>
          <w:lang w:eastAsia="en-GB"/>
        </w:rPr>
        <w:t xml:space="preserve">Tsai C-W, Ting I-W, Yeh H-C, </w:t>
      </w:r>
      <w:proofErr w:type="spellStart"/>
      <w:r w:rsidRPr="00443048">
        <w:rPr>
          <w:rFonts w:eastAsia="Times New Roman" w:cs="Calibri"/>
          <w:sz w:val="24"/>
          <w:szCs w:val="24"/>
          <w:lang w:eastAsia="en-GB"/>
        </w:rPr>
        <w:t>Kuo</w:t>
      </w:r>
      <w:proofErr w:type="spellEnd"/>
      <w:r w:rsidRPr="00443048">
        <w:rPr>
          <w:rFonts w:eastAsia="Times New Roman" w:cs="Calibri"/>
          <w:sz w:val="24"/>
          <w:szCs w:val="24"/>
          <w:lang w:eastAsia="en-GB"/>
        </w:rPr>
        <w:t xml:space="preserve"> C-C. Longitudinal change in estimated GFR among CKD patients: A 10-year follow-up study of an integrated kidney disease care program in Taiwan. </w:t>
      </w:r>
      <w:proofErr w:type="spellStart"/>
      <w:r w:rsidRPr="00443048">
        <w:rPr>
          <w:rFonts w:eastAsia="Times New Roman" w:cs="Calibri"/>
          <w:sz w:val="24"/>
          <w:szCs w:val="24"/>
          <w:lang w:eastAsia="en-GB"/>
        </w:rPr>
        <w:t>Shimosawa</w:t>
      </w:r>
      <w:proofErr w:type="spellEnd"/>
      <w:r w:rsidRPr="00443048">
        <w:rPr>
          <w:rFonts w:eastAsia="Times New Roman" w:cs="Calibri"/>
          <w:sz w:val="24"/>
          <w:szCs w:val="24"/>
          <w:lang w:eastAsia="en-GB"/>
        </w:rPr>
        <w:t xml:space="preserve"> T, ed. </w:t>
      </w:r>
      <w:proofErr w:type="spellStart"/>
      <w:r w:rsidRPr="00443048">
        <w:rPr>
          <w:rFonts w:eastAsia="Times New Roman" w:cs="Calibri"/>
          <w:sz w:val="24"/>
          <w:szCs w:val="24"/>
          <w:lang w:eastAsia="en-GB"/>
        </w:rPr>
        <w:t>PLoS</w:t>
      </w:r>
      <w:proofErr w:type="spellEnd"/>
      <w:r w:rsidRPr="00443048">
        <w:rPr>
          <w:rFonts w:eastAsia="Times New Roman" w:cs="Calibri"/>
          <w:sz w:val="24"/>
          <w:szCs w:val="24"/>
          <w:lang w:eastAsia="en-GB"/>
        </w:rPr>
        <w:t xml:space="preserve"> ONE. 2017;12(4</w:t>
      </w:r>
      <w:proofErr w:type="gramStart"/>
      <w:r w:rsidRPr="00443048">
        <w:rPr>
          <w:rFonts w:eastAsia="Times New Roman" w:cs="Calibri"/>
          <w:sz w:val="24"/>
          <w:szCs w:val="24"/>
          <w:lang w:eastAsia="en-GB"/>
        </w:rPr>
        <w:t>):e</w:t>
      </w:r>
      <w:proofErr w:type="gramEnd"/>
      <w:r w:rsidRPr="00443048">
        <w:rPr>
          <w:rFonts w:eastAsia="Times New Roman" w:cs="Calibri"/>
          <w:sz w:val="24"/>
          <w:szCs w:val="24"/>
          <w:lang w:eastAsia="en-GB"/>
        </w:rPr>
        <w:t xml:space="preserve">0173843. </w:t>
      </w:r>
      <w:proofErr w:type="gramStart"/>
      <w:r w:rsidRPr="00443048">
        <w:rPr>
          <w:rFonts w:eastAsia="Times New Roman" w:cs="Calibri"/>
          <w:sz w:val="24"/>
          <w:szCs w:val="24"/>
          <w:lang w:eastAsia="en-GB"/>
        </w:rPr>
        <w:t>doi:10.1371/journal.pone</w:t>
      </w:r>
      <w:proofErr w:type="gramEnd"/>
      <w:r w:rsidRPr="00443048">
        <w:rPr>
          <w:rFonts w:eastAsia="Times New Roman" w:cs="Calibri"/>
          <w:sz w:val="24"/>
          <w:szCs w:val="24"/>
          <w:lang w:eastAsia="en-GB"/>
        </w:rPr>
        <w:t>.0173843. </w:t>
      </w:r>
    </w:p>
    <w:p w14:paraId="406E53C7" w14:textId="77777777" w:rsidR="00D11FB0" w:rsidRDefault="00D11FB0" w:rsidP="00F41789">
      <w:pPr>
        <w:pStyle w:val="ListParagraph"/>
        <w:numPr>
          <w:ilvl w:val="0"/>
          <w:numId w:val="1"/>
        </w:numPr>
        <w:spacing w:before="100" w:beforeAutospacing="1" w:after="100" w:afterAutospacing="1" w:line="480" w:lineRule="auto"/>
        <w:jc w:val="both"/>
        <w:textAlignment w:val="baseline"/>
        <w:rPr>
          <w:rFonts w:eastAsia="Times New Roman" w:cs="Times New Roman"/>
          <w:sz w:val="24"/>
          <w:szCs w:val="24"/>
          <w:lang w:eastAsia="en-GB"/>
        </w:rPr>
      </w:pPr>
      <w:r w:rsidRPr="00443048">
        <w:rPr>
          <w:rFonts w:eastAsia="Times New Roman" w:cs="Times New Roman"/>
          <w:sz w:val="24"/>
          <w:szCs w:val="24"/>
          <w:lang w:eastAsia="en-GB"/>
        </w:rPr>
        <w:t xml:space="preserve">Weis L, Metzger M, </w:t>
      </w:r>
      <w:proofErr w:type="spellStart"/>
      <w:r w:rsidRPr="00443048">
        <w:rPr>
          <w:rFonts w:eastAsia="Times New Roman" w:cs="Times New Roman"/>
          <w:sz w:val="24"/>
          <w:szCs w:val="24"/>
          <w:lang w:eastAsia="en-GB"/>
        </w:rPr>
        <w:t>Haymann</w:t>
      </w:r>
      <w:proofErr w:type="spellEnd"/>
      <w:r w:rsidRPr="00443048">
        <w:rPr>
          <w:rFonts w:eastAsia="Times New Roman" w:cs="Times New Roman"/>
          <w:sz w:val="24"/>
          <w:szCs w:val="24"/>
          <w:lang w:eastAsia="en-GB"/>
        </w:rPr>
        <w:t xml:space="preserve"> J-P, </w:t>
      </w:r>
      <w:proofErr w:type="spellStart"/>
      <w:r w:rsidRPr="00443048">
        <w:rPr>
          <w:rFonts w:eastAsia="Times New Roman" w:cs="Times New Roman"/>
          <w:sz w:val="24"/>
          <w:szCs w:val="24"/>
          <w:lang w:eastAsia="en-GB"/>
        </w:rPr>
        <w:t>Thervet</w:t>
      </w:r>
      <w:proofErr w:type="spellEnd"/>
      <w:r w:rsidRPr="00443048">
        <w:rPr>
          <w:rFonts w:eastAsia="Times New Roman" w:cs="Times New Roman"/>
          <w:sz w:val="24"/>
          <w:szCs w:val="24"/>
          <w:lang w:eastAsia="en-GB"/>
        </w:rPr>
        <w:t xml:space="preserve"> E, </w:t>
      </w:r>
      <w:proofErr w:type="spellStart"/>
      <w:r w:rsidRPr="00443048">
        <w:rPr>
          <w:rFonts w:eastAsia="Times New Roman" w:cs="Times New Roman"/>
          <w:sz w:val="24"/>
          <w:szCs w:val="24"/>
          <w:lang w:eastAsia="en-GB"/>
        </w:rPr>
        <w:t>Flamant</w:t>
      </w:r>
      <w:proofErr w:type="spellEnd"/>
      <w:r w:rsidRPr="00443048">
        <w:rPr>
          <w:rFonts w:eastAsia="Times New Roman" w:cs="Times New Roman"/>
          <w:sz w:val="24"/>
          <w:szCs w:val="24"/>
          <w:lang w:eastAsia="en-GB"/>
        </w:rPr>
        <w:t xml:space="preserve"> M, </w:t>
      </w:r>
      <w:proofErr w:type="spellStart"/>
      <w:r w:rsidRPr="00443048">
        <w:rPr>
          <w:rFonts w:eastAsia="Times New Roman" w:cs="Times New Roman"/>
          <w:sz w:val="24"/>
          <w:szCs w:val="24"/>
          <w:lang w:eastAsia="en-GB"/>
        </w:rPr>
        <w:t>Vrtovsnik</w:t>
      </w:r>
      <w:proofErr w:type="spellEnd"/>
      <w:r w:rsidRPr="00443048">
        <w:rPr>
          <w:rFonts w:eastAsia="Times New Roman" w:cs="Times New Roman"/>
          <w:sz w:val="24"/>
          <w:szCs w:val="24"/>
          <w:lang w:eastAsia="en-GB"/>
        </w:rPr>
        <w:t xml:space="preserve"> F, et al. Renal Function Can Improve at Any Stage of Chronic Kidney Disease. </w:t>
      </w:r>
      <w:proofErr w:type="spellStart"/>
      <w:r w:rsidRPr="00443048">
        <w:rPr>
          <w:rFonts w:eastAsia="Times New Roman" w:cs="Times New Roman"/>
          <w:sz w:val="24"/>
          <w:szCs w:val="24"/>
          <w:lang w:eastAsia="en-GB"/>
        </w:rPr>
        <w:t>PLoS</w:t>
      </w:r>
      <w:proofErr w:type="spellEnd"/>
      <w:r w:rsidRPr="00443048">
        <w:rPr>
          <w:rFonts w:eastAsia="Times New Roman" w:cs="Times New Roman"/>
          <w:sz w:val="24"/>
          <w:szCs w:val="24"/>
          <w:lang w:eastAsia="en-GB"/>
        </w:rPr>
        <w:t xml:space="preserve"> ONE 2013; 8(12): e81835. </w:t>
      </w:r>
    </w:p>
    <w:p w14:paraId="6503F418" w14:textId="18CF8F6E" w:rsidR="00F07506" w:rsidRPr="00F07506" w:rsidRDefault="00F07506" w:rsidP="00F07506">
      <w:pPr>
        <w:pStyle w:val="ListParagraph"/>
        <w:numPr>
          <w:ilvl w:val="0"/>
          <w:numId w:val="1"/>
        </w:numPr>
        <w:spacing w:before="100" w:beforeAutospacing="1" w:after="100" w:afterAutospacing="1" w:line="480" w:lineRule="auto"/>
        <w:jc w:val="both"/>
        <w:textAlignment w:val="baseline"/>
        <w:rPr>
          <w:rFonts w:eastAsia="Times New Roman" w:cs="Times New Roman"/>
          <w:sz w:val="24"/>
          <w:szCs w:val="24"/>
          <w:lang w:eastAsia="en-GB"/>
        </w:rPr>
      </w:pPr>
      <w:proofErr w:type="spellStart"/>
      <w:r w:rsidRPr="00F07506">
        <w:rPr>
          <w:rFonts w:eastAsia="Times New Roman" w:cs="Times New Roman"/>
          <w:sz w:val="24"/>
          <w:szCs w:val="24"/>
          <w:lang w:eastAsia="en-GB"/>
        </w:rPr>
        <w:t>Quaia</w:t>
      </w:r>
      <w:proofErr w:type="spellEnd"/>
      <w:r>
        <w:rPr>
          <w:rFonts w:eastAsia="Times New Roman" w:cs="Times New Roman"/>
          <w:sz w:val="24"/>
          <w:szCs w:val="24"/>
          <w:lang w:eastAsia="en-GB"/>
        </w:rPr>
        <w:t xml:space="preserve"> E</w:t>
      </w:r>
      <w:r w:rsidRPr="00F07506">
        <w:rPr>
          <w:rFonts w:eastAsia="Times New Roman" w:cs="Times New Roman"/>
          <w:sz w:val="24"/>
          <w:szCs w:val="24"/>
          <w:lang w:eastAsia="en-GB"/>
        </w:rPr>
        <w:t xml:space="preserve">, </w:t>
      </w:r>
      <w:proofErr w:type="spellStart"/>
      <w:r w:rsidRPr="00F07506">
        <w:rPr>
          <w:rFonts w:eastAsia="Times New Roman" w:cs="Times New Roman"/>
          <w:sz w:val="24"/>
          <w:szCs w:val="24"/>
          <w:lang w:eastAsia="en-GB"/>
        </w:rPr>
        <w:t>Sozzi</w:t>
      </w:r>
      <w:proofErr w:type="spellEnd"/>
      <w:r>
        <w:rPr>
          <w:rFonts w:eastAsia="Times New Roman" w:cs="Times New Roman"/>
          <w:sz w:val="24"/>
          <w:szCs w:val="24"/>
          <w:lang w:eastAsia="en-GB"/>
        </w:rPr>
        <w:t xml:space="preserve"> M</w:t>
      </w:r>
      <w:r w:rsidRPr="00F07506">
        <w:rPr>
          <w:rFonts w:eastAsia="Times New Roman" w:cs="Times New Roman"/>
          <w:sz w:val="24"/>
          <w:szCs w:val="24"/>
          <w:lang w:eastAsia="en-GB"/>
        </w:rPr>
        <w:t>, Angileri</w:t>
      </w:r>
      <w:r>
        <w:rPr>
          <w:rFonts w:eastAsia="Times New Roman" w:cs="Times New Roman"/>
          <w:sz w:val="24"/>
          <w:szCs w:val="24"/>
          <w:lang w:eastAsia="en-GB"/>
        </w:rPr>
        <w:t xml:space="preserve"> R</w:t>
      </w:r>
      <w:r w:rsidRPr="00F07506">
        <w:rPr>
          <w:rFonts w:eastAsia="Times New Roman" w:cs="Times New Roman"/>
          <w:sz w:val="24"/>
          <w:szCs w:val="24"/>
          <w:lang w:eastAsia="en-GB"/>
        </w:rPr>
        <w:t xml:space="preserve">, </w:t>
      </w:r>
      <w:proofErr w:type="spellStart"/>
      <w:r w:rsidRPr="00F07506">
        <w:rPr>
          <w:rFonts w:eastAsia="Times New Roman" w:cs="Times New Roman"/>
          <w:sz w:val="24"/>
          <w:szCs w:val="24"/>
          <w:lang w:eastAsia="en-GB"/>
        </w:rPr>
        <w:t>Gennari</w:t>
      </w:r>
      <w:proofErr w:type="spellEnd"/>
      <w:r w:rsidR="001918E4">
        <w:rPr>
          <w:rFonts w:eastAsia="Times New Roman" w:cs="Times New Roman"/>
          <w:sz w:val="24"/>
          <w:szCs w:val="24"/>
          <w:lang w:eastAsia="en-GB"/>
        </w:rPr>
        <w:t xml:space="preserve"> AG</w:t>
      </w:r>
      <w:r w:rsidRPr="00F07506">
        <w:rPr>
          <w:rFonts w:eastAsia="Times New Roman" w:cs="Times New Roman"/>
          <w:sz w:val="24"/>
          <w:szCs w:val="24"/>
          <w:lang w:eastAsia="en-GB"/>
        </w:rPr>
        <w:t>, Assunta Cova</w:t>
      </w:r>
      <w:r w:rsidR="001918E4">
        <w:rPr>
          <w:rFonts w:eastAsia="Times New Roman" w:cs="Times New Roman"/>
          <w:sz w:val="24"/>
          <w:szCs w:val="24"/>
          <w:lang w:eastAsia="en-GB"/>
        </w:rPr>
        <w:t xml:space="preserve"> M</w:t>
      </w:r>
      <w:r>
        <w:rPr>
          <w:rFonts w:eastAsia="Times New Roman" w:cs="Times New Roman"/>
          <w:sz w:val="24"/>
          <w:szCs w:val="24"/>
          <w:lang w:eastAsia="en-GB"/>
        </w:rPr>
        <w:t xml:space="preserve">. </w:t>
      </w:r>
      <w:r w:rsidRPr="00F07506">
        <w:rPr>
          <w:rFonts w:eastAsia="Times New Roman" w:cs="Times New Roman"/>
          <w:sz w:val="24"/>
          <w:szCs w:val="24"/>
          <w:lang w:eastAsia="en-GB"/>
        </w:rPr>
        <w:t xml:space="preserve">Time-Intensity Curves Obtained after Microbubble Injection Can Be Used to Differentiate Responders from </w:t>
      </w:r>
      <w:proofErr w:type="spellStart"/>
      <w:r w:rsidRPr="00F07506">
        <w:rPr>
          <w:rFonts w:eastAsia="Times New Roman" w:cs="Times New Roman"/>
          <w:sz w:val="24"/>
          <w:szCs w:val="24"/>
          <w:lang w:eastAsia="en-GB"/>
        </w:rPr>
        <w:t>Nonresponders</w:t>
      </w:r>
      <w:proofErr w:type="spellEnd"/>
      <w:r w:rsidRPr="00F07506">
        <w:rPr>
          <w:rFonts w:eastAsia="Times New Roman" w:cs="Times New Roman"/>
          <w:sz w:val="24"/>
          <w:szCs w:val="24"/>
          <w:lang w:eastAsia="en-GB"/>
        </w:rPr>
        <w:t xml:space="preserve"> among Patients with Clinically Active Crohn Disease after 6 Weeks of Pharmacologic Treatment</w:t>
      </w:r>
      <w:r>
        <w:rPr>
          <w:rFonts w:eastAsia="Times New Roman" w:cs="Times New Roman"/>
          <w:sz w:val="24"/>
          <w:szCs w:val="24"/>
          <w:lang w:eastAsia="en-GB"/>
        </w:rPr>
        <w:t xml:space="preserve">. </w:t>
      </w:r>
      <w:r w:rsidRPr="00F07506">
        <w:rPr>
          <w:rFonts w:eastAsia="Times New Roman" w:cs="Times New Roman"/>
          <w:sz w:val="24"/>
          <w:szCs w:val="24"/>
          <w:lang w:eastAsia="en-GB"/>
        </w:rPr>
        <w:t>Radiology 2016 281:2, 606-616</w:t>
      </w:r>
    </w:p>
    <w:p w14:paraId="581E3850" w14:textId="77777777" w:rsidR="0083053B" w:rsidRPr="00443048" w:rsidRDefault="0083053B" w:rsidP="00F41789">
      <w:pPr>
        <w:numPr>
          <w:ilvl w:val="0"/>
          <w:numId w:val="1"/>
        </w:numPr>
        <w:spacing w:line="480" w:lineRule="auto"/>
        <w:contextualSpacing/>
        <w:jc w:val="both"/>
        <w:rPr>
          <w:rStyle w:val="normaltextrun"/>
          <w:rFonts w:eastAsia="Calibri" w:cs="Times New Roman"/>
          <w:sz w:val="24"/>
          <w:szCs w:val="24"/>
        </w:rPr>
      </w:pPr>
      <w:r w:rsidRPr="00443048">
        <w:rPr>
          <w:rStyle w:val="normaltextrun"/>
          <w:rFonts w:cs="Calibri"/>
          <w:sz w:val="24"/>
          <w:szCs w:val="24"/>
        </w:rPr>
        <w:t xml:space="preserve">Wu P, Yan Y, Ma LL, Hou BY, He YY, Zhang L, et al. Effects of the Nrf2 Protein Modulator Salvianolic Acid </w:t>
      </w:r>
      <w:proofErr w:type="gramStart"/>
      <w:r w:rsidRPr="00443048">
        <w:rPr>
          <w:rStyle w:val="contextualspellingandgrammarerror"/>
          <w:rFonts w:cs="Calibri"/>
          <w:sz w:val="24"/>
          <w:szCs w:val="24"/>
        </w:rPr>
        <w:t>A</w:t>
      </w:r>
      <w:proofErr w:type="gramEnd"/>
      <w:r w:rsidRPr="00443048">
        <w:rPr>
          <w:rStyle w:val="normaltextrun"/>
          <w:rFonts w:cs="Calibri"/>
          <w:sz w:val="24"/>
          <w:szCs w:val="24"/>
        </w:rPr>
        <w:t xml:space="preserve"> Alone or Combined with Metformin on Diabetes-associated Macrovascular and Renal Injury. J </w:t>
      </w:r>
      <w:proofErr w:type="spellStart"/>
      <w:r w:rsidRPr="00443048">
        <w:rPr>
          <w:rStyle w:val="spellingerror"/>
          <w:rFonts w:cs="Calibri"/>
          <w:sz w:val="24"/>
          <w:szCs w:val="24"/>
        </w:rPr>
        <w:t>Biol</w:t>
      </w:r>
      <w:proofErr w:type="spellEnd"/>
      <w:r w:rsidRPr="00443048">
        <w:rPr>
          <w:rStyle w:val="normaltextrun"/>
          <w:rFonts w:cs="Calibri"/>
          <w:sz w:val="24"/>
          <w:szCs w:val="24"/>
        </w:rPr>
        <w:t xml:space="preserve"> Chem 2016 ;291(42):22288-22301.</w:t>
      </w:r>
    </w:p>
    <w:p w14:paraId="76EFA7EC" w14:textId="77777777" w:rsidR="001D24F7" w:rsidRPr="00443048" w:rsidRDefault="001D24F7" w:rsidP="00F41789">
      <w:pPr>
        <w:numPr>
          <w:ilvl w:val="0"/>
          <w:numId w:val="1"/>
        </w:numPr>
        <w:spacing w:line="480" w:lineRule="auto"/>
        <w:contextualSpacing/>
        <w:jc w:val="both"/>
        <w:rPr>
          <w:rFonts w:eastAsia="Calibri" w:cs="Times New Roman"/>
          <w:sz w:val="24"/>
          <w:szCs w:val="24"/>
        </w:rPr>
      </w:pPr>
      <w:proofErr w:type="spellStart"/>
      <w:r w:rsidRPr="00443048">
        <w:rPr>
          <w:rStyle w:val="spellingerror"/>
          <w:rFonts w:cs="Calibri"/>
          <w:sz w:val="24"/>
          <w:szCs w:val="24"/>
        </w:rPr>
        <w:lastRenderedPageBreak/>
        <w:t>Udayaraj</w:t>
      </w:r>
      <w:proofErr w:type="spellEnd"/>
      <w:r w:rsidRPr="00443048">
        <w:rPr>
          <w:rStyle w:val="normaltextrun"/>
          <w:rFonts w:cs="Calibri"/>
          <w:sz w:val="24"/>
          <w:szCs w:val="24"/>
        </w:rPr>
        <w:t xml:space="preserve"> U, </w:t>
      </w:r>
      <w:proofErr w:type="spellStart"/>
      <w:r w:rsidRPr="00443048">
        <w:rPr>
          <w:rStyle w:val="spellingerror"/>
          <w:rFonts w:cs="Calibri"/>
          <w:sz w:val="24"/>
          <w:szCs w:val="24"/>
        </w:rPr>
        <w:t>Pruthi</w:t>
      </w:r>
      <w:proofErr w:type="spellEnd"/>
      <w:r w:rsidRPr="00443048">
        <w:rPr>
          <w:rStyle w:val="normaltextrun"/>
          <w:rFonts w:cs="Calibri"/>
          <w:sz w:val="24"/>
          <w:szCs w:val="24"/>
        </w:rPr>
        <w:t xml:space="preserve"> R, </w:t>
      </w:r>
      <w:proofErr w:type="spellStart"/>
      <w:r w:rsidRPr="00443048">
        <w:rPr>
          <w:rStyle w:val="spellingerror"/>
          <w:rFonts w:cs="Calibri"/>
          <w:sz w:val="24"/>
          <w:szCs w:val="24"/>
        </w:rPr>
        <w:t>Casula</w:t>
      </w:r>
      <w:proofErr w:type="spellEnd"/>
      <w:r w:rsidRPr="00443048">
        <w:rPr>
          <w:rStyle w:val="normaltextrun"/>
          <w:rFonts w:cs="Calibri"/>
          <w:sz w:val="24"/>
          <w:szCs w:val="24"/>
        </w:rPr>
        <w:t xml:space="preserve"> A, Roderick P. UK Renal Registry 16th annual report: chapter 6 demographics and outcomes of patients from different ethnic groups on renal replacement therapy in the UK. Nephron Clin </w:t>
      </w:r>
      <w:proofErr w:type="spellStart"/>
      <w:r w:rsidRPr="00443048">
        <w:rPr>
          <w:rStyle w:val="spellingerror"/>
          <w:rFonts w:cs="Calibri"/>
          <w:sz w:val="24"/>
          <w:szCs w:val="24"/>
        </w:rPr>
        <w:t>Pract</w:t>
      </w:r>
      <w:proofErr w:type="spellEnd"/>
      <w:r w:rsidRPr="00443048">
        <w:rPr>
          <w:rStyle w:val="normaltextrun"/>
          <w:rFonts w:cs="Calibri"/>
          <w:sz w:val="24"/>
          <w:szCs w:val="24"/>
        </w:rPr>
        <w:t xml:space="preserve"> 2013;125(1-4):111-125 </w:t>
      </w:r>
    </w:p>
    <w:p w14:paraId="19D61E0C" w14:textId="77777777" w:rsidR="001C2AF7" w:rsidRPr="00443048" w:rsidRDefault="001C2AF7" w:rsidP="00F41789">
      <w:pPr>
        <w:pStyle w:val="ListParagraph"/>
        <w:numPr>
          <w:ilvl w:val="0"/>
          <w:numId w:val="1"/>
        </w:numPr>
        <w:spacing w:line="480" w:lineRule="auto"/>
        <w:jc w:val="both"/>
        <w:rPr>
          <w:sz w:val="24"/>
          <w:szCs w:val="24"/>
        </w:rPr>
      </w:pPr>
      <w:r w:rsidRPr="00443048">
        <w:rPr>
          <w:sz w:val="24"/>
          <w:szCs w:val="24"/>
        </w:rPr>
        <w:t xml:space="preserve">Morris AA, Patel RS, </w:t>
      </w:r>
      <w:proofErr w:type="spellStart"/>
      <w:r w:rsidRPr="00443048">
        <w:rPr>
          <w:sz w:val="24"/>
          <w:szCs w:val="24"/>
        </w:rPr>
        <w:t>Binongo</w:t>
      </w:r>
      <w:proofErr w:type="spellEnd"/>
      <w:r w:rsidRPr="00443048">
        <w:rPr>
          <w:sz w:val="24"/>
          <w:szCs w:val="24"/>
        </w:rPr>
        <w:t xml:space="preserve"> JN, Poole J, Al </w:t>
      </w:r>
      <w:proofErr w:type="spellStart"/>
      <w:r w:rsidRPr="00443048">
        <w:rPr>
          <w:sz w:val="24"/>
          <w:szCs w:val="24"/>
        </w:rPr>
        <w:t>Mheid</w:t>
      </w:r>
      <w:proofErr w:type="spellEnd"/>
      <w:r w:rsidRPr="00443048">
        <w:rPr>
          <w:sz w:val="24"/>
          <w:szCs w:val="24"/>
        </w:rPr>
        <w:t xml:space="preserve"> I, Ahmed Y, et al. Racial differences in arterial stiffness and microcirculatory function between Black and White Americans. J Am Heart Assoc 2013 Apr 8;2(2</w:t>
      </w:r>
      <w:proofErr w:type="gramStart"/>
      <w:r w:rsidRPr="00443048">
        <w:rPr>
          <w:sz w:val="24"/>
          <w:szCs w:val="24"/>
        </w:rPr>
        <w:t>):e</w:t>
      </w:r>
      <w:proofErr w:type="gramEnd"/>
      <w:r w:rsidRPr="00443048">
        <w:rPr>
          <w:sz w:val="24"/>
          <w:szCs w:val="24"/>
        </w:rPr>
        <w:t>002154.</w:t>
      </w:r>
    </w:p>
    <w:p w14:paraId="1E9E0242" w14:textId="77777777" w:rsidR="00F75CFA" w:rsidRPr="00443048" w:rsidRDefault="00F75CFA" w:rsidP="00F41789">
      <w:pPr>
        <w:pStyle w:val="ListParagraph"/>
        <w:numPr>
          <w:ilvl w:val="0"/>
          <w:numId w:val="1"/>
        </w:numPr>
        <w:spacing w:line="480" w:lineRule="auto"/>
        <w:jc w:val="both"/>
        <w:rPr>
          <w:sz w:val="24"/>
          <w:szCs w:val="24"/>
        </w:rPr>
      </w:pPr>
      <w:r w:rsidRPr="00443048">
        <w:rPr>
          <w:sz w:val="24"/>
          <w:szCs w:val="24"/>
        </w:rPr>
        <w:t xml:space="preserve">Earle KA, Mehrotra S, Dalton RN, Denver E, Swaminathan R. Defective nitric oxide production and functional renal reserve in patients with type 2 diabetes who have microalbuminuria of African and Asian compared with white origin. J Am Soc </w:t>
      </w:r>
      <w:proofErr w:type="spellStart"/>
      <w:r w:rsidRPr="00443048">
        <w:rPr>
          <w:sz w:val="24"/>
          <w:szCs w:val="24"/>
        </w:rPr>
        <w:t>Nephrol</w:t>
      </w:r>
      <w:proofErr w:type="spellEnd"/>
      <w:r w:rsidRPr="00443048">
        <w:rPr>
          <w:sz w:val="24"/>
          <w:szCs w:val="24"/>
        </w:rPr>
        <w:t xml:space="preserve"> 2001;12(10):2125-2130.</w:t>
      </w:r>
    </w:p>
    <w:p w14:paraId="2EC95DF7" w14:textId="77777777" w:rsidR="00F75CFA" w:rsidRPr="00443048" w:rsidRDefault="00F75CFA" w:rsidP="00F41789">
      <w:pPr>
        <w:pStyle w:val="ListParagraph"/>
        <w:numPr>
          <w:ilvl w:val="0"/>
          <w:numId w:val="1"/>
        </w:numPr>
        <w:spacing w:line="480" w:lineRule="auto"/>
        <w:jc w:val="both"/>
        <w:rPr>
          <w:sz w:val="24"/>
          <w:szCs w:val="24"/>
        </w:rPr>
      </w:pPr>
      <w:r w:rsidRPr="00443048">
        <w:rPr>
          <w:sz w:val="24"/>
          <w:szCs w:val="24"/>
        </w:rPr>
        <w:t xml:space="preserve"> Earle KA, Harry D, Madhavi M, Zitouni K, Barron J. Nitric oxide bioavailability and its potential relevance to the variation in susceptibility to the renal and vascular complications in patients with type 2 diabetes. Diabetes Care 2009;32(1):138-140.</w:t>
      </w:r>
    </w:p>
    <w:p w14:paraId="78CAC73E" w14:textId="7F58A8C5" w:rsidR="00940C91" w:rsidRPr="00443048" w:rsidRDefault="00940C91" w:rsidP="00F41789">
      <w:pPr>
        <w:pStyle w:val="ListParagraph"/>
        <w:numPr>
          <w:ilvl w:val="0"/>
          <w:numId w:val="1"/>
        </w:numPr>
        <w:spacing w:line="480" w:lineRule="auto"/>
        <w:jc w:val="both"/>
        <w:rPr>
          <w:sz w:val="24"/>
          <w:szCs w:val="24"/>
        </w:rPr>
      </w:pPr>
      <w:proofErr w:type="spellStart"/>
      <w:r w:rsidRPr="00443048">
        <w:rPr>
          <w:sz w:val="24"/>
          <w:szCs w:val="24"/>
        </w:rPr>
        <w:t>Gluhovschi</w:t>
      </w:r>
      <w:proofErr w:type="spellEnd"/>
      <w:r w:rsidRPr="00443048">
        <w:rPr>
          <w:sz w:val="24"/>
          <w:szCs w:val="24"/>
        </w:rPr>
        <w:t xml:space="preserve"> C, </w:t>
      </w:r>
      <w:proofErr w:type="spellStart"/>
      <w:r w:rsidRPr="00443048">
        <w:rPr>
          <w:sz w:val="24"/>
          <w:szCs w:val="24"/>
        </w:rPr>
        <w:t>Gluhovschi</w:t>
      </w:r>
      <w:proofErr w:type="spellEnd"/>
      <w:r w:rsidRPr="00443048">
        <w:rPr>
          <w:sz w:val="24"/>
          <w:szCs w:val="24"/>
        </w:rPr>
        <w:t xml:space="preserve"> G, </w:t>
      </w:r>
      <w:proofErr w:type="spellStart"/>
      <w:r w:rsidRPr="00443048">
        <w:rPr>
          <w:sz w:val="24"/>
          <w:szCs w:val="24"/>
        </w:rPr>
        <w:t>Petrica</w:t>
      </w:r>
      <w:proofErr w:type="spellEnd"/>
      <w:r w:rsidRPr="00443048">
        <w:rPr>
          <w:sz w:val="24"/>
          <w:szCs w:val="24"/>
        </w:rPr>
        <w:t xml:space="preserve"> L, </w:t>
      </w:r>
      <w:proofErr w:type="spellStart"/>
      <w:r w:rsidRPr="00443048">
        <w:rPr>
          <w:sz w:val="24"/>
          <w:szCs w:val="24"/>
        </w:rPr>
        <w:t>Timar</w:t>
      </w:r>
      <w:proofErr w:type="spellEnd"/>
      <w:r w:rsidRPr="00443048">
        <w:rPr>
          <w:sz w:val="24"/>
          <w:szCs w:val="24"/>
        </w:rPr>
        <w:t xml:space="preserve"> R, </w:t>
      </w:r>
      <w:proofErr w:type="spellStart"/>
      <w:r w:rsidRPr="00443048">
        <w:rPr>
          <w:sz w:val="24"/>
          <w:szCs w:val="24"/>
        </w:rPr>
        <w:t>Velciov</w:t>
      </w:r>
      <w:proofErr w:type="spellEnd"/>
      <w:r w:rsidRPr="00443048">
        <w:rPr>
          <w:sz w:val="24"/>
          <w:szCs w:val="24"/>
        </w:rPr>
        <w:t xml:space="preserve"> S, </w:t>
      </w:r>
      <w:proofErr w:type="spellStart"/>
      <w:r w:rsidRPr="00443048">
        <w:rPr>
          <w:sz w:val="24"/>
          <w:szCs w:val="24"/>
        </w:rPr>
        <w:t>Ionita</w:t>
      </w:r>
      <w:proofErr w:type="spellEnd"/>
      <w:r w:rsidRPr="00443048">
        <w:rPr>
          <w:sz w:val="24"/>
          <w:szCs w:val="24"/>
        </w:rPr>
        <w:t xml:space="preserve"> I, et al. Urinary Biomarkers in the Assessment of Early Diabetic Nephropathy. J Diabetes Res 2016;4626125.</w:t>
      </w:r>
    </w:p>
    <w:p w14:paraId="34F279EF" w14:textId="77777777" w:rsidR="00061F74" w:rsidRPr="00443048" w:rsidRDefault="00061F74" w:rsidP="00F41789">
      <w:pPr>
        <w:pStyle w:val="ListParagraph"/>
        <w:numPr>
          <w:ilvl w:val="0"/>
          <w:numId w:val="1"/>
        </w:numPr>
        <w:spacing w:line="480" w:lineRule="auto"/>
        <w:jc w:val="both"/>
        <w:rPr>
          <w:sz w:val="24"/>
          <w:szCs w:val="24"/>
        </w:rPr>
      </w:pPr>
      <w:r w:rsidRPr="00443048">
        <w:rPr>
          <w:sz w:val="24"/>
          <w:szCs w:val="24"/>
        </w:rPr>
        <w:t xml:space="preserve">Zhan CD, Sindhu RK, Pang J, </w:t>
      </w:r>
      <w:proofErr w:type="spellStart"/>
      <w:r w:rsidRPr="00443048">
        <w:rPr>
          <w:sz w:val="24"/>
          <w:szCs w:val="24"/>
        </w:rPr>
        <w:t>Ehdaie</w:t>
      </w:r>
      <w:proofErr w:type="spellEnd"/>
      <w:r w:rsidRPr="00443048">
        <w:rPr>
          <w:sz w:val="24"/>
          <w:szCs w:val="24"/>
        </w:rPr>
        <w:t xml:space="preserve"> A, </w:t>
      </w:r>
      <w:proofErr w:type="spellStart"/>
      <w:r w:rsidRPr="00443048">
        <w:rPr>
          <w:sz w:val="24"/>
          <w:szCs w:val="24"/>
        </w:rPr>
        <w:t>Vaziri</w:t>
      </w:r>
      <w:proofErr w:type="spellEnd"/>
      <w:r w:rsidRPr="00443048">
        <w:rPr>
          <w:sz w:val="24"/>
          <w:szCs w:val="24"/>
        </w:rPr>
        <w:t xml:space="preserve"> ND. Superoxide dismutase, catalase and glutathione peroxidase in the spontaneously hypertensive rat kidney: effect of antioxidant-rich diet. J </w:t>
      </w:r>
      <w:proofErr w:type="spellStart"/>
      <w:r w:rsidRPr="00443048">
        <w:rPr>
          <w:sz w:val="24"/>
          <w:szCs w:val="24"/>
        </w:rPr>
        <w:t>Hypertens</w:t>
      </w:r>
      <w:proofErr w:type="spellEnd"/>
      <w:r w:rsidRPr="00443048">
        <w:rPr>
          <w:sz w:val="24"/>
          <w:szCs w:val="24"/>
        </w:rPr>
        <w:t xml:space="preserve"> 2004 Oct;22(10):2025-2033.</w:t>
      </w:r>
    </w:p>
    <w:p w14:paraId="351CF623" w14:textId="77777777" w:rsidR="00061F74" w:rsidRPr="00443048" w:rsidRDefault="00061F74" w:rsidP="00F41789">
      <w:pPr>
        <w:pStyle w:val="ListParagraph"/>
        <w:numPr>
          <w:ilvl w:val="0"/>
          <w:numId w:val="1"/>
        </w:numPr>
        <w:spacing w:line="480" w:lineRule="auto"/>
        <w:jc w:val="both"/>
        <w:rPr>
          <w:sz w:val="24"/>
          <w:szCs w:val="24"/>
        </w:rPr>
      </w:pPr>
      <w:proofErr w:type="spellStart"/>
      <w:r w:rsidRPr="00443048">
        <w:rPr>
          <w:sz w:val="24"/>
          <w:szCs w:val="24"/>
        </w:rPr>
        <w:t>Kanno</w:t>
      </w:r>
      <w:proofErr w:type="spellEnd"/>
      <w:r w:rsidRPr="00443048">
        <w:rPr>
          <w:sz w:val="24"/>
          <w:szCs w:val="24"/>
        </w:rPr>
        <w:t xml:space="preserve"> SI, </w:t>
      </w:r>
      <w:proofErr w:type="spellStart"/>
      <w:r w:rsidRPr="00443048">
        <w:rPr>
          <w:sz w:val="24"/>
          <w:szCs w:val="24"/>
        </w:rPr>
        <w:t>Tomizawa</w:t>
      </w:r>
      <w:proofErr w:type="spellEnd"/>
      <w:r w:rsidRPr="00443048">
        <w:rPr>
          <w:sz w:val="24"/>
          <w:szCs w:val="24"/>
        </w:rPr>
        <w:t xml:space="preserve"> A, </w:t>
      </w:r>
      <w:proofErr w:type="spellStart"/>
      <w:r w:rsidRPr="00443048">
        <w:rPr>
          <w:sz w:val="24"/>
          <w:szCs w:val="24"/>
        </w:rPr>
        <w:t>Yomogida</w:t>
      </w:r>
      <w:proofErr w:type="spellEnd"/>
      <w:r w:rsidRPr="00443048">
        <w:rPr>
          <w:sz w:val="24"/>
          <w:szCs w:val="24"/>
        </w:rPr>
        <w:t xml:space="preserve"> S, Hara A. Glutathione peroxidase 3 is a protective factor against acetaminophen induced hepatotoxicity in vivo and in vitro. Int J Mol Med 2017;40(3):748-754</w:t>
      </w:r>
    </w:p>
    <w:p w14:paraId="331B720F" w14:textId="72871AF6" w:rsidR="00061F74" w:rsidRPr="00443048" w:rsidRDefault="00061F74" w:rsidP="00F41789">
      <w:pPr>
        <w:pStyle w:val="ListParagraph"/>
        <w:numPr>
          <w:ilvl w:val="0"/>
          <w:numId w:val="1"/>
        </w:numPr>
        <w:spacing w:line="480" w:lineRule="auto"/>
        <w:jc w:val="both"/>
        <w:rPr>
          <w:sz w:val="24"/>
          <w:szCs w:val="24"/>
        </w:rPr>
      </w:pPr>
      <w:r w:rsidRPr="00443048">
        <w:rPr>
          <w:sz w:val="24"/>
          <w:szCs w:val="24"/>
        </w:rPr>
        <w:lastRenderedPageBreak/>
        <w:t xml:space="preserve">An BC, Choi Y-D, Oh I-J, Kim JH, Park J-I, Lee S-w GPx3-mediated redox </w:t>
      </w:r>
      <w:proofErr w:type="spellStart"/>
      <w:r w:rsidRPr="00443048">
        <w:rPr>
          <w:sz w:val="24"/>
          <w:szCs w:val="24"/>
        </w:rPr>
        <w:t>signaling</w:t>
      </w:r>
      <w:proofErr w:type="spellEnd"/>
      <w:r w:rsidRPr="00443048">
        <w:rPr>
          <w:sz w:val="24"/>
          <w:szCs w:val="24"/>
        </w:rPr>
        <w:t xml:space="preserve"> arrests the cell cycle and acts as a </w:t>
      </w:r>
      <w:proofErr w:type="spellStart"/>
      <w:r w:rsidRPr="00443048">
        <w:rPr>
          <w:sz w:val="24"/>
          <w:szCs w:val="24"/>
        </w:rPr>
        <w:t>tumor</w:t>
      </w:r>
      <w:proofErr w:type="spellEnd"/>
      <w:r w:rsidRPr="00443048">
        <w:rPr>
          <w:sz w:val="24"/>
          <w:szCs w:val="24"/>
        </w:rPr>
        <w:t xml:space="preserve"> suppressor in lung cancer cell lines. </w:t>
      </w:r>
      <w:proofErr w:type="spellStart"/>
      <w:r w:rsidRPr="00443048">
        <w:rPr>
          <w:sz w:val="24"/>
          <w:szCs w:val="24"/>
        </w:rPr>
        <w:t>PLoS</w:t>
      </w:r>
      <w:proofErr w:type="spellEnd"/>
      <w:r w:rsidRPr="00443048">
        <w:rPr>
          <w:sz w:val="24"/>
          <w:szCs w:val="24"/>
        </w:rPr>
        <w:t xml:space="preserve"> ONE 2018; 13(9): e0204170. </w:t>
      </w:r>
    </w:p>
    <w:p w14:paraId="442255B7" w14:textId="3FAB2761" w:rsidR="001821EE" w:rsidRPr="00443048" w:rsidRDefault="001821EE" w:rsidP="00F41789">
      <w:pPr>
        <w:pStyle w:val="ListParagraph"/>
        <w:numPr>
          <w:ilvl w:val="0"/>
          <w:numId w:val="1"/>
        </w:numPr>
        <w:spacing w:line="480" w:lineRule="auto"/>
        <w:jc w:val="both"/>
        <w:rPr>
          <w:sz w:val="24"/>
          <w:szCs w:val="24"/>
        </w:rPr>
      </w:pPr>
      <w:proofErr w:type="spellStart"/>
      <w:r w:rsidRPr="00443048">
        <w:rPr>
          <w:sz w:val="24"/>
          <w:szCs w:val="24"/>
        </w:rPr>
        <w:t>Briet</w:t>
      </w:r>
      <w:proofErr w:type="spellEnd"/>
      <w:r w:rsidRPr="00443048">
        <w:rPr>
          <w:sz w:val="24"/>
          <w:szCs w:val="24"/>
        </w:rPr>
        <w:t xml:space="preserve"> M, </w:t>
      </w:r>
      <w:proofErr w:type="spellStart"/>
      <w:r w:rsidRPr="00443048">
        <w:rPr>
          <w:sz w:val="24"/>
          <w:szCs w:val="24"/>
        </w:rPr>
        <w:t>Schiffrin</w:t>
      </w:r>
      <w:proofErr w:type="spellEnd"/>
      <w:r w:rsidRPr="00443048">
        <w:rPr>
          <w:sz w:val="24"/>
          <w:szCs w:val="24"/>
        </w:rPr>
        <w:t xml:space="preserve"> EL. </w:t>
      </w:r>
      <w:proofErr w:type="spellStart"/>
      <w:proofErr w:type="gramStart"/>
      <w:r w:rsidRPr="00443048">
        <w:rPr>
          <w:sz w:val="24"/>
          <w:szCs w:val="24"/>
        </w:rPr>
        <w:t>Aldosterone:effects</w:t>
      </w:r>
      <w:proofErr w:type="spellEnd"/>
      <w:proofErr w:type="gramEnd"/>
      <w:r w:rsidRPr="00443048">
        <w:rPr>
          <w:sz w:val="24"/>
          <w:szCs w:val="24"/>
        </w:rPr>
        <w:t xml:space="preserve"> on the kidney and cardiovascular system. Nat Rev </w:t>
      </w:r>
      <w:proofErr w:type="spellStart"/>
      <w:r w:rsidRPr="00443048">
        <w:rPr>
          <w:sz w:val="24"/>
          <w:szCs w:val="24"/>
        </w:rPr>
        <w:t>Nephrol</w:t>
      </w:r>
      <w:proofErr w:type="spellEnd"/>
      <w:r w:rsidRPr="00443048">
        <w:rPr>
          <w:sz w:val="24"/>
          <w:szCs w:val="24"/>
        </w:rPr>
        <w:t xml:space="preserve"> 2010;6(5): 261-273</w:t>
      </w:r>
    </w:p>
    <w:p w14:paraId="5B7AF2CC" w14:textId="539BB610" w:rsidR="00061F74" w:rsidRPr="00443048" w:rsidRDefault="00580ADD" w:rsidP="00226E2D">
      <w:pPr>
        <w:pStyle w:val="ListParagraph"/>
        <w:numPr>
          <w:ilvl w:val="0"/>
          <w:numId w:val="1"/>
        </w:numPr>
        <w:spacing w:line="480" w:lineRule="auto"/>
        <w:jc w:val="both"/>
        <w:rPr>
          <w:rFonts w:eastAsia="Times New Roman" w:cs="Times New Roman"/>
          <w:sz w:val="24"/>
          <w:szCs w:val="24"/>
          <w:lang w:eastAsia="en-GB"/>
        </w:rPr>
      </w:pPr>
      <w:r w:rsidRPr="00443048">
        <w:rPr>
          <w:sz w:val="24"/>
          <w:szCs w:val="24"/>
        </w:rPr>
        <w:t xml:space="preserve">Wen H, </w:t>
      </w:r>
      <w:proofErr w:type="spellStart"/>
      <w:r w:rsidRPr="00443048">
        <w:rPr>
          <w:sz w:val="24"/>
          <w:szCs w:val="24"/>
        </w:rPr>
        <w:t>Gwathmey</w:t>
      </w:r>
      <w:proofErr w:type="spellEnd"/>
      <w:r w:rsidRPr="00443048">
        <w:rPr>
          <w:sz w:val="24"/>
          <w:szCs w:val="24"/>
        </w:rPr>
        <w:t xml:space="preserve"> JK, </w:t>
      </w:r>
      <w:proofErr w:type="spellStart"/>
      <w:r w:rsidRPr="00443048">
        <w:rPr>
          <w:sz w:val="24"/>
          <w:szCs w:val="24"/>
        </w:rPr>
        <w:t>Xie</w:t>
      </w:r>
      <w:proofErr w:type="spellEnd"/>
      <w:r w:rsidRPr="00443048">
        <w:rPr>
          <w:sz w:val="24"/>
          <w:szCs w:val="24"/>
        </w:rPr>
        <w:t xml:space="preserve"> LH. Oxidative stress-mediated effects of angiotensin II in the cardiovascular system. World J </w:t>
      </w:r>
      <w:proofErr w:type="spellStart"/>
      <w:r w:rsidRPr="00443048">
        <w:rPr>
          <w:sz w:val="24"/>
          <w:szCs w:val="24"/>
        </w:rPr>
        <w:t>Hypertens</w:t>
      </w:r>
      <w:proofErr w:type="spellEnd"/>
      <w:r w:rsidRPr="00443048">
        <w:rPr>
          <w:sz w:val="24"/>
          <w:szCs w:val="24"/>
        </w:rPr>
        <w:t xml:space="preserve">. 2012 Aug 23;2(4):34-44. </w:t>
      </w:r>
    </w:p>
    <w:p w14:paraId="16C1610A" w14:textId="77777777" w:rsidR="00061F74" w:rsidRPr="00443048" w:rsidRDefault="00061F74" w:rsidP="00F41789">
      <w:pPr>
        <w:pStyle w:val="ListParagraph"/>
        <w:numPr>
          <w:ilvl w:val="0"/>
          <w:numId w:val="1"/>
        </w:numPr>
        <w:spacing w:line="480" w:lineRule="auto"/>
        <w:jc w:val="both"/>
        <w:rPr>
          <w:sz w:val="24"/>
          <w:szCs w:val="24"/>
        </w:rPr>
      </w:pPr>
      <w:r w:rsidRPr="00443048">
        <w:rPr>
          <w:sz w:val="24"/>
          <w:szCs w:val="24"/>
        </w:rPr>
        <w:t xml:space="preserve">Mohammedi K, </w:t>
      </w:r>
      <w:proofErr w:type="spellStart"/>
      <w:r w:rsidRPr="00443048">
        <w:rPr>
          <w:sz w:val="24"/>
          <w:szCs w:val="24"/>
        </w:rPr>
        <w:t>Patente</w:t>
      </w:r>
      <w:proofErr w:type="spellEnd"/>
      <w:r w:rsidRPr="00443048">
        <w:rPr>
          <w:sz w:val="24"/>
          <w:szCs w:val="24"/>
        </w:rPr>
        <w:t xml:space="preserve"> TA, </w:t>
      </w:r>
      <w:proofErr w:type="spellStart"/>
      <w:r w:rsidRPr="00443048">
        <w:rPr>
          <w:sz w:val="24"/>
          <w:szCs w:val="24"/>
        </w:rPr>
        <w:t>Bellili</w:t>
      </w:r>
      <w:proofErr w:type="spellEnd"/>
      <w:r w:rsidRPr="00443048">
        <w:rPr>
          <w:sz w:val="24"/>
          <w:szCs w:val="24"/>
        </w:rPr>
        <w:t xml:space="preserve">-Munoz N, </w:t>
      </w:r>
      <w:proofErr w:type="spellStart"/>
      <w:r w:rsidRPr="00443048">
        <w:rPr>
          <w:sz w:val="24"/>
          <w:szCs w:val="24"/>
        </w:rPr>
        <w:t>Driss</w:t>
      </w:r>
      <w:proofErr w:type="spellEnd"/>
      <w:r w:rsidRPr="00443048">
        <w:rPr>
          <w:sz w:val="24"/>
          <w:szCs w:val="24"/>
        </w:rPr>
        <w:t xml:space="preserve"> F, Le </w:t>
      </w:r>
      <w:proofErr w:type="spellStart"/>
      <w:r w:rsidRPr="00443048">
        <w:rPr>
          <w:sz w:val="24"/>
          <w:szCs w:val="24"/>
        </w:rPr>
        <w:t>Nagard</w:t>
      </w:r>
      <w:proofErr w:type="spellEnd"/>
      <w:r w:rsidRPr="00443048">
        <w:rPr>
          <w:sz w:val="24"/>
          <w:szCs w:val="24"/>
        </w:rPr>
        <w:t xml:space="preserve"> H, </w:t>
      </w:r>
      <w:proofErr w:type="spellStart"/>
      <w:r w:rsidRPr="00443048">
        <w:rPr>
          <w:sz w:val="24"/>
          <w:szCs w:val="24"/>
        </w:rPr>
        <w:t>Fumeron</w:t>
      </w:r>
      <w:proofErr w:type="spellEnd"/>
      <w:r w:rsidRPr="00443048">
        <w:rPr>
          <w:sz w:val="24"/>
          <w:szCs w:val="24"/>
        </w:rPr>
        <w:t xml:space="preserve"> F, et al. Glutathione peroxidase-1 gene (GPX1) variants, oxidative stress and risk of kidney complications in people with type 1 diabetes. Metabolism 2016;65(2):12-19.</w:t>
      </w:r>
    </w:p>
    <w:p w14:paraId="0CEAD26A" w14:textId="77777777" w:rsidR="00061F74" w:rsidRPr="00443048" w:rsidRDefault="00061F74" w:rsidP="00F41789">
      <w:pPr>
        <w:pStyle w:val="ListParagraph"/>
        <w:numPr>
          <w:ilvl w:val="0"/>
          <w:numId w:val="1"/>
        </w:numPr>
        <w:spacing w:line="480" w:lineRule="auto"/>
        <w:jc w:val="both"/>
        <w:rPr>
          <w:sz w:val="24"/>
          <w:szCs w:val="24"/>
        </w:rPr>
      </w:pPr>
      <w:proofErr w:type="spellStart"/>
      <w:r w:rsidRPr="00443048">
        <w:rPr>
          <w:rFonts w:eastAsia="Times New Roman" w:cs="Times New Roman"/>
          <w:sz w:val="24"/>
          <w:szCs w:val="24"/>
          <w:lang w:eastAsia="en-GB"/>
        </w:rPr>
        <w:t>Eren</w:t>
      </w:r>
      <w:proofErr w:type="spellEnd"/>
      <w:r w:rsidRPr="00443048">
        <w:rPr>
          <w:rFonts w:eastAsia="Times New Roman" w:cs="Times New Roman"/>
          <w:sz w:val="24"/>
          <w:szCs w:val="24"/>
          <w:lang w:eastAsia="en-GB"/>
        </w:rPr>
        <w:t xml:space="preserve"> MA, </w:t>
      </w:r>
      <w:proofErr w:type="spellStart"/>
      <w:r w:rsidRPr="00443048">
        <w:rPr>
          <w:rFonts w:eastAsia="Times New Roman" w:cs="Times New Roman"/>
          <w:sz w:val="24"/>
          <w:szCs w:val="24"/>
          <w:lang w:eastAsia="en-GB"/>
        </w:rPr>
        <w:t>Koyuncu</w:t>
      </w:r>
      <w:proofErr w:type="spellEnd"/>
      <w:r w:rsidRPr="00443048">
        <w:rPr>
          <w:rFonts w:eastAsia="Times New Roman" w:cs="Times New Roman"/>
          <w:sz w:val="24"/>
          <w:szCs w:val="24"/>
          <w:lang w:eastAsia="en-GB"/>
        </w:rPr>
        <w:t xml:space="preserve"> I, </w:t>
      </w:r>
      <w:proofErr w:type="spellStart"/>
      <w:r w:rsidRPr="00443048">
        <w:rPr>
          <w:rFonts w:eastAsia="Times New Roman" w:cs="Times New Roman"/>
          <w:sz w:val="24"/>
          <w:szCs w:val="24"/>
          <w:lang w:eastAsia="en-GB"/>
        </w:rPr>
        <w:t>İncebıyık</w:t>
      </w:r>
      <w:proofErr w:type="spellEnd"/>
      <w:r w:rsidRPr="00443048">
        <w:rPr>
          <w:rFonts w:eastAsia="Times New Roman" w:cs="Times New Roman"/>
          <w:sz w:val="24"/>
          <w:szCs w:val="24"/>
          <w:lang w:eastAsia="en-GB"/>
        </w:rPr>
        <w:t xml:space="preserve"> H, </w:t>
      </w:r>
      <w:proofErr w:type="spellStart"/>
      <w:r w:rsidRPr="00443048">
        <w:rPr>
          <w:rFonts w:eastAsia="Times New Roman" w:cs="Times New Roman"/>
          <w:sz w:val="24"/>
          <w:szCs w:val="24"/>
          <w:lang w:eastAsia="en-GB"/>
        </w:rPr>
        <w:t>Karakaş</w:t>
      </w:r>
      <w:proofErr w:type="spellEnd"/>
      <w:r w:rsidRPr="00443048">
        <w:rPr>
          <w:rFonts w:eastAsia="Times New Roman" w:cs="Times New Roman"/>
          <w:sz w:val="24"/>
          <w:szCs w:val="24"/>
          <w:lang w:eastAsia="en-GB"/>
        </w:rPr>
        <w:t xml:space="preserve"> H, </w:t>
      </w:r>
      <w:proofErr w:type="spellStart"/>
      <w:r w:rsidRPr="00443048">
        <w:rPr>
          <w:rFonts w:eastAsia="Times New Roman" w:cs="Times New Roman"/>
          <w:sz w:val="24"/>
          <w:szCs w:val="24"/>
          <w:lang w:eastAsia="en-GB"/>
        </w:rPr>
        <w:t>Erel</w:t>
      </w:r>
      <w:proofErr w:type="spellEnd"/>
      <w:r w:rsidRPr="00443048">
        <w:rPr>
          <w:rFonts w:eastAsia="Times New Roman" w:cs="Times New Roman"/>
          <w:sz w:val="24"/>
          <w:szCs w:val="24"/>
          <w:lang w:eastAsia="en-GB"/>
        </w:rPr>
        <w:t xml:space="preserve"> Ö and </w:t>
      </w:r>
      <w:proofErr w:type="spellStart"/>
      <w:r w:rsidRPr="00443048">
        <w:rPr>
          <w:rFonts w:eastAsia="Times New Roman" w:cs="Times New Roman"/>
          <w:sz w:val="24"/>
          <w:szCs w:val="24"/>
          <w:lang w:eastAsia="en-GB"/>
        </w:rPr>
        <w:t>Tevfik</w:t>
      </w:r>
      <w:proofErr w:type="spellEnd"/>
      <w:r w:rsidRPr="00443048">
        <w:rPr>
          <w:rFonts w:eastAsia="Times New Roman" w:cs="Times New Roman"/>
          <w:sz w:val="24"/>
          <w:szCs w:val="24"/>
          <w:lang w:eastAsia="en-GB"/>
        </w:rPr>
        <w:t xml:space="preserve"> S. The evaluation of thiol/disulphide homeostasis in diabetic nephropathy, Diabetes Research and Clinical Practice, 2019; </w:t>
      </w:r>
      <w:proofErr w:type="gramStart"/>
      <w:r w:rsidRPr="00443048">
        <w:rPr>
          <w:rFonts w:eastAsia="Times New Roman" w:cs="Times New Roman"/>
          <w:sz w:val="24"/>
          <w:szCs w:val="24"/>
          <w:lang w:eastAsia="en-GB"/>
        </w:rPr>
        <w:t>148 :</w:t>
      </w:r>
      <w:proofErr w:type="gramEnd"/>
      <w:r w:rsidRPr="00443048">
        <w:rPr>
          <w:rFonts w:eastAsia="Times New Roman" w:cs="Times New Roman"/>
          <w:sz w:val="24"/>
          <w:szCs w:val="24"/>
          <w:lang w:eastAsia="en-GB"/>
        </w:rPr>
        <w:t xml:space="preserve"> 249-253</w:t>
      </w:r>
    </w:p>
    <w:p w14:paraId="0FBBC0B1" w14:textId="2E458343" w:rsidR="00061F74" w:rsidRPr="00443048" w:rsidRDefault="00061F74" w:rsidP="00F41789">
      <w:pPr>
        <w:pStyle w:val="ListParagraph"/>
        <w:numPr>
          <w:ilvl w:val="0"/>
          <w:numId w:val="1"/>
        </w:numPr>
        <w:spacing w:line="480" w:lineRule="auto"/>
        <w:jc w:val="both"/>
        <w:rPr>
          <w:sz w:val="24"/>
          <w:szCs w:val="24"/>
        </w:rPr>
      </w:pPr>
      <w:r w:rsidRPr="00443048">
        <w:rPr>
          <w:sz w:val="24"/>
          <w:szCs w:val="24"/>
        </w:rPr>
        <w:t xml:space="preserve">Neves KB, </w:t>
      </w:r>
      <w:proofErr w:type="spellStart"/>
      <w:r w:rsidRPr="00443048">
        <w:rPr>
          <w:sz w:val="24"/>
          <w:szCs w:val="24"/>
        </w:rPr>
        <w:t>Montezano</w:t>
      </w:r>
      <w:proofErr w:type="spellEnd"/>
      <w:r w:rsidRPr="00443048">
        <w:rPr>
          <w:sz w:val="24"/>
          <w:szCs w:val="24"/>
        </w:rPr>
        <w:t xml:space="preserve"> AC, Alves-Lopes R, et al. Upregulation of Nrf2 and Decreased Redox </w:t>
      </w:r>
      <w:proofErr w:type="spellStart"/>
      <w:r w:rsidRPr="00443048">
        <w:rPr>
          <w:sz w:val="24"/>
          <w:szCs w:val="24"/>
        </w:rPr>
        <w:t>Signaling</w:t>
      </w:r>
      <w:proofErr w:type="spellEnd"/>
      <w:r w:rsidRPr="00443048">
        <w:rPr>
          <w:sz w:val="24"/>
          <w:szCs w:val="24"/>
        </w:rPr>
        <w:t xml:space="preserve"> Contribute to </w:t>
      </w:r>
      <w:proofErr w:type="spellStart"/>
      <w:r w:rsidRPr="00443048">
        <w:rPr>
          <w:sz w:val="24"/>
          <w:szCs w:val="24"/>
        </w:rPr>
        <w:t>Renoprotective</w:t>
      </w:r>
      <w:proofErr w:type="spellEnd"/>
      <w:r w:rsidRPr="00443048">
        <w:rPr>
          <w:sz w:val="24"/>
          <w:szCs w:val="24"/>
        </w:rPr>
        <w:t xml:space="preserve"> Effects of Chemerin Receptor Blockade in Diabetic Mice. </w:t>
      </w:r>
      <w:r w:rsidRPr="00443048">
        <w:rPr>
          <w:iCs/>
          <w:sz w:val="24"/>
          <w:szCs w:val="24"/>
        </w:rPr>
        <w:t>Int J Mol Sci</w:t>
      </w:r>
      <w:r w:rsidRPr="00443048">
        <w:rPr>
          <w:sz w:val="24"/>
          <w:szCs w:val="24"/>
        </w:rPr>
        <w:t xml:space="preserve">. 2018;19(8):2454. </w:t>
      </w:r>
    </w:p>
    <w:p w14:paraId="6B1D6717" w14:textId="13C12DE6" w:rsidR="00FE2B0F" w:rsidRPr="00443048" w:rsidRDefault="00BC5AD1" w:rsidP="00490494">
      <w:pPr>
        <w:pStyle w:val="ListParagraph"/>
        <w:numPr>
          <w:ilvl w:val="0"/>
          <w:numId w:val="1"/>
        </w:numPr>
        <w:spacing w:line="480" w:lineRule="auto"/>
        <w:jc w:val="both"/>
        <w:rPr>
          <w:rFonts w:eastAsia="Times New Roman" w:cs="Times New Roman"/>
          <w:b/>
          <w:bCs/>
          <w:sz w:val="24"/>
          <w:szCs w:val="24"/>
          <w:lang w:eastAsia="en-GB"/>
        </w:rPr>
      </w:pPr>
      <w:r w:rsidRPr="00443048">
        <w:rPr>
          <w:sz w:val="24"/>
          <w:szCs w:val="24"/>
        </w:rPr>
        <w:t xml:space="preserve">Small DM, Sanchez WY, Roy SF, </w:t>
      </w:r>
      <w:proofErr w:type="spellStart"/>
      <w:r w:rsidRPr="00443048">
        <w:rPr>
          <w:sz w:val="24"/>
          <w:szCs w:val="24"/>
        </w:rPr>
        <w:t>Morais</w:t>
      </w:r>
      <w:proofErr w:type="spellEnd"/>
      <w:r w:rsidRPr="00443048">
        <w:rPr>
          <w:sz w:val="24"/>
          <w:szCs w:val="24"/>
        </w:rPr>
        <w:t xml:space="preserve"> C, Brooks HL, Coombes JS, et al. N-acetyl cysteine increases cellular dysfunction in progressive chronic kidney damage after acute kidney injury by dampening endogenous antioxidant responses. Am J </w:t>
      </w:r>
      <w:proofErr w:type="spellStart"/>
      <w:r w:rsidRPr="00443048">
        <w:rPr>
          <w:sz w:val="24"/>
          <w:szCs w:val="24"/>
        </w:rPr>
        <w:t>Physiol</w:t>
      </w:r>
      <w:proofErr w:type="spellEnd"/>
      <w:r w:rsidRPr="00443048">
        <w:rPr>
          <w:sz w:val="24"/>
          <w:szCs w:val="24"/>
        </w:rPr>
        <w:t xml:space="preserve"> Renal </w:t>
      </w:r>
      <w:proofErr w:type="spellStart"/>
      <w:r w:rsidRPr="00443048">
        <w:rPr>
          <w:sz w:val="24"/>
          <w:szCs w:val="24"/>
        </w:rPr>
        <w:t>Physiol</w:t>
      </w:r>
      <w:proofErr w:type="spellEnd"/>
      <w:r w:rsidRPr="00443048">
        <w:rPr>
          <w:sz w:val="24"/>
          <w:szCs w:val="24"/>
        </w:rPr>
        <w:t xml:space="preserve"> 2018;314(5</w:t>
      </w:r>
      <w:proofErr w:type="gramStart"/>
      <w:r w:rsidRPr="00443048">
        <w:rPr>
          <w:sz w:val="24"/>
          <w:szCs w:val="24"/>
        </w:rPr>
        <w:t>):F</w:t>
      </w:r>
      <w:proofErr w:type="gramEnd"/>
      <w:r w:rsidRPr="00443048">
        <w:rPr>
          <w:sz w:val="24"/>
          <w:szCs w:val="24"/>
        </w:rPr>
        <w:t>956-F968.</w:t>
      </w:r>
      <w:r w:rsidR="00FE2B0F" w:rsidRPr="00443048">
        <w:rPr>
          <w:rFonts w:eastAsia="Times New Roman" w:cs="Times New Roman"/>
          <w:b/>
          <w:bCs/>
          <w:sz w:val="24"/>
          <w:szCs w:val="24"/>
          <w:lang w:eastAsia="en-GB"/>
        </w:rPr>
        <w:br w:type="page"/>
      </w:r>
    </w:p>
    <w:p w14:paraId="6F3D476E" w14:textId="77777777" w:rsidR="00486521" w:rsidRPr="00443048" w:rsidRDefault="00486521" w:rsidP="00604B88">
      <w:pPr>
        <w:spacing w:before="100" w:beforeAutospacing="1" w:after="100" w:afterAutospacing="1" w:line="480" w:lineRule="auto"/>
        <w:jc w:val="both"/>
        <w:textAlignment w:val="baseline"/>
        <w:rPr>
          <w:rFonts w:eastAsia="Times New Roman" w:cs="Times New Roman"/>
          <w:b/>
          <w:bCs/>
          <w:sz w:val="24"/>
          <w:szCs w:val="24"/>
          <w:lang w:eastAsia="en-GB"/>
        </w:rPr>
      </w:pPr>
    </w:p>
    <w:p w14:paraId="4756588A" w14:textId="1453E257" w:rsidR="00486521" w:rsidRPr="00443048" w:rsidRDefault="00486521" w:rsidP="00604B88">
      <w:pPr>
        <w:spacing w:before="100" w:beforeAutospacing="1" w:after="100" w:afterAutospacing="1" w:line="480" w:lineRule="auto"/>
        <w:jc w:val="both"/>
        <w:textAlignment w:val="baseline"/>
        <w:rPr>
          <w:rFonts w:eastAsia="Times New Roman" w:cs="Times New Roman"/>
          <w:b/>
          <w:bCs/>
          <w:sz w:val="24"/>
          <w:szCs w:val="24"/>
          <w:lang w:eastAsia="en-GB"/>
        </w:rPr>
      </w:pPr>
      <w:r w:rsidRPr="00443048">
        <w:rPr>
          <w:rFonts w:eastAsia="Times New Roman" w:cs="Times New Roman"/>
          <w:b/>
          <w:bCs/>
          <w:sz w:val="24"/>
          <w:szCs w:val="24"/>
          <w:lang w:eastAsia="en-GB"/>
        </w:rPr>
        <w:t>Figure Legen</w:t>
      </w:r>
      <w:r w:rsidR="00A52A30" w:rsidRPr="00443048">
        <w:rPr>
          <w:rFonts w:eastAsia="Times New Roman" w:cs="Times New Roman"/>
          <w:b/>
          <w:bCs/>
          <w:sz w:val="24"/>
          <w:szCs w:val="24"/>
          <w:lang w:eastAsia="en-GB"/>
        </w:rPr>
        <w:t>ds</w:t>
      </w:r>
    </w:p>
    <w:p w14:paraId="711EDF5C" w14:textId="501FB553" w:rsidR="009C0ABE" w:rsidRPr="00443048" w:rsidRDefault="009C0ABE" w:rsidP="00604B88">
      <w:pPr>
        <w:spacing w:before="100" w:beforeAutospacing="1" w:after="100" w:afterAutospacing="1" w:line="480" w:lineRule="auto"/>
        <w:jc w:val="both"/>
        <w:textAlignment w:val="baseline"/>
        <w:rPr>
          <w:rFonts w:eastAsia="Times New Roman" w:cs="Times New Roman"/>
          <w:sz w:val="24"/>
          <w:szCs w:val="24"/>
          <w:lang w:eastAsia="en-GB"/>
        </w:rPr>
      </w:pPr>
      <w:r w:rsidRPr="00443048">
        <w:rPr>
          <w:rFonts w:eastAsia="Times New Roman" w:cs="Times New Roman"/>
          <w:b/>
          <w:bCs/>
          <w:sz w:val="24"/>
          <w:szCs w:val="24"/>
          <w:lang w:eastAsia="en-GB"/>
        </w:rPr>
        <w:t>Figure 1.</w:t>
      </w:r>
    </w:p>
    <w:p w14:paraId="6B7C14A8" w14:textId="57CD6EE8" w:rsidR="009C0ABE" w:rsidRPr="00443048" w:rsidRDefault="00CB01A9" w:rsidP="00604B88">
      <w:pPr>
        <w:spacing w:before="100" w:beforeAutospacing="1" w:after="100" w:afterAutospacing="1" w:line="480" w:lineRule="auto"/>
        <w:jc w:val="both"/>
        <w:textAlignment w:val="baseline"/>
        <w:rPr>
          <w:rFonts w:eastAsia="Times New Roman" w:cs="Times New Roman"/>
          <w:sz w:val="24"/>
          <w:szCs w:val="24"/>
          <w:lang w:eastAsia="en-GB"/>
        </w:rPr>
      </w:pPr>
      <w:r w:rsidRPr="00443048">
        <w:rPr>
          <w:rFonts w:eastAsia="Times New Roman" w:cs="Times New Roman"/>
          <w:sz w:val="24"/>
          <w:szCs w:val="24"/>
          <w:lang w:eastAsia="en-GB"/>
        </w:rPr>
        <w:t>Flow diagram</w:t>
      </w:r>
    </w:p>
    <w:p w14:paraId="191C6483" w14:textId="62AC00D5" w:rsidR="00CB1AC3" w:rsidRPr="00443048" w:rsidRDefault="00CB1AC3" w:rsidP="00604B88">
      <w:pPr>
        <w:spacing w:before="100" w:beforeAutospacing="1" w:after="100" w:afterAutospacing="1" w:line="480" w:lineRule="auto"/>
        <w:jc w:val="both"/>
        <w:textAlignment w:val="baseline"/>
        <w:rPr>
          <w:rFonts w:eastAsia="Times New Roman" w:cs="Times New Roman"/>
          <w:b/>
          <w:bCs/>
          <w:sz w:val="24"/>
          <w:szCs w:val="24"/>
          <w:lang w:eastAsia="en-GB"/>
        </w:rPr>
      </w:pPr>
      <w:r w:rsidRPr="00443048">
        <w:rPr>
          <w:rFonts w:eastAsia="Times New Roman" w:cs="Times New Roman"/>
          <w:b/>
          <w:bCs/>
          <w:sz w:val="24"/>
          <w:szCs w:val="24"/>
          <w:lang w:eastAsia="en-GB"/>
        </w:rPr>
        <w:t xml:space="preserve">Figure </w:t>
      </w:r>
      <w:r w:rsidR="009C0ABE" w:rsidRPr="00443048">
        <w:rPr>
          <w:rFonts w:eastAsia="Times New Roman" w:cs="Times New Roman"/>
          <w:b/>
          <w:bCs/>
          <w:sz w:val="24"/>
          <w:szCs w:val="24"/>
          <w:lang w:eastAsia="en-GB"/>
        </w:rPr>
        <w:t>2</w:t>
      </w:r>
      <w:r w:rsidRPr="00443048">
        <w:rPr>
          <w:rFonts w:eastAsia="Times New Roman" w:cs="Times New Roman"/>
          <w:b/>
          <w:bCs/>
          <w:sz w:val="24"/>
          <w:szCs w:val="24"/>
          <w:lang w:eastAsia="en-GB"/>
        </w:rPr>
        <w:t>.</w:t>
      </w:r>
    </w:p>
    <w:p w14:paraId="78C05406" w14:textId="7148C443" w:rsidR="00A52A30" w:rsidRPr="00443048" w:rsidRDefault="00CB1AC3" w:rsidP="00604B88">
      <w:pPr>
        <w:spacing w:before="100" w:beforeAutospacing="1" w:after="100" w:afterAutospacing="1" w:line="480" w:lineRule="auto"/>
        <w:jc w:val="both"/>
        <w:textAlignment w:val="baseline"/>
        <w:rPr>
          <w:rFonts w:eastAsia="Times New Roman" w:cs="Times New Roman"/>
          <w:sz w:val="24"/>
          <w:szCs w:val="24"/>
          <w:lang w:eastAsia="en-GB"/>
        </w:rPr>
      </w:pPr>
      <w:r w:rsidRPr="00443048">
        <w:rPr>
          <w:rFonts w:eastAsia="Times New Roman" w:cs="Times New Roman"/>
          <w:sz w:val="24"/>
          <w:szCs w:val="24"/>
          <w:lang w:eastAsia="en-GB"/>
        </w:rPr>
        <w:t>Time to peak rise (TPR) in eGFR (hashed vertical lines) as predicted by models of the absolute values accounting for the treatment effect only. The horizontal bars on the right depict the effect of ethnicity on the TPR which are significantly prolonged in the non-Caucasians patient groups.</w:t>
      </w:r>
    </w:p>
    <w:p w14:paraId="4192A3CB" w14:textId="77777777" w:rsidR="00203213" w:rsidRPr="00443048" w:rsidRDefault="00203213" w:rsidP="00604B88">
      <w:pPr>
        <w:spacing w:before="100" w:beforeAutospacing="1" w:after="100" w:afterAutospacing="1" w:line="480" w:lineRule="auto"/>
        <w:jc w:val="both"/>
        <w:textAlignment w:val="baseline"/>
        <w:rPr>
          <w:rFonts w:eastAsia="Times New Roman" w:cs="Times New Roman"/>
          <w:b/>
          <w:bCs/>
          <w:sz w:val="24"/>
          <w:szCs w:val="24"/>
          <w:lang w:eastAsia="en-GB"/>
        </w:rPr>
      </w:pPr>
    </w:p>
    <w:p w14:paraId="4C70C7E5" w14:textId="34E4FDF4" w:rsidR="00203213" w:rsidRPr="00443048" w:rsidRDefault="00203213" w:rsidP="00604B88">
      <w:pPr>
        <w:spacing w:before="100" w:beforeAutospacing="1" w:after="100" w:afterAutospacing="1" w:line="480" w:lineRule="auto"/>
        <w:jc w:val="both"/>
        <w:textAlignment w:val="baseline"/>
        <w:rPr>
          <w:rFonts w:eastAsia="Times New Roman" w:cs="Times New Roman"/>
          <w:b/>
          <w:bCs/>
          <w:sz w:val="24"/>
          <w:szCs w:val="24"/>
          <w:lang w:eastAsia="en-GB"/>
        </w:rPr>
      </w:pPr>
      <w:r w:rsidRPr="00443048">
        <w:rPr>
          <w:rFonts w:eastAsia="Times New Roman" w:cs="Times New Roman"/>
          <w:b/>
          <w:bCs/>
          <w:sz w:val="24"/>
          <w:szCs w:val="24"/>
          <w:lang w:eastAsia="en-GB"/>
        </w:rPr>
        <w:t>Figure 3.</w:t>
      </w:r>
    </w:p>
    <w:p w14:paraId="11EAE7B7" w14:textId="5FE8F296" w:rsidR="00203213" w:rsidRPr="00443048" w:rsidRDefault="00396E99" w:rsidP="00604B88">
      <w:pPr>
        <w:spacing w:before="100" w:beforeAutospacing="1" w:after="100" w:afterAutospacing="1" w:line="480" w:lineRule="auto"/>
        <w:jc w:val="both"/>
        <w:textAlignment w:val="baseline"/>
        <w:rPr>
          <w:rFonts w:eastAsia="Times New Roman" w:cs="Times New Roman"/>
          <w:b/>
          <w:bCs/>
          <w:sz w:val="24"/>
          <w:szCs w:val="24"/>
          <w:lang w:eastAsia="en-GB"/>
        </w:rPr>
      </w:pPr>
      <w:r w:rsidRPr="00443048">
        <w:rPr>
          <w:sz w:val="24"/>
          <w:szCs w:val="24"/>
        </w:rPr>
        <w:t xml:space="preserve">Representative TIC </w:t>
      </w:r>
      <w:r w:rsidR="00D44603">
        <w:rPr>
          <w:sz w:val="24"/>
          <w:szCs w:val="24"/>
        </w:rPr>
        <w:t xml:space="preserve">graph </w:t>
      </w:r>
      <w:r w:rsidRPr="00443048">
        <w:rPr>
          <w:sz w:val="24"/>
          <w:szCs w:val="24"/>
        </w:rPr>
        <w:t>before and after the antioxidant treatment.</w:t>
      </w:r>
      <w:r w:rsidR="009C2772" w:rsidRPr="009C2772">
        <w:t xml:space="preserve"> </w:t>
      </w:r>
      <w:r w:rsidR="009C2772" w:rsidRPr="009C2772">
        <w:rPr>
          <w:sz w:val="24"/>
          <w:szCs w:val="24"/>
        </w:rPr>
        <w:t>Intensity of enhancement of renal cortex after the bolus injection of contrast agent is continuously monitored until wash out is complete. AUC1 is defined as the area under the ascending slope and AUC2 is the area under the descending curve.</w:t>
      </w:r>
      <w:r w:rsidR="009C2772">
        <w:rPr>
          <w:sz w:val="24"/>
          <w:szCs w:val="24"/>
        </w:rPr>
        <w:t xml:space="preserve"> After antioxidant treatment the peak intensity was reach</w:t>
      </w:r>
      <w:r w:rsidR="00D44603">
        <w:rPr>
          <w:sz w:val="24"/>
          <w:szCs w:val="24"/>
        </w:rPr>
        <w:t>ed in shorter time and AUCs</w:t>
      </w:r>
      <w:r w:rsidR="009C2772">
        <w:rPr>
          <w:sz w:val="24"/>
          <w:szCs w:val="24"/>
        </w:rPr>
        <w:t xml:space="preserve"> reduced </w:t>
      </w:r>
      <w:r w:rsidR="00BD3BFD">
        <w:rPr>
          <w:sz w:val="24"/>
          <w:szCs w:val="24"/>
        </w:rPr>
        <w:t xml:space="preserve">consistent with improved perfusion. </w:t>
      </w:r>
    </w:p>
    <w:p w14:paraId="1ADA057E" w14:textId="77777777" w:rsidR="00BD3BFD" w:rsidRDefault="00BD3BFD" w:rsidP="00604B88">
      <w:pPr>
        <w:spacing w:before="100" w:beforeAutospacing="1" w:after="100" w:afterAutospacing="1" w:line="480" w:lineRule="auto"/>
        <w:jc w:val="both"/>
        <w:textAlignment w:val="baseline"/>
        <w:rPr>
          <w:rFonts w:eastAsia="Times New Roman" w:cs="Times New Roman"/>
          <w:b/>
          <w:bCs/>
          <w:sz w:val="24"/>
          <w:szCs w:val="24"/>
          <w:lang w:eastAsia="en-GB"/>
        </w:rPr>
      </w:pPr>
    </w:p>
    <w:p w14:paraId="39117C34" w14:textId="77777777" w:rsidR="00BD3BFD" w:rsidRDefault="00BD3BFD" w:rsidP="00604B88">
      <w:pPr>
        <w:spacing w:before="100" w:beforeAutospacing="1" w:after="100" w:afterAutospacing="1" w:line="480" w:lineRule="auto"/>
        <w:jc w:val="both"/>
        <w:textAlignment w:val="baseline"/>
        <w:rPr>
          <w:rFonts w:eastAsia="Times New Roman" w:cs="Times New Roman"/>
          <w:b/>
          <w:bCs/>
          <w:sz w:val="24"/>
          <w:szCs w:val="24"/>
          <w:lang w:eastAsia="en-GB"/>
        </w:rPr>
      </w:pPr>
    </w:p>
    <w:p w14:paraId="6550348B" w14:textId="77777777" w:rsidR="00654E79" w:rsidRDefault="00654E79" w:rsidP="00604B88">
      <w:pPr>
        <w:spacing w:before="100" w:beforeAutospacing="1" w:after="100" w:afterAutospacing="1" w:line="480" w:lineRule="auto"/>
        <w:jc w:val="both"/>
        <w:textAlignment w:val="baseline"/>
        <w:rPr>
          <w:rFonts w:eastAsia="Times New Roman" w:cs="Times New Roman"/>
          <w:b/>
          <w:bCs/>
          <w:sz w:val="24"/>
          <w:szCs w:val="24"/>
          <w:lang w:eastAsia="en-GB"/>
        </w:rPr>
      </w:pPr>
    </w:p>
    <w:p w14:paraId="42489D8C" w14:textId="0BCB50E4" w:rsidR="006C05E3" w:rsidRPr="00443048" w:rsidRDefault="006C05E3" w:rsidP="00604B88">
      <w:pPr>
        <w:spacing w:before="100" w:beforeAutospacing="1" w:after="100" w:afterAutospacing="1" w:line="480" w:lineRule="auto"/>
        <w:jc w:val="both"/>
        <w:textAlignment w:val="baseline"/>
        <w:rPr>
          <w:rFonts w:eastAsia="Times New Roman" w:cs="Times New Roman"/>
          <w:b/>
          <w:bCs/>
          <w:sz w:val="24"/>
          <w:szCs w:val="24"/>
          <w:lang w:eastAsia="en-GB"/>
        </w:rPr>
      </w:pPr>
      <w:r w:rsidRPr="00443048">
        <w:rPr>
          <w:rFonts w:eastAsia="Times New Roman" w:cs="Times New Roman"/>
          <w:b/>
          <w:bCs/>
          <w:sz w:val="24"/>
          <w:szCs w:val="24"/>
          <w:lang w:eastAsia="en-GB"/>
        </w:rPr>
        <w:lastRenderedPageBreak/>
        <w:t xml:space="preserve">Figure </w:t>
      </w:r>
      <w:r w:rsidR="009C0ABE" w:rsidRPr="00443048">
        <w:rPr>
          <w:rFonts w:eastAsia="Times New Roman" w:cs="Times New Roman"/>
          <w:b/>
          <w:bCs/>
          <w:sz w:val="24"/>
          <w:szCs w:val="24"/>
          <w:lang w:eastAsia="en-GB"/>
        </w:rPr>
        <w:t>4</w:t>
      </w:r>
      <w:r w:rsidRPr="00443048">
        <w:rPr>
          <w:rFonts w:eastAsia="Times New Roman" w:cs="Times New Roman"/>
          <w:b/>
          <w:bCs/>
          <w:sz w:val="24"/>
          <w:szCs w:val="24"/>
          <w:lang w:eastAsia="en-GB"/>
        </w:rPr>
        <w:t>.</w:t>
      </w:r>
    </w:p>
    <w:p w14:paraId="0EF33B96" w14:textId="43339235" w:rsidR="001509CA" w:rsidRPr="00443048" w:rsidRDefault="00617E1A" w:rsidP="00F41789">
      <w:pPr>
        <w:spacing w:before="100" w:beforeAutospacing="1" w:after="100" w:afterAutospacing="1" w:line="480" w:lineRule="auto"/>
        <w:jc w:val="both"/>
        <w:textAlignment w:val="baseline"/>
        <w:rPr>
          <w:rFonts w:eastAsia="Times New Roman" w:cs="Times New Roman"/>
          <w:sz w:val="24"/>
          <w:szCs w:val="24"/>
          <w:lang w:eastAsia="en-GB"/>
        </w:rPr>
      </w:pPr>
      <w:r w:rsidRPr="00443048">
        <w:rPr>
          <w:rFonts w:eastAsia="Times New Roman" w:cs="Times New Roman"/>
          <w:sz w:val="24"/>
          <w:szCs w:val="24"/>
          <w:lang w:eastAsia="en-GB"/>
        </w:rPr>
        <w:t xml:space="preserve">Mean [95% confidence interval] percentage change in eGFR at 12 months follow-up of patients with type 2 diabetes </w:t>
      </w:r>
      <w:r w:rsidR="00D44603">
        <w:rPr>
          <w:rFonts w:eastAsia="Times New Roman" w:cs="Times New Roman"/>
          <w:sz w:val="24"/>
          <w:szCs w:val="24"/>
          <w:lang w:eastAsia="en-GB"/>
        </w:rPr>
        <w:t xml:space="preserve">after adjustment for age and albuminuria and </w:t>
      </w:r>
      <w:r w:rsidRPr="00443048">
        <w:rPr>
          <w:rFonts w:eastAsia="Times New Roman" w:cs="Times New Roman"/>
          <w:sz w:val="24"/>
          <w:szCs w:val="24"/>
          <w:lang w:eastAsia="en-GB"/>
        </w:rPr>
        <w:t>stratified by ethnic group, GPx-3 status and allocated treatments.</w:t>
      </w:r>
    </w:p>
    <w:p w14:paraId="5B686362" w14:textId="5032DF53" w:rsidR="00F971DD" w:rsidRPr="00443048" w:rsidRDefault="00F971DD" w:rsidP="00604B88">
      <w:pPr>
        <w:jc w:val="both"/>
        <w:rPr>
          <w:b/>
          <w:bCs/>
          <w:sz w:val="24"/>
          <w:szCs w:val="24"/>
        </w:rPr>
      </w:pPr>
    </w:p>
    <w:sectPr w:rsidR="00F971DD" w:rsidRPr="00443048" w:rsidSect="0061662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9865C" w14:textId="77777777" w:rsidR="00672674" w:rsidRDefault="00672674" w:rsidP="00C13A00">
      <w:pPr>
        <w:spacing w:after="0" w:line="240" w:lineRule="auto"/>
      </w:pPr>
      <w:r>
        <w:separator/>
      </w:r>
    </w:p>
  </w:endnote>
  <w:endnote w:type="continuationSeparator" w:id="0">
    <w:p w14:paraId="5DAA3EDF" w14:textId="77777777" w:rsidR="00672674" w:rsidRDefault="00672674" w:rsidP="00C13A00">
      <w:pPr>
        <w:spacing w:after="0" w:line="240" w:lineRule="auto"/>
      </w:pPr>
      <w:r>
        <w:continuationSeparator/>
      </w:r>
    </w:p>
  </w:endnote>
  <w:endnote w:type="continuationNotice" w:id="1">
    <w:p w14:paraId="56CF6FFE" w14:textId="77777777" w:rsidR="00672674" w:rsidRDefault="00672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 Helvetica"/>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altName w:val="Times New Roman"/>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OTNEJMScalaSansLF">
    <w:altName w:val="MS Gothic"/>
    <w:panose1 w:val="00000000000000000000"/>
    <w:charset w:val="80"/>
    <w:family w:val="swiss"/>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054232"/>
      <w:docPartObj>
        <w:docPartGallery w:val="Page Numbers (Bottom of Page)"/>
        <w:docPartUnique/>
      </w:docPartObj>
    </w:sdtPr>
    <w:sdtEndPr>
      <w:rPr>
        <w:noProof/>
      </w:rPr>
    </w:sdtEndPr>
    <w:sdtContent>
      <w:p w14:paraId="26F6EDBC" w14:textId="06D3A241" w:rsidR="00226E2D" w:rsidRDefault="00226E2D">
        <w:pPr>
          <w:pStyle w:val="Footer"/>
          <w:jc w:val="center"/>
        </w:pPr>
        <w:r>
          <w:fldChar w:fldCharType="begin"/>
        </w:r>
        <w:r>
          <w:instrText xml:space="preserve"> PAGE   \* MERGEFORMAT </w:instrText>
        </w:r>
        <w:r>
          <w:fldChar w:fldCharType="separate"/>
        </w:r>
        <w:r w:rsidR="005E5235">
          <w:rPr>
            <w:noProof/>
          </w:rPr>
          <w:t>1</w:t>
        </w:r>
        <w:r>
          <w:rPr>
            <w:noProof/>
          </w:rPr>
          <w:fldChar w:fldCharType="end"/>
        </w:r>
      </w:p>
    </w:sdtContent>
  </w:sdt>
  <w:p w14:paraId="07947AFD" w14:textId="77777777" w:rsidR="00226E2D" w:rsidRDefault="0022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955BA" w14:textId="77777777" w:rsidR="00672674" w:rsidRDefault="00672674" w:rsidP="00C13A00">
      <w:pPr>
        <w:spacing w:after="0" w:line="240" w:lineRule="auto"/>
      </w:pPr>
      <w:r>
        <w:separator/>
      </w:r>
    </w:p>
  </w:footnote>
  <w:footnote w:type="continuationSeparator" w:id="0">
    <w:p w14:paraId="3AEA718A" w14:textId="77777777" w:rsidR="00672674" w:rsidRDefault="00672674" w:rsidP="00C13A00">
      <w:pPr>
        <w:spacing w:after="0" w:line="240" w:lineRule="auto"/>
      </w:pPr>
      <w:r>
        <w:continuationSeparator/>
      </w:r>
    </w:p>
  </w:footnote>
  <w:footnote w:type="continuationNotice" w:id="1">
    <w:p w14:paraId="15B0943A" w14:textId="77777777" w:rsidR="00672674" w:rsidRDefault="006726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226E2D" w14:paraId="4C8E26F5" w14:textId="77777777" w:rsidTr="1537F495">
      <w:tc>
        <w:tcPr>
          <w:tcW w:w="3009" w:type="dxa"/>
        </w:tcPr>
        <w:p w14:paraId="229C076D" w14:textId="0A5DAAC9" w:rsidR="00226E2D" w:rsidRDefault="00226E2D" w:rsidP="1537F495">
          <w:pPr>
            <w:pStyle w:val="Header"/>
            <w:ind w:left="-115"/>
          </w:pPr>
        </w:p>
      </w:tc>
      <w:tc>
        <w:tcPr>
          <w:tcW w:w="3009" w:type="dxa"/>
        </w:tcPr>
        <w:p w14:paraId="3C09074B" w14:textId="2D215606" w:rsidR="00226E2D" w:rsidRDefault="00226E2D" w:rsidP="1537F495">
          <w:pPr>
            <w:pStyle w:val="Header"/>
            <w:jc w:val="center"/>
          </w:pPr>
        </w:p>
      </w:tc>
      <w:tc>
        <w:tcPr>
          <w:tcW w:w="3009" w:type="dxa"/>
        </w:tcPr>
        <w:p w14:paraId="5E52345E" w14:textId="19024636" w:rsidR="00226E2D" w:rsidRDefault="00226E2D" w:rsidP="1537F495">
          <w:pPr>
            <w:pStyle w:val="Header"/>
            <w:ind w:right="-115"/>
            <w:jc w:val="right"/>
          </w:pPr>
        </w:p>
      </w:tc>
    </w:tr>
  </w:tbl>
  <w:p w14:paraId="310493DF" w14:textId="19D391DF" w:rsidR="00226E2D" w:rsidRDefault="00226E2D" w:rsidP="1537F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C74C0"/>
    <w:multiLevelType w:val="hybridMultilevel"/>
    <w:tmpl w:val="812881AC"/>
    <w:lvl w:ilvl="0" w:tplc="47C8174E">
      <w:start w:val="1"/>
      <w:numFmt w:val="bullet"/>
      <w:lvlText w:val="•"/>
      <w:lvlJc w:val="left"/>
      <w:pPr>
        <w:tabs>
          <w:tab w:val="num" w:pos="720"/>
        </w:tabs>
        <w:ind w:left="720" w:hanging="360"/>
      </w:pPr>
      <w:rPr>
        <w:rFonts w:ascii="Arial" w:hAnsi="Arial" w:hint="default"/>
      </w:rPr>
    </w:lvl>
    <w:lvl w:ilvl="1" w:tplc="4DA6659E" w:tentative="1">
      <w:start w:val="1"/>
      <w:numFmt w:val="bullet"/>
      <w:lvlText w:val="•"/>
      <w:lvlJc w:val="left"/>
      <w:pPr>
        <w:tabs>
          <w:tab w:val="num" w:pos="1440"/>
        </w:tabs>
        <w:ind w:left="1440" w:hanging="360"/>
      </w:pPr>
      <w:rPr>
        <w:rFonts w:ascii="Arial" w:hAnsi="Arial" w:hint="default"/>
      </w:rPr>
    </w:lvl>
    <w:lvl w:ilvl="2" w:tplc="E668D960" w:tentative="1">
      <w:start w:val="1"/>
      <w:numFmt w:val="bullet"/>
      <w:lvlText w:val="•"/>
      <w:lvlJc w:val="left"/>
      <w:pPr>
        <w:tabs>
          <w:tab w:val="num" w:pos="2160"/>
        </w:tabs>
        <w:ind w:left="2160" w:hanging="360"/>
      </w:pPr>
      <w:rPr>
        <w:rFonts w:ascii="Arial" w:hAnsi="Arial" w:hint="default"/>
      </w:rPr>
    </w:lvl>
    <w:lvl w:ilvl="3" w:tplc="D08C0454" w:tentative="1">
      <w:start w:val="1"/>
      <w:numFmt w:val="bullet"/>
      <w:lvlText w:val="•"/>
      <w:lvlJc w:val="left"/>
      <w:pPr>
        <w:tabs>
          <w:tab w:val="num" w:pos="2880"/>
        </w:tabs>
        <w:ind w:left="2880" w:hanging="360"/>
      </w:pPr>
      <w:rPr>
        <w:rFonts w:ascii="Arial" w:hAnsi="Arial" w:hint="default"/>
      </w:rPr>
    </w:lvl>
    <w:lvl w:ilvl="4" w:tplc="7772DC92" w:tentative="1">
      <w:start w:val="1"/>
      <w:numFmt w:val="bullet"/>
      <w:lvlText w:val="•"/>
      <w:lvlJc w:val="left"/>
      <w:pPr>
        <w:tabs>
          <w:tab w:val="num" w:pos="3600"/>
        </w:tabs>
        <w:ind w:left="3600" w:hanging="360"/>
      </w:pPr>
      <w:rPr>
        <w:rFonts w:ascii="Arial" w:hAnsi="Arial" w:hint="default"/>
      </w:rPr>
    </w:lvl>
    <w:lvl w:ilvl="5" w:tplc="64544174" w:tentative="1">
      <w:start w:val="1"/>
      <w:numFmt w:val="bullet"/>
      <w:lvlText w:val="•"/>
      <w:lvlJc w:val="left"/>
      <w:pPr>
        <w:tabs>
          <w:tab w:val="num" w:pos="4320"/>
        </w:tabs>
        <w:ind w:left="4320" w:hanging="360"/>
      </w:pPr>
      <w:rPr>
        <w:rFonts w:ascii="Arial" w:hAnsi="Arial" w:hint="default"/>
      </w:rPr>
    </w:lvl>
    <w:lvl w:ilvl="6" w:tplc="5B0A0A1A" w:tentative="1">
      <w:start w:val="1"/>
      <w:numFmt w:val="bullet"/>
      <w:lvlText w:val="•"/>
      <w:lvlJc w:val="left"/>
      <w:pPr>
        <w:tabs>
          <w:tab w:val="num" w:pos="5040"/>
        </w:tabs>
        <w:ind w:left="5040" w:hanging="360"/>
      </w:pPr>
      <w:rPr>
        <w:rFonts w:ascii="Arial" w:hAnsi="Arial" w:hint="default"/>
      </w:rPr>
    </w:lvl>
    <w:lvl w:ilvl="7" w:tplc="FBD6DE56" w:tentative="1">
      <w:start w:val="1"/>
      <w:numFmt w:val="bullet"/>
      <w:lvlText w:val="•"/>
      <w:lvlJc w:val="left"/>
      <w:pPr>
        <w:tabs>
          <w:tab w:val="num" w:pos="5760"/>
        </w:tabs>
        <w:ind w:left="5760" w:hanging="360"/>
      </w:pPr>
      <w:rPr>
        <w:rFonts w:ascii="Arial" w:hAnsi="Arial" w:hint="default"/>
      </w:rPr>
    </w:lvl>
    <w:lvl w:ilvl="8" w:tplc="495A97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258788C"/>
    <w:multiLevelType w:val="hybridMultilevel"/>
    <w:tmpl w:val="DC483786"/>
    <w:lvl w:ilvl="0" w:tplc="CF0ECB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9589A"/>
    <w:multiLevelType w:val="hybridMultilevel"/>
    <w:tmpl w:val="DC483786"/>
    <w:lvl w:ilvl="0" w:tplc="CF0ECB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C7309"/>
    <w:multiLevelType w:val="hybridMultilevel"/>
    <w:tmpl w:val="41921282"/>
    <w:lvl w:ilvl="0" w:tplc="CF0ECB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00"/>
    <w:rsid w:val="000031BA"/>
    <w:rsid w:val="00004BBC"/>
    <w:rsid w:val="00005717"/>
    <w:rsid w:val="00005BFC"/>
    <w:rsid w:val="000077EC"/>
    <w:rsid w:val="000100A5"/>
    <w:rsid w:val="0001348E"/>
    <w:rsid w:val="000138AF"/>
    <w:rsid w:val="000151A6"/>
    <w:rsid w:val="00015B74"/>
    <w:rsid w:val="0001725D"/>
    <w:rsid w:val="000173EA"/>
    <w:rsid w:val="00024B28"/>
    <w:rsid w:val="000256B3"/>
    <w:rsid w:val="00025D34"/>
    <w:rsid w:val="00026BA4"/>
    <w:rsid w:val="00033111"/>
    <w:rsid w:val="0004028A"/>
    <w:rsid w:val="00043237"/>
    <w:rsid w:val="000444F8"/>
    <w:rsid w:val="00044CA4"/>
    <w:rsid w:val="000516FA"/>
    <w:rsid w:val="00051BAF"/>
    <w:rsid w:val="000564DE"/>
    <w:rsid w:val="00060F9C"/>
    <w:rsid w:val="00061F74"/>
    <w:rsid w:val="00062737"/>
    <w:rsid w:val="0007090F"/>
    <w:rsid w:val="000763A3"/>
    <w:rsid w:val="00076F56"/>
    <w:rsid w:val="00080543"/>
    <w:rsid w:val="00081917"/>
    <w:rsid w:val="00085F34"/>
    <w:rsid w:val="00087BFC"/>
    <w:rsid w:val="00091E7D"/>
    <w:rsid w:val="00092B59"/>
    <w:rsid w:val="00092F73"/>
    <w:rsid w:val="0009383B"/>
    <w:rsid w:val="000938E1"/>
    <w:rsid w:val="00095C1E"/>
    <w:rsid w:val="000A2808"/>
    <w:rsid w:val="000A353F"/>
    <w:rsid w:val="000A4114"/>
    <w:rsid w:val="000A54AD"/>
    <w:rsid w:val="000A5611"/>
    <w:rsid w:val="000A6B1E"/>
    <w:rsid w:val="000A711F"/>
    <w:rsid w:val="000A7D27"/>
    <w:rsid w:val="000B0DA9"/>
    <w:rsid w:val="000B3CA1"/>
    <w:rsid w:val="000B57D8"/>
    <w:rsid w:val="000B761A"/>
    <w:rsid w:val="000C05E3"/>
    <w:rsid w:val="000C4CEE"/>
    <w:rsid w:val="000C711C"/>
    <w:rsid w:val="000C79FA"/>
    <w:rsid w:val="000C7EB2"/>
    <w:rsid w:val="000D002A"/>
    <w:rsid w:val="000D03E6"/>
    <w:rsid w:val="000D14AA"/>
    <w:rsid w:val="000D24F5"/>
    <w:rsid w:val="000D49D3"/>
    <w:rsid w:val="000D504A"/>
    <w:rsid w:val="000D5153"/>
    <w:rsid w:val="000D5DD3"/>
    <w:rsid w:val="000D5FC6"/>
    <w:rsid w:val="000D6D4B"/>
    <w:rsid w:val="000D79A0"/>
    <w:rsid w:val="000D7D01"/>
    <w:rsid w:val="000E0117"/>
    <w:rsid w:val="000E3F89"/>
    <w:rsid w:val="000F0392"/>
    <w:rsid w:val="000F1C80"/>
    <w:rsid w:val="000F244C"/>
    <w:rsid w:val="000F38A6"/>
    <w:rsid w:val="000F59A8"/>
    <w:rsid w:val="000F6244"/>
    <w:rsid w:val="000F74F1"/>
    <w:rsid w:val="000F7986"/>
    <w:rsid w:val="00104395"/>
    <w:rsid w:val="0010530E"/>
    <w:rsid w:val="00105AA7"/>
    <w:rsid w:val="001065C2"/>
    <w:rsid w:val="00107157"/>
    <w:rsid w:val="001073CC"/>
    <w:rsid w:val="00107568"/>
    <w:rsid w:val="001161EF"/>
    <w:rsid w:val="00117249"/>
    <w:rsid w:val="00120A40"/>
    <w:rsid w:val="00121AA4"/>
    <w:rsid w:val="00121DCD"/>
    <w:rsid w:val="00122EFF"/>
    <w:rsid w:val="0012368A"/>
    <w:rsid w:val="001253BF"/>
    <w:rsid w:val="00131347"/>
    <w:rsid w:val="001331F3"/>
    <w:rsid w:val="001359FD"/>
    <w:rsid w:val="00137BF1"/>
    <w:rsid w:val="001400B9"/>
    <w:rsid w:val="0014199D"/>
    <w:rsid w:val="001422FE"/>
    <w:rsid w:val="001429F7"/>
    <w:rsid w:val="00145EA5"/>
    <w:rsid w:val="00146049"/>
    <w:rsid w:val="001479FF"/>
    <w:rsid w:val="00150848"/>
    <w:rsid w:val="001509CA"/>
    <w:rsid w:val="001530E9"/>
    <w:rsid w:val="001548F5"/>
    <w:rsid w:val="00154CFF"/>
    <w:rsid w:val="0015689A"/>
    <w:rsid w:val="00157512"/>
    <w:rsid w:val="0016124F"/>
    <w:rsid w:val="00164B3B"/>
    <w:rsid w:val="00165D22"/>
    <w:rsid w:val="00170FCA"/>
    <w:rsid w:val="001718E4"/>
    <w:rsid w:val="00177A1C"/>
    <w:rsid w:val="0018193F"/>
    <w:rsid w:val="001821EE"/>
    <w:rsid w:val="001823C2"/>
    <w:rsid w:val="00184BDE"/>
    <w:rsid w:val="00185765"/>
    <w:rsid w:val="0018692E"/>
    <w:rsid w:val="001918E4"/>
    <w:rsid w:val="001924E4"/>
    <w:rsid w:val="00192762"/>
    <w:rsid w:val="00195708"/>
    <w:rsid w:val="00197029"/>
    <w:rsid w:val="001A10D5"/>
    <w:rsid w:val="001A185F"/>
    <w:rsid w:val="001A1957"/>
    <w:rsid w:val="001A1BEA"/>
    <w:rsid w:val="001A3CAF"/>
    <w:rsid w:val="001A5405"/>
    <w:rsid w:val="001A5F28"/>
    <w:rsid w:val="001A7139"/>
    <w:rsid w:val="001B1D80"/>
    <w:rsid w:val="001B24AE"/>
    <w:rsid w:val="001B2C51"/>
    <w:rsid w:val="001B38A6"/>
    <w:rsid w:val="001B41AD"/>
    <w:rsid w:val="001B6458"/>
    <w:rsid w:val="001B7A9F"/>
    <w:rsid w:val="001C0971"/>
    <w:rsid w:val="001C2AF7"/>
    <w:rsid w:val="001C43A9"/>
    <w:rsid w:val="001C49A1"/>
    <w:rsid w:val="001C4D66"/>
    <w:rsid w:val="001C6368"/>
    <w:rsid w:val="001C65C2"/>
    <w:rsid w:val="001D0782"/>
    <w:rsid w:val="001D0994"/>
    <w:rsid w:val="001D17AB"/>
    <w:rsid w:val="001D1CF1"/>
    <w:rsid w:val="001D234B"/>
    <w:rsid w:val="001D24F7"/>
    <w:rsid w:val="001D2FE8"/>
    <w:rsid w:val="001D5D83"/>
    <w:rsid w:val="001D7109"/>
    <w:rsid w:val="001D75BB"/>
    <w:rsid w:val="001D7DBC"/>
    <w:rsid w:val="001E107D"/>
    <w:rsid w:val="001E1D46"/>
    <w:rsid w:val="001E2B40"/>
    <w:rsid w:val="001E3C18"/>
    <w:rsid w:val="001E6525"/>
    <w:rsid w:val="001E77D4"/>
    <w:rsid w:val="001E7AFB"/>
    <w:rsid w:val="001F246D"/>
    <w:rsid w:val="001F27D3"/>
    <w:rsid w:val="001F48F6"/>
    <w:rsid w:val="001F58BE"/>
    <w:rsid w:val="001F641F"/>
    <w:rsid w:val="00203213"/>
    <w:rsid w:val="00203A28"/>
    <w:rsid w:val="002053F4"/>
    <w:rsid w:val="002054CA"/>
    <w:rsid w:val="0021192B"/>
    <w:rsid w:val="002127ED"/>
    <w:rsid w:val="00212B8D"/>
    <w:rsid w:val="00220C4F"/>
    <w:rsid w:val="00222D31"/>
    <w:rsid w:val="00224C2F"/>
    <w:rsid w:val="00225618"/>
    <w:rsid w:val="00226CF0"/>
    <w:rsid w:val="00226E2D"/>
    <w:rsid w:val="0022778C"/>
    <w:rsid w:val="00231161"/>
    <w:rsid w:val="00232F16"/>
    <w:rsid w:val="002336BD"/>
    <w:rsid w:val="00237170"/>
    <w:rsid w:val="0024310E"/>
    <w:rsid w:val="00254453"/>
    <w:rsid w:val="00260AF5"/>
    <w:rsid w:val="00262A92"/>
    <w:rsid w:val="00263620"/>
    <w:rsid w:val="00266D44"/>
    <w:rsid w:val="00274F77"/>
    <w:rsid w:val="002847A3"/>
    <w:rsid w:val="00285E42"/>
    <w:rsid w:val="00291070"/>
    <w:rsid w:val="00292FCC"/>
    <w:rsid w:val="00294769"/>
    <w:rsid w:val="00294C46"/>
    <w:rsid w:val="0029513B"/>
    <w:rsid w:val="00295859"/>
    <w:rsid w:val="00297DCF"/>
    <w:rsid w:val="002A19E6"/>
    <w:rsid w:val="002A235A"/>
    <w:rsid w:val="002A3413"/>
    <w:rsid w:val="002A36E1"/>
    <w:rsid w:val="002B0959"/>
    <w:rsid w:val="002B53A4"/>
    <w:rsid w:val="002B5DB6"/>
    <w:rsid w:val="002B6AD5"/>
    <w:rsid w:val="002C201F"/>
    <w:rsid w:val="002C282E"/>
    <w:rsid w:val="002C2A0D"/>
    <w:rsid w:val="002C7B6E"/>
    <w:rsid w:val="002E2614"/>
    <w:rsid w:val="002E26AF"/>
    <w:rsid w:val="002E46DF"/>
    <w:rsid w:val="002E4D73"/>
    <w:rsid w:val="002E7CD6"/>
    <w:rsid w:val="002E7DD1"/>
    <w:rsid w:val="002F039C"/>
    <w:rsid w:val="002F604B"/>
    <w:rsid w:val="0030001E"/>
    <w:rsid w:val="00304D17"/>
    <w:rsid w:val="00306A2B"/>
    <w:rsid w:val="00310C8D"/>
    <w:rsid w:val="00311130"/>
    <w:rsid w:val="00314967"/>
    <w:rsid w:val="0031559D"/>
    <w:rsid w:val="00317B35"/>
    <w:rsid w:val="00320D92"/>
    <w:rsid w:val="00320EAB"/>
    <w:rsid w:val="00326CBE"/>
    <w:rsid w:val="00333628"/>
    <w:rsid w:val="003375C9"/>
    <w:rsid w:val="00343A47"/>
    <w:rsid w:val="0035185D"/>
    <w:rsid w:val="00355390"/>
    <w:rsid w:val="0035761F"/>
    <w:rsid w:val="00362FC8"/>
    <w:rsid w:val="003678BF"/>
    <w:rsid w:val="00371A46"/>
    <w:rsid w:val="00371F58"/>
    <w:rsid w:val="003739B1"/>
    <w:rsid w:val="00376D1E"/>
    <w:rsid w:val="0039300C"/>
    <w:rsid w:val="00396E99"/>
    <w:rsid w:val="003973A8"/>
    <w:rsid w:val="003974E7"/>
    <w:rsid w:val="003A355B"/>
    <w:rsid w:val="003B1B2B"/>
    <w:rsid w:val="003B47FC"/>
    <w:rsid w:val="003C1A85"/>
    <w:rsid w:val="003C1EFD"/>
    <w:rsid w:val="003C2B9D"/>
    <w:rsid w:val="003C32FF"/>
    <w:rsid w:val="003D46F3"/>
    <w:rsid w:val="003D4B55"/>
    <w:rsid w:val="003D4EB6"/>
    <w:rsid w:val="003E0618"/>
    <w:rsid w:val="003E0D63"/>
    <w:rsid w:val="003E2365"/>
    <w:rsid w:val="003E4F60"/>
    <w:rsid w:val="003E5512"/>
    <w:rsid w:val="003E5582"/>
    <w:rsid w:val="003E5A9F"/>
    <w:rsid w:val="003F07C7"/>
    <w:rsid w:val="003F172B"/>
    <w:rsid w:val="003F2BBD"/>
    <w:rsid w:val="00402156"/>
    <w:rsid w:val="00402DF3"/>
    <w:rsid w:val="00404EB6"/>
    <w:rsid w:val="004056B6"/>
    <w:rsid w:val="004073A3"/>
    <w:rsid w:val="004106D7"/>
    <w:rsid w:val="00412777"/>
    <w:rsid w:val="00413FE2"/>
    <w:rsid w:val="004332AB"/>
    <w:rsid w:val="004400CA"/>
    <w:rsid w:val="00440200"/>
    <w:rsid w:val="00442145"/>
    <w:rsid w:val="00442ABE"/>
    <w:rsid w:val="00443048"/>
    <w:rsid w:val="00446458"/>
    <w:rsid w:val="00451560"/>
    <w:rsid w:val="004515F4"/>
    <w:rsid w:val="00451FDC"/>
    <w:rsid w:val="00453AE4"/>
    <w:rsid w:val="0045584D"/>
    <w:rsid w:val="004561FC"/>
    <w:rsid w:val="00460A13"/>
    <w:rsid w:val="00460E68"/>
    <w:rsid w:val="00462BA1"/>
    <w:rsid w:val="0046408A"/>
    <w:rsid w:val="0046499F"/>
    <w:rsid w:val="004657A1"/>
    <w:rsid w:val="00467806"/>
    <w:rsid w:val="00470116"/>
    <w:rsid w:val="00470759"/>
    <w:rsid w:val="00470D82"/>
    <w:rsid w:val="00470EA4"/>
    <w:rsid w:val="004719F7"/>
    <w:rsid w:val="00471E87"/>
    <w:rsid w:val="004739A9"/>
    <w:rsid w:val="0047592A"/>
    <w:rsid w:val="00477AF9"/>
    <w:rsid w:val="00485C7C"/>
    <w:rsid w:val="00486521"/>
    <w:rsid w:val="00490494"/>
    <w:rsid w:val="00491962"/>
    <w:rsid w:val="00492C6F"/>
    <w:rsid w:val="00494683"/>
    <w:rsid w:val="0049513E"/>
    <w:rsid w:val="00497BAF"/>
    <w:rsid w:val="004A2B39"/>
    <w:rsid w:val="004A4912"/>
    <w:rsid w:val="004A5231"/>
    <w:rsid w:val="004A65C0"/>
    <w:rsid w:val="004A6921"/>
    <w:rsid w:val="004B0416"/>
    <w:rsid w:val="004B14D1"/>
    <w:rsid w:val="004B1997"/>
    <w:rsid w:val="004B5082"/>
    <w:rsid w:val="004B5528"/>
    <w:rsid w:val="004B6F0F"/>
    <w:rsid w:val="004B7762"/>
    <w:rsid w:val="004B79DD"/>
    <w:rsid w:val="004B7BB8"/>
    <w:rsid w:val="004C092F"/>
    <w:rsid w:val="004C144E"/>
    <w:rsid w:val="004C1C33"/>
    <w:rsid w:val="004C5357"/>
    <w:rsid w:val="004D32BC"/>
    <w:rsid w:val="004D3638"/>
    <w:rsid w:val="004E0311"/>
    <w:rsid w:val="004E031C"/>
    <w:rsid w:val="004E11D6"/>
    <w:rsid w:val="004E34FD"/>
    <w:rsid w:val="004E4776"/>
    <w:rsid w:val="004E5AC8"/>
    <w:rsid w:val="004E6891"/>
    <w:rsid w:val="004E7F93"/>
    <w:rsid w:val="004F5111"/>
    <w:rsid w:val="004F5348"/>
    <w:rsid w:val="00503AFF"/>
    <w:rsid w:val="005041EA"/>
    <w:rsid w:val="00504F4D"/>
    <w:rsid w:val="005063CF"/>
    <w:rsid w:val="0051029F"/>
    <w:rsid w:val="00510A4F"/>
    <w:rsid w:val="00521962"/>
    <w:rsid w:val="005249D8"/>
    <w:rsid w:val="005254E5"/>
    <w:rsid w:val="00525E43"/>
    <w:rsid w:val="005331D5"/>
    <w:rsid w:val="005333A3"/>
    <w:rsid w:val="005357C4"/>
    <w:rsid w:val="005404F3"/>
    <w:rsid w:val="005432DB"/>
    <w:rsid w:val="00546DDA"/>
    <w:rsid w:val="00547D4C"/>
    <w:rsid w:val="00550AF9"/>
    <w:rsid w:val="00550CA8"/>
    <w:rsid w:val="00554B86"/>
    <w:rsid w:val="00555DF4"/>
    <w:rsid w:val="005637F6"/>
    <w:rsid w:val="00564FCE"/>
    <w:rsid w:val="005658D5"/>
    <w:rsid w:val="00571CFA"/>
    <w:rsid w:val="0057588A"/>
    <w:rsid w:val="00576653"/>
    <w:rsid w:val="00576D08"/>
    <w:rsid w:val="00580ADD"/>
    <w:rsid w:val="00581E6D"/>
    <w:rsid w:val="005828BB"/>
    <w:rsid w:val="00586705"/>
    <w:rsid w:val="00590A3D"/>
    <w:rsid w:val="00593DA9"/>
    <w:rsid w:val="00593F14"/>
    <w:rsid w:val="00594795"/>
    <w:rsid w:val="0059567E"/>
    <w:rsid w:val="005962EC"/>
    <w:rsid w:val="0059711F"/>
    <w:rsid w:val="005A055F"/>
    <w:rsid w:val="005A063B"/>
    <w:rsid w:val="005A321A"/>
    <w:rsid w:val="005A5088"/>
    <w:rsid w:val="005A5786"/>
    <w:rsid w:val="005A6B53"/>
    <w:rsid w:val="005B28AA"/>
    <w:rsid w:val="005B5913"/>
    <w:rsid w:val="005B5C58"/>
    <w:rsid w:val="005B748D"/>
    <w:rsid w:val="005C0A63"/>
    <w:rsid w:val="005C0CF9"/>
    <w:rsid w:val="005C1377"/>
    <w:rsid w:val="005C16AE"/>
    <w:rsid w:val="005C16B6"/>
    <w:rsid w:val="005C25B9"/>
    <w:rsid w:val="005C3180"/>
    <w:rsid w:val="005D46D4"/>
    <w:rsid w:val="005D57C4"/>
    <w:rsid w:val="005E1DC3"/>
    <w:rsid w:val="005E4D73"/>
    <w:rsid w:val="005E5235"/>
    <w:rsid w:val="005F2253"/>
    <w:rsid w:val="005F282E"/>
    <w:rsid w:val="005F36F7"/>
    <w:rsid w:val="005F4B0D"/>
    <w:rsid w:val="0060253B"/>
    <w:rsid w:val="0060495F"/>
    <w:rsid w:val="00604B88"/>
    <w:rsid w:val="006058D0"/>
    <w:rsid w:val="00606CF5"/>
    <w:rsid w:val="00607C7E"/>
    <w:rsid w:val="00612741"/>
    <w:rsid w:val="00612F96"/>
    <w:rsid w:val="006150F1"/>
    <w:rsid w:val="006163FE"/>
    <w:rsid w:val="00616623"/>
    <w:rsid w:val="00616C8C"/>
    <w:rsid w:val="00617E1A"/>
    <w:rsid w:val="00617F94"/>
    <w:rsid w:val="00622F97"/>
    <w:rsid w:val="006257D9"/>
    <w:rsid w:val="006275CB"/>
    <w:rsid w:val="00627FBA"/>
    <w:rsid w:val="006345EE"/>
    <w:rsid w:val="00634BEF"/>
    <w:rsid w:val="00640084"/>
    <w:rsid w:val="00640B23"/>
    <w:rsid w:val="006425EB"/>
    <w:rsid w:val="00646B8D"/>
    <w:rsid w:val="006537D2"/>
    <w:rsid w:val="00654E79"/>
    <w:rsid w:val="00660DFE"/>
    <w:rsid w:val="006611B2"/>
    <w:rsid w:val="00665779"/>
    <w:rsid w:val="00665EF2"/>
    <w:rsid w:val="00672674"/>
    <w:rsid w:val="00672ABD"/>
    <w:rsid w:val="00672D08"/>
    <w:rsid w:val="00673529"/>
    <w:rsid w:val="00675BDA"/>
    <w:rsid w:val="0067602E"/>
    <w:rsid w:val="0067690B"/>
    <w:rsid w:val="00677A0D"/>
    <w:rsid w:val="006846AE"/>
    <w:rsid w:val="0068667D"/>
    <w:rsid w:val="0069458C"/>
    <w:rsid w:val="00695DD9"/>
    <w:rsid w:val="006A0D8D"/>
    <w:rsid w:val="006A3D7D"/>
    <w:rsid w:val="006B0AE1"/>
    <w:rsid w:val="006B164E"/>
    <w:rsid w:val="006B34E1"/>
    <w:rsid w:val="006B3E2B"/>
    <w:rsid w:val="006C05E3"/>
    <w:rsid w:val="006C06D9"/>
    <w:rsid w:val="006C1831"/>
    <w:rsid w:val="006C35C7"/>
    <w:rsid w:val="006C5B24"/>
    <w:rsid w:val="006C64B0"/>
    <w:rsid w:val="006C7AFF"/>
    <w:rsid w:val="006D0409"/>
    <w:rsid w:val="006D3D7F"/>
    <w:rsid w:val="006D5E6E"/>
    <w:rsid w:val="006D6716"/>
    <w:rsid w:val="006D6E23"/>
    <w:rsid w:val="006D7B72"/>
    <w:rsid w:val="006E31D5"/>
    <w:rsid w:val="006E5698"/>
    <w:rsid w:val="006E776B"/>
    <w:rsid w:val="006E7BAD"/>
    <w:rsid w:val="006F1A44"/>
    <w:rsid w:val="006F22F6"/>
    <w:rsid w:val="006F3FD0"/>
    <w:rsid w:val="00703F0A"/>
    <w:rsid w:val="00710C21"/>
    <w:rsid w:val="00713515"/>
    <w:rsid w:val="007135BF"/>
    <w:rsid w:val="00714AB7"/>
    <w:rsid w:val="00725F89"/>
    <w:rsid w:val="007312D8"/>
    <w:rsid w:val="00731B29"/>
    <w:rsid w:val="0073201E"/>
    <w:rsid w:val="00732920"/>
    <w:rsid w:val="00732EAF"/>
    <w:rsid w:val="00734143"/>
    <w:rsid w:val="0073598D"/>
    <w:rsid w:val="00742095"/>
    <w:rsid w:val="0074266B"/>
    <w:rsid w:val="00744E52"/>
    <w:rsid w:val="0074585F"/>
    <w:rsid w:val="00750F4C"/>
    <w:rsid w:val="0075133C"/>
    <w:rsid w:val="0075141F"/>
    <w:rsid w:val="007559EC"/>
    <w:rsid w:val="00757EAD"/>
    <w:rsid w:val="0076317C"/>
    <w:rsid w:val="00770A93"/>
    <w:rsid w:val="00772547"/>
    <w:rsid w:val="00773617"/>
    <w:rsid w:val="007769A5"/>
    <w:rsid w:val="00777117"/>
    <w:rsid w:val="00782E52"/>
    <w:rsid w:val="00790067"/>
    <w:rsid w:val="00790EA9"/>
    <w:rsid w:val="00792610"/>
    <w:rsid w:val="007929D6"/>
    <w:rsid w:val="00794E3A"/>
    <w:rsid w:val="007A205D"/>
    <w:rsid w:val="007A63FF"/>
    <w:rsid w:val="007B462B"/>
    <w:rsid w:val="007B776F"/>
    <w:rsid w:val="007C402F"/>
    <w:rsid w:val="007C735B"/>
    <w:rsid w:val="007D1D56"/>
    <w:rsid w:val="007D397F"/>
    <w:rsid w:val="007D498A"/>
    <w:rsid w:val="007D6B96"/>
    <w:rsid w:val="007E0490"/>
    <w:rsid w:val="007E1D50"/>
    <w:rsid w:val="007E2285"/>
    <w:rsid w:val="007E5561"/>
    <w:rsid w:val="007E6359"/>
    <w:rsid w:val="007F0DA5"/>
    <w:rsid w:val="007F3625"/>
    <w:rsid w:val="007F4156"/>
    <w:rsid w:val="007F488E"/>
    <w:rsid w:val="007F5594"/>
    <w:rsid w:val="00801B8E"/>
    <w:rsid w:val="00804632"/>
    <w:rsid w:val="008066D0"/>
    <w:rsid w:val="008163E9"/>
    <w:rsid w:val="0082264C"/>
    <w:rsid w:val="00824694"/>
    <w:rsid w:val="0083053B"/>
    <w:rsid w:val="00830701"/>
    <w:rsid w:val="00830F9F"/>
    <w:rsid w:val="00835327"/>
    <w:rsid w:val="00835569"/>
    <w:rsid w:val="00836F03"/>
    <w:rsid w:val="00837B91"/>
    <w:rsid w:val="00841AA8"/>
    <w:rsid w:val="00842DA1"/>
    <w:rsid w:val="00845C6B"/>
    <w:rsid w:val="00850CB7"/>
    <w:rsid w:val="008527AD"/>
    <w:rsid w:val="00854BC4"/>
    <w:rsid w:val="008575CC"/>
    <w:rsid w:val="00857B0E"/>
    <w:rsid w:val="00860220"/>
    <w:rsid w:val="008605BC"/>
    <w:rsid w:val="00860FC5"/>
    <w:rsid w:val="008611EB"/>
    <w:rsid w:val="00861666"/>
    <w:rsid w:val="00861A2F"/>
    <w:rsid w:val="008624AF"/>
    <w:rsid w:val="008654D9"/>
    <w:rsid w:val="00866677"/>
    <w:rsid w:val="008677B5"/>
    <w:rsid w:val="00870C2A"/>
    <w:rsid w:val="00873A4C"/>
    <w:rsid w:val="00883169"/>
    <w:rsid w:val="00887020"/>
    <w:rsid w:val="00887706"/>
    <w:rsid w:val="00891A4A"/>
    <w:rsid w:val="00892978"/>
    <w:rsid w:val="008A2FA5"/>
    <w:rsid w:val="008A6C3F"/>
    <w:rsid w:val="008A7257"/>
    <w:rsid w:val="008B0218"/>
    <w:rsid w:val="008B1BA0"/>
    <w:rsid w:val="008B1EE8"/>
    <w:rsid w:val="008B309E"/>
    <w:rsid w:val="008B34AD"/>
    <w:rsid w:val="008B5CF7"/>
    <w:rsid w:val="008C62E6"/>
    <w:rsid w:val="008C7AD3"/>
    <w:rsid w:val="008D56E2"/>
    <w:rsid w:val="008D7744"/>
    <w:rsid w:val="008D780D"/>
    <w:rsid w:val="008E0020"/>
    <w:rsid w:val="008E09A0"/>
    <w:rsid w:val="008E15D4"/>
    <w:rsid w:val="008E3826"/>
    <w:rsid w:val="008E43F0"/>
    <w:rsid w:val="008E7E3D"/>
    <w:rsid w:val="008E7F10"/>
    <w:rsid w:val="008F17A0"/>
    <w:rsid w:val="008F3EC9"/>
    <w:rsid w:val="008F4CE2"/>
    <w:rsid w:val="008F559A"/>
    <w:rsid w:val="008F7997"/>
    <w:rsid w:val="008F7BE7"/>
    <w:rsid w:val="00901218"/>
    <w:rsid w:val="0090184A"/>
    <w:rsid w:val="00910839"/>
    <w:rsid w:val="0091090F"/>
    <w:rsid w:val="00910AE1"/>
    <w:rsid w:val="009121A5"/>
    <w:rsid w:val="00912777"/>
    <w:rsid w:val="00917FC1"/>
    <w:rsid w:val="009275C4"/>
    <w:rsid w:val="00927A56"/>
    <w:rsid w:val="00930AAD"/>
    <w:rsid w:val="009316D6"/>
    <w:rsid w:val="00933D44"/>
    <w:rsid w:val="00934392"/>
    <w:rsid w:val="0093560B"/>
    <w:rsid w:val="00937250"/>
    <w:rsid w:val="00940C91"/>
    <w:rsid w:val="00942928"/>
    <w:rsid w:val="0094296E"/>
    <w:rsid w:val="009438E0"/>
    <w:rsid w:val="0094527C"/>
    <w:rsid w:val="00946683"/>
    <w:rsid w:val="00946955"/>
    <w:rsid w:val="00951208"/>
    <w:rsid w:val="00951A54"/>
    <w:rsid w:val="0095443A"/>
    <w:rsid w:val="00957371"/>
    <w:rsid w:val="0095795E"/>
    <w:rsid w:val="0096200C"/>
    <w:rsid w:val="00962260"/>
    <w:rsid w:val="009624F1"/>
    <w:rsid w:val="00965B6F"/>
    <w:rsid w:val="0097222A"/>
    <w:rsid w:val="009756E6"/>
    <w:rsid w:val="0097600C"/>
    <w:rsid w:val="00980178"/>
    <w:rsid w:val="00981F11"/>
    <w:rsid w:val="009844B6"/>
    <w:rsid w:val="00985D68"/>
    <w:rsid w:val="00987BAD"/>
    <w:rsid w:val="00991400"/>
    <w:rsid w:val="009937CF"/>
    <w:rsid w:val="00997AAA"/>
    <w:rsid w:val="009A28E8"/>
    <w:rsid w:val="009A7EED"/>
    <w:rsid w:val="009B2F35"/>
    <w:rsid w:val="009B4CE7"/>
    <w:rsid w:val="009C0ABE"/>
    <w:rsid w:val="009C222A"/>
    <w:rsid w:val="009C2772"/>
    <w:rsid w:val="009C54EE"/>
    <w:rsid w:val="009C572D"/>
    <w:rsid w:val="009C5748"/>
    <w:rsid w:val="009C5E2D"/>
    <w:rsid w:val="009C6630"/>
    <w:rsid w:val="009C749C"/>
    <w:rsid w:val="009C7C20"/>
    <w:rsid w:val="009D1E4A"/>
    <w:rsid w:val="009D59F0"/>
    <w:rsid w:val="009E35DE"/>
    <w:rsid w:val="009E42B6"/>
    <w:rsid w:val="009E5CF8"/>
    <w:rsid w:val="009F0C1C"/>
    <w:rsid w:val="009F3834"/>
    <w:rsid w:val="009F6A41"/>
    <w:rsid w:val="00A027E5"/>
    <w:rsid w:val="00A038A1"/>
    <w:rsid w:val="00A04BF7"/>
    <w:rsid w:val="00A0725B"/>
    <w:rsid w:val="00A073C7"/>
    <w:rsid w:val="00A074E3"/>
    <w:rsid w:val="00A07DFB"/>
    <w:rsid w:val="00A13462"/>
    <w:rsid w:val="00A14277"/>
    <w:rsid w:val="00A1506E"/>
    <w:rsid w:val="00A16063"/>
    <w:rsid w:val="00A174DB"/>
    <w:rsid w:val="00A20EC0"/>
    <w:rsid w:val="00A222A5"/>
    <w:rsid w:val="00A325FF"/>
    <w:rsid w:val="00A33A73"/>
    <w:rsid w:val="00A373CC"/>
    <w:rsid w:val="00A37616"/>
    <w:rsid w:val="00A44D9C"/>
    <w:rsid w:val="00A45F17"/>
    <w:rsid w:val="00A52931"/>
    <w:rsid w:val="00A52A30"/>
    <w:rsid w:val="00A54B85"/>
    <w:rsid w:val="00A56631"/>
    <w:rsid w:val="00A6068E"/>
    <w:rsid w:val="00A62043"/>
    <w:rsid w:val="00A62ECC"/>
    <w:rsid w:val="00A677B0"/>
    <w:rsid w:val="00A70C60"/>
    <w:rsid w:val="00A71A3C"/>
    <w:rsid w:val="00A72749"/>
    <w:rsid w:val="00A73C28"/>
    <w:rsid w:val="00A77582"/>
    <w:rsid w:val="00A8077D"/>
    <w:rsid w:val="00A82658"/>
    <w:rsid w:val="00A827D0"/>
    <w:rsid w:val="00A84FEC"/>
    <w:rsid w:val="00A85D90"/>
    <w:rsid w:val="00A876D2"/>
    <w:rsid w:val="00A87CE5"/>
    <w:rsid w:val="00A92D92"/>
    <w:rsid w:val="00A94D21"/>
    <w:rsid w:val="00A97E99"/>
    <w:rsid w:val="00AA083E"/>
    <w:rsid w:val="00AA0EA0"/>
    <w:rsid w:val="00AA4ADC"/>
    <w:rsid w:val="00AA5706"/>
    <w:rsid w:val="00AB1498"/>
    <w:rsid w:val="00AB23C7"/>
    <w:rsid w:val="00AB3193"/>
    <w:rsid w:val="00AC1381"/>
    <w:rsid w:val="00AC2313"/>
    <w:rsid w:val="00AC5CAC"/>
    <w:rsid w:val="00AD1781"/>
    <w:rsid w:val="00AD4631"/>
    <w:rsid w:val="00AD58FD"/>
    <w:rsid w:val="00AD66B6"/>
    <w:rsid w:val="00AE2BDF"/>
    <w:rsid w:val="00AE32EC"/>
    <w:rsid w:val="00AE3373"/>
    <w:rsid w:val="00AE433D"/>
    <w:rsid w:val="00AE573C"/>
    <w:rsid w:val="00AE601F"/>
    <w:rsid w:val="00AE7E04"/>
    <w:rsid w:val="00AF14D5"/>
    <w:rsid w:val="00AF1724"/>
    <w:rsid w:val="00AF1AE3"/>
    <w:rsid w:val="00AF1D84"/>
    <w:rsid w:val="00AF7EF7"/>
    <w:rsid w:val="00AF7F4B"/>
    <w:rsid w:val="00B021C1"/>
    <w:rsid w:val="00B0222C"/>
    <w:rsid w:val="00B02426"/>
    <w:rsid w:val="00B04748"/>
    <w:rsid w:val="00B04DF2"/>
    <w:rsid w:val="00B073D6"/>
    <w:rsid w:val="00B1018C"/>
    <w:rsid w:val="00B106C5"/>
    <w:rsid w:val="00B11126"/>
    <w:rsid w:val="00B136D5"/>
    <w:rsid w:val="00B13A7A"/>
    <w:rsid w:val="00B15B4E"/>
    <w:rsid w:val="00B2038F"/>
    <w:rsid w:val="00B24A54"/>
    <w:rsid w:val="00B25E81"/>
    <w:rsid w:val="00B32616"/>
    <w:rsid w:val="00B3296F"/>
    <w:rsid w:val="00B33453"/>
    <w:rsid w:val="00B34900"/>
    <w:rsid w:val="00B35B2C"/>
    <w:rsid w:val="00B37EA5"/>
    <w:rsid w:val="00B412C9"/>
    <w:rsid w:val="00B47F9A"/>
    <w:rsid w:val="00B505D4"/>
    <w:rsid w:val="00B57253"/>
    <w:rsid w:val="00B61723"/>
    <w:rsid w:val="00B61EC5"/>
    <w:rsid w:val="00B6474F"/>
    <w:rsid w:val="00B6584B"/>
    <w:rsid w:val="00B66520"/>
    <w:rsid w:val="00B718A3"/>
    <w:rsid w:val="00B7343C"/>
    <w:rsid w:val="00B75682"/>
    <w:rsid w:val="00B75AF7"/>
    <w:rsid w:val="00B80575"/>
    <w:rsid w:val="00B81B43"/>
    <w:rsid w:val="00B82493"/>
    <w:rsid w:val="00B82906"/>
    <w:rsid w:val="00B82FF1"/>
    <w:rsid w:val="00B84925"/>
    <w:rsid w:val="00B8577F"/>
    <w:rsid w:val="00B868CE"/>
    <w:rsid w:val="00B90702"/>
    <w:rsid w:val="00B91032"/>
    <w:rsid w:val="00B915D5"/>
    <w:rsid w:val="00B9161C"/>
    <w:rsid w:val="00B92FB8"/>
    <w:rsid w:val="00B97A2B"/>
    <w:rsid w:val="00BA14A3"/>
    <w:rsid w:val="00BA2AA9"/>
    <w:rsid w:val="00BA7BB0"/>
    <w:rsid w:val="00BB079F"/>
    <w:rsid w:val="00BB1254"/>
    <w:rsid w:val="00BB1B85"/>
    <w:rsid w:val="00BB21C7"/>
    <w:rsid w:val="00BC2CFB"/>
    <w:rsid w:val="00BC3DA8"/>
    <w:rsid w:val="00BC4702"/>
    <w:rsid w:val="00BC49FB"/>
    <w:rsid w:val="00BC5AD1"/>
    <w:rsid w:val="00BC64E7"/>
    <w:rsid w:val="00BC6AEA"/>
    <w:rsid w:val="00BC6D0D"/>
    <w:rsid w:val="00BD3BFD"/>
    <w:rsid w:val="00BD465C"/>
    <w:rsid w:val="00BD5A33"/>
    <w:rsid w:val="00BD5C91"/>
    <w:rsid w:val="00BD705E"/>
    <w:rsid w:val="00BE086B"/>
    <w:rsid w:val="00BE1381"/>
    <w:rsid w:val="00BE5AC1"/>
    <w:rsid w:val="00BE61D0"/>
    <w:rsid w:val="00BF16C6"/>
    <w:rsid w:val="00BF3FB3"/>
    <w:rsid w:val="00C02499"/>
    <w:rsid w:val="00C02E2F"/>
    <w:rsid w:val="00C0568A"/>
    <w:rsid w:val="00C076D7"/>
    <w:rsid w:val="00C11060"/>
    <w:rsid w:val="00C13A00"/>
    <w:rsid w:val="00C1717F"/>
    <w:rsid w:val="00C22899"/>
    <w:rsid w:val="00C24215"/>
    <w:rsid w:val="00C24D53"/>
    <w:rsid w:val="00C32CC6"/>
    <w:rsid w:val="00C335AC"/>
    <w:rsid w:val="00C33821"/>
    <w:rsid w:val="00C41D8E"/>
    <w:rsid w:val="00C42ED1"/>
    <w:rsid w:val="00C43751"/>
    <w:rsid w:val="00C44EC0"/>
    <w:rsid w:val="00C475B5"/>
    <w:rsid w:val="00C4775F"/>
    <w:rsid w:val="00C55E56"/>
    <w:rsid w:val="00C5684D"/>
    <w:rsid w:val="00C62C9A"/>
    <w:rsid w:val="00C65858"/>
    <w:rsid w:val="00C6621C"/>
    <w:rsid w:val="00C6707B"/>
    <w:rsid w:val="00C673D8"/>
    <w:rsid w:val="00C7190C"/>
    <w:rsid w:val="00C74077"/>
    <w:rsid w:val="00C74598"/>
    <w:rsid w:val="00C75AF2"/>
    <w:rsid w:val="00C76A77"/>
    <w:rsid w:val="00C7726C"/>
    <w:rsid w:val="00C80591"/>
    <w:rsid w:val="00C818F0"/>
    <w:rsid w:val="00C81DEA"/>
    <w:rsid w:val="00C82E3C"/>
    <w:rsid w:val="00C90312"/>
    <w:rsid w:val="00C93547"/>
    <w:rsid w:val="00C93CEA"/>
    <w:rsid w:val="00C9450D"/>
    <w:rsid w:val="00C96186"/>
    <w:rsid w:val="00CA6627"/>
    <w:rsid w:val="00CB01A9"/>
    <w:rsid w:val="00CB1673"/>
    <w:rsid w:val="00CB1AC3"/>
    <w:rsid w:val="00CB3669"/>
    <w:rsid w:val="00CB4D96"/>
    <w:rsid w:val="00CB522E"/>
    <w:rsid w:val="00CB6B3A"/>
    <w:rsid w:val="00CC23DF"/>
    <w:rsid w:val="00CC37D6"/>
    <w:rsid w:val="00CC3AF5"/>
    <w:rsid w:val="00CC5653"/>
    <w:rsid w:val="00CC74B5"/>
    <w:rsid w:val="00CC75D8"/>
    <w:rsid w:val="00CC7F88"/>
    <w:rsid w:val="00CD0FB5"/>
    <w:rsid w:val="00CD3977"/>
    <w:rsid w:val="00CD3C4B"/>
    <w:rsid w:val="00CD4A8E"/>
    <w:rsid w:val="00CE0927"/>
    <w:rsid w:val="00CE1014"/>
    <w:rsid w:val="00CE3DED"/>
    <w:rsid w:val="00CE609F"/>
    <w:rsid w:val="00CF2026"/>
    <w:rsid w:val="00CF5EE6"/>
    <w:rsid w:val="00CF6F8F"/>
    <w:rsid w:val="00CF76EE"/>
    <w:rsid w:val="00D003A6"/>
    <w:rsid w:val="00D065E6"/>
    <w:rsid w:val="00D11FB0"/>
    <w:rsid w:val="00D13B83"/>
    <w:rsid w:val="00D14550"/>
    <w:rsid w:val="00D156D6"/>
    <w:rsid w:val="00D20C7C"/>
    <w:rsid w:val="00D222C3"/>
    <w:rsid w:val="00D230B0"/>
    <w:rsid w:val="00D24A86"/>
    <w:rsid w:val="00D24D90"/>
    <w:rsid w:val="00D275A5"/>
    <w:rsid w:val="00D2799A"/>
    <w:rsid w:val="00D30F1E"/>
    <w:rsid w:val="00D31327"/>
    <w:rsid w:val="00D31B1B"/>
    <w:rsid w:val="00D33949"/>
    <w:rsid w:val="00D34316"/>
    <w:rsid w:val="00D35E68"/>
    <w:rsid w:val="00D371DC"/>
    <w:rsid w:val="00D4251E"/>
    <w:rsid w:val="00D44603"/>
    <w:rsid w:val="00D46852"/>
    <w:rsid w:val="00D5489E"/>
    <w:rsid w:val="00D57CBF"/>
    <w:rsid w:val="00D60062"/>
    <w:rsid w:val="00D610BE"/>
    <w:rsid w:val="00D6383D"/>
    <w:rsid w:val="00D66DB9"/>
    <w:rsid w:val="00D706DE"/>
    <w:rsid w:val="00D70914"/>
    <w:rsid w:val="00D734AF"/>
    <w:rsid w:val="00D74A93"/>
    <w:rsid w:val="00D75DC9"/>
    <w:rsid w:val="00D80A3C"/>
    <w:rsid w:val="00D8319E"/>
    <w:rsid w:val="00D83BC6"/>
    <w:rsid w:val="00D8403C"/>
    <w:rsid w:val="00D861AC"/>
    <w:rsid w:val="00D86C8D"/>
    <w:rsid w:val="00D87291"/>
    <w:rsid w:val="00D87DF4"/>
    <w:rsid w:val="00D94ED3"/>
    <w:rsid w:val="00D952EE"/>
    <w:rsid w:val="00D9646A"/>
    <w:rsid w:val="00D96C28"/>
    <w:rsid w:val="00DA2B4C"/>
    <w:rsid w:val="00DA7A8E"/>
    <w:rsid w:val="00DB0844"/>
    <w:rsid w:val="00DB2C5D"/>
    <w:rsid w:val="00DB3CBB"/>
    <w:rsid w:val="00DB4E25"/>
    <w:rsid w:val="00DB7656"/>
    <w:rsid w:val="00DB7BA5"/>
    <w:rsid w:val="00DC1411"/>
    <w:rsid w:val="00DC16B3"/>
    <w:rsid w:val="00DC16D4"/>
    <w:rsid w:val="00DC41E0"/>
    <w:rsid w:val="00DC44C7"/>
    <w:rsid w:val="00DC649E"/>
    <w:rsid w:val="00DD0FB0"/>
    <w:rsid w:val="00DD2FDC"/>
    <w:rsid w:val="00DD49F0"/>
    <w:rsid w:val="00DD5C5A"/>
    <w:rsid w:val="00DE0D97"/>
    <w:rsid w:val="00DE4860"/>
    <w:rsid w:val="00DF13F1"/>
    <w:rsid w:val="00DF53B3"/>
    <w:rsid w:val="00DF6369"/>
    <w:rsid w:val="00DF7B73"/>
    <w:rsid w:val="00E000CA"/>
    <w:rsid w:val="00E02EFD"/>
    <w:rsid w:val="00E0757D"/>
    <w:rsid w:val="00E15029"/>
    <w:rsid w:val="00E1529C"/>
    <w:rsid w:val="00E235EB"/>
    <w:rsid w:val="00E238FA"/>
    <w:rsid w:val="00E25A0C"/>
    <w:rsid w:val="00E265EC"/>
    <w:rsid w:val="00E27E9F"/>
    <w:rsid w:val="00E326BB"/>
    <w:rsid w:val="00E32CEF"/>
    <w:rsid w:val="00E41504"/>
    <w:rsid w:val="00E42007"/>
    <w:rsid w:val="00E4628B"/>
    <w:rsid w:val="00E46D2B"/>
    <w:rsid w:val="00E51464"/>
    <w:rsid w:val="00E6142E"/>
    <w:rsid w:val="00E6492A"/>
    <w:rsid w:val="00E750F7"/>
    <w:rsid w:val="00E76428"/>
    <w:rsid w:val="00E771F6"/>
    <w:rsid w:val="00E81F7E"/>
    <w:rsid w:val="00E91D05"/>
    <w:rsid w:val="00EA0A1D"/>
    <w:rsid w:val="00EA596F"/>
    <w:rsid w:val="00EA5E88"/>
    <w:rsid w:val="00EB0B96"/>
    <w:rsid w:val="00EB1C58"/>
    <w:rsid w:val="00EB30C3"/>
    <w:rsid w:val="00EB644E"/>
    <w:rsid w:val="00EB6913"/>
    <w:rsid w:val="00EB724C"/>
    <w:rsid w:val="00EB78B5"/>
    <w:rsid w:val="00EC0F3F"/>
    <w:rsid w:val="00EC33ED"/>
    <w:rsid w:val="00EC399C"/>
    <w:rsid w:val="00EC4CFC"/>
    <w:rsid w:val="00EC6296"/>
    <w:rsid w:val="00ED07C3"/>
    <w:rsid w:val="00ED128B"/>
    <w:rsid w:val="00ED20EE"/>
    <w:rsid w:val="00ED394C"/>
    <w:rsid w:val="00ED7B4B"/>
    <w:rsid w:val="00EE4DDD"/>
    <w:rsid w:val="00EE7BD6"/>
    <w:rsid w:val="00EF0333"/>
    <w:rsid w:val="00EF0D51"/>
    <w:rsid w:val="00EF1E58"/>
    <w:rsid w:val="00EF3325"/>
    <w:rsid w:val="00EF4EDD"/>
    <w:rsid w:val="00EF7706"/>
    <w:rsid w:val="00EF7F03"/>
    <w:rsid w:val="00F01417"/>
    <w:rsid w:val="00F018D7"/>
    <w:rsid w:val="00F044FE"/>
    <w:rsid w:val="00F04F91"/>
    <w:rsid w:val="00F07506"/>
    <w:rsid w:val="00F163FD"/>
    <w:rsid w:val="00F17479"/>
    <w:rsid w:val="00F209B4"/>
    <w:rsid w:val="00F23153"/>
    <w:rsid w:val="00F2725D"/>
    <w:rsid w:val="00F33395"/>
    <w:rsid w:val="00F3508A"/>
    <w:rsid w:val="00F364F2"/>
    <w:rsid w:val="00F41789"/>
    <w:rsid w:val="00F417D0"/>
    <w:rsid w:val="00F41A82"/>
    <w:rsid w:val="00F50818"/>
    <w:rsid w:val="00F5565A"/>
    <w:rsid w:val="00F632AC"/>
    <w:rsid w:val="00F6351A"/>
    <w:rsid w:val="00F64009"/>
    <w:rsid w:val="00F65260"/>
    <w:rsid w:val="00F73810"/>
    <w:rsid w:val="00F75CFA"/>
    <w:rsid w:val="00F82625"/>
    <w:rsid w:val="00F835EF"/>
    <w:rsid w:val="00F85FBB"/>
    <w:rsid w:val="00F863BD"/>
    <w:rsid w:val="00F90DBB"/>
    <w:rsid w:val="00F971DD"/>
    <w:rsid w:val="00F97756"/>
    <w:rsid w:val="00FA0B64"/>
    <w:rsid w:val="00FA2887"/>
    <w:rsid w:val="00FA4A65"/>
    <w:rsid w:val="00FB7B3D"/>
    <w:rsid w:val="00FC0FD8"/>
    <w:rsid w:val="00FD177F"/>
    <w:rsid w:val="00FD1B49"/>
    <w:rsid w:val="00FD3A54"/>
    <w:rsid w:val="00FD7069"/>
    <w:rsid w:val="00FD718F"/>
    <w:rsid w:val="00FE2B0F"/>
    <w:rsid w:val="00FE3865"/>
    <w:rsid w:val="00FE4C69"/>
    <w:rsid w:val="00FF0F48"/>
    <w:rsid w:val="00FF4127"/>
    <w:rsid w:val="00FF5D22"/>
    <w:rsid w:val="00FF635D"/>
    <w:rsid w:val="00FF675E"/>
    <w:rsid w:val="00FF7034"/>
    <w:rsid w:val="00FF7154"/>
    <w:rsid w:val="0174A890"/>
    <w:rsid w:val="0254512A"/>
    <w:rsid w:val="04F8CAA7"/>
    <w:rsid w:val="05FCB7DB"/>
    <w:rsid w:val="06686391"/>
    <w:rsid w:val="07E2A36C"/>
    <w:rsid w:val="095FF976"/>
    <w:rsid w:val="09A59232"/>
    <w:rsid w:val="09E861A7"/>
    <w:rsid w:val="0AC10FFB"/>
    <w:rsid w:val="0ADAB655"/>
    <w:rsid w:val="0B31CD8B"/>
    <w:rsid w:val="0B65193A"/>
    <w:rsid w:val="0C7A1CC8"/>
    <w:rsid w:val="0DEB765B"/>
    <w:rsid w:val="0F2900D1"/>
    <w:rsid w:val="112060C8"/>
    <w:rsid w:val="1226C26C"/>
    <w:rsid w:val="13C1799A"/>
    <w:rsid w:val="14195C8E"/>
    <w:rsid w:val="1537F495"/>
    <w:rsid w:val="16B997FD"/>
    <w:rsid w:val="16BF9069"/>
    <w:rsid w:val="171D03B2"/>
    <w:rsid w:val="187A93E2"/>
    <w:rsid w:val="190763A5"/>
    <w:rsid w:val="1ABE7A88"/>
    <w:rsid w:val="1B3B775F"/>
    <w:rsid w:val="1C1F4483"/>
    <w:rsid w:val="1EBA034E"/>
    <w:rsid w:val="1F768603"/>
    <w:rsid w:val="217D60A8"/>
    <w:rsid w:val="22AC04B1"/>
    <w:rsid w:val="23780B58"/>
    <w:rsid w:val="27821C79"/>
    <w:rsid w:val="288D225D"/>
    <w:rsid w:val="2A125462"/>
    <w:rsid w:val="2B860DD9"/>
    <w:rsid w:val="2C121CA3"/>
    <w:rsid w:val="2D307076"/>
    <w:rsid w:val="2E9C8887"/>
    <w:rsid w:val="30ABD791"/>
    <w:rsid w:val="324BEC02"/>
    <w:rsid w:val="332CF1DD"/>
    <w:rsid w:val="34B1B3E4"/>
    <w:rsid w:val="3687E1A7"/>
    <w:rsid w:val="37347847"/>
    <w:rsid w:val="3A24B84F"/>
    <w:rsid w:val="3A45A6AD"/>
    <w:rsid w:val="3AD150DC"/>
    <w:rsid w:val="3C9DD624"/>
    <w:rsid w:val="403FCA7A"/>
    <w:rsid w:val="4060BEDF"/>
    <w:rsid w:val="4121930B"/>
    <w:rsid w:val="415643D1"/>
    <w:rsid w:val="41732487"/>
    <w:rsid w:val="42F1F412"/>
    <w:rsid w:val="4313A18A"/>
    <w:rsid w:val="439B92CC"/>
    <w:rsid w:val="467C9F96"/>
    <w:rsid w:val="482D9C45"/>
    <w:rsid w:val="48AF0A54"/>
    <w:rsid w:val="4979F477"/>
    <w:rsid w:val="49E5E655"/>
    <w:rsid w:val="4A895B54"/>
    <w:rsid w:val="4B679549"/>
    <w:rsid w:val="4C6BD160"/>
    <w:rsid w:val="4F7A693E"/>
    <w:rsid w:val="51FBC02A"/>
    <w:rsid w:val="51FCA895"/>
    <w:rsid w:val="52716215"/>
    <w:rsid w:val="5311567B"/>
    <w:rsid w:val="536C1967"/>
    <w:rsid w:val="547A2E1A"/>
    <w:rsid w:val="571E25AA"/>
    <w:rsid w:val="58FA2D5D"/>
    <w:rsid w:val="59ABC323"/>
    <w:rsid w:val="5A9B6F39"/>
    <w:rsid w:val="5BCB7FEC"/>
    <w:rsid w:val="5BDB37F5"/>
    <w:rsid w:val="5E848BF4"/>
    <w:rsid w:val="609BBA81"/>
    <w:rsid w:val="60C82066"/>
    <w:rsid w:val="61C3DB51"/>
    <w:rsid w:val="62622530"/>
    <w:rsid w:val="629E1D8B"/>
    <w:rsid w:val="64448B8F"/>
    <w:rsid w:val="687EF4D0"/>
    <w:rsid w:val="6A69EB61"/>
    <w:rsid w:val="6B839B41"/>
    <w:rsid w:val="6BD1823F"/>
    <w:rsid w:val="6C64640E"/>
    <w:rsid w:val="6E0C7E91"/>
    <w:rsid w:val="6FAE71BC"/>
    <w:rsid w:val="702898A1"/>
    <w:rsid w:val="7055AF08"/>
    <w:rsid w:val="72177A8A"/>
    <w:rsid w:val="73D80F66"/>
    <w:rsid w:val="74E00784"/>
    <w:rsid w:val="74E12A42"/>
    <w:rsid w:val="769235A0"/>
    <w:rsid w:val="7759FED6"/>
    <w:rsid w:val="781C8BEF"/>
    <w:rsid w:val="78DED78A"/>
    <w:rsid w:val="7D5D8282"/>
    <w:rsid w:val="7D80E6C5"/>
    <w:rsid w:val="7DC47CFF"/>
    <w:rsid w:val="7DF6F134"/>
    <w:rsid w:val="7F159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25AF"/>
  <w15:docId w15:val="{1C0BC936-EB6C-49CB-8F03-B38F796A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07D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A00"/>
  </w:style>
  <w:style w:type="paragraph" w:styleId="Footer">
    <w:name w:val="footer"/>
    <w:basedOn w:val="Normal"/>
    <w:link w:val="FooterChar"/>
    <w:uiPriority w:val="99"/>
    <w:unhideWhenUsed/>
    <w:rsid w:val="00C13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A00"/>
  </w:style>
  <w:style w:type="character" w:customStyle="1" w:styleId="Heading3Char">
    <w:name w:val="Heading 3 Char"/>
    <w:basedOn w:val="DefaultParagraphFont"/>
    <w:link w:val="Heading3"/>
    <w:uiPriority w:val="9"/>
    <w:semiHidden/>
    <w:rsid w:val="00A07DFB"/>
    <w:rPr>
      <w:rFonts w:asciiTheme="majorHAnsi" w:eastAsiaTheme="majorEastAsia" w:hAnsiTheme="majorHAnsi" w:cstheme="majorBidi"/>
      <w:color w:val="1F3763" w:themeColor="accent1" w:themeShade="7F"/>
      <w:sz w:val="24"/>
      <w:szCs w:val="24"/>
    </w:rPr>
  </w:style>
  <w:style w:type="character" w:customStyle="1" w:styleId="toptext">
    <w:name w:val="top__text"/>
    <w:basedOn w:val="DefaultParagraphFont"/>
    <w:rsid w:val="00A07DFB"/>
  </w:style>
  <w:style w:type="paragraph" w:styleId="ListParagraph">
    <w:name w:val="List Paragraph"/>
    <w:basedOn w:val="Normal"/>
    <w:uiPriority w:val="34"/>
    <w:qFormat/>
    <w:rsid w:val="009E42B6"/>
    <w:pPr>
      <w:ind w:left="720"/>
      <w:contextualSpacing/>
    </w:pPr>
  </w:style>
  <w:style w:type="character" w:customStyle="1" w:styleId="normaltextrun">
    <w:name w:val="normaltextrun"/>
    <w:basedOn w:val="DefaultParagraphFont"/>
    <w:rsid w:val="002053F4"/>
  </w:style>
  <w:style w:type="character" w:customStyle="1" w:styleId="spellingerror">
    <w:name w:val="spellingerror"/>
    <w:basedOn w:val="DefaultParagraphFont"/>
    <w:rsid w:val="002053F4"/>
  </w:style>
  <w:style w:type="character" w:customStyle="1" w:styleId="contextualspellingandgrammarerror">
    <w:name w:val="contextualspellingandgrammarerror"/>
    <w:basedOn w:val="DefaultParagraphFont"/>
    <w:rsid w:val="004D3638"/>
  </w:style>
  <w:style w:type="paragraph" w:customStyle="1" w:styleId="paragraph">
    <w:name w:val="paragraph"/>
    <w:basedOn w:val="Normal"/>
    <w:rsid w:val="003149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14967"/>
  </w:style>
  <w:style w:type="table" w:styleId="TableGrid">
    <w:name w:val="Table Grid"/>
    <w:basedOn w:val="TableNormal"/>
    <w:uiPriority w:val="39"/>
    <w:rsid w:val="00A62ECC"/>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2749"/>
    <w:rPr>
      <w:color w:val="0563C1" w:themeColor="hyperlink"/>
      <w:u w:val="single"/>
    </w:rPr>
  </w:style>
  <w:style w:type="paragraph" w:styleId="BalloonText">
    <w:name w:val="Balloon Text"/>
    <w:basedOn w:val="Normal"/>
    <w:link w:val="BalloonTextChar"/>
    <w:uiPriority w:val="99"/>
    <w:semiHidden/>
    <w:unhideWhenUsed/>
    <w:rsid w:val="00565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8D5"/>
    <w:rPr>
      <w:rFonts w:ascii="Tahoma" w:hAnsi="Tahoma" w:cs="Tahoma"/>
      <w:sz w:val="16"/>
      <w:szCs w:val="16"/>
    </w:rPr>
  </w:style>
  <w:style w:type="character" w:styleId="LineNumber">
    <w:name w:val="line number"/>
    <w:basedOn w:val="DefaultParagraphFont"/>
    <w:uiPriority w:val="99"/>
    <w:semiHidden/>
    <w:unhideWhenUsed/>
    <w:rsid w:val="004A5231"/>
  </w:style>
  <w:style w:type="character" w:customStyle="1" w:styleId="st">
    <w:name w:val="st"/>
    <w:basedOn w:val="DefaultParagraphFont"/>
    <w:rsid w:val="001E1D46"/>
  </w:style>
  <w:style w:type="character" w:styleId="Emphasis">
    <w:name w:val="Emphasis"/>
    <w:basedOn w:val="DefaultParagraphFont"/>
    <w:uiPriority w:val="20"/>
    <w:qFormat/>
    <w:rsid w:val="001E1D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996">
      <w:bodyDiv w:val="1"/>
      <w:marLeft w:val="0"/>
      <w:marRight w:val="0"/>
      <w:marTop w:val="0"/>
      <w:marBottom w:val="0"/>
      <w:divBdr>
        <w:top w:val="none" w:sz="0" w:space="0" w:color="auto"/>
        <w:left w:val="none" w:sz="0" w:space="0" w:color="auto"/>
        <w:bottom w:val="none" w:sz="0" w:space="0" w:color="auto"/>
        <w:right w:val="none" w:sz="0" w:space="0" w:color="auto"/>
      </w:divBdr>
    </w:div>
    <w:div w:id="684865503">
      <w:bodyDiv w:val="1"/>
      <w:marLeft w:val="0"/>
      <w:marRight w:val="0"/>
      <w:marTop w:val="0"/>
      <w:marBottom w:val="0"/>
      <w:divBdr>
        <w:top w:val="none" w:sz="0" w:space="0" w:color="auto"/>
        <w:left w:val="none" w:sz="0" w:space="0" w:color="auto"/>
        <w:bottom w:val="none" w:sz="0" w:space="0" w:color="auto"/>
        <w:right w:val="none" w:sz="0" w:space="0" w:color="auto"/>
      </w:divBdr>
      <w:divsChild>
        <w:div w:id="1329554160">
          <w:marLeft w:val="0"/>
          <w:marRight w:val="0"/>
          <w:marTop w:val="0"/>
          <w:marBottom w:val="0"/>
          <w:divBdr>
            <w:top w:val="none" w:sz="0" w:space="0" w:color="auto"/>
            <w:left w:val="none" w:sz="0" w:space="0" w:color="auto"/>
            <w:bottom w:val="none" w:sz="0" w:space="0" w:color="auto"/>
            <w:right w:val="none" w:sz="0" w:space="0" w:color="auto"/>
          </w:divBdr>
        </w:div>
      </w:divsChild>
    </w:div>
    <w:div w:id="807555482">
      <w:bodyDiv w:val="1"/>
      <w:marLeft w:val="0"/>
      <w:marRight w:val="0"/>
      <w:marTop w:val="0"/>
      <w:marBottom w:val="0"/>
      <w:divBdr>
        <w:top w:val="none" w:sz="0" w:space="0" w:color="auto"/>
        <w:left w:val="none" w:sz="0" w:space="0" w:color="auto"/>
        <w:bottom w:val="none" w:sz="0" w:space="0" w:color="auto"/>
        <w:right w:val="none" w:sz="0" w:space="0" w:color="auto"/>
      </w:divBdr>
    </w:div>
    <w:div w:id="833960266">
      <w:bodyDiv w:val="1"/>
      <w:marLeft w:val="0"/>
      <w:marRight w:val="0"/>
      <w:marTop w:val="0"/>
      <w:marBottom w:val="0"/>
      <w:divBdr>
        <w:top w:val="none" w:sz="0" w:space="0" w:color="auto"/>
        <w:left w:val="none" w:sz="0" w:space="0" w:color="auto"/>
        <w:bottom w:val="none" w:sz="0" w:space="0" w:color="auto"/>
        <w:right w:val="none" w:sz="0" w:space="0" w:color="auto"/>
      </w:divBdr>
      <w:divsChild>
        <w:div w:id="136068349">
          <w:marLeft w:val="0"/>
          <w:marRight w:val="0"/>
          <w:marTop w:val="0"/>
          <w:marBottom w:val="0"/>
          <w:divBdr>
            <w:top w:val="none" w:sz="0" w:space="0" w:color="auto"/>
            <w:left w:val="none" w:sz="0" w:space="0" w:color="auto"/>
            <w:bottom w:val="none" w:sz="0" w:space="0" w:color="auto"/>
            <w:right w:val="none" w:sz="0" w:space="0" w:color="auto"/>
          </w:divBdr>
        </w:div>
        <w:div w:id="1313412242">
          <w:marLeft w:val="0"/>
          <w:marRight w:val="0"/>
          <w:marTop w:val="0"/>
          <w:marBottom w:val="0"/>
          <w:divBdr>
            <w:top w:val="none" w:sz="0" w:space="0" w:color="auto"/>
            <w:left w:val="none" w:sz="0" w:space="0" w:color="auto"/>
            <w:bottom w:val="none" w:sz="0" w:space="0" w:color="auto"/>
            <w:right w:val="none" w:sz="0" w:space="0" w:color="auto"/>
          </w:divBdr>
        </w:div>
        <w:div w:id="1829326306">
          <w:marLeft w:val="0"/>
          <w:marRight w:val="0"/>
          <w:marTop w:val="0"/>
          <w:marBottom w:val="0"/>
          <w:divBdr>
            <w:top w:val="none" w:sz="0" w:space="0" w:color="auto"/>
            <w:left w:val="none" w:sz="0" w:space="0" w:color="auto"/>
            <w:bottom w:val="none" w:sz="0" w:space="0" w:color="auto"/>
            <w:right w:val="none" w:sz="0" w:space="0" w:color="auto"/>
          </w:divBdr>
        </w:div>
        <w:div w:id="1843734751">
          <w:marLeft w:val="0"/>
          <w:marRight w:val="0"/>
          <w:marTop w:val="0"/>
          <w:marBottom w:val="0"/>
          <w:divBdr>
            <w:top w:val="none" w:sz="0" w:space="0" w:color="auto"/>
            <w:left w:val="none" w:sz="0" w:space="0" w:color="auto"/>
            <w:bottom w:val="none" w:sz="0" w:space="0" w:color="auto"/>
            <w:right w:val="none" w:sz="0" w:space="0" w:color="auto"/>
          </w:divBdr>
        </w:div>
      </w:divsChild>
    </w:div>
    <w:div w:id="858547202">
      <w:bodyDiv w:val="1"/>
      <w:marLeft w:val="0"/>
      <w:marRight w:val="0"/>
      <w:marTop w:val="0"/>
      <w:marBottom w:val="0"/>
      <w:divBdr>
        <w:top w:val="none" w:sz="0" w:space="0" w:color="auto"/>
        <w:left w:val="none" w:sz="0" w:space="0" w:color="auto"/>
        <w:bottom w:val="none" w:sz="0" w:space="0" w:color="auto"/>
        <w:right w:val="none" w:sz="0" w:space="0" w:color="auto"/>
      </w:divBdr>
    </w:div>
    <w:div w:id="1035083813">
      <w:bodyDiv w:val="1"/>
      <w:marLeft w:val="0"/>
      <w:marRight w:val="0"/>
      <w:marTop w:val="0"/>
      <w:marBottom w:val="0"/>
      <w:divBdr>
        <w:top w:val="none" w:sz="0" w:space="0" w:color="auto"/>
        <w:left w:val="none" w:sz="0" w:space="0" w:color="auto"/>
        <w:bottom w:val="none" w:sz="0" w:space="0" w:color="auto"/>
        <w:right w:val="none" w:sz="0" w:space="0" w:color="auto"/>
      </w:divBdr>
      <w:divsChild>
        <w:div w:id="6642205">
          <w:marLeft w:val="0"/>
          <w:marRight w:val="0"/>
          <w:marTop w:val="0"/>
          <w:marBottom w:val="0"/>
          <w:divBdr>
            <w:top w:val="none" w:sz="0" w:space="0" w:color="auto"/>
            <w:left w:val="none" w:sz="0" w:space="0" w:color="auto"/>
            <w:bottom w:val="none" w:sz="0" w:space="0" w:color="auto"/>
            <w:right w:val="none" w:sz="0" w:space="0" w:color="auto"/>
          </w:divBdr>
        </w:div>
        <w:div w:id="707872792">
          <w:marLeft w:val="0"/>
          <w:marRight w:val="0"/>
          <w:marTop w:val="0"/>
          <w:marBottom w:val="0"/>
          <w:divBdr>
            <w:top w:val="none" w:sz="0" w:space="0" w:color="auto"/>
            <w:left w:val="none" w:sz="0" w:space="0" w:color="auto"/>
            <w:bottom w:val="none" w:sz="0" w:space="0" w:color="auto"/>
            <w:right w:val="none" w:sz="0" w:space="0" w:color="auto"/>
          </w:divBdr>
        </w:div>
        <w:div w:id="1002316080">
          <w:marLeft w:val="0"/>
          <w:marRight w:val="0"/>
          <w:marTop w:val="0"/>
          <w:marBottom w:val="0"/>
          <w:divBdr>
            <w:top w:val="none" w:sz="0" w:space="0" w:color="auto"/>
            <w:left w:val="none" w:sz="0" w:space="0" w:color="auto"/>
            <w:bottom w:val="none" w:sz="0" w:space="0" w:color="auto"/>
            <w:right w:val="none" w:sz="0" w:space="0" w:color="auto"/>
          </w:divBdr>
        </w:div>
        <w:div w:id="1048601612">
          <w:marLeft w:val="0"/>
          <w:marRight w:val="0"/>
          <w:marTop w:val="0"/>
          <w:marBottom w:val="0"/>
          <w:divBdr>
            <w:top w:val="none" w:sz="0" w:space="0" w:color="auto"/>
            <w:left w:val="none" w:sz="0" w:space="0" w:color="auto"/>
            <w:bottom w:val="none" w:sz="0" w:space="0" w:color="auto"/>
            <w:right w:val="none" w:sz="0" w:space="0" w:color="auto"/>
          </w:divBdr>
        </w:div>
        <w:div w:id="1103260988">
          <w:marLeft w:val="0"/>
          <w:marRight w:val="0"/>
          <w:marTop w:val="0"/>
          <w:marBottom w:val="0"/>
          <w:divBdr>
            <w:top w:val="none" w:sz="0" w:space="0" w:color="auto"/>
            <w:left w:val="none" w:sz="0" w:space="0" w:color="auto"/>
            <w:bottom w:val="none" w:sz="0" w:space="0" w:color="auto"/>
            <w:right w:val="none" w:sz="0" w:space="0" w:color="auto"/>
          </w:divBdr>
        </w:div>
        <w:div w:id="1359358557">
          <w:marLeft w:val="0"/>
          <w:marRight w:val="0"/>
          <w:marTop w:val="0"/>
          <w:marBottom w:val="0"/>
          <w:divBdr>
            <w:top w:val="none" w:sz="0" w:space="0" w:color="auto"/>
            <w:left w:val="none" w:sz="0" w:space="0" w:color="auto"/>
            <w:bottom w:val="none" w:sz="0" w:space="0" w:color="auto"/>
            <w:right w:val="none" w:sz="0" w:space="0" w:color="auto"/>
          </w:divBdr>
        </w:div>
        <w:div w:id="1438868486">
          <w:marLeft w:val="0"/>
          <w:marRight w:val="0"/>
          <w:marTop w:val="0"/>
          <w:marBottom w:val="0"/>
          <w:divBdr>
            <w:top w:val="none" w:sz="0" w:space="0" w:color="auto"/>
            <w:left w:val="none" w:sz="0" w:space="0" w:color="auto"/>
            <w:bottom w:val="none" w:sz="0" w:space="0" w:color="auto"/>
            <w:right w:val="none" w:sz="0" w:space="0" w:color="auto"/>
          </w:divBdr>
        </w:div>
        <w:div w:id="1806199759">
          <w:marLeft w:val="0"/>
          <w:marRight w:val="0"/>
          <w:marTop w:val="0"/>
          <w:marBottom w:val="0"/>
          <w:divBdr>
            <w:top w:val="none" w:sz="0" w:space="0" w:color="auto"/>
            <w:left w:val="none" w:sz="0" w:space="0" w:color="auto"/>
            <w:bottom w:val="none" w:sz="0" w:space="0" w:color="auto"/>
            <w:right w:val="none" w:sz="0" w:space="0" w:color="auto"/>
          </w:divBdr>
        </w:div>
        <w:div w:id="1848400437">
          <w:marLeft w:val="0"/>
          <w:marRight w:val="0"/>
          <w:marTop w:val="0"/>
          <w:marBottom w:val="0"/>
          <w:divBdr>
            <w:top w:val="none" w:sz="0" w:space="0" w:color="auto"/>
            <w:left w:val="none" w:sz="0" w:space="0" w:color="auto"/>
            <w:bottom w:val="none" w:sz="0" w:space="0" w:color="auto"/>
            <w:right w:val="none" w:sz="0" w:space="0" w:color="auto"/>
          </w:divBdr>
        </w:div>
      </w:divsChild>
    </w:div>
    <w:div w:id="1085497685">
      <w:bodyDiv w:val="1"/>
      <w:marLeft w:val="0"/>
      <w:marRight w:val="0"/>
      <w:marTop w:val="0"/>
      <w:marBottom w:val="0"/>
      <w:divBdr>
        <w:top w:val="none" w:sz="0" w:space="0" w:color="auto"/>
        <w:left w:val="none" w:sz="0" w:space="0" w:color="auto"/>
        <w:bottom w:val="none" w:sz="0" w:space="0" w:color="auto"/>
        <w:right w:val="none" w:sz="0" w:space="0" w:color="auto"/>
      </w:divBdr>
    </w:div>
    <w:div w:id="1106269281">
      <w:bodyDiv w:val="1"/>
      <w:marLeft w:val="0"/>
      <w:marRight w:val="0"/>
      <w:marTop w:val="0"/>
      <w:marBottom w:val="0"/>
      <w:divBdr>
        <w:top w:val="none" w:sz="0" w:space="0" w:color="auto"/>
        <w:left w:val="none" w:sz="0" w:space="0" w:color="auto"/>
        <w:bottom w:val="none" w:sz="0" w:space="0" w:color="auto"/>
        <w:right w:val="none" w:sz="0" w:space="0" w:color="auto"/>
      </w:divBdr>
      <w:divsChild>
        <w:div w:id="123932668">
          <w:marLeft w:val="0"/>
          <w:marRight w:val="0"/>
          <w:marTop w:val="0"/>
          <w:marBottom w:val="0"/>
          <w:divBdr>
            <w:top w:val="none" w:sz="0" w:space="0" w:color="auto"/>
            <w:left w:val="none" w:sz="0" w:space="0" w:color="auto"/>
            <w:bottom w:val="none" w:sz="0" w:space="0" w:color="auto"/>
            <w:right w:val="none" w:sz="0" w:space="0" w:color="auto"/>
          </w:divBdr>
        </w:div>
        <w:div w:id="917136871">
          <w:marLeft w:val="0"/>
          <w:marRight w:val="0"/>
          <w:marTop w:val="0"/>
          <w:marBottom w:val="0"/>
          <w:divBdr>
            <w:top w:val="none" w:sz="0" w:space="0" w:color="auto"/>
            <w:left w:val="none" w:sz="0" w:space="0" w:color="auto"/>
            <w:bottom w:val="none" w:sz="0" w:space="0" w:color="auto"/>
            <w:right w:val="none" w:sz="0" w:space="0" w:color="auto"/>
          </w:divBdr>
        </w:div>
        <w:div w:id="1445344722">
          <w:marLeft w:val="0"/>
          <w:marRight w:val="0"/>
          <w:marTop w:val="0"/>
          <w:marBottom w:val="0"/>
          <w:divBdr>
            <w:top w:val="none" w:sz="0" w:space="0" w:color="auto"/>
            <w:left w:val="none" w:sz="0" w:space="0" w:color="auto"/>
            <w:bottom w:val="none" w:sz="0" w:space="0" w:color="auto"/>
            <w:right w:val="none" w:sz="0" w:space="0" w:color="auto"/>
          </w:divBdr>
        </w:div>
      </w:divsChild>
    </w:div>
    <w:div w:id="1406873292">
      <w:bodyDiv w:val="1"/>
      <w:marLeft w:val="0"/>
      <w:marRight w:val="0"/>
      <w:marTop w:val="0"/>
      <w:marBottom w:val="0"/>
      <w:divBdr>
        <w:top w:val="none" w:sz="0" w:space="0" w:color="auto"/>
        <w:left w:val="none" w:sz="0" w:space="0" w:color="auto"/>
        <w:bottom w:val="none" w:sz="0" w:space="0" w:color="auto"/>
        <w:right w:val="none" w:sz="0" w:space="0" w:color="auto"/>
      </w:divBdr>
      <w:divsChild>
        <w:div w:id="79567174">
          <w:marLeft w:val="0"/>
          <w:marRight w:val="0"/>
          <w:marTop w:val="0"/>
          <w:marBottom w:val="0"/>
          <w:divBdr>
            <w:top w:val="none" w:sz="0" w:space="0" w:color="auto"/>
            <w:left w:val="none" w:sz="0" w:space="0" w:color="auto"/>
            <w:bottom w:val="none" w:sz="0" w:space="0" w:color="auto"/>
            <w:right w:val="none" w:sz="0" w:space="0" w:color="auto"/>
          </w:divBdr>
        </w:div>
        <w:div w:id="661735026">
          <w:marLeft w:val="0"/>
          <w:marRight w:val="0"/>
          <w:marTop w:val="0"/>
          <w:marBottom w:val="0"/>
          <w:divBdr>
            <w:top w:val="none" w:sz="0" w:space="0" w:color="auto"/>
            <w:left w:val="none" w:sz="0" w:space="0" w:color="auto"/>
            <w:bottom w:val="none" w:sz="0" w:space="0" w:color="auto"/>
            <w:right w:val="none" w:sz="0" w:space="0" w:color="auto"/>
          </w:divBdr>
        </w:div>
        <w:div w:id="814377303">
          <w:marLeft w:val="0"/>
          <w:marRight w:val="0"/>
          <w:marTop w:val="0"/>
          <w:marBottom w:val="0"/>
          <w:divBdr>
            <w:top w:val="none" w:sz="0" w:space="0" w:color="auto"/>
            <w:left w:val="none" w:sz="0" w:space="0" w:color="auto"/>
            <w:bottom w:val="none" w:sz="0" w:space="0" w:color="auto"/>
            <w:right w:val="none" w:sz="0" w:space="0" w:color="auto"/>
          </w:divBdr>
        </w:div>
        <w:div w:id="2082553937">
          <w:marLeft w:val="0"/>
          <w:marRight w:val="0"/>
          <w:marTop w:val="0"/>
          <w:marBottom w:val="0"/>
          <w:divBdr>
            <w:top w:val="none" w:sz="0" w:space="0" w:color="auto"/>
            <w:left w:val="none" w:sz="0" w:space="0" w:color="auto"/>
            <w:bottom w:val="none" w:sz="0" w:space="0" w:color="auto"/>
            <w:right w:val="none" w:sz="0" w:space="0" w:color="auto"/>
          </w:divBdr>
        </w:div>
      </w:divsChild>
    </w:div>
    <w:div w:id="1603103453">
      <w:bodyDiv w:val="1"/>
      <w:marLeft w:val="0"/>
      <w:marRight w:val="0"/>
      <w:marTop w:val="0"/>
      <w:marBottom w:val="0"/>
      <w:divBdr>
        <w:top w:val="none" w:sz="0" w:space="0" w:color="auto"/>
        <w:left w:val="none" w:sz="0" w:space="0" w:color="auto"/>
        <w:bottom w:val="none" w:sz="0" w:space="0" w:color="auto"/>
        <w:right w:val="none" w:sz="0" w:space="0" w:color="auto"/>
      </w:divBdr>
    </w:div>
    <w:div w:id="1809975183">
      <w:bodyDiv w:val="1"/>
      <w:marLeft w:val="0"/>
      <w:marRight w:val="0"/>
      <w:marTop w:val="0"/>
      <w:marBottom w:val="0"/>
      <w:divBdr>
        <w:top w:val="none" w:sz="0" w:space="0" w:color="auto"/>
        <w:left w:val="none" w:sz="0" w:space="0" w:color="auto"/>
        <w:bottom w:val="none" w:sz="0" w:space="0" w:color="auto"/>
        <w:right w:val="none" w:sz="0" w:space="0" w:color="auto"/>
      </w:divBdr>
    </w:div>
    <w:div w:id="1966426271">
      <w:bodyDiv w:val="1"/>
      <w:marLeft w:val="0"/>
      <w:marRight w:val="0"/>
      <w:marTop w:val="0"/>
      <w:marBottom w:val="0"/>
      <w:divBdr>
        <w:top w:val="none" w:sz="0" w:space="0" w:color="auto"/>
        <w:left w:val="none" w:sz="0" w:space="0" w:color="auto"/>
        <w:bottom w:val="none" w:sz="0" w:space="0" w:color="auto"/>
        <w:right w:val="none" w:sz="0" w:space="0" w:color="auto"/>
      </w:divBdr>
      <w:divsChild>
        <w:div w:id="644358816">
          <w:marLeft w:val="0"/>
          <w:marRight w:val="0"/>
          <w:marTop w:val="0"/>
          <w:marBottom w:val="0"/>
          <w:divBdr>
            <w:top w:val="none" w:sz="0" w:space="0" w:color="auto"/>
            <w:left w:val="none" w:sz="0" w:space="0" w:color="auto"/>
            <w:bottom w:val="none" w:sz="0" w:space="0" w:color="auto"/>
            <w:right w:val="none" w:sz="0" w:space="0" w:color="auto"/>
          </w:divBdr>
        </w:div>
      </w:divsChild>
    </w:div>
    <w:div w:id="1973362146">
      <w:bodyDiv w:val="1"/>
      <w:marLeft w:val="0"/>
      <w:marRight w:val="0"/>
      <w:marTop w:val="0"/>
      <w:marBottom w:val="0"/>
      <w:divBdr>
        <w:top w:val="none" w:sz="0" w:space="0" w:color="auto"/>
        <w:left w:val="none" w:sz="0" w:space="0" w:color="auto"/>
        <w:bottom w:val="none" w:sz="0" w:space="0" w:color="auto"/>
        <w:right w:val="none" w:sz="0" w:space="0" w:color="auto"/>
      </w:divBdr>
    </w:div>
    <w:div w:id="2006275903">
      <w:bodyDiv w:val="1"/>
      <w:marLeft w:val="0"/>
      <w:marRight w:val="0"/>
      <w:marTop w:val="0"/>
      <w:marBottom w:val="0"/>
      <w:divBdr>
        <w:top w:val="none" w:sz="0" w:space="0" w:color="auto"/>
        <w:left w:val="none" w:sz="0" w:space="0" w:color="auto"/>
        <w:bottom w:val="none" w:sz="0" w:space="0" w:color="auto"/>
        <w:right w:val="none" w:sz="0" w:space="0" w:color="auto"/>
      </w:divBdr>
      <w:divsChild>
        <w:div w:id="447089137">
          <w:marLeft w:val="0"/>
          <w:marRight w:val="0"/>
          <w:marTop w:val="0"/>
          <w:marBottom w:val="0"/>
          <w:divBdr>
            <w:top w:val="none" w:sz="0" w:space="0" w:color="auto"/>
            <w:left w:val="none" w:sz="0" w:space="0" w:color="auto"/>
            <w:bottom w:val="none" w:sz="0" w:space="0" w:color="auto"/>
            <w:right w:val="none" w:sz="0" w:space="0" w:color="auto"/>
          </w:divBdr>
        </w:div>
        <w:div w:id="705912933">
          <w:marLeft w:val="0"/>
          <w:marRight w:val="0"/>
          <w:marTop w:val="0"/>
          <w:marBottom w:val="0"/>
          <w:divBdr>
            <w:top w:val="none" w:sz="0" w:space="0" w:color="auto"/>
            <w:left w:val="none" w:sz="0" w:space="0" w:color="auto"/>
            <w:bottom w:val="none" w:sz="0" w:space="0" w:color="auto"/>
            <w:right w:val="none" w:sz="0" w:space="0" w:color="auto"/>
          </w:divBdr>
        </w:div>
        <w:div w:id="793401464">
          <w:marLeft w:val="0"/>
          <w:marRight w:val="0"/>
          <w:marTop w:val="0"/>
          <w:marBottom w:val="0"/>
          <w:divBdr>
            <w:top w:val="none" w:sz="0" w:space="0" w:color="auto"/>
            <w:left w:val="none" w:sz="0" w:space="0" w:color="auto"/>
            <w:bottom w:val="none" w:sz="0" w:space="0" w:color="auto"/>
            <w:right w:val="none" w:sz="0" w:space="0" w:color="auto"/>
          </w:divBdr>
        </w:div>
      </w:divsChild>
    </w:div>
    <w:div w:id="2115780140">
      <w:bodyDiv w:val="1"/>
      <w:marLeft w:val="0"/>
      <w:marRight w:val="0"/>
      <w:marTop w:val="0"/>
      <w:marBottom w:val="0"/>
      <w:divBdr>
        <w:top w:val="none" w:sz="0" w:space="0" w:color="auto"/>
        <w:left w:val="none" w:sz="0" w:space="0" w:color="auto"/>
        <w:bottom w:val="none" w:sz="0" w:space="0" w:color="auto"/>
        <w:right w:val="none" w:sz="0" w:space="0" w:color="auto"/>
      </w:divBdr>
      <w:divsChild>
        <w:div w:id="142238753">
          <w:marLeft w:val="0"/>
          <w:marRight w:val="0"/>
          <w:marTop w:val="0"/>
          <w:marBottom w:val="0"/>
          <w:divBdr>
            <w:top w:val="none" w:sz="0" w:space="0" w:color="auto"/>
            <w:left w:val="none" w:sz="0" w:space="0" w:color="auto"/>
            <w:bottom w:val="none" w:sz="0" w:space="0" w:color="auto"/>
            <w:right w:val="none" w:sz="0" w:space="0" w:color="auto"/>
          </w:divBdr>
        </w:div>
        <w:div w:id="355423092">
          <w:marLeft w:val="0"/>
          <w:marRight w:val="0"/>
          <w:marTop w:val="0"/>
          <w:marBottom w:val="0"/>
          <w:divBdr>
            <w:top w:val="none" w:sz="0" w:space="0" w:color="auto"/>
            <w:left w:val="none" w:sz="0" w:space="0" w:color="auto"/>
            <w:bottom w:val="none" w:sz="0" w:space="0" w:color="auto"/>
            <w:right w:val="none" w:sz="0" w:space="0" w:color="auto"/>
          </w:divBdr>
        </w:div>
        <w:div w:id="386756937">
          <w:marLeft w:val="0"/>
          <w:marRight w:val="0"/>
          <w:marTop w:val="0"/>
          <w:marBottom w:val="0"/>
          <w:divBdr>
            <w:top w:val="none" w:sz="0" w:space="0" w:color="auto"/>
            <w:left w:val="none" w:sz="0" w:space="0" w:color="auto"/>
            <w:bottom w:val="none" w:sz="0" w:space="0" w:color="auto"/>
            <w:right w:val="none" w:sz="0" w:space="0" w:color="auto"/>
          </w:divBdr>
        </w:div>
        <w:div w:id="1007252004">
          <w:marLeft w:val="0"/>
          <w:marRight w:val="0"/>
          <w:marTop w:val="0"/>
          <w:marBottom w:val="0"/>
          <w:divBdr>
            <w:top w:val="none" w:sz="0" w:space="0" w:color="auto"/>
            <w:left w:val="none" w:sz="0" w:space="0" w:color="auto"/>
            <w:bottom w:val="none" w:sz="0" w:space="0" w:color="auto"/>
            <w:right w:val="none" w:sz="0" w:space="0" w:color="auto"/>
          </w:divBdr>
        </w:div>
        <w:div w:id="1312325560">
          <w:marLeft w:val="0"/>
          <w:marRight w:val="0"/>
          <w:marTop w:val="0"/>
          <w:marBottom w:val="0"/>
          <w:divBdr>
            <w:top w:val="none" w:sz="0" w:space="0" w:color="auto"/>
            <w:left w:val="none" w:sz="0" w:space="0" w:color="auto"/>
            <w:bottom w:val="none" w:sz="0" w:space="0" w:color="auto"/>
            <w:right w:val="none" w:sz="0" w:space="0" w:color="auto"/>
          </w:divBdr>
        </w:div>
        <w:div w:id="1578395434">
          <w:marLeft w:val="0"/>
          <w:marRight w:val="0"/>
          <w:marTop w:val="0"/>
          <w:marBottom w:val="0"/>
          <w:divBdr>
            <w:top w:val="none" w:sz="0" w:space="0" w:color="auto"/>
            <w:left w:val="none" w:sz="0" w:space="0" w:color="auto"/>
            <w:bottom w:val="none" w:sz="0" w:space="0" w:color="auto"/>
            <w:right w:val="none" w:sz="0" w:space="0" w:color="auto"/>
          </w:divBdr>
        </w:div>
        <w:div w:id="1660160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cbi.nlm.nih.gov/pubmed/145737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cbi.nlm.nih.gov/pubmed/?term=Bickel%20C%5BAuthor%5D&amp;cauthor=true&amp;cauthor_uid=1457373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C670826DB0E14590CD5ADA54C800A6" ma:contentTypeVersion="13" ma:contentTypeDescription="Create a new document." ma:contentTypeScope="" ma:versionID="c8daa434955e74a1aa8deb027c507c78">
  <xsd:schema xmlns:xsd="http://www.w3.org/2001/XMLSchema" xmlns:xs="http://www.w3.org/2001/XMLSchema" xmlns:p="http://schemas.microsoft.com/office/2006/metadata/properties" xmlns:ns3="68293a87-6474-4b79-b1da-0541da4b0b63" xmlns:ns4="eb4b882f-51c0-4fd1-8d39-45e4259aee82" targetNamespace="http://schemas.microsoft.com/office/2006/metadata/properties" ma:root="true" ma:fieldsID="de98f32c7336abf0cf350562dacd5e04" ns3:_="" ns4:_="">
    <xsd:import namespace="68293a87-6474-4b79-b1da-0541da4b0b63"/>
    <xsd:import namespace="eb4b882f-51c0-4fd1-8d39-45e4259aee8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3:SharedWithDetails" minOccurs="0"/>
                <xsd:element ref="ns3:SharingHintHash"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93a87-6474-4b79-b1da-0541da4b0b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b882f-51c0-4fd1-8d39-45e4259aee8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363CC-68DC-417A-A6B5-578037914027}">
  <ds:schemaRefs>
    <ds:schemaRef ds:uri="http://schemas.microsoft.com/sharepoint/v3/contenttype/forms"/>
  </ds:schemaRefs>
</ds:datastoreItem>
</file>

<file path=customXml/itemProps2.xml><?xml version="1.0" encoding="utf-8"?>
<ds:datastoreItem xmlns:ds="http://schemas.openxmlformats.org/officeDocument/2006/customXml" ds:itemID="{AC497D99-D3B5-4003-8E2D-685B437FF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93a87-6474-4b79-b1da-0541da4b0b63"/>
    <ds:schemaRef ds:uri="eb4b882f-51c0-4fd1-8d39-45e4259ae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B277D-DC08-4A8E-9DD2-8832F4D657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4b882f-51c0-4fd1-8d39-45e4259aee82"/>
    <ds:schemaRef ds:uri="http://purl.org/dc/elements/1.1/"/>
    <ds:schemaRef ds:uri="http://schemas.microsoft.com/office/2006/metadata/properties"/>
    <ds:schemaRef ds:uri="68293a87-6474-4b79-b1da-0541da4b0b63"/>
    <ds:schemaRef ds:uri="http://www.w3.org/XML/1998/namespace"/>
    <ds:schemaRef ds:uri="http://purl.org/dc/dcmitype/"/>
  </ds:schemaRefs>
</ds:datastoreItem>
</file>

<file path=customXml/itemProps4.xml><?xml version="1.0" encoding="utf-8"?>
<ds:datastoreItem xmlns:ds="http://schemas.openxmlformats.org/officeDocument/2006/customXml" ds:itemID="{5AA1B5F7-D3DA-4373-B919-BD459F27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6207</Words>
  <Characters>35383</Characters>
  <Application>Microsoft Office Word</Application>
  <DocSecurity>4</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St George's University Hospitals NHS</Company>
  <LinksUpToDate>false</LinksUpToDate>
  <CharactersWithSpaces>41507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Earle</dc:creator>
  <cp:keywords/>
  <cp:lastModifiedBy>Irina Chis Ster</cp:lastModifiedBy>
  <cp:revision>2</cp:revision>
  <cp:lastPrinted>2020-04-08T11:48:00Z</cp:lastPrinted>
  <dcterms:created xsi:type="dcterms:W3CDTF">2020-10-13T13:59:00Z</dcterms:created>
  <dcterms:modified xsi:type="dcterms:W3CDTF">2020-10-13T13:59:00Z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0x01010092C670826DB0E14590CD5ADA54C800A6</vt:lpwstr>
  </property>
</Properties>
</file>