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B1C31" w14:textId="77777777" w:rsidR="006A1273" w:rsidRPr="00EE2463" w:rsidRDefault="006A1273" w:rsidP="005319E4">
      <w:pPr>
        <w:spacing w:after="0" w:line="480" w:lineRule="auto"/>
        <w:rPr>
          <w:rFonts w:ascii="Calibri" w:hAnsi="Calibri" w:cs="Arial"/>
          <w:b/>
          <w:u w:val="single"/>
        </w:rPr>
      </w:pPr>
      <w:r w:rsidRPr="00EE2463">
        <w:rPr>
          <w:rFonts w:ascii="Calibri" w:hAnsi="Calibri" w:cs="Arial"/>
          <w:b/>
          <w:u w:val="single"/>
        </w:rPr>
        <w:t>Background</w:t>
      </w:r>
    </w:p>
    <w:p w14:paraId="19155267" w14:textId="0CFA3FEB" w:rsidR="006A1273" w:rsidRPr="00EE2463" w:rsidRDefault="006A1273" w:rsidP="005319E4">
      <w:pPr>
        <w:spacing w:after="0" w:line="480" w:lineRule="auto"/>
        <w:rPr>
          <w:rFonts w:ascii="Calibri" w:hAnsi="Calibri" w:cs="Arial"/>
        </w:rPr>
      </w:pPr>
      <w:r w:rsidRPr="00EE2463">
        <w:rPr>
          <w:rFonts w:ascii="Calibri" w:hAnsi="Calibri" w:cs="Arial"/>
        </w:rPr>
        <w:t>There is a common understanding that</w:t>
      </w:r>
      <w:r w:rsidR="5C524868" w:rsidRPr="00EE2463">
        <w:rPr>
          <w:rFonts w:ascii="Calibri" w:hAnsi="Calibri" w:cs="Arial"/>
        </w:rPr>
        <w:t xml:space="preserve"> rapidly</w:t>
      </w:r>
      <w:r w:rsidRPr="00EE2463">
        <w:rPr>
          <w:rFonts w:ascii="Calibri" w:hAnsi="Calibri" w:cs="Arial"/>
        </w:rPr>
        <w:t xml:space="preserve"> treating bloodstream infections with appropriate antibiotic therapy  can reduce morbidity and mortality.</w:t>
      </w:r>
      <w:r w:rsidRPr="00EE2463">
        <w:rPr>
          <w:rFonts w:ascii="Calibri" w:hAnsi="Calibri" w:cs="Arial"/>
        </w:rPr>
        <w:fldChar w:fldCharType="begin" w:fldLock="1"/>
      </w:r>
      <w:r w:rsidRPr="00EE2463">
        <w:rPr>
          <w:rFonts w:ascii="Calibri" w:hAnsi="Calibri" w:cs="Arial"/>
        </w:rPr>
        <w:instrText>ADDIN CSL_CITATION {"citationItems":[{"id":"ITEM-1","itemData":{"DOI":"10.1128/AAC.00627-10","ISSN":"0066-4804","PMID":"20733044","abstract":"Quantifying the benefit of early antibiotic treatment is crucial for decision making and can be assessed only in observational studies. We performed a systematic review of prospective studies reporting the effect of appropriate empirical antibiotic treatment on all-cause mortality among adult inpatients with sepsis. Two reviewers independently extracted data. Risk of bias was assessed using the Newcastle-Ottawa score. We calculated unadjusted odds ratios (ORs) with 95% confidence intervals for each study and extracted adjusted ORs, with variance, methods, and covariates being used for adjustment. ORs were pooled using random-effects meta-analysis. We examined the effects of methodological and clinical confounders on results through subgroup analysis or mixed-effect meta-regression. Seventy studies were included, of which 48 provided an adjusted OR for inappropriate empirical antibiotic treatment. Inappropriate empirical antibiotic treatment was associated with significantly higher mortality in the unadjusted and adjusted comparisons, with considerable heterogeneity occurring in both analyses ( I 2 &gt; 70%). Study design, time of mortality assessment, the reporting methods of the multivariable models, and the covariates used for adjustment were significantly associated with effect size. Septic shock was the only clinical variable significantly affecting results (it was associated with higher ORs). Studies adjusting for background conditions and sepsis severity reported a pooled adjusted OR of 1.60 (95% confidence interval = 1.37 to 1.86; 26 studies; number needed to treat to prevent one fatal outcome, 10 patients [95% confidence interval = 8 to 15]; I 2 = 46.3%) given 34% mortality with inappropriate empirical treatment. Appropriate empirical antibiotic treatment is associated with a significant reduction in all-cause mortality. However, the methods used in the observational studies significantly affect the effect size reported. Methods of observational studies assessing the effects of antibiotic treatment should be improved and standardized.","author":[{"dropping-particle":"","family":"Paul","given":"Mical","non-dropping-particle":"","parse-names":false,"suffix":""},{"dropping-particle":"","family":"Shani","given":"Vered","non-dropping-particle":"","parse-names":false,"suffix":""},{"dropping-particle":"","family":"Muchtar","given":"Eli","non-dropping-particle":"","parse-names":false,"suffix":""},{"dropping-particle":"","family":"Kariv","given":"Galia","non-dropping-particle":"","parse-names":false,"suffix":""},{"dropping-particle":"","family":"Robenshtok","given":"Eyal","non-dropping-particle":"","parse-names":false,"suffix":""},{"dropping-particle":"","family":"Leibovici","given":"Leonard","non-dropping-particle":"","parse-names":false,"suffix":""}],"container-title":"Antimicrobial Agents and Chemotherapy","id":"ITEM-1","issue":"11","issued":{"date-parts":[["2010","11","1"]]},"page":"4851-4863","publisher":"American Society for Microbiology Journals","title":"Systematic Review and Meta-Analysis of the Efficacy of Appropriate Empiric Antibiotic Therapy for Sepsis","type":"article-journal","volume":"54"},"uris":["http://www.mendeley.com/documents/?uuid=62b5a39d-b0a1-3244-995b-c797a21f7806"]},{"id":"ITEM-2","itemData":{"DOI":"10.1128/AAC.00338-07","ISSN":"0066-4804","PMID":"17646415","abstract":"Although a growing number of studies have found a relationship between delayed appropriate antibiotic therapy and mortality, few have attempted to quantify the temporal association between delayed appropriate antibiotic therapy and mortality. This study was designed to measure the elapsed time associated with an increased risk of 30-day mortality among patients with Pseudomonas aeruginosa bacteremia. The retrospective cohort study was conducted among immunocompetent, adult patients with P. aeruginosa bacteremia onset at least 2 days after hospital admission between 1 January 2001 and 30 September 2006. Classification and regression tree analysis (CART) was used to identify the delay in appropriate antibiotic therapy that was associated with an increased risk of 30-day mortality. During the study period, 100 patients met the inclusion criteria. The CART-derived breakpoint between early and delayed treatment was 52 h. The delayed treatment group experienced a &gt;2-fold significant increase in 30-day mortality compared to the early treatment group (44 and 19%, respectively, P = 0.008). Delayed appropriate therapy of &gt;52 h (odds ratio [OR] = 4.1; 95% confidence interval [CI] 1.2 to 13.9, P = 0.03) was independently associated with 30-day mortality in the multivariate analysis. Antibiotic resistance &gt; or =3 classes (adjusted OR [AOR] = 4.6; 95% CI = 1.9 to 11.2, P = 0.001) and chronic obstructive pulmonary disease (AOR = 5.4; 95% CI = 1.5 to 19.7, P = 0.01) were independently associated with delayed appropriate therapy of &gt;52 h. The data strongly suggest that delaying appropriate therapy for approximately 2 days significantly increases the risk of 30-day mortality in patients with P. aeruginosa bloodstream infections.","author":[{"dropping-particle":"","family":"Lodise","given":"T. P.","non-dropping-particle":"","parse-names":false,"suffix":""},{"dropping-particle":"","family":"Patel","given":"N.","non-dropping-particle":"","parse-names":false,"suffix":""},{"dropping-particle":"","family":"Kwa","given":"A.","non-dropping-particle":"","parse-names":false,"suffix":""},{"dropping-particle":"","family":"Graves","given":"J.","non-dropping-particle":"","parse-names":false,"suffix":""},{"dropping-particle":"","family":"Furuno","given":"J. P.","non-dropping-particle":"","parse-names":false,"suffix":""},{"dropping-particle":"","family":"Graffunder","given":"E.","non-dropping-particle":"","parse-names":false,"suffix":""},{"dropping-particle":"","family":"Lomaestro","given":"B.","non-dropping-particle":"","parse-names":false,"suffix":""},{"dropping-particle":"","family":"McGregor","given":"J. C.","non-dropping-particle":"","parse-names":false,"suffix":""}],"container-title":"Antimicrobial Agents and Chemotherapy","id":"ITEM-2","issue":"10","issued":{"date-parts":[["2007","10","1"]]},"page":"3510-3515","title":"Predictors of 30-Day Mortality among Patients with Pseudomonas aeruginosa Bloodstream Infections: Impact of Delayed Appropriate Antibiotic Selection","type":"article-journal","volume":"51"},"uris":["http://www.mendeley.com/documents/?uuid=539cbef4-8d9b-32b6-94cf-05bbd4125469"]},{"id":"ITEM-3","itemData":{"DOI":"10.1016/j.jcrc.2007.08.007","ISSN":"08839441","PMID":"18359426","abstract":"OBJECTIVES Studies have found that initial treatment of ventilator-associated pneumonia (VAP) and blood stream infections (BSI) with inappropriate antimicrobial therapy is associated with higher rates of mortality, but additional studies have failed to confirm this. METHODS Databases were searched to identify studies that met the following criteria: observational trials, patients with VAP or BSI receiving appropriate and inappropriate antimicrobial therapy, and mortality data. We conducted random-effects model meta-analyses, both with and without adjustment. RESULTS Meta-analyses of VAP studies using unadjusted and adjusted data indicated that inappropriate therapy significantly increased patients' odds of mortality (odds ratio [OR], 2.34; 95% confidence interval [CI], 1.51-3.63; P = .0001, I 2 = 28.5% and OR, 3.03; 95% CI, 1.12-8.19; P = .0292, I 2 = 89.2%, respectively). Meta-analyses of BSI studies using unadjusted and adjusted data showed that inappropriate therapy significantly increased patients' odds of mortality (OR, 2.33; 95% CI, 1.96-2.76; P &lt; .0001, I 2 = 48.7% and OR, 2.28; 95% CI, 1.43-3.65; P = .0006, I 2 = 88.2%, respectively). CONCLUSIONS There appears to be an association between initial inappropriate antimicrobial therapy and increased mortality in patients with VAP and BSI.","author":[{"dropping-particle":"","family":"Kuti","given":"Effie L.","non-dropping-particle":"","parse-names":false,"suffix":""},{"dropping-particle":"","family":"Patel","given":"Aarti A.","non-dropping-particle":"","parse-names":false,"suffix":""},{"dropping-particle":"","family":"Coleman","given":"Craig I.","non-dropping-particle":"","parse-names":false,"suffix":""}],"container-title":"Journal of Critical Care","id":"ITEM-3","issue":"1","issued":{"date-parts":[["2008","3"]]},"page":"91-100","title":"Impact of inappropriate antibiotic therapy on mortality in patients with ventilator-associated pneumonia and blood stream infection: A meta-analysis","type":"article-journal","volume":"23"},"uris":["http://www.mendeley.com/documents/?uuid=657c5715-b94e-3d7d-b5fc-1504a0189c24"]},{"id":"ITEM-4","itemData":{"DOI":"10.1186/s12879-015-1123-5","ISSN":"1471-2334","PMID":"26423743","abstract":"BACKGROUND The rapid global spread of multi-resistant bacteria and loss of antibiotic effectiveness increases the risk of initial inappropriate antibiotic therapy (IAT) and poses a serious threat to patient safety. We conducted a systematic review and meta-analysis of published studies to summarize the effect of appropriate antibiotic therapy (AAT) or IAT against gram-negative bacterial infections in the hospital setting. METHODS MEDLINE, EMBASE, and Cochrane CENTRAL databases were searched until May 2014 to identify English-language studies examining use of AAT or IAT in hospitalized patients with Gram-negative pathogens. Outcomes of interest included mortality, clinical cure, cost, and length of stay. Citations and eligible full-text articles were screened in duplicate. Random effect models meta-analysis was used. RESULTS Fifty-seven studies in 60 publications were eligible. AAT was associated with lower risk of mortality (unadjusted summary odds ratio [OR] 0.38, 95 % confidence interval [CI] 0.30-0.47, 39 studies, 5809 patients) and treatment failure (OR 0.22, 95 % CI 0.14-0.35; 3 studies, 283 patients). Conversely, IAT increased risk of mortality (unadjusted summary OR 2.66, 95 % CI 2.12-3.35; 39 studies, 5809 patients). In meta-analyses of adjusted data, AAT was associated with lower risk of mortality (adjusted summary OR 0.43, 95 % CI 0.23-0.83; 6 studies, 1409 patients). Conversely, IAT increased risk of mortality (adjusted summary OR 3.30, 95 % CI 2.42-4.49; 16 studies, 2493 patients). A limited number of studies suggested higher cost and longer hospital stay with IAT. There was considerable heterogeneity in the definition of AAT or IAT, pathogens studied, and outcomes assessed. DISCUSSION Using a large set of studies we found that IAT is associated with a number of serious consequences,including an increased risk of hospital mortality. Infections caused by drug-resistant, Gram-negative organisms represent a considerable financial burden to healthcare systems due to the increased costs associated with the resources required to manage the infection, particularly longer hospital stays. However, there were insufficient data that evaluated AAT for the outcome of costs among patients with nosocomialGram-negative infections. CONCLUSIONS IAT in hospitalized patients with Gram-negative infections is associated with adverse outcomes. Technological advances for rapid diagnostics to facilitate AAT along with antimicrobial stewardship, surveillance, infecti…","author":[{"dropping-particle":"","family":"Raman","given":"Gowri","non-dropping-particle":"","parse-names":false,"suffix":""},{"dropping-particle":"","family":"Avendano","given":"Esther","non-dropping-particle":"","parse-names":false,"suffix":""},{"dropping-particle":"","family":"Berger","given":"Samantha","non-dropping-particle":"","parse-names":false,"suffix":""},{"dropping-particle":"","family":"Menon","given":"Vandana","non-dropping-particle":"","parse-names":false,"suffix":""}],"container-title":"BMC infectious diseases","id":"ITEM-4","issued":{"date-parts":[["2015","9","30"]]},"page":"395","publisher":"BioMed Central","title":"Appropriate initial antibiotic therapy in hospitalized patients with gram-negative infections: systematic review and meta-analysis.","type":"article-journal","volume":"15"},"uris":["http://www.mendeley.com/documents/?uuid=16533d78-f56c-3c0f-b6c3-0c816eafb5cd"]}],"mendeley":{"formattedCitation":"(1–4)","plainTextFormattedCitation":"(1–4)","previouslyFormattedCitation":"(1–4)"},"properties":{"noteIndex":0},"schema":"https://github.com/citation-style-language/schema/raw/master/csl-citation.json"}</w:instrText>
      </w:r>
      <w:r w:rsidRPr="00EE2463">
        <w:rPr>
          <w:rFonts w:ascii="Calibri" w:hAnsi="Calibri" w:cs="Arial"/>
        </w:rPr>
        <w:fldChar w:fldCharType="separate"/>
      </w:r>
      <w:r w:rsidR="00934DFF" w:rsidRPr="00EE2463">
        <w:rPr>
          <w:rFonts w:ascii="Calibri" w:hAnsi="Calibri" w:cs="Arial"/>
          <w:noProof/>
        </w:rPr>
        <w:t>(1–4)</w:t>
      </w:r>
      <w:r w:rsidRPr="00EE2463">
        <w:rPr>
          <w:rFonts w:ascii="Calibri" w:hAnsi="Calibri" w:cs="Arial"/>
        </w:rPr>
        <w:fldChar w:fldCharType="end"/>
      </w:r>
      <w:r w:rsidRPr="00EE2463">
        <w:rPr>
          <w:rFonts w:ascii="Calibri" w:hAnsi="Calibri" w:cs="Arial"/>
        </w:rPr>
        <w:t xml:space="preserve"> Generally, inappropriate treatment in this context is defined as the </w:t>
      </w:r>
      <w:r w:rsidR="4FE88C08" w:rsidRPr="00EE2463">
        <w:rPr>
          <w:rFonts w:ascii="Calibri" w:hAnsi="Calibri" w:cs="Arial"/>
        </w:rPr>
        <w:t xml:space="preserve">cultured </w:t>
      </w:r>
      <w:r w:rsidRPr="00EE2463">
        <w:rPr>
          <w:rFonts w:ascii="Calibri" w:hAnsi="Calibri" w:cs="Arial"/>
        </w:rPr>
        <w:t xml:space="preserve">bacterial isolate being resistant to the empirically administered antibiotic or </w:t>
      </w:r>
      <w:r w:rsidR="61813E73" w:rsidRPr="00EE2463">
        <w:rPr>
          <w:rFonts w:ascii="Calibri" w:hAnsi="Calibri" w:cs="Arial"/>
        </w:rPr>
        <w:t xml:space="preserve">antibiotic </w:t>
      </w:r>
      <w:r w:rsidRPr="00EE2463">
        <w:rPr>
          <w:rFonts w:ascii="Calibri" w:hAnsi="Calibri" w:cs="Arial"/>
        </w:rPr>
        <w:t>combination. Early empiric treatment tends to be based on clinical presentation until microbiology results are known which can take several days.</w:t>
      </w:r>
      <w:r w:rsidRPr="00EE2463">
        <w:rPr>
          <w:rFonts w:ascii="Calibri" w:hAnsi="Calibri" w:cs="Arial"/>
        </w:rPr>
        <w:fldChar w:fldCharType="begin" w:fldLock="1"/>
      </w:r>
      <w:r w:rsidRPr="00EE2463">
        <w:rPr>
          <w:rFonts w:ascii="Calibri" w:hAnsi="Calibri" w:cs="Arial"/>
        </w:rPr>
        <w:instrText>ADDIN CSL_CITATION {"citationItems":[{"id":"ITEM-1","itemData":{"DOI":"10.1093/cid/ciu493","ISSN":"1537-6591","author":[{"dropping-particle":"","family":"MacFadden","given":"Derek R.","non-dropping-particle":"","parse-names":false,"suffix":""},{"dropping-particle":"","family":"Leis","given":"Jerome A.","non-dropping-particle":"","parse-names":false,"suffix":""},{"dropping-particle":"","family":"Mubareka","given":"Samira","non-dropping-particle":"","parse-names":false,"suffix":""},{"dropping-particle":"","family":"Daneman","given":"Nick","non-dropping-particle":"","parse-names":false,"suffix":""}],"container-title":"Clinical Infectious Diseases","id":"ITEM-1","issue":"8","issued":{"date-parts":[["2014","10","15"]]},"page":"1199-1200","publisher":"Narnia","title":"The Opening and Closing of Empiric Windows: The Impact of Rapid Microbiologic Diagnostics","type":"article-journal","volume":"59"},"uris":["http://www.mendeley.com/documents/?uuid=1b56d72b-997a-31b6-b494-6303f4241d96"]}],"mendeley":{"formattedCitation":"(5)","plainTextFormattedCitation":"(5)","previouslyFormattedCitation":"(5)"},"properties":{"noteIndex":0},"schema":"https://github.com/citation-style-language/schema/raw/master/csl-citation.json"}</w:instrText>
      </w:r>
      <w:r w:rsidRPr="00EE2463">
        <w:rPr>
          <w:rFonts w:ascii="Calibri" w:hAnsi="Calibri" w:cs="Arial"/>
        </w:rPr>
        <w:fldChar w:fldCharType="separate"/>
      </w:r>
      <w:r w:rsidR="00934DFF" w:rsidRPr="00EE2463">
        <w:rPr>
          <w:rFonts w:ascii="Calibri" w:hAnsi="Calibri" w:cs="Arial"/>
          <w:noProof/>
        </w:rPr>
        <w:t>(5)</w:t>
      </w:r>
      <w:r w:rsidRPr="00EE2463">
        <w:rPr>
          <w:rFonts w:ascii="Calibri" w:hAnsi="Calibri" w:cs="Arial"/>
        </w:rPr>
        <w:fldChar w:fldCharType="end"/>
      </w:r>
      <w:r w:rsidRPr="00EE2463">
        <w:rPr>
          <w:rFonts w:ascii="Calibri" w:hAnsi="Calibri" w:cs="Arial"/>
        </w:rPr>
        <w:t xml:space="preserve"> Most studies that have found an association between discordant empiric antibiotic therapy and mortality have been conducted in sepsis or bloodstream infection in adults.</w:t>
      </w:r>
      <w:r w:rsidRPr="00EE2463">
        <w:rPr>
          <w:rFonts w:ascii="Calibri" w:hAnsi="Calibri" w:cs="Arial"/>
        </w:rPr>
        <w:fldChar w:fldCharType="begin" w:fldLock="1"/>
      </w:r>
      <w:r w:rsidRPr="00EE2463">
        <w:rPr>
          <w:rFonts w:ascii="Calibri" w:hAnsi="Calibri" w:cs="Arial"/>
        </w:rPr>
        <w:instrText>ADDIN CSL_CITATION {"citationItems":[{"id":"ITEM-1","itemData":{"DOI":"10.1128/AAC.00627-10","ISSN":"0066-4804","PMID":"20733044","abstract":"Quantifying the benefit of early antibiotic treatment is crucial for decision making and can be assessed only in observational studies. We performed a systematic review of prospective studies reporting the effect of appropriate empirical antibiotic treatment on all-cause mortality among adult inpatients with sepsis. Two reviewers independently extracted data. Risk of bias was assessed using the Newcastle-Ottawa score. We calculated unadjusted odds ratios (ORs) with 95% confidence intervals for each study and extracted adjusted ORs, with variance, methods, and covariates being used for adjustment. ORs were pooled using random-effects meta-analysis. We examined the effects of methodological and clinical confounders on results through subgroup analysis or mixed-effect meta-regression. Seventy studies were included, of which 48 provided an adjusted OR for inappropriate empirical antibiotic treatment. Inappropriate empirical antibiotic treatment was associated with significantly higher mortality in the unadjusted and adjusted comparisons, with considerable heterogeneity occurring in both analyses ( I 2 &gt; 70%). Study design, time of mortality assessment, the reporting methods of the multivariable models, and the covariates used for adjustment were significantly associated with effect size. Septic shock was the only clinical variable significantly affecting results (it was associated with higher ORs). Studies adjusting for background conditions and sepsis severity reported a pooled adjusted OR of 1.60 (95% confidence interval = 1.37 to 1.86; 26 studies; number needed to treat to prevent one fatal outcome, 10 patients [95% confidence interval = 8 to 15]; I 2 = 46.3%) given 34% mortality with inappropriate empirical treatment. Appropriate empirical antibiotic treatment is associated with a significant reduction in all-cause mortality. However, the methods used in the observational studies significantly affect the effect size reported. Methods of observational studies assessing the effects of antibiotic treatment should be improved and standardized.","author":[{"dropping-particle":"","family":"Paul","given":"Mical","non-dropping-particle":"","parse-names":false,"suffix":""},{"dropping-particle":"","family":"Shani","given":"Vered","non-dropping-particle":"","parse-names":false,"suffix":""},{"dropping-particle":"","family":"Muchtar","given":"Eli","non-dropping-particle":"","parse-names":false,"suffix":""},{"dropping-particle":"","family":"Kariv","given":"Galia","non-dropping-particle":"","parse-names":false,"suffix":""},{"dropping-particle":"","family":"Robenshtok","given":"Eyal","non-dropping-particle":"","parse-names":false,"suffix":""},{"dropping-particle":"","family":"Leibovici","given":"Leonard","non-dropping-particle":"","parse-names":false,"suffix":""}],"container-title":"Antimicrobial Agents and Chemotherapy","id":"ITEM-1","issue":"11","issued":{"date-parts":[["2010","11","1"]]},"page":"4851-4863","publisher":"American Society for Microbiology Journals","title":"Systematic Review and Meta-Analysis of the Efficacy of Appropriate Empiric Antibiotic Therapy for Sepsis","type":"article-journal","volume":"54"},"uris":["http://www.mendeley.com/documents/?uuid=62b5a39d-b0a1-3244-995b-c797a21f7806"]},{"id":"ITEM-2","itemData":{"DOI":"10.1186/s12879-015-1123-5","ISSN":"1471-2334","PMID":"26423743","abstract":"BACKGROUND The rapid global spread of multi-resistant bacteria and loss of antibiotic effectiveness increases the risk of initial inappropriate antibiotic therapy (IAT) and poses a serious threat to patient safety. We conducted a systematic review and meta-analysis of published studies to summarize the effect of appropriate antibiotic therapy (AAT) or IAT against gram-negative bacterial infections in the hospital setting. METHODS MEDLINE, EMBASE, and Cochrane CENTRAL databases were searched until May 2014 to identify English-language studies examining use of AAT or IAT in hospitalized patients with Gram-negative pathogens. Outcomes of interest included mortality, clinical cure, cost, and length of stay. Citations and eligible full-text articles were screened in duplicate. Random effect models meta-analysis was used. RESULTS Fifty-seven studies in 60 publications were eligible. AAT was associated with lower risk of mortality (unadjusted summary odds ratio [OR] 0.38, 95 % confidence interval [CI] 0.30-0.47, 39 studies, 5809 patients) and treatment failure (OR 0.22, 95 % CI 0.14-0.35; 3 studies, 283 patients). Conversely, IAT increased risk of mortality (unadjusted summary OR 2.66, 95 % CI 2.12-3.35; 39 studies, 5809 patients). In meta-analyses of adjusted data, AAT was associated with lower risk of mortality (adjusted summary OR 0.43, 95 % CI 0.23-0.83; 6 studies, 1409 patients). Conversely, IAT increased risk of mortality (adjusted summary OR 3.30, 95 % CI 2.42-4.49; 16 studies, 2493 patients). A limited number of studies suggested higher cost and longer hospital stay with IAT. There was considerable heterogeneity in the definition of AAT or IAT, pathogens studied, and outcomes assessed. DISCUSSION Using a large set of studies we found that IAT is associated with a number of serious consequences,including an increased risk of hospital mortality. Infections caused by drug-resistant, Gram-negative organisms represent a considerable financial burden to healthcare systems due to the increased costs associated with the resources required to manage the infection, particularly longer hospital stays. However, there were insufficient data that evaluated AAT for the outcome of costs among patients with nosocomialGram-negative infections. CONCLUSIONS IAT in hospitalized patients with Gram-negative infections is associated with adverse outcomes. Technological advances for rapid diagnostics to facilitate AAT along with antimicrobial stewardship, surveillance, infecti…","author":[{"dropping-particle":"","family":"Raman","given":"Gowri","non-dropping-particle":"","parse-names":false,"suffix":""},{"dropping-particle":"","family":"Avendano","given":"Esther","non-dropping-particle":"","parse-names":false,"suffix":""},{"dropping-particle":"","family":"Berger","given":"Samantha","non-dropping-particle":"","parse-names":false,"suffix":""},{"dropping-particle":"","family":"Menon","given":"Vandana","non-dropping-particle":"","parse-names":false,"suffix":""}],"container-title":"BMC infectious diseases","id":"ITEM-2","issued":{"date-parts":[["2015","9","30"]]},"page":"395","publisher":"BioMed Central","title":"Appropriate initial antibiotic therapy in hospitalized patients with gram-negative infections: systematic review and meta-analysis.","type":"article-journal","volume":"15"},"uris":["http://www.mendeley.com/documents/?uuid=16533d78-f56c-3c0f-b6c3-0c816eafb5cd"]}],"mendeley":{"formattedCitation":"(1,4)","plainTextFormattedCitation":"(1,4)","previouslyFormattedCitation":"(1,4)"},"properties":{"noteIndex":0},"schema":"https://github.com/citation-style-language/schema/raw/master/csl-citation.json"}</w:instrText>
      </w:r>
      <w:r w:rsidRPr="00EE2463">
        <w:rPr>
          <w:rFonts w:ascii="Calibri" w:hAnsi="Calibri" w:cs="Arial"/>
        </w:rPr>
        <w:fldChar w:fldCharType="separate"/>
      </w:r>
      <w:r w:rsidR="00934DFF" w:rsidRPr="00EE2463">
        <w:rPr>
          <w:rFonts w:ascii="Calibri" w:hAnsi="Calibri" w:cs="Arial"/>
          <w:noProof/>
        </w:rPr>
        <w:t>(1,4)</w:t>
      </w:r>
      <w:r w:rsidRPr="00EE2463">
        <w:rPr>
          <w:rFonts w:ascii="Calibri" w:hAnsi="Calibri" w:cs="Arial"/>
        </w:rPr>
        <w:fldChar w:fldCharType="end"/>
      </w:r>
      <w:r w:rsidRPr="00EE2463">
        <w:rPr>
          <w:rFonts w:ascii="Calibri" w:hAnsi="Calibri" w:cs="Arial"/>
        </w:rPr>
        <w:t xml:space="preserve"> In contrast, there are limited data in neonates and children. </w:t>
      </w:r>
    </w:p>
    <w:p w14:paraId="620701A6" w14:textId="48586968" w:rsidR="006A1273" w:rsidRPr="00EE2463" w:rsidRDefault="006A1273" w:rsidP="005319E4">
      <w:pPr>
        <w:spacing w:after="0" w:line="480" w:lineRule="auto"/>
        <w:rPr>
          <w:rFonts w:ascii="Calibri" w:hAnsi="Calibri" w:cs="Arial"/>
        </w:rPr>
      </w:pPr>
      <w:r w:rsidRPr="00EE2463">
        <w:rPr>
          <w:rFonts w:ascii="Calibri" w:hAnsi="Calibri" w:cs="Arial"/>
        </w:rPr>
        <w:t xml:space="preserve">Currently, the </w:t>
      </w:r>
      <w:r w:rsidR="00AE30AA" w:rsidRPr="00EE2463">
        <w:rPr>
          <w:rFonts w:ascii="Calibri" w:hAnsi="Calibri" w:cs="Arial"/>
        </w:rPr>
        <w:t>World Health Organisation (WHO)</w:t>
      </w:r>
      <w:r w:rsidRPr="00EE2463">
        <w:rPr>
          <w:rFonts w:ascii="Calibri" w:hAnsi="Calibri" w:cs="Arial"/>
        </w:rPr>
        <w:t xml:space="preserve"> universally recommends empiric first line therapy of ampicillin and gentamicin for suspected sepsis in neonates and children which does not account for the wide variation in resistance patterns seen globally.</w:t>
      </w:r>
      <w:r w:rsidRPr="00EE2463">
        <w:rPr>
          <w:rFonts w:ascii="Calibri" w:hAnsi="Calibri" w:cs="Arial"/>
        </w:rPr>
        <w:fldChar w:fldCharType="begin" w:fldLock="1"/>
      </w:r>
      <w:r w:rsidR="00934DFF" w:rsidRPr="00EE2463">
        <w:rPr>
          <w:rFonts w:ascii="Calibri" w:hAnsi="Calibri" w:cs="Arial"/>
        </w:rPr>
        <w:instrText>ADDIN CSL_CITATION {"citationItems":[{"id":"ITEM-1","itemData":{"DOI":"10.1080/20469047.2017.1408738","ISSN":"2046-9047","abstract":"AbstractBackgroundGuidelines from 2005 for treating suspected sepsis in low- and middle-income countries (LMIC) recommended hospitalisation and prophylactic intramuscular (IM) or intravenous (IV) ampicillin and gentamicin. In 2015, recommendations when referral to hospital is not possible suggest the administration of IM gentamicin and oral amoxicillin. In an era of increasing antimicrobial resistance, an updated review of the appropriate empirical therapy for treating sepsis (taking into account susceptibility patterns, cost and risk of adverse events) in neonates and children is necessary.MethodsSystematic literature review and international guidelines were used to identify published evidence regarding the treatment of (suspected) sepsis.ResultsFive adequately designed and powered studies comparing antibiotic treatments in a low-risk community in neonates and young infants in LMIC were identified. These addressed potential simplifications of the current WHO treatment of reference, for infants for whom a...","author":[{"dropping-particle":"","family":"Fuchs","given":"Aline","non-dropping-particle":"","parse-names":false,"suffix":""},{"dropping-particle":"","family":"Bielicki","given":"Julia","non-dropping-particle":"","parse-names":false,"suffix":""},{"dropping-particle":"","family":"Mathur","given":"Shrey","non-dropping-particle":"","parse-names":false,"suffix":""},{"dropping-particle":"","family":"Sharland","given":"Mike","non-dropping-particle":"","parse-names":false,"suffix":""},{"dropping-particle":"","family":"Anker","given":"Johannes N.","non-dropping-particle":"Van Den","parse-names":false,"suffix":""}],"container-title":"Paediatrics and International Child Health","id":"ITEM-1","issue":"sup1","issued":{"date-parts":[["2018","12","21"]]},"page":"S3-S15","publisher":"Taylor &amp; Francis","title":"Reviewing the WHO guidelines for antibiotic use for sepsis in neonates and children","type":"article-journal","volume":"38"},"uris":["http://www.mendeley.com/documents/?uuid=fda229a9-21b3-3d0c-ba26-556f0d412944"]},{"id":"ITEM-2","itemData":{"DOI":"10.1093/jpids/piu014","ISSN":"2048-7207","author":[{"dropping-particle":"","family":"Doare","given":"Kirsty","non-dropping-particle":"Le","parse-names":false,"suffix":""},{"dropping-particle":"","family":"Bielicki","given":"Julia","non-dropping-particle":"","parse-names":false,"suffix":""},{"dropping-particle":"","family":"Heath","given":"Paul T.","non-dropping-particle":"","parse-names":false,"suffix":""},{"dropping-particle":"","family":"Sharland","given":"Mike","non-dropping-particle":"","parse-names":false,"suffix":""}],"container-title":"Journal of the Pediatric Infectious Diseases Society","id":"ITEM-2","issue":"1","issued":{"date-parts":[["2015","3","1"]]},"page":"11-20","publisher":"Oxford University Press","title":"Systematic Review of Antibiotic Resistance Rates Among Gram-Negative Bacteria in Children With Sepsis in Resource-Limited Countries","type":"article-journal","volume":"4"},"uris":["http://www.mendeley.com/documents/?uuid=729f5a6f-5bda-365d-a8b3-017e925f4ba5"]}],"mendeley":{"formattedCitation":"(6,7)","plainTextFormattedCitation":"(6,7)","previouslyFormattedCitation":"(6,7)"},"properties":{"noteIndex":0},"schema":"https://github.com/citation-style-language/schema/raw/master/csl-citation.json"}</w:instrText>
      </w:r>
      <w:r w:rsidRPr="00EE2463">
        <w:rPr>
          <w:rFonts w:ascii="Calibri" w:hAnsi="Calibri" w:cs="Arial"/>
        </w:rPr>
        <w:fldChar w:fldCharType="separate"/>
      </w:r>
      <w:r w:rsidR="00403FCF" w:rsidRPr="00EE2463">
        <w:rPr>
          <w:rFonts w:ascii="Calibri" w:hAnsi="Calibri" w:cs="Arial"/>
          <w:noProof/>
        </w:rPr>
        <w:t>(6,7)</w:t>
      </w:r>
      <w:r w:rsidRPr="00EE2463">
        <w:rPr>
          <w:rFonts w:ascii="Calibri" w:hAnsi="Calibri" w:cs="Arial"/>
        </w:rPr>
        <w:fldChar w:fldCharType="end"/>
      </w:r>
      <w:r w:rsidRPr="00EE2463">
        <w:rPr>
          <w:rFonts w:ascii="Calibri" w:hAnsi="Calibri" w:cs="Arial"/>
        </w:rPr>
        <w:t xml:space="preserve"> With the rise of antimicrobial resistance, there is concern that clinicians will empirically prescribe combinations of broader</w:t>
      </w:r>
      <w:r w:rsidR="0058565C" w:rsidRPr="00EE2463">
        <w:rPr>
          <w:rFonts w:ascii="Calibri" w:hAnsi="Calibri" w:cs="Arial"/>
        </w:rPr>
        <w:t>-</w:t>
      </w:r>
      <w:r w:rsidRPr="00EE2463">
        <w:rPr>
          <w:rFonts w:ascii="Calibri" w:hAnsi="Calibri" w:cs="Arial"/>
        </w:rPr>
        <w:t xml:space="preserve">spectrum antibiotics aiming to reduce poor outcomes, </w:t>
      </w:r>
      <w:r w:rsidR="0020077E" w:rsidRPr="00EE2463">
        <w:rPr>
          <w:rFonts w:ascii="Calibri" w:hAnsi="Calibri" w:cs="Arial"/>
        </w:rPr>
        <w:t xml:space="preserve">in turn, </w:t>
      </w:r>
      <w:r w:rsidRPr="00EE2463">
        <w:rPr>
          <w:rFonts w:ascii="Calibri" w:hAnsi="Calibri" w:cs="Arial"/>
        </w:rPr>
        <w:t>increasing patient and unit level exposure.</w:t>
      </w:r>
      <w:r w:rsidRPr="00EE2463">
        <w:rPr>
          <w:rFonts w:ascii="Calibri" w:hAnsi="Calibri" w:cs="Arial"/>
        </w:rPr>
        <w:fldChar w:fldCharType="begin" w:fldLock="1"/>
      </w:r>
      <w:r w:rsidR="00934DFF" w:rsidRPr="00EE2463">
        <w:rPr>
          <w:rFonts w:ascii="Calibri" w:hAnsi="Calibri" w:cs="Arial"/>
        </w:rPr>
        <w:instrText>ADDIN CSL_CITATION {"citationItems":[{"id":"ITEM-1","itemData":{"DOI":"10.1097/inf.0000000000002433","ISSN":"0891-3668","author":[{"dropping-particle":"","family":"Jackson","given":"Charlotte","non-dropping-particle":"","parse-names":false,"suffix":""},{"dropping-particle":"","family":"Hsia","given":"Yingfen","non-dropping-particle":"","parse-names":false,"suffix":""},{"dropping-particle":"","family":"Basmaci","given":"Romain","non-dropping-particle":"","parse-names":false,"suffix":""},{"dropping-particle":"","family":"Bielicki","given":"Julia","non-dropping-particle":"","parse-names":false,"suffix":""},{"dropping-particle":"","family":"Heath","given":"Paul T","non-dropping-particle":"","parse-names":false,"suffix":""},{"dropping-particle":"","family":"Versporten","given":"Ann","non-dropping-particle":"","parse-names":false,"suffix":""},{"dropping-particle":"","family":"Goossens","given":"Herman","non-dropping-particle":"","parse-names":false,"suffix":""},{"dropping-particle":"","family":"Sharland","given":"Mike","non-dropping-particle":"","parse-names":false,"suffix":""}],"container-title":"The Pediatric Infectious Disease Journal","id":"ITEM-1","issued":{"date-parts":[["2019","8"]]},"page":"1","publisher":"Ovid Technologies (Wolters Kluwer Health)","title":"Global Divergence From World Health Organization Treatment Guidelines for Neonatal and Pediatric Sepsis","type":"article-journal"},"uris":["http://www.mendeley.com/documents/?uuid=f5a0b5ba-b55a-3c49-a6b0-accb2c25cf51"]}],"mendeley":{"formattedCitation":"(8)","plainTextFormattedCitation":"(8)","previouslyFormattedCitation":"(8)"},"properties":{"noteIndex":0},"schema":"https://github.com/citation-style-language/schema/raw/master/csl-citation.json"}</w:instrText>
      </w:r>
      <w:r w:rsidRPr="00EE2463">
        <w:rPr>
          <w:rFonts w:ascii="Calibri" w:hAnsi="Calibri" w:cs="Arial"/>
        </w:rPr>
        <w:fldChar w:fldCharType="separate"/>
      </w:r>
      <w:r w:rsidR="00403FCF" w:rsidRPr="00EE2463">
        <w:rPr>
          <w:rFonts w:ascii="Calibri" w:hAnsi="Calibri" w:cs="Arial"/>
          <w:noProof/>
        </w:rPr>
        <w:t>(8)</w:t>
      </w:r>
      <w:r w:rsidRPr="00EE2463">
        <w:rPr>
          <w:rFonts w:ascii="Calibri" w:hAnsi="Calibri" w:cs="Arial"/>
        </w:rPr>
        <w:fldChar w:fldCharType="end"/>
      </w:r>
    </w:p>
    <w:p w14:paraId="41D71B0A" w14:textId="77777777" w:rsidR="006A1273" w:rsidRPr="00EE2463" w:rsidRDefault="006A1273" w:rsidP="005319E4">
      <w:pPr>
        <w:spacing w:after="0" w:line="480" w:lineRule="auto"/>
        <w:rPr>
          <w:rFonts w:ascii="Calibri" w:hAnsi="Calibri" w:cs="Arial"/>
        </w:rPr>
      </w:pPr>
      <w:r w:rsidRPr="00EE2463">
        <w:rPr>
          <w:rFonts w:ascii="Calibri" w:hAnsi="Calibri" w:cs="Arial"/>
        </w:rPr>
        <w:t xml:space="preserve">To determine the importance of concordance of empiric regimens for children, a clearer understanding of the relationship between discordant empiric regimens and adverse clinical outcomes is required. This study aims to explore the association between discordant empiric antibiotic therapy and 30-day all-cause mortality in children and neonates globally. </w:t>
      </w:r>
    </w:p>
    <w:p w14:paraId="74353163" w14:textId="54442E5D" w:rsidR="006A1273" w:rsidRPr="00EE2463" w:rsidRDefault="001C5CA7" w:rsidP="005319E4">
      <w:pPr>
        <w:spacing w:after="0" w:line="480" w:lineRule="auto"/>
        <w:rPr>
          <w:rFonts w:ascii="Calibri" w:hAnsi="Calibri" w:cs="Arial"/>
          <w:b/>
          <w:u w:val="single"/>
        </w:rPr>
      </w:pPr>
      <w:r w:rsidRPr="00EE2463">
        <w:rPr>
          <w:rFonts w:ascii="Calibri" w:hAnsi="Calibri" w:cs="Arial"/>
          <w:b/>
          <w:u w:val="single"/>
        </w:rPr>
        <w:t xml:space="preserve">Materials and </w:t>
      </w:r>
      <w:r w:rsidR="006A1273" w:rsidRPr="00EE2463">
        <w:rPr>
          <w:rFonts w:ascii="Calibri" w:hAnsi="Calibri" w:cs="Arial"/>
          <w:b/>
          <w:u w:val="single"/>
        </w:rPr>
        <w:t>Methods</w:t>
      </w:r>
    </w:p>
    <w:p w14:paraId="37B48C3D" w14:textId="77777777" w:rsidR="006A1273" w:rsidRPr="00EE2463" w:rsidRDefault="006A1273" w:rsidP="005319E4">
      <w:pPr>
        <w:spacing w:after="0" w:line="480" w:lineRule="auto"/>
        <w:rPr>
          <w:rFonts w:ascii="Calibri" w:hAnsi="Calibri" w:cs="Arial"/>
          <w:b/>
          <w:i/>
        </w:rPr>
      </w:pPr>
      <w:r w:rsidRPr="00EE2463">
        <w:rPr>
          <w:rFonts w:ascii="Calibri" w:hAnsi="Calibri" w:cs="Arial"/>
          <w:b/>
          <w:i/>
        </w:rPr>
        <w:t>Study design and study population</w:t>
      </w:r>
    </w:p>
    <w:p w14:paraId="2474E1F2" w14:textId="1AEA927B" w:rsidR="006A1273" w:rsidRPr="00EE2463" w:rsidRDefault="006A1273" w:rsidP="005319E4">
      <w:pPr>
        <w:spacing w:after="0" w:line="480" w:lineRule="auto"/>
        <w:rPr>
          <w:rFonts w:ascii="Calibri" w:hAnsi="Calibri" w:cs="Arial"/>
        </w:rPr>
      </w:pPr>
      <w:r w:rsidRPr="00EE2463">
        <w:rPr>
          <w:rFonts w:ascii="Calibri" w:hAnsi="Calibri" w:cs="Arial"/>
        </w:rPr>
        <w:t>A retrospective observational cohort study analysing data collected via the Global Antibiotic Resistance, Prescribing and Efficacy in Neonates and Children (GARPEC) network was performed to address the study objectives. The GARPEC network aimed to provide tools for surveillance of antibiotic prescribing and resistance data in hospitalised neonates and children.</w:t>
      </w:r>
      <w:r w:rsidRPr="00EE2463">
        <w:rPr>
          <w:rFonts w:ascii="Calibri" w:hAnsi="Calibri" w:cs="Arial"/>
        </w:rPr>
        <w:fldChar w:fldCharType="begin" w:fldLock="1"/>
      </w:r>
      <w:r w:rsidR="00934DFF" w:rsidRPr="00EE2463">
        <w:rPr>
          <w:rFonts w:ascii="Calibri" w:hAnsi="Calibri" w:cs="Arial"/>
        </w:rPr>
        <w:instrText>ADDIN CSL_CITATION {"citationItems":[{"id":"ITEM-1","itemData":{"author":[{"dropping-particle":"","family":"Hsia","given":"Y","non-dropping-particle":"","parse-names":false,"suffix":""},{"dropping-particle":"","family":"Lee","given":"RB","non-dropping-particle":"","parse-names":false,"suffix":""},{"dropping-particle":"","family":"Versporten","given":"Ann","non-dropping-particle":"","parse-names":false,"suffix":""},{"dropping-particle":"","family":"Yang","given":"Y","non-dropping-particle":"","parse-names":false,"suffix":""},{"dropping-particle":"","family":"Bielicki","given":"J","non-dropping-particle":"","parse-names":false,"suffix":""},{"dropping-particle":"","family":"Jackson","given":"C","non-dropping-particle":"","parse-names":false,"suffix":""},{"dropping-particle":"","family":"Newland","given":"J","non-dropping-particle":"","parse-names":false,"suffix":""},{"dropping-particle":"","family":"Goossens","given":"H","non-dropping-particle":"","parse-names":false,"suffix":""},{"dropping-particle":"","family":"Magrini","given":"N","non-dropping-particle":"","parse-names":false,"suffix":""},{"dropping-particle":"","family":"Sharland","given":"M","non-dropping-particle":"","parse-names":false,"suffix":""},{"dropping-particle":"","family":"Networks","given":"on behalf of the GARPEC adn Global-PPS","non-dropping-particle":"","parse-names":false,"suffix":""}],"container-title":"Lancet Global Health","id":"ITEM-1","issued":{"date-parts":[["2018"]]},"title":"Using the WHO Access/Watch/Reserve classification to define patterns of hospital antibiotic use: analyses of pediatric point prevalence survey data from 56 countries - the first AWaRe PPS","type":"article-journal"},"uris":["http://www.mendeley.com/documents/?uuid=bc24b53c-c8dc-4803-ac37-e8fbb8f9b4cc"]}],"mendeley":{"formattedCitation":"(9)","plainTextFormattedCitation":"(9)","previouslyFormattedCitation":"(9)"},"properties":{"noteIndex":0},"schema":"https://github.com/citation-style-language/schema/raw/master/csl-citation.json"}</w:instrText>
      </w:r>
      <w:r w:rsidRPr="00EE2463">
        <w:rPr>
          <w:rFonts w:ascii="Calibri" w:hAnsi="Calibri" w:cs="Arial"/>
        </w:rPr>
        <w:fldChar w:fldCharType="separate"/>
      </w:r>
      <w:r w:rsidR="00403FCF" w:rsidRPr="00EE2463">
        <w:rPr>
          <w:rFonts w:ascii="Calibri" w:hAnsi="Calibri" w:cs="Arial"/>
          <w:noProof/>
        </w:rPr>
        <w:t>(9)</w:t>
      </w:r>
      <w:r w:rsidRPr="00EE2463">
        <w:rPr>
          <w:rFonts w:ascii="Calibri" w:hAnsi="Calibri" w:cs="Arial"/>
        </w:rPr>
        <w:fldChar w:fldCharType="end"/>
      </w:r>
      <w:r w:rsidRPr="00EE2463">
        <w:rPr>
          <w:rFonts w:ascii="Calibri" w:hAnsi="Calibri" w:cs="Arial"/>
        </w:rPr>
        <w:t xml:space="preserve"> </w:t>
      </w:r>
      <w:r w:rsidR="006A7A68" w:rsidRPr="00EE2463">
        <w:rPr>
          <w:rFonts w:ascii="Calibri" w:hAnsi="Calibri" w:cs="Arial"/>
        </w:rPr>
        <w:t>D</w:t>
      </w:r>
      <w:r w:rsidRPr="00EE2463">
        <w:rPr>
          <w:rFonts w:ascii="Calibri" w:hAnsi="Calibri" w:cs="Arial"/>
        </w:rPr>
        <w:t xml:space="preserve">ata on neonates and children with confirmed bloodstream infections (BSI) occurring between February 2016 and </w:t>
      </w:r>
      <w:r w:rsidRPr="00EE2463">
        <w:rPr>
          <w:rFonts w:ascii="Calibri" w:hAnsi="Calibri" w:cs="Arial"/>
        </w:rPr>
        <w:lastRenderedPageBreak/>
        <w:t xml:space="preserve">February 2017 were collected. Patients </w:t>
      </w:r>
      <w:r w:rsidR="006A7A68" w:rsidRPr="00EE2463">
        <w:rPr>
          <w:rFonts w:ascii="Calibri" w:hAnsi="Calibri" w:cs="Arial"/>
        </w:rPr>
        <w:t>&lt;</w:t>
      </w:r>
      <w:r w:rsidRPr="00EE2463">
        <w:rPr>
          <w:rFonts w:ascii="Calibri" w:hAnsi="Calibri" w:cs="Arial"/>
        </w:rPr>
        <w:t xml:space="preserve">18 years of age with </w:t>
      </w:r>
      <w:r w:rsidR="0098795C" w:rsidRPr="00EE2463">
        <w:rPr>
          <w:rFonts w:ascii="Calibri" w:hAnsi="Calibri" w:cs="Arial"/>
        </w:rPr>
        <w:t xml:space="preserve">a </w:t>
      </w:r>
      <w:r w:rsidRPr="00EE2463">
        <w:rPr>
          <w:rFonts w:ascii="Calibri" w:hAnsi="Calibri" w:cs="Arial"/>
        </w:rPr>
        <w:t xml:space="preserve">positive blood culture with a pathogen from a predefined list were included. Positive cultures of the same organism grown within 4 weeks of the initial enrolment culture were considered part of the same episode and were not recorded. </w:t>
      </w:r>
    </w:p>
    <w:p w14:paraId="330CB5F7" w14:textId="77777777" w:rsidR="006A1273" w:rsidRPr="00EE2463" w:rsidRDefault="006A1273" w:rsidP="005319E4">
      <w:pPr>
        <w:spacing w:after="0" w:line="480" w:lineRule="auto"/>
        <w:rPr>
          <w:rFonts w:ascii="Calibri" w:hAnsi="Calibri" w:cs="Arial"/>
          <w:b/>
          <w:i/>
        </w:rPr>
      </w:pPr>
      <w:r w:rsidRPr="00EE2463">
        <w:rPr>
          <w:rFonts w:ascii="Calibri" w:hAnsi="Calibri" w:cs="Arial"/>
          <w:b/>
          <w:i/>
        </w:rPr>
        <w:t>Data collection</w:t>
      </w:r>
    </w:p>
    <w:p w14:paraId="09AD8F4A" w14:textId="75C10261" w:rsidR="006A1273" w:rsidRPr="00EE2463" w:rsidRDefault="006A1273" w:rsidP="459D99C6">
      <w:pPr>
        <w:spacing w:after="0" w:line="480" w:lineRule="auto"/>
        <w:rPr>
          <w:rFonts w:ascii="Calibri" w:hAnsi="Calibri" w:cs="Arial"/>
        </w:rPr>
      </w:pPr>
      <w:r w:rsidRPr="00EE2463">
        <w:rPr>
          <w:rFonts w:ascii="Calibri" w:hAnsi="Calibri" w:cs="Arial"/>
        </w:rPr>
        <w:t xml:space="preserve">Demographics, comorbidities, antibiotic treatment (dose, route of administration, treatment duration), routine antimicrobial susceptibility testing results, and 30-day all-cause outcome data were </w:t>
      </w:r>
      <w:r w:rsidR="12A7BCFE" w:rsidRPr="00EE2463">
        <w:rPr>
          <w:rFonts w:ascii="Calibri" w:hAnsi="Calibri" w:cs="Arial"/>
        </w:rPr>
        <w:t xml:space="preserve">anonymously </w:t>
      </w:r>
      <w:r w:rsidRPr="00EE2463">
        <w:rPr>
          <w:rFonts w:ascii="Calibri" w:hAnsi="Calibri" w:cs="Arial"/>
        </w:rPr>
        <w:t>collected by participating centres using REDCap™ electronic data capture tools hosted at St. George’s University of London. REDCap</w:t>
      </w:r>
      <w:r w:rsidR="00A71249" w:rsidRPr="00EE2463">
        <w:rPr>
          <w:rFonts w:ascii="Calibri" w:hAnsi="Calibri" w:cs="Arial"/>
        </w:rPr>
        <w:t>™</w:t>
      </w:r>
      <w:r w:rsidRPr="00EE2463">
        <w:rPr>
          <w:rFonts w:ascii="Calibri" w:hAnsi="Calibri" w:cs="Arial"/>
        </w:rPr>
        <w:t xml:space="preserve"> (Research Electronic Data Capture) is a secure web-based application </w:t>
      </w:r>
      <w:r w:rsidR="614F896D" w:rsidRPr="00EE2463">
        <w:rPr>
          <w:rFonts w:ascii="Calibri" w:hAnsi="Calibri" w:cs="Arial"/>
        </w:rPr>
        <w:t>for</w:t>
      </w:r>
      <w:r w:rsidRPr="00EE2463">
        <w:rPr>
          <w:rFonts w:ascii="Calibri" w:hAnsi="Calibri" w:cs="Arial"/>
        </w:rPr>
        <w:t xml:space="preserve"> online</w:t>
      </w:r>
      <w:r w:rsidR="59CAC120" w:rsidRPr="00EE2463">
        <w:rPr>
          <w:rFonts w:ascii="Calibri" w:hAnsi="Calibri" w:cs="Arial"/>
        </w:rPr>
        <w:t xml:space="preserve"> data entry.</w:t>
      </w:r>
      <w:r w:rsidRPr="00EE2463">
        <w:rPr>
          <w:rFonts w:ascii="Calibri" w:hAnsi="Calibri" w:cs="Arial"/>
        </w:rPr>
        <w:fldChar w:fldCharType="begin" w:fldLock="1"/>
      </w:r>
      <w:r w:rsidRPr="00EE2463">
        <w:rPr>
          <w:rFonts w:ascii="Calibri" w:hAnsi="Calibri" w:cs="Arial"/>
        </w:rPr>
        <w:instrText>ADDIN CSL_CITATION {"citationItems":[{"id":"ITEM-1","itemData":{"DOI":"10.1016/J.JBI.2019.103208","ISSN":"1532-0464","abstract":"The Research Electronic Data Capture (REDCap) data management platform was developed in 2004 to address an institutional need at Vanderbilt University, then shared with a limited number of adopting sites beginning in 2006. Given bi-directional benefit in early sharing experiments, we created a broader consortium sharing and support model for any academic, non-profit, or government partner wishing to adopt the software. Our sharing framework and consortium-based support model have evolved over time along with the size of the consortium (currently more than 3200 REDCap partners across 128 countries). While the “REDCap Consortium” model represents only one example of how to build and disseminate a software platform, lessons learned from our approach may assist other research institutions seeking to build and disseminate innovative technologies.","author":[{"dropping-particle":"","family":"Harris","given":"Paul A.","non-dropping-particle":"","parse-names":false,"suffix":""},{"dropping-particle":"","family":"Taylor","given":"Robert","non-dropping-particle":"","parse-names":false,"suffix":""},{"dropping-particle":"","family":"Minor","given":"Brenda L.","non-dropping-particle":"","parse-names":false,"suffix":""},{"dropping-particle":"","family":"Elliott","given":"Veida","non-dropping-particle":"","parse-names":false,"suffix":""},{"dropping-particle":"","family":"Fernandez","given":"Michelle","non-dropping-particle":"","parse-names":false,"suffix":""},{"dropping-particle":"","family":"O'Neal","given":"Lindsay","non-dropping-particle":"","parse-names":false,"suffix":""},{"dropping-particle":"","family":"McLeod","given":"Laura","non-dropping-particle":"","parse-names":false,"suffix":""},{"dropping-particle":"","family":"Delacqua","given":"Giovanni","non-dropping-particle":"","parse-names":false,"suffix":""},{"dropping-particle":"","family":"Delacqua","given":"Francesco","non-dropping-particle":"","parse-names":false,"suffix":""},{"dropping-particle":"","family":"Kirby","given":"Jacqueline","non-dropping-particle":"","parse-names":false,"suffix":""},{"dropping-particle":"","family":"Duda","given":"Stephany N.","non-dropping-particle":"","parse-names":false,"suffix":""}],"container-title":"Journal of Biomedical Informatics","id":"ITEM-1","issued":{"date-parts":[["2019","7","1"]]},"page":"103208","publisher":"Academic Press","title":"The REDCap consortium: Building an international community of software platform partners","type":"article-journal","volume":"95"},"uris":["http://www.mendeley.com/documents/?uuid=b9638319-10c1-3e65-997f-d312b0d4d5a4"]},{"id":"ITEM-2","itemData":{"DOI":"10.1016/J.JBI.2008.08.010","ISSN":"1532-0464","abstract":"Research electronic data capture (REDCap) is a novel workflow methodology and software solution designed for rapid development and deployment of electronic data capture tools to support clinical and translational research. We present: (1) a brief description of the REDCap metadata-driven software toolset; (2) detail concerning the capture and use of study-related metadata from scientific research teams; (3) measures of impact for REDCap; (4) details concerning a consortium network of domestic and international institutions collaborating on the project; and (5) strengths and limitations of the REDCap system. REDCap is currently supporting 286 translational research projects in a growing collaborative network including 27 active partner institutions.","author":[{"dropping-particle":"","family":"Harris","given":"Paul A.","non-dropping-particle":"","parse-names":false,"suffix":""},{"dropping-particle":"","family":"Taylor","given":"Robert","non-dropping-particle":"","parse-names":false,"suffix":""},{"dropping-particle":"","family":"Thielke","given":"Robert","non-dropping-particle":"","parse-names":false,"suffix":""},{"dropping-particle":"","family":"Payne","given":"Jonathon","non-dropping-particle":"","parse-names":false,"suffix":""},{"dropping-particle":"","family":"Gonzalez","given":"Nathaniel","non-dropping-particle":"","parse-names":false,"suffix":""},{"dropping-particle":"","family":"Conde","given":"Jose G.","non-dropping-particle":"","parse-names":false,"suffix":""}],"container-title":"Journal of Biomedical Informatics","id":"ITEM-2","issue":"2","issued":{"date-parts":[["2009","4","1"]]},"page":"377-381","publisher":"Academic Press","title":"Research electronic data capture (REDCap)—A metadata-driven methodology and workflow process for providing translational research informatics support","type":"article-journal","volume":"42"},"uris":["http://www.mendeley.com/documents/?uuid=867984e1-4c99-3208-a84f-f5bec97a5f8b"]}],"mendeley":{"formattedCitation":"(10,11)","plainTextFormattedCitation":"(10,11)","previouslyFormattedCitation":"(10,11)"},"properties":{"noteIndex":0},"schema":"https://github.com/citation-style-language/schema/raw/master/csl-citation.json"}</w:instrText>
      </w:r>
      <w:r w:rsidRPr="00EE2463">
        <w:rPr>
          <w:rFonts w:ascii="Calibri" w:hAnsi="Calibri" w:cs="Arial"/>
        </w:rPr>
        <w:fldChar w:fldCharType="separate"/>
      </w:r>
      <w:r w:rsidR="00403FCF" w:rsidRPr="00EE2463">
        <w:rPr>
          <w:rFonts w:ascii="Calibri" w:hAnsi="Calibri" w:cs="Arial"/>
          <w:noProof/>
        </w:rPr>
        <w:t>(10,11)</w:t>
      </w:r>
      <w:r w:rsidRPr="00EE2463">
        <w:rPr>
          <w:rFonts w:ascii="Calibri" w:hAnsi="Calibri" w:cs="Arial"/>
        </w:rPr>
        <w:fldChar w:fldCharType="end"/>
      </w:r>
      <w:r w:rsidRPr="00EE2463">
        <w:rPr>
          <w:rFonts w:ascii="Calibri" w:hAnsi="Calibri" w:cs="Arial"/>
        </w:rPr>
        <w:t xml:space="preserve"> Data were collected voluntarily and sites received no financial incentive. All sites requiring local ethics approval received it prior to the start of data collection. </w:t>
      </w:r>
    </w:p>
    <w:p w14:paraId="625EB317" w14:textId="77777777" w:rsidR="006A1273" w:rsidRPr="00EE2463" w:rsidRDefault="006A1273" w:rsidP="005319E4">
      <w:pPr>
        <w:spacing w:after="0" w:line="480" w:lineRule="auto"/>
        <w:rPr>
          <w:rFonts w:ascii="Calibri" w:hAnsi="Calibri" w:cs="Arial"/>
          <w:b/>
          <w:i/>
        </w:rPr>
      </w:pPr>
      <w:r w:rsidRPr="00EE2463">
        <w:rPr>
          <w:rFonts w:ascii="Calibri" w:hAnsi="Calibri" w:cs="Arial"/>
          <w:b/>
          <w:i/>
        </w:rPr>
        <w:t>Data Management</w:t>
      </w:r>
    </w:p>
    <w:p w14:paraId="660975CF" w14:textId="5104125E" w:rsidR="006A1273" w:rsidRPr="00EE2463" w:rsidRDefault="006A1273" w:rsidP="005319E4">
      <w:pPr>
        <w:spacing w:after="0" w:line="480" w:lineRule="auto"/>
        <w:rPr>
          <w:rFonts w:ascii="Calibri" w:hAnsi="Calibri" w:cs="Arial"/>
        </w:rPr>
      </w:pPr>
      <w:r w:rsidRPr="00EE2463">
        <w:rPr>
          <w:rFonts w:ascii="Calibri" w:hAnsi="Calibri" w:cs="Arial"/>
        </w:rPr>
        <w:t xml:space="preserve">Only patients with a monomicrobial bacterial infection were included in the final analyses. </w:t>
      </w:r>
    </w:p>
    <w:p w14:paraId="13F97B17" w14:textId="5AAF439F" w:rsidR="006A1273" w:rsidRPr="00EE2463" w:rsidRDefault="006A1273" w:rsidP="005319E4">
      <w:pPr>
        <w:spacing w:after="0" w:line="480" w:lineRule="auto"/>
        <w:rPr>
          <w:rFonts w:ascii="Calibri" w:hAnsi="Calibri" w:cs="Arial"/>
        </w:rPr>
      </w:pPr>
      <w:r w:rsidRPr="00EE2463">
        <w:rPr>
          <w:rFonts w:ascii="Calibri" w:hAnsi="Calibri" w:cs="Arial"/>
        </w:rPr>
        <w:t>In GARPEC, the starting and stopping of antibiotics for neonates and children contributing to the bloodstream infection dataset were recorded by calendar dates only rather than by exact date and time</w:t>
      </w:r>
      <w:r w:rsidR="006A7A68" w:rsidRPr="00EE2463">
        <w:rPr>
          <w:rFonts w:ascii="Calibri" w:hAnsi="Calibri" w:cs="Arial"/>
        </w:rPr>
        <w:t>,</w:t>
      </w:r>
      <w:r w:rsidR="001E5BCE" w:rsidRPr="00EE2463">
        <w:rPr>
          <w:rFonts w:ascii="Calibri" w:hAnsi="Calibri" w:cs="Arial"/>
        </w:rPr>
        <w:t xml:space="preserve"> and date that speciation/susceptibility of the organism was known was not recorded</w:t>
      </w:r>
      <w:r w:rsidR="00687D42" w:rsidRPr="00EE2463">
        <w:rPr>
          <w:rFonts w:ascii="Calibri" w:hAnsi="Calibri" w:cs="Arial"/>
        </w:rPr>
        <w:t>.</w:t>
      </w:r>
      <w:r w:rsidRPr="00EE2463">
        <w:rPr>
          <w:rFonts w:ascii="Calibri" w:hAnsi="Calibri" w:cs="Arial"/>
        </w:rPr>
        <w:t xml:space="preserve"> Empiric antibiotic treatment was therefore classified using antibiotic start and end calendar dates and date blood culture</w:t>
      </w:r>
      <w:r w:rsidR="001E5BCE" w:rsidRPr="00EE2463">
        <w:rPr>
          <w:rFonts w:ascii="Calibri" w:hAnsi="Calibri" w:cs="Arial"/>
        </w:rPr>
        <w:t xml:space="preserve"> was taken</w:t>
      </w:r>
      <w:r w:rsidRPr="00EE2463">
        <w:rPr>
          <w:rFonts w:ascii="Calibri" w:hAnsi="Calibri" w:cs="Arial"/>
        </w:rPr>
        <w:t>. Conservatively, we assumed a two-day window after blood culture for empiric therapy during which any antibiotic treatment given would be highly unlikely to be guided by full microbiology results</w:t>
      </w:r>
      <w:r w:rsidR="000E1175" w:rsidRPr="00EE2463">
        <w:rPr>
          <w:rFonts w:ascii="Calibri" w:hAnsi="Calibri" w:cs="Arial"/>
        </w:rPr>
        <w:t>.</w:t>
      </w:r>
      <w:r w:rsidRPr="00EE2463">
        <w:rPr>
          <w:rFonts w:ascii="Calibri" w:hAnsi="Calibri" w:cs="Arial"/>
        </w:rPr>
        <w:fldChar w:fldCharType="begin" w:fldLock="1"/>
      </w:r>
      <w:r w:rsidR="009B2E37" w:rsidRPr="00EE2463">
        <w:rPr>
          <w:rFonts w:ascii="Calibri" w:hAnsi="Calibri" w:cs="Arial"/>
        </w:rPr>
        <w:instrText>ADDIN CSL_CITATION {"citationItems":[{"id":"ITEM-1","itemData":{"DOI":"10.1093/cid/ciu493","ISSN":"1537-6591","author":[{"dropping-particle":"","family":"MacFadden","given":"Derek R.","non-dropping-particle":"","parse-names":false,"suffix":""},{"dropping-particle":"","family":"Leis","given":"Jerome A.","non-dropping-particle":"","parse-names":false,"suffix":""},{"dropping-particle":"","family":"Mubareka","given":"Samira","non-dropping-particle":"","parse-names":false,"suffix":""},{"dropping-particle":"","family":"Daneman","given":"Nick","non-dropping-particle":"","parse-names":false,"suffix":""}],"container-title":"Clinical Infectious Diseases","id":"ITEM-1","issue":"8","issued":{"date-parts":[["2014","10","15"]]},"page":"1199-1200","publisher":"Narnia","title":"The Opening and Closing of Empiric Windows: The Impact of Rapid Microbiologic Diagnostics","type":"article-journal","volume":"59"},"uris":["http://www.mendeley.com/documents/?uuid=1b56d72b-997a-31b6-b494-6303f4241d96"]}],"mendeley":{"formattedCitation":"(5)","plainTextFormattedCitation":"(5)","previouslyFormattedCitation":"(5)"},"properties":{"noteIndex":0},"schema":"https://github.com/citation-style-language/schema/raw/master/csl-citation.json"}</w:instrText>
      </w:r>
      <w:r w:rsidRPr="00EE2463">
        <w:rPr>
          <w:rFonts w:ascii="Calibri" w:hAnsi="Calibri" w:cs="Arial"/>
        </w:rPr>
        <w:fldChar w:fldCharType="separate"/>
      </w:r>
      <w:r w:rsidR="00934DFF" w:rsidRPr="00EE2463">
        <w:rPr>
          <w:rFonts w:ascii="Calibri" w:hAnsi="Calibri" w:cs="Arial"/>
          <w:noProof/>
        </w:rPr>
        <w:t>(5)</w:t>
      </w:r>
      <w:r w:rsidRPr="00EE2463">
        <w:rPr>
          <w:rFonts w:ascii="Calibri" w:hAnsi="Calibri" w:cs="Arial"/>
        </w:rPr>
        <w:fldChar w:fldCharType="end"/>
      </w:r>
      <w:r w:rsidRPr="00EE2463">
        <w:rPr>
          <w:rFonts w:ascii="Calibri" w:hAnsi="Calibri" w:cs="Arial"/>
        </w:rPr>
        <w:t xml:space="preserve"> Any antibiotics received during this window were considered as empiric therapy, even if they were initiated during the second day after blood culture. In addition, we considered the first regimen</w:t>
      </w:r>
      <w:r w:rsidR="000F45F6" w:rsidRPr="00EE2463">
        <w:rPr>
          <w:rFonts w:ascii="Calibri" w:hAnsi="Calibri" w:cs="Arial"/>
        </w:rPr>
        <w:t xml:space="preserve"> to be antibiotics</w:t>
      </w:r>
      <w:r w:rsidRPr="00EE2463">
        <w:rPr>
          <w:rFonts w:ascii="Calibri" w:hAnsi="Calibri" w:cs="Arial"/>
        </w:rPr>
        <w:t xml:space="preserve"> started at the time of blood culture or up to 1 day after blood culture. </w:t>
      </w:r>
    </w:p>
    <w:p w14:paraId="6B58E38D" w14:textId="6DBD4BBD" w:rsidR="00C83AE9" w:rsidRPr="00EE2463" w:rsidRDefault="007A272F" w:rsidP="00C83AE9">
      <w:pPr>
        <w:spacing w:after="0" w:line="480" w:lineRule="auto"/>
        <w:rPr>
          <w:rFonts w:ascii="Calibri" w:hAnsi="Calibri" w:cs="Arial"/>
        </w:rPr>
      </w:pPr>
      <w:r w:rsidRPr="00EE2463">
        <w:rPr>
          <w:rFonts w:ascii="Calibri" w:hAnsi="Calibri" w:cs="Arial"/>
        </w:rPr>
        <w:t>European Committee on Antimicrobial Susceptibility Testing (</w:t>
      </w:r>
      <w:r w:rsidR="006A1273" w:rsidRPr="00EE2463">
        <w:rPr>
          <w:rFonts w:ascii="Calibri" w:hAnsi="Calibri" w:cs="Arial"/>
        </w:rPr>
        <w:t>EUCAST</w:t>
      </w:r>
      <w:r w:rsidRPr="00EE2463">
        <w:rPr>
          <w:rFonts w:ascii="Calibri" w:hAnsi="Calibri" w:cs="Arial"/>
        </w:rPr>
        <w:t>)</w:t>
      </w:r>
      <w:r w:rsidR="006A1273" w:rsidRPr="00EE2463">
        <w:rPr>
          <w:rFonts w:ascii="Calibri" w:hAnsi="Calibri" w:cs="Arial"/>
        </w:rPr>
        <w:t xml:space="preserve"> </w:t>
      </w:r>
      <w:r w:rsidR="00BC5329" w:rsidRPr="00EE2463">
        <w:rPr>
          <w:rFonts w:ascii="Calibri" w:hAnsi="Calibri" w:cs="Arial"/>
        </w:rPr>
        <w:t xml:space="preserve">expert rules and </w:t>
      </w:r>
      <w:r w:rsidR="006A1273" w:rsidRPr="00EE2463">
        <w:rPr>
          <w:rFonts w:ascii="Calibri" w:hAnsi="Calibri" w:cs="Arial"/>
        </w:rPr>
        <w:t>interpretive algorithms</w:t>
      </w:r>
      <w:r w:rsidR="009B2E37" w:rsidRPr="00EE2463">
        <w:rPr>
          <w:rFonts w:ascii="Calibri" w:hAnsi="Calibri" w:cs="Arial"/>
        </w:rPr>
        <w:t xml:space="preserve"> </w:t>
      </w:r>
      <w:r w:rsidR="006A1273" w:rsidRPr="00EE2463">
        <w:rPr>
          <w:rFonts w:ascii="Calibri" w:hAnsi="Calibri" w:cs="Arial"/>
        </w:rPr>
        <w:fldChar w:fldCharType="begin" w:fldLock="1"/>
      </w:r>
      <w:r w:rsidR="006A1273" w:rsidRPr="00EE2463">
        <w:rPr>
          <w:rFonts w:ascii="Calibri" w:hAnsi="Calibri" w:cs="Arial"/>
        </w:rPr>
        <w:instrText>ADDIN CSL_CITATION {"citationItems":[{"id":"ITEM-1","itemData":{"URL":"https://eucast.org/clinical_breakpoints/","accessed":{"date-parts":[["2019","2","16"]]},"author":[{"dropping-particle":"","family":"European Committee on Antimicrobial Susceptibility Testing (EUCAST)","given":"","non-dropping-particle":"","parse-names":false,"suffix":""}],"id":"ITEM-1","issued":{"date-parts":[["0"]]},"title":"EUCAST: Clinical breakpoints and dosing of antibiotics (v9.0)","type":"webpage"},"uris":["http://www.mendeley.com/documents/?uuid=67449f1f-6468-30c3-a614-ab00d97ab436"]},{"id":"ITEM-2","itemData":{"DOI":"10.1111/j.1469-0691.2011.03703.x","ISSN":"14690691","PMID":"22117544","abstract":"EUCAST expert rules have been developed to assist clinical microbiologists and describe actions to be taken in response to specific antimicrobial susceptibility test results. They include recommendations on reporting, such as inferring susceptibility to other agents from results with one, suppression of results that may be inappropriate, and editing of results from susceptible to intermediate or resistant or from intermediate to resistant on the basis of an inferred resistance mechanism. They are based on current clinical and/or microbiological evidence. EUCAST expert rules also include intrinsic resistance phenotypes and exceptional resistance phenotypes, which have not yet been reported or are very rare. The applicability of EUCAST expert rules depends on the MIC breakpoints used to define the rules. Setting appropriate clinical breakpoints, based on treating patients and not on the detection of resistance mechanisms, may lead to modification of some expert rules in the future. © 2011 The Authors. Clinical Microbiology and Infection © 2011 European Society of Clinical Microbiology and Infectious Diseases.","author":[{"dropping-particle":"","family":"Leclercq","given":"R.","non-dropping-particle":"","parse-names":false,"suffix":""},{"dropping-particle":"","family":"Cantón","given":"R.","non-dropping-particle":"","parse-names":false,"suffix":""},{"dropping-particle":"","family":"Brown","given":"D. F.J.","non-dropping-particle":"","parse-names":false,"suffix":""},{"dropping-particle":"","family":"Giske","given":"C. G.","non-dropping-particle":"","parse-names":false,"suffix":""},{"dropping-particle":"","family":"Heisig","given":"P.","non-dropping-particle":"","parse-names":false,"suffix":""},{"dropping-particle":"","family":"Macgowan","given":"A. P.","non-dropping-particle":"","parse-names":false,"suffix":""},{"dropping-particle":"","family":"Mouton","given":"J. W.","non-dropping-particle":"","parse-names":false,"suffix":""},{"dropping-particle":"","family":"Nordmann","given":"P.","non-dropping-particle":"","parse-names":false,"suffix":""},{"dropping-particle":"","family":"Rodloff","given":"A. C.","non-dropping-particle":"","parse-names":false,"suffix":""},{"dropping-particle":"","family":"Rossolini","given":"G. M.","non-dropping-particle":"","parse-names":false,"suffix":""},{"dropping-particle":"","family":"Soussy","given":"C. J.","non-dropping-particle":"","parse-names":false,"suffix":""},{"dropping-particle":"","family":"Steinbakk","given":"M.","non-dropping-particle":"","parse-names":false,"suffix":""},{"dropping-particle":"","family":"Winstanley","given":"T. G.","non-dropping-particle":"","parse-names":false,"suffix":""},{"dropping-particle":"","family":"Kahlmeter","given":"G.","non-dropping-particle":"","parse-names":false,"suffix":""}],"container-title":"Clinical Microbiology and Infection","id":"ITEM-2","issue":"2","issued":{"date-parts":[["2013","2","1"]]},"page":"141-160","publisher":"Blackwell Publishing Ltd","title":"EUCAST expert rules in antimicrobial susceptibility testing","type":"article","volume":"19"},"uris":["http://www.mendeley.com/documents/?uuid=0eaf03eb-9600-37d4-a9a4-c13f51ca5159"]}],"mendeley":{"formattedCitation":"(12,13)","plainTextFormattedCitation":"(12,13)","previouslyFormattedCitation":"(12,13)"},"properties":{"noteIndex":0},"schema":"https://github.com/citation-style-language/schema/raw/master/csl-citation.json"}</w:instrText>
      </w:r>
      <w:r w:rsidR="006A1273" w:rsidRPr="00EE2463">
        <w:rPr>
          <w:rFonts w:ascii="Calibri" w:hAnsi="Calibri" w:cs="Arial"/>
        </w:rPr>
        <w:fldChar w:fldCharType="separate"/>
      </w:r>
      <w:r w:rsidR="009B2E37" w:rsidRPr="00EE2463">
        <w:rPr>
          <w:rFonts w:ascii="Calibri" w:hAnsi="Calibri" w:cs="Arial"/>
          <w:noProof/>
        </w:rPr>
        <w:t>(12,13)</w:t>
      </w:r>
      <w:r w:rsidR="006A1273" w:rsidRPr="00EE2463">
        <w:rPr>
          <w:rFonts w:ascii="Calibri" w:hAnsi="Calibri" w:cs="Arial"/>
        </w:rPr>
        <w:fldChar w:fldCharType="end"/>
      </w:r>
      <w:r w:rsidR="009B2E37" w:rsidRPr="00EE2463">
        <w:rPr>
          <w:rFonts w:ascii="Calibri" w:hAnsi="Calibri" w:cs="Arial"/>
        </w:rPr>
        <w:t xml:space="preserve"> </w:t>
      </w:r>
      <w:r w:rsidR="006A1273" w:rsidRPr="00EE2463">
        <w:rPr>
          <w:rFonts w:ascii="Calibri" w:hAnsi="Calibri" w:cs="Arial"/>
        </w:rPr>
        <w:t>were used</w:t>
      </w:r>
      <w:r w:rsidR="58535286" w:rsidRPr="00EE2463">
        <w:rPr>
          <w:rFonts w:ascii="Calibri" w:hAnsi="Calibri" w:cs="Arial"/>
        </w:rPr>
        <w:t xml:space="preserve"> as follows</w:t>
      </w:r>
      <w:r w:rsidR="006A1273" w:rsidRPr="00EE2463">
        <w:rPr>
          <w:rFonts w:ascii="Calibri" w:hAnsi="Calibri" w:cs="Arial"/>
        </w:rPr>
        <w:t xml:space="preserve"> to interpret</w:t>
      </w:r>
      <w:r w:rsidR="6E6C42D1" w:rsidRPr="00EE2463">
        <w:rPr>
          <w:rFonts w:ascii="Calibri" w:hAnsi="Calibri" w:cs="Arial"/>
        </w:rPr>
        <w:t xml:space="preserve"> reported antibiotic</w:t>
      </w:r>
      <w:r w:rsidR="006A1273" w:rsidRPr="00EE2463">
        <w:rPr>
          <w:rFonts w:ascii="Calibri" w:hAnsi="Calibri" w:cs="Arial"/>
        </w:rPr>
        <w:t xml:space="preserve"> susceptibility</w:t>
      </w:r>
      <w:r w:rsidR="7091503B" w:rsidRPr="00EE2463">
        <w:rPr>
          <w:rFonts w:ascii="Calibri" w:hAnsi="Calibri" w:cs="Arial"/>
        </w:rPr>
        <w:t xml:space="preserve"> testing</w:t>
      </w:r>
      <w:r w:rsidR="006A1273" w:rsidRPr="00EE2463">
        <w:rPr>
          <w:rFonts w:ascii="Calibri" w:hAnsi="Calibri" w:cs="Arial"/>
        </w:rPr>
        <w:t xml:space="preserve"> data</w:t>
      </w:r>
      <w:r w:rsidR="00A71249" w:rsidRPr="00EE2463">
        <w:rPr>
          <w:rFonts w:ascii="Calibri" w:hAnsi="Calibri" w:cs="Arial"/>
        </w:rPr>
        <w:t>:</w:t>
      </w:r>
    </w:p>
    <w:p w14:paraId="7B49A940" w14:textId="67D16427" w:rsidR="006A1273" w:rsidRPr="00EE2463" w:rsidRDefault="006A1273" w:rsidP="00C83AE9">
      <w:pPr>
        <w:pStyle w:val="ListParagraph"/>
        <w:numPr>
          <w:ilvl w:val="0"/>
          <w:numId w:val="1"/>
        </w:numPr>
        <w:spacing w:after="0" w:line="480" w:lineRule="auto"/>
        <w:rPr>
          <w:rFonts w:ascii="Calibri" w:hAnsi="Calibri" w:cs="Arial"/>
        </w:rPr>
      </w:pPr>
      <w:r w:rsidRPr="00EE2463">
        <w:rPr>
          <w:rFonts w:ascii="Calibri" w:hAnsi="Calibri" w:cs="Arial"/>
        </w:rPr>
        <w:lastRenderedPageBreak/>
        <w:t>If the bacterial species is considered intrinsically resistant to a prescribed antibiotic</w:t>
      </w:r>
      <w:r w:rsidR="563DD40D" w:rsidRPr="00EE2463">
        <w:rPr>
          <w:rFonts w:ascii="Calibri" w:hAnsi="Calibri" w:cs="Arial"/>
        </w:rPr>
        <w:t xml:space="preserve"> according to EUCAST</w:t>
      </w:r>
      <w:r w:rsidRPr="00EE2463">
        <w:rPr>
          <w:rFonts w:ascii="Calibri" w:hAnsi="Calibri" w:cs="Arial"/>
        </w:rPr>
        <w:t xml:space="preserve">, susceptibility was coded as resistant regardless of reported testing results. </w:t>
      </w:r>
    </w:p>
    <w:p w14:paraId="53EF04FE" w14:textId="77777777" w:rsidR="006A1273" w:rsidRPr="00EE2463" w:rsidRDefault="006A1273" w:rsidP="005319E4">
      <w:pPr>
        <w:pStyle w:val="ListParagraph"/>
        <w:numPr>
          <w:ilvl w:val="0"/>
          <w:numId w:val="1"/>
        </w:numPr>
        <w:spacing w:after="0" w:line="480" w:lineRule="auto"/>
        <w:rPr>
          <w:rFonts w:ascii="Calibri" w:hAnsi="Calibri" w:cs="Arial"/>
        </w:rPr>
      </w:pPr>
      <w:r w:rsidRPr="00EE2463">
        <w:rPr>
          <w:rFonts w:ascii="Calibri" w:hAnsi="Calibri" w:cs="Arial"/>
        </w:rPr>
        <w:t xml:space="preserve">Primarily, if data were available for the specific antibiotic in the prescribed treatment regimen, this was used to determine susceptibility. </w:t>
      </w:r>
    </w:p>
    <w:p w14:paraId="139F7126" w14:textId="77777777" w:rsidR="006A1273" w:rsidRPr="00EE2463" w:rsidRDefault="006A1273" w:rsidP="005319E4">
      <w:pPr>
        <w:pStyle w:val="ListParagraph"/>
        <w:numPr>
          <w:ilvl w:val="0"/>
          <w:numId w:val="1"/>
        </w:numPr>
        <w:spacing w:after="0" w:line="480" w:lineRule="auto"/>
        <w:rPr>
          <w:rFonts w:ascii="Calibri" w:hAnsi="Calibri" w:cs="Arial"/>
        </w:rPr>
      </w:pPr>
      <w:r w:rsidRPr="00EE2463">
        <w:rPr>
          <w:rFonts w:ascii="Calibri" w:hAnsi="Calibri" w:cs="Arial"/>
        </w:rPr>
        <w:t>If a prescribed antibiotic was not tested, susceptibility results of antibiotics from the same class were used, for example susceptibility of an isolate to other aminoglycosides used to determine gentamicin susceptibility if gentamicin was not tested directly.</w:t>
      </w:r>
    </w:p>
    <w:p w14:paraId="66C46F5B" w14:textId="77777777" w:rsidR="006A1273" w:rsidRPr="00EE2463" w:rsidRDefault="006A1273" w:rsidP="005319E4">
      <w:pPr>
        <w:pStyle w:val="ListParagraph"/>
        <w:numPr>
          <w:ilvl w:val="0"/>
          <w:numId w:val="1"/>
        </w:numPr>
        <w:spacing w:after="0" w:line="480" w:lineRule="auto"/>
        <w:rPr>
          <w:rFonts w:ascii="Calibri" w:hAnsi="Calibri" w:cs="Arial"/>
        </w:rPr>
      </w:pPr>
      <w:r w:rsidRPr="00EE2463">
        <w:rPr>
          <w:rFonts w:ascii="Calibri" w:hAnsi="Calibri" w:cs="Arial"/>
        </w:rPr>
        <w:t xml:space="preserve">Susceptibility to third-generation cephalosporins was based on cefotaxime or ceftriaxone, where available. If cefotaxime and ceftriaxone were not tested, susceptibility data from other third-generation cephalosporins was used. </w:t>
      </w:r>
    </w:p>
    <w:p w14:paraId="18F0EAE0" w14:textId="3276E831" w:rsidR="006A1273" w:rsidRPr="00EE2463" w:rsidRDefault="006A1273" w:rsidP="005319E4">
      <w:pPr>
        <w:pStyle w:val="ListParagraph"/>
        <w:numPr>
          <w:ilvl w:val="0"/>
          <w:numId w:val="1"/>
        </w:numPr>
        <w:spacing w:after="0" w:line="480" w:lineRule="auto"/>
        <w:rPr>
          <w:rFonts w:ascii="Calibri" w:hAnsi="Calibri" w:cs="Arial"/>
          <w:strike/>
        </w:rPr>
      </w:pPr>
      <w:r w:rsidRPr="00EE2463">
        <w:rPr>
          <w:rFonts w:ascii="Calibri" w:hAnsi="Calibri" w:cs="Arial"/>
        </w:rPr>
        <w:t xml:space="preserve">Susceptibility of </w:t>
      </w:r>
      <w:r w:rsidRPr="00EE2463">
        <w:rPr>
          <w:rFonts w:ascii="Calibri" w:hAnsi="Calibri" w:cs="Arial"/>
          <w:i/>
        </w:rPr>
        <w:t>S. aureus</w:t>
      </w:r>
      <w:r w:rsidRPr="00EE2463">
        <w:rPr>
          <w:rFonts w:ascii="Calibri" w:hAnsi="Calibri" w:cs="Arial"/>
        </w:rPr>
        <w:t xml:space="preserve"> to broader-spectrum beta-lactams</w:t>
      </w:r>
      <w:r w:rsidR="006A7A68" w:rsidRPr="00EE2463">
        <w:rPr>
          <w:rFonts w:ascii="Calibri" w:hAnsi="Calibri" w:cs="Arial"/>
        </w:rPr>
        <w:t xml:space="preserve"> - </w:t>
      </w:r>
      <w:r w:rsidRPr="00EE2463">
        <w:rPr>
          <w:rFonts w:ascii="Calibri" w:hAnsi="Calibri" w:cs="Arial"/>
        </w:rPr>
        <w:t>cephalosporins and carbapenems</w:t>
      </w:r>
      <w:r w:rsidR="006A7A68" w:rsidRPr="00EE2463">
        <w:rPr>
          <w:rFonts w:ascii="Calibri" w:hAnsi="Calibri" w:cs="Arial"/>
        </w:rPr>
        <w:t xml:space="preserve"> -</w:t>
      </w:r>
      <w:r w:rsidRPr="00EE2463">
        <w:rPr>
          <w:rFonts w:ascii="Calibri" w:hAnsi="Calibri" w:cs="Arial"/>
        </w:rPr>
        <w:t xml:space="preserve"> was derived from </w:t>
      </w:r>
      <w:r w:rsidR="009B2E37" w:rsidRPr="00EE2463">
        <w:rPr>
          <w:rFonts w:ascii="Calibri" w:hAnsi="Calibri" w:cs="Arial"/>
        </w:rPr>
        <w:t xml:space="preserve">cefoxitin or oxacillin </w:t>
      </w:r>
      <w:r w:rsidRPr="00EE2463">
        <w:rPr>
          <w:rFonts w:ascii="Calibri" w:hAnsi="Calibri" w:cs="Arial"/>
        </w:rPr>
        <w:t xml:space="preserve">resistance, where available. </w:t>
      </w:r>
    </w:p>
    <w:p w14:paraId="663B0B7E" w14:textId="77777777" w:rsidR="00C83AE9" w:rsidRPr="00EE2463" w:rsidRDefault="00C83AE9" w:rsidP="00C83AE9">
      <w:pPr>
        <w:pStyle w:val="ListParagraph"/>
        <w:numPr>
          <w:ilvl w:val="0"/>
          <w:numId w:val="1"/>
        </w:numPr>
        <w:spacing w:after="0" w:line="480" w:lineRule="auto"/>
        <w:rPr>
          <w:rFonts w:ascii="Calibri" w:hAnsi="Calibri" w:cs="Arial"/>
        </w:rPr>
      </w:pPr>
      <w:r w:rsidRPr="00EE2463">
        <w:rPr>
          <w:rFonts w:ascii="Calibri" w:hAnsi="Calibri" w:cs="Arial"/>
        </w:rPr>
        <w:t xml:space="preserve">Susceptibility reported as intermediate was considered resistant. </w:t>
      </w:r>
    </w:p>
    <w:p w14:paraId="6BB8C54E" w14:textId="77777777" w:rsidR="00C83AE9" w:rsidRPr="00EE2463" w:rsidRDefault="00C83AE9" w:rsidP="001F6113">
      <w:pPr>
        <w:spacing w:after="0" w:line="480" w:lineRule="auto"/>
        <w:rPr>
          <w:rFonts w:ascii="Calibri" w:hAnsi="Calibri" w:cs="Arial"/>
          <w:strike/>
        </w:rPr>
      </w:pPr>
    </w:p>
    <w:p w14:paraId="7A3C4E14" w14:textId="1FE403CB" w:rsidR="006A7A68" w:rsidRPr="00EE2463" w:rsidRDefault="006A7A68" w:rsidP="005319E4">
      <w:pPr>
        <w:spacing w:after="0" w:line="480" w:lineRule="auto"/>
        <w:rPr>
          <w:rFonts w:ascii="Calibri" w:hAnsi="Calibri" w:cs="Arial"/>
        </w:rPr>
      </w:pPr>
      <w:r w:rsidRPr="00EE2463">
        <w:rPr>
          <w:rFonts w:ascii="Calibri" w:hAnsi="Calibri" w:cs="Arial"/>
        </w:rPr>
        <w:t>Empiric antibiotic regimen</w:t>
      </w:r>
      <w:r w:rsidR="006A1273" w:rsidRPr="00EE2463">
        <w:rPr>
          <w:rFonts w:ascii="Calibri" w:hAnsi="Calibri" w:cs="Arial"/>
        </w:rPr>
        <w:t xml:space="preserve"> concordance was based on in vitro susceptibility findings. An antibiotic regimen was defined as concordant if the pathogen was susceptible to at least one antimicrobial in the empiric regimen. An antibiotic regimen was defined as discordant if the pathogen was not susceptible to any antibiotic in the empiric regimen</w:t>
      </w:r>
      <w:r w:rsidRPr="00EE2463">
        <w:rPr>
          <w:rFonts w:ascii="Calibri" w:hAnsi="Calibri" w:cs="Arial"/>
        </w:rPr>
        <w:t>.</w:t>
      </w:r>
      <w:r w:rsidR="006A1273" w:rsidRPr="00EE2463">
        <w:rPr>
          <w:rFonts w:ascii="Calibri" w:hAnsi="Calibri" w:cs="Arial"/>
        </w:rPr>
        <w:t xml:space="preserve"> </w:t>
      </w:r>
      <w:r w:rsidR="00522C38" w:rsidRPr="00EE2463">
        <w:rPr>
          <w:rFonts w:ascii="Calibri" w:hAnsi="Calibri" w:cs="Arial"/>
        </w:rPr>
        <w:t>Patients with unclassifiable regimens, defined as</w:t>
      </w:r>
      <w:r w:rsidR="3CBC0BC4" w:rsidRPr="00EE2463">
        <w:rPr>
          <w:rFonts w:ascii="Calibri" w:hAnsi="Calibri" w:cs="Arial"/>
        </w:rPr>
        <w:t xml:space="preserve"> unknown</w:t>
      </w:r>
      <w:r w:rsidR="00522C38" w:rsidRPr="00EE2463">
        <w:rPr>
          <w:rFonts w:ascii="Calibri" w:hAnsi="Calibri" w:cs="Arial"/>
        </w:rPr>
        <w:t xml:space="preserve"> </w:t>
      </w:r>
      <w:r w:rsidR="006A1273" w:rsidRPr="00EE2463">
        <w:rPr>
          <w:rFonts w:ascii="Calibri" w:hAnsi="Calibri" w:cs="Arial"/>
        </w:rPr>
        <w:t>susceptibility of the pathogen to all empiric antibiotics or</w:t>
      </w:r>
      <w:r w:rsidR="07AAFB09" w:rsidRPr="00EE2463">
        <w:rPr>
          <w:rFonts w:ascii="Calibri" w:hAnsi="Calibri" w:cs="Arial"/>
        </w:rPr>
        <w:t xml:space="preserve"> resistance of</w:t>
      </w:r>
      <w:r w:rsidR="006A1273" w:rsidRPr="00EE2463">
        <w:rPr>
          <w:rFonts w:ascii="Calibri" w:hAnsi="Calibri" w:cs="Arial"/>
        </w:rPr>
        <w:t xml:space="preserve"> the pathogen to one antibiotic and</w:t>
      </w:r>
      <w:r w:rsidR="6C1AC3F1" w:rsidRPr="00EE2463">
        <w:rPr>
          <w:rFonts w:ascii="Calibri" w:hAnsi="Calibri" w:cs="Arial"/>
        </w:rPr>
        <w:t xml:space="preserve"> unknown</w:t>
      </w:r>
      <w:r w:rsidR="006A1273" w:rsidRPr="00EE2463">
        <w:rPr>
          <w:rFonts w:ascii="Calibri" w:hAnsi="Calibri" w:cs="Arial"/>
        </w:rPr>
        <w:t xml:space="preserve"> </w:t>
      </w:r>
      <w:proofErr w:type="gramStart"/>
      <w:r w:rsidR="006A1273" w:rsidRPr="00EE2463">
        <w:rPr>
          <w:rFonts w:ascii="Calibri" w:hAnsi="Calibri" w:cs="Arial"/>
        </w:rPr>
        <w:t>susceptibility  for</w:t>
      </w:r>
      <w:proofErr w:type="gramEnd"/>
      <w:r w:rsidR="006A1273" w:rsidRPr="00EE2463">
        <w:rPr>
          <w:rFonts w:ascii="Calibri" w:hAnsi="Calibri" w:cs="Arial"/>
        </w:rPr>
        <w:t xml:space="preserve"> the other antibiotic</w:t>
      </w:r>
      <w:r w:rsidR="00522C38" w:rsidRPr="00EE2463">
        <w:rPr>
          <w:rFonts w:ascii="Calibri" w:hAnsi="Calibri" w:cs="Arial"/>
        </w:rPr>
        <w:t>(s)</w:t>
      </w:r>
      <w:r w:rsidRPr="00EE2463">
        <w:rPr>
          <w:rFonts w:ascii="Calibri" w:hAnsi="Calibri" w:cs="Arial"/>
        </w:rPr>
        <w:t xml:space="preserve"> were excluded from analyses. </w:t>
      </w:r>
    </w:p>
    <w:p w14:paraId="6D6F4DAB" w14:textId="062B2A2A" w:rsidR="006A1273" w:rsidRPr="00EE2463" w:rsidRDefault="006A1273" w:rsidP="005319E4">
      <w:pPr>
        <w:spacing w:after="0" w:line="480" w:lineRule="auto"/>
        <w:rPr>
          <w:rFonts w:ascii="Calibri" w:hAnsi="Calibri" w:cs="Arial"/>
        </w:rPr>
      </w:pPr>
      <w:r w:rsidRPr="00EE2463">
        <w:rPr>
          <w:rFonts w:ascii="Calibri" w:hAnsi="Calibri" w:cs="Arial"/>
        </w:rPr>
        <w:t>For the first empiric regimen, patients receiving no antibiotics up to 1 day after blood culture were considered part of the discordant group</w:t>
      </w:r>
      <w:r w:rsidR="00ED119B" w:rsidRPr="00EE2463">
        <w:rPr>
          <w:rFonts w:ascii="Calibri" w:hAnsi="Calibri" w:cs="Arial"/>
        </w:rPr>
        <w:t xml:space="preserve">. We also examined these patients as a separate group. </w:t>
      </w:r>
    </w:p>
    <w:p w14:paraId="62037F19" w14:textId="1FE51E7E" w:rsidR="006A1273" w:rsidRPr="00EE2463" w:rsidRDefault="006A1273" w:rsidP="005319E4">
      <w:pPr>
        <w:spacing w:after="0" w:line="480" w:lineRule="auto"/>
        <w:rPr>
          <w:rFonts w:ascii="Calibri" w:hAnsi="Calibri" w:cs="Arial"/>
        </w:rPr>
      </w:pPr>
      <w:r w:rsidRPr="00EE2463">
        <w:rPr>
          <w:rFonts w:ascii="Calibri" w:hAnsi="Calibri" w:cs="Arial"/>
        </w:rPr>
        <w:t>The primary exposure of interest was concordance of the empiric antimicrobial regimen. The primary outcome was 30-day all-cause mortality. Age was grouped using International Conference on Harmonisation (ICH) classification</w:t>
      </w:r>
      <w:r w:rsidR="000E1175" w:rsidRPr="00EE2463">
        <w:rPr>
          <w:rFonts w:ascii="Calibri" w:hAnsi="Calibri" w:cs="Arial"/>
        </w:rPr>
        <w:t>.</w:t>
      </w:r>
      <w:r w:rsidRPr="00EE2463">
        <w:rPr>
          <w:rFonts w:ascii="Calibri" w:hAnsi="Calibri" w:cs="Arial"/>
        </w:rPr>
        <w:fldChar w:fldCharType="begin" w:fldLock="1"/>
      </w:r>
      <w:r w:rsidR="005C43BF" w:rsidRPr="00EE2463">
        <w:rPr>
          <w:rFonts w:ascii="Calibri" w:hAnsi="Calibri" w:cs="Arial"/>
        </w:rPr>
        <w:instrText>ADDIN CSL_CITATION {"citationItems":[{"id":"ITEM-1","itemData":{"author":[{"dropping-particle":"","family":"ICH","given":"","non-dropping-particle":"","parse-names":false,"suffix":""}],"id":"ITEM-1","issued":{"date-parts":[["2017"]]},"title":"ICH HARMONISED GUIDELINE ADDENDUM TO ICH E11: CLINICAL INVESTIGATION OF MEDICINAL PRODUCTS IN THE PEDIATRIC POPULATION E11 (R1)","type":"report"},"uris":["http://www.mendeley.com/documents/?uuid=93751f16-b3a8-34b8-b570-12e3794ce640"]}],"mendeley":{"formattedCitation":"(14)","plainTextFormattedCitation":"(14)","previouslyFormattedCitation":"(14)"},"properties":{"noteIndex":0},"schema":"https://github.com/citation-style-language/schema/raw/master/csl-citation.json"}</w:instrText>
      </w:r>
      <w:r w:rsidRPr="00EE2463">
        <w:rPr>
          <w:rFonts w:ascii="Calibri" w:hAnsi="Calibri" w:cs="Arial"/>
        </w:rPr>
        <w:fldChar w:fldCharType="separate"/>
      </w:r>
      <w:r w:rsidR="009B2E37" w:rsidRPr="00EE2463">
        <w:rPr>
          <w:rFonts w:ascii="Calibri" w:hAnsi="Calibri" w:cs="Arial"/>
          <w:noProof/>
        </w:rPr>
        <w:t>(14)</w:t>
      </w:r>
      <w:r w:rsidRPr="00EE2463">
        <w:rPr>
          <w:rFonts w:ascii="Calibri" w:hAnsi="Calibri" w:cs="Arial"/>
        </w:rPr>
        <w:fldChar w:fldCharType="end"/>
      </w:r>
      <w:r w:rsidRPr="00EE2463">
        <w:rPr>
          <w:rFonts w:ascii="Calibri" w:hAnsi="Calibri" w:cs="Arial"/>
        </w:rPr>
        <w:t xml:space="preserve"> Babies &lt;28 days postnatal age at enrolment who were </w:t>
      </w:r>
      <w:r w:rsidRPr="00EE2463">
        <w:rPr>
          <w:rFonts w:ascii="Calibri" w:hAnsi="Calibri" w:cs="Arial"/>
        </w:rPr>
        <w:lastRenderedPageBreak/>
        <w:t xml:space="preserve">born at &lt;37 </w:t>
      </w:r>
      <w:proofErr w:type="spellStart"/>
      <w:r w:rsidRPr="00EE2463">
        <w:rPr>
          <w:rFonts w:ascii="Calibri" w:hAnsi="Calibri" w:cs="Arial"/>
        </w:rPr>
        <w:t>weeks</w:t>
      </w:r>
      <w:proofErr w:type="spellEnd"/>
      <w:r w:rsidRPr="00EE2463">
        <w:rPr>
          <w:rFonts w:ascii="Calibri" w:hAnsi="Calibri" w:cs="Arial"/>
        </w:rPr>
        <w:t xml:space="preserve"> gestation were defined as preterm neonates. Babies &lt;28 days postnatal age at enrolment who were born at ≥37 </w:t>
      </w:r>
      <w:proofErr w:type="spellStart"/>
      <w:r w:rsidRPr="00EE2463">
        <w:rPr>
          <w:rFonts w:ascii="Calibri" w:hAnsi="Calibri" w:cs="Arial"/>
        </w:rPr>
        <w:t>weeks</w:t>
      </w:r>
      <w:proofErr w:type="spellEnd"/>
      <w:r w:rsidRPr="00EE2463">
        <w:rPr>
          <w:rFonts w:ascii="Calibri" w:hAnsi="Calibri" w:cs="Arial"/>
        </w:rPr>
        <w:t xml:space="preserve"> gestation were defined as term neonates. </w:t>
      </w:r>
      <w:r w:rsidR="00ED119B" w:rsidRPr="00EE2463">
        <w:rPr>
          <w:rFonts w:ascii="Calibri" w:hAnsi="Calibri" w:cs="Arial"/>
        </w:rPr>
        <w:t xml:space="preserve">Due to a lack of sub-categories for perinatal comorbidities, </w:t>
      </w:r>
      <w:r w:rsidR="00522C38" w:rsidRPr="00EE2463">
        <w:rPr>
          <w:rFonts w:ascii="Calibri" w:hAnsi="Calibri" w:cs="Arial"/>
        </w:rPr>
        <w:t xml:space="preserve">it was assumed comorbidities classified as “perinatal” included prematurity; </w:t>
      </w:r>
      <w:proofErr w:type="gramStart"/>
      <w:r w:rsidR="00522C38" w:rsidRPr="00EE2463">
        <w:rPr>
          <w:rFonts w:ascii="Calibri" w:hAnsi="Calibri" w:cs="Arial"/>
        </w:rPr>
        <w:t>thus</w:t>
      </w:r>
      <w:proofErr w:type="gramEnd"/>
      <w:r w:rsidR="00522C38" w:rsidRPr="00EE2463">
        <w:rPr>
          <w:rFonts w:ascii="Calibri" w:hAnsi="Calibri" w:cs="Arial"/>
        </w:rPr>
        <w:t xml:space="preserve"> </w:t>
      </w:r>
      <w:r w:rsidR="00ED119B" w:rsidRPr="00EE2463">
        <w:rPr>
          <w:rFonts w:ascii="Calibri" w:hAnsi="Calibri" w:cs="Arial"/>
        </w:rPr>
        <w:t>t</w:t>
      </w:r>
      <w:r w:rsidRPr="00EE2463">
        <w:rPr>
          <w:rFonts w:ascii="Calibri" w:hAnsi="Calibri" w:cs="Arial"/>
        </w:rPr>
        <w:t xml:space="preserve">o prevent prematurity being </w:t>
      </w:r>
      <w:r w:rsidR="00522C38" w:rsidRPr="00EE2463">
        <w:rPr>
          <w:rFonts w:ascii="Calibri" w:hAnsi="Calibri" w:cs="Arial"/>
        </w:rPr>
        <w:t>controlled for</w:t>
      </w:r>
      <w:r w:rsidRPr="00EE2463">
        <w:rPr>
          <w:rFonts w:ascii="Calibri" w:hAnsi="Calibri" w:cs="Arial"/>
        </w:rPr>
        <w:t xml:space="preserve"> twice for </w:t>
      </w:r>
      <w:r w:rsidR="00522C38" w:rsidRPr="00EE2463">
        <w:rPr>
          <w:rFonts w:ascii="Calibri" w:hAnsi="Calibri" w:cs="Arial"/>
        </w:rPr>
        <w:t xml:space="preserve">pre-term </w:t>
      </w:r>
      <w:r w:rsidRPr="00EE2463">
        <w:rPr>
          <w:rFonts w:ascii="Calibri" w:hAnsi="Calibri" w:cs="Arial"/>
        </w:rPr>
        <w:t xml:space="preserve">neonates, </w:t>
      </w:r>
      <w:r w:rsidR="00522C38" w:rsidRPr="00EE2463">
        <w:rPr>
          <w:rFonts w:ascii="Calibri" w:hAnsi="Calibri" w:cs="Arial"/>
        </w:rPr>
        <w:t>those</w:t>
      </w:r>
      <w:r w:rsidRPr="00EE2463">
        <w:rPr>
          <w:rFonts w:ascii="Calibri" w:hAnsi="Calibri" w:cs="Arial"/>
        </w:rPr>
        <w:t xml:space="preserve"> with only one comorbidity classified as “perinatal” were not considered as having a comorbidity since their age group already accounted for their prematurity. Patients in all other age groups with a comorbidity classified as “perinatal” were considered to have at least one comorbidity (e.g. infants outside of the neonatal period </w:t>
      </w:r>
      <w:r w:rsidR="0098795C" w:rsidRPr="00EE2463">
        <w:rPr>
          <w:rFonts w:ascii="Calibri" w:hAnsi="Calibri" w:cs="Arial"/>
        </w:rPr>
        <w:t xml:space="preserve">at enrolment </w:t>
      </w:r>
      <w:r w:rsidRPr="00EE2463">
        <w:rPr>
          <w:rFonts w:ascii="Calibri" w:hAnsi="Calibri" w:cs="Arial"/>
        </w:rPr>
        <w:t xml:space="preserve">who had been born prematurely). Presence of any other comorbidity category was counted as presence of a comorbidity for all age groups. </w:t>
      </w:r>
      <w:r w:rsidR="00522C38" w:rsidRPr="00EE2463">
        <w:rPr>
          <w:rFonts w:ascii="Calibri" w:hAnsi="Calibri" w:cs="Arial"/>
        </w:rPr>
        <w:t>H</w:t>
      </w:r>
      <w:r w:rsidR="00570CD5" w:rsidRPr="00EE2463">
        <w:rPr>
          <w:rFonts w:ascii="Calibri" w:hAnsi="Calibri" w:cs="Arial"/>
        </w:rPr>
        <w:t>ospital-acquired</w:t>
      </w:r>
      <w:r w:rsidRPr="00EE2463">
        <w:rPr>
          <w:rFonts w:ascii="Calibri" w:hAnsi="Calibri" w:cs="Arial"/>
        </w:rPr>
        <w:t xml:space="preserve"> infections (HAI) were considered those with positive blood culture taken two or more days after date of admission</w:t>
      </w:r>
      <w:r w:rsidR="00522C38" w:rsidRPr="00EE2463">
        <w:rPr>
          <w:rFonts w:ascii="Calibri" w:hAnsi="Calibri" w:cs="Arial"/>
        </w:rPr>
        <w:t xml:space="preserve"> as exact admission and antibiotic start times were unavailable</w:t>
      </w:r>
      <w:r w:rsidRPr="00EE2463">
        <w:rPr>
          <w:rFonts w:ascii="Calibri" w:hAnsi="Calibri" w:cs="Arial"/>
        </w:rPr>
        <w:t xml:space="preserve">. </w:t>
      </w:r>
      <w:r w:rsidR="00E615E3" w:rsidRPr="00EE2463">
        <w:rPr>
          <w:rFonts w:ascii="Calibri" w:hAnsi="Calibri" w:cs="Arial"/>
        </w:rPr>
        <w:t xml:space="preserve">Given small sample size, we did not adjust for hospital or pathogen. </w:t>
      </w:r>
      <w:r w:rsidR="0098795C" w:rsidRPr="00EE2463">
        <w:rPr>
          <w:rFonts w:ascii="Calibri" w:hAnsi="Calibri" w:cs="Arial"/>
        </w:rPr>
        <w:t xml:space="preserve">Patients with incomplete data for concordance, primary outcome and relevant covariates were excluded from final analyses. </w:t>
      </w:r>
    </w:p>
    <w:p w14:paraId="3285502E" w14:textId="31A41C5A" w:rsidR="006A1273" w:rsidRPr="00EE2463" w:rsidRDefault="006A1273" w:rsidP="005319E4">
      <w:pPr>
        <w:autoSpaceDE w:val="0"/>
        <w:autoSpaceDN w:val="0"/>
        <w:adjustRightInd w:val="0"/>
        <w:spacing w:after="0" w:line="480" w:lineRule="auto"/>
        <w:rPr>
          <w:rFonts w:ascii="Calibri" w:hAnsi="Calibri" w:cs="Arial"/>
          <w:b/>
          <w:i/>
        </w:rPr>
      </w:pPr>
      <w:r w:rsidRPr="00EE2463">
        <w:rPr>
          <w:rFonts w:ascii="Calibri" w:hAnsi="Calibri" w:cs="Arial"/>
          <w:b/>
          <w:i/>
        </w:rPr>
        <w:t xml:space="preserve">Statistical Analyses </w:t>
      </w:r>
    </w:p>
    <w:p w14:paraId="3F61D525" w14:textId="67EA7AB1" w:rsidR="006A1273" w:rsidRPr="00EE2463" w:rsidRDefault="006A1273" w:rsidP="005319E4">
      <w:pPr>
        <w:spacing w:after="0" w:line="480" w:lineRule="auto"/>
        <w:rPr>
          <w:rFonts w:ascii="Calibri" w:hAnsi="Calibri" w:cs="Arial"/>
        </w:rPr>
      </w:pPr>
      <w:r w:rsidRPr="00EE2463">
        <w:rPr>
          <w:rFonts w:ascii="Calibri" w:hAnsi="Calibri" w:cs="Arial"/>
        </w:rPr>
        <w:t>Descriptive results were examined as relative frequency</w:t>
      </w:r>
      <w:r w:rsidR="00F94EE3" w:rsidRPr="00EE2463">
        <w:rPr>
          <w:rFonts w:ascii="Calibri" w:hAnsi="Calibri" w:cs="Arial"/>
        </w:rPr>
        <w:t xml:space="preserve">, </w:t>
      </w:r>
      <w:r w:rsidRPr="00EE2463">
        <w:rPr>
          <w:rFonts w:ascii="Calibri" w:hAnsi="Calibri" w:cs="Arial"/>
        </w:rPr>
        <w:t>and characteristics of survivors and non-survivors were compared using χ</w:t>
      </w:r>
      <w:r w:rsidRPr="00EE2463">
        <w:rPr>
          <w:rFonts w:ascii="Calibri" w:hAnsi="Calibri" w:cs="Arial"/>
          <w:vertAlign w:val="superscript"/>
        </w:rPr>
        <w:t>2</w:t>
      </w:r>
      <w:r w:rsidRPr="00EE2463">
        <w:rPr>
          <w:rFonts w:ascii="Calibri" w:hAnsi="Calibri" w:cs="Arial"/>
        </w:rPr>
        <w:t xml:space="preserve"> tests. Univariate Cochran-Mantel-</w:t>
      </w:r>
      <w:proofErr w:type="spellStart"/>
      <w:r w:rsidRPr="00EE2463">
        <w:rPr>
          <w:rFonts w:ascii="Calibri" w:hAnsi="Calibri" w:cs="Arial"/>
        </w:rPr>
        <w:t>Haenszel</w:t>
      </w:r>
      <w:proofErr w:type="spellEnd"/>
      <w:r w:rsidRPr="00EE2463">
        <w:rPr>
          <w:rFonts w:ascii="Calibri" w:hAnsi="Calibri" w:cs="Arial"/>
        </w:rPr>
        <w:t xml:space="preserve"> odds ratios for 30-day all-cause mortality were calculated for discordance and potential confounders. </w:t>
      </w:r>
    </w:p>
    <w:p w14:paraId="5254AD05" w14:textId="67DD0566" w:rsidR="000E1175" w:rsidRPr="00EE2463" w:rsidRDefault="006A1273" w:rsidP="005319E4">
      <w:pPr>
        <w:spacing w:after="0" w:line="480" w:lineRule="auto"/>
        <w:rPr>
          <w:rFonts w:ascii="Calibri" w:hAnsi="Calibri" w:cs="Arial"/>
        </w:rPr>
      </w:pPr>
      <w:r w:rsidRPr="00EE2463">
        <w:rPr>
          <w:rFonts w:ascii="Calibri" w:hAnsi="Calibri" w:cs="Arial"/>
        </w:rPr>
        <w:t xml:space="preserve">Multivariable logistic regression was used to investigate the relationship between the concordance of the empiric antibiotic regimen and 30-day all-cause mortality. Potential confounders were selected for inclusion in the logistic regression </w:t>
      </w:r>
      <w:r w:rsidRPr="00EE2463">
        <w:rPr>
          <w:rFonts w:ascii="Calibri" w:hAnsi="Calibri" w:cs="Arial"/>
          <w:i/>
          <w:iCs/>
        </w:rPr>
        <w:t>a priori</w:t>
      </w:r>
      <w:r w:rsidRPr="00EE2463">
        <w:rPr>
          <w:rFonts w:ascii="Calibri" w:hAnsi="Calibri" w:cs="Arial"/>
        </w:rPr>
        <w:t xml:space="preserve"> and based on results of </w:t>
      </w:r>
      <w:r w:rsidR="00F94EE3" w:rsidRPr="00EE2463">
        <w:rPr>
          <w:rFonts w:ascii="Calibri" w:hAnsi="Calibri" w:cs="Arial"/>
        </w:rPr>
        <w:t>univariate</w:t>
      </w:r>
      <w:r w:rsidRPr="00EE2463">
        <w:rPr>
          <w:rFonts w:ascii="Calibri" w:hAnsi="Calibri" w:cs="Arial"/>
        </w:rPr>
        <w:t xml:space="preserve"> analyses</w:t>
      </w:r>
      <w:r w:rsidR="004F4E55" w:rsidRPr="00EE2463">
        <w:rPr>
          <w:rFonts w:ascii="Calibri" w:hAnsi="Calibri" w:cs="Arial"/>
        </w:rPr>
        <w:t>.</w:t>
      </w:r>
      <w:r w:rsidRPr="00EE2463">
        <w:rPr>
          <w:rFonts w:ascii="Calibri" w:hAnsi="Calibri" w:cs="Arial"/>
        </w:rPr>
        <w:t xml:space="preserve"> </w:t>
      </w:r>
      <w:r w:rsidR="00687D42" w:rsidRPr="00EE2463">
        <w:rPr>
          <w:rFonts w:ascii="Calibri" w:hAnsi="Calibri" w:cs="Arial"/>
        </w:rPr>
        <w:t xml:space="preserve">After running the </w:t>
      </w:r>
      <w:r w:rsidR="00687D42" w:rsidRPr="00EE2463">
        <w:rPr>
          <w:rFonts w:ascii="Calibri" w:hAnsi="Calibri" w:cs="Arial"/>
          <w:i/>
          <w:iCs/>
        </w:rPr>
        <w:t xml:space="preserve">a priori </w:t>
      </w:r>
      <w:r w:rsidR="00687D42" w:rsidRPr="00EE2463">
        <w:rPr>
          <w:rFonts w:ascii="Calibri" w:hAnsi="Calibri" w:cs="Arial"/>
        </w:rPr>
        <w:t>multivariable model, any variables not statistically significantly associated with mortality were</w:t>
      </w:r>
      <w:r w:rsidRPr="00EE2463">
        <w:rPr>
          <w:rFonts w:ascii="Calibri" w:hAnsi="Calibri" w:cs="Arial"/>
        </w:rPr>
        <w:t xml:space="preserve"> removed for our final model. Both </w:t>
      </w:r>
      <w:r w:rsidRPr="00EE2463">
        <w:rPr>
          <w:rFonts w:ascii="Calibri" w:hAnsi="Calibri" w:cs="Arial"/>
          <w:i/>
          <w:iCs/>
        </w:rPr>
        <w:t xml:space="preserve">a priori </w:t>
      </w:r>
      <w:r w:rsidRPr="00EE2463">
        <w:rPr>
          <w:rFonts w:ascii="Calibri" w:hAnsi="Calibri" w:cs="Arial"/>
        </w:rPr>
        <w:t>and final models are presented. A p-value &lt;0 .05 was considered as statistically significant</w:t>
      </w:r>
      <w:r w:rsidR="000E1175" w:rsidRPr="00EE2463">
        <w:rPr>
          <w:rFonts w:ascii="Calibri" w:hAnsi="Calibri" w:cs="Arial"/>
        </w:rPr>
        <w:t xml:space="preserve">. </w:t>
      </w:r>
      <w:r w:rsidR="00F94EE3" w:rsidRPr="00EE2463">
        <w:rPr>
          <w:rFonts w:ascii="Calibri" w:hAnsi="Calibri" w:cs="Arial"/>
        </w:rPr>
        <w:t xml:space="preserve">All analyses were done in Stata (v14.2, </w:t>
      </w:r>
      <w:proofErr w:type="spellStart"/>
      <w:r w:rsidR="00F94EE3" w:rsidRPr="00EE2463">
        <w:rPr>
          <w:rFonts w:ascii="Calibri" w:hAnsi="Calibri" w:cs="Arial"/>
        </w:rPr>
        <w:t>StataCorps</w:t>
      </w:r>
      <w:proofErr w:type="spellEnd"/>
      <w:r w:rsidR="00F94EE3" w:rsidRPr="00EE2463">
        <w:rPr>
          <w:rFonts w:ascii="Calibri" w:hAnsi="Calibri" w:cs="Arial"/>
        </w:rPr>
        <w:t>, USA)</w:t>
      </w:r>
    </w:p>
    <w:p w14:paraId="273ABD84" w14:textId="69DCAFE4" w:rsidR="006A1273" w:rsidRPr="00EE2463" w:rsidRDefault="006A1273" w:rsidP="005319E4">
      <w:pPr>
        <w:spacing w:after="0" w:line="480" w:lineRule="auto"/>
        <w:rPr>
          <w:rFonts w:ascii="Calibri" w:hAnsi="Calibri" w:cs="Arial"/>
          <w:b/>
        </w:rPr>
      </w:pPr>
      <w:r w:rsidRPr="00EE2463">
        <w:rPr>
          <w:rFonts w:ascii="Calibri" w:hAnsi="Calibri" w:cs="Arial"/>
          <w:b/>
        </w:rPr>
        <w:t>Results</w:t>
      </w:r>
    </w:p>
    <w:p w14:paraId="138538F6" w14:textId="77777777" w:rsidR="006A1273" w:rsidRPr="00EE2463" w:rsidRDefault="006A1273" w:rsidP="005319E4">
      <w:pPr>
        <w:spacing w:after="0" w:line="480" w:lineRule="auto"/>
        <w:rPr>
          <w:rFonts w:ascii="Calibri" w:hAnsi="Calibri" w:cs="Arial"/>
          <w:b/>
          <w:i/>
        </w:rPr>
      </w:pPr>
      <w:r w:rsidRPr="00EE2463">
        <w:rPr>
          <w:rFonts w:ascii="Calibri" w:hAnsi="Calibri" w:cs="Arial"/>
          <w:b/>
          <w:i/>
        </w:rPr>
        <w:t xml:space="preserve">Baseline characteristics </w:t>
      </w:r>
    </w:p>
    <w:p w14:paraId="4FAF5B7F" w14:textId="49F2515F" w:rsidR="00715AA5" w:rsidRPr="00EE2463" w:rsidRDefault="00F94EE3" w:rsidP="005319E4">
      <w:pPr>
        <w:spacing w:after="0" w:line="480" w:lineRule="auto"/>
        <w:rPr>
          <w:rFonts w:ascii="Calibri" w:hAnsi="Calibri" w:cs="Arial"/>
        </w:rPr>
      </w:pPr>
      <w:r w:rsidRPr="00EE2463">
        <w:rPr>
          <w:rFonts w:ascii="Calibri" w:hAnsi="Calibri" w:cs="Arial"/>
        </w:rPr>
        <w:lastRenderedPageBreak/>
        <w:t>T</w:t>
      </w:r>
      <w:r w:rsidR="006A1273" w:rsidRPr="00EE2463">
        <w:rPr>
          <w:rFonts w:ascii="Calibri" w:hAnsi="Calibri" w:cs="Arial"/>
        </w:rPr>
        <w:t>he final sample size was 452 patients receiving empiric antibiotics in the first two days post-blood culture. When considering empiric regimens on the first day post blood culture only, there were 451 patients (</w:t>
      </w:r>
      <w:r w:rsidR="00C748C9" w:rsidRPr="00EE2463">
        <w:rPr>
          <w:rFonts w:ascii="Calibri" w:hAnsi="Calibri" w:cs="Arial"/>
        </w:rPr>
        <w:t>Figure, Supplemental Digital Content 1)</w:t>
      </w:r>
      <w:r w:rsidR="006A1273" w:rsidRPr="00EE2463">
        <w:rPr>
          <w:rFonts w:ascii="Calibri" w:hAnsi="Calibri" w:cs="Arial"/>
        </w:rPr>
        <w:t xml:space="preserve">, of which 34 did not receive any antibiotics on the first day. </w:t>
      </w:r>
    </w:p>
    <w:p w14:paraId="4A62E11C" w14:textId="7330B02A" w:rsidR="004D1194" w:rsidRPr="00EE2463" w:rsidRDefault="006A1273" w:rsidP="005319E4">
      <w:pPr>
        <w:spacing w:after="0" w:line="480" w:lineRule="auto"/>
        <w:rPr>
          <w:rFonts w:ascii="Calibri" w:hAnsi="Calibri" w:cs="Arial"/>
        </w:rPr>
      </w:pPr>
      <w:r w:rsidRPr="00EE2463">
        <w:rPr>
          <w:rFonts w:ascii="Calibri" w:hAnsi="Calibri" w:cs="Arial"/>
        </w:rPr>
        <w:t>Overall, 60% of patients (273/452) were under the age of two years, of which half (141/273) were infants and children between 30 days and 2 years (overall: 141/452, 31.2%) and a quarter (</w:t>
      </w:r>
      <w:r w:rsidR="00ED119B" w:rsidRPr="00EE2463">
        <w:rPr>
          <w:rFonts w:ascii="Calibri" w:hAnsi="Calibri" w:cs="Arial"/>
        </w:rPr>
        <w:t>7</w:t>
      </w:r>
      <w:r w:rsidRPr="00EE2463">
        <w:rPr>
          <w:rFonts w:ascii="Calibri" w:hAnsi="Calibri" w:cs="Arial"/>
        </w:rPr>
        <w:t xml:space="preserve">0/273) were preterm neonates (overall </w:t>
      </w:r>
      <w:r w:rsidR="00ED119B" w:rsidRPr="00EE2463">
        <w:rPr>
          <w:rFonts w:ascii="Calibri" w:hAnsi="Calibri" w:cs="Arial"/>
        </w:rPr>
        <w:t>7</w:t>
      </w:r>
      <w:r w:rsidRPr="00EE2463">
        <w:rPr>
          <w:rFonts w:ascii="Calibri" w:hAnsi="Calibri" w:cs="Arial"/>
        </w:rPr>
        <w:t xml:space="preserve">0/452, </w:t>
      </w:r>
      <w:r w:rsidR="00ED119B" w:rsidRPr="00EE2463">
        <w:rPr>
          <w:rFonts w:ascii="Calibri" w:hAnsi="Calibri" w:cs="Arial"/>
        </w:rPr>
        <w:t>15.5</w:t>
      </w:r>
      <w:r w:rsidRPr="00EE2463">
        <w:rPr>
          <w:rFonts w:ascii="Calibri" w:hAnsi="Calibri" w:cs="Arial"/>
        </w:rPr>
        <w:t>%). Patients came from 25 hospitals in 19 countries</w:t>
      </w:r>
      <w:r w:rsidR="00A71249" w:rsidRPr="00EE2463">
        <w:rPr>
          <w:rFonts w:ascii="Calibri" w:hAnsi="Calibri" w:cs="Arial"/>
        </w:rPr>
        <w:t xml:space="preserve"> (Supplemental Digital Content 2, table)</w:t>
      </w:r>
      <w:r w:rsidRPr="00EE2463">
        <w:rPr>
          <w:rFonts w:ascii="Calibri" w:hAnsi="Calibri" w:cs="Arial"/>
        </w:rPr>
        <w:t xml:space="preserve">. Healthcare-associated infections accounted for 47.6% (215/452) of infections. Baseline characteristics of survivors and non-survivors are summarised in </w:t>
      </w:r>
      <w:r w:rsidR="0098795C" w:rsidRPr="00EE2463">
        <w:rPr>
          <w:rFonts w:ascii="Calibri" w:hAnsi="Calibri" w:cs="Arial"/>
        </w:rPr>
        <w:t>Table 1</w:t>
      </w:r>
      <w:r w:rsidRPr="00EE2463">
        <w:rPr>
          <w:rFonts w:ascii="Calibri" w:hAnsi="Calibri" w:cs="Arial"/>
        </w:rPr>
        <w:t xml:space="preserve">. Overall, 62.2% (281/452) patients had at least one comorbidity of which the most common </w:t>
      </w:r>
      <w:r w:rsidR="0098795C" w:rsidRPr="00EE2463">
        <w:rPr>
          <w:rFonts w:ascii="Calibri" w:hAnsi="Calibri" w:cs="Arial"/>
        </w:rPr>
        <w:t>were perinatal and</w:t>
      </w:r>
      <w:r w:rsidRPr="00EE2463">
        <w:rPr>
          <w:rFonts w:ascii="Calibri" w:hAnsi="Calibri" w:cs="Arial"/>
        </w:rPr>
        <w:t xml:space="preserve"> malignancy and most common amongst non-survivors was a perinatal condition (</w:t>
      </w:r>
      <w:r w:rsidR="003C4B2B" w:rsidRPr="00EE2463">
        <w:rPr>
          <w:rFonts w:ascii="Calibri" w:hAnsi="Calibri" w:cs="Arial"/>
        </w:rPr>
        <w:t xml:space="preserve">Tables, Supplemental Digital Content </w:t>
      </w:r>
      <w:r w:rsidR="00A71249" w:rsidRPr="00EE2463">
        <w:rPr>
          <w:rFonts w:ascii="Calibri" w:hAnsi="Calibri" w:cs="Arial"/>
        </w:rPr>
        <w:t>3</w:t>
      </w:r>
      <w:r w:rsidR="003C4B2B" w:rsidRPr="00EE2463">
        <w:rPr>
          <w:rFonts w:ascii="Calibri" w:hAnsi="Calibri" w:cs="Arial"/>
        </w:rPr>
        <w:t xml:space="preserve"> and </w:t>
      </w:r>
      <w:r w:rsidR="00A71249" w:rsidRPr="00EE2463">
        <w:rPr>
          <w:rFonts w:ascii="Calibri" w:hAnsi="Calibri" w:cs="Arial"/>
        </w:rPr>
        <w:t>4</w:t>
      </w:r>
      <w:r w:rsidR="003C4B2B" w:rsidRPr="00EE2463">
        <w:rPr>
          <w:rFonts w:ascii="Calibri" w:hAnsi="Calibri" w:cs="Arial"/>
        </w:rPr>
        <w:t>).</w:t>
      </w:r>
      <w:r w:rsidR="00B77210" w:rsidRPr="00EE2463">
        <w:rPr>
          <w:rFonts w:ascii="Calibri" w:hAnsi="Calibri" w:cs="Arial"/>
        </w:rPr>
        <w:t xml:space="preserve"> </w:t>
      </w:r>
      <w:r w:rsidRPr="00EE2463">
        <w:rPr>
          <w:rFonts w:ascii="Calibri" w:hAnsi="Calibri" w:cs="Arial"/>
        </w:rPr>
        <w:t xml:space="preserve">Gram-negative pathogens were isolated in 261/452 (57.7%) of infections. The three most common isolates overall were </w:t>
      </w:r>
      <w:r w:rsidRPr="00EE2463">
        <w:rPr>
          <w:rFonts w:ascii="Calibri" w:hAnsi="Calibri" w:cs="Arial"/>
          <w:i/>
        </w:rPr>
        <w:t>S. aureus</w:t>
      </w:r>
      <w:r w:rsidRPr="00EE2463">
        <w:rPr>
          <w:rFonts w:ascii="Calibri" w:hAnsi="Calibri" w:cs="Arial"/>
        </w:rPr>
        <w:t xml:space="preserve"> (19.3%), </w:t>
      </w:r>
      <w:r w:rsidRPr="00EE2463">
        <w:rPr>
          <w:rFonts w:ascii="Calibri" w:hAnsi="Calibri" w:cs="Arial"/>
          <w:i/>
        </w:rPr>
        <w:t>E. coli</w:t>
      </w:r>
      <w:r w:rsidRPr="00EE2463">
        <w:rPr>
          <w:rFonts w:ascii="Calibri" w:hAnsi="Calibri" w:cs="Arial"/>
        </w:rPr>
        <w:t xml:space="preserve"> (17.9%) and </w:t>
      </w:r>
      <w:r w:rsidRPr="00EE2463">
        <w:rPr>
          <w:rFonts w:ascii="Calibri" w:hAnsi="Calibri" w:cs="Arial"/>
          <w:i/>
        </w:rPr>
        <w:t>Klebsiella spp</w:t>
      </w:r>
      <w:r w:rsidRPr="00EE2463">
        <w:rPr>
          <w:rFonts w:ascii="Calibri" w:hAnsi="Calibri" w:cs="Arial"/>
        </w:rPr>
        <w:t>. (12.2%). In total, 15</w:t>
      </w:r>
      <w:r w:rsidR="00A40EE3" w:rsidRPr="00EE2463">
        <w:rPr>
          <w:rFonts w:ascii="Calibri" w:hAnsi="Calibri" w:cs="Arial"/>
        </w:rPr>
        <w:t>8</w:t>
      </w:r>
      <w:r w:rsidRPr="00EE2463">
        <w:rPr>
          <w:rFonts w:ascii="Calibri" w:hAnsi="Calibri" w:cs="Arial"/>
        </w:rPr>
        <w:t xml:space="preserve"> unique empiric antibiotic regimens were prescribed to patients (</w:t>
      </w:r>
      <w:r w:rsidR="003C4B2B" w:rsidRPr="00EE2463">
        <w:rPr>
          <w:rFonts w:ascii="Calibri" w:hAnsi="Calibri" w:cs="Arial"/>
        </w:rPr>
        <w:t xml:space="preserve">Table, Supplemental Digital Content </w:t>
      </w:r>
      <w:r w:rsidR="00A71249" w:rsidRPr="00EE2463">
        <w:rPr>
          <w:rFonts w:ascii="Calibri" w:hAnsi="Calibri" w:cs="Arial"/>
        </w:rPr>
        <w:t>5</w:t>
      </w:r>
      <w:r w:rsidR="003C4B2B" w:rsidRPr="00EE2463">
        <w:rPr>
          <w:rFonts w:ascii="Calibri" w:hAnsi="Calibri" w:cs="Arial"/>
        </w:rPr>
        <w:t>)</w:t>
      </w:r>
      <w:r w:rsidRPr="00EE2463">
        <w:rPr>
          <w:rFonts w:ascii="Calibri" w:hAnsi="Calibri" w:cs="Arial"/>
        </w:rPr>
        <w:t xml:space="preserve">. </w:t>
      </w:r>
      <w:r w:rsidR="00A71249" w:rsidRPr="00EE2463">
        <w:rPr>
          <w:rFonts w:ascii="Calibri" w:hAnsi="Calibri" w:cs="Arial"/>
        </w:rPr>
        <w:t xml:space="preserve">25.1% (113/451) of patients had a </w:t>
      </w:r>
      <w:r w:rsidRPr="00EE2463">
        <w:rPr>
          <w:rFonts w:ascii="Calibri" w:hAnsi="Calibri" w:cs="Arial"/>
        </w:rPr>
        <w:t xml:space="preserve">discordant first empiric regimen </w:t>
      </w:r>
      <w:r w:rsidR="00844B1C" w:rsidRPr="00EE2463">
        <w:rPr>
          <w:rFonts w:ascii="Calibri" w:hAnsi="Calibri" w:cs="Arial"/>
        </w:rPr>
        <w:t>(given within one day after blood culture)</w:t>
      </w:r>
      <w:r w:rsidR="00A71249" w:rsidRPr="00EE2463">
        <w:rPr>
          <w:rFonts w:ascii="Calibri" w:hAnsi="Calibri" w:cs="Arial"/>
        </w:rPr>
        <w:t xml:space="preserve">. </w:t>
      </w:r>
      <w:r w:rsidRPr="00EE2463">
        <w:rPr>
          <w:rFonts w:ascii="Calibri" w:hAnsi="Calibri" w:cs="Arial"/>
        </w:rPr>
        <w:t xml:space="preserve">Expectedly this was slightly lower when a longer time frame of two days post-blood culture was considered (15.3%; 69/452). </w:t>
      </w:r>
    </w:p>
    <w:p w14:paraId="4E98B17A" w14:textId="5D04D129" w:rsidR="006A1273" w:rsidRPr="00EE2463" w:rsidRDefault="006A1273" w:rsidP="005319E4">
      <w:pPr>
        <w:spacing w:after="0" w:line="480" w:lineRule="auto"/>
        <w:rPr>
          <w:rFonts w:ascii="Calibri" w:hAnsi="Calibri" w:cs="Arial"/>
        </w:rPr>
      </w:pPr>
      <w:r w:rsidRPr="00EE2463">
        <w:rPr>
          <w:rFonts w:ascii="Calibri" w:hAnsi="Calibri" w:cs="Arial"/>
        </w:rPr>
        <w:t xml:space="preserve">Discordant empiric antimicrobial therapy occurred in approximately equal proportions in Gram-positive (15.7%, 30/191) and Gram-negative infections (14.9%, 39/261); however, a higher proportion of the deaths occurred in patients with Gram-negative pathogens of which </w:t>
      </w:r>
      <w:r w:rsidRPr="00EE2463">
        <w:rPr>
          <w:rFonts w:ascii="Calibri" w:hAnsi="Calibri" w:cs="Arial"/>
          <w:i/>
        </w:rPr>
        <w:t xml:space="preserve">Acinetobacter spp. </w:t>
      </w:r>
      <w:r w:rsidRPr="00EE2463">
        <w:rPr>
          <w:rFonts w:ascii="Calibri" w:hAnsi="Calibri" w:cs="Arial"/>
        </w:rPr>
        <w:t xml:space="preserve">and </w:t>
      </w:r>
      <w:r w:rsidRPr="00EE2463">
        <w:rPr>
          <w:rFonts w:ascii="Calibri" w:hAnsi="Calibri" w:cs="Arial"/>
          <w:i/>
        </w:rPr>
        <w:t xml:space="preserve">Serratia spp. </w:t>
      </w:r>
      <w:r w:rsidRPr="00EE2463">
        <w:rPr>
          <w:rFonts w:ascii="Calibri" w:hAnsi="Calibri" w:cs="Arial"/>
        </w:rPr>
        <w:t xml:space="preserve">had the highest mortality rates overall (4/14, 29% and 3/14, 23% respectively) </w:t>
      </w:r>
      <w:r w:rsidR="0098795C" w:rsidRPr="00EE2463">
        <w:rPr>
          <w:rFonts w:ascii="Calibri" w:hAnsi="Calibri" w:cs="Arial"/>
        </w:rPr>
        <w:t>(Table 2).</w:t>
      </w:r>
      <w:r w:rsidRPr="00EE2463">
        <w:rPr>
          <w:rFonts w:ascii="Calibri" w:hAnsi="Calibri" w:cs="Arial"/>
        </w:rPr>
        <w:t xml:space="preserve"> Discordant regimens by pathogen </w:t>
      </w:r>
      <w:r w:rsidR="00EE1EE6" w:rsidRPr="00EE2463">
        <w:rPr>
          <w:rFonts w:ascii="Calibri" w:hAnsi="Calibri" w:cs="Arial"/>
        </w:rPr>
        <w:t xml:space="preserve">and concordance of pathogens without fatalities </w:t>
      </w:r>
      <w:r w:rsidRPr="00EE2463">
        <w:rPr>
          <w:rFonts w:ascii="Calibri" w:hAnsi="Calibri" w:cs="Arial"/>
        </w:rPr>
        <w:t xml:space="preserve">are </w:t>
      </w:r>
      <w:r w:rsidR="0098795C" w:rsidRPr="00EE2463">
        <w:rPr>
          <w:rFonts w:ascii="Calibri" w:hAnsi="Calibri" w:cs="Arial"/>
        </w:rPr>
        <w:t>in</w:t>
      </w:r>
      <w:r w:rsidR="004D1194" w:rsidRPr="00EE2463">
        <w:rPr>
          <w:rFonts w:ascii="Calibri" w:hAnsi="Calibri" w:cs="Arial"/>
        </w:rPr>
        <w:t xml:space="preserve"> </w:t>
      </w:r>
      <w:r w:rsidR="00EE1EE6" w:rsidRPr="00EE2463">
        <w:rPr>
          <w:rFonts w:ascii="Calibri" w:hAnsi="Calibri" w:cs="Arial"/>
        </w:rPr>
        <w:t xml:space="preserve">Supplemental Digital Content </w:t>
      </w:r>
      <w:r w:rsidR="00A71249" w:rsidRPr="00EE2463">
        <w:rPr>
          <w:rFonts w:ascii="Calibri" w:hAnsi="Calibri" w:cs="Arial"/>
        </w:rPr>
        <w:t>6</w:t>
      </w:r>
      <w:r w:rsidR="00EE1EE6" w:rsidRPr="00EE2463">
        <w:rPr>
          <w:rFonts w:ascii="Calibri" w:hAnsi="Calibri" w:cs="Arial"/>
        </w:rPr>
        <w:t xml:space="preserve"> (table) and Supplemental Digital Content </w:t>
      </w:r>
      <w:r w:rsidR="00A71249" w:rsidRPr="00EE2463">
        <w:rPr>
          <w:rFonts w:ascii="Calibri" w:hAnsi="Calibri" w:cs="Arial"/>
        </w:rPr>
        <w:t>7</w:t>
      </w:r>
      <w:r w:rsidR="00EE1EE6" w:rsidRPr="00EE2463">
        <w:rPr>
          <w:rFonts w:ascii="Calibri" w:hAnsi="Calibri" w:cs="Arial"/>
        </w:rPr>
        <w:t xml:space="preserve"> (table) respectively</w:t>
      </w:r>
      <w:r w:rsidR="00B77210" w:rsidRPr="00EE2463">
        <w:rPr>
          <w:rFonts w:ascii="Calibri" w:hAnsi="Calibri" w:cs="Arial"/>
        </w:rPr>
        <w:t xml:space="preserve">. </w:t>
      </w:r>
    </w:p>
    <w:p w14:paraId="4BDC2A8F" w14:textId="4DDE60B2" w:rsidR="0098795C" w:rsidRPr="00EE2463" w:rsidRDefault="00844B1C" w:rsidP="005319E4">
      <w:pPr>
        <w:spacing w:after="0" w:line="480" w:lineRule="auto"/>
        <w:rPr>
          <w:rFonts w:ascii="Calibri" w:hAnsi="Calibri" w:cs="Arial"/>
        </w:rPr>
      </w:pPr>
      <w:r w:rsidRPr="00EE2463">
        <w:rPr>
          <w:rFonts w:ascii="Calibri" w:hAnsi="Calibri" w:cs="Arial"/>
        </w:rPr>
        <w:t xml:space="preserve">Due to </w:t>
      </w:r>
      <w:r w:rsidR="00D13DD5" w:rsidRPr="00EE2463">
        <w:rPr>
          <w:rFonts w:ascii="Calibri" w:hAnsi="Calibri" w:cs="Arial"/>
        </w:rPr>
        <w:t>a possible</w:t>
      </w:r>
      <w:r w:rsidRPr="00EE2463">
        <w:rPr>
          <w:rFonts w:ascii="Calibri" w:hAnsi="Calibri" w:cs="Arial"/>
        </w:rPr>
        <w:t xml:space="preserve"> clinical reason for the subset of patients (n=34) not being started on any antibiotics until more than one day post blood culture, their characteristics were </w:t>
      </w:r>
      <w:r w:rsidR="0098795C" w:rsidRPr="00EE2463">
        <w:rPr>
          <w:rFonts w:ascii="Calibri" w:hAnsi="Calibri" w:cs="Arial"/>
        </w:rPr>
        <w:t xml:space="preserve">also </w:t>
      </w:r>
      <w:r w:rsidRPr="00EE2463">
        <w:rPr>
          <w:rFonts w:ascii="Calibri" w:hAnsi="Calibri" w:cs="Arial"/>
        </w:rPr>
        <w:t xml:space="preserve">considered separately </w:t>
      </w:r>
      <w:r w:rsidR="00E36AFB" w:rsidRPr="00EE2463">
        <w:rPr>
          <w:rFonts w:ascii="Calibri" w:hAnsi="Calibri" w:cs="Arial"/>
        </w:rPr>
        <w:lastRenderedPageBreak/>
        <w:t>(Table 3</w:t>
      </w:r>
      <w:r w:rsidRPr="00EE2463">
        <w:rPr>
          <w:rFonts w:ascii="Calibri" w:hAnsi="Calibri" w:cs="Arial"/>
        </w:rPr>
        <w:t>). These 34 patients started antibiotics within the first two days after blood culture and are included in the overall cohort (n=452).</w:t>
      </w:r>
    </w:p>
    <w:p w14:paraId="52DD7D3F" w14:textId="77777777" w:rsidR="006A1273" w:rsidRPr="00EE2463" w:rsidRDefault="006A1273" w:rsidP="005319E4">
      <w:pPr>
        <w:spacing w:after="0" w:line="480" w:lineRule="auto"/>
        <w:rPr>
          <w:rFonts w:ascii="Calibri" w:hAnsi="Calibri" w:cs="Arial"/>
        </w:rPr>
      </w:pPr>
      <w:r w:rsidRPr="00EE2463">
        <w:rPr>
          <w:rFonts w:ascii="Calibri" w:hAnsi="Calibri" w:cs="Arial"/>
        </w:rPr>
        <w:t xml:space="preserve">Overall, 35 children died (7.7%). Considering mortality by concordance, overall 23/383 (6.0%) of children died in the concordant group and 12/69 (17.4%) of children died in the discordant group (p=0.001). When considering only the first empiric regimen, 20/338 (5.9%) of children died in the concordant group and 15/113 (13.3%) of children died in the discordant group (p=0.011). </w:t>
      </w:r>
    </w:p>
    <w:p w14:paraId="161AB142" w14:textId="77777777" w:rsidR="006A1273" w:rsidRPr="00EE2463" w:rsidRDefault="006A1273" w:rsidP="005319E4">
      <w:pPr>
        <w:spacing w:after="0" w:line="480" w:lineRule="auto"/>
        <w:rPr>
          <w:rFonts w:ascii="Calibri" w:hAnsi="Calibri" w:cs="Arial"/>
          <w:b/>
          <w:i/>
        </w:rPr>
      </w:pPr>
      <w:r w:rsidRPr="00EE2463">
        <w:rPr>
          <w:rFonts w:ascii="Calibri" w:hAnsi="Calibri" w:cs="Arial"/>
          <w:b/>
          <w:i/>
        </w:rPr>
        <w:t xml:space="preserve">Univariable Analysis </w:t>
      </w:r>
    </w:p>
    <w:p w14:paraId="682CDA58" w14:textId="2E01A4CF" w:rsidR="004D1194" w:rsidRPr="00EE2463" w:rsidRDefault="006A1273" w:rsidP="005319E4">
      <w:pPr>
        <w:spacing w:after="0" w:line="480" w:lineRule="auto"/>
        <w:rPr>
          <w:rFonts w:ascii="Calibri" w:hAnsi="Calibri" w:cs="Arial"/>
        </w:rPr>
      </w:pPr>
      <w:r w:rsidRPr="00EE2463">
        <w:rPr>
          <w:rFonts w:ascii="Calibri" w:hAnsi="Calibri" w:cs="Arial"/>
        </w:rPr>
        <w:t>In the unadjusted analysis, discordant empiric therapy in the first two days post blood culture was associated with a 3.3 increase in odds of 30-day mortality (95%CI:1.5-7.1, p=0.0011). Discordance in the first antibiotic regimen administered was associated with a 2.4 increase in odds of 30-day mortality (unadjusted, 95%CI:1.2–5.0, p= 0.0115). When excluding patients who did not receive antibiotics in the first day after blood culture (n=417), discordance of first antibiotic regimen was associated with 3.1 increase in odds of 30-day mortality (unadjusted, 95%CI:1.5–6.7, p=0.0018). Comorbidity, unit type, ventilation, infection type and pathogen type were also individually significantly associated with 30-day mortality (</w:t>
      </w:r>
      <w:r w:rsidR="0098795C" w:rsidRPr="00EE2463">
        <w:rPr>
          <w:rFonts w:ascii="Calibri" w:hAnsi="Calibri" w:cs="Arial"/>
        </w:rPr>
        <w:t>Table 4</w:t>
      </w:r>
      <w:r w:rsidRPr="00EE2463">
        <w:rPr>
          <w:rFonts w:ascii="Calibri" w:hAnsi="Calibri" w:cs="Arial"/>
        </w:rPr>
        <w:t xml:space="preserve">). </w:t>
      </w:r>
    </w:p>
    <w:p w14:paraId="0E93B78C" w14:textId="77777777" w:rsidR="006A1273" w:rsidRPr="00EE2463" w:rsidRDefault="006A1273" w:rsidP="005319E4">
      <w:pPr>
        <w:spacing w:after="0" w:line="480" w:lineRule="auto"/>
        <w:rPr>
          <w:rFonts w:ascii="Calibri" w:hAnsi="Calibri" w:cs="Arial"/>
          <w:b/>
          <w:i/>
        </w:rPr>
      </w:pPr>
      <w:r w:rsidRPr="00EE2463">
        <w:rPr>
          <w:rFonts w:ascii="Calibri" w:hAnsi="Calibri" w:cs="Arial"/>
          <w:b/>
          <w:i/>
        </w:rPr>
        <w:t>Multivariable Analysis</w:t>
      </w:r>
    </w:p>
    <w:p w14:paraId="4E988A04" w14:textId="2FB9D904" w:rsidR="004D1194" w:rsidRPr="00EE2463" w:rsidRDefault="006A1273" w:rsidP="005319E4">
      <w:pPr>
        <w:spacing w:after="0" w:line="480" w:lineRule="auto"/>
        <w:rPr>
          <w:rFonts w:ascii="Calibri" w:hAnsi="Calibri" w:cs="Arial"/>
        </w:rPr>
      </w:pPr>
      <w:r w:rsidRPr="00EE2463">
        <w:rPr>
          <w:rFonts w:ascii="Calibri" w:hAnsi="Calibri" w:cs="Arial"/>
        </w:rPr>
        <w:t xml:space="preserve">Variables associated with mortality </w:t>
      </w:r>
      <w:r w:rsidR="00F3152A" w:rsidRPr="00EE2463">
        <w:rPr>
          <w:rFonts w:ascii="Calibri" w:hAnsi="Calibri" w:cs="Arial"/>
        </w:rPr>
        <w:t xml:space="preserve">in univariate analyses and </w:t>
      </w:r>
      <w:r w:rsidRPr="00EE2463">
        <w:rPr>
          <w:rFonts w:ascii="Calibri" w:hAnsi="Calibri" w:cs="Arial"/>
        </w:rPr>
        <w:t xml:space="preserve">those selected </w:t>
      </w:r>
      <w:r w:rsidRPr="00EE2463">
        <w:rPr>
          <w:rFonts w:ascii="Calibri" w:hAnsi="Calibri" w:cs="Arial"/>
          <w:i/>
          <w:iCs/>
        </w:rPr>
        <w:t>a priori</w:t>
      </w:r>
      <w:r w:rsidRPr="00EE2463">
        <w:rPr>
          <w:rFonts w:ascii="Calibri" w:hAnsi="Calibri" w:cs="Arial"/>
        </w:rPr>
        <w:t xml:space="preserve"> (age and sex) were included in the logistic regression model</w:t>
      </w:r>
      <w:r w:rsidR="004C48A4" w:rsidRPr="00EE2463">
        <w:rPr>
          <w:rFonts w:ascii="Calibri" w:hAnsi="Calibri" w:cs="Arial"/>
        </w:rPr>
        <w:t>s</w:t>
      </w:r>
      <w:r w:rsidRPr="00EE2463">
        <w:rPr>
          <w:rFonts w:ascii="Calibri" w:hAnsi="Calibri" w:cs="Arial"/>
        </w:rPr>
        <w:t xml:space="preserve">. </w:t>
      </w:r>
      <w:r w:rsidR="00F3152A" w:rsidRPr="00EE2463">
        <w:rPr>
          <w:rFonts w:ascii="Calibri" w:hAnsi="Calibri" w:cs="Arial"/>
        </w:rPr>
        <w:t>Ventilation status was not used due to strong association with unit type (P&lt;0.001)</w:t>
      </w:r>
      <w:r w:rsidRPr="00EE2463">
        <w:rPr>
          <w:rFonts w:ascii="Calibri" w:hAnsi="Calibri" w:cs="Arial"/>
        </w:rPr>
        <w:t xml:space="preserve">. </w:t>
      </w:r>
      <w:r w:rsidR="00E615E3" w:rsidRPr="00EE2463">
        <w:rPr>
          <w:rFonts w:ascii="Calibri" w:hAnsi="Calibri" w:cs="Arial"/>
        </w:rPr>
        <w:t>B</w:t>
      </w:r>
      <w:r w:rsidRPr="00EE2463">
        <w:rPr>
          <w:rFonts w:ascii="Calibri" w:hAnsi="Calibri" w:cs="Arial"/>
        </w:rPr>
        <w:t xml:space="preserve">oth </w:t>
      </w:r>
      <w:r w:rsidRPr="00EE2463">
        <w:rPr>
          <w:rFonts w:ascii="Calibri" w:hAnsi="Calibri" w:cs="Arial"/>
          <w:i/>
        </w:rPr>
        <w:t>a priori</w:t>
      </w:r>
      <w:r w:rsidRPr="00EE2463">
        <w:rPr>
          <w:rFonts w:ascii="Calibri" w:hAnsi="Calibri" w:cs="Arial"/>
        </w:rPr>
        <w:t xml:space="preserve"> and final models are presented (Table 5). All </w:t>
      </w:r>
      <w:r w:rsidR="00D13DD5" w:rsidRPr="00EE2463">
        <w:rPr>
          <w:rFonts w:ascii="Calibri" w:hAnsi="Calibri" w:cs="Arial"/>
        </w:rPr>
        <w:t xml:space="preserve">adjusted </w:t>
      </w:r>
      <w:r w:rsidRPr="00EE2463">
        <w:rPr>
          <w:rFonts w:ascii="Calibri" w:hAnsi="Calibri" w:cs="Arial"/>
        </w:rPr>
        <w:t>models had a similar magnitude of association</w:t>
      </w:r>
      <w:r w:rsidR="00E615E3" w:rsidRPr="00EE2463">
        <w:rPr>
          <w:rFonts w:ascii="Calibri" w:hAnsi="Calibri" w:cs="Arial"/>
        </w:rPr>
        <w:t xml:space="preserve">: </w:t>
      </w:r>
      <w:r w:rsidRPr="00EE2463">
        <w:rPr>
          <w:rFonts w:ascii="Calibri" w:hAnsi="Calibri" w:cs="Arial"/>
        </w:rPr>
        <w:t xml:space="preserve">the highest association between discordance and death </w:t>
      </w:r>
      <w:r w:rsidR="00E615E3" w:rsidRPr="00EE2463">
        <w:rPr>
          <w:rFonts w:ascii="Calibri" w:hAnsi="Calibri" w:cs="Arial"/>
        </w:rPr>
        <w:t>occurred</w:t>
      </w:r>
      <w:r w:rsidRPr="00EE2463">
        <w:rPr>
          <w:rFonts w:ascii="Calibri" w:hAnsi="Calibri" w:cs="Arial"/>
        </w:rPr>
        <w:t xml:space="preserve"> in the overall cohor</w:t>
      </w:r>
      <w:r w:rsidR="00D13DD5" w:rsidRPr="00EE2463">
        <w:rPr>
          <w:rFonts w:ascii="Calibri" w:hAnsi="Calibri" w:cs="Arial"/>
        </w:rPr>
        <w:t xml:space="preserve">t </w:t>
      </w:r>
      <w:r w:rsidR="00E615E3" w:rsidRPr="00EE2463">
        <w:rPr>
          <w:rFonts w:ascii="Calibri" w:hAnsi="Calibri" w:cs="Arial"/>
        </w:rPr>
        <w:t>(OR=3.1</w:t>
      </w:r>
      <w:r w:rsidR="004C48A4" w:rsidRPr="00EE2463">
        <w:rPr>
          <w:rFonts w:ascii="Calibri" w:hAnsi="Calibri" w:cs="Arial"/>
        </w:rPr>
        <w:t xml:space="preserve">, p=0.010) </w:t>
      </w:r>
      <w:r w:rsidR="00D13DD5" w:rsidRPr="00EE2463">
        <w:rPr>
          <w:rFonts w:ascii="Calibri" w:hAnsi="Calibri" w:cs="Arial"/>
        </w:rPr>
        <w:t>and lowest occurring</w:t>
      </w:r>
      <w:r w:rsidRPr="00EE2463">
        <w:rPr>
          <w:rFonts w:ascii="Calibri" w:hAnsi="Calibri" w:cs="Arial"/>
        </w:rPr>
        <w:t xml:space="preserve"> </w:t>
      </w:r>
      <w:r w:rsidR="00D13DD5" w:rsidRPr="00EE2463">
        <w:rPr>
          <w:rFonts w:ascii="Calibri" w:hAnsi="Calibri" w:cs="Arial"/>
        </w:rPr>
        <w:t>in the first</w:t>
      </w:r>
      <w:r w:rsidR="00F04246" w:rsidRPr="00EE2463">
        <w:rPr>
          <w:rFonts w:ascii="Calibri" w:hAnsi="Calibri" w:cs="Arial"/>
        </w:rPr>
        <w:t xml:space="preserve"> empiric group </w:t>
      </w:r>
      <w:r w:rsidR="004C48A4" w:rsidRPr="00EE2463">
        <w:rPr>
          <w:rFonts w:ascii="Calibri" w:hAnsi="Calibri" w:cs="Arial"/>
        </w:rPr>
        <w:t xml:space="preserve">(OR=2.5, p=0.023) </w:t>
      </w:r>
      <w:r w:rsidR="00F04246" w:rsidRPr="00EE2463">
        <w:rPr>
          <w:rFonts w:ascii="Calibri" w:hAnsi="Calibri" w:cs="Arial"/>
        </w:rPr>
        <w:t>when</w:t>
      </w:r>
      <w:r w:rsidRPr="00EE2463">
        <w:rPr>
          <w:rFonts w:ascii="Calibri" w:hAnsi="Calibri" w:cs="Arial"/>
        </w:rPr>
        <w:t xml:space="preserve"> including patients not receiving any antibiotics in the first day after blood culture</w:t>
      </w:r>
      <w:r w:rsidR="00F04246" w:rsidRPr="00EE2463">
        <w:rPr>
          <w:rFonts w:ascii="Calibri" w:hAnsi="Calibri" w:cs="Arial"/>
        </w:rPr>
        <w:t xml:space="preserve"> </w:t>
      </w:r>
      <w:r w:rsidR="00D13DD5" w:rsidRPr="00EE2463">
        <w:rPr>
          <w:rFonts w:ascii="Calibri" w:hAnsi="Calibri" w:cs="Arial"/>
        </w:rPr>
        <w:t xml:space="preserve">(Table 5). </w:t>
      </w:r>
      <w:r w:rsidRPr="00EE2463">
        <w:rPr>
          <w:rFonts w:ascii="Calibri" w:hAnsi="Calibri" w:cs="Arial"/>
        </w:rPr>
        <w:t xml:space="preserve"> </w:t>
      </w:r>
    </w:p>
    <w:p w14:paraId="61920733" w14:textId="77777777" w:rsidR="006A1273" w:rsidRPr="00EE2463" w:rsidRDefault="006A1273" w:rsidP="005319E4">
      <w:pPr>
        <w:spacing w:after="0" w:line="480" w:lineRule="auto"/>
        <w:rPr>
          <w:rFonts w:ascii="Calibri" w:hAnsi="Calibri" w:cs="Arial"/>
          <w:b/>
        </w:rPr>
      </w:pPr>
      <w:r w:rsidRPr="00EE2463">
        <w:rPr>
          <w:rFonts w:ascii="Calibri" w:hAnsi="Calibri" w:cs="Arial"/>
          <w:b/>
        </w:rPr>
        <w:t>Discussion</w:t>
      </w:r>
    </w:p>
    <w:p w14:paraId="3A2B1D13" w14:textId="55BD40F0" w:rsidR="006A1273" w:rsidRPr="00EE2463" w:rsidRDefault="006A1273" w:rsidP="459D99C6">
      <w:pPr>
        <w:spacing w:after="0" w:line="480" w:lineRule="auto"/>
        <w:rPr>
          <w:rFonts w:ascii="Calibri" w:hAnsi="Calibri" w:cs="Arial"/>
        </w:rPr>
      </w:pPr>
      <w:r w:rsidRPr="00EE2463">
        <w:rPr>
          <w:rFonts w:ascii="Calibri" w:hAnsi="Calibri" w:cs="Arial"/>
        </w:rPr>
        <w:t>We found a three-fold increase in the odds of 30-day all-cause mortality associated with discordant empiric antibiotic therapy even after adjusting for other mortality risk factors, suggesting that</w:t>
      </w:r>
      <w:r w:rsidR="62810B07" w:rsidRPr="00EE2463">
        <w:rPr>
          <w:rFonts w:ascii="Calibri" w:hAnsi="Calibri" w:cs="Arial"/>
        </w:rPr>
        <w:t xml:space="preserve"> early</w:t>
      </w:r>
      <w:r w:rsidRPr="00EE2463">
        <w:rPr>
          <w:rFonts w:ascii="Calibri" w:hAnsi="Calibri" w:cs="Arial"/>
        </w:rPr>
        <w:t xml:space="preserve"> </w:t>
      </w:r>
      <w:r w:rsidRPr="00EE2463">
        <w:rPr>
          <w:rFonts w:ascii="Calibri" w:hAnsi="Calibri" w:cs="Arial"/>
        </w:rPr>
        <w:lastRenderedPageBreak/>
        <w:t xml:space="preserve">receipt of concordant empiric antibiotics </w:t>
      </w:r>
      <w:r w:rsidR="16B40661" w:rsidRPr="00EE2463">
        <w:rPr>
          <w:rFonts w:ascii="Calibri" w:hAnsi="Calibri" w:cs="Arial"/>
        </w:rPr>
        <w:t>may contribute to improving</w:t>
      </w:r>
      <w:r w:rsidRPr="00EE2463">
        <w:rPr>
          <w:rFonts w:ascii="Calibri" w:hAnsi="Calibri" w:cs="Arial"/>
        </w:rPr>
        <w:t xml:space="preserve"> clinical outcomes. When considering just empiric antibiotics in the first day after blood culture the association persisted and was stronger when excluding patients who did not start treatment until the second day post blood culture. </w:t>
      </w:r>
      <w:r w:rsidR="00A71249" w:rsidRPr="00EE2463">
        <w:rPr>
          <w:rFonts w:ascii="Calibri" w:hAnsi="Calibri" w:cs="Arial"/>
        </w:rPr>
        <w:t xml:space="preserve">This stronger association </w:t>
      </w:r>
      <w:r w:rsidR="00A71249" w:rsidRPr="00EE2463">
        <w:rPr>
          <w:rFonts w:ascii="Calibri" w:hAnsi="Calibri" w:cs="Arial"/>
        </w:rPr>
        <w:t>suggests that there may have been a clinical reason these patients were not started on treatment (e.g. delayed until further deterioration or further results were received). These patients were predominantly children without comorbidities being treated for CAI in a non-ICU setting and only accounted for 2/35 deaths.</w:t>
      </w:r>
      <w:r w:rsidR="00A71249" w:rsidRPr="00EE2463">
        <w:rPr>
          <w:rFonts w:ascii="Calibri" w:hAnsi="Calibri" w:cs="Arial"/>
        </w:rPr>
        <w:t xml:space="preserve"> </w:t>
      </w:r>
      <w:r w:rsidR="00A71249" w:rsidRPr="00EE2463">
        <w:rPr>
          <w:rFonts w:ascii="Calibri" w:hAnsi="Calibri" w:cs="Arial"/>
        </w:rPr>
        <w:t xml:space="preserve">While our study did not include data on severity of illness this difference in association in first empiric antibiotics suggests that receipt of concordant early antibiotics has a greater impact for some patients, potentially those presenting with critical illness. </w:t>
      </w:r>
      <w:r w:rsidRPr="00EE2463">
        <w:rPr>
          <w:rFonts w:ascii="Calibri" w:hAnsi="Calibri" w:cs="Arial"/>
        </w:rPr>
        <w:t xml:space="preserve">The decrease in the proportion of patients receiving discordant treatment from the first to the second day of treatment suggests that several patients had treatment started or changed to a concordant regimen between one and two days after blood culture, potentially influenced by clinical factors in the absence of microbiological results. </w:t>
      </w:r>
    </w:p>
    <w:p w14:paraId="23072ACF" w14:textId="58BF9ECA" w:rsidR="006A1273" w:rsidRPr="00EE2463" w:rsidRDefault="006A1273" w:rsidP="005319E4">
      <w:pPr>
        <w:spacing w:after="0" w:line="480" w:lineRule="auto"/>
        <w:rPr>
          <w:rFonts w:ascii="Calibri" w:hAnsi="Calibri" w:cs="Arial"/>
        </w:rPr>
      </w:pPr>
      <w:r w:rsidRPr="00EE2463">
        <w:rPr>
          <w:rFonts w:ascii="Calibri" w:hAnsi="Calibri" w:cs="Arial"/>
        </w:rPr>
        <w:t xml:space="preserve">While previous adult studies show discordant antimicrobial therapy is associated with poorer outcomes, </w:t>
      </w:r>
      <w:r w:rsidRPr="00EE2463">
        <w:rPr>
          <w:rFonts w:ascii="Calibri" w:hAnsi="Calibri" w:cs="Arial"/>
        </w:rPr>
        <w:fldChar w:fldCharType="begin" w:fldLock="1"/>
      </w:r>
      <w:r w:rsidR="005C43BF" w:rsidRPr="00EE2463">
        <w:rPr>
          <w:rFonts w:ascii="Calibri" w:hAnsi="Calibri" w:cs="Arial"/>
        </w:rPr>
        <w:instrText xml:space="preserve">ADDIN CSL_CITATION {"citationItems":[{"id":"ITEM-1","itemData":{"DOI":"10.1128/AAC.00627-10","ISSN":"0066-4804","PMID":"20733044","abstract":"Quantifying the benefit of early antibiotic treatment is crucial for decision making and can be assessed only in observational studies. We performed a systematic review of prospective studies reporting the effect of appropriate empirical antibiotic treatment on all-cause mortality among adult inpatients with sepsis. Two reviewers independently extracted data. Risk of bias was assessed using the Newcastle-Ottawa score. We calculated unadjusted odds ratios (ORs) with 95% confidence intervals for each study and extracted adjusted ORs, with variance, methods, and covariates being used for adjustment. ORs were pooled using random-effects meta-analysis. We examined the effects of methodological and clinical confounders on results through subgroup analysis or mixed-effect meta-regression. Seventy studies were included, of which 48 provided an adjusted OR for inappropriate empirical antibiotic treatment. Inappropriate empirical antibiotic treatment was associated with significantly higher mortality in the unadjusted and adjusted comparisons, with considerable heterogeneity occurring in both analyses ( I 2 &gt; 70%). Study design, time of mortality assessment, the reporting methods of the multivariable models, and the covariates used for adjustment were significantly associated with effect size. Septic shock was the only clinical variable significantly affecting results (it was associated with higher ORs). Studies adjusting for background conditions and sepsis severity reported a pooled adjusted OR of 1.60 (95% confidence interval = 1.37 to 1.86; 26 studies; number needed to treat to prevent one fatal outcome, 10 patients [95% confidence interval = 8 to 15]; I 2 = 46.3%) given 34% mortality with inappropriate empirical treatment. Appropriate empirical antibiotic treatment is associated with a significant reduction in all-cause mortality. However, the methods used in the observational studies significantly affect the effect size reported. Methods of observational studies assessing the effects of antibiotic treatment should be improved and standardized.","author":[{"dropping-particle":"","family":"Paul","given":"Mical","non-dropping-particle":"","parse-names":false,"suffix":""},{"dropping-particle":"","family":"Shani","given":"Vered","non-dropping-particle":"","parse-names":false,"suffix":""},{"dropping-particle":"","family":"Muchtar","given":"Eli","non-dropping-particle":"","parse-names":false,"suffix":""},{"dropping-particle":"","family":"Kariv","given":"Galia","non-dropping-particle":"","parse-names":false,"suffix":""},{"dropping-particle":"","family":"Robenshtok","given":"Eyal","non-dropping-particle":"","parse-names":false,"suffix":""},{"dropping-particle":"","family":"Leibovici","given":"Leonard","non-dropping-particle":"","parse-names":false,"suffix":""}],"container-title":"Antimicrobial Agents and Chemotherapy","id":"ITEM-1","issue":"11","issued":{"date-parts":[["2010","11","1"]]},"page":"4851-4863","publisher":"American Society for Microbiology Journals","title":"Systematic Review and Meta-Analysis of the Efficacy of Appropriate Empiric Antibiotic Therapy for Sepsis","type":"article-journal","volume":"54"},"uris":["http://www.mendeley.com/documents/?uuid=62b5a39d-b0a1-3244-995b-c797a21f7806"]},{"id":"ITEM-2","itemData":{"DOI":"10.1128/AAC.00338-07","ISSN":"0066-4804","PMID":"17646415","abstract":"Although a growing number of studies have found a relationship between delayed appropriate antibiotic therapy and mortality, few have attempted to quantify the temporal association between delayed appropriate antibiotic therapy and mortality. This study was designed to measure the elapsed time associated with an increased risk of 30-day mortality among patients with Pseudomonas aeruginosa bacteremia. The retrospective cohort study was conducted among immunocompetent, adult patients with P. aeruginosa bacteremia onset at least 2 days after hospital admission between 1 January 2001 and 30 September 2006. Classification and regression tree analysis (CART) was used to identify the delay in appropriate antibiotic therapy that was associated with an increased risk of 30-day mortality. During the study period, 100 patients met the inclusion criteria. The CART-derived breakpoint between early and delayed treatment was 52 h. The delayed treatment group experienced a &gt;2-fold significant increase in 30-day mortality compared to the early treatment group (44 and 19%, respectively, P = 0.008). Delayed appropriate therapy of &gt;52 h (odds ratio [OR] = 4.1; 95% confidence interval [CI] 1.2 to 13.9, P = 0.03) was independently associated with 30-day mortality in the multivariate analysis. Antibiotic resistance &gt; or =3 classes (adjusted OR [AOR] = 4.6; 95% CI = 1.9 to 11.2, P = 0.001) and chronic obstructive pulmonary disease (AOR = 5.4; 95% CI = 1.5 to 19.7, P = 0.01) were independently associated with delayed appropriate therapy of &gt;52 h. The data strongly suggest that delaying appropriate therapy for approximately 2 days significantly increases the risk of 30-day mortality in patients with P. aeruginosa bloodstream infections.","author":[{"dropping-particle":"","family":"Lodise","given":"T. P.","non-dropping-particle":"","parse-names":false,"suffix":""},{"dropping-particle":"","family":"Patel","given":"N.","non-dropping-particle":"","parse-names":false,"suffix":""},{"dropping-particle":"","family":"Kwa","given":"A.","non-dropping-particle":"","parse-names":false,"suffix":""},{"dropping-particle":"","family":"Graves","given":"J.","non-dropping-particle":"","parse-names":false,"suffix":""},{"dropping-particle":"","family":"Furuno","given":"J. P.","non-dropping-particle":"","parse-names":false,"suffix":""},{"dropping-particle":"","family":"Graffunder","given":"E.","non-dropping-particle":"","parse-names":false,"suffix":""},{"dropping-particle":"","family":"Lomaestro","given":"B.","non-dropping-particle":"","parse-names":false,"suffix":""},{"dropping-particle":"","family":"McGregor","given":"J. C.","non-dropping-particle":"","parse-names":false,"suffix":""}],"container-title":"Antimicrobial Agents and Chemotherapy","id":"ITEM-2","issue":"10","issued":{"date-parts":[["2007","10","1"]]},"page":"3510-3515","title":"Predictors of 30-Day Mortality among Patients with Pseudomonas aeruginosa Bloodstream Infections: Impact of Delayed Appropriate Antibiotic Selection","type":"article-journal","volume":"51"},"uris":["http://www.mendeley.com/documents/?uuid=539cbef4-8d9b-32b6-94cf-05bbd4125469"]},{"id":"ITEM-3","itemData":{"DOI":"10.1016/j.jcrc.2007.08.007","ISSN":"08839441","PMID":"18359426","abstract":"OBJECTIVES Studies have found that initial treatment of ventilator-associated pneumonia (VAP) and blood stream infections (BSI) with inappropriate antimicrobial therapy is associated with higher rates of mortality, but additional studies have failed to confirm this. METHODS Databases were searched to identify studies that met the following criteria: observational trials, patients with VAP or BSI receiving appropriate and inappropriate antimicrobial therapy, and mortality data. We conducted random-effects model meta-analyses, both with and without adjustment. RESULTS Meta-analyses of VAP studies using unadjusted and adjusted data indicated that inappropriate therapy significantly increased patients' odds of mortality (odds ratio [OR], 2.34; 95% confidence interval [CI], 1.51-3.63; P = .0001, I 2 = 28.5% and OR, 3.03; 95% CI, 1.12-8.19; P = .0292, I 2 = 89.2%, respectively). Meta-analyses of BSI studies using unadjusted and adjusted data showed that inappropriate therapy significantly increased patients' odds of mortality (OR, 2.33; 95% CI, 1.96-2.76; P &lt; .0001, I 2 = 48.7% and OR, 2.28; 95% CI, 1.43-3.65; P = .0006, I 2 = 88.2%, respectively). CONCLUSIONS There appears to be an association between initial inappropriate antimicrobial therapy and increased mortality in patients with VAP and BSI.","author":[{"dropping-particle":"","family":"Kuti","given":"Effie L.","non-dropping-particle":"","parse-names":false,"suffix":""},{"dropping-particle":"","family":"Patel","given":"Aarti A.","non-dropping-particle":"","parse-names":false,"suffix":""},{"dropping-particle":"","family":"Coleman","given":"Craig I.","non-dropping-particle":"","parse-names":false,"suffix":""}],"container-title":"Journal of Critical Care","id":"ITEM-3","issue":"1","issued":{"date-parts":[["2008","3"]]},"page":"91-100","title":"Impact of inappropriate antibiotic therapy on mortality in patients with ventilator-associated pneumonia and blood stream infection: A meta-analysis","type":"article-journal","volume":"23"},"uris":["http://www.mendeley.com/documents/?uuid=657c5715-b94e-3d7d-b5fc-1504a0189c24"]},{"id":"ITEM-4","itemData":{"DOI":"10.1016/S1473-3099(18)30792-8","ISSN":"1474-4457","PMID":"31047852","abstract":"BACKGROUND Low-income and middle-income countries (LMICs) are under-represented in reports on the burden of antimicrobial resistance. We aimed to quantify the clinical effect of carbapenem resistance on mortality and length of hospital stay among inpatients in LMICs with a bloodstream infection due to Enterobacteriaceae. METHODS The PANORAMA study was a multinational prospective cohort study at tertiary hospitals in Bangladesh, Colombia, Egypt, Ghana, India, Lebanon, Nepal, Nigeria, Pakistan, and Vietnam, recruiting consecutively diagnosed patients with carbapenem-susceptible Enterobacteriaceae (CSE) and carbapenem-resistant Entero-bacteriaceae (CRE) bloodstream infections. We excluded patients who had previously been enrolled in the study and those not treated with curative intent at the time of bloodstream infection onset. There were no age restrictions. Central laboratories in India and the UK did confirmatory testing and molecular characterisation, including strain typing. We applied proportional subdistribution hazard models with inverse probability weighting to estimate the effect of carbapenem resistance on probability of discharge alive and in-hospital death, and multistate modelling for excess length of stay in hospital. All patients were included in the analysis. FINDINGS Between Aug 1, 2014, and June 30, 2015, we recruited 297 patients from 16 sites in ten countries: 174 with CSE bloodstream infection and 123 with CRE bloodstream infection. Median age was 46 years (IQR 15-61). Crude mortality was 20% (35 of 174 patients) for patients with CSE bloodstream infection and 35% (43 of 123 patients) for patients with CRE bloodstream infection. Carbapenem resistance was associated with an increased length of hospital stay (3·7 days, 95% CI 0·3-6·9), increased probability of in-hospital mortality (adjusted subdistribution hazard ratio 1·75, 95% CI 1·04-2·94), and decreased probability of discharge alive (0·61, 0·45-0·83). Multilocus sequence typing showed various clades, with marginal overlap between strains in the CRE and CSE clades. INTERPRETATION Carbapenem resistance is associated with increased length of hospital stay and mortality in patients with bloodstream infections in LMICs. These data will inform global estimates of the burden of antimicrobial resistance and reinforce the need for better strategies to prevent, diagnose, and treat CRE infections in LMICs. FUNDING bioMérieux.","author":[{"dropping-particle":"","family":"Stewardson","given":"Andrew J","non-dropping-particle":"","parse-names":false,"suffix":""},{"dropping-particle":"","family":"Marimuthu","given":"Kalisvar","non-dropping-particle":"","parse-names":false,"suffix":""},{"dropping-particle":"","family":"Sengupta","given":"Sharmila","non-dropping-particle":"","parse-names":false,"suffix":""},{"dropping-particle":"","family":"Allignol","given":"Arthur","non-dropping-particle":"","parse-names":false,"suffix":""},{"dropping-particle":"","family":"El-Bouseary","given":"Maisra","non-dropping-particle":"","parse-names":false,"suffix":""},{"dropping-particle":"","family":"Carvalho","given":"Maria J","non-dropping-particle":"","parse-names":false,"suffix":""},{"dropping-particle":"","family":"Hassan","given":"Brekhna","non-dropping-particle":"","parse-names":false,"suffix":""},{"dropping-particle":"","family":"Delgado-Ramirez","given":"Monica A","non-dropping-particle":"","parse-names":false,"suffix":""},{"dropping-particle":"","family":"Arora","given":"Anita","non-dropping-particle":"","parse-names":false,"suffix":""},{"dropping-particle":"","family":"Bagga","given":"Ruchika","non-dropping-particle":"","parse-names":false,"suffix":""},{"dropping-particle":"","family":"Owusu-Ofori","given":"Alex K","non-dropping-particle":"","parse-names":false,"suffix":""},{"dropping-particle":"","family":"Ovosi","given":"Joseph O","non-dropping-particle":"","parse-names":false,"suffix":""},{"dropping-particle":"","family":"Aliyu","given":"Shamsudin","non-dropping-particle":"","parse-names":false,"suffix":""},{"dropping-particle":"","family":"Saad","given":"Hala","non-dropping-particle":"","parse-names":false,"suffix":""},{"dropping-particle":"","family":"Kanj","given":"Souha S","non-dropping-particle":"","parse-names":false,"suffix":""},{"dropping-particle":"","family":"Khanal","given":"Basudha","non-dropping-particle":"","parse-names":false,"suffix":""},{"dropping-particle":"","family":"Bhattarai","given":"Balkrishna","non-dropping-particle":"","parse-names":false,"suffix":""},{"dropping-particle":"","family":"Saha","given":"Samir K","non-dropping-particle":"","parse-names":false,"suffix":""},{"dropping-particle":"","family":"Uddin","given":"Jamal","non-dropping-particle":"","parse-names":false,"suffix":""},{"dropping-particle":"","family":"Barman","given":"Purabi","non-dropping-particle":"","parse-names":false,"suffix":""},{"dropping-particle":"","family":"Sharma","given":"Latika","non-dropping-particle":"","parse-names":false,"suffix":""},{"dropping-particle":"","family":"El-Banna","given":"Tarek","non-dropping-particle":"","parse-names":false,"suffix":""},{"dropping-particle":"","family":"Zahra","given":"Rabaab","non-dropping-particle":"","parse-names":false,"suffix":""},{"dropping-particle":"","family":"Saleemi","given":"Mansab Ali","non-dropping-particle":"","parse-names":false,"suffix":""},{"dropping-particle":"","family":"Kaur","given":"Amarjeet","non-dropping-particle":"","parse-names":false,"suffix":""},{"dropping-particle":"","family":"Iregbu","given":"Kenneth","non-dropping-particle":"","parse-names":false,"suffix":""},{"dropping-particle":"","family":"Uwaezuoke","given":"Nkolika Sc","non-dropping-particle":"","parse-names":false,"suffix":""},{"dropping-particle":"","family":"Abi Hanna","given":"Pierre","non-dropping-particle":"","parse-names":false,"suffix":""},{"dropping-particle":"","family":"Feghali","given":"Rita","non-dropping-particle":"","parse-names":false,"suffix":""},{"dropping-particle":"","family":"Correa","given":"Ana L","non-dropping-particle":"","parse-names":false,"suffix":""},{"dropping-particle":"","family":"Munera","given":"Maria I","non-dropping-particle":"","parse-names":false,"suffix":""},{"dropping-particle":"","family":"Le","given":"Thi Anh Thu","non-dropping-particle":"","parse-names":false,"suffix":""},{"dropping-particle":"","family":"Tran","given":"Thi Thanh Nga","non-dropping-particle":"","parse-names":false,"suffix":""},{"dropping-particle":"","family":"Phukan","given":"Chimanjita","non-dropping-particle":"","parse-names":false,"suffix":""},{"dropping-particle":"","family":"Phukan","given":"Chiranjita","non-dropping-particle":"","parse-names":false,"suffix":""},{"dropping-particle":"","family":"Valderrama-Beltrán","given":"Sandra L","non-dropping-particle":"","parse-names":false,"suffix":""},{"dropping-particle":"","family":"Alvarez-Moreno","given":"Carlos","non-dropping-particle":"","parse-names":false,"suffix":""},{"dropping-particle":"","family":"Walsh","given":"Timothy R","non-dropping-particle":"","parse-names":false,"suffix":""},{"dropping-particle":"","family":"Harbarth","given":"Stephan","non-dropping-particle":"","parse-names":false,"suffix":""}],"container-title":"The Lancet. Infectious diseases","id":"ITEM-4","issue":"6","issued":{"date-parts":[["2019","6","1"]]},"page":"601-610","publisher":"Elsevier","title":"Effect of carbapenem resistance on outcomes of bloodstream infection caused by Enterobacteriaceae in low-income and middle-income countries (PANORAMA): a multinational prospective cohort study.","type":"article-journal","volume":"19"},"uris":["http://www.mendeley.com/documents/?uuid=7b4707d6-bee7-315c-a07a-d604f692f246"]},{"id":"ITEM-5","itemData":{"DOI":"10.1186/cc7136","ISSN":"1466-609X","PMID":"19216721","abstract":"The impact of antimicrobial resistance on patient outcomes can be effectively measured only if the appropriateness of the antimicrobial therapy received is properly measured. Definition of appropriate therapy should include not only in vitro susceptibility but also the clinical adequacy of the antibiotic used, taking into account the pathogen isolated, the site of infection, known pharmacokinetic and pharmacodynamic properties of the drug, and dosing. In the absence of these data, the effect of delay or absence of appropriate therapy in patients infected with resistant bacterial pathogens is subject to confounding, and the true effect of resistance on outcomes may be obscured.","author":[{"dropping-particle":"","family":"Schwaber","given":"Mitchell J","non-dropping-particle":"","parse-names":false,"suffix":""},{"dropping-particle":"","family":"Carmeli","given":"Yehuda","non-dropping-particle":"","parse-names":false,"suffix":""}],"container-title":"Critical care (London, England)","id":"ITEM-5","issue":"1","issued":{"date-parts":[["2009"]]},"page":"106","publisher":"BioMed Central","title":"The effect of antimicrobial resistance on patient outcomes: importance of proper evaluation of appropriate therapy.","type":"article-journal","volume":"13"},"uris":["http://www.mendeley.com/documents/?uuid=938d6e41-0076-34fa-841d-258000ba914c"]},{"id":"ITEM-6","itemData":{"DOI":"10.1093/jac/dkm318","ISSN":"0305-7453","PMID":"17848376","abstract":"OBJECTIVES We performed a systematic review and meta-analysis to examine the impact of extended-spectrum beta-lactamase (ESBL) production on mortality and delay in effective therapy in Enterobacteriaceae bacteraemia. METHODS We searched the PubMed database using the terms 'bacteremia or bloodstream' and 'ESBL or extended-spectrum beta-lactamase'. Included studies contained numbers of and mortality figures for patients with bacteraemia caused by ESBL producers and non-producers. Data extracted included crude relative risk (RR), adjusted odds ratio and 95% confidence intervals (CIs) for mortality and delayed effective therapy. Results were pooled using a random effects model. RESULTS Sixteen studies met inclusion criteria. Meta-analysis of crude RRs demonstrated significantly increased mortality in ESBL-associated bacteraemia (pooled RR 1.85, 95% CI 1.39-2.47, P &lt; 0.001). However, only one study reported RR controlled for confounding. Ten studies reported comparative data on delay in effective therapy. Meta-analysis of crude RRs demonstrated significantly increased incidence of delay in effective therapy in ESBL-associated bacteraemia (pooled RR 5.56, 95% CI 2.94-10.51, P &lt; 0.001). CONCLUSIONS In Enterobacteriaceae bacteraemia, ESBL production is associated with increased mortality and delay in effective therapy. However, lack of controlled studies limits interpretation regarding causality, and further controlled studies are required.","author":[{"dropping-particle":"","family":"Schwaber","given":"M. J.","non-dropping-particle":"","parse-names":false,"suffix":""},{"dropping-particle":"","family":"Carmeli","given":"Y.","non-dropping-particle":"","parse-names":false,"suffix":""}],"container-title":"Journal of Antimicrobial Chemotherapy","id":"ITEM-6","issue":"5","issued":{"date-parts":[["2007","9","17"]]},"page":"913-920","title":"Mortality and delay in effective therapy associated with extended-spectrum  -lactamase production in Enterobacteriaceae bacteraemia: a systematic review and meta-analysis","type":"article-journal","volume":"60"},"uris":["http://www.mendeley.com/documents/?uuid=27466297-b8dc-307f-9a48-b9a7d773496f"]},{"id":"ITEM-7","itemData":{"DOI":"10.1001/archinte.165.12.1375","ISSN":"0003-9926","abstract":"&lt;h3&gt;Background&lt;/h3&gt;&lt;p&gt;Infections due to extended-spectrum β-lactamase–producing&lt;i&gt;Escherichia coli&lt;/i&gt;and&lt;i&gt;Klebsiella&lt;/i&gt;species (ESBL-EK) have increased markedly in recent years. Risk factors for mortality among ESBL-EK infections have not been studied.&lt;/p&gt;&lt;h3&gt;Methods&lt;/h3&gt;&lt;p&gt;This retrospective cohort study was conducted in a 625-bed tertiary care medical center and a 344-bed urban community hospital to determine whether inadequate initial antimicrobial therapy (IIAT) (&amp;gt;48 hours between the time a culture was obtained and initiation of an agent to which the infecting organism was susceptible) is associated with mortality in ESBL-EK infections. All hospitalized patients with an ESBL-EK infection between June 1, 1997, and December 31, 2002, were eligible for inclusion. Subsequently, we conducted a nested case-control study to identify risk factors for IIAT.&lt;/p&gt;&lt;h3&gt;Results&lt;/h3&gt;&lt;p&gt;Of 187 subjects, 32 (17.1%) died while in the hospital. Clinical site of infection was a significant effect modifier in the association between IIAT and mortality. The presence of IIAT was an independent risk factor for mortality, but only for nonurinary ESBL-EK infections (adjusted odds ratio [95% confidence interval], 10.04 [1.90-52.96]). Independent risk factors for IIAT were (1) infection with a multidrug-resistant ESBL-EK (ie, resistant to sulfamethoxazole-trimethoprim, aminoglycosides, and quinolones) (14.58 [1.91-111.36]) and (2) health care–acquired ESBL-EK infection (4.32 [1.49-12.54]).&lt;/p&gt;&lt;h3&gt;Conclusions&lt;/h3&gt;&lt;p&gt;Inadequate initial antimicrobial therapy is an independent risk factor for mortality in ESBL-EK infections, but only among nonurinary infections. Multidrug resistance was a strong risk factor for IIAT.&lt;/p&gt;","author":[{"dropping-particle":"","family":"Hyle","given":"Emily P.","non-dropping-particle":"","parse-names":false,"suffix":""},{"dropping-particle":"","family":"Lipworth","given":"Adam D.","non-dropping-particle":"","parse-names":false,"suffix":""},{"dropping-particle":"","family":"Zaoutis","given":"Theoklis E.","non-dropping-particle":"","parse-names":false,"suffix":""},{"dropping-particle":"","family":"Nachamkin","given":"Irving","non-dropping-particle":"","parse-names":false,"suffix":""},{"dropping-particle":"","family":"Bilker","given":"Warren B.","non-dropping-particle":"","parse-names":false,"suffix":""},{"dropping-particle":"","family":"Lautenbach","given":"Ebbing","non-dropping-particle":"","parse-names":false,"suffix":""}],"container-title":"Archives of Internal Medicine","id":"ITEM-7","issue":"12","issued":{"date-parts":[["2005","6","27"]]},"page":"1375","publisher":"American Medical Association","title":"Impact of Inadequate Initial Antimicrobial Therapy on Mortality in Infections Due to Extended-Spectrum β-Lactamase–Producing Enterobacteriaceae","type":"article-journal","volume":"165"},"uris":["http://www.mendeley.com/documents/?uuid=aad4e045-71e8-3357-bfda-d46382d6ddab"]},{"id":"ITEM-8","itemData":{"DOI":"10.1016/j.amjms.2018.11.009","ISSN":"15382990","abstract":"Background: To examine the clinical and economic burdens associated with delayed receipt of appropriate therapy among patients with Gram-negative bacteria (GNB) infections, stratified by antibiotic resistance status. Materials and Methods: Retrospective analysis using the Premier Hospital Database. Adult admissions (July 2011-September 2014) with evidence of complicated urinary tract infection, complicated intra-abdominal infection, hospital-associated pneumonia, or bloodstream infection, length of stay (LOS) ≥1 days and a positive GNB culture from a site consistent with infection type (culture draw date = index date) were identified and stratified by antibiotic susceptibility to index pathogens. Delayed appropriate therapy was defined as no receipt of antibiotic(s) with relevant microbiological activity on or within 2 days of index date. Inverse probability weighting and multivariate regression analyses were used to estimate the association between delayed appropriate therapy and outcomes. Generalized linear models were used to evaluate postindex duration of antibiotic therapy, LOS and total in-hospital costs. Logistic models were used to evaluate discharge destination and in-hospital mortality/discharge to hospice. Results: A total of 56,357 patients with GNB infections were identified (resistant, n = 6,055; susceptible, n = 50,302). Delayed appropriate therapy was received by 2,800 (46.2%) patients with resistant and 16,585 (33.0%) patients with susceptible infections. Using multivariate analysis, delayed appropriate therapy was associated with worse outcomes including </w:instrText>
      </w:r>
      <w:r w:rsidR="005C43BF" w:rsidRPr="00EE2463">
        <w:rPr>
          <w:rFonts w:ascii="Cambria Math" w:hAnsi="Cambria Math" w:cs="Cambria Math"/>
        </w:rPr>
        <w:instrText>∼</w:instrText>
      </w:r>
      <w:r w:rsidR="005C43BF" w:rsidRPr="00EE2463">
        <w:rPr>
          <w:rFonts w:ascii="Calibri" w:hAnsi="Calibri" w:cs="Arial"/>
        </w:rPr>
        <w:instrText xml:space="preserve">70% increase in LOS, </w:instrText>
      </w:r>
      <w:r w:rsidR="005C43BF" w:rsidRPr="00EE2463">
        <w:rPr>
          <w:rFonts w:ascii="Cambria Math" w:hAnsi="Cambria Math" w:cs="Cambria Math"/>
        </w:rPr>
        <w:instrText>∼</w:instrText>
      </w:r>
      <w:r w:rsidR="005C43BF" w:rsidRPr="00EE2463">
        <w:rPr>
          <w:rFonts w:ascii="Calibri" w:hAnsi="Calibri" w:cs="Arial"/>
        </w:rPr>
        <w:instrText xml:space="preserve">65% increase in total in-hospital costs and </w:instrText>
      </w:r>
      <w:r w:rsidR="005C43BF" w:rsidRPr="00EE2463">
        <w:rPr>
          <w:rFonts w:ascii="Cambria Math" w:hAnsi="Cambria Math" w:cs="Cambria Math"/>
        </w:rPr>
        <w:instrText>∼</w:instrText>
      </w:r>
      <w:r w:rsidR="005C43BF" w:rsidRPr="00EE2463">
        <w:rPr>
          <w:rFonts w:ascii="Calibri" w:hAnsi="Calibri" w:cs="Arial"/>
        </w:rPr>
        <w:instrText>20% increase in the risk of in-hospital mortality/discharge to hospice, regardless of susceptibility status. Conclusions: Our results suggest that outcomes in patients with GNB infections, regardless of resistance status, significantly improve if timely appropriate therapy can be provided.","author":[{"dropping-particle":"","family":"Bonine","given":"Nicole Gidaya","non-dropping-particle":"","parse-names":false,"suffix":""},{"dropping-particle":"","family":"Berger","given":"Ariel","non-dropping-particle":"","parse-names":false,"suffix":""},{"dropping-particle":"","family":"Altincatal","given":"Arman","non-dropping-particle":"","parse-names":false,"suffix":""},{"dropping-particle":"","family":"Wang","given":"Rosa","non-dropping-particle":"","parse-names":false,"suffix":""},{"dropping-particle":"","family":"Bhagnani","given":"Tarun","non-dropping-particle":"","parse-names":false,"suffix":""},{"dropping-particle":"","family":"Gillard","given":"Patrick","non-dropping-particle":"","parse-names":false,"suffix":""},{"dropping-particle":"","family":"Lodise","given":"Thomas","non-dropping-particle":"","parse-names":false,"suffix":""}],"container-title":"American Journal of the Medical Sciences","id":"ITEM-8","issue":"2","issued":{"date-parts":[["2019","2","1"]]},"page":"103-110","publisher":"Elsevier B.V.","title":"Impact of Delayed Appropriate Antibiotic Therapy on Patient Outcomes by Antibiotic Resistance Status From Serious Gram-negative Bacterial Infections","type":"article-journal","volume":"357"},"uris":["http://www.mendeley.com/documents/?uuid=a342a6ec-5552-3051-b716-f0a8cf1e7986"]},{"id":"ITEM-9","itemData":{"DOI":"10.1017/ice.2017.197","ISSN":"0899-823X","abstract":"&lt;div class=\"abstract\" data-abstract-type=\"normal\"&gt;\n                &lt;div class='sec'&gt;\n                   &lt;span class=\"bold\"&gt;BACKGROUND&lt;/span&gt;\n                   &lt;p&gt;Mortality associated with infections caused by carbapenem-resistant &lt;span class='italic'&gt;Enterobacteriaceae&lt;/span&gt; (CRE) is higher than mortality due to carbapenem-sensitive pathogens.&lt;/p&gt;\n                &lt;/div&gt;\n                &lt;div class='sec'&gt;\n                   &lt;span class=\"bold\"&gt;OBJECTIVE&lt;/span&gt;\n                   &lt;p&gt;To examine the association between mortality from bacteremia caused by carbapenem-resistant (CRKP) and carbapenem-sensitive &lt;span class='italic'&gt;Klebsiella pneumoniae&lt;/span&gt; (CSKP) and to assess the impact of appropriate initial antibiotic therapy (IAT) on mortality.&lt;/p&gt;\n                &lt;/div&gt;\n                &lt;div class='sec'&gt;\n                   &lt;span class=\"bold\"&gt;DESIGN&lt;/span&gt;\n                   &lt;p&gt;Systematic review and meta-analysis&lt;/p&gt;\n                &lt;/div&gt;\n                &lt;div class='sec'&gt;\n                   &lt;span class=\"bold\"&gt;METHODS&lt;/span&gt;\n                   &lt;p&gt;We searched MEDLINE, EMBASE, CINAHL, and Wiley Cochrane databases through August 31, 2016, for observational studies reporting mortality among adult patients with CRKP and CSKP bacteremia. Search terms were related to &lt;span class='italic'&gt;Klebsiella&lt;/span&gt;, carbapenem-resistance, and infection. Studies including fewer than 10 patients per group were excluded. A random-effects model and meta-regression were used to assess the relationship between carbapenem-resistance, appropriateness of IAT, and mortality.&lt;/p&gt;\n                &lt;/div&gt;\n                &lt;div class='sec'&gt;\n                   &lt;span class=\"bold\"&gt;RESULTS&lt;/span&gt;\n                   &lt;p&gt;Mortality was higher in patients who had CRKP bacteremia than in patients with CSKP bacteremia (15 studies; 1,019 CRKP and 1,148 CSKP patients; unadjusted odds ratio [OR], 2.2; 95% confidence interval [CI], 1.8–2.6; I&lt;span class='sup'&gt;2&lt;/span&gt;=0). Mortality was lower in patients with appropriate IAT than in those without appropriate IAT (7 studies; 658 patients; unadjusted OR, 0.5; 95% CI, 0.3–0.8; I&lt;span class='sup'&gt;2&lt;/span&gt;=36%). CRKP patients (11 studies; 1,326 patients; 8-year period) were consistently less likely to receive appropriate IAT (unadjusted OR, 0.5; 95% CI, 0.3–0.7; I&lt;span class='sup'&gt;2&lt;/span&gt;=43%). Our meta-regression analysis identified a significant association between the difference in appropriate IAT and mortality (OR per 10% difference in IAT, 1.3; 95% CI,…","author":[{"dropping-particle":"","family":"Kohler","given":"Philipp P.","non-dropping-particle":"","parse-names":false,"suffix":""},{"dropping-particle":"","family":"Volling","given":"Cheryl","non-dropping-particle":"","parse-names":false,"suffix":""},{"dropping-particle":"","family":"Green","given":"Karen","non-dropping-particle":"","parse-names":false,"suffix":""},{"dropping-particle":"","family":"Uleryk","given":"Elizabeth M.","non-dropping-particle":"","parse-names":false,"suffix":""},{"dropping-particle":"","family":"Shah","given":"Prakesh S.","non-dropping-particle":"","parse-names":false,"suffix":""},{"dropping-particle":"","family":"McGeer","given":"Allison","non-dropping-particle":"","parse-names":false,"suffix":""}],"container-title":"Infection Control &amp; Hospital Epidemiology","id":"ITEM-9","issue":"11","issued":{"date-parts":[["2017","11","27"]]},"page":"1319-1328","publisher":"Cambridge University Press","title":"Carbapenem Resistance, Initial Antibiotic Therapy, and Mortality in &lt;i&gt;Klebsiella pneumoniae&lt;/i&gt; Bacteremia: A Systematic Review and Meta-Analysis","type":"article-journal","volume":"38"},"uris":["http://www.mendeley.com/documents/?uuid=dca1369d-cbe3-3689-902d-c9af8bbbeadd"]},{"id":"ITEM-10","itemData":{"DOI":"10.1016/S1473-3099(05)70189-4","ISSN":"1473-3099","abstract":"The global problem of antimicrobial resistance is particularly pressing in developing countries, where the infectious disease burden is high and cost constraints prevent the widespread application of newer, more expensive agents. Gastrointestinal, respiratory, sexually transmitted, and nosocomial infections are leading causes of disease and death in the developing world, and management of all these conditions has been critically compromised by the appearance and rapid spread of resistance. In this first part of the review, we have summarised the present state of resistance in these infections from the available data. Even though surveillance of resistance in many developing countries is suboptimal, the general picture is one of accelerating rates of resistance spurred by antimicrobial misuse and shortfalls in infection control and public health. Reservoirs for resistance may be present in healthy human and animal populations. Considerable economic and health burdens emanate from bacterial resistance, and research is needed to accurately quantify the problem and propose and evaluate practicable solutions. In part II, to be published next month, we will review potential containment strategies that could address this burgeoning problem.","author":[{"dropping-particle":"","family":"Okeke","given":"Iruka N","non-dropping-particle":"","parse-names":false,"suffix":""},{"dropping-particle":"","family":"Laxminarayan","given":"Ramanan","non-dropping-particle":"","parse-names":false,"suffix":""},{"dropping-particle":"","family":"Bhutta","given":"Zulfiqar A","non-dropping-particle":"","parse-names":false,"suffix":""},{"dropping-particle":"","family":"Duse","given":"Adriano G","non-dropping-particle":"","parse-names":false,"suffix":""},{"dropping-particle":"","family":"Jenkins","given":"Philip","non-dropping-particle":"","parse-names":false,"suffix":""},{"dropping-particle":"","family":"O'Brien","given":"Thomas F","non-dropping-particle":"","parse-names":false,"suffix":""},{"dropping-particle":"","family":"Pablos-Mendez","given":"Ariel","non-dropping-particle":"","parse-names":false,"suffix":""},{"dropping-particle":"","family":"Klugman","given":"Keith P","non-dropping-particle":"","parse-names":false,"suffix":""}],"container-title":"The Lancet Infectious Diseases","id":"ITEM-10","issue":"8","issued":{"date-parts":[["2005","8","1"]]},"page":"481-493","publisher":"Elsevier","title":"Antimicrobial resistance in developing countries. Part I: recent trends and current status","type":"article-journal","volume":"5"},"uris":["http://www.mendeley.com/documents/?uuid=3ef522ce-a894-3952-b93c-99a8ca7a8efa"]}],"mendeley":{"formattedCitation":"(1–3,15–21)","plainTextFormattedCitation":"(1–3,15–21)","previouslyFormattedCitation":"(1–3,15–21)"},"properties":{"noteIndex":0},"schema":"https://github.com/citation-style-language/schema/raw/master/csl-citation.json"}</w:instrText>
      </w:r>
      <w:r w:rsidRPr="00EE2463">
        <w:rPr>
          <w:rFonts w:ascii="Calibri" w:hAnsi="Calibri" w:cs="Arial"/>
        </w:rPr>
        <w:fldChar w:fldCharType="separate"/>
      </w:r>
      <w:r w:rsidR="009B2E37" w:rsidRPr="00EE2463">
        <w:rPr>
          <w:rFonts w:ascii="Calibri" w:hAnsi="Calibri" w:cs="Arial"/>
          <w:noProof/>
        </w:rPr>
        <w:t>(1–3,15–21)</w:t>
      </w:r>
      <w:r w:rsidRPr="00EE2463">
        <w:rPr>
          <w:rFonts w:ascii="Calibri" w:hAnsi="Calibri" w:cs="Arial"/>
        </w:rPr>
        <w:fldChar w:fldCharType="end"/>
      </w:r>
      <w:r w:rsidRPr="00EE2463">
        <w:rPr>
          <w:rFonts w:ascii="Calibri" w:hAnsi="Calibri" w:cs="Arial"/>
        </w:rPr>
        <w:t xml:space="preserve"> there are very few studies examining the association between discordant antimicrobial therapy and poor outcomes in neonates and children. A recent neonatal sepsis cohort study in India found higher mortality rates among neonates with multidrug</w:t>
      </w:r>
      <w:r w:rsidR="00F04246" w:rsidRPr="00EE2463">
        <w:rPr>
          <w:rFonts w:ascii="Calibri" w:hAnsi="Calibri" w:cs="Arial"/>
        </w:rPr>
        <w:t>-</w:t>
      </w:r>
      <w:r w:rsidRPr="00EE2463">
        <w:rPr>
          <w:rFonts w:ascii="Calibri" w:hAnsi="Calibri" w:cs="Arial"/>
        </w:rPr>
        <w:t>resistant pathogens than those with sensitive isolates (13.4% vs. 9.4%, respectively).</w:t>
      </w:r>
      <w:r w:rsidRPr="00EE2463">
        <w:rPr>
          <w:rFonts w:ascii="Calibri" w:hAnsi="Calibri" w:cs="Arial"/>
        </w:rPr>
        <w:fldChar w:fldCharType="begin" w:fldLock="1"/>
      </w:r>
      <w:r w:rsidR="005C43BF" w:rsidRPr="00EE2463">
        <w:rPr>
          <w:rFonts w:ascii="Calibri" w:hAnsi="Calibri" w:cs="Arial"/>
        </w:rPr>
        <w:instrText>ADDIN CSL_CITATION {"citationItems":[{"id":"ITEM-1","itemData":{"DOI":"10.1016/S2214-109X(16)30148-6","ISSN":"2214109X","PMID":"27633433","abstract":"BACKGROUND Sepsis is one of the most common causes of neonatal deaths globally. Most sepsis-related deaths occur in low-income and middle-income countries, where the epidemiology of neonatal sepsis remains poorly understood. Most of these countries lack proper surveillance networks, hampering accurate assessment of the burden of sepsis, implementation of preventive measures, and investment in research. We report results of neonates born in hospital from a multicentre collaboration on neonatal sepsis. METHODS In this cohort study, dedicated research teams prospectively followed up neonates born in one of three tertiary care centres in Delhi, India (Vardhaman Mahavir Medical College, Maulana Azad Medical College, and All India Institute of Medical Sciences [coordinating centre]) and subsequently admitted to the intensive care unit. Neonates were followed up daily until discharge or death. On clinical suspicion, neonates underwent sepsis work-up including blood cultures. The isolated organisms were identified and tested for antimicrobial susceptibility. We defined Gram-negative isolates resistant to any three of five antibiotic classes (extended-spectrum cephalosporins, carbapenems, aminoglycosides, fluoroquinolones, and piperacillin-tazobactam) as multidrug resistant. FINDINGS 13 530 neonates of 88 636 livebirths were enrolled between July 18, 2011, and Feb 28, 2014. The incidence of total sepsis was 14·3% (95% CI 13·8-14·9) and of culture-positive sepsis was 6·2% (5·8-6·6). Nearly two-thirds of total episodes occurred at or before 72 h of life (defined as early onset; 1351 [83%] of 1980). Two-thirds (645 [64%]) of 1005 isolates were Gram-negative including, Acinetobacter spp (22%), Klebsiella spp (17%), and Escherichia coli (14%). The pathogen mix in early-onset sepsis did not differ from that of late-onset sepsis (ie, after 72 h). High rates of multidrug resistance were observed in Acinetobacter spp (181/222, 82%), Klebsiella spp (91/169, 54%), and Escherichia coli (52/137, 38%) isolates. Meticillin resistance prevailed in 61% (85/140) of coagulase-negative staphylococci and 38% (43/114) of Staphylococcus aureus isolates. Nearly a quarter of the deaths were attributable to sepsis. The population-attributable risks of mortality were 8·6% in culture-negative sepsis, 15·7% in culture-positive sepsis by multidrug-resistant organisms, and 12·0% in culture-positive sepsis by non-multidrug-resistant organisms. INTERPRETATION The high incidence of sepsis and al…","author":[{"dropping-particle":"","family":"Investigators of the Delhi Neonatal Infection Study (DeNIS) collaboration","given":"","non-dropping-particle":"","parse-names":false,"suffix":""}],"container-title":"The Lancet Global Health","id":"ITEM-1","issue":"10","issued":{"date-parts":[["2016","10"]]},"page":"e752-e760","title":"Characterisation and antimicrobial resistance of sepsis pathogens in neonates born in tertiary care centres in Delhi, India: a cohort study","type":"article-journal","volume":"4"},"uris":["http://www.mendeley.com/documents/?uuid=72f5b665-975a-3c98-b9cc-38917911036c"]}],"mendeley":{"formattedCitation":"(22)","plainTextFormattedCitation":"(22)","previouslyFormattedCitation":"(22)"},"properties":{"noteIndex":0},"schema":"https://github.com/citation-style-language/schema/raw/master/csl-citation.json"}</w:instrText>
      </w:r>
      <w:r w:rsidRPr="00EE2463">
        <w:rPr>
          <w:rFonts w:ascii="Calibri" w:hAnsi="Calibri" w:cs="Arial"/>
        </w:rPr>
        <w:fldChar w:fldCharType="separate"/>
      </w:r>
      <w:r w:rsidR="009B2E37" w:rsidRPr="00EE2463">
        <w:rPr>
          <w:rFonts w:ascii="Calibri" w:hAnsi="Calibri" w:cs="Arial"/>
          <w:noProof/>
        </w:rPr>
        <w:t>(22)</w:t>
      </w:r>
      <w:r w:rsidRPr="00EE2463">
        <w:rPr>
          <w:rFonts w:ascii="Calibri" w:hAnsi="Calibri" w:cs="Arial"/>
        </w:rPr>
        <w:fldChar w:fldCharType="end"/>
      </w:r>
      <w:r w:rsidRPr="00EE2463">
        <w:rPr>
          <w:rFonts w:ascii="Calibri" w:hAnsi="Calibri" w:cs="Arial"/>
        </w:rPr>
        <w:t xml:space="preserve"> A few other studies have shown similar associations between antimicrobial resistance and mortality and other adverse outcomes</w:t>
      </w:r>
      <w:r w:rsidR="0060516E" w:rsidRPr="00EE2463">
        <w:rPr>
          <w:rFonts w:ascii="Calibri" w:hAnsi="Calibri" w:cs="Arial"/>
        </w:rPr>
        <w:t>,</w:t>
      </w:r>
      <w:r w:rsidRPr="00EE2463">
        <w:rPr>
          <w:rFonts w:ascii="Calibri" w:hAnsi="Calibri" w:cs="Arial"/>
        </w:rPr>
        <w:t xml:space="preserve"> </w:t>
      </w:r>
      <w:r w:rsidRPr="00EE2463">
        <w:rPr>
          <w:rFonts w:ascii="Calibri" w:hAnsi="Calibri" w:cs="Arial"/>
        </w:rPr>
        <w:fldChar w:fldCharType="begin" w:fldLock="1"/>
      </w:r>
      <w:r w:rsidR="005C43BF" w:rsidRPr="00EE2463">
        <w:rPr>
          <w:rFonts w:ascii="Calibri" w:hAnsi="Calibri" w:cs="Arial"/>
        </w:rPr>
        <w:instrText>ADDIN CSL_CITATION {"citationItems":[{"id":"ITEM-1","itemData":{"DOI":"10.1371/journal.pone.0215666","ISSN":"1932-6203","PMID":"31067232","abstract":"BACKGROUND Antibiotic resistance (ABR) is an increasing burden for global health. The prevalence of ABR in Southeast Asia is among the highest worldwide, especially in relation to hospital-acquired infections (HAI) in intensive care units (ICU). However, little is known about morbidity and mortality attributable to ABR in neonates. AIM This study aimed to assess mortality and the length of hospitalization attributable to ABR in gram-negative bacteria (GNB) causing HAI in a Vietnamese neonatal ICU (NICU). METHODS We conducted a prospective cohort study (n = 296) in a NICU in Hanoi, Vietnam, from March 2016 to October 2017. Patients isolated with HAI caused by GNB were included. The exposure was resistance to multiple antibiotic classes, the two outcomes were mortality and length of hospital stay (LOS). Data were analysed using two regression models, controlling for confounders and effect modifiers such as co-morbidities, time at risk, severity of illness, sex, age, and birthweight. RESULTS The overall case fatality rate was 44.3% and the 30 days mortality rate after infection was 31.8%. For every additional resistance to an antibiotic class, the odds of a fatal outcome increased by 27% and LOS increased by 2.1 days. These results were statistically significant (p &lt; 0.05). CONCLUSION ABR was identified as a significant risk factor for adverse outcomes in neonates with HAI. These findings are generally in line with previous research in children and adults. However, heterogeneous study designs, the neglect of important confounders and varying definitions of ABR impair the validity, reliability, and comparability of results.","author":[{"dropping-particle":"","family":"Peters","given":"Lynn","non-dropping-particle":"","parse-names":false,"suffix":""},{"dropping-particle":"","family":"Olson","given":"Linus","non-dropping-particle":"","parse-names":false,"suffix":""},{"dropping-particle":"","family":"Khu","given":"Dung T K","non-dropping-particle":"","parse-names":false,"suffix":""},{"dropping-particle":"","family":"Linnros","given":"Sofia","non-dropping-particle":"","parse-names":false,"suffix":""},{"dropping-particle":"","family":"Le","given":"Ngai K","non-dropping-particle":"","parse-names":false,"suffix":""},{"dropping-particle":"","family":"Hanberger","given":"Håkan","non-dropping-particle":"","parse-names":false,"suffix":""},{"dropping-particle":"","family":"Hoang","given":"Ngoc T B","non-dropping-particle":"","parse-names":false,"suffix":""},{"dropping-particle":"","family":"Tran","given":"Dien M","non-dropping-particle":"","parse-names":false,"suffix":""},{"dropping-particle":"","family":"Larsson","given":"Mattias","non-dropping-particle":"","parse-names":false,"suffix":""}],"container-title":"PloS one","id":"ITEM-1","issue":"5","issued":{"date-parts":[["2019"]]},"page":"e0215666","publisher":"Public Library of Science","title":"Multiple antibiotic resistance as a risk factor for mortality and prolonged hospital stay: A cohort study among neonatal intensive care patients with hospital-acquired infections caused by gram-negative bacteria in Vietnam.","type":"article-journal","volume":"14"},"uris":["http://www.mendeley.com/documents/?uuid=312d626a-2e1c-3025-973c-f16374f8b0e3"]},{"id":"ITEM-2","itemData":{"DOI":"10.1097/INF.0000000000000339","ISSN":"0891-3668","PMID":"24642515","abstract":"BACKGROUND Bloodstream infections caused by multidrug-resistant, Gram-negative (MDRGN) bacteria represent a significant cause of morbidity and mortality. Prompt diagnosis and appropriate empiric treatment are the most important determinants of patient outcome. The objective of our study was to assess the epidemiology and clinical outcome of MDRGN sepsis in a tertiary-care pediatric hospital during a 12-month period. METHODS It was a retrospective, observational study of MDRGN bacteremia including all patients &lt;18 years of age, hospitalized during 2011, with documented bacteremia caused by Enterobacteriaceae or non-fermentative bacteria. RESULTS Overall, 136 blood cultures in 119 patients were included. The median age of patients was 1.1 years; 86.3% of patients had an underlying disease. The cumulative incidence of Gram-negative bloodstream infections was 5.4/1000 hospital admissions and the infection rate was 0.65/1000 hospital days. Most frequently isolated strains were Klebsiella pneumoniae, Escherichia coli and Pseudomonas aeruginosa; 67.6% of infections were hospital acquired. The percentage of multidrug-resistant (MDR) organisms among isolated species was 39%. The crude rate of mortality was 16% and sepsis-related mortality was 9.2%. The mortality rate among patients with an antibiotic-resistant isolate was 22.6%. Factors significantly associated with sepsis-related mortality were antibiotic resistance (odds ratio: 4.26, 95% confidence interval: 1.07-16.9) and hospital acquisition of infection (odds ratio: 1.13, 95% confidence interval: 1.05-1.22). CONCLUSIONS This study demonstrates the high mortality of hospital-acquired MDRGN bacteremia in children. International networks focusing on clinical management and outcomes of MDRGN in children are required. Study of novel antibiotics active against Gram-negative bacteria should include children early in the clinical trial development programs.","author":[{"dropping-particle":"","family":"Folgori","given":"Laura","non-dropping-particle":"","parse-names":false,"suffix":""},{"dropping-particle":"","family":"Livadiotti","given":"Susanna","non-dropping-particle":"","parse-names":false,"suffix":""},{"dropping-particle":"","family":"Carletti","given":"Michaela","non-dropping-particle":"","parse-names":false,"suffix":""},{"dropping-particle":"","family":"Bielicki","given":"Julia","non-dropping-particle":"","parse-names":false,"suffix":""},{"dropping-particle":"","family":"Pontrelli","given":"Giuseppe","non-dropping-particle":"","parse-names":false,"suffix":""},{"dropping-particle":"","family":"Ciofi Degli Atti","given":"Marta Luisa","non-dropping-particle":"","parse-names":false,"suffix":""},{"dropping-particle":"","family":"Bertaina","given":"Chiara","non-dropping-particle":"","parse-names":false,"suffix":""},{"dropping-particle":"","family":"Lucignano","given":"Barbara","non-dropping-particle":"","parse-names":false,"suffix":""},{"dropping-particle":"","family":"Ranno","given":"Stefania","non-dropping-particle":"","parse-names":false,"suffix":""},{"dropping-particle":"","family":"Carretto","given":"Edoardo","non-dropping-particle":"","parse-names":false,"suffix":""},{"dropping-particle":"","family":"Muraca","given":"Maurizio","non-dropping-particle":"","parse-names":false,"suffix":""},{"dropping-particle":"","family":"Sharland","given":"Mike","non-dropping-particle":"","parse-names":false,"suffix":""},{"dropping-particle":"","family":"Bernaschi","given":"Paola","non-dropping-particle":"","parse-names":false,"suffix":""}],"container-title":"The Pediatric Infectious Disease Journal","id":"ITEM-2","issue":"9","issued":{"date-parts":[["2014","9"]]},"page":"929-932","title":"Epidemiology and Clinical Outcomes of Multidrug-resistant, Gram-negative Bloodstream Infections in a European Tertiary Pediatric Hospital During a 12-month Period","type":"article-journal","volume":"33"},"uris":["http://www.mendeley.com/documents/?uuid=f1bafbf0-a937-381c-97ce-e1321662e9f3"]},{"id":"ITEM-3","itemData":{"DOI":"10.1086/512628","ISSN":"0899-823X","PMID":"17326020","abstract":"OBJECTIVE To determine the prevalence, risk factors, and outcomes of nosocomial infection due to antimicrobial resistant bacteria in patients treated in the pediatric intensive care unit (PICU). DESIGN Nested case-cohort study. Patient data were collected prospectively, and antimicrobial susceptibility data were abstracted retrospectively. SETTING A large pediatric teaching hospital. PATIENTS All PICU patients admitted from September 1, 1999, to September 1, 2001, unless they died within 24 hours after PICU admission, were 18 years old or older, or were neonatal intensive care unit patients receiving extracorporeal membrane oxygenation. RESULTS A total of 135 patients with more than 1 nosocomial bacterial infection were analyzed; 52% were male, 75% were white, the mean Pediatric Risk of Mortality score was 10.5, and the mean age was 3.5 years. Of these patients, 37 (27%) had nosocomial infections due to antibiotic-resistant organisms. In univariate analysis, transplantation (odds ratio [OR], 2.83 [95% confidence interval (CI), 1.05-7.66]) and preexisting lung disease (OR, 2.63 [95% CI, 1.18-5.88]) were associated with nosocomial infections due to antibiotic-resistant organisms. Age, Pediatric Risk of Mortality score at admission, length of hospital stay before infection, and other underlying conditions were not associated with infections due to antibiotic-resistant organisms. Patients infected with antibiotic-resistant organisms had greater mean PICU lengths of stay after infection, compared with patients infected with antibiotic-susceptible organisms (22.9 vs 12.8 days; P=.004), and higher crude mortality rates (OR, 2.40 [95% CI, 1.03-5.61]). CONCLUSIONS Identifiable risk factors exist for nosocomial infections due to antibiotic-resistant organisms. In univariate analysis, infections due to antibiotic-resistant bacteria are associated with increased length of stay in the PICU after onset of infection and increased mortality.","author":[{"dropping-particle":"","family":"Foglia","given":"Elizabeth E.","non-dropping-particle":"","parse-names":false,"suffix":""},{"dropping-particle":"","family":"Fraser","given":"Victoria J.","non-dropping-particle":"","parse-names":false,"suffix":""},{"dropping-particle":"","family":"Elward","given":"Alexis M.","non-dropping-particle":"","parse-names":false,"suffix":""}],"container-title":"Infection Control &amp; Hospital Epidemiology","id":"ITEM-3","issue":"3","issued":{"date-parts":[["2007","3","2"]]},"page":"299-306","title":"Effect of Nosocomial Infections Due to Antibiotic-Resistant Organisms on Length of Stay and Mortality in the Pediatric Intensive Care Unit","type":"article-journal","volume":"28"},"uris":["http://www.mendeley.com/documents/?uuid=d4e69960-0285-34e5-8af4-c9677f0754da"]},{"id":"ITEM-4","itemData":{"DOI":"10.1007/s15010-015-0857-8","ISSN":"0300-8126","author":[{"dropping-particle":"","family":"Ivády","given":"Balázs","non-dropping-particle":"","parse-names":false,"suffix":""},{"dropping-particle":"","family":"Kenesei","given":"Éva","non-dropping-particle":"","parse-names":false,"suffix":""},{"dropping-particle":"","family":"Tóth-Heyn","given":"Péter","non-dropping-particle":"","parse-names":false,"suffix":""},{"dropping-particle":"","family":"Kertész","given":"Gabriella","non-dropping-particle":"","parse-names":false,"suffix":""},{"dropping-particle":"","family":"Tárkányi","given":"Klára","non-dropping-particle":"","parse-names":false,"suffix":""},{"dropping-particle":"","family":"Kassa","given":"Csaba","non-dropping-particle":"","parse-names":false,"suffix":""},{"dropping-particle":"","family":"Ujhelyi","given":"Enikő","non-dropping-particle":"","parse-names":false,"suffix":""},{"dropping-particle":"","family":"Mikos","given":"Borbála","non-dropping-particle":"","parse-names":false,"suffix":""},{"dropping-particle":"","family":"Sápi","given":"Erzsébet","non-dropping-particle":"","parse-names":false,"suffix":""},{"dropping-particle":"","family":"Varga-Heier","given":"Krisztina","non-dropping-particle":"","parse-names":false,"suffix":""},{"dropping-particle":"","family":"Guóth","given":"Gábor","non-dropping-particle":"","parse-names":false,"suffix":""},{"dropping-particle":"","family":"Szabó","given":"Dóra","non-dropping-particle":"","parse-names":false,"suffix":""}],"container-title":"Infection","id":"ITEM-4","issue":"3","issued":{"date-parts":[["2016","6","6"]]},"page":"309-321","publisher":"Springer Berlin Heidelberg","title":"Factors influencing antimicrobial resistance and outcome of Gram-negative bloodstream infections in children","type":"article-journal","volume":"44"},"uris":["http://www.mendeley.com/documents/?uuid=39d7d44f-c9f3-33c0-a318-a3eb31cb960f"]}],"mendeley":{"formattedCitation":"(23–26)","plainTextFormattedCitation":"(23–26)","previouslyFormattedCitation":"(23–26)"},"properties":{"noteIndex":0},"schema":"https://github.com/citation-style-language/schema/raw/master/csl-citation.json"}</w:instrText>
      </w:r>
      <w:r w:rsidRPr="00EE2463">
        <w:rPr>
          <w:rFonts w:ascii="Calibri" w:hAnsi="Calibri" w:cs="Arial"/>
        </w:rPr>
        <w:fldChar w:fldCharType="separate"/>
      </w:r>
      <w:r w:rsidR="009B2E37" w:rsidRPr="00EE2463">
        <w:rPr>
          <w:rFonts w:ascii="Calibri" w:hAnsi="Calibri" w:cs="Arial"/>
          <w:noProof/>
        </w:rPr>
        <w:t>(23–26)</w:t>
      </w:r>
      <w:r w:rsidRPr="00EE2463">
        <w:rPr>
          <w:rFonts w:ascii="Calibri" w:hAnsi="Calibri" w:cs="Arial"/>
        </w:rPr>
        <w:fldChar w:fldCharType="end"/>
      </w:r>
      <w:r w:rsidRPr="00EE2463">
        <w:rPr>
          <w:rFonts w:ascii="Calibri" w:hAnsi="Calibri" w:cs="Arial"/>
        </w:rPr>
        <w:t xml:space="preserve"> particularly in Gram-negative infections, infections due to ESBL-producing bacteria and </w:t>
      </w:r>
      <w:r w:rsidR="00F04246" w:rsidRPr="00EE2463">
        <w:rPr>
          <w:rFonts w:ascii="Calibri" w:hAnsi="Calibri" w:cs="Arial"/>
        </w:rPr>
        <w:t xml:space="preserve">those </w:t>
      </w:r>
      <w:r w:rsidRPr="00EE2463">
        <w:rPr>
          <w:rFonts w:ascii="Calibri" w:hAnsi="Calibri" w:cs="Arial"/>
        </w:rPr>
        <w:t xml:space="preserve">caused by carbapenem-non-susceptible </w:t>
      </w:r>
      <w:r w:rsidRPr="00EE2463">
        <w:rPr>
          <w:rFonts w:ascii="Calibri" w:hAnsi="Calibri" w:cs="Arial"/>
          <w:i/>
        </w:rPr>
        <w:t>Acinetobacter spp</w:t>
      </w:r>
      <w:r w:rsidRPr="00EE2463">
        <w:rPr>
          <w:rFonts w:ascii="Calibri" w:hAnsi="Calibri" w:cs="Arial"/>
        </w:rPr>
        <w:t>.</w:t>
      </w:r>
      <w:r w:rsidRPr="00EE2463">
        <w:rPr>
          <w:rFonts w:ascii="Calibri" w:hAnsi="Calibri" w:cs="Arial"/>
        </w:rPr>
        <w:fldChar w:fldCharType="begin" w:fldLock="1"/>
      </w:r>
      <w:r w:rsidR="005C43BF" w:rsidRPr="00EE2463">
        <w:rPr>
          <w:rFonts w:ascii="Calibri" w:hAnsi="Calibri" w:cs="Arial"/>
        </w:rPr>
        <w:instrText>ADDIN CSL_CITATION {"citationItems":[{"id":"ITEM-1","itemData":{"DOI":"10.1038/jp.2008.73","ISSN":"0743-8346","PMID":"18580881","abstract":"OBJECTIVES Extended-spectrum beta-lactamase producing (ESBL) Klebsiella pneumoniae is an important cause of nosocomial infections in neonatal intensive care units (NICUs). Our objectives were to determine (1) the incidence of ESBL K. pneumoniae in our NICU, (2) the frequency of SHV-1 and SHV-2 gene acquisition among ESBL K. pneumoniae isolates, (3) the risk factors associated with ESBL K. pneumoniae infection and (4) the clinical outcomes of infected infants. STUDY DESIGN We conducted a prospective surveillance study in our NICU over a period of 1 year on all neonates admitted without evidence of early sepsis. We collected specimens from blood, urine, cerebrospinal fluid, swabs from wounds and throat and endotracheal tube aspirates of infants whenever sepsis was suspected. Bacterial isolates were identified via clinical morphology, Gram stain and standard biochemical tests. Antimicrobial susceptibility was determined by disc diffusion method, and phenotypic confirmation of ESBL production was done by the double-disc synergy test and Etest. Genetic detection of SHV-1 and SHV-2 genes in ESBL K. pneumoniae isolates was done by polymerase chain reaction (PCR) and restriction fragment length polymorphisms. Risk factors associated with ESBL K. pneumoniae infection were analysed by both univariate and multiple logistic regression methods. RESULTS A total of 980 cultures were obtained from 380 neonates, and 372 screening cultures were collected from the environment. K. pneumoniae was cultured from 27 (7%) infants (3.8/1000 patient-days); of them, 18 (67%) were ESBL producers. PCR amplicons revealed the presence of SHV-2 in all 18 isolates (100%), and SHV-1 gene in 8 isolates (44%). Independent risk factors for ESBL K. pneumoniae infection were mechanical ventilation (OR: 4.2, confidence interval (CI): 1.6-11.0); birth weight &lt;1500 g (OR: 3.2, CI: 1.2-8.3) ); duration of hospitalization &gt;15 days (OR: 4.1, CI: 1.2-14.4); total parenteral nutrition (OR: 4.9, CI: 1.1-21.7); and previous use of oxyimino-antibiotics (OR: 4.9, CI: 1.1-21.5). ESBL was associated with higher mortality (RR=3.1, CI: 1.04-9.1) and prolonged hospitalization in those who survived (OR=3.8 CI: 1.02-11.2). Environmental cultures (n=372) had ESBL K. pneumoniae in nine isolates: four from suction tubes, two from the incubators and three from the hands of care givers. CONCLUSION ESBL K. pneumoniae is a significant source for mortality and morbidity in infants admitted to NICU. Use of oxyimino-anti…","author":[{"dropping-particle":"","family":"Abdel-Hady","given":"H","non-dropping-particle":"","parse-names":false,"suffix":""},{"dropping-particle":"","family":"Hawas","given":"S","non-dropping-particle":"","parse-names":false,"suffix":""},{"dropping-particle":"","family":"El-Daker","given":"M","non-dropping-particle":"","parse-names":false,"suffix":""},{"dropping-particle":"","family":"El-Kady","given":"R","non-dropping-particle":"","parse-names":false,"suffix":""}],"container-title":"Journal of Perinatology","id":"ITEM-1","issue":"10","issued":{"date-parts":[["2008","10","26"]]},"page":"685-690","title":"Extended-spectrum β-lactamase producing Klebsiella pneumoniae in neonatal intensive care unit","type":"article-journal","volume":"28"},"uris":["http://www.mendeley.com/documents/?uuid=f55d9198-3c95-32ec-a810-43408f050755"]},{"id":"ITEM-2","itemData":{"DOI":"10.1186/1471-2431-10-39","ISSN":"1471-2431","PMID":"20525358","abstract":"BACKGROUND Neonatal sepsis is a significant cause of morbidity and mortality in neonates. Appropriate clinical diagnosis and empirical treatment in a given setting is crucial as pathogens of bacterial sepsis and antibiotic sensitivity pattern can considerably vary in different settings. This study was conducted at Bugando Medical Centre (BMC), Tanzania to determine the prevalence of neonatal sepsis, predictors of positive blood culture, deaths and antimicrobial susceptibility, thus providing essential information to formulate a policy for management of neonatal sepsis. METHODS This was a prospective cross sectional study involving 300 neonates admitted at BMC neonatal unit between March and November 2009. Standard data collection form was used to collect all demographic data and clinical characteristics of neonates. Blood culture was done on Brain Heart Infusion broth followed by identification of isolates using conventional methods and testing for their susceptibility to antimicrobial agents using the disc diffusion method. RESULTS Among 770 neonates admitted during the study period; 300 (38.9%) neonates were diagnosed to have neonatal sepsis by WHO criteria. Of 300 neonates with clinical neonatal sepsis 121(40%) and 179(60%) had early and late onset sepsis respectively. Positive blood culture was found in 57 (47.1%) and 92 (51.4%) among neonates with early and late onset neonatal sepsis respectively (p = 0.466). Predictors of positive blood culture in both early and late onset neonatal sepsis were inability to feed, lethargy, cyanosis, meconium stained liquor, premature rupture of the membrane and convulsion. About 49% of gram negatives isolates were resistant to third generation cephalosporins and 28% of Staphylococcus aureus were found to be Methicillin resistant Staphylococcus aureus (MRSA). Deaths occurred in 57 (19%) of neonates. Factors that predicted deaths were positive blood culture (p = 0.0001), gram negative sepsis (p = 0.0001) and infection with ESBL (p = 0.008) or MRSA (p = 0.008) isolates. CONCLUSION Our findings suggest that lethargy, convulsion, inability to feed, cyanosis, PROM and meconium stained liquor are significantly associated with positive blood culture in both early and late onset disease. Mortality and morbidity on neonatal sepsis is high at our setting and is significantly contributed by positive blood culture with multi-resistant gram negative bacteria.","author":[{"dropping-particle":"","family":"Kayange","given":"Neema","non-dropping-particle":"","parse-names":false,"suffix":""},{"dropping-particle":"","family":"Kamugisha","given":"Erasmus","non-dropping-particle":"","parse-names":false,"suffix":""},{"dropping-particle":"","family":"Mwizamholya","given":"Damas L","non-dropping-particle":"","parse-names":false,"suffix":""},{"dropping-particle":"","family":"Jeremiah","given":"Seni","non-dropping-particle":"","parse-names":false,"suffix":""},{"dropping-particle":"","family":"Mshana","given":"Stephen E","non-dropping-particle":"","parse-names":false,"suffix":""}],"container-title":"BMC pediatrics","id":"ITEM-2","issued":{"date-parts":[["2010","6","4"]]},"page":"39","publisher":"BioMed Central","title":"Predictors of positive blood culture and deaths among neonates with suspected neonatal sepsis in a tertiary hospital, Mwanza-Tanzania.","type":"article-journal","volume":"10"},"uris":["http://www.mendeley.com/documents/?uuid=c0888194-92f8-3cb0-a314-95c5266c4787"]},{"id":"ITEM-3","itemData":{"DOI":"10.1016/S1201-9712(00)90061-4","ISSN":"1201-9712","abstract":"Objectives: To evaluate prevalence of ceftazidime-resistant Klebsiella pneumoniae (CRKP) in the pediatric oncology unit of University Hospital, Kuala, Lumpur, and to identify differences between febrile neutropenic pediatric patients with CRKP and ceftazidime-sensitive K. pneumoniae (CSKP) bacteremia. Materials and Methods: Febrile neutropenic patients treated between January 1996 and December 1997 at the pediatric oncology unit of University Hospital, Kuala Lumpur, were prospectively studied. Empirical antibiotic therapy consisted of ceftazidime and amikacin. Those who developed K. pneumoniae bacteremia were identified, and clinical features analyzed. Ceftazidime-resistance was documented via disk-diffusion testing. Production of extended-spectrum beta-lactamase (ESBL) was inferred on the basis of synergy between ceftazidime and amoxicillin-clavulanic acid. The different features between the two groups and variables associated with the development of CRKP bacteremia were analyzed using chi-square and t-tests and calculation of odds ratios. A multivariate analysis was used to identify independent factors for CRKP development. Results: Ceftazidime-resistance was seen in 51.6% of all K. pneumoniae isolates, and all these isolates were inferred to be ESBL producers. All isolates were sensitive to imipenem. Susceptibility to gentamicin was 90.5%. The mean continuous hospital stay prior to the detection of bacteremia was 13.7 days overall, but significantly longer in the CRKP group (21.9 d) compared to the CSKP group (4.3 d) (P = 0.003). Children with CRKP were more likely to have received antibiotics in the 2 weeks prior to detection of bacteremia (87.5% of cases) than the CSKP group (20.0% of cases) (P = 0.0008). Sepsis-related mortality was higher in those with CRKP (50.0%) than in the CSKP group (13.3%) (P = 0.02). Patients who did not receive CRKP-directed antibiotics within 48 hours of admission were more likely to have a fatal outcome than those who did (P = 0.009). Logistic regression analysis identified use of third-generation cephalosporins 2 weeks prior to presentation and a hospital stay of 2 weeks or more as independent risk factors for development of CRKP. Conclusions: More than half of total K. pneumoniae isolated from blood cultures in the unit were ceftazidine-resistant. Children with febrile neutropenia with prolonged hospital stay and recent prior antibiotic exposure are at high risk of developing CRKP bacteremia. Mortality was significant…","author":[{"dropping-particle":"","family":"Ariffin","given":"Hany","non-dropping-particle":"","parse-names":false,"suffix":""},{"dropping-particle":"","family":"Navaratnam","given":"Parasakthi","non-dropping-particle":"","parse-names":false,"suffix":""},{"dropping-particle":"","family":"Mohamed","given":"Mahfuzah","non-dropping-particle":"","parse-names":false,"suffix":""},{"dropping-particle":"","family":"Arasu","given":"Anusha","non-dropping-particle":"","parse-names":false,"suffix":""},{"dropping-particle":"","family":"Ariffin Abdullah","given":"Wan","non-dropping-particle":"","parse-names":false,"suffix":""},{"dropping-particle":"","family":"Lee Lee","given":"Chan","non-dropping-particle":"","parse-names":false,"suffix":""},{"dropping-particle":"","family":"Hai Peng","given":"Lin","non-dropping-particle":"","parse-names":false,"suffix":""}],"container-title":"International Journal of Infectious Diseases","id":"ITEM-3","issue":"1","issued":{"date-parts":[["2000","1","1"]]},"page":"21-25","publisher":"Elsevier","title":"Ceftazidime-resistant Klebsiella pneumoniae bloodstream infection in children with febrile neutropenia","type":"article-journal","volume":"4"},"uris":["http://www.mendeley.com/documents/?uuid=1e91153c-4a0d-33cc-888f-13555692db97"]},{"id":"ITEM-4","itemData":{"DOI":"10.1542/peds.2004-1289","ISSN":"1098-4275","PMID":"15805368","abstract":"OBJECTIVE The increasing prevalence of infections caused by extended-spectrum beta-lactamase-producing Escherichia coli and Klebsiella species (ESBL-EK) has become a growing concern in the hospitalized patient population. Previous studies on risk factors for infection with ESBL-EK have mainly focused on adult populations, and these findings may not be relevant among the pediatric population that experiences a unique set of health care exposures and underlying conditions. The objective of this study was to define the risk factors and outcomes associated with ESBL-EK bloodstream infections in children. METHODS We conducted a nested case-control study using data from the Children's Hospital of Philadelphia from May 1, 1999, to September 30, 2003. Eligible patients were identified from the hospital database of microbiology laboratory records. All patients with ESBL-EK bloodstream infections were compared to a random sample of patients with non-ESBL-EK bloodstream infections. Risk factors analyzed included prior antimicrobial use, comorbid conditions, and demographic characteristics. Pulsed-field gel electrophoresis was performed to determine genetic relatedness of the ESBL-EK isolates. RESULTS Thirty-five cases and 105 control subjects were included in the study. The median age among the cases was 2 years (interquartile range: 0-11), compared with 1 year (interquartile range: 0-8) among control subjects. Patients with ESBL-EK infections were 5.8 times (95% confidence interval: 1.9-17.7) more likely to have had exposure to an extended-spectrum cephalosporin in the 30 days before infection than those with non-ESBL-EK infections. Other independent predictors of ESBL-EK infection were being female, infection with a Klebsiella species, and steroid use in the 30 days before infection. All ESBL-EK isolates were susceptible to carbapenem antibiotics. Pulsed-field gel electrophoresis analysis revealed that the ESBL-EK isolates were polyclonal. Although a substantially higher proportion of children with ESBL-EK died (in-hospital mortality: 36% vs 13%), this difference was not statistically significant. CONCLUSIONS Receipt of extended-spectrum cephalosporins in the 30 days before infection by an Escherichia coli or Klebsiella species is significantly associated with having an ESBL-EK infection in hospitalized children. Curtailed use of cephalosporins among high-risk groups may reduce the occurrence of ESBL-EK infections. Future studies on identifying high-risk childre…","author":[{"dropping-particle":"","family":"Zaoutis","given":"Theoklis E","non-dropping-particle":"","parse-names":false,"suffix":""},{"dropping-particle":"","family":"Goyal","given":"Monika","non-dropping-particle":"","parse-names":false,"suffix":""},{"dropping-particle":"","family":"Chu","given":"Jaclyn H","non-dropping-particle":"","parse-names":false,"suffix":""},{"dropping-particle":"","family":"Coffin","given":"Susan E","non-dropping-particle":"","parse-names":false,"suffix":""},{"dropping-particle":"","family":"Bell","given":"Louis M","non-dropping-particle":"","parse-names":false,"suffix":""},{"dropping-particle":"","family":"Nachamkin","given":"Irving","non-dropping-particle":"","parse-names":false,"suffix":""},{"dropping-particle":"","family":"McGowan","given":"Karin L","non-dropping-particle":"","parse-names":false,"suffix":""},{"dropping-particle":"","family":"Bilker","given":"Warren B","non-dropping-particle":"","parse-names":false,"suffix":""},{"dropping-particle":"","family":"Lautenbach","given":"Ebbing","non-dropping-particle":"","parse-names":false,"suffix":""}],"container-title":"Pediatrics","id":"ITEM-4","issue":"4","issued":{"date-parts":[["2005","4","1"]]},"page":"942-9","publisher":"American Academy of Pediatrics","title":"Risk factors for and outcomes of bloodstream infection caused by extended-spectrum beta-lactamase-producing Escherichia coli and Klebsiella species in children.","type":"article-journal","volume":"115"},"uris":["http://www.mendeley.com/documents/?uuid=0beee54c-ae74-326b-815b-0942434e6592"]},{"id":"ITEM-5","itemData":{"DOI":"10.1097/INF.0b013e318270b108","ISSN":"0891-3668","author":[{"dropping-particle":"","family":"Thatrimontrichai","given":"Anucha","non-dropping-particle":"","parse-names":false,"suffix":""},{"dropping-particle":"","family":"Apisarnthanarak","given":"Anucha","non-dropping-particle":"","parse-names":false,"suffix":""},{"dropping-particle":"","family":"Chanvitan","given":"Prasin","non-dropping-particle":"","parse-names":false,"suffix":""},{"dropping-particle":"","family":"Janjindamai","given":"Waricha","non-dropping-particle":"","parse-names":false,"suffix":""},{"dropping-particle":"","family":"Dissaneevate","given":"Supaporn","non-dropping-particle":"","parse-names":false,"suffix":""},{"dropping-particle":"","family":"Maneenil","given":"Gunlawadee","non-dropping-particle":"","parse-names":false,"suffix":""}],"container-title":"The Pediatric Infectious Disease Journal","id":"ITEM-5","issue":"2","issued":{"date-parts":[["2013","2"]]},"page":"140-145","title":"Risk Factors and Outcomes of Carbapenem-resistant Acinetobacter baumannii Bacteremia in Neonatal Intensive Care Unit","type":"article-journal","volume":"32"},"uris":["http://www.mendeley.com/documents/?uuid=3eebb904-ef49-3180-b8e2-626f77ab2ea2"]},{"id":"ITEM-6","itemData":{"DOI":"10.1016/j.ijid.2012.07.006","ISSN":"12019712","PMID":"22898148","abstract":"OBJECTIVE To examine the risk factors of carbapenem non-susceptibility and mortality among children with Acinetobacter baumannii bacteremia. METHODS A retrospective chart review was conducted of 180 cases with A. baumannii bacteremia. RESULTS The 30-day mortality risk of A. baumannii bacteremia was 26.1%. Carbapenem-non-susceptible A. baumannii was identified in 51.7% of cases. Logistic regression analysis indicated that prematurity, use of mechanical ventilation, and prior exposure to carbapenem antibiotics were independently associated with carbapenem-non-susceptible A. baumannii bacteremia, with adjusted odds ratios (aORs) and 95% confidence intervals (CIs) of 3.36 (1.17-9.65), 5.59 (2.24-13.97), and 2.97 (1.01-8.77), respectively. Further, carbapenem non-susceptibility, cancer-related neutropenia, organ dysfunction, admission to the intensive care unit, catheter-related bacteremia, and treatment with sulbactam-containing regimens were associated with mortality with aORs and 95% CIs of 4.76 (1.58-14.32), 4.54 (1.09-18.79), 25.95 (5.13-131.33), 3.53 (1.29-9.71), 0.25 (0.084-0.72), and 0.14 (0.046-0.45), respectively. CONCLUSIONS The majority of A. baumannii bacteremia was caused by carbapenem-non-susceptible strains with a high mortality rate. Carbapenem non-susceptibility, cancer-related neutropenia, the presence of organ dysfunction, and admission to an intensive care unit were associated with an increased mortality risk, whereas catheter-related bacteremia and treatment with a sulbactam-containing regimen were associated with decreased mortality among children with A. baumannii bacteremia.","author":[{"dropping-particle":"","family":"Punpanich","given":"Warunee","non-dropping-particle":"","parse-names":false,"suffix":""},{"dropping-particle":"","family":"Nithitamsakun","given":"Natthacha","non-dropping-particle":"","parse-names":false,"suffix":""},{"dropping-particle":"","family":"Treeratweeraphong","given":"Vipa","non-dropping-particle":"","parse-names":false,"suffix":""},{"dropping-particle":"","family":"Suntarattiwong","given":"Piyarat","non-dropping-particle":"","parse-names":false,"suffix":""}],"container-title":"International Journal of Infectious Diseases","id":"ITEM-6","issue":"11","issued":{"date-parts":[["2012","11"]]},"page":"e811-e815","title":"Risk factors for carbapenem non-susceptibility and mortality in Acinetobacter baumannii bacteremia in children","type":"article-journal","volume":"16"},"uris":["http://www.mendeley.com/documents/?uuid=3372184e-a605-33c0-a0a3-a2c41a6eefeb"]},{"id":"ITEM-7","itemData":{"DOI":"10.3855/jidc.533","ISSN":"1972-2680","abstract":"Background: Pan-resistant Acinetobacter infection has emerged as an important nosocomial pathogen in our inpatient neonates over the past few years. Methodology: We performed a retrospective chart review during a five-year period (July 2003 - June 2008) of all neonates hospitalized in our neonatal intensive care unit (NICU) who developed Acinetobacter infection to identify mortality-associated risk factors in Acinetobacter neonatal infection. Results: During the five-year study period, 122 cultures from 78 neonates grew Acinetobacter. Source sites of positive culture were in the following descending order: blood (n = 57), trachea (n = 55), tissue/wound/body fluids (n = 4), eye (n = 4), urine (n = 1), and cerebrospinal fluid (n = 1). Twenty-four (31%) patients had Acinetobacter isolated from more than one site. At the time of admission the mean age was 2.08 ± 4 days and mean weight was 1.77 ± 0.88 kg; 75% were premature. Pan-resistance (87/122; sensitive only to Polymyxin) was present in 71% of Acinetobacter isolates. Crude mortality rate of this cohort was 47%, while 70% of patients died within four days after positive Acinetobacter culture. We identified weight of less than 1 kg on admission (p 0.06, adjusted Odds Ratio (AOR) 1.53), gestational age 28 weeks or less (p 0.011, AOR 2.88), poor perfusion (p 0.007, AOR 2.4), thrombocytopenia (p 0.01; AOR 1.6) and metabolic acidosis (p 0.01; AOR 1.67) as predictors associated with poor outcome.    Conclusion: Pan-resistant Acinetobacter infection is exceedingly fatal in newborns, particularly in premature and very low-birth weight neonates. Rational antibiotic use and vigilant infection control in NICUs are key to controlling multi-drug resistant Acinetobacter infection and improving clinical outcome.","author":[{"dropping-particle":"","family":"Saleem","given":"Ali Faisal","non-dropping-particle":"","parse-names":false,"suffix":""},{"dropping-particle":"","family":"Ahmed","given":"Imran","non-dropping-particle":"","parse-names":false,"suffix":""},{"dropping-particle":"","family":"Mir","given":"Fatima","non-dropping-particle":"","parse-names":false,"suffix":""},{"dropping-particle":"","family":"Ali","given":"Syed Rehan","non-dropping-particle":"","parse-names":false,"suffix":""},{"dropping-particle":"","family":"Zaidi","given":"Anita KM","non-dropping-particle":"","parse-names":false,"suffix":""}],"container-title":"The Journal of Infection in Developing Countries","id":"ITEM-7","issue":"01","issued":{"date-parts":[["2010","2","1"]]},"page":"030-037","title":"Pan-resistant Acinetobacter Infection in Neonates in Karachi, Pakistan.","type":"article-journal","volume":"4"},"uris":["http://www.mendeley.com/documents/?uuid=80e4e4ed-dc9f-34c7-aae6-bf96c2cc0df6"]}],"mendeley":{"formattedCitation":"(27–33)","plainTextFormattedCitation":"(27–33)","previouslyFormattedCitation":"(27–33)"},"properties":{"noteIndex":0},"schema":"https://github.com/citation-style-language/schema/raw/master/csl-citation.json"}</w:instrText>
      </w:r>
      <w:r w:rsidRPr="00EE2463">
        <w:rPr>
          <w:rFonts w:ascii="Calibri" w:hAnsi="Calibri" w:cs="Arial"/>
        </w:rPr>
        <w:fldChar w:fldCharType="separate"/>
      </w:r>
      <w:r w:rsidR="009B2E37" w:rsidRPr="00EE2463">
        <w:rPr>
          <w:rFonts w:ascii="Calibri" w:hAnsi="Calibri" w:cs="Arial"/>
          <w:noProof/>
        </w:rPr>
        <w:t>(27–33)</w:t>
      </w:r>
      <w:r w:rsidRPr="00EE2463">
        <w:rPr>
          <w:rFonts w:ascii="Calibri" w:hAnsi="Calibri" w:cs="Arial"/>
        </w:rPr>
        <w:fldChar w:fldCharType="end"/>
      </w:r>
      <w:r w:rsidRPr="00EE2463">
        <w:rPr>
          <w:rFonts w:ascii="Calibri" w:hAnsi="Calibri" w:cs="Arial"/>
        </w:rPr>
        <w:t xml:space="preserve"> Generally, studies did not explicitly study the concordance of empiric antimicrobial therapy, but rather simply reported on the resistance profile of pathogens. </w:t>
      </w:r>
    </w:p>
    <w:p w14:paraId="650216EC" w14:textId="51AF51F2" w:rsidR="006A1273" w:rsidRPr="00EE2463" w:rsidRDefault="006A1273" w:rsidP="459D99C6">
      <w:pPr>
        <w:spacing w:after="0" w:line="480" w:lineRule="auto"/>
        <w:rPr>
          <w:rFonts w:ascii="Calibri" w:hAnsi="Calibri" w:cs="Arial"/>
        </w:rPr>
      </w:pPr>
      <w:r w:rsidRPr="00EE2463">
        <w:rPr>
          <w:rFonts w:ascii="Calibri" w:hAnsi="Calibri" w:cs="Arial"/>
        </w:rPr>
        <w:t xml:space="preserve">The data </w:t>
      </w:r>
      <w:r w:rsidR="00423922" w:rsidRPr="00EE2463">
        <w:rPr>
          <w:rFonts w:ascii="Calibri" w:hAnsi="Calibri" w:cs="Arial"/>
        </w:rPr>
        <w:t xml:space="preserve">in our study </w:t>
      </w:r>
      <w:r w:rsidRPr="00EE2463">
        <w:rPr>
          <w:rFonts w:ascii="Calibri" w:hAnsi="Calibri" w:cs="Arial"/>
        </w:rPr>
        <w:t xml:space="preserve">were voluntarily collected as </w:t>
      </w:r>
      <w:r w:rsidR="34FB4605" w:rsidRPr="00EE2463">
        <w:rPr>
          <w:rFonts w:ascii="Calibri" w:hAnsi="Calibri" w:cs="Arial"/>
        </w:rPr>
        <w:t>one</w:t>
      </w:r>
      <w:r w:rsidRPr="00EE2463">
        <w:rPr>
          <w:rFonts w:ascii="Calibri" w:hAnsi="Calibri" w:cs="Arial"/>
        </w:rPr>
        <w:t xml:space="preserve"> module of a large </w:t>
      </w:r>
      <w:r w:rsidR="22F647A3" w:rsidRPr="00EE2463">
        <w:rPr>
          <w:rFonts w:ascii="Calibri" w:hAnsi="Calibri" w:cs="Arial"/>
        </w:rPr>
        <w:t>surveillance</w:t>
      </w:r>
      <w:r w:rsidRPr="00EE2463">
        <w:rPr>
          <w:rFonts w:ascii="Calibri" w:hAnsi="Calibri" w:cs="Arial"/>
        </w:rPr>
        <w:t xml:space="preserve"> study and may therefore be subject to selection bias. Most of the sites were tertiary </w:t>
      </w:r>
      <w:r w:rsidR="00F04246" w:rsidRPr="00EE2463">
        <w:rPr>
          <w:rFonts w:ascii="Calibri" w:hAnsi="Calibri" w:cs="Arial"/>
        </w:rPr>
        <w:t>hospitals</w:t>
      </w:r>
      <w:r w:rsidRPr="00EE2463">
        <w:rPr>
          <w:rFonts w:ascii="Calibri" w:hAnsi="Calibri" w:cs="Arial"/>
        </w:rPr>
        <w:t xml:space="preserve"> with the capacity to </w:t>
      </w:r>
      <w:r w:rsidRPr="00EE2463">
        <w:rPr>
          <w:rFonts w:ascii="Calibri" w:hAnsi="Calibri" w:cs="Arial"/>
        </w:rPr>
        <w:lastRenderedPageBreak/>
        <w:t xml:space="preserve">do voluntary research and not representative of all hospital types in the included countries. We were unable to adjust for centre/country due to wide variation in number of patients enrolled in each.  </w:t>
      </w:r>
    </w:p>
    <w:p w14:paraId="46890DCE" w14:textId="4225F3C2" w:rsidR="00423922" w:rsidRPr="00EE2463" w:rsidRDefault="006A1273" w:rsidP="005319E4">
      <w:pPr>
        <w:spacing w:after="0" w:line="480" w:lineRule="auto"/>
        <w:rPr>
          <w:rFonts w:ascii="Calibri" w:hAnsi="Calibri" w:cs="Arial"/>
        </w:rPr>
      </w:pPr>
      <w:r w:rsidRPr="00EE2463">
        <w:rPr>
          <w:rFonts w:ascii="Calibri" w:hAnsi="Calibri" w:cs="Arial"/>
        </w:rPr>
        <w:t>Clinical data were limited, meaning it was not possible to control for all possible confounders. Although we controlled for presence of a comorbidity,</w:t>
      </w:r>
      <w:r w:rsidR="000E1175" w:rsidRPr="00EE2463">
        <w:rPr>
          <w:rFonts w:ascii="Calibri" w:hAnsi="Calibri" w:cs="Arial"/>
        </w:rPr>
        <w:t xml:space="preserve"> </w:t>
      </w:r>
      <w:r w:rsidRPr="00EE2463">
        <w:rPr>
          <w:rFonts w:ascii="Calibri" w:hAnsi="Calibri" w:cs="Arial"/>
        </w:rPr>
        <w:t>there was a wide range of comorbidity types amongst the patients who died, and we were unable to control for the severity of each comorbidity. Given the way perinatal conditions were classified, it is possible the number of patients with at least one comorbidity was underestimated as some perinatal comorbidities (e.g. asphyxia) might have been underestimated in preterm neonates.</w:t>
      </w:r>
      <w:r w:rsidR="00423922" w:rsidRPr="00EE2463">
        <w:rPr>
          <w:rFonts w:ascii="Calibri" w:hAnsi="Calibri" w:cs="Arial"/>
        </w:rPr>
        <w:t xml:space="preserve"> </w:t>
      </w:r>
      <w:r w:rsidR="00EB2007" w:rsidRPr="00EE2463">
        <w:rPr>
          <w:rFonts w:ascii="Calibri" w:hAnsi="Calibri" w:cs="Arial"/>
        </w:rPr>
        <w:t>Overall the population in our study was quite heterogenous in presentation and covered a wide age range from a number of countries which may limit the ability to extrapolate our findings to specific paediatric sub-populations. However, given the limited data in this area particularly in paediatrics, our findings suggest that more research is needed to inform empiric prescribing regimens</w:t>
      </w:r>
      <w:r w:rsidR="00674772" w:rsidRPr="00EE2463">
        <w:rPr>
          <w:rFonts w:ascii="Calibri" w:hAnsi="Calibri" w:cs="Arial"/>
        </w:rPr>
        <w:t xml:space="preserve"> within specific sub-populations. </w:t>
      </w:r>
    </w:p>
    <w:p w14:paraId="6839087C" w14:textId="69A94B2F" w:rsidR="006A1273" w:rsidRPr="00EE2463" w:rsidRDefault="0071438E" w:rsidP="005319E4">
      <w:pPr>
        <w:spacing w:after="0" w:line="480" w:lineRule="auto"/>
        <w:rPr>
          <w:rFonts w:ascii="Calibri" w:hAnsi="Calibri" w:cs="Arial"/>
        </w:rPr>
      </w:pPr>
      <w:r w:rsidRPr="00EE2463">
        <w:rPr>
          <w:rFonts w:ascii="Calibri" w:hAnsi="Calibri" w:cs="Arial"/>
        </w:rPr>
        <w:t>Based on evidence that</w:t>
      </w:r>
      <w:r w:rsidR="006A1273" w:rsidRPr="00EE2463">
        <w:rPr>
          <w:rFonts w:ascii="Calibri" w:hAnsi="Calibri" w:cs="Arial"/>
        </w:rPr>
        <w:t xml:space="preserve"> a higher burden of </w:t>
      </w:r>
      <w:r w:rsidRPr="00EE2463">
        <w:rPr>
          <w:rFonts w:ascii="Calibri" w:hAnsi="Calibri" w:cs="Arial"/>
        </w:rPr>
        <w:t>resistant</w:t>
      </w:r>
      <w:r w:rsidR="006A1273" w:rsidRPr="00EE2463">
        <w:rPr>
          <w:rFonts w:ascii="Calibri" w:hAnsi="Calibri" w:cs="Arial"/>
        </w:rPr>
        <w:t xml:space="preserve"> infections </w:t>
      </w:r>
      <w:r w:rsidRPr="00EE2463">
        <w:rPr>
          <w:rFonts w:ascii="Calibri" w:hAnsi="Calibri" w:cs="Arial"/>
        </w:rPr>
        <w:t xml:space="preserve">occur </w:t>
      </w:r>
      <w:r w:rsidR="006A1273" w:rsidRPr="00EE2463">
        <w:rPr>
          <w:rFonts w:ascii="Calibri" w:hAnsi="Calibri" w:cs="Arial"/>
        </w:rPr>
        <w:t xml:space="preserve">in patients &lt;1 year and </w:t>
      </w:r>
      <w:r w:rsidRPr="00EE2463">
        <w:rPr>
          <w:rFonts w:ascii="Calibri" w:hAnsi="Calibri" w:cs="Arial"/>
        </w:rPr>
        <w:t xml:space="preserve">HAI across all age groups are more commonly </w:t>
      </w:r>
      <w:r w:rsidR="006A1273" w:rsidRPr="00EE2463">
        <w:rPr>
          <w:rFonts w:ascii="Calibri" w:hAnsi="Calibri" w:cs="Arial"/>
        </w:rPr>
        <w:t>resistant</w:t>
      </w:r>
      <w:r w:rsidRPr="00EE2463">
        <w:rPr>
          <w:rFonts w:ascii="Calibri" w:hAnsi="Calibri" w:cs="Arial"/>
        </w:rPr>
        <w:t>, we controlled for HAI, comorbidity and age.</w:t>
      </w:r>
      <w:r w:rsidR="006A1273" w:rsidRPr="00EE2463">
        <w:rPr>
          <w:rFonts w:ascii="Calibri" w:hAnsi="Calibri" w:cs="Arial"/>
        </w:rPr>
        <w:fldChar w:fldCharType="begin" w:fldLock="1"/>
      </w:r>
      <w:r w:rsidR="001F6113" w:rsidRPr="00EE2463">
        <w:rPr>
          <w:rFonts w:ascii="Calibri" w:hAnsi="Calibri" w:cs="Arial"/>
        </w:rPr>
        <w:instrText>ADDIN CSL_CITATION {"citationItems":[{"id":"ITEM-1","itemData":{"DOI":"10.1016/S1473-3099(18)30605-4","ISSN":"14744457","abstract":"Background: Infections due to antibiotic-resistant bacteria are threatening modern health care. However, estimating their incidence, complications, and attributable mortality is challenging. We aimed to estimate the burden of infections caused by antibiotic-resistant bacteria of public health concern in countries of the EU and European Economic Area (EEA) in 2015, measured in number of cases, attributable deaths, and disability-adjusted life-years (DALYs). Methods: We estimated the incidence of infections with 16 antibiotic resistance–bacterium combinations from European Antimicrobial Resistance Surveillance Network (EARS-Net) 2015 data that was country-corrected for population coverage. We multiplied the number of bloodstream infections (BSIs) by a conversion factor derived from the European Centre for Disease Prevention and Control point prevalence survey of health-care-associated infections in European acute care hospitals in 2011–12 to estimate the number of non-BSIs. We developed disease outcome models for five types of infection on the basis of systematic reviews of the literature. Findings: From EARS-Net data collected between Jan 1, 2015, and Dec 31, 2015, we estimated 671 689 (95% uncertainty interval [UI] 583 148–763 966) infections with antibiotic-resistant bacteria, of which 63·5% (426 277 of 671 689) were associated with health care. These infections accounted for an estimated 33 110 (28 480–38 430) attributable deaths and 874 541 (768 837–989 068) DALYs. The burden for the EU and EEA was highest in infants (aged &lt;1 year) and people aged 65 years or older, had increased since 2007, and was highest in Italy and Greece. Interpretation: Our results present the health burden of five types of infection with antibiotic-resistant bacteria expressed, for the first time, in DALYs. The estimated burden of infections with antibiotic-resistant bacteria in the EU and EEA is substantial compared with that of other infectious diseases, and has increased since 2007. Our burden estimates provide useful information for public health decision-makers prioritising interventions for infectious diseases. Funding: European Centre for Disease Prevention and Control.","author":[{"dropping-particle":"","family":"Cassini","given":"Alessandro","non-dropping-particle":"","parse-names":false,"suffix":""},{"dropping-particle":"","family":"Högberg","given":"Liselotte Diaz","non-dropping-particle":"","parse-names":false,"suffix":""},{"dropping-particle":"","family":"Plachouras","given":"Diamantis","non-dropping-particle":"","parse-names":false,"suffix":""},{"dropping-particle":"","family":"Quattrocchi","given":"Annalisa","non-dropping-particle":"","parse-names":false,"suffix":""},{"dropping-particle":"","family":"Hoxha","given":"Ana","non-dropping-particle":"","parse-names":false,"suffix":""},{"dropping-particle":"","family":"Simonsen","given":"Gunnar Skov","non-dropping-particle":"","parse-names":false,"suffix":""},{"dropping-particle":"","family":"Colomb-Cotinat","given":"Mélanie","non-dropping-particle":"","parse-names":false,"suffix":""},{"dropping-particle":"","family":"Kretzschmar","given":"Mirjam E.","non-dropping-particle":"","parse-names":false,"suffix":""},{"dropping-particle":"","family":"Devleesschauwer","given":"Brecht","non-dropping-particle":"","parse-names":false,"suffix":""},{"dropping-particle":"","family":"Cecchini","given":"Michele","non-dropping-particle":"","parse-names":false,"suffix":""},{"dropping-particle":"","family":"Ouakrim","given":"Driss Ait","non-dropping-particle":"","parse-names":false,"suffix":""},{"dropping-particle":"","family":"Oliveira","given":"Tiago Cravo","non-dropping-particle":"","parse-names":false,"suffix":""},{"dropping-particle":"","family":"Struelens","given":"Marc J.","non-dropping-particle":"","parse-names":false,"suffix":""},{"dropping-particle":"","family":"Suetens","given":"Carl","non-dropping-particle":"","parse-names":false,"suffix":""},{"dropping-particle":"","family":"Monnet","given":"Dominique L.","non-dropping-particle":"","parse-names":false,"suffix":""},{"dropping-particle":"","family":"Strauss","given":"Reinhild","non-dropping-particle":"","parse-names":false,"suffix":""},{"dropping-particle":"","family":"Mertens","given":"Karl","non-dropping-particle":"","parse-names":false,"suffix":""},{"dropping-particle":"","family":"Struyf","given":"Thomas","non-dropping-particle":"","parse-names":false,"suffix":""},{"dropping-particle":"","family":"Catry","given":"Boudewijn","non-dropping-particle":"","parse-names":false,"suffix":""},{"dropping-particle":"","family":"Latour","given":"Katrien","non-dropping-particle":"","parse-names":false,"suffix":""},{"dropping-particle":"","family":"Ivanov","given":"Ivan N.","non-dropping-particle":"","parse-names":false,"suffix":""},{"dropping-particle":"","family":"Dobreva","given":"Elina G.","non-dropping-particle":"","parse-names":false,"suffix":""},{"dropping-particle":"","family":"Tambic Andraševic","given":"Arjana","non-dropping-particle":"","parse-names":false,"suffix":""},{"dropping-particle":"","family":"Soprek","given":"Silvija","non-dropping-particle":"","parse-names":false,"suffix":""},{"dropping-particle":"","family":"Budimir","given":"Ana","non-dropping-particle":"","parse-names":false,"suffix":""},{"dropping-particle":"","family":"Paphitou","given":"Niki","non-dropping-particle":"","parse-names":false,"suffix":""},{"dropping-particle":"","family":"Žemlicková","given":"Helena","non-dropping-particle":"","parse-names":false,"suffix":""},{"dropping-particle":"","family":"Schytte Olsen","given":"Stefan","non-dropping-particle":"","parse-names":false,"suffix":""},{"dropping-particle":"","family":"Wolff Sönksen","given":"Ute","non-dropping-particle":"","parse-names":false,"suffix":""},{"dropping-particle":"","family":"Märtin","given":"Pille","non-dropping-particle":"","parse-names":false,"suffix":""},{"dropping-particle":"","family":"Ivanova","given":"Marina","non-dropping-particle":"","parse-names":false,"suffix":""},{"dropping-particle":"","family":"Lyytikäinen","given":"Outi","non-dropping-particle":"","parse-names":false,"suffix":""},{"dropping-particle":"","family":"Jalava","given":"Jari","non-dropping-particle":"","parse-names":false,"suffix":""},{"dropping-particle":"","family":"Coignard","given":"Bruno","non-dropping-particle":"","parse-names":false,"suffix":""},{"dropping-particle":"","family":"Eckmanns","given":"Tim","non-dropping-particle":"","parse-names":false,"suffix":""},{"dropping-particle":"","family":"Abu Sin","given":"Muna","non-dropping-particle":"","parse-names":false,"suffix":""},{"dropping-particle":"","family":"Haller","given":"Sebastian","non-dropping-particle":"","parse-names":false,"suffix":""},{"dropping-particle":"","family":"Daikos","given":"George L.","non-dropping-particle":"","parse-names":false,"suffix":""},{"dropping-particle":"","family":"Gikas","given":"Achilleas","non-dropping-particle":"","parse-names":false,"suffix":""},{"dropping-particle":"","family":"Tsiodras","given":"Sotirios","non-dropping-particle":"","parse-names":false,"suffix":""},{"dropping-particle":"","family":"Kontopidou","given":"Flora","non-dropping-particle":"","parse-names":false,"suffix":""},{"dropping-particle":"","family":"Tóth","given":"Ákos","non-dropping-particle":"","parse-names":false,"suffix":""},{"dropping-particle":"","family":"Hajdu","given":"Ágnes","non-dropping-particle":"","parse-names":false,"suffix":""},{"dropping-particle":"","family":"Guólaugsson","given":"Ólafur","non-dropping-particle":"","parse-names":false,"suffix":""},{"dropping-particle":"","family":"Kristinsson","given":"Karl G.","non-dropping-particle":"","parse-names":false,"suffix":""},{"dropping-particle":"","family":"Murchan","given":"Stephen","non-dropping-particle":"","parse-names":false,"suffix":""},{"dropping-particle":"","family":"Burns","given":"Karen","non-dropping-particle":"","parse-names":false,"suffix":""},{"dropping-particle":"","family":"Pezzotti","given":"Patrizio","non-dropping-particle":"","parse-names":false,"suffix":""},{"dropping-particle":"","family":"Gagliotti","given":"Carlo","non-dropping-particle":"","parse-names":false,"suffix":""},{"dropping-particle":"","family":"Dumpis","given":"Uga","non-dropping-particle":"","parse-names":false,"suffix":""},{"dropping-particle":"","family":"Liuimiene","given":"Agne","non-dropping-particle":"","parse-names":false,"suffix":""},{"dropping-particle":"","family":"Perrin","given":"Monique","non-dropping-particle":"","parse-names":false,"suffix":""},{"dropping-particle":"","family":"Borg","given":"Michael A.","non-dropping-particle":"","parse-names":false,"suffix":""},{"dropping-particle":"","family":"Greeff","given":"Sabine C.","non-dropping-particle":"de","parse-names":false,"suffix":""},{"dropping-particle":"","family":"Monen","given":"Jos CM","non-dropping-particle":"","parse-names":false,"suffix":""},{"dropping-particle":"","family":"Koek","given":"Mayke BG","non-dropping-particle":"","parse-names":false,"suffix":""},{"dropping-particle":"","family":"Elstrøm","given":"Petter","non-dropping-particle":"","parse-names":false,"suffix":""},{"dropping-particle":"","family":"Zabicka","given":"Dorota","non-dropping-particle":"","parse-names":false,"suffix":""},{"dropping-particle":"","family":"Deptula","given":"Aleksander","non-dropping-particle":"","parse-names":false,"suffix":""},{"dropping-particle":"","family":"Hryniewicz","given":"Waleria","non-dropping-particle":"","parse-names":false,"suffix":""},{"dropping-particle":"","family":"Caniça","given":"Manuela","non-dropping-particle":"","parse-names":false,"suffix":""},{"dropping-particle":"","family":"Nogueira","given":"Paulo Jorge","non-dropping-particle":"","parse-names":false,"suffix":""},{"dropping-particle":"","family":"Fernandes","given":"Paulo André","non-dropping-particle":"","parse-names":false,"suffix":""},{"dropping-particle":"","family":"Manageiro","given":"Vera","non-dropping-particle":"","parse-names":false,"suffix":""},{"dropping-particle":"","family":"Popescu","given":"Gabriel A.","non-dropping-particle":"","parse-names":false,"suffix":""},{"dropping-particle":"","family":"Serban","given":"Roxana I.","non-dropping-particle":"","parse-names":false,"suffix":""},{"dropping-particle":"","family":"Schréterová","given":"Eva","non-dropping-particle":"","parse-names":false,"suffix":""},{"dropping-particle":"","family":"Litvová","given":"Slavka","non-dropping-particle":"","parse-names":false,"suffix":""},{"dropping-particle":"","family":"Štefkovicová","given":"Mária","non-dropping-particle":"","parse-names":false,"suffix":""},{"dropping-particle":"","family":"Kolman","given":"Jana","non-dropping-particle":"","parse-names":false,"suffix":""},{"dropping-particle":"","family":"Klavs","given":"Irena","non-dropping-particle":"","parse-names":false,"suffix":""},{"dropping-particle":"","family":"Korošec","given":"Aleš","non-dropping-particle":"","parse-names":false,"suffix":""},{"dropping-particle":"","family":"Aracil","given":"Belén","non-dropping-particle":"","parse-names":false,"suffix":""},{"dropping-particle":"","family":"Asensio","given":"Angel","non-dropping-particle":"","parse-names":false,"suffix":""},{"dropping-particle":"","family":"Pérez-Vázquez","given":"María","non-dropping-particle":"","parse-names":false,"suffix":""},{"dropping-particle":"","family":"Billström","given":"Hanna","non-dropping-particle":"","parse-names":false,"suffix":""},{"dropping-particle":"","family":"Larsson","given":"Sofie","non-dropping-particle":"","parse-names":false,"suffix":""},{"dropping-particle":"","family":"Reilly","given":"Jacqui S.","non-dropping-particle":"","parse-names":false,"suffix":""},{"dropping-particle":"","family":"Johnson","given":"Alan","non-dropping-particle":"","parse-names":false,"suffix":""},{"dropping-particle":"","family":"Hopkins","given":"Susan","non-dropping-particle":"","parse-names":false,"suffix":""}],"container-title":"The Lancet Infectious Diseases","id":"ITEM-1","issue":"1","issued":{"date-parts":[["2019","1","1"]]},"page":"56-66","publisher":"Lancet Publishing Group","title":"Attributable deaths and disability-adjusted life-years caused by infections with antibiotic-resistant bacteria in the EU and the European Economic Area in 2015: a population-level modelling analysis","type":"article-journal","volume":"19"},"uris":["http://www.mendeley.com/documents/?uuid=42c07945-ade3-3845-8f15-64a26814cbb3"]},{"id":"ITEM-2","itemData":{"DOI":"10.1371/journal.pone.0215666","ISBN":"1111111111","abstract":"Background","author":[{"dropping-particle":"","family":"Peters Id","given":"Lynn","non-dropping-particle":"","parse-names":false,"suffix":""},{"dropping-particle":"","family":"Olson","given":"Linus","non-dropping-particle":"","parse-names":false,"suffix":""},{"dropping-particle":"","family":"Khu","given":"Dung T K","non-dropping-particle":"","parse-names":false,"suffix":""},{"dropping-particle":"","family":"Linnros","given":"Sofia","non-dropping-particle":"","parse-names":false,"suffix":""},{"dropping-particle":"","family":"Le","given":"Ngai K","non-dropping-particle":"","parse-names":false,"suffix":""},{"dropping-particle":"","family":"Hanberger","given":"Håkan","non-dropping-particle":"","parse-names":false,"suffix":""},{"dropping-particle":"","family":"Hoang","given":"Ngoc T B","non-dropping-particle":"","parse-names":false,"suffix":""},{"dropping-particle":"","family":"Tran","given":"Dien M","non-dropping-particle":"","parse-names":false,"suffix":""},{"dropping-particle":"","family":"Larsson","given":"Mattias","non-dropping-particle":"","parse-names":false,"suffix":""}],"id":"ITEM-2","issued":{"date-parts":[["2019"]]},"title":"Multiple antibiotic resistance as a risk factor for mortality and prolonged hospital stay: A cohort study among neonatal intensive care patients with hospital-acquired infections caused by gram-negative bacteria in Vietnam","type":"article-journal"},"uris":["http://www.mendeley.com/documents/?uuid=ad58e1df-54d1-331f-8ab3-fd78fc3ec259"]}],"mendeley":{"formattedCitation":"(34,35)","plainTextFormattedCitation":"(34,35)","previouslyFormattedCitation":"(34)"},"properties":{"noteIndex":0},"schema":"https://github.com/citation-style-language/schema/raw/master/csl-citation.json"}</w:instrText>
      </w:r>
      <w:r w:rsidR="006A1273" w:rsidRPr="00EE2463">
        <w:rPr>
          <w:rFonts w:ascii="Calibri" w:hAnsi="Calibri" w:cs="Arial"/>
        </w:rPr>
        <w:fldChar w:fldCharType="separate"/>
      </w:r>
      <w:r w:rsidR="001F6113" w:rsidRPr="00EE2463">
        <w:rPr>
          <w:rFonts w:ascii="Calibri" w:hAnsi="Calibri" w:cs="Arial"/>
          <w:noProof/>
        </w:rPr>
        <w:t>(34,35)</w:t>
      </w:r>
      <w:r w:rsidR="006A1273" w:rsidRPr="00EE2463">
        <w:rPr>
          <w:rFonts w:ascii="Calibri" w:hAnsi="Calibri" w:cs="Arial"/>
        </w:rPr>
        <w:fldChar w:fldCharType="end"/>
      </w:r>
      <w:r w:rsidR="006A1273" w:rsidRPr="00EE2463">
        <w:rPr>
          <w:rFonts w:ascii="Calibri" w:hAnsi="Calibri" w:cs="Arial"/>
        </w:rPr>
        <w:t xml:space="preserve"> </w:t>
      </w:r>
      <w:r w:rsidRPr="00EE2463">
        <w:rPr>
          <w:rFonts w:ascii="Calibri" w:hAnsi="Calibri" w:cs="Arial"/>
        </w:rPr>
        <w:t>We</w:t>
      </w:r>
      <w:r w:rsidR="00167FDE" w:rsidRPr="00EE2463">
        <w:rPr>
          <w:rFonts w:ascii="Calibri" w:hAnsi="Calibri" w:cs="Arial"/>
        </w:rPr>
        <w:t xml:space="preserve"> calculated HAI as 2 or more calendar days after admission, however this may have overestimated the number of HAI since we were unable to calculate it in hours from admission. </w:t>
      </w:r>
      <w:r w:rsidR="006A1273" w:rsidRPr="00EE2463">
        <w:rPr>
          <w:rFonts w:ascii="Calibri" w:hAnsi="Calibri" w:cs="Arial"/>
        </w:rPr>
        <w:t xml:space="preserve">Although certain pathogens may be associated with mortality and specific comorbidities, our study was insufficiently powered to control for bacterial </w:t>
      </w:r>
      <w:r w:rsidR="24EA7D14" w:rsidRPr="00EE2463">
        <w:rPr>
          <w:rFonts w:ascii="Calibri" w:hAnsi="Calibri" w:cs="Arial"/>
        </w:rPr>
        <w:t>species,</w:t>
      </w:r>
      <w:r w:rsidR="006A1273" w:rsidRPr="00EE2463">
        <w:rPr>
          <w:rFonts w:ascii="Calibri" w:hAnsi="Calibri" w:cs="Arial"/>
        </w:rPr>
        <w:t xml:space="preserve"> so we opted to control for Gram-stain as a proxy. </w:t>
      </w:r>
    </w:p>
    <w:p w14:paraId="6F07656B" w14:textId="61C0A145" w:rsidR="006A1273" w:rsidRPr="00EE2463" w:rsidRDefault="006A1273" w:rsidP="459D99C6">
      <w:pPr>
        <w:spacing w:after="0" w:line="480" w:lineRule="auto"/>
        <w:rPr>
          <w:rFonts w:ascii="Calibri" w:hAnsi="Calibri" w:cs="Arial"/>
        </w:rPr>
      </w:pPr>
      <w:r w:rsidRPr="00EE2463">
        <w:rPr>
          <w:rFonts w:ascii="Calibri" w:hAnsi="Calibri" w:cs="Arial"/>
        </w:rPr>
        <w:t>We were very conservative with our definition of empiric treatment</w:t>
      </w:r>
      <w:r w:rsidR="0071438E" w:rsidRPr="00EE2463">
        <w:rPr>
          <w:rFonts w:ascii="Calibri" w:hAnsi="Calibri" w:cs="Arial"/>
        </w:rPr>
        <w:t xml:space="preserve"> as</w:t>
      </w:r>
      <w:r w:rsidRPr="00EE2463">
        <w:rPr>
          <w:rFonts w:ascii="Calibri" w:hAnsi="Calibri" w:cs="Arial"/>
        </w:rPr>
        <w:t xml:space="preserve"> </w:t>
      </w:r>
      <w:r w:rsidR="0071438E" w:rsidRPr="00EE2463">
        <w:rPr>
          <w:rFonts w:ascii="Calibri" w:hAnsi="Calibri" w:cs="Arial"/>
        </w:rPr>
        <w:t xml:space="preserve">the time from culture to full speciation and susceptibility is likely more than 2 days in many settings given microbiology capacity and laboratory result reporting systems. </w:t>
      </w:r>
      <w:r w:rsidRPr="00EE2463">
        <w:rPr>
          <w:rFonts w:ascii="Calibri" w:hAnsi="Calibri" w:cs="Arial"/>
        </w:rPr>
        <w:fldChar w:fldCharType="begin" w:fldLock="1"/>
      </w:r>
      <w:r w:rsidRPr="00EE2463">
        <w:rPr>
          <w:rFonts w:ascii="Calibri" w:hAnsi="Calibri" w:cs="Arial"/>
        </w:rPr>
        <w:instrText>ADDIN CSL_CITATION {"citationItems":[{"id":"ITEM-1","itemData":{"DOI":"10.1093/cid/ciu493","ISSN":"1537-6591","author":[{"dropping-particle":"","family":"MacFadden","given":"Derek R.","non-dropping-particle":"","parse-names":false,"suffix":""},{"dropping-particle":"","family":"Leis","given":"Jerome A.","non-dropping-particle":"","parse-names":false,"suffix":""},{"dropping-particle":"","family":"Mubareka","given":"Samira","non-dropping-particle":"","parse-names":false,"suffix":""},{"dropping-particle":"","family":"Daneman","given":"Nick","non-dropping-particle":"","parse-names":false,"suffix":""}],"container-title":"Clinical Infectious Diseases","id":"ITEM-1","issue":"8","issued":{"date-parts":[["2014","10","15"]]},"page":"1199-1200","publisher":"Narnia","title":"The Opening and Closing of Empiric Windows: The Impact of Rapid Microbiologic Diagnostics","type":"article-journal","volume":"59"},"uris":["http://www.mendeley.com/documents/?uuid=1b56d72b-997a-31b6-b494-6303f4241d96"]}],"mendeley":{"formattedCitation":"(5)","plainTextFormattedCitation":"(5)","previouslyFormattedCitation":"(5)"},"properties":{"noteIndex":0},"schema":"https://github.com/citation-style-language/schema/raw/master/csl-citation.json"}</w:instrText>
      </w:r>
      <w:r w:rsidRPr="00EE2463">
        <w:rPr>
          <w:rFonts w:ascii="Calibri" w:hAnsi="Calibri" w:cs="Arial"/>
        </w:rPr>
        <w:fldChar w:fldCharType="separate"/>
      </w:r>
      <w:r w:rsidR="00934DFF" w:rsidRPr="00EE2463">
        <w:rPr>
          <w:rFonts w:ascii="Calibri" w:hAnsi="Calibri" w:cs="Arial"/>
          <w:noProof/>
        </w:rPr>
        <w:t>(5)</w:t>
      </w:r>
      <w:r w:rsidRPr="00EE2463">
        <w:rPr>
          <w:rFonts w:ascii="Calibri" w:hAnsi="Calibri" w:cs="Arial"/>
        </w:rPr>
        <w:fldChar w:fldCharType="end"/>
      </w:r>
      <w:r w:rsidR="0071438E" w:rsidRPr="00EE2463">
        <w:rPr>
          <w:rFonts w:ascii="Calibri" w:hAnsi="Calibri" w:cs="Arial"/>
        </w:rPr>
        <w:t xml:space="preserve"> The observed </w:t>
      </w:r>
      <w:r w:rsidRPr="00EE2463">
        <w:rPr>
          <w:rFonts w:ascii="Calibri" w:hAnsi="Calibri" w:cs="Arial"/>
        </w:rPr>
        <w:t xml:space="preserve">high proportion of discordance </w:t>
      </w:r>
      <w:r w:rsidR="0071438E" w:rsidRPr="00EE2463">
        <w:rPr>
          <w:rFonts w:ascii="Calibri" w:hAnsi="Calibri" w:cs="Arial"/>
        </w:rPr>
        <w:t xml:space="preserve">in the first two days after culture </w:t>
      </w:r>
      <w:r w:rsidRPr="00EE2463">
        <w:rPr>
          <w:rFonts w:ascii="Calibri" w:hAnsi="Calibri" w:cs="Arial"/>
        </w:rPr>
        <w:t>indicates that clinicians likely would not have had microbiology data available at that time. Some residual discordance is expected even after access to susceptibility results due to highly resistant pathogens or lack of access to broader</w:t>
      </w:r>
      <w:r w:rsidR="0058565C" w:rsidRPr="00EE2463">
        <w:rPr>
          <w:rFonts w:ascii="Calibri" w:hAnsi="Calibri" w:cs="Arial"/>
        </w:rPr>
        <w:t>-</w:t>
      </w:r>
      <w:r w:rsidRPr="00EE2463">
        <w:rPr>
          <w:rFonts w:ascii="Calibri" w:hAnsi="Calibri" w:cs="Arial"/>
        </w:rPr>
        <w:t>spectrum treatment.</w:t>
      </w:r>
      <w:r w:rsidRPr="00EE2463">
        <w:rPr>
          <w:rFonts w:ascii="Calibri" w:hAnsi="Calibri" w:cs="Arial"/>
        </w:rPr>
        <w:fldChar w:fldCharType="begin" w:fldLock="1"/>
      </w:r>
      <w:r w:rsidR="001F6113" w:rsidRPr="00EE2463">
        <w:rPr>
          <w:rFonts w:ascii="Calibri" w:hAnsi="Calibri" w:cs="Arial"/>
        </w:rPr>
        <w:instrText>ADDIN CSL_CITATION {"citationItems":[{"id":"ITEM-1","itemData":{"DOI":"10.1186/s13054-018-2157-z","ISSN":"1364-8535","abstract":"Sepsis is a major contributor to the global burden of disease. The majority of sepsis cases and deaths are estimated to occur in low and middle-income countries. Barriers to reducing the global burden of sepsis include difficulty quantifying attributable morbidity and mortality, low awareness, poverty and health inequity, and under-resourced and low-resilience public health and acute health care delivery systems. Important differences in the populations at risk, infecting pathogens, and clinical capacity to manage sepsis in high and low-resource settings necessitate context-specific approaches to this significant problem. We review these challenges and propose strategies to overcome them. These strategies include strengthening health systems, accurately identifying and quantifying sepsis cases, conducting inclusive research, establishing data-driven and context-specific management guidelines, promoting creative clinical interventions, and advocacy.","author":[{"dropping-particle":"","family":"Rudd","given":"Kristina E.","non-dropping-particle":"","parse-names":false,"suffix":""},{"dropping-particle":"","family":"Kissoon","given":"Niranjan","non-dropping-particle":"","parse-names":false,"suffix":""},{"dropping-particle":"","family":"Limmathurotsakul","given":"Direk","non-dropping-particle":"","parse-names":false,"suffix":""},{"dropping-particle":"","family":"Bory","given":"Sotharith","non-dropping-particle":"","parse-names":false,"suffix":""},{"dropping-particle":"","family":"Mutahunga","given":"Birungi","non-dropping-particle":"","parse-names":false,"suffix":""},{"dropping-particle":"","family":"Seymour","given":"Christopher W.","non-dropping-particle":"","parse-names":false,"suffix":""},{"dropping-particle":"","family":"Angus","given":"Derek C.","non-dropping-particle":"","parse-names":false,"suffix":""},{"dropping-particle":"","family":"West","given":"T. Eoin","non-dropping-particle":"","parse-names":false,"suffix":""}],"container-title":"Critical Care","id":"ITEM-1","issue":"1","issued":{"date-parts":[["2018","12","23"]]},"page":"232","publisher":"BioMed Central","title":"The global burden of sepsis: barriers and potential solutions","type":"article-journal","volume":"22"},"uris":["http://www.mendeley.com/documents/?uuid=b0534e70-8cb9-39dc-a810-1df514722b9e"]},{"id":"ITEM-2","itemData":{"DOI":"10.1016/S0140-6736(15)00474-2","ISSN":"0140-6736","abstract":"Recent years have seen substantial improvements in life expectancy and access to antimicrobials, especially in low-income and lower-middle-income countries, but increasing pathogen resistance to antimicrobials threatens to roll back this progress. Resistant organisms in health-care and community settings pose a threat to survival rates from serious infections, including neonatal sepsis and health-care-associated infections, and limit the potential health benefits from surgeries, transplants, and cancer treatment. The challenge of simultaneously expanding appropriate access to antimicrobials, while restricting inappropriate access, particularly to expensive, newer generation antimicrobials, is unique in global health and requires new approaches to financing and delivering health care and a one-health perspective on the connections between pathogen transmission in animals and humans. Here, we describe the importance of effective antimicrobials. We assess the disease burden caused by limited access to antimicrobials, attributable to resistance to antimicrobials, and the potential effect of vaccines in restricting the need for antibiotics.","author":[{"dropping-particle":"","family":"Laxminarayan","given":"Ramanan","non-dropping-particle":"","parse-names":false,"suffix":""},{"dropping-particle":"","family":"Matsoso","given":"Precious","non-dropping-particle":"","parse-names":false,"suffix":""},{"dropping-particle":"","family":"Pant","given":"Suraj","non-dropping-particle":"","parse-names":false,"suffix":""},{"dropping-particle":"","family":"Brower","given":"Charles","non-dropping-particle":"","parse-names":false,"suffix":""},{"dropping-particle":"","family":"Røttingen","given":"John-Arne","non-dropping-particle":"","parse-names":false,"suffix":""},{"dropping-particle":"","family":"Klugman","given":"Keith","non-dropping-particle":"","parse-names":false,"suffix":""},{"dropping-particle":"","family":"Davies","given":"Sally","non-dropping-particle":"","parse-names":false,"suffix":""}],"container-title":"The Lancet","id":"ITEM-2","issue":"10014","issued":{"date-parts":[["2016","1","9"]]},"page":"168-175","publisher":"Elsevier","title":"Access to effective antimicrobials: a worldwide challenge","type":"article-journal","volume":"387"},"uris":["http://www.mendeley.com/documents/?uuid=db97d21d-b343-382e-b4f6-633bae0053da"]}],"mendeley":{"formattedCitation":"(36,37)","plainTextFormattedCitation":"(36,37)","previouslyFormattedCitation":"(35,36)"},"properties":{"noteIndex":0},"schema":"https://github.com/citation-style-language/schema/raw/master/csl-citation.json"}</w:instrText>
      </w:r>
      <w:r w:rsidRPr="00EE2463">
        <w:rPr>
          <w:rFonts w:ascii="Calibri" w:hAnsi="Calibri" w:cs="Arial"/>
        </w:rPr>
        <w:fldChar w:fldCharType="separate"/>
      </w:r>
      <w:r w:rsidR="001F6113" w:rsidRPr="00EE2463">
        <w:rPr>
          <w:rFonts w:ascii="Calibri" w:hAnsi="Calibri" w:cs="Arial"/>
          <w:noProof/>
        </w:rPr>
        <w:t>(36,37)</w:t>
      </w:r>
      <w:r w:rsidRPr="00EE2463">
        <w:rPr>
          <w:rFonts w:ascii="Calibri" w:hAnsi="Calibri" w:cs="Arial"/>
        </w:rPr>
        <w:fldChar w:fldCharType="end"/>
      </w:r>
      <w:r w:rsidRPr="00EE2463">
        <w:rPr>
          <w:rFonts w:ascii="Calibri" w:hAnsi="Calibri" w:cs="Arial"/>
        </w:rPr>
        <w:t xml:space="preserve"> Despite our conservative estimate of empiric treatment, we assume some transfer of information (e.g. Gram </w:t>
      </w:r>
      <w:r w:rsidRPr="00EE2463">
        <w:rPr>
          <w:rFonts w:ascii="Calibri" w:hAnsi="Calibri" w:cs="Arial"/>
        </w:rPr>
        <w:lastRenderedPageBreak/>
        <w:t xml:space="preserve">stain) from microbiology to clinicians must have occurred in </w:t>
      </w:r>
      <w:r w:rsidR="0071438E" w:rsidRPr="00EE2463">
        <w:rPr>
          <w:rFonts w:ascii="Calibri" w:hAnsi="Calibri" w:cs="Arial"/>
        </w:rPr>
        <w:t>this period</w:t>
      </w:r>
      <w:r w:rsidRPr="00EE2463">
        <w:rPr>
          <w:rFonts w:ascii="Calibri" w:hAnsi="Calibri" w:cs="Arial"/>
        </w:rPr>
        <w:t xml:space="preserve"> after culture because a reduction in discordance was observed</w:t>
      </w:r>
      <w:r w:rsidR="00C25A0B" w:rsidRPr="00EE2463">
        <w:rPr>
          <w:rFonts w:ascii="Calibri" w:hAnsi="Calibri" w:cs="Arial"/>
        </w:rPr>
        <w:t xml:space="preserve"> between the first empiric and overall empiric cohort</w:t>
      </w:r>
      <w:r w:rsidRPr="00EE2463">
        <w:rPr>
          <w:rFonts w:ascii="Calibri" w:hAnsi="Calibri" w:cs="Arial"/>
        </w:rPr>
        <w:t xml:space="preserve">. </w:t>
      </w:r>
      <w:r w:rsidR="00C25A0B" w:rsidRPr="00EE2463">
        <w:rPr>
          <w:rFonts w:ascii="Calibri" w:hAnsi="Calibri" w:cs="Arial"/>
        </w:rPr>
        <w:t>W</w:t>
      </w:r>
      <w:r w:rsidRPr="00EE2463">
        <w:rPr>
          <w:rFonts w:ascii="Calibri" w:hAnsi="Calibri" w:cs="Arial"/>
        </w:rPr>
        <w:t xml:space="preserve">e used site-reported SIR </w:t>
      </w:r>
      <w:r w:rsidR="00C25A0B" w:rsidRPr="00EE2463">
        <w:rPr>
          <w:rFonts w:ascii="Calibri" w:hAnsi="Calibri" w:cs="Arial"/>
        </w:rPr>
        <w:t xml:space="preserve">(susceptible, intermediate, resistant) </w:t>
      </w:r>
      <w:r w:rsidRPr="00EE2463">
        <w:rPr>
          <w:rFonts w:ascii="Calibri" w:hAnsi="Calibri" w:cs="Arial"/>
        </w:rPr>
        <w:t xml:space="preserve">for each bug-drug combination, however we used EUCAST interpretive algorithms to define concordance to empiric regimens. We were conservative with our definition of resistant (e.g. coding intermediate as resistant) to try to account for any possible differences in breakpoints between </w:t>
      </w:r>
      <w:r w:rsidR="00C25A0B" w:rsidRPr="00EE2463">
        <w:rPr>
          <w:rFonts w:ascii="Calibri" w:hAnsi="Calibri" w:cs="Arial"/>
        </w:rPr>
        <w:t xml:space="preserve">Clinical &amp; Laboratory Standards Institute (CLSI) </w:t>
      </w:r>
      <w:r w:rsidRPr="00EE2463">
        <w:rPr>
          <w:rFonts w:ascii="Calibri" w:hAnsi="Calibri" w:cs="Arial"/>
        </w:rPr>
        <w:t>and EUCAST</w:t>
      </w:r>
      <w:r w:rsidR="00C25A0B" w:rsidRPr="00EE2463">
        <w:rPr>
          <w:rFonts w:ascii="Calibri" w:hAnsi="Calibri" w:cs="Arial"/>
        </w:rPr>
        <w:t xml:space="preserve"> as some sites used CLSI standards for determining SIR</w:t>
      </w:r>
      <w:r w:rsidR="0097710F" w:rsidRPr="00EE2463">
        <w:rPr>
          <w:rFonts w:ascii="Calibri" w:hAnsi="Calibri" w:cs="Arial"/>
        </w:rPr>
        <w:t xml:space="preserve">, however </w:t>
      </w:r>
      <w:r w:rsidR="6ED39683" w:rsidRPr="00EE2463">
        <w:rPr>
          <w:rFonts w:ascii="Calibri" w:hAnsi="Calibri" w:cs="Arial"/>
        </w:rPr>
        <w:t xml:space="preserve">interpretive criteria </w:t>
      </w:r>
      <w:r w:rsidR="0097710F" w:rsidRPr="00EE2463">
        <w:rPr>
          <w:rFonts w:ascii="Calibri" w:hAnsi="Calibri" w:cs="Arial"/>
        </w:rPr>
        <w:t>may differ between the two standards</w:t>
      </w:r>
      <w:r w:rsidRPr="00EE2463">
        <w:rPr>
          <w:rFonts w:ascii="Calibri" w:hAnsi="Calibri" w:cs="Arial"/>
        </w:rPr>
        <w:t>.</w:t>
      </w:r>
      <w:r w:rsidR="00F64585" w:rsidRPr="00EE2463">
        <w:rPr>
          <w:rFonts w:ascii="Calibri" w:hAnsi="Calibri" w:cs="Arial"/>
        </w:rPr>
        <w:fldChar w:fldCharType="begin" w:fldLock="1"/>
      </w:r>
      <w:r w:rsidR="001F6113" w:rsidRPr="00EE2463">
        <w:rPr>
          <w:rFonts w:ascii="Calibri" w:hAnsi="Calibri" w:cs="Arial"/>
        </w:rPr>
        <w:instrText>ADDIN CSL_CITATION {"citationItems":[{"id":"ITEM-1","itemData":{"DOI":"10.1016/j.cmi.2019.03.016","ISSN":"14690691","PMID":"30922928","author":[{"dropping-particle":"","family":"Cusack","given":"T. P.","non-dropping-particle":"","parse-names":false,"suffix":""},{"dropping-particle":"","family":"Ashley","given":"E. A.","non-dropping-particle":"","parse-names":false,"suffix":""},{"dropping-particle":"","family":"Ling","given":"C. L.","non-dropping-particle":"","parse-names":false,"suffix":""},{"dropping-particle":"","family":"Roberts","given":"T.","non-dropping-particle":"","parse-names":false,"suffix":""},{"dropping-particle":"","family":"Turner","given":"P.","non-dropping-particle":"","parse-names":false,"suffix":""},{"dropping-particle":"","family":"Wangrangsimakul","given":"T.","non-dropping-particle":"","parse-names":false,"suffix":""},{"dropping-particle":"","family":"Dance","given":"D. A.B.","non-dropping-particle":"","parse-names":false,"suffix":""}],"container-title":"Clinical Microbiology and Infection","id":"ITEM-1","issue":"7","issued":{"date-parts":[["2019","7","1"]]},"page":"782-785","publisher":"Elsevier B.V.","title":"Time to switch from CLSI to EUCAST? A Southeast Asian perspective","type":"article","volume":"25"},"uris":["http://www.mendeley.com/documents/?uuid=def1bb80-7c65-36b4-86ad-53f894798488"]}],"mendeley":{"formattedCitation":"(38)","plainTextFormattedCitation":"(38)","previouslyFormattedCitation":"(37)"},"properties":{"noteIndex":0},"schema":"https://github.com/citation-style-language/schema/raw/master/csl-citation.json"}</w:instrText>
      </w:r>
      <w:r w:rsidR="00F64585" w:rsidRPr="00EE2463">
        <w:rPr>
          <w:rFonts w:ascii="Calibri" w:hAnsi="Calibri" w:cs="Arial"/>
        </w:rPr>
        <w:fldChar w:fldCharType="separate"/>
      </w:r>
      <w:r w:rsidR="001F6113" w:rsidRPr="00EE2463">
        <w:rPr>
          <w:rFonts w:ascii="Calibri" w:hAnsi="Calibri" w:cs="Arial"/>
          <w:noProof/>
        </w:rPr>
        <w:t>(38)</w:t>
      </w:r>
      <w:r w:rsidR="00F64585" w:rsidRPr="00EE2463">
        <w:rPr>
          <w:rFonts w:ascii="Calibri" w:hAnsi="Calibri" w:cs="Arial"/>
        </w:rPr>
        <w:fldChar w:fldCharType="end"/>
      </w:r>
      <w:r w:rsidRPr="00EE2463">
        <w:rPr>
          <w:rFonts w:ascii="Calibri" w:hAnsi="Calibri" w:cs="Arial"/>
        </w:rPr>
        <w:t xml:space="preserve"> </w:t>
      </w:r>
    </w:p>
    <w:p w14:paraId="7B5786C7" w14:textId="142B7053" w:rsidR="00A8139D" w:rsidRPr="00EE2463" w:rsidRDefault="006A1273" w:rsidP="005319E4">
      <w:pPr>
        <w:spacing w:after="0" w:line="480" w:lineRule="auto"/>
        <w:rPr>
          <w:rFonts w:ascii="Calibri" w:hAnsi="Calibri" w:cs="Arial"/>
        </w:rPr>
      </w:pPr>
      <w:r w:rsidRPr="00EE2463">
        <w:rPr>
          <w:rFonts w:ascii="Calibri" w:hAnsi="Calibri" w:cs="Arial"/>
        </w:rPr>
        <w:t>Even in high income settings it can take more than 50 hours from culture to speciation</w:t>
      </w:r>
      <w:r w:rsidR="0060516E" w:rsidRPr="00EE2463">
        <w:rPr>
          <w:rFonts w:ascii="Calibri" w:hAnsi="Calibri" w:cs="Arial"/>
        </w:rPr>
        <w:t>,</w:t>
      </w:r>
      <w:r w:rsidRPr="00EE2463">
        <w:rPr>
          <w:rFonts w:ascii="Calibri" w:hAnsi="Calibri" w:cs="Arial"/>
        </w:rPr>
        <w:fldChar w:fldCharType="begin" w:fldLock="1"/>
      </w:r>
      <w:r w:rsidR="009B2E37" w:rsidRPr="00EE2463">
        <w:rPr>
          <w:rFonts w:ascii="Calibri" w:hAnsi="Calibri" w:cs="Arial"/>
        </w:rPr>
        <w:instrText>ADDIN CSL_CITATION {"citationItems":[{"id":"ITEM-1","itemData":{"DOI":"10.1093/cid/ciu493","ISSN":"1537-6591","author":[{"dropping-particle":"","family":"MacFadden","given":"Derek R.","non-dropping-particle":"","parse-names":false,"suffix":""},{"dropping-particle":"","family":"Leis","given":"Jerome A.","non-dropping-particle":"","parse-names":false,"suffix":""},{"dropping-particle":"","family":"Mubareka","given":"Samira","non-dropping-particle":"","parse-names":false,"suffix":""},{"dropping-particle":"","family":"Daneman","given":"Nick","non-dropping-particle":"","parse-names":false,"suffix":""}],"container-title":"Clinical Infectious Diseases","id":"ITEM-1","issue":"8","issued":{"date-parts":[["2014","10","15"]]},"page":"1199-1200","publisher":"Narnia","title":"The Opening and Closing of Empiric Windows: The Impact of Rapid Microbiologic Diagnostics","type":"article-journal","volume":"59"},"uris":["http://www.mendeley.com/documents/?uuid=1b56d72b-997a-31b6-b494-6303f4241d96"]}],"mendeley":{"formattedCitation":"(5)","plainTextFormattedCitation":"(5)","previouslyFormattedCitation":"(5)"},"properties":{"noteIndex":0},"schema":"https://github.com/citation-style-language/schema/raw/master/csl-citation.json"}</w:instrText>
      </w:r>
      <w:r w:rsidRPr="00EE2463">
        <w:rPr>
          <w:rFonts w:ascii="Calibri" w:hAnsi="Calibri" w:cs="Arial"/>
        </w:rPr>
        <w:fldChar w:fldCharType="separate"/>
      </w:r>
      <w:r w:rsidR="00934DFF" w:rsidRPr="00EE2463">
        <w:rPr>
          <w:rFonts w:ascii="Calibri" w:hAnsi="Calibri" w:cs="Arial"/>
          <w:noProof/>
        </w:rPr>
        <w:t>(5)</w:t>
      </w:r>
      <w:r w:rsidRPr="00EE2463">
        <w:rPr>
          <w:rFonts w:ascii="Calibri" w:hAnsi="Calibri" w:cs="Arial"/>
        </w:rPr>
        <w:fldChar w:fldCharType="end"/>
      </w:r>
      <w:r w:rsidRPr="00EE2463">
        <w:rPr>
          <w:rFonts w:ascii="Calibri" w:hAnsi="Calibri" w:cs="Arial"/>
        </w:rPr>
        <w:t xml:space="preserve"> with longer timelines in the </w:t>
      </w:r>
      <w:r w:rsidR="00DB7E98" w:rsidRPr="00EE2463">
        <w:rPr>
          <w:rFonts w:ascii="Calibri" w:hAnsi="Calibri" w:cs="Arial"/>
        </w:rPr>
        <w:t>l</w:t>
      </w:r>
      <w:r w:rsidR="007A272F" w:rsidRPr="00EE2463">
        <w:rPr>
          <w:rFonts w:ascii="Calibri" w:hAnsi="Calibri" w:cs="Arial"/>
        </w:rPr>
        <w:t xml:space="preserve">ow and </w:t>
      </w:r>
      <w:r w:rsidR="00DB7E98" w:rsidRPr="00EE2463">
        <w:rPr>
          <w:rFonts w:ascii="Calibri" w:hAnsi="Calibri" w:cs="Arial"/>
        </w:rPr>
        <w:t>m</w:t>
      </w:r>
      <w:r w:rsidR="007A272F" w:rsidRPr="00EE2463">
        <w:rPr>
          <w:rFonts w:ascii="Calibri" w:hAnsi="Calibri" w:cs="Arial"/>
        </w:rPr>
        <w:t xml:space="preserve">iddle </w:t>
      </w:r>
      <w:r w:rsidR="00DB7E98" w:rsidRPr="00EE2463">
        <w:rPr>
          <w:rFonts w:ascii="Calibri" w:hAnsi="Calibri" w:cs="Arial"/>
        </w:rPr>
        <w:t>i</w:t>
      </w:r>
      <w:r w:rsidR="007A272F" w:rsidRPr="00EE2463">
        <w:rPr>
          <w:rFonts w:ascii="Calibri" w:hAnsi="Calibri" w:cs="Arial"/>
        </w:rPr>
        <w:t xml:space="preserve">ncome </w:t>
      </w:r>
      <w:r w:rsidR="00DB7E98" w:rsidRPr="00EE2463">
        <w:rPr>
          <w:rFonts w:ascii="Calibri" w:hAnsi="Calibri" w:cs="Arial"/>
        </w:rPr>
        <w:t>c</w:t>
      </w:r>
      <w:r w:rsidR="007A272F" w:rsidRPr="00EE2463">
        <w:rPr>
          <w:rFonts w:ascii="Calibri" w:hAnsi="Calibri" w:cs="Arial"/>
        </w:rPr>
        <w:t>ountry (</w:t>
      </w:r>
      <w:r w:rsidRPr="00EE2463">
        <w:rPr>
          <w:rFonts w:ascii="Calibri" w:hAnsi="Calibri" w:cs="Arial"/>
        </w:rPr>
        <w:t>LMIC</w:t>
      </w:r>
      <w:r w:rsidR="007A272F" w:rsidRPr="00EE2463">
        <w:rPr>
          <w:rFonts w:ascii="Calibri" w:hAnsi="Calibri" w:cs="Arial"/>
        </w:rPr>
        <w:t>)</w:t>
      </w:r>
      <w:r w:rsidRPr="00EE2463">
        <w:rPr>
          <w:rFonts w:ascii="Calibri" w:hAnsi="Calibri" w:cs="Arial"/>
        </w:rPr>
        <w:t xml:space="preserve"> setting due to lack of microbiology resources.</w:t>
      </w:r>
      <w:r w:rsidRPr="00EE2463">
        <w:rPr>
          <w:rFonts w:ascii="Calibri" w:hAnsi="Calibri" w:cs="Arial"/>
        </w:rPr>
        <w:fldChar w:fldCharType="begin" w:fldLock="1"/>
      </w:r>
      <w:r w:rsidR="001F6113" w:rsidRPr="00EE2463">
        <w:rPr>
          <w:rFonts w:ascii="Calibri" w:hAnsi="Calibri" w:cs="Arial"/>
        </w:rPr>
        <w:instrText>ADDIN CSL_CITATION {"citationItems":[{"id":"ITEM-1","itemData":{"DOI":"10.1186/s13054-018-2157-z","ISSN":"1364-8535","abstract":"Sepsis is a major contributor to the global burden of disease. The majority of sepsis cases and deaths are estimated to occur in low and middle-income countries. Barriers to reducing the global burden of sepsis include difficulty quantifying attributable morbidity and mortality, low awareness, poverty and health inequity, and under-resourced and low-resilience public health and acute health care delivery systems. Important differences in the populations at risk, infecting pathogens, and clinical capacity to manage sepsis in high and low-resource settings necessitate context-specific approaches to this significant problem. We review these challenges and propose strategies to overcome them. These strategies include strengthening health systems, accurately identifying and quantifying sepsis cases, conducting inclusive research, establishing data-driven and context-specific management guidelines, promoting creative clinical interventions, and advocacy.","author":[{"dropping-particle":"","family":"Rudd","given":"Kristina E.","non-dropping-particle":"","parse-names":false,"suffix":""},{"dropping-particle":"","family":"Kissoon","given":"Niranjan","non-dropping-particle":"","parse-names":false,"suffix":""},{"dropping-particle":"","family":"Limmathurotsakul","given":"Direk","non-dropping-particle":"","parse-names":false,"suffix":""},{"dropping-particle":"","family":"Bory","given":"Sotharith","non-dropping-particle":"","parse-names":false,"suffix":""},{"dropping-particle":"","family":"Mutahunga","given":"Birungi","non-dropping-particle":"","parse-names":false,"suffix":""},{"dropping-particle":"","family":"Seymour","given":"Christopher W.","non-dropping-particle":"","parse-names":false,"suffix":""},{"dropping-particle":"","family":"Angus","given":"Derek C.","non-dropping-particle":"","parse-names":false,"suffix":""},{"dropping-particle":"","family":"West","given":"T. Eoin","non-dropping-particle":"","parse-names":false,"suffix":""}],"container-title":"Critical Care","id":"ITEM-1","issue":"1","issued":{"date-parts":[["2018","12","23"]]},"page":"232","publisher":"BioMed Central","title":"The global burden of sepsis: barriers and potential solutions","type":"article-journal","volume":"22"},"uris":["http://www.mendeley.com/documents/?uuid=b0534e70-8cb9-39dc-a810-1df514722b9e"]}],"mendeley":{"formattedCitation":"(36)","plainTextFormattedCitation":"(36)","previouslyFormattedCitation":"(35)"},"properties":{"noteIndex":0},"schema":"https://github.com/citation-style-language/schema/raw/master/csl-citation.json"}</w:instrText>
      </w:r>
      <w:r w:rsidRPr="00EE2463">
        <w:rPr>
          <w:rFonts w:ascii="Calibri" w:hAnsi="Calibri" w:cs="Arial"/>
        </w:rPr>
        <w:fldChar w:fldCharType="separate"/>
      </w:r>
      <w:r w:rsidR="001F6113" w:rsidRPr="00EE2463">
        <w:rPr>
          <w:rFonts w:ascii="Calibri" w:hAnsi="Calibri" w:cs="Arial"/>
          <w:noProof/>
        </w:rPr>
        <w:t>(36)</w:t>
      </w:r>
      <w:r w:rsidRPr="00EE2463">
        <w:rPr>
          <w:rFonts w:ascii="Calibri" w:hAnsi="Calibri" w:cs="Arial"/>
        </w:rPr>
        <w:fldChar w:fldCharType="end"/>
      </w:r>
      <w:r w:rsidRPr="00EE2463">
        <w:rPr>
          <w:rFonts w:ascii="Calibri" w:hAnsi="Calibri" w:cs="Arial"/>
        </w:rPr>
        <w:t xml:space="preserve"> Improving microbiology facilities, particularly in </w:t>
      </w:r>
      <w:r w:rsidR="00E615E3" w:rsidRPr="00EE2463">
        <w:rPr>
          <w:rFonts w:ascii="Calibri" w:hAnsi="Calibri" w:cs="Arial"/>
        </w:rPr>
        <w:t>LMIC</w:t>
      </w:r>
      <w:r w:rsidRPr="00EE2463">
        <w:rPr>
          <w:rFonts w:ascii="Calibri" w:hAnsi="Calibri" w:cs="Arial"/>
        </w:rPr>
        <w:t>, to allow for timely processing and dissemination of results from microbiology labs to clinicians is important to improve targeted treatment and to allow for local resistance patterns to be incorporated into institution, national or regional treatment guidelines.</w:t>
      </w:r>
      <w:r w:rsidRPr="00EE2463">
        <w:rPr>
          <w:rFonts w:ascii="Calibri" w:hAnsi="Calibri" w:cs="Arial"/>
        </w:rPr>
        <w:fldChar w:fldCharType="begin" w:fldLock="1"/>
      </w:r>
      <w:r w:rsidR="001F6113" w:rsidRPr="00EE2463">
        <w:rPr>
          <w:rFonts w:ascii="Calibri" w:hAnsi="Calibri" w:cs="Arial"/>
        </w:rPr>
        <w:instrText>ADDIN CSL_CITATION {"citationItems":[{"id":"ITEM-1","itemData":{"DOI":"10.1093/cid/ciu493","ISSN":"1537-6591","author":[{"dropping-particle":"","family":"MacFadden","given":"Derek R.","non-dropping-particle":"","parse-names":false,"suffix":""},{"dropping-particle":"","family":"Leis","given":"Jerome A.","non-dropping-particle":"","parse-names":false,"suffix":""},{"dropping-particle":"","family":"Mubareka","given":"Samira","non-dropping-particle":"","parse-names":false,"suffix":""},{"dropping-particle":"","family":"Daneman","given":"Nick","non-dropping-particle":"","parse-names":false,"suffix":""}],"container-title":"Clinical Infectious Diseases","id":"ITEM-1","issue":"8","issued":{"date-parts":[["2014","10","15"]]},"page":"1199-1200","publisher":"Narnia","title":"The Opening and Closing of Empiric Windows: The Impact of Rapid Microbiologic Diagnostics","type":"article-journal","volume":"59"},"uris":["http://www.mendeley.com/documents/?uuid=1b56d72b-997a-31b6-b494-6303f4241d96"]},{"id":"ITEM-2","itemData":{"DOI":"10.1186/s13054-018-2157-z","ISSN":"1364-8535","abstract":"Sepsis is a major contributor to the global burden of disease. The majority of sepsis cases and deaths are estimated to occur in low and middle-income countries. Barriers to reducing the global burden of sepsis include difficulty quantifying attributable morbidity and mortality, low awareness, poverty and health inequity, and under-resourced and low-resilience public health and acute health care delivery systems. Important differences in the populations at risk, infecting pathogens, and clinical capacity to manage sepsis in high and low-resource settings necessitate context-specific approaches to this significant problem. We review these challenges and propose strategies to overcome them. These strategies include strengthening health systems, accurately identifying and quantifying sepsis cases, conducting inclusive research, establishing data-driven and context-specific management guidelines, promoting creative clinical interventions, and advocacy.","author":[{"dropping-particle":"","family":"Rudd","given":"Kristina E.","non-dropping-particle":"","parse-names":false,"suffix":""},{"dropping-particle":"","family":"Kissoon","given":"Niranjan","non-dropping-particle":"","parse-names":false,"suffix":""},{"dropping-particle":"","family":"Limmathurotsakul","given":"Direk","non-dropping-particle":"","parse-names":false,"suffix":""},{"dropping-particle":"","family":"Bory","given":"Sotharith","non-dropping-particle":"","parse-names":false,"suffix":""},{"dropping-particle":"","family":"Mutahunga","given":"Birungi","non-dropping-particle":"","parse-names":false,"suffix":""},{"dropping-particle":"","family":"Seymour","given":"Christopher W.","non-dropping-particle":"","parse-names":false,"suffix":""},{"dropping-particle":"","family":"Angus","given":"Derek C.","non-dropping-particle":"","parse-names":false,"suffix":""},{"dropping-particle":"","family":"West","given":"T. Eoin","non-dropping-particle":"","parse-names":false,"suffix":""}],"container-title":"Critical Care","id":"ITEM-2","issue":"1","issued":{"date-parts":[["2018","12","23"]]},"page":"232","publisher":"BioMed Central","title":"The global burden of sepsis: barriers and potential solutions","type":"article-journal","volume":"22"},"uris":["http://www.mendeley.com/documents/?uuid=b0534e70-8cb9-39dc-a810-1df514722b9e"]},{"id":"ITEM-3","itemData":{"DOI":"10.1007/s00134-012-2769-8","ISSN":"0342-4642","author":[{"dropping-particle":"","family":"Dellinger","given":"R. P.","non-dropping-particle":"","parse-names":false,"suffix":""},{"dropping-particle":"","family":"Levy","given":"Mitchell M.","non-dropping-particle":"","parse-names":false,"suffix":""},{"dropping-particle":"","family":"Rhodes","given":"Andrew","non-dropping-particle":"","parse-names":false,"suffix":""},{"dropping-particle":"","family":"Annane","given":"Djillali","non-dropping-particle":"","parse-names":false,"suffix":""},{"dropping-particle":"","family":"Gerlach","given":"Herwig","non-dropping-particle":"","parse-names":false,"suffix":""},{"dropping-particle":"","family":"Opal","given":"Steven M.","non-dropping-particle":"","parse-names":false,"suffix":""},{"dropping-particle":"","family":"Sevransky","given":"Jonathan E.","non-dropping-particle":"","parse-names":false,"suffix":""},{"dropping-particle":"","family":"Sprung","given":"Charles L.","non-dropping-particle":"","parse-names":false,"suffix":""},{"dropping-particle":"","family":"Douglas","given":"Ivor S.","non-dropping-particle":"","parse-names":false,"suffix":""},{"dropping-particle":"","family":"Jaeschke","given":"Roman","non-dropping-particle":"","parse-names":false,"suffix":""},{"dropping-particle":"","family":"Osborn","given":"Tiffany M.","non-dropping-particle":"","parse-names":false,"suffix":""},{"dropping-particle":"","family":"Nunnally","given":"Mark E.","non-dropping-particle":"","parse-names":false,"suffix":""},{"dropping-particle":"","family":"Townsend","given":"Sean R.","non-dropping-particle":"","parse-names":false,"suffix":""},{"dropping-particle":"","family":"Reinhart","given":"Konrad","non-dropping-particle":"","parse-names":false,"suffix":""},{"dropping-particle":"","family":"Kleinpell","given":"Ruth M.","non-dropping-particle":"","parse-names":false,"suffix":""},{"dropping-particle":"","family":"Angus","given":"Derek C.","non-dropping-particle":"","parse-names":false,"suffix":""},{"dropping-particle":"","family":"Deutschman","given":"Clifford S.","non-dropping-particle":"","parse-names":false,"suffix":""},{"dropping-particle":"","family":"Machado","given":"Flavia R.","non-dropping-particle":"","parse-names":false,"suffix":""},{"dropping-particle":"","family":"Rubenfeld","given":"Gordon D.","non-dropping-particle":"","parse-names":false,"suffix":""},{"dropping-particle":"","family":"Webb","given":"Steven","non-dropping-particle":"","parse-names":false,"suffix":""},{"dropping-particle":"","family":"Beale","given":"Richard J.","non-dropping-particle":"","parse-names":false,"suffix":""},{"dropping-particle":"","family":"Vincent","given":"Jean-Louis","non-dropping-particle":"","parse-names":false,"suffix":""},{"dropping-particle":"","family":"Moreno","given":"Rui","non-dropping-particle":"","parse-names":false,"suffix":""},{"dropping-particle":"","family":"Subgroup*","given":"The Surviving Sepsis Campaign Guidelines Committee including The Pediatric","non-dropping-particle":"","parse-names":false,"suffix":""}],"container-title":"Intensive Care Medicine","id":"ITEM-3","issue":"2","issued":{"date-parts":[["2013","2"]]},"page":"165-228","publisher":"Springer-Verlag","title":"Surviving Sepsis Campaign: International Guidelines for Management of Severe Sepsis and Septic Shock, 2012","type":"article-journal","volume":"39"},"uris":["http://www.mendeley.com/documents/?uuid=114f051a-8283-3b76-9336-d4e56dcc5691"]}],"mendeley":{"formattedCitation":"(5,36,39)","plainTextFormattedCitation":"(5,36,39)","previouslyFormattedCitation":"(5,35,38)"},"properties":{"noteIndex":0},"schema":"https://github.com/citation-style-language/schema/raw/master/csl-citation.json"}</w:instrText>
      </w:r>
      <w:r w:rsidRPr="00EE2463">
        <w:rPr>
          <w:rFonts w:ascii="Calibri" w:hAnsi="Calibri" w:cs="Arial"/>
        </w:rPr>
        <w:fldChar w:fldCharType="separate"/>
      </w:r>
      <w:r w:rsidR="001F6113" w:rsidRPr="00EE2463">
        <w:rPr>
          <w:rFonts w:ascii="Calibri" w:hAnsi="Calibri" w:cs="Arial"/>
          <w:noProof/>
        </w:rPr>
        <w:t>(5,36,39)</w:t>
      </w:r>
      <w:r w:rsidRPr="00EE2463">
        <w:rPr>
          <w:rFonts w:ascii="Calibri" w:hAnsi="Calibri" w:cs="Arial"/>
        </w:rPr>
        <w:fldChar w:fldCharType="end"/>
      </w:r>
      <w:r w:rsidRPr="00EE2463">
        <w:rPr>
          <w:rFonts w:ascii="Calibri" w:hAnsi="Calibri" w:cs="Arial"/>
        </w:rPr>
        <w:t xml:space="preserve"> Larger studies in diverse hospital settings will need to be done to quantify the effect of early concordant treatment on survival.</w:t>
      </w:r>
      <w:r w:rsidR="0025492E" w:rsidRPr="00EE2463">
        <w:rPr>
          <w:rFonts w:ascii="Calibri" w:hAnsi="Calibri" w:cs="Arial"/>
        </w:rPr>
        <w:t xml:space="preserve"> </w:t>
      </w:r>
    </w:p>
    <w:p w14:paraId="5FCBD1E8" w14:textId="6A5520DD" w:rsidR="00A8139D" w:rsidRPr="00EE2463" w:rsidRDefault="0025492E" w:rsidP="459D99C6">
      <w:pPr>
        <w:spacing w:after="0" w:line="480" w:lineRule="auto"/>
        <w:rPr>
          <w:rFonts w:ascii="Calibri" w:hAnsi="Calibri" w:cs="Arial"/>
        </w:rPr>
      </w:pPr>
      <w:r w:rsidRPr="00EE2463">
        <w:rPr>
          <w:rFonts w:ascii="Calibri" w:hAnsi="Calibri" w:cs="Arial"/>
        </w:rPr>
        <w:t>Currently</w:t>
      </w:r>
      <w:r w:rsidR="00B75543" w:rsidRPr="00EE2463">
        <w:rPr>
          <w:rFonts w:ascii="Calibri" w:hAnsi="Calibri" w:cs="Arial"/>
        </w:rPr>
        <w:t>,</w:t>
      </w:r>
      <w:r w:rsidRPr="00EE2463">
        <w:rPr>
          <w:rFonts w:ascii="Calibri" w:hAnsi="Calibri" w:cs="Arial"/>
        </w:rPr>
        <w:t xml:space="preserve"> there is </w:t>
      </w:r>
      <w:r w:rsidR="00B75543" w:rsidRPr="00EE2463">
        <w:rPr>
          <w:rFonts w:ascii="Calibri" w:hAnsi="Calibri" w:cs="Arial"/>
        </w:rPr>
        <w:t xml:space="preserve">observed </w:t>
      </w:r>
      <w:r w:rsidRPr="00EE2463">
        <w:rPr>
          <w:rFonts w:ascii="Calibri" w:hAnsi="Calibri" w:cs="Arial"/>
        </w:rPr>
        <w:t>high use of broad</w:t>
      </w:r>
      <w:r w:rsidR="0058565C" w:rsidRPr="00EE2463">
        <w:rPr>
          <w:rFonts w:ascii="Calibri" w:hAnsi="Calibri" w:cs="Arial"/>
        </w:rPr>
        <w:t>-</w:t>
      </w:r>
      <w:r w:rsidRPr="00EE2463">
        <w:rPr>
          <w:rFonts w:ascii="Calibri" w:hAnsi="Calibri" w:cs="Arial"/>
        </w:rPr>
        <w:t>spectrum empiric antibiotic</w:t>
      </w:r>
      <w:r w:rsidR="00DB7E98" w:rsidRPr="00EE2463">
        <w:rPr>
          <w:rFonts w:ascii="Calibri" w:hAnsi="Calibri" w:cs="Arial"/>
        </w:rPr>
        <w:t>s</w:t>
      </w:r>
      <w:r w:rsidRPr="00EE2463">
        <w:rPr>
          <w:rFonts w:ascii="Calibri" w:hAnsi="Calibri" w:cs="Arial"/>
        </w:rPr>
        <w:t xml:space="preserve"> </w:t>
      </w:r>
      <w:r w:rsidR="00B75543" w:rsidRPr="00EE2463">
        <w:rPr>
          <w:rFonts w:ascii="Calibri" w:hAnsi="Calibri" w:cs="Arial"/>
        </w:rPr>
        <w:t>not reflecting WHO recommendations</w:t>
      </w:r>
      <w:r w:rsidR="00DB7E98" w:rsidRPr="00EE2463">
        <w:rPr>
          <w:rFonts w:ascii="Calibri" w:hAnsi="Calibri" w:cs="Arial"/>
        </w:rPr>
        <w:t>,</w:t>
      </w:r>
      <w:r w:rsidRPr="00EE2463">
        <w:rPr>
          <w:rFonts w:ascii="Calibri" w:hAnsi="Calibri" w:cs="Arial"/>
        </w:rPr>
        <w:t xml:space="preserve"> </w:t>
      </w:r>
      <w:r w:rsidR="00DB7E98" w:rsidRPr="00EE2463">
        <w:rPr>
          <w:rFonts w:ascii="Calibri" w:hAnsi="Calibri" w:cs="Arial"/>
        </w:rPr>
        <w:t>suggesting that</w:t>
      </w:r>
      <w:r w:rsidR="00B75543" w:rsidRPr="00EE2463">
        <w:rPr>
          <w:rFonts w:ascii="Calibri" w:hAnsi="Calibri" w:cs="Arial"/>
        </w:rPr>
        <w:t xml:space="preserve"> clinicians </w:t>
      </w:r>
      <w:r w:rsidR="2C0EF0AA" w:rsidRPr="00EE2463">
        <w:rPr>
          <w:rFonts w:ascii="Calibri" w:hAnsi="Calibri" w:cs="Arial"/>
        </w:rPr>
        <w:t xml:space="preserve">are responding to observed </w:t>
      </w:r>
      <w:r w:rsidR="00B75543" w:rsidRPr="00EE2463">
        <w:rPr>
          <w:rFonts w:ascii="Calibri" w:hAnsi="Calibri" w:cs="Arial"/>
        </w:rPr>
        <w:t>poor outcomes</w:t>
      </w:r>
      <w:r w:rsidR="27893C9C" w:rsidRPr="00EE2463">
        <w:rPr>
          <w:rFonts w:ascii="Calibri" w:hAnsi="Calibri" w:cs="Arial"/>
        </w:rPr>
        <w:t xml:space="preserve"> and high resistance rates</w:t>
      </w:r>
      <w:r w:rsidR="00B75543" w:rsidRPr="00EE2463">
        <w:rPr>
          <w:rFonts w:ascii="Calibri" w:hAnsi="Calibri" w:cs="Arial"/>
        </w:rPr>
        <w:t>.</w:t>
      </w:r>
      <w:r w:rsidRPr="00EE2463">
        <w:rPr>
          <w:rFonts w:ascii="Calibri" w:hAnsi="Calibri" w:cs="Arial"/>
        </w:rPr>
        <w:fldChar w:fldCharType="begin" w:fldLock="1"/>
      </w:r>
      <w:r w:rsidRPr="00EE2463">
        <w:rPr>
          <w:rFonts w:ascii="Calibri" w:hAnsi="Calibri" w:cs="Arial"/>
        </w:rPr>
        <w:instrText>ADDIN CSL_CITATION {"citationItems":[{"id":"ITEM-1","itemData":{"DOI":"10.1097/inf.0000000000002433","ISSN":"0891-3668","author":[{"dropping-particle":"","family":"Jackson","given":"Charlotte","non-dropping-particle":"","parse-names":false,"suffix":""},{"dropping-particle":"","family":"Hsia","given":"Yingfen","non-dropping-particle":"","parse-names":false,"suffix":""},{"dropping-particle":"","family":"Basmaci","given":"Romain","non-dropping-particle":"","parse-names":false,"suffix":""},{"dropping-particle":"","family":"Bielicki","given":"Julia","non-dropping-particle":"","parse-names":false,"suffix":""},{"dropping-particle":"","family":"Heath","given":"Paul T","non-dropping-particle":"","parse-names":false,"suffix":""},{"dropping-particle":"","family":"Versporten","given":"Ann","non-dropping-particle":"","parse-names":false,"suffix":""},{"dropping-particle":"","family":"Goossens","given":"Herman","non-dropping-particle":"","parse-names":false,"suffix":""},{"dropping-particle":"","family":"Sharland","given":"Mike","non-dropping-particle":"","parse-names":false,"suffix":""}],"container-title":"The Pediatric Infectious Disease Journal","id":"ITEM-1","issued":{"date-parts":[["2019","8"]]},"page":"1","publisher":"Ovid Technologies (Wolters Kluwer Health)","title":"Global Divergence From World Health Organization Treatment Guidelines for Neonatal and Pediatric Sepsis","type":"article-journal"},"uris":["http://www.mendeley.com/documents/?uuid=f5a0b5ba-b55a-3c49-a6b0-accb2c25cf51"]},{"id":"ITEM-2","itemData":{"author":[{"dropping-particle":"","family":"Hsia","given":"Y","non-dropping-particle":"","parse-names":false,"suffix":""},{"dropping-particle":"","family":"Lee","given":"RB","non-dropping-particle":"","parse-names":false,"suffix":""},{"dropping-particle":"","family":"Versporten","given":"Ann","non-dropping-particle":"","parse-names":false,"suffix":""},{"dropping-particle":"","family":"Yang","given":"Y","non-dropping-particle":"","parse-names":false,"suffix":""},{"dropping-particle":"","family":"Bielicki","given":"J","non-dropping-particle":"","parse-names":false,"suffix":""},{"dropping-particle":"","family":"Jackson","given":"C","non-dropping-particle":"","parse-names":false,"suffix":""},{"dropping-particle":"","family":"Newland","given":"J","non-dropping-particle":"","parse-names":false,"suffix":""},{"dropping-particle":"","family":"Goossens","given":"H","non-dropping-particle":"","parse-names":false,"suffix":""},{"dropping-particle":"","family":"Magrini","given":"N","non-dropping-particle":"","parse-names":false,"suffix":""},{"dropping-particle":"","family":"Sharland","given":"M","non-dropping-particle":"","parse-names":false,"suffix":""},{"dropping-particle":"","family":"Networks","given":"on behalf of the GARPEC adn Global-PPS","non-dropping-particle":"","parse-names":false,"suffix":""}],"container-title":"Lancet Global Health","id":"ITEM-2","issued":{"date-parts":[["2018"]]},"title":"Using the WHO Access/Watch/Reserve classification to define patterns of hospital antibiotic use: analyses of pediatric point prevalence survey data from 56 countries - the first AWaRe PPS","type":"article-journal"},"uris":["http://www.mendeley.com/documents/?uuid=bc24b53c-c8dc-4803-ac37-e8fbb8f9b4cc"]}],"mendeley":{"formattedCitation":"(8,9)","plainTextFormattedCitation":"(8,9)","previouslyFormattedCitation":"(8,9)"},"properties":{"noteIndex":0},"schema":"https://github.com/citation-style-language/schema/raw/master/csl-citation.json"}</w:instrText>
      </w:r>
      <w:r w:rsidRPr="00EE2463">
        <w:rPr>
          <w:rFonts w:ascii="Calibri" w:hAnsi="Calibri" w:cs="Arial"/>
        </w:rPr>
        <w:fldChar w:fldCharType="separate"/>
      </w:r>
      <w:r w:rsidR="00403FCF" w:rsidRPr="00EE2463">
        <w:rPr>
          <w:rFonts w:ascii="Calibri" w:hAnsi="Calibri" w:cs="Arial"/>
          <w:noProof/>
        </w:rPr>
        <w:t>(8,9)</w:t>
      </w:r>
      <w:r w:rsidRPr="00EE2463">
        <w:rPr>
          <w:rFonts w:ascii="Calibri" w:hAnsi="Calibri" w:cs="Arial"/>
        </w:rPr>
        <w:fldChar w:fldCharType="end"/>
      </w:r>
      <w:r w:rsidR="00B75543" w:rsidRPr="00EE2463">
        <w:rPr>
          <w:rFonts w:ascii="Calibri" w:hAnsi="Calibri" w:cs="Arial"/>
        </w:rPr>
        <w:t xml:space="preserve"> </w:t>
      </w:r>
      <w:r w:rsidR="00C65034" w:rsidRPr="00EE2463">
        <w:rPr>
          <w:rFonts w:ascii="Calibri" w:hAnsi="Calibri" w:cs="Arial"/>
        </w:rPr>
        <w:t xml:space="preserve">This has implications for antimicrobial stewardship practices. </w:t>
      </w:r>
      <w:r w:rsidR="00A8139D" w:rsidRPr="00EE2463">
        <w:rPr>
          <w:rFonts w:ascii="Calibri" w:hAnsi="Calibri" w:cs="Arial"/>
        </w:rPr>
        <w:t>A straightforward clinically applicable risk assessment</w:t>
      </w:r>
      <w:r w:rsidR="73129467" w:rsidRPr="00EE2463">
        <w:rPr>
          <w:rFonts w:ascii="Calibri" w:hAnsi="Calibri" w:cs="Arial"/>
        </w:rPr>
        <w:t>, including age, unit type, HAI and other factors,</w:t>
      </w:r>
      <w:r w:rsidR="00A8139D" w:rsidRPr="00EE2463">
        <w:rPr>
          <w:rFonts w:ascii="Calibri" w:hAnsi="Calibri" w:cs="Arial"/>
        </w:rPr>
        <w:t xml:space="preserve"> could be one way to reduce </w:t>
      </w:r>
      <w:r w:rsidR="12160BC7" w:rsidRPr="00EE2463">
        <w:rPr>
          <w:rFonts w:ascii="Calibri" w:hAnsi="Calibri" w:cs="Arial"/>
        </w:rPr>
        <w:t xml:space="preserve">empiric </w:t>
      </w:r>
      <w:r w:rsidR="00A8139D" w:rsidRPr="00EE2463">
        <w:rPr>
          <w:rFonts w:ascii="Calibri" w:hAnsi="Calibri" w:cs="Arial"/>
        </w:rPr>
        <w:t>broad</w:t>
      </w:r>
      <w:r w:rsidR="1DDFAF5A" w:rsidRPr="00EE2463">
        <w:rPr>
          <w:rFonts w:ascii="Calibri" w:hAnsi="Calibri" w:cs="Arial"/>
        </w:rPr>
        <w:t>-</w:t>
      </w:r>
      <w:r w:rsidR="00A8139D" w:rsidRPr="00EE2463">
        <w:rPr>
          <w:rFonts w:ascii="Calibri" w:hAnsi="Calibri" w:cs="Arial"/>
        </w:rPr>
        <w:t>spectrum prescribing without negatively impacting mortality</w:t>
      </w:r>
      <w:r w:rsidR="22554AC4" w:rsidRPr="00EE2463">
        <w:rPr>
          <w:rFonts w:ascii="Calibri" w:hAnsi="Calibri" w:cs="Arial"/>
        </w:rPr>
        <w:t>.</w:t>
      </w:r>
      <w:r w:rsidRPr="00EE2463">
        <w:rPr>
          <w:rFonts w:ascii="Calibri" w:hAnsi="Calibri" w:cs="Arial"/>
        </w:rPr>
        <w:fldChar w:fldCharType="begin" w:fldLock="1"/>
      </w:r>
      <w:r w:rsidR="001F6113" w:rsidRPr="00EE2463">
        <w:rPr>
          <w:rFonts w:ascii="Calibri" w:hAnsi="Calibri" w:cs="Arial"/>
        </w:rPr>
        <w:instrText>ADDIN CSL_CITATION {"citationItems":[{"id":"ITEM-1","itemData":{"DOI":"10.1371/journal.pone.0199878","ISSN":"1932-6203","abstract":"Objectives Assessment of regional pediatric last-resort antibiotic utilization patterns is hampered by potential confounding from population differences. We developed a risk-adjustment model from readily available, internationally used survey data and a simple patient classification to aid such comparisons.   Design We investigated the association between pediatric conserve antibiotic (pCA) exposure and patient / treatment characteristics derived from global point prevalence surveys of antibiotic prescribing, and developed a risk-adjustment model using multivariable logistic regression. The performance of a simple patient classification of groups with different expected pCA exposure levels was compared to the risk model.   Setting 226 centers in 41 countries across 5 continents.   Participants Neonatal and pediatric inpatient antibiotic prescriptions for sepsis/bloodstream infection for 1281 patients.   Results Overall pCA exposure was high (35%), strongly associated with each variable (patient age, ward, underlying disease, community acquisition or nosocomial infection and empiric or targeted treatment), and all were included in the final risk-adjustment model. The model demonstrated good discrimination (c-statistic = 0.83) and calibration (p = 0.38). The simple classification model demonstrated similar discrimination and calibration to the risk model. The crude regional pCA exposure rates ranged from 10.3% (Africa) to 67.4% (Latin America). Risk adjustment substantially reduced the regional variation, the adjusted rates ranging from 17.1% (Africa) to 42.8% (Latin America).   Conclusions Greater comparability of pCA exposure rates can be achieved by using a few easily collected variables to produce risk-adjusted rates.","author":[{"dropping-particle":"","family":"Bielicki","given":"Julia A.","non-dropping-particle":"","parse-names":false,"suffix":""},{"dropping-particle":"","family":"Sharland","given":"Mike","non-dropping-particle":"","parse-names":false,"suffix":""},{"dropping-particle":"","family":"Versporten","given":"Ann","non-dropping-particle":"","parse-names":false,"suffix":""},{"dropping-particle":"","family":"Goossens","given":"Herman","non-dropping-particle":"","parse-names":false,"suffix":""},{"dropping-particle":"","family":"Cromwell","given":"David A.","non-dropping-particle":"","parse-names":false,"suffix":""}],"container-title":"PLOS ONE","editor":[{"dropping-particle":"","family":"Kou","given":"Yu Ru","non-dropping-particle":"","parse-names":false,"suffix":""}],"id":"ITEM-1","issue":"7","issued":{"date-parts":[["2018","7","6"]]},"page":"e0199878","publisher":"Public Library of Science","title":"Using risk adjustment to improve the interpretation of global inpatient pediatric antibiotic prescribing","type":"article-journal","volume":"13"},"uris":["http://www.mendeley.com/documents/?uuid=bfcf2501-d0ed-30c9-a0ea-7f943c03905b"]}],"mendeley":{"formattedCitation":"(40)","plainTextFormattedCitation":"(40)","previouslyFormattedCitation":"(39)"},"properties":{"noteIndex":0},"schema":"https://github.com/citation-style-language/schema/raw/master/csl-citation.json"}</w:instrText>
      </w:r>
      <w:r w:rsidRPr="00EE2463">
        <w:rPr>
          <w:rFonts w:ascii="Calibri" w:hAnsi="Calibri" w:cs="Arial"/>
        </w:rPr>
        <w:fldChar w:fldCharType="separate"/>
      </w:r>
      <w:r w:rsidR="001F6113" w:rsidRPr="00EE2463">
        <w:rPr>
          <w:rFonts w:ascii="Calibri" w:hAnsi="Calibri" w:cs="Arial"/>
          <w:noProof/>
        </w:rPr>
        <w:t>(40)</w:t>
      </w:r>
      <w:r w:rsidRPr="00EE2463">
        <w:rPr>
          <w:rFonts w:ascii="Calibri" w:hAnsi="Calibri" w:cs="Arial"/>
        </w:rPr>
        <w:fldChar w:fldCharType="end"/>
      </w:r>
      <w:r w:rsidR="006A1273" w:rsidRPr="00EE2463">
        <w:rPr>
          <w:rFonts w:ascii="Calibri" w:hAnsi="Calibri" w:cs="Arial"/>
        </w:rPr>
        <w:t xml:space="preserve"> Risk stratification </w:t>
      </w:r>
      <w:r w:rsidR="7F899D18" w:rsidRPr="00EE2463">
        <w:rPr>
          <w:rFonts w:ascii="Calibri" w:hAnsi="Calibri" w:cs="Arial"/>
        </w:rPr>
        <w:t>could be used to</w:t>
      </w:r>
      <w:r w:rsidR="20E2B9D6" w:rsidRPr="00EE2463">
        <w:rPr>
          <w:rFonts w:ascii="Calibri" w:hAnsi="Calibri" w:cs="Arial"/>
        </w:rPr>
        <w:t xml:space="preserve"> a</w:t>
      </w:r>
      <w:r w:rsidR="00F64585" w:rsidRPr="00EE2463">
        <w:rPr>
          <w:rFonts w:ascii="Calibri" w:hAnsi="Calibri" w:cs="Arial"/>
        </w:rPr>
        <w:t>s</w:t>
      </w:r>
      <w:r w:rsidR="20E2B9D6" w:rsidRPr="00EE2463">
        <w:rPr>
          <w:rFonts w:ascii="Calibri" w:hAnsi="Calibri" w:cs="Arial"/>
        </w:rPr>
        <w:t xml:space="preserve"> a stewardship strategy to</w:t>
      </w:r>
      <w:r w:rsidR="006A1273" w:rsidRPr="00EE2463">
        <w:rPr>
          <w:rFonts w:ascii="Calibri" w:hAnsi="Calibri" w:cs="Arial"/>
        </w:rPr>
        <w:t xml:space="preserve"> identify patients at higher </w:t>
      </w:r>
      <w:r w:rsidR="006A1273" w:rsidRPr="00EE2463">
        <w:rPr>
          <w:rFonts w:ascii="Calibri" w:hAnsi="Calibri" w:cs="Arial"/>
          <w:i/>
          <w:iCs/>
        </w:rPr>
        <w:t>a priori</w:t>
      </w:r>
      <w:r w:rsidR="006A1273" w:rsidRPr="00EE2463">
        <w:rPr>
          <w:rFonts w:ascii="Calibri" w:hAnsi="Calibri" w:cs="Arial"/>
        </w:rPr>
        <w:t xml:space="preserve"> risk of mortality who should be started on broader-spectrum therapy and de-escalated subsequently</w:t>
      </w:r>
      <w:r w:rsidR="00B75543" w:rsidRPr="00EE2463">
        <w:rPr>
          <w:rFonts w:ascii="Calibri" w:hAnsi="Calibri" w:cs="Arial"/>
        </w:rPr>
        <w:t xml:space="preserve"> as well as patients at lower </w:t>
      </w:r>
      <w:r w:rsidR="00B75543" w:rsidRPr="00EE2463">
        <w:rPr>
          <w:rFonts w:ascii="Calibri" w:hAnsi="Calibri" w:cs="Arial"/>
          <w:i/>
          <w:iCs/>
        </w:rPr>
        <w:t>a priori</w:t>
      </w:r>
      <w:r w:rsidR="00B75543" w:rsidRPr="00EE2463">
        <w:rPr>
          <w:rFonts w:ascii="Calibri" w:hAnsi="Calibri" w:cs="Arial"/>
        </w:rPr>
        <w:t xml:space="preserve"> risk who could </w:t>
      </w:r>
      <w:r w:rsidR="00DB7E98" w:rsidRPr="00EE2463">
        <w:rPr>
          <w:rFonts w:ascii="Calibri" w:hAnsi="Calibri" w:cs="Arial"/>
        </w:rPr>
        <w:t xml:space="preserve">be </w:t>
      </w:r>
      <w:r w:rsidR="00B75543" w:rsidRPr="00EE2463">
        <w:rPr>
          <w:rFonts w:ascii="Calibri" w:hAnsi="Calibri" w:cs="Arial"/>
        </w:rPr>
        <w:t>started on narrower</w:t>
      </w:r>
      <w:r w:rsidR="0058565C" w:rsidRPr="00EE2463">
        <w:rPr>
          <w:rFonts w:ascii="Calibri" w:hAnsi="Calibri" w:cs="Arial"/>
        </w:rPr>
        <w:t>-</w:t>
      </w:r>
      <w:r w:rsidR="00B75543" w:rsidRPr="00EE2463">
        <w:rPr>
          <w:rFonts w:ascii="Calibri" w:hAnsi="Calibri" w:cs="Arial"/>
        </w:rPr>
        <w:t>spectrum treatment.</w:t>
      </w:r>
      <w:r w:rsidR="005C43BF" w:rsidRPr="00EE2463">
        <w:rPr>
          <w:rFonts w:ascii="Calibri" w:hAnsi="Calibri" w:cs="Arial"/>
        </w:rPr>
        <w:t xml:space="preserve"> </w:t>
      </w:r>
      <w:r w:rsidR="00A8139D" w:rsidRPr="00EE2463">
        <w:rPr>
          <w:rFonts w:ascii="Calibri" w:hAnsi="Calibri" w:cs="Arial"/>
        </w:rPr>
        <w:t xml:space="preserve">In order to comprehensively tackle antimicrobial resistance such a risk stratification guideline would need to be implemented alongside other measures including </w:t>
      </w:r>
      <w:r w:rsidR="621B6F76" w:rsidRPr="00EE2463">
        <w:rPr>
          <w:rFonts w:ascii="Calibri" w:hAnsi="Calibri" w:cs="Arial"/>
        </w:rPr>
        <w:t xml:space="preserve">infection prevention and control </w:t>
      </w:r>
      <w:r w:rsidR="00A8139D" w:rsidRPr="00EE2463">
        <w:rPr>
          <w:rFonts w:ascii="Calibri" w:hAnsi="Calibri" w:cs="Arial"/>
        </w:rPr>
        <w:t>measures, improved microbiology diagnostics and evaluation of adherence to clinical guidelines.</w:t>
      </w:r>
    </w:p>
    <w:p w14:paraId="33E87E24" w14:textId="507FDBCC" w:rsidR="0038420D" w:rsidRPr="00EE2463" w:rsidRDefault="006A1273" w:rsidP="005319E4">
      <w:pPr>
        <w:spacing w:after="0" w:line="480" w:lineRule="auto"/>
        <w:rPr>
          <w:rFonts w:ascii="Calibri" w:hAnsi="Calibri" w:cs="Arial"/>
        </w:rPr>
      </w:pPr>
      <w:r w:rsidRPr="00EE2463">
        <w:rPr>
          <w:rFonts w:ascii="Calibri" w:hAnsi="Calibri" w:cs="Arial"/>
        </w:rPr>
        <w:lastRenderedPageBreak/>
        <w:t xml:space="preserve">Despite some limitations, our study indicates increased odds of mortality in neonates and children receiving discordant empiric antibiotic treatment for bloodstream infection in the first 2 days post blood culture. Our findings suggest that early concordant treatment could potentially reduce mortality in this population, perhaps with the largest expected impact in a subgroup of critically ill infants and children with co-morbidities </w:t>
      </w:r>
      <w:r w:rsidR="00E615E3" w:rsidRPr="00EE2463">
        <w:rPr>
          <w:rFonts w:ascii="Calibri" w:hAnsi="Calibri" w:cs="Arial"/>
        </w:rPr>
        <w:t>and</w:t>
      </w:r>
      <w:r w:rsidRPr="00EE2463">
        <w:rPr>
          <w:rFonts w:ascii="Calibri" w:hAnsi="Calibri" w:cs="Arial"/>
        </w:rPr>
        <w:t xml:space="preserve"> HAI. In order to achieve this and maintain appropriate levels of broad</w:t>
      </w:r>
      <w:r w:rsidR="0058565C" w:rsidRPr="00EE2463">
        <w:rPr>
          <w:rFonts w:ascii="Calibri" w:hAnsi="Calibri" w:cs="Arial"/>
        </w:rPr>
        <w:t>-</w:t>
      </w:r>
      <w:r w:rsidRPr="00EE2463">
        <w:rPr>
          <w:rFonts w:ascii="Calibri" w:hAnsi="Calibri" w:cs="Arial"/>
        </w:rPr>
        <w:t>spectrum prescribing, future studies will be needed to assess stratifying treatment protocols based on patient risk of adverse outcomes.</w:t>
      </w:r>
      <w:r w:rsidRPr="00EE2463" w:rsidDel="00B93A7B">
        <w:rPr>
          <w:rFonts w:ascii="Calibri" w:hAnsi="Calibri" w:cs="Arial"/>
        </w:rPr>
        <w:t xml:space="preserve"> </w:t>
      </w:r>
    </w:p>
    <w:p w14:paraId="54C1E5FB" w14:textId="77777777" w:rsidR="00EE2463" w:rsidRDefault="00EE2463" w:rsidP="005319E4">
      <w:pPr>
        <w:spacing w:line="480" w:lineRule="auto"/>
        <w:rPr>
          <w:rFonts w:ascii="Calibri" w:hAnsi="Calibri" w:cs="Arial"/>
          <w:b/>
        </w:rPr>
      </w:pPr>
    </w:p>
    <w:p w14:paraId="251C7B4A" w14:textId="77777777" w:rsidR="00EE2463" w:rsidRDefault="00EE2463" w:rsidP="005319E4">
      <w:pPr>
        <w:spacing w:line="480" w:lineRule="auto"/>
        <w:rPr>
          <w:rFonts w:ascii="Calibri" w:hAnsi="Calibri" w:cs="Arial"/>
          <w:b/>
        </w:rPr>
      </w:pPr>
    </w:p>
    <w:p w14:paraId="3EA8DFC5" w14:textId="77777777" w:rsidR="00EE2463" w:rsidRDefault="00EE2463" w:rsidP="005319E4">
      <w:pPr>
        <w:spacing w:line="480" w:lineRule="auto"/>
        <w:rPr>
          <w:rFonts w:ascii="Calibri" w:hAnsi="Calibri" w:cs="Arial"/>
          <w:b/>
        </w:rPr>
      </w:pPr>
    </w:p>
    <w:p w14:paraId="05B2D586" w14:textId="77777777" w:rsidR="00EE2463" w:rsidRDefault="00EE2463" w:rsidP="005319E4">
      <w:pPr>
        <w:spacing w:line="480" w:lineRule="auto"/>
        <w:rPr>
          <w:rFonts w:ascii="Calibri" w:hAnsi="Calibri" w:cs="Arial"/>
          <w:b/>
        </w:rPr>
      </w:pPr>
    </w:p>
    <w:p w14:paraId="0C06F5BE" w14:textId="77777777" w:rsidR="00EE2463" w:rsidRDefault="00EE2463" w:rsidP="005319E4">
      <w:pPr>
        <w:spacing w:line="480" w:lineRule="auto"/>
        <w:rPr>
          <w:rFonts w:ascii="Calibri" w:hAnsi="Calibri" w:cs="Arial"/>
          <w:b/>
        </w:rPr>
      </w:pPr>
    </w:p>
    <w:p w14:paraId="5C669E48" w14:textId="77777777" w:rsidR="00EE2463" w:rsidRDefault="00EE2463" w:rsidP="005319E4">
      <w:pPr>
        <w:spacing w:line="480" w:lineRule="auto"/>
        <w:rPr>
          <w:rFonts w:ascii="Calibri" w:hAnsi="Calibri" w:cs="Arial"/>
          <w:b/>
        </w:rPr>
      </w:pPr>
    </w:p>
    <w:p w14:paraId="5E88AF33" w14:textId="77777777" w:rsidR="00EE2463" w:rsidRDefault="00EE2463" w:rsidP="005319E4">
      <w:pPr>
        <w:spacing w:line="480" w:lineRule="auto"/>
        <w:rPr>
          <w:rFonts w:ascii="Calibri" w:hAnsi="Calibri" w:cs="Arial"/>
          <w:b/>
        </w:rPr>
      </w:pPr>
    </w:p>
    <w:p w14:paraId="4BD94D35" w14:textId="77777777" w:rsidR="00EE2463" w:rsidRDefault="00EE2463" w:rsidP="005319E4">
      <w:pPr>
        <w:spacing w:line="480" w:lineRule="auto"/>
        <w:rPr>
          <w:rFonts w:ascii="Calibri" w:hAnsi="Calibri" w:cs="Arial"/>
          <w:b/>
        </w:rPr>
      </w:pPr>
    </w:p>
    <w:p w14:paraId="3362E77F" w14:textId="77777777" w:rsidR="00EE2463" w:rsidRDefault="00EE2463" w:rsidP="005319E4">
      <w:pPr>
        <w:spacing w:line="480" w:lineRule="auto"/>
        <w:rPr>
          <w:rFonts w:ascii="Calibri" w:hAnsi="Calibri" w:cs="Arial"/>
          <w:b/>
        </w:rPr>
      </w:pPr>
    </w:p>
    <w:p w14:paraId="2989A04B" w14:textId="77777777" w:rsidR="00EE2463" w:rsidRDefault="00EE2463" w:rsidP="005319E4">
      <w:pPr>
        <w:spacing w:line="480" w:lineRule="auto"/>
        <w:rPr>
          <w:rFonts w:ascii="Calibri" w:hAnsi="Calibri" w:cs="Arial"/>
          <w:b/>
        </w:rPr>
      </w:pPr>
    </w:p>
    <w:p w14:paraId="56FA07C3" w14:textId="77777777" w:rsidR="00EE2463" w:rsidRDefault="00EE2463" w:rsidP="005319E4">
      <w:pPr>
        <w:spacing w:line="480" w:lineRule="auto"/>
        <w:rPr>
          <w:rFonts w:ascii="Calibri" w:hAnsi="Calibri" w:cs="Arial"/>
          <w:b/>
        </w:rPr>
      </w:pPr>
    </w:p>
    <w:p w14:paraId="02F55F28" w14:textId="77777777" w:rsidR="00EE2463" w:rsidRDefault="00EE2463" w:rsidP="005319E4">
      <w:pPr>
        <w:spacing w:line="480" w:lineRule="auto"/>
        <w:rPr>
          <w:rFonts w:ascii="Calibri" w:hAnsi="Calibri" w:cs="Arial"/>
          <w:b/>
        </w:rPr>
      </w:pPr>
    </w:p>
    <w:p w14:paraId="2BDFEE3B" w14:textId="77777777" w:rsidR="00EE2463" w:rsidRDefault="00EE2463" w:rsidP="005319E4">
      <w:pPr>
        <w:spacing w:line="480" w:lineRule="auto"/>
        <w:rPr>
          <w:rFonts w:ascii="Calibri" w:hAnsi="Calibri" w:cs="Arial"/>
          <w:b/>
        </w:rPr>
      </w:pPr>
    </w:p>
    <w:p w14:paraId="2A5E9863" w14:textId="77777777" w:rsidR="00EE2463" w:rsidRDefault="00EE2463" w:rsidP="005319E4">
      <w:pPr>
        <w:spacing w:line="480" w:lineRule="auto"/>
        <w:rPr>
          <w:rFonts w:ascii="Calibri" w:hAnsi="Calibri" w:cs="Arial"/>
          <w:b/>
        </w:rPr>
      </w:pPr>
    </w:p>
    <w:p w14:paraId="6678A097" w14:textId="77777777" w:rsidR="00EE2463" w:rsidRDefault="00EE2463" w:rsidP="005319E4">
      <w:pPr>
        <w:spacing w:line="480" w:lineRule="auto"/>
        <w:rPr>
          <w:rFonts w:ascii="Calibri" w:hAnsi="Calibri" w:cs="Arial"/>
          <w:b/>
        </w:rPr>
      </w:pPr>
    </w:p>
    <w:p w14:paraId="5601D000" w14:textId="10995C5A" w:rsidR="006A1273" w:rsidRPr="00EE2463" w:rsidRDefault="006A1273" w:rsidP="005319E4">
      <w:pPr>
        <w:spacing w:line="480" w:lineRule="auto"/>
        <w:rPr>
          <w:rFonts w:ascii="Calibri" w:hAnsi="Calibri" w:cs="Arial"/>
          <w:b/>
        </w:rPr>
      </w:pPr>
      <w:r w:rsidRPr="00EE2463">
        <w:rPr>
          <w:rFonts w:ascii="Calibri" w:hAnsi="Calibri" w:cs="Arial"/>
          <w:b/>
        </w:rPr>
        <w:lastRenderedPageBreak/>
        <w:t xml:space="preserve">References </w:t>
      </w:r>
    </w:p>
    <w:p w14:paraId="3BE4B316" w14:textId="626B4FA0" w:rsidR="001F6113" w:rsidRPr="00EE2463" w:rsidRDefault="005C148E"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Arial"/>
        </w:rPr>
        <w:fldChar w:fldCharType="begin" w:fldLock="1"/>
      </w:r>
      <w:r w:rsidRPr="00EE2463">
        <w:rPr>
          <w:rFonts w:ascii="Calibri" w:hAnsi="Calibri" w:cs="Arial"/>
        </w:rPr>
        <w:instrText xml:space="preserve">ADDIN Mendeley Bibliography CSL_BIBLIOGRAPHY </w:instrText>
      </w:r>
      <w:r w:rsidRPr="00EE2463">
        <w:rPr>
          <w:rFonts w:ascii="Calibri" w:hAnsi="Calibri" w:cs="Arial"/>
        </w:rPr>
        <w:fldChar w:fldCharType="separate"/>
      </w:r>
      <w:r w:rsidR="001F6113" w:rsidRPr="00EE2463">
        <w:rPr>
          <w:rFonts w:ascii="Calibri" w:hAnsi="Calibri" w:cs="Times New Roman"/>
          <w:noProof/>
        </w:rPr>
        <w:t xml:space="preserve">1. </w:t>
      </w:r>
      <w:r w:rsidR="001F6113" w:rsidRPr="00EE2463">
        <w:rPr>
          <w:rFonts w:ascii="Calibri" w:hAnsi="Calibri" w:cs="Times New Roman"/>
          <w:noProof/>
        </w:rPr>
        <w:tab/>
        <w:t>Paul M, Shani V, Muchtar E, Kariv G, Robenshtok E, Leibovici L. Systematic Review and Meta-Analysis of the Efficacy of Appropriate Empiric Antibiotic Therapy for Sepsis. Antimicrob Agents Chemother [Internet]. 2010 Nov 1 [cited 2019 Apr 24];54(11):4851–63. Available from: https://aac.asm.org/content/54/11/4851</w:t>
      </w:r>
    </w:p>
    <w:p w14:paraId="4FB71740"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 </w:t>
      </w:r>
      <w:r w:rsidRPr="00EE2463">
        <w:rPr>
          <w:rFonts w:ascii="Calibri" w:hAnsi="Calibri" w:cs="Times New Roman"/>
          <w:noProof/>
        </w:rPr>
        <w:tab/>
        <w:t>Lodise TP, Patel N, Kwa A, Graves J, Furuno JP, Graffunder E, et al. Predictors of 30-Day Mortality among Patients with Pseudomonas aeruginosa Bloodstream Infections: Impact of Delayed Appropriate Antibiotic Selection. Antimicrob Agents Chemother [Internet]. 2007 Oct 1 [cited 2019 Apr 24];51(10):3510–5. Available from: http://www.ncbi.nlm.nih.gov/pubmed/17646415</w:t>
      </w:r>
    </w:p>
    <w:p w14:paraId="3E03DE4C"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 </w:t>
      </w:r>
      <w:r w:rsidRPr="00EE2463">
        <w:rPr>
          <w:rFonts w:ascii="Calibri" w:hAnsi="Calibri" w:cs="Times New Roman"/>
          <w:noProof/>
        </w:rPr>
        <w:tab/>
        <w:t>Kuti EL, Patel AA, Coleman CI. Impact of inappropriate antibiotic therapy on mortality in patients with ventilator-associated pneumonia and blood stream infection: A meta-analysis. J Crit Care [Internet]. 2008 Mar [cited 2019 Apr 24];23(1):91–100. Available from: http://www.ncbi.nlm.nih.gov/pubmed/18359426</w:t>
      </w:r>
    </w:p>
    <w:p w14:paraId="3573E09A"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4. </w:t>
      </w:r>
      <w:r w:rsidRPr="00EE2463">
        <w:rPr>
          <w:rFonts w:ascii="Calibri" w:hAnsi="Calibri" w:cs="Times New Roman"/>
          <w:noProof/>
        </w:rPr>
        <w:tab/>
        <w:t>Raman G, Avendano E, Berger S, Menon V. Appropriate initial antibiotic therapy in hospitalized patients with gram-negative infections: systematic review and meta-analysis. BMC Infect Dis [Internet]. 2015 Sep 30 [cited 2019 Jul 12];15:395. Available from: http://www.ncbi.nlm.nih.gov/pubmed/26423743</w:t>
      </w:r>
    </w:p>
    <w:p w14:paraId="397C495D"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5. </w:t>
      </w:r>
      <w:r w:rsidRPr="00EE2463">
        <w:rPr>
          <w:rFonts w:ascii="Calibri" w:hAnsi="Calibri" w:cs="Times New Roman"/>
          <w:noProof/>
        </w:rPr>
        <w:tab/>
        <w:t>MacFadden DR, Leis JA, Mubareka S, Daneman N. The Opening and Closing of Empiric Windows: The Impact of Rapid Microbiologic Diagnostics. Clin Infect Dis [Internet]. 2014 Oct 15 [cited 2019 Jun 13];59(8):1199–200. Available from: https://academic.oup.com/cid/article-lookup/doi/10.1093/cid/ciu493</w:t>
      </w:r>
    </w:p>
    <w:p w14:paraId="70175152"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6. </w:t>
      </w:r>
      <w:r w:rsidRPr="00EE2463">
        <w:rPr>
          <w:rFonts w:ascii="Calibri" w:hAnsi="Calibri" w:cs="Times New Roman"/>
          <w:noProof/>
        </w:rPr>
        <w:tab/>
        <w:t xml:space="preserve">Fuchs A, Bielicki J, Mathur S, Sharland M, Van Den Anker JN. Reviewing the WHO guidelines for antibiotic use for sepsis in neonates and children. Paediatr Int Child Health [Internet]. </w:t>
      </w:r>
      <w:r w:rsidRPr="00EE2463">
        <w:rPr>
          <w:rFonts w:ascii="Calibri" w:hAnsi="Calibri" w:cs="Times New Roman"/>
          <w:noProof/>
        </w:rPr>
        <w:lastRenderedPageBreak/>
        <w:t>2018 Dec 21 [cited 2019 Jan 17];38(sup1):S3–15. Available from: https://www.tandfonline.com/doi/full/10.1080/20469047.2017.1408738</w:t>
      </w:r>
    </w:p>
    <w:p w14:paraId="49979D24"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7. </w:t>
      </w:r>
      <w:r w:rsidRPr="00EE2463">
        <w:rPr>
          <w:rFonts w:ascii="Calibri" w:hAnsi="Calibri" w:cs="Times New Roman"/>
          <w:noProof/>
        </w:rPr>
        <w:tab/>
        <w:t>Le Doare K, Bielicki J, Heath PT, Sharland M. Systematic Review of Antibiotic Resistance Rates Among Gram-Negative Bacteria in Children With Sepsis in Resource-Limited Countries. J Pediatric Infect Dis Soc [Internet]. 2015 Mar 1 [cited 2018 Apr 10];4(1):11–20. Available from: https://academic.oup.com/jpids/article-lookup/doi/10.1093/jpids/piu014</w:t>
      </w:r>
    </w:p>
    <w:p w14:paraId="58744CB6"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8. </w:t>
      </w:r>
      <w:r w:rsidRPr="00EE2463">
        <w:rPr>
          <w:rFonts w:ascii="Calibri" w:hAnsi="Calibri" w:cs="Times New Roman"/>
          <w:noProof/>
        </w:rPr>
        <w:tab/>
        <w:t xml:space="preserve">Jackson C, Hsia Y, Basmaci R, Bielicki J, Heath PT, Versporten A, et al. Global Divergence From World Health Organization Treatment Guidelines for Neonatal and Pediatric Sepsis. Pediatr Infect Dis J. 2019 Aug;1. </w:t>
      </w:r>
    </w:p>
    <w:p w14:paraId="00AFCBC5"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9. </w:t>
      </w:r>
      <w:r w:rsidRPr="00EE2463">
        <w:rPr>
          <w:rFonts w:ascii="Calibri" w:hAnsi="Calibri" w:cs="Times New Roman"/>
          <w:noProof/>
        </w:rPr>
        <w:tab/>
        <w:t xml:space="preserve">Hsia Y, Lee R, Versporten A, Yang Y, Bielicki J, Jackson C, et al. Using the WHO Access/Watch/Reserve classification to define patterns of hospital antibiotic use: analyses of pediatric point prevalence survey data from 56 countries - the first AWaRe PPS. Lancet Glob Heal. 2018; </w:t>
      </w:r>
    </w:p>
    <w:p w14:paraId="7328FC63"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10. </w:t>
      </w:r>
      <w:r w:rsidRPr="00EE2463">
        <w:rPr>
          <w:rFonts w:ascii="Calibri" w:hAnsi="Calibri" w:cs="Times New Roman"/>
          <w:noProof/>
        </w:rPr>
        <w:tab/>
        <w:t>Harris PA, Taylor R, Minor BL, Elliott V, Fernandez M, O’Neal L, et al. The REDCap consortium: Building an international community of software platform partners. J Biomed Inform [Internet]. 2019 Jul 1 [cited 2019 Jul 10];95:103208. Available from: https://www.sciencedirect.com/science/article/pii/S1532046419301261</w:t>
      </w:r>
    </w:p>
    <w:p w14:paraId="0667482C"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11. </w:t>
      </w:r>
      <w:r w:rsidRPr="00EE2463">
        <w:rPr>
          <w:rFonts w:ascii="Calibri" w:hAnsi="Calibri" w:cs="Times New Roman"/>
          <w:noProof/>
        </w:rPr>
        <w:tab/>
        <w:t>Harris PA, Taylor R, Thielke R, Payne J, Gonzalez N, Conde JG. Research electronic data capture (REDCap)—A metadata-driven methodology and workflow process for providing translational research informatics support. J Biomed Inform [Internet]. 2009 Apr 1 [cited 2019 Jul 10];42(2):377–81. Available from: https://www.sciencedirect.com/science/article/pii/S1532046408001226</w:t>
      </w:r>
    </w:p>
    <w:p w14:paraId="434875B5"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12. </w:t>
      </w:r>
      <w:r w:rsidRPr="00EE2463">
        <w:rPr>
          <w:rFonts w:ascii="Calibri" w:hAnsi="Calibri" w:cs="Times New Roman"/>
          <w:noProof/>
        </w:rPr>
        <w:tab/>
        <w:t xml:space="preserve">European Committee on Antimicrobial Susceptibility Testing (EUCAST). EUCAST: Clinical breakpoints and dosing of antibiotics (v9.0) [Internet]. [cited 2019 Feb 16]. Available from: </w:t>
      </w:r>
      <w:r w:rsidRPr="00EE2463">
        <w:rPr>
          <w:rFonts w:ascii="Calibri" w:hAnsi="Calibri" w:cs="Times New Roman"/>
          <w:noProof/>
        </w:rPr>
        <w:lastRenderedPageBreak/>
        <w:t>https://eucast.org/clinical_breakpoints/</w:t>
      </w:r>
    </w:p>
    <w:p w14:paraId="4DD883A9"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13. </w:t>
      </w:r>
      <w:r w:rsidRPr="00EE2463">
        <w:rPr>
          <w:rFonts w:ascii="Calibri" w:hAnsi="Calibri" w:cs="Times New Roman"/>
          <w:noProof/>
        </w:rPr>
        <w:tab/>
        <w:t>Leclercq R, Cantón R, Brown DFJ, Giske CG, Heisig P, Macgowan AP, et al. EUCAST expert rules in antimicrobial susceptibility testing [Internet]. Vol. 19, Clinical Microbiology and Infection. Blackwell Publishing Ltd; 2013 [cited 2020 Jul 22]. p. 141–60. Available from: http://www.eucast.org</w:t>
      </w:r>
    </w:p>
    <w:p w14:paraId="063FBB3F"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14. </w:t>
      </w:r>
      <w:r w:rsidRPr="00EE2463">
        <w:rPr>
          <w:rFonts w:ascii="Calibri" w:hAnsi="Calibri" w:cs="Times New Roman"/>
          <w:noProof/>
        </w:rPr>
        <w:tab/>
        <w:t xml:space="preserve">ICH. ICH HARMONISED GUIDELINE ADDENDUM TO ICH E11: CLINICAL INVESTIGATION OF MEDICINAL PRODUCTS IN THE PEDIATRIC POPULATION E11 (R1). 2017. </w:t>
      </w:r>
    </w:p>
    <w:p w14:paraId="55FF12FD"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15. </w:t>
      </w:r>
      <w:r w:rsidRPr="00EE2463">
        <w:rPr>
          <w:rFonts w:ascii="Calibri" w:hAnsi="Calibri" w:cs="Times New Roman"/>
          <w:noProof/>
        </w:rPr>
        <w:tab/>
        <w:t>Stewardson AJ, Marimuthu K, Sengupta S, Allignol A, El-Bouseary M, Carvalho MJ, et al. Effect of carbapenem resistance on outcomes of bloodstream infection caused by Enterobacteriaceae in low-income and middle-income countries (PANORAMA): a multinational prospective cohort study. Lancet Infect Dis [Internet]. 2019 Jun 1 [cited 2019 Jun 12];19(6):601–10. Available from: http://www.ncbi.nlm.nih.gov/pubmed/31047852</w:t>
      </w:r>
    </w:p>
    <w:p w14:paraId="3588491B"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16. </w:t>
      </w:r>
      <w:r w:rsidRPr="00EE2463">
        <w:rPr>
          <w:rFonts w:ascii="Calibri" w:hAnsi="Calibri" w:cs="Times New Roman"/>
          <w:noProof/>
        </w:rPr>
        <w:tab/>
        <w:t>Schwaber MJ, Carmeli Y. The effect of antimicrobial resistance on patient outcomes: importance of proper evaluation of appropriate therapy. Crit Care [Internet]. 2009 [cited 2019 Jul 12];13(1):106. Available from: http://www.ncbi.nlm.nih.gov/pubmed/19216721</w:t>
      </w:r>
    </w:p>
    <w:p w14:paraId="48695871"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17. </w:t>
      </w:r>
      <w:r w:rsidRPr="00EE2463">
        <w:rPr>
          <w:rFonts w:ascii="Calibri" w:hAnsi="Calibri" w:cs="Times New Roman"/>
          <w:noProof/>
        </w:rPr>
        <w:tab/>
        <w:t>Schwaber MJ, Carmeli Y. Mortality and delay in effective therapy associated with extended-spectrum  -lactamase production in Enterobacteriaceae bacteraemia: a systematic review and meta-analysis. J Antimicrob Chemother [Internet]. 2007 Sep 17 [cited 2019 Jul 12];60(5):913–20. Available from: http://www.ncbi.nlm.nih.gov/pubmed/17848376</w:t>
      </w:r>
    </w:p>
    <w:p w14:paraId="0C72B368"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18. </w:t>
      </w:r>
      <w:r w:rsidRPr="00EE2463">
        <w:rPr>
          <w:rFonts w:ascii="Calibri" w:hAnsi="Calibri" w:cs="Times New Roman"/>
          <w:noProof/>
        </w:rPr>
        <w:tab/>
        <w:t>Hyle EP, Lipworth AD, Zaoutis TE, Nachamkin I, Bilker WB, Lautenbach E. Impact of Inadequate Initial Antimicrobial Therapy on Mortality in Infections Due to Extended-Spectrum β-Lactamase–Producing Enterobacteriaceae. Arch Intern Med [Internet]. 2005 Jun 27 [cited 2019 Jul 12];165(12):1375. Available from: http://archinte.jamanetwork.com/article.aspx?doi=10.1001/archinte.165.12.1375</w:t>
      </w:r>
    </w:p>
    <w:p w14:paraId="275953C8"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lastRenderedPageBreak/>
        <w:t xml:space="preserve">19. </w:t>
      </w:r>
      <w:r w:rsidRPr="00EE2463">
        <w:rPr>
          <w:rFonts w:ascii="Calibri" w:hAnsi="Calibri" w:cs="Times New Roman"/>
          <w:noProof/>
        </w:rPr>
        <w:tab/>
        <w:t xml:space="preserve">Bonine NG, Berger A, Altincatal A, Wang R, Bhagnani T, Gillard P, et al. Impact of Delayed Appropriate Antibiotic Therapy on Patient Outcomes by Antibiotic Resistance Status From Serious Gram-negative Bacterial Infections. Am J Med Sci. 2019 Feb 1;357(2):103–10. </w:t>
      </w:r>
    </w:p>
    <w:p w14:paraId="28EFDF92"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20. </w:t>
      </w:r>
      <w:r w:rsidRPr="00EE2463">
        <w:rPr>
          <w:rFonts w:ascii="Calibri" w:hAnsi="Calibri" w:cs="Times New Roman"/>
          <w:noProof/>
        </w:rPr>
        <w:tab/>
        <w:t xml:space="preserve">Kohler PP, Volling C, Green K, Uleryk EM, Shah PS, McGeer A. Carbapenem Resistance, Initial Antibiotic Therapy, and Mortality in </w:t>
      </w:r>
      <w:r w:rsidRPr="00EE2463">
        <w:rPr>
          <w:rFonts w:ascii="Calibri" w:hAnsi="Calibri" w:cs="Times New Roman"/>
          <w:i/>
          <w:iCs/>
          <w:noProof/>
        </w:rPr>
        <w:t>Klebsiella pneumoniae</w:t>
      </w:r>
      <w:r w:rsidRPr="00EE2463">
        <w:rPr>
          <w:rFonts w:ascii="Calibri" w:hAnsi="Calibri" w:cs="Times New Roman"/>
          <w:noProof/>
        </w:rPr>
        <w:t xml:space="preserve"> Bacteremia: A Systematic Review and Meta-Analysis. Infect Control Hosp Epidemiol [Internet]. 2017 Nov 27 [cited 2019 Jul 12];38(11):1319–28. Available from: https://www.cambridge.org/core/product/identifier/S0899823X17001970/type/journal_article</w:t>
      </w:r>
    </w:p>
    <w:p w14:paraId="1560BB8F"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21. </w:t>
      </w:r>
      <w:r w:rsidRPr="00EE2463">
        <w:rPr>
          <w:rFonts w:ascii="Calibri" w:hAnsi="Calibri" w:cs="Times New Roman"/>
          <w:noProof/>
        </w:rPr>
        <w:tab/>
        <w:t>Okeke IN, Laxminarayan R, Bhutta ZA, Duse AG, Jenkins P, O’Brien TF, et al. Antimicrobial resistance in developing countries. Part I: recent trends and current status. Lancet Infect Dis [Internet]. 2005 Aug 1 [cited 2018 Sep 10];5(8):481–93. Available from: https://www.sciencedirect.com/science/article/pii/S1473309905701894?via%3Dihub</w:t>
      </w:r>
    </w:p>
    <w:p w14:paraId="3B08166B"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22. </w:t>
      </w:r>
      <w:r w:rsidRPr="00EE2463">
        <w:rPr>
          <w:rFonts w:ascii="Calibri" w:hAnsi="Calibri" w:cs="Times New Roman"/>
          <w:noProof/>
        </w:rPr>
        <w:tab/>
        <w:t>Investigators of the Delhi Neonatal Infection Study (DeNIS) collaboration. Characterisation and antimicrobial resistance of sepsis pathogens in neonates born in tertiary care centres in Delhi, India: a cohort study. Lancet Glob Heal [Internet]. 2016 Oct [cited 2019 Jul 15];4(10):e752–60. Available from: http://www.ncbi.nlm.nih.gov/pubmed/27633433</w:t>
      </w:r>
    </w:p>
    <w:p w14:paraId="4050ECEC"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23. </w:t>
      </w:r>
      <w:r w:rsidRPr="00EE2463">
        <w:rPr>
          <w:rFonts w:ascii="Calibri" w:hAnsi="Calibri" w:cs="Times New Roman"/>
          <w:noProof/>
        </w:rPr>
        <w:tab/>
        <w:t>Peters L, Olson L, Khu DTK, Linnros S, Le NK, Hanberger H, et al. Multiple antibiotic resistance as a risk factor for mortality and prolonged hospital stay: A cohort study among neonatal intensive care patients with hospital-acquired infections caused by gram-negative bacteria in Vietnam. PLoS One [Internet]. 2019 [cited 2019 Jul 12];14(5):e0215666. Available from: http://www.ncbi.nlm.nih.gov/pubmed/31067232</w:t>
      </w:r>
    </w:p>
    <w:p w14:paraId="7B9E02B5"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24. </w:t>
      </w:r>
      <w:r w:rsidRPr="00EE2463">
        <w:rPr>
          <w:rFonts w:ascii="Calibri" w:hAnsi="Calibri" w:cs="Times New Roman"/>
          <w:noProof/>
        </w:rPr>
        <w:tab/>
        <w:t xml:space="preserve">Folgori L, Livadiotti S, Carletti M, Bielicki J, Pontrelli G, Ciofi Degli Atti ML, et al. Epidemiology and Clinical Outcomes of Multidrug-resistant, Gram-negative Bloodstream Infections in a </w:t>
      </w:r>
      <w:r w:rsidRPr="00EE2463">
        <w:rPr>
          <w:rFonts w:ascii="Calibri" w:hAnsi="Calibri" w:cs="Times New Roman"/>
          <w:noProof/>
        </w:rPr>
        <w:lastRenderedPageBreak/>
        <w:t>European Tertiary Pediatric Hospital During a 12-month Period. Pediatr Infect Dis J [Internet]. 2014 Sep [cited 2019 Jul 12];33(9):929–32. Available from: http://www.ncbi.nlm.nih.gov/pubmed/24642515</w:t>
      </w:r>
    </w:p>
    <w:p w14:paraId="77DAC5F3"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25. </w:t>
      </w:r>
      <w:r w:rsidRPr="00EE2463">
        <w:rPr>
          <w:rFonts w:ascii="Calibri" w:hAnsi="Calibri" w:cs="Times New Roman"/>
          <w:noProof/>
        </w:rPr>
        <w:tab/>
        <w:t>Foglia EE, Fraser VJ, Elward AM. Effect of Nosocomial Infections Due to Antibiotic-Resistant Organisms on Length of Stay and Mortality in the Pediatric Intensive Care Unit. Infect Control Hosp Epidemiol [Internet]. 2007 Mar 2 [cited 2019 Jul 12];28(3):299–306. Available from: http://www.ncbi.nlm.nih.gov/pubmed/17326020</w:t>
      </w:r>
    </w:p>
    <w:p w14:paraId="1EE8E035"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26. </w:t>
      </w:r>
      <w:r w:rsidRPr="00EE2463">
        <w:rPr>
          <w:rFonts w:ascii="Calibri" w:hAnsi="Calibri" w:cs="Times New Roman"/>
          <w:noProof/>
        </w:rPr>
        <w:tab/>
        <w:t>Ivády B, Kenesei É, Tóth-Heyn P, Kertész G, Tárkányi K, Kassa C, et al. Factors influencing antimicrobial resistance and outcome of Gram-negative bloodstream infections in children. Infection [Internet]. 2016 Jun 6 [cited 2019 Jul 12];44(3):309–21. Available from: http://link.springer.com/10.1007/s15010-015-0857-8</w:t>
      </w:r>
    </w:p>
    <w:p w14:paraId="66EE1E81"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27. </w:t>
      </w:r>
      <w:r w:rsidRPr="00EE2463">
        <w:rPr>
          <w:rFonts w:ascii="Calibri" w:hAnsi="Calibri" w:cs="Times New Roman"/>
          <w:noProof/>
        </w:rPr>
        <w:tab/>
        <w:t>Abdel-Hady H, Hawas S, El-Daker M, El-Kady R. Extended-spectrum β-lactamase producing Klebsiella pneumoniae in neonatal intensive care unit. J Perinatol [Internet]. 2008 Oct 26 [cited 2019 Jul 12];28(10):685–90. Available from: http://www.ncbi.nlm.nih.gov/pubmed/18580881</w:t>
      </w:r>
    </w:p>
    <w:p w14:paraId="58151F1E"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28. </w:t>
      </w:r>
      <w:r w:rsidRPr="00EE2463">
        <w:rPr>
          <w:rFonts w:ascii="Calibri" w:hAnsi="Calibri" w:cs="Times New Roman"/>
          <w:noProof/>
        </w:rPr>
        <w:tab/>
        <w:t>Kayange N, Kamugisha E, Mwizamholya DL, Jeremiah S, Mshana SE. Predictors of positive blood culture and deaths among neonates with suspected neonatal sepsis in a tertiary hospital, Mwanza-Tanzania. BMC Pediatr [Internet]. 2010 Jun 4 [cited 2019 Jul 12];10:39. Available from: http://www.ncbi.nlm.nih.gov/pubmed/20525358</w:t>
      </w:r>
    </w:p>
    <w:p w14:paraId="3D579D16"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29. </w:t>
      </w:r>
      <w:r w:rsidRPr="00EE2463">
        <w:rPr>
          <w:rFonts w:ascii="Calibri" w:hAnsi="Calibri" w:cs="Times New Roman"/>
          <w:noProof/>
        </w:rPr>
        <w:tab/>
        <w:t>Ariffin H, Navaratnam P, Mohamed M, Arasu A, Ariffin Abdullah W, Lee Lee C, et al. Ceftazidime-resistant Klebsiella pneumoniae bloodstream infection in children with febrile neutropenia. Int J Infect Dis [Internet]. 2000 Jan 1 [cited 2019 Jul 12];4(1):21–5. Available from: https://www.sciencedirect.com/science/article/pii/S1201971200900614</w:t>
      </w:r>
    </w:p>
    <w:p w14:paraId="65323101"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30. </w:t>
      </w:r>
      <w:r w:rsidRPr="00EE2463">
        <w:rPr>
          <w:rFonts w:ascii="Calibri" w:hAnsi="Calibri" w:cs="Times New Roman"/>
          <w:noProof/>
        </w:rPr>
        <w:tab/>
        <w:t xml:space="preserve">Zaoutis TE, Goyal M, Chu JH, Coffin SE, Bell LM, Nachamkin I, et al. Risk factors for and </w:t>
      </w:r>
      <w:r w:rsidRPr="00EE2463">
        <w:rPr>
          <w:rFonts w:ascii="Calibri" w:hAnsi="Calibri" w:cs="Times New Roman"/>
          <w:noProof/>
        </w:rPr>
        <w:lastRenderedPageBreak/>
        <w:t>outcomes of bloodstream infection caused by extended-spectrum beta-lactamase-producing Escherichia coli and Klebsiella species in children. Pediatrics [Internet]. 2005 Apr 1 [cited 2017 Nov 27];115(4):942–9. Available from: http://www.ncbi.nlm.nih.gov/pubmed/15805368</w:t>
      </w:r>
    </w:p>
    <w:p w14:paraId="518ECF4D"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31. </w:t>
      </w:r>
      <w:r w:rsidRPr="00EE2463">
        <w:rPr>
          <w:rFonts w:ascii="Calibri" w:hAnsi="Calibri" w:cs="Times New Roman"/>
          <w:noProof/>
        </w:rPr>
        <w:tab/>
        <w:t>Thatrimontrichai A, Apisarnthanarak A, Chanvitan P, Janjindamai W, Dissaneevate S, Maneenil G. Risk Factors and Outcomes of Carbapenem-resistant Acinetobacter baumannii Bacteremia in Neonatal Intensive Care Unit. Pediatr Infect Dis J [Internet]. 2013 Feb [cited 2019 Jul 12];32(2):140–5. Available from: http://content.wkhealth.com/linkback/openurl?sid=WKPTLP:landingpage&amp;an=00006454-201302000-00010</w:t>
      </w:r>
    </w:p>
    <w:p w14:paraId="6EB391F0"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32. </w:t>
      </w:r>
      <w:r w:rsidRPr="00EE2463">
        <w:rPr>
          <w:rFonts w:ascii="Calibri" w:hAnsi="Calibri" w:cs="Times New Roman"/>
          <w:noProof/>
        </w:rPr>
        <w:tab/>
        <w:t>Punpanich W, Nithitamsakun N, Treeratweeraphong V, Suntarattiwong P. Risk factors for carbapenem non-susceptibility and mortality in Acinetobacter baumannii bacteremia in children. Int J Infect Dis [Internet]. 2012 Nov [cited 2019 Jul 12];16(11):e811–5. Available from: http://www.ncbi.nlm.nih.gov/pubmed/22898148</w:t>
      </w:r>
    </w:p>
    <w:p w14:paraId="79F2A3A3"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33. </w:t>
      </w:r>
      <w:r w:rsidRPr="00EE2463">
        <w:rPr>
          <w:rFonts w:ascii="Calibri" w:hAnsi="Calibri" w:cs="Times New Roman"/>
          <w:noProof/>
        </w:rPr>
        <w:tab/>
        <w:t>Saleem AF, Ahmed I, Mir F, Ali SR, Zaidi AK. Pan-resistant Acinetobacter Infection in Neonates in Karachi, Pakistan. J Infect Dev Ctries [Internet]. 2010 Feb 1 [cited 2019 Jul 12];4(01):030–7. Available from: http://www.jidc.org/index.php/journal/article/view/533</w:t>
      </w:r>
    </w:p>
    <w:p w14:paraId="6C7CA35E"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34. </w:t>
      </w:r>
      <w:r w:rsidRPr="00EE2463">
        <w:rPr>
          <w:rFonts w:ascii="Calibri" w:hAnsi="Calibri" w:cs="Times New Roman"/>
          <w:noProof/>
        </w:rPr>
        <w:tab/>
        <w:t xml:space="preserve">Cassini A, Högberg LD, Plachouras D, Quattrocchi A, Hoxha A, Simonsen GS, et al. Attributable deaths and disability-adjusted life-years caused by infections with antibiotic-resistant bacteria in the EU and the European Economic Area in 2015: a population-level modelling analysis. Lancet Infect Dis. 2019 Jan 1;19(1):56–66. </w:t>
      </w:r>
    </w:p>
    <w:p w14:paraId="0494306F"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35. </w:t>
      </w:r>
      <w:r w:rsidRPr="00EE2463">
        <w:rPr>
          <w:rFonts w:ascii="Calibri" w:hAnsi="Calibri" w:cs="Times New Roman"/>
          <w:noProof/>
        </w:rPr>
        <w:tab/>
        <w:t xml:space="preserve">Peters Id L, Olson L, Khu DTK, Linnros S, Le NK, Hanberger H, et al. Multiple antibiotic resistance as a risk factor for mortality and prolonged hospital stay: A cohort study among neonatal intensive care patients with hospital-acquired infections caused by gram-negative bacteria in Vietnam. 2019 [cited 2019 Dec 4]; Available from: </w:t>
      </w:r>
      <w:r w:rsidRPr="00EE2463">
        <w:rPr>
          <w:rFonts w:ascii="Calibri" w:hAnsi="Calibri" w:cs="Times New Roman"/>
          <w:noProof/>
        </w:rPr>
        <w:lastRenderedPageBreak/>
        <w:t>https://doi.org/10.1371/journal.pone.0215666</w:t>
      </w:r>
    </w:p>
    <w:p w14:paraId="4412B95D"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36. </w:t>
      </w:r>
      <w:r w:rsidRPr="00EE2463">
        <w:rPr>
          <w:rFonts w:ascii="Calibri" w:hAnsi="Calibri" w:cs="Times New Roman"/>
          <w:noProof/>
        </w:rPr>
        <w:tab/>
        <w:t>Rudd KE, Kissoon N, Limmathurotsakul D, Bory S, Mutahunga B, Seymour CW, et al. The global burden of sepsis: barriers and potential solutions. Crit Care [Internet]. 2018 Dec 23 [cited 2019 Jul 26];22(1):232. Available from: https://ccforum.biomedcentral.com/articles/10.1186/s13054-018-2157-z</w:t>
      </w:r>
    </w:p>
    <w:p w14:paraId="1D5DF09D"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37. </w:t>
      </w:r>
      <w:r w:rsidRPr="00EE2463">
        <w:rPr>
          <w:rFonts w:ascii="Calibri" w:hAnsi="Calibri" w:cs="Times New Roman"/>
          <w:noProof/>
        </w:rPr>
        <w:tab/>
        <w:t>Laxminarayan R, Matsoso P, Pant S, Brower C, Røttingen J-A, Klugman K, et al. Access to effective antimicrobials: a worldwide challenge. Lancet [Internet]. 2016 Jan 9 [cited 2019 Jul 16];387(10014):168–75. Available from: https://www.sciencedirect.com/science/article/pii/S0140673615004742?via%3Dihub</w:t>
      </w:r>
    </w:p>
    <w:p w14:paraId="37E489FB"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38. </w:t>
      </w:r>
      <w:r w:rsidRPr="00EE2463">
        <w:rPr>
          <w:rFonts w:ascii="Calibri" w:hAnsi="Calibri" w:cs="Times New Roman"/>
          <w:noProof/>
        </w:rPr>
        <w:tab/>
        <w:t>Cusack TP, Ashley EA, Ling CL, Roberts T, Turner P, Wangrangsimakul T, et al. Time to switch from CLSI to EUCAST? A Southeast Asian perspective [Internet]. Vol. 25, Clinical Microbiology and Infection. Elsevier B.V.; 2019 [cited 2020 Aug 13]. p. 782–5. Available from: https://doi.org/10.1016/j.cmi.2019.03.007.</w:t>
      </w:r>
    </w:p>
    <w:p w14:paraId="558E3EF2"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cs="Times New Roman"/>
          <w:noProof/>
        </w:rPr>
      </w:pPr>
      <w:r w:rsidRPr="00EE2463">
        <w:rPr>
          <w:rFonts w:ascii="Calibri" w:hAnsi="Calibri" w:cs="Times New Roman"/>
          <w:noProof/>
        </w:rPr>
        <w:t xml:space="preserve">39. </w:t>
      </w:r>
      <w:r w:rsidRPr="00EE2463">
        <w:rPr>
          <w:rFonts w:ascii="Calibri" w:hAnsi="Calibri" w:cs="Times New Roman"/>
          <w:noProof/>
        </w:rPr>
        <w:tab/>
        <w:t>Dellinger RP, Levy MM, Rhodes A, Annane D, Gerlach H, Opal SM, et al. Surviving Sepsis Campaign: International Guidelines for Management of Severe Sepsis and Septic Shock, 2012. Intensive Care Med [Internet]. 2013 Feb [cited 2019 Aug 2];39(2):165–228. Available from: http://link.springer.com/10.1007/s00134-012-2769-8</w:t>
      </w:r>
    </w:p>
    <w:p w14:paraId="4D119ECF" w14:textId="77777777" w:rsidR="001F6113" w:rsidRPr="00EE2463" w:rsidRDefault="001F6113" w:rsidP="001F6113">
      <w:pPr>
        <w:widowControl w:val="0"/>
        <w:autoSpaceDE w:val="0"/>
        <w:autoSpaceDN w:val="0"/>
        <w:adjustRightInd w:val="0"/>
        <w:spacing w:after="200" w:line="480" w:lineRule="auto"/>
        <w:ind w:left="640" w:hanging="640"/>
        <w:rPr>
          <w:rFonts w:ascii="Calibri" w:hAnsi="Calibri"/>
          <w:noProof/>
        </w:rPr>
      </w:pPr>
      <w:r w:rsidRPr="00EE2463">
        <w:rPr>
          <w:rFonts w:ascii="Calibri" w:hAnsi="Calibri" w:cs="Times New Roman"/>
          <w:noProof/>
        </w:rPr>
        <w:t xml:space="preserve">40. </w:t>
      </w:r>
      <w:r w:rsidRPr="00EE2463">
        <w:rPr>
          <w:rFonts w:ascii="Calibri" w:hAnsi="Calibri" w:cs="Times New Roman"/>
          <w:noProof/>
        </w:rPr>
        <w:tab/>
        <w:t>Bielicki JA, Sharland M, Versporten A, Goossens H, Cromwell DA. Using risk adjustment to improve the interpretation of global inpatient pediatric antibiotic prescribing. Kou YR, editor. PLoS One [Internet]. 2018 Jul 6 [cited 2019 Jul 26];13(7):e0199878. Available from: https://dx.plos.org/10.1371/journal.pone.0199878</w:t>
      </w:r>
    </w:p>
    <w:p w14:paraId="3E4001CF" w14:textId="38063D52" w:rsidR="00110F15" w:rsidRPr="00EE2463" w:rsidRDefault="005C148E" w:rsidP="001F6113">
      <w:pPr>
        <w:widowControl w:val="0"/>
        <w:autoSpaceDE w:val="0"/>
        <w:autoSpaceDN w:val="0"/>
        <w:adjustRightInd w:val="0"/>
        <w:spacing w:after="200" w:line="480" w:lineRule="auto"/>
        <w:ind w:left="640" w:hanging="640"/>
        <w:rPr>
          <w:rFonts w:ascii="Calibri" w:hAnsi="Calibri" w:cs="Arial"/>
        </w:rPr>
      </w:pPr>
      <w:r w:rsidRPr="00EE2463">
        <w:rPr>
          <w:rFonts w:ascii="Calibri" w:hAnsi="Calibri" w:cs="Arial"/>
        </w:rPr>
        <w:fldChar w:fldCharType="end"/>
      </w:r>
    </w:p>
    <w:p w14:paraId="0365B82E" w14:textId="2EEB356F" w:rsidR="00110F15" w:rsidRDefault="00110F15" w:rsidP="00110F15">
      <w:pPr>
        <w:rPr>
          <w:rFonts w:ascii="Calibri" w:hAnsi="Calibri"/>
        </w:rPr>
      </w:pPr>
    </w:p>
    <w:p w14:paraId="106DAD0F" w14:textId="77777777" w:rsidR="00272750" w:rsidRPr="00EE2463" w:rsidRDefault="00272750" w:rsidP="00110F15">
      <w:pPr>
        <w:rPr>
          <w:rFonts w:ascii="Calibri" w:hAnsi="Calibri"/>
        </w:rPr>
      </w:pPr>
    </w:p>
    <w:p w14:paraId="5DA850BC" w14:textId="248AAE02" w:rsidR="00821E71" w:rsidRPr="00EE2463" w:rsidRDefault="006F4F2F" w:rsidP="005319E4">
      <w:pPr>
        <w:spacing w:line="480" w:lineRule="auto"/>
        <w:rPr>
          <w:rFonts w:ascii="Calibri" w:hAnsi="Calibri" w:cs="Arial"/>
          <w:b/>
        </w:rPr>
      </w:pPr>
      <w:r w:rsidRPr="00EE2463">
        <w:rPr>
          <w:rFonts w:ascii="Calibri" w:hAnsi="Calibri" w:cs="Arial"/>
          <w:b/>
        </w:rPr>
        <w:lastRenderedPageBreak/>
        <w:t>Supplemental Digital Content</w:t>
      </w:r>
    </w:p>
    <w:p w14:paraId="0BC3FA87" w14:textId="3710DF16" w:rsidR="00FC58E9" w:rsidRPr="00EE2463" w:rsidRDefault="006F4F2F" w:rsidP="005319E4">
      <w:pPr>
        <w:spacing w:line="480" w:lineRule="auto"/>
        <w:rPr>
          <w:rFonts w:ascii="Calibri" w:hAnsi="Calibri" w:cs="Arial"/>
        </w:rPr>
      </w:pPr>
      <w:r w:rsidRPr="00EE2463">
        <w:rPr>
          <w:rFonts w:ascii="Calibri" w:hAnsi="Calibri" w:cs="Arial"/>
        </w:rPr>
        <w:t>Supplemental Digital Content</w:t>
      </w:r>
      <w:r w:rsidR="00821E71" w:rsidRPr="00EE2463">
        <w:rPr>
          <w:rFonts w:ascii="Calibri" w:hAnsi="Calibri" w:cs="Arial"/>
        </w:rPr>
        <w:t xml:space="preserve"> 1</w:t>
      </w:r>
      <w:r w:rsidR="0012077D" w:rsidRPr="00EE2463">
        <w:rPr>
          <w:rFonts w:ascii="Calibri" w:hAnsi="Calibri" w:cs="Arial"/>
        </w:rPr>
        <w:t>.</w:t>
      </w:r>
      <w:r w:rsidRPr="00EE2463">
        <w:rPr>
          <w:rFonts w:ascii="Calibri" w:hAnsi="Calibri" w:cs="Arial"/>
        </w:rPr>
        <w:t xml:space="preserve"> Figure. </w:t>
      </w:r>
      <w:r w:rsidR="00FC58E9" w:rsidRPr="00EE2463">
        <w:rPr>
          <w:rFonts w:ascii="Calibri" w:hAnsi="Calibri" w:cs="Arial"/>
        </w:rPr>
        <w:t>PDF</w:t>
      </w:r>
    </w:p>
    <w:p w14:paraId="1D4B1FB1" w14:textId="5B10A9D5" w:rsidR="00FC58E9" w:rsidRPr="00EE2463" w:rsidRDefault="00FC58E9" w:rsidP="005319E4">
      <w:pPr>
        <w:spacing w:line="480" w:lineRule="auto"/>
        <w:rPr>
          <w:rFonts w:ascii="Calibri" w:hAnsi="Calibri" w:cs="Arial"/>
        </w:rPr>
      </w:pPr>
      <w:r w:rsidRPr="00EE2463">
        <w:rPr>
          <w:rFonts w:ascii="Calibri" w:hAnsi="Calibri" w:cs="Arial"/>
        </w:rPr>
        <w:t>Supplemental Digital Content 2. Table. PDF</w:t>
      </w:r>
    </w:p>
    <w:p w14:paraId="06F5DACB" w14:textId="19FAA172" w:rsidR="00FC58E9" w:rsidRPr="00EE2463" w:rsidRDefault="00FC58E9" w:rsidP="005319E4">
      <w:pPr>
        <w:spacing w:line="480" w:lineRule="auto"/>
        <w:rPr>
          <w:rFonts w:ascii="Calibri" w:hAnsi="Calibri" w:cs="Arial"/>
        </w:rPr>
      </w:pPr>
      <w:r w:rsidRPr="00EE2463">
        <w:rPr>
          <w:rFonts w:ascii="Calibri" w:hAnsi="Calibri" w:cs="Arial"/>
        </w:rPr>
        <w:t>Supplemental Digital Content 3. Table. PDF</w:t>
      </w:r>
    </w:p>
    <w:p w14:paraId="114CA009" w14:textId="6DD438F9" w:rsidR="00FC58E9" w:rsidRPr="00EE2463" w:rsidRDefault="00FC58E9" w:rsidP="005319E4">
      <w:pPr>
        <w:spacing w:line="480" w:lineRule="auto"/>
        <w:rPr>
          <w:rFonts w:ascii="Calibri" w:hAnsi="Calibri" w:cs="Arial"/>
        </w:rPr>
      </w:pPr>
      <w:r w:rsidRPr="00EE2463">
        <w:rPr>
          <w:rFonts w:ascii="Calibri" w:hAnsi="Calibri" w:cs="Arial"/>
        </w:rPr>
        <w:t>Supplemental Digital Content 4. Table. PDF</w:t>
      </w:r>
    </w:p>
    <w:p w14:paraId="50181598" w14:textId="003531B7" w:rsidR="00FC58E9" w:rsidRPr="00EE2463" w:rsidRDefault="00FC58E9" w:rsidP="005319E4">
      <w:pPr>
        <w:spacing w:line="480" w:lineRule="auto"/>
        <w:rPr>
          <w:rFonts w:ascii="Calibri" w:hAnsi="Calibri" w:cs="Arial"/>
        </w:rPr>
      </w:pPr>
      <w:r w:rsidRPr="00EE2463">
        <w:rPr>
          <w:rFonts w:ascii="Calibri" w:hAnsi="Calibri" w:cs="Arial"/>
        </w:rPr>
        <w:t>Supplemental Digital Content 5. Table. PDF</w:t>
      </w:r>
    </w:p>
    <w:p w14:paraId="6FBEDAC3" w14:textId="6090C401" w:rsidR="0012077D" w:rsidRPr="00EE2463" w:rsidRDefault="00FC58E9" w:rsidP="005319E4">
      <w:pPr>
        <w:spacing w:line="480" w:lineRule="auto"/>
        <w:rPr>
          <w:rFonts w:ascii="Calibri" w:hAnsi="Calibri" w:cs="Arial"/>
        </w:rPr>
      </w:pPr>
      <w:r w:rsidRPr="00EE2463">
        <w:rPr>
          <w:rFonts w:ascii="Calibri" w:hAnsi="Calibri" w:cs="Arial"/>
        </w:rPr>
        <w:t>Supplemental Digital Content 6. Table. PDF</w:t>
      </w:r>
    </w:p>
    <w:p w14:paraId="2CBC37F3" w14:textId="4E90ABAC" w:rsidR="00CE58FC" w:rsidRPr="00EE2463" w:rsidRDefault="00CE58FC" w:rsidP="005319E4">
      <w:pPr>
        <w:spacing w:line="480" w:lineRule="auto"/>
        <w:rPr>
          <w:rFonts w:ascii="Calibri" w:hAnsi="Calibri" w:cs="Arial"/>
        </w:rPr>
      </w:pPr>
      <w:r w:rsidRPr="00EE2463">
        <w:rPr>
          <w:rFonts w:ascii="Calibri" w:hAnsi="Calibri" w:cs="Arial"/>
        </w:rPr>
        <w:t>Supplemental Digital Content 7. Table. PDF</w:t>
      </w:r>
    </w:p>
    <w:sectPr w:rsidR="00CE58FC" w:rsidRPr="00EE2463" w:rsidSect="00F50FB2">
      <w:footerReference w:type="even" r:id="rId8"/>
      <w:footerReference w:type="default" r:id="rId9"/>
      <w:pgSz w:w="11906" w:h="16838"/>
      <w:pgMar w:top="1440" w:right="1440" w:bottom="1440" w:left="1440" w:header="708" w:footer="708" w:gutter="0"/>
      <w:lnNumType w:countBy="1" w:restart="continuous"/>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1D4F9" w14:textId="77777777" w:rsidR="005B609E" w:rsidRDefault="005B609E">
      <w:pPr>
        <w:spacing w:after="0" w:line="240" w:lineRule="auto"/>
      </w:pPr>
      <w:r>
        <w:separator/>
      </w:r>
    </w:p>
  </w:endnote>
  <w:endnote w:type="continuationSeparator" w:id="0">
    <w:p w14:paraId="3B1188C5" w14:textId="77777777" w:rsidR="005B609E" w:rsidRDefault="005B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846245"/>
      <w:docPartObj>
        <w:docPartGallery w:val="Page Numbers (Bottom of Page)"/>
        <w:docPartUnique/>
      </w:docPartObj>
    </w:sdtPr>
    <w:sdtEndPr>
      <w:rPr>
        <w:rStyle w:val="PageNumber"/>
      </w:rPr>
    </w:sdtEndPr>
    <w:sdtContent>
      <w:p w14:paraId="599070BC" w14:textId="15DB240B" w:rsidR="00674772" w:rsidRDefault="00674772" w:rsidP="00EB200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D0B7E" w14:textId="77777777" w:rsidR="00674772" w:rsidRDefault="00674772" w:rsidP="00F50FB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8428516"/>
      <w:docPartObj>
        <w:docPartGallery w:val="Page Numbers (Bottom of Page)"/>
        <w:docPartUnique/>
      </w:docPartObj>
    </w:sdtPr>
    <w:sdtEndPr>
      <w:rPr>
        <w:rStyle w:val="PageNumber"/>
      </w:rPr>
    </w:sdtEndPr>
    <w:sdtContent>
      <w:p w14:paraId="4BFD9C71" w14:textId="592EA2BB" w:rsidR="00674772" w:rsidRDefault="00674772" w:rsidP="00EB200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383D04D" w14:textId="2A5CA903" w:rsidR="00674772" w:rsidRDefault="00674772" w:rsidP="00F50FB2">
    <w:pPr>
      <w:pStyle w:val="Footer"/>
      <w:ind w:firstLine="360"/>
    </w:pPr>
  </w:p>
  <w:p w14:paraId="52DB0319" w14:textId="77777777" w:rsidR="00674772" w:rsidRDefault="0067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6F3D6" w14:textId="77777777" w:rsidR="005B609E" w:rsidRDefault="005B609E">
      <w:pPr>
        <w:spacing w:after="0" w:line="240" w:lineRule="auto"/>
      </w:pPr>
      <w:r>
        <w:separator/>
      </w:r>
    </w:p>
  </w:footnote>
  <w:footnote w:type="continuationSeparator" w:id="0">
    <w:p w14:paraId="385DAE2D" w14:textId="77777777" w:rsidR="005B609E" w:rsidRDefault="005B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C70"/>
    <w:multiLevelType w:val="hybridMultilevel"/>
    <w:tmpl w:val="6AC0D9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7194"/>
    <w:multiLevelType w:val="hybridMultilevel"/>
    <w:tmpl w:val="CB0AB3B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85257"/>
    <w:multiLevelType w:val="hybridMultilevel"/>
    <w:tmpl w:val="1EBC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4D2D60"/>
    <w:multiLevelType w:val="hybridMultilevel"/>
    <w:tmpl w:val="FDF66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95B73"/>
    <w:multiLevelType w:val="multilevel"/>
    <w:tmpl w:val="4BF6A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B67F0"/>
    <w:multiLevelType w:val="multilevel"/>
    <w:tmpl w:val="4BF6A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F04B1"/>
    <w:multiLevelType w:val="hybridMultilevel"/>
    <w:tmpl w:val="883A9D2A"/>
    <w:lvl w:ilvl="0" w:tplc="CB2876E4">
      <w:start w:val="41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663B3"/>
    <w:multiLevelType w:val="hybridMultilevel"/>
    <w:tmpl w:val="29E2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4966A5"/>
    <w:multiLevelType w:val="hybridMultilevel"/>
    <w:tmpl w:val="F29AA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73"/>
    <w:rsid w:val="000237FF"/>
    <w:rsid w:val="0002783A"/>
    <w:rsid w:val="00060C2D"/>
    <w:rsid w:val="00083E83"/>
    <w:rsid w:val="000D0D5C"/>
    <w:rsid w:val="000E1175"/>
    <w:rsid w:val="000E79B8"/>
    <w:rsid w:val="000F45F6"/>
    <w:rsid w:val="00110F15"/>
    <w:rsid w:val="0012077D"/>
    <w:rsid w:val="0012127C"/>
    <w:rsid w:val="00163802"/>
    <w:rsid w:val="00167FDE"/>
    <w:rsid w:val="001703D2"/>
    <w:rsid w:val="00186F02"/>
    <w:rsid w:val="001B591A"/>
    <w:rsid w:val="001C5CA7"/>
    <w:rsid w:val="001C6C9B"/>
    <w:rsid w:val="001D54D3"/>
    <w:rsid w:val="001E5BCE"/>
    <w:rsid w:val="001F6113"/>
    <w:rsid w:val="0020077E"/>
    <w:rsid w:val="00225F4B"/>
    <w:rsid w:val="00236F48"/>
    <w:rsid w:val="00240BDF"/>
    <w:rsid w:val="0025492E"/>
    <w:rsid w:val="00263D39"/>
    <w:rsid w:val="00272750"/>
    <w:rsid w:val="00274F1C"/>
    <w:rsid w:val="002D6EAF"/>
    <w:rsid w:val="003237A1"/>
    <w:rsid w:val="0038420D"/>
    <w:rsid w:val="003C4B2B"/>
    <w:rsid w:val="00403FCF"/>
    <w:rsid w:val="004103F5"/>
    <w:rsid w:val="00414B14"/>
    <w:rsid w:val="00423922"/>
    <w:rsid w:val="004576FB"/>
    <w:rsid w:val="00473D9D"/>
    <w:rsid w:val="00484958"/>
    <w:rsid w:val="00486302"/>
    <w:rsid w:val="00490EAA"/>
    <w:rsid w:val="004C48A4"/>
    <w:rsid w:val="004D1194"/>
    <w:rsid w:val="004F4E55"/>
    <w:rsid w:val="00522C38"/>
    <w:rsid w:val="005319E4"/>
    <w:rsid w:val="005576AE"/>
    <w:rsid w:val="00570CD5"/>
    <w:rsid w:val="00576F9C"/>
    <w:rsid w:val="005826D8"/>
    <w:rsid w:val="0058565C"/>
    <w:rsid w:val="00594EF7"/>
    <w:rsid w:val="005B609E"/>
    <w:rsid w:val="005B6617"/>
    <w:rsid w:val="005C148E"/>
    <w:rsid w:val="005C43BF"/>
    <w:rsid w:val="005D301F"/>
    <w:rsid w:val="0060516E"/>
    <w:rsid w:val="0060686B"/>
    <w:rsid w:val="00660DE7"/>
    <w:rsid w:val="00674772"/>
    <w:rsid w:val="00687D42"/>
    <w:rsid w:val="006A1273"/>
    <w:rsid w:val="006A7A68"/>
    <w:rsid w:val="006C0462"/>
    <w:rsid w:val="006F4F2F"/>
    <w:rsid w:val="006F53A8"/>
    <w:rsid w:val="00702D83"/>
    <w:rsid w:val="00711BD1"/>
    <w:rsid w:val="0071438E"/>
    <w:rsid w:val="00715A90"/>
    <w:rsid w:val="00715AA5"/>
    <w:rsid w:val="00742493"/>
    <w:rsid w:val="0077445E"/>
    <w:rsid w:val="00794EAD"/>
    <w:rsid w:val="007A272F"/>
    <w:rsid w:val="007C52DF"/>
    <w:rsid w:val="007D61F1"/>
    <w:rsid w:val="007E4E20"/>
    <w:rsid w:val="007F651C"/>
    <w:rsid w:val="00821E71"/>
    <w:rsid w:val="00844B1C"/>
    <w:rsid w:val="0085114E"/>
    <w:rsid w:val="00861DC3"/>
    <w:rsid w:val="008C2884"/>
    <w:rsid w:val="008D37E5"/>
    <w:rsid w:val="00920540"/>
    <w:rsid w:val="00934DFF"/>
    <w:rsid w:val="0097710F"/>
    <w:rsid w:val="00984911"/>
    <w:rsid w:val="0098795C"/>
    <w:rsid w:val="00987E7A"/>
    <w:rsid w:val="009B2E37"/>
    <w:rsid w:val="009D00BB"/>
    <w:rsid w:val="009F2038"/>
    <w:rsid w:val="00A40EE3"/>
    <w:rsid w:val="00A71249"/>
    <w:rsid w:val="00A72076"/>
    <w:rsid w:val="00A80E07"/>
    <w:rsid w:val="00A8139D"/>
    <w:rsid w:val="00AE30AA"/>
    <w:rsid w:val="00B417CE"/>
    <w:rsid w:val="00B56AB8"/>
    <w:rsid w:val="00B75543"/>
    <w:rsid w:val="00B77210"/>
    <w:rsid w:val="00B8481B"/>
    <w:rsid w:val="00BC5329"/>
    <w:rsid w:val="00BD4078"/>
    <w:rsid w:val="00BE0A8F"/>
    <w:rsid w:val="00C01E2C"/>
    <w:rsid w:val="00C25A0B"/>
    <w:rsid w:val="00C65034"/>
    <w:rsid w:val="00C748C9"/>
    <w:rsid w:val="00C83AE9"/>
    <w:rsid w:val="00CE58FC"/>
    <w:rsid w:val="00CE6B90"/>
    <w:rsid w:val="00D13DD5"/>
    <w:rsid w:val="00D304AC"/>
    <w:rsid w:val="00D45005"/>
    <w:rsid w:val="00D50CD9"/>
    <w:rsid w:val="00D67A56"/>
    <w:rsid w:val="00DB7E98"/>
    <w:rsid w:val="00DD0F4E"/>
    <w:rsid w:val="00DD7F7C"/>
    <w:rsid w:val="00DF2BF0"/>
    <w:rsid w:val="00E07298"/>
    <w:rsid w:val="00E36AFB"/>
    <w:rsid w:val="00E615E3"/>
    <w:rsid w:val="00E646D1"/>
    <w:rsid w:val="00E6733D"/>
    <w:rsid w:val="00E83F1F"/>
    <w:rsid w:val="00EB2007"/>
    <w:rsid w:val="00EC620B"/>
    <w:rsid w:val="00ED119B"/>
    <w:rsid w:val="00EE1EE6"/>
    <w:rsid w:val="00EE2463"/>
    <w:rsid w:val="00F04246"/>
    <w:rsid w:val="00F3152A"/>
    <w:rsid w:val="00F469C2"/>
    <w:rsid w:val="00F50FB2"/>
    <w:rsid w:val="00F56EFF"/>
    <w:rsid w:val="00F64585"/>
    <w:rsid w:val="00F94EE3"/>
    <w:rsid w:val="00FC58E9"/>
    <w:rsid w:val="00FE5BFF"/>
    <w:rsid w:val="00FE759E"/>
    <w:rsid w:val="00FF71F4"/>
    <w:rsid w:val="04820F66"/>
    <w:rsid w:val="07AAFB09"/>
    <w:rsid w:val="0C35E158"/>
    <w:rsid w:val="0E161130"/>
    <w:rsid w:val="0F9780A7"/>
    <w:rsid w:val="12160BC7"/>
    <w:rsid w:val="12A7BCFE"/>
    <w:rsid w:val="16B40661"/>
    <w:rsid w:val="17ED6380"/>
    <w:rsid w:val="188D9EAB"/>
    <w:rsid w:val="1D0669DE"/>
    <w:rsid w:val="1DDFAF5A"/>
    <w:rsid w:val="1FA63838"/>
    <w:rsid w:val="20E2B9D6"/>
    <w:rsid w:val="2172A3FE"/>
    <w:rsid w:val="22554AC4"/>
    <w:rsid w:val="22F647A3"/>
    <w:rsid w:val="2317B5B5"/>
    <w:rsid w:val="24EA7D14"/>
    <w:rsid w:val="266C1124"/>
    <w:rsid w:val="27893C9C"/>
    <w:rsid w:val="28713BC8"/>
    <w:rsid w:val="2BF8166E"/>
    <w:rsid w:val="2C0EF0AA"/>
    <w:rsid w:val="2C25A0D0"/>
    <w:rsid w:val="2CD4F8B9"/>
    <w:rsid w:val="2DCF6834"/>
    <w:rsid w:val="2E97672D"/>
    <w:rsid w:val="345108E7"/>
    <w:rsid w:val="34FB4605"/>
    <w:rsid w:val="3CBC0BC4"/>
    <w:rsid w:val="3F5CE58F"/>
    <w:rsid w:val="423896DB"/>
    <w:rsid w:val="459D99C6"/>
    <w:rsid w:val="47B5BF2E"/>
    <w:rsid w:val="4D2ECAAF"/>
    <w:rsid w:val="4FE88C08"/>
    <w:rsid w:val="5235769D"/>
    <w:rsid w:val="563DD40D"/>
    <w:rsid w:val="58535286"/>
    <w:rsid w:val="59784B6D"/>
    <w:rsid w:val="59CAC120"/>
    <w:rsid w:val="5C524868"/>
    <w:rsid w:val="614F896D"/>
    <w:rsid w:val="61813E73"/>
    <w:rsid w:val="621B6F76"/>
    <w:rsid w:val="62810B07"/>
    <w:rsid w:val="69702E9C"/>
    <w:rsid w:val="6AA9676D"/>
    <w:rsid w:val="6C1AC3F1"/>
    <w:rsid w:val="6DF7B1E9"/>
    <w:rsid w:val="6E6C42D1"/>
    <w:rsid w:val="6ED39683"/>
    <w:rsid w:val="7091503B"/>
    <w:rsid w:val="73129467"/>
    <w:rsid w:val="7D38AE1D"/>
    <w:rsid w:val="7D475260"/>
    <w:rsid w:val="7F899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0A736"/>
  <w15:chartTrackingRefBased/>
  <w15:docId w15:val="{96969C53-D5F1-49B5-A29B-DAFB4299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73"/>
  </w:style>
  <w:style w:type="paragraph" w:styleId="Heading1">
    <w:name w:val="heading 1"/>
    <w:basedOn w:val="Normal"/>
    <w:next w:val="Normal"/>
    <w:link w:val="Heading1Char"/>
    <w:uiPriority w:val="9"/>
    <w:qFormat/>
    <w:rsid w:val="006A1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1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2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12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127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A1273"/>
    <w:pPr>
      <w:ind w:left="720"/>
      <w:contextualSpacing/>
    </w:pPr>
  </w:style>
  <w:style w:type="character" w:styleId="CommentReference">
    <w:name w:val="annotation reference"/>
    <w:basedOn w:val="DefaultParagraphFont"/>
    <w:uiPriority w:val="99"/>
    <w:semiHidden/>
    <w:unhideWhenUsed/>
    <w:rsid w:val="006A1273"/>
    <w:rPr>
      <w:sz w:val="16"/>
      <w:szCs w:val="16"/>
    </w:rPr>
  </w:style>
  <w:style w:type="paragraph" w:styleId="CommentText">
    <w:name w:val="annotation text"/>
    <w:basedOn w:val="Normal"/>
    <w:link w:val="CommentTextChar"/>
    <w:uiPriority w:val="99"/>
    <w:unhideWhenUsed/>
    <w:rsid w:val="006A1273"/>
    <w:pPr>
      <w:spacing w:line="240" w:lineRule="auto"/>
    </w:pPr>
    <w:rPr>
      <w:sz w:val="20"/>
      <w:szCs w:val="20"/>
    </w:rPr>
  </w:style>
  <w:style w:type="character" w:customStyle="1" w:styleId="CommentTextChar">
    <w:name w:val="Comment Text Char"/>
    <w:basedOn w:val="DefaultParagraphFont"/>
    <w:link w:val="CommentText"/>
    <w:uiPriority w:val="99"/>
    <w:rsid w:val="006A1273"/>
    <w:rPr>
      <w:sz w:val="20"/>
      <w:szCs w:val="20"/>
    </w:rPr>
  </w:style>
  <w:style w:type="paragraph" w:styleId="BalloonText">
    <w:name w:val="Balloon Text"/>
    <w:basedOn w:val="Normal"/>
    <w:link w:val="BalloonTextChar"/>
    <w:uiPriority w:val="99"/>
    <w:semiHidden/>
    <w:unhideWhenUsed/>
    <w:rsid w:val="006A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73"/>
    <w:rPr>
      <w:rFonts w:ascii="Segoe UI" w:hAnsi="Segoe UI" w:cs="Segoe UI"/>
      <w:sz w:val="18"/>
      <w:szCs w:val="18"/>
    </w:rPr>
  </w:style>
  <w:style w:type="table" w:styleId="TableGrid">
    <w:name w:val="Table Grid"/>
    <w:basedOn w:val="TableNormal"/>
    <w:uiPriority w:val="39"/>
    <w:rsid w:val="006A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1273"/>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6A1273"/>
    <w:rPr>
      <w:b/>
      <w:bCs/>
    </w:rPr>
  </w:style>
  <w:style w:type="character" w:customStyle="1" w:styleId="CommentSubjectChar">
    <w:name w:val="Comment Subject Char"/>
    <w:basedOn w:val="CommentTextChar"/>
    <w:link w:val="CommentSubject"/>
    <w:uiPriority w:val="99"/>
    <w:semiHidden/>
    <w:rsid w:val="006A1273"/>
    <w:rPr>
      <w:b/>
      <w:bCs/>
      <w:sz w:val="20"/>
      <w:szCs w:val="20"/>
    </w:rPr>
  </w:style>
  <w:style w:type="paragraph" w:styleId="Header">
    <w:name w:val="header"/>
    <w:basedOn w:val="Normal"/>
    <w:link w:val="HeaderChar"/>
    <w:uiPriority w:val="99"/>
    <w:unhideWhenUsed/>
    <w:rsid w:val="006A1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273"/>
  </w:style>
  <w:style w:type="paragraph" w:styleId="Footer">
    <w:name w:val="footer"/>
    <w:basedOn w:val="Normal"/>
    <w:link w:val="FooterChar"/>
    <w:uiPriority w:val="99"/>
    <w:unhideWhenUsed/>
    <w:rsid w:val="006A1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273"/>
  </w:style>
  <w:style w:type="paragraph" w:styleId="NormalWeb">
    <w:name w:val="Normal (Web)"/>
    <w:basedOn w:val="Normal"/>
    <w:uiPriority w:val="99"/>
    <w:semiHidden/>
    <w:unhideWhenUsed/>
    <w:rsid w:val="006A127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A1273"/>
    <w:rPr>
      <w:color w:val="0563C1" w:themeColor="hyperlink"/>
      <w:u w:val="single"/>
    </w:rPr>
  </w:style>
  <w:style w:type="character" w:customStyle="1" w:styleId="UnresolvedMention1">
    <w:name w:val="Unresolved Mention1"/>
    <w:basedOn w:val="DefaultParagraphFont"/>
    <w:uiPriority w:val="99"/>
    <w:semiHidden/>
    <w:unhideWhenUsed/>
    <w:rsid w:val="006A1273"/>
    <w:rPr>
      <w:color w:val="605E5C"/>
      <w:shd w:val="clear" w:color="auto" w:fill="E1DFDD"/>
    </w:rPr>
  </w:style>
  <w:style w:type="paragraph" w:styleId="Revision">
    <w:name w:val="Revision"/>
    <w:hidden/>
    <w:uiPriority w:val="99"/>
    <w:semiHidden/>
    <w:rsid w:val="006A1273"/>
    <w:pPr>
      <w:spacing w:after="0" w:line="240" w:lineRule="auto"/>
    </w:pPr>
  </w:style>
  <w:style w:type="character" w:styleId="LineNumber">
    <w:name w:val="line number"/>
    <w:basedOn w:val="DefaultParagraphFont"/>
    <w:uiPriority w:val="99"/>
    <w:semiHidden/>
    <w:unhideWhenUsed/>
    <w:rsid w:val="006A1273"/>
  </w:style>
  <w:style w:type="character" w:customStyle="1" w:styleId="UnresolvedMention2">
    <w:name w:val="Unresolved Mention2"/>
    <w:basedOn w:val="DefaultParagraphFont"/>
    <w:uiPriority w:val="99"/>
    <w:semiHidden/>
    <w:unhideWhenUsed/>
    <w:rsid w:val="006A1273"/>
    <w:rPr>
      <w:color w:val="605E5C"/>
      <w:shd w:val="clear" w:color="auto" w:fill="E1DFDD"/>
    </w:rPr>
  </w:style>
  <w:style w:type="character" w:styleId="PageNumber">
    <w:name w:val="page number"/>
    <w:basedOn w:val="DefaultParagraphFont"/>
    <w:uiPriority w:val="99"/>
    <w:semiHidden/>
    <w:unhideWhenUsed/>
    <w:rsid w:val="00F5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032A-65BD-B947-9BF7-39A4C80B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27650</Words>
  <Characters>157608</Characters>
  <Application>Microsoft Office Word</Application>
  <DocSecurity>0</DocSecurity>
  <Lines>1313</Lines>
  <Paragraphs>369</Paragraphs>
  <ScaleCrop>false</ScaleCrop>
  <Company/>
  <LinksUpToDate>false</LinksUpToDate>
  <CharactersWithSpaces>184889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Cook</dc:creator>
  <cp:keywords/>
  <dc:description/>
  <cp:lastModifiedBy>Aislinn Cook</cp:lastModifiedBy>
  <cp:revision>3</cp:revision>
  <cp:lastPrinted>2020-02-03T17:42:00Z</cp:lastPrinted>
  <dcterms:created xsi:type="dcterms:W3CDTF">2020-08-14T16:18:00Z</dcterms:created>
  <dcterms:modified xsi:type="dcterms:W3CDTF">2020-08-14T16:18:00Z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7ec45585-67aa-339f-906c-3e1ab46530af</vt:lpwstr>
  </property>
  <property fmtid="{D5CDD505-2E9C-101B-9397-08002B2CF9AE}" pid="24" name="Mendeley Citation Style_1">
    <vt:lpwstr>http://www.zotero.org/styles/national-library-of-medicine</vt:lpwstr>
  </property>
</Properties>
</file>