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EFD5" w14:textId="18DA6DC4" w:rsidR="00C80A16" w:rsidRPr="002011B8" w:rsidRDefault="00C80A16" w:rsidP="002011B8">
      <w:pPr>
        <w:pStyle w:val="Caption"/>
        <w:keepNext/>
        <w:spacing w:line="360" w:lineRule="auto"/>
        <w:rPr>
          <w:rFonts w:ascii="Calibri" w:hAnsi="Calibri"/>
          <w:sz w:val="22"/>
          <w:szCs w:val="22"/>
        </w:rPr>
      </w:pPr>
      <w:r w:rsidRPr="002011B8">
        <w:rPr>
          <w:rFonts w:ascii="Calibri" w:hAnsi="Calibri"/>
          <w:sz w:val="22"/>
          <w:szCs w:val="22"/>
        </w:rPr>
        <w:t xml:space="preserve">Table </w:t>
      </w:r>
      <w:r w:rsidR="00915C9A">
        <w:rPr>
          <w:rFonts w:ascii="Calibri" w:hAnsi="Calibri"/>
          <w:noProof/>
          <w:sz w:val="22"/>
          <w:szCs w:val="22"/>
        </w:rPr>
        <w:t>2</w:t>
      </w:r>
      <w:r w:rsidRPr="002011B8">
        <w:rPr>
          <w:rFonts w:ascii="Calibri" w:hAnsi="Calibri"/>
          <w:sz w:val="22"/>
          <w:szCs w:val="22"/>
        </w:rPr>
        <w:t xml:space="preserve">. Concordance and discordance of empiric regimen by pathogen with fatalities* from overall cohort (n=452 overall). </w:t>
      </w:r>
    </w:p>
    <w:tbl>
      <w:tblPr>
        <w:tblW w:w="103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309"/>
        <w:gridCol w:w="1814"/>
        <w:gridCol w:w="1490"/>
        <w:gridCol w:w="1646"/>
        <w:gridCol w:w="1490"/>
        <w:gridCol w:w="1648"/>
      </w:tblGrid>
      <w:tr w:rsidR="00C80A16" w:rsidRPr="002011B8" w14:paraId="4CAD4C24" w14:textId="77777777" w:rsidTr="000B4B4E">
        <w:trPr>
          <w:trHeight w:val="54"/>
        </w:trPr>
        <w:tc>
          <w:tcPr>
            <w:tcW w:w="56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8893C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Pathogen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587E2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30-day Case Fatality</w:t>
            </w:r>
          </w:p>
        </w:tc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AAEB5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C80A16" w:rsidRPr="002011B8" w14:paraId="3A2917F3" w14:textId="77777777" w:rsidTr="000B4B4E">
        <w:trPr>
          <w:trHeight w:val="54"/>
        </w:trPr>
        <w:tc>
          <w:tcPr>
            <w:tcW w:w="561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EDA9E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BB8F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Survivor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9946D2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Non-survivor</w:t>
            </w:r>
          </w:p>
        </w:tc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3ED974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B4B4E" w:rsidRPr="002011B8" w14:paraId="440A291F" w14:textId="77777777" w:rsidTr="000B4B4E">
        <w:trPr>
          <w:trHeight w:val="54"/>
        </w:trPr>
        <w:tc>
          <w:tcPr>
            <w:tcW w:w="23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892D4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Staphylococcus aureus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75A8C7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Empiric treatment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CB5D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Concordant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6602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76 (96%)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2F8B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3 (4%)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D8D903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79 (90.8%)</w:t>
            </w:r>
          </w:p>
        </w:tc>
      </w:tr>
      <w:tr w:rsidR="000B4B4E" w:rsidRPr="002011B8" w14:paraId="3864AA97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6CB7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F9C40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E8B6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Discordant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876D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8 (100%)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3D6E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0 (0%)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D2A72F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8 (9.2%)</w:t>
            </w:r>
          </w:p>
        </w:tc>
      </w:tr>
      <w:tr w:rsidR="00C80A16" w:rsidRPr="002011B8" w14:paraId="1066AFFE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27B8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D6E8D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CD40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84 (96.6%)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C24D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3 (3.4%)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06EAB3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87 (100%)</w:t>
            </w:r>
          </w:p>
        </w:tc>
      </w:tr>
      <w:tr w:rsidR="000B4B4E" w:rsidRPr="002011B8" w14:paraId="453E2977" w14:textId="77777777" w:rsidTr="000B4B4E">
        <w:trPr>
          <w:trHeight w:val="54"/>
        </w:trPr>
        <w:tc>
          <w:tcPr>
            <w:tcW w:w="23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6A61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Escherichia coli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4FF38A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Empiric treatment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C8FB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Concordant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0279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67 (92%)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CC1F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6 (8%)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7BBE3E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73 (90.1%)</w:t>
            </w:r>
          </w:p>
        </w:tc>
      </w:tr>
      <w:tr w:rsidR="000B4B4E" w:rsidRPr="002011B8" w14:paraId="4C811653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98501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008234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F50E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Discordant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91712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5 (62%)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C01E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3 (38%)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F509AD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8 (9.9%)</w:t>
            </w:r>
          </w:p>
        </w:tc>
      </w:tr>
      <w:tr w:rsidR="00C80A16" w:rsidRPr="002011B8" w14:paraId="1806A98A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5E40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6668A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72D4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72 (88.9%)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1FC8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9 (11.1%)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C2320B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81 (100%)</w:t>
            </w:r>
          </w:p>
        </w:tc>
      </w:tr>
      <w:tr w:rsidR="000B4B4E" w:rsidRPr="002011B8" w14:paraId="53ECDC28" w14:textId="77777777" w:rsidTr="000B4B4E">
        <w:trPr>
          <w:trHeight w:val="54"/>
        </w:trPr>
        <w:tc>
          <w:tcPr>
            <w:tcW w:w="23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C8EE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Klebsiella spp.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033C56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Empiric treatment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7BF7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Concordant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B2F0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41 (89%)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4C93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5 (11%)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555D66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46 (83.6%)</w:t>
            </w:r>
          </w:p>
        </w:tc>
      </w:tr>
      <w:tr w:rsidR="000B4B4E" w:rsidRPr="002011B8" w14:paraId="65CF5856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DD06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9F7A3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F47F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Discordant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5C2A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8 (89%)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A1A8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 (11%)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93812C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9 (16.4%)</w:t>
            </w:r>
          </w:p>
        </w:tc>
      </w:tr>
      <w:tr w:rsidR="00C80A16" w:rsidRPr="002011B8" w14:paraId="331A6E2C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D60C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C7F65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3B42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49 (89.1%)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E064E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6 (10.9%)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94A211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55(100%)</w:t>
            </w:r>
          </w:p>
        </w:tc>
      </w:tr>
      <w:tr w:rsidR="000B4B4E" w:rsidRPr="002011B8" w14:paraId="63A58285" w14:textId="77777777" w:rsidTr="000B4B4E">
        <w:trPr>
          <w:trHeight w:val="54"/>
        </w:trPr>
        <w:tc>
          <w:tcPr>
            <w:tcW w:w="23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5B8A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Enterobacter spp</w:t>
            </w: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21708A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Empiric treatment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027A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Concordant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B978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21 91%)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FE72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2 (9%)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CF2AB0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23 (82.1%)</w:t>
            </w:r>
          </w:p>
        </w:tc>
      </w:tr>
      <w:tr w:rsidR="000B4B4E" w:rsidRPr="002011B8" w14:paraId="3DB888CF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0753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EE148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550BD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Discordant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245F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2 (40%)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35D1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3 (60 %)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3C5C96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5 (17.9%)</w:t>
            </w:r>
          </w:p>
        </w:tc>
      </w:tr>
      <w:tr w:rsidR="00C80A16" w:rsidRPr="002011B8" w14:paraId="2A6A4494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4E62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CE6A3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B762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23 (82.1%)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FEF9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5 (17.9%)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355E2A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28 (100%)</w:t>
            </w:r>
          </w:p>
        </w:tc>
      </w:tr>
      <w:tr w:rsidR="000B4B4E" w:rsidRPr="002011B8" w14:paraId="2D01494C" w14:textId="77777777" w:rsidTr="000B4B4E">
        <w:trPr>
          <w:trHeight w:val="54"/>
        </w:trPr>
        <w:tc>
          <w:tcPr>
            <w:tcW w:w="23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BB01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Pseudomonas aeruginosa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73FC04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Empiric treatment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7F973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Concordant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7C02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18 (86%)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1A49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3 (14%)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286040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21 (95.5%)</w:t>
            </w:r>
          </w:p>
        </w:tc>
      </w:tr>
      <w:tr w:rsidR="000B4B4E" w:rsidRPr="002011B8" w14:paraId="2F33AD4B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BE7B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92E4E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33F6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Discordant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451A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0 (0%)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BD08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 (100%)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5B936E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 (4.5%)</w:t>
            </w:r>
          </w:p>
        </w:tc>
      </w:tr>
      <w:tr w:rsidR="00C80A16" w:rsidRPr="002011B8" w14:paraId="449948B3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D0EA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A8377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39C8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18 (81.8%)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876B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4 (18.2%)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1B04F0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22 (100%)</w:t>
            </w:r>
          </w:p>
        </w:tc>
      </w:tr>
      <w:tr w:rsidR="000B4B4E" w:rsidRPr="002011B8" w14:paraId="4750195D" w14:textId="77777777" w:rsidTr="000B4B4E">
        <w:trPr>
          <w:trHeight w:val="54"/>
        </w:trPr>
        <w:tc>
          <w:tcPr>
            <w:tcW w:w="23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C8E1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Acinetobacter </w:t>
            </w:r>
            <w:proofErr w:type="spellStart"/>
            <w:r w:rsidRPr="002011B8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baumannii</w:t>
            </w:r>
            <w:proofErr w:type="spellEnd"/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D52F04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Empiric treatment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66AC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Concordant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B37E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5 (71%)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CEE6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2 (29%)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7C3D7F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7 (50%)</w:t>
            </w:r>
          </w:p>
        </w:tc>
      </w:tr>
      <w:tr w:rsidR="000B4B4E" w:rsidRPr="002011B8" w14:paraId="3B5DB75D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D1A9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D282C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E96B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Discordant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61A5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5 (71%)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E47C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2 (29%)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163C7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7 (50%)</w:t>
            </w:r>
          </w:p>
        </w:tc>
      </w:tr>
      <w:tr w:rsidR="00C80A16" w:rsidRPr="002011B8" w14:paraId="35104045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3E1C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B6B0C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9203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10 (71.4%)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5115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4 (28.6%)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CF8438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14 (100%)</w:t>
            </w:r>
          </w:p>
        </w:tc>
      </w:tr>
      <w:tr w:rsidR="000B4B4E" w:rsidRPr="002011B8" w14:paraId="6CD889F5" w14:textId="77777777" w:rsidTr="000B4B4E">
        <w:trPr>
          <w:trHeight w:val="54"/>
        </w:trPr>
        <w:tc>
          <w:tcPr>
            <w:tcW w:w="23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6E82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Serratia spp.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624A17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Empiric treatment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3E87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Concordant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A9A5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7 (87%)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E84C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 (13%)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3C7EC8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10 (71.4%)</w:t>
            </w:r>
          </w:p>
        </w:tc>
      </w:tr>
      <w:tr w:rsidR="000B4B4E" w:rsidRPr="002011B8" w14:paraId="5362D5BE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6AE6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ECCCC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A6BE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Discordant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0B1CC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2 (50%)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B2BB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2 (50%)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227EAE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4 (28.6%)</w:t>
            </w:r>
          </w:p>
        </w:tc>
      </w:tr>
      <w:tr w:rsidR="00C80A16" w:rsidRPr="002011B8" w14:paraId="7D4C8BBB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AFAB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5FE32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5C485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11 (78.6%)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DBA4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3 (21.4%)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46D456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14 (100%)</w:t>
            </w:r>
          </w:p>
        </w:tc>
      </w:tr>
      <w:tr w:rsidR="000B4B4E" w:rsidRPr="002011B8" w14:paraId="0C25EB10" w14:textId="77777777" w:rsidTr="000B4B4E">
        <w:trPr>
          <w:trHeight w:val="54"/>
        </w:trPr>
        <w:tc>
          <w:tcPr>
            <w:tcW w:w="23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7061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Streptococcus pyogenes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79255D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Empiric treatment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1875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Concordant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18C5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8 (89%)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165B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 (11%)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F38444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9 (90.0%)</w:t>
            </w:r>
          </w:p>
        </w:tc>
      </w:tr>
      <w:tr w:rsidR="000B4B4E" w:rsidRPr="002011B8" w14:paraId="5F2F53CD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8DCB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77B71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5799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Discordant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4F3D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 (100%)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BC03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0 (0%)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DABA9" w14:textId="77777777" w:rsidR="000B4B4E" w:rsidRPr="002011B8" w:rsidRDefault="000B4B4E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 (10.0%)</w:t>
            </w:r>
          </w:p>
        </w:tc>
      </w:tr>
      <w:tr w:rsidR="00C80A16" w:rsidRPr="002011B8" w14:paraId="5FBE09B4" w14:textId="77777777" w:rsidTr="000B4B4E">
        <w:trPr>
          <w:trHeight w:val="54"/>
        </w:trPr>
        <w:tc>
          <w:tcPr>
            <w:tcW w:w="23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BE68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B7AF2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3D41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9 (90.0%)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A7F3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 (10.0%)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1FE1A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color w:val="000000"/>
                <w:lang w:eastAsia="en-GB"/>
              </w:rPr>
              <w:t>10 (100%)</w:t>
            </w:r>
          </w:p>
        </w:tc>
      </w:tr>
      <w:tr w:rsidR="00C80A16" w:rsidRPr="002011B8" w14:paraId="5C57E111" w14:textId="77777777" w:rsidTr="000B4B4E">
        <w:trPr>
          <w:trHeight w:val="54"/>
        </w:trPr>
        <w:tc>
          <w:tcPr>
            <w:tcW w:w="56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872B90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FFBE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D9FE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8A110" w14:textId="77777777" w:rsidR="00C80A16" w:rsidRPr="002011B8" w:rsidRDefault="00C80A16" w:rsidP="002011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011B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311</w:t>
            </w:r>
          </w:p>
        </w:tc>
      </w:tr>
    </w:tbl>
    <w:p w14:paraId="32622590" w14:textId="33EFEAD2" w:rsidR="00C80A16" w:rsidRPr="002011B8" w:rsidRDefault="00C80A16" w:rsidP="002011B8">
      <w:pPr>
        <w:pStyle w:val="Caption"/>
        <w:keepNext/>
        <w:spacing w:line="360" w:lineRule="auto"/>
        <w:rPr>
          <w:rFonts w:ascii="Calibri" w:hAnsi="Calibri"/>
          <w:sz w:val="22"/>
          <w:szCs w:val="22"/>
        </w:rPr>
      </w:pPr>
      <w:r w:rsidRPr="002011B8">
        <w:rPr>
          <w:rFonts w:ascii="Calibri" w:hAnsi="Calibri"/>
          <w:sz w:val="22"/>
          <w:szCs w:val="22"/>
        </w:rPr>
        <w:t xml:space="preserve">*Salmonella spp., Streptococcus pneumoniae, Streptococcus agalactiae, Enterococcus faecalis, Enterococcus faecium, Enterococcus spp., Haemophilus influenza, </w:t>
      </w:r>
      <w:proofErr w:type="spellStart"/>
      <w:r w:rsidRPr="002011B8">
        <w:rPr>
          <w:rFonts w:ascii="Calibri" w:hAnsi="Calibri"/>
          <w:sz w:val="22"/>
          <w:szCs w:val="22"/>
        </w:rPr>
        <w:t>Burkholderia</w:t>
      </w:r>
      <w:proofErr w:type="spellEnd"/>
      <w:r w:rsidRPr="002011B8">
        <w:rPr>
          <w:rFonts w:ascii="Calibri" w:hAnsi="Calibri"/>
          <w:sz w:val="22"/>
          <w:szCs w:val="22"/>
        </w:rPr>
        <w:t xml:space="preserve"> </w:t>
      </w:r>
      <w:proofErr w:type="spellStart"/>
      <w:r w:rsidRPr="002011B8">
        <w:rPr>
          <w:rFonts w:ascii="Calibri" w:hAnsi="Calibri"/>
          <w:sz w:val="22"/>
          <w:szCs w:val="22"/>
        </w:rPr>
        <w:t>cepacia</w:t>
      </w:r>
      <w:proofErr w:type="spellEnd"/>
      <w:r w:rsidRPr="002011B8">
        <w:rPr>
          <w:rFonts w:ascii="Calibri" w:hAnsi="Calibri"/>
          <w:sz w:val="22"/>
          <w:szCs w:val="22"/>
        </w:rPr>
        <w:t xml:space="preserve"> and Proteus spp. had no fatalities. Concordance and discordance of these pathogens are presented in </w:t>
      </w:r>
      <w:r w:rsidR="00841551" w:rsidRPr="002011B8">
        <w:rPr>
          <w:rFonts w:ascii="Calibri" w:hAnsi="Calibri"/>
          <w:sz w:val="22"/>
          <w:szCs w:val="22"/>
        </w:rPr>
        <w:t>table, Supplemental Digital Content 6</w:t>
      </w:r>
      <w:r w:rsidRPr="002011B8">
        <w:rPr>
          <w:rFonts w:ascii="Calibri" w:hAnsi="Calibri"/>
          <w:sz w:val="22"/>
          <w:szCs w:val="22"/>
        </w:rPr>
        <w:t xml:space="preserve">. </w:t>
      </w:r>
    </w:p>
    <w:p w14:paraId="3E806F3E" w14:textId="77777777" w:rsidR="00EB3C53" w:rsidRPr="002011B8" w:rsidRDefault="00EB3C53" w:rsidP="002011B8">
      <w:pPr>
        <w:spacing w:line="360" w:lineRule="auto"/>
        <w:rPr>
          <w:rFonts w:ascii="Calibri" w:hAnsi="Calibri"/>
        </w:rPr>
      </w:pPr>
    </w:p>
    <w:sectPr w:rsidR="00EB3C53" w:rsidRPr="002011B8" w:rsidSect="000B4B4E">
      <w:pgSz w:w="11900" w:h="16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56B0" w14:textId="77777777" w:rsidR="00D627BE" w:rsidRDefault="00D627BE" w:rsidP="000B4B4E">
      <w:pPr>
        <w:spacing w:after="0" w:line="240" w:lineRule="auto"/>
      </w:pPr>
      <w:r>
        <w:separator/>
      </w:r>
    </w:p>
  </w:endnote>
  <w:endnote w:type="continuationSeparator" w:id="0">
    <w:p w14:paraId="5D1BC73E" w14:textId="77777777" w:rsidR="00D627BE" w:rsidRDefault="00D627BE" w:rsidP="000B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7871" w14:textId="77777777" w:rsidR="00D627BE" w:rsidRDefault="00D627BE" w:rsidP="000B4B4E">
      <w:pPr>
        <w:spacing w:after="0" w:line="240" w:lineRule="auto"/>
      </w:pPr>
      <w:r>
        <w:separator/>
      </w:r>
    </w:p>
  </w:footnote>
  <w:footnote w:type="continuationSeparator" w:id="0">
    <w:p w14:paraId="5ACB76E2" w14:textId="77777777" w:rsidR="00D627BE" w:rsidRDefault="00D627BE" w:rsidP="000B4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16"/>
    <w:rsid w:val="000B4B4E"/>
    <w:rsid w:val="002011B8"/>
    <w:rsid w:val="00841551"/>
    <w:rsid w:val="00915C9A"/>
    <w:rsid w:val="00BF69A6"/>
    <w:rsid w:val="00C80A16"/>
    <w:rsid w:val="00D627BE"/>
    <w:rsid w:val="00EB3C53"/>
    <w:rsid w:val="00F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703B2"/>
  <w15:chartTrackingRefBased/>
  <w15:docId w15:val="{57B78E67-09E7-964E-9FB2-B78C72F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A1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80A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1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Cook</dc:creator>
  <cp:keywords/>
  <dc:description/>
  <cp:lastModifiedBy>Aislinn Cook</cp:lastModifiedBy>
  <cp:revision>5</cp:revision>
  <dcterms:created xsi:type="dcterms:W3CDTF">2020-05-05T16:00:00Z</dcterms:created>
  <dcterms:modified xsi:type="dcterms:W3CDTF">2020-05-22T17:00:00Z</dcterms:modified>
</cp:coreProperties>
</file>