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1AF426C3" w:rsidR="00EA3D3C" w:rsidRPr="00994A3D" w:rsidRDefault="0060309E" w:rsidP="0001436A">
      <w:pPr>
        <w:pStyle w:val="Heading1"/>
      </w:pPr>
      <w:r>
        <w:t>Settings</w:t>
      </w:r>
    </w:p>
    <w:p w14:paraId="59E3C423" w14:textId="77777777" w:rsidR="0060309E" w:rsidRPr="0060309E" w:rsidRDefault="0060309E" w:rsidP="0060309E">
      <w:pPr>
        <w:rPr>
          <w:rFonts w:cs="Times New Roman"/>
          <w:szCs w:val="24"/>
        </w:rPr>
      </w:pPr>
      <w:r w:rsidRPr="0060309E">
        <w:rPr>
          <w:rFonts w:cs="Times New Roman"/>
          <w:szCs w:val="24"/>
        </w:rPr>
        <w:t>Iran is the second largest country in the Middle East with a population of more than 80 million people. Iran is divided into 31 provinces. Tehran is the capital and the economic center of Iran with a population of nearly 9 million in the city and more than 16 million in the larger metropolitan area. More than 70% of Iran’s population live in urban areas. For more information about Iran and the status of its health system, readers are referred to [1].</w:t>
      </w:r>
    </w:p>
    <w:p w14:paraId="44E980F8" w14:textId="6D09E177" w:rsidR="00994A3D" w:rsidRPr="0060309E" w:rsidRDefault="0060309E" w:rsidP="0060309E">
      <w:pPr>
        <w:jc w:val="center"/>
        <w:rPr>
          <w:rFonts w:cs="Times New Roman"/>
          <w:szCs w:val="24"/>
        </w:rPr>
      </w:pPr>
      <w:r w:rsidRPr="0060309E">
        <w:rPr>
          <w:rFonts w:cs="Times New Roman"/>
          <w:noProof/>
          <w:szCs w:val="24"/>
        </w:rPr>
        <w:drawing>
          <wp:inline distT="0" distB="0" distL="0" distR="0" wp14:anchorId="5BD28258" wp14:editId="35DF61B5">
            <wp:extent cx="5077460" cy="3889829"/>
            <wp:effectExtent l="0" t="0" r="2540" b="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an_ma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0" t="21040" r="13454" b="21352"/>
                    <a:stretch/>
                  </pic:blipFill>
                  <pic:spPr bwMode="auto">
                    <a:xfrm>
                      <a:off x="0" y="0"/>
                      <a:ext cx="5108558" cy="391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09E">
        <w:rPr>
          <w:rFonts w:cs="Times New Roman"/>
          <w:szCs w:val="24"/>
        </w:rPr>
        <w:br w:type="textWrapping" w:clear="all"/>
      </w:r>
      <w:r w:rsidRPr="0060309E">
        <w:rPr>
          <w:rFonts w:cs="Times New Roman"/>
          <w:b/>
          <w:bCs/>
          <w:szCs w:val="24"/>
        </w:rPr>
        <w:t>Figure S1</w:t>
      </w:r>
      <w:r w:rsidR="00E2446F">
        <w:rPr>
          <w:rFonts w:cs="Times New Roman"/>
          <w:b/>
          <w:bCs/>
          <w:szCs w:val="24"/>
        </w:rPr>
        <w:t>.</w:t>
      </w:r>
      <w:r w:rsidRPr="0060309E">
        <w:rPr>
          <w:rFonts w:cs="Times New Roman"/>
          <w:b/>
          <w:bCs/>
          <w:szCs w:val="24"/>
        </w:rPr>
        <w:t xml:space="preserve"> Map of Iran showing province names.</w:t>
      </w:r>
    </w:p>
    <w:p w14:paraId="4D059444" w14:textId="457415FE" w:rsidR="00994A3D" w:rsidRPr="00994A3D" w:rsidRDefault="0060309E" w:rsidP="0001436A">
      <w:pPr>
        <w:pStyle w:val="Heading1"/>
      </w:pPr>
      <w:r>
        <w:t>Mathematical Epidemic Model</w:t>
      </w:r>
    </w:p>
    <w:p w14:paraId="2A15F62C" w14:textId="2559ED90" w:rsidR="0060309E" w:rsidRPr="0060309E" w:rsidRDefault="0060309E" w:rsidP="0060309E">
      <w:pPr>
        <w:rPr>
          <w:rFonts w:cs="Times New Roman"/>
          <w:szCs w:val="24"/>
        </w:rPr>
      </w:pPr>
      <w:r w:rsidRPr="0060309E">
        <w:rPr>
          <w:rFonts w:cs="Times New Roman"/>
          <w:szCs w:val="24"/>
        </w:rPr>
        <w:t>We describe the dynamics of spread using a variation of the susceptible-</w:t>
      </w:r>
      <w:r w:rsidR="008E74C8">
        <w:rPr>
          <w:rFonts w:cs="Times New Roman"/>
          <w:szCs w:val="24"/>
        </w:rPr>
        <w:t>exposed-</w:t>
      </w:r>
      <w:r w:rsidRPr="0060309E">
        <w:rPr>
          <w:rFonts w:cs="Times New Roman"/>
          <w:szCs w:val="24"/>
        </w:rPr>
        <w:t>infected-recovered</w:t>
      </w:r>
      <w:r w:rsidR="008E74C8">
        <w:rPr>
          <w:rFonts w:cs="Times New Roman"/>
          <w:szCs w:val="24"/>
        </w:rPr>
        <w:t>-dead</w:t>
      </w:r>
      <w:r w:rsidRPr="0060309E">
        <w:rPr>
          <w:rFonts w:cs="Times New Roman"/>
          <w:szCs w:val="24"/>
        </w:rPr>
        <w:t xml:space="preserve"> (S</w:t>
      </w:r>
      <w:r w:rsidR="008E74C8">
        <w:rPr>
          <w:rFonts w:cs="Times New Roman"/>
          <w:szCs w:val="24"/>
        </w:rPr>
        <w:t>E</w:t>
      </w:r>
      <w:r w:rsidRPr="0060309E">
        <w:rPr>
          <w:rFonts w:cs="Times New Roman"/>
          <w:szCs w:val="24"/>
        </w:rPr>
        <w:t>IR</w:t>
      </w:r>
      <w:r w:rsidR="008E74C8">
        <w:rPr>
          <w:rFonts w:cs="Times New Roman"/>
          <w:szCs w:val="24"/>
        </w:rPr>
        <w:t>D</w:t>
      </w:r>
      <w:r w:rsidRPr="0060309E">
        <w:rPr>
          <w:rFonts w:cs="Times New Roman"/>
          <w:szCs w:val="24"/>
        </w:rPr>
        <w:t>) model</w:t>
      </w:r>
      <w:r w:rsidR="008E74C8">
        <w:rPr>
          <w:rFonts w:cs="Times New Roman"/>
          <w:szCs w:val="24"/>
        </w:rPr>
        <w:t xml:space="preserve">, where </w:t>
      </w:r>
      <w:r w:rsidR="00BD1D2E">
        <w:rPr>
          <w:rFonts w:cs="Times New Roman"/>
          <w:szCs w:val="24"/>
        </w:rPr>
        <w:t>(considering</w:t>
      </w:r>
      <w:r w:rsidR="008E74C8">
        <w:rPr>
          <w:rFonts w:cs="Times New Roman"/>
          <w:szCs w:val="24"/>
        </w:rPr>
        <w:t xml:space="preserve"> COVID-19 properties</w:t>
      </w:r>
      <w:r w:rsidR="00BD1D2E">
        <w:rPr>
          <w:rFonts w:cs="Times New Roman"/>
          <w:szCs w:val="24"/>
        </w:rPr>
        <w:t>)</w:t>
      </w:r>
      <w:r w:rsidR="008E74C8">
        <w:rPr>
          <w:rFonts w:cs="Times New Roman"/>
          <w:szCs w:val="24"/>
        </w:rPr>
        <w:t xml:space="preserve"> we </w:t>
      </w:r>
      <w:r w:rsidR="00BD1D2E">
        <w:rPr>
          <w:rFonts w:cs="Times New Roman"/>
          <w:szCs w:val="24"/>
        </w:rPr>
        <w:t>define the</w:t>
      </w:r>
      <w:r w:rsidR="008E74C8">
        <w:rPr>
          <w:rFonts w:cs="Times New Roman"/>
          <w:szCs w:val="24"/>
        </w:rPr>
        <w:t xml:space="preserve"> exposed group </w:t>
      </w:r>
      <w:r w:rsidR="00BD1D2E">
        <w:rPr>
          <w:rFonts w:cs="Times New Roman"/>
          <w:szCs w:val="24"/>
        </w:rPr>
        <w:t>as the</w:t>
      </w:r>
      <w:r w:rsidR="008E74C8">
        <w:rPr>
          <w:rFonts w:cs="Times New Roman"/>
          <w:szCs w:val="24"/>
        </w:rPr>
        <w:t xml:space="preserve"> individuals that are infectious yet asymptomatic</w:t>
      </w:r>
      <w:r w:rsidR="00BD1D2E">
        <w:rPr>
          <w:rFonts w:cs="Times New Roman"/>
          <w:szCs w:val="24"/>
        </w:rPr>
        <w:t>,</w:t>
      </w:r>
      <w:r w:rsidR="008E74C8">
        <w:rPr>
          <w:rFonts w:cs="Times New Roman"/>
          <w:szCs w:val="24"/>
        </w:rPr>
        <w:t xml:space="preserve"> so cannot be practically counted in reported infected cases. The model </w:t>
      </w:r>
      <w:r w:rsidR="002F09EA">
        <w:rPr>
          <w:rFonts w:cs="Times New Roman"/>
          <w:szCs w:val="24"/>
        </w:rPr>
        <w:t xml:space="preserve">allows for a </w:t>
      </w:r>
      <w:r w:rsidR="002F538C">
        <w:rPr>
          <w:rFonts w:cs="Times New Roman"/>
          <w:szCs w:val="24"/>
        </w:rPr>
        <w:t xml:space="preserve">distributed delay in the onset of symptoms </w:t>
      </w:r>
      <w:r w:rsidR="002F09EA">
        <w:rPr>
          <w:rFonts w:cs="Times New Roman"/>
          <w:szCs w:val="24"/>
        </w:rPr>
        <w:t>in cases after contracting the virus and a distributed delay in recovery (approximately equal</w:t>
      </w:r>
      <w:r w:rsidR="001C1BD3">
        <w:rPr>
          <w:rFonts w:cs="Times New Roman"/>
          <w:szCs w:val="24"/>
        </w:rPr>
        <w:t xml:space="preserve"> for death </w:t>
      </w:r>
      <w:r w:rsidR="001C1BD3" w:rsidRPr="0060309E">
        <w:rPr>
          <w:rFonts w:cs="Times New Roman"/>
          <w:szCs w:val="24"/>
        </w:rPr>
        <w:t>[3]</w:t>
      </w:r>
      <w:r w:rsidR="002F09EA">
        <w:rPr>
          <w:rFonts w:cs="Times New Roman"/>
          <w:szCs w:val="24"/>
        </w:rPr>
        <w:t>) after the onset of symptoms</w:t>
      </w:r>
      <w:r w:rsidR="001C1BD3">
        <w:rPr>
          <w:rFonts w:cs="Times New Roman"/>
          <w:szCs w:val="24"/>
        </w:rPr>
        <w:t>,</w:t>
      </w:r>
      <w:r w:rsidR="002F09EA">
        <w:rPr>
          <w:rFonts w:cs="Times New Roman"/>
          <w:szCs w:val="24"/>
        </w:rPr>
        <w:t xml:space="preserve"> and </w:t>
      </w:r>
      <w:r w:rsidR="008E74C8">
        <w:rPr>
          <w:rFonts w:cs="Times New Roman"/>
          <w:szCs w:val="24"/>
        </w:rPr>
        <w:t>can be explained with the below system of differential equations.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1"/>
        <w:gridCol w:w="706"/>
      </w:tblGrid>
      <w:tr w:rsidR="0060309E" w:rsidRPr="0060309E" w14:paraId="1759494E" w14:textId="77777777" w:rsidTr="0060309E">
        <w:tc>
          <w:tcPr>
            <w:tcW w:w="4639" w:type="pct"/>
            <w:vAlign w:val="center"/>
          </w:tcPr>
          <w:p w14:paraId="6E036ED4" w14:textId="21578B30" w:rsidR="0060309E" w:rsidRPr="0060309E" w:rsidRDefault="00DF20C7" w:rsidP="002E0892">
            <w:pPr>
              <w:rPr>
                <w:rFonts w:cs="Times New Roman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dS(t)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=-βS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e>
                </m:d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+E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t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361" w:type="pct"/>
            <w:vAlign w:val="center"/>
          </w:tcPr>
          <w:p w14:paraId="14BFA63E" w14:textId="77777777" w:rsidR="0060309E" w:rsidRPr="0060309E" w:rsidRDefault="0060309E" w:rsidP="002E0892">
            <w:pPr>
              <w:jc w:val="right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(1)</w:t>
            </w:r>
          </w:p>
        </w:tc>
      </w:tr>
      <w:tr w:rsidR="0060309E" w:rsidRPr="0060309E" w14:paraId="3B90704D" w14:textId="77777777" w:rsidTr="0060309E">
        <w:tc>
          <w:tcPr>
            <w:tcW w:w="4639" w:type="pct"/>
            <w:vAlign w:val="center"/>
          </w:tcPr>
          <w:p w14:paraId="575DF254" w14:textId="36836AF5" w:rsidR="0060309E" w:rsidRPr="0060309E" w:rsidRDefault="00DF20C7" w:rsidP="002E0892">
            <w:pPr>
              <w:rPr>
                <w:rFonts w:cs="Times New Roman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dE(t)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=βS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e>
                </m:d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+E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t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t-τ;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dτ</m:t>
                    </m:r>
                  </m:e>
                </m:nary>
              </m:oMath>
            </m:oMathPara>
          </w:p>
        </w:tc>
        <w:tc>
          <w:tcPr>
            <w:tcW w:w="361" w:type="pct"/>
            <w:vAlign w:val="center"/>
          </w:tcPr>
          <w:p w14:paraId="4A2654CF" w14:textId="77777777" w:rsidR="0060309E" w:rsidRPr="0060309E" w:rsidRDefault="0060309E" w:rsidP="002E0892">
            <w:pPr>
              <w:jc w:val="right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(2)</w:t>
            </w:r>
          </w:p>
        </w:tc>
      </w:tr>
      <w:tr w:rsidR="00EA45B5" w:rsidRPr="0060309E" w14:paraId="7131EEB7" w14:textId="77777777" w:rsidTr="0060309E">
        <w:tc>
          <w:tcPr>
            <w:tcW w:w="4639" w:type="pct"/>
            <w:vAlign w:val="center"/>
          </w:tcPr>
          <w:p w14:paraId="40296A89" w14:textId="492EBEB9" w:rsidR="00EA45B5" w:rsidRPr="00EA45B5" w:rsidRDefault="00DF20C7" w:rsidP="002E0892">
            <w:pPr>
              <w:rPr>
                <w:rFonts w:eastAsia="Calibri" w:cs="Arial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dI(t)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t-τ;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dτ</m:t>
                    </m:r>
                  </m:e>
                </m:nary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-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t-τ;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dτ</m:t>
                    </m:r>
                  </m:e>
                </m:nary>
              </m:oMath>
            </m:oMathPara>
          </w:p>
        </w:tc>
        <w:tc>
          <w:tcPr>
            <w:tcW w:w="361" w:type="pct"/>
            <w:vAlign w:val="center"/>
          </w:tcPr>
          <w:p w14:paraId="0FE8CDF5" w14:textId="36F6C36B" w:rsidR="00EA45B5" w:rsidRPr="0060309E" w:rsidRDefault="00EA45B5" w:rsidP="002E0892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(3)</w:t>
            </w:r>
          </w:p>
        </w:tc>
      </w:tr>
      <w:tr w:rsidR="00BD1D2E" w:rsidRPr="0060309E" w14:paraId="6DBC610A" w14:textId="77777777" w:rsidTr="0060309E">
        <w:tc>
          <w:tcPr>
            <w:tcW w:w="4639" w:type="pct"/>
            <w:vAlign w:val="center"/>
          </w:tcPr>
          <w:p w14:paraId="41CF92E9" w14:textId="69359F57" w:rsidR="00BD1D2E" w:rsidRPr="00BD1D2E" w:rsidRDefault="00DF20C7" w:rsidP="002E0892">
            <w:pPr>
              <w:rPr>
                <w:rFonts w:eastAsia="Calibri" w:cs="Arial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dR(t)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=(1-γ)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t-τ;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dτ</m:t>
                    </m:r>
                  </m:e>
                </m:nary>
              </m:oMath>
            </m:oMathPara>
          </w:p>
        </w:tc>
        <w:tc>
          <w:tcPr>
            <w:tcW w:w="361" w:type="pct"/>
            <w:vAlign w:val="center"/>
          </w:tcPr>
          <w:p w14:paraId="5343DE84" w14:textId="1ABAAED8" w:rsidR="00BD1D2E" w:rsidRDefault="00BD1D2E" w:rsidP="002E0892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(4)</w:t>
            </w:r>
          </w:p>
        </w:tc>
      </w:tr>
      <w:tr w:rsidR="00BD1D2E" w:rsidRPr="0060309E" w14:paraId="2991CD95" w14:textId="77777777" w:rsidTr="0060309E">
        <w:tc>
          <w:tcPr>
            <w:tcW w:w="4639" w:type="pct"/>
            <w:vAlign w:val="center"/>
          </w:tcPr>
          <w:p w14:paraId="64D16283" w14:textId="6AAB0D85" w:rsidR="00BD1D2E" w:rsidRPr="001B5637" w:rsidRDefault="00DF20C7" w:rsidP="002E0892">
            <w:pPr>
              <w:rPr>
                <w:rFonts w:eastAsia="Calibri" w:cs="Arial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dD(t)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=γ</m:t>
                </m:r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t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Γ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t-τ;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τ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dτ</m:t>
                    </m:r>
                  </m:e>
                </m:nary>
              </m:oMath>
            </m:oMathPara>
          </w:p>
        </w:tc>
        <w:tc>
          <w:tcPr>
            <w:tcW w:w="361" w:type="pct"/>
            <w:vAlign w:val="center"/>
          </w:tcPr>
          <w:p w14:paraId="4FBD3B1E" w14:textId="7E4016B1" w:rsidR="00BD1D2E" w:rsidRDefault="00BD1D2E" w:rsidP="002E0892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(5)</w:t>
            </w:r>
          </w:p>
        </w:tc>
      </w:tr>
      <w:tr w:rsidR="001713A7" w:rsidRPr="0060309E" w14:paraId="39628097" w14:textId="77777777" w:rsidTr="0060309E">
        <w:tc>
          <w:tcPr>
            <w:tcW w:w="4639" w:type="pct"/>
            <w:vAlign w:val="center"/>
          </w:tcPr>
          <w:p w14:paraId="0269FD2D" w14:textId="331922A8" w:rsidR="001713A7" w:rsidRPr="001713A7" w:rsidRDefault="00DF20C7" w:rsidP="002E0892">
            <w:pPr>
              <w:rPr>
                <w:rFonts w:eastAsia="Calibri" w:cs="Arial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=u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dI(t)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361" w:type="pct"/>
            <w:vAlign w:val="center"/>
          </w:tcPr>
          <w:p w14:paraId="3722494B" w14:textId="2197215E" w:rsidR="001713A7" w:rsidRDefault="001713A7" w:rsidP="002E0892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(6)</w:t>
            </w:r>
          </w:p>
        </w:tc>
      </w:tr>
      <w:tr w:rsidR="001713A7" w:rsidRPr="0060309E" w14:paraId="3D830760" w14:textId="77777777" w:rsidTr="0060309E">
        <w:tc>
          <w:tcPr>
            <w:tcW w:w="4639" w:type="pct"/>
            <w:vAlign w:val="center"/>
          </w:tcPr>
          <w:p w14:paraId="31377A0D" w14:textId="270024F6" w:rsidR="001713A7" w:rsidRPr="001713A7" w:rsidRDefault="00DF20C7" w:rsidP="002E0892">
            <w:pPr>
              <w:rPr>
                <w:rFonts w:eastAsia="Calibri" w:cs="Arial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=u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dR(t)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361" w:type="pct"/>
            <w:vAlign w:val="center"/>
          </w:tcPr>
          <w:p w14:paraId="3852047D" w14:textId="085FE761" w:rsidR="001713A7" w:rsidRDefault="001713A7" w:rsidP="002E0892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(7)</w:t>
            </w:r>
          </w:p>
        </w:tc>
      </w:tr>
    </w:tbl>
    <w:p w14:paraId="277F0F46" w14:textId="0372A086" w:rsidR="001713A7" w:rsidRDefault="001B5637" w:rsidP="002F538C">
      <w:pPr>
        <w:rPr>
          <w:rFonts w:eastAsiaTheme="minorEastAsia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>w</w:t>
      </w:r>
      <w:r w:rsidR="0060309E" w:rsidRPr="0060309E">
        <w:rPr>
          <w:rFonts w:cs="Times New Roman"/>
          <w:szCs w:val="24"/>
        </w:rPr>
        <w:t>here</w:t>
      </w:r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N</m:t>
        </m:r>
      </m:oMath>
      <w:r>
        <w:rPr>
          <w:rFonts w:cs="Times New Roman"/>
          <w:szCs w:val="24"/>
        </w:rPr>
        <w:t xml:space="preserve"> denotes the total population,</w:t>
      </w:r>
      <w:r w:rsidR="0060309E" w:rsidRPr="0060309E">
        <w:rPr>
          <w:rFonts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 xml:space="preserve">which at each time </w:t>
      </w:r>
      <m:oMath>
        <m:r>
          <w:rPr>
            <w:rFonts w:ascii="Cambria Math" w:eastAsiaTheme="minorEastAsia" w:hAnsi="Cambria Math" w:cs="Times New Roman"/>
            <w:szCs w:val="24"/>
          </w:rPr>
          <m:t>t</m:t>
        </m:r>
      </m:oMath>
      <w:r>
        <w:rPr>
          <w:rFonts w:eastAsiaTheme="minorEastAsia" w:cs="Times New Roman"/>
          <w:szCs w:val="24"/>
        </w:rPr>
        <w:t xml:space="preserve"> is divided into classes of </w:t>
      </w:r>
      <w:r>
        <w:rPr>
          <w:rFonts w:eastAsiaTheme="minorEastAsia" w:cs="Times New Roman"/>
          <w:color w:val="000000" w:themeColor="text1"/>
          <w:szCs w:val="24"/>
        </w:rPr>
        <w:t xml:space="preserve">susceptible </w:t>
      </w:r>
      <m:oMath>
        <m:r>
          <w:rPr>
            <w:rFonts w:ascii="Cambria Math" w:eastAsiaTheme="minorEastAsia" w:hAnsi="Cambria Math" w:cs="Times New Roman"/>
            <w:szCs w:val="24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</m:d>
      </m:oMath>
      <w:r>
        <w:rPr>
          <w:rFonts w:eastAsiaTheme="minorEastAsia" w:cs="Times New Roman"/>
          <w:color w:val="000000" w:themeColor="text1"/>
          <w:szCs w:val="24"/>
        </w:rPr>
        <w:t xml:space="preserve">, exposed </w:t>
      </w:r>
      <m:oMath>
        <m:r>
          <w:rPr>
            <w:rFonts w:ascii="Cambria Math" w:eastAsiaTheme="minorEastAsia" w:hAnsi="Cambria Math" w:cs="Times New Roman"/>
            <w:szCs w:val="24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</m:d>
      </m:oMath>
      <w:r>
        <w:rPr>
          <w:rFonts w:eastAsiaTheme="minorEastAsia" w:cs="Times New Roman"/>
          <w:color w:val="000000" w:themeColor="text1"/>
          <w:szCs w:val="24"/>
        </w:rPr>
        <w:t xml:space="preserve">, </w:t>
      </w:r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infected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I(t)</m:t>
        </m:r>
      </m:oMath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, recovered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R(t)</m:t>
        </m:r>
      </m:oMath>
      <w:r w:rsidR="0060309E" w:rsidRPr="0060309E">
        <w:rPr>
          <w:rFonts w:eastAsiaTheme="minorEastAsia" w:cs="Times New Roman"/>
          <w:color w:val="000000" w:themeColor="text1"/>
          <w:szCs w:val="24"/>
        </w:rPr>
        <w:t>, and</w:t>
      </w:r>
      <w:r>
        <w:rPr>
          <w:rFonts w:eastAsiaTheme="minorEastAsia" w:cs="Times New Roman"/>
          <w:color w:val="000000" w:themeColor="text1"/>
          <w:szCs w:val="24"/>
        </w:rPr>
        <w:t xml:space="preserve"> dead</w:t>
      </w:r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D(t)</m:t>
        </m:r>
      </m:oMath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 </w:t>
      </w:r>
      <w:r>
        <w:rPr>
          <w:rFonts w:eastAsiaTheme="minorEastAsia" w:cs="Times New Roman"/>
          <w:color w:val="000000" w:themeColor="text1"/>
          <w:szCs w:val="24"/>
        </w:rPr>
        <w:t>cases</w:t>
      </w:r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.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Cs w:val="24"/>
          </w:rPr>
          <m:t>Γ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t;μ,σ</m:t>
            </m:r>
          </m:e>
        </m:d>
      </m:oMath>
      <w:r w:rsidR="002F538C">
        <w:rPr>
          <w:rFonts w:eastAsiaTheme="minorEastAsia" w:cs="Times New Roman"/>
          <w:color w:val="000000" w:themeColor="text1"/>
          <w:szCs w:val="24"/>
        </w:rPr>
        <w:t xml:space="preserve"> is the probability distribution function of a Gamma distribution over time </w:t>
      </w:r>
      <m:oMath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t</m:t>
        </m:r>
      </m:oMath>
      <w:r w:rsidR="002F538C">
        <w:rPr>
          <w:rFonts w:eastAsiaTheme="minorEastAsia" w:cs="Times New Roman"/>
          <w:color w:val="000000" w:themeColor="text1"/>
          <w:szCs w:val="24"/>
        </w:rPr>
        <w:t xml:space="preserve"> with mean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μ</m:t>
        </m:r>
      </m:oMath>
      <w:r w:rsidR="002F538C">
        <w:rPr>
          <w:rFonts w:eastAsiaTheme="minorEastAsia" w:cs="Times New Roman"/>
          <w:color w:val="000000" w:themeColor="text1"/>
          <w:szCs w:val="24"/>
        </w:rPr>
        <w:t xml:space="preserve"> and standard deviation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σ</m:t>
        </m:r>
      </m:oMath>
      <w:r w:rsidR="002F538C">
        <w:rPr>
          <w:rFonts w:eastAsiaTheme="minorEastAsia" w:cs="Times New Roman"/>
          <w:color w:val="000000" w:themeColor="text1"/>
          <w:szCs w:val="24"/>
        </w:rPr>
        <w:t xml:space="preserve">, for which we have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Cs w:val="24"/>
              </w:rPr>
              <m:t>Γ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t;μ,σ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dt</m:t>
            </m:r>
          </m:e>
        </m:nary>
        <m:r>
          <w:rPr>
            <w:rFonts w:ascii="Cambria Math" w:hAnsi="Cambria Math" w:cs="Times New Roman"/>
            <w:color w:val="000000" w:themeColor="text1"/>
            <w:szCs w:val="24"/>
          </w:rPr>
          <m:t>=1</m:t>
        </m:r>
      </m:oMath>
      <w:r w:rsidR="002F538C">
        <w:rPr>
          <w:rFonts w:eastAsiaTheme="minorEastAsia" w:cs="Times New Roman"/>
          <w:color w:val="000000" w:themeColor="text1"/>
          <w:szCs w:val="24"/>
        </w:rPr>
        <w:t xml:space="preserve">. Furthermore,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β</m:t>
        </m:r>
      </m:oMath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 represents the disease transmission rate or transmissibility, recovery rate of the infectious disease</w:t>
      </w:r>
      <w:r w:rsidR="002F538C">
        <w:rPr>
          <w:rFonts w:eastAsiaTheme="minorEastAsia" w:cs="Times New Roman"/>
          <w:color w:val="000000" w:themeColor="text1"/>
          <w:szCs w:val="24"/>
        </w:rPr>
        <w:t xml:space="preserve"> can be calculated as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(</m:t>
            </m:r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1-γ</m:t>
            </m:r>
            <m:r>
              <w:rPr>
                <w:rFonts w:ascii="Cambria Math" w:eastAsiaTheme="minorEastAsia" w:hAnsi="Cambria Math" w:cs="Times New Roman"/>
                <w:color w:val="000000" w:themeColor="text1"/>
                <w:szCs w:val="24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2</m:t>
                </m:r>
              </m:sub>
            </m:sSub>
          </m:den>
        </m:f>
      </m:oMath>
      <w:r w:rsidR="002F538C">
        <w:rPr>
          <w:rFonts w:eastAsiaTheme="minorEastAsia" w:cs="Times New Roman"/>
          <w:color w:val="000000" w:themeColor="text1"/>
          <w:szCs w:val="24"/>
        </w:rPr>
        <w:t xml:space="preserve">, </w:t>
      </w:r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and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γ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2</m:t>
                </m:r>
              </m:sub>
            </m:sSub>
          </m:den>
        </m:f>
      </m:oMath>
      <w:r w:rsidR="0060309E" w:rsidRPr="0060309E">
        <w:rPr>
          <w:rFonts w:eastAsiaTheme="minorEastAsia" w:cs="Times New Roman"/>
          <w:color w:val="000000" w:themeColor="text1"/>
          <w:szCs w:val="24"/>
        </w:rPr>
        <w:t xml:space="preserve"> represents the fatality rate defined as the proportion of deaths in the combined removed and recovered population. </w:t>
      </w:r>
      <w:r w:rsidR="001713A7">
        <w:rPr>
          <w:rFonts w:eastAsiaTheme="minorEastAsia" w:cs="Times New Roman"/>
          <w:color w:val="000000" w:themeColor="text1"/>
          <w:szCs w:val="24"/>
        </w:rPr>
        <w:t xml:space="preserve">To account for underreporting, we also introduce a new parameter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u∈(0,1]</m:t>
        </m:r>
      </m:oMath>
      <w:r w:rsidR="001713A7" w:rsidRPr="0060309E">
        <w:rPr>
          <w:rFonts w:eastAsiaTheme="minorEastAsia" w:cs="Times New Roman"/>
          <w:color w:val="000000" w:themeColor="text1"/>
          <w:szCs w:val="24"/>
        </w:rPr>
        <w:t xml:space="preserve"> </w:t>
      </w:r>
      <w:r w:rsidR="001713A7">
        <w:rPr>
          <w:rFonts w:eastAsiaTheme="minorEastAsia" w:cs="Times New Roman"/>
          <w:color w:val="000000" w:themeColor="text1"/>
          <w:szCs w:val="24"/>
        </w:rPr>
        <w:t xml:space="preserve"> representing the percentage of symptomatic cases reported following a lognormal distribution [4]. </w:t>
      </w:r>
      <w:r w:rsidR="00A726A3">
        <w:rPr>
          <w:rFonts w:eastAsiaTheme="minorEastAsia" w:cs="Times New Roman"/>
          <w:color w:val="000000" w:themeColor="text1"/>
          <w:szCs w:val="24"/>
        </w:rPr>
        <w:t>Accordingly</w:t>
      </w:r>
      <w:r w:rsidR="001713A7">
        <w:rPr>
          <w:rFonts w:eastAsiaTheme="minorEastAsia" w:cs="Times New Roman"/>
          <w:color w:val="000000" w:themeColor="text1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  <w:szCs w:val="24"/>
          </w:rPr>
          <m:t>(t)</m:t>
        </m:r>
      </m:oMath>
      <w:r w:rsidR="001713A7">
        <w:rPr>
          <w:rFonts w:eastAsiaTheme="minorEastAsia" w:cs="Times New Roman"/>
          <w:color w:val="000000" w:themeColor="text1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  <w:szCs w:val="24"/>
          </w:rPr>
          <m:t>(t)</m:t>
        </m:r>
      </m:oMath>
      <w:r w:rsidR="001713A7">
        <w:rPr>
          <w:rFonts w:eastAsiaTheme="minorEastAsia" w:cs="Times New Roman"/>
          <w:color w:val="000000" w:themeColor="text1"/>
          <w:szCs w:val="24"/>
        </w:rPr>
        <w:t xml:space="preserve"> represent the fraction of infected and recovered cases </w:t>
      </w:r>
      <w:r w:rsidR="005B2DEA">
        <w:rPr>
          <w:rFonts w:eastAsiaTheme="minorEastAsia" w:cs="Times New Roman"/>
          <w:color w:val="000000" w:themeColor="text1"/>
          <w:szCs w:val="24"/>
        </w:rPr>
        <w:t xml:space="preserve">reported. </w:t>
      </w:r>
      <w:r w:rsidR="00A726A3">
        <w:rPr>
          <w:rFonts w:eastAsiaTheme="minorEastAsia" w:cs="Times New Roman"/>
          <w:color w:val="000000" w:themeColor="text1"/>
          <w:szCs w:val="24"/>
        </w:rPr>
        <w:t>If</w:t>
      </w:r>
      <w:r w:rsidR="001713A7">
        <w:rPr>
          <w:rFonts w:eastAsiaTheme="minorEastAsia" w:cs="Times New Roman"/>
          <w:color w:val="000000" w:themeColor="text1"/>
          <w:szCs w:val="24"/>
        </w:rPr>
        <w:t xml:space="preserve"> underreporting exists</w:t>
      </w:r>
      <w:r w:rsidR="00A726A3">
        <w:rPr>
          <w:rFonts w:eastAsiaTheme="minorEastAsia" w:cs="Times New Roman"/>
          <w:color w:val="000000" w:themeColor="text1"/>
          <w:szCs w:val="24"/>
        </w:rPr>
        <w:t>,</w:t>
      </w:r>
      <w:r w:rsidR="001713A7">
        <w:rPr>
          <w:rFonts w:eastAsiaTheme="minorEastAsia" w:cs="Times New Roman"/>
          <w:color w:val="000000" w:themeColor="text1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Cs w:val="24"/>
          </w:rPr>
          <m:t>u≠1</m:t>
        </m:r>
      </m:oMath>
      <w:r w:rsidR="00A726A3">
        <w:rPr>
          <w:rFonts w:eastAsiaTheme="minorEastAsia" w:cs="Times New Roman"/>
          <w:color w:val="000000" w:themeColor="text1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  <w:szCs w:val="24"/>
          </w:rPr>
          <m:t>(t)&lt;I(t)</m:t>
        </m:r>
      </m:oMath>
      <w:r w:rsidR="00A726A3">
        <w:rPr>
          <w:rFonts w:eastAsiaTheme="minorEastAsia" w:cs="Times New Roman"/>
          <w:color w:val="000000" w:themeColor="text1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 w:themeColor="text1"/>
            <w:szCs w:val="24"/>
          </w:rPr>
          <m:t>(t)&lt;R(t)</m:t>
        </m:r>
      </m:oMath>
      <w:r w:rsidR="00A726A3">
        <w:rPr>
          <w:rFonts w:eastAsiaTheme="minorEastAsia" w:cs="Times New Roman"/>
          <w:color w:val="000000" w:themeColor="text1"/>
          <w:szCs w:val="24"/>
        </w:rPr>
        <w:t>.</w:t>
      </w:r>
    </w:p>
    <w:p w14:paraId="74433FB3" w14:textId="538B711C" w:rsidR="0060309E" w:rsidRPr="0060309E" w:rsidRDefault="0060309E" w:rsidP="002F538C">
      <w:pPr>
        <w:rPr>
          <w:rFonts w:eastAsiaTheme="minorEastAsia" w:cs="Times New Roman"/>
          <w:color w:val="000000" w:themeColor="text1"/>
          <w:szCs w:val="24"/>
        </w:rPr>
      </w:pPr>
      <w:r w:rsidRPr="0060309E">
        <w:rPr>
          <w:rFonts w:eastAsiaTheme="minorEastAsia" w:cs="Times New Roman"/>
          <w:color w:val="000000" w:themeColor="text1"/>
          <w:szCs w:val="24"/>
        </w:rPr>
        <w:t>Table S1 provides a summary of the delay distributions considered in the model.</w:t>
      </w:r>
      <w:r w:rsidR="001C1BD3">
        <w:rPr>
          <w:rFonts w:eastAsiaTheme="minorEastAsia" w:cs="Times New Roman"/>
          <w:color w:val="000000" w:themeColor="text1"/>
          <w:szCs w:val="24"/>
        </w:rPr>
        <w:t xml:space="preserve"> Accordingly, parameters of the delay distributions are set as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5.5</m:t>
        </m:r>
      </m:oMath>
      <w:r w:rsidR="001C1BD3">
        <w:rPr>
          <w:rFonts w:eastAsiaTheme="minorEastAsia" w:cs="Times New Roman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2.29</m:t>
        </m:r>
      </m:oMath>
      <w:r w:rsidR="001C1BD3">
        <w:rPr>
          <w:rFonts w:eastAsiaTheme="minorEastAsia" w:cs="Times New Roman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22.2</m:t>
        </m:r>
      </m:oMath>
      <w:r w:rsidR="001C1BD3">
        <w:rPr>
          <w:rFonts w:eastAsiaTheme="minorEastAsia" w:cs="Times New Roman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10</m:t>
        </m:r>
      </m:oMath>
      <w:r w:rsidR="00EB335A">
        <w:rPr>
          <w:rFonts w:eastAsiaTheme="minorEastAsia" w:cs="Times New Roman"/>
          <w:szCs w:val="24"/>
        </w:rPr>
        <w:t>.</w:t>
      </w:r>
    </w:p>
    <w:p w14:paraId="6DA4F629" w14:textId="77777777" w:rsidR="005B2DEA" w:rsidRDefault="005B2DEA">
      <w:pPr>
        <w:spacing w:before="0" w:after="200" w:line="276" w:lineRule="auto"/>
        <w:rPr>
          <w:rFonts w:eastAsiaTheme="minorEastAsia" w:cs="Times New Roman"/>
          <w:b/>
          <w:bCs/>
          <w:color w:val="000000" w:themeColor="text1"/>
          <w:szCs w:val="24"/>
        </w:rPr>
      </w:pPr>
      <w:r>
        <w:rPr>
          <w:rFonts w:eastAsiaTheme="minorEastAsia" w:cs="Times New Roman"/>
          <w:b/>
          <w:bCs/>
          <w:color w:val="000000" w:themeColor="text1"/>
          <w:szCs w:val="24"/>
        </w:rPr>
        <w:br w:type="page"/>
      </w:r>
    </w:p>
    <w:p w14:paraId="27271026" w14:textId="4C55461B" w:rsidR="0060309E" w:rsidRPr="0060309E" w:rsidRDefault="0060309E" w:rsidP="0060309E">
      <w:pPr>
        <w:rPr>
          <w:rFonts w:eastAsiaTheme="minorEastAsia" w:cs="Times New Roman"/>
          <w:b/>
          <w:bCs/>
          <w:color w:val="000000" w:themeColor="text1"/>
          <w:szCs w:val="24"/>
        </w:rPr>
      </w:pPr>
      <w:r w:rsidRPr="0060309E">
        <w:rPr>
          <w:rFonts w:eastAsiaTheme="minorEastAsia" w:cs="Times New Roman"/>
          <w:b/>
          <w:bCs/>
          <w:color w:val="000000" w:themeColor="text1"/>
          <w:szCs w:val="24"/>
        </w:rPr>
        <w:lastRenderedPageBreak/>
        <w:t>Table S1</w:t>
      </w:r>
      <w:r w:rsidR="00E2446F">
        <w:rPr>
          <w:rFonts w:eastAsiaTheme="minorEastAsia" w:cs="Times New Roman"/>
          <w:b/>
          <w:bCs/>
          <w:color w:val="000000" w:themeColor="text1"/>
          <w:szCs w:val="24"/>
        </w:rPr>
        <w:t>.</w:t>
      </w:r>
      <w:r w:rsidRPr="0060309E">
        <w:rPr>
          <w:rFonts w:eastAsiaTheme="minorEastAsia" w:cs="Times New Roman"/>
          <w:b/>
          <w:bCs/>
          <w:color w:val="000000" w:themeColor="text1"/>
          <w:szCs w:val="24"/>
        </w:rPr>
        <w:t xml:space="preserve"> Summary of major modelling assumptions and input variables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1530"/>
        <w:gridCol w:w="2825"/>
        <w:gridCol w:w="1242"/>
      </w:tblGrid>
      <w:tr w:rsidR="0060309E" w:rsidRPr="0060309E" w14:paraId="146BA7CE" w14:textId="77777777" w:rsidTr="00EB335A">
        <w:trPr>
          <w:trHeight w:val="319"/>
        </w:trPr>
        <w:tc>
          <w:tcPr>
            <w:tcW w:w="3780" w:type="dxa"/>
            <w:tcBorders>
              <w:top w:val="single" w:sz="12" w:space="0" w:color="auto"/>
              <w:bottom w:val="single" w:sz="12" w:space="0" w:color="auto"/>
            </w:tcBorders>
          </w:tcPr>
          <w:p w14:paraId="20A35846" w14:textId="77777777" w:rsidR="0060309E" w:rsidRPr="0060309E" w:rsidRDefault="0060309E" w:rsidP="001C1BD3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60309E">
              <w:rPr>
                <w:rFonts w:cs="Times New Roman"/>
                <w:b/>
                <w:szCs w:val="24"/>
              </w:rPr>
              <w:t>Model Input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</w:tcPr>
          <w:p w14:paraId="357E406F" w14:textId="77777777" w:rsidR="0060309E" w:rsidRPr="0060309E" w:rsidRDefault="0060309E" w:rsidP="001C1BD3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60309E">
              <w:rPr>
                <w:rFonts w:cs="Times New Roman"/>
                <w:b/>
                <w:szCs w:val="24"/>
              </w:rPr>
              <w:t>Distribution</w:t>
            </w:r>
          </w:p>
        </w:tc>
        <w:tc>
          <w:tcPr>
            <w:tcW w:w="2825" w:type="dxa"/>
            <w:tcBorders>
              <w:top w:val="single" w:sz="12" w:space="0" w:color="auto"/>
              <w:bottom w:val="single" w:sz="12" w:space="0" w:color="auto"/>
            </w:tcBorders>
          </w:tcPr>
          <w:p w14:paraId="477AB558" w14:textId="77777777" w:rsidR="0060309E" w:rsidRPr="0060309E" w:rsidRDefault="0060309E" w:rsidP="001C1BD3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60309E">
              <w:rPr>
                <w:rFonts w:cs="Times New Roman"/>
                <w:b/>
                <w:szCs w:val="24"/>
              </w:rPr>
              <w:t>Parameters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14:paraId="498BD4B3" w14:textId="77777777" w:rsidR="0060309E" w:rsidRPr="0060309E" w:rsidRDefault="0060309E" w:rsidP="001C1BD3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60309E">
              <w:rPr>
                <w:rFonts w:cs="Times New Roman"/>
                <w:b/>
                <w:szCs w:val="24"/>
              </w:rPr>
              <w:t>Reference</w:t>
            </w:r>
          </w:p>
        </w:tc>
      </w:tr>
      <w:tr w:rsidR="0060309E" w:rsidRPr="0060309E" w14:paraId="67CCC963" w14:textId="77777777" w:rsidTr="00EB335A"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14:paraId="0C504469" w14:textId="511B2539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Incubation period (exposure-to-onset delay) used in the SEIR model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4" w:space="0" w:color="auto"/>
            </w:tcBorders>
          </w:tcPr>
          <w:p w14:paraId="7E5D3766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Gamma</w:t>
            </w:r>
          </w:p>
        </w:tc>
        <w:tc>
          <w:tcPr>
            <w:tcW w:w="2825" w:type="dxa"/>
            <w:tcBorders>
              <w:top w:val="single" w:sz="12" w:space="0" w:color="auto"/>
              <w:bottom w:val="single" w:sz="4" w:space="0" w:color="auto"/>
            </w:tcBorders>
          </w:tcPr>
          <w:p w14:paraId="592345CB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Average of 5.5 days and a standard deviation of 2.29 days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4" w:space="0" w:color="auto"/>
            </w:tcBorders>
          </w:tcPr>
          <w:p w14:paraId="39395709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[2]</w:t>
            </w:r>
          </w:p>
        </w:tc>
      </w:tr>
      <w:tr w:rsidR="0060309E" w:rsidRPr="0060309E" w14:paraId="3F30DDD2" w14:textId="77777777" w:rsidTr="001C1BD3"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14:paraId="3656C1FE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eastAsia="Times New Roman" w:cs="Times New Roman"/>
                <w:szCs w:val="24"/>
              </w:rPr>
              <w:t xml:space="preserve">Onset-to-recovery delay </w:t>
            </w:r>
            <w:r w:rsidRPr="0060309E">
              <w:rPr>
                <w:rFonts w:cs="Times New Roman"/>
                <w:szCs w:val="24"/>
              </w:rPr>
              <w:t>used in the SEIR model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395CFDBF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Gamma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3F7F6560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Average of 22.2 days and a standard deviation of 10 days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14:paraId="1560D750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[3]</w:t>
            </w:r>
          </w:p>
        </w:tc>
      </w:tr>
      <w:tr w:rsidR="0060309E" w:rsidRPr="0060309E" w14:paraId="164580F0" w14:textId="77777777" w:rsidTr="001C1BD3"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14:paraId="50BA9F40" w14:textId="08D6C582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Onset</w:t>
            </w:r>
            <w:r w:rsidRPr="0060309E">
              <w:rPr>
                <w:rFonts w:eastAsia="Times New Roman" w:cs="Times New Roman"/>
                <w:szCs w:val="24"/>
              </w:rPr>
              <w:t xml:space="preserve">-to-death delay </w:t>
            </w:r>
            <w:r w:rsidRPr="0060309E">
              <w:rPr>
                <w:rFonts w:cs="Times New Roman"/>
                <w:szCs w:val="24"/>
              </w:rPr>
              <w:t>used in the SEIR model</w:t>
            </w:r>
            <w:r w:rsidR="001C1BD3">
              <w:rPr>
                <w:rFonts w:cs="Times New Roman"/>
                <w:szCs w:val="24"/>
              </w:rPr>
              <w:t xml:space="preserve"> which approximately same as the </w:t>
            </w:r>
            <w:r w:rsidR="001C1BD3" w:rsidRPr="0060309E">
              <w:rPr>
                <w:rFonts w:eastAsia="Times New Roman" w:cs="Times New Roman"/>
                <w:szCs w:val="24"/>
              </w:rPr>
              <w:t>Onset-to-recovery delay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227C2B8D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Gamma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109F76C6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Average of 22.3 days and a standard deviation of 9.4 days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14:paraId="509C4665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[3]</w:t>
            </w:r>
          </w:p>
        </w:tc>
      </w:tr>
      <w:tr w:rsidR="0060309E" w:rsidRPr="0060309E" w14:paraId="3C7F79FF" w14:textId="77777777" w:rsidTr="001C1BD3"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14:paraId="03702E6A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Hospitalization-to-death delay</w:t>
            </w:r>
          </w:p>
          <w:p w14:paraId="01B146F8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used in estimation of under-reporting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08FC3CE3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Log-normal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4FB88B0F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Average of 13 days and a standard deviation of 12.7 days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14:paraId="75BBB0ED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[4]</w:t>
            </w:r>
          </w:p>
        </w:tc>
      </w:tr>
      <w:tr w:rsidR="0060309E" w:rsidRPr="0060309E" w14:paraId="18D36C95" w14:textId="77777777" w:rsidTr="00EB335A">
        <w:tc>
          <w:tcPr>
            <w:tcW w:w="3780" w:type="dxa"/>
            <w:tcBorders>
              <w:top w:val="single" w:sz="4" w:space="0" w:color="auto"/>
              <w:bottom w:val="single" w:sz="12" w:space="0" w:color="auto"/>
            </w:tcBorders>
          </w:tcPr>
          <w:p w14:paraId="0177F5E5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Under-reporting (percentage of symptomatic COVID-19 cases reported)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12" w:space="0" w:color="auto"/>
            </w:tcBorders>
          </w:tcPr>
          <w:p w14:paraId="722105E4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Log-normal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12" w:space="0" w:color="auto"/>
            </w:tcBorders>
          </w:tcPr>
          <w:p w14:paraId="77EBE267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Average of 9.9% and a standard deviation of 4%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12" w:space="0" w:color="auto"/>
            </w:tcBorders>
          </w:tcPr>
          <w:p w14:paraId="2F59886C" w14:textId="77777777" w:rsidR="0060309E" w:rsidRPr="0060309E" w:rsidRDefault="0060309E" w:rsidP="00EB335A">
            <w:pPr>
              <w:spacing w:before="0" w:after="0"/>
              <w:rPr>
                <w:rFonts w:cs="Times New Roman"/>
                <w:szCs w:val="24"/>
              </w:rPr>
            </w:pPr>
            <w:r w:rsidRPr="0060309E">
              <w:rPr>
                <w:rFonts w:cs="Times New Roman"/>
                <w:szCs w:val="24"/>
              </w:rPr>
              <w:t>[4]</w:t>
            </w:r>
          </w:p>
        </w:tc>
      </w:tr>
    </w:tbl>
    <w:p w14:paraId="61D347AD" w14:textId="77777777" w:rsidR="0060309E" w:rsidRPr="0060309E" w:rsidRDefault="0060309E" w:rsidP="0060309E">
      <w:pPr>
        <w:rPr>
          <w:rFonts w:cs="Times New Roman"/>
          <w:szCs w:val="24"/>
        </w:rPr>
      </w:pPr>
    </w:p>
    <w:p w14:paraId="6A15DD4D" w14:textId="0A56AF64" w:rsidR="00994A3D" w:rsidRDefault="0060309E" w:rsidP="001169F3">
      <w:pPr>
        <w:rPr>
          <w:rFonts w:cs="Times New Roman"/>
          <w:szCs w:val="24"/>
        </w:rPr>
      </w:pPr>
      <w:r w:rsidRPr="0060309E">
        <w:rPr>
          <w:rFonts w:cs="Times New Roman"/>
          <w:szCs w:val="24"/>
        </w:rPr>
        <w:t>To estimate the underreporting percentage, the base CFR is assumed 1.4%. Based on the method presented in [4], the under-reporting can be estimated as 1.4%/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where 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represents corrected CFR based on the delay distribution from hospitalization-to-death. Note that 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is different that the delay-adjusted CFRs shown in the Figure 1 in the manuscript. We obtained the 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for Iran from [4] at the time of analysis (mean 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=14.14%). If a country has a 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that is higher, it suggests that only a fraction of cases have been reported (in this case, 1.4/14.14 = 9.9% cases reported approximately). The calculated 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follows a log normal distribution. Therefore, 1.4/</w:t>
      </w:r>
      <w:proofErr w:type="spellStart"/>
      <w:r w:rsidRPr="0060309E">
        <w:rPr>
          <w:rFonts w:cs="Times New Roman"/>
          <w:szCs w:val="24"/>
        </w:rPr>
        <w:t>cCFR</w:t>
      </w:r>
      <w:proofErr w:type="spellEnd"/>
      <w:r w:rsidRPr="0060309E">
        <w:rPr>
          <w:rFonts w:cs="Times New Roman"/>
          <w:szCs w:val="24"/>
        </w:rPr>
        <w:t xml:space="preserve"> can also be approximated by a lognormal distribution.</w:t>
      </w:r>
    </w:p>
    <w:p w14:paraId="40589BC8" w14:textId="4AAB2324" w:rsidR="00E2446F" w:rsidRDefault="00E2446F" w:rsidP="00E2446F">
      <w:pPr>
        <w:rPr>
          <w:rFonts w:cs="Times New Roman"/>
          <w:szCs w:val="24"/>
        </w:rPr>
      </w:pPr>
      <w:r>
        <w:rPr>
          <w:rFonts w:cs="Times New Roman"/>
          <w:szCs w:val="24"/>
        </w:rPr>
        <w:t>When estimating the effective reproduction number, different</w:t>
      </w:r>
      <w:r w:rsidRPr="00E2446F">
        <w:rPr>
          <w:rFonts w:cs="Times New Roman"/>
          <w:szCs w:val="24"/>
        </w:rPr>
        <w:t xml:space="preserve"> time window lengths </w:t>
      </w:r>
      <w:r>
        <w:rPr>
          <w:rFonts w:cs="Times New Roman"/>
          <w:szCs w:val="24"/>
        </w:rPr>
        <w:t>could be used. Here we</w:t>
      </w:r>
      <w:r>
        <w:rPr>
          <w:rFonts w:cs="Times New Roman"/>
          <w:szCs w:val="24"/>
        </w:rPr>
        <w:t xml:space="preserve"> conduct a comparative analysis to understand the impact of the rolling time window length on the </w:t>
      </w:r>
      <w:r>
        <w:rPr>
          <w:rFonts w:cs="Times New Roman"/>
          <w:szCs w:val="24"/>
        </w:rPr>
        <w:t xml:space="preserve">estimated </w:t>
      </w:r>
      <w:r>
        <w:rPr>
          <w:rFonts w:cs="Times New Roman"/>
          <w:szCs w:val="24"/>
        </w:rPr>
        <w:t>effective reproduction number. Figure S2 shows the estimated the effective reproduction number using 7-day and 14-day rolling time windows.</w:t>
      </w:r>
      <w:r>
        <w:rPr>
          <w:rFonts w:cs="Times New Roman"/>
          <w:szCs w:val="24"/>
        </w:rPr>
        <w:t xml:space="preserve"> Selection of the appropriate time window length generally depends on the expected pattern fluctuations in the observed data. We believe a 14-day window is too large and thus, makes the estimation less sensitive to changes in the patterns in the data. Any time window smaller than 7-day may also be too short </w:t>
      </w:r>
      <w:r w:rsidR="003C4F0F">
        <w:rPr>
          <w:rFonts w:cs="Times New Roman"/>
          <w:szCs w:val="24"/>
        </w:rPr>
        <w:t>to result in reliable model parameter estimation outcomes.</w:t>
      </w:r>
    </w:p>
    <w:p w14:paraId="5090E9EA" w14:textId="225D2625" w:rsidR="00E2446F" w:rsidRDefault="00E2446F" w:rsidP="001169F3">
      <w:pPr>
        <w:rPr>
          <w:rFonts w:cs="Times New Roman"/>
          <w:szCs w:val="24"/>
        </w:rPr>
      </w:pPr>
    </w:p>
    <w:p w14:paraId="7DF09AE9" w14:textId="03B26E26" w:rsidR="00E2446F" w:rsidRDefault="00E2446F" w:rsidP="001169F3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F3862D8" wp14:editId="1D14ADAD">
            <wp:extent cx="6208395" cy="2160270"/>
            <wp:effectExtent l="0" t="0" r="3175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_rolling_window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9A09" w14:textId="1E260C7E" w:rsidR="00E2446F" w:rsidRPr="001169F3" w:rsidRDefault="00E2446F" w:rsidP="00E2446F">
      <w:pPr>
        <w:jc w:val="center"/>
        <w:rPr>
          <w:rFonts w:cs="Times New Roman"/>
          <w:szCs w:val="24"/>
        </w:rPr>
      </w:pPr>
      <w:r w:rsidRPr="0060309E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>.</w:t>
      </w:r>
      <w:r w:rsidRPr="0060309E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Impact of rolling time window length on the effective reproduction number</w:t>
      </w:r>
    </w:p>
    <w:p w14:paraId="71520FF7" w14:textId="401B8888" w:rsidR="0060309E" w:rsidRPr="0060309E" w:rsidRDefault="0060309E" w:rsidP="0060309E">
      <w:pPr>
        <w:pStyle w:val="Heading1"/>
      </w:pPr>
      <w:r>
        <w:t>Model Limitations</w:t>
      </w:r>
    </w:p>
    <w:p w14:paraId="0560C007" w14:textId="63CB5B01" w:rsidR="0060309E" w:rsidRPr="0060309E" w:rsidRDefault="0060309E" w:rsidP="0060309E">
      <w:pPr>
        <w:rPr>
          <w:rFonts w:eastAsiaTheme="minorEastAsia" w:cs="Times New Roman"/>
          <w:color w:val="000000" w:themeColor="text1"/>
          <w:szCs w:val="24"/>
        </w:rPr>
      </w:pPr>
      <w:r w:rsidRPr="0060309E">
        <w:rPr>
          <w:rFonts w:cs="Times New Roman"/>
          <w:szCs w:val="24"/>
        </w:rPr>
        <w:t xml:space="preserve">The model does not take into account the imported cases. The model does not capture the impact of quarantine and self-isolation of confirmed cases. While the model produces stochastic outcomes due to various delay distributions used as input, the model parameters </w:t>
      </w:r>
      <w:r w:rsidRPr="0060309E">
        <w:rPr>
          <w:rFonts w:eastAsiaTheme="minorEastAsia" w:cs="Times New Roman"/>
          <w:color w:val="000000" w:themeColor="text1"/>
          <w:szCs w:val="24"/>
        </w:rPr>
        <w:t xml:space="preserve">are deterministic. The model does not take into account the population age distribution. It </w:t>
      </w:r>
      <w:r w:rsidR="003C4F0F">
        <w:rPr>
          <w:rFonts w:eastAsiaTheme="minorEastAsia" w:cs="Times New Roman"/>
          <w:color w:val="000000" w:themeColor="text1"/>
          <w:szCs w:val="24"/>
        </w:rPr>
        <w:t>is</w:t>
      </w:r>
      <w:r w:rsidRPr="0060309E">
        <w:rPr>
          <w:rFonts w:eastAsiaTheme="minorEastAsia" w:cs="Times New Roman"/>
          <w:color w:val="000000" w:themeColor="text1"/>
          <w:szCs w:val="24"/>
        </w:rPr>
        <w:t xml:space="preserve"> also assumed that underreporting remains unchanged over time.</w:t>
      </w:r>
    </w:p>
    <w:p w14:paraId="0B2363E5" w14:textId="188B165D" w:rsidR="0060309E" w:rsidRPr="0060309E" w:rsidRDefault="0060309E" w:rsidP="0060309E">
      <w:pPr>
        <w:pStyle w:val="Heading1"/>
        <w:numPr>
          <w:ilvl w:val="0"/>
          <w:numId w:val="0"/>
        </w:numPr>
        <w:ind w:left="567" w:hanging="567"/>
      </w:pPr>
      <w:r>
        <w:t>References</w:t>
      </w:r>
    </w:p>
    <w:p w14:paraId="097C77C6" w14:textId="704D01C2" w:rsidR="0060309E" w:rsidRDefault="0060309E" w:rsidP="0060309E">
      <w:pPr>
        <w:pStyle w:val="ListParagraph"/>
        <w:numPr>
          <w:ilvl w:val="0"/>
          <w:numId w:val="20"/>
        </w:numPr>
        <w:spacing w:before="0" w:after="0"/>
        <w:rPr>
          <w:sz w:val="22"/>
          <w:szCs w:val="22"/>
        </w:rPr>
      </w:pPr>
      <w:proofErr w:type="spellStart"/>
      <w:r w:rsidRPr="00A21DD1">
        <w:rPr>
          <w:sz w:val="22"/>
          <w:szCs w:val="22"/>
        </w:rPr>
        <w:t>Danaei</w:t>
      </w:r>
      <w:proofErr w:type="spellEnd"/>
      <w:r w:rsidRPr="00A21DD1">
        <w:rPr>
          <w:sz w:val="22"/>
          <w:szCs w:val="22"/>
        </w:rPr>
        <w:t xml:space="preserve"> G. et al. Iran in transition. The Lancet. </w:t>
      </w:r>
      <w:r>
        <w:rPr>
          <w:sz w:val="22"/>
          <w:szCs w:val="22"/>
        </w:rPr>
        <w:t>(</w:t>
      </w:r>
      <w:r w:rsidRPr="00A21DD1">
        <w:rPr>
          <w:sz w:val="22"/>
          <w:szCs w:val="22"/>
        </w:rPr>
        <w:t>2019</w:t>
      </w:r>
      <w:r>
        <w:rPr>
          <w:sz w:val="22"/>
          <w:szCs w:val="22"/>
        </w:rPr>
        <w:t>)</w:t>
      </w:r>
      <w:r w:rsidRPr="00A21DD1">
        <w:rPr>
          <w:sz w:val="22"/>
          <w:szCs w:val="22"/>
        </w:rPr>
        <w:t xml:space="preserve"> 392 (10184): 1984-2005.</w:t>
      </w:r>
      <w:r>
        <w:rPr>
          <w:sz w:val="22"/>
          <w:szCs w:val="22"/>
        </w:rPr>
        <w:t xml:space="preserve"> doi:</w:t>
      </w:r>
      <w:r w:rsidRPr="0060309E">
        <w:rPr>
          <w:sz w:val="22"/>
          <w:szCs w:val="22"/>
        </w:rPr>
        <w:t>10.1016/S0140-6736(18)33197-0</w:t>
      </w:r>
      <w:r>
        <w:rPr>
          <w:sz w:val="22"/>
          <w:szCs w:val="22"/>
        </w:rPr>
        <w:t>.</w:t>
      </w:r>
    </w:p>
    <w:p w14:paraId="070B9610" w14:textId="5E6A9E3A" w:rsidR="0060309E" w:rsidRDefault="0060309E" w:rsidP="0060309E">
      <w:pPr>
        <w:pStyle w:val="ListParagraph"/>
        <w:numPr>
          <w:ilvl w:val="0"/>
          <w:numId w:val="20"/>
        </w:numPr>
        <w:spacing w:before="0" w:after="0"/>
        <w:rPr>
          <w:sz w:val="22"/>
          <w:szCs w:val="22"/>
        </w:rPr>
      </w:pPr>
      <w:r w:rsidRPr="00A21DD1">
        <w:rPr>
          <w:sz w:val="22"/>
          <w:szCs w:val="22"/>
        </w:rPr>
        <w:t xml:space="preserve">Lauer SA, </w:t>
      </w:r>
      <w:proofErr w:type="spellStart"/>
      <w:r w:rsidRPr="00A21DD1">
        <w:rPr>
          <w:sz w:val="22"/>
          <w:szCs w:val="22"/>
        </w:rPr>
        <w:t>Grantz</w:t>
      </w:r>
      <w:proofErr w:type="spellEnd"/>
      <w:r w:rsidRPr="00A21DD1">
        <w:rPr>
          <w:sz w:val="22"/>
          <w:szCs w:val="22"/>
        </w:rPr>
        <w:t xml:space="preserve"> KH, Bi Q, et al. The Incubation Period of Coronavirus Disease 2019 (COVID-19) From Publicly Reported Confirmed Cases: Estimation and Application. Ann Intern Med. </w:t>
      </w:r>
      <w:r>
        <w:rPr>
          <w:sz w:val="22"/>
          <w:szCs w:val="22"/>
        </w:rPr>
        <w:t>(</w:t>
      </w:r>
      <w:r w:rsidRPr="00A21DD1">
        <w:rPr>
          <w:sz w:val="22"/>
          <w:szCs w:val="22"/>
        </w:rPr>
        <w:t>2020</w:t>
      </w:r>
      <w:r>
        <w:rPr>
          <w:sz w:val="22"/>
          <w:szCs w:val="22"/>
        </w:rPr>
        <w:t>)</w:t>
      </w:r>
      <w:r w:rsidRPr="00A21DD1">
        <w:rPr>
          <w:sz w:val="22"/>
          <w:szCs w:val="22"/>
        </w:rPr>
        <w:t xml:space="preserve"> [</w:t>
      </w:r>
      <w:proofErr w:type="spellStart"/>
      <w:r w:rsidRPr="00A21DD1">
        <w:rPr>
          <w:sz w:val="22"/>
          <w:szCs w:val="22"/>
        </w:rPr>
        <w:t>Epub</w:t>
      </w:r>
      <w:proofErr w:type="spellEnd"/>
      <w:r w:rsidRPr="00A21DD1">
        <w:rPr>
          <w:sz w:val="22"/>
          <w:szCs w:val="22"/>
        </w:rPr>
        <w:t xml:space="preserve"> ahead of print 10 March 2020]. </w:t>
      </w:r>
      <w:r w:rsidRPr="0060309E">
        <w:rPr>
          <w:sz w:val="22"/>
          <w:szCs w:val="22"/>
        </w:rPr>
        <w:t>doi:10.7326/M20-0504</w:t>
      </w:r>
      <w:r>
        <w:rPr>
          <w:sz w:val="22"/>
          <w:szCs w:val="22"/>
        </w:rPr>
        <w:t>.</w:t>
      </w:r>
    </w:p>
    <w:p w14:paraId="6288A0F4" w14:textId="77777777" w:rsidR="0060309E" w:rsidRDefault="0060309E" w:rsidP="0060309E">
      <w:pPr>
        <w:pStyle w:val="ListParagraph"/>
        <w:numPr>
          <w:ilvl w:val="0"/>
          <w:numId w:val="20"/>
        </w:numPr>
        <w:spacing w:before="0" w:after="0"/>
        <w:rPr>
          <w:sz w:val="22"/>
          <w:szCs w:val="22"/>
        </w:rPr>
      </w:pPr>
      <w:r w:rsidRPr="00A21DD1">
        <w:rPr>
          <w:sz w:val="22"/>
          <w:szCs w:val="22"/>
        </w:rPr>
        <w:t>Imperial College London COVID-19 Response Team. Report 4: Severity of 2019-novel coronavirus (</w:t>
      </w:r>
      <w:proofErr w:type="spellStart"/>
      <w:r w:rsidRPr="00A21DD1">
        <w:rPr>
          <w:sz w:val="22"/>
          <w:szCs w:val="22"/>
        </w:rPr>
        <w:t>nCoV</w:t>
      </w:r>
      <w:proofErr w:type="spellEnd"/>
      <w:r w:rsidRPr="00A21DD1">
        <w:rPr>
          <w:sz w:val="22"/>
          <w:szCs w:val="22"/>
        </w:rPr>
        <w:t>). February 10, 2020. https://www.imperial.ac.uk/media/imperial-college/medicine/sph/ide/gida-fellowships/Imperial-College-COVID19-severity-10-02-2020.pdf (accessed April 13, 2020).</w:t>
      </w:r>
    </w:p>
    <w:p w14:paraId="2E9392DF" w14:textId="77777777" w:rsidR="0060309E" w:rsidRPr="00A21DD1" w:rsidRDefault="0060309E" w:rsidP="0060309E">
      <w:pPr>
        <w:pStyle w:val="ListParagraph"/>
        <w:numPr>
          <w:ilvl w:val="0"/>
          <w:numId w:val="20"/>
        </w:numPr>
        <w:spacing w:before="0" w:after="0"/>
        <w:rPr>
          <w:sz w:val="22"/>
          <w:szCs w:val="22"/>
        </w:rPr>
      </w:pPr>
      <w:r w:rsidRPr="00A21DD1">
        <w:rPr>
          <w:sz w:val="22"/>
          <w:szCs w:val="22"/>
        </w:rPr>
        <w:t xml:space="preserve">CMMID. Using a delay-adjusted case fatality ratio to estimate under-reporting. April 4, 2020. Centre for Mathematical Modelling of Infectious Disease, London School of Hygiene &amp; Tropical Medicine. </w:t>
      </w:r>
      <w:hyperlink r:id="rId10" w:history="1">
        <w:r w:rsidRPr="00794022">
          <w:rPr>
            <w:rStyle w:val="Hyperlink"/>
            <w:sz w:val="22"/>
            <w:szCs w:val="22"/>
          </w:rPr>
          <w:t>https://cmmid.github.io/topics/covid19/global_cfr_estimates.html</w:t>
        </w:r>
      </w:hyperlink>
      <w:r>
        <w:rPr>
          <w:sz w:val="22"/>
          <w:szCs w:val="22"/>
        </w:rPr>
        <w:t xml:space="preserve"> </w:t>
      </w:r>
      <w:r w:rsidRPr="00A21DD1">
        <w:rPr>
          <w:sz w:val="22"/>
          <w:szCs w:val="22"/>
        </w:rPr>
        <w:t>(accessed April 13, 2020).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4FD5A" w14:textId="77777777" w:rsidR="00DF20C7" w:rsidRDefault="00DF20C7" w:rsidP="00117666">
      <w:pPr>
        <w:spacing w:after="0"/>
      </w:pPr>
      <w:r>
        <w:separator/>
      </w:r>
    </w:p>
  </w:endnote>
  <w:endnote w:type="continuationSeparator" w:id="0">
    <w:p w14:paraId="268A1716" w14:textId="77777777" w:rsidR="00DF20C7" w:rsidRDefault="00DF20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EA223" w14:textId="77777777" w:rsidR="00DF20C7" w:rsidRDefault="00DF20C7" w:rsidP="00117666">
      <w:pPr>
        <w:spacing w:after="0"/>
      </w:pPr>
      <w:r>
        <w:separator/>
      </w:r>
    </w:p>
  </w:footnote>
  <w:footnote w:type="continuationSeparator" w:id="0">
    <w:p w14:paraId="46D4731C" w14:textId="77777777" w:rsidR="00DF20C7" w:rsidRDefault="00DF20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797C4A"/>
    <w:multiLevelType w:val="hybridMultilevel"/>
    <w:tmpl w:val="E1229A5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69F3"/>
    <w:rsid w:val="00117666"/>
    <w:rsid w:val="001549D3"/>
    <w:rsid w:val="00160065"/>
    <w:rsid w:val="001713A7"/>
    <w:rsid w:val="00177D84"/>
    <w:rsid w:val="001B5637"/>
    <w:rsid w:val="001C1BD3"/>
    <w:rsid w:val="00267D18"/>
    <w:rsid w:val="00274347"/>
    <w:rsid w:val="002868E2"/>
    <w:rsid w:val="002869C3"/>
    <w:rsid w:val="002936E4"/>
    <w:rsid w:val="002B4A57"/>
    <w:rsid w:val="002C74CA"/>
    <w:rsid w:val="002F09EA"/>
    <w:rsid w:val="002F538C"/>
    <w:rsid w:val="003123F4"/>
    <w:rsid w:val="00333819"/>
    <w:rsid w:val="003355C2"/>
    <w:rsid w:val="003544FB"/>
    <w:rsid w:val="003A419C"/>
    <w:rsid w:val="003C4F0F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2708"/>
    <w:rsid w:val="00593EEA"/>
    <w:rsid w:val="005A5EEE"/>
    <w:rsid w:val="005B2DEA"/>
    <w:rsid w:val="005D159A"/>
    <w:rsid w:val="0060309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E74C8"/>
    <w:rsid w:val="009151AA"/>
    <w:rsid w:val="0093429D"/>
    <w:rsid w:val="00943573"/>
    <w:rsid w:val="00964134"/>
    <w:rsid w:val="00970F7D"/>
    <w:rsid w:val="00994A3D"/>
    <w:rsid w:val="009C2B12"/>
    <w:rsid w:val="00A174D9"/>
    <w:rsid w:val="00A726A3"/>
    <w:rsid w:val="00AA4D24"/>
    <w:rsid w:val="00AB6715"/>
    <w:rsid w:val="00B1671E"/>
    <w:rsid w:val="00B25EB8"/>
    <w:rsid w:val="00B37F4D"/>
    <w:rsid w:val="00BD1D2E"/>
    <w:rsid w:val="00C52A7B"/>
    <w:rsid w:val="00C56BAF"/>
    <w:rsid w:val="00C679AA"/>
    <w:rsid w:val="00C75972"/>
    <w:rsid w:val="00CD066B"/>
    <w:rsid w:val="00CE4FEE"/>
    <w:rsid w:val="00CF2F7A"/>
    <w:rsid w:val="00D060CF"/>
    <w:rsid w:val="00DB59C3"/>
    <w:rsid w:val="00DB5AEE"/>
    <w:rsid w:val="00DC259A"/>
    <w:rsid w:val="00DE23E8"/>
    <w:rsid w:val="00DF20C7"/>
    <w:rsid w:val="00E045B9"/>
    <w:rsid w:val="00E2446F"/>
    <w:rsid w:val="00E52377"/>
    <w:rsid w:val="00E537AD"/>
    <w:rsid w:val="00E64E17"/>
    <w:rsid w:val="00E866C9"/>
    <w:rsid w:val="00EA3D3C"/>
    <w:rsid w:val="00EA45B5"/>
    <w:rsid w:val="00EB335A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mmid.github.io/topics/covid19/global_cfr_estimat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551CE76-E196-4AF6-8F38-B7EF14026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48</TotalTime>
  <Pages>4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Meead Saberi Kalaee</cp:lastModifiedBy>
  <cp:revision>5</cp:revision>
  <cp:lastPrinted>2013-10-03T12:51:00Z</cp:lastPrinted>
  <dcterms:created xsi:type="dcterms:W3CDTF">2020-06-12T08:48:00Z</dcterms:created>
  <dcterms:modified xsi:type="dcterms:W3CDTF">2020-06-17T11:09:00Z</dcterms:modified>
</cp:coreProperties>
</file>