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B7CA" w14:textId="3CFBC681" w:rsidR="00FE7D15" w:rsidRDefault="00FE7D15">
      <w:pPr>
        <w:rPr>
          <w:b/>
          <w:bCs/>
          <w:u w:val="single"/>
        </w:rPr>
      </w:pPr>
    </w:p>
    <w:p w14:paraId="21FB2219" w14:textId="348E8E1A" w:rsidR="00FE7D15" w:rsidRDefault="00536FC2">
      <w:pPr>
        <w:rPr>
          <w:b/>
          <w:bCs/>
        </w:rPr>
      </w:pPr>
      <w:r>
        <w:rPr>
          <w:b/>
          <w:bCs/>
        </w:rPr>
        <w:t xml:space="preserve">Identification of a complex of symptoms </w:t>
      </w:r>
      <w:r w:rsidR="00243565">
        <w:rPr>
          <w:b/>
          <w:bCs/>
        </w:rPr>
        <w:t>frequently caused by commonl</w:t>
      </w:r>
      <w:bookmarkStart w:id="0" w:name="_GoBack"/>
      <w:bookmarkEnd w:id="0"/>
      <w:r w:rsidR="00243565">
        <w:rPr>
          <w:b/>
          <w:bCs/>
        </w:rPr>
        <w:t xml:space="preserve">y prescribed drugs </w:t>
      </w:r>
      <w:r w:rsidR="00781EBF">
        <w:rPr>
          <w:b/>
          <w:bCs/>
        </w:rPr>
        <w:t>as a potential tool to quantify the benefits of deprescribing</w:t>
      </w:r>
    </w:p>
    <w:p w14:paraId="5AD627BA" w14:textId="2C3A4950" w:rsidR="00781EBF" w:rsidRDefault="00781EBF">
      <w:pPr>
        <w:rPr>
          <w:b/>
          <w:bCs/>
        </w:rPr>
      </w:pPr>
    </w:p>
    <w:p w14:paraId="531B5622" w14:textId="7B347E87" w:rsidR="00781EBF" w:rsidRPr="00781EBF" w:rsidRDefault="00781EBF">
      <w:r>
        <w:t>Mercer O</w:t>
      </w:r>
      <w:r w:rsidR="00D576F2">
        <w:t>J</w:t>
      </w:r>
      <w:r>
        <w:t>, Threapleton C</w:t>
      </w:r>
      <w:r w:rsidR="00F95440">
        <w:t>J, Bennett F, Baker EH</w:t>
      </w:r>
    </w:p>
    <w:p w14:paraId="08A2881C" w14:textId="77777777" w:rsidR="006F6764" w:rsidRDefault="006F6764">
      <w:pPr>
        <w:rPr>
          <w:b/>
          <w:bCs/>
          <w:u w:val="single"/>
        </w:rPr>
      </w:pPr>
    </w:p>
    <w:p w14:paraId="2FECCF3F" w14:textId="77777777" w:rsidR="006F6764" w:rsidRDefault="006F6764">
      <w:pPr>
        <w:rPr>
          <w:b/>
          <w:bCs/>
          <w:u w:val="single"/>
        </w:rPr>
      </w:pPr>
    </w:p>
    <w:p w14:paraId="3591EC66" w14:textId="5E4C4B2C" w:rsidR="001739F9" w:rsidRPr="006F6764" w:rsidRDefault="002D6B14">
      <w:pPr>
        <w:rPr>
          <w:b/>
          <w:bCs/>
        </w:rPr>
      </w:pPr>
      <w:r w:rsidRPr="006F6764">
        <w:rPr>
          <w:b/>
          <w:bCs/>
        </w:rPr>
        <w:t xml:space="preserve">Introduction </w:t>
      </w:r>
    </w:p>
    <w:p w14:paraId="2231A1DA" w14:textId="10291600" w:rsidR="002D6B14" w:rsidRDefault="002D6B14">
      <w:r>
        <w:t>The prevalence of polypharmacy and its</w:t>
      </w:r>
      <w:r w:rsidR="00256C9D">
        <w:t xml:space="preserve"> potential</w:t>
      </w:r>
      <w:r>
        <w:t xml:space="preserve"> harms are well documented</w:t>
      </w:r>
      <w:r w:rsidR="00256C9D">
        <w:t xml:space="preserve">. </w:t>
      </w:r>
      <w:r w:rsidR="00A3764F">
        <w:t xml:space="preserve"> </w:t>
      </w:r>
      <w:r w:rsidR="004F6C90">
        <w:t>By contrast</w:t>
      </w:r>
      <w:r w:rsidR="00C60C49" w:rsidRPr="00C60C49">
        <w:rPr>
          <w:color w:val="FF0000"/>
        </w:rPr>
        <w:t>,</w:t>
      </w:r>
      <w:r w:rsidR="00C60C49">
        <w:t xml:space="preserve"> </w:t>
      </w:r>
      <w:r w:rsidR="004F6C90">
        <w:t xml:space="preserve">the </w:t>
      </w:r>
      <w:r>
        <w:t xml:space="preserve">benefits of deprescribing are </w:t>
      </w:r>
      <w:r w:rsidR="004F6C90">
        <w:t>more difficult</w:t>
      </w:r>
      <w:r>
        <w:t xml:space="preserve"> to quantify</w:t>
      </w:r>
      <w:r w:rsidR="00C37F7C">
        <w:t xml:space="preserve">. An important aim of deprescribing is to reduce </w:t>
      </w:r>
      <w:r w:rsidR="00AB11E6">
        <w:t xml:space="preserve">symptomatic </w:t>
      </w:r>
      <w:r w:rsidR="00C37F7C">
        <w:t xml:space="preserve">adverse drug </w:t>
      </w:r>
      <w:r w:rsidR="001A7C10">
        <w:t xml:space="preserve">reactions. However, in patients with multimorbidity it can be difficult </w:t>
      </w:r>
      <w:r w:rsidR="00AA445B">
        <w:t xml:space="preserve">to tell whether </w:t>
      </w:r>
      <w:r>
        <w:t xml:space="preserve">a </w:t>
      </w:r>
      <w:r w:rsidR="00AA445B">
        <w:t>patient</w:t>
      </w:r>
      <w:r w:rsidR="00064D76">
        <w:t xml:space="preserve">’s symptoms </w:t>
      </w:r>
      <w:r>
        <w:t>are due to</w:t>
      </w:r>
      <w:r w:rsidR="00064D76">
        <w:t xml:space="preserve"> their</w:t>
      </w:r>
      <w:r w:rsidR="00C60C49">
        <w:t xml:space="preserve"> </w:t>
      </w:r>
      <w:r>
        <w:t>disease</w:t>
      </w:r>
      <w:r w:rsidR="00C60C49">
        <w:rPr>
          <w:color w:val="000000" w:themeColor="text1"/>
        </w:rPr>
        <w:t>s</w:t>
      </w:r>
      <w:r w:rsidR="00C60C49">
        <w:t>,</w:t>
      </w:r>
      <w:r w:rsidR="00256C9D">
        <w:t xml:space="preserve"> their medications or a </w:t>
      </w:r>
      <w:r w:rsidR="00BC316A">
        <w:t xml:space="preserve">combination. </w:t>
      </w:r>
    </w:p>
    <w:p w14:paraId="4EEAB857" w14:textId="1DAECDF4" w:rsidR="00156324" w:rsidRDefault="00156324"/>
    <w:p w14:paraId="561FD624" w14:textId="67C88483" w:rsidR="00156324" w:rsidRDefault="00156324">
      <w:r>
        <w:t xml:space="preserve">The aim of our study was to identify </w:t>
      </w:r>
      <w:r w:rsidR="00AF6BC3">
        <w:t xml:space="preserve">the </w:t>
      </w:r>
      <w:r>
        <w:t>symptom</w:t>
      </w:r>
      <w:r w:rsidR="00AF6BC3">
        <w:t>s</w:t>
      </w:r>
      <w:r>
        <w:t xml:space="preserve"> </w:t>
      </w:r>
      <w:r w:rsidR="00AF6BC3">
        <w:t>commonly</w:t>
      </w:r>
      <w:r>
        <w:t xml:space="preserve"> associated with th</w:t>
      </w:r>
      <w:r w:rsidR="00823D23">
        <w:t>e 100 drugs and classes most commonly prescribed in the UK</w:t>
      </w:r>
      <w:r w:rsidR="005F185D">
        <w:t xml:space="preserve"> as a prelude to developing a tool to quantify the benefits of deprescribing. </w:t>
      </w:r>
    </w:p>
    <w:p w14:paraId="0176A1A2" w14:textId="3F2385B7" w:rsidR="002D6B14" w:rsidRDefault="002D6B14"/>
    <w:p w14:paraId="50CD8A5B" w14:textId="19F659B9" w:rsidR="002D6B14" w:rsidRPr="006F6764" w:rsidRDefault="002D6B14">
      <w:pPr>
        <w:rPr>
          <w:b/>
          <w:bCs/>
        </w:rPr>
      </w:pPr>
      <w:r w:rsidRPr="006F6764">
        <w:rPr>
          <w:b/>
          <w:bCs/>
        </w:rPr>
        <w:t>Method</w:t>
      </w:r>
    </w:p>
    <w:p w14:paraId="7CE45E25" w14:textId="5FFCB82A" w:rsidR="00520A4C" w:rsidRDefault="00520A4C"/>
    <w:p w14:paraId="469D3B81" w14:textId="5171176D" w:rsidR="00520A4C" w:rsidRDefault="00796139">
      <w:r>
        <w:t>We have previously described the</w:t>
      </w:r>
      <w:r w:rsidR="00520A4C">
        <w:t xml:space="preserve"> </w:t>
      </w:r>
      <w:r w:rsidR="00842145">
        <w:t xml:space="preserve">100 </w:t>
      </w:r>
      <w:r w:rsidR="00520A4C">
        <w:t>drug</w:t>
      </w:r>
      <w:r>
        <w:t xml:space="preserve">s and </w:t>
      </w:r>
      <w:r w:rsidR="00520A4C">
        <w:t>classes</w:t>
      </w:r>
      <w:r>
        <w:t xml:space="preserve"> </w:t>
      </w:r>
      <w:r w:rsidR="00520A4C">
        <w:t xml:space="preserve">most commonly prescribed in </w:t>
      </w:r>
      <w:r>
        <w:t xml:space="preserve">the </w:t>
      </w:r>
      <w:r w:rsidR="00520A4C">
        <w:t>UK</w:t>
      </w:r>
      <w:r w:rsidR="002A4B4D">
        <w:t xml:space="preserve"> and, within classes, the most commonly prescribed individual drugs</w:t>
      </w:r>
      <w:r w:rsidR="00882A0A">
        <w:t>.</w:t>
      </w:r>
      <w:r w:rsidR="00882A0A">
        <w:rPr>
          <w:vertAlign w:val="superscript"/>
        </w:rPr>
        <w:t>1</w:t>
      </w:r>
      <w:r w:rsidR="00842145">
        <w:t xml:space="preserve"> For eac</w:t>
      </w:r>
      <w:r w:rsidR="0021560F">
        <w:t>h</w:t>
      </w:r>
      <w:r w:rsidR="00842145">
        <w:t xml:space="preserve"> drug</w:t>
      </w:r>
      <w:r w:rsidR="0021560F">
        <w:t xml:space="preserve"> on this list</w:t>
      </w:r>
      <w:r w:rsidR="00842145">
        <w:t xml:space="preserve">, </w:t>
      </w:r>
      <w:r w:rsidR="00A1720A">
        <w:t xml:space="preserve">the </w:t>
      </w:r>
      <w:r w:rsidR="00E077BD">
        <w:t>summary of product characteristics</w:t>
      </w:r>
      <w:r w:rsidR="005C5E71">
        <w:t xml:space="preserve"> (SmPC)</w:t>
      </w:r>
      <w:r w:rsidR="00E077BD">
        <w:t xml:space="preserve"> w</w:t>
      </w:r>
      <w:r w:rsidR="000E37EC">
        <w:t>as</w:t>
      </w:r>
      <w:r w:rsidR="00E077BD">
        <w:t xml:space="preserve"> used to identify</w:t>
      </w:r>
      <w:r w:rsidR="00A1720A">
        <w:t xml:space="preserve"> all</w:t>
      </w:r>
      <w:r w:rsidR="00842145">
        <w:t xml:space="preserve"> very common </w:t>
      </w:r>
      <w:r w:rsidR="00842145" w:rsidRPr="00D22E36">
        <w:t>(≥1/10) and common (≥1/100, &lt;1/10)</w:t>
      </w:r>
      <w:r w:rsidR="00842145">
        <w:t xml:space="preserve"> undesirable effects. T</w:t>
      </w:r>
      <w:r w:rsidR="00894C87">
        <w:t>o ensure all common undesirable effects were captured</w:t>
      </w:r>
      <w:r w:rsidR="000D0CB1">
        <w:t>,</w:t>
      </w:r>
      <w:r w:rsidR="00894C87">
        <w:t xml:space="preserve"> this </w:t>
      </w:r>
      <w:r w:rsidR="00842145">
        <w:t>was repeated using a different SmP</w:t>
      </w:r>
      <w:r w:rsidR="000D0CB1">
        <w:t>C for each drug</w:t>
      </w:r>
      <w:r w:rsidR="00842145">
        <w:t xml:space="preserve"> where possible using a different dose or manufacturer. </w:t>
      </w:r>
      <w:r w:rsidR="00636534">
        <w:t xml:space="preserve">A list of </w:t>
      </w:r>
      <w:r w:rsidR="003F3146">
        <w:t xml:space="preserve">undesirable </w:t>
      </w:r>
      <w:r w:rsidR="00636534">
        <w:t xml:space="preserve">effects was </w:t>
      </w:r>
      <w:r w:rsidR="004930FE">
        <w:t xml:space="preserve">generated, </w:t>
      </w:r>
      <w:r w:rsidR="009740B5">
        <w:t>and frequency of occurrence was described as the number of drugs</w:t>
      </w:r>
      <w:r w:rsidR="004816FB">
        <w:t xml:space="preserve">/classes from the top 100 causing </w:t>
      </w:r>
      <w:r w:rsidR="003F3146">
        <w:t>each</w:t>
      </w:r>
      <w:r w:rsidR="004816FB">
        <w:t xml:space="preserve"> effect.</w:t>
      </w:r>
    </w:p>
    <w:p w14:paraId="302058FA" w14:textId="4A48EEC5" w:rsidR="00256C9D" w:rsidRDefault="00256C9D"/>
    <w:p w14:paraId="5A02ED24" w14:textId="21EEB85D" w:rsidR="002D6B14" w:rsidRDefault="002D6B14">
      <w:pPr>
        <w:rPr>
          <w:b/>
          <w:bCs/>
        </w:rPr>
      </w:pPr>
      <w:r w:rsidRPr="006F6764">
        <w:rPr>
          <w:b/>
          <w:bCs/>
        </w:rPr>
        <w:t xml:space="preserve">Results </w:t>
      </w:r>
    </w:p>
    <w:p w14:paraId="5E237B8F" w14:textId="77777777" w:rsidR="00E14AAA" w:rsidRPr="006F6764" w:rsidRDefault="00E14AAA">
      <w:pPr>
        <w:rPr>
          <w:b/>
          <w:bCs/>
        </w:rPr>
      </w:pPr>
    </w:p>
    <w:p w14:paraId="4707D68D" w14:textId="52CD6B9B" w:rsidR="002D6B14" w:rsidRDefault="005B6520" w:rsidP="00273871">
      <w:r>
        <w:t xml:space="preserve">A total of </w:t>
      </w:r>
      <w:r w:rsidR="00A62D1B">
        <w:t xml:space="preserve">396 different very common or common </w:t>
      </w:r>
      <w:r w:rsidR="003F3146">
        <w:t>undesirable</w:t>
      </w:r>
      <w:r w:rsidR="00961F82">
        <w:t xml:space="preserve"> effects</w:t>
      </w:r>
      <w:r w:rsidR="00A62D1B">
        <w:t xml:space="preserve"> </w:t>
      </w:r>
      <w:r w:rsidR="0080261F">
        <w:t>caused by</w:t>
      </w:r>
      <w:r w:rsidR="00A62D1B">
        <w:t xml:space="preserve"> the</w:t>
      </w:r>
      <w:r>
        <w:t xml:space="preserve"> </w:t>
      </w:r>
      <w:r w:rsidR="00EB2DA3">
        <w:t xml:space="preserve">100 </w:t>
      </w:r>
      <w:r>
        <w:t>drug classes</w:t>
      </w:r>
      <w:r w:rsidR="0080261F">
        <w:t xml:space="preserve"> were identified</w:t>
      </w:r>
      <w:r>
        <w:t xml:space="preserve">. </w:t>
      </w:r>
      <w:r w:rsidR="00CA6729">
        <w:t>T</w:t>
      </w:r>
      <w:r w:rsidR="00D3660A">
        <w:t xml:space="preserve">able 1 </w:t>
      </w:r>
      <w:r w:rsidR="0080261F">
        <w:t xml:space="preserve">shows all </w:t>
      </w:r>
      <w:r w:rsidR="00961F82">
        <w:t xml:space="preserve">undesirable effects </w:t>
      </w:r>
      <w:r w:rsidR="0080261F">
        <w:t>caused by more than 10</w:t>
      </w:r>
      <w:r w:rsidR="00CF49F7">
        <w:t xml:space="preserve">% of drugs, along with the number of drugs/classes </w:t>
      </w:r>
      <w:r w:rsidR="0094321B">
        <w:t xml:space="preserve">causing that effect. For </w:t>
      </w:r>
      <w:proofErr w:type="gramStart"/>
      <w:r w:rsidR="0094321B">
        <w:t>example</w:t>
      </w:r>
      <w:proofErr w:type="gramEnd"/>
      <w:r w:rsidR="0094321B">
        <w:t xml:space="preserve"> 53% of drugs on the list </w:t>
      </w:r>
      <w:r w:rsidR="00663DE0">
        <w:t>commonly cause nausea and 47% commonly cause headache.</w:t>
      </w:r>
    </w:p>
    <w:p w14:paraId="02CC2A48" w14:textId="6D7EB48A" w:rsidR="003224FB" w:rsidRDefault="003224FB"/>
    <w:p w14:paraId="37FCC170" w14:textId="12480A7F" w:rsidR="002D6B14" w:rsidRDefault="002D6B14">
      <w:pPr>
        <w:rPr>
          <w:b/>
          <w:bCs/>
        </w:rPr>
      </w:pPr>
      <w:r w:rsidRPr="00E14AAA">
        <w:rPr>
          <w:b/>
          <w:bCs/>
        </w:rPr>
        <w:t xml:space="preserve">Conclusions </w:t>
      </w:r>
    </w:p>
    <w:p w14:paraId="70C7730A" w14:textId="77777777" w:rsidR="00E14AAA" w:rsidRPr="00E14AAA" w:rsidRDefault="00E14AAA">
      <w:pPr>
        <w:rPr>
          <w:b/>
          <w:bCs/>
        </w:rPr>
      </w:pPr>
    </w:p>
    <w:p w14:paraId="0E8FF07D" w14:textId="1667482B" w:rsidR="00963F2B" w:rsidRDefault="00963F2B">
      <w:r>
        <w:t xml:space="preserve">Adverse drug reactions are </w:t>
      </w:r>
      <w:r w:rsidR="008B6512">
        <w:t xml:space="preserve">an important but </w:t>
      </w:r>
      <w:r w:rsidR="00957669">
        <w:t xml:space="preserve">under-recognised cause of illness, particularly in patients with multimorbidity. </w:t>
      </w:r>
      <w:r w:rsidR="002F4F88">
        <w:t>Our study highlight</w:t>
      </w:r>
      <w:r w:rsidR="004D6F26">
        <w:t>s</w:t>
      </w:r>
      <w:r w:rsidR="002F4F88">
        <w:t xml:space="preserve"> a </w:t>
      </w:r>
      <w:r w:rsidR="00582808">
        <w:t xml:space="preserve">complex of symptoms commonly associated with commonly prescribed drugs. Further work is now required to establish whether this could form the basis of a tool to identify patients requiring medication review </w:t>
      </w:r>
      <w:r w:rsidR="005456EA">
        <w:t xml:space="preserve">and/or to quantify the benefits of deprescribing. </w:t>
      </w:r>
    </w:p>
    <w:p w14:paraId="682A94F4" w14:textId="3EDDBF26" w:rsidR="002D6B14" w:rsidRDefault="002D6B14"/>
    <w:p w14:paraId="7AA2DF67" w14:textId="55616B34" w:rsidR="002D6B14" w:rsidRDefault="002D6B14"/>
    <w:p w14:paraId="155A7C3D" w14:textId="2E953CB9" w:rsidR="002D6B14" w:rsidRPr="00E14AAA" w:rsidRDefault="00514B50">
      <w:pPr>
        <w:rPr>
          <w:b/>
          <w:bCs/>
        </w:rPr>
      </w:pPr>
      <w:r w:rsidRPr="00E14AAA">
        <w:rPr>
          <w:b/>
          <w:bCs/>
        </w:rPr>
        <w:t xml:space="preserve">References </w:t>
      </w:r>
    </w:p>
    <w:p w14:paraId="4E6995E4" w14:textId="43A829B7" w:rsidR="00FD589C" w:rsidRPr="00FD589C" w:rsidRDefault="00D576F2" w:rsidP="00FD589C">
      <w:pPr>
        <w:widowControl w:val="0"/>
        <w:autoSpaceDE w:val="0"/>
        <w:autoSpaceDN w:val="0"/>
        <w:adjustRightInd w:val="0"/>
        <w:ind w:left="640" w:hanging="640"/>
        <w:rPr>
          <w:rFonts w:ascii="Calibri" w:hAnsi="Calibri" w:cs="Calibri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FD589C" w:rsidRPr="00FD589C">
        <w:rPr>
          <w:rFonts w:ascii="Calibri" w:hAnsi="Calibri" w:cs="Calibri"/>
          <w:noProof/>
          <w:lang w:val="en-US"/>
        </w:rPr>
        <w:t xml:space="preserve">1. </w:t>
      </w:r>
      <w:r w:rsidR="00FD589C" w:rsidRPr="00FD589C">
        <w:rPr>
          <w:rFonts w:ascii="Calibri" w:hAnsi="Calibri" w:cs="Calibri"/>
          <w:noProof/>
          <w:lang w:val="en-US"/>
        </w:rPr>
        <w:tab/>
        <w:t xml:space="preserve">Audi S, Burrage DR, Lonsdale DO, et al. The ‘top 100’ drugs and classes in England: an </w:t>
      </w:r>
      <w:r w:rsidR="00FD589C" w:rsidRPr="00FD589C">
        <w:rPr>
          <w:rFonts w:ascii="Calibri" w:hAnsi="Calibri" w:cs="Calibri"/>
          <w:noProof/>
          <w:lang w:val="en-US"/>
        </w:rPr>
        <w:lastRenderedPageBreak/>
        <w:t xml:space="preserve">updated ‘starter formulary’ for trainee prescribers. </w:t>
      </w:r>
      <w:r w:rsidR="00FD589C" w:rsidRPr="00FD589C">
        <w:rPr>
          <w:rFonts w:ascii="Calibri" w:hAnsi="Calibri" w:cs="Calibri"/>
          <w:i/>
          <w:iCs/>
          <w:noProof/>
          <w:lang w:val="en-US"/>
        </w:rPr>
        <w:t>Br J Clin Pharmacol</w:t>
      </w:r>
      <w:r w:rsidR="00FD589C" w:rsidRPr="00FD589C">
        <w:rPr>
          <w:rFonts w:ascii="Calibri" w:hAnsi="Calibri" w:cs="Calibri"/>
          <w:noProof/>
          <w:lang w:val="en-US"/>
        </w:rPr>
        <w:t>. 2018;84(11):2562-2571. doi:10.1111/bcp.13709</w:t>
      </w:r>
    </w:p>
    <w:p w14:paraId="398E980F" w14:textId="73A4AC1E" w:rsidR="00514B50" w:rsidRDefault="00D576F2" w:rsidP="00C17733">
      <w:pPr>
        <w:widowControl w:val="0"/>
        <w:autoSpaceDE w:val="0"/>
        <w:autoSpaceDN w:val="0"/>
        <w:adjustRightInd w:val="0"/>
        <w:ind w:left="640" w:hanging="640"/>
      </w:pPr>
      <w:r>
        <w:fldChar w:fldCharType="end"/>
      </w:r>
    </w:p>
    <w:p w14:paraId="665022C4" w14:textId="2B52ACF8" w:rsidR="00EB2DA3" w:rsidRDefault="00EB2DA3" w:rsidP="00C17733">
      <w:pPr>
        <w:widowControl w:val="0"/>
        <w:autoSpaceDE w:val="0"/>
        <w:autoSpaceDN w:val="0"/>
        <w:adjustRightInd w:val="0"/>
        <w:ind w:left="640" w:hanging="640"/>
      </w:pPr>
    </w:p>
    <w:p w14:paraId="1DC271EC" w14:textId="47993DAE" w:rsidR="00EB2DA3" w:rsidRDefault="00EB2DA3" w:rsidP="00C17733">
      <w:pPr>
        <w:widowControl w:val="0"/>
        <w:autoSpaceDE w:val="0"/>
        <w:autoSpaceDN w:val="0"/>
        <w:adjustRightInd w:val="0"/>
        <w:ind w:left="640" w:hanging="640"/>
      </w:pPr>
    </w:p>
    <w:p w14:paraId="5CE018F9" w14:textId="1C2ADD5A" w:rsidR="00EB2DA3" w:rsidRDefault="00EB2DA3" w:rsidP="00C17733">
      <w:pPr>
        <w:widowControl w:val="0"/>
        <w:autoSpaceDE w:val="0"/>
        <w:autoSpaceDN w:val="0"/>
        <w:adjustRightInd w:val="0"/>
        <w:ind w:left="640" w:hanging="640"/>
      </w:pPr>
    </w:p>
    <w:p w14:paraId="337A97D1" w14:textId="011F09C4" w:rsidR="00EB2DA3" w:rsidRDefault="00EB2DA3" w:rsidP="00C17733">
      <w:pPr>
        <w:widowControl w:val="0"/>
        <w:autoSpaceDE w:val="0"/>
        <w:autoSpaceDN w:val="0"/>
        <w:adjustRightInd w:val="0"/>
        <w:ind w:left="640" w:hanging="640"/>
      </w:pPr>
    </w:p>
    <w:p w14:paraId="1EC659B4" w14:textId="4A177163" w:rsidR="00EB2DA3" w:rsidRDefault="00EB2DA3" w:rsidP="00C17733">
      <w:pPr>
        <w:widowControl w:val="0"/>
        <w:autoSpaceDE w:val="0"/>
        <w:autoSpaceDN w:val="0"/>
        <w:adjustRightInd w:val="0"/>
        <w:ind w:left="640" w:hanging="640"/>
      </w:pPr>
      <w:r>
        <w:t>Table 1:</w:t>
      </w:r>
      <w:r w:rsidR="00B15FD7">
        <w:t xml:space="preserve"> </w:t>
      </w:r>
      <w:r w:rsidR="002C1A6C">
        <w:t xml:space="preserve">Undesirable effects </w:t>
      </w:r>
      <w:r w:rsidR="00D71A00">
        <w:t xml:space="preserve">caused by </w:t>
      </w:r>
      <w:r w:rsidR="006F494C">
        <w:t xml:space="preserve">more than 10% </w:t>
      </w:r>
      <w:r w:rsidR="007D5848">
        <w:t xml:space="preserve">of </w:t>
      </w:r>
      <w:r w:rsidR="006F494C">
        <w:t>the top 100</w:t>
      </w:r>
      <w:r w:rsidR="007D5848">
        <w:t xml:space="preserve"> drugs</w:t>
      </w:r>
    </w:p>
    <w:p w14:paraId="4A2B07FC" w14:textId="77777777" w:rsidR="006F494C" w:rsidRDefault="006F494C" w:rsidP="00C17733">
      <w:pPr>
        <w:widowControl w:val="0"/>
        <w:autoSpaceDE w:val="0"/>
        <w:autoSpaceDN w:val="0"/>
        <w:adjustRightInd w:val="0"/>
        <w:ind w:left="640" w:hanging="640"/>
      </w:pP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4201"/>
        <w:gridCol w:w="2598"/>
      </w:tblGrid>
      <w:tr w:rsidR="00514B50" w:rsidRPr="00CA6729" w14:paraId="12A9888B" w14:textId="77777777" w:rsidTr="004C103E">
        <w:trPr>
          <w:trHeight w:val="540"/>
        </w:trPr>
        <w:tc>
          <w:tcPr>
            <w:tcW w:w="4201" w:type="dxa"/>
            <w:noWrap/>
            <w:vAlign w:val="center"/>
            <w:hideMark/>
          </w:tcPr>
          <w:p w14:paraId="55FD286E" w14:textId="3803C8E5" w:rsidR="00514B50" w:rsidRPr="00CA6729" w:rsidRDefault="002C1A6C" w:rsidP="004C10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Undesirable effect</w:t>
            </w:r>
          </w:p>
        </w:tc>
        <w:tc>
          <w:tcPr>
            <w:tcW w:w="2598" w:type="dxa"/>
            <w:noWrap/>
            <w:vAlign w:val="center"/>
            <w:hideMark/>
          </w:tcPr>
          <w:p w14:paraId="6C04E3F1" w14:textId="77D95BF0" w:rsidR="00514B50" w:rsidRPr="00CA6729" w:rsidRDefault="00514B50" w:rsidP="004C103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Number o</w:t>
            </w:r>
            <w:r w:rsidR="006F49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 drug classes causing the</w:t>
            </w:r>
            <w:r w:rsidR="002C1A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undesirable effect</w:t>
            </w:r>
          </w:p>
        </w:tc>
      </w:tr>
      <w:tr w:rsidR="00514B50" w:rsidRPr="00CA6729" w14:paraId="3D2FDA52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0CE7F6DE" w14:textId="71A9BEED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  <w:r w:rsidR="00514B50"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ausea</w:t>
            </w:r>
          </w:p>
        </w:tc>
        <w:tc>
          <w:tcPr>
            <w:tcW w:w="2598" w:type="dxa"/>
            <w:noWrap/>
            <w:hideMark/>
          </w:tcPr>
          <w:p w14:paraId="39F6693B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514B50" w:rsidRPr="00CA6729" w14:paraId="7D4E05FD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6FD7461E" w14:textId="7D67258C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</w:t>
            </w:r>
            <w:r w:rsidR="00514B50"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eadache</w:t>
            </w:r>
          </w:p>
        </w:tc>
        <w:tc>
          <w:tcPr>
            <w:tcW w:w="2598" w:type="dxa"/>
            <w:noWrap/>
            <w:hideMark/>
          </w:tcPr>
          <w:p w14:paraId="30A9CDEF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514B50" w:rsidRPr="00CA6729" w14:paraId="17A86D5E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3548B5A5" w14:textId="3A6F02B1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  <w:r w:rsidR="00514B50"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izziness</w:t>
            </w:r>
          </w:p>
        </w:tc>
        <w:tc>
          <w:tcPr>
            <w:tcW w:w="2598" w:type="dxa"/>
            <w:noWrap/>
            <w:hideMark/>
          </w:tcPr>
          <w:p w14:paraId="416D42CC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514B50" w:rsidRPr="00CA6729" w14:paraId="0DE9156C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33788026" w14:textId="25E09621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  <w:r w:rsidR="00514B50"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iarrhoea</w:t>
            </w:r>
          </w:p>
        </w:tc>
        <w:tc>
          <w:tcPr>
            <w:tcW w:w="2598" w:type="dxa"/>
            <w:noWrap/>
            <w:hideMark/>
          </w:tcPr>
          <w:p w14:paraId="30D8F2D8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514B50" w:rsidRPr="00CA6729" w14:paraId="025FBC45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41E7989E" w14:textId="6527B349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</w:t>
            </w:r>
            <w:r w:rsidR="00514B50"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omiting</w:t>
            </w:r>
          </w:p>
        </w:tc>
        <w:tc>
          <w:tcPr>
            <w:tcW w:w="2598" w:type="dxa"/>
            <w:noWrap/>
            <w:hideMark/>
          </w:tcPr>
          <w:p w14:paraId="6CD6AAB4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514B50" w:rsidRPr="00CA6729" w14:paraId="08918E67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2DC666BA" w14:textId="440A7CB7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Rash</w:t>
            </w:r>
          </w:p>
        </w:tc>
        <w:tc>
          <w:tcPr>
            <w:tcW w:w="2598" w:type="dxa"/>
            <w:noWrap/>
            <w:hideMark/>
          </w:tcPr>
          <w:p w14:paraId="2F5FC83D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514B50" w:rsidRPr="00CA6729" w14:paraId="0DCEC9BB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5310A869" w14:textId="1E39C43E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Abdominal pain / discomfort </w:t>
            </w:r>
          </w:p>
        </w:tc>
        <w:tc>
          <w:tcPr>
            <w:tcW w:w="2598" w:type="dxa"/>
            <w:noWrap/>
            <w:hideMark/>
          </w:tcPr>
          <w:p w14:paraId="41199751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514B50" w:rsidRPr="00CA6729" w14:paraId="2463CD98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511DD377" w14:textId="55FD56F1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Fatigue</w:t>
            </w:r>
          </w:p>
        </w:tc>
        <w:tc>
          <w:tcPr>
            <w:tcW w:w="2598" w:type="dxa"/>
            <w:noWrap/>
            <w:hideMark/>
          </w:tcPr>
          <w:p w14:paraId="00464F7B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514B50" w:rsidRPr="00CA6729" w14:paraId="5C7FB017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23D304A2" w14:textId="79B92F2F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Dry mouth</w:t>
            </w:r>
          </w:p>
        </w:tc>
        <w:tc>
          <w:tcPr>
            <w:tcW w:w="2598" w:type="dxa"/>
            <w:noWrap/>
            <w:hideMark/>
          </w:tcPr>
          <w:p w14:paraId="7165767E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514B50" w:rsidRPr="00CA6729" w14:paraId="18C94A64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299346FC" w14:textId="43967882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Somnolence / drowsiness</w:t>
            </w:r>
          </w:p>
        </w:tc>
        <w:tc>
          <w:tcPr>
            <w:tcW w:w="2598" w:type="dxa"/>
            <w:noWrap/>
            <w:hideMark/>
          </w:tcPr>
          <w:p w14:paraId="12170937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514B50" w:rsidRPr="00CA6729" w14:paraId="506109E5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7D3795C6" w14:textId="737E8774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Constipation</w:t>
            </w:r>
          </w:p>
        </w:tc>
        <w:tc>
          <w:tcPr>
            <w:tcW w:w="2598" w:type="dxa"/>
            <w:noWrap/>
            <w:hideMark/>
          </w:tcPr>
          <w:p w14:paraId="5879B6A7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514B50" w:rsidRPr="00CA6729" w14:paraId="015D62F7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35C57F3E" w14:textId="49E34D02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Dyspepsia</w:t>
            </w:r>
          </w:p>
        </w:tc>
        <w:tc>
          <w:tcPr>
            <w:tcW w:w="2598" w:type="dxa"/>
            <w:noWrap/>
            <w:hideMark/>
          </w:tcPr>
          <w:p w14:paraId="74AF3A52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14B50" w:rsidRPr="00CA6729" w14:paraId="39F1A5F5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76AA44EA" w14:textId="279EBDB4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Itch / </w:t>
            </w:r>
            <w:r w:rsidR="00D50A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pruritis</w:t>
            </w:r>
          </w:p>
        </w:tc>
        <w:tc>
          <w:tcPr>
            <w:tcW w:w="2598" w:type="dxa"/>
            <w:noWrap/>
            <w:hideMark/>
          </w:tcPr>
          <w:p w14:paraId="7D22C522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514B50" w:rsidRPr="00CA6729" w14:paraId="7C5DDB87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0678848B" w14:textId="31895AED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Asthenia</w:t>
            </w:r>
          </w:p>
        </w:tc>
        <w:tc>
          <w:tcPr>
            <w:tcW w:w="2598" w:type="dxa"/>
            <w:noWrap/>
            <w:hideMark/>
          </w:tcPr>
          <w:p w14:paraId="5881887C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14B50" w:rsidRPr="00CA6729" w14:paraId="2178329C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37BBCC1F" w14:textId="683D1522" w:rsidR="00514B50" w:rsidRPr="00CA6729" w:rsidRDefault="00514B50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Sleep </w:t>
            </w:r>
            <w:r w:rsidR="00F54F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isturbance</w:t>
            </w:r>
          </w:p>
        </w:tc>
        <w:tc>
          <w:tcPr>
            <w:tcW w:w="2598" w:type="dxa"/>
            <w:noWrap/>
            <w:hideMark/>
          </w:tcPr>
          <w:p w14:paraId="3A928153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514B50" w:rsidRPr="00CA6729" w14:paraId="668AFDFD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1B3A3BE7" w14:textId="77777777" w:rsidR="00514B50" w:rsidRPr="00CA6729" w:rsidRDefault="00514B50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Hypotension</w:t>
            </w:r>
          </w:p>
        </w:tc>
        <w:tc>
          <w:tcPr>
            <w:tcW w:w="2598" w:type="dxa"/>
            <w:noWrap/>
            <w:hideMark/>
          </w:tcPr>
          <w:p w14:paraId="2418CD5C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514B50" w:rsidRPr="00CA6729" w14:paraId="3FC38F11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7D3EBC42" w14:textId="77777777" w:rsidR="00514B50" w:rsidRPr="00CA6729" w:rsidRDefault="00514B50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Paraesthesia</w:t>
            </w:r>
          </w:p>
        </w:tc>
        <w:tc>
          <w:tcPr>
            <w:tcW w:w="2598" w:type="dxa"/>
            <w:noWrap/>
            <w:hideMark/>
          </w:tcPr>
          <w:p w14:paraId="6AC918A6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14B50" w:rsidRPr="00CA6729" w14:paraId="7E01B67A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4C545545" w14:textId="77777777" w:rsidR="00514B50" w:rsidRPr="00CA6729" w:rsidRDefault="00514B50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Reflex changes (increase, decrease or absence) </w:t>
            </w:r>
          </w:p>
        </w:tc>
        <w:tc>
          <w:tcPr>
            <w:tcW w:w="2598" w:type="dxa"/>
            <w:noWrap/>
            <w:hideMark/>
          </w:tcPr>
          <w:p w14:paraId="5A580697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14B50" w:rsidRPr="00CA6729" w14:paraId="5995FC20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22C26E8B" w14:textId="77777777" w:rsidR="00514B50" w:rsidRPr="00CA6729" w:rsidRDefault="00514B50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Dysgeusia (distorted sense of taste) </w:t>
            </w:r>
          </w:p>
        </w:tc>
        <w:tc>
          <w:tcPr>
            <w:tcW w:w="2598" w:type="dxa"/>
            <w:noWrap/>
            <w:hideMark/>
          </w:tcPr>
          <w:p w14:paraId="181786AB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14B50" w:rsidRPr="00CA6729" w14:paraId="53B2ECC9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69F645B1" w14:textId="77777777" w:rsidR="00514B50" w:rsidRPr="00CA6729" w:rsidRDefault="00514B50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Tremor</w:t>
            </w:r>
          </w:p>
        </w:tc>
        <w:tc>
          <w:tcPr>
            <w:tcW w:w="2598" w:type="dxa"/>
            <w:noWrap/>
            <w:hideMark/>
          </w:tcPr>
          <w:p w14:paraId="27DC90FC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514B50" w:rsidRPr="00CA6729" w14:paraId="7457B4E9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1232C1AD" w14:textId="5EE9C0BE" w:rsidR="00514B50" w:rsidRPr="00CA6729" w:rsidRDefault="00514B50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Visual </w:t>
            </w:r>
            <w:r w:rsidR="00F54FC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</w:t>
            </w: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isturbance (including diplopia)</w:t>
            </w:r>
          </w:p>
        </w:tc>
        <w:tc>
          <w:tcPr>
            <w:tcW w:w="2598" w:type="dxa"/>
            <w:noWrap/>
            <w:hideMark/>
          </w:tcPr>
          <w:p w14:paraId="403CB77B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514B50" w:rsidRPr="00CA6729" w14:paraId="18F8858D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63C43691" w14:textId="1AD4A7A1" w:rsidR="00514B50" w:rsidRPr="00CA6729" w:rsidRDefault="00D576F2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Flatulence</w:t>
            </w:r>
          </w:p>
        </w:tc>
        <w:tc>
          <w:tcPr>
            <w:tcW w:w="2598" w:type="dxa"/>
            <w:noWrap/>
            <w:hideMark/>
          </w:tcPr>
          <w:p w14:paraId="796E567A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514B50" w:rsidRPr="00CA6729" w14:paraId="563F4D5D" w14:textId="77777777" w:rsidTr="004C103E">
        <w:trPr>
          <w:trHeight w:val="300"/>
        </w:trPr>
        <w:tc>
          <w:tcPr>
            <w:tcW w:w="4201" w:type="dxa"/>
            <w:noWrap/>
            <w:hideMark/>
          </w:tcPr>
          <w:p w14:paraId="11283630" w14:textId="77777777" w:rsidR="00514B50" w:rsidRPr="00CA6729" w:rsidRDefault="00514B50" w:rsidP="004C10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Confusion</w:t>
            </w:r>
          </w:p>
        </w:tc>
        <w:tc>
          <w:tcPr>
            <w:tcW w:w="2598" w:type="dxa"/>
            <w:noWrap/>
            <w:hideMark/>
          </w:tcPr>
          <w:p w14:paraId="4EB3793F" w14:textId="77777777" w:rsidR="00514B50" w:rsidRPr="00CA6729" w:rsidRDefault="00514B50" w:rsidP="004C103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A67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</w:tr>
    </w:tbl>
    <w:p w14:paraId="1FD553D0" w14:textId="77777777" w:rsidR="00514B50" w:rsidRDefault="00514B50"/>
    <w:sectPr w:rsidR="00514B50" w:rsidSect="006568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4"/>
    <w:rsid w:val="00064D76"/>
    <w:rsid w:val="00072CD6"/>
    <w:rsid w:val="00076490"/>
    <w:rsid w:val="000D0CB1"/>
    <w:rsid w:val="000E37EC"/>
    <w:rsid w:val="00156324"/>
    <w:rsid w:val="00190574"/>
    <w:rsid w:val="001A7C10"/>
    <w:rsid w:val="001C33B9"/>
    <w:rsid w:val="001D75A9"/>
    <w:rsid w:val="0021560F"/>
    <w:rsid w:val="00221007"/>
    <w:rsid w:val="00243565"/>
    <w:rsid w:val="002440B0"/>
    <w:rsid w:val="00256C9D"/>
    <w:rsid w:val="00273871"/>
    <w:rsid w:val="002A4B4D"/>
    <w:rsid w:val="002C1A6C"/>
    <w:rsid w:val="002C69F1"/>
    <w:rsid w:val="002D6B14"/>
    <w:rsid w:val="002F2572"/>
    <w:rsid w:val="002F4F88"/>
    <w:rsid w:val="003218EB"/>
    <w:rsid w:val="003224FB"/>
    <w:rsid w:val="00361D5C"/>
    <w:rsid w:val="003F0342"/>
    <w:rsid w:val="003F3146"/>
    <w:rsid w:val="004312E9"/>
    <w:rsid w:val="004816FB"/>
    <w:rsid w:val="004930FE"/>
    <w:rsid w:val="004D2FA8"/>
    <w:rsid w:val="004D6F26"/>
    <w:rsid w:val="004F64B7"/>
    <w:rsid w:val="004F6C90"/>
    <w:rsid w:val="00514B50"/>
    <w:rsid w:val="00520A4C"/>
    <w:rsid w:val="00536FC2"/>
    <w:rsid w:val="005456EA"/>
    <w:rsid w:val="00582808"/>
    <w:rsid w:val="005B6520"/>
    <w:rsid w:val="005C5E71"/>
    <w:rsid w:val="005F185D"/>
    <w:rsid w:val="00613E04"/>
    <w:rsid w:val="00633A0D"/>
    <w:rsid w:val="00636534"/>
    <w:rsid w:val="00652257"/>
    <w:rsid w:val="006568EA"/>
    <w:rsid w:val="00663DE0"/>
    <w:rsid w:val="006F494C"/>
    <w:rsid w:val="006F6764"/>
    <w:rsid w:val="00775886"/>
    <w:rsid w:val="007807D8"/>
    <w:rsid w:val="00781EBF"/>
    <w:rsid w:val="00796139"/>
    <w:rsid w:val="007D5848"/>
    <w:rsid w:val="0080261F"/>
    <w:rsid w:val="00813499"/>
    <w:rsid w:val="00823D23"/>
    <w:rsid w:val="00826639"/>
    <w:rsid w:val="0083166F"/>
    <w:rsid w:val="00842145"/>
    <w:rsid w:val="0087679F"/>
    <w:rsid w:val="00882A0A"/>
    <w:rsid w:val="00894C87"/>
    <w:rsid w:val="008B6512"/>
    <w:rsid w:val="0094321B"/>
    <w:rsid w:val="00957669"/>
    <w:rsid w:val="00961F82"/>
    <w:rsid w:val="00963F2B"/>
    <w:rsid w:val="009740B5"/>
    <w:rsid w:val="00974725"/>
    <w:rsid w:val="00A16B1C"/>
    <w:rsid w:val="00A1720A"/>
    <w:rsid w:val="00A3764F"/>
    <w:rsid w:val="00A405D1"/>
    <w:rsid w:val="00A62D1B"/>
    <w:rsid w:val="00A71900"/>
    <w:rsid w:val="00AA445B"/>
    <w:rsid w:val="00AB11E6"/>
    <w:rsid w:val="00AF6BC3"/>
    <w:rsid w:val="00B15FD7"/>
    <w:rsid w:val="00B72BED"/>
    <w:rsid w:val="00B737A6"/>
    <w:rsid w:val="00BB6D58"/>
    <w:rsid w:val="00BC316A"/>
    <w:rsid w:val="00BC3E4E"/>
    <w:rsid w:val="00C17733"/>
    <w:rsid w:val="00C253AE"/>
    <w:rsid w:val="00C37F7C"/>
    <w:rsid w:val="00C60C49"/>
    <w:rsid w:val="00CA6729"/>
    <w:rsid w:val="00CD64C6"/>
    <w:rsid w:val="00CF49F7"/>
    <w:rsid w:val="00D16EAB"/>
    <w:rsid w:val="00D22E36"/>
    <w:rsid w:val="00D2337D"/>
    <w:rsid w:val="00D3660A"/>
    <w:rsid w:val="00D50A6D"/>
    <w:rsid w:val="00D576F2"/>
    <w:rsid w:val="00D71A00"/>
    <w:rsid w:val="00D71A52"/>
    <w:rsid w:val="00D9470B"/>
    <w:rsid w:val="00E077BD"/>
    <w:rsid w:val="00E14AAA"/>
    <w:rsid w:val="00E317F7"/>
    <w:rsid w:val="00E33461"/>
    <w:rsid w:val="00E54FFF"/>
    <w:rsid w:val="00E676CE"/>
    <w:rsid w:val="00EB2DA3"/>
    <w:rsid w:val="00F54FC0"/>
    <w:rsid w:val="00F95440"/>
    <w:rsid w:val="00FA3553"/>
    <w:rsid w:val="00FD589C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F662"/>
  <w15:chartTrackingRefBased/>
  <w15:docId w15:val="{8819B63A-5C6F-2749-B5BC-C0B2CEB9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007"/>
  </w:style>
  <w:style w:type="table" w:styleId="TableGrid">
    <w:name w:val="Table Grid"/>
    <w:basedOn w:val="TableNormal"/>
    <w:uiPriority w:val="39"/>
    <w:rsid w:val="00CA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DB0A06-978B-8340-9CD4-803F496C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Mercer</dc:creator>
  <cp:keywords/>
  <dc:description/>
  <cp:lastModifiedBy>Oliver Mercer</cp:lastModifiedBy>
  <cp:revision>2</cp:revision>
  <dcterms:created xsi:type="dcterms:W3CDTF">2019-09-19T10:52:00Z</dcterms:created>
  <dcterms:modified xsi:type="dcterms:W3CDTF">2019-09-19T10:52:00Z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49f32594-f858-3621-8035-6119f5da4a08</vt:lpwstr>
  </property>
  <property fmtid="{D5CDD505-2E9C-101B-9397-08002B2CF9AE}" pid="24" name="Mendeley Citation Style_1">
    <vt:lpwstr>http://www.zotero.org/styles/american-medical-association</vt:lpwstr>
  </property>
</Properties>
</file>