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CB12" w14:textId="576079E5" w:rsidR="00F31A1C" w:rsidRDefault="001220C2" w:rsidP="00111914">
      <w:pPr>
        <w:rPr>
          <w:b/>
        </w:rPr>
      </w:pPr>
      <w:bookmarkStart w:id="0" w:name="_GoBack"/>
      <w:bookmarkEnd w:id="0"/>
      <w:r>
        <w:rPr>
          <w:b/>
        </w:rPr>
        <w:t xml:space="preserve">NEAR INFRARED SPECTROSCOPY AND GUT BIOMARKERS IN PRETERM INFANTS </w:t>
      </w:r>
      <w:r w:rsidR="005B00DD">
        <w:rPr>
          <w:b/>
        </w:rPr>
        <w:t>– CAN TH</w:t>
      </w:r>
      <w:r w:rsidR="007E2477">
        <w:rPr>
          <w:b/>
        </w:rPr>
        <w:t xml:space="preserve">EY </w:t>
      </w:r>
      <w:r w:rsidR="005B00DD">
        <w:rPr>
          <w:b/>
        </w:rPr>
        <w:t>P</w:t>
      </w:r>
      <w:r w:rsidR="006469C1" w:rsidRPr="006469C1">
        <w:rPr>
          <w:b/>
        </w:rPr>
        <w:t>REDICT NEC</w:t>
      </w:r>
      <w:r w:rsidR="006758F2" w:rsidRPr="006469C1">
        <w:rPr>
          <w:b/>
        </w:rPr>
        <w:t>?</w:t>
      </w:r>
    </w:p>
    <w:p w14:paraId="70A91FFE" w14:textId="4437CC1F" w:rsidR="00983EAD" w:rsidRPr="00F31A1C" w:rsidRDefault="00983EAD" w:rsidP="00111914">
      <w:pPr>
        <w:rPr>
          <w:b/>
        </w:rPr>
      </w:pPr>
      <w:r w:rsidRPr="00B26E2F">
        <w:rPr>
          <w:b/>
          <w:u w:val="single"/>
        </w:rPr>
        <w:t>Background</w:t>
      </w:r>
    </w:p>
    <w:p w14:paraId="233D44CB" w14:textId="0F234981" w:rsidR="00BC7D70" w:rsidRDefault="00FF0DC1" w:rsidP="00BC7D70">
      <w:pPr>
        <w:spacing w:line="240" w:lineRule="auto"/>
        <w:rPr>
          <w:rFonts w:cstheme="minorHAnsi"/>
        </w:rPr>
      </w:pPr>
      <w:r>
        <w:rPr>
          <w:lang w:val="en-US"/>
        </w:rPr>
        <w:t>We previously established normal ranges of regional tissue oxygenation</w:t>
      </w:r>
      <w:r>
        <w:rPr>
          <w:rFonts w:cstheme="minorHAnsi"/>
        </w:rPr>
        <w:t xml:space="preserve"> </w:t>
      </w:r>
      <w:r>
        <w:rPr>
          <w:lang w:val="en-US"/>
        </w:rPr>
        <w:t>in preterm infants</w:t>
      </w:r>
      <w:r w:rsidRPr="002B6BF9">
        <w:rPr>
          <w:lang w:val="en-US"/>
        </w:rPr>
        <w:t xml:space="preserve"> </w:t>
      </w:r>
      <w:r>
        <w:rPr>
          <w:lang w:val="en-US"/>
        </w:rPr>
        <w:t xml:space="preserve">using </w:t>
      </w:r>
      <w:r w:rsidRPr="00BC7D70">
        <w:rPr>
          <w:lang w:val="en-US"/>
        </w:rPr>
        <w:t xml:space="preserve">Near Infrared Spectroscopy </w:t>
      </w:r>
      <w:r>
        <w:rPr>
          <w:lang w:val="en-US"/>
        </w:rPr>
        <w:t xml:space="preserve">(NIRS).  </w:t>
      </w:r>
      <w:r w:rsidR="0037464E">
        <w:rPr>
          <w:lang w:val="en-US"/>
        </w:rPr>
        <w:t xml:space="preserve">Survival of very preterm infants has improved but the incidence of NEC has not changed. </w:t>
      </w:r>
      <w:r w:rsidR="00142544" w:rsidRPr="00BC7D70">
        <w:rPr>
          <w:rFonts w:cstheme="minorHAnsi"/>
          <w:vertAlign w:val="superscript"/>
        </w:rPr>
        <w:fldChar w:fldCharType="begin"/>
      </w:r>
      <w:r w:rsidR="00142544" w:rsidRPr="00BC7D70">
        <w:rPr>
          <w:rFonts w:cstheme="minorHAnsi"/>
          <w:vertAlign w:val="superscript"/>
        </w:rPr>
        <w:instrText xml:space="preserve"> ADDIN EN.CITE &lt;EndNote&gt;&lt;Cite&gt;&lt;Author&gt;Fitzgibbons&lt;/Author&gt;&lt;Year&gt;2009&lt;/Year&gt;&lt;RecNum&gt;9&lt;/RecNum&gt;&lt;DisplayText&gt;[58, 61]&lt;/DisplayText&gt;&lt;record&gt;&lt;rec-number&gt;9&lt;/rec-number&gt;&lt;foreign-keys&gt;&lt;key app="EN" db-id="2s0xzazwr95v9ae99rqxp5sg92pzzxr00aep" timestamp="0"&gt;9&lt;/key&gt;&lt;/foreign-keys&gt;&lt;ref-type name="Journal Article"&gt;17&lt;/ref-type&gt;&lt;contributors&gt;&lt;authors&gt;&lt;author&gt;Fitzgibbons, SC&lt;/author&gt;&lt;author&gt;Ching, Y&lt;/author&gt;&lt;author&gt;Yu, D &lt;/author&gt;&lt;author&gt;Carpenter, J&lt;/author&gt;&lt;author&gt;Kenny, M&lt;/author&gt;&lt;author&gt;Weldon, C&lt;/author&gt;&lt;author&gt;Lillehei, C&lt;/author&gt;&lt;author&gt;Valim, C&lt;/author&gt;&lt;author&gt;Horbar, JD&lt;/author&gt;&lt;author&gt;Jaksic, T&lt;/author&gt;&lt;/authors&gt;&lt;/contributors&gt;&lt;titles&gt;&lt;title&gt;Mortality of necrotising enterocolitis expressed by birthweight categories.  &lt;/title&gt;&lt;secondary-title&gt;J Pediatr Surg&lt;/secondary-title&gt;&lt;/titles&gt;&lt;periodical&gt;&lt;full-title&gt;J Pediatr Surg&lt;/full-title&gt;&lt;/periodical&gt;&lt;pages&gt;1072-1075&lt;/pages&gt;&lt;volume&gt;44&lt;/volume&gt;&lt;dates&gt;&lt;year&gt;2009&lt;/year&gt;&lt;/dates&gt;&lt;urls&gt;&lt;/urls&gt;&lt;/record&gt;&lt;/Cite&gt;&lt;Cite&gt;&lt;Author&gt;Lin&lt;/Author&gt;&lt;Year&gt;2006&lt;/Year&gt;&lt;RecNum&gt;12&lt;/RecNum&gt;&lt;record&gt;&lt;rec-number&gt;12&lt;/rec-number&gt;&lt;foreign-keys&gt;&lt;key app="EN" db-id="2s0xzazwr95v9ae99rqxp5sg92pzzxr00aep" timestamp="0"&gt;12&lt;/key&gt;&lt;/foreign-keys&gt;&lt;ref-type name="Journal Article"&gt;17&lt;/ref-type&gt;&lt;contributors&gt;&lt;authors&gt;&lt;author&gt;Lin, P W&lt;/author&gt;&lt;author&gt;Stol, B J&lt;/author&gt;&lt;/authors&gt;&lt;/contributors&gt;&lt;titles&gt;&lt;title&gt;Necrotising Enterocolitis&lt;/title&gt;&lt;secondary-title&gt;Lancet&lt;/secondary-title&gt;&lt;/titles&gt;&lt;periodical&gt;&lt;full-title&gt;Lancet&lt;/full-title&gt;&lt;/periodical&gt;&lt;pages&gt;1271-1283&lt;/pages&gt;&lt;volume&gt;368&lt;/volume&gt;&lt;number&gt;9543&lt;/number&gt;&lt;dates&gt;&lt;year&gt;2006&lt;/year&gt;&lt;/dates&gt;&lt;urls&gt;&lt;/urls&gt;&lt;/record&gt;&lt;/Cite&gt;&lt;/EndNote&gt;</w:instrText>
      </w:r>
      <w:r w:rsidR="00142544" w:rsidRPr="00BC7D70">
        <w:rPr>
          <w:rFonts w:cstheme="minorHAnsi"/>
          <w:vertAlign w:val="superscript"/>
        </w:rPr>
        <w:fldChar w:fldCharType="end"/>
      </w:r>
      <w:r w:rsidR="00142544" w:rsidRPr="00BC7D70">
        <w:rPr>
          <w:rFonts w:cstheme="minorHAnsi"/>
          <w:color w:val="3E3D40"/>
        </w:rPr>
        <w:t xml:space="preserve">Progress in the prevention of </w:t>
      </w:r>
      <w:r w:rsidR="00142544" w:rsidRPr="000271FB">
        <w:rPr>
          <w:rFonts w:cstheme="minorHAnsi"/>
        </w:rPr>
        <w:t>Necrotising Enterocolitis (NEC</w:t>
      </w:r>
      <w:r w:rsidR="00142544">
        <w:rPr>
          <w:rFonts w:cstheme="minorHAnsi"/>
        </w:rPr>
        <w:t>)</w:t>
      </w:r>
      <w:r w:rsidR="00142544" w:rsidRPr="000271FB">
        <w:rPr>
          <w:rFonts w:cstheme="minorHAnsi"/>
          <w:vertAlign w:val="superscript"/>
        </w:rPr>
        <w:t xml:space="preserve"> </w:t>
      </w:r>
      <w:r w:rsidR="00142544" w:rsidRPr="000271FB">
        <w:rPr>
          <w:rFonts w:cstheme="minorHAnsi"/>
          <w:vertAlign w:val="superscript"/>
        </w:rPr>
        <w:fldChar w:fldCharType="begin"/>
      </w:r>
      <w:r w:rsidR="00142544" w:rsidRPr="000271FB">
        <w:rPr>
          <w:rFonts w:cstheme="minorHAnsi"/>
          <w:vertAlign w:val="superscript"/>
        </w:rPr>
        <w:instrText xml:space="preserve"> ADDIN EN.CITE &lt;EndNote&gt;&lt;Cite&gt;&lt;Author&gt;Fitzgibbons&lt;/Author&gt;&lt;Year&gt;2009&lt;/Year&gt;&lt;RecNum&gt;9&lt;/RecNum&gt;&lt;DisplayText&gt;[58, 61]&lt;/DisplayText&gt;&lt;record&gt;&lt;rec-number&gt;9&lt;/rec-number&gt;&lt;foreign-keys&gt;&lt;key app="EN" db-id="2s0xzazwr95v9ae99rqxp5sg92pzzxr00aep" timestamp="0"&gt;9&lt;/key&gt;&lt;/foreign-keys&gt;&lt;ref-type name="Journal Article"&gt;17&lt;/ref-type&gt;&lt;contributors&gt;&lt;authors&gt;&lt;author&gt;Fitzgibbons, SC&lt;/author&gt;&lt;author&gt;Ching, Y&lt;/author&gt;&lt;author&gt;Yu, D &lt;/author&gt;&lt;author&gt;Carpenter, J&lt;/author&gt;&lt;author&gt;Kenny, M&lt;/author&gt;&lt;author&gt;Weldon, C&lt;/author&gt;&lt;author&gt;Lillehei, C&lt;/author&gt;&lt;author&gt;Valim, C&lt;/author&gt;&lt;author&gt;Horbar, JD&lt;/author&gt;&lt;author&gt;Jaksic, T&lt;/author&gt;&lt;/authors&gt;&lt;/contributors&gt;&lt;titles&gt;&lt;title&gt;Mortality of necrotising enterocolitis expressed by birthweight categories.  &lt;/title&gt;&lt;secondary-title&gt;J Pediatr Surg&lt;/secondary-title&gt;&lt;/titles&gt;&lt;periodical&gt;&lt;full-title&gt;J Pediatr Surg&lt;/full-title&gt;&lt;/periodical&gt;&lt;pages&gt;1072-1075&lt;/pages&gt;&lt;volume&gt;44&lt;/volume&gt;&lt;dates&gt;&lt;year&gt;2009&lt;/year&gt;&lt;/dates&gt;&lt;urls&gt;&lt;/urls&gt;&lt;/record&gt;&lt;/Cite&gt;&lt;Cite&gt;&lt;Author&gt;Lin&lt;/Author&gt;&lt;Year&gt;2006&lt;/Year&gt;&lt;RecNum&gt;12&lt;/RecNum&gt;&lt;record&gt;&lt;rec-number&gt;12&lt;/rec-number&gt;&lt;foreign-keys&gt;&lt;key app="EN" db-id="2s0xzazwr95v9ae99rqxp5sg92pzzxr00aep" timestamp="0"&gt;12&lt;/key&gt;&lt;/foreign-keys&gt;&lt;ref-type name="Journal Article"&gt;17&lt;/ref-type&gt;&lt;contributors&gt;&lt;authors&gt;&lt;author&gt;Lin, P W&lt;/author&gt;&lt;author&gt;Stol, B J&lt;/author&gt;&lt;/authors&gt;&lt;/contributors&gt;&lt;titles&gt;&lt;title&gt;Necrotising Enterocolitis&lt;/title&gt;&lt;secondary-title&gt;Lancet&lt;/secondary-title&gt;&lt;/titles&gt;&lt;periodical&gt;&lt;full-title&gt;Lancet&lt;/full-title&gt;&lt;/periodical&gt;&lt;pages&gt;1271-1283&lt;/pages&gt;&lt;volume&gt;368&lt;/volume&gt;&lt;number&gt;9543&lt;/number&gt;&lt;dates&gt;&lt;year&gt;2006&lt;/year&gt;&lt;/dates&gt;&lt;urls&gt;&lt;/urls&gt;&lt;/record&gt;&lt;/Cite&gt;&lt;/EndNote&gt;</w:instrText>
      </w:r>
      <w:r w:rsidR="00142544" w:rsidRPr="000271FB">
        <w:rPr>
          <w:rFonts w:cstheme="minorHAnsi"/>
          <w:vertAlign w:val="superscript"/>
        </w:rPr>
        <w:fldChar w:fldCharType="end"/>
      </w:r>
      <w:r w:rsidR="00142544" w:rsidRPr="000271FB">
        <w:rPr>
          <w:rFonts w:cstheme="minorHAnsi"/>
        </w:rPr>
        <w:t xml:space="preserve"> has been limited by difficulties in clearly defining </w:t>
      </w:r>
      <w:r w:rsidR="00F31A1C">
        <w:rPr>
          <w:rFonts w:cstheme="minorHAnsi"/>
        </w:rPr>
        <w:t xml:space="preserve">high risk </w:t>
      </w:r>
      <w:r w:rsidR="00142544" w:rsidRPr="000271FB">
        <w:rPr>
          <w:rFonts w:cstheme="minorHAnsi"/>
        </w:rPr>
        <w:t>groups of pre</w:t>
      </w:r>
      <w:r w:rsidR="00142544">
        <w:rPr>
          <w:rFonts w:cstheme="minorHAnsi"/>
        </w:rPr>
        <w:t>term</w:t>
      </w:r>
      <w:r w:rsidR="00142544" w:rsidRPr="000271FB">
        <w:rPr>
          <w:rFonts w:cstheme="minorHAnsi"/>
        </w:rPr>
        <w:t xml:space="preserve"> infants and because there are no </w:t>
      </w:r>
      <w:r w:rsidR="00142544">
        <w:rPr>
          <w:rFonts w:cstheme="minorHAnsi"/>
        </w:rPr>
        <w:t xml:space="preserve">routinely used </w:t>
      </w:r>
      <w:r w:rsidR="00142544" w:rsidRPr="000271FB">
        <w:rPr>
          <w:rFonts w:cstheme="minorHAnsi"/>
        </w:rPr>
        <w:t xml:space="preserve">eﬀective gut </w:t>
      </w:r>
      <w:r w:rsidR="00142544" w:rsidRPr="00BC7D70">
        <w:rPr>
          <w:rFonts w:cstheme="minorHAnsi"/>
        </w:rPr>
        <w:t>biomarkers</w:t>
      </w:r>
      <w:r w:rsidR="00142544">
        <w:rPr>
          <w:rFonts w:cstheme="minorHAnsi"/>
        </w:rPr>
        <w:t>.</w:t>
      </w:r>
      <w:r w:rsidR="001F7ADF">
        <w:rPr>
          <w:rFonts w:cstheme="minorHAnsi"/>
        </w:rPr>
        <w:t xml:space="preserve">  </w:t>
      </w:r>
      <w:r w:rsidR="00BC7D70" w:rsidRPr="00BC7D70">
        <w:rPr>
          <w:rFonts w:cs="Times New Roman"/>
        </w:rPr>
        <w:t>There is an u</w:t>
      </w:r>
      <w:r w:rsidR="006355BC">
        <w:rPr>
          <w:rFonts w:cs="Times New Roman"/>
        </w:rPr>
        <w:t>nmet</w:t>
      </w:r>
      <w:r w:rsidR="00BC7D70" w:rsidRPr="00BC7D70">
        <w:rPr>
          <w:rFonts w:cs="Times New Roman"/>
        </w:rPr>
        <w:t xml:space="preserve"> need to identify prospective biomarkers </w:t>
      </w:r>
      <w:r w:rsidR="00F31A1C">
        <w:rPr>
          <w:rFonts w:cstheme="minorHAnsi"/>
        </w:rPr>
        <w:t>to create</w:t>
      </w:r>
      <w:r w:rsidR="00BC7D70" w:rsidRPr="00BC7D70">
        <w:rPr>
          <w:rFonts w:cstheme="minorHAnsi"/>
        </w:rPr>
        <w:t xml:space="preserve"> a window of opportunity for prevention.</w:t>
      </w:r>
    </w:p>
    <w:p w14:paraId="0084DA6B" w14:textId="5EA38603" w:rsidR="001F7ADF" w:rsidRPr="00F31A1C" w:rsidRDefault="00F31A1C" w:rsidP="00F31A1C">
      <w:pPr>
        <w:spacing w:line="240" w:lineRule="auto"/>
        <w:rPr>
          <w:rFonts w:cstheme="minorHAnsi"/>
        </w:rPr>
      </w:pPr>
      <w:r>
        <w:rPr>
          <w:rFonts w:cstheme="minorHAnsi"/>
        </w:rPr>
        <w:t>We</w:t>
      </w:r>
      <w:r w:rsidR="003207EC">
        <w:rPr>
          <w:rFonts w:cstheme="minorHAnsi"/>
        </w:rPr>
        <w:t xml:space="preserve"> aimed to</w:t>
      </w:r>
      <w:r w:rsidR="00E47B01">
        <w:rPr>
          <w:rFonts w:cstheme="minorHAnsi"/>
        </w:rPr>
        <w:t xml:space="preserve"> </w:t>
      </w:r>
      <w:r w:rsidR="00FF0DC1">
        <w:rPr>
          <w:rFonts w:cstheme="minorHAnsi"/>
        </w:rPr>
        <w:t>establish if</w:t>
      </w:r>
      <w:r w:rsidR="00E47B01">
        <w:rPr>
          <w:rFonts w:cstheme="minorHAnsi"/>
        </w:rPr>
        <w:t xml:space="preserve"> gut biomarkers</w:t>
      </w:r>
      <w:r w:rsidR="006355BC">
        <w:rPr>
          <w:rFonts w:cstheme="minorHAnsi"/>
        </w:rPr>
        <w:t xml:space="preserve"> of tissue injury</w:t>
      </w:r>
      <w:r w:rsidR="00E47B01">
        <w:rPr>
          <w:rFonts w:cstheme="minorHAnsi"/>
        </w:rPr>
        <w:t xml:space="preserve"> and splanchnic NIRS measurements differed </w:t>
      </w:r>
      <w:r w:rsidR="00E47B01">
        <w:t xml:space="preserve">in </w:t>
      </w:r>
      <w:r w:rsidR="003207EC">
        <w:t>infants with NEC</w:t>
      </w:r>
      <w:r w:rsidR="00E47B01">
        <w:t xml:space="preserve"> compared to those without NEC</w:t>
      </w:r>
      <w:r w:rsidR="003207EC">
        <w:t>.</w:t>
      </w:r>
    </w:p>
    <w:p w14:paraId="03BBF6F8" w14:textId="6738F022" w:rsidR="00983EAD" w:rsidRPr="00B26E2F" w:rsidRDefault="00983EAD" w:rsidP="00111914">
      <w:pPr>
        <w:rPr>
          <w:b/>
          <w:u w:val="single"/>
        </w:rPr>
      </w:pPr>
      <w:r w:rsidRPr="00B26E2F">
        <w:rPr>
          <w:b/>
          <w:u w:val="single"/>
        </w:rPr>
        <w:t>Methods</w:t>
      </w:r>
    </w:p>
    <w:p w14:paraId="5CFE2F22" w14:textId="17D51A68" w:rsidR="00B52615" w:rsidRPr="00C733F0" w:rsidRDefault="00B52615" w:rsidP="00B52615">
      <w:pPr>
        <w:spacing w:line="240" w:lineRule="auto"/>
        <w:rPr>
          <w:rFonts w:cstheme="minorHAnsi"/>
        </w:rPr>
      </w:pPr>
      <w:r w:rsidRPr="00C733F0">
        <w:rPr>
          <w:rFonts w:cstheme="minorHAnsi"/>
        </w:rPr>
        <w:t xml:space="preserve">We examined 48 infants &lt;30w gestation admitted to </w:t>
      </w:r>
      <w:r w:rsidR="007B525B">
        <w:rPr>
          <w:rFonts w:cstheme="minorHAnsi"/>
        </w:rPr>
        <w:t>our tertiary level</w:t>
      </w:r>
      <w:r w:rsidRPr="00C733F0">
        <w:rPr>
          <w:rFonts w:cstheme="minorHAnsi"/>
        </w:rPr>
        <w:t xml:space="preserve"> NICU (after </w:t>
      </w:r>
      <w:r w:rsidR="001F6C94">
        <w:rPr>
          <w:rFonts w:cstheme="minorHAnsi"/>
        </w:rPr>
        <w:t>ethical</w:t>
      </w:r>
      <w:r w:rsidRPr="00C733F0">
        <w:rPr>
          <w:rFonts w:cstheme="minorHAnsi"/>
        </w:rPr>
        <w:t xml:space="preserve"> approval and </w:t>
      </w:r>
      <w:r w:rsidR="007B525B">
        <w:rPr>
          <w:rFonts w:cstheme="minorHAnsi"/>
        </w:rPr>
        <w:t xml:space="preserve">informed </w:t>
      </w:r>
      <w:r w:rsidRPr="00C733F0">
        <w:rPr>
          <w:rFonts w:cstheme="minorHAnsi"/>
        </w:rPr>
        <w:t>consent) from Oct 2016 to May 201</w:t>
      </w:r>
      <w:r w:rsidR="00215404">
        <w:rPr>
          <w:rFonts w:cstheme="minorHAnsi"/>
        </w:rPr>
        <w:t>8</w:t>
      </w:r>
      <w:r w:rsidRPr="00C733F0">
        <w:rPr>
          <w:rFonts w:cstheme="minorHAnsi"/>
        </w:rPr>
        <w:t>.  Exclusion criteria: birthweight ≤2</w:t>
      </w:r>
      <w:r w:rsidRPr="00C733F0">
        <w:rPr>
          <w:rFonts w:cstheme="minorHAnsi"/>
          <w:vertAlign w:val="superscript"/>
        </w:rPr>
        <w:t>nd</w:t>
      </w:r>
      <w:r w:rsidRPr="00C733F0">
        <w:rPr>
          <w:rFonts w:cstheme="minorHAnsi"/>
        </w:rPr>
        <w:t xml:space="preserve"> centile, abnormal antenatal dopplers, major congenital anomalies or Twin to Twin Transfusion Syndrome.   </w:t>
      </w:r>
    </w:p>
    <w:p w14:paraId="1E6302AE" w14:textId="7CF800D2" w:rsidR="00BD22F9" w:rsidRDefault="00BD22F9" w:rsidP="00F31A1C">
      <w:pPr>
        <w:spacing w:line="240" w:lineRule="auto"/>
        <w:rPr>
          <w:rFonts w:cstheme="minorHAnsi"/>
        </w:rPr>
      </w:pPr>
      <w:r>
        <w:rPr>
          <w:rFonts w:cstheme="minorHAnsi"/>
          <w:bCs/>
        </w:rPr>
        <w:t xml:space="preserve">For 60 minutes each week </w:t>
      </w:r>
      <w:r w:rsidR="00FF3714">
        <w:rPr>
          <w:rFonts w:cstheme="minorHAnsi"/>
          <w:bCs/>
        </w:rPr>
        <w:t>splanchnic (</w:t>
      </w:r>
      <w:proofErr w:type="spellStart"/>
      <w:r w:rsidR="00FF3714">
        <w:rPr>
          <w:rFonts w:cstheme="minorHAnsi"/>
          <w:bCs/>
        </w:rPr>
        <w:t>sTOI</w:t>
      </w:r>
      <w:proofErr w:type="spellEnd"/>
      <w:r w:rsidR="00FF3714">
        <w:rPr>
          <w:rFonts w:cstheme="minorHAnsi"/>
          <w:bCs/>
        </w:rPr>
        <w:t>)</w:t>
      </w:r>
      <w:r w:rsidR="00B52615" w:rsidRPr="00C733F0">
        <w:rPr>
          <w:rFonts w:cstheme="minorHAnsi"/>
          <w:bCs/>
        </w:rPr>
        <w:t xml:space="preserve"> and cerebral</w:t>
      </w:r>
      <w:r>
        <w:rPr>
          <w:rFonts w:cstheme="minorHAnsi"/>
          <w:bCs/>
        </w:rPr>
        <w:t xml:space="preserve"> </w:t>
      </w:r>
      <w:r w:rsidR="00FF3714">
        <w:rPr>
          <w:rFonts w:cstheme="minorHAnsi"/>
          <w:bCs/>
        </w:rPr>
        <w:t>(</w:t>
      </w:r>
      <w:proofErr w:type="spellStart"/>
      <w:r w:rsidR="00FF3714">
        <w:rPr>
          <w:rFonts w:cstheme="minorHAnsi"/>
          <w:bCs/>
        </w:rPr>
        <w:t>cTOI</w:t>
      </w:r>
      <w:proofErr w:type="spellEnd"/>
      <w:r w:rsidR="00FF3714">
        <w:rPr>
          <w:rFonts w:cstheme="minorHAnsi"/>
          <w:bCs/>
        </w:rPr>
        <w:t xml:space="preserve">) </w:t>
      </w:r>
      <w:r w:rsidR="00B52615" w:rsidRPr="00C733F0">
        <w:rPr>
          <w:rFonts w:cstheme="minorHAnsi"/>
        </w:rPr>
        <w:t>Tissue Oxygenation Index (TOI)</w:t>
      </w:r>
      <w:r>
        <w:rPr>
          <w:rFonts w:cstheme="minorHAnsi"/>
        </w:rPr>
        <w:t xml:space="preserve"> was measured simultaneously using </w:t>
      </w:r>
      <w:r w:rsidRPr="00BD22F9">
        <w:rPr>
          <w:rFonts w:cstheme="minorHAnsi"/>
        </w:rPr>
        <w:t>NIRO-300 (Hamamatsu KK, Japan</w:t>
      </w:r>
      <w:r>
        <w:rPr>
          <w:rFonts w:cstheme="minorHAnsi"/>
        </w:rPr>
        <w:t>)</w:t>
      </w:r>
      <w:r w:rsidR="00B52615" w:rsidRPr="00C733F0">
        <w:rPr>
          <w:rFonts w:cstheme="minorHAnsi"/>
        </w:rPr>
        <w:t xml:space="preserve">. Subsequently </w:t>
      </w:r>
      <w:r w:rsidR="00FF3714">
        <w:rPr>
          <w:rFonts w:cstheme="minorHAnsi"/>
        </w:rPr>
        <w:t xml:space="preserve">splanchnic </w:t>
      </w:r>
      <w:r w:rsidR="00B52615" w:rsidRPr="00C733F0">
        <w:rPr>
          <w:rFonts w:cstheme="minorHAnsi"/>
        </w:rPr>
        <w:t>Fractional Tissue Oxygen Extraction (</w:t>
      </w:r>
      <w:proofErr w:type="spellStart"/>
      <w:r w:rsidR="00FF3714">
        <w:rPr>
          <w:rFonts w:cstheme="minorHAnsi"/>
        </w:rPr>
        <w:t>s</w:t>
      </w:r>
      <w:r w:rsidR="00B52615" w:rsidRPr="00C733F0">
        <w:rPr>
          <w:rFonts w:cstheme="minorHAnsi"/>
        </w:rPr>
        <w:t>FTOE</w:t>
      </w:r>
      <w:proofErr w:type="spellEnd"/>
      <w:r w:rsidR="00B52615" w:rsidRPr="00C733F0">
        <w:rPr>
          <w:rFonts w:cstheme="minorHAnsi"/>
        </w:rPr>
        <w:t>) and Splanchnic Cerebral Oxygenation Ratio (SCOR) were calculated</w:t>
      </w:r>
      <w:r>
        <w:rPr>
          <w:rFonts w:cstheme="minorHAnsi"/>
        </w:rPr>
        <w:t>.</w:t>
      </w:r>
    </w:p>
    <w:p w14:paraId="576A80D6" w14:textId="29CA2C87" w:rsidR="00BD22F9" w:rsidRPr="00F31A1C" w:rsidRDefault="00BD22F9" w:rsidP="00F31A1C">
      <w:pPr>
        <w:spacing w:line="240" w:lineRule="auto"/>
        <w:rPr>
          <w:rFonts w:cstheme="minorHAnsi"/>
        </w:rPr>
      </w:pPr>
      <w:r w:rsidRPr="00C733F0">
        <w:rPr>
          <w:rFonts w:cstheme="minorHAnsi"/>
        </w:rPr>
        <w:t xml:space="preserve">Weekly urinary </w:t>
      </w:r>
      <w:r>
        <w:rPr>
          <w:rFonts w:cstheme="minorHAnsi"/>
        </w:rPr>
        <w:t xml:space="preserve">intestinal and liver </w:t>
      </w:r>
      <w:r w:rsidRPr="00C733F0">
        <w:rPr>
          <w:rFonts w:cstheme="minorHAnsi"/>
        </w:rPr>
        <w:t>fatty acid binding protein</w:t>
      </w:r>
      <w:r>
        <w:rPr>
          <w:rFonts w:cstheme="minorHAnsi"/>
        </w:rPr>
        <w:t>s</w:t>
      </w:r>
      <w:r w:rsidRPr="00C733F0">
        <w:rPr>
          <w:rFonts w:cstheme="minorHAnsi"/>
        </w:rPr>
        <w:t xml:space="preserve"> (</w:t>
      </w:r>
      <w:r>
        <w:rPr>
          <w:rFonts w:cstheme="minorHAnsi"/>
        </w:rPr>
        <w:t>I- FABP, L-FABP), Trefoil F</w:t>
      </w:r>
      <w:r w:rsidRPr="00C733F0">
        <w:rPr>
          <w:rFonts w:cstheme="minorHAnsi"/>
        </w:rPr>
        <w:t xml:space="preserve">actor 3 (TTF3) </w:t>
      </w:r>
      <w:r>
        <w:rPr>
          <w:rFonts w:cstheme="minorHAnsi"/>
        </w:rPr>
        <w:t>and stool C</w:t>
      </w:r>
      <w:r w:rsidRPr="00C733F0">
        <w:rPr>
          <w:rFonts w:cstheme="minorHAnsi"/>
        </w:rPr>
        <w:t xml:space="preserve">alprotectin were measured </w:t>
      </w:r>
      <w:r w:rsidR="007B525B">
        <w:rPr>
          <w:rFonts w:cstheme="minorHAnsi"/>
        </w:rPr>
        <w:t xml:space="preserve">by ELISA </w:t>
      </w:r>
      <w:r w:rsidRPr="00C733F0">
        <w:rPr>
          <w:rFonts w:cstheme="minorHAnsi"/>
        </w:rPr>
        <w:t>and weekly clinical status recorded</w:t>
      </w:r>
      <w:r>
        <w:rPr>
          <w:rFonts w:cstheme="minorHAnsi"/>
        </w:rPr>
        <w:t xml:space="preserve">. </w:t>
      </w:r>
      <w:r w:rsidR="00616B3F">
        <w:rPr>
          <w:rFonts w:cstheme="minorHAnsi"/>
        </w:rPr>
        <w:t xml:space="preserve"> </w:t>
      </w:r>
      <w:r w:rsidRPr="00616B3F">
        <w:rPr>
          <w:rFonts w:cstheme="minorHAnsi"/>
        </w:rPr>
        <w:t xml:space="preserve">NEC was defined as </w:t>
      </w:r>
      <w:r w:rsidR="00FF3714">
        <w:rPr>
          <w:rFonts w:cstheme="minorHAnsi"/>
        </w:rPr>
        <w:t>≥</w:t>
      </w:r>
      <w:r w:rsidR="00616B3F">
        <w:rPr>
          <w:rFonts w:cstheme="minorHAnsi"/>
        </w:rPr>
        <w:t xml:space="preserve"> Bells stage 2.</w:t>
      </w:r>
    </w:p>
    <w:p w14:paraId="2BDD715A" w14:textId="315EEA76" w:rsidR="00983EAD" w:rsidRPr="00B26E2F" w:rsidRDefault="00983EAD" w:rsidP="00111914">
      <w:pPr>
        <w:rPr>
          <w:b/>
          <w:u w:val="single"/>
        </w:rPr>
      </w:pPr>
      <w:r w:rsidRPr="00B26E2F">
        <w:rPr>
          <w:b/>
          <w:u w:val="single"/>
        </w:rPr>
        <w:t>Results</w:t>
      </w:r>
      <w:r w:rsidR="00B52615" w:rsidRPr="00B26E2F">
        <w:rPr>
          <w:b/>
          <w:u w:val="single"/>
        </w:rPr>
        <w:t xml:space="preserve"> </w:t>
      </w:r>
    </w:p>
    <w:p w14:paraId="1773DF72" w14:textId="3D5C2543" w:rsidR="00AC612F" w:rsidRDefault="00B612E0">
      <w:pPr>
        <w:spacing w:line="240" w:lineRule="auto"/>
      </w:pPr>
      <w:r>
        <w:rPr>
          <w:rFonts w:cstheme="minorHAnsi"/>
          <w:lang w:val="it-IT"/>
        </w:rPr>
        <w:t>M</w:t>
      </w:r>
      <w:proofErr w:type="spellStart"/>
      <w:r w:rsidR="00A45B09" w:rsidRPr="00AC612F">
        <w:t>edian</w:t>
      </w:r>
      <w:proofErr w:type="spellEnd"/>
      <w:r w:rsidR="00A45B09" w:rsidRPr="00AC612F">
        <w:t xml:space="preserve"> </w:t>
      </w:r>
      <w:proofErr w:type="spellStart"/>
      <w:r w:rsidR="00A45B09" w:rsidRPr="00AC612F">
        <w:t>birthweight</w:t>
      </w:r>
      <w:proofErr w:type="spellEnd"/>
      <w:r w:rsidR="00AC612F" w:rsidRPr="00AC612F">
        <w:t xml:space="preserve"> </w:t>
      </w:r>
      <w:r w:rsidR="00FF3714">
        <w:t xml:space="preserve">was </w:t>
      </w:r>
      <w:r w:rsidR="00AC612F" w:rsidRPr="00AC612F">
        <w:t>884g (460-1600), m</w:t>
      </w:r>
      <w:r w:rsidR="00A45B09" w:rsidRPr="00AC612F">
        <w:t>edian gestational age 26</w:t>
      </w:r>
      <w:r w:rsidR="00A45B09" w:rsidRPr="00AC612F">
        <w:rPr>
          <w:vertAlign w:val="superscript"/>
        </w:rPr>
        <w:t>+3</w:t>
      </w:r>
      <w:r w:rsidR="00A45B09" w:rsidRPr="00AC612F">
        <w:t xml:space="preserve"> weeks (23</w:t>
      </w:r>
      <w:r w:rsidR="00A45B09" w:rsidRPr="00AC612F">
        <w:rPr>
          <w:vertAlign w:val="superscript"/>
        </w:rPr>
        <w:t>+0</w:t>
      </w:r>
      <w:r w:rsidR="00A45B09" w:rsidRPr="00AC612F">
        <w:t>-29</w:t>
      </w:r>
      <w:r w:rsidR="00A45B09" w:rsidRPr="00AC612F">
        <w:rPr>
          <w:vertAlign w:val="superscript"/>
        </w:rPr>
        <w:t>+6</w:t>
      </w:r>
      <w:r w:rsidR="00AC612F" w:rsidRPr="00AC612F">
        <w:t xml:space="preserve">) and </w:t>
      </w:r>
      <w:r w:rsidR="00A45B09" w:rsidRPr="00AC612F">
        <w:t>52% female</w:t>
      </w:r>
      <w:r w:rsidR="00616B3F">
        <w:t>.</w:t>
      </w:r>
      <w:r w:rsidR="00D46047">
        <w:t xml:space="preserve"> 7 infants developed NEC.</w:t>
      </w:r>
      <w:r w:rsidR="00D46047" w:rsidRPr="00AC612F">
        <w:t xml:space="preserve"> </w:t>
      </w:r>
    </w:p>
    <w:p w14:paraId="3AC71EA9" w14:textId="1C7AD31E" w:rsidR="00A51AC7" w:rsidRDefault="00A45B09" w:rsidP="00A51AC7">
      <w:pPr>
        <w:spacing w:line="240" w:lineRule="auto"/>
      </w:pPr>
      <w:r>
        <w:t xml:space="preserve">Over the first 7 </w:t>
      </w:r>
      <w:r w:rsidR="002D6B43">
        <w:t>weeks of life no</w:t>
      </w:r>
      <w:r w:rsidR="00A51AC7">
        <w:t>ne of the</w:t>
      </w:r>
      <w:r w:rsidR="002D6B43">
        <w:t xml:space="preserve"> </w:t>
      </w:r>
      <w:r w:rsidR="00081042">
        <w:t xml:space="preserve">biomarkers were </w:t>
      </w:r>
      <w:r w:rsidR="000A00B4">
        <w:t>affected</w:t>
      </w:r>
      <w:r w:rsidR="00081042">
        <w:t xml:space="preserve"> by presence of PDA, enteric feed volumes </w:t>
      </w:r>
      <w:r w:rsidR="007B525B">
        <w:t>or</w:t>
      </w:r>
      <w:r w:rsidR="00081042">
        <w:t xml:space="preserve"> </w:t>
      </w:r>
      <w:r w:rsidR="00A51AC7">
        <w:t xml:space="preserve">haemoglobin level.  </w:t>
      </w:r>
      <w:r w:rsidR="00FF0DC1">
        <w:t xml:space="preserve">There were no statistically significant differences in </w:t>
      </w:r>
      <w:r w:rsidR="00FF0DC1">
        <w:rPr>
          <w:rFonts w:cstheme="minorHAnsi"/>
        </w:rPr>
        <w:t>I- FABP, L-FABP</w:t>
      </w:r>
      <w:r w:rsidR="00FF0DC1">
        <w:t>, TFF3 and Calprotectin levels between those infants with and without NEC.</w:t>
      </w:r>
    </w:p>
    <w:p w14:paraId="39E2DDC1" w14:textId="19D67899" w:rsidR="00F31A1C" w:rsidRDefault="003E11C3" w:rsidP="00A51AC7">
      <w:pPr>
        <w:spacing w:line="240" w:lineRule="auto"/>
      </w:pPr>
      <w:proofErr w:type="spellStart"/>
      <w:r>
        <w:t>sTOI</w:t>
      </w:r>
      <w:proofErr w:type="spellEnd"/>
      <w:r w:rsidR="00FF3714">
        <w:t xml:space="preserve"> was significantly lower</w:t>
      </w:r>
      <w:r>
        <w:t xml:space="preserve"> and </w:t>
      </w:r>
      <w:proofErr w:type="spellStart"/>
      <w:r>
        <w:t>sFTOE</w:t>
      </w:r>
      <w:proofErr w:type="spellEnd"/>
      <w:r>
        <w:t xml:space="preserve"> </w:t>
      </w:r>
      <w:r w:rsidR="00FF3714">
        <w:t xml:space="preserve">was </w:t>
      </w:r>
      <w:r w:rsidR="00B1172D">
        <w:t xml:space="preserve">significantly </w:t>
      </w:r>
      <w:r w:rsidR="00FF3714">
        <w:t xml:space="preserve">higher in </w:t>
      </w:r>
      <w:r>
        <w:t xml:space="preserve">those infants </w:t>
      </w:r>
      <w:r w:rsidR="00B1172D">
        <w:t xml:space="preserve">who </w:t>
      </w:r>
      <w:r>
        <w:t xml:space="preserve">developed NEC </w:t>
      </w:r>
      <w:r w:rsidR="00FF3714">
        <w:t>compared to those without NEC</w:t>
      </w:r>
      <w:r w:rsidR="00F90E96">
        <w:t>. The SCOR was lower in infants who developed NEC (Table 1).</w:t>
      </w:r>
      <w:r w:rsidR="00F90E96" w:rsidDel="00F90E96">
        <w:t xml:space="preserve"> </w:t>
      </w:r>
      <w:proofErr w:type="spellStart"/>
      <w:r w:rsidR="00F90E96">
        <w:t>sTOI</w:t>
      </w:r>
      <w:proofErr w:type="spellEnd"/>
      <w:r w:rsidR="00F90E96">
        <w:t xml:space="preserve">, </w:t>
      </w:r>
      <w:r w:rsidR="00170A4E">
        <w:t xml:space="preserve">and </w:t>
      </w:r>
      <w:proofErr w:type="spellStart"/>
      <w:r w:rsidR="00F90E96">
        <w:t>sFTOE</w:t>
      </w:r>
      <w:proofErr w:type="spellEnd"/>
      <w:r w:rsidR="00F90E96">
        <w:t xml:space="preserve"> were significantly associated with NEC even after adjusting for confounding factors such as </w:t>
      </w:r>
      <w:r w:rsidR="00B1172D">
        <w:t>gender</w:t>
      </w:r>
      <w:r w:rsidR="00F90E96">
        <w:t xml:space="preserve">, PDA, enteral feed, ethnicity and </w:t>
      </w:r>
      <w:r w:rsidR="00B1172D">
        <w:t>haemoglobin</w:t>
      </w:r>
      <w:r w:rsidR="00F90E96">
        <w:t>.</w:t>
      </w:r>
    </w:p>
    <w:p w14:paraId="4F72CED2" w14:textId="6451E2FE" w:rsidR="00787803" w:rsidRDefault="00787803" w:rsidP="00F31A1C">
      <w:pPr>
        <w:spacing w:after="0" w:line="240" w:lineRule="auto"/>
      </w:pPr>
    </w:p>
    <w:p w14:paraId="717C33C0" w14:textId="04C53331" w:rsidR="005B00DD" w:rsidRPr="001F6C94" w:rsidRDefault="00787803" w:rsidP="001F6C94">
      <w:pPr>
        <w:spacing w:line="240" w:lineRule="auto"/>
        <w:rPr>
          <w:u w:val="single"/>
        </w:rPr>
      </w:pPr>
      <w:bookmarkStart w:id="1" w:name="_Hlk7519295"/>
      <w:r w:rsidRPr="00392846">
        <w:rPr>
          <w:u w:val="single"/>
        </w:rPr>
        <w:t>Table 1: Splanchnic NIRS measurements in those infants with NEC compared with infants</w:t>
      </w:r>
      <w:r w:rsidR="00F90E96">
        <w:rPr>
          <w:u w:val="single"/>
        </w:rPr>
        <w:t xml:space="preserve"> without NEC</w:t>
      </w:r>
      <w:r w:rsidRPr="00392846">
        <w:rPr>
          <w:u w:val="single"/>
        </w:rPr>
        <w:t xml:space="preserve"> (excluding those infants who developed Haemorrhagic Parenchymal Infarcts). </w:t>
      </w:r>
      <w:bookmarkEnd w:id="1"/>
    </w:p>
    <w:tbl>
      <w:tblPr>
        <w:tblStyle w:val="TableGrid"/>
        <w:tblpPr w:leftFromText="180" w:rightFromText="180" w:vertAnchor="page" w:horzAnchor="margin" w:tblpY="14176"/>
        <w:tblW w:w="0" w:type="auto"/>
        <w:tblInd w:w="0" w:type="dxa"/>
        <w:tblLook w:val="04A0" w:firstRow="1" w:lastRow="0" w:firstColumn="1" w:lastColumn="0" w:noHBand="0" w:noVBand="1"/>
      </w:tblPr>
      <w:tblGrid>
        <w:gridCol w:w="1448"/>
        <w:gridCol w:w="1524"/>
        <w:gridCol w:w="1276"/>
        <w:gridCol w:w="1148"/>
        <w:gridCol w:w="1280"/>
        <w:gridCol w:w="1240"/>
        <w:gridCol w:w="1268"/>
      </w:tblGrid>
      <w:tr w:rsidR="00C648B6" w14:paraId="4D912D1C" w14:textId="77777777" w:rsidTr="00C648B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FD4" w14:textId="77777777" w:rsidR="00C648B6" w:rsidRDefault="00C648B6" w:rsidP="00C648B6">
            <w:pPr>
              <w:pStyle w:val="ListParagraph"/>
              <w:ind w:left="0"/>
            </w:pPr>
            <w:bookmarkStart w:id="2" w:name="_Hlk7519265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E30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Mean for Infants without 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4DCA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Mean for Infants with NEC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1CDE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Mean difference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4C5C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BDA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UCI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949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C648B6" w14:paraId="76683F59" w14:textId="77777777" w:rsidTr="00C648B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71F9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sTOI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F64" w14:textId="77777777" w:rsidR="00C648B6" w:rsidRDefault="00C648B6" w:rsidP="00C648B6">
            <w:pPr>
              <w:pStyle w:val="ListParagraph"/>
              <w:ind w:left="0"/>
            </w:pPr>
            <w:r>
              <w:t>42.8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A251" w14:textId="77777777" w:rsidR="00C648B6" w:rsidRDefault="00C648B6" w:rsidP="00C648B6">
            <w:pPr>
              <w:pStyle w:val="ListParagraph"/>
              <w:ind w:left="0"/>
            </w:pPr>
            <w:r>
              <w:t>34.6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BFBD" w14:textId="77777777" w:rsidR="00C648B6" w:rsidRDefault="00C648B6" w:rsidP="00C648B6">
            <w:pPr>
              <w:pStyle w:val="ListParagraph"/>
              <w:ind w:left="0"/>
            </w:pPr>
            <w:r>
              <w:t>-8.15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5FB" w14:textId="77777777" w:rsidR="00C648B6" w:rsidRDefault="00C648B6" w:rsidP="00C648B6">
            <w:pPr>
              <w:pStyle w:val="ListParagraph"/>
              <w:ind w:left="0"/>
            </w:pPr>
            <w:r>
              <w:t>-15.3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E399" w14:textId="77777777" w:rsidR="00C648B6" w:rsidRDefault="00C648B6" w:rsidP="00C648B6">
            <w:pPr>
              <w:pStyle w:val="ListParagraph"/>
              <w:ind w:left="0"/>
            </w:pPr>
            <w:r>
              <w:t>-0.96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3043" w14:textId="77777777" w:rsidR="00C648B6" w:rsidRDefault="00C648B6" w:rsidP="00C648B6">
            <w:pPr>
              <w:pStyle w:val="ListParagraph"/>
              <w:ind w:left="0"/>
            </w:pPr>
            <w:r>
              <w:t>0.026</w:t>
            </w:r>
          </w:p>
        </w:tc>
      </w:tr>
      <w:tr w:rsidR="00C648B6" w14:paraId="4DCAF98F" w14:textId="77777777" w:rsidTr="00C648B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E57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sFTOE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9D63" w14:textId="77777777" w:rsidR="00C648B6" w:rsidRDefault="00C648B6" w:rsidP="00C648B6">
            <w:pPr>
              <w:pStyle w:val="ListParagraph"/>
              <w:ind w:left="0"/>
            </w:pPr>
            <w:r>
              <w:t>0.54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B822" w14:textId="77777777" w:rsidR="00C648B6" w:rsidRDefault="00C648B6" w:rsidP="00C648B6">
            <w:pPr>
              <w:pStyle w:val="ListParagraph"/>
              <w:ind w:left="0"/>
            </w:pPr>
            <w:r>
              <w:t>0.63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A9AB" w14:textId="77777777" w:rsidR="00C648B6" w:rsidRDefault="00C648B6" w:rsidP="00C648B6">
            <w:pPr>
              <w:pStyle w:val="ListParagraph"/>
              <w:ind w:left="0"/>
            </w:pPr>
            <w:r>
              <w:t>0.09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0399" w14:textId="77777777" w:rsidR="00C648B6" w:rsidRDefault="00C648B6" w:rsidP="00C648B6">
            <w:pPr>
              <w:pStyle w:val="ListParagraph"/>
              <w:ind w:left="0"/>
            </w:pPr>
            <w:r>
              <w:t>0.01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F5CD" w14:textId="77777777" w:rsidR="00C648B6" w:rsidRDefault="00C648B6" w:rsidP="00C648B6">
            <w:pPr>
              <w:pStyle w:val="ListParagraph"/>
              <w:ind w:left="0"/>
            </w:pPr>
            <w:r>
              <w:t>0.17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E8F" w14:textId="77777777" w:rsidR="00C648B6" w:rsidRDefault="00C648B6" w:rsidP="00C648B6">
            <w:pPr>
              <w:pStyle w:val="ListParagraph"/>
              <w:ind w:left="0"/>
            </w:pPr>
            <w:r>
              <w:t>0.023</w:t>
            </w:r>
          </w:p>
        </w:tc>
      </w:tr>
      <w:tr w:rsidR="00C648B6" w14:paraId="0606C5F6" w14:textId="77777777" w:rsidTr="00C648B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2F8" w14:textId="77777777" w:rsidR="00C648B6" w:rsidRDefault="00C648B6" w:rsidP="00C648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Ln(SCOR)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3FF" w14:textId="77777777" w:rsidR="00C648B6" w:rsidRDefault="00C648B6" w:rsidP="00C648B6">
            <w:pPr>
              <w:pStyle w:val="ListParagraph"/>
              <w:ind w:left="0"/>
            </w:pPr>
            <w:r>
              <w:t>4.34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9DF" w14:textId="77777777" w:rsidR="00C648B6" w:rsidRDefault="00C648B6" w:rsidP="00C648B6">
            <w:pPr>
              <w:pStyle w:val="ListParagraph"/>
              <w:ind w:left="0"/>
            </w:pPr>
            <w:r>
              <w:t>3.97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0DA" w14:textId="77777777" w:rsidR="00C648B6" w:rsidRDefault="00C648B6" w:rsidP="00C648B6">
            <w:pPr>
              <w:pStyle w:val="ListParagraph"/>
              <w:ind w:left="0"/>
            </w:pPr>
            <w:r>
              <w:t>-0.37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A2A" w14:textId="77777777" w:rsidR="00C648B6" w:rsidRDefault="00C648B6" w:rsidP="00C648B6">
            <w:pPr>
              <w:pStyle w:val="ListParagraph"/>
              <w:ind w:left="0"/>
            </w:pPr>
            <w:r>
              <w:t>-0.74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779" w14:textId="77777777" w:rsidR="00C648B6" w:rsidRDefault="00C648B6" w:rsidP="00C648B6">
            <w:pPr>
              <w:pStyle w:val="ListParagraph"/>
              <w:ind w:left="0"/>
            </w:pPr>
            <w:r>
              <w:t>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1B1B" w14:textId="77777777" w:rsidR="00C648B6" w:rsidRDefault="00C648B6" w:rsidP="00C648B6">
            <w:pPr>
              <w:pStyle w:val="ListParagraph"/>
              <w:ind w:left="0"/>
            </w:pPr>
            <w:r>
              <w:t>0.051</w:t>
            </w:r>
          </w:p>
        </w:tc>
      </w:tr>
      <w:bookmarkEnd w:id="2"/>
    </w:tbl>
    <w:p w14:paraId="393DB5E8" w14:textId="0F784ABE" w:rsidR="001F6C94" w:rsidRDefault="001F6C94" w:rsidP="00787803">
      <w:pPr>
        <w:rPr>
          <w:i/>
        </w:rPr>
      </w:pPr>
    </w:p>
    <w:p w14:paraId="14D81D1D" w14:textId="77777777" w:rsidR="001F6C94" w:rsidRPr="00392846" w:rsidRDefault="001F6C94" w:rsidP="00787803">
      <w:pPr>
        <w:rPr>
          <w:i/>
        </w:rPr>
      </w:pPr>
    </w:p>
    <w:p w14:paraId="3735C492" w14:textId="15405116" w:rsidR="00983EAD" w:rsidRDefault="00983EAD" w:rsidP="00111914">
      <w:pPr>
        <w:rPr>
          <w:b/>
        </w:rPr>
      </w:pPr>
      <w:r w:rsidRPr="00B26E2F">
        <w:rPr>
          <w:b/>
          <w:u w:val="single"/>
        </w:rPr>
        <w:t>Conclusion</w:t>
      </w:r>
      <w:r w:rsidR="00C648B6">
        <w:rPr>
          <w:b/>
        </w:rPr>
        <w:t xml:space="preserve"> </w:t>
      </w:r>
    </w:p>
    <w:p w14:paraId="20D61C4E" w14:textId="4E1FD21D" w:rsidR="00A51AC7" w:rsidRDefault="001220C2" w:rsidP="001220C2">
      <w:r w:rsidRPr="001220C2">
        <w:t xml:space="preserve">Infants </w:t>
      </w:r>
      <w:r w:rsidR="00F90E96">
        <w:t xml:space="preserve">who developed NEC had </w:t>
      </w:r>
      <w:r w:rsidRPr="001220C2">
        <w:t>significant</w:t>
      </w:r>
      <w:r w:rsidR="00F90E96">
        <w:t>ly</w:t>
      </w:r>
      <w:r w:rsidRPr="001220C2">
        <w:t xml:space="preserve"> lower </w:t>
      </w:r>
      <w:r w:rsidR="00F90E96">
        <w:t>splanchnic oxygenation</w:t>
      </w:r>
      <w:r w:rsidR="00A51AC7">
        <w:t xml:space="preserve">. </w:t>
      </w:r>
      <w:r w:rsidRPr="001220C2">
        <w:t xml:space="preserve"> </w:t>
      </w:r>
      <w:r>
        <w:t>If preterm infants at highest risk of NEC had continuous NIRS measurements and</w:t>
      </w:r>
      <w:r w:rsidRPr="001220C2">
        <w:t xml:space="preserve"> individua</w:t>
      </w:r>
      <w:r>
        <w:t>l</w:t>
      </w:r>
      <w:r w:rsidRPr="001220C2">
        <w:t xml:space="preserve"> trends examined</w:t>
      </w:r>
      <w:r w:rsidR="005B00DD">
        <w:t xml:space="preserve">, </w:t>
      </w:r>
      <w:r>
        <w:t>then a</w:t>
      </w:r>
      <w:r w:rsidRPr="001220C2">
        <w:t xml:space="preserve"> reduction in </w:t>
      </w:r>
      <w:proofErr w:type="spellStart"/>
      <w:r w:rsidRPr="001220C2">
        <w:t>sTOI</w:t>
      </w:r>
      <w:proofErr w:type="spellEnd"/>
      <w:r w:rsidRPr="001220C2">
        <w:t xml:space="preserve"> and corresponding increase in </w:t>
      </w:r>
      <w:proofErr w:type="spellStart"/>
      <w:r w:rsidRPr="001220C2">
        <w:t>sFTOE</w:t>
      </w:r>
      <w:proofErr w:type="spellEnd"/>
      <w:r w:rsidRPr="001220C2">
        <w:t xml:space="preserve"> could herald the onset of NEC</w:t>
      </w:r>
      <w:r w:rsidR="00FF0DC1">
        <w:t xml:space="preserve">. </w:t>
      </w:r>
    </w:p>
    <w:p w14:paraId="79740C72" w14:textId="6533C5D4" w:rsidR="001220C2" w:rsidRPr="001220C2" w:rsidRDefault="001220C2" w:rsidP="001220C2">
      <w:r w:rsidRPr="001220C2">
        <w:t xml:space="preserve">This novel finding could help clinicians diagnose NEC </w:t>
      </w:r>
      <w:r w:rsidR="00FF0DC1">
        <w:t>sooner.</w:t>
      </w:r>
      <w:r w:rsidR="00A51AC7">
        <w:t xml:space="preserve">  In the future an </w:t>
      </w:r>
      <w:r w:rsidR="00A51AC7" w:rsidRPr="0022696F">
        <w:rPr>
          <w:rFonts w:cstheme="minorHAnsi"/>
        </w:rPr>
        <w:t xml:space="preserve">algorithm </w:t>
      </w:r>
      <w:r w:rsidR="0044288A">
        <w:rPr>
          <w:rFonts w:cstheme="minorHAnsi"/>
        </w:rPr>
        <w:t>may</w:t>
      </w:r>
      <w:r w:rsidR="00A51AC7">
        <w:rPr>
          <w:rFonts w:cstheme="minorHAnsi"/>
        </w:rPr>
        <w:t xml:space="preserve"> provid</w:t>
      </w:r>
      <w:r w:rsidR="0044288A">
        <w:rPr>
          <w:rFonts w:cstheme="minorHAnsi"/>
        </w:rPr>
        <w:t>e</w:t>
      </w:r>
      <w:r w:rsidR="00A51AC7" w:rsidRPr="0022696F">
        <w:rPr>
          <w:rFonts w:cstheme="minorHAnsi"/>
        </w:rPr>
        <w:t xml:space="preserve"> more sophisticated information than a single biomarker alone</w:t>
      </w:r>
      <w:r w:rsidR="00A51AC7">
        <w:t>.</w:t>
      </w:r>
    </w:p>
    <w:p w14:paraId="4679789A" w14:textId="0523AB89" w:rsidR="00276780" w:rsidRPr="001220C2" w:rsidRDefault="00276780" w:rsidP="001220C2"/>
    <w:p w14:paraId="435BD0E0" w14:textId="3E17E38B" w:rsidR="0014264C" w:rsidRPr="00B26E2F" w:rsidRDefault="0014264C" w:rsidP="00111914">
      <w:pPr>
        <w:rPr>
          <w:b/>
        </w:rPr>
      </w:pPr>
    </w:p>
    <w:sectPr w:rsidR="0014264C" w:rsidRPr="00B2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D9"/>
    <w:multiLevelType w:val="hybridMultilevel"/>
    <w:tmpl w:val="C462619E"/>
    <w:lvl w:ilvl="0" w:tplc="685E4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4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E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607A3"/>
    <w:multiLevelType w:val="hybridMultilevel"/>
    <w:tmpl w:val="4C8C0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6329"/>
    <w:multiLevelType w:val="hybridMultilevel"/>
    <w:tmpl w:val="BB74F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83F4C"/>
    <w:multiLevelType w:val="hybridMultilevel"/>
    <w:tmpl w:val="12EE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6E42"/>
    <w:multiLevelType w:val="hybridMultilevel"/>
    <w:tmpl w:val="641C149A"/>
    <w:lvl w:ilvl="0" w:tplc="C002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00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C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9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0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841A36"/>
    <w:multiLevelType w:val="multilevel"/>
    <w:tmpl w:val="FD626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D64374A"/>
    <w:multiLevelType w:val="hybridMultilevel"/>
    <w:tmpl w:val="C62E7520"/>
    <w:lvl w:ilvl="0" w:tplc="CDB0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A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2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08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E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165F8"/>
    <w:multiLevelType w:val="hybridMultilevel"/>
    <w:tmpl w:val="3780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D4B26"/>
    <w:multiLevelType w:val="hybridMultilevel"/>
    <w:tmpl w:val="50E4C57C"/>
    <w:lvl w:ilvl="0" w:tplc="D136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9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2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A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86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4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4"/>
    <w:rsid w:val="000271FB"/>
    <w:rsid w:val="00081042"/>
    <w:rsid w:val="000A00B4"/>
    <w:rsid w:val="000A4A73"/>
    <w:rsid w:val="000D55DD"/>
    <w:rsid w:val="000E48A8"/>
    <w:rsid w:val="00111914"/>
    <w:rsid w:val="001220C2"/>
    <w:rsid w:val="00142544"/>
    <w:rsid w:val="0014264C"/>
    <w:rsid w:val="00170A4E"/>
    <w:rsid w:val="00190F94"/>
    <w:rsid w:val="001F6C94"/>
    <w:rsid w:val="001F7ADF"/>
    <w:rsid w:val="00215404"/>
    <w:rsid w:val="0022696F"/>
    <w:rsid w:val="00276780"/>
    <w:rsid w:val="002D6B43"/>
    <w:rsid w:val="003131EF"/>
    <w:rsid w:val="003207EC"/>
    <w:rsid w:val="00365B73"/>
    <w:rsid w:val="00372404"/>
    <w:rsid w:val="0037464E"/>
    <w:rsid w:val="003E11C3"/>
    <w:rsid w:val="003F7BF3"/>
    <w:rsid w:val="0044288A"/>
    <w:rsid w:val="00475407"/>
    <w:rsid w:val="00493860"/>
    <w:rsid w:val="004A14FC"/>
    <w:rsid w:val="004F0604"/>
    <w:rsid w:val="004F1C2D"/>
    <w:rsid w:val="005A39B7"/>
    <w:rsid w:val="005B00DD"/>
    <w:rsid w:val="00616B3F"/>
    <w:rsid w:val="006355BC"/>
    <w:rsid w:val="006469C1"/>
    <w:rsid w:val="00671A32"/>
    <w:rsid w:val="006758F2"/>
    <w:rsid w:val="007212C0"/>
    <w:rsid w:val="00787803"/>
    <w:rsid w:val="007B525B"/>
    <w:rsid w:val="007D5423"/>
    <w:rsid w:val="007E2477"/>
    <w:rsid w:val="00813FC5"/>
    <w:rsid w:val="00817C5F"/>
    <w:rsid w:val="00865684"/>
    <w:rsid w:val="008A6613"/>
    <w:rsid w:val="00903E58"/>
    <w:rsid w:val="00983EAD"/>
    <w:rsid w:val="00986E23"/>
    <w:rsid w:val="00996ABE"/>
    <w:rsid w:val="009C7063"/>
    <w:rsid w:val="00A45B09"/>
    <w:rsid w:val="00A51AC7"/>
    <w:rsid w:val="00AC612F"/>
    <w:rsid w:val="00B00459"/>
    <w:rsid w:val="00B1172D"/>
    <w:rsid w:val="00B26E2F"/>
    <w:rsid w:val="00B52615"/>
    <w:rsid w:val="00B612E0"/>
    <w:rsid w:val="00B94FF5"/>
    <w:rsid w:val="00BC7D70"/>
    <w:rsid w:val="00BD22F9"/>
    <w:rsid w:val="00C648B6"/>
    <w:rsid w:val="00C733F0"/>
    <w:rsid w:val="00D46047"/>
    <w:rsid w:val="00DA0D50"/>
    <w:rsid w:val="00E47B01"/>
    <w:rsid w:val="00E51572"/>
    <w:rsid w:val="00EA0CA8"/>
    <w:rsid w:val="00EB7767"/>
    <w:rsid w:val="00F04C32"/>
    <w:rsid w:val="00F31A1C"/>
    <w:rsid w:val="00F43091"/>
    <w:rsid w:val="00F90E96"/>
    <w:rsid w:val="00F92697"/>
    <w:rsid w:val="00FC4ABF"/>
    <w:rsid w:val="00FF0DC1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61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61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61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61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61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61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61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61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61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9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6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6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6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52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B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7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61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61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61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61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61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61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61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61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61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9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6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6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6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6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52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B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7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8907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8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3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9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7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7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Claire</dc:creator>
  <cp:lastModifiedBy>Howarth, Claire</cp:lastModifiedBy>
  <cp:revision>2</cp:revision>
  <dcterms:created xsi:type="dcterms:W3CDTF">2019-04-30T21:08:00Z</dcterms:created>
  <dcterms:modified xsi:type="dcterms:W3CDTF">2019-04-30T21:08:00Z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b9d93363-6a52-4811-b611-ded897fef04a</vt:lpwstr>
  </property>
</Properties>
</file>