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11EB" w14:textId="77777777" w:rsidR="00111251" w:rsidRDefault="00111251" w:rsidP="00111251">
      <w:pPr>
        <w:spacing w:line="36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Letter</w:t>
      </w:r>
    </w:p>
    <w:p w14:paraId="45DC191F" w14:textId="77777777" w:rsidR="00111251" w:rsidRDefault="00111251" w:rsidP="00111251">
      <w:pPr>
        <w:spacing w:line="360" w:lineRule="auto"/>
        <w:jc w:val="center"/>
        <w:rPr>
          <w:b/>
          <w:bCs/>
        </w:rPr>
      </w:pPr>
      <w:r w:rsidRPr="00B457F4">
        <w:rPr>
          <w:b/>
          <w:bCs/>
        </w:rPr>
        <w:t>Education: including medical students in quality improvement projects in primary care</w:t>
      </w:r>
    </w:p>
    <w:p w14:paraId="27BC8F4F" w14:textId="77777777" w:rsidR="00111251" w:rsidRPr="005D537A" w:rsidRDefault="00111251" w:rsidP="00111251">
      <w:pPr>
        <w:spacing w:line="360" w:lineRule="auto"/>
      </w:pPr>
    </w:p>
    <w:p w14:paraId="07D28366" w14:textId="77777777" w:rsidR="00111251" w:rsidRPr="005D537A" w:rsidRDefault="00111251" w:rsidP="00111251">
      <w:pPr>
        <w:spacing w:line="360" w:lineRule="auto"/>
        <w:rPr>
          <w:lang w:val="pt-BR"/>
        </w:rPr>
      </w:pPr>
      <w:r w:rsidRPr="005D537A">
        <w:rPr>
          <w:lang w:val="pt-BR"/>
        </w:rPr>
        <w:t xml:space="preserve">Luamar Dolfini                 </w:t>
      </w:r>
      <w:r w:rsidR="00E52888">
        <w:fldChar w:fldCharType="begin"/>
      </w:r>
      <w:r w:rsidR="00E52888" w:rsidRPr="004B6EDA">
        <w:rPr>
          <w:lang w:val="pt-BR"/>
        </w:rPr>
        <w:instrText xml:space="preserve"> HYPERLINK "mailto:" </w:instrText>
      </w:r>
      <w:r w:rsidR="00E52888">
        <w:fldChar w:fldCharType="end"/>
      </w:r>
      <w:r w:rsidRPr="005D537A">
        <w:rPr>
          <w:lang w:val="pt-BR"/>
        </w:rPr>
        <w:t>m1503711@sgul.ac.uk</w:t>
      </w:r>
    </w:p>
    <w:p w14:paraId="32078E49" w14:textId="77777777" w:rsidR="00111251" w:rsidRPr="005D537A" w:rsidRDefault="00111251" w:rsidP="00111251">
      <w:pPr>
        <w:spacing w:line="360" w:lineRule="auto"/>
      </w:pPr>
      <w:r w:rsidRPr="005D537A">
        <w:t xml:space="preserve">Gabriella Williamson     </w:t>
      </w:r>
      <w:hyperlink r:id="rId7" w:history="1"/>
      <w:r w:rsidRPr="005D537A">
        <w:t>m1601078@sgul.ac.uk</w:t>
      </w:r>
    </w:p>
    <w:p w14:paraId="66EA6321" w14:textId="77777777" w:rsidR="00111251" w:rsidRPr="005D537A" w:rsidRDefault="00111251" w:rsidP="00111251">
      <w:pPr>
        <w:spacing w:line="360" w:lineRule="auto"/>
      </w:pPr>
      <w:r w:rsidRPr="005D537A">
        <w:t xml:space="preserve">Pippa Oakeshott             </w:t>
      </w:r>
      <w:hyperlink r:id="rId8" w:history="1"/>
      <w:r w:rsidRPr="005D537A">
        <w:t>oakeshot@sgul.ac.uk</w:t>
      </w:r>
    </w:p>
    <w:p w14:paraId="48E9D64F" w14:textId="77777777" w:rsidR="00111251" w:rsidRDefault="00111251" w:rsidP="00111251">
      <w:pPr>
        <w:spacing w:line="360" w:lineRule="auto"/>
        <w:rPr>
          <w:b/>
          <w:bCs/>
        </w:rPr>
      </w:pPr>
    </w:p>
    <w:p w14:paraId="4DCF6F10" w14:textId="77777777" w:rsidR="00111251" w:rsidRDefault="00111251" w:rsidP="00111251">
      <w:pPr>
        <w:spacing w:line="360" w:lineRule="auto"/>
        <w:rPr>
          <w:b/>
          <w:bCs/>
        </w:rPr>
      </w:pPr>
    </w:p>
    <w:p w14:paraId="29E494E7" w14:textId="77777777" w:rsidR="00111251" w:rsidRDefault="00111251" w:rsidP="00111251">
      <w:pPr>
        <w:spacing w:line="360" w:lineRule="auto"/>
        <w:jc w:val="both"/>
      </w:pPr>
      <w:r w:rsidRPr="294EA056">
        <w:rPr>
          <w:rFonts w:ascii="Calibri" w:eastAsia="Calibri" w:hAnsi="Calibri" w:cs="Calibri"/>
          <w:color w:val="000000" w:themeColor="text1"/>
        </w:rPr>
        <w:t>Population Health Research Institute</w:t>
      </w:r>
    </w:p>
    <w:p w14:paraId="41311E76" w14:textId="77777777" w:rsidR="00111251" w:rsidRDefault="00111251" w:rsidP="00111251">
      <w:pPr>
        <w:spacing w:line="360" w:lineRule="auto"/>
        <w:jc w:val="both"/>
      </w:pPr>
      <w:r w:rsidRPr="294EA056">
        <w:rPr>
          <w:rFonts w:ascii="Calibri" w:eastAsia="Calibri" w:hAnsi="Calibri" w:cs="Calibri"/>
          <w:color w:val="000000" w:themeColor="text1"/>
        </w:rPr>
        <w:t>St George’s, University of London</w:t>
      </w:r>
    </w:p>
    <w:p w14:paraId="146A65B8" w14:textId="77777777" w:rsidR="00111251" w:rsidRDefault="00111251" w:rsidP="00111251">
      <w:pPr>
        <w:spacing w:line="360" w:lineRule="auto"/>
        <w:jc w:val="both"/>
      </w:pPr>
      <w:r w:rsidRPr="294EA056">
        <w:rPr>
          <w:rFonts w:ascii="Calibri" w:eastAsia="Calibri" w:hAnsi="Calibri" w:cs="Calibri"/>
          <w:color w:val="000000" w:themeColor="text1"/>
        </w:rPr>
        <w:t>London SW17ORE</w:t>
      </w:r>
    </w:p>
    <w:p w14:paraId="50CCF6F2" w14:textId="77777777" w:rsidR="00111251" w:rsidRDefault="00111251" w:rsidP="00111251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294EA056">
        <w:rPr>
          <w:rFonts w:ascii="Calibri" w:eastAsia="Calibri" w:hAnsi="Calibri" w:cs="Calibri"/>
          <w:color w:val="000000" w:themeColor="text1"/>
        </w:rPr>
        <w:t xml:space="preserve"> </w:t>
      </w:r>
    </w:p>
    <w:p w14:paraId="622A771B" w14:textId="77777777" w:rsidR="00111251" w:rsidRDefault="00111251" w:rsidP="00111251">
      <w:pPr>
        <w:spacing w:line="360" w:lineRule="auto"/>
        <w:jc w:val="both"/>
      </w:pPr>
    </w:p>
    <w:p w14:paraId="122834CE" w14:textId="77777777" w:rsidR="00111251" w:rsidRPr="00111251" w:rsidRDefault="00111251" w:rsidP="00111251">
      <w:pPr>
        <w:spacing w:line="360" w:lineRule="auto"/>
        <w:jc w:val="both"/>
        <w:rPr>
          <w:b/>
          <w:bCs/>
        </w:rPr>
      </w:pPr>
      <w:r w:rsidRPr="00111251">
        <w:rPr>
          <w:rFonts w:ascii="Calibri" w:eastAsia="Calibri" w:hAnsi="Calibri" w:cs="Calibri"/>
          <w:color w:val="000000" w:themeColor="text1"/>
        </w:rPr>
        <w:t>Correspondence to Luamar Dolfini (m1503711@sgul.ac.uk)</w:t>
      </w:r>
    </w:p>
    <w:p w14:paraId="2B7E8F30" w14:textId="77777777" w:rsidR="00111251" w:rsidRPr="00111251" w:rsidRDefault="00111251" w:rsidP="00111251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14801CD" w14:textId="77777777" w:rsidR="00111251" w:rsidRPr="00111251" w:rsidRDefault="00111251" w:rsidP="00111251">
      <w:pPr>
        <w:spacing w:line="360" w:lineRule="auto"/>
        <w:jc w:val="both"/>
      </w:pPr>
    </w:p>
    <w:p w14:paraId="3279D563" w14:textId="0A365909" w:rsidR="00111251" w:rsidRPr="005D537A" w:rsidRDefault="00111251" w:rsidP="00111251">
      <w:pPr>
        <w:spacing w:line="360" w:lineRule="auto"/>
      </w:pPr>
      <w:r>
        <w:t xml:space="preserve">Word count: </w:t>
      </w:r>
      <w:r w:rsidR="00411AB7">
        <w:t>396</w:t>
      </w:r>
    </w:p>
    <w:p w14:paraId="06FC0E7C" w14:textId="77777777" w:rsidR="00111251" w:rsidRDefault="00111251" w:rsidP="00111251">
      <w:pPr>
        <w:spacing w:line="360" w:lineRule="auto"/>
        <w:rPr>
          <w:b/>
          <w:bCs/>
        </w:rPr>
      </w:pPr>
    </w:p>
    <w:p w14:paraId="0EC46485" w14:textId="77777777" w:rsidR="00111251" w:rsidRDefault="00111251" w:rsidP="00111251">
      <w:pPr>
        <w:spacing w:line="360" w:lineRule="auto"/>
        <w:rPr>
          <w:b/>
          <w:bCs/>
        </w:rPr>
      </w:pPr>
    </w:p>
    <w:p w14:paraId="1F510202" w14:textId="77777777" w:rsidR="00111251" w:rsidRDefault="00111251" w:rsidP="00111251">
      <w:pPr>
        <w:spacing w:line="360" w:lineRule="auto"/>
        <w:rPr>
          <w:b/>
          <w:bCs/>
        </w:rPr>
      </w:pPr>
    </w:p>
    <w:p w14:paraId="01C6C958" w14:textId="77777777" w:rsidR="00111251" w:rsidRDefault="00111251" w:rsidP="00111251">
      <w:pPr>
        <w:spacing w:line="360" w:lineRule="auto"/>
        <w:rPr>
          <w:b/>
          <w:bCs/>
        </w:rPr>
      </w:pPr>
    </w:p>
    <w:p w14:paraId="4226D470" w14:textId="77777777" w:rsidR="00111251" w:rsidRDefault="00111251" w:rsidP="00111251">
      <w:pPr>
        <w:spacing w:line="360" w:lineRule="auto"/>
        <w:rPr>
          <w:b/>
          <w:bCs/>
        </w:rPr>
      </w:pPr>
    </w:p>
    <w:p w14:paraId="66B0B19E" w14:textId="77777777" w:rsidR="00111251" w:rsidRDefault="00111251" w:rsidP="00111251">
      <w:pPr>
        <w:spacing w:line="360" w:lineRule="auto"/>
        <w:rPr>
          <w:b/>
          <w:bCs/>
        </w:rPr>
      </w:pPr>
    </w:p>
    <w:p w14:paraId="239ADE94" w14:textId="77777777" w:rsidR="00111251" w:rsidRDefault="00111251" w:rsidP="00111251">
      <w:pPr>
        <w:spacing w:line="360" w:lineRule="auto"/>
        <w:rPr>
          <w:b/>
          <w:bCs/>
        </w:rPr>
      </w:pPr>
    </w:p>
    <w:p w14:paraId="0759A7FD" w14:textId="77777777" w:rsidR="00111251" w:rsidRDefault="00111251" w:rsidP="00111251">
      <w:pPr>
        <w:spacing w:line="360" w:lineRule="auto"/>
        <w:rPr>
          <w:b/>
          <w:bCs/>
        </w:rPr>
      </w:pPr>
    </w:p>
    <w:p w14:paraId="158E4EAF" w14:textId="77777777" w:rsidR="00111251" w:rsidRDefault="00111251" w:rsidP="00111251">
      <w:pPr>
        <w:spacing w:line="360" w:lineRule="auto"/>
        <w:rPr>
          <w:b/>
          <w:bCs/>
        </w:rPr>
      </w:pPr>
    </w:p>
    <w:p w14:paraId="0F6D44C7" w14:textId="77777777" w:rsidR="00111251" w:rsidRDefault="00111251" w:rsidP="00111251">
      <w:pPr>
        <w:spacing w:line="360" w:lineRule="auto"/>
      </w:pPr>
    </w:p>
    <w:p w14:paraId="6DF4386B" w14:textId="77777777" w:rsidR="00111251" w:rsidRDefault="00111251" w:rsidP="00111251">
      <w:pPr>
        <w:spacing w:line="360" w:lineRule="auto"/>
      </w:pPr>
    </w:p>
    <w:p w14:paraId="4D254E91" w14:textId="77777777" w:rsidR="00111251" w:rsidRDefault="00111251" w:rsidP="00111251">
      <w:pPr>
        <w:spacing w:line="360" w:lineRule="auto"/>
      </w:pPr>
    </w:p>
    <w:p w14:paraId="2B43E785" w14:textId="77777777" w:rsidR="00111251" w:rsidRDefault="00111251" w:rsidP="00111251">
      <w:pPr>
        <w:spacing w:line="360" w:lineRule="auto"/>
      </w:pPr>
    </w:p>
    <w:p w14:paraId="6715A0CC" w14:textId="77777777" w:rsidR="00111251" w:rsidRDefault="00111251" w:rsidP="00111251">
      <w:pPr>
        <w:spacing w:line="360" w:lineRule="auto"/>
        <w:rPr>
          <w:b/>
          <w:bCs/>
        </w:rPr>
      </w:pPr>
    </w:p>
    <w:p w14:paraId="43C696E3" w14:textId="620273E0" w:rsidR="00111251" w:rsidRDefault="00111251" w:rsidP="00111251">
      <w:pPr>
        <w:spacing w:line="360" w:lineRule="auto"/>
      </w:pPr>
      <w:r>
        <w:lastRenderedPageBreak/>
        <w:t>The current edition of the Future Healthcare Journal focuses on education</w:t>
      </w:r>
      <w:r>
        <w:rPr>
          <w:vertAlign w:val="superscript"/>
        </w:rPr>
        <w:t>1</w:t>
      </w:r>
      <w:r>
        <w:t xml:space="preserve">. This includes the successful quality improvement project by </w:t>
      </w:r>
      <w:proofErr w:type="spellStart"/>
      <w:r>
        <w:t>Dormandy</w:t>
      </w:r>
      <w:proofErr w:type="spellEnd"/>
      <w:r>
        <w:t xml:space="preserve"> et al</w:t>
      </w:r>
      <w:r>
        <w:rPr>
          <w:vertAlign w:val="superscript"/>
        </w:rPr>
        <w:t>2</w:t>
      </w:r>
      <w:r>
        <w:t xml:space="preserve"> on increasing the use of the 4AT delirium screening tool. </w:t>
      </w:r>
    </w:p>
    <w:p w14:paraId="34976812" w14:textId="77777777" w:rsidR="00111251" w:rsidRDefault="00111251" w:rsidP="00111251">
      <w:pPr>
        <w:spacing w:line="360" w:lineRule="auto"/>
      </w:pPr>
    </w:p>
    <w:p w14:paraId="6CCB9573" w14:textId="457D4F5C" w:rsidR="00116B43" w:rsidRDefault="00111251" w:rsidP="00111251">
      <w:pPr>
        <w:spacing w:line="360" w:lineRule="auto"/>
      </w:pPr>
      <w:r>
        <w:t xml:space="preserve">We would like to share our experience </w:t>
      </w:r>
      <w:r w:rsidR="00411AB7">
        <w:t>of a</w:t>
      </w:r>
      <w:r>
        <w:t xml:space="preserve"> medical student quality improvement project in primary care</w:t>
      </w:r>
      <w:r w:rsidR="00BB79DA">
        <w:t>. In response to t</w:t>
      </w:r>
      <w:r w:rsidR="00BB79DA" w:rsidRPr="00116B43">
        <w:t>he</w:t>
      </w:r>
      <w:r w:rsidR="00BB79DA">
        <w:t xml:space="preserve"> National Institute for Health and Care Excellence (NICE) </w:t>
      </w:r>
      <w:r w:rsidR="00BB79DA" w:rsidRPr="006F39B2">
        <w:rPr>
          <w:color w:val="000000" w:themeColor="text1"/>
        </w:rPr>
        <w:t xml:space="preserve">guideline for </w:t>
      </w:r>
      <w:r w:rsidR="00BB79DA">
        <w:t>sepsis assessment in children published in 2018</w:t>
      </w:r>
      <w:r w:rsidR="00BB79DA">
        <w:rPr>
          <w:vertAlign w:val="superscript"/>
        </w:rPr>
        <w:t>4</w:t>
      </w:r>
      <w:r w:rsidR="00BB79DA">
        <w:t xml:space="preserve">, </w:t>
      </w:r>
      <w:r>
        <w:t>we completed an audit cycle investigating the assessment of children aged &lt;5 years presenting with fever (&gt;37.5</w:t>
      </w:r>
      <w:r w:rsidRPr="00FE06AA">
        <w:t xml:space="preserve"> °C</w:t>
      </w:r>
      <w:r>
        <w:t>) at an inner-city general practice</w:t>
      </w:r>
      <w:r w:rsidR="00116B43">
        <w:t>.</w:t>
      </w:r>
    </w:p>
    <w:p w14:paraId="65328CF3" w14:textId="5E21644A" w:rsidR="00111251" w:rsidRDefault="00111251" w:rsidP="00111251">
      <w:pPr>
        <w:spacing w:line="360" w:lineRule="auto"/>
      </w:pPr>
    </w:p>
    <w:p w14:paraId="0E9B55CF" w14:textId="0406B723" w:rsidR="00116B43" w:rsidRPr="00116B43" w:rsidRDefault="00116B43" w:rsidP="00111251">
      <w:pPr>
        <w:spacing w:line="360" w:lineRule="auto"/>
      </w:pPr>
      <w:r>
        <w:t xml:space="preserve">Investigating febrile illness is important as early recognition of sepsis reduces mortality and </w:t>
      </w:r>
      <w:r w:rsidRPr="00116B43">
        <w:t>morbidity</w:t>
      </w:r>
      <w:r>
        <w:rPr>
          <w:vertAlign w:val="superscript"/>
        </w:rPr>
        <w:t>3</w:t>
      </w:r>
      <w:r w:rsidR="00964827">
        <w:t xml:space="preserve">. </w:t>
      </w:r>
      <w:r w:rsidR="00BB79DA">
        <w:t xml:space="preserve">The </w:t>
      </w:r>
      <w:r w:rsidR="00111251">
        <w:t xml:space="preserve">NICE </w:t>
      </w:r>
      <w:r w:rsidR="00111251" w:rsidRPr="006F39B2">
        <w:rPr>
          <w:color w:val="000000" w:themeColor="text1"/>
        </w:rPr>
        <w:t>guideline</w:t>
      </w:r>
      <w:r w:rsidR="00127390">
        <w:rPr>
          <w:vertAlign w:val="superscript"/>
        </w:rPr>
        <w:t>4</w:t>
      </w:r>
      <w:r w:rsidR="00111251" w:rsidRPr="006F39B2">
        <w:rPr>
          <w:color w:val="000000" w:themeColor="text1"/>
        </w:rPr>
        <w:t xml:space="preserve"> </w:t>
      </w:r>
      <w:r w:rsidR="00111251">
        <w:t>outline</w:t>
      </w:r>
      <w:r>
        <w:t>s</w:t>
      </w:r>
      <w:r w:rsidR="00111251">
        <w:t xml:space="preserve"> four signs that should be recorded: temperature, pulse, respiratory rate and capillary refill time</w:t>
      </w:r>
      <w:r>
        <w:t xml:space="preserve"> (CRT</w:t>
      </w:r>
      <w:r w:rsidR="00964827">
        <w:t>).</w:t>
      </w:r>
    </w:p>
    <w:p w14:paraId="073D7CF7" w14:textId="77777777" w:rsidR="00116B43" w:rsidRDefault="00116B43" w:rsidP="00111251">
      <w:pPr>
        <w:spacing w:line="360" w:lineRule="auto"/>
      </w:pPr>
    </w:p>
    <w:p w14:paraId="5F5628F5" w14:textId="7FBF1B4C" w:rsidR="00111251" w:rsidRDefault="00DB25D5" w:rsidP="00111251">
      <w:pPr>
        <w:spacing w:line="360" w:lineRule="auto"/>
      </w:pPr>
      <w:r>
        <w:t>Our first</w:t>
      </w:r>
      <w:r w:rsidR="00111251">
        <w:t xml:space="preserve"> audit</w:t>
      </w:r>
      <w:r w:rsidR="00964827">
        <w:t xml:space="preserve"> in 2018</w:t>
      </w:r>
      <w:r w:rsidR="00111251">
        <w:t xml:space="preserve"> looked at general practitioners’ compliance by analysing the computerised records of 111 consultations with feverish children from May 2014 – May 2018. Table 1 shows </w:t>
      </w:r>
      <w:r w:rsidR="00964827">
        <w:t xml:space="preserve">that all four signs were recorded in </w:t>
      </w:r>
      <w:r w:rsidR="00111251">
        <w:t xml:space="preserve">only 11% (12/111) of </w:t>
      </w:r>
      <w:r w:rsidR="00964827">
        <w:t>consultations.</w:t>
      </w:r>
    </w:p>
    <w:p w14:paraId="076E2150" w14:textId="77777777" w:rsidR="00111251" w:rsidRDefault="00111251" w:rsidP="00111251">
      <w:pPr>
        <w:spacing w:line="360" w:lineRule="auto"/>
      </w:pPr>
    </w:p>
    <w:p w14:paraId="630F840A" w14:textId="7BD4816D" w:rsidR="00116B43" w:rsidRDefault="00111251" w:rsidP="00111251">
      <w:pPr>
        <w:spacing w:line="360" w:lineRule="auto"/>
      </w:pPr>
      <w:r>
        <w:t xml:space="preserve">These results were presented to the general practitioners and practice nurses </w:t>
      </w:r>
      <w:r w:rsidR="00116B43">
        <w:t>in a we</w:t>
      </w:r>
      <w:r w:rsidR="00DB25D5">
        <w:t>e</w:t>
      </w:r>
      <w:r w:rsidR="00116B43">
        <w:t>kly clinical meeting</w:t>
      </w:r>
      <w:r w:rsidR="00127390">
        <w:t xml:space="preserve"> in 2018</w:t>
      </w:r>
      <w:r>
        <w:t xml:space="preserve">. </w:t>
      </w:r>
      <w:r w:rsidR="00116B43">
        <w:t>Not everyone was aware of the NICE guidelines</w:t>
      </w:r>
      <w:r w:rsidR="00DB25D5">
        <w:t>.</w:t>
      </w:r>
      <w:r w:rsidR="00116B43">
        <w:t xml:space="preserve"> </w:t>
      </w:r>
      <w:r w:rsidR="00DB25D5">
        <w:t xml:space="preserve">In </w:t>
      </w:r>
      <w:proofErr w:type="gramStart"/>
      <w:r w:rsidR="00DB25D5">
        <w:t>addition</w:t>
      </w:r>
      <w:proofErr w:type="gramEnd"/>
      <w:r w:rsidR="00DB25D5">
        <w:t xml:space="preserve"> </w:t>
      </w:r>
      <w:r w:rsidR="00116B43">
        <w:t xml:space="preserve">CRT was not </w:t>
      </w:r>
      <w:r w:rsidR="00F206A9">
        <w:t xml:space="preserve">a </w:t>
      </w:r>
      <w:r w:rsidR="00116B43">
        <w:t xml:space="preserve">commonly used sign when the older clinicians were trained. </w:t>
      </w:r>
      <w:r w:rsidR="0041056F">
        <w:t xml:space="preserve">Everyone agreed to </w:t>
      </w:r>
      <w:r w:rsidR="00964827">
        <w:t>improve recording of signs</w:t>
      </w:r>
      <w:r w:rsidR="0041056F">
        <w:t>.</w:t>
      </w:r>
    </w:p>
    <w:p w14:paraId="4D6F301B" w14:textId="77777777" w:rsidR="00116B43" w:rsidRDefault="00116B43" w:rsidP="00111251">
      <w:pPr>
        <w:spacing w:line="360" w:lineRule="auto"/>
      </w:pPr>
    </w:p>
    <w:p w14:paraId="2700B987" w14:textId="42AEC7E7" w:rsidR="00111251" w:rsidRDefault="00111251" w:rsidP="00111251">
      <w:pPr>
        <w:spacing w:line="360" w:lineRule="auto"/>
      </w:pPr>
      <w:r>
        <w:t xml:space="preserve">A re-audit was undertaken assessing 48 consecutive consultations from June 2018 – June 2019.  </w:t>
      </w:r>
      <w:r w:rsidR="00964827">
        <w:t>Only</w:t>
      </w:r>
      <w:r>
        <w:t xml:space="preserve"> 25% (12/48) of consultations had all four signs recorded, an overall improvement of </w:t>
      </w:r>
      <w:r w:rsidR="00127390">
        <w:t xml:space="preserve">just </w:t>
      </w:r>
      <w:r>
        <w:t>14%.</w:t>
      </w:r>
    </w:p>
    <w:p w14:paraId="61DA441C" w14:textId="77777777" w:rsidR="00111251" w:rsidRDefault="00111251" w:rsidP="00111251">
      <w:pPr>
        <w:spacing w:line="360" w:lineRule="auto"/>
      </w:pPr>
    </w:p>
    <w:p w14:paraId="35CD5B8C" w14:textId="77777777" w:rsidR="00127390" w:rsidRDefault="00127390" w:rsidP="00111251">
      <w:pPr>
        <w:spacing w:line="360" w:lineRule="auto"/>
      </w:pPr>
    </w:p>
    <w:p w14:paraId="223DD131" w14:textId="77777777" w:rsidR="00127390" w:rsidRDefault="00127390" w:rsidP="00111251">
      <w:pPr>
        <w:spacing w:line="360" w:lineRule="auto"/>
      </w:pPr>
    </w:p>
    <w:p w14:paraId="49A1403D" w14:textId="77777777" w:rsidR="00127390" w:rsidRDefault="00127390">
      <w:pPr>
        <w:rPr>
          <w:b/>
          <w:i/>
        </w:rPr>
      </w:pPr>
      <w:r>
        <w:rPr>
          <w:b/>
          <w:i/>
        </w:rPr>
        <w:br w:type="page"/>
      </w:r>
    </w:p>
    <w:p w14:paraId="6524506C" w14:textId="587CDFC4" w:rsidR="00127390" w:rsidRPr="00B17918" w:rsidRDefault="00127390" w:rsidP="00127390">
      <w:pPr>
        <w:jc w:val="center"/>
        <w:rPr>
          <w:b/>
          <w:i/>
        </w:rPr>
      </w:pPr>
      <w:r w:rsidRPr="00B17918">
        <w:rPr>
          <w:b/>
          <w:i/>
        </w:rPr>
        <w:lastRenderedPageBreak/>
        <w:t>Table 1: Percentage (%) of signs and symptoms recorded in Audit 1 and Audit 2</w:t>
      </w:r>
    </w:p>
    <w:p w14:paraId="388F1BA5" w14:textId="77777777" w:rsidR="00127390" w:rsidRDefault="00127390" w:rsidP="00111251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11251" w14:paraId="3623C6CB" w14:textId="77777777" w:rsidTr="002B6856">
        <w:tc>
          <w:tcPr>
            <w:tcW w:w="3003" w:type="dxa"/>
          </w:tcPr>
          <w:p w14:paraId="0D73DEBC" w14:textId="77777777" w:rsidR="00111251" w:rsidRDefault="00111251" w:rsidP="002B6856">
            <w:r>
              <w:t xml:space="preserve">Signs needed for the NICE Traffic Light System </w:t>
            </w:r>
          </w:p>
        </w:tc>
        <w:tc>
          <w:tcPr>
            <w:tcW w:w="3003" w:type="dxa"/>
          </w:tcPr>
          <w:p w14:paraId="31348FBD" w14:textId="77777777" w:rsidR="00111251" w:rsidRDefault="00111251" w:rsidP="002B6856">
            <w:r>
              <w:t xml:space="preserve">Audit 1: percentage of 111 consultations before June 2018 recording each sign </w:t>
            </w:r>
          </w:p>
        </w:tc>
        <w:tc>
          <w:tcPr>
            <w:tcW w:w="3004" w:type="dxa"/>
          </w:tcPr>
          <w:p w14:paraId="487B1D67" w14:textId="77777777" w:rsidR="00111251" w:rsidRDefault="00111251" w:rsidP="002B6856">
            <w:r>
              <w:t>Audit 2: percentage of 48 consultations after June 2018 recording each sign</w:t>
            </w:r>
          </w:p>
        </w:tc>
      </w:tr>
      <w:tr w:rsidR="00111251" w14:paraId="604ACD1F" w14:textId="77777777" w:rsidTr="002B6856">
        <w:tc>
          <w:tcPr>
            <w:tcW w:w="3003" w:type="dxa"/>
          </w:tcPr>
          <w:p w14:paraId="158E3370" w14:textId="77777777" w:rsidR="00111251" w:rsidRDefault="00111251" w:rsidP="002B6856">
            <w:r>
              <w:t xml:space="preserve">Temperature </w:t>
            </w:r>
          </w:p>
        </w:tc>
        <w:tc>
          <w:tcPr>
            <w:tcW w:w="3003" w:type="dxa"/>
          </w:tcPr>
          <w:p w14:paraId="0B58136D" w14:textId="77777777" w:rsidR="00111251" w:rsidRDefault="00111251" w:rsidP="002B6856">
            <w:r>
              <w:t>100%</w:t>
            </w:r>
          </w:p>
        </w:tc>
        <w:tc>
          <w:tcPr>
            <w:tcW w:w="3004" w:type="dxa"/>
          </w:tcPr>
          <w:p w14:paraId="4CEDF7DE" w14:textId="77777777" w:rsidR="00111251" w:rsidRDefault="00111251" w:rsidP="002B6856">
            <w:r>
              <w:t>100%</w:t>
            </w:r>
          </w:p>
        </w:tc>
      </w:tr>
      <w:tr w:rsidR="00111251" w14:paraId="3B6658DD" w14:textId="77777777" w:rsidTr="002B6856">
        <w:tc>
          <w:tcPr>
            <w:tcW w:w="3003" w:type="dxa"/>
          </w:tcPr>
          <w:p w14:paraId="30AC176C" w14:textId="77777777" w:rsidR="00111251" w:rsidRDefault="00111251" w:rsidP="002B6856">
            <w:r>
              <w:t xml:space="preserve">Pulse </w:t>
            </w:r>
          </w:p>
        </w:tc>
        <w:tc>
          <w:tcPr>
            <w:tcW w:w="3003" w:type="dxa"/>
          </w:tcPr>
          <w:p w14:paraId="550B590F" w14:textId="77777777" w:rsidR="00111251" w:rsidRDefault="00111251" w:rsidP="002B6856">
            <w:r>
              <w:t>81%</w:t>
            </w:r>
          </w:p>
        </w:tc>
        <w:tc>
          <w:tcPr>
            <w:tcW w:w="3004" w:type="dxa"/>
          </w:tcPr>
          <w:p w14:paraId="2F647196" w14:textId="77777777" w:rsidR="00111251" w:rsidRDefault="00111251" w:rsidP="002B6856">
            <w:r>
              <w:t>94%</w:t>
            </w:r>
          </w:p>
        </w:tc>
      </w:tr>
      <w:tr w:rsidR="00111251" w14:paraId="3033E766" w14:textId="77777777" w:rsidTr="002B6856">
        <w:tc>
          <w:tcPr>
            <w:tcW w:w="3003" w:type="dxa"/>
          </w:tcPr>
          <w:p w14:paraId="606BFA2A" w14:textId="77777777" w:rsidR="00111251" w:rsidRDefault="00111251" w:rsidP="002B6856">
            <w:r>
              <w:t>Respiratory Rate</w:t>
            </w:r>
          </w:p>
        </w:tc>
        <w:tc>
          <w:tcPr>
            <w:tcW w:w="3003" w:type="dxa"/>
          </w:tcPr>
          <w:p w14:paraId="2968FBF8" w14:textId="77777777" w:rsidR="00111251" w:rsidRDefault="00111251" w:rsidP="002B6856">
            <w:r>
              <w:t>49%</w:t>
            </w:r>
          </w:p>
        </w:tc>
        <w:tc>
          <w:tcPr>
            <w:tcW w:w="3004" w:type="dxa"/>
          </w:tcPr>
          <w:p w14:paraId="3B972359" w14:textId="77777777" w:rsidR="00111251" w:rsidRDefault="00111251" w:rsidP="002B6856">
            <w:r>
              <w:t>42%</w:t>
            </w:r>
          </w:p>
        </w:tc>
      </w:tr>
      <w:tr w:rsidR="00111251" w14:paraId="0C1943BB" w14:textId="77777777" w:rsidTr="002B6856">
        <w:tc>
          <w:tcPr>
            <w:tcW w:w="3003" w:type="dxa"/>
          </w:tcPr>
          <w:p w14:paraId="5240F444" w14:textId="77777777" w:rsidR="00111251" w:rsidRDefault="00111251" w:rsidP="002B6856">
            <w:r>
              <w:t xml:space="preserve">Capillary Refill Time </w:t>
            </w:r>
          </w:p>
        </w:tc>
        <w:tc>
          <w:tcPr>
            <w:tcW w:w="3003" w:type="dxa"/>
          </w:tcPr>
          <w:p w14:paraId="20E7C818" w14:textId="77777777" w:rsidR="00111251" w:rsidRDefault="00111251" w:rsidP="002B6856">
            <w:r>
              <w:t>32%</w:t>
            </w:r>
          </w:p>
        </w:tc>
        <w:tc>
          <w:tcPr>
            <w:tcW w:w="3004" w:type="dxa"/>
          </w:tcPr>
          <w:p w14:paraId="76F41011" w14:textId="77777777" w:rsidR="00111251" w:rsidRDefault="00111251" w:rsidP="002B6856">
            <w:r>
              <w:t>50%</w:t>
            </w:r>
          </w:p>
        </w:tc>
      </w:tr>
      <w:tr w:rsidR="00111251" w14:paraId="0BB798E6" w14:textId="77777777" w:rsidTr="002B6856">
        <w:tc>
          <w:tcPr>
            <w:tcW w:w="3003" w:type="dxa"/>
          </w:tcPr>
          <w:p w14:paraId="4048119C" w14:textId="77777777" w:rsidR="00111251" w:rsidRDefault="00111251" w:rsidP="002B6856">
            <w:r>
              <w:t xml:space="preserve">All four signs </w:t>
            </w:r>
          </w:p>
        </w:tc>
        <w:tc>
          <w:tcPr>
            <w:tcW w:w="3003" w:type="dxa"/>
          </w:tcPr>
          <w:p w14:paraId="27D85BC0" w14:textId="77777777" w:rsidR="00111251" w:rsidRDefault="00111251" w:rsidP="002B6856">
            <w:r>
              <w:t>11%</w:t>
            </w:r>
          </w:p>
        </w:tc>
        <w:tc>
          <w:tcPr>
            <w:tcW w:w="3004" w:type="dxa"/>
          </w:tcPr>
          <w:p w14:paraId="32449291" w14:textId="77777777" w:rsidR="00111251" w:rsidRDefault="00111251" w:rsidP="002B6856">
            <w:r>
              <w:t>25%</w:t>
            </w:r>
          </w:p>
        </w:tc>
      </w:tr>
    </w:tbl>
    <w:p w14:paraId="7BD94E92" w14:textId="77777777" w:rsidR="00127390" w:rsidRDefault="00127390" w:rsidP="00111251">
      <w:pPr>
        <w:spacing w:line="360" w:lineRule="auto"/>
        <w:rPr>
          <w:i/>
        </w:rPr>
      </w:pPr>
      <w:r>
        <w:rPr>
          <w:i/>
        </w:rPr>
        <w:t>Footnote</w:t>
      </w:r>
    </w:p>
    <w:p w14:paraId="6673A782" w14:textId="5A100C57" w:rsidR="00127390" w:rsidRPr="004B6EDA" w:rsidRDefault="00127390" w:rsidP="00111251">
      <w:pPr>
        <w:spacing w:line="360" w:lineRule="auto"/>
        <w:rPr>
          <w:sz w:val="20"/>
          <w:szCs w:val="20"/>
        </w:rPr>
      </w:pPr>
      <w:r w:rsidRPr="004B6EDA">
        <w:rPr>
          <w:sz w:val="20"/>
          <w:szCs w:val="20"/>
        </w:rPr>
        <w:t xml:space="preserve">In Audit 1 the mean age of children was 18 months (range 2-53 months), and the highest temperature recording 40°C. In Audit 2 the mean age was 21 months (range 12-48 months) with the highest temperature recording 40.6°C. </w:t>
      </w:r>
    </w:p>
    <w:p w14:paraId="2F2EF638" w14:textId="77777777" w:rsidR="00127390" w:rsidRDefault="00127390" w:rsidP="00111251">
      <w:pPr>
        <w:spacing w:line="360" w:lineRule="auto"/>
      </w:pPr>
    </w:p>
    <w:p w14:paraId="37A88ED9" w14:textId="77777777" w:rsidR="00127390" w:rsidRDefault="00127390" w:rsidP="00111251">
      <w:pPr>
        <w:spacing w:line="360" w:lineRule="auto"/>
      </w:pPr>
    </w:p>
    <w:p w14:paraId="7E003072" w14:textId="77777777" w:rsidR="00116B43" w:rsidRDefault="00116B43" w:rsidP="00111251">
      <w:pPr>
        <w:spacing w:line="360" w:lineRule="auto"/>
      </w:pPr>
    </w:p>
    <w:p w14:paraId="4D7553C4" w14:textId="5298F320" w:rsidR="00116B43" w:rsidRDefault="00DB25D5" w:rsidP="00111251">
      <w:pPr>
        <w:spacing w:line="360" w:lineRule="auto"/>
      </w:pPr>
      <w:r>
        <w:t>These findings were presented again at a practice meeting in November 2019. Clinicians</w:t>
      </w:r>
      <w:r w:rsidR="0041056F">
        <w:t xml:space="preserve"> </w:t>
      </w:r>
      <w:r>
        <w:t xml:space="preserve">said </w:t>
      </w:r>
      <w:r w:rsidR="0041056F">
        <w:t>the main reason</w:t>
      </w:r>
      <w:r w:rsidR="00964827">
        <w:t xml:space="preserve"> for such a small improvement</w:t>
      </w:r>
      <w:r w:rsidR="0041056F">
        <w:t xml:space="preserve"> was probably </w:t>
      </w:r>
      <w:r>
        <w:t xml:space="preserve">that </w:t>
      </w:r>
      <w:r w:rsidR="0041056F">
        <w:t xml:space="preserve">many </w:t>
      </w:r>
      <w:r w:rsidR="00FE7137">
        <w:t xml:space="preserve">febrile </w:t>
      </w:r>
      <w:r w:rsidR="0041056F">
        <w:t xml:space="preserve">children seen by GPs are not particularly ill. </w:t>
      </w:r>
      <w:r w:rsidR="00964827">
        <w:t>If a child seemed well, was drinking, alert</w:t>
      </w:r>
      <w:r>
        <w:t xml:space="preserve"> and active, they would not necessarily record all the signs, especially </w:t>
      </w:r>
      <w:r w:rsidR="0041056F">
        <w:t>with</w:t>
      </w:r>
      <w:r>
        <w:t xml:space="preserve">in the constraints of a </w:t>
      </w:r>
      <w:proofErr w:type="gramStart"/>
      <w:r>
        <w:t>10</w:t>
      </w:r>
      <w:r w:rsidR="00411AB7">
        <w:t xml:space="preserve"> minute</w:t>
      </w:r>
      <w:proofErr w:type="gramEnd"/>
      <w:r w:rsidR="00411AB7">
        <w:t xml:space="preserve"> consultation. It would be different if</w:t>
      </w:r>
      <w:r>
        <w:t xml:space="preserve"> the child was unwell and they were consider</w:t>
      </w:r>
      <w:r w:rsidR="00411AB7">
        <w:t>ing referral to paediatric A+E</w:t>
      </w:r>
      <w:r w:rsidR="005D01CB">
        <w:rPr>
          <w:vertAlign w:val="superscript"/>
        </w:rPr>
        <w:t>5</w:t>
      </w:r>
      <w:r>
        <w:t>.</w:t>
      </w:r>
      <w:r w:rsidR="00127390">
        <w:t xml:space="preserve"> </w:t>
      </w:r>
      <w:r w:rsidR="000209E3">
        <w:t>EMIS computerised GP records</w:t>
      </w:r>
      <w:r w:rsidR="00964827">
        <w:t xml:space="preserve"> now</w:t>
      </w:r>
      <w:r w:rsidR="000209E3">
        <w:t xml:space="preserve"> have a </w:t>
      </w:r>
      <w:r w:rsidR="00964827">
        <w:t>red “</w:t>
      </w:r>
      <w:r w:rsidR="000209E3">
        <w:t>Sepsis” prompt which pops up if abnormal clinical signs s</w:t>
      </w:r>
      <w:r w:rsidR="00127390">
        <w:t xml:space="preserve">uch as high fever, tachycardia </w:t>
      </w:r>
      <w:r w:rsidR="000209E3">
        <w:t>are recorded in a template.</w:t>
      </w:r>
    </w:p>
    <w:p w14:paraId="7BD59421" w14:textId="77777777" w:rsidR="00116B43" w:rsidRDefault="00116B43" w:rsidP="00111251">
      <w:pPr>
        <w:spacing w:line="360" w:lineRule="auto"/>
      </w:pPr>
    </w:p>
    <w:p w14:paraId="39DD15BD" w14:textId="77777777" w:rsidR="00116B43" w:rsidRDefault="00116B43" w:rsidP="00111251">
      <w:pPr>
        <w:spacing w:line="360" w:lineRule="auto"/>
      </w:pPr>
    </w:p>
    <w:p w14:paraId="1A850B3A" w14:textId="4703DE84" w:rsidR="00111251" w:rsidRDefault="00111251" w:rsidP="00111251">
      <w:pPr>
        <w:spacing w:line="360" w:lineRule="auto"/>
      </w:pPr>
      <w:r>
        <w:t xml:space="preserve">As students, this was exciting as we were able to contribute to </w:t>
      </w:r>
      <w:r w:rsidR="00FE7137">
        <w:t>a change in</w:t>
      </w:r>
      <w:r>
        <w:t xml:space="preserve"> clinical practice</w:t>
      </w:r>
      <w:r w:rsidR="00FE7137">
        <w:t>.</w:t>
      </w:r>
      <w:r>
        <w:t xml:space="preserve"> Involving medical students in quality improvement projects can be mutually beneficial </w:t>
      </w:r>
      <w:proofErr w:type="gramStart"/>
      <w:r>
        <w:t>for  clinicians</w:t>
      </w:r>
      <w:proofErr w:type="gramEnd"/>
      <w:r>
        <w:t xml:space="preserve"> who need audits for their annual appraisals and for students who benefit from the educational experience. </w:t>
      </w:r>
    </w:p>
    <w:p w14:paraId="7D0C778C" w14:textId="3664A27A" w:rsidR="00111251" w:rsidRDefault="00111251" w:rsidP="00111251">
      <w:pPr>
        <w:spacing w:line="360" w:lineRule="auto"/>
      </w:pPr>
    </w:p>
    <w:p w14:paraId="157C62B3" w14:textId="335AD6A1" w:rsidR="00DA791F" w:rsidRDefault="00DA791F" w:rsidP="00111251">
      <w:pPr>
        <w:spacing w:line="360" w:lineRule="auto"/>
      </w:pPr>
    </w:p>
    <w:p w14:paraId="3EE8B3FB" w14:textId="77777777" w:rsidR="00DA791F" w:rsidRDefault="00DA791F" w:rsidP="00111251">
      <w:pPr>
        <w:spacing w:line="360" w:lineRule="auto"/>
      </w:pPr>
    </w:p>
    <w:p w14:paraId="783BF91B" w14:textId="77777777" w:rsidR="005D01CB" w:rsidRDefault="005D01CB">
      <w:r>
        <w:br w:type="page"/>
      </w:r>
    </w:p>
    <w:p w14:paraId="62534100" w14:textId="1915E697" w:rsidR="00111251" w:rsidRPr="00DA791F" w:rsidRDefault="00111251" w:rsidP="00DA791F">
      <w:pPr>
        <w:spacing w:line="360" w:lineRule="auto"/>
        <w:jc w:val="center"/>
      </w:pPr>
      <w:r w:rsidRPr="00DA791F">
        <w:lastRenderedPageBreak/>
        <w:t>Reference</w:t>
      </w:r>
      <w:r w:rsidR="00DA791F">
        <w:t xml:space="preserve"> List </w:t>
      </w:r>
    </w:p>
    <w:p w14:paraId="2EF182AE" w14:textId="77777777" w:rsidR="00111251" w:rsidRDefault="00111251" w:rsidP="00111251">
      <w:pPr>
        <w:pStyle w:val="ListParagraph"/>
        <w:numPr>
          <w:ilvl w:val="0"/>
          <w:numId w:val="1"/>
        </w:numPr>
        <w:spacing w:line="360" w:lineRule="auto"/>
      </w:pPr>
      <w:r>
        <w:t xml:space="preserve">Kevin Fox. Education means learning what works and what doesn’t. </w:t>
      </w:r>
      <w:r w:rsidRPr="00B457F4">
        <w:rPr>
          <w:i/>
          <w:iCs/>
        </w:rPr>
        <w:t xml:space="preserve">FHJ </w:t>
      </w:r>
      <w:r>
        <w:t xml:space="preserve">2019; 6: 149-50. </w:t>
      </w:r>
    </w:p>
    <w:p w14:paraId="022F1359" w14:textId="2F3FADDA" w:rsidR="00111251" w:rsidRDefault="00111251" w:rsidP="00111251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B457F4">
        <w:t>Dormandy</w:t>
      </w:r>
      <w:proofErr w:type="spellEnd"/>
      <w:r w:rsidRPr="00B457F4">
        <w:t xml:space="preserve"> L, Mufti S, Higgins E, Bailey C, Dixon M. Shifting</w:t>
      </w:r>
      <w:r>
        <w:t xml:space="preserve"> the focus: A QI project to improve the management of delirium in patients with hip fracture. </w:t>
      </w:r>
      <w:r w:rsidRPr="00B457F4">
        <w:rPr>
          <w:i/>
          <w:iCs/>
        </w:rPr>
        <w:t>FHJ</w:t>
      </w:r>
      <w:r>
        <w:t xml:space="preserve"> 2019; 6:215-9</w:t>
      </w:r>
    </w:p>
    <w:p w14:paraId="38FD4DA0" w14:textId="36B28FBB" w:rsidR="00116B43" w:rsidRDefault="00116B43" w:rsidP="004B6EDA">
      <w:pPr>
        <w:pStyle w:val="ListParagraph"/>
        <w:numPr>
          <w:ilvl w:val="0"/>
          <w:numId w:val="1"/>
        </w:numPr>
        <w:spacing w:after="160" w:line="259" w:lineRule="auto"/>
      </w:pPr>
      <w:proofErr w:type="spellStart"/>
      <w:r w:rsidRPr="00192A80">
        <w:t>Gauer</w:t>
      </w:r>
      <w:proofErr w:type="spellEnd"/>
      <w:r w:rsidRPr="00192A80">
        <w:t xml:space="preserve"> R.L. Early recognition and management of sepsis in adults: the first six hours. Am Fam Physician. </w:t>
      </w:r>
      <w:proofErr w:type="gramStart"/>
      <w:r w:rsidRPr="00192A80">
        <w:t>2013;88:44</w:t>
      </w:r>
      <w:proofErr w:type="gramEnd"/>
      <w:r w:rsidRPr="00192A80">
        <w:t>–53</w:t>
      </w:r>
    </w:p>
    <w:p w14:paraId="6305F168" w14:textId="76F55A78" w:rsidR="00111251" w:rsidRDefault="00111251" w:rsidP="00111251">
      <w:pPr>
        <w:pStyle w:val="ListParagraph"/>
        <w:numPr>
          <w:ilvl w:val="0"/>
          <w:numId w:val="1"/>
        </w:numPr>
        <w:spacing w:after="160" w:line="360" w:lineRule="auto"/>
      </w:pPr>
      <w:r w:rsidRPr="00192A80">
        <w:t xml:space="preserve">National Institute for Health and Clinical Excellence. Fever in under 5s: assessment and initial management. 2018. Available from: </w:t>
      </w:r>
      <w:hyperlink r:id="rId9" w:history="1">
        <w:r w:rsidR="00116B43" w:rsidRPr="009644AC">
          <w:rPr>
            <w:rStyle w:val="Hyperlink"/>
          </w:rPr>
          <w:t>https://www.nice.org.uk/guidance/cg160</w:t>
        </w:r>
      </w:hyperlink>
    </w:p>
    <w:p w14:paraId="1DEF54A4" w14:textId="77777777" w:rsidR="00116B43" w:rsidRDefault="00116B43" w:rsidP="00116B43">
      <w:pPr>
        <w:pStyle w:val="ListParagraph"/>
        <w:numPr>
          <w:ilvl w:val="0"/>
          <w:numId w:val="1"/>
        </w:numPr>
        <w:spacing w:after="160" w:line="360" w:lineRule="auto"/>
      </w:pPr>
      <w:r>
        <w:t xml:space="preserve">National Institute for Health and Clinical Excellence. Fever in under 5s: assessment and initial management. 2019. Available from: </w:t>
      </w:r>
      <w:hyperlink r:id="rId10" w:history="1">
        <w:r w:rsidRPr="009644AC">
          <w:rPr>
            <w:rStyle w:val="Hyperlink"/>
          </w:rPr>
          <w:t>https://www.nice.org.uk/guidance/ng143</w:t>
        </w:r>
      </w:hyperlink>
    </w:p>
    <w:p w14:paraId="131D8417" w14:textId="77777777" w:rsidR="00116B43" w:rsidRPr="00192A80" w:rsidRDefault="00116B43" w:rsidP="004B6EDA">
      <w:pPr>
        <w:spacing w:after="160" w:line="360" w:lineRule="auto"/>
      </w:pPr>
    </w:p>
    <w:bookmarkEnd w:id="0"/>
    <w:p w14:paraId="55BC13CA" w14:textId="77777777" w:rsidR="000B2378" w:rsidRDefault="000B2378"/>
    <w:sectPr w:rsidR="000B2378" w:rsidSect="009267B5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C111F" w14:textId="77777777" w:rsidR="00E52888" w:rsidRDefault="00E52888" w:rsidP="00116B43">
      <w:r>
        <w:separator/>
      </w:r>
    </w:p>
  </w:endnote>
  <w:endnote w:type="continuationSeparator" w:id="0">
    <w:p w14:paraId="5A36AB30" w14:textId="77777777" w:rsidR="00E52888" w:rsidRDefault="00E52888" w:rsidP="0011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53008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D081A2" w14:textId="47384206" w:rsidR="00116B43" w:rsidRDefault="00116B43" w:rsidP="004B6E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A868FD" w14:textId="77777777" w:rsidR="00116B43" w:rsidRDefault="00116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270382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0AFD0D" w14:textId="2DC126E1" w:rsidR="00116B43" w:rsidRDefault="00116B43" w:rsidP="004B6E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1AB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A582187" w14:textId="77777777" w:rsidR="00116B43" w:rsidRDefault="00116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2C05" w14:textId="77777777" w:rsidR="00E52888" w:rsidRDefault="00E52888" w:rsidP="00116B43">
      <w:r>
        <w:separator/>
      </w:r>
    </w:p>
  </w:footnote>
  <w:footnote w:type="continuationSeparator" w:id="0">
    <w:p w14:paraId="1F90ECD7" w14:textId="77777777" w:rsidR="00E52888" w:rsidRDefault="00E52888" w:rsidP="0011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375AE"/>
    <w:multiLevelType w:val="hybridMultilevel"/>
    <w:tmpl w:val="CB202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51"/>
    <w:rsid w:val="000209E3"/>
    <w:rsid w:val="000B2378"/>
    <w:rsid w:val="00111251"/>
    <w:rsid w:val="00116B43"/>
    <w:rsid w:val="00127390"/>
    <w:rsid w:val="002E6604"/>
    <w:rsid w:val="003765E3"/>
    <w:rsid w:val="0041056F"/>
    <w:rsid w:val="00411AB7"/>
    <w:rsid w:val="004B6EDA"/>
    <w:rsid w:val="005D01CB"/>
    <w:rsid w:val="007A02C9"/>
    <w:rsid w:val="007D098F"/>
    <w:rsid w:val="009267B5"/>
    <w:rsid w:val="00964827"/>
    <w:rsid w:val="00AE2A0B"/>
    <w:rsid w:val="00B0689B"/>
    <w:rsid w:val="00BB79DA"/>
    <w:rsid w:val="00DA791F"/>
    <w:rsid w:val="00DB25D5"/>
    <w:rsid w:val="00DF2EC2"/>
    <w:rsid w:val="00E52888"/>
    <w:rsid w:val="00F206A9"/>
    <w:rsid w:val="00F411D6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335C"/>
  <w15:chartTrackingRefBased/>
  <w15:docId w15:val="{CC88A0B8-39AF-D548-937D-7DCAFFBF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51"/>
    <w:pPr>
      <w:ind w:left="720"/>
      <w:contextualSpacing/>
    </w:pPr>
  </w:style>
  <w:style w:type="table" w:styleId="TableGrid">
    <w:name w:val="Table Grid"/>
    <w:basedOn w:val="TableNormal"/>
    <w:uiPriority w:val="39"/>
    <w:rsid w:val="001112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B43"/>
  </w:style>
  <w:style w:type="character" w:styleId="PageNumber">
    <w:name w:val="page number"/>
    <w:basedOn w:val="DefaultParagraphFont"/>
    <w:uiPriority w:val="99"/>
    <w:semiHidden/>
    <w:unhideWhenUsed/>
    <w:rsid w:val="00116B43"/>
  </w:style>
  <w:style w:type="paragraph" w:styleId="BalloonText">
    <w:name w:val="Balloon Text"/>
    <w:basedOn w:val="Normal"/>
    <w:link w:val="BalloonTextChar"/>
    <w:uiPriority w:val="99"/>
    <w:semiHidden/>
    <w:unhideWhenUsed/>
    <w:rsid w:val="00116B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4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6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B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6B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B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ng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Luamar Dolfini</dc:creator>
  <cp:keywords/>
  <dc:description/>
  <cp:lastModifiedBy>Pippa Oakeshott</cp:lastModifiedBy>
  <cp:revision>2</cp:revision>
  <cp:lastPrinted>2019-11-29T12:11:00Z</cp:lastPrinted>
  <dcterms:created xsi:type="dcterms:W3CDTF">2020-07-31T10:15:00Z</dcterms:created>
  <dcterms:modified xsi:type="dcterms:W3CDTF">2020-07-31T10:15:00Z</dcterms:modified>
</cp:coreProperties>
</file>