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F7C47" w14:textId="78DE89BF" w:rsidR="001B2117" w:rsidRPr="003B251F" w:rsidRDefault="00886545" w:rsidP="00346471">
      <w:pPr>
        <w:keepNext/>
        <w:keepLines/>
        <w:spacing w:before="480" w:after="0" w:line="276" w:lineRule="auto"/>
        <w:jc w:val="both"/>
        <w:outlineLvl w:val="0"/>
        <w:rPr>
          <w:rFonts w:asciiTheme="majorHAnsi" w:eastAsiaTheme="majorEastAsia" w:hAnsiTheme="majorHAnsi" w:cstheme="majorBidi"/>
          <w:b/>
          <w:bCs/>
          <w:color w:val="2E74B5" w:themeColor="accent1" w:themeShade="BF"/>
          <w:sz w:val="28"/>
          <w:szCs w:val="28"/>
          <w:lang w:eastAsia="en-GB"/>
        </w:rPr>
      </w:pPr>
      <w:r w:rsidRPr="003B251F">
        <w:rPr>
          <w:rFonts w:asciiTheme="majorHAnsi" w:eastAsiaTheme="majorEastAsia" w:hAnsiTheme="majorHAnsi" w:cstheme="majorBidi"/>
          <w:b/>
          <w:bCs/>
          <w:color w:val="2E74B5" w:themeColor="accent1" w:themeShade="BF"/>
          <w:sz w:val="32"/>
          <w:szCs w:val="32"/>
          <w:lang w:eastAsia="en-GB"/>
        </w:rPr>
        <w:t xml:space="preserve">Prevalence and duration of </w:t>
      </w:r>
      <w:r w:rsidR="00122F5A" w:rsidRPr="003B251F">
        <w:rPr>
          <w:rFonts w:asciiTheme="majorHAnsi" w:eastAsiaTheme="majorEastAsia" w:hAnsiTheme="majorHAnsi" w:cstheme="majorBidi"/>
          <w:b/>
          <w:bCs/>
          <w:color w:val="2E74B5" w:themeColor="accent1" w:themeShade="BF"/>
          <w:sz w:val="32"/>
          <w:szCs w:val="32"/>
          <w:lang w:eastAsia="en-GB"/>
        </w:rPr>
        <w:t>gastrointestinal symptoms</w:t>
      </w:r>
      <w:r w:rsidRPr="003B251F">
        <w:rPr>
          <w:rFonts w:asciiTheme="majorHAnsi" w:eastAsiaTheme="majorEastAsia" w:hAnsiTheme="majorHAnsi" w:cstheme="majorBidi"/>
          <w:b/>
          <w:bCs/>
          <w:color w:val="2E74B5" w:themeColor="accent1" w:themeShade="BF"/>
          <w:sz w:val="32"/>
          <w:szCs w:val="32"/>
          <w:lang w:eastAsia="en-GB"/>
        </w:rPr>
        <w:t xml:space="preserve"> </w:t>
      </w:r>
      <w:r w:rsidR="00122F5A" w:rsidRPr="003B251F">
        <w:rPr>
          <w:rFonts w:asciiTheme="majorHAnsi" w:eastAsiaTheme="majorEastAsia" w:hAnsiTheme="majorHAnsi" w:cstheme="majorBidi"/>
          <w:b/>
          <w:bCs/>
          <w:color w:val="2E74B5" w:themeColor="accent1" w:themeShade="BF"/>
          <w:sz w:val="32"/>
          <w:szCs w:val="32"/>
          <w:lang w:eastAsia="en-GB"/>
        </w:rPr>
        <w:t>before diagnosis of</w:t>
      </w:r>
      <w:r w:rsidRPr="003B251F">
        <w:rPr>
          <w:rFonts w:asciiTheme="majorHAnsi" w:eastAsiaTheme="majorEastAsia" w:hAnsiTheme="majorHAnsi" w:cstheme="majorBidi"/>
          <w:b/>
          <w:bCs/>
          <w:color w:val="2E74B5" w:themeColor="accent1" w:themeShade="BF"/>
          <w:sz w:val="32"/>
          <w:szCs w:val="32"/>
          <w:lang w:eastAsia="en-GB"/>
        </w:rPr>
        <w:t xml:space="preserve"> </w:t>
      </w:r>
      <w:r w:rsidR="00AC12DF" w:rsidRPr="003B251F">
        <w:rPr>
          <w:rFonts w:asciiTheme="majorHAnsi" w:eastAsiaTheme="majorEastAsia" w:hAnsiTheme="majorHAnsi" w:cstheme="majorBidi"/>
          <w:b/>
          <w:bCs/>
          <w:color w:val="2E74B5" w:themeColor="accent1" w:themeShade="BF"/>
          <w:sz w:val="32"/>
          <w:szCs w:val="32"/>
          <w:lang w:eastAsia="en-GB"/>
        </w:rPr>
        <w:t>Inflammatory Bowel Disease</w:t>
      </w:r>
      <w:r w:rsidR="00492399" w:rsidRPr="003B251F">
        <w:rPr>
          <w:rFonts w:asciiTheme="majorHAnsi" w:eastAsiaTheme="majorEastAsia" w:hAnsiTheme="majorHAnsi" w:cstheme="majorBidi"/>
          <w:b/>
          <w:bCs/>
          <w:color w:val="2E74B5" w:themeColor="accent1" w:themeShade="BF"/>
          <w:sz w:val="32"/>
          <w:szCs w:val="32"/>
          <w:lang w:eastAsia="en-GB"/>
        </w:rPr>
        <w:t xml:space="preserve"> and </w:t>
      </w:r>
      <w:r w:rsidR="00911287" w:rsidRPr="003B251F">
        <w:rPr>
          <w:rFonts w:asciiTheme="majorHAnsi" w:eastAsiaTheme="majorEastAsia" w:hAnsiTheme="majorHAnsi" w:cstheme="majorBidi"/>
          <w:b/>
          <w:bCs/>
          <w:color w:val="2E74B5" w:themeColor="accent1" w:themeShade="BF"/>
          <w:sz w:val="32"/>
          <w:szCs w:val="32"/>
          <w:lang w:eastAsia="en-GB"/>
        </w:rPr>
        <w:t>predictors</w:t>
      </w:r>
      <w:r w:rsidR="00492399" w:rsidRPr="003B251F">
        <w:rPr>
          <w:rFonts w:asciiTheme="majorHAnsi" w:eastAsiaTheme="majorEastAsia" w:hAnsiTheme="majorHAnsi" w:cstheme="majorBidi"/>
          <w:b/>
          <w:bCs/>
          <w:color w:val="2E74B5" w:themeColor="accent1" w:themeShade="BF"/>
          <w:sz w:val="32"/>
          <w:szCs w:val="32"/>
          <w:lang w:eastAsia="en-GB"/>
        </w:rPr>
        <w:t xml:space="preserve"> </w:t>
      </w:r>
      <w:r w:rsidR="00911287" w:rsidRPr="003B251F">
        <w:rPr>
          <w:rFonts w:asciiTheme="majorHAnsi" w:eastAsiaTheme="majorEastAsia" w:hAnsiTheme="majorHAnsi" w:cstheme="majorBidi"/>
          <w:b/>
          <w:bCs/>
          <w:color w:val="2E74B5" w:themeColor="accent1" w:themeShade="BF"/>
          <w:sz w:val="32"/>
          <w:szCs w:val="32"/>
          <w:lang w:eastAsia="en-GB"/>
        </w:rPr>
        <w:t>of</w:t>
      </w:r>
      <w:r w:rsidR="00492399" w:rsidRPr="003B251F">
        <w:rPr>
          <w:rFonts w:asciiTheme="majorHAnsi" w:eastAsiaTheme="majorEastAsia" w:hAnsiTheme="majorHAnsi" w:cstheme="majorBidi"/>
          <w:b/>
          <w:bCs/>
          <w:color w:val="2E74B5" w:themeColor="accent1" w:themeShade="BF"/>
          <w:sz w:val="32"/>
          <w:szCs w:val="32"/>
          <w:lang w:eastAsia="en-GB"/>
        </w:rPr>
        <w:t xml:space="preserve"> </w:t>
      </w:r>
      <w:r w:rsidR="00E74518" w:rsidRPr="003B251F">
        <w:rPr>
          <w:rFonts w:asciiTheme="majorHAnsi" w:eastAsiaTheme="majorEastAsia" w:hAnsiTheme="majorHAnsi" w:cstheme="majorBidi"/>
          <w:b/>
          <w:bCs/>
          <w:color w:val="2E74B5" w:themeColor="accent1" w:themeShade="BF"/>
          <w:sz w:val="32"/>
          <w:szCs w:val="32"/>
          <w:lang w:eastAsia="en-GB"/>
        </w:rPr>
        <w:t>timely</w:t>
      </w:r>
      <w:r w:rsidR="00C8078F" w:rsidRPr="003B251F">
        <w:rPr>
          <w:rFonts w:asciiTheme="majorHAnsi" w:eastAsiaTheme="majorEastAsia" w:hAnsiTheme="majorHAnsi" w:cstheme="majorBidi"/>
          <w:b/>
          <w:bCs/>
          <w:color w:val="2E74B5" w:themeColor="accent1" w:themeShade="BF"/>
          <w:sz w:val="32"/>
          <w:szCs w:val="32"/>
          <w:lang w:eastAsia="en-GB"/>
        </w:rPr>
        <w:t xml:space="preserve"> </w:t>
      </w:r>
      <w:r w:rsidR="00911287" w:rsidRPr="003B251F">
        <w:rPr>
          <w:rFonts w:asciiTheme="majorHAnsi" w:eastAsiaTheme="majorEastAsia" w:hAnsiTheme="majorHAnsi" w:cstheme="majorBidi"/>
          <w:b/>
          <w:bCs/>
          <w:color w:val="2E74B5" w:themeColor="accent1" w:themeShade="BF"/>
          <w:sz w:val="32"/>
          <w:szCs w:val="32"/>
          <w:lang w:eastAsia="en-GB"/>
        </w:rPr>
        <w:t xml:space="preserve">specialist </w:t>
      </w:r>
      <w:r w:rsidR="00492399" w:rsidRPr="003B251F">
        <w:rPr>
          <w:rFonts w:asciiTheme="majorHAnsi" w:eastAsiaTheme="majorEastAsia" w:hAnsiTheme="majorHAnsi" w:cstheme="majorBidi"/>
          <w:b/>
          <w:bCs/>
          <w:color w:val="2E74B5" w:themeColor="accent1" w:themeShade="BF"/>
          <w:sz w:val="32"/>
          <w:szCs w:val="32"/>
          <w:lang w:eastAsia="en-GB"/>
        </w:rPr>
        <w:t>review</w:t>
      </w:r>
      <w:r w:rsidR="001B2117" w:rsidRPr="003B251F">
        <w:rPr>
          <w:rFonts w:asciiTheme="majorHAnsi" w:eastAsiaTheme="majorEastAsia" w:hAnsiTheme="majorHAnsi" w:cstheme="majorBidi"/>
          <w:b/>
          <w:bCs/>
          <w:color w:val="2E74B5" w:themeColor="accent1" w:themeShade="BF"/>
          <w:sz w:val="32"/>
          <w:szCs w:val="32"/>
          <w:lang w:eastAsia="en-GB"/>
        </w:rPr>
        <w:t>:</w:t>
      </w:r>
      <w:r w:rsidR="00AC12DF" w:rsidRPr="003B251F">
        <w:rPr>
          <w:rFonts w:asciiTheme="majorHAnsi" w:eastAsiaTheme="majorEastAsia" w:hAnsiTheme="majorHAnsi" w:cstheme="majorBidi"/>
          <w:b/>
          <w:bCs/>
          <w:color w:val="2E74B5" w:themeColor="accent1" w:themeShade="BF"/>
          <w:sz w:val="32"/>
          <w:szCs w:val="32"/>
          <w:lang w:eastAsia="en-GB"/>
        </w:rPr>
        <w:t xml:space="preserve"> </w:t>
      </w:r>
      <w:r w:rsidR="00BB476A" w:rsidRPr="003B251F">
        <w:rPr>
          <w:rFonts w:asciiTheme="majorHAnsi" w:eastAsiaTheme="majorEastAsia" w:hAnsiTheme="majorHAnsi" w:cstheme="majorBidi"/>
          <w:b/>
          <w:bCs/>
          <w:color w:val="2E74B5" w:themeColor="accent1" w:themeShade="BF"/>
          <w:sz w:val="32"/>
          <w:szCs w:val="32"/>
          <w:lang w:eastAsia="en-GB"/>
        </w:rPr>
        <w:t xml:space="preserve">a population-based </w:t>
      </w:r>
      <w:r w:rsidR="00B05C41" w:rsidRPr="003B251F">
        <w:rPr>
          <w:rFonts w:asciiTheme="majorHAnsi" w:eastAsiaTheme="majorEastAsia" w:hAnsiTheme="majorHAnsi" w:cstheme="majorBidi"/>
          <w:b/>
          <w:bCs/>
          <w:color w:val="2E74B5" w:themeColor="accent1" w:themeShade="BF"/>
          <w:sz w:val="32"/>
          <w:szCs w:val="32"/>
          <w:lang w:eastAsia="en-GB"/>
        </w:rPr>
        <w:t>study</w:t>
      </w:r>
      <w:r w:rsidR="001125F1" w:rsidRPr="003B251F">
        <w:rPr>
          <w:rFonts w:asciiTheme="majorHAnsi" w:eastAsiaTheme="majorEastAsia" w:hAnsiTheme="majorHAnsi" w:cstheme="majorBidi"/>
          <w:b/>
          <w:bCs/>
          <w:color w:val="2E74B5" w:themeColor="accent1" w:themeShade="BF"/>
          <w:sz w:val="32"/>
          <w:szCs w:val="32"/>
          <w:lang w:eastAsia="en-GB"/>
        </w:rPr>
        <w:t xml:space="preserve"> </w:t>
      </w:r>
    </w:p>
    <w:p w14:paraId="3092BB13" w14:textId="2D507C4B" w:rsidR="00AC12DF" w:rsidRPr="003B251F" w:rsidRDefault="00AC12DF">
      <w:pPr>
        <w:spacing w:after="0" w:line="240" w:lineRule="auto"/>
        <w:jc w:val="both"/>
        <w:rPr>
          <w:rFonts w:ascii="Tahoma" w:eastAsia="Times New Roman" w:hAnsi="Tahoma" w:cs="Tahoma"/>
          <w:b/>
          <w:color w:val="444444"/>
          <w:sz w:val="24"/>
          <w:szCs w:val="24"/>
          <w:lang w:eastAsia="en-GB"/>
        </w:rPr>
      </w:pPr>
      <w:r w:rsidRPr="003B251F">
        <w:rPr>
          <w:rFonts w:ascii="Tahoma" w:eastAsia="Times New Roman" w:hAnsi="Tahoma" w:cs="Tahoma"/>
          <w:b/>
          <w:bCs/>
          <w:color w:val="444444"/>
          <w:sz w:val="24"/>
          <w:szCs w:val="24"/>
          <w:lang w:eastAsia="en-GB"/>
        </w:rPr>
        <w:t>J. Blackwell</w:t>
      </w:r>
      <w:r w:rsidRPr="003B251F">
        <w:rPr>
          <w:rFonts w:ascii="Tahoma" w:eastAsia="Times New Roman" w:hAnsi="Tahoma" w:cs="Tahoma"/>
          <w:b/>
          <w:color w:val="444444"/>
          <w:sz w:val="24"/>
          <w:szCs w:val="24"/>
          <w:vertAlign w:val="superscript"/>
          <w:lang w:eastAsia="en-GB"/>
        </w:rPr>
        <w:t>1</w:t>
      </w:r>
      <w:r w:rsidRPr="003B251F">
        <w:rPr>
          <w:rFonts w:ascii="Tahoma" w:eastAsia="Times New Roman" w:hAnsi="Tahoma" w:cs="Tahoma"/>
          <w:b/>
          <w:color w:val="444444"/>
          <w:sz w:val="24"/>
          <w:szCs w:val="24"/>
          <w:lang w:eastAsia="en-GB"/>
        </w:rPr>
        <w:t>, S. Saxena</w:t>
      </w:r>
      <w:r w:rsidRPr="003B251F">
        <w:rPr>
          <w:rFonts w:ascii="Tahoma" w:eastAsia="Times New Roman" w:hAnsi="Tahoma" w:cs="Tahoma"/>
          <w:b/>
          <w:color w:val="444444"/>
          <w:sz w:val="24"/>
          <w:szCs w:val="24"/>
          <w:vertAlign w:val="superscript"/>
          <w:lang w:eastAsia="en-GB"/>
        </w:rPr>
        <w:t>2</w:t>
      </w:r>
      <w:r w:rsidRPr="003B251F">
        <w:rPr>
          <w:rFonts w:ascii="Tahoma" w:eastAsia="Times New Roman" w:hAnsi="Tahoma" w:cs="Tahoma"/>
          <w:b/>
          <w:color w:val="444444"/>
          <w:sz w:val="24"/>
          <w:szCs w:val="24"/>
          <w:lang w:eastAsia="en-GB"/>
        </w:rPr>
        <w:t>,</w:t>
      </w:r>
      <w:r w:rsidR="00346471" w:rsidRPr="003B251F">
        <w:rPr>
          <w:rFonts w:ascii="Tahoma" w:eastAsia="Times New Roman" w:hAnsi="Tahoma" w:cs="Tahoma"/>
          <w:b/>
          <w:color w:val="444444"/>
          <w:sz w:val="24"/>
          <w:szCs w:val="24"/>
          <w:lang w:eastAsia="en-GB"/>
        </w:rPr>
        <w:t xml:space="preserve"> N. Jayasooriya</w:t>
      </w:r>
      <w:r w:rsidR="00346471" w:rsidRPr="003B251F">
        <w:rPr>
          <w:rFonts w:ascii="Tahoma" w:eastAsia="Times New Roman" w:hAnsi="Tahoma" w:cs="Tahoma"/>
          <w:b/>
          <w:color w:val="444444"/>
          <w:sz w:val="24"/>
          <w:szCs w:val="24"/>
          <w:vertAlign w:val="superscript"/>
          <w:lang w:eastAsia="en-GB"/>
        </w:rPr>
        <w:t>1</w:t>
      </w:r>
      <w:r w:rsidR="00346471" w:rsidRPr="003B251F">
        <w:rPr>
          <w:rFonts w:ascii="Tahoma" w:eastAsia="Times New Roman" w:hAnsi="Tahoma" w:cs="Tahoma"/>
          <w:b/>
          <w:color w:val="444444"/>
          <w:sz w:val="24"/>
          <w:szCs w:val="24"/>
          <w:lang w:eastAsia="en-GB"/>
        </w:rPr>
        <w:t>,</w:t>
      </w:r>
      <w:r w:rsidRPr="003B251F">
        <w:rPr>
          <w:rFonts w:ascii="Tahoma" w:eastAsia="Times New Roman" w:hAnsi="Tahoma" w:cs="Tahoma"/>
          <w:b/>
          <w:color w:val="444444"/>
          <w:sz w:val="24"/>
          <w:szCs w:val="24"/>
          <w:lang w:eastAsia="en-GB"/>
        </w:rPr>
        <w:t xml:space="preserve"> A. Bottle</w:t>
      </w:r>
      <w:r w:rsidRPr="003B251F">
        <w:rPr>
          <w:rFonts w:ascii="Tahoma" w:eastAsia="Times New Roman" w:hAnsi="Tahoma" w:cs="Tahoma"/>
          <w:b/>
          <w:color w:val="444444"/>
          <w:sz w:val="24"/>
          <w:szCs w:val="24"/>
          <w:vertAlign w:val="superscript"/>
          <w:lang w:eastAsia="en-GB"/>
        </w:rPr>
        <w:t>2</w:t>
      </w:r>
      <w:r w:rsidRPr="003B251F">
        <w:rPr>
          <w:rFonts w:ascii="Tahoma" w:eastAsia="Times New Roman" w:hAnsi="Tahoma" w:cs="Tahoma"/>
          <w:b/>
          <w:color w:val="444444"/>
          <w:sz w:val="24"/>
          <w:szCs w:val="24"/>
          <w:lang w:eastAsia="en-GB"/>
        </w:rPr>
        <w:t xml:space="preserve">, </w:t>
      </w:r>
      <w:r w:rsidR="006844C0" w:rsidRPr="003B251F">
        <w:rPr>
          <w:rFonts w:ascii="Tahoma" w:eastAsia="Times New Roman" w:hAnsi="Tahoma" w:cs="Tahoma"/>
          <w:b/>
          <w:color w:val="444444"/>
          <w:sz w:val="24"/>
          <w:szCs w:val="24"/>
          <w:lang w:eastAsia="en-GB"/>
        </w:rPr>
        <w:t>I.</w:t>
      </w:r>
      <w:r w:rsidR="008B6F99" w:rsidRPr="003B251F">
        <w:rPr>
          <w:rFonts w:ascii="Tahoma" w:eastAsia="Times New Roman" w:hAnsi="Tahoma" w:cs="Tahoma"/>
          <w:b/>
          <w:color w:val="444444"/>
          <w:sz w:val="24"/>
          <w:szCs w:val="24"/>
          <w:lang w:eastAsia="en-GB"/>
        </w:rPr>
        <w:t xml:space="preserve"> </w:t>
      </w:r>
      <w:r w:rsidR="006844C0" w:rsidRPr="003B251F">
        <w:rPr>
          <w:rFonts w:ascii="Tahoma" w:eastAsia="Times New Roman" w:hAnsi="Tahoma" w:cs="Tahoma"/>
          <w:b/>
          <w:color w:val="444444"/>
          <w:sz w:val="24"/>
          <w:szCs w:val="24"/>
          <w:lang w:eastAsia="en-GB"/>
        </w:rPr>
        <w:t>Petersen</w:t>
      </w:r>
      <w:r w:rsidRPr="003B251F">
        <w:rPr>
          <w:rFonts w:ascii="Tahoma" w:eastAsia="Times New Roman" w:hAnsi="Tahoma" w:cs="Tahoma"/>
          <w:b/>
          <w:color w:val="444444"/>
          <w:sz w:val="24"/>
          <w:szCs w:val="24"/>
          <w:vertAlign w:val="superscript"/>
          <w:lang w:eastAsia="en-GB"/>
        </w:rPr>
        <w:t>3,4</w:t>
      </w:r>
      <w:r w:rsidRPr="003B251F">
        <w:rPr>
          <w:rFonts w:ascii="Tahoma" w:eastAsia="Times New Roman" w:hAnsi="Tahoma" w:cs="Tahoma"/>
          <w:b/>
          <w:color w:val="444444"/>
          <w:sz w:val="24"/>
          <w:szCs w:val="24"/>
          <w:lang w:eastAsia="en-GB"/>
        </w:rPr>
        <w:t>, M.Hotopf</w:t>
      </w:r>
      <w:r w:rsidRPr="003B251F">
        <w:rPr>
          <w:rFonts w:ascii="Tahoma" w:eastAsia="Times New Roman" w:hAnsi="Tahoma" w:cs="Tahoma"/>
          <w:b/>
          <w:color w:val="444444"/>
          <w:sz w:val="24"/>
          <w:szCs w:val="24"/>
          <w:vertAlign w:val="superscript"/>
          <w:lang w:eastAsia="en-GB"/>
        </w:rPr>
        <w:t>5</w:t>
      </w:r>
      <w:r w:rsidR="00B135BF" w:rsidRPr="003B251F">
        <w:rPr>
          <w:rFonts w:ascii="Tahoma" w:eastAsia="Times New Roman" w:hAnsi="Tahoma" w:cs="Tahoma"/>
          <w:b/>
          <w:color w:val="444444"/>
          <w:sz w:val="24"/>
          <w:szCs w:val="24"/>
          <w:vertAlign w:val="superscript"/>
          <w:lang w:eastAsia="en-GB"/>
        </w:rPr>
        <w:t>,6</w:t>
      </w:r>
      <w:r w:rsidRPr="003B251F">
        <w:rPr>
          <w:rFonts w:ascii="Tahoma" w:eastAsia="Times New Roman" w:hAnsi="Tahoma" w:cs="Tahoma"/>
          <w:b/>
          <w:color w:val="444444"/>
          <w:sz w:val="24"/>
          <w:szCs w:val="24"/>
          <w:lang w:eastAsia="en-GB"/>
        </w:rPr>
        <w:t xml:space="preserve">, </w:t>
      </w:r>
      <w:r w:rsidR="00346471" w:rsidRPr="003B251F">
        <w:rPr>
          <w:rFonts w:ascii="Tahoma" w:eastAsia="Times New Roman" w:hAnsi="Tahoma" w:cs="Tahoma"/>
          <w:b/>
          <w:color w:val="444444"/>
          <w:sz w:val="24"/>
          <w:szCs w:val="24"/>
          <w:lang w:eastAsia="en-GB"/>
        </w:rPr>
        <w:t>C. Alexakis</w:t>
      </w:r>
      <w:r w:rsidR="00346471" w:rsidRPr="003B251F">
        <w:rPr>
          <w:rFonts w:ascii="Tahoma" w:eastAsia="Times New Roman" w:hAnsi="Tahoma" w:cs="Tahoma"/>
          <w:b/>
          <w:color w:val="444444"/>
          <w:sz w:val="24"/>
          <w:szCs w:val="24"/>
          <w:vertAlign w:val="superscript"/>
          <w:lang w:eastAsia="en-GB"/>
        </w:rPr>
        <w:t>1</w:t>
      </w:r>
      <w:r w:rsidR="00346471" w:rsidRPr="003B251F">
        <w:rPr>
          <w:rFonts w:ascii="Tahoma" w:eastAsia="Times New Roman" w:hAnsi="Tahoma" w:cs="Tahoma"/>
          <w:b/>
          <w:color w:val="444444"/>
          <w:sz w:val="24"/>
          <w:szCs w:val="24"/>
          <w:lang w:eastAsia="en-GB"/>
        </w:rPr>
        <w:t>,</w:t>
      </w:r>
      <w:r w:rsidRPr="003B251F">
        <w:rPr>
          <w:rFonts w:ascii="Tahoma" w:eastAsia="Times New Roman" w:hAnsi="Tahoma" w:cs="Tahoma"/>
          <w:b/>
          <w:color w:val="444444"/>
          <w:sz w:val="24"/>
          <w:szCs w:val="24"/>
          <w:lang w:eastAsia="en-GB"/>
        </w:rPr>
        <w:t xml:space="preserve"> R.C. Pollok</w:t>
      </w:r>
      <w:r w:rsidRPr="003B251F">
        <w:rPr>
          <w:rFonts w:ascii="Tahoma" w:eastAsia="Times New Roman" w:hAnsi="Tahoma" w:cs="Tahoma"/>
          <w:b/>
          <w:color w:val="444444"/>
          <w:sz w:val="24"/>
          <w:szCs w:val="24"/>
          <w:vertAlign w:val="superscript"/>
          <w:lang w:eastAsia="en-GB"/>
        </w:rPr>
        <w:t>1</w:t>
      </w:r>
      <w:r w:rsidR="00BB476A" w:rsidRPr="003B251F">
        <w:rPr>
          <w:rFonts w:ascii="Tahoma" w:eastAsia="Times New Roman" w:hAnsi="Tahoma" w:cs="Tahoma"/>
          <w:b/>
          <w:color w:val="444444"/>
          <w:sz w:val="24"/>
          <w:szCs w:val="24"/>
          <w:lang w:eastAsia="en-GB"/>
        </w:rPr>
        <w:t>, POP-IBD study group</w:t>
      </w:r>
    </w:p>
    <w:p w14:paraId="081F8798" w14:textId="77777777" w:rsidR="00AC12DF" w:rsidRPr="003B251F" w:rsidRDefault="00AC12DF" w:rsidP="00A624CE">
      <w:pPr>
        <w:spacing w:after="0" w:line="240" w:lineRule="auto"/>
        <w:jc w:val="both"/>
        <w:rPr>
          <w:rFonts w:ascii="Tahoma" w:eastAsia="Times New Roman" w:hAnsi="Tahoma" w:cs="Tahoma"/>
          <w:color w:val="444444"/>
          <w:sz w:val="24"/>
          <w:szCs w:val="24"/>
          <w:vertAlign w:val="superscript"/>
          <w:lang w:eastAsia="en-GB"/>
        </w:rPr>
      </w:pPr>
    </w:p>
    <w:p w14:paraId="172703B5" w14:textId="77777777" w:rsidR="00AC12DF" w:rsidRPr="003B251F" w:rsidRDefault="00AC12DF" w:rsidP="00A624CE">
      <w:pPr>
        <w:spacing w:after="0" w:line="240" w:lineRule="auto"/>
        <w:jc w:val="both"/>
        <w:rPr>
          <w:rFonts w:ascii="Tahoma" w:eastAsia="Times New Roman" w:hAnsi="Tahoma" w:cs="Tahoma"/>
          <w:color w:val="444444"/>
          <w:sz w:val="24"/>
          <w:szCs w:val="24"/>
          <w:lang w:eastAsia="en-GB"/>
        </w:rPr>
      </w:pPr>
    </w:p>
    <w:p w14:paraId="7C2FAF2C" w14:textId="64222EB0" w:rsidR="001B2117" w:rsidRPr="003B251F" w:rsidRDefault="00AC12DF" w:rsidP="00A624CE">
      <w:pPr>
        <w:spacing w:after="0" w:line="240" w:lineRule="auto"/>
        <w:jc w:val="both"/>
        <w:rPr>
          <w:rFonts w:ascii="Tahoma" w:eastAsia="Times New Roman" w:hAnsi="Tahoma" w:cs="Tahoma"/>
          <w:color w:val="444444"/>
          <w:sz w:val="24"/>
          <w:szCs w:val="24"/>
          <w:lang w:eastAsia="en-GB"/>
        </w:rPr>
      </w:pPr>
      <w:r w:rsidRPr="003B251F">
        <w:rPr>
          <w:rFonts w:ascii="Tahoma" w:eastAsia="Times New Roman" w:hAnsi="Tahoma" w:cs="Tahoma"/>
          <w:color w:val="444444"/>
          <w:sz w:val="24"/>
          <w:szCs w:val="24"/>
          <w:vertAlign w:val="superscript"/>
          <w:lang w:eastAsia="en-GB"/>
        </w:rPr>
        <w:t xml:space="preserve">1 </w:t>
      </w:r>
      <w:r w:rsidRPr="003B251F">
        <w:rPr>
          <w:rFonts w:ascii="Tahoma" w:eastAsia="Times New Roman" w:hAnsi="Tahoma" w:cs="Tahoma"/>
          <w:color w:val="444444"/>
          <w:sz w:val="24"/>
          <w:szCs w:val="24"/>
          <w:lang w:eastAsia="en-GB"/>
        </w:rPr>
        <w:t xml:space="preserve">Dept. Gastroenterology, St George's Healthcare NHS Trust </w:t>
      </w:r>
    </w:p>
    <w:p w14:paraId="225F8B6D" w14:textId="77777777" w:rsidR="001B2117" w:rsidRPr="003B251F" w:rsidRDefault="001B2117" w:rsidP="00A624CE">
      <w:pPr>
        <w:spacing w:after="0" w:line="240" w:lineRule="auto"/>
        <w:jc w:val="both"/>
        <w:rPr>
          <w:rFonts w:ascii="Tahoma" w:eastAsia="Times New Roman" w:hAnsi="Tahoma" w:cs="Tahoma"/>
          <w:color w:val="444444"/>
          <w:sz w:val="24"/>
          <w:szCs w:val="24"/>
          <w:lang w:eastAsia="en-GB"/>
        </w:rPr>
      </w:pPr>
    </w:p>
    <w:p w14:paraId="4EC5FDA3" w14:textId="0119211F" w:rsidR="00AC12DF" w:rsidRPr="003B251F" w:rsidRDefault="001B2117" w:rsidP="00A624CE">
      <w:pPr>
        <w:spacing w:after="0" w:line="240" w:lineRule="auto"/>
        <w:jc w:val="both"/>
        <w:rPr>
          <w:rFonts w:ascii="Tahoma" w:eastAsia="Times New Roman" w:hAnsi="Tahoma" w:cs="Tahoma"/>
          <w:color w:val="444444"/>
          <w:sz w:val="24"/>
          <w:szCs w:val="24"/>
          <w:lang w:eastAsia="en-GB"/>
        </w:rPr>
      </w:pPr>
      <w:r w:rsidRPr="003B251F">
        <w:rPr>
          <w:rFonts w:ascii="Tahoma" w:eastAsia="Times New Roman" w:hAnsi="Tahoma" w:cs="Tahoma"/>
          <w:color w:val="444444"/>
          <w:sz w:val="24"/>
          <w:szCs w:val="24"/>
          <w:lang w:eastAsia="en-GB"/>
        </w:rPr>
        <w:t xml:space="preserve"> *</w:t>
      </w:r>
      <w:r w:rsidR="00AC12DF" w:rsidRPr="003B251F">
        <w:rPr>
          <w:rFonts w:ascii="Tahoma" w:eastAsia="Times New Roman" w:hAnsi="Tahoma" w:cs="Tahoma"/>
          <w:color w:val="444444"/>
          <w:sz w:val="24"/>
          <w:szCs w:val="24"/>
          <w:lang w:eastAsia="en-GB"/>
        </w:rPr>
        <w:t>St George’s University London, UK</w:t>
      </w:r>
    </w:p>
    <w:p w14:paraId="1CA0299D" w14:textId="77777777" w:rsidR="00AC12DF" w:rsidRPr="003B251F" w:rsidRDefault="00AC12DF" w:rsidP="00A624CE">
      <w:pPr>
        <w:spacing w:after="0" w:line="240" w:lineRule="auto"/>
        <w:jc w:val="both"/>
        <w:rPr>
          <w:rFonts w:ascii="Tahoma" w:eastAsia="Times New Roman" w:hAnsi="Tahoma" w:cs="Tahoma"/>
          <w:color w:val="444444"/>
          <w:sz w:val="24"/>
          <w:szCs w:val="24"/>
          <w:lang w:eastAsia="en-GB"/>
        </w:rPr>
      </w:pPr>
    </w:p>
    <w:p w14:paraId="25523170" w14:textId="5D3F57FF" w:rsidR="00AC12DF" w:rsidRPr="003B251F" w:rsidRDefault="00AC12DF" w:rsidP="00A624CE">
      <w:pPr>
        <w:spacing w:after="0" w:line="240" w:lineRule="auto"/>
        <w:jc w:val="both"/>
        <w:rPr>
          <w:rFonts w:ascii="Tahoma" w:eastAsia="Times New Roman" w:hAnsi="Tahoma" w:cs="Tahoma"/>
          <w:color w:val="444444"/>
          <w:sz w:val="24"/>
          <w:szCs w:val="24"/>
          <w:lang w:eastAsia="en-GB"/>
        </w:rPr>
      </w:pPr>
      <w:r w:rsidRPr="003B251F">
        <w:rPr>
          <w:rFonts w:ascii="Tahoma" w:eastAsia="Times New Roman" w:hAnsi="Tahoma" w:cs="Tahoma"/>
          <w:color w:val="444444"/>
          <w:sz w:val="24"/>
          <w:szCs w:val="24"/>
          <w:vertAlign w:val="superscript"/>
          <w:lang w:eastAsia="en-GB"/>
        </w:rPr>
        <w:t>2</w:t>
      </w:r>
      <w:r w:rsidRPr="003B251F">
        <w:rPr>
          <w:rFonts w:ascii="Tahoma" w:eastAsia="Times New Roman" w:hAnsi="Tahoma" w:cs="Tahoma"/>
          <w:color w:val="444444"/>
          <w:sz w:val="24"/>
          <w:szCs w:val="24"/>
          <w:lang w:eastAsia="en-GB"/>
        </w:rPr>
        <w:t>School of Public Health, Imperial College London, London, UK</w:t>
      </w:r>
    </w:p>
    <w:p w14:paraId="39A27DEE" w14:textId="77777777" w:rsidR="00AC12DF" w:rsidRPr="003B251F" w:rsidRDefault="00AC12DF" w:rsidP="00A624CE">
      <w:pPr>
        <w:spacing w:after="0" w:line="240" w:lineRule="auto"/>
        <w:jc w:val="both"/>
        <w:rPr>
          <w:rFonts w:ascii="Tahoma" w:eastAsia="Times New Roman" w:hAnsi="Tahoma" w:cs="Tahoma"/>
          <w:color w:val="444444"/>
          <w:sz w:val="24"/>
          <w:szCs w:val="24"/>
          <w:lang w:eastAsia="en-GB"/>
        </w:rPr>
      </w:pPr>
    </w:p>
    <w:p w14:paraId="70978ADE" w14:textId="33C7AB30" w:rsidR="00AC12DF" w:rsidRPr="003B251F" w:rsidRDefault="00AC12DF" w:rsidP="00A624CE">
      <w:pPr>
        <w:spacing w:after="0" w:line="240" w:lineRule="auto"/>
        <w:jc w:val="both"/>
        <w:rPr>
          <w:rFonts w:ascii="Tahoma" w:eastAsia="Times New Roman" w:hAnsi="Tahoma" w:cs="Tahoma"/>
          <w:color w:val="444444"/>
          <w:sz w:val="24"/>
          <w:szCs w:val="24"/>
          <w:lang w:eastAsia="en-GB"/>
        </w:rPr>
      </w:pPr>
      <w:r w:rsidRPr="003B251F">
        <w:rPr>
          <w:rFonts w:ascii="Tahoma" w:eastAsia="Times New Roman" w:hAnsi="Tahoma" w:cs="Tahoma"/>
          <w:color w:val="444444"/>
          <w:sz w:val="24"/>
          <w:szCs w:val="24"/>
          <w:vertAlign w:val="superscript"/>
          <w:lang w:eastAsia="en-GB"/>
        </w:rPr>
        <w:t>3</w:t>
      </w:r>
      <w:r w:rsidRPr="003B251F">
        <w:rPr>
          <w:rFonts w:ascii="Tahoma" w:eastAsia="Times New Roman" w:hAnsi="Tahoma" w:cs="Tahoma"/>
          <w:color w:val="444444"/>
          <w:sz w:val="24"/>
          <w:szCs w:val="24"/>
          <w:lang w:eastAsia="en-GB"/>
        </w:rPr>
        <w:t>Dept. Primary Care and Population Health, University College London, London, UK</w:t>
      </w:r>
    </w:p>
    <w:p w14:paraId="617B818D" w14:textId="77777777" w:rsidR="00AC12DF" w:rsidRPr="003B251F" w:rsidRDefault="00AC12DF" w:rsidP="00A624CE">
      <w:pPr>
        <w:spacing w:after="0" w:line="240" w:lineRule="auto"/>
        <w:jc w:val="both"/>
        <w:rPr>
          <w:rFonts w:ascii="Tahoma" w:eastAsia="Times New Roman" w:hAnsi="Tahoma" w:cs="Tahoma"/>
          <w:color w:val="444444"/>
          <w:sz w:val="24"/>
          <w:szCs w:val="24"/>
          <w:lang w:eastAsia="en-GB"/>
        </w:rPr>
      </w:pPr>
    </w:p>
    <w:p w14:paraId="5A25F582" w14:textId="0D346370" w:rsidR="00AC12DF" w:rsidRPr="003B251F" w:rsidRDefault="00AC12DF" w:rsidP="00A624CE">
      <w:pPr>
        <w:spacing w:after="0" w:line="240" w:lineRule="auto"/>
        <w:jc w:val="both"/>
        <w:rPr>
          <w:rFonts w:ascii="Tahoma" w:eastAsia="Times New Roman" w:hAnsi="Tahoma" w:cs="Tahoma"/>
          <w:color w:val="444444"/>
          <w:sz w:val="24"/>
          <w:szCs w:val="24"/>
          <w:lang w:eastAsia="en-GB"/>
        </w:rPr>
      </w:pPr>
      <w:r w:rsidRPr="003B251F">
        <w:rPr>
          <w:rFonts w:ascii="Tahoma" w:eastAsia="Times New Roman" w:hAnsi="Tahoma" w:cs="Tahoma"/>
          <w:color w:val="444444"/>
          <w:sz w:val="24"/>
          <w:szCs w:val="24"/>
          <w:vertAlign w:val="superscript"/>
          <w:lang w:eastAsia="en-GB"/>
        </w:rPr>
        <w:t>4</w:t>
      </w:r>
      <w:r w:rsidRPr="003B251F">
        <w:rPr>
          <w:rFonts w:ascii="Tahoma" w:eastAsia="Times New Roman" w:hAnsi="Tahoma" w:cs="Tahoma"/>
          <w:color w:val="444444"/>
          <w:sz w:val="24"/>
          <w:szCs w:val="24"/>
          <w:lang w:eastAsia="en-GB"/>
        </w:rPr>
        <w:t>Dept. Clinical Epidemiology, Aarhus University, Denmark</w:t>
      </w:r>
    </w:p>
    <w:p w14:paraId="0DFF10CE" w14:textId="77777777" w:rsidR="00AC12DF" w:rsidRPr="003B251F" w:rsidRDefault="00AC12DF" w:rsidP="00A624CE">
      <w:pPr>
        <w:spacing w:after="0" w:line="240" w:lineRule="auto"/>
        <w:jc w:val="both"/>
        <w:rPr>
          <w:rFonts w:ascii="Tahoma" w:eastAsia="Times New Roman" w:hAnsi="Tahoma" w:cs="Tahoma"/>
          <w:color w:val="444444"/>
          <w:sz w:val="24"/>
          <w:szCs w:val="24"/>
          <w:lang w:eastAsia="en-GB"/>
        </w:rPr>
      </w:pPr>
    </w:p>
    <w:p w14:paraId="2DD786CC" w14:textId="60A71ED8" w:rsidR="00AC12DF" w:rsidRPr="003B251F" w:rsidRDefault="00AC12DF" w:rsidP="00A624CE">
      <w:pPr>
        <w:spacing w:after="0" w:line="240" w:lineRule="auto"/>
        <w:jc w:val="both"/>
        <w:rPr>
          <w:rFonts w:ascii="Tahoma" w:eastAsia="Times New Roman" w:hAnsi="Tahoma" w:cs="Tahoma"/>
          <w:color w:val="444444"/>
          <w:sz w:val="24"/>
          <w:szCs w:val="24"/>
          <w:lang w:eastAsia="en-GB"/>
        </w:rPr>
      </w:pPr>
      <w:r w:rsidRPr="003B251F">
        <w:rPr>
          <w:rFonts w:ascii="Tahoma" w:eastAsia="Times New Roman" w:hAnsi="Tahoma" w:cs="Tahoma"/>
          <w:color w:val="444444"/>
          <w:sz w:val="24"/>
          <w:szCs w:val="24"/>
          <w:vertAlign w:val="superscript"/>
          <w:lang w:eastAsia="en-GB"/>
        </w:rPr>
        <w:t>5</w:t>
      </w:r>
      <w:r w:rsidRPr="003B251F">
        <w:rPr>
          <w:rFonts w:ascii="Tahoma" w:eastAsia="Times New Roman" w:hAnsi="Tahoma" w:cs="Tahoma"/>
          <w:color w:val="444444"/>
          <w:sz w:val="24"/>
          <w:szCs w:val="24"/>
          <w:lang w:eastAsia="en-GB"/>
        </w:rPr>
        <w:t>Institute of Psychiatry, Kings College London, London, UK</w:t>
      </w:r>
    </w:p>
    <w:p w14:paraId="03BD1C45" w14:textId="77777777" w:rsidR="00B135BF" w:rsidRPr="003B251F" w:rsidRDefault="00B135BF" w:rsidP="00A624CE">
      <w:pPr>
        <w:spacing w:after="0" w:line="240" w:lineRule="auto"/>
        <w:jc w:val="both"/>
        <w:rPr>
          <w:rFonts w:ascii="Tahoma" w:eastAsia="Times New Roman" w:hAnsi="Tahoma" w:cs="Tahoma"/>
          <w:color w:val="444444"/>
          <w:sz w:val="24"/>
          <w:szCs w:val="24"/>
          <w:lang w:eastAsia="en-GB"/>
        </w:rPr>
      </w:pPr>
    </w:p>
    <w:p w14:paraId="08F24070" w14:textId="62D1CA22" w:rsidR="00B135BF" w:rsidRPr="003B251F" w:rsidRDefault="00B135BF" w:rsidP="00A624CE">
      <w:pPr>
        <w:spacing w:after="0" w:line="240" w:lineRule="auto"/>
        <w:jc w:val="both"/>
        <w:rPr>
          <w:rFonts w:ascii="Tahoma" w:eastAsia="Times New Roman" w:hAnsi="Tahoma" w:cs="Tahoma"/>
          <w:color w:val="444444"/>
          <w:sz w:val="24"/>
          <w:szCs w:val="24"/>
          <w:vertAlign w:val="subscript"/>
          <w:lang w:eastAsia="en-GB"/>
        </w:rPr>
      </w:pPr>
      <w:r w:rsidRPr="003B251F">
        <w:rPr>
          <w:rFonts w:ascii="Tahoma" w:eastAsia="Times New Roman" w:hAnsi="Tahoma" w:cs="Tahoma"/>
          <w:color w:val="444444"/>
          <w:sz w:val="24"/>
          <w:szCs w:val="24"/>
          <w:vertAlign w:val="superscript"/>
          <w:lang w:eastAsia="en-GB"/>
        </w:rPr>
        <w:t>6</w:t>
      </w:r>
      <w:r w:rsidRPr="003B251F">
        <w:rPr>
          <w:rFonts w:ascii="Calibri" w:hAnsi="Calibri"/>
          <w:color w:val="222222"/>
          <w:shd w:val="clear" w:color="auto" w:fill="FFFFFF"/>
        </w:rPr>
        <w:t xml:space="preserve"> </w:t>
      </w:r>
      <w:r w:rsidRPr="003B251F">
        <w:rPr>
          <w:rFonts w:ascii="Tahoma" w:eastAsia="Times New Roman" w:hAnsi="Tahoma" w:cs="Tahoma"/>
          <w:color w:val="444444"/>
          <w:sz w:val="24"/>
          <w:szCs w:val="24"/>
          <w:lang w:eastAsia="en-GB"/>
        </w:rPr>
        <w:t>South London and Maudsley NHS Foundation Trust, London, UK</w:t>
      </w:r>
    </w:p>
    <w:p w14:paraId="46B98109" w14:textId="77777777" w:rsidR="006828ED" w:rsidRPr="003B251F" w:rsidRDefault="006828ED" w:rsidP="00A624CE">
      <w:pPr>
        <w:spacing w:after="0" w:line="240" w:lineRule="auto"/>
        <w:jc w:val="both"/>
        <w:rPr>
          <w:rFonts w:ascii="Tahoma" w:eastAsia="Times New Roman" w:hAnsi="Tahoma" w:cs="Tahoma"/>
          <w:color w:val="444444"/>
          <w:sz w:val="24"/>
          <w:szCs w:val="24"/>
          <w:lang w:eastAsia="en-GB"/>
        </w:rPr>
      </w:pPr>
    </w:p>
    <w:p w14:paraId="5A8C4960" w14:textId="77777777" w:rsidR="00DC0657" w:rsidRPr="003B251F" w:rsidRDefault="00DC0657" w:rsidP="00DC0657">
      <w:pPr>
        <w:pStyle w:val="Heading2"/>
      </w:pPr>
      <w:r w:rsidRPr="003B251F">
        <w:t xml:space="preserve">Ethical approval: </w:t>
      </w:r>
    </w:p>
    <w:p w14:paraId="52E7D019" w14:textId="77777777" w:rsidR="00DC0657" w:rsidRPr="003B251F" w:rsidRDefault="00DC0657" w:rsidP="00DC0657">
      <w:pPr>
        <w:pStyle w:val="Heading2"/>
      </w:pPr>
      <w:r w:rsidRPr="003B251F">
        <w:rPr>
          <w:rFonts w:ascii="Calibri" w:eastAsia="Times New Roman" w:hAnsi="Calibri" w:cs="Calibri"/>
          <w:b w:val="0"/>
          <w:bCs w:val="0"/>
          <w:color w:val="auto"/>
          <w:sz w:val="24"/>
          <w:szCs w:val="24"/>
        </w:rPr>
        <w:t>ISAC Protocol number: 15_018R</w:t>
      </w:r>
    </w:p>
    <w:p w14:paraId="22274253" w14:textId="77777777" w:rsidR="00DC0657" w:rsidRPr="003B251F" w:rsidRDefault="00DC0657" w:rsidP="00DC0657">
      <w:pPr>
        <w:pStyle w:val="Heading2"/>
      </w:pPr>
      <w:r w:rsidRPr="003B251F">
        <w:t>Contributorship</w:t>
      </w:r>
    </w:p>
    <w:p w14:paraId="57282B90" w14:textId="2D7BE91C" w:rsidR="00DC0657" w:rsidRPr="003B251F" w:rsidRDefault="00874972" w:rsidP="00DC0657">
      <w:pPr>
        <w:autoSpaceDE w:val="0"/>
        <w:autoSpaceDN w:val="0"/>
        <w:adjustRightInd w:val="0"/>
        <w:spacing w:after="0" w:line="240" w:lineRule="auto"/>
        <w:jc w:val="both"/>
        <w:rPr>
          <w:rFonts w:cs="Calibri"/>
          <w:sz w:val="24"/>
          <w:szCs w:val="24"/>
        </w:rPr>
      </w:pPr>
      <w:r w:rsidRPr="003B251F">
        <w:rPr>
          <w:rFonts w:cs="Calibri"/>
          <w:sz w:val="24"/>
          <w:szCs w:val="24"/>
        </w:rPr>
        <w:t xml:space="preserve">The POP-IBD study group is a collaboration between St George’s, University of London, Imperial College London, University College London and King’s College London, conducting population based studies in the field of Inflammatory Bowel Disease. </w:t>
      </w:r>
      <w:r w:rsidR="00D702A7" w:rsidRPr="003B251F">
        <w:rPr>
          <w:rFonts w:cs="Calibri"/>
          <w:sz w:val="24"/>
          <w:szCs w:val="24"/>
        </w:rPr>
        <w:t>JB and SS contributed equally to this project and are joint first authors.</w:t>
      </w:r>
      <w:r w:rsidR="00FC5AE2" w:rsidRPr="003B251F">
        <w:rPr>
          <w:rFonts w:cs="Calibri"/>
          <w:sz w:val="24"/>
          <w:szCs w:val="24"/>
        </w:rPr>
        <w:t xml:space="preserve"> </w:t>
      </w:r>
      <w:r w:rsidR="00DC0657" w:rsidRPr="003B251F">
        <w:rPr>
          <w:rFonts w:cs="Calibri"/>
          <w:sz w:val="24"/>
          <w:szCs w:val="24"/>
        </w:rPr>
        <w:t xml:space="preserve">JB, SS, </w:t>
      </w:r>
      <w:r w:rsidR="00EE7B3B" w:rsidRPr="003B251F">
        <w:rPr>
          <w:rFonts w:cs="Calibri"/>
          <w:sz w:val="24"/>
          <w:szCs w:val="24"/>
        </w:rPr>
        <w:t xml:space="preserve">NJ, </w:t>
      </w:r>
      <w:r w:rsidR="00DC0657" w:rsidRPr="003B251F">
        <w:rPr>
          <w:rFonts w:cs="Calibri"/>
          <w:sz w:val="24"/>
          <w:szCs w:val="24"/>
        </w:rPr>
        <w:t xml:space="preserve">RP, CA, IP, &amp; MH </w:t>
      </w:r>
      <w:r w:rsidR="00DC0657" w:rsidRPr="003B251F">
        <w:rPr>
          <w:rFonts w:cs="Arial"/>
          <w:sz w:val="24"/>
          <w:szCs w:val="24"/>
          <w:shd w:val="clear" w:color="auto" w:fill="FFFFFF"/>
        </w:rPr>
        <w:t xml:space="preserve">conceived and designed this study. </w:t>
      </w:r>
      <w:r w:rsidR="00DC0657" w:rsidRPr="003B251F">
        <w:rPr>
          <w:rFonts w:cs="Calibri"/>
          <w:sz w:val="24"/>
          <w:szCs w:val="24"/>
        </w:rPr>
        <w:t xml:space="preserve">JB and SS prepared the data and carried out statistical analysis </w:t>
      </w:r>
      <w:r w:rsidR="00DC0657" w:rsidRPr="003B251F">
        <w:rPr>
          <w:rFonts w:cs="Arial"/>
          <w:sz w:val="24"/>
          <w:szCs w:val="24"/>
          <w:shd w:val="clear" w:color="auto" w:fill="FFFFFF"/>
        </w:rPr>
        <w:t>overseen by IP and AB</w:t>
      </w:r>
      <w:r w:rsidR="00DC0657" w:rsidRPr="003B251F">
        <w:rPr>
          <w:rFonts w:cs="Calibri"/>
          <w:sz w:val="24"/>
          <w:szCs w:val="24"/>
        </w:rPr>
        <w:t xml:space="preserve">. All </w:t>
      </w:r>
      <w:r w:rsidR="00DC0657" w:rsidRPr="003B251F">
        <w:rPr>
          <w:rFonts w:cs="Arial"/>
          <w:sz w:val="24"/>
          <w:szCs w:val="24"/>
          <w:shd w:val="clear" w:color="auto" w:fill="FFFFFF"/>
        </w:rPr>
        <w:t xml:space="preserve">authors contributed to the development of the analysis, interpreting data and preparing the manuscript. </w:t>
      </w:r>
      <w:r w:rsidRPr="003B251F">
        <w:rPr>
          <w:rFonts w:cs="Calibri"/>
          <w:sz w:val="24"/>
          <w:szCs w:val="24"/>
        </w:rPr>
        <w:t xml:space="preserve">RP </w:t>
      </w:r>
      <w:r w:rsidR="00DC0657" w:rsidRPr="003B251F">
        <w:rPr>
          <w:rFonts w:cs="Calibri"/>
          <w:sz w:val="24"/>
          <w:szCs w:val="24"/>
        </w:rPr>
        <w:t>will act as the guarantor for the article.</w:t>
      </w:r>
    </w:p>
    <w:p w14:paraId="3B1C231B" w14:textId="77777777" w:rsidR="00DC0657" w:rsidRPr="003B251F" w:rsidRDefault="00DC0657" w:rsidP="00DC0657">
      <w:pPr>
        <w:rPr>
          <w:lang w:eastAsia="en-GB"/>
        </w:rPr>
      </w:pPr>
    </w:p>
    <w:p w14:paraId="417B9CF3" w14:textId="77777777" w:rsidR="00DC0657" w:rsidRPr="003B251F" w:rsidRDefault="00DC0657" w:rsidP="00DC0657">
      <w:pPr>
        <w:pStyle w:val="Heading2"/>
      </w:pPr>
      <w:r w:rsidRPr="003B251F">
        <w:t>Competing interests</w:t>
      </w:r>
    </w:p>
    <w:p w14:paraId="3E40DD76" w14:textId="77777777" w:rsidR="00DC0657" w:rsidRPr="003B251F" w:rsidRDefault="00DC0657" w:rsidP="00DC0657">
      <w:pPr>
        <w:autoSpaceDE w:val="0"/>
        <w:autoSpaceDN w:val="0"/>
        <w:adjustRightInd w:val="0"/>
        <w:spacing w:after="0" w:line="240" w:lineRule="auto"/>
        <w:rPr>
          <w:rFonts w:ascii="Calibri" w:hAnsi="Calibri" w:cs="Calibri"/>
          <w:sz w:val="24"/>
          <w:szCs w:val="24"/>
        </w:rPr>
      </w:pPr>
      <w:r w:rsidRPr="003B251F">
        <w:rPr>
          <w:rFonts w:ascii="Calibri" w:hAnsi="Calibri" w:cs="Calibri"/>
          <w:sz w:val="24"/>
          <w:szCs w:val="24"/>
        </w:rPr>
        <w:t>None declared</w:t>
      </w:r>
    </w:p>
    <w:p w14:paraId="597CC0C5" w14:textId="77777777" w:rsidR="00DC0657" w:rsidRPr="003B251F" w:rsidRDefault="00DC0657" w:rsidP="00DC0657">
      <w:pPr>
        <w:pStyle w:val="Heading2"/>
      </w:pPr>
      <w:r w:rsidRPr="003B251F">
        <w:t>Provenance</w:t>
      </w:r>
    </w:p>
    <w:p w14:paraId="21FC3BA8" w14:textId="77777777" w:rsidR="00DC0657" w:rsidRPr="003B251F" w:rsidRDefault="00DC0657" w:rsidP="00DC0657">
      <w:pPr>
        <w:autoSpaceDE w:val="0"/>
        <w:autoSpaceDN w:val="0"/>
        <w:adjustRightInd w:val="0"/>
        <w:spacing w:after="0" w:line="240" w:lineRule="auto"/>
        <w:rPr>
          <w:rFonts w:ascii="Calibri" w:hAnsi="Calibri" w:cs="Calibri"/>
          <w:sz w:val="24"/>
          <w:szCs w:val="24"/>
        </w:rPr>
      </w:pPr>
      <w:r w:rsidRPr="003B251F">
        <w:rPr>
          <w:rFonts w:ascii="Calibri" w:hAnsi="Calibri" w:cs="Calibri"/>
          <w:sz w:val="24"/>
          <w:szCs w:val="24"/>
        </w:rPr>
        <w:t>Not commissioned</w:t>
      </w:r>
    </w:p>
    <w:p w14:paraId="648959B2" w14:textId="77777777" w:rsidR="00DC0657" w:rsidRPr="003B251F" w:rsidRDefault="00DC0657" w:rsidP="00DC0657">
      <w:pPr>
        <w:pStyle w:val="Heading2"/>
      </w:pPr>
      <w:r w:rsidRPr="003B251F">
        <w:t>Acknowledgements</w:t>
      </w:r>
    </w:p>
    <w:p w14:paraId="0442EE50" w14:textId="77777777" w:rsidR="00DC0657" w:rsidRPr="003B251F" w:rsidRDefault="00DC0657" w:rsidP="00DC0657">
      <w:pPr>
        <w:rPr>
          <w:rStyle w:val="Heading2Char"/>
          <w:rFonts w:asciiTheme="minorHAnsi" w:hAnsiTheme="minorHAnsi"/>
          <w:b w:val="0"/>
          <w:color w:val="auto"/>
          <w:sz w:val="24"/>
        </w:rPr>
      </w:pPr>
      <w:r w:rsidRPr="003B251F">
        <w:rPr>
          <w:rStyle w:val="Heading2Char"/>
          <w:rFonts w:asciiTheme="minorHAnsi" w:hAnsiTheme="minorHAnsi"/>
          <w:b w:val="0"/>
          <w:color w:val="auto"/>
          <w:sz w:val="24"/>
        </w:rPr>
        <w:t>None</w:t>
      </w:r>
    </w:p>
    <w:p w14:paraId="16BD3514" w14:textId="77777777" w:rsidR="00DC0657" w:rsidRPr="003B251F" w:rsidRDefault="00DC0657" w:rsidP="00DC0657">
      <w:pPr>
        <w:pStyle w:val="NoSpacing"/>
        <w:spacing w:line="276" w:lineRule="auto"/>
        <w:rPr>
          <w:rFonts w:ascii="Arial" w:hAnsi="Arial" w:cs="Arial"/>
          <w:sz w:val="20"/>
          <w:szCs w:val="20"/>
          <w:shd w:val="clear" w:color="auto" w:fill="FFFFFF"/>
          <w:lang w:eastAsia="en-US"/>
        </w:rPr>
      </w:pPr>
      <w:r w:rsidRPr="003B251F">
        <w:rPr>
          <w:rStyle w:val="Heading2Char"/>
        </w:rPr>
        <w:lastRenderedPageBreak/>
        <w:t>Funding and disclaimer:</w:t>
      </w:r>
      <w:r w:rsidRPr="003B251F">
        <w:rPr>
          <w:rFonts w:ascii="Arial" w:hAnsi="Arial" w:cs="Arial"/>
          <w:b/>
          <w:bCs/>
          <w:sz w:val="20"/>
          <w:szCs w:val="20"/>
        </w:rPr>
        <w:t xml:space="preserve"> </w:t>
      </w:r>
    </w:p>
    <w:p w14:paraId="73A9F4B6" w14:textId="77777777" w:rsidR="00DC0657" w:rsidRPr="003B251F" w:rsidRDefault="00DC0657" w:rsidP="00DC0657">
      <w:pPr>
        <w:autoSpaceDE w:val="0"/>
        <w:autoSpaceDN w:val="0"/>
        <w:adjustRightInd w:val="0"/>
        <w:spacing w:after="0" w:line="240" w:lineRule="auto"/>
        <w:rPr>
          <w:rFonts w:cs="Calibri"/>
          <w:sz w:val="24"/>
          <w:szCs w:val="24"/>
        </w:rPr>
      </w:pPr>
      <w:r w:rsidRPr="003B251F">
        <w:rPr>
          <w:rFonts w:cs="Calibri"/>
          <w:sz w:val="24"/>
          <w:szCs w:val="24"/>
        </w:rPr>
        <w:t>This work was supported by the Living with IBD Research Programme at Crohn’s &amp; Colitis UK (grant number: SP2018/3). This funding source had no role in the design or execution of this study or in the analysis and interpretation of the data. The views expressed are those of the authors and not necessarily those of Crohn’s &amp; Colitis UK.</w:t>
      </w:r>
    </w:p>
    <w:p w14:paraId="5A1DF003" w14:textId="77777777" w:rsidR="00DC0657" w:rsidRPr="003B251F" w:rsidRDefault="00DC0657" w:rsidP="00DC0657">
      <w:pPr>
        <w:autoSpaceDE w:val="0"/>
        <w:autoSpaceDN w:val="0"/>
        <w:adjustRightInd w:val="0"/>
        <w:spacing w:after="0" w:line="240" w:lineRule="auto"/>
        <w:rPr>
          <w:rFonts w:ascii="Calibri" w:hAnsi="Calibri" w:cs="Calibri"/>
          <w:sz w:val="24"/>
          <w:szCs w:val="24"/>
        </w:rPr>
      </w:pPr>
      <w:r w:rsidRPr="003B251F">
        <w:rPr>
          <w:rFonts w:ascii="Calibri" w:hAnsi="Calibri" w:cs="Calibri"/>
          <w:sz w:val="24"/>
          <w:szCs w:val="24"/>
        </w:rPr>
        <w:t>RP received support by a Wellcome Trust Institute Strategic Support Fund (ISSF) grant.</w:t>
      </w:r>
    </w:p>
    <w:p w14:paraId="2ECE11EB" w14:textId="310C2B22" w:rsidR="00B135BF" w:rsidRPr="003B251F" w:rsidRDefault="00B135BF" w:rsidP="00DC0657">
      <w:pPr>
        <w:autoSpaceDE w:val="0"/>
        <w:autoSpaceDN w:val="0"/>
        <w:adjustRightInd w:val="0"/>
        <w:spacing w:after="0" w:line="240" w:lineRule="auto"/>
        <w:rPr>
          <w:rFonts w:ascii="Calibri" w:hAnsi="Calibri" w:cs="Calibri"/>
          <w:sz w:val="24"/>
          <w:szCs w:val="24"/>
        </w:rPr>
      </w:pPr>
      <w:r w:rsidRPr="003B251F">
        <w:rPr>
          <w:rFonts w:ascii="Calibri" w:hAnsi="Calibri" w:cs="Calibri"/>
          <w:sz w:val="24"/>
          <w:szCs w:val="24"/>
        </w:rPr>
        <w:t>MH acknowledges support from the National Institute of Health Research Biomedical Research Centre at the Maudsley, and is an NIHR Senior Investigator.</w:t>
      </w:r>
    </w:p>
    <w:p w14:paraId="498D93B5" w14:textId="77777777" w:rsidR="00DC0657" w:rsidRPr="003B251F" w:rsidRDefault="00DC0657" w:rsidP="00DC0657">
      <w:pPr>
        <w:autoSpaceDE w:val="0"/>
        <w:autoSpaceDN w:val="0"/>
        <w:adjustRightInd w:val="0"/>
        <w:spacing w:after="0" w:line="240" w:lineRule="auto"/>
        <w:rPr>
          <w:rFonts w:ascii="Calibri" w:hAnsi="Calibri" w:cs="Calibri"/>
          <w:sz w:val="24"/>
          <w:szCs w:val="24"/>
        </w:rPr>
      </w:pPr>
      <w:r w:rsidRPr="003B251F">
        <w:rPr>
          <w:rFonts w:ascii="Calibri" w:hAnsi="Calibri" w:cs="Calibri"/>
          <w:sz w:val="24"/>
          <w:szCs w:val="24"/>
        </w:rPr>
        <w:t>SS is funded by the National Institute for Health Research (NIHR) School for Public Health</w:t>
      </w:r>
    </w:p>
    <w:p w14:paraId="5A53D9E3" w14:textId="585E015A" w:rsidR="00DC0657" w:rsidRPr="003B251F" w:rsidRDefault="00DC0657" w:rsidP="00DC0657">
      <w:pPr>
        <w:autoSpaceDE w:val="0"/>
        <w:autoSpaceDN w:val="0"/>
        <w:adjustRightInd w:val="0"/>
        <w:spacing w:after="0" w:line="240" w:lineRule="auto"/>
        <w:rPr>
          <w:rFonts w:ascii="Calibri" w:hAnsi="Calibri" w:cs="Calibri"/>
          <w:sz w:val="24"/>
          <w:szCs w:val="24"/>
        </w:rPr>
      </w:pPr>
      <w:r w:rsidRPr="003B251F">
        <w:rPr>
          <w:rFonts w:ascii="Calibri" w:hAnsi="Calibri" w:cs="Calibri"/>
          <w:sz w:val="24"/>
          <w:szCs w:val="24"/>
        </w:rPr>
        <w:t>Research (SPHR) and NIHR Northwest London Applied Research Collaboration (ARC). The School for Public Health Imperial College London is also grateful for</w:t>
      </w:r>
      <w:r w:rsidR="00AD0E3E" w:rsidRPr="003B251F">
        <w:rPr>
          <w:rFonts w:ascii="Calibri" w:hAnsi="Calibri" w:cs="Calibri"/>
          <w:sz w:val="24"/>
          <w:szCs w:val="24"/>
        </w:rPr>
        <w:t xml:space="preserve"> </w:t>
      </w:r>
      <w:r w:rsidRPr="003B251F">
        <w:rPr>
          <w:rFonts w:ascii="Calibri" w:hAnsi="Calibri" w:cs="Calibri"/>
          <w:sz w:val="24"/>
          <w:szCs w:val="24"/>
        </w:rPr>
        <w:t>support from the Imperial NIHR Biomedical Research Centre.</w:t>
      </w:r>
    </w:p>
    <w:p w14:paraId="5DDACF2D" w14:textId="77777777" w:rsidR="00DC0657" w:rsidRPr="003B251F" w:rsidRDefault="00DC0657" w:rsidP="00DC0657">
      <w:pPr>
        <w:autoSpaceDE w:val="0"/>
        <w:autoSpaceDN w:val="0"/>
        <w:adjustRightInd w:val="0"/>
        <w:spacing w:after="0" w:line="240" w:lineRule="auto"/>
        <w:rPr>
          <w:rFonts w:ascii="Calibri" w:hAnsi="Calibri" w:cs="Calibri"/>
          <w:sz w:val="24"/>
          <w:szCs w:val="24"/>
        </w:rPr>
      </w:pPr>
      <w:r w:rsidRPr="003B251F">
        <w:rPr>
          <w:rFonts w:ascii="Calibri" w:hAnsi="Calibri" w:cs="Calibri"/>
          <w:sz w:val="24"/>
          <w:szCs w:val="24"/>
        </w:rPr>
        <w:t>The Dr Foster Unit at Imperial is affiliated with the National Institute of Health Research (NIHR) Imperial Patient Safety Translational Research Centre. The NIHR Imperial Patient Safety Translational Centre is a partnership between the Imperial College Healthcare NHS Trust and Imperial College London. The Dr Foster Unit at Imperial College are grateful for support from the NIHR Biomedical Research Centre funding scheme.</w:t>
      </w:r>
    </w:p>
    <w:p w14:paraId="086FCA72" w14:textId="2966C79E" w:rsidR="00DC0657" w:rsidRPr="003B251F" w:rsidRDefault="00DC0657" w:rsidP="00874972">
      <w:pPr>
        <w:autoSpaceDE w:val="0"/>
        <w:autoSpaceDN w:val="0"/>
        <w:adjustRightInd w:val="0"/>
        <w:spacing w:after="0" w:line="240" w:lineRule="auto"/>
        <w:rPr>
          <w:rFonts w:ascii="Calibri" w:hAnsi="Calibri" w:cs="Calibri"/>
          <w:sz w:val="24"/>
          <w:szCs w:val="24"/>
        </w:rPr>
      </w:pPr>
      <w:r w:rsidRPr="003B251F">
        <w:rPr>
          <w:rFonts w:ascii="Calibri" w:hAnsi="Calibri" w:cs="Calibri"/>
          <w:sz w:val="24"/>
          <w:szCs w:val="24"/>
        </w:rPr>
        <w:t>The views expressed in this publication are those of the authors</w:t>
      </w:r>
      <w:r w:rsidR="00AD0E3E" w:rsidRPr="003B251F">
        <w:rPr>
          <w:rFonts w:ascii="Calibri" w:hAnsi="Calibri" w:cs="Calibri"/>
          <w:sz w:val="24"/>
          <w:szCs w:val="24"/>
        </w:rPr>
        <w:t xml:space="preserve"> </w:t>
      </w:r>
      <w:r w:rsidRPr="003B251F">
        <w:rPr>
          <w:rFonts w:ascii="Calibri" w:hAnsi="Calibri" w:cs="Calibri"/>
          <w:sz w:val="24"/>
          <w:szCs w:val="24"/>
        </w:rPr>
        <w:t>and not necessarily those of the NHS, the NIHR or the Department of Health</w:t>
      </w:r>
    </w:p>
    <w:p w14:paraId="30D7B5C1" w14:textId="6704BDC8" w:rsidR="00687F6F" w:rsidRPr="003B251F" w:rsidRDefault="00687F6F" w:rsidP="00874972">
      <w:pPr>
        <w:pStyle w:val="Heading2"/>
        <w:rPr>
          <w:rStyle w:val="Heading2Char"/>
        </w:rPr>
      </w:pPr>
      <w:r w:rsidRPr="003B251F">
        <w:rPr>
          <w:rStyle w:val="Heading2Char"/>
        </w:rPr>
        <w:t>ORCID</w:t>
      </w:r>
    </w:p>
    <w:p w14:paraId="787F1FBF" w14:textId="20C08F58" w:rsidR="00687F6F" w:rsidRPr="003B251F" w:rsidRDefault="00687F6F" w:rsidP="0006302F">
      <w:pPr>
        <w:spacing w:before="100" w:beforeAutospacing="1" w:after="100" w:afterAutospacing="1"/>
        <w:rPr>
          <w:sz w:val="24"/>
          <w:szCs w:val="24"/>
        </w:rPr>
      </w:pPr>
      <w:r w:rsidRPr="003B251F">
        <w:rPr>
          <w:sz w:val="24"/>
          <w:szCs w:val="24"/>
        </w:rPr>
        <w:t xml:space="preserve">JB </w:t>
      </w:r>
      <w:r w:rsidRPr="003B251F">
        <w:rPr>
          <w:sz w:val="24"/>
          <w:szCs w:val="24"/>
        </w:rPr>
        <w:tab/>
        <w:t>0000-0003-4278-3720</w:t>
      </w:r>
    </w:p>
    <w:p w14:paraId="57A7D31D" w14:textId="75D95C5A" w:rsidR="00F87B18" w:rsidRPr="003B251F" w:rsidRDefault="00E0077B" w:rsidP="0006302F">
      <w:pPr>
        <w:spacing w:before="100" w:beforeAutospacing="1" w:after="100" w:afterAutospacing="1"/>
        <w:rPr>
          <w:sz w:val="24"/>
          <w:szCs w:val="24"/>
        </w:rPr>
      </w:pPr>
      <w:r w:rsidRPr="003B251F">
        <w:rPr>
          <w:rFonts w:cs="Calibri"/>
          <w:sz w:val="24"/>
          <w:szCs w:val="24"/>
        </w:rPr>
        <w:t>SS</w:t>
      </w:r>
      <w:r w:rsidR="00687F6F" w:rsidRPr="003B251F">
        <w:rPr>
          <w:rFonts w:cs="Calibri"/>
          <w:sz w:val="24"/>
          <w:szCs w:val="24"/>
        </w:rPr>
        <w:tab/>
      </w:r>
      <w:r w:rsidR="0006302F" w:rsidRPr="003B251F">
        <w:rPr>
          <w:sz w:val="24"/>
          <w:szCs w:val="24"/>
        </w:rPr>
        <w:t>0000-0003-3787-2083</w:t>
      </w:r>
    </w:p>
    <w:p w14:paraId="08DF238F" w14:textId="2B595439" w:rsidR="00687F6F" w:rsidRPr="003B251F" w:rsidRDefault="00F87B18" w:rsidP="0006302F">
      <w:pPr>
        <w:spacing w:before="100" w:beforeAutospacing="1" w:after="100" w:afterAutospacing="1"/>
        <w:rPr>
          <w:sz w:val="24"/>
          <w:szCs w:val="24"/>
        </w:rPr>
      </w:pPr>
      <w:r w:rsidRPr="003B251F">
        <w:rPr>
          <w:sz w:val="24"/>
          <w:szCs w:val="24"/>
        </w:rPr>
        <w:t>NJ</w:t>
      </w:r>
      <w:r w:rsidRPr="003B251F">
        <w:rPr>
          <w:sz w:val="24"/>
          <w:szCs w:val="24"/>
        </w:rPr>
        <w:tab/>
      </w:r>
      <w:r w:rsidR="00EC665B" w:rsidRPr="003B251F">
        <w:rPr>
          <w:rFonts w:cs="Arial"/>
          <w:sz w:val="24"/>
          <w:szCs w:val="24"/>
          <w:shd w:val="clear" w:color="auto" w:fill="FFFFFF"/>
        </w:rPr>
        <w:t>0000-0003-1343-2446</w:t>
      </w:r>
    </w:p>
    <w:p w14:paraId="7F6A774F" w14:textId="5BBEF2D9" w:rsidR="008163EA" w:rsidRPr="003B251F" w:rsidRDefault="00F87B18" w:rsidP="0006302F">
      <w:pPr>
        <w:spacing w:before="100" w:beforeAutospacing="1" w:after="100" w:afterAutospacing="1"/>
        <w:rPr>
          <w:sz w:val="24"/>
          <w:szCs w:val="24"/>
        </w:rPr>
      </w:pPr>
      <w:r w:rsidRPr="003B251F">
        <w:rPr>
          <w:sz w:val="24"/>
          <w:szCs w:val="24"/>
        </w:rPr>
        <w:t>AB</w:t>
      </w:r>
      <w:r w:rsidRPr="003B251F">
        <w:rPr>
          <w:sz w:val="24"/>
          <w:szCs w:val="24"/>
        </w:rPr>
        <w:tab/>
        <w:t>0000-0001-9978-2011</w:t>
      </w:r>
    </w:p>
    <w:p w14:paraId="7A91F9DA" w14:textId="627560A0" w:rsidR="00CE1B4E" w:rsidRPr="003B251F" w:rsidRDefault="00F87B18" w:rsidP="0006302F">
      <w:pPr>
        <w:spacing w:before="100" w:beforeAutospacing="1" w:after="100" w:afterAutospacing="1"/>
        <w:rPr>
          <w:sz w:val="24"/>
          <w:szCs w:val="24"/>
        </w:rPr>
      </w:pPr>
      <w:r w:rsidRPr="003B251F">
        <w:rPr>
          <w:sz w:val="24"/>
          <w:szCs w:val="24"/>
        </w:rPr>
        <w:t>IP</w:t>
      </w:r>
      <w:r w:rsidRPr="003B251F">
        <w:rPr>
          <w:sz w:val="24"/>
          <w:szCs w:val="24"/>
        </w:rPr>
        <w:tab/>
      </w:r>
      <w:r w:rsidRPr="003B251F">
        <w:rPr>
          <w:rFonts w:cs="Arial"/>
          <w:sz w:val="24"/>
          <w:szCs w:val="24"/>
          <w:shd w:val="clear" w:color="auto" w:fill="FFFFFF"/>
        </w:rPr>
        <w:t>0000-0002-0037-7524</w:t>
      </w:r>
    </w:p>
    <w:p w14:paraId="0B94EEA6" w14:textId="55431FD4" w:rsidR="00CE1B4E" w:rsidRPr="003B251F" w:rsidRDefault="00F87B18" w:rsidP="0006302F">
      <w:pPr>
        <w:spacing w:before="100" w:beforeAutospacing="1" w:after="100" w:afterAutospacing="1"/>
        <w:rPr>
          <w:sz w:val="24"/>
          <w:szCs w:val="24"/>
        </w:rPr>
      </w:pPr>
      <w:r w:rsidRPr="003B251F">
        <w:rPr>
          <w:sz w:val="24"/>
          <w:szCs w:val="24"/>
        </w:rPr>
        <w:t>MH</w:t>
      </w:r>
      <w:r w:rsidRPr="003B251F">
        <w:rPr>
          <w:sz w:val="24"/>
          <w:szCs w:val="24"/>
        </w:rPr>
        <w:tab/>
        <w:t>0000-0002-3980-4466</w:t>
      </w:r>
    </w:p>
    <w:p w14:paraId="29B26A8B" w14:textId="73CC31E1" w:rsidR="00CE1B4E" w:rsidRPr="003B251F" w:rsidRDefault="00CE1B4E" w:rsidP="0006302F">
      <w:pPr>
        <w:spacing w:before="100" w:beforeAutospacing="1" w:after="100" w:afterAutospacing="1"/>
        <w:rPr>
          <w:sz w:val="24"/>
          <w:szCs w:val="24"/>
        </w:rPr>
      </w:pPr>
      <w:r w:rsidRPr="003B251F">
        <w:rPr>
          <w:sz w:val="24"/>
          <w:szCs w:val="24"/>
        </w:rPr>
        <w:t>CA</w:t>
      </w:r>
      <w:r w:rsidR="00F87B18" w:rsidRPr="003B251F">
        <w:rPr>
          <w:sz w:val="24"/>
          <w:szCs w:val="24"/>
        </w:rPr>
        <w:tab/>
      </w:r>
      <w:r w:rsidR="00F87B18" w:rsidRPr="003B251F">
        <w:rPr>
          <w:rFonts w:cs="Arial"/>
          <w:sz w:val="24"/>
          <w:szCs w:val="24"/>
          <w:shd w:val="clear" w:color="auto" w:fill="FFFFFF"/>
        </w:rPr>
        <w:t>0000-0002-5487-0752</w:t>
      </w:r>
    </w:p>
    <w:p w14:paraId="11FC685C" w14:textId="77777777" w:rsidR="00BB476A" w:rsidRPr="003B251F" w:rsidRDefault="00BB476A" w:rsidP="00BB476A">
      <w:pPr>
        <w:rPr>
          <w:rFonts w:cs="Calibri"/>
          <w:sz w:val="24"/>
          <w:szCs w:val="24"/>
        </w:rPr>
      </w:pPr>
      <w:r w:rsidRPr="003B251F">
        <w:rPr>
          <w:sz w:val="24"/>
          <w:szCs w:val="24"/>
        </w:rPr>
        <w:t>RP</w:t>
      </w:r>
      <w:r w:rsidRPr="003B251F">
        <w:rPr>
          <w:rFonts w:cs="Calibri"/>
          <w:sz w:val="24"/>
          <w:szCs w:val="24"/>
        </w:rPr>
        <w:t xml:space="preserve"> </w:t>
      </w:r>
      <w:r w:rsidRPr="003B251F">
        <w:rPr>
          <w:rFonts w:cs="Calibri"/>
          <w:sz w:val="24"/>
          <w:szCs w:val="24"/>
        </w:rPr>
        <w:tab/>
        <w:t>0000-0001-6452-6763</w:t>
      </w:r>
    </w:p>
    <w:p w14:paraId="407E08A5" w14:textId="77777777" w:rsidR="00DC0657" w:rsidRPr="003B251F" w:rsidRDefault="00DC0657" w:rsidP="00DC0657">
      <w:pPr>
        <w:pStyle w:val="Heading2"/>
      </w:pPr>
      <w:r w:rsidRPr="003B251F">
        <w:t xml:space="preserve">Conflict of interest: </w:t>
      </w:r>
    </w:p>
    <w:p w14:paraId="3E1E7569" w14:textId="77777777" w:rsidR="00DC0657" w:rsidRPr="003B251F" w:rsidRDefault="00DC0657" w:rsidP="00DC0657">
      <w:pPr>
        <w:rPr>
          <w:lang w:eastAsia="en-GB"/>
        </w:rPr>
      </w:pPr>
      <w:r w:rsidRPr="003B251F">
        <w:rPr>
          <w:lang w:eastAsia="en-GB"/>
        </w:rPr>
        <w:t>None declared.</w:t>
      </w:r>
    </w:p>
    <w:p w14:paraId="318B2452" w14:textId="77777777" w:rsidR="00DC0657" w:rsidRPr="003B251F" w:rsidRDefault="00DC0657" w:rsidP="00DC0657">
      <w:pPr>
        <w:pStyle w:val="Heading2"/>
      </w:pPr>
      <w:r w:rsidRPr="003B251F">
        <w:t xml:space="preserve">Key words: </w:t>
      </w:r>
    </w:p>
    <w:p w14:paraId="54D582C1" w14:textId="65C5F58D" w:rsidR="00DC0657" w:rsidRPr="003B251F" w:rsidRDefault="00B033E3" w:rsidP="00DC0657">
      <w:pPr>
        <w:spacing w:after="0" w:line="240" w:lineRule="auto"/>
        <w:jc w:val="both"/>
      </w:pPr>
      <w:r w:rsidRPr="003B251F">
        <w:t xml:space="preserve">Inflammatory bowel disease, </w:t>
      </w:r>
      <w:r w:rsidR="00EE7B3B" w:rsidRPr="003B251F">
        <w:t xml:space="preserve">Crohn's disease, Ulcerative colitis, Chronic diarrhoea, </w:t>
      </w:r>
      <w:r w:rsidR="00DC0657" w:rsidRPr="003B251F">
        <w:t>Abdominal pain</w:t>
      </w:r>
      <w:r w:rsidR="00EE7B3B" w:rsidRPr="003B251F">
        <w:t xml:space="preserve">, </w:t>
      </w:r>
      <w:r w:rsidRPr="003B251F">
        <w:t xml:space="preserve">Gastro-intestinal symptoms, </w:t>
      </w:r>
      <w:r w:rsidR="00DC0657" w:rsidRPr="003B251F">
        <w:t>Irritable bowel syndrome</w:t>
      </w:r>
      <w:r w:rsidR="00CE1B4E" w:rsidRPr="003B251F">
        <w:t>, depression, diagnosis, delayed diagnosis</w:t>
      </w:r>
      <w:r w:rsidR="00DC0657" w:rsidRPr="003B251F">
        <w:t xml:space="preserve"> </w:t>
      </w:r>
    </w:p>
    <w:p w14:paraId="382B4A4E" w14:textId="77777777" w:rsidR="00DC0657" w:rsidRPr="003B251F" w:rsidRDefault="00DC0657" w:rsidP="00A624CE">
      <w:pPr>
        <w:spacing w:after="0" w:line="240" w:lineRule="auto"/>
        <w:jc w:val="both"/>
        <w:rPr>
          <w:rFonts w:ascii="Tahoma" w:eastAsia="Times New Roman" w:hAnsi="Tahoma" w:cs="Tahoma"/>
          <w:color w:val="444444"/>
          <w:sz w:val="24"/>
          <w:szCs w:val="24"/>
          <w:lang w:eastAsia="en-GB"/>
        </w:rPr>
      </w:pPr>
    </w:p>
    <w:p w14:paraId="06571F10" w14:textId="18EB0F52" w:rsidR="00791B82" w:rsidRPr="003B251F" w:rsidRDefault="00EE7B3B" w:rsidP="00A624CE">
      <w:pPr>
        <w:spacing w:after="0" w:line="240" w:lineRule="auto"/>
        <w:jc w:val="both"/>
        <w:rPr>
          <w:rFonts w:ascii="Tahoma" w:eastAsia="Times New Roman" w:hAnsi="Tahoma" w:cs="Tahoma"/>
          <w:color w:val="444444"/>
          <w:sz w:val="24"/>
          <w:szCs w:val="24"/>
          <w:lang w:eastAsia="en-GB"/>
        </w:rPr>
      </w:pPr>
      <w:r w:rsidRPr="003B251F">
        <w:rPr>
          <w:rStyle w:val="Heading2Char"/>
        </w:rPr>
        <w:t>Target Journal</w:t>
      </w:r>
      <w:r w:rsidR="001B2117" w:rsidRPr="003B251F">
        <w:rPr>
          <w:rFonts w:ascii="Tahoma" w:eastAsia="Times New Roman" w:hAnsi="Tahoma" w:cs="Tahoma"/>
          <w:color w:val="444444"/>
          <w:sz w:val="24"/>
          <w:szCs w:val="24"/>
          <w:lang w:eastAsia="en-GB"/>
        </w:rPr>
        <w:t xml:space="preserve"> </w:t>
      </w:r>
      <w:r w:rsidR="00794AFE" w:rsidRPr="003B251F">
        <w:rPr>
          <w:rFonts w:ascii="Tahoma" w:eastAsia="Times New Roman" w:hAnsi="Tahoma" w:cs="Tahoma"/>
          <w:color w:val="444444"/>
          <w:sz w:val="24"/>
          <w:szCs w:val="24"/>
          <w:lang w:eastAsia="en-GB"/>
        </w:rPr>
        <w:t>JCC</w:t>
      </w:r>
    </w:p>
    <w:p w14:paraId="32F3B1C6" w14:textId="48E836A9" w:rsidR="00791B82" w:rsidRPr="003B251F" w:rsidRDefault="00791B82" w:rsidP="00A624CE">
      <w:pPr>
        <w:spacing w:after="0" w:line="240" w:lineRule="auto"/>
        <w:jc w:val="both"/>
        <w:rPr>
          <w:rFonts w:ascii="Tahoma" w:eastAsia="Times New Roman" w:hAnsi="Tahoma" w:cs="Tahoma"/>
          <w:color w:val="444444"/>
          <w:sz w:val="24"/>
          <w:szCs w:val="24"/>
          <w:lang w:eastAsia="en-GB"/>
        </w:rPr>
      </w:pPr>
      <w:r w:rsidRPr="003B251F">
        <w:rPr>
          <w:rStyle w:val="Heading2Char"/>
        </w:rPr>
        <w:t>Abstract word count</w:t>
      </w:r>
      <w:r w:rsidR="00DC0657" w:rsidRPr="003B251F">
        <w:rPr>
          <w:rFonts w:ascii="Tahoma" w:eastAsia="Times New Roman" w:hAnsi="Tahoma" w:cs="Tahoma"/>
          <w:color w:val="444444"/>
          <w:sz w:val="24"/>
          <w:szCs w:val="24"/>
          <w:lang w:eastAsia="en-GB"/>
        </w:rPr>
        <w:t xml:space="preserve"> 2</w:t>
      </w:r>
      <w:r w:rsidR="00874972" w:rsidRPr="003B251F">
        <w:rPr>
          <w:rFonts w:ascii="Tahoma" w:eastAsia="Times New Roman" w:hAnsi="Tahoma" w:cs="Tahoma"/>
          <w:color w:val="444444"/>
          <w:sz w:val="24"/>
          <w:szCs w:val="24"/>
          <w:lang w:eastAsia="en-GB"/>
        </w:rPr>
        <w:t>50</w:t>
      </w:r>
      <w:r w:rsidR="00EE7B3B" w:rsidRPr="003B251F">
        <w:rPr>
          <w:rFonts w:ascii="Tahoma" w:eastAsia="Times New Roman" w:hAnsi="Tahoma" w:cs="Tahoma"/>
          <w:color w:val="444444"/>
          <w:sz w:val="24"/>
          <w:szCs w:val="24"/>
          <w:lang w:eastAsia="en-GB"/>
        </w:rPr>
        <w:t>/250</w:t>
      </w:r>
    </w:p>
    <w:p w14:paraId="5154F96C" w14:textId="094B7BEA" w:rsidR="00AC12DF" w:rsidRPr="003B251F" w:rsidRDefault="00791B82" w:rsidP="00A624CE">
      <w:pPr>
        <w:jc w:val="both"/>
        <w:rPr>
          <w:b/>
          <w:color w:val="5B9BD5" w:themeColor="accent1"/>
          <w:sz w:val="26"/>
          <w:szCs w:val="26"/>
        </w:rPr>
      </w:pPr>
      <w:r w:rsidRPr="003B251F">
        <w:rPr>
          <w:rStyle w:val="Heading2Char"/>
        </w:rPr>
        <w:lastRenderedPageBreak/>
        <w:t>Manuscript word count</w:t>
      </w:r>
      <w:r w:rsidR="00A11AE7" w:rsidRPr="003B251F">
        <w:rPr>
          <w:rFonts w:ascii="Tahoma" w:eastAsia="Times New Roman" w:hAnsi="Tahoma" w:cs="Tahoma"/>
          <w:color w:val="444444"/>
          <w:sz w:val="24"/>
          <w:szCs w:val="24"/>
          <w:lang w:eastAsia="en-GB"/>
        </w:rPr>
        <w:t xml:space="preserve"> </w:t>
      </w:r>
      <w:r w:rsidR="00B135BF" w:rsidRPr="003B251F">
        <w:rPr>
          <w:rFonts w:ascii="Tahoma" w:eastAsia="Times New Roman" w:hAnsi="Tahoma" w:cs="Tahoma"/>
          <w:color w:val="444444"/>
          <w:sz w:val="24"/>
          <w:szCs w:val="24"/>
          <w:lang w:eastAsia="en-GB"/>
        </w:rPr>
        <w:t>4513</w:t>
      </w:r>
      <w:r w:rsidR="00EE7B3B" w:rsidRPr="003B251F">
        <w:rPr>
          <w:rFonts w:ascii="Tahoma" w:eastAsia="Times New Roman" w:hAnsi="Tahoma" w:cs="Tahoma"/>
          <w:color w:val="444444"/>
          <w:sz w:val="24"/>
          <w:szCs w:val="24"/>
          <w:lang w:eastAsia="en-GB"/>
        </w:rPr>
        <w:t>/</w:t>
      </w:r>
      <w:r w:rsidR="00794AFE" w:rsidRPr="003B251F">
        <w:rPr>
          <w:rFonts w:ascii="Tahoma" w:eastAsia="Times New Roman" w:hAnsi="Tahoma" w:cs="Tahoma"/>
          <w:color w:val="444444"/>
          <w:sz w:val="24"/>
          <w:szCs w:val="24"/>
          <w:lang w:eastAsia="en-GB"/>
        </w:rPr>
        <w:t>7500</w:t>
      </w:r>
      <w:r w:rsidR="00174B4E" w:rsidRPr="003B251F">
        <w:rPr>
          <w:rFonts w:ascii="Tahoma" w:eastAsia="Times New Roman" w:hAnsi="Tahoma" w:cs="Tahoma"/>
          <w:color w:val="444444"/>
          <w:sz w:val="24"/>
          <w:szCs w:val="24"/>
          <w:lang w:eastAsia="en-GB"/>
        </w:rPr>
        <w:tab/>
      </w:r>
      <w:r w:rsidR="00AC12DF" w:rsidRPr="003B251F">
        <w:rPr>
          <w:b/>
          <w:color w:val="5B9BD5" w:themeColor="accent1"/>
          <w:sz w:val="26"/>
          <w:szCs w:val="26"/>
        </w:rPr>
        <w:br w:type="page"/>
      </w:r>
    </w:p>
    <w:p w14:paraId="1B95E60C" w14:textId="4DBBA359" w:rsidR="00791B82" w:rsidRPr="003B251F" w:rsidRDefault="000345A8" w:rsidP="00E46880">
      <w:pPr>
        <w:pStyle w:val="Heading1"/>
        <w:jc w:val="both"/>
        <w:rPr>
          <w:b/>
        </w:rPr>
      </w:pPr>
      <w:r w:rsidRPr="003B251F">
        <w:rPr>
          <w:b/>
        </w:rPr>
        <w:lastRenderedPageBreak/>
        <w:t>Abstract</w:t>
      </w:r>
    </w:p>
    <w:p w14:paraId="6B37F9DD" w14:textId="77777777" w:rsidR="00174B4E" w:rsidRPr="003B251F" w:rsidRDefault="00174B4E" w:rsidP="00E46880">
      <w:pPr>
        <w:jc w:val="both"/>
      </w:pPr>
    </w:p>
    <w:p w14:paraId="1D358518" w14:textId="7D6069AA" w:rsidR="00A302E2" w:rsidRPr="003B251F" w:rsidRDefault="003765D3" w:rsidP="00F8215A">
      <w:pPr>
        <w:pStyle w:val="Default"/>
        <w:spacing w:line="360" w:lineRule="auto"/>
        <w:jc w:val="both"/>
        <w:rPr>
          <w:rFonts w:asciiTheme="minorHAnsi" w:hAnsiTheme="minorHAnsi" w:cs="Arial"/>
          <w:sz w:val="22"/>
          <w:szCs w:val="22"/>
        </w:rPr>
      </w:pPr>
      <w:r w:rsidRPr="003B251F">
        <w:rPr>
          <w:rFonts w:asciiTheme="minorHAnsi" w:hAnsiTheme="minorHAnsi" w:cs="Arial"/>
          <w:b/>
          <w:bCs/>
          <w:sz w:val="22"/>
          <w:szCs w:val="22"/>
        </w:rPr>
        <w:t>Background</w:t>
      </w:r>
      <w:r w:rsidR="00794AFE" w:rsidRPr="003B251F">
        <w:rPr>
          <w:rFonts w:asciiTheme="minorHAnsi" w:hAnsiTheme="minorHAnsi" w:cs="Arial"/>
          <w:b/>
          <w:bCs/>
          <w:sz w:val="22"/>
          <w:szCs w:val="22"/>
        </w:rPr>
        <w:t xml:space="preserve"> and Aims</w:t>
      </w:r>
      <w:r w:rsidR="00794AFE" w:rsidRPr="003B251F">
        <w:rPr>
          <w:rFonts w:asciiTheme="minorHAnsi" w:hAnsiTheme="minorHAnsi" w:cs="Arial"/>
          <w:b/>
          <w:bCs/>
          <w:sz w:val="22"/>
          <w:szCs w:val="22"/>
        </w:rPr>
        <w:tab/>
      </w:r>
      <w:r w:rsidRPr="003B251F">
        <w:rPr>
          <w:rFonts w:asciiTheme="minorHAnsi" w:hAnsiTheme="minorHAnsi" w:cs="Arial"/>
          <w:b/>
          <w:bCs/>
          <w:sz w:val="22"/>
          <w:szCs w:val="22"/>
        </w:rPr>
        <w:br/>
      </w:r>
      <w:r w:rsidR="00794AFE" w:rsidRPr="003B251F">
        <w:rPr>
          <w:rFonts w:asciiTheme="minorHAnsi" w:hAnsiTheme="minorHAnsi" w:cs="Arial"/>
          <w:sz w:val="22"/>
          <w:szCs w:val="22"/>
        </w:rPr>
        <w:t>L</w:t>
      </w:r>
      <w:r w:rsidR="00DC6A4F" w:rsidRPr="003B251F">
        <w:rPr>
          <w:rFonts w:asciiTheme="minorHAnsi" w:hAnsiTheme="minorHAnsi" w:cs="Arial"/>
          <w:sz w:val="22"/>
          <w:szCs w:val="22"/>
        </w:rPr>
        <w:t xml:space="preserve">ack of timely </w:t>
      </w:r>
      <w:r w:rsidR="00230728" w:rsidRPr="003B251F">
        <w:rPr>
          <w:rFonts w:asciiTheme="minorHAnsi" w:hAnsiTheme="minorHAnsi" w:cs="Arial"/>
          <w:sz w:val="22"/>
          <w:szCs w:val="22"/>
        </w:rPr>
        <w:t>referral and</w:t>
      </w:r>
      <w:r w:rsidR="001C20C3" w:rsidRPr="003B251F">
        <w:rPr>
          <w:rFonts w:asciiTheme="minorHAnsi" w:hAnsiTheme="minorHAnsi" w:cs="Arial"/>
          <w:sz w:val="22"/>
          <w:szCs w:val="22"/>
        </w:rPr>
        <w:t xml:space="preserve"> </w:t>
      </w:r>
      <w:r w:rsidR="00CE1B4E" w:rsidRPr="003B251F">
        <w:rPr>
          <w:rFonts w:asciiTheme="minorHAnsi" w:hAnsiTheme="minorHAnsi" w:cs="Arial"/>
          <w:sz w:val="22"/>
          <w:szCs w:val="22"/>
        </w:rPr>
        <w:t xml:space="preserve">significant </w:t>
      </w:r>
      <w:r w:rsidR="001C20C3" w:rsidRPr="003B251F">
        <w:rPr>
          <w:rFonts w:asciiTheme="minorHAnsi" w:hAnsiTheme="minorHAnsi" w:cs="Arial"/>
          <w:sz w:val="22"/>
          <w:szCs w:val="22"/>
        </w:rPr>
        <w:t xml:space="preserve">waits </w:t>
      </w:r>
      <w:r w:rsidR="00DC6A4F" w:rsidRPr="003B251F">
        <w:rPr>
          <w:rFonts w:asciiTheme="minorHAnsi" w:hAnsiTheme="minorHAnsi" w:cs="Arial"/>
          <w:sz w:val="22"/>
          <w:szCs w:val="22"/>
        </w:rPr>
        <w:t>for</w:t>
      </w:r>
      <w:r w:rsidR="00C964EC" w:rsidRPr="003B251F">
        <w:rPr>
          <w:rFonts w:asciiTheme="minorHAnsi" w:hAnsiTheme="minorHAnsi" w:cs="Arial"/>
          <w:sz w:val="22"/>
          <w:szCs w:val="22"/>
        </w:rPr>
        <w:t xml:space="preserve"> </w:t>
      </w:r>
      <w:r w:rsidR="001C20C3" w:rsidRPr="003B251F">
        <w:rPr>
          <w:rFonts w:asciiTheme="minorHAnsi" w:hAnsiTheme="minorHAnsi" w:cs="Arial"/>
          <w:sz w:val="22"/>
          <w:szCs w:val="22"/>
        </w:rPr>
        <w:t xml:space="preserve">specialist review </w:t>
      </w:r>
      <w:r w:rsidR="00CE1B4E" w:rsidRPr="003B251F">
        <w:rPr>
          <w:rFonts w:asciiTheme="minorHAnsi" w:hAnsiTheme="minorHAnsi" w:cs="Arial"/>
          <w:sz w:val="22"/>
          <w:szCs w:val="22"/>
        </w:rPr>
        <w:t>amongst</w:t>
      </w:r>
      <w:r w:rsidR="001C20C3" w:rsidRPr="003B251F">
        <w:rPr>
          <w:rFonts w:asciiTheme="minorHAnsi" w:hAnsiTheme="minorHAnsi" w:cs="Arial"/>
          <w:sz w:val="22"/>
          <w:szCs w:val="22"/>
        </w:rPr>
        <w:t xml:space="preserve"> individuals </w:t>
      </w:r>
      <w:r w:rsidR="00177E9B" w:rsidRPr="003B251F">
        <w:rPr>
          <w:rFonts w:asciiTheme="minorHAnsi" w:hAnsiTheme="minorHAnsi" w:cs="Arial"/>
          <w:sz w:val="22"/>
          <w:szCs w:val="22"/>
        </w:rPr>
        <w:t>with</w:t>
      </w:r>
      <w:r w:rsidR="001C20C3" w:rsidRPr="003B251F">
        <w:rPr>
          <w:rFonts w:asciiTheme="minorHAnsi" w:hAnsiTheme="minorHAnsi" w:cs="Arial"/>
          <w:sz w:val="22"/>
          <w:szCs w:val="22"/>
        </w:rPr>
        <w:t xml:space="preserve"> </w:t>
      </w:r>
      <w:r w:rsidR="00C964EC" w:rsidRPr="003B251F">
        <w:rPr>
          <w:rFonts w:asciiTheme="minorHAnsi" w:hAnsiTheme="minorHAnsi" w:cs="Arial"/>
          <w:sz w:val="22"/>
          <w:szCs w:val="22"/>
        </w:rPr>
        <w:t xml:space="preserve">unresolved </w:t>
      </w:r>
      <w:r w:rsidR="001125F1" w:rsidRPr="003B251F">
        <w:rPr>
          <w:rFonts w:asciiTheme="minorHAnsi" w:hAnsiTheme="minorHAnsi" w:cs="Arial"/>
          <w:sz w:val="22"/>
          <w:szCs w:val="22"/>
        </w:rPr>
        <w:t>g</w:t>
      </w:r>
      <w:r w:rsidR="00800EFE" w:rsidRPr="003B251F">
        <w:rPr>
          <w:rFonts w:asciiTheme="minorHAnsi" w:hAnsiTheme="minorHAnsi" w:cs="Arial"/>
          <w:sz w:val="22"/>
          <w:szCs w:val="22"/>
        </w:rPr>
        <w:t>astrointestinal</w:t>
      </w:r>
      <w:r w:rsidR="003F7D37" w:rsidRPr="003B251F">
        <w:rPr>
          <w:rFonts w:asciiTheme="minorHAnsi" w:hAnsiTheme="minorHAnsi" w:cs="Arial"/>
          <w:sz w:val="22"/>
          <w:szCs w:val="22"/>
        </w:rPr>
        <w:t xml:space="preserve"> (GI)</w:t>
      </w:r>
      <w:r w:rsidR="0022432A" w:rsidRPr="003B251F">
        <w:rPr>
          <w:rFonts w:asciiTheme="minorHAnsi" w:hAnsiTheme="minorHAnsi" w:cs="Arial"/>
          <w:sz w:val="22"/>
          <w:szCs w:val="22"/>
        </w:rPr>
        <w:t xml:space="preserve"> </w:t>
      </w:r>
      <w:r w:rsidR="00800EFE" w:rsidRPr="003B251F">
        <w:rPr>
          <w:rFonts w:asciiTheme="minorHAnsi" w:hAnsiTheme="minorHAnsi" w:cs="Arial"/>
          <w:sz w:val="22"/>
          <w:szCs w:val="22"/>
        </w:rPr>
        <w:t xml:space="preserve">symptoms </w:t>
      </w:r>
      <w:r w:rsidR="00C964EC" w:rsidRPr="003B251F">
        <w:rPr>
          <w:rFonts w:asciiTheme="minorHAnsi" w:hAnsiTheme="minorHAnsi" w:cs="Arial"/>
          <w:sz w:val="22"/>
          <w:szCs w:val="22"/>
        </w:rPr>
        <w:t>can result in</w:t>
      </w:r>
      <w:r w:rsidR="00DB5C1E" w:rsidRPr="003B251F">
        <w:rPr>
          <w:rFonts w:asciiTheme="minorHAnsi" w:hAnsiTheme="minorHAnsi" w:cs="Arial"/>
          <w:sz w:val="22"/>
          <w:szCs w:val="22"/>
        </w:rPr>
        <w:t xml:space="preserve"> </w:t>
      </w:r>
      <w:r w:rsidR="00C964EC" w:rsidRPr="003B251F">
        <w:rPr>
          <w:rFonts w:asciiTheme="minorHAnsi" w:hAnsiTheme="minorHAnsi" w:cs="Arial"/>
          <w:sz w:val="22"/>
          <w:szCs w:val="22"/>
        </w:rPr>
        <w:t>delay</w:t>
      </w:r>
      <w:r w:rsidR="00230728" w:rsidRPr="003B251F">
        <w:rPr>
          <w:rFonts w:asciiTheme="minorHAnsi" w:hAnsiTheme="minorHAnsi" w:cs="Arial"/>
          <w:sz w:val="22"/>
          <w:szCs w:val="22"/>
        </w:rPr>
        <w:t>ed diagnosis of</w:t>
      </w:r>
      <w:r w:rsidR="00DB5C1E" w:rsidRPr="003B251F">
        <w:rPr>
          <w:rFonts w:asciiTheme="minorHAnsi" w:hAnsiTheme="minorHAnsi" w:cs="Arial"/>
          <w:sz w:val="22"/>
          <w:szCs w:val="22"/>
        </w:rPr>
        <w:t xml:space="preserve"> Inflammatory Bowel Disease (IBD).</w:t>
      </w:r>
    </w:p>
    <w:p w14:paraId="2FADDB29" w14:textId="102C5092" w:rsidR="003765D3" w:rsidRPr="003B251F" w:rsidRDefault="001459E5" w:rsidP="00F8215A">
      <w:pPr>
        <w:pStyle w:val="Default"/>
        <w:spacing w:line="360" w:lineRule="auto"/>
        <w:jc w:val="both"/>
        <w:rPr>
          <w:rFonts w:asciiTheme="minorHAnsi" w:hAnsiTheme="minorHAnsi" w:cs="Arial"/>
          <w:sz w:val="22"/>
          <w:szCs w:val="22"/>
        </w:rPr>
      </w:pPr>
      <w:r w:rsidRPr="003B251F">
        <w:rPr>
          <w:rFonts w:asciiTheme="minorHAnsi" w:hAnsiTheme="minorHAnsi" w:cs="Arial"/>
          <w:sz w:val="22"/>
          <w:szCs w:val="22"/>
        </w:rPr>
        <w:t xml:space="preserve">Aims: </w:t>
      </w:r>
      <w:r w:rsidR="00E41433" w:rsidRPr="003B251F">
        <w:rPr>
          <w:rFonts w:asciiTheme="minorHAnsi" w:hAnsiTheme="minorHAnsi" w:cs="Arial"/>
          <w:sz w:val="22"/>
          <w:szCs w:val="22"/>
        </w:rPr>
        <w:t>T</w:t>
      </w:r>
      <w:r w:rsidR="00800EFE" w:rsidRPr="003B251F">
        <w:rPr>
          <w:rFonts w:asciiTheme="minorHAnsi" w:hAnsiTheme="minorHAnsi" w:cs="Arial"/>
          <w:sz w:val="22"/>
          <w:szCs w:val="22"/>
        </w:rPr>
        <w:t xml:space="preserve">o determine the frequency and duration of </w:t>
      </w:r>
      <w:r w:rsidR="00F433B3" w:rsidRPr="003B251F">
        <w:rPr>
          <w:rFonts w:asciiTheme="minorHAnsi" w:hAnsiTheme="minorHAnsi" w:cs="Arial"/>
          <w:sz w:val="22"/>
          <w:szCs w:val="22"/>
        </w:rPr>
        <w:t xml:space="preserve">GI </w:t>
      </w:r>
      <w:r w:rsidR="006E7FEE" w:rsidRPr="003B251F">
        <w:rPr>
          <w:rFonts w:asciiTheme="minorHAnsi" w:hAnsiTheme="minorHAnsi" w:cs="Arial"/>
          <w:sz w:val="22"/>
          <w:szCs w:val="22"/>
        </w:rPr>
        <w:t xml:space="preserve">symptoms </w:t>
      </w:r>
      <w:r w:rsidR="00792692" w:rsidRPr="003B251F">
        <w:rPr>
          <w:rFonts w:asciiTheme="minorHAnsi" w:hAnsiTheme="minorHAnsi" w:cs="Arial"/>
          <w:sz w:val="22"/>
          <w:szCs w:val="22"/>
        </w:rPr>
        <w:t xml:space="preserve">and predictors of timely specialist review </w:t>
      </w:r>
      <w:r w:rsidR="006E7FEE" w:rsidRPr="003B251F">
        <w:rPr>
          <w:rFonts w:asciiTheme="minorHAnsi" w:hAnsiTheme="minorHAnsi" w:cs="Arial"/>
          <w:sz w:val="22"/>
          <w:szCs w:val="22"/>
        </w:rPr>
        <w:t>before the diagnosis of</w:t>
      </w:r>
      <w:r w:rsidR="00F70967" w:rsidRPr="003B251F">
        <w:rPr>
          <w:rFonts w:asciiTheme="minorHAnsi" w:hAnsiTheme="minorHAnsi" w:cs="Arial"/>
          <w:sz w:val="22"/>
          <w:szCs w:val="22"/>
        </w:rPr>
        <w:t xml:space="preserve"> both </w:t>
      </w:r>
      <w:r w:rsidR="00800EFE" w:rsidRPr="003B251F">
        <w:rPr>
          <w:rFonts w:asciiTheme="minorHAnsi" w:hAnsiTheme="minorHAnsi" w:cs="Arial"/>
          <w:sz w:val="22"/>
          <w:szCs w:val="22"/>
        </w:rPr>
        <w:t>Crohn’s Disease (CD) and ulcerative colitis (UC)</w:t>
      </w:r>
      <w:r w:rsidR="00F433B3" w:rsidRPr="003B251F">
        <w:rPr>
          <w:rFonts w:asciiTheme="minorHAnsi" w:hAnsiTheme="minorHAnsi" w:cs="Arial"/>
          <w:sz w:val="22"/>
          <w:szCs w:val="22"/>
        </w:rPr>
        <w:t>.</w:t>
      </w:r>
    </w:p>
    <w:p w14:paraId="1350EB89" w14:textId="77777777" w:rsidR="001C20C3" w:rsidRPr="003B251F" w:rsidRDefault="001C20C3" w:rsidP="00F8215A">
      <w:pPr>
        <w:pStyle w:val="Default"/>
        <w:spacing w:line="360" w:lineRule="auto"/>
        <w:jc w:val="both"/>
        <w:rPr>
          <w:rFonts w:asciiTheme="minorHAnsi" w:hAnsiTheme="minorHAnsi" w:cs="Arial"/>
          <w:sz w:val="22"/>
          <w:szCs w:val="22"/>
        </w:rPr>
      </w:pPr>
    </w:p>
    <w:p w14:paraId="045D12DC" w14:textId="2F8BA1B7" w:rsidR="001125F1" w:rsidRPr="003B251F" w:rsidRDefault="00794AFE" w:rsidP="00F8215A">
      <w:pPr>
        <w:pStyle w:val="Default"/>
        <w:spacing w:line="360" w:lineRule="auto"/>
        <w:jc w:val="both"/>
        <w:rPr>
          <w:rFonts w:asciiTheme="minorHAnsi" w:hAnsiTheme="minorHAnsi" w:cs="Arial"/>
          <w:b/>
          <w:bCs/>
          <w:sz w:val="22"/>
          <w:szCs w:val="22"/>
        </w:rPr>
      </w:pPr>
      <w:r w:rsidRPr="003B251F">
        <w:rPr>
          <w:rFonts w:asciiTheme="minorHAnsi" w:hAnsiTheme="minorHAnsi" w:cs="Arial"/>
          <w:b/>
          <w:bCs/>
          <w:sz w:val="22"/>
          <w:szCs w:val="22"/>
        </w:rPr>
        <w:t>Methods</w:t>
      </w:r>
    </w:p>
    <w:p w14:paraId="48D8BD63" w14:textId="18EF8FF6" w:rsidR="001125F1" w:rsidRPr="003B251F" w:rsidRDefault="00E0077B" w:rsidP="00F8215A">
      <w:pPr>
        <w:pStyle w:val="Default"/>
        <w:spacing w:line="360" w:lineRule="auto"/>
        <w:jc w:val="both"/>
        <w:rPr>
          <w:rFonts w:asciiTheme="minorHAnsi" w:hAnsiTheme="minorHAnsi" w:cs="Arial"/>
          <w:sz w:val="22"/>
          <w:szCs w:val="22"/>
        </w:rPr>
      </w:pPr>
      <w:r w:rsidRPr="003B251F">
        <w:rPr>
          <w:rFonts w:asciiTheme="minorHAnsi" w:hAnsiTheme="minorHAnsi" w:cs="Arial"/>
          <w:sz w:val="22"/>
          <w:szCs w:val="22"/>
        </w:rPr>
        <w:t>C</w:t>
      </w:r>
      <w:r w:rsidR="00DB5C1E" w:rsidRPr="003B251F">
        <w:rPr>
          <w:rFonts w:asciiTheme="minorHAnsi" w:hAnsiTheme="minorHAnsi" w:cs="Arial"/>
          <w:sz w:val="22"/>
          <w:szCs w:val="22"/>
        </w:rPr>
        <w:t xml:space="preserve">ase-control </w:t>
      </w:r>
      <w:r w:rsidR="001125F1" w:rsidRPr="003B251F">
        <w:rPr>
          <w:rFonts w:asciiTheme="minorHAnsi" w:hAnsiTheme="minorHAnsi" w:cs="Arial"/>
          <w:sz w:val="22"/>
          <w:szCs w:val="22"/>
        </w:rPr>
        <w:t xml:space="preserve">study of </w:t>
      </w:r>
      <w:r w:rsidR="00F70967" w:rsidRPr="003B251F">
        <w:rPr>
          <w:rFonts w:asciiTheme="minorHAnsi" w:hAnsiTheme="minorHAnsi" w:cs="Arial"/>
          <w:sz w:val="22"/>
          <w:szCs w:val="22"/>
        </w:rPr>
        <w:t>IBD</w:t>
      </w:r>
      <w:r w:rsidR="001125F1" w:rsidRPr="003B251F">
        <w:rPr>
          <w:rFonts w:asciiTheme="minorHAnsi" w:hAnsiTheme="minorHAnsi" w:cs="Arial"/>
          <w:sz w:val="22"/>
          <w:szCs w:val="22"/>
        </w:rPr>
        <w:t xml:space="preserve"> </w:t>
      </w:r>
      <w:r w:rsidR="00C37026" w:rsidRPr="003B251F">
        <w:rPr>
          <w:rFonts w:asciiTheme="minorHAnsi" w:hAnsiTheme="minorHAnsi" w:cs="Arial"/>
          <w:sz w:val="22"/>
          <w:szCs w:val="22"/>
        </w:rPr>
        <w:t xml:space="preserve">matched </w:t>
      </w:r>
      <w:r w:rsidR="001125F1" w:rsidRPr="003B251F">
        <w:rPr>
          <w:rFonts w:asciiTheme="minorHAnsi" w:hAnsiTheme="minorHAnsi" w:cs="Arial"/>
          <w:sz w:val="22"/>
          <w:szCs w:val="22"/>
        </w:rPr>
        <w:t>1</w:t>
      </w:r>
      <w:r w:rsidR="00C37026" w:rsidRPr="003B251F">
        <w:rPr>
          <w:rFonts w:asciiTheme="minorHAnsi" w:hAnsiTheme="minorHAnsi" w:cs="Arial"/>
          <w:sz w:val="22"/>
          <w:szCs w:val="22"/>
        </w:rPr>
        <w:t>:4</w:t>
      </w:r>
      <w:r w:rsidR="001125F1" w:rsidRPr="003B251F">
        <w:rPr>
          <w:rFonts w:asciiTheme="minorHAnsi" w:hAnsiTheme="minorHAnsi" w:cs="Arial"/>
          <w:sz w:val="22"/>
          <w:szCs w:val="22"/>
        </w:rPr>
        <w:t xml:space="preserve"> for age and sex</w:t>
      </w:r>
      <w:r w:rsidR="001125F1" w:rsidRPr="003B251F" w:rsidDel="001125F1">
        <w:rPr>
          <w:rFonts w:asciiTheme="minorHAnsi" w:hAnsiTheme="minorHAnsi" w:cs="Arial"/>
          <w:sz w:val="22"/>
          <w:szCs w:val="22"/>
        </w:rPr>
        <w:t xml:space="preserve"> </w:t>
      </w:r>
      <w:r w:rsidR="00F433B3" w:rsidRPr="003B251F">
        <w:rPr>
          <w:rFonts w:asciiTheme="minorHAnsi" w:hAnsiTheme="minorHAnsi" w:cs="Arial"/>
          <w:sz w:val="22"/>
          <w:szCs w:val="22"/>
        </w:rPr>
        <w:t xml:space="preserve">to </w:t>
      </w:r>
      <w:r w:rsidR="00DB5C1E" w:rsidRPr="003B251F">
        <w:rPr>
          <w:rFonts w:asciiTheme="minorHAnsi" w:hAnsiTheme="minorHAnsi" w:cs="Arial"/>
          <w:sz w:val="22"/>
          <w:szCs w:val="22"/>
        </w:rPr>
        <w:t xml:space="preserve">controls </w:t>
      </w:r>
      <w:r w:rsidR="001125F1" w:rsidRPr="003B251F">
        <w:rPr>
          <w:rFonts w:asciiTheme="minorHAnsi" w:hAnsiTheme="minorHAnsi" w:cs="Arial"/>
          <w:sz w:val="22"/>
          <w:szCs w:val="22"/>
        </w:rPr>
        <w:t xml:space="preserve">without IBD using </w:t>
      </w:r>
      <w:r w:rsidR="006F32AB" w:rsidRPr="003B251F">
        <w:rPr>
          <w:rFonts w:asciiTheme="minorHAnsi" w:hAnsiTheme="minorHAnsi" w:cs="Arial"/>
          <w:sz w:val="22"/>
          <w:szCs w:val="22"/>
        </w:rPr>
        <w:t xml:space="preserve">the Clinical Practice Research Datalink from 1998-2016. </w:t>
      </w:r>
    </w:p>
    <w:p w14:paraId="22D82A37" w14:textId="77777777" w:rsidR="001C20C3" w:rsidRPr="003B251F" w:rsidRDefault="001C20C3" w:rsidP="00F8215A">
      <w:pPr>
        <w:pStyle w:val="Default"/>
        <w:spacing w:line="360" w:lineRule="auto"/>
        <w:jc w:val="both"/>
        <w:rPr>
          <w:rFonts w:asciiTheme="minorHAnsi" w:hAnsiTheme="minorHAnsi" w:cs="Arial"/>
          <w:sz w:val="22"/>
          <w:szCs w:val="22"/>
        </w:rPr>
      </w:pPr>
    </w:p>
    <w:p w14:paraId="3EDB6C2C" w14:textId="77777777" w:rsidR="006F32AB" w:rsidRPr="003B251F" w:rsidRDefault="006F32AB" w:rsidP="00F8215A">
      <w:pPr>
        <w:pStyle w:val="Default"/>
        <w:spacing w:line="360" w:lineRule="auto"/>
        <w:jc w:val="both"/>
        <w:rPr>
          <w:rFonts w:asciiTheme="minorHAnsi" w:hAnsiTheme="minorHAnsi" w:cs="Arial"/>
          <w:b/>
          <w:bCs/>
          <w:sz w:val="22"/>
          <w:szCs w:val="22"/>
        </w:rPr>
      </w:pPr>
      <w:r w:rsidRPr="003B251F">
        <w:rPr>
          <w:rFonts w:asciiTheme="minorHAnsi" w:hAnsiTheme="minorHAnsi" w:cs="Arial"/>
          <w:b/>
          <w:bCs/>
          <w:sz w:val="22"/>
          <w:szCs w:val="22"/>
        </w:rPr>
        <w:t>Results</w:t>
      </w:r>
    </w:p>
    <w:p w14:paraId="4C6B4BF2" w14:textId="5FD303D7" w:rsidR="001B150B" w:rsidRPr="003B251F" w:rsidRDefault="003765D3" w:rsidP="00F8215A">
      <w:pPr>
        <w:pStyle w:val="Default"/>
        <w:spacing w:line="360" w:lineRule="auto"/>
        <w:jc w:val="both"/>
        <w:rPr>
          <w:rFonts w:asciiTheme="minorHAnsi" w:hAnsiTheme="minorHAnsi" w:cs="Arial"/>
          <w:sz w:val="22"/>
          <w:szCs w:val="22"/>
        </w:rPr>
      </w:pPr>
      <w:r w:rsidRPr="003B251F">
        <w:rPr>
          <w:rFonts w:asciiTheme="minorHAnsi" w:hAnsiTheme="minorHAnsi"/>
          <w:sz w:val="22"/>
          <w:szCs w:val="22"/>
        </w:rPr>
        <w:t xml:space="preserve">We identified </w:t>
      </w:r>
      <w:r w:rsidR="00F70967" w:rsidRPr="003B251F">
        <w:rPr>
          <w:rFonts w:asciiTheme="minorHAnsi" w:hAnsiTheme="minorHAnsi"/>
          <w:sz w:val="22"/>
          <w:szCs w:val="22"/>
        </w:rPr>
        <w:t>19,555</w:t>
      </w:r>
      <w:r w:rsidRPr="003B251F">
        <w:rPr>
          <w:rFonts w:asciiTheme="minorHAnsi" w:hAnsiTheme="minorHAnsi"/>
          <w:sz w:val="22"/>
          <w:szCs w:val="22"/>
        </w:rPr>
        <w:t xml:space="preserve"> </w:t>
      </w:r>
      <w:r w:rsidR="00F433B3" w:rsidRPr="003B251F">
        <w:rPr>
          <w:rFonts w:asciiTheme="minorHAnsi" w:hAnsiTheme="minorHAnsi"/>
          <w:sz w:val="22"/>
          <w:szCs w:val="22"/>
        </w:rPr>
        <w:t xml:space="preserve">cases of </w:t>
      </w:r>
      <w:r w:rsidR="00F70967" w:rsidRPr="003B251F">
        <w:rPr>
          <w:rFonts w:asciiTheme="minorHAnsi" w:hAnsiTheme="minorHAnsi"/>
          <w:sz w:val="22"/>
          <w:szCs w:val="22"/>
        </w:rPr>
        <w:t>IBD</w:t>
      </w:r>
      <w:r w:rsidRPr="003B251F">
        <w:rPr>
          <w:rFonts w:asciiTheme="minorHAnsi" w:hAnsiTheme="minorHAnsi"/>
          <w:sz w:val="22"/>
          <w:szCs w:val="22"/>
        </w:rPr>
        <w:t xml:space="preserve">, and </w:t>
      </w:r>
      <w:r w:rsidR="006337D4" w:rsidRPr="003B251F">
        <w:rPr>
          <w:rFonts w:asciiTheme="minorHAnsi" w:hAnsiTheme="minorHAnsi"/>
          <w:sz w:val="22"/>
          <w:szCs w:val="22"/>
        </w:rPr>
        <w:t>78,114 controls</w:t>
      </w:r>
      <w:r w:rsidRPr="003B251F">
        <w:rPr>
          <w:rFonts w:asciiTheme="minorHAnsi" w:hAnsiTheme="minorHAnsi" w:cs="Arial"/>
          <w:sz w:val="22"/>
          <w:szCs w:val="22"/>
        </w:rPr>
        <w:t>.</w:t>
      </w:r>
      <w:r w:rsidR="0022432A" w:rsidRPr="003B251F">
        <w:rPr>
          <w:rFonts w:asciiTheme="minorHAnsi" w:hAnsiTheme="minorHAnsi" w:cs="Arial"/>
          <w:sz w:val="22"/>
          <w:szCs w:val="22"/>
        </w:rPr>
        <w:t xml:space="preserve"> 1 in 4 cases of IBD reported gastrointestinal symptoms to their primary</w:t>
      </w:r>
      <w:r w:rsidR="00F70967" w:rsidRPr="003B251F">
        <w:rPr>
          <w:rFonts w:asciiTheme="minorHAnsi" w:hAnsiTheme="minorHAnsi" w:cs="Arial"/>
          <w:sz w:val="22"/>
          <w:szCs w:val="22"/>
        </w:rPr>
        <w:t xml:space="preserve"> </w:t>
      </w:r>
      <w:r w:rsidR="00F433B3" w:rsidRPr="003B251F">
        <w:rPr>
          <w:rFonts w:asciiTheme="minorHAnsi" w:hAnsiTheme="minorHAnsi" w:cs="Arial"/>
          <w:sz w:val="22"/>
          <w:szCs w:val="22"/>
        </w:rPr>
        <w:t>care</w:t>
      </w:r>
      <w:r w:rsidR="0022432A" w:rsidRPr="003B251F">
        <w:rPr>
          <w:rFonts w:asciiTheme="minorHAnsi" w:hAnsiTheme="minorHAnsi" w:cs="Arial"/>
          <w:sz w:val="22"/>
          <w:szCs w:val="22"/>
        </w:rPr>
        <w:t xml:space="preserve"> physician</w:t>
      </w:r>
      <w:r w:rsidR="00173F7C" w:rsidRPr="003B251F">
        <w:rPr>
          <w:rFonts w:asciiTheme="minorHAnsi" w:hAnsiTheme="minorHAnsi" w:cs="Arial"/>
          <w:sz w:val="22"/>
          <w:szCs w:val="22"/>
        </w:rPr>
        <w:t xml:space="preserve"> </w:t>
      </w:r>
      <w:r w:rsidR="00F87B18" w:rsidRPr="003B251F">
        <w:rPr>
          <w:rFonts w:asciiTheme="minorHAnsi" w:hAnsiTheme="minorHAnsi" w:cs="Arial"/>
          <w:sz w:val="22"/>
          <w:szCs w:val="22"/>
        </w:rPr>
        <w:t xml:space="preserve">more than </w:t>
      </w:r>
      <w:r w:rsidR="0022432A" w:rsidRPr="003B251F">
        <w:rPr>
          <w:rFonts w:asciiTheme="minorHAnsi" w:hAnsiTheme="minorHAnsi" w:cs="Arial"/>
          <w:sz w:val="22"/>
          <w:szCs w:val="22"/>
        </w:rPr>
        <w:t>6 months before receiving a diagnosis.</w:t>
      </w:r>
      <w:r w:rsidR="00F04C18" w:rsidRPr="003B251F">
        <w:rPr>
          <w:rFonts w:asciiTheme="minorHAnsi" w:hAnsiTheme="minorHAnsi" w:cs="Arial"/>
          <w:sz w:val="22"/>
          <w:szCs w:val="22"/>
        </w:rPr>
        <w:t xml:space="preserve"> </w:t>
      </w:r>
      <w:r w:rsidR="003F7D37" w:rsidRPr="003B251F">
        <w:rPr>
          <w:rFonts w:asciiTheme="minorHAnsi" w:hAnsiTheme="minorHAnsi" w:cs="Arial"/>
          <w:sz w:val="22"/>
          <w:szCs w:val="22"/>
        </w:rPr>
        <w:t xml:space="preserve">There is a significant excess prevalence of GI symptoms in </w:t>
      </w:r>
      <w:r w:rsidR="004E767D" w:rsidRPr="003B251F">
        <w:rPr>
          <w:rFonts w:asciiTheme="minorHAnsi" w:hAnsiTheme="minorHAnsi" w:cs="Arial"/>
          <w:sz w:val="22"/>
          <w:szCs w:val="22"/>
        </w:rPr>
        <w:t xml:space="preserve">each of </w:t>
      </w:r>
      <w:r w:rsidR="003F7D37" w:rsidRPr="003B251F">
        <w:rPr>
          <w:rFonts w:asciiTheme="minorHAnsi" w:hAnsiTheme="minorHAnsi" w:cs="Arial"/>
          <w:sz w:val="22"/>
          <w:szCs w:val="22"/>
        </w:rPr>
        <w:t xml:space="preserve">the 10 years before IBD diagnosis. </w:t>
      </w:r>
      <w:r w:rsidR="00F04C18" w:rsidRPr="003B251F">
        <w:rPr>
          <w:rFonts w:asciiTheme="minorHAnsi" w:hAnsiTheme="minorHAnsi" w:cs="Arial"/>
          <w:sz w:val="22"/>
          <w:szCs w:val="22"/>
        </w:rPr>
        <w:t>G</w:t>
      </w:r>
      <w:r w:rsidR="003F7D37" w:rsidRPr="003B251F">
        <w:rPr>
          <w:rFonts w:asciiTheme="minorHAnsi" w:hAnsiTheme="minorHAnsi" w:cs="Arial"/>
          <w:sz w:val="22"/>
          <w:szCs w:val="22"/>
        </w:rPr>
        <w:t xml:space="preserve">I </w:t>
      </w:r>
      <w:r w:rsidR="00F04C18" w:rsidRPr="003B251F">
        <w:rPr>
          <w:rFonts w:asciiTheme="minorHAnsi" w:hAnsiTheme="minorHAnsi" w:cs="Arial"/>
          <w:sz w:val="22"/>
          <w:szCs w:val="22"/>
        </w:rPr>
        <w:t xml:space="preserve">symptoms </w:t>
      </w:r>
      <w:r w:rsidR="00174B4E" w:rsidRPr="003B251F">
        <w:rPr>
          <w:rFonts w:asciiTheme="minorHAnsi" w:hAnsiTheme="minorHAnsi" w:cs="Arial"/>
          <w:sz w:val="22"/>
          <w:szCs w:val="22"/>
        </w:rPr>
        <w:t xml:space="preserve">were reported by </w:t>
      </w:r>
      <w:r w:rsidR="003F7D37" w:rsidRPr="003B251F">
        <w:rPr>
          <w:rFonts w:asciiTheme="minorHAnsi" w:hAnsiTheme="minorHAnsi" w:cs="Arial"/>
          <w:sz w:val="22"/>
          <w:szCs w:val="22"/>
        </w:rPr>
        <w:t>9.6</w:t>
      </w:r>
      <w:r w:rsidR="00F87B18" w:rsidRPr="003B251F">
        <w:rPr>
          <w:rFonts w:asciiTheme="minorHAnsi" w:hAnsiTheme="minorHAnsi" w:cs="Arial"/>
          <w:sz w:val="22"/>
          <w:szCs w:val="22"/>
        </w:rPr>
        <w:t>%</w:t>
      </w:r>
      <w:r w:rsidR="003F7D37" w:rsidRPr="003B251F">
        <w:rPr>
          <w:rFonts w:asciiTheme="minorHAnsi" w:hAnsiTheme="minorHAnsi" w:cs="Arial"/>
          <w:sz w:val="22"/>
          <w:szCs w:val="22"/>
        </w:rPr>
        <w:t xml:space="preserve"> and </w:t>
      </w:r>
      <w:r w:rsidR="00174B4E" w:rsidRPr="003B251F">
        <w:rPr>
          <w:rFonts w:asciiTheme="minorHAnsi" w:hAnsiTheme="minorHAnsi" w:cs="Arial"/>
          <w:sz w:val="22"/>
          <w:szCs w:val="22"/>
        </w:rPr>
        <w:t>10.4</w:t>
      </w:r>
      <w:r w:rsidR="00F04C18" w:rsidRPr="003B251F">
        <w:rPr>
          <w:rFonts w:asciiTheme="minorHAnsi" w:hAnsiTheme="minorHAnsi" w:cs="Arial"/>
          <w:sz w:val="22"/>
          <w:szCs w:val="22"/>
        </w:rPr>
        <w:t xml:space="preserve">% at 5 years before </w:t>
      </w:r>
      <w:r w:rsidR="003F7D37" w:rsidRPr="003B251F">
        <w:rPr>
          <w:rFonts w:asciiTheme="minorHAnsi" w:hAnsiTheme="minorHAnsi" w:cs="Arial"/>
          <w:sz w:val="22"/>
          <w:szCs w:val="22"/>
        </w:rPr>
        <w:t>CD and UC</w:t>
      </w:r>
      <w:r w:rsidR="00F04C18" w:rsidRPr="003B251F">
        <w:rPr>
          <w:rFonts w:asciiTheme="minorHAnsi" w:hAnsiTheme="minorHAnsi" w:cs="Arial"/>
          <w:sz w:val="22"/>
          <w:szCs w:val="22"/>
        </w:rPr>
        <w:t xml:space="preserve"> diagnosis</w:t>
      </w:r>
      <w:r w:rsidR="003F7D37" w:rsidRPr="003B251F">
        <w:rPr>
          <w:rFonts w:asciiTheme="minorHAnsi" w:hAnsiTheme="minorHAnsi" w:cs="Arial"/>
          <w:sz w:val="22"/>
          <w:szCs w:val="22"/>
        </w:rPr>
        <w:t xml:space="preserve"> respectively compared to</w:t>
      </w:r>
      <w:r w:rsidR="00F04C18" w:rsidRPr="003B251F">
        <w:rPr>
          <w:rFonts w:asciiTheme="minorHAnsi" w:hAnsiTheme="minorHAnsi" w:cs="Arial"/>
          <w:sz w:val="22"/>
          <w:szCs w:val="22"/>
        </w:rPr>
        <w:t xml:space="preserve"> </w:t>
      </w:r>
      <w:r w:rsidR="00F87B18" w:rsidRPr="003B251F">
        <w:rPr>
          <w:rFonts w:asciiTheme="minorHAnsi" w:hAnsiTheme="minorHAnsi" w:cs="Arial"/>
          <w:sz w:val="22"/>
          <w:szCs w:val="22"/>
        </w:rPr>
        <w:t xml:space="preserve">5.8% of </w:t>
      </w:r>
      <w:r w:rsidR="00F04C18" w:rsidRPr="003B251F">
        <w:rPr>
          <w:rFonts w:asciiTheme="minorHAnsi" w:hAnsiTheme="minorHAnsi" w:cs="Arial"/>
          <w:sz w:val="22"/>
          <w:szCs w:val="22"/>
        </w:rPr>
        <w:t>controls.</w:t>
      </w:r>
      <w:r w:rsidR="003F7D37" w:rsidRPr="003B251F">
        <w:rPr>
          <w:rFonts w:asciiTheme="minorHAnsi" w:hAnsiTheme="minorHAnsi" w:cs="Arial"/>
          <w:sz w:val="22"/>
          <w:szCs w:val="22"/>
        </w:rPr>
        <w:t xml:space="preserve"> </w:t>
      </w:r>
      <w:r w:rsidR="00F04C18" w:rsidRPr="003B251F">
        <w:rPr>
          <w:rFonts w:asciiTheme="minorHAnsi" w:hAnsiTheme="minorHAnsi" w:cs="Arial"/>
          <w:sz w:val="22"/>
          <w:szCs w:val="22"/>
        </w:rPr>
        <w:t>Amongst patients later diagnosed with IBD</w:t>
      </w:r>
      <w:r w:rsidR="00F70967" w:rsidRPr="003B251F">
        <w:rPr>
          <w:rFonts w:asciiTheme="minorHAnsi" w:hAnsiTheme="minorHAnsi" w:cs="Arial"/>
          <w:sz w:val="22"/>
          <w:szCs w:val="22"/>
        </w:rPr>
        <w:t>,</w:t>
      </w:r>
      <w:r w:rsidR="00F04C18" w:rsidRPr="003B251F">
        <w:rPr>
          <w:rFonts w:asciiTheme="minorHAnsi" w:hAnsiTheme="minorHAnsi" w:cs="Arial"/>
          <w:sz w:val="22"/>
          <w:szCs w:val="22"/>
        </w:rPr>
        <w:t xml:space="preserve"> </w:t>
      </w:r>
      <w:r w:rsidR="00F433B3" w:rsidRPr="003B251F">
        <w:rPr>
          <w:rFonts w:asciiTheme="minorHAnsi" w:hAnsiTheme="minorHAnsi" w:cs="Arial"/>
          <w:sz w:val="22"/>
          <w:szCs w:val="22"/>
        </w:rPr>
        <w:t>&lt;</w:t>
      </w:r>
      <w:r w:rsidR="00B537F6" w:rsidRPr="003B251F">
        <w:rPr>
          <w:rFonts w:asciiTheme="minorHAnsi" w:hAnsiTheme="minorHAnsi" w:cs="Arial"/>
          <w:sz w:val="22"/>
          <w:szCs w:val="22"/>
        </w:rPr>
        <w:t>50</w:t>
      </w:r>
      <w:r w:rsidR="00003FAC" w:rsidRPr="003B251F">
        <w:rPr>
          <w:rFonts w:asciiTheme="minorHAnsi" w:hAnsiTheme="minorHAnsi" w:cs="Arial"/>
          <w:sz w:val="22"/>
          <w:szCs w:val="22"/>
        </w:rPr>
        <w:t xml:space="preserve">% </w:t>
      </w:r>
      <w:r w:rsidR="00F70967" w:rsidRPr="003B251F">
        <w:rPr>
          <w:rFonts w:asciiTheme="minorHAnsi" w:hAnsiTheme="minorHAnsi" w:cs="Arial"/>
          <w:sz w:val="22"/>
          <w:szCs w:val="22"/>
        </w:rPr>
        <w:t xml:space="preserve">received specialist review </w:t>
      </w:r>
      <w:r w:rsidR="003F7D37" w:rsidRPr="003B251F">
        <w:rPr>
          <w:rFonts w:asciiTheme="minorHAnsi" w:hAnsiTheme="minorHAnsi" w:cs="Arial"/>
          <w:sz w:val="22"/>
          <w:szCs w:val="22"/>
        </w:rPr>
        <w:t xml:space="preserve">within </w:t>
      </w:r>
      <w:r w:rsidR="00B537F6" w:rsidRPr="003B251F">
        <w:rPr>
          <w:rFonts w:asciiTheme="minorHAnsi" w:hAnsiTheme="minorHAnsi" w:cs="Arial"/>
          <w:sz w:val="22"/>
          <w:szCs w:val="22"/>
        </w:rPr>
        <w:t>18</w:t>
      </w:r>
      <w:r w:rsidR="00003FAC" w:rsidRPr="003B251F">
        <w:rPr>
          <w:rFonts w:asciiTheme="minorHAnsi" w:hAnsiTheme="minorHAnsi" w:cs="Arial"/>
          <w:sz w:val="22"/>
          <w:szCs w:val="22"/>
        </w:rPr>
        <w:t xml:space="preserve"> </w:t>
      </w:r>
      <w:r w:rsidR="000345A8" w:rsidRPr="003B251F">
        <w:rPr>
          <w:rFonts w:asciiTheme="minorHAnsi" w:hAnsiTheme="minorHAnsi" w:cs="Arial"/>
          <w:sz w:val="22"/>
          <w:szCs w:val="22"/>
        </w:rPr>
        <w:t>months</w:t>
      </w:r>
      <w:r w:rsidR="00003FAC" w:rsidRPr="003B251F">
        <w:rPr>
          <w:rFonts w:asciiTheme="minorHAnsi" w:hAnsiTheme="minorHAnsi" w:cs="Arial"/>
          <w:sz w:val="22"/>
          <w:szCs w:val="22"/>
        </w:rPr>
        <w:t xml:space="preserve"> </w:t>
      </w:r>
      <w:r w:rsidR="00230728" w:rsidRPr="003B251F">
        <w:rPr>
          <w:rFonts w:asciiTheme="minorHAnsi" w:hAnsiTheme="minorHAnsi" w:cs="Arial"/>
          <w:sz w:val="22"/>
          <w:szCs w:val="22"/>
        </w:rPr>
        <w:t>from</w:t>
      </w:r>
      <w:r w:rsidR="00003FAC" w:rsidRPr="003B251F">
        <w:rPr>
          <w:rFonts w:asciiTheme="minorHAnsi" w:hAnsiTheme="minorHAnsi" w:cs="Arial"/>
          <w:sz w:val="22"/>
          <w:szCs w:val="22"/>
        </w:rPr>
        <w:t xml:space="preserve"> presenting with chronic </w:t>
      </w:r>
      <w:r w:rsidR="00F64E8C" w:rsidRPr="003B251F">
        <w:rPr>
          <w:rFonts w:asciiTheme="minorHAnsi" w:hAnsiTheme="minorHAnsi" w:cs="Arial"/>
          <w:sz w:val="22"/>
          <w:szCs w:val="22"/>
        </w:rPr>
        <w:t xml:space="preserve">GI </w:t>
      </w:r>
      <w:r w:rsidR="00003FAC" w:rsidRPr="003B251F">
        <w:rPr>
          <w:rFonts w:asciiTheme="minorHAnsi" w:hAnsiTheme="minorHAnsi" w:cs="Arial"/>
          <w:sz w:val="22"/>
          <w:szCs w:val="22"/>
        </w:rPr>
        <w:t>symptoms.</w:t>
      </w:r>
      <w:r w:rsidR="001B150B" w:rsidRPr="003B251F">
        <w:rPr>
          <w:rFonts w:asciiTheme="minorHAnsi" w:hAnsiTheme="minorHAnsi" w:cs="Arial"/>
          <w:sz w:val="22"/>
          <w:szCs w:val="22"/>
        </w:rPr>
        <w:t xml:space="preserve"> </w:t>
      </w:r>
      <w:r w:rsidR="00A00B7D" w:rsidRPr="003B251F">
        <w:rPr>
          <w:rFonts w:asciiTheme="minorHAnsi" w:hAnsiTheme="minorHAnsi" w:cs="Arial"/>
          <w:sz w:val="22"/>
          <w:szCs w:val="22"/>
        </w:rPr>
        <w:t>P</w:t>
      </w:r>
      <w:r w:rsidR="00D75282" w:rsidRPr="003B251F">
        <w:rPr>
          <w:rFonts w:asciiTheme="minorHAnsi" w:hAnsiTheme="minorHAnsi" w:cs="Arial"/>
          <w:sz w:val="22"/>
          <w:szCs w:val="22"/>
        </w:rPr>
        <w:t xml:space="preserve">atients </w:t>
      </w:r>
      <w:r w:rsidR="00003FAC" w:rsidRPr="003B251F">
        <w:rPr>
          <w:rFonts w:asciiTheme="minorHAnsi" w:hAnsiTheme="minorHAnsi" w:cs="Arial"/>
          <w:sz w:val="22"/>
          <w:szCs w:val="22"/>
        </w:rPr>
        <w:t xml:space="preserve">with a previous diagnosis of </w:t>
      </w:r>
      <w:r w:rsidR="001C20C3" w:rsidRPr="003B251F">
        <w:rPr>
          <w:rFonts w:asciiTheme="minorHAnsi" w:hAnsiTheme="minorHAnsi" w:cs="Arial"/>
          <w:sz w:val="22"/>
          <w:szCs w:val="22"/>
        </w:rPr>
        <w:t>i</w:t>
      </w:r>
      <w:r w:rsidR="00003FAC" w:rsidRPr="003B251F">
        <w:rPr>
          <w:rFonts w:asciiTheme="minorHAnsi" w:hAnsiTheme="minorHAnsi" w:cs="Arial"/>
          <w:sz w:val="22"/>
          <w:szCs w:val="22"/>
        </w:rPr>
        <w:t xml:space="preserve">rritable </w:t>
      </w:r>
      <w:r w:rsidR="001C20C3" w:rsidRPr="003B251F">
        <w:rPr>
          <w:rFonts w:asciiTheme="minorHAnsi" w:hAnsiTheme="minorHAnsi" w:cs="Arial"/>
          <w:sz w:val="22"/>
          <w:szCs w:val="22"/>
        </w:rPr>
        <w:t>b</w:t>
      </w:r>
      <w:r w:rsidR="00003FAC" w:rsidRPr="003B251F">
        <w:rPr>
          <w:rFonts w:asciiTheme="minorHAnsi" w:hAnsiTheme="minorHAnsi" w:cs="Arial"/>
          <w:sz w:val="22"/>
          <w:szCs w:val="22"/>
        </w:rPr>
        <w:t xml:space="preserve">owel </w:t>
      </w:r>
      <w:r w:rsidR="001C20C3" w:rsidRPr="003B251F">
        <w:rPr>
          <w:rFonts w:asciiTheme="minorHAnsi" w:hAnsiTheme="minorHAnsi" w:cs="Arial"/>
          <w:sz w:val="22"/>
          <w:szCs w:val="22"/>
        </w:rPr>
        <w:t>s</w:t>
      </w:r>
      <w:r w:rsidR="00003FAC" w:rsidRPr="003B251F">
        <w:rPr>
          <w:rFonts w:asciiTheme="minorHAnsi" w:hAnsiTheme="minorHAnsi" w:cs="Arial"/>
          <w:sz w:val="22"/>
          <w:szCs w:val="22"/>
        </w:rPr>
        <w:t>yndrome or depression were less likely to receive</w:t>
      </w:r>
      <w:r w:rsidR="00325F79" w:rsidRPr="003B251F">
        <w:rPr>
          <w:rFonts w:asciiTheme="minorHAnsi" w:hAnsiTheme="minorHAnsi" w:cs="Arial"/>
          <w:sz w:val="22"/>
          <w:szCs w:val="22"/>
        </w:rPr>
        <w:t xml:space="preserve"> </w:t>
      </w:r>
      <w:r w:rsidR="00F04C18" w:rsidRPr="003B251F">
        <w:rPr>
          <w:rFonts w:asciiTheme="minorHAnsi" w:hAnsiTheme="minorHAnsi" w:cs="Arial"/>
          <w:sz w:val="22"/>
          <w:szCs w:val="22"/>
        </w:rPr>
        <w:t xml:space="preserve">timely </w:t>
      </w:r>
      <w:r w:rsidR="00325F79" w:rsidRPr="003B251F">
        <w:rPr>
          <w:rFonts w:asciiTheme="minorHAnsi" w:hAnsiTheme="minorHAnsi" w:cs="Arial"/>
          <w:sz w:val="22"/>
          <w:szCs w:val="22"/>
        </w:rPr>
        <w:t>specialist review</w:t>
      </w:r>
      <w:r w:rsidR="00C8078F" w:rsidRPr="003B251F">
        <w:rPr>
          <w:rFonts w:asciiTheme="minorHAnsi" w:hAnsiTheme="minorHAnsi" w:cs="Arial"/>
          <w:sz w:val="22"/>
          <w:szCs w:val="22"/>
        </w:rPr>
        <w:t xml:space="preserve"> </w:t>
      </w:r>
      <w:r w:rsidR="00325F79" w:rsidRPr="003B251F">
        <w:rPr>
          <w:rFonts w:asciiTheme="minorHAnsi" w:hAnsiTheme="minorHAnsi" w:cs="Arial"/>
          <w:sz w:val="22"/>
          <w:szCs w:val="22"/>
        </w:rPr>
        <w:t>(IBS: HR=</w:t>
      </w:r>
      <w:r w:rsidR="00003FAC" w:rsidRPr="003B251F">
        <w:rPr>
          <w:rFonts w:asciiTheme="minorHAnsi" w:hAnsiTheme="minorHAnsi" w:cs="Arial"/>
          <w:sz w:val="22"/>
          <w:szCs w:val="22"/>
        </w:rPr>
        <w:t xml:space="preserve">0.77, 95%CI 0.60-0.99, </w:t>
      </w:r>
      <w:r w:rsidR="001C20C3" w:rsidRPr="003B251F">
        <w:rPr>
          <w:rFonts w:asciiTheme="minorHAnsi" w:hAnsiTheme="minorHAnsi" w:cs="Arial"/>
          <w:sz w:val="22"/>
          <w:szCs w:val="22"/>
        </w:rPr>
        <w:t>d</w:t>
      </w:r>
      <w:r w:rsidR="00003FAC" w:rsidRPr="003B251F">
        <w:rPr>
          <w:rFonts w:asciiTheme="minorHAnsi" w:hAnsiTheme="minorHAnsi" w:cs="Arial"/>
          <w:sz w:val="22"/>
          <w:szCs w:val="22"/>
        </w:rPr>
        <w:t>epression</w:t>
      </w:r>
      <w:r w:rsidR="00325F79" w:rsidRPr="003B251F">
        <w:rPr>
          <w:rFonts w:asciiTheme="minorHAnsi" w:hAnsiTheme="minorHAnsi" w:cs="Arial"/>
          <w:sz w:val="22"/>
          <w:szCs w:val="22"/>
        </w:rPr>
        <w:t>: HR=</w:t>
      </w:r>
      <w:r w:rsidR="000345A8" w:rsidRPr="003B251F">
        <w:rPr>
          <w:rFonts w:asciiTheme="minorHAnsi" w:hAnsiTheme="minorHAnsi" w:cs="Arial"/>
          <w:sz w:val="22"/>
          <w:szCs w:val="22"/>
        </w:rPr>
        <w:t>0.77, 95%CI 0.60-0.98)</w:t>
      </w:r>
      <w:r w:rsidR="00003FAC" w:rsidRPr="003B251F">
        <w:rPr>
          <w:rFonts w:asciiTheme="minorHAnsi" w:hAnsiTheme="minorHAnsi" w:cs="Arial"/>
          <w:sz w:val="22"/>
          <w:szCs w:val="22"/>
        </w:rPr>
        <w:t>.</w:t>
      </w:r>
    </w:p>
    <w:p w14:paraId="0CF736F8" w14:textId="77777777" w:rsidR="00F04C18" w:rsidRPr="003B251F" w:rsidRDefault="00F04C18" w:rsidP="00F8215A">
      <w:pPr>
        <w:pStyle w:val="Default"/>
        <w:spacing w:line="360" w:lineRule="auto"/>
        <w:jc w:val="both"/>
        <w:rPr>
          <w:rFonts w:asciiTheme="minorHAnsi" w:hAnsiTheme="minorHAnsi" w:cs="Arial"/>
          <w:sz w:val="22"/>
          <w:szCs w:val="22"/>
        </w:rPr>
      </w:pPr>
    </w:p>
    <w:p w14:paraId="1A571B50" w14:textId="558CA895" w:rsidR="00F8215A" w:rsidRPr="003B251F" w:rsidRDefault="00C667C9" w:rsidP="00F8215A">
      <w:pPr>
        <w:spacing w:line="360" w:lineRule="auto"/>
        <w:jc w:val="both"/>
        <w:rPr>
          <w:rFonts w:cs="Arial"/>
        </w:rPr>
      </w:pPr>
      <w:r w:rsidRPr="003B251F">
        <w:rPr>
          <w:rFonts w:cs="Arial"/>
          <w:b/>
          <w:bCs/>
        </w:rPr>
        <w:t>Conclusions</w:t>
      </w:r>
      <w:r w:rsidR="006F32AB" w:rsidRPr="003B251F">
        <w:rPr>
          <w:rFonts w:cs="Arial"/>
          <w:b/>
          <w:bCs/>
        </w:rPr>
        <w:br/>
      </w:r>
      <w:r w:rsidR="00267A49" w:rsidRPr="003B251F">
        <w:rPr>
          <w:rFonts w:cs="Arial"/>
        </w:rPr>
        <w:t>There is a</w:t>
      </w:r>
      <w:r w:rsidR="003F7D37" w:rsidRPr="003B251F">
        <w:rPr>
          <w:rFonts w:cs="Arial"/>
        </w:rPr>
        <w:t xml:space="preserve">n excess </w:t>
      </w:r>
      <w:r w:rsidR="00267A49" w:rsidRPr="003B251F">
        <w:rPr>
          <w:rFonts w:cs="Arial"/>
        </w:rPr>
        <w:t xml:space="preserve">of GI symptoms </w:t>
      </w:r>
      <w:r w:rsidR="004E767D" w:rsidRPr="003B251F">
        <w:rPr>
          <w:rFonts w:cs="Arial"/>
        </w:rPr>
        <w:t>5 years</w:t>
      </w:r>
      <w:r w:rsidR="00F70967" w:rsidRPr="003B251F">
        <w:rPr>
          <w:rFonts w:cs="Arial"/>
        </w:rPr>
        <w:t xml:space="preserve"> before diagnosis of IBD compared to the background population which are likely attributable to undiagnosed disease.</w:t>
      </w:r>
      <w:r w:rsidR="004E767D" w:rsidRPr="003B251F">
        <w:rPr>
          <w:rFonts w:cs="Arial"/>
        </w:rPr>
        <w:t xml:space="preserve"> Previous diagnoses of IBS and </w:t>
      </w:r>
      <w:r w:rsidR="001459E5" w:rsidRPr="003B251F">
        <w:rPr>
          <w:rFonts w:cs="Arial"/>
        </w:rPr>
        <w:t>depression are associated with</w:t>
      </w:r>
      <w:r w:rsidR="004E767D" w:rsidRPr="003B251F">
        <w:rPr>
          <w:rFonts w:cs="Arial"/>
        </w:rPr>
        <w:t xml:space="preserve"> delay</w:t>
      </w:r>
      <w:r w:rsidR="001459E5" w:rsidRPr="003B251F">
        <w:rPr>
          <w:rFonts w:cs="Arial"/>
        </w:rPr>
        <w:t>s</w:t>
      </w:r>
      <w:r w:rsidR="004E767D" w:rsidRPr="003B251F">
        <w:rPr>
          <w:rFonts w:cs="Arial"/>
        </w:rPr>
        <w:t xml:space="preserve"> in specialist review.</w:t>
      </w:r>
      <w:r w:rsidR="00F70967" w:rsidRPr="003B251F">
        <w:rPr>
          <w:rFonts w:cs="Arial"/>
        </w:rPr>
        <w:t xml:space="preserve"> Enhanced pathways are needed to accelerate</w:t>
      </w:r>
      <w:r w:rsidR="003F7D37" w:rsidRPr="003B251F">
        <w:rPr>
          <w:rFonts w:cs="Arial"/>
        </w:rPr>
        <w:t xml:space="preserve"> specialist</w:t>
      </w:r>
      <w:r w:rsidR="00F70967" w:rsidRPr="003B251F">
        <w:rPr>
          <w:rFonts w:cs="Arial"/>
        </w:rPr>
        <w:t xml:space="preserve"> referral and </w:t>
      </w:r>
      <w:r w:rsidR="00575F82" w:rsidRPr="003B251F">
        <w:rPr>
          <w:rFonts w:cs="Arial"/>
        </w:rPr>
        <w:t xml:space="preserve">timely </w:t>
      </w:r>
      <w:r w:rsidR="00230728" w:rsidRPr="003B251F">
        <w:rPr>
          <w:rFonts w:cs="Arial"/>
        </w:rPr>
        <w:t xml:space="preserve">IBD </w:t>
      </w:r>
      <w:r w:rsidR="00F70967" w:rsidRPr="003B251F">
        <w:rPr>
          <w:rFonts w:cs="Arial"/>
        </w:rPr>
        <w:t xml:space="preserve">diagnosis. </w:t>
      </w:r>
    </w:p>
    <w:p w14:paraId="25553AFB" w14:textId="77777777" w:rsidR="00F8215A" w:rsidRPr="003B251F" w:rsidRDefault="00F8215A">
      <w:pPr>
        <w:rPr>
          <w:rFonts w:cs="Arial"/>
        </w:rPr>
      </w:pPr>
      <w:r w:rsidRPr="003B251F">
        <w:rPr>
          <w:rFonts w:cs="Arial"/>
        </w:rPr>
        <w:br w:type="page"/>
      </w:r>
    </w:p>
    <w:p w14:paraId="18B1C654" w14:textId="25D6EB69" w:rsidR="003C632F" w:rsidRPr="003B251F" w:rsidRDefault="00D83D0C" w:rsidP="00A624CE">
      <w:pPr>
        <w:pStyle w:val="Heading1"/>
        <w:jc w:val="both"/>
        <w:rPr>
          <w:b/>
        </w:rPr>
      </w:pPr>
      <w:r w:rsidRPr="003B251F">
        <w:rPr>
          <w:b/>
        </w:rPr>
        <w:lastRenderedPageBreak/>
        <w:t>Introduction</w:t>
      </w:r>
    </w:p>
    <w:p w14:paraId="59EFD875" w14:textId="77777777" w:rsidR="005B484E" w:rsidRPr="003B251F" w:rsidRDefault="005B484E" w:rsidP="00D75282"/>
    <w:p w14:paraId="7AADB4DB" w14:textId="6407B736" w:rsidR="00520273" w:rsidRPr="003B251F" w:rsidRDefault="00EC665B" w:rsidP="00520273">
      <w:pPr>
        <w:spacing w:line="480" w:lineRule="auto"/>
        <w:jc w:val="both"/>
        <w:rPr>
          <w:szCs w:val="26"/>
        </w:rPr>
      </w:pPr>
      <w:r w:rsidRPr="003B251F">
        <w:rPr>
          <w:szCs w:val="26"/>
        </w:rPr>
        <w:t>Timely diagnosis of</w:t>
      </w:r>
      <w:r w:rsidR="00F943A8" w:rsidRPr="003B251F">
        <w:rPr>
          <w:szCs w:val="26"/>
        </w:rPr>
        <w:t xml:space="preserve"> Inflammatory Bowel Disease (IBD</w:t>
      </w:r>
      <w:r w:rsidR="001B2117" w:rsidRPr="003B251F">
        <w:rPr>
          <w:szCs w:val="26"/>
        </w:rPr>
        <w:t>) i</w:t>
      </w:r>
      <w:r w:rsidR="00F943A8" w:rsidRPr="003B251F">
        <w:rPr>
          <w:szCs w:val="26"/>
        </w:rPr>
        <w:t xml:space="preserve">s essential to enable early </w:t>
      </w:r>
      <w:r w:rsidR="001E5BAE" w:rsidRPr="003B251F">
        <w:rPr>
          <w:szCs w:val="26"/>
        </w:rPr>
        <w:t>treatment</w:t>
      </w:r>
      <w:r w:rsidR="00C11662" w:rsidRPr="003B251F">
        <w:rPr>
          <w:szCs w:val="26"/>
        </w:rPr>
        <w:t xml:space="preserve"> to</w:t>
      </w:r>
      <w:r w:rsidR="001E5BAE" w:rsidRPr="003B251F">
        <w:rPr>
          <w:szCs w:val="26"/>
        </w:rPr>
        <w:t xml:space="preserve"> </w:t>
      </w:r>
      <w:r w:rsidR="001B2117" w:rsidRPr="003B251F">
        <w:rPr>
          <w:szCs w:val="26"/>
        </w:rPr>
        <w:t xml:space="preserve">alleviate </w:t>
      </w:r>
      <w:r w:rsidR="002A43CA" w:rsidRPr="003B251F">
        <w:rPr>
          <w:szCs w:val="26"/>
        </w:rPr>
        <w:t>symptoms</w:t>
      </w:r>
      <w:r w:rsidR="00C11662" w:rsidRPr="003B251F">
        <w:rPr>
          <w:szCs w:val="26"/>
        </w:rPr>
        <w:t xml:space="preserve"> and</w:t>
      </w:r>
      <w:r w:rsidR="002A43CA" w:rsidRPr="003B251F">
        <w:rPr>
          <w:szCs w:val="26"/>
        </w:rPr>
        <w:t xml:space="preserve"> </w:t>
      </w:r>
      <w:r w:rsidR="001E5BAE" w:rsidRPr="003B251F">
        <w:rPr>
          <w:szCs w:val="26"/>
        </w:rPr>
        <w:t>prevent</w:t>
      </w:r>
      <w:r w:rsidR="00EB6A97" w:rsidRPr="003B251F">
        <w:rPr>
          <w:szCs w:val="26"/>
        </w:rPr>
        <w:t xml:space="preserve"> disease</w:t>
      </w:r>
      <w:r w:rsidR="001E5BAE" w:rsidRPr="003B251F">
        <w:rPr>
          <w:szCs w:val="26"/>
        </w:rPr>
        <w:t xml:space="preserve"> progression</w:t>
      </w:r>
      <w:r w:rsidR="00F943A8" w:rsidRPr="003B251F">
        <w:rPr>
          <w:szCs w:val="26"/>
        </w:rPr>
        <w:t xml:space="preserve">. </w:t>
      </w:r>
      <w:r w:rsidR="00E32843" w:rsidRPr="003B251F">
        <w:rPr>
          <w:szCs w:val="26"/>
        </w:rPr>
        <w:t xml:space="preserve">Individuals who wait </w:t>
      </w:r>
      <w:r w:rsidR="001B2117" w:rsidRPr="003B251F">
        <w:rPr>
          <w:szCs w:val="26"/>
        </w:rPr>
        <w:t xml:space="preserve">for more than 2 years </w:t>
      </w:r>
      <w:r w:rsidR="00E32843" w:rsidRPr="003B251F">
        <w:rPr>
          <w:szCs w:val="26"/>
        </w:rPr>
        <w:t xml:space="preserve">from the onset of gastrointestinal symptoms to </w:t>
      </w:r>
      <w:r w:rsidR="001B2117" w:rsidRPr="003B251F">
        <w:rPr>
          <w:szCs w:val="26"/>
        </w:rPr>
        <w:t xml:space="preserve">Crohn’s disease (CD) </w:t>
      </w:r>
      <w:r w:rsidR="00E32843" w:rsidRPr="003B251F">
        <w:rPr>
          <w:szCs w:val="26"/>
        </w:rPr>
        <w:t>diagnosis are at</w:t>
      </w:r>
      <w:r w:rsidR="00EB6A97" w:rsidRPr="003B251F">
        <w:rPr>
          <w:szCs w:val="26"/>
        </w:rPr>
        <w:t xml:space="preserve"> increased risk of </w:t>
      </w:r>
      <w:r w:rsidR="00852245" w:rsidRPr="003B251F">
        <w:rPr>
          <w:szCs w:val="26"/>
        </w:rPr>
        <w:t>emergency</w:t>
      </w:r>
      <w:r w:rsidR="00EB6A97" w:rsidRPr="003B251F">
        <w:rPr>
          <w:szCs w:val="26"/>
        </w:rPr>
        <w:t xml:space="preserve"> surgery.</w:t>
      </w:r>
      <w:r w:rsidR="001C2F16" w:rsidRPr="003B251F">
        <w:rPr>
          <w:szCs w:val="26"/>
        </w:rPr>
        <w:fldChar w:fldCharType="begin" w:fldLock="1"/>
      </w:r>
      <w:r w:rsidR="00935497" w:rsidRPr="003B251F">
        <w:rPr>
          <w:szCs w:val="26"/>
        </w:rPr>
        <w:instrText>ADDIN CSL_CITATION {"citationItems":[{"id":"ITEM-1","itemData":{"DOI":"10.12659/MSM.904238","ISSN":"16433750","abstract":"BACKGROUND Increasing evidence suggests that delayed diagnosis in Crohn's disease is associated with a complicated disease course. The aim of this study was to explore the association between delayed diagnosis and the timing of the first Crohn's disease-related intestinal surgery. MATERIAL AND METHODS A retrospective study included 215 Crohn's disease patients with previous surgical history in the Department of General Surgery of Jinling Hospital, China, between January 2013 and March 2016. Data were collected on demographics, clinical characteristics, medication history, and operation history. RESULTS The time from the first appearance of Crohn's disease-related symptoms to the first intestinal surgery in the delayed diagnosis group was obviously shorter than in the non-delayed diagnosis group (26.4±28.7 months vs. 42.6±58.4 months, respectively, p=0.032). Patients in the delayed diagnosis group tended to receive more ileal resections (47.8% vs. 26.4%, respectively, p=0.002) and less ileocecal resections (22.4% vs. 37.2%, respectively, p=0.032). More patients in the delayed diagnosis group received the first Crohn's disease-related intestinal surgery as an emergency one (20.9% vs. 4.7%, respectively, p=0.001). CONCLUSIONS Delayed diagnosis is associated with early and emergency need for the first Crohn's disease-related intestinal surgery.","author":[{"dropping-particle":"","family":"Hong","given":"Zhiwu","non-dropping-particle":"","parse-names":false,"suffix":""},{"dropping-particle":"","family":"Ren","given":"Jianan","non-dropping-particle":"","parse-names":false,"suffix":""},{"dropping-particle":"","family":"Li","given":"Yuan","non-dropping-particle":"","parse-names":false,"suffix":""},{"dropping-particle":"","family":"Wang","given":"Gefei","non-dropping-particle":"","parse-names":false,"suffix":""},{"dropping-particle":"","family":"Gu","given":"Guosheng","non-dropping-particle":"","parse-names":false,"suffix":""},{"dropping-particle":"","family":"Wu","given":"Xiuwen","non-dropping-particle":"","parse-names":false,"suffix":""},{"dropping-particle":"","family":"Ren","given":"Huajian","non-dropping-particle":"","parse-names":false,"suffix":""},{"dropping-particle":"","family":"Li","given":"Jieshou","non-dropping-particle":"","parse-names":false,"suffix":""}],"container-title":"Medical Science Monitor","id":"ITEM-1","issued":{"date-parts":[["2017"]]},"page":"4841-4846","title":"Delayed diagnosis is associated with early and emergency need for first crohn’s disease-related intestinal surgery","type":"article-journal","volume":"23"},"uris":["http://www.mendeley.com/documents/?uuid=8c0ed9bc-2bb2-4f97-86a8-ae5722fd3cb5"]}],"mendeley":{"formattedCitation":"&lt;sup&gt;1&lt;/sup&gt;","plainTextFormattedCitation":"1","previouslyFormattedCitation":"&lt;sup&gt;1&lt;/sup&gt;"},"properties":{"noteIndex":0},"schema":"https://github.com/citation-style-language/schema/raw/master/csl-citation.json"}</w:instrText>
      </w:r>
      <w:r w:rsidR="001C2F16" w:rsidRPr="003B251F">
        <w:rPr>
          <w:szCs w:val="26"/>
        </w:rPr>
        <w:fldChar w:fldCharType="separate"/>
      </w:r>
      <w:r w:rsidR="001C2F16" w:rsidRPr="003B251F">
        <w:rPr>
          <w:noProof/>
          <w:szCs w:val="26"/>
          <w:vertAlign w:val="superscript"/>
        </w:rPr>
        <w:t>1</w:t>
      </w:r>
      <w:r w:rsidR="001C2F16" w:rsidRPr="003B251F">
        <w:rPr>
          <w:szCs w:val="26"/>
        </w:rPr>
        <w:fldChar w:fldCharType="end"/>
      </w:r>
      <w:r w:rsidR="005F6C2B" w:rsidRPr="003B251F">
        <w:rPr>
          <w:szCs w:val="26"/>
        </w:rPr>
        <w:t xml:space="preserve"> Likewise, </w:t>
      </w:r>
      <w:r w:rsidR="004B0C0E" w:rsidRPr="003B251F">
        <w:rPr>
          <w:szCs w:val="26"/>
        </w:rPr>
        <w:t xml:space="preserve">those </w:t>
      </w:r>
      <w:r w:rsidR="005F6C2B" w:rsidRPr="003B251F">
        <w:rPr>
          <w:szCs w:val="26"/>
        </w:rPr>
        <w:t xml:space="preserve">who are symptomatic for more than 6 months </w:t>
      </w:r>
      <w:r w:rsidR="00935337" w:rsidRPr="003B251F">
        <w:rPr>
          <w:szCs w:val="26"/>
        </w:rPr>
        <w:t>prior to their diagnosis of ulcerative colitis (UC)</w:t>
      </w:r>
      <w:r w:rsidR="005F6C2B" w:rsidRPr="003B251F">
        <w:rPr>
          <w:szCs w:val="26"/>
        </w:rPr>
        <w:t xml:space="preserve"> are more likely to undergo colectomy.</w:t>
      </w:r>
      <w:r w:rsidR="005F6C2B" w:rsidRPr="003B251F">
        <w:rPr>
          <w:szCs w:val="26"/>
        </w:rPr>
        <w:fldChar w:fldCharType="begin" w:fldLock="1"/>
      </w:r>
      <w:r w:rsidR="00D10280" w:rsidRPr="003B251F">
        <w:rPr>
          <w:szCs w:val="26"/>
        </w:rPr>
        <w:instrText>ADDIN CSL_CITATION {"citationItems":[{"id":"ITEM-1","itemData":{"DOI":"10.3748/wjg.v23.i35.6474","ISBN":"0000000256","author":[{"dropping-particle":"","family":"Lee","given":"Dong-won","non-dropping-particle":"","parse-names":false,"suffix":""},{"dropping-particle":"","family":"Koo","given":"Ja Seol","non-dropping-particle":"","parse-names":false,"suffix":""},{"dropping-particle":"","family":"Choe","given":"Jung Wan","non-dropping-particle":"","parse-names":false,"suffix":""},{"dropping-particle":"","family":"Suh","given":"Sang Jun","non-dropping-particle":"","parse-names":false,"suffix":""},{"dropping-particle":"","family":"Kim","given":"Seung Young","non-dropping-particle":"","parse-names":false,"suffix":""},{"dropping-particle":"","family":"Hyun","given":"Jong Jin","non-dropping-particle":"","parse-names":false,"suffix":""},{"dropping-particle":"","family":"Woo","given":"Sung","non-dropping-particle":"","parse-names":false,"suffix":""},{"dropping-particle":"","family":"Jung","given":"Young Kul","non-dropping-particle":"","parse-names":false,"suffix":""},{"dropping-particle":"","family":"Yim","given":"Hyung Joon","non-dropping-particle":"","parse-names":false,"suffix":""},{"dropping-particle":"","family":"Lee","given":"Sang Woo","non-dropping-particle":"","parse-names":false,"suffix":""},{"dropping-particle":"","family":"Lee","given":"Dong-won","non-dropping-particle":"","parse-names":false,"suffix":""},{"dropping-particle":"","family":"Koo","given":"Ja Seol","non-dropping-particle":"","parse-names":false,"suffix":""},{"dropping-particle":"","family":"Choe","given":"Jung Wan","non-dropping-particle":"","parse-names":false,"suffix":""},{"dropping-particle":"","family":"Jun","given":"Sang","non-dropping-particle":"","parse-names":false,"suffix":""}],"container-title":"World Journal of Gastroenterology","id":"ITEM-1","issue":"35","issued":{"date-parts":[["2017"]]},"page":"6474-6481","title":"Diagnostic delay in inflammatory bowel disease increases the risk of intestinal surgery","type":"article-journal","volume":"23"},"uris":["http://www.mendeley.com/documents/?uuid=08cdd211-5814-4ea0-bfca-7f4afc8a10e8"]}],"mendeley":{"formattedCitation":"&lt;sup&gt;2&lt;/sup&gt;","plainTextFormattedCitation":"2","previouslyFormattedCitation":"&lt;sup&gt;2&lt;/sup&gt;"},"properties":{"noteIndex":0},"schema":"https://github.com/citation-style-language/schema/raw/master/csl-citation.json"}</w:instrText>
      </w:r>
      <w:r w:rsidR="005F6C2B" w:rsidRPr="003B251F">
        <w:rPr>
          <w:szCs w:val="26"/>
        </w:rPr>
        <w:fldChar w:fldCharType="separate"/>
      </w:r>
      <w:r w:rsidR="005F6C2B" w:rsidRPr="003B251F">
        <w:rPr>
          <w:noProof/>
          <w:szCs w:val="26"/>
          <w:vertAlign w:val="superscript"/>
        </w:rPr>
        <w:t>2</w:t>
      </w:r>
      <w:r w:rsidR="005F6C2B" w:rsidRPr="003B251F">
        <w:rPr>
          <w:szCs w:val="26"/>
        </w:rPr>
        <w:fldChar w:fldCharType="end"/>
      </w:r>
      <w:r w:rsidR="00852245" w:rsidRPr="003B251F">
        <w:rPr>
          <w:szCs w:val="26"/>
        </w:rPr>
        <w:t xml:space="preserve"> </w:t>
      </w:r>
      <w:r w:rsidR="00492399" w:rsidRPr="003B251F">
        <w:rPr>
          <w:szCs w:val="26"/>
        </w:rPr>
        <w:t>E</w:t>
      </w:r>
      <w:r w:rsidR="005F6C2B" w:rsidRPr="003B251F">
        <w:rPr>
          <w:szCs w:val="26"/>
        </w:rPr>
        <w:t xml:space="preserve">arly treatment with immunomodulators and biologics </w:t>
      </w:r>
      <w:r w:rsidR="009F16E8" w:rsidRPr="003B251F">
        <w:rPr>
          <w:szCs w:val="26"/>
        </w:rPr>
        <w:t xml:space="preserve">can reduce the risk </w:t>
      </w:r>
      <w:r w:rsidR="005F6C2B" w:rsidRPr="003B251F">
        <w:rPr>
          <w:szCs w:val="26"/>
        </w:rPr>
        <w:t xml:space="preserve">of </w:t>
      </w:r>
      <w:r w:rsidR="005B484E" w:rsidRPr="003B251F">
        <w:rPr>
          <w:szCs w:val="26"/>
        </w:rPr>
        <w:t>disease progression to str</w:t>
      </w:r>
      <w:r w:rsidR="00FF16DF" w:rsidRPr="003B251F">
        <w:rPr>
          <w:szCs w:val="26"/>
        </w:rPr>
        <w:t>i</w:t>
      </w:r>
      <w:r w:rsidR="005B484E" w:rsidRPr="003B251F">
        <w:rPr>
          <w:szCs w:val="26"/>
        </w:rPr>
        <w:t>cturing (B2) and penetrating (B3</w:t>
      </w:r>
      <w:r w:rsidR="001D2388" w:rsidRPr="003B251F">
        <w:rPr>
          <w:szCs w:val="26"/>
        </w:rPr>
        <w:t>)</w:t>
      </w:r>
      <w:r w:rsidR="005B484E" w:rsidRPr="003B251F">
        <w:rPr>
          <w:szCs w:val="26"/>
        </w:rPr>
        <w:t xml:space="preserve"> disease phenotype</w:t>
      </w:r>
      <w:r w:rsidR="00FF16DF" w:rsidRPr="003B251F">
        <w:rPr>
          <w:szCs w:val="26"/>
        </w:rPr>
        <w:t xml:space="preserve"> </w:t>
      </w:r>
      <w:r w:rsidR="005B484E" w:rsidRPr="003B251F">
        <w:rPr>
          <w:szCs w:val="26"/>
        </w:rPr>
        <w:t>and the consequent</w:t>
      </w:r>
      <w:r w:rsidR="0015649A" w:rsidRPr="003B251F">
        <w:rPr>
          <w:szCs w:val="26"/>
        </w:rPr>
        <w:t xml:space="preserve"> </w:t>
      </w:r>
      <w:r w:rsidR="005F6C2B" w:rsidRPr="003B251F">
        <w:rPr>
          <w:szCs w:val="26"/>
        </w:rPr>
        <w:t xml:space="preserve">need for </w:t>
      </w:r>
      <w:r w:rsidR="005B484E" w:rsidRPr="003B251F">
        <w:rPr>
          <w:szCs w:val="26"/>
        </w:rPr>
        <w:t xml:space="preserve">intestinal and perianal </w:t>
      </w:r>
      <w:r w:rsidR="005F6C2B" w:rsidRPr="003B251F">
        <w:rPr>
          <w:szCs w:val="26"/>
        </w:rPr>
        <w:t>surgery in CD</w:t>
      </w:r>
      <w:r w:rsidR="00831D58" w:rsidRPr="003B251F">
        <w:rPr>
          <w:szCs w:val="26"/>
        </w:rPr>
        <w:t xml:space="preserve"> by more than 50%</w:t>
      </w:r>
      <w:r w:rsidR="005F6C2B" w:rsidRPr="003B251F">
        <w:rPr>
          <w:szCs w:val="26"/>
        </w:rPr>
        <w:t>.</w:t>
      </w:r>
      <w:r w:rsidR="00D10280" w:rsidRPr="003B251F">
        <w:rPr>
          <w:szCs w:val="26"/>
        </w:rPr>
        <w:fldChar w:fldCharType="begin" w:fldLock="1"/>
      </w:r>
      <w:r w:rsidR="00FF16DF" w:rsidRPr="003B251F">
        <w:rPr>
          <w:szCs w:val="26"/>
        </w:rPr>
        <w:instrText>ADDIN CSL_CITATION {"citationItems":[{"id":"ITEM-1","itemData":{"DOI":"10.1111/apt.13363","ISBN":"1365-2036 (Electronic)\\r0269-2813 (Linking)","ISSN":"13652036","PMID":"26271358","abstract":"BACKGROUND: The impact of early treatment with immunomodulators (IM) and/or TNF antagonists on bowel damage in Crohn's disease (CD) patients is unknown. AIM: To assess whether 'early treatment' with IM and/or TNF antagonists, defined as treatment within a 2-year period from the date of CD diagnosis, was associated with development of lesser number of disease complications when compared to 'late treatment', which was defined as treatment initiation after &gt;2 years from the time of CD diagnosis. METHODS: Data from the Swiss IBD Cohort Study were analysed. The following outcomes were assessed using Cox proportional hazard modelling: bowel strictures, perianal fistulas, internal fistulas, intestinal surgery, perianal surgery and any of the aforementioned complications. RESULTS: The 'early treatment' group of 292 CD patients was compared to the 'late treatment' group of 248 CD patients. We found that 'early treatment' with IM or TNF antagonists alone was associated with reduced risk of bowel strictures [hazard ratio (HR) 0.496, P = 0.004 for IM; HR 0.276, P = 0.018 for TNF antagonists]. Furthermore, 'early treatment' with IM was associated with reduced risk of undergoing intestinal surgery (HR 0.322, P = 0.005), and perianal surgery (HR 0.361, P = 0.042), as well as developing any complication (HR 0.567, P = 0.006). CONCLUSIONS: Treatment with immunomodulators or TNF antagonists within the first 2 years of CD diagnosis was associated with reduced risk of developing bowel strictures, when compared to initiating these drugs &gt;2 years after diagnosis. Furthermore, early immunomodulators treatment was associated with reduced risk of intestinal surgery, perianal surgery and any complication.","author":[{"dropping-particle":"","family":"Safroneeva","given":"E.","non-dropping-particle":"","parse-names":false,"suffix":""},{"dropping-particle":"","family":"Vavricka","given":"S. R.","non-dropping-particle":"","parse-names":false,"suffix":""},{"dropping-particle":"","family":"Fournier","given":"N.","non-dropping-particle":"","parse-names":false,"suffix":""},{"dropping-particle":"","family":"Pittet","given":"V.","non-dropping-particle":"","parse-names":false,"suffix":""},{"dropping-particle":"","family":"Peyrin-Biroulet","given":"L.","non-dropping-particle":"","parse-names":false,"suffix":""},{"dropping-particle":"","family":"Straumann","given":"A.","non-dropping-particle":"","parse-names":false,"suffix":""},{"dropping-particle":"","family":"Rogler","given":"G.","non-dropping-particle":"","parse-names":false,"suffix":""},{"dropping-particle":"","family":"Schoepfer","given":"A. M.","non-dropping-particle":"","parse-names":false,"suffix":""}],"container-title":"Alimentary Pharmacology and Therapeutics","id":"ITEM-1","issue":"8","issued":{"date-parts":[["2015"]]},"page":"977-989","title":"Impact of the early use of immunomodulators or TNF antagonists on bowel damage and surgery in Crohn's disease","type":"article-journal","volume":"42"},"uris":["http://www.mendeley.com/documents/?uuid=b67f7098-adf4-4da2-bcf6-be6a039f99d0"]},{"id":"ITEM-2","itemData":{"DOI":"10.1111/apt.13361","ISSN":"13652036","PMID":"26271196","abstract":"BACKGROUND The role of early thiopurine treatment in inflammatory bowel disease (IBD) is unproven. AIM To quantify the impact of timing and duration of thiopurines on the risk of first surgery in children and young people with IBD using a population-based cohort. METHODS We constructed an incident cohort of children and young people aged &lt;25 years, diagnosed with Crohn's disease (CD) or ulcerative colitis (UC) from 1990 to 2009. We used Cox proportional hazards modelling to determine the impact of early thiopurine use, commenced within a year of diagnosis on risk of first surgery. RESULTS We identified 1595 and 1175 incident cases of CD and UC respectively with a mean length of follow-up of 4.3 years/person. There were 216 (13.5%) and 73 (6.2%) surgeries for CD and UC patients between 1990 and 2009 respectively. In CD among thiopurine users, the absolute risk of surgery at 5 years for early thiopurine use vs. late was 15.3% (95% CI: 10.5-22.1) vs. 22.1% (95% CI: 18.1-26.9) respectively. After adjustment, the early use of thiopurines was associated with a reduction in risk of first surgery of 39% (HR 0.61, 95% CI: 0.41-0.91) over the 20-year study period. In UC, early thiopurine use offered no additional benefit. CONCLUSIONS In Crohn's disease, early treatment with thiopurines in children and young people is associated with an appreciable reduction in the risk of surgery, but early treatment does not reduce surgical risk in UC.","author":[{"dropping-particle":"","family":"Chhaya","given":"V.","non-dropping-particle":"","parse-names":false,"suffix":""},{"dropping-particle":"","family":"Pollok","given":"R. C G","non-dropping-particle":"","parse-names":false,"suffix":""},{"dropping-particle":"","family":"Cecil","given":"E.","non-dropping-particle":"","parse-names":false,"suffix":""},{"dropping-particle":"","family":"Subramanian","given":"V.","non-dropping-particle":"","parse-names":false,"suffix":""},{"dropping-particle":"","family":"Curcin","given":"V.","non-dropping-particle":"","parse-names":false,"suffix":""},{"dropping-particle":"","family":"Majeed","given":"A.","non-dropping-particle":"","parse-names":false,"suffix":""},{"dropping-particle":"","family":"Saxena","given":"S.","non-dropping-particle":"","parse-names":false,"suffix":""}],"container-title":"Alimentary Pharmacology and Therapeutics","id":"ITEM-2","issue":"8","issued":{"date-parts":[["2015"]]},"page":"990-999","title":"Impact of early thiopurines on surgery in 2770 children and young people diagnosed with inflammatory bowel disease: A national population-based study","type":"article-journal","volume":"42"},"uris":["http://www.mendeley.com/documents/?uuid=797a54aa-3741-45df-ae16-ba18354ee729"]},{"id":"ITEM-3","itemData":{"DOI":"10.1038/ajg.2014.97","ISBN":"1572-0241 (Electronic)\\r0002-9270 (Linking)","ISSN":"15720241","PMID":"24796767","abstract":"OBJECTIVES: Crohn's disease (CD) induces cumulative structural damage, initially characterized by a non-stenosing non-penetrating behavior (B1) with progression over time to a fibro-stenosing (B2) and/or penetrating phenotype (B3). Our aim was to assess the long-term evolution of disease behavior of CD and determine what factors predict phenotype progression.\\n\\nMETHODS: This was a study based on prospectively collected data from a CD database in an inflammatory bowel disease outpatient clinic. B1 corresponds to a non-stenosing non-penetrating disease, B2 to a stenosing behavior, and B3 to a penetrating one.\\n\\nRESULTS: Seven hundred and thirty-six patients with CD (368 female) were followed up for 12.3 years (±8.4), with 87.0% of them exhibiting B1 phenotype at diagnosis. Of these patients, 28.5% progressed to B2 phenotype and 23.5% to B3. Fifty percent of the patients started azathioprine treatment before phenotype change and 13.9% started anti-tumor necrosis factor-α (anti-TNFα) treatment before phenotype change. Monotherapy with azathioprine before phenotype change as well as combination therapy with azathioprine/anti-TNFα before phenotype change delayed disease progression (B1-B2 or B3) in comparison with patients who did not receive treatment (P&lt;0.001). The hazard ratio (HR) for disease progression was lower for both monotherapy with azathioprine (HR: 0.15, P&lt;0.001) or combination therapy with anti-TNFα (HR: 0.33, P&lt;0.001). Upper gastrointestinal tract involvement, male gender, and steroid use were associated with an early progression of phenotype from B1 to B2 or B3 (P&lt;0.001). The HR for disease progression was higher in patients who used steroids without criteria of dependence or resistance (HR: 2.67, P&lt;0.001) and was even higher in patients with criteria of dependence or resistance (HR: 6.44, P&lt;0.001). Longer delays between CD diagnosis and beginning of therapy with azathioprine and/or anti-TNFα were associated with disease progression. The longer the duration of treatment, the less likely the disease progression.\\n\\nCONCLUSIONS: Monotherapy with azathioprine before behavior change as well as combination therapy with azathioprine and anti-TNFα before behavior change delays phenotype progression of CD, whereas upper gastrointestinal tract involvement, male gender, and steroid use with or without criteria of steroid dependence are associated with a higher risk for disease progression.","author":[{"dropping-particle":"","family":"Magro","given":"Fernando","non-dropping-particle":"","parse-names":false,"suffix":""},{"dropping-particle":"","family":"Rodrigues-Pinto","given":"Eduardo","non-dropping-particle":"","parse-names":false,"suffix":""},{"dropping-particle":"","family":"Coelho","given":"Rosa","non-dropping-particle":"","parse-names":false,"suffix":""},{"dropping-particle":"","family":"Andrade","given":"Patrícia","non-dropping-particle":"","parse-names":false,"suffix":""},{"dropping-particle":"","family":"Santos-Antunes","given":"João","non-dropping-particle":"","parse-names":false,"suffix":""},{"dropping-particle":"","family":"Lopes","given":"Susana","non-dropping-particle":"","parse-names":false,"suffix":""},{"dropping-particle":"","family":"Camila-Dias","given":"Claudia","non-dropping-particle":"","parse-names":false,"suffix":""},{"dropping-particle":"","family":"MacEdo","given":"Guilherme","non-dropping-particle":"","parse-names":false,"suffix":""}],"container-title":"American Journal of Gastroenterology","id":"ITEM-3","issue":"7","issued":{"date-parts":[["2014"]]},"page":"1026-1036","title":"Is it possible to change phenotype progression in crohn's disease in the era of immunomodulators? predictive factors of phenotype progression","type":"article-journal","volume":"109"},"uris":["http://www.mendeley.com/documents/?uuid=924e9fde-1888-4321-bbca-edd9917dd00c"]},{"id":"ITEM-4","itemData":{"DOI":"10.1053/j.gastro.2013.04.048","author":[{"dropping-particle":"","family":"Cosnes","given":"Jacques","non-dropping-particle":"","parse-names":false,"suffix":""},{"dropping-particle":"","family":"Bourrier","given":"Anne","non-dropping-particle":"","parse-names":false,"suffix":""},{"dropping-particle":"","family":"Laharie","given":"David","non-dropping-particle":"","parse-names":false,"suffix":""},{"dropping-particle":"","family":"Nahon","given":"Stéphane","non-dropping-particle":"","parse-names":false,"suffix":""},{"dropping-particle":"","family":"Bouhnik","given":"Yoram","non-dropping-particle":"","parse-names":false,"suffix":""},{"dropping-particle":"","family":"Carbonnel","given":"Franck","non-dropping-particle":"","parse-names":false,"suffix":""},{"dropping-particle":"","family":"Allez","given":"Matthieu","non-dropping-particle":"","parse-names":false,"suffix":""},{"dropping-particle":"","family":"Dupas","given":"Jean Louis","non-dropping-particle":"","parse-names":false,"suffix":""},{"dropping-particle":"","family":"Reimund","given":"Jean Marie","non-dropping-particle":"","parse-names":false,"suffix":""},{"dropping-particle":"","family":"Savoye","given":"Guillaume","non-dropping-particle":"","parse-names":false,"suffix":""},{"dropping-particle":"","family":"Jouet","given":"Pauline","non-dropping-particle":"","parse-names":false,"suffix":""}],"id":"ITEM-4","issued":{"date-parts":[["2013"]]},"page":"758-765","title":"Early Administration of Azathioprine vs Conventional Management of Crohn ’ s Disease: A Randomized Controlled Trial","type":"article-journal"},"uris":["http://www.mendeley.com/documents/?uuid=968c1776-e5da-4b37-b61e-9634be180499"]}],"mendeley":{"formattedCitation":"&lt;sup&gt;3–6&lt;/sup&gt;","plainTextFormattedCitation":"3–6","previouslyFormattedCitation":"&lt;sup&gt;3–6&lt;/sup&gt;"},"properties":{"noteIndex":0},"schema":"https://github.com/citation-style-language/schema/raw/master/csl-citation.json"}</w:instrText>
      </w:r>
      <w:r w:rsidR="00D10280" w:rsidRPr="003B251F">
        <w:rPr>
          <w:szCs w:val="26"/>
        </w:rPr>
        <w:fldChar w:fldCharType="separate"/>
      </w:r>
      <w:r w:rsidR="00FF16DF" w:rsidRPr="003B251F">
        <w:rPr>
          <w:noProof/>
          <w:szCs w:val="26"/>
          <w:vertAlign w:val="superscript"/>
        </w:rPr>
        <w:t>3–6</w:t>
      </w:r>
      <w:r w:rsidR="00D10280" w:rsidRPr="003B251F">
        <w:rPr>
          <w:szCs w:val="26"/>
        </w:rPr>
        <w:fldChar w:fldCharType="end"/>
      </w:r>
      <w:r w:rsidR="00D10280" w:rsidRPr="003B251F">
        <w:rPr>
          <w:szCs w:val="26"/>
        </w:rPr>
        <w:t xml:space="preserve"> </w:t>
      </w:r>
      <w:r w:rsidR="008E738A" w:rsidRPr="003B251F">
        <w:rPr>
          <w:szCs w:val="26"/>
        </w:rPr>
        <w:t>In UC</w:t>
      </w:r>
      <w:r w:rsidR="00AC3625" w:rsidRPr="003B251F">
        <w:rPr>
          <w:szCs w:val="26"/>
        </w:rPr>
        <w:t>,</w:t>
      </w:r>
      <w:r w:rsidR="008E738A" w:rsidRPr="003B251F">
        <w:rPr>
          <w:szCs w:val="26"/>
        </w:rPr>
        <w:t xml:space="preserve"> </w:t>
      </w:r>
      <w:r w:rsidR="00935337" w:rsidRPr="003B251F">
        <w:rPr>
          <w:szCs w:val="26"/>
        </w:rPr>
        <w:t xml:space="preserve">early escalation of </w:t>
      </w:r>
      <w:r w:rsidR="008E738A" w:rsidRPr="003B251F">
        <w:rPr>
          <w:szCs w:val="26"/>
        </w:rPr>
        <w:t xml:space="preserve">medical therapy </w:t>
      </w:r>
      <w:r w:rsidR="00D702A7" w:rsidRPr="003B251F">
        <w:rPr>
          <w:szCs w:val="26"/>
        </w:rPr>
        <w:t xml:space="preserve">has been shown to </w:t>
      </w:r>
      <w:r w:rsidR="008E738A" w:rsidRPr="003B251F">
        <w:rPr>
          <w:szCs w:val="26"/>
        </w:rPr>
        <w:t>impr</w:t>
      </w:r>
      <w:r w:rsidR="00AC3625" w:rsidRPr="003B251F">
        <w:rPr>
          <w:szCs w:val="26"/>
        </w:rPr>
        <w:t>ove</w:t>
      </w:r>
      <w:r w:rsidR="008E738A" w:rsidRPr="003B251F">
        <w:rPr>
          <w:szCs w:val="26"/>
        </w:rPr>
        <w:t xml:space="preserve"> quality of life</w:t>
      </w:r>
      <w:r w:rsidR="005B484E" w:rsidRPr="003B251F">
        <w:rPr>
          <w:szCs w:val="26"/>
        </w:rPr>
        <w:t xml:space="preserve">, </w:t>
      </w:r>
      <w:r w:rsidR="00D702A7" w:rsidRPr="003B251F">
        <w:rPr>
          <w:szCs w:val="26"/>
        </w:rPr>
        <w:t>although it</w:t>
      </w:r>
      <w:r w:rsidR="00FC5AE2" w:rsidRPr="003B251F">
        <w:rPr>
          <w:szCs w:val="26"/>
        </w:rPr>
        <w:t>s</w:t>
      </w:r>
      <w:r w:rsidR="00D702A7" w:rsidRPr="003B251F">
        <w:rPr>
          <w:szCs w:val="26"/>
        </w:rPr>
        <w:t xml:space="preserve"> impact on requirement for surgery </w:t>
      </w:r>
      <w:r w:rsidR="005B484E" w:rsidRPr="003B251F">
        <w:rPr>
          <w:szCs w:val="26"/>
        </w:rPr>
        <w:t>is not fully established</w:t>
      </w:r>
      <w:r w:rsidR="008E738A" w:rsidRPr="003B251F">
        <w:rPr>
          <w:szCs w:val="26"/>
        </w:rPr>
        <w:t>.</w:t>
      </w:r>
      <w:r w:rsidR="001D2FD4" w:rsidRPr="003B251F">
        <w:rPr>
          <w:szCs w:val="26"/>
        </w:rPr>
        <w:fldChar w:fldCharType="begin" w:fldLock="1"/>
      </w:r>
      <w:r w:rsidR="00FF2A2F" w:rsidRPr="003B251F">
        <w:rPr>
          <w:szCs w:val="26"/>
        </w:rPr>
        <w:instrText>ADDIN CSL_CITATION {"citationItems":[{"id":"ITEM-1","itemData":{"DOI":"10.1097/MIB.0000000000000828","ISBN":"0000000000000","ISSN":"15364844","abstract":"BACKGROUND: We aimed at describing the efficacy of azathioprine (AZA) in pediatric ulcerative colitis, comparing the outcomes of early (0-6 months) versus late (6-24 months) initiation of therapy. METHODS: Children with ulcerative colitis treated with AZA within 24 months of diagnosis were included. Corticosteroid (CS)-free remission and mucosal healing (MH), assessed by endoscopy or fecal calprotectin, at 12 months were the primary outcomes. Patients were also compared for CS-free remission and MH, need for treatment escalation or surgery, number of hospitalizations, and adverse events during a 24-month follow-up. RESULTS: A total of 121 children entered the study (median age 10.5 +/- 4.0 years, 59% girls). Seventy-six (63%) started AZA between 0 and 6 months (early group) and 45 (37%) started between 6 and 24 months (late group). Seventy-five percent and 53% of patients in the early and late group, respectively, received CS at the diagnosis (P = 0.01). CS-free remission at 1 year was achieved by 30 (50%) of the early and 23 (57%) of the late patients (P = 0.54). MH occurred in 37 (37%) patients at 1 year, with no difference between the 2 groups (33% early, 42% late; P = 0.56). No difference was found for the other outcomes. CONCLUSIONS: Introduction of AZA within 6 months of diagnosis seems not more effective than later treatment to achieve CS-free remission in pediatric ulcerative colitis. MH does not depend on the timing of AZA initiation; however, because of the incomplete comparability of the 2 groups at the diagnosis and the use of fecal calprotectin as a surrogate marker of MH, our results should be further confirmed by prospective studies.","author":[{"dropping-particle":"","family":"Aloi","given":"Marina","non-dropping-particle":"","parse-names":false,"suffix":""},{"dropping-particle":"","family":"D'Arcangelo","given":"Giulia","non-dropping-particle":"","parse-names":false,"suffix":""},{"dropping-particle":"","family":"Bramuzzo","given":"Matteo","non-dropping-particle":"","parse-names":false,"suffix":""},{"dropping-particle":"","family":"Gasparetto","given":"Marco","non-dropping-particle":"","parse-names":false,"suffix":""},{"dropping-particle":"","family":"Martinelli","given":"Massimo","non-dropping-particle":"","parse-names":false,"suffix":""},{"dropping-particle":"","family":"Alvisi","given":"Patrizia","non-dropping-particle":"","parse-names":false,"suffix":""},{"dropping-particle":"","family":"Illiceto","given":"Maria Teresa","non-dropping-particle":"","parse-names":false,"suffix":""},{"dropping-particle":"","family":"Valenti","given":"Simona","non-dropping-particle":"","parse-names":false,"suffix":""},{"dropping-particle":"","family":"Distante","given":"Manuela","non-dropping-particle":"","parse-names":false,"suffix":""},{"dropping-particle":"","family":"Pellegrino","given":"Salvatore","non-dropping-particle":"","parse-names":false,"suffix":""},{"dropping-particle":"","family":"Gatti","given":"Simona","non-dropping-particle":"","parse-names":false,"suffix":""},{"dropping-particle":"","family":"Arrigo","given":"Serena","non-dropping-particle":"","parse-names":false,"suffix":""},{"dropping-particle":"","family":"Civitelli","given":"Fortunata","non-dropping-particle":"","parse-names":false,"suffix":""},{"dropping-particle":"","family":"Martelossi","given":"Stefano","non-dropping-particle":"","parse-names":false,"suffix":""}],"container-title":"Inflammatory Bowel Diseases","id":"ITEM-1","issue":"7","issued":{"date-parts":[["2016"]]},"page":"1647-1654","title":"Effect of Early Versus Late Azathioprine Therapy in Pediatric Ulcerative Colitis","type":"article-journal","volume":"22"},"uris":["http://www.mendeley.com/documents/?uuid=562d1872-36ec-46b8-a4f5-5fc9bf457287"]},{"id":"ITEM-2","itemData":{"DOI":"10.1016/j.crohns.2013.08.007","ISSN":"1876-4479 (Electronic)","PMID":"24012063","abstract":"BACKGROUND AND AIMS: Mesalazine (5-aminosalicylic acid) is the standard first-line therapy for mild-to-moderate ulcerative colitis. In the PINCE study, remission rates were significantly greater with combined oral/enema vs. oral/placebo treatment at 8 weeks (64% vs. 43%, respectively; p=0.030). In this analysis, we explored early response, mucosal healing rates, cessation of rectal bleeding, and quality of life in PINCE. METHODS: Patients with extensive mild-to-moderately active ulcerative colitis received 8weeks of oral mesalazine 4 g/day, plus 4 weeks of daily active (1g mesalazine) or placebo enema. Early response was assessed using the abbreviated ulcerative colitis disease activity index. Mucosal healing was assessed by disease activity index endoscopic mucosal appearance score. Cessation of bleeding (patient diaries), quality of life (EQ-5D), and patient acceptability (questionnaire) were also assessed. RESULTS: Combined mesalazine oral/enema treatment achieved a significantly higher rate of improvement in abbreviated ulcerative colitis disease activity index (score decrease &gt;/= 2) within 2 weeks, compared with oral-only treatment (p = 0.032). Bleeding ceased significantly more quickly with combination vs. oral therapy (p = 0.003). More patients showed mucosal healing (disease activity index endoscopic mucosal appearance score 0/1) with combination vs. oral therapy, which was significantly different between groups at week 4 (p = 0.052). Both groups showed quality of life improvements, with a significant benefit for combination vs. oral therapy at week 4 in multiple domains. Most patients reported finding the treatment acceptable. CONCLUSIONS: Rapid cessation of symptoms was seen with combination therapy, which is particularly important to patients and may improve quality of life.","author":[{"dropping-particle":"","family":"Probert","given":"Christopher S J","non-dropping-particle":"","parse-names":false,"suffix":""},{"dropping-particle":"","family":"Dignass","given":"Axel U","non-dropping-particle":"","parse-names":false,"suffix":""},{"dropping-particle":"","family":"Lindgren","given":"Stefan","non-dropping-particle":"","parse-names":false,"suffix":""},{"dropping-particle":"","family":"Oudkerk Pool","given":"Marco","non-dropping-particle":"","parse-names":false,"suffix":""},{"dropping-particle":"","family":"Marteau","given":"Philippe","non-dropping-particle":"","parse-names":false,"suffix":""}],"container-title":"Journal of Crohn's &amp; colitis","id":"ITEM-2","issue":"3","issued":{"date-parts":[["2014","3"]]},"language":"eng","page":"200-207","publisher-place":"England","title":"Combined oral and rectal mesalazine for the treatment of mild-to-moderately active ulcerative colitis: rapid symptom resolution and improvements in quality of life.","type":"article-journal","volume":"8"},"uris":["http://www.mendeley.com/documents/?uuid=d2467592-a13b-4d04-94e5-ab430db8710e"]},{"id":"ITEM-3","itemData":{"DOI":"10.1093/ecco-jcc/jjx093","ISSN":"1876-4479 (Electronic)","PMID":"28981846","abstract":"Background and Aims: Randomised trials have described the benefits of adalimumab  [ADA] for ulcerative colitis [UC]; however, few data are available on health-related quality of life [HRQL] and health care costs in clinical practice. Methods: InspirADA, a multicentre, prospective study, evaluated the effect of ADA in patients with moderate to severe UC treated according to usual clinical practice. Outcomes assessed were: Simple Clinical Colitis Activity Index [SCCAI] response/remission rates; changes in HRQL; all-cause direct costs; and UC-related direct and indirect costs from baseline to Week 26. Results: Data from 463 patients were analysed. At Week 26, 67% (95% confidence interval [CI]: 62%, 71%) of patients achieved response; 48% [95% CI: 44%, 53%] were in remission. For the overall population, significant [all p &lt; 0.001] improvements from baseline to Week 26 were observed for the Short Inflammatory Bowel Disease Questionnaire [SIBDQ] (mean change +/- standard deviation [SD]: 17.4 +/- 14.5) and the European Quality of Life-5 Dimensions-5 Level [EQ-5D-5L] (index: 0.1 +/- 0.2; visual analogue scale [VAS]: 19.5 +/- 25.8). Parallel improvements were seen in work productivity [11% absolute decrease in absenteeism; 25% absolute decrease in impairment while working; and 27% absolute decrease in impairment of ability to perform daily activities, all p &lt; 0.001]. Among study completers, cumulative all-cause medical costs and UC-related medical costs were significantly [both p &lt; 0.001] reduced by 59% and 77%, respectively, 6 months after initiation of therapy compared with the preceding 6 months. The safety profile of ADA was consistent with that observed in previous clinical trials. Conclusions: ADA therapy in usual clinical practice is effective at improving and maintaining symptomatic control, improving HRQL, and decreasing costs of medical care among patients with UC.","author":[{"dropping-particle":"","family":"Travis","given":"Simon","non-dropping-particle":"","parse-names":false,"suffix":""},{"dropping-particle":"","family":"Feagan","given":"Brian G","non-dropping-particle":"","parse-names":false,"suffix":""},{"dropping-particle":"","family":"Peyrin-Biroulet","given":"Laurent","non-dropping-particle":"","parse-names":false,"suffix":""},{"dropping-particle":"","family":"Panaccione","given":"Remo","non-dropping-particle":"","parse-names":false,"suffix":""},{"dropping-particle":"","family":"Danese","given":"Silvio","non-dropping-particle":"","parse-names":false,"suffix":""},{"dropping-particle":"","family":"Lazar","given":"Andreas","non-dropping-particle":"","parse-names":false,"suffix":""},{"dropping-particle":"","family":"Robinson","given":"Anne M","non-dropping-particle":"","parse-names":false,"suffix":""},{"dropping-particle":"","family":"Petersson","given":"Joel","non-dropping-particle":"","parse-names":false,"suffix":""},{"dropping-particle":"","family":"Pappalardo","given":"Brandee L","non-dropping-particle":"","parse-names":false,"suffix":""},{"dropping-particle":"","family":"Bereswill","given":"Mareike","non-dropping-particle":"","parse-names":false,"suffix":""},{"dropping-particle":"","family":"Chen","given":"Naijun","non-dropping-particle":"","parse-names":false,"suffix":""},{"dropping-particle":"","family":"Wang","given":"Song","non-dropping-particle":"","parse-names":false,"suffix":""},{"dropping-particle":"","family":"Skup","given":"Martha","non-dropping-particle":"","parse-names":false,"suffix":""},{"dropping-particle":"","family":"Thakkar","given":"Roopal B","non-dropping-particle":"","parse-names":false,"suffix":""},{"dropping-particle":"","family":"Chao","given":"Jingdong","non-dropping-particle":"","parse-names":false,"suffix":""}],"container-title":"Journal of Crohn's &amp; colitis","id":"ITEM-3","issue":"11","issued":{"date-parts":[["2017","10"]]},"language":"eng","page":"1317-1325","publisher-place":"England","title":"Effect of Adalimumab on Clinical Outcomes and Health-related Quality of Life Among Patients With Ulcerative Colitis in a Clinical Practice Setting: Results From InspirADA.","type":"article-journal","volume":"11"},"uris":["http://www.mendeley.com/documents/?uuid=c3c47666-c50e-41fb-a4cb-252279b1dc62"]},{"id":"ITEM-4","itemData":{"DOI":"10.1111/apt.13361","ISSN":"13652036","PMID":"26271196","abstract":"BACKGROUND The role of early thiopurine treatment in inflammatory bowel disease (IBD) is unproven. AIM To quantify the impact of timing and duration of thiopurines on the risk of first surgery in children and young people with IBD using a population-based cohort. METHODS We constructed an incident cohort of children and young people aged &lt;25 years, diagnosed with Crohn's disease (CD) or ulcerative colitis (UC) from 1990 to 2009. We used Cox proportional hazards modelling to determine the impact of early thiopurine use, commenced within a year of diagnosis on risk of first surgery. RESULTS We identified 1595 and 1175 incident cases of CD and UC respectively with a mean length of follow-up of 4.3 years/person. There were 216 (13.5%) and 73 (6.2%) surgeries for CD and UC patients between 1990 and 2009 respectively. In CD among thiopurine users, the absolute risk of surgery at 5 years for early thiopurine use vs. late was 15.3% (95% CI: 10.5-22.1) vs. 22.1% (95% CI: 18.1-26.9) respectively. After adjustment, the early use of thiopurines was associated with a reduction in risk of first surgery of 39% (HR 0.61, 95% CI: 0.41-0.91) over the 20-year study period. In UC, early thiopurine use offered no additional benefit. CONCLUSIONS In Crohn's disease, early treatment with thiopurines in children and young people is associated with an appreciable reduction in the risk of surgery, but early treatment does not reduce surgical risk in UC.","author":[{"dropping-particle":"","family":"Chhaya","given":"V.","non-dropping-particle":"","parse-names":false,"suffix":""},{"dropping-particle":"","family":"Pollok","given":"R. C G","non-dropping-particle":"","parse-names":false,"suffix":""},{"dropping-particle":"","family":"Cecil","given":"E.","non-dropping-particle":"","parse-names":false,"suffix":""},{"dropping-particle":"","family":"Subramanian","given":"V.","non-dropping-particle":"","parse-names":false,"suffix":""},{"dropping-particle":"","family":"Curcin","given":"V.","non-dropping-particle":"","parse-names":false,"suffix":""},{"dropping-particle":"","family":"Majeed","given":"A.","non-dropping-particle":"","parse-names":false,"suffix":""},{"dropping-particle":"","family":"Saxena","given":"S.","non-dropping-particle":"","parse-names":false,"suffix":""}],"container-title":"Alimentary Pharmacology and Therapeutics","id":"ITEM-4","issue":"8","issued":{"date-parts":[["2015"]]},"page":"990-999","title":"Impact of early thiopurines on surgery in 2770 children and young people diagnosed with inflammatory bowel disease: A national population-based study","type":"article-journal","volume":"42"},"uris":["http://www.mendeley.com/documents/?uuid=797a54aa-3741-45df-ae16-ba18354ee729"]},{"id":"ITEM-5","itemData":{"DOI":"10.1046/j.1365-2036.2003.01540.x","ISSN":"0269-2813","abstract":"Summary Background:? Azathioprine is widely used as maintenance therapy in children with moderate to severe inflammatory bowel disease (IBD). There is no data on safety at higher doses and its impact on growth and surgical morbidity in children. Methods:? This retrospective cohort study included all children treated with azathioprine and diagnosed with IBD between 1996?2001. Outcome measures included indications for azathioprine use, adverse-effects and reasons for treatment discontinuation. Height and weight at diagnosis, treatment onset and current follow-up was recorded, and Z scores for height standardised for time. Results:? 107 children received azathioprine at 3 mg/kg. 61% had Crohn's disease and 83% started azathioprine within 2 years of diagnosis. Only 2/107 children had to stop azathioprine because of persistent adverse effects and 16/107 required surgery. There was a trend toward better growth in a group of children with Crohn's disease following treatment with high dose azathioprine therapy (P?=?0.08). Conclusions: Azathioprine is a safe and well-tolerated maintenance therapy at 3 mg/kg for children with IBD. The prevalence of surgery and growth failure in a cohort of children with moderate to severe IBD appears less than previously reported. In children with Crohn's disease, growth velocity may be maximised by an emphasis on nutritional therapy and the use of high dose azathioprine.","author":[{"dropping-particle":"","family":"Fuentes","given":"D","non-dropping-particle":"","parse-names":false,"suffix":""},{"dropping-particle":"","family":"Torrente","given":"F","non-dropping-particle":"","parse-names":false,"suffix":""},{"dropping-particle":"","family":"Keady","given":"S","non-dropping-particle":"","parse-names":false,"suffix":""},{"dropping-particle":"","family":"Thirrupathy","given":"K","non-dropping-particle":"","parse-names":false,"suffix":""},{"dropping-particle":"","family":"Thomson","given":"M A","non-dropping-particle":"","parse-names":false,"suffix":""},{"dropping-particle":"","family":"Walker-Smith","given":"J A","non-dropping-particle":"","parse-names":false,"suffix":""},{"dropping-particle":"","family":"Murch","given":"S H","non-dropping-particle":"","parse-names":false,"suffix":""},{"dropping-particle":"","family":"Heuschkel","given":"R B","non-dropping-particle":"","parse-names":false,"suffix":""}],"container-title":"Alimentary Pharmacology &amp; Therapeutics","id":"ITEM-5","issue":"7","issued":{"date-parts":[["2003","4","1"]]},"note":"doi: 10.1046/j.1365-2036.2003.01540.x","page":"913-921","publisher":"John Wiley &amp; Sons, Ltd","title":"High-dose azathioprine in children with inflammatory bowel disease","type":"article-journal","volume":"17"},"uris":["http://www.mendeley.com/documents/?uuid=866a7591-8eb9-4bf4-8dd0-69d5de1b8607"]},{"id":"ITEM-6","itemData":{"DOI":"10.1093/ibd/izz059","ISSN":"1078-0998","abstract":"The goals for treatment of inflammatory bowel diseases (IBDs) are changing from elimination of symptoms toward complete disease control—a process that demands both clinical and endoscopic remission. This new IBD treatment paradigm has been shifting from a conventional “step-up” approach toward a more “top-down” early intervention treatment strategy. Recent studies suggest that the use of biologic agents, specifically those targeting tumor necrosis factor alpha, earlier in the treatment course improves patient outcomes and can prevent progression to irreversible bowel damage. Although the strategy of early intervention has accumulating evidence in Crohn’s disease, there is less evidence supporting its impact in ulcerative colitis.","author":[{"dropping-particle":"","family":"Berg","given":"Dana Rachel","non-dropping-particle":"","parse-names":false,"suffix":""},{"dropping-particle":"","family":"Colombel","given":"Jean-Frederic","non-dropping-particle":"","parse-names":false,"suffix":""},{"dropping-particle":"","family":"Ungaro","given":"Ryan","non-dropping-particle":"","parse-names":false,"suffix":""}],"container-title":"Inflammatory Bowel Diseases","id":"ITEM-6","issued":{"date-parts":[["2019","4","1"]]},"title":"The Role of Early Biologic Therapy in Inflammatory Bowel Disease","type":"article-journal"},"uris":["http://www.mendeley.com/documents/?uuid=e16c66f6-e514-4635-83c6-5d3f3c13b080"]}],"mendeley":{"formattedCitation":"&lt;sup&gt;4,7–11&lt;/sup&gt;","plainTextFormattedCitation":"4,7–11","previouslyFormattedCitation":"&lt;sup&gt;4,7–11&lt;/sup&gt;"},"properties":{"noteIndex":0},"schema":"https://github.com/citation-style-language/schema/raw/master/csl-citation.json"}</w:instrText>
      </w:r>
      <w:r w:rsidR="001D2FD4" w:rsidRPr="003B251F">
        <w:rPr>
          <w:szCs w:val="26"/>
        </w:rPr>
        <w:fldChar w:fldCharType="separate"/>
      </w:r>
      <w:r w:rsidR="00FF2A2F" w:rsidRPr="003B251F">
        <w:rPr>
          <w:noProof/>
          <w:szCs w:val="26"/>
          <w:vertAlign w:val="superscript"/>
        </w:rPr>
        <w:t>4,7–11</w:t>
      </w:r>
      <w:r w:rsidR="001D2FD4" w:rsidRPr="003B251F">
        <w:rPr>
          <w:szCs w:val="26"/>
        </w:rPr>
        <w:fldChar w:fldCharType="end"/>
      </w:r>
      <w:r w:rsidR="0015649A" w:rsidRPr="003B251F">
        <w:rPr>
          <w:szCs w:val="26"/>
        </w:rPr>
        <w:t xml:space="preserve"> Prompt diagnosis </w:t>
      </w:r>
      <w:r w:rsidR="005B484E" w:rsidRPr="003B251F">
        <w:rPr>
          <w:szCs w:val="26"/>
        </w:rPr>
        <w:t xml:space="preserve">can be </w:t>
      </w:r>
      <w:r w:rsidR="0015649A" w:rsidRPr="003B251F">
        <w:rPr>
          <w:szCs w:val="26"/>
        </w:rPr>
        <w:t xml:space="preserve"> challenging</w:t>
      </w:r>
      <w:r w:rsidR="005B484E" w:rsidRPr="003B251F">
        <w:rPr>
          <w:szCs w:val="26"/>
        </w:rPr>
        <w:t xml:space="preserve"> </w:t>
      </w:r>
      <w:r w:rsidR="00520273" w:rsidRPr="003B251F">
        <w:rPr>
          <w:szCs w:val="26"/>
        </w:rPr>
        <w:t xml:space="preserve"> </w:t>
      </w:r>
      <w:r w:rsidR="005B484E" w:rsidRPr="003B251F">
        <w:rPr>
          <w:szCs w:val="26"/>
        </w:rPr>
        <w:t>since</w:t>
      </w:r>
      <w:r w:rsidR="00520273" w:rsidRPr="003B251F">
        <w:rPr>
          <w:szCs w:val="26"/>
        </w:rPr>
        <w:t xml:space="preserve"> </w:t>
      </w:r>
      <w:r w:rsidR="00520273" w:rsidRPr="003B251F">
        <w:t xml:space="preserve">symptoms of </w:t>
      </w:r>
      <w:r w:rsidR="001E5BAE" w:rsidRPr="003B251F">
        <w:t>CD and UC</w:t>
      </w:r>
      <w:r w:rsidR="00C37026" w:rsidRPr="003B251F">
        <w:t xml:space="preserve"> including</w:t>
      </w:r>
      <w:r w:rsidR="001E5BAE" w:rsidRPr="003B251F">
        <w:t xml:space="preserve"> </w:t>
      </w:r>
      <w:r w:rsidR="00E053C1" w:rsidRPr="003B251F">
        <w:t xml:space="preserve">abdominal </w:t>
      </w:r>
      <w:r w:rsidR="00D06BF5" w:rsidRPr="003B251F">
        <w:t>pain,</w:t>
      </w:r>
      <w:r w:rsidR="00E053C1" w:rsidRPr="003B251F">
        <w:t xml:space="preserve"> diarrhoea or</w:t>
      </w:r>
      <w:r w:rsidR="00BF6484" w:rsidRPr="003B251F">
        <w:t xml:space="preserve"> rectal bleeding</w:t>
      </w:r>
      <w:r w:rsidR="001E5BAE" w:rsidRPr="003B251F">
        <w:t>,</w:t>
      </w:r>
      <w:r w:rsidR="00BF6484" w:rsidRPr="003B251F">
        <w:t xml:space="preserve"> </w:t>
      </w:r>
      <w:r w:rsidR="00CF53B6" w:rsidRPr="003B251F">
        <w:t xml:space="preserve">also occur in </w:t>
      </w:r>
      <w:r w:rsidR="00FC5699" w:rsidRPr="003B251F">
        <w:t xml:space="preserve">other </w:t>
      </w:r>
      <w:r w:rsidR="00CF53B6" w:rsidRPr="003B251F">
        <w:t xml:space="preserve">more common conditions </w:t>
      </w:r>
      <w:r w:rsidR="00FC5699" w:rsidRPr="003B251F">
        <w:t xml:space="preserve">such as irritable bowel syndrome (IBS) or </w:t>
      </w:r>
      <w:r w:rsidR="00831D58" w:rsidRPr="003B251F">
        <w:t>haemorrhoids</w:t>
      </w:r>
      <w:r w:rsidR="00FC5699" w:rsidRPr="003B251F">
        <w:t xml:space="preserve"> </w:t>
      </w:r>
      <w:r w:rsidR="005D4585" w:rsidRPr="003B251F">
        <w:t xml:space="preserve">which </w:t>
      </w:r>
      <w:r w:rsidR="00D702A7" w:rsidRPr="003B251F">
        <w:t xml:space="preserve">can </w:t>
      </w:r>
      <w:r w:rsidR="005D4585" w:rsidRPr="003B251F">
        <w:t>make</w:t>
      </w:r>
      <w:r w:rsidR="00BF6484" w:rsidRPr="003B251F">
        <w:t xml:space="preserve"> diagnosi</w:t>
      </w:r>
      <w:r w:rsidR="00D702A7" w:rsidRPr="003B251F">
        <w:t>s difficult</w:t>
      </w:r>
      <w:r w:rsidR="005D4585" w:rsidRPr="003B251F">
        <w:t>.</w:t>
      </w:r>
      <w:r w:rsidR="002F0202" w:rsidRPr="003B251F">
        <w:fldChar w:fldCharType="begin" w:fldLock="1"/>
      </w:r>
      <w:r w:rsidR="00AD0E3E" w:rsidRPr="003B251F">
        <w:instrText>ADDIN CSL_CITATION {"citationItems":[{"id":"ITEM-1","itemData":{"DOI":"10.3399/bjgp17X690425","ISSN":"09601643","abstract":"Background: Incidences of colorectal cancer (CRC) and inflammatory bowel disease (IBD) are increasing in those aged &lt;50 years. Aim: To identify and quantify clinical features in primary care of CRC/IBD in those aged &lt;50 years. This study considered the two conditions together and aimed to determine which younger patients, presenting in primary care with symptoms, would benefit from investigation for potentially serious colorectal disease. Design and setting: Matched case-control study using primary care records from the Clinical Practice Research Datalink, UK. Method: Incident cases (aged &lt;50 years) of CRC (n = 1661) and IBD (n = 9578) diagnosed between 2000 and 2013 were each matched with up to three controls (n = 3979 CRC; n = 22 947 IBD). Odds ratios (OR) and positive predictive values (PPV) were estimated for features of CRC/IBD in the year before diagnosis. Results: Ten features were independently associated with CRC/IBD (all P&lt;0.001): rectal bleeding, change in bowel habit, diarrhoea, raised inflammatory markers, thrombocytosis, abdominal pain, low mean cell volume (MCV), low haemoglobin, raised white cell count, and raised hepatic enzymes. PPVs were &gt;3% for rectal bleeding with diarrhoea, thrombocytosis, low MCV, low haemoglobin or raised inflammatory markers; for change in bowel habit with low MCV, thrombocytosis or low haemoglobin; and for diarrhoea with thrombocytosis. Conclusion: This study quantified the risk of serious bowel disease in symptomatic patients aged &lt;50 years in primary care. Rectal bleeding and change in bowel habit are strongly predictive of CRC/IBD when combined with abnormal haematology. The present findings help prioritise patients for colonoscopy where the diagnosis is not immediately apparent.","author":[{"dropping-particle":"","family":"Stapley","given":"Sally A.","non-dropping-particle":"","parse-names":false,"suffix":""},{"dropping-particle":"","family":"Rubin","given":"Greg P.","non-dropping-particle":"","parse-names":false,"suffix":""},{"dropping-particle":"","family":"Alsina","given":"Deborah","non-dropping-particle":"","parse-names":false,"suffix":""},{"dropping-particle":"","family":"Shephard","given":"Elizabeth A.","non-dropping-particle":"","parse-names":false,"suffix":""},{"dropping-particle":"","family":"Rutter","given":"Matthew D.","non-dropping-particle":"","parse-names":false,"suffix":""},{"dropping-particle":"","family":"Hamilton","given":"William T.","non-dropping-particle":"","parse-names":false,"suffix":""}],"container-title":"British Journal of General Practice","id":"ITEM-1","issue":"658","issued":{"date-parts":[["2017"]]},"page":"e336-e344","title":"Clinical features of bowel disease in patients aged &lt;50 years in primary care: A large case-control study","type":"article-journal","volume":"67"},"uris":["http://www.mendeley.com/documents/?uuid=1adf1d22-7602-4379-a2ba-53541ef9231c"]}],"mendeley":{"formattedCitation":"&lt;sup&gt;12&lt;/sup&gt;","plainTextFormattedCitation":"12","previouslyFormattedCitation":"&lt;sup&gt;12&lt;/sup&gt;"},"properties":{"noteIndex":0},"schema":"https://github.com/citation-style-language/schema/raw/master/csl-citation.json"}</w:instrText>
      </w:r>
      <w:r w:rsidR="002F0202" w:rsidRPr="003B251F">
        <w:fldChar w:fldCharType="separate"/>
      </w:r>
      <w:r w:rsidR="002F0202" w:rsidRPr="003B251F">
        <w:rPr>
          <w:noProof/>
          <w:vertAlign w:val="superscript"/>
        </w:rPr>
        <w:t>12</w:t>
      </w:r>
      <w:r w:rsidR="002F0202" w:rsidRPr="003B251F">
        <w:fldChar w:fldCharType="end"/>
      </w:r>
      <w:r w:rsidR="00011099" w:rsidRPr="003B251F">
        <w:t xml:space="preserve"> </w:t>
      </w:r>
      <w:r w:rsidR="008D18A3" w:rsidRPr="003B251F">
        <w:t>One in six individuals with IBD initially receive a diagnosis of irritable bowel syndrome</w:t>
      </w:r>
      <w:r w:rsidR="008D18A3" w:rsidRPr="003B251F">
        <w:fldChar w:fldCharType="begin" w:fldLock="1"/>
      </w:r>
      <w:r w:rsidR="00AD0E3E" w:rsidRPr="003B251F">
        <w:instrText>ADDIN CSL_CITATION {"citationItems":[{"id":"ITEM-1","itemData":{"DOI":"10.1177/2050640614554217","ISBN":"2050640614554","ISSN":"2050-6406","PMID":"25452846","abstract":"BACKGROUND: Inflammatory bowel disease (IBD) patients are sometimes first diagnosed with irritable bowel syndrome (IBS), which may be construed as a misdiagnosis.\\n\\nOBJECTIVE: The objective of this article is to determine if this occurs more than expected by chance.\\n\\nMETHODS: We conducted a case-control study nested in the General Practice Research Database. We selected incident cases of IBD and up to 10 matched controls for each. We assessed the proportions with IBS recorded prior to the IBD diagnosis and variation by age, sex, and calendar time. We compared proportions affected in fixed time periods and conducted conditional logistic regression to derive odds ratios.\\n\\nRESULTS: The 20, 193 cases were three times as likely as controls to have a prior record of IBS. Fifteen per cent of IBD cases and 5% of controls had IBS coded before diagnosis with 11% having a code for IBS over one year before IBD (cf. 5% of controls) and 6% over five years earlier (cf. 3%). These figures roughly doubled if typical antispasmodic therapies were assumed to represent IBS diagnoses.\\n\\nCONCLUSION: If excess IBS diagnoses represent misdiagnoses of IBD, our results suggest that about 10% of IBD patients are misdiagnosed and in 3% of cases this may persist for five or more years.","author":[{"dropping-particle":"","family":"Card","given":"Timothy R","non-dropping-particle":"","parse-names":false,"suffix":""},{"dropping-particle":"","family":"Siffledeen","given":"Jesse","non-dropping-particle":"","parse-names":false,"suffix":""},{"dropping-particle":"","family":"Fleming","given":"Kate M","non-dropping-particle":"","parse-names":false,"suffix":""}],"container-title":"United European gastroenterology journal","id":"ITEM-1","issue":"6","issued":{"date-parts":[["2014"]]},"page":"505-12","title":"Are IBD patients more likely to have a prior diagnosis of irritable bowel syndrome? Report of a case-control study in the General Practice Research Database.","type":"article-journal","volume":"2"},"uris":["http://www.mendeley.com/documents/?uuid=6f8e74c6-19fa-4507-a920-08644795e868"]}],"mendeley":{"formattedCitation":"&lt;sup&gt;13&lt;/sup&gt;","plainTextFormattedCitation":"13","previouslyFormattedCitation":"&lt;sup&gt;13&lt;/sup&gt;"},"properties":{"noteIndex":0},"schema":"https://github.com/citation-style-language/schema/raw/master/csl-citation.json"}</w:instrText>
      </w:r>
      <w:r w:rsidR="008D18A3" w:rsidRPr="003B251F">
        <w:fldChar w:fldCharType="separate"/>
      </w:r>
      <w:r w:rsidR="002F0202" w:rsidRPr="003B251F">
        <w:rPr>
          <w:noProof/>
          <w:vertAlign w:val="superscript"/>
        </w:rPr>
        <w:t>13</w:t>
      </w:r>
      <w:r w:rsidR="008D18A3" w:rsidRPr="003B251F">
        <w:fldChar w:fldCharType="end"/>
      </w:r>
      <w:r w:rsidR="008D18A3" w:rsidRPr="003B251F">
        <w:t xml:space="preserve"> and one in seven individuals with UC are </w:t>
      </w:r>
      <w:r w:rsidR="004C6A44" w:rsidRPr="003B251F">
        <w:t xml:space="preserve">initially </w:t>
      </w:r>
      <w:r w:rsidR="008D18A3" w:rsidRPr="003B251F">
        <w:t xml:space="preserve">diagnosed </w:t>
      </w:r>
      <w:r w:rsidR="004C6A44" w:rsidRPr="003B251F">
        <w:t>with</w:t>
      </w:r>
      <w:r w:rsidR="008D18A3" w:rsidRPr="003B251F">
        <w:t xml:space="preserve"> haemorrhoids</w:t>
      </w:r>
      <w:r w:rsidR="000E78C0" w:rsidRPr="003B251F">
        <w:t>.</w:t>
      </w:r>
      <w:r w:rsidR="008D18A3" w:rsidRPr="003B251F">
        <w:fldChar w:fldCharType="begin" w:fldLock="1"/>
      </w:r>
      <w:r w:rsidR="00AD0E3E" w:rsidRPr="003B251F">
        <w:instrText>ADDIN CSL_CITATION {"citationItems":[{"id":"ITEM-1","itemData":{"DOI":"10.1093/ecco-jcc/jjx041","ISSN":"1873-9946","PMID":"28333328","abstract":"Background and Aims: Inflammatory bowel disease (IBD) patients are still under-diagnosed or diagnosed with serious delay. We examined whether diagnostic delay (DD) in IBD has changed over the last 60 years, and explored the risk factors of longer DD. Methods: 3392 IBD patients recorded in the registry of four IBD Italian centres were divided according to the year of diagnosis into a historical cohort (HC: 1955-1984) and modern cohort (MC: 1985-2014). DD, i.e. time lapse between onset of symptoms indicative of IBD and definitive diagnosis, was divided into four sub-periods (0-6, 7-12, 13-24, &gt;24 months) which were correlated with age and disease location/behaviour at diagnosis. Results: Median DD in IBD was 3.0months, it was significantly (p&lt;0.0001) higher in Crohn's disease (CD) (7.1months) than ulcerative colitis (UC) (2.0months), and did not differ either between the HC and the MC or over the last three decades. However, the proportion of patients with a DD&gt;24months was significantly (p&lt;0.0001) higher in the HC (26.0%) than the MC (18.2%), and the same trend was evident over the last three decades (1985-94: 19.9%; 1995-2004: 16.4%; 2005-2014: 13.9%; p=0.04). At logistic regression analysis, age at diagnosis &gt;40years (CD: odds ratio 1.73, 95%CI 1.31-2.28, p&lt;0.0001; UC: 1.41, 95%CI 1.02-1.96, p=0.04), and complicated disease at CD diagnosis (1.39, 95%CI 1.06-1.82, p=0.02) were independently associated with a DD&gt;24 months. Conclusions: DD duration has not changed over the last 60 years in Italy, however, IBD patients with a longer DD significantly decreased. Older age at diagnosis and a complicated disease at CD diagnosis are risk factors for longer DD.","author":[{"dropping-particle":"","family":"Cantoro","given":"Laura","non-dropping-particle":"","parse-names":false,"suffix":""},{"dropping-particle":"Di","family":"Sabatino","given":"Antonio","non-dropping-particle":"","parse-names":false,"suffix":""},{"dropping-particle":"","family":"Papi","given":"Claudio","non-dropping-particle":"","parse-names":false,"suffix":""},{"dropping-particle":"","family":"Margagnoni","given":"Giovanna","non-dropping-particle":"","parse-names":false,"suffix":""},{"dropping-particle":"","family":"Lenti","given":"Marco Vincenzo","non-dropping-particle":"","parse-names":false,"suffix":""},{"dropping-particle":"","family":"Corazza","given":"Gino Roberto","non-dropping-particle":"","parse-names":false,"suffix":""},{"dropping-particle":"","family":"Kohn","given":"Anna","non-dropping-particle":"","parse-names":false,"suffix":""},{"dropping-particle":"","family":"Giuffrida","given":"Paolo","non-dropping-particle":"","parse-names":false,"suffix":""},{"dropping-particle":"","family":"Giannarelli","given":"Diana","non-dropping-particle":"","parse-names":false,"suffix":""},{"dropping-particle":"","family":"Massari","given":"Alessandro","non-dropping-particle":"","parse-names":false,"suffix":""},{"dropping-particle":"","family":"Monterubbianesi","given":"Rita","non-dropping-particle":"","parse-names":false,"suffix":""}],"container-title":"J Crohns Colitis.","id":"ITEM-1","issue":"3","issued":{"date-parts":[["2017"]]},"page":"E-published ahead of print","title":"The time course of diagnostic delay in inflammatory bowel disease over the last sixty years: an Italian multicentre study.","type":"article-journal","volume":"17"},"uris":["http://www.mendeley.com/documents/?uuid=7e91450f-3b22-493f-b52c-923f108c94bb"]}],"mendeley":{"formattedCitation":"&lt;sup&gt;14&lt;/sup&gt;","plainTextFormattedCitation":"14","previouslyFormattedCitation":"&lt;sup&gt;14&lt;/sup&gt;"},"properties":{"noteIndex":0},"schema":"https://github.com/citation-style-language/schema/raw/master/csl-citation.json"}</w:instrText>
      </w:r>
      <w:r w:rsidR="008D18A3" w:rsidRPr="003B251F">
        <w:fldChar w:fldCharType="separate"/>
      </w:r>
      <w:r w:rsidR="002F0202" w:rsidRPr="003B251F">
        <w:rPr>
          <w:noProof/>
          <w:vertAlign w:val="superscript"/>
        </w:rPr>
        <w:t>14</w:t>
      </w:r>
      <w:r w:rsidR="008D18A3" w:rsidRPr="003B251F">
        <w:fldChar w:fldCharType="end"/>
      </w:r>
      <w:r w:rsidR="005E2BD8" w:rsidRPr="003B251F">
        <w:t xml:space="preserve"> </w:t>
      </w:r>
      <w:r w:rsidR="000E78C0" w:rsidRPr="003B251F">
        <w:t xml:space="preserve">This </w:t>
      </w:r>
      <w:r w:rsidR="00D702A7" w:rsidRPr="003B251F">
        <w:t>can</w:t>
      </w:r>
      <w:r w:rsidR="000E78C0" w:rsidRPr="003B251F">
        <w:t xml:space="preserve"> result</w:t>
      </w:r>
      <w:r w:rsidR="005E2BD8" w:rsidRPr="003B251F">
        <w:t xml:space="preserve"> in a delay</w:t>
      </w:r>
      <w:r w:rsidR="004C6A44" w:rsidRPr="003B251F">
        <w:t>ed specialist referral and diagnosis</w:t>
      </w:r>
      <w:r w:rsidR="00732530" w:rsidRPr="003B251F">
        <w:t xml:space="preserve"> </w:t>
      </w:r>
      <w:r w:rsidR="004C6A44" w:rsidRPr="003B251F">
        <w:t xml:space="preserve">and a consequent </w:t>
      </w:r>
      <w:r w:rsidR="00732530" w:rsidRPr="003B251F">
        <w:t>missed opportunity</w:t>
      </w:r>
      <w:r w:rsidR="00D47F7F" w:rsidRPr="003B251F">
        <w:t xml:space="preserve"> to commence early treatment </w:t>
      </w:r>
      <w:r w:rsidR="004C6A44" w:rsidRPr="003B251F">
        <w:t xml:space="preserve">to </w:t>
      </w:r>
      <w:r w:rsidR="00D47F7F" w:rsidRPr="003B251F">
        <w:t>prevent disease progression</w:t>
      </w:r>
      <w:r w:rsidR="008D18A3" w:rsidRPr="003B251F">
        <w:t>.</w:t>
      </w:r>
      <w:r w:rsidR="00FC5699" w:rsidRPr="003B251F">
        <w:t xml:space="preserve"> P</w:t>
      </w:r>
      <w:r w:rsidR="00520273" w:rsidRPr="003B251F">
        <w:rPr>
          <w:szCs w:val="26"/>
        </w:rPr>
        <w:t>revious studies report the median duration of symptoms before diagnosis to be between 6-9 months for CD and 2-7 months for UC, with a quarter of individuals waiting more than a year.</w:t>
      </w:r>
      <w:r w:rsidR="00520273" w:rsidRPr="003B251F">
        <w:rPr>
          <w:szCs w:val="26"/>
        </w:rPr>
        <w:fldChar w:fldCharType="begin" w:fldLock="1"/>
      </w:r>
      <w:r w:rsidR="00AD0E3E" w:rsidRPr="003B251F">
        <w:rPr>
          <w:szCs w:val="26"/>
        </w:rPr>
        <w:instrText>ADDIN CSL_CITATION {"citationItems":[{"id":"ITEM-1","itemData":{"DOI":"10.3748/wjg.v23.i35.6474","ISBN":"0000000256","author":[{"dropping-particle":"","family":"Lee","given":"Dong-won","non-dropping-particle":"","parse-names":false,"suffix":""},{"dropping-particle":"","family":"Koo","given":"Ja Seol","non-dropping-particle":"","parse-names":false,"suffix":""},{"dropping-particle":"","family":"Choe","given":"Jung Wan","non-dropping-particle":"","parse-names":false,"suffix":""},{"dropping-particle":"","family":"Suh","given":"Sang Jun","non-dropping-particle":"","parse-names":false,"suffix":""},{"dropping-particle":"","family":"Kim","given":"Seung Young","non-dropping-particle":"","parse-names":false,"suffix":""},{"dropping-particle":"","family":"Hyun","given":"Jong Jin","non-dropping-particle":"","parse-names":false,"suffix":""},{"dropping-particle":"","family":"Woo","given":"Sung","non-dropping-particle":"","parse-names":false,"suffix":""},{"dropping-particle":"","family":"Jung","given":"Young Kul","non-dropping-particle":"","parse-names":false,"suffix":""},{"dropping-particle":"","family":"Yim","given":"Hyung Joon","non-dropping-particle":"","parse-names":false,"suffix":""},{"dropping-particle":"","family":"Lee","given":"Sang Woo","non-dropping-particle":"","parse-names":false,"suffix":""},{"dropping-particle":"","family":"Lee","given":"Dong-won","non-dropping-particle":"","parse-names":false,"suffix":""},{"dropping-particle":"","family":"Koo","given":"Ja Seol","non-dropping-particle":"","parse-names":false,"suffix":""},{"dropping-particle":"","family":"Choe","given":"Jung Wan","non-dropping-particle":"","parse-names":false,"suffix":""},{"dropping-particle":"","family":"Jun","given":"Sang","non-dropping-particle":"","parse-names":false,"suffix":""}],"container-title":"World Journal of Gastroenterology","id":"ITEM-1","issue":"35","issued":{"date-parts":[["2017"]]},"page":"6474-6481","title":"Diagnostic delay in inflammatory bowel disease increases the risk of intestinal surgery","type":"article-journal","volume":"23"},"uris":["http://www.mendeley.com/documents/?uuid=08cdd211-5814-4ea0-bfca-7f4afc8a10e8"]},{"id":"ITEM-2","itemData":{"DOI":"10.1002/ibd.21719","author":[{"dropping-particle":"","family":"Vavricka","given":"Stephan R","non-dropping-particle":"","parse-names":false,"suffix":""},{"dropping-particle":"","family":"Spigaglia","given":"Sabrina M","non-dropping-particle":"","parse-names":false,"suffix":""},{"dropping-particle":"","family":"Rogler","given":"Gerhard","non-dropping-particle":"","parse-names":false,"suffix":""},{"dropping-particle":"","family":"Michetti","given":"Pierre","non-dropping-particle":"","parse-names":false,"suffix":""},{"dropping-particle":"","family":"Felley","given":"Christian","non-dropping-particle":"","parse-names":false,"suffix":""},{"dropping-particle":"","family":"Mottet","given":"Christian","non-dropping-particle":"","parse-names":false,"suffix":""},{"dropping-particle":"","family":"Braegger","given":"Christian P","non-dropping-particle":"","parse-names":false,"suffix":""},{"dropping-particle":"","family":"Rogler","given":"Daniela","non-dropping-particle":"","parse-names":false,"suffix":""},{"dropping-particle":"","family":"Straumann","given":"Alex","non-dropping-particle":"","parse-names":false,"suffix":""},{"dropping-particle":"","family":"Bauerfeind","given":"Peter","non-dropping-particle":"","parse-names":false,"suffix":""},{"dropping-particle":"","family":"Fried","given":"Michael","non-dropping-particle":"","parse-names":false,"suffix":""}],"container-title":"Inflamm Bowel Dis","id":"ITEM-2","issue":"3","issued":{"date-parts":[["2012"]]},"page":"496-505","title":"Systematic Evaluation of Risk Factors for Diagnostic Delay in","type":"article-journal","volume":"18"},"uris":["http://www.mendeley.com/documents/?uuid=92fbe4bb-f1e1-48a5-ab78-36fea53bf5c3"]},{"id":"ITEM-3","itemData":{"DOI":"10.1093/ecco-jcc/jjx041","ISSN":"1873-9946","PMID":"28333328","abstract":"Background and Aims: Inflammatory bowel disease (IBD) patients are still under-diagnosed or diagnosed with serious delay. We examined whether diagnostic delay (DD) in IBD has changed over the last 60 years, and explored the risk factors of longer DD. Methods: 3392 IBD patients recorded in the registry of four IBD Italian centres were divided according to the year of diagnosis into a historical cohort (HC: 1955-1984) and modern cohort (MC: 1985-2014). DD, i.e. time lapse between onset of symptoms indicative of IBD and definitive diagnosis, was divided into four sub-periods (0-6, 7-12, 13-24, &gt;24 months) which were correlated with age and disease location/behaviour at diagnosis. Results: Median DD in IBD was 3.0months, it was significantly (p&lt;0.0001) higher in Crohn's disease (CD) (7.1months) than ulcerative colitis (UC) (2.0months), and did not differ either between the HC and the MC or over the last three decades. However, the proportion of patients with a DD&gt;24months was significantly (p&lt;0.0001) higher in the HC (26.0%) than the MC (18.2%), and the same trend was evident over the last three decades (1985-94: 19.9%; 1995-2004: 16.4%; 2005-2014: 13.9%; p=0.04). At logistic regression analysis, age at diagnosis &gt;40years (CD: odds ratio 1.73, 95%CI 1.31-2.28, p&lt;0.0001; UC: 1.41, 95%CI 1.02-1.96, p=0.04), and complicated disease at CD diagnosis (1.39, 95%CI 1.06-1.82, p=0.02) were independently associated with a DD&gt;24 months. Conclusions: DD duration has not changed over the last 60 years in Italy, however, IBD patients with a longer DD significantly decreased. Older age at diagnosis and a complicated disease at CD diagnosis are risk factors for longer DD.","author":[{"dropping-particle":"","family":"Cantoro","given":"Laura","non-dropping-particle":"","parse-names":false,"suffix":""},{"dropping-particle":"Di","family":"Sabatino","given":"Antonio","non-dropping-particle":"","parse-names":false,"suffix":""},{"dropping-particle":"","family":"Papi","given":"Claudio","non-dropping-particle":"","parse-names":false,"suffix":""},{"dropping-particle":"","family":"Margagnoni","given":"Giovanna","non-dropping-particle":"","parse-names":false,"suffix":""},{"dropping-particle":"","family":"Lenti","given":"Marco Vincenzo","non-dropping-particle":"","parse-names":false,"suffix":""},{"dropping-particle":"","family":"Corazza","given":"Gino Roberto","non-dropping-particle":"","parse-names":false,"suffix":""},{"dropping-particle":"","family":"Kohn","given":"Anna","non-dropping-particle":"","parse-names":false,"suffix":""},{"dropping-particle":"","family":"Giuffrida","given":"Paolo","non-dropping-particle":"","parse-names":false,"suffix":""},{"dropping-particle":"","family":"Giannarelli","given":"Diana","non-dropping-particle":"","parse-names":false,"suffix":""},{"dropping-particle":"","family":"Massari","given":"Alessandro","non-dropping-particle":"","parse-names":false,"suffix":""},{"dropping-particle":"","family":"Monterubbianesi","given":"Rita","non-dropping-particle":"","parse-names":false,"suffix":""}],"container-title":"J Crohns Colitis.","id":"ITEM-3","issue":"3","issued":{"date-parts":[["2017"]]},"page":"E-published ahead of print","title":"The time course of diagnostic delay in inflammatory bowel disease over the last sixty years: an Italian multicentre study.","type":"article-journal","volume":"17"},"uris":["http://www.mendeley.com/documents/?uuid=7e91450f-3b22-493f-b52c-923f108c94bb"]}],"mendeley":{"formattedCitation":"&lt;sup&gt;2,14,15&lt;/sup&gt;","plainTextFormattedCitation":"2,14,15","previouslyFormattedCitation":"&lt;sup&gt;2,14,15&lt;/sup&gt;"},"properties":{"noteIndex":0},"schema":"https://github.com/citation-style-language/schema/raw/master/csl-citation.json"}</w:instrText>
      </w:r>
      <w:r w:rsidR="00520273" w:rsidRPr="003B251F">
        <w:rPr>
          <w:szCs w:val="26"/>
        </w:rPr>
        <w:fldChar w:fldCharType="separate"/>
      </w:r>
      <w:r w:rsidR="002F0202" w:rsidRPr="003B251F">
        <w:rPr>
          <w:noProof/>
          <w:szCs w:val="26"/>
          <w:vertAlign w:val="superscript"/>
        </w:rPr>
        <w:t>2,14,15</w:t>
      </w:r>
      <w:r w:rsidR="00520273" w:rsidRPr="003B251F">
        <w:rPr>
          <w:szCs w:val="26"/>
        </w:rPr>
        <w:fldChar w:fldCharType="end"/>
      </w:r>
      <w:r w:rsidR="00D3057A" w:rsidRPr="003B251F">
        <w:rPr>
          <w:szCs w:val="26"/>
        </w:rPr>
        <w:t xml:space="preserve"> However</w:t>
      </w:r>
      <w:r w:rsidR="00AD0E3E" w:rsidRPr="003B251F">
        <w:rPr>
          <w:szCs w:val="26"/>
        </w:rPr>
        <w:t>,</w:t>
      </w:r>
      <w:r w:rsidR="00D3057A" w:rsidRPr="003B251F">
        <w:rPr>
          <w:szCs w:val="26"/>
        </w:rPr>
        <w:t xml:space="preserve"> these studies do not account for the baseline prevalence of gastrointestinal symptoms in the general population and may overestimate the </w:t>
      </w:r>
      <w:r w:rsidR="00FF2A2F" w:rsidRPr="003B251F">
        <w:rPr>
          <w:szCs w:val="26"/>
        </w:rPr>
        <w:t xml:space="preserve">duration and prevalence </w:t>
      </w:r>
      <w:r w:rsidR="00D3057A" w:rsidRPr="003B251F">
        <w:rPr>
          <w:szCs w:val="26"/>
        </w:rPr>
        <w:t>of symptoms attributable to undiagnosed IBD.</w:t>
      </w:r>
    </w:p>
    <w:p w14:paraId="0EA0960C" w14:textId="70C9E045" w:rsidR="00D3057A" w:rsidRPr="003B251F" w:rsidRDefault="00016579">
      <w:pPr>
        <w:spacing w:line="480" w:lineRule="auto"/>
        <w:jc w:val="both"/>
      </w:pPr>
      <w:r w:rsidRPr="003B251F">
        <w:t>G</w:t>
      </w:r>
      <w:r w:rsidR="006C244C" w:rsidRPr="003B251F">
        <w:t>uidelines</w:t>
      </w:r>
      <w:r w:rsidR="00D702A7" w:rsidRPr="003B251F">
        <w:t xml:space="preserve"> </w:t>
      </w:r>
      <w:r w:rsidR="006C244C" w:rsidRPr="003B251F">
        <w:t xml:space="preserve">recommend patients experiencing gastrointestinal symptoms for more than 6 weeks should be referred to a gastroenterologist for </w:t>
      </w:r>
      <w:r w:rsidR="00C8078F" w:rsidRPr="003B251F">
        <w:t xml:space="preserve">timely </w:t>
      </w:r>
      <w:r w:rsidR="006C244C" w:rsidRPr="003B251F">
        <w:t>specialist review within 4 weeks but it is unclear whether</w:t>
      </w:r>
      <w:r w:rsidR="001A0829" w:rsidRPr="003B251F">
        <w:t xml:space="preserve"> this is</w:t>
      </w:r>
      <w:r w:rsidR="006C244C" w:rsidRPr="003B251F">
        <w:t xml:space="preserve"> </w:t>
      </w:r>
      <w:r w:rsidR="001A0829" w:rsidRPr="003B251F">
        <w:t xml:space="preserve">mirrored in </w:t>
      </w:r>
      <w:r w:rsidR="00230728" w:rsidRPr="003B251F">
        <w:t xml:space="preserve">real-world </w:t>
      </w:r>
      <w:r w:rsidR="006C244C" w:rsidRPr="003B251F">
        <w:t>clinical practice.</w:t>
      </w:r>
      <w:r w:rsidR="00935497" w:rsidRPr="003B251F">
        <w:fldChar w:fldCharType="begin" w:fldLock="1"/>
      </w:r>
      <w:r w:rsidR="00AD0E3E" w:rsidRPr="003B251F">
        <w:instrText>ADDIN CSL_CITATION {"citationItems":[{"id":"ITEM-1","itemData":{"DOI":"10.1136/gutjnl-2019-318484","ISSN":"0017-5749","PMID":"31562236","abstract":"Ulcerative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Barney","non-dropping-particle":"","parse-names":false,"suffix":""}],"container-title":"Gut","id":"ITEM-1","issued":{"date-parts":[["2019"]]},"page":"gutjnl-2019-318484","title":"British Society of Gastroenterology consensus guidelines on the management of inflammatory bowel disease in adults","type":"article-journal"},"uris":["http://www.mendeley.com/documents/?uuid=4e086d58-9424-4040-8984-90354eac194f"]},{"id":"ITEM-2","itemData":{"DOI":"10.1136/flgastro-2019-101260","ISSN":"2041-4137","abstract":"Objective Symptoms and clinical course during inflammatory bowel disease (IBD) vary among individuals. Personalised care is therefore essential to effective management, delivered by a strong patient-centred multidisciplinary team, working within a well-designed service. This study aimed to fully rewrite the UK Standards for the healthcare of adults and children with IBD, and to develop an IBD Service Benchmarking Tool to support current and future personalised care models. Design Led by IBD UK, a national multidisciplinary alliance of patients and nominated representatives from all major stakeholders in IBD care, Standards requirements were defined by survey data collated from 689 patients and 151 healthcare professionals. Standards were drafted and refined over three rounds of modified electronic-Delphi. results Consensus was achieved for 59 Standards covering seven clinical domains; (1) design and delivery of the multidisciplinary IBD service; (2) prediagnostic referral pathways, protocols and timeframes; (3) holistic care of the newly diagnosed patient; (4) flare management to support patient empowerment, self-management and access to specialists where required; (5) surgery including appropriate expertise, preoperative information, psychological support and postoperative care; (6) inpatient medical care delivery (7) and ongoing long-term care in the outpatient department and primary care setting including shared care. Using these patient-centred Standards and informed by the IBD Quality Improvement Project (IBDQIP), this paper presents a national benchmarking framework. Conclusions The Standards and Benchmarking Tool provide a framework for healthcare providers and patients to rate the quality of their service. This will recognise excellent care, and promote quality improvement, audit and service development in IBD.","author":[{"dropping-particle":"","family":"Kapasi","given":"Rukshana","non-dropping-particle":"","parse-names":false,"suffix":""},{"dropping-particle":"","family":"Glatter","given":"Jackie","non-dropping-particle":"","parse-names":false,"suffix":""},{"dropping-particle":"","family":"Lamb","given":"Christopher A","non-dropping-particle":"","parse-names":false,"suffix":""},{"dropping-particle":"","family":"Acheson","given":"Austin G","non-dropping-particle":"","parse-names":false,"suffix":""},{"dropping-particle":"","family":"Andrews","given":"Charles","non-dropping-particle":"","parse-names":false,"suffix":""},{"dropping-particle":"","family":"Arnott","given":"Ian D","non-dropping-particle":"","parse-names":false,"suffix":""},{"dropping-particle":"","family":"Barrett","given":"Kevin J","non-dropping-particle":"","parse-names":false,"suffix":""},{"dropping-particle":"","family":"Bell","given":"Graham","non-dropping-particle":"","parse-names":false,"suffix":""},{"dropping-particle":"","family":"Bhatnagar","given":"Guaraang","non-dropping-particle":"","parse-names":false,"suffix":""},{"dropping-particle":"","family":"Bloom","given":"Stuart","non-dropping-particle":"","parse-names":false,"suffix":""},{"dropping-particle":"","family":"Brookes","given":"Matthew James","non-dropping-particle":"","parse-names":false,"suffix":""},{"dropping-particle":"","family":"Brown","given":"Steven R","non-dropping-particle":"","parse-names":false,"suffix":""},{"dropping-particle":"","family":"Burch","given":"Nicola","non-dropping-particle":"","parse-names":false,"suffix":""},{"dropping-particle":"","family":"Burman","given":"Andy","non-dropping-particle":"","parse-names":false,"suffix":""},{"dropping-particle":"","family":"Crook","given":"Kay","non-dropping-particle":"","parse-names":false,"suffix":""},{"dropping-particle":"","family":"Cummings","given":"JR Fraser","non-dropping-particle":"","parse-names":false,"suffix":""},{"dropping-particle":"","family":"Davies","given":"Justin","non-dropping-particle":"","parse-names":false,"suffix":""},{"dropping-particle":"","family":"Demick","given":"Anne","non-dropping-particle":"","parse-names":false,"suffix":""},{"dropping-particle":"","family":"Epstein","given":"Jenny","non-dropping-particle":"","parse-names":false,"suffix":""},{"dropping-particle":"","family":"Faiz","given":"Omar","non-dropping-particle":"","parse-names":false,"suffix":""},{"dropping-particle":"","family":"Feakins","given":"Roger","non-dropping-particle":"","parse-names":false,"suffix":""},{"dropping-particle":"","family":"Fletcher","given":"Melissa","non-dropping-particle":"","parse-names":false,"suffix":""},{"dropping-particle":"","family":"Garrick","given":"Vikki","non-dropping-particle":"","parse-names":false,"suffix":""},{"dropping-particle":"","family":"Jaffray","given":"Bruce","non-dropping-particle":"","parse-names":false,"suffix":""},{"dropping-particle":"","family":"Johnson","given":"Matthew","non-dropping-particle":"","parse-names":false,"suffix":""},{"dropping-particle":"","family":"Keetarut","given":"Katie","non-dropping-particle":"","parse-names":false,"suffix":""},{"dropping-particle":"","family":"Limdi","given":"Jimmy","non-dropping-particle":"","parse-names":false,"suffix":""},{"dropping-particle":"","family":"Meade","given":"Uchu","non-dropping-particle":"","parse-names":false,"suffix":""},{"dropping-particle":"","family":"Muhammed","given":"Rafeeq","non-dropping-particle":"","parse-names":false,"suffix":""},{"dropping-particle":"","family":"Murdock","given":"Andrew","non-dropping-particle":"","parse-names":false,"suffix":""},{"dropping-particle":"","family":"Posford","given":"Nick","non-dropping-particle":"","parse-names":false,"suffix":""},{"dropping-particle":"","family":"Rowse","given":"Georgina","non-dropping-particle":"","parse-names":false,"suffix":""},{"dropping-particle":"","family":"Shaw","given":"Ian","non-dropping-particle":"","parse-names":false,"suffix":""},{"dropping-particle":"","family":"St Clair Jones","given":"Anja","non-dropping-particle":"","parse-names":false,"suffix":""},{"dropping-particle":"","family":"Taylor","given":"Stuart","non-dropping-particle":"","parse-names":false,"suffix":""},{"dropping-particle":"","family":"Weaver","given":"Sean","non-dropping-particle":"","parse-names":false,"suffix":""},{"dropping-particle":"","family":"Younge","given":"Lisa","non-dropping-particle":"","parse-names":false,"suffix":""},{"dropping-particle":"","family":"Hawthorne","given":"Antony Barney","non-dropping-particle":"","parse-names":false,"suffix":""}],"container-title":"Frontline Gastroenterology","id":"ITEM-2","issued":{"date-parts":[["2019"]]},"page":"flgastro-2019-101260","title":"Consensus standards of healthcare for adults and children with inflammatory bowel disease in the UK","type":"article-journal"},"uris":["http://www.mendeley.com/documents/?uuid=16977c80-404c-48df-bc01-75cb38fb9bb3"]}],"mendeley":{"formattedCitation":"&lt;sup&gt;16,17&lt;/sup&gt;","plainTextFormattedCitation":"16,17","previouslyFormattedCitation":"&lt;sup&gt;16,17&lt;/sup&gt;"},"properties":{"noteIndex":0},"schema":"https://github.com/citation-style-language/schema/raw/master/csl-citation.json"}</w:instrText>
      </w:r>
      <w:r w:rsidR="00935497" w:rsidRPr="003B251F">
        <w:fldChar w:fldCharType="separate"/>
      </w:r>
      <w:r w:rsidR="002F0202" w:rsidRPr="003B251F">
        <w:rPr>
          <w:noProof/>
          <w:vertAlign w:val="superscript"/>
        </w:rPr>
        <w:t>16,17</w:t>
      </w:r>
      <w:r w:rsidR="00935497" w:rsidRPr="003B251F">
        <w:fldChar w:fldCharType="end"/>
      </w:r>
      <w:r w:rsidR="006C244C" w:rsidRPr="003B251F">
        <w:t xml:space="preserve"> </w:t>
      </w:r>
    </w:p>
    <w:p w14:paraId="0C7E0571" w14:textId="1E8A9CE6" w:rsidR="001A0829" w:rsidRPr="003B251F" w:rsidRDefault="00492399">
      <w:pPr>
        <w:spacing w:line="480" w:lineRule="auto"/>
        <w:jc w:val="both"/>
      </w:pPr>
      <w:r w:rsidRPr="003B251F">
        <w:t>We</w:t>
      </w:r>
      <w:r w:rsidR="00E42BD8" w:rsidRPr="003B251F">
        <w:t xml:space="preserve"> </w:t>
      </w:r>
      <w:r w:rsidRPr="003B251F">
        <w:t xml:space="preserve">designed a nationally representative </w:t>
      </w:r>
      <w:r w:rsidR="005F6231" w:rsidRPr="003B251F">
        <w:t>case control study</w:t>
      </w:r>
      <w:r w:rsidRPr="003B251F">
        <w:t xml:space="preserve"> to </w:t>
      </w:r>
      <w:r w:rsidR="00FC5699" w:rsidRPr="003B251F">
        <w:t>examine the</w:t>
      </w:r>
      <w:r w:rsidR="00016579" w:rsidRPr="003B251F">
        <w:t xml:space="preserve"> duration of symptoms before IBD diagnosis</w:t>
      </w:r>
      <w:r w:rsidRPr="003B251F">
        <w:t xml:space="preserve">. </w:t>
      </w:r>
      <w:r w:rsidR="004C6A44" w:rsidRPr="003B251F">
        <w:t xml:space="preserve">Further to this we performed a linked analysis to determine the timeliness of </w:t>
      </w:r>
      <w:r w:rsidR="004C6A44" w:rsidRPr="003B251F">
        <w:lastRenderedPageBreak/>
        <w:t>specialist referral and the influencing factors</w:t>
      </w:r>
      <w:r w:rsidR="00230728" w:rsidRPr="003B251F">
        <w:t xml:space="preserve"> like prior diagnosis of Irritable bowel syndrome and </w:t>
      </w:r>
      <w:r w:rsidR="00AD0E3E" w:rsidRPr="003B251F">
        <w:t>psychiatric</w:t>
      </w:r>
      <w:r w:rsidR="00230728" w:rsidRPr="003B251F">
        <w:t xml:space="preserve"> co-morbidity</w:t>
      </w:r>
      <w:r w:rsidR="004C6A44" w:rsidRPr="003B251F">
        <w:t xml:space="preserve">.  </w:t>
      </w:r>
      <w:r w:rsidRPr="003B251F">
        <w:t xml:space="preserve">The aim of our study was </w:t>
      </w:r>
      <w:r w:rsidR="002709DB" w:rsidRPr="003B251F">
        <w:t xml:space="preserve">firstly </w:t>
      </w:r>
      <w:r w:rsidRPr="003B251F">
        <w:t xml:space="preserve">to examine prevalence of gastrointestinal symptoms attributable to undiagnosed IBD before diagnosis </w:t>
      </w:r>
      <w:r w:rsidR="00016579" w:rsidRPr="003B251F">
        <w:t xml:space="preserve">and </w:t>
      </w:r>
      <w:r w:rsidR="002709DB" w:rsidRPr="003B251F">
        <w:t xml:space="preserve">second </w:t>
      </w:r>
      <w:r w:rsidRPr="003B251F">
        <w:t xml:space="preserve">identify </w:t>
      </w:r>
      <w:r w:rsidR="008A40C3" w:rsidRPr="003B251F">
        <w:t>predictors</w:t>
      </w:r>
      <w:r w:rsidRPr="003B251F">
        <w:t xml:space="preserve"> for</w:t>
      </w:r>
      <w:r w:rsidR="00C8078F" w:rsidRPr="003B251F">
        <w:t xml:space="preserve"> timely</w:t>
      </w:r>
      <w:r w:rsidRPr="003B251F">
        <w:t xml:space="preserve"> specialist </w:t>
      </w:r>
      <w:r w:rsidR="005F6231" w:rsidRPr="003B251F">
        <w:t>review</w:t>
      </w:r>
      <w:r w:rsidRPr="003B251F">
        <w:t xml:space="preserve">. </w:t>
      </w:r>
    </w:p>
    <w:p w14:paraId="38ABC4C9" w14:textId="77777777" w:rsidR="004C6A44" w:rsidRPr="003B251F" w:rsidRDefault="004C6A44">
      <w:pPr>
        <w:spacing w:line="480" w:lineRule="auto"/>
        <w:jc w:val="both"/>
      </w:pPr>
    </w:p>
    <w:p w14:paraId="7D392AFF" w14:textId="77777777" w:rsidR="00371330" w:rsidRPr="003B251F" w:rsidRDefault="00371330" w:rsidP="00A624CE">
      <w:pPr>
        <w:pStyle w:val="Heading1"/>
        <w:jc w:val="both"/>
      </w:pPr>
      <w:r w:rsidRPr="003B251F">
        <w:t>Methods</w:t>
      </w:r>
    </w:p>
    <w:p w14:paraId="5205AD3E" w14:textId="25CB2437" w:rsidR="0077489F" w:rsidRPr="003B251F" w:rsidRDefault="0077489F" w:rsidP="00A624CE">
      <w:pPr>
        <w:pStyle w:val="Heading2"/>
        <w:spacing w:line="480" w:lineRule="auto"/>
        <w:jc w:val="both"/>
        <w:rPr>
          <w:rFonts w:asciiTheme="minorHAnsi" w:hAnsiTheme="minorHAnsi"/>
        </w:rPr>
      </w:pPr>
      <w:r w:rsidRPr="003B251F">
        <w:rPr>
          <w:rFonts w:asciiTheme="minorHAnsi" w:hAnsiTheme="minorHAnsi"/>
        </w:rPr>
        <w:t>Data source</w:t>
      </w:r>
    </w:p>
    <w:p w14:paraId="594CA957" w14:textId="1B00CF9A" w:rsidR="006B750F" w:rsidRPr="003B251F" w:rsidRDefault="0077489F">
      <w:pPr>
        <w:spacing w:line="480" w:lineRule="auto"/>
        <w:jc w:val="both"/>
        <w:rPr>
          <w:rStyle w:val="CommentReference"/>
        </w:rPr>
      </w:pPr>
      <w:r w:rsidRPr="003B251F">
        <w:t>Using the Clinical Practice Research Datalink (CPRD) we identified a</w:t>
      </w:r>
      <w:r w:rsidR="00695385" w:rsidRPr="003B251F">
        <w:t>ll cases</w:t>
      </w:r>
      <w:r w:rsidRPr="003B251F">
        <w:t xml:space="preserve"> </w:t>
      </w:r>
      <w:r w:rsidR="00695385" w:rsidRPr="003B251F">
        <w:t xml:space="preserve">of </w:t>
      </w:r>
      <w:r w:rsidR="00F07CF9" w:rsidRPr="003B251F">
        <w:t>CD and UC</w:t>
      </w:r>
      <w:r w:rsidR="004D30F6" w:rsidRPr="003B251F">
        <w:t xml:space="preserve"> </w:t>
      </w:r>
      <w:r w:rsidR="00695385" w:rsidRPr="003B251F">
        <w:t xml:space="preserve">diagnosed </w:t>
      </w:r>
      <w:r w:rsidR="004D30F6" w:rsidRPr="003B251F">
        <w:t xml:space="preserve">between January 1st </w:t>
      </w:r>
      <w:r w:rsidR="00010B61" w:rsidRPr="003B251F">
        <w:t>1998</w:t>
      </w:r>
      <w:r w:rsidR="004D30F6" w:rsidRPr="003B251F">
        <w:t xml:space="preserve"> and May 1st 2016</w:t>
      </w:r>
      <w:r w:rsidR="00F07CF9" w:rsidRPr="003B251F">
        <w:t>. CPRD</w:t>
      </w:r>
      <w:r w:rsidR="00F52F7E" w:rsidRPr="003B251F">
        <w:t xml:space="preserve"> is</w:t>
      </w:r>
      <w:r w:rsidR="00F07CF9" w:rsidRPr="003B251F">
        <w:t xml:space="preserve"> </w:t>
      </w:r>
      <w:r w:rsidR="0047152F" w:rsidRPr="003B251F">
        <w:t xml:space="preserve">one of </w:t>
      </w:r>
      <w:r w:rsidRPr="003B251F">
        <w:rPr>
          <w:rFonts w:cs="Calibri"/>
        </w:rPr>
        <w:t>the largest validated primary care research database</w:t>
      </w:r>
      <w:r w:rsidR="0047152F" w:rsidRPr="003B251F">
        <w:rPr>
          <w:rFonts w:cs="Calibri"/>
        </w:rPr>
        <w:t>s</w:t>
      </w:r>
      <w:r w:rsidRPr="003B251F">
        <w:rPr>
          <w:rFonts w:cs="Calibri"/>
        </w:rPr>
        <w:t xml:space="preserve"> in the world. It contains </w:t>
      </w:r>
      <w:r w:rsidR="009712E2" w:rsidRPr="003B251F">
        <w:rPr>
          <w:rFonts w:cs="Calibri"/>
        </w:rPr>
        <w:t xml:space="preserve">nationally representative, </w:t>
      </w:r>
      <w:r w:rsidRPr="003B251F">
        <w:rPr>
          <w:rFonts w:cs="Calibri"/>
        </w:rPr>
        <w:t xml:space="preserve">longitudinal, </w:t>
      </w:r>
      <w:r w:rsidRPr="003B251F">
        <w:t xml:space="preserve">patient-level, anonymised electronic health </w:t>
      </w:r>
      <w:r w:rsidRPr="003B251F">
        <w:rPr>
          <w:rFonts w:cs="Calibri"/>
        </w:rPr>
        <w:t xml:space="preserve">records </w:t>
      </w:r>
      <w:r w:rsidR="006B750F" w:rsidRPr="003B251F">
        <w:rPr>
          <w:rFonts w:cs="Calibri"/>
        </w:rPr>
        <w:t>of 13 million patients from more than 700</w:t>
      </w:r>
      <w:r w:rsidR="006B750F" w:rsidRPr="003B251F" w:rsidDel="00FE7FD4">
        <w:rPr>
          <w:rFonts w:cs="Calibri"/>
        </w:rPr>
        <w:t xml:space="preserve"> </w:t>
      </w:r>
      <w:r w:rsidR="006B750F" w:rsidRPr="003B251F">
        <w:rPr>
          <w:rFonts w:cs="Calibri"/>
        </w:rPr>
        <w:t>general practices and is broadly representative of the United Kingdom (UK) population</w:t>
      </w:r>
      <w:r w:rsidRPr="003B251F">
        <w:t xml:space="preserve">. The median follow-up for </w:t>
      </w:r>
      <w:r w:rsidR="00823535" w:rsidRPr="003B251F">
        <w:t>individuals</w:t>
      </w:r>
      <w:r w:rsidRPr="003B251F">
        <w:t xml:space="preserve"> registered on CPRD is 9.4 years, </w:t>
      </w:r>
      <w:r w:rsidR="00E42BD8" w:rsidRPr="003B251F">
        <w:t>allowing study</w:t>
      </w:r>
      <w:r w:rsidRPr="003B251F">
        <w:t xml:space="preserve"> of long-term outcomes.</w:t>
      </w:r>
      <w:r w:rsidRPr="003B251F">
        <w:fldChar w:fldCharType="begin" w:fldLock="1"/>
      </w:r>
      <w:r w:rsidR="00AD0E3E" w:rsidRPr="003B251F">
        <w:instrText>ADDIN CSL_CITATION {"citationItems":[{"id":"ITEM-1","itemData":{"DOI":"10.1093/ije/dyv098","ISBN":"0300-5771","ISSN":"14643685","PMID":"26050254","abstract":"The Clinical Practice Research Datalink (CPRD) is an ongoing primary care database of anonymised medical records from general practitioners, with coverage of over 11.3 million patients from 674 practices in the UK. With 4.4 million active (alive, currently registered) patients meeting quality criteria, approximately 6.9% of the UK population are included and patients are broadly representative of the UK general population in terms of age, sex and ethnicity. General practitioners are the gatekeepers of primary care and specialist referrals in the UK. The CPRD primary care database is therefore a rich source of health data for research, including data on demographics, symptoms, tests, diagnoses, therapies, health-related behaviours and referrals to secondary care. For over half of patients, linkage with datasets from secondary care, disease-specific cohorts and mortality records enhance the range of data available for research. The CPRD is very widely used internationally for epidemiological research and has been used to produce over 1000 research studies, published in peer-reviewed journals across a broad range of health outcomes. However, researchers must be aware of the complexity of routinely collected electronic health records, including ways to manage variable completeness, misclassification and development of disease definitions for research.","author":[{"dropping-particle":"","family":"Herrett","given":"Emily","non-dropping-particle":"","parse-names":false,"suffix":""},{"dropping-particle":"","family":"Gallagher","given":"Arlene M.","non-dropping-particle":"","parse-names":false,"suffix":""},{"dropping-particle":"","family":"Bhaskaran","given":"Krishnan","non-dropping-particle":"","parse-names":false,"suffix":""},{"dropping-particle":"","family":"Forbes","given":"Harriet","non-dropping-particle":"","parse-names":false,"suffix":""},{"dropping-particle":"","family":"Mathur","given":"Rohini","non-dropping-particle":"","parse-names":false,"suffix":""},{"dropping-particle":"van","family":"Staa","given":"Tjeerd","non-dropping-particle":"","parse-names":false,"suffix":""},{"dropping-particle":"","family":"Smeeth","given":"Liam","non-dropping-particle":"","parse-names":false,"suffix":""}],"container-title":"International Journal of Epidemiology","id":"ITEM-1","issue":"3","issued":{"date-parts":[["2015"]]},"page":"827-836","title":"Data Resource Profile: Clinical Practice Research Datalink (CPRD)","type":"article-journal","volume":"44"},"uris":["http://www.mendeley.com/documents/?uuid=84954978-10d9-41b6-ad28-4401480c2ca2"]}],"mendeley":{"formattedCitation":"&lt;sup&gt;18&lt;/sup&gt;","plainTextFormattedCitation":"18","previouslyFormattedCitation":"&lt;sup&gt;18&lt;/sup&gt;"},"properties":{"noteIndex":0},"schema":"https://github.com/citation-style-language/schema/raw/master/csl-citation.json"}</w:instrText>
      </w:r>
      <w:r w:rsidRPr="003B251F">
        <w:fldChar w:fldCharType="separate"/>
      </w:r>
      <w:r w:rsidR="002F0202" w:rsidRPr="003B251F">
        <w:rPr>
          <w:noProof/>
          <w:vertAlign w:val="superscript"/>
        </w:rPr>
        <w:t>18</w:t>
      </w:r>
      <w:r w:rsidRPr="003B251F">
        <w:fldChar w:fldCharType="end"/>
      </w:r>
      <w:r w:rsidRPr="003B251F">
        <w:t xml:space="preserve">  Primary care physicians use Read codes to record symptoms, signs</w:t>
      </w:r>
      <w:r w:rsidR="00F9166D" w:rsidRPr="003B251F">
        <w:t xml:space="preserve"> and</w:t>
      </w:r>
      <w:r w:rsidRPr="003B251F">
        <w:t xml:space="preserve"> diagnoses. Data are audited to ensure accuracy and completeness. Participating practices need to achiev</w:t>
      </w:r>
      <w:r w:rsidR="008F77A6" w:rsidRPr="003B251F">
        <w:t>e and maintain 'Up to standard'</w:t>
      </w:r>
      <w:r w:rsidRPr="003B251F">
        <w:t xml:space="preserve"> status to continue contributing to the dataset. The database's primary purpose is for epidemiological research and the coding system has been previously validated for use in IBD.</w:t>
      </w:r>
      <w:r w:rsidRPr="003B251F">
        <w:fldChar w:fldCharType="begin" w:fldLock="1"/>
      </w:r>
      <w:r w:rsidR="00AD0E3E" w:rsidRPr="003B251F">
        <w:instrText>ADDIN CSL_CITATION {"citationItems":[{"id":"ITEM-1","itemData":{"author":[{"dropping-particle":"","family":"Lewis","given":"James D","non-dropping-particle":"","parse-names":false,"suffix":""},{"dropping-particle":"","family":"Ms","given":"Colleen Brensinger","non-dropping-particle":"","parse-names":false,"suffix":""},{"dropping-particle":"","family":"Bilker","given":"Warren B","non-dropping-particle":"","parse-names":false,"suffix":""},{"dropping-particle":"","family":"Strom","given":"Brian L","non-dropping-particle":"","parse-names":false,"suffix":""}],"container-title":"Pharmacoepidemiol Drug Saf.","id":"ITEM-1","issue":"April","issued":{"date-parts":[["2002"]]},"page":"211-218","title":"Validity and completeness of the General Practice Research Database for studies of inflammatory bowel disease","type":"article-journal"},"uris":["http://www.mendeley.com/documents/?uuid=3137f753-408d-4841-88e8-df936fe93c78"]}],"mendeley":{"formattedCitation":"&lt;sup&gt;19&lt;/sup&gt;","plainTextFormattedCitation":"19","previouslyFormattedCitation":"&lt;sup&gt;19&lt;/sup&gt;"},"properties":{"noteIndex":0},"schema":"https://github.com/citation-style-language/schema/raw/master/csl-citation.json"}</w:instrText>
      </w:r>
      <w:r w:rsidRPr="003B251F">
        <w:fldChar w:fldCharType="separate"/>
      </w:r>
      <w:r w:rsidR="002F0202" w:rsidRPr="003B251F">
        <w:rPr>
          <w:noProof/>
          <w:vertAlign w:val="superscript"/>
        </w:rPr>
        <w:t>19</w:t>
      </w:r>
      <w:r w:rsidRPr="003B251F">
        <w:fldChar w:fldCharType="end"/>
      </w:r>
      <w:r w:rsidRPr="003B251F">
        <w:t xml:space="preserve"> Numerous IBD related studies have been undertaken using it.</w:t>
      </w:r>
      <w:r w:rsidRPr="003B251F">
        <w:fldChar w:fldCharType="begin" w:fldLock="1"/>
      </w:r>
      <w:r w:rsidR="00AD0E3E" w:rsidRPr="003B251F">
        <w:instrText>ADDIN CSL_CITATION {"citationItems":[{"id":"ITEM-1","itemData":{"DOI":"10.1136/gut.2005.070896","ISBN":"0017-5749 (Print)\\r0017-5749 (Linking)","ISSN":"0017-5749","PMID":"15994215","abstract":"The objective of this study was to evaluate the risk of colorectal cancer (CRC) in patients taking aminosalicylates (5-ASA) for inflammatory bowel disease (IBD).","author":[{"dropping-particle":"","family":"Staal","given":"T P","non-dropping-particle":"van","parse-names":false,"suffix":""},{"dropping-particle":"","family":"Card","given":"T","non-dropping-particle":"","parse-names":false,"suffix":""},{"dropping-particle":"","family":"Logan","given":"R F","non-dropping-particle":"","parse-names":false,"suffix":""},{"dropping-particle":"","family":"Leufkens","given":"H G M","non-dropping-particle":"","parse-names":false,"suffix":""},{"dropping-particle":"","family":"Staa","given":"T P","non-dropping-particle":"van","parse-names":false,"suffix":""},{"dropping-particle":"","family":"Card","given":"T","non-dropping-particle":"","parse-names":false,"suffix":""},{"dropping-particle":"","family":"Logan","given":"R F","non-dropping-particle":"","parse-names":false,"suffix":""},{"dropping-particle":"","family":"Leufkens","given":"H G M","non-dropping-particle":"","parse-names":false,"suffix":""}],"container-title":"Gut","id":"ITEM-1","issue":"11","issued":{"date-parts":[["2005"]]},"page":"1573-8","title":"5-Aminosalicylate use and colorectal cancer risk in inflammatory bowel disease: a large epidemiological study.","type":"article-journal","volume":"54"},"uris":["http://www.mendeley.com/documents/?uuid=5b08b47b-ce9a-43c2-8738-ec811206962a"]},{"id":"ITEM-2","itemData":{"DOI":"10.1038/ajg.2009.745","ISBN":"0002-9270","ISSN":"1572-0241","PMID":"20104215","abstract":"OBJECTIVES: Azathioprine is an accepted treatment of inflammatory bowel disease (IBD), but concerns exist regarding its carcinogenic potential. Studies in renal transplant and rheumatology patients have reported an increased cancer risk. In IBD, studies suggest a small increased risk of lymphoma and protection against colorectal cancer, but the overall risk of malignancy has not been established. METHODS: We conducted a nested case-control study using the General Practice Research Database. Records of IBD patients were examined for azathioprine prescriptions and cancers. Prescriptions per year of follow-up were grouped for analysis. Azathioprine use was compared between IBD cases (with a diagnosed cancer) and IBD controls (without). RESULTS: Overall, 15,471 patients with IBD and over 1 year of appropriate data were identified. Among these, 392 developed cancer, of whom 10.5% received at least one prescription for azathioprine, compared with 1,914 (12.7%) of the controls. Analyzing the occurrence of any cancer against azathioprine prescription showed a nonsignificant protective effect (odds ratio (OR)=0.92, 95% confidence interval (CI)=0.79-1.06). Correction for the effects of age and smoking removed this effect (OR=1.04, 95% CI=0.89-1.21). Diagnosis of lymphoma was associated with ever use of azathioprine with OR of 3.22, CI=1.01-10.18. CONCLUSIONS: We found evidence of an increased risk of lymphoma, which is consistent with previous studies. We found no overall increase in risk of cancer in individuals with IBD who had taken azathioprine. Our study does not show a need for azathioprine cessation in the medium term in IBD because of the risk of malignancy.","author":[{"dropping-particle":"","family":"Armstrong","given":"Richard G","non-dropping-particle":"","parse-names":false,"suffix":""},{"dropping-particle":"","family":"West","given":"Joe","non-dropping-particle":"","parse-names":false,"suffix":""},{"dropping-particle":"","family":"Card","given":"Timothy R","non-dropping-particle":"","parse-names":false,"suffix":""}],"container-title":"The American journal of gastroenterology","id":"ITEM-2","issue":"7","issued":{"date-parts":[["2010"]]},"page":"1604-1609","publisher":"Nature Publishing Group","title":"Risk of cancer in inflammatory bowel disease treated with azathioprine: a UK population-based case-control study.","type":"article-journal","volume":"105"},"uris":["http://www.mendeley.com/documents/?uuid=65944a67-7d1e-4154-ae55-3aafd8ce0a9c"]}],"mendeley":{"formattedCitation":"&lt;sup&gt;20,21&lt;/sup&gt;","plainTextFormattedCitation":"20,21","previouslyFormattedCitation":"&lt;sup&gt;20,21&lt;/sup&gt;"},"properties":{"noteIndex":0},"schema":"https://github.com/citation-style-language/schema/raw/master/csl-citation.json"}</w:instrText>
      </w:r>
      <w:r w:rsidRPr="003B251F">
        <w:fldChar w:fldCharType="separate"/>
      </w:r>
      <w:r w:rsidR="002F0202" w:rsidRPr="003B251F">
        <w:rPr>
          <w:noProof/>
          <w:vertAlign w:val="superscript"/>
        </w:rPr>
        <w:t>20,21</w:t>
      </w:r>
      <w:r w:rsidRPr="003B251F">
        <w:fldChar w:fldCharType="end"/>
      </w:r>
      <w:r w:rsidRPr="003B251F">
        <w:rPr>
          <w:rStyle w:val="CommentReference"/>
        </w:rPr>
        <w:t xml:space="preserve"> </w:t>
      </w:r>
    </w:p>
    <w:p w14:paraId="7435E100" w14:textId="5900C688" w:rsidR="0077489F" w:rsidRPr="003B251F" w:rsidRDefault="009712E2">
      <w:pPr>
        <w:spacing w:line="480" w:lineRule="auto"/>
        <w:jc w:val="both"/>
      </w:pPr>
      <w:r w:rsidRPr="003B251F">
        <w:t>D</w:t>
      </w:r>
      <w:r w:rsidR="0029557A" w:rsidRPr="003B251F">
        <w:t>ata were linked to the Hospital Episodes Statistics</w:t>
      </w:r>
      <w:r w:rsidR="0084598A" w:rsidRPr="003B251F">
        <w:t xml:space="preserve"> Outpatient</w:t>
      </w:r>
      <w:r w:rsidR="0029557A" w:rsidRPr="003B251F">
        <w:t xml:space="preserve"> database (HES</w:t>
      </w:r>
      <w:r w:rsidR="0084598A" w:rsidRPr="003B251F">
        <w:t xml:space="preserve"> OP</w:t>
      </w:r>
      <w:r w:rsidR="0029557A" w:rsidRPr="003B251F">
        <w:t>)</w:t>
      </w:r>
      <w:r w:rsidR="00FF16DF" w:rsidRPr="003B251F">
        <w:t xml:space="preserve"> </w:t>
      </w:r>
      <w:r w:rsidR="004C6A44" w:rsidRPr="003B251F">
        <w:t>where available</w:t>
      </w:r>
      <w:r w:rsidR="008F77A6" w:rsidRPr="003B251F">
        <w:t>. HES OP</w:t>
      </w:r>
      <w:r w:rsidR="0029557A" w:rsidRPr="003B251F">
        <w:t xml:space="preserve"> contains details of all outpatient appointments in all NHS hospitals in England</w:t>
      </w:r>
      <w:r w:rsidR="0084598A" w:rsidRPr="003B251F">
        <w:t>.</w:t>
      </w:r>
      <w:r w:rsidRPr="003B251F">
        <w:t xml:space="preserve"> </w:t>
      </w:r>
      <w:r w:rsidR="0077489F" w:rsidRPr="003B251F">
        <w:t>We obtained ethical and scientific approval for the use of CPRD</w:t>
      </w:r>
      <w:r w:rsidR="009254D7" w:rsidRPr="003B251F">
        <w:t xml:space="preserve"> and HES</w:t>
      </w:r>
      <w:r w:rsidR="0077489F" w:rsidRPr="003B251F">
        <w:t xml:space="preserve"> for our study from the Independent Scientific Advisory Committee (ISAC Protocol number: 15_0</w:t>
      </w:r>
      <w:r w:rsidR="008F6F64" w:rsidRPr="003B251F">
        <w:t>18R).</w:t>
      </w:r>
    </w:p>
    <w:p w14:paraId="4E458A98" w14:textId="5DCAF6C8" w:rsidR="005B23AB" w:rsidRPr="003B251F" w:rsidRDefault="005B23AB" w:rsidP="00A624CE">
      <w:pPr>
        <w:pStyle w:val="Heading2"/>
        <w:spacing w:line="480" w:lineRule="auto"/>
        <w:jc w:val="both"/>
        <w:rPr>
          <w:rFonts w:asciiTheme="minorHAnsi" w:hAnsiTheme="minorHAnsi"/>
        </w:rPr>
      </w:pPr>
      <w:r w:rsidRPr="003B251F">
        <w:rPr>
          <w:rFonts w:asciiTheme="minorHAnsi" w:hAnsiTheme="minorHAnsi"/>
        </w:rPr>
        <w:lastRenderedPageBreak/>
        <w:t xml:space="preserve">Incident case definition </w:t>
      </w:r>
    </w:p>
    <w:p w14:paraId="5A516391" w14:textId="10480F8F" w:rsidR="00F9166D" w:rsidRPr="003B251F" w:rsidRDefault="00F9166D" w:rsidP="00F9166D">
      <w:pPr>
        <w:spacing w:line="480" w:lineRule="auto"/>
        <w:jc w:val="both"/>
      </w:pPr>
      <w:r w:rsidRPr="003B251F">
        <w:t>We defined incident IBD cases as individuals with a first ever diagnosis Read code for either CD or UC at least one year after registering with an 'Up To Standard' practice for the period January 1st 1998 to May</w:t>
      </w:r>
      <w:r w:rsidR="00864F88" w:rsidRPr="003B251F">
        <w:t xml:space="preserve"> 1st 2016 in accordance with</w:t>
      </w:r>
      <w:r w:rsidRPr="003B251F">
        <w:t xml:space="preserve"> published </w:t>
      </w:r>
      <w:r w:rsidR="00864F88" w:rsidRPr="003B251F">
        <w:t xml:space="preserve">and validated </w:t>
      </w:r>
      <w:r w:rsidRPr="003B251F">
        <w:t>methods.</w:t>
      </w:r>
      <w:r w:rsidR="00864F88" w:rsidRPr="003B251F">
        <w:fldChar w:fldCharType="begin" w:fldLock="1"/>
      </w:r>
      <w:r w:rsidR="00012CBB" w:rsidRPr="003B251F">
        <w:instrText>ADDIN CSL_CITATION {"citationItems":[{"id":"ITEM-1","itemData":{"author":[{"dropping-particle":"","family":"Lewis","given":"James D","non-dropping-particle":"","parse-names":false,"suffix":""},{"dropping-particle":"","family":"Ms","given":"Colleen Brensinger","non-dropping-particle":"","parse-names":false,"suffix":""},{"dropping-particle":"","family":"Bilker","given":"Warren B","non-dropping-particle":"","parse-names":false,"suffix":""},{"dropping-particle":"","family":"Strom","given":"Brian L","non-dropping-particle":"","parse-names":false,"suffix":""}],"container-title":"Pharmacoepidemiol Drug Saf.","id":"ITEM-1","issue":"April","issued":{"date-parts":[["2002"]]},"page":"211-218","title":"Validity and completeness of the General Practice Research Database for studies of inflammatory bowel disease","type":"article-journal"},"uris":["http://www.mendeley.com/documents/?uuid=3137f753-408d-4841-88e8-df936fe93c78"]},{"id":"ITEM-2","itemData":{"DOI":"10.1111/apt.15390","author":[{"dropping-particle":"","family":"Blackwell","given":"Jonathan","non-dropping-particle":"","parse-names":false,"suffix":""},{"dropping-particle":"","family":"Saxena","given":"Sonia","non-dropping-particle":"","parse-names":false,"suffix":""},{"dropping-particle":"","family":"Alexakis","given":"Christopher","non-dropping-particle":"","parse-names":false,"suffix":""},{"dropping-particle":"","family":"Bottle","given":"Alex","non-dropping-particle":"","parse-names":false,"suffix":""},{"dropping-particle":"","family":"Cecil","given":"Elizabeth","non-dropping-particle":"","parse-names":false,"suffix":""},{"dropping-particle":"","family":"Majeed","given":"Azeem","non-dropping-particle":"","parse-names":false,"suffix":""},{"dropping-particle":"","family":"Pollok","given":"Richard C.","non-dropping-particle":"","parse-names":false,"suffix":""}],"container-title":"Alimentary Pharmacology &amp; Therapeutics","id":"ITEM-2","issue":"March","issued":{"date-parts":[["2019"]]},"page":"1-12","title":"The impact of smoking and smoking cessation on disease outcomes in ulcerative colitis: a nationwide population-based study","type":"article-journal"},"uris":["http://www.mendeley.com/documents/?uuid=282f2f89-f390-492e-8b4b-84f48d8c9299"]},{"id":"ITEM-3","itemData":{"DOI":"10.12703/P5-50","ISSN":"2051-7599","PMID":"24273651","abstract":"Ulcerative colitis and Crohn's disease together are known as inflammatory bowel disease (IBD). Surgery is considered for more severe disease and is a dreaded consequence for patients. Thiopurines have proven efficacy in the induction and maintenance of remission of IBD, but the long-term need for surgery remains uncertain with conflicting results from the available studies. The timing and duration of thiopurines also appears to play a pivotal role in the management of these conditions and may also affect the need for surgery. Data from Denmark, Canada, Hungary and the UK appear to suggest a reduction in surgery rates prior to the introduction of anti-tumor necrosis factor (TNF) therapy. The authors aim to review the more recent literature evaluating the surgery rates in IBD and changes in disease trends over time. We ask whether increasing thiopurine prescribing has had an effect on the surgery rates in the era of biologic therapy and whether more aggressive treatment approaches have altered the natural history of IBD.","author":[{"dropping-particle":"","family":"Chhaya","given":"Vivek","non-dropping-particle":"","parse-names":false,"suffix":""},{"dropping-particle":"","family":"Pollok","given":"Richard","non-dropping-particle":"","parse-names":false,"suffix":""}],"container-title":"F1000prime reports","id":"ITEM-3","issue":"November","issued":{"date-parts":[["2013"]]},"page":"50","title":"The impact of thiopurines on surgical outcomes in inflammatory bowel disease: do they make a difference?","type":"article-journal","volume":"5"},"uris":["http://www.mendeley.com/documents/?uuid=4c2b40bc-68a1-4808-bf13-4489aa9ff591"]}],"mendeley":{"formattedCitation":"&lt;sup&gt;19,22,23&lt;/sup&gt;","plainTextFormattedCitation":"19,22,23","previouslyFormattedCitation":"&lt;sup&gt;19,22,23&lt;/sup&gt;"},"properties":{"noteIndex":0},"schema":"https://github.com/citation-style-language/schema/raw/master/csl-citation.json"}</w:instrText>
      </w:r>
      <w:r w:rsidR="00864F88" w:rsidRPr="003B251F">
        <w:fldChar w:fldCharType="separate"/>
      </w:r>
      <w:r w:rsidR="00864F88" w:rsidRPr="003B251F">
        <w:rPr>
          <w:noProof/>
          <w:vertAlign w:val="superscript"/>
        </w:rPr>
        <w:t>19,22,23</w:t>
      </w:r>
      <w:r w:rsidR="00864F88" w:rsidRPr="003B251F">
        <w:fldChar w:fldCharType="end"/>
      </w:r>
    </w:p>
    <w:p w14:paraId="5DA77948" w14:textId="4516F980" w:rsidR="00004549" w:rsidRPr="003B251F" w:rsidRDefault="00F9166D">
      <w:pPr>
        <w:spacing w:line="480" w:lineRule="auto"/>
        <w:jc w:val="both"/>
      </w:pPr>
      <w:r w:rsidRPr="003B251F">
        <w:t>We excluded individuals if they had codes for both CD and UC, or indeterminate codes (</w:t>
      </w:r>
      <w:r w:rsidR="00143105" w:rsidRPr="003B251F">
        <w:t xml:space="preserve">e.g. </w:t>
      </w:r>
      <w:r w:rsidRPr="003B251F">
        <w:t xml:space="preserve">'non-specific colitis'). Individuals </w:t>
      </w:r>
      <w:r w:rsidR="00695385" w:rsidRPr="003B251F">
        <w:t>were followed-up</w:t>
      </w:r>
      <w:r w:rsidRPr="003B251F">
        <w:t xml:space="preserve"> from their date of registration on the database until the date of their IBD diagnosis,</w:t>
      </w:r>
      <w:r w:rsidR="00004549" w:rsidRPr="003B251F">
        <w:t xml:space="preserve"> defined as the</w:t>
      </w:r>
      <w:r w:rsidRPr="003B251F">
        <w:t xml:space="preserve"> date of the</w:t>
      </w:r>
      <w:r w:rsidR="00004549" w:rsidRPr="003B251F">
        <w:t xml:space="preserve"> first recorded code for an IBD diagnosis in CPRD.</w:t>
      </w:r>
    </w:p>
    <w:p w14:paraId="6148A800" w14:textId="78CF5784" w:rsidR="00F64986" w:rsidRPr="003B251F" w:rsidRDefault="008157B5" w:rsidP="00FD45B7">
      <w:pPr>
        <w:spacing w:line="480" w:lineRule="auto"/>
      </w:pPr>
      <w:r w:rsidRPr="003B251F">
        <w:t xml:space="preserve">To examine </w:t>
      </w:r>
      <w:r w:rsidR="008A40C3" w:rsidRPr="003B251F">
        <w:t>predictors of receiving</w:t>
      </w:r>
      <w:r w:rsidR="00FF16DF" w:rsidRPr="003B251F">
        <w:t xml:space="preserve"> timely</w:t>
      </w:r>
      <w:r w:rsidRPr="003B251F">
        <w:t xml:space="preserve"> specialist review </w:t>
      </w:r>
      <w:r w:rsidR="00F64986" w:rsidRPr="003B251F">
        <w:t xml:space="preserve">we </w:t>
      </w:r>
      <w:r w:rsidR="00E368CE" w:rsidRPr="003B251F">
        <w:t xml:space="preserve">identified all </w:t>
      </w:r>
      <w:r w:rsidR="008A40C3" w:rsidRPr="003B251F">
        <w:t>cases</w:t>
      </w:r>
      <w:r w:rsidR="00E368CE" w:rsidRPr="003B251F">
        <w:t xml:space="preserve"> </w:t>
      </w:r>
      <w:r w:rsidR="00F64986" w:rsidRPr="003B251F">
        <w:t>with</w:t>
      </w:r>
      <w:r w:rsidR="00492399" w:rsidRPr="003B251F">
        <w:t xml:space="preserve"> chronic GI symptoms </w:t>
      </w:r>
      <w:r w:rsidRPr="003B251F">
        <w:t xml:space="preserve">(2 consultations within a 6 month period at least 6 weeks apart, </w:t>
      </w:r>
      <w:r w:rsidR="006553B9" w:rsidRPr="003B251F">
        <w:t>Appendix 1)</w:t>
      </w:r>
      <w:r w:rsidR="00492399" w:rsidRPr="003B251F">
        <w:t>. We identified all individuals</w:t>
      </w:r>
      <w:r w:rsidR="00AE250C" w:rsidRPr="003B251F">
        <w:t xml:space="preserve"> with</w:t>
      </w:r>
      <w:r w:rsidR="00FD5C37" w:rsidRPr="003B251F">
        <w:t xml:space="preserve"> HES </w:t>
      </w:r>
      <w:r w:rsidR="00D37529" w:rsidRPr="003B251F">
        <w:t xml:space="preserve">outpatient </w:t>
      </w:r>
      <w:r w:rsidR="00FD5C37" w:rsidRPr="003B251F">
        <w:t>data and</w:t>
      </w:r>
      <w:r w:rsidR="00F64986" w:rsidRPr="003B251F">
        <w:t xml:space="preserve"> at least 10 years registration with their </w:t>
      </w:r>
      <w:r w:rsidR="00C97731" w:rsidRPr="003B251F">
        <w:t xml:space="preserve">primary care </w:t>
      </w:r>
      <w:r w:rsidR="00F64986" w:rsidRPr="003B251F">
        <w:t>practice before</w:t>
      </w:r>
      <w:r w:rsidR="00E368CE" w:rsidRPr="003B251F">
        <w:t xml:space="preserve"> IBD was</w:t>
      </w:r>
      <w:r w:rsidR="00F64986" w:rsidRPr="003B251F">
        <w:t xml:space="preserve"> </w:t>
      </w:r>
      <w:r w:rsidR="00E368CE" w:rsidRPr="003B251F">
        <w:t>diagnosed</w:t>
      </w:r>
      <w:r w:rsidR="00F64986" w:rsidRPr="003B251F">
        <w:t xml:space="preserve">. Individuals whose first presentation with chronic GI symptoms occurred before 01/01/2003 were excluded </w:t>
      </w:r>
      <w:r w:rsidR="00994C46" w:rsidRPr="003B251F">
        <w:t xml:space="preserve">from this analysis </w:t>
      </w:r>
      <w:r w:rsidR="00F64986" w:rsidRPr="003B251F">
        <w:t xml:space="preserve">as HES </w:t>
      </w:r>
      <w:r w:rsidR="00881552" w:rsidRPr="003B251F">
        <w:t xml:space="preserve">outpatient </w:t>
      </w:r>
      <w:r w:rsidR="00F64986" w:rsidRPr="003B251F">
        <w:t>data was not collected before this point.</w:t>
      </w:r>
      <w:r w:rsidR="00935497" w:rsidRPr="003B251F" w:rsidDel="00935497">
        <w:t xml:space="preserve"> </w:t>
      </w:r>
    </w:p>
    <w:p w14:paraId="2D1EB9C7" w14:textId="2A1E7C1E" w:rsidR="005B23AB" w:rsidRPr="003B251F" w:rsidRDefault="00C1769B" w:rsidP="00A624CE">
      <w:pPr>
        <w:pStyle w:val="Heading2"/>
        <w:jc w:val="both"/>
      </w:pPr>
      <w:r w:rsidRPr="003B251F">
        <w:t>Control Groups</w:t>
      </w:r>
    </w:p>
    <w:p w14:paraId="59F26999" w14:textId="7DBAB842" w:rsidR="0029047C" w:rsidRPr="003B251F" w:rsidRDefault="00AE250C">
      <w:pPr>
        <w:spacing w:line="480" w:lineRule="auto"/>
        <w:jc w:val="both"/>
      </w:pPr>
      <w:r w:rsidRPr="003B251F">
        <w:t xml:space="preserve">We identified </w:t>
      </w:r>
      <w:r w:rsidR="00D37529" w:rsidRPr="003B251F">
        <w:t xml:space="preserve">separate </w:t>
      </w:r>
      <w:r w:rsidR="00C1769B" w:rsidRPr="003B251F">
        <w:t>control groups</w:t>
      </w:r>
      <w:r w:rsidR="00881552" w:rsidRPr="003B251F">
        <w:t xml:space="preserve"> </w:t>
      </w:r>
      <w:r w:rsidR="00C1769B" w:rsidRPr="003B251F">
        <w:t>for CD and UC cases</w:t>
      </w:r>
      <w:r w:rsidR="00C1769B" w:rsidRPr="003B251F">
        <w:rPr>
          <w:rStyle w:val="CommentReference"/>
        </w:rPr>
        <w:t xml:space="preserve"> </w:t>
      </w:r>
      <w:r w:rsidR="006B750F" w:rsidRPr="003B251F">
        <w:t>from CPRD</w:t>
      </w:r>
      <w:r w:rsidRPr="003B251F">
        <w:t xml:space="preserve"> to establish </w:t>
      </w:r>
      <w:r w:rsidR="00881552" w:rsidRPr="003B251F">
        <w:t xml:space="preserve">the </w:t>
      </w:r>
      <w:r w:rsidRPr="003B251F">
        <w:t>annual prevalence of GI symptoms in the general population without IBD.</w:t>
      </w:r>
      <w:r w:rsidR="006B750F" w:rsidRPr="003B251F">
        <w:t xml:space="preserve"> </w:t>
      </w:r>
      <w:r w:rsidR="00C37026" w:rsidRPr="003B251F">
        <w:t>T</w:t>
      </w:r>
      <w:r w:rsidR="0029047C" w:rsidRPr="003B251F">
        <w:t xml:space="preserve">he CD and UC </w:t>
      </w:r>
      <w:r w:rsidR="00C1769B" w:rsidRPr="003B251F">
        <w:t xml:space="preserve">cases </w:t>
      </w:r>
      <w:r w:rsidR="00C37026" w:rsidRPr="003B251F">
        <w:t xml:space="preserve">were matched 1:4 to controls </w:t>
      </w:r>
      <w:r w:rsidR="0029047C" w:rsidRPr="003B251F">
        <w:t xml:space="preserve">according to </w:t>
      </w:r>
      <w:r w:rsidR="00945F76" w:rsidRPr="003B251F">
        <w:t xml:space="preserve">sex and </w:t>
      </w:r>
      <w:r w:rsidR="00695385" w:rsidRPr="003B251F">
        <w:t>age, defined by</w:t>
      </w:r>
      <w:r w:rsidR="0029047C" w:rsidRPr="003B251F">
        <w:t xml:space="preserve"> year of birth. Individuals were eligible to be </w:t>
      </w:r>
      <w:r w:rsidR="00C1769B" w:rsidRPr="003B251F">
        <w:t>controls</w:t>
      </w:r>
      <w:r w:rsidR="0029047C" w:rsidRPr="003B251F">
        <w:t xml:space="preserve"> if they had no recorded diagnosis of IBD at any stage of their follow-up. After stratification by age and sex</w:t>
      </w:r>
      <w:r w:rsidR="00C1769B" w:rsidRPr="003B251F">
        <w:t>,</w:t>
      </w:r>
      <w:r w:rsidR="0029047C" w:rsidRPr="003B251F">
        <w:t xml:space="preserve"> </w:t>
      </w:r>
      <w:r w:rsidR="00C1769B" w:rsidRPr="003B251F">
        <w:t xml:space="preserve">controls </w:t>
      </w:r>
      <w:r w:rsidR="0029047C" w:rsidRPr="003B251F">
        <w:t xml:space="preserve">were selected at random. </w:t>
      </w:r>
      <w:r w:rsidR="00C1769B" w:rsidRPr="003B251F">
        <w:t>Controls</w:t>
      </w:r>
      <w:r w:rsidR="0029047C" w:rsidRPr="003B251F">
        <w:t xml:space="preserve"> </w:t>
      </w:r>
      <w:r w:rsidR="007F111A" w:rsidRPr="003B251F">
        <w:t xml:space="preserve">were each </w:t>
      </w:r>
      <w:r w:rsidR="0029047C" w:rsidRPr="003B251F">
        <w:t>assigned the IBD diagnosis date of their matched IBD individual as a pseudo-diagnosis.</w:t>
      </w:r>
      <w:r w:rsidR="0029047C" w:rsidRPr="003B251F">
        <w:fldChar w:fldCharType="begin" w:fldLock="1"/>
      </w:r>
      <w:r w:rsidR="00AD0E3E" w:rsidRPr="003B251F">
        <w:instrText>ADDIN CSL_CITATION {"citationItems":[{"id":"ITEM-1","itemData":{"DOI":"10.1177/2050640614554217","ISBN":"2050640614554","ISSN":"2050-6406","PMID":"25452846","abstract":"BACKGROUND: Inflammatory bowel disease (IBD) patients are sometimes first diagnosed with irritable bowel syndrome (IBS), which may be construed as a misdiagnosis.\\n\\nOBJECTIVE: The objective of this article is to determine if this occurs more than expected by chance.\\n\\nMETHODS: We conducted a case-control study nested in the General Practice Research Database. We selected incident cases of IBD and up to 10 matched controls for each. We assessed the proportions with IBS recorded prior to the IBD diagnosis and variation by age, sex, and calendar time. We compared proportions affected in fixed time periods and conducted conditional logistic regression to derive odds ratios.\\n\\nRESULTS: The 20, 193 cases were three times as likely as controls to have a prior record of IBS. Fifteen per cent of IBD cases and 5% of controls had IBS coded before diagnosis with 11% having a code for IBS over one year before IBD (cf. 5% of controls) and 6% over five years earlier (cf. 3%). These figures roughly doubled if typical antispasmodic therapies were assumed to represent IBS diagnoses.\\n\\nCONCLUSION: If excess IBS diagnoses represent misdiagnoses of IBD, our results suggest that about 10% of IBD patients are misdiagnosed and in 3% of cases this may persist for five or more years.","author":[{"dropping-particle":"","family":"Card","given":"Timothy R","non-dropping-particle":"","parse-names":false,"suffix":""},{"dropping-particle":"","family":"Siffledeen","given":"Jesse","non-dropping-particle":"","parse-names":false,"suffix":""},{"dropping-particle":"","family":"Fleming","given":"Kate M","non-dropping-particle":"","parse-names":false,"suffix":""}],"container-title":"United European gastroenterology journal","id":"ITEM-1","issue":"6","issued":{"date-parts":[["2014"]]},"page":"505-12","title":"Are IBD patients more likely to have a prior diagnosis of irritable bowel syndrome? Report of a case-control study in the General Practice Research Database.","type":"article-journal","volume":"2"},"uris":["http://www.mendeley.com/documents/?uuid=6f8e74c6-19fa-4507-a920-08644795e868"]}],"mendeley":{"formattedCitation":"&lt;sup&gt;13&lt;/sup&gt;","plainTextFormattedCitation":"13","previouslyFormattedCitation":"&lt;sup&gt;13&lt;/sup&gt;"},"properties":{"noteIndex":0},"schema":"https://github.com/citation-style-language/schema/raw/master/csl-citation.json"}</w:instrText>
      </w:r>
      <w:r w:rsidR="0029047C" w:rsidRPr="003B251F">
        <w:fldChar w:fldCharType="separate"/>
      </w:r>
      <w:r w:rsidR="002F0202" w:rsidRPr="003B251F">
        <w:rPr>
          <w:noProof/>
          <w:vertAlign w:val="superscript"/>
        </w:rPr>
        <w:t>13</w:t>
      </w:r>
      <w:r w:rsidR="0029047C" w:rsidRPr="003B251F">
        <w:fldChar w:fldCharType="end"/>
      </w:r>
      <w:r w:rsidR="0029047C" w:rsidRPr="003B251F">
        <w:t xml:space="preserve"> </w:t>
      </w:r>
    </w:p>
    <w:p w14:paraId="29B2A10B" w14:textId="6AD4ED6A" w:rsidR="0071737F" w:rsidRPr="003B251F" w:rsidRDefault="00D37529" w:rsidP="00A624CE">
      <w:pPr>
        <w:pStyle w:val="Heading2"/>
        <w:jc w:val="both"/>
      </w:pPr>
      <w:r w:rsidRPr="003B251F">
        <w:t xml:space="preserve">Excess prevalence of </w:t>
      </w:r>
      <w:r w:rsidR="00456A97" w:rsidRPr="003B251F">
        <w:t>GI symptoms before IBD diagnosis</w:t>
      </w:r>
      <w:r w:rsidR="00456A97" w:rsidRPr="003B251F" w:rsidDel="002709DB">
        <w:t xml:space="preserve"> </w:t>
      </w:r>
    </w:p>
    <w:p w14:paraId="4F4F6574" w14:textId="66451855" w:rsidR="00916562" w:rsidRPr="003B251F" w:rsidRDefault="00035308">
      <w:pPr>
        <w:spacing w:line="480" w:lineRule="auto"/>
        <w:jc w:val="both"/>
      </w:pPr>
      <w:r w:rsidRPr="003B251F">
        <w:t>We m</w:t>
      </w:r>
      <w:r w:rsidR="00050D1B" w:rsidRPr="003B251F">
        <w:t>easure</w:t>
      </w:r>
      <w:r w:rsidRPr="003B251F">
        <w:t>d</w:t>
      </w:r>
      <w:r w:rsidR="00004549" w:rsidRPr="003B251F">
        <w:t xml:space="preserve"> </w:t>
      </w:r>
      <w:r w:rsidR="00050D1B" w:rsidRPr="003B251F">
        <w:t>the period prevalence of</w:t>
      </w:r>
      <w:r w:rsidR="007100E0" w:rsidRPr="003B251F">
        <w:t xml:space="preserve"> </w:t>
      </w:r>
      <w:r w:rsidR="00B05C41" w:rsidRPr="003B251F">
        <w:t xml:space="preserve">GI symptoms in </w:t>
      </w:r>
      <w:r w:rsidRPr="003B251F">
        <w:t xml:space="preserve">each of the 10 years </w:t>
      </w:r>
      <w:r w:rsidR="0029557A" w:rsidRPr="003B251F">
        <w:t>before</w:t>
      </w:r>
      <w:r w:rsidR="00B05C41" w:rsidRPr="003B251F">
        <w:t xml:space="preserve"> IBD diagnosis</w:t>
      </w:r>
      <w:r w:rsidR="00050D1B" w:rsidRPr="003B251F">
        <w:t>.</w:t>
      </w:r>
      <w:r w:rsidR="001002AA" w:rsidRPr="003B251F">
        <w:t xml:space="preserve"> </w:t>
      </w:r>
      <w:r w:rsidR="00F573A4" w:rsidRPr="003B251F">
        <w:t>Through a consensus process, a</w:t>
      </w:r>
      <w:r w:rsidR="00FF7151" w:rsidRPr="003B251F">
        <w:t xml:space="preserve"> clinical steering group of </w:t>
      </w:r>
      <w:r w:rsidR="00A316EF" w:rsidRPr="003B251F">
        <w:t xml:space="preserve">clinicians </w:t>
      </w:r>
      <w:r w:rsidR="00FF7151" w:rsidRPr="003B251F">
        <w:t>with an in</w:t>
      </w:r>
      <w:r w:rsidR="00967D58" w:rsidRPr="003B251F">
        <w:t>terest in IBD</w:t>
      </w:r>
      <w:r w:rsidR="009E4F9E" w:rsidRPr="003B251F">
        <w:t xml:space="preserve"> </w:t>
      </w:r>
      <w:r w:rsidR="00FF7151" w:rsidRPr="003B251F">
        <w:t xml:space="preserve">developed lists of Read codes </w:t>
      </w:r>
      <w:r w:rsidR="004E3DD7" w:rsidRPr="003B251F">
        <w:t>to identify</w:t>
      </w:r>
      <w:r w:rsidR="0067570B" w:rsidRPr="003B251F">
        <w:t xml:space="preserve"> symptoms of IBD, </w:t>
      </w:r>
      <w:r w:rsidR="004E3DD7" w:rsidRPr="003B251F">
        <w:t xml:space="preserve">including </w:t>
      </w:r>
      <w:r w:rsidR="002654B5" w:rsidRPr="003B251F">
        <w:t>abdominal</w:t>
      </w:r>
      <w:r w:rsidR="00F6530A" w:rsidRPr="003B251F">
        <w:t xml:space="preserve"> or perianal</w:t>
      </w:r>
      <w:r w:rsidR="002654B5" w:rsidRPr="003B251F">
        <w:t xml:space="preserve"> pain, diarrhoea and </w:t>
      </w:r>
      <w:r w:rsidR="002654B5" w:rsidRPr="003B251F">
        <w:lastRenderedPageBreak/>
        <w:t>rectal bleeding</w:t>
      </w:r>
      <w:r w:rsidR="00B61ECE" w:rsidRPr="003B251F">
        <w:t xml:space="preserve"> (A</w:t>
      </w:r>
      <w:r w:rsidR="0091515E" w:rsidRPr="003B251F">
        <w:t>ppendix</w:t>
      </w:r>
      <w:r w:rsidR="00B61ECE" w:rsidRPr="003B251F">
        <w:t xml:space="preserve"> </w:t>
      </w:r>
      <w:r w:rsidR="00F52D85" w:rsidRPr="003B251F">
        <w:t>2 – Code List</w:t>
      </w:r>
      <w:r w:rsidR="00B61ECE" w:rsidRPr="003B251F">
        <w:t>)</w:t>
      </w:r>
      <w:r w:rsidR="0091515E" w:rsidRPr="003B251F">
        <w:t>.</w:t>
      </w:r>
      <w:r w:rsidR="00F6530A" w:rsidRPr="003B251F">
        <w:t xml:space="preserve"> </w:t>
      </w:r>
      <w:r w:rsidR="007100E0" w:rsidRPr="003B251F">
        <w:t>Individuals were considered to have prevalent</w:t>
      </w:r>
      <w:r w:rsidR="000B287E" w:rsidRPr="003B251F">
        <w:t xml:space="preserve"> </w:t>
      </w:r>
      <w:r w:rsidR="007100E0" w:rsidRPr="003B251F">
        <w:t xml:space="preserve">GI symptoms in a given year if their </w:t>
      </w:r>
      <w:r w:rsidR="00C97731" w:rsidRPr="003B251F">
        <w:t>primary care physician</w:t>
      </w:r>
      <w:r w:rsidR="007100E0" w:rsidRPr="003B251F">
        <w:t xml:space="preserve"> recorded at least one code for GI symptoms</w:t>
      </w:r>
      <w:r w:rsidR="00983041" w:rsidRPr="003B251F">
        <w:t xml:space="preserve"> in their medical records</w:t>
      </w:r>
      <w:r w:rsidR="007100E0" w:rsidRPr="003B251F">
        <w:t xml:space="preserve"> in that year.</w:t>
      </w:r>
      <w:r w:rsidR="00866A11" w:rsidRPr="003B251F">
        <w:t xml:space="preserve"> </w:t>
      </w:r>
      <w:r w:rsidR="003F6D65" w:rsidRPr="003B251F">
        <w:t xml:space="preserve">We included individuals in the denominator for each year if </w:t>
      </w:r>
      <w:r w:rsidR="00945F76" w:rsidRPr="003B251F">
        <w:t>they were registered with their</w:t>
      </w:r>
      <w:r w:rsidR="003F6D65" w:rsidRPr="003B251F">
        <w:t xml:space="preserve"> </w:t>
      </w:r>
      <w:r w:rsidR="00945F76" w:rsidRPr="003B251F">
        <w:t xml:space="preserve">primary care practice </w:t>
      </w:r>
      <w:r w:rsidR="003F6D65" w:rsidRPr="003B251F">
        <w:t xml:space="preserve">that entire year.  </w:t>
      </w:r>
      <w:r w:rsidR="00132642" w:rsidRPr="003B251F">
        <w:t xml:space="preserve">We </w:t>
      </w:r>
      <w:r w:rsidR="0044330E" w:rsidRPr="003B251F">
        <w:t xml:space="preserve">calculated </w:t>
      </w:r>
      <w:r w:rsidR="00866A11" w:rsidRPr="003B251F">
        <w:t>the excess prevalence of GI symptoms attributable to IBD in each of the 10 years before IBD diagnosis</w:t>
      </w:r>
      <w:r w:rsidR="0044330E" w:rsidRPr="003B251F">
        <w:t xml:space="preserve"> as </w:t>
      </w:r>
      <w:r w:rsidR="00132642" w:rsidRPr="003B251F">
        <w:t>the prevalence of</w:t>
      </w:r>
      <w:r w:rsidR="000B287E" w:rsidRPr="003B251F">
        <w:t xml:space="preserve"> </w:t>
      </w:r>
      <w:r w:rsidR="00132642" w:rsidRPr="003B251F">
        <w:t xml:space="preserve">GI symptoms </w:t>
      </w:r>
      <w:r w:rsidR="0044330E" w:rsidRPr="003B251F">
        <w:t>in the CD and UC cohorts</w:t>
      </w:r>
      <w:r w:rsidR="00132642" w:rsidRPr="003B251F">
        <w:t xml:space="preserve"> minus the baseline prevalence of GI symptoms in the</w:t>
      </w:r>
      <w:r w:rsidR="0044330E" w:rsidRPr="003B251F">
        <w:t>ir respective</w:t>
      </w:r>
      <w:r w:rsidR="00132642" w:rsidRPr="003B251F">
        <w:t xml:space="preserve"> </w:t>
      </w:r>
      <w:r w:rsidR="006337D4" w:rsidRPr="003B251F">
        <w:t>control groups</w:t>
      </w:r>
      <w:r w:rsidR="00132642" w:rsidRPr="003B251F">
        <w:t>.</w:t>
      </w:r>
      <w:r w:rsidR="00F50CB8" w:rsidRPr="003B251F">
        <w:t xml:space="preserve"> </w:t>
      </w:r>
      <w:r w:rsidR="00C750D8" w:rsidRPr="003B251F">
        <w:t xml:space="preserve">  To avoid recording GI symptoms reported within </w:t>
      </w:r>
      <w:r w:rsidR="005D7582" w:rsidRPr="003B251F">
        <w:t>six</w:t>
      </w:r>
      <w:r w:rsidR="00C750D8" w:rsidRPr="003B251F">
        <w:t xml:space="preserve"> months of</w:t>
      </w:r>
      <w:r w:rsidR="00F4357D" w:rsidRPr="003B251F">
        <w:t xml:space="preserve"> the diagnosis of</w:t>
      </w:r>
      <w:r w:rsidR="00C750D8" w:rsidRPr="003B251F">
        <w:t xml:space="preserve"> IBD w</w:t>
      </w:r>
      <w:r w:rsidR="00B97FA7" w:rsidRPr="003B251F">
        <w:t>e defined the first year before IBD diagnosis as the</w:t>
      </w:r>
      <w:r w:rsidR="00F4357D" w:rsidRPr="003B251F">
        <w:t xml:space="preserve"> period</w:t>
      </w:r>
      <w:r w:rsidR="00B97FA7" w:rsidRPr="003B251F">
        <w:t xml:space="preserve"> </w:t>
      </w:r>
      <w:r w:rsidR="005D7582" w:rsidRPr="003B251F">
        <w:t>eighteen to six</w:t>
      </w:r>
      <w:r w:rsidR="00994C46" w:rsidRPr="003B251F">
        <w:t xml:space="preserve"> </w:t>
      </w:r>
      <w:r w:rsidR="00F50CB8" w:rsidRPr="003B251F">
        <w:t>month</w:t>
      </w:r>
      <w:r w:rsidR="00F4357D" w:rsidRPr="003B251F">
        <w:t>s</w:t>
      </w:r>
      <w:r w:rsidR="00B97FA7" w:rsidRPr="003B251F">
        <w:t xml:space="preserve"> before the</w:t>
      </w:r>
      <w:r w:rsidR="0067570B" w:rsidRPr="003B251F">
        <w:t xml:space="preserve"> date of the</w:t>
      </w:r>
      <w:r w:rsidR="00B97FA7" w:rsidRPr="003B251F">
        <w:t xml:space="preserve"> first recorded diagnosis of IBD in CPRD.</w:t>
      </w:r>
      <w:r w:rsidR="00F50CB8" w:rsidRPr="003B251F">
        <w:t xml:space="preserve"> </w:t>
      </w:r>
    </w:p>
    <w:p w14:paraId="5B057FA9" w14:textId="7B335D87" w:rsidR="00A22412" w:rsidRPr="003B251F" w:rsidRDefault="00A22412" w:rsidP="00FC5C8A">
      <w:pPr>
        <w:pStyle w:val="Heading2"/>
      </w:pPr>
      <w:r w:rsidRPr="003B251F">
        <w:t xml:space="preserve">Time </w:t>
      </w:r>
      <w:r w:rsidR="00A41874" w:rsidRPr="003B251F">
        <w:t xml:space="preserve">to </w:t>
      </w:r>
      <w:r w:rsidRPr="003B251F">
        <w:t>specialist review</w:t>
      </w:r>
    </w:p>
    <w:p w14:paraId="33D0472E" w14:textId="77777777" w:rsidR="00A41874" w:rsidRPr="003B251F" w:rsidRDefault="00A41874" w:rsidP="00881552"/>
    <w:p w14:paraId="3FA16962" w14:textId="178FBB52" w:rsidR="005E205D" w:rsidRPr="003B251F" w:rsidRDefault="00A41874">
      <w:pPr>
        <w:spacing w:line="480" w:lineRule="auto"/>
        <w:jc w:val="both"/>
      </w:pPr>
      <w:r w:rsidRPr="003B251F">
        <w:t xml:space="preserve"> </w:t>
      </w:r>
      <w:r w:rsidR="00FF2A2F" w:rsidRPr="003B251F">
        <w:t xml:space="preserve">We identified all individuals with IBD who had presented to a primary care physician </w:t>
      </w:r>
      <w:r w:rsidR="00D445AF" w:rsidRPr="003B251F">
        <w:t>with chronic GI symptoms lasting more than 6 weeks</w:t>
      </w:r>
      <w:r w:rsidR="00D37529" w:rsidRPr="003B251F">
        <w:t xml:space="preserve"> prior to their diagnosis</w:t>
      </w:r>
      <w:r w:rsidR="00FF2A2F" w:rsidRPr="003B251F">
        <w:t>.</w:t>
      </w:r>
      <w:r w:rsidR="00D445AF" w:rsidRPr="003B251F">
        <w:t xml:space="preserve"> </w:t>
      </w:r>
      <w:r w:rsidR="00FF2A2F" w:rsidRPr="003B251F">
        <w:t>W</w:t>
      </w:r>
      <w:r w:rsidR="00A22412" w:rsidRPr="003B251F">
        <w:t>e measured the time</w:t>
      </w:r>
      <w:r w:rsidR="00D445AF" w:rsidRPr="003B251F">
        <w:t xml:space="preserve"> from presentation in primary care</w:t>
      </w:r>
      <w:r w:rsidR="00A22412" w:rsidRPr="003B251F">
        <w:t xml:space="preserve"> to specialist review</w:t>
      </w:r>
      <w:r w:rsidR="00FF16DF" w:rsidRPr="003B251F">
        <w:t>.</w:t>
      </w:r>
      <w:r w:rsidR="00D037FF" w:rsidRPr="003B251F">
        <w:t xml:space="preserve"> </w:t>
      </w:r>
      <w:r w:rsidR="00FF16DF" w:rsidRPr="003B251F">
        <w:t xml:space="preserve">The date of presentation with chronic GI symptoms was defined as the date of the second primary care physician consultation for GI symptoms. </w:t>
      </w:r>
      <w:r w:rsidR="00D37529" w:rsidRPr="003B251F">
        <w:t xml:space="preserve">We defined </w:t>
      </w:r>
      <w:r w:rsidR="00FF16DF" w:rsidRPr="003B251F">
        <w:t>first specialist review as the date of the first outpatient appointment recorded in the HES OP database with a gastroenterologist, paediatric gastroenterologist or colorectal surgeon.</w:t>
      </w:r>
    </w:p>
    <w:p w14:paraId="13B1EF11" w14:textId="798A79FF" w:rsidR="0094536F" w:rsidRPr="003B251F" w:rsidRDefault="00D72133">
      <w:pPr>
        <w:spacing w:line="480" w:lineRule="auto"/>
        <w:jc w:val="both"/>
      </w:pPr>
      <w:r w:rsidRPr="003B251F">
        <w:rPr>
          <w:lang w:eastAsia="en-GB"/>
        </w:rPr>
        <w:t xml:space="preserve">We examined potential </w:t>
      </w:r>
      <w:r w:rsidR="00F4357D" w:rsidRPr="003B251F">
        <w:rPr>
          <w:lang w:eastAsia="en-GB"/>
        </w:rPr>
        <w:t>predictors</w:t>
      </w:r>
      <w:r w:rsidRPr="003B251F">
        <w:rPr>
          <w:lang w:eastAsia="en-GB"/>
        </w:rPr>
        <w:t xml:space="preserve"> for </w:t>
      </w:r>
      <w:r w:rsidR="00041C18" w:rsidRPr="003B251F">
        <w:rPr>
          <w:lang w:eastAsia="en-GB"/>
        </w:rPr>
        <w:t xml:space="preserve">timely </w:t>
      </w:r>
      <w:r w:rsidRPr="003B251F">
        <w:rPr>
          <w:lang w:eastAsia="en-GB"/>
        </w:rPr>
        <w:t xml:space="preserve">specialist review. </w:t>
      </w:r>
      <w:r w:rsidR="00993B9A" w:rsidRPr="003B251F">
        <w:rPr>
          <w:lang w:eastAsia="en-GB"/>
        </w:rPr>
        <w:t xml:space="preserve">These </w:t>
      </w:r>
      <w:r w:rsidR="00F50CB8" w:rsidRPr="003B251F">
        <w:rPr>
          <w:lang w:eastAsia="en-GB"/>
        </w:rPr>
        <w:t>were sex</w:t>
      </w:r>
      <w:r w:rsidR="00993B9A" w:rsidRPr="003B251F">
        <w:rPr>
          <w:lang w:eastAsia="en-GB"/>
        </w:rPr>
        <w:t xml:space="preserve">, age at presentation, socio-economic status (index of multiple deprivation), </w:t>
      </w:r>
      <w:r w:rsidR="00C45C7B" w:rsidRPr="003B251F">
        <w:rPr>
          <w:lang w:eastAsia="en-GB"/>
        </w:rPr>
        <w:t>smoking status,</w:t>
      </w:r>
      <w:r w:rsidR="00916562" w:rsidRPr="003B251F">
        <w:rPr>
          <w:lang w:eastAsia="en-GB"/>
        </w:rPr>
        <w:t xml:space="preserve"> prior d</w:t>
      </w:r>
      <w:r w:rsidR="00365C81" w:rsidRPr="003B251F">
        <w:rPr>
          <w:lang w:eastAsia="en-GB"/>
        </w:rPr>
        <w:t>iagnosis of</w:t>
      </w:r>
      <w:r w:rsidR="00993B9A" w:rsidRPr="003B251F">
        <w:rPr>
          <w:lang w:eastAsia="en-GB"/>
        </w:rPr>
        <w:t xml:space="preserve"> </w:t>
      </w:r>
      <w:r w:rsidR="00097C7E" w:rsidRPr="003B251F">
        <w:rPr>
          <w:lang w:eastAsia="en-GB"/>
        </w:rPr>
        <w:t>IBS, prior diagnosis of depression</w:t>
      </w:r>
      <w:r w:rsidR="00DD554B" w:rsidRPr="003B251F">
        <w:rPr>
          <w:lang w:eastAsia="en-GB"/>
        </w:rPr>
        <w:t>, unattended appointments</w:t>
      </w:r>
      <w:r w:rsidR="00097C7E" w:rsidRPr="003B251F">
        <w:rPr>
          <w:lang w:eastAsia="en-GB"/>
        </w:rPr>
        <w:t xml:space="preserve"> and era of presentation</w:t>
      </w:r>
      <w:r w:rsidR="00365C81" w:rsidRPr="003B251F">
        <w:rPr>
          <w:lang w:eastAsia="en-GB"/>
        </w:rPr>
        <w:t>.</w:t>
      </w:r>
      <w:r w:rsidR="00454834" w:rsidRPr="003B251F">
        <w:rPr>
          <w:lang w:eastAsia="en-GB"/>
        </w:rPr>
        <w:t xml:space="preserve"> </w:t>
      </w:r>
      <w:r w:rsidR="00C45C7B" w:rsidRPr="003B251F">
        <w:rPr>
          <w:lang w:eastAsia="en-GB"/>
        </w:rPr>
        <w:t>Old</w:t>
      </w:r>
      <w:r w:rsidR="0094536F" w:rsidRPr="003B251F">
        <w:rPr>
          <w:lang w:eastAsia="en-GB"/>
        </w:rPr>
        <w:t>er</w:t>
      </w:r>
      <w:r w:rsidR="00C45C7B" w:rsidRPr="003B251F">
        <w:rPr>
          <w:lang w:eastAsia="en-GB"/>
        </w:rPr>
        <w:t xml:space="preserve"> age</w:t>
      </w:r>
      <w:r w:rsidR="0094536F" w:rsidRPr="003B251F">
        <w:rPr>
          <w:lang w:eastAsia="en-GB"/>
        </w:rPr>
        <w:t>, smoking and low socioeconomic status have</w:t>
      </w:r>
      <w:r w:rsidR="00C45C7B" w:rsidRPr="003B251F">
        <w:rPr>
          <w:lang w:eastAsia="en-GB"/>
        </w:rPr>
        <w:t xml:space="preserve"> been associated with diagnostic delay of other chronic conditions.</w:t>
      </w:r>
      <w:r w:rsidR="0094536F" w:rsidRPr="003B251F">
        <w:rPr>
          <w:lang w:eastAsia="en-GB"/>
        </w:rPr>
        <w:fldChar w:fldCharType="begin" w:fldLock="1"/>
      </w:r>
      <w:r w:rsidR="00AD0E3E" w:rsidRPr="003B251F">
        <w:rPr>
          <w:lang w:eastAsia="en-GB"/>
        </w:rPr>
        <w:instrText>ADDIN CSL_CITATION {"citationItems":[{"id":"ITEM-1","itemData":{"DOI":"10.1186/s12931-019-1076-0","ISSN":"1465-993X (Electronic)","PMID":"31126287","abstract":"BACKGROUND: Surveys and retrospective studies of patients with idiopathic pulmonary fibrosis (IPF) have shown a significant diagnostic delay. However, the causes and risk factors for this delay are not known. METHODS: Dates at six time points before the IPF diagnosis (onset of symptoms, first contact to a general practitioner, first hospital contact, referral to an interstitial lung disease (ILD) centre, first visit at an ILD centre, and final diagnosis) were recorded in a multicentre cohort of 204 incident IPF patients. Based on these dates, the delay was divided into specific patient-related and healthcare-related delays. Demographic and clinical data were used to determine risk factors for a prolonged delay, using multivariate negative binomial regression analysis. RESULTS: The median diagnostic delay was 2.1 years (IQR: 0.9-5.0), mainly attributable to the patients, general practitioners and community hospitals. Male sex was a risk factor for patient delay (IRR: 3.84, 95% CI: 1.17-11.36, p = 0.006) and old age was a risk factor for healthcare delay (IRR: 1.03, 95% CI: 1.01-1.06, p = 0.004). The total delay was prolonged in previous users of inhalation therapy (IRR: 1.99, 95% CI: 1.40-2.88, p &lt; 0.0001) but not in patients with airway obstruction. Misdiagnosis of respiratory symptoms was reported by 41% of all patients. CONCLUSION: Despite increased awareness of IPF, the diagnostic delay is still 2.1 years. Male sex, older age and treatment attempts for alternative diagnoses are risk factors for a delayed diagnosis of IPF. Efforts to reduce the diagnostic delay should focus on these risk factors. TRIAL REGISTRATION: This study was registered at http://clinicaltrials.gov (NCT02772549) on May 10, 2016.","author":[{"dropping-particle":"","family":"Hoyer","given":"Nils","non-dropping-particle":"","parse-names":false,"suffix":""},{"dropping-particle":"","family":"Prior","given":"Thomas Skovhus","non-dropping-particle":"","parse-names":false,"suffix":""},{"dropping-particle":"","family":"Bendstrup","given":"Elisabeth","non-dropping-particle":"","parse-names":false,"suffix":""},{"dropping-particle":"","family":"Wilcke","given":"Torgny","non-dropping-particle":"","parse-names":false,"suffix":""},{"dropping-particle":"","family":"Shaker","given":"Saher Burhan","non-dropping-particle":"","parse-names":false,"suffix":""}],"container-title":"Respiratory research","id":"ITEM-1","issue":"1","issued":{"date-parts":[["2019","5"]]},"language":"eng","page":"103","publisher-place":"England","title":"Risk factors for diagnostic delay in idiopathic pulmonary fibrosis.","type":"article-journal","volume":"20"},"uris":["http://www.mendeley.com/documents/?uuid=36c350a3-2038-4194-a018-f74f1af6079d"]},{"id":"ITEM-2","itemData":{"DOI":"10.20344/amp.11187","ISSN":"1646-0758 (Electronic)","PMID":"31067423","abstract":"INTRODUCTION: Multiple sclerosis is a chronic inflammatory disease, in which a diagnostic delay could reduce the available therapeutic options. Therefore, it is important to monitor the time to diagnosis and understand factors that may potentially reduce it. The objective of this study was to determine the time between the first symptoms and the diagnosis of multiple sclerosis and which factors may contribute to a diagnostic delay. MATERIAL AND METHODS: Cross-sectional multicenter study, with retrospective data analysis, conducted in five tertiary Portuguese hospitals. Patients were consecutively selected from each local multiple sclerosis patients database. Sociodemographic and initial clinical data were collected through a questionnaire. Date of final diagnosis and multiple sclerosis classification was obtained from clinical files. RESULTS: A total of 285 patients were included with mean age at diagnosis of 36 years. The median time between first clinical manifestation and multiple sclerosis diagnosis was nine months (IQR 2 - 38). Diagnostic delay was associated with an older age (p &lt; 0.001; r = 0.35), motor deficit at onset [26.5 months (IQR 4.5 - 56.5); p = 0.0005], higher number of relapses before diagnosis (p &lt; 0.001; r = 0,626), first observation by other medical specialty [11 months (IQR 2 - 48); p &lt; 0.001], prior alternative diagnosis [20 months (IQR 4 - 67.5); p &lt; 0.001] and primary progressive subtype [37 months (IQR 25 - 64.5); p &lt; 0.001]. The most significant delay occurred between the initial symptom and neurological observation. DISCUSSION: A significant delay occurred between initial symptoms and the diagnosis of multiple sclerosis, reflecting the need toincrease awareness of this entity and its diverse symptom presentation.","author":[{"dropping-particle":"","family":"Aires","given":"Ana","non-dropping-particle":"","parse-names":false,"suffix":""},{"dropping-particle":"","family":"Barros","given":"Ariana","non-dropping-particle":"","parse-names":false,"suffix":""},{"dropping-particle":"","family":"Machado","given":"Celia","non-dropping-particle":"","parse-names":false,"suffix":""},{"dropping-particle":"","family":"Fitas","given":"Diogo","non-dropping-particle":"","parse-names":false,"suffix":""},{"dropping-particle":"","family":"Cacao","given":"Goncalo","non-dropping-particle":"","parse-names":false,"suffix":""},{"dropping-particle":"","family":"Pedrosa","given":"Rui","non-dropping-particle":"","parse-names":false,"suffix":""},{"dropping-particle":"","family":"Cerqueira","given":"Joao","non-dropping-particle":"","parse-names":false,"suffix":""},{"dropping-particle":"","family":"Perdigao","given":"Sandra","non-dropping-particle":"","parse-names":false,"suffix":""},{"dropping-particle":"","family":"Silva","given":"Ana Martins","non-dropping-particle":"","parse-names":false,"suffix":""},{"dropping-particle":"","family":"Vale","given":"Jose","non-dropping-particle":"","parse-names":false,"suffix":""},{"dropping-particle":"","family":"Sa","given":"Maria Jose","non-dropping-particle":"","parse-names":false,"suffix":""},{"dropping-particle":"","family":"Andrade","given":"Carlos","non-dropping-particle":"","parse-names":false,"suffix":""}],"container-title":"Acta medica portuguesa","id":"ITEM-2","issue":"4","issued":{"date-parts":[["2019","4"]]},"language":"eng","page":"289-294","publisher-place":"Portugal","title":"Diagnostic Delay of Multiple Sclerosis in a Portuguese Population.","type":"article-journal","volume":"32"},"uris":["http://www.mendeley.com/documents/?uuid=44b2c1e7-276c-4cd2-b72f-20172333092c"]},{"id":"ITEM-3","itemData":{"DOI":"10.1016/j.clbc.2017.09.005","ISSN":"1938-0666 (Electronic)","PMID":"29033239","abstract":"BACKGROUND: Stage of cancer at diagnosis is one of the most important factors in  patient prognosis. By controlling for diagnostic delay, this study aimed to identify factors associated with late-stage breast cancer (BC). PATIENTS AND METHODS: From November 2014 to January 2017, required information on 497 patients who were newly diagnosed with BC was obtained from patients' medical records. Logistic regression was used to measure the association between cancer stage and study variables. RESULTS: Only 18.3% of patients were diagnosed at stage I. The rest were diagnosed at stage II (45.5%) or higher (36.2%). Among those with &lt;/= 3 months' diagnostic delay, age (odds ratio [OR] = 0.96; 95% confidence interval [CI], 0.93-0.99), place of residence (OR urban/rural = 1.72; 95% CI, 1.42-1.93), income (OR high/low = 0.27; 95% CI, 0.10-0.72), performing breast self-examination (OR yes/no = 0.51; 95% CI, 0.0.26 -0.98), smoking (OR yes/no = 2.23; 95% CI, 1.37-3.62), history of chest X-ray (OR yes/no = 1.40; 95% CI, 1.16-1.98), presence of chronic diseases (OR yes/no = 1.73; 95% CI, 1.36-5.48), and, for those with a delay of &gt; 3 months, marriage age (OR = 0.83; 95% CI, 0.73-0.94), income (OR high/low = 0.07; 95% CI, 0.008-0.63), family history of BC (OR = 3.82; 95% CI, 1.05-5.05), daily exercise (OR &lt; 10/10-20 = 0.10; 95% CI, 0.01-0.67), and presence of chronic diseases (OR yes/no = 1.77; 95% CI, 1.73-5.07), were associated with late-stage of cancer. CONCLUSION: Shortening the diagnostic delay can help patients receive medical treatment at an earlier disease stage, resulting in better prognosis. Smokers, younger women, and those with chronic conditions or a family history of BC should take extra caution, as they may have worse prognosis if diagnosed with cancer.","author":[{"dropping-particle":"","family":"Dianatinasab","given":"Mostafa","non-dropping-particle":"","parse-names":false,"suffix":""},{"dropping-particle":"","family":"Mohammadianpanah","given":"Mohammad","non-dropping-particle":"","parse-names":false,"suffix":""},{"dropping-particle":"","family":"Daneshi","given":"Nima","non-dropping-particle":"","parse-names":false,"suffix":""},{"dropping-particle":"","family":"Zare-Bandamiri","given":"Mohammad","non-dropping-particle":"","parse-names":false,"suffix":""},{"dropping-particle":"","family":"Rezaeianzadeh","given":"Abbas","non-dropping-particle":"","parse-names":false,"suffix":""},{"dropping-particle":"","family":"Fararouei","given":"Mohammad","non-dropping-particle":"","parse-names":false,"suffix":""}],"container-title":"Clinical breast cancer","id":"ITEM-3","issue":"3","issued":{"date-parts":[["2018","6"]]},"language":"eng","page":"239-245","publisher-place":"United States","title":"Socioeconomic Factors, Health Behavior, and Late-Stage Diagnosis of Breast Cancer: Considering the Impact of Delay in Diagnosis.","type":"article-journal","volume":"18"},"uris":["http://www.mendeley.com/documents/?uuid=72e92bc4-4ff0-47ff-a500-cb38c9bb0927"]},{"id":"ITEM-4","itemData":{"DOI":"10.1016/J.JE.2016.07.004","ISSN":"0917-5040","abstract":"BACKGROUND\nThe aim of this study was to evaluate whether stage at cancer diagnosis differed according to patient economic status. \n\nMETHODS\nA total of 10,528 patients with cancer of the stomach, colorectum, breast, or cervix, which are target organs of the Korean National Cancer Screening Program (NCSP; fully implemented in 2005) were extracted from population-based cancer registries. The patients were classified into four groups based on socioeconomic status (SES), as determined using their National Health Insurance (NHI) monthly premium at the time of cancer diagnosis. Cancer stage at diagnosis was defined as early (in situ/local) or late stage (regional/distant) based on the Surveillance, Epidemiology, and End Results (SEER) summary stage. Multivariable logistic regression analysis was performed to estimate the risk of non-local stage using age, residential area, and community deprivation index as covariates. \n\nRESULTS\nThe lowest SES subjects showed significantly higher risks of being diagnosed at a later stage for stomach, colorectal, and female breast cancer, but not for cervical cancer, compared with the highest SES subjects. The estimated ORs were 1.28 (95% CI, 1.10–1.49), 1.29 (95% CI, 1.03–1.61), and 1.35 (95% CI, 1.02–1.81) in the lowest SES subjects with stomach, colorectal, and breast cancer, respectively. \n\nCONCLUSIONS\nIn conclusion, later stage diagnoses of stomach, colon, and female breast cancer are still associated with SES in Korea in the era of the NCSP for the lower SES population.","author":[{"dropping-particle":"","family":"Kweon","given":"Sun-Seog","non-dropping-particle":"","parse-names":false,"suffix":""},{"dropping-particle":"","family":"Kim","given":"Min-Gyeong","non-dropping-particle":"","parse-names":false,"suffix":""},{"dropping-particle":"","family":"Kang","given":"Mi-Ran","non-dropping-particle":"","parse-names":false,"suffix":""},{"dropping-particle":"","family":"Shin","given":"Min-Ho","non-dropping-particle":"","parse-names":false,"suffix":""},{"dropping-particle":"","family":"Choi","given":"Jin-Su","non-dropping-particle":"","parse-names":false,"suffix":""}],"container-title":"Journal of Epidemiology","id":"ITEM-4","issue":"7","issued":{"date-parts":[["2017","7","1"]]},"page":"299-304","publisher":"No longer published by Elsevier","title":"Difference of stage at cancer diagnosis by socioeconomic status for four target cancers of the National Cancer Screening Program in Korea: Results from the Gwangju and Jeonnam cancer registries","type":"article-journal","volume":"27"},"uris":["http://www.mendeley.com/documents/?uuid=354069fd-acd2-356c-b2a2-adb5f53220ef"]}],"mendeley":{"formattedCitation":"&lt;sup&gt;24–27&lt;/sup&gt;","plainTextFormattedCitation":"24–27","previouslyFormattedCitation":"&lt;sup&gt;24–27&lt;/sup&gt;"},"properties":{"noteIndex":0},"schema":"https://github.com/citation-style-language/schema/raw/master/csl-citation.json"}</w:instrText>
      </w:r>
      <w:r w:rsidR="0094536F" w:rsidRPr="003B251F">
        <w:rPr>
          <w:lang w:eastAsia="en-GB"/>
        </w:rPr>
        <w:fldChar w:fldCharType="separate"/>
      </w:r>
      <w:r w:rsidR="002F0202" w:rsidRPr="003B251F">
        <w:rPr>
          <w:noProof/>
          <w:vertAlign w:val="superscript"/>
          <w:lang w:eastAsia="en-GB"/>
        </w:rPr>
        <w:t>24–27</w:t>
      </w:r>
      <w:r w:rsidR="0094536F" w:rsidRPr="003B251F">
        <w:rPr>
          <w:lang w:eastAsia="en-GB"/>
        </w:rPr>
        <w:fldChar w:fldCharType="end"/>
      </w:r>
      <w:r w:rsidR="00A41874" w:rsidRPr="003B251F">
        <w:rPr>
          <w:lang w:eastAsia="en-GB"/>
        </w:rPr>
        <w:t xml:space="preserve"> </w:t>
      </w:r>
      <w:r w:rsidR="00454834" w:rsidRPr="003B251F">
        <w:t xml:space="preserve"> </w:t>
      </w:r>
      <w:r w:rsidR="0094536F" w:rsidRPr="003B251F">
        <w:t xml:space="preserve">We defined individuals as `smokers’, `ex-smokers’ or `non-smokers’ based on codes for smoking status </w:t>
      </w:r>
      <w:r w:rsidR="00916562" w:rsidRPr="003B251F">
        <w:t xml:space="preserve">in the 10 years </w:t>
      </w:r>
      <w:r w:rsidR="0094536F" w:rsidRPr="003B251F">
        <w:t>before presentation with chronic GI symptoms. Individuals whose most recent code indicated active sm</w:t>
      </w:r>
      <w:r w:rsidR="00916562" w:rsidRPr="003B251F">
        <w:t>oking were classed as `smokers’ and</w:t>
      </w:r>
      <w:r w:rsidR="0094536F" w:rsidRPr="003B251F">
        <w:t xml:space="preserve"> those with codes indicating previous but not current smoking were classed as `ex-smokers’</w:t>
      </w:r>
      <w:r w:rsidR="00454834" w:rsidRPr="003B251F">
        <w:t>;</w:t>
      </w:r>
      <w:r w:rsidR="0094536F" w:rsidRPr="003B251F">
        <w:t xml:space="preserve"> </w:t>
      </w:r>
      <w:r w:rsidR="00454834" w:rsidRPr="003B251F">
        <w:t>i</w:t>
      </w:r>
      <w:r w:rsidR="0094536F" w:rsidRPr="003B251F">
        <w:t>ndividuals</w:t>
      </w:r>
      <w:r w:rsidR="00454834" w:rsidRPr="003B251F">
        <w:t xml:space="preserve"> </w:t>
      </w:r>
      <w:r w:rsidR="00A142EE" w:rsidRPr="003B251F">
        <w:t xml:space="preserve">with </w:t>
      </w:r>
      <w:r w:rsidR="0094536F" w:rsidRPr="003B251F">
        <w:rPr>
          <w:i/>
        </w:rPr>
        <w:t>only</w:t>
      </w:r>
      <w:r w:rsidR="0094536F" w:rsidRPr="003B251F">
        <w:t xml:space="preserve"> `non-smoker’ codes were class</w:t>
      </w:r>
      <w:r w:rsidR="00C77F1F" w:rsidRPr="003B251F">
        <w:t>ed</w:t>
      </w:r>
      <w:r w:rsidR="0094536F" w:rsidRPr="003B251F">
        <w:t xml:space="preserve"> as `non-smokers’. Individuals without data on smoking have previously been shown to </w:t>
      </w:r>
      <w:r w:rsidR="0094536F" w:rsidRPr="003B251F">
        <w:lastRenderedPageBreak/>
        <w:t xml:space="preserve">likely be either </w:t>
      </w:r>
      <w:r w:rsidR="00454834" w:rsidRPr="003B251F">
        <w:t>‘</w:t>
      </w:r>
      <w:r w:rsidR="0094536F" w:rsidRPr="003B251F">
        <w:t>never-smokers</w:t>
      </w:r>
      <w:r w:rsidR="00454834" w:rsidRPr="003B251F">
        <w:t>’</w:t>
      </w:r>
      <w:r w:rsidR="0094536F" w:rsidRPr="003B251F">
        <w:t xml:space="preserve"> or </w:t>
      </w:r>
      <w:r w:rsidR="00454834" w:rsidRPr="003B251F">
        <w:t>‘</w:t>
      </w:r>
      <w:r w:rsidR="0094536F" w:rsidRPr="003B251F">
        <w:t>non-recent smokers</w:t>
      </w:r>
      <w:r w:rsidR="00454834" w:rsidRPr="003B251F">
        <w:t>’</w:t>
      </w:r>
      <w:r w:rsidR="0094536F" w:rsidRPr="003B251F">
        <w:t xml:space="preserve"> and were therefore classed as `non-smokers’.</w:t>
      </w:r>
      <w:r w:rsidR="0094536F" w:rsidRPr="003B251F">
        <w:fldChar w:fldCharType="begin" w:fldLock="1"/>
      </w:r>
      <w:r w:rsidR="00AD0E3E" w:rsidRPr="003B251F">
        <w:instrText>ADDIN CSL_CITATION {"citationItems":[{"id":"ITEM-1","itemData":{"DOI":"10.1136/bmjopen-2014-004958","author":[{"dropping-particle":"","family":"Marston","given":"Louise","non-dropping-particle":"","parse-names":false,"suffix":""},{"dropping-particle":"","family":"Carpenter","given":"James R","non-dropping-particle":"","parse-names":false,"suffix":""},{"dropping-particle":"","family":"Walters","given":"Kate R","non-dropping-particle":"","parse-names":false,"suffix":""},{"dropping-particle":"","family":"Morris","given":"Richard W","non-dropping-particle":"","parse-names":false,"suffix":""},{"dropping-particle":"","family":"Nazareth","given":"Irwin","non-dropping-particle":"","parse-names":false,"suffix":""},{"dropping-particle":"","family":"White","given":"Ian R","non-dropping-particle":"","parse-names":false,"suffix":""},{"dropping-particle":"","family":"Petersen","given":"Irene","non-dropping-particle":"","parse-names":false,"suffix":""}],"container-title":"BMJ Open","id":"ITEM-1","issued":{"date-parts":[["2014"]]},"page":"1-7","title":"Smoker , ex-smoker or non-smoker ? The validity of routinely recorded smoking status in UK primary care : a cross-sectional study","type":"article-journal"},"uris":["http://www.mendeley.com/documents/?uuid=1f83d420-f168-40aa-a4f5-e4ec3ac780e0"]}],"mendeley":{"formattedCitation":"&lt;sup&gt;28&lt;/sup&gt;","plainTextFormattedCitation":"28","previouslyFormattedCitation":"&lt;sup&gt;28&lt;/sup&gt;"},"properties":{"noteIndex":0},"schema":"https://github.com/citation-style-language/schema/raw/master/csl-citation.json"}</w:instrText>
      </w:r>
      <w:r w:rsidR="0094536F" w:rsidRPr="003B251F">
        <w:fldChar w:fldCharType="separate"/>
      </w:r>
      <w:r w:rsidR="002F0202" w:rsidRPr="003B251F">
        <w:rPr>
          <w:noProof/>
          <w:vertAlign w:val="superscript"/>
        </w:rPr>
        <w:t>28</w:t>
      </w:r>
      <w:r w:rsidR="0094536F" w:rsidRPr="003B251F">
        <w:fldChar w:fldCharType="end"/>
      </w:r>
      <w:r w:rsidR="0094536F" w:rsidRPr="003B251F">
        <w:t xml:space="preserve"> </w:t>
      </w:r>
    </w:p>
    <w:p w14:paraId="29D3B3DA" w14:textId="77777777" w:rsidR="00F9166D" w:rsidRPr="003B251F" w:rsidRDefault="00F9166D" w:rsidP="00A624CE">
      <w:pPr>
        <w:spacing w:line="480" w:lineRule="auto"/>
        <w:jc w:val="both"/>
      </w:pPr>
      <w:r w:rsidRPr="003B251F">
        <w:t>We used the Index of Multiple Deprivation (IMD) a postcode-linked measure of socio-economic deprivation to assign individuals to 1 of 5 groups using IMD quintiles, from IMD group 1 (least deprived) to 5 (most deprived)</w:t>
      </w:r>
    </w:p>
    <w:p w14:paraId="41E2EF4C" w14:textId="403A0B62" w:rsidR="003D5A8B" w:rsidRPr="003B251F" w:rsidRDefault="00097C7E" w:rsidP="00A624CE">
      <w:pPr>
        <w:spacing w:line="480" w:lineRule="auto"/>
        <w:jc w:val="both"/>
      </w:pPr>
      <w:r w:rsidRPr="003B251F">
        <w:t>We identified any individuals who had codes for IBS</w:t>
      </w:r>
      <w:r w:rsidR="002B6125" w:rsidRPr="003B251F">
        <w:t>, depression or depressive symptoms</w:t>
      </w:r>
      <w:r w:rsidRPr="003B251F">
        <w:t xml:space="preserve"> before </w:t>
      </w:r>
      <w:r w:rsidR="00165F37" w:rsidRPr="003B251F">
        <w:t>presentation with chronic GI symptoms.</w:t>
      </w:r>
      <w:r w:rsidR="00505952" w:rsidRPr="003B251F">
        <w:fldChar w:fldCharType="begin" w:fldLock="1"/>
      </w:r>
      <w:r w:rsidR="00AD0E3E" w:rsidRPr="003B251F">
        <w:instrText>ADDIN CSL_CITATION {"citationItems":[{"id":"ITEM-1","itemData":{"DOI":"10.1136/gutjnl-2019-318296","abstract":"We read with interest the findings of Frolkis et al and welcome the contribution to this challenging field of research.1 An important consideration in the methodology used is the case definition of incident depression, defined as any patient with a code for a depressive disorder in The Health Improvement Network (THIN) database between 1986 and 2012. The authors acknowledge …","author":[{"dropping-particle":"","family":"Blackwell","given":"Jonathan","non-dropping-particle":"","parse-names":false,"suffix":""},{"dropping-particle":"","family":"Saxena","given":"Sonia","non-dropping-particle":"","parse-names":false,"suffix":""},{"dropping-particle":"","family":"Pollok","given":"Richard C","non-dropping-particle":"","parse-names":false,"suffix":""}],"container-title":"Gut","id":"ITEM-1","issued":{"date-parts":[["2019","2","13"]]},"page":"gutjnl-2019-318296","title":"Changing trends in coding for depression among the UK inflammatory bowel disease population","type":"article-journal"},"uris":["http://www.mendeley.com/documents/?uuid=4b13d668-f749-40b6-9f9c-ea562a5b401c"]}],"mendeley":{"formattedCitation":"&lt;sup&gt;29&lt;/sup&gt;","plainTextFormattedCitation":"29","previouslyFormattedCitation":"&lt;sup&gt;29&lt;/sup&gt;"},"properties":{"noteIndex":0},"schema":"https://github.com/citation-style-language/schema/raw/master/csl-citation.json"}</w:instrText>
      </w:r>
      <w:r w:rsidR="00505952" w:rsidRPr="003B251F">
        <w:fldChar w:fldCharType="separate"/>
      </w:r>
      <w:r w:rsidR="002F0202" w:rsidRPr="003B251F">
        <w:rPr>
          <w:noProof/>
          <w:vertAlign w:val="superscript"/>
        </w:rPr>
        <w:t>29</w:t>
      </w:r>
      <w:r w:rsidR="00505952" w:rsidRPr="003B251F">
        <w:fldChar w:fldCharType="end"/>
      </w:r>
      <w:r w:rsidR="003D5A8B" w:rsidRPr="003B251F">
        <w:t xml:space="preserve"> </w:t>
      </w:r>
      <w:r w:rsidR="002671E1" w:rsidRPr="003B251F">
        <w:t xml:space="preserve"> We identified unattended specialist appointments between presentation with chronic GI symptoms and the first attended specialist appointment, to establish the impact of this on an individual’s chances of receiving specialist review.</w:t>
      </w:r>
    </w:p>
    <w:p w14:paraId="41B58517" w14:textId="45D78B51" w:rsidR="00795BE2" w:rsidRPr="003B251F" w:rsidRDefault="00505952">
      <w:pPr>
        <w:spacing w:line="480" w:lineRule="auto"/>
        <w:jc w:val="both"/>
        <w:rPr>
          <w:lang w:eastAsia="en-GB"/>
        </w:rPr>
      </w:pPr>
      <w:r w:rsidRPr="003B251F">
        <w:rPr>
          <w:lang w:eastAsia="en-GB"/>
        </w:rPr>
        <w:t xml:space="preserve">To examine </w:t>
      </w:r>
      <w:r w:rsidR="00E61A77" w:rsidRPr="003B251F">
        <w:rPr>
          <w:lang w:eastAsia="en-GB"/>
        </w:rPr>
        <w:t>changes in physicians</w:t>
      </w:r>
      <w:r w:rsidR="00F4357D" w:rsidRPr="003B251F">
        <w:rPr>
          <w:lang w:eastAsia="en-GB"/>
        </w:rPr>
        <w:t>’</w:t>
      </w:r>
      <w:r w:rsidR="00E61A77" w:rsidRPr="003B251F">
        <w:rPr>
          <w:lang w:eastAsia="en-GB"/>
        </w:rPr>
        <w:t xml:space="preserve"> diagnostic practice over the study period</w:t>
      </w:r>
      <w:r w:rsidR="002C31CE" w:rsidRPr="003B251F">
        <w:rPr>
          <w:lang w:eastAsia="en-GB"/>
        </w:rPr>
        <w:t>,</w:t>
      </w:r>
      <w:r w:rsidRPr="003B251F">
        <w:rPr>
          <w:lang w:eastAsia="en-GB"/>
        </w:rPr>
        <w:t xml:space="preserve"> we </w:t>
      </w:r>
      <w:r w:rsidR="00E61A77" w:rsidRPr="003B251F">
        <w:rPr>
          <w:lang w:eastAsia="en-GB"/>
        </w:rPr>
        <w:t xml:space="preserve">grouped </w:t>
      </w:r>
      <w:r w:rsidRPr="003B251F">
        <w:rPr>
          <w:lang w:eastAsia="en-GB"/>
        </w:rPr>
        <w:t>individuals according to their era of presentation (i.e. 2003-2006, 2007-2010, 2011-201</w:t>
      </w:r>
      <w:r w:rsidR="00F15A62" w:rsidRPr="003B251F">
        <w:rPr>
          <w:lang w:eastAsia="en-GB"/>
        </w:rPr>
        <w:t>3, 2014</w:t>
      </w:r>
      <w:r w:rsidR="00292778" w:rsidRPr="003B251F">
        <w:rPr>
          <w:lang w:eastAsia="en-GB"/>
        </w:rPr>
        <w:t>-2016</w:t>
      </w:r>
      <w:r w:rsidRPr="003B251F">
        <w:rPr>
          <w:lang w:eastAsia="en-GB"/>
        </w:rPr>
        <w:t>).</w:t>
      </w:r>
    </w:p>
    <w:p w14:paraId="6F35C290" w14:textId="014DB01C" w:rsidR="0029557A" w:rsidRPr="003B251F" w:rsidRDefault="0029557A" w:rsidP="00A624CE">
      <w:pPr>
        <w:pStyle w:val="Heading2"/>
        <w:jc w:val="both"/>
      </w:pPr>
      <w:r w:rsidRPr="003B251F">
        <w:t>Statistical Analysis</w:t>
      </w:r>
    </w:p>
    <w:p w14:paraId="5758ABDA" w14:textId="646C7B51" w:rsidR="00CA0634" w:rsidRPr="003B251F" w:rsidRDefault="0029557A" w:rsidP="00CA0634">
      <w:pPr>
        <w:spacing w:line="480" w:lineRule="auto"/>
        <w:jc w:val="both"/>
      </w:pPr>
      <w:r w:rsidRPr="003B251F">
        <w:t xml:space="preserve">We </w:t>
      </w:r>
      <w:r w:rsidR="00CA0634" w:rsidRPr="003B251F">
        <w:t xml:space="preserve">tabulated </w:t>
      </w:r>
      <w:r w:rsidRPr="003B251F">
        <w:t xml:space="preserve">the </w:t>
      </w:r>
      <w:r w:rsidR="005550FD" w:rsidRPr="003B251F">
        <w:t xml:space="preserve">prevalence of </w:t>
      </w:r>
      <w:r w:rsidR="00B05C41" w:rsidRPr="003B251F">
        <w:t xml:space="preserve">GI </w:t>
      </w:r>
      <w:r w:rsidR="001C3862" w:rsidRPr="003B251F">
        <w:t xml:space="preserve">symptoms </w:t>
      </w:r>
      <w:r w:rsidRPr="003B251F">
        <w:t>in each of the ten years leading up to</w:t>
      </w:r>
      <w:r w:rsidR="00B05C41" w:rsidRPr="003B251F">
        <w:t xml:space="preserve"> IBD</w:t>
      </w:r>
      <w:r w:rsidRPr="003B251F">
        <w:t xml:space="preserve"> diagnosis</w:t>
      </w:r>
      <w:r w:rsidR="005550FD" w:rsidRPr="003B251F">
        <w:t xml:space="preserve"> </w:t>
      </w:r>
      <w:r w:rsidR="00B05C41" w:rsidRPr="003B251F">
        <w:t>among</w:t>
      </w:r>
      <w:r w:rsidR="005550FD" w:rsidRPr="003B251F">
        <w:t xml:space="preserve"> </w:t>
      </w:r>
      <w:r w:rsidR="004C3A0B" w:rsidRPr="003B251F">
        <w:t>cases of</w:t>
      </w:r>
      <w:r w:rsidR="002A46D6" w:rsidRPr="003B251F">
        <w:t xml:space="preserve"> </w:t>
      </w:r>
      <w:r w:rsidR="005550FD" w:rsidRPr="003B251F">
        <w:t xml:space="preserve">CD </w:t>
      </w:r>
      <w:r w:rsidR="002A46D6" w:rsidRPr="003B251F">
        <w:t xml:space="preserve">and </w:t>
      </w:r>
      <w:r w:rsidR="005550FD" w:rsidRPr="003B251F">
        <w:t xml:space="preserve">UC </w:t>
      </w:r>
      <w:r w:rsidR="00CA0634" w:rsidRPr="003B251F">
        <w:t>and</w:t>
      </w:r>
      <w:r w:rsidR="002A46D6" w:rsidRPr="003B251F">
        <w:t xml:space="preserve"> their respective </w:t>
      </w:r>
      <w:r w:rsidR="006337D4" w:rsidRPr="003B251F">
        <w:t>control groups</w:t>
      </w:r>
      <w:r w:rsidR="002A46D6" w:rsidRPr="003B251F">
        <w:t>.</w:t>
      </w:r>
      <w:r w:rsidR="002C31CE" w:rsidRPr="003B251F">
        <w:t xml:space="preserve"> </w:t>
      </w:r>
      <w:r w:rsidR="00881552" w:rsidRPr="003B251F">
        <w:t>W</w:t>
      </w:r>
      <w:r w:rsidR="00E46B30" w:rsidRPr="003B251F">
        <w:t>e estimated the risk difference</w:t>
      </w:r>
      <w:r w:rsidR="00881552" w:rsidRPr="003B251F">
        <w:t xml:space="preserve"> of GI symptoms</w:t>
      </w:r>
      <w:r w:rsidR="00571CAD" w:rsidRPr="003B251F">
        <w:t xml:space="preserve">, with </w:t>
      </w:r>
      <w:r w:rsidR="00E46B30" w:rsidRPr="003B251F">
        <w:t xml:space="preserve">95% </w:t>
      </w:r>
      <w:r w:rsidR="00571CAD" w:rsidRPr="003B251F">
        <w:t>confidence intervals,</w:t>
      </w:r>
      <w:r w:rsidR="00E46B30" w:rsidRPr="003B251F">
        <w:t xml:space="preserve"> </w:t>
      </w:r>
      <w:r w:rsidR="00881552" w:rsidRPr="003B251F">
        <w:t>between cases and controls.</w:t>
      </w:r>
    </w:p>
    <w:p w14:paraId="24D68ACB" w14:textId="5D5DB17D" w:rsidR="00CA0634" w:rsidRPr="003B251F" w:rsidRDefault="00CA0634" w:rsidP="00CA0634">
      <w:pPr>
        <w:spacing w:line="480" w:lineRule="auto"/>
        <w:jc w:val="both"/>
      </w:pPr>
      <w:r w:rsidRPr="003B251F">
        <w:t xml:space="preserve">We used Cox regression to determine hazard ratios (HR) for specialist review following presentation with GI symptoms and identified predictors of specialist review in cases who ultimately received a diagnosis of IBD. In this model we adjusted for all variables listed in the “Time to Specialist Review” section. </w:t>
      </w:r>
    </w:p>
    <w:p w14:paraId="78650AB5" w14:textId="16AF2CDA" w:rsidR="00CA0634" w:rsidRPr="003B251F" w:rsidRDefault="00CA0634" w:rsidP="00FF16DF">
      <w:pPr>
        <w:spacing w:line="480" w:lineRule="auto"/>
        <w:jc w:val="both"/>
      </w:pPr>
      <w:r w:rsidRPr="003B251F">
        <w:t>We used Kaplan‐Meier analysis to</w:t>
      </w:r>
      <w:r w:rsidR="00FB5C87" w:rsidRPr="003B251F">
        <w:t xml:space="preserve"> </w:t>
      </w:r>
      <w:r w:rsidR="007E3A46" w:rsidRPr="003B251F">
        <w:t xml:space="preserve">present </w:t>
      </w:r>
      <w:r w:rsidRPr="003B251F">
        <w:t>the time to first specialist review following presentation with chronic GI symptoms.</w:t>
      </w:r>
    </w:p>
    <w:p w14:paraId="7136F791" w14:textId="77777777" w:rsidR="00FF16DF" w:rsidRPr="003B251F" w:rsidRDefault="00D445AF" w:rsidP="00FF16DF">
      <w:pPr>
        <w:spacing w:line="480" w:lineRule="auto"/>
        <w:jc w:val="both"/>
      </w:pPr>
      <w:r w:rsidRPr="003B251F">
        <w:t xml:space="preserve">We conducted a sensitivity analysis, to include any outpatient appointments coded only as `general internal medicine’ or `general surgery’, in case some gastroenterology and colorectal surgery appointments were not specifically coded. This allowed us to estimate the highest possible </w:t>
      </w:r>
      <w:r w:rsidRPr="003B251F">
        <w:lastRenderedPageBreak/>
        <w:t xml:space="preserve">proportion of patients seen by a specialist in secondary care </w:t>
      </w:r>
      <w:r w:rsidR="001068D5" w:rsidRPr="003B251F">
        <w:t>in the 18 months following presentation</w:t>
      </w:r>
      <w:r w:rsidRPr="003B251F">
        <w:t xml:space="preserve">. </w:t>
      </w:r>
    </w:p>
    <w:p w14:paraId="5F6856B9" w14:textId="241E3A8D" w:rsidR="00454834" w:rsidRPr="003B251F" w:rsidRDefault="00321BD7" w:rsidP="00571CAD">
      <w:pPr>
        <w:spacing w:line="480" w:lineRule="auto"/>
        <w:jc w:val="both"/>
      </w:pPr>
      <w:r w:rsidRPr="003B251F">
        <w:t>All analys</w:t>
      </w:r>
      <w:r w:rsidR="00B166DD" w:rsidRPr="003B251F">
        <w:t>es were performed using STATA 15</w:t>
      </w:r>
      <w:r w:rsidRPr="003B251F">
        <w:t xml:space="preserve"> (Statacorp LP, College Station, TX, USA).</w:t>
      </w:r>
    </w:p>
    <w:p w14:paraId="60D197D8" w14:textId="184FA728" w:rsidR="00321BD7" w:rsidRPr="003B251F" w:rsidRDefault="00321BD7" w:rsidP="00A624CE">
      <w:pPr>
        <w:pStyle w:val="Heading1"/>
        <w:jc w:val="both"/>
        <w:rPr>
          <w:b/>
        </w:rPr>
      </w:pPr>
      <w:r w:rsidRPr="003B251F">
        <w:rPr>
          <w:b/>
        </w:rPr>
        <w:t>Results</w:t>
      </w:r>
    </w:p>
    <w:p w14:paraId="491A948F" w14:textId="77777777" w:rsidR="005C1558" w:rsidRPr="003B251F" w:rsidRDefault="005C1558" w:rsidP="005C1558">
      <w:pPr>
        <w:rPr>
          <w:b/>
        </w:rPr>
      </w:pPr>
    </w:p>
    <w:p w14:paraId="5D50545E" w14:textId="47269BBC" w:rsidR="007E3A46" w:rsidRPr="003B251F" w:rsidRDefault="00321BD7" w:rsidP="005C1558">
      <w:pPr>
        <w:spacing w:line="480" w:lineRule="auto"/>
        <w:jc w:val="both"/>
      </w:pPr>
      <w:r w:rsidRPr="003B251F">
        <w:t>Between January 1st</w:t>
      </w:r>
      <w:r w:rsidR="002C31CE" w:rsidRPr="003B251F">
        <w:t>, 1998</w:t>
      </w:r>
      <w:r w:rsidR="00033AA7" w:rsidRPr="003B251F">
        <w:t xml:space="preserve"> </w:t>
      </w:r>
      <w:r w:rsidRPr="003B251F">
        <w:t>and May 1st</w:t>
      </w:r>
      <w:r w:rsidR="002C31CE" w:rsidRPr="003B251F">
        <w:t>,</w:t>
      </w:r>
      <w:r w:rsidRPr="003B251F">
        <w:t xml:space="preserve"> 2016 we identified </w:t>
      </w:r>
      <w:r w:rsidR="007E3A46" w:rsidRPr="003B251F">
        <w:t xml:space="preserve">5,874 incident cases </w:t>
      </w:r>
      <w:r w:rsidR="00E46B30" w:rsidRPr="003B251F">
        <w:t>of</w:t>
      </w:r>
      <w:r w:rsidR="007E3A46" w:rsidRPr="003B251F">
        <w:t xml:space="preserve"> CD</w:t>
      </w:r>
      <w:r w:rsidR="00E46B30" w:rsidRPr="003B251F">
        <w:t xml:space="preserve"> and</w:t>
      </w:r>
      <w:r w:rsidR="007E3A46" w:rsidRPr="003B251F">
        <w:t xml:space="preserve"> 13,681 incident cases </w:t>
      </w:r>
      <w:r w:rsidR="00E46B30" w:rsidRPr="003B251F">
        <w:t xml:space="preserve">of </w:t>
      </w:r>
      <w:r w:rsidR="007E3A46" w:rsidRPr="003B251F">
        <w:t>UC</w:t>
      </w:r>
      <w:r w:rsidR="00E46B30" w:rsidRPr="003B251F">
        <w:t xml:space="preserve"> and</w:t>
      </w:r>
      <w:r w:rsidR="007E3A46" w:rsidRPr="003B251F">
        <w:t xml:space="preserve"> 78,114 age and sex matched controls</w:t>
      </w:r>
      <w:r w:rsidR="007E3A46" w:rsidRPr="003B251F">
        <w:rPr>
          <w:rFonts w:cs="Arial"/>
        </w:rPr>
        <w:t xml:space="preserve"> </w:t>
      </w:r>
      <w:r w:rsidR="00D815AD" w:rsidRPr="003B251F">
        <w:t>(Table 1)</w:t>
      </w:r>
      <w:r w:rsidR="00956FB7" w:rsidRPr="003B251F">
        <w:t>.</w:t>
      </w:r>
    </w:p>
    <w:p w14:paraId="40B6C1F2" w14:textId="1ACF8ECD" w:rsidR="00956FB7" w:rsidRPr="003B251F" w:rsidRDefault="00A41874" w:rsidP="00A624CE">
      <w:pPr>
        <w:pStyle w:val="Heading2"/>
        <w:jc w:val="both"/>
      </w:pPr>
      <w:r w:rsidRPr="003B251F">
        <w:t>Excess prevalence of g</w:t>
      </w:r>
      <w:r w:rsidR="00C7180E" w:rsidRPr="003B251F">
        <w:t>astrointestinal s</w:t>
      </w:r>
      <w:r w:rsidR="00956FB7" w:rsidRPr="003B251F">
        <w:t>ymptoms</w:t>
      </w:r>
      <w:r w:rsidR="00C7180E" w:rsidRPr="003B251F">
        <w:t xml:space="preserve"> before IBD diagnosis</w:t>
      </w:r>
    </w:p>
    <w:p w14:paraId="107BAB13" w14:textId="47F23681" w:rsidR="007225DA" w:rsidRPr="003B251F" w:rsidRDefault="00ED2D4F">
      <w:pPr>
        <w:spacing w:line="480" w:lineRule="auto"/>
        <w:jc w:val="both"/>
      </w:pPr>
      <w:r w:rsidRPr="003B251F">
        <w:br/>
      </w:r>
      <w:r w:rsidR="006064F0" w:rsidRPr="003B251F">
        <w:t>We found</w:t>
      </w:r>
      <w:r w:rsidRPr="003B251F">
        <w:t xml:space="preserve"> </w:t>
      </w:r>
      <w:r w:rsidR="00B42401" w:rsidRPr="003B251F">
        <w:t xml:space="preserve">individuals </w:t>
      </w:r>
      <w:r w:rsidR="008C113E" w:rsidRPr="003B251F">
        <w:t xml:space="preserve">with CD and UC were </w:t>
      </w:r>
      <w:r w:rsidR="00FB5C87" w:rsidRPr="003B251F">
        <w:t xml:space="preserve">four </w:t>
      </w:r>
      <w:r w:rsidR="000656E0" w:rsidRPr="003B251F">
        <w:t xml:space="preserve">times </w:t>
      </w:r>
      <w:r w:rsidR="008C113E" w:rsidRPr="003B251F">
        <w:t xml:space="preserve">more likely to visit their </w:t>
      </w:r>
      <w:r w:rsidR="00C97731" w:rsidRPr="003B251F">
        <w:t>primary care physician</w:t>
      </w:r>
      <w:r w:rsidR="008C113E" w:rsidRPr="003B251F">
        <w:t xml:space="preserve"> for GI symptom</w:t>
      </w:r>
      <w:r w:rsidR="008C2849" w:rsidRPr="003B251F">
        <w:t>s</w:t>
      </w:r>
      <w:r w:rsidR="008C113E" w:rsidRPr="003B251F">
        <w:t xml:space="preserve"> than</w:t>
      </w:r>
      <w:r w:rsidR="0067570B" w:rsidRPr="003B251F">
        <w:t xml:space="preserve"> the</w:t>
      </w:r>
      <w:r w:rsidR="00B42401" w:rsidRPr="003B251F">
        <w:t>ir respective</w:t>
      </w:r>
      <w:r w:rsidR="008C113E" w:rsidRPr="003B251F">
        <w:t xml:space="preserve"> </w:t>
      </w:r>
      <w:r w:rsidR="006337D4" w:rsidRPr="003B251F">
        <w:t>control groups</w:t>
      </w:r>
      <w:r w:rsidR="0067570B" w:rsidRPr="003B251F">
        <w:t xml:space="preserve"> </w:t>
      </w:r>
      <w:r w:rsidR="000656E0" w:rsidRPr="003B251F">
        <w:t>between</w:t>
      </w:r>
      <w:r w:rsidR="007A5F9A" w:rsidRPr="003B251F">
        <w:t xml:space="preserve"> </w:t>
      </w:r>
      <w:r w:rsidR="00624306" w:rsidRPr="003B251F">
        <w:t xml:space="preserve">eighteen </w:t>
      </w:r>
      <w:r w:rsidR="00FB5C87" w:rsidRPr="003B251F">
        <w:t xml:space="preserve">and six </w:t>
      </w:r>
      <w:r w:rsidR="00624306" w:rsidRPr="003B251F">
        <w:t xml:space="preserve">months before diagnosis </w:t>
      </w:r>
      <w:r w:rsidR="008C113E" w:rsidRPr="003B251F">
        <w:t>(</w:t>
      </w:r>
      <w:r w:rsidR="00B42401" w:rsidRPr="003B251F">
        <w:t xml:space="preserve">CD: </w:t>
      </w:r>
      <w:r w:rsidR="008C113E" w:rsidRPr="003B251F">
        <w:t>29.1% vs</w:t>
      </w:r>
      <w:r w:rsidR="007E3A46" w:rsidRPr="003B251F">
        <w:t>.</w:t>
      </w:r>
      <w:r w:rsidR="008C113E" w:rsidRPr="003B251F">
        <w:t xml:space="preserve"> </w:t>
      </w:r>
      <w:r w:rsidR="00C37026" w:rsidRPr="003B251F">
        <w:t>6.5</w:t>
      </w:r>
      <w:r w:rsidR="00B42401" w:rsidRPr="003B251F">
        <w:t xml:space="preserve">%, </w:t>
      </w:r>
      <w:r w:rsidR="00FB5C87" w:rsidRPr="003B251F">
        <w:t>risk difference 22.6%, 95% CI 21.3</w:t>
      </w:r>
      <w:r w:rsidR="00D34D42" w:rsidRPr="003B251F">
        <w:t>%</w:t>
      </w:r>
      <w:r w:rsidR="00FB5C87" w:rsidRPr="003B251F">
        <w:t xml:space="preserve">-23.9%, </w:t>
      </w:r>
      <w:r w:rsidR="00B42401" w:rsidRPr="003B251F">
        <w:t xml:space="preserve">UC: </w:t>
      </w:r>
      <w:r w:rsidR="006553B9" w:rsidRPr="003B251F">
        <w:t>23.9% vs 6.7%</w:t>
      </w:r>
      <w:r w:rsidR="00A624CE" w:rsidRPr="003B251F">
        <w:t xml:space="preserve">, </w:t>
      </w:r>
      <w:r w:rsidR="00FB5C87" w:rsidRPr="003B251F">
        <w:t xml:space="preserve">risk difference </w:t>
      </w:r>
      <w:r w:rsidR="000413FA" w:rsidRPr="003B251F">
        <w:t xml:space="preserve">17.2%, 95% CI 16.4%-18.0%, </w:t>
      </w:r>
      <w:r w:rsidR="00A624CE" w:rsidRPr="003B251F">
        <w:t>Figure</w:t>
      </w:r>
      <w:r w:rsidR="00352F2D" w:rsidRPr="003B251F">
        <w:t>s</w:t>
      </w:r>
      <w:r w:rsidR="00A624CE" w:rsidRPr="003B251F">
        <w:t xml:space="preserve"> 1</w:t>
      </w:r>
      <w:r w:rsidR="007E3A46" w:rsidRPr="003B251F">
        <w:t xml:space="preserve"> and </w:t>
      </w:r>
      <w:r w:rsidR="00352F2D" w:rsidRPr="003B251F">
        <w:t>2</w:t>
      </w:r>
      <w:r w:rsidR="008C113E" w:rsidRPr="003B251F">
        <w:t xml:space="preserve">). </w:t>
      </w:r>
    </w:p>
    <w:p w14:paraId="599D3E03" w14:textId="69232400" w:rsidR="008C2849" w:rsidRPr="003B251F" w:rsidRDefault="00E61A77">
      <w:pPr>
        <w:spacing w:line="480" w:lineRule="auto"/>
        <w:jc w:val="both"/>
      </w:pPr>
      <w:r w:rsidRPr="003B251F">
        <w:t xml:space="preserve">There were </w:t>
      </w:r>
      <w:r w:rsidR="008C2849" w:rsidRPr="003B251F">
        <w:t xml:space="preserve">higher </w:t>
      </w:r>
      <w:r w:rsidR="000413FA" w:rsidRPr="003B251F">
        <w:t xml:space="preserve">proportions </w:t>
      </w:r>
      <w:r w:rsidR="008C2849" w:rsidRPr="003B251F">
        <w:t xml:space="preserve">of </w:t>
      </w:r>
      <w:r w:rsidR="0042605B" w:rsidRPr="003B251F">
        <w:t>abdominal</w:t>
      </w:r>
      <w:r w:rsidR="000656E0" w:rsidRPr="003B251F">
        <w:t xml:space="preserve"> or </w:t>
      </w:r>
      <w:r w:rsidR="0042605B" w:rsidRPr="003B251F">
        <w:t>per</w:t>
      </w:r>
      <w:r w:rsidR="006553B9" w:rsidRPr="003B251F">
        <w:t>ianal pain (16.8% vs</w:t>
      </w:r>
      <w:r w:rsidR="007E3A46" w:rsidRPr="003B251F">
        <w:t>.</w:t>
      </w:r>
      <w:r w:rsidR="006553B9" w:rsidRPr="003B251F">
        <w:t xml:space="preserve"> 4</w:t>
      </w:r>
      <w:r w:rsidR="00C37026" w:rsidRPr="003B251F">
        <w:t>.0</w:t>
      </w:r>
      <w:r w:rsidR="006553B9" w:rsidRPr="003B251F">
        <w:t>%</w:t>
      </w:r>
      <w:r w:rsidR="00A02A0D" w:rsidRPr="003B251F">
        <w:t xml:space="preserve">, risk difference </w:t>
      </w:r>
      <w:r w:rsidR="00E7655B" w:rsidRPr="003B251F">
        <w:t>12.8%, 95% CI 11.7%-13.8%</w:t>
      </w:r>
      <w:r w:rsidR="0042605B" w:rsidRPr="003B251F">
        <w:t>), diarrhoea (12.</w:t>
      </w:r>
      <w:r w:rsidR="00E7655B" w:rsidRPr="003B251F">
        <w:t>2</w:t>
      </w:r>
      <w:r w:rsidR="0042605B" w:rsidRPr="003B251F">
        <w:t>% vs</w:t>
      </w:r>
      <w:r w:rsidR="007E3A46" w:rsidRPr="003B251F">
        <w:t>.</w:t>
      </w:r>
      <w:r w:rsidR="0042605B" w:rsidRPr="003B251F">
        <w:t xml:space="preserve"> 1.8%</w:t>
      </w:r>
      <w:r w:rsidR="00E7655B" w:rsidRPr="003B251F">
        <w:t>, risk difference 10.4%, 95% CI 9.5%-11.3%</w:t>
      </w:r>
      <w:r w:rsidR="0042605B" w:rsidRPr="003B251F">
        <w:t>) and rectal bleeding (4.5% v</w:t>
      </w:r>
      <w:r w:rsidR="00454834" w:rsidRPr="003B251F">
        <w:t>s</w:t>
      </w:r>
      <w:r w:rsidR="007E3A46" w:rsidRPr="003B251F">
        <w:t>.</w:t>
      </w:r>
      <w:r w:rsidR="0042605B" w:rsidRPr="003B251F">
        <w:t xml:space="preserve"> 1.1%</w:t>
      </w:r>
      <w:r w:rsidR="00D34D42" w:rsidRPr="003B251F">
        <w:t>, risk difference 3.4%, 95% CI 2.8%-4.0%</w:t>
      </w:r>
      <w:r w:rsidR="0042605B" w:rsidRPr="003B251F">
        <w:t>)</w:t>
      </w:r>
      <w:r w:rsidR="008C2849" w:rsidRPr="003B251F">
        <w:t xml:space="preserve"> </w:t>
      </w:r>
      <w:r w:rsidR="003343D3" w:rsidRPr="003B251F">
        <w:t xml:space="preserve">among cases of </w:t>
      </w:r>
      <w:r w:rsidRPr="003B251F">
        <w:t xml:space="preserve">CD compared with </w:t>
      </w:r>
      <w:r w:rsidR="008C2849" w:rsidRPr="003B251F">
        <w:t>the</w:t>
      </w:r>
      <w:r w:rsidR="006337D4" w:rsidRPr="003B251F">
        <w:t>ir control group</w:t>
      </w:r>
      <w:r w:rsidR="008C2849" w:rsidRPr="003B251F">
        <w:t xml:space="preserve"> during th</w:t>
      </w:r>
      <w:r w:rsidR="007A5F9A" w:rsidRPr="003B251F">
        <w:t>e</w:t>
      </w:r>
      <w:r w:rsidR="008C2849" w:rsidRPr="003B251F">
        <w:t xml:space="preserve"> period</w:t>
      </w:r>
      <w:r w:rsidR="00A15610" w:rsidRPr="003B251F">
        <w:t xml:space="preserve"> </w:t>
      </w:r>
      <w:r w:rsidR="00BF5054" w:rsidRPr="003B251F">
        <w:t xml:space="preserve">eighteen </w:t>
      </w:r>
      <w:r w:rsidR="007A5F9A" w:rsidRPr="003B251F">
        <w:t xml:space="preserve">to </w:t>
      </w:r>
      <w:r w:rsidR="00BF5054" w:rsidRPr="003B251F">
        <w:t xml:space="preserve">six </w:t>
      </w:r>
      <w:r w:rsidR="007A5F9A" w:rsidRPr="003B251F">
        <w:t xml:space="preserve">months before diagnosis </w:t>
      </w:r>
      <w:r w:rsidR="00A15610" w:rsidRPr="003B251F">
        <w:t>(Figure 1)</w:t>
      </w:r>
      <w:r w:rsidRPr="003B251F">
        <w:t>. Similarly</w:t>
      </w:r>
      <w:r w:rsidR="007A5F9A" w:rsidRPr="003B251F">
        <w:t xml:space="preserve"> </w:t>
      </w:r>
      <w:r w:rsidR="008C2849" w:rsidRPr="003B251F">
        <w:t>the UC cohort</w:t>
      </w:r>
      <w:r w:rsidR="007225DA" w:rsidRPr="003B251F">
        <w:t xml:space="preserve"> </w:t>
      </w:r>
      <w:r w:rsidR="00631A49" w:rsidRPr="003B251F">
        <w:t>had more</w:t>
      </w:r>
      <w:r w:rsidR="008C2849" w:rsidRPr="003B251F">
        <w:t xml:space="preserve"> rectal bleeding </w:t>
      </w:r>
      <w:r w:rsidR="006553B9" w:rsidRPr="003B251F">
        <w:t>(10.6% vs</w:t>
      </w:r>
      <w:r w:rsidR="007E3A46" w:rsidRPr="003B251F">
        <w:t>.</w:t>
      </w:r>
      <w:r w:rsidR="006553B9" w:rsidRPr="003B251F">
        <w:t xml:space="preserve"> 1.2%</w:t>
      </w:r>
      <w:r w:rsidR="00D34D42" w:rsidRPr="003B251F">
        <w:t>, risk difference 9.3%, 95% CI 8.8%-9.9%</w:t>
      </w:r>
      <w:r w:rsidR="008C2849" w:rsidRPr="003B251F">
        <w:t>)</w:t>
      </w:r>
      <w:r w:rsidR="007225DA" w:rsidRPr="003B251F">
        <w:t>,</w:t>
      </w:r>
      <w:r w:rsidR="008C2849" w:rsidRPr="003B251F">
        <w:t xml:space="preserve"> </w:t>
      </w:r>
      <w:r w:rsidR="006553B9" w:rsidRPr="003B251F">
        <w:t>diarrhoea (8.4% vs</w:t>
      </w:r>
      <w:r w:rsidR="007E3A46" w:rsidRPr="003B251F">
        <w:t>.</w:t>
      </w:r>
      <w:r w:rsidR="006553B9" w:rsidRPr="003B251F">
        <w:t xml:space="preserve"> 2.3%</w:t>
      </w:r>
      <w:r w:rsidR="00D34D42" w:rsidRPr="003B251F">
        <w:t>, risk difference 6.7%, 95% CI 6.2%-7.2%</w:t>
      </w:r>
      <w:r w:rsidR="008C2849" w:rsidRPr="003B251F">
        <w:t>) and abdominal</w:t>
      </w:r>
      <w:r w:rsidR="007A5F9A" w:rsidRPr="003B251F">
        <w:t xml:space="preserve"> or </w:t>
      </w:r>
      <w:r w:rsidR="008C2849" w:rsidRPr="003B251F">
        <w:t>peri</w:t>
      </w:r>
      <w:r w:rsidR="006553B9" w:rsidRPr="003B251F">
        <w:t>anal pain (8.5% vs 3.9%</w:t>
      </w:r>
      <w:r w:rsidR="00D34D42" w:rsidRPr="003B251F">
        <w:t>, risk difference 4.6%, 95% CI 4.0%-5.1%</w:t>
      </w:r>
      <w:r w:rsidR="008C2849" w:rsidRPr="003B251F">
        <w:t>)</w:t>
      </w:r>
      <w:r w:rsidR="007225DA" w:rsidRPr="003B251F">
        <w:t xml:space="preserve"> </w:t>
      </w:r>
      <w:r w:rsidR="003343D3" w:rsidRPr="003B251F">
        <w:t xml:space="preserve">during the same period </w:t>
      </w:r>
      <w:r w:rsidR="00A624CE" w:rsidRPr="003B251F">
        <w:t>(Figure 2)</w:t>
      </w:r>
      <w:r w:rsidR="008C2849" w:rsidRPr="003B251F">
        <w:t>.</w:t>
      </w:r>
    </w:p>
    <w:p w14:paraId="66EF9FE9" w14:textId="739A7595" w:rsidR="003D3E72" w:rsidRPr="003B251F" w:rsidRDefault="00666121" w:rsidP="004A6E23">
      <w:pPr>
        <w:spacing w:line="480" w:lineRule="auto"/>
        <w:jc w:val="both"/>
      </w:pPr>
      <w:r w:rsidRPr="003B251F">
        <w:t>Assuming the</w:t>
      </w:r>
      <w:r w:rsidR="003D3E72" w:rsidRPr="003B251F">
        <w:t xml:space="preserve"> excess GI symptoms</w:t>
      </w:r>
      <w:r w:rsidR="00B15A54" w:rsidRPr="003B251F">
        <w:t xml:space="preserve"> </w:t>
      </w:r>
      <w:r w:rsidR="00B33844" w:rsidRPr="003B251F">
        <w:t>were</w:t>
      </w:r>
      <w:r w:rsidR="00B15A54" w:rsidRPr="003B251F">
        <w:t xml:space="preserve"> attributable to undiagnosed IBD</w:t>
      </w:r>
      <w:r w:rsidRPr="003B251F">
        <w:t xml:space="preserve"> </w:t>
      </w:r>
      <w:r w:rsidR="00B15A54" w:rsidRPr="003B251F">
        <w:t>we estimated</w:t>
      </w:r>
      <w:r w:rsidR="00467E61" w:rsidRPr="003B251F">
        <w:t xml:space="preserve"> </w:t>
      </w:r>
      <w:r w:rsidR="001C3CA5" w:rsidRPr="003B251F">
        <w:t xml:space="preserve">22.6% of CD </w:t>
      </w:r>
      <w:r w:rsidR="00467E61" w:rsidRPr="003B251F">
        <w:t xml:space="preserve">and 17.1% of UC individuals were already symptomatic from undiagnosed IBD in the period </w:t>
      </w:r>
      <w:r w:rsidR="00D34D42" w:rsidRPr="003B251F">
        <w:t xml:space="preserve">eighteen to six </w:t>
      </w:r>
      <w:r w:rsidR="00467E61" w:rsidRPr="003B251F">
        <w:t>months before diagnosis</w:t>
      </w:r>
      <w:r w:rsidR="00872DA8" w:rsidRPr="003B251F">
        <w:t>.</w:t>
      </w:r>
      <w:r w:rsidR="006064F0" w:rsidRPr="003B251F">
        <w:t xml:space="preserve"> </w:t>
      </w:r>
    </w:p>
    <w:p w14:paraId="427FFC89" w14:textId="108C8B10" w:rsidR="000579AD" w:rsidRPr="003B251F" w:rsidRDefault="009F1960" w:rsidP="004A6E23">
      <w:pPr>
        <w:spacing w:line="480" w:lineRule="auto"/>
        <w:jc w:val="both"/>
      </w:pPr>
      <w:r w:rsidRPr="003B251F">
        <w:t xml:space="preserve">In the period five years before diagnosis (5.5-4.5 years before diagnosis): 10.4% of CD individuals reported GI symptoms, an excess of 4.2% relative their control group (95% CI 3.2%-5.2%). In the </w:t>
      </w:r>
      <w:r w:rsidRPr="003B251F">
        <w:lastRenderedPageBreak/>
        <w:t xml:space="preserve">same period 9.6% of UC individuals reported GI symptoms, an excess of 4.0% relative to their control group (95% CI 3.4%-4.6%). </w:t>
      </w:r>
      <w:r w:rsidR="000579AD" w:rsidRPr="003B251F">
        <w:t>Likewise we found a significant excess of GI symptoms amongst patients who go on to develop IBD in each of the ten years prior to their diagnosis compared to matched controls (Appendices 3 and 4 – Prevalence of GI symptoms before IBD diagnosis).</w:t>
      </w:r>
    </w:p>
    <w:p w14:paraId="31269F50" w14:textId="10B6273F" w:rsidR="007E3A46" w:rsidRPr="003B251F" w:rsidRDefault="0013715E" w:rsidP="00571CAD">
      <w:pPr>
        <w:pStyle w:val="Heading2"/>
        <w:jc w:val="both"/>
      </w:pPr>
      <w:r w:rsidRPr="003B251F">
        <w:t>Time</w:t>
      </w:r>
      <w:r w:rsidR="00E46B30" w:rsidRPr="003B251F">
        <w:t xml:space="preserve"> to</w:t>
      </w:r>
      <w:r w:rsidR="007E3A46" w:rsidRPr="003B251F">
        <w:t xml:space="preserve"> </w:t>
      </w:r>
      <w:r w:rsidRPr="003B251F">
        <w:t xml:space="preserve">specialist review </w:t>
      </w:r>
    </w:p>
    <w:p w14:paraId="370C54D5" w14:textId="77777777" w:rsidR="00571CAD" w:rsidRPr="003B251F" w:rsidRDefault="00571CAD" w:rsidP="00571CAD">
      <w:pPr>
        <w:rPr>
          <w:lang w:eastAsia="en-GB"/>
        </w:rPr>
      </w:pPr>
    </w:p>
    <w:p w14:paraId="60EDBAF2" w14:textId="18CCEA6F" w:rsidR="006844C0" w:rsidRPr="003B251F" w:rsidRDefault="006844C0">
      <w:pPr>
        <w:spacing w:line="480" w:lineRule="auto"/>
        <w:jc w:val="both"/>
        <w:rPr>
          <w:lang w:eastAsia="en-GB"/>
        </w:rPr>
      </w:pPr>
      <w:r w:rsidRPr="003B251F">
        <w:rPr>
          <w:lang w:eastAsia="en-GB"/>
        </w:rPr>
        <w:t>We identified 1,034 individuals who</w:t>
      </w:r>
      <w:r w:rsidR="00FF2A2F" w:rsidRPr="003B251F">
        <w:rPr>
          <w:lang w:eastAsia="en-GB"/>
        </w:rPr>
        <w:t xml:space="preserve"> had </w:t>
      </w:r>
      <w:r w:rsidRPr="003B251F">
        <w:rPr>
          <w:lang w:eastAsia="en-GB"/>
        </w:rPr>
        <w:t xml:space="preserve">presented to their </w:t>
      </w:r>
      <w:r w:rsidR="00C97731" w:rsidRPr="003B251F">
        <w:rPr>
          <w:lang w:eastAsia="en-GB"/>
        </w:rPr>
        <w:t>primary care physician</w:t>
      </w:r>
      <w:r w:rsidRPr="003B251F">
        <w:rPr>
          <w:lang w:eastAsia="en-GB"/>
        </w:rPr>
        <w:t xml:space="preserve"> with chronic GI symptoms before </w:t>
      </w:r>
      <w:r w:rsidR="0013715E" w:rsidRPr="003B251F">
        <w:rPr>
          <w:lang w:eastAsia="en-GB"/>
        </w:rPr>
        <w:t>diagnosis with IBD</w:t>
      </w:r>
      <w:r w:rsidR="007E3A46" w:rsidRPr="003B251F">
        <w:rPr>
          <w:lang w:eastAsia="en-GB"/>
        </w:rPr>
        <w:t xml:space="preserve"> </w:t>
      </w:r>
      <w:r w:rsidRPr="003B251F">
        <w:rPr>
          <w:lang w:eastAsia="en-GB"/>
        </w:rPr>
        <w:t xml:space="preserve">(Table </w:t>
      </w:r>
      <w:r w:rsidR="005D7582" w:rsidRPr="003B251F">
        <w:rPr>
          <w:lang w:eastAsia="en-GB"/>
        </w:rPr>
        <w:t>2</w:t>
      </w:r>
      <w:r w:rsidR="007E3A46" w:rsidRPr="003B251F">
        <w:rPr>
          <w:lang w:eastAsia="en-GB"/>
        </w:rPr>
        <w:t xml:space="preserve"> and </w:t>
      </w:r>
      <w:r w:rsidR="000D1C64" w:rsidRPr="003B251F">
        <w:t>Append</w:t>
      </w:r>
      <w:r w:rsidR="007E3A46" w:rsidRPr="003B251F">
        <w:t>ix 1</w:t>
      </w:r>
      <w:r w:rsidRPr="003B251F">
        <w:rPr>
          <w:lang w:eastAsia="en-GB"/>
        </w:rPr>
        <w:t>).</w:t>
      </w:r>
    </w:p>
    <w:p w14:paraId="3B850316" w14:textId="26666B90" w:rsidR="006844C0" w:rsidRPr="003B251F" w:rsidRDefault="001D1CF2">
      <w:pPr>
        <w:spacing w:line="480" w:lineRule="auto"/>
        <w:jc w:val="both"/>
        <w:rPr>
          <w:lang w:eastAsia="en-GB"/>
        </w:rPr>
      </w:pPr>
      <w:r w:rsidRPr="003B251F">
        <w:rPr>
          <w:lang w:eastAsia="en-GB"/>
        </w:rPr>
        <w:t>Of these</w:t>
      </w:r>
      <w:r w:rsidR="00AA46D7" w:rsidRPr="003B251F">
        <w:rPr>
          <w:lang w:eastAsia="en-GB"/>
        </w:rPr>
        <w:t xml:space="preserve"> 5.6</w:t>
      </w:r>
      <w:r w:rsidR="00F30A60" w:rsidRPr="003B251F">
        <w:rPr>
          <w:lang w:eastAsia="en-GB"/>
        </w:rPr>
        <w:t>%</w:t>
      </w:r>
      <w:r w:rsidR="00A8594D" w:rsidRPr="003B251F">
        <w:rPr>
          <w:lang w:eastAsia="en-GB"/>
        </w:rPr>
        <w:t xml:space="preserve"> (n=58</w:t>
      </w:r>
      <w:r w:rsidR="00F30A60" w:rsidRPr="003B251F">
        <w:rPr>
          <w:lang w:eastAsia="en-GB"/>
        </w:rPr>
        <w:t>) received specialist review within 4 weeks,</w:t>
      </w:r>
      <w:r w:rsidR="00694157" w:rsidRPr="003B251F">
        <w:rPr>
          <w:lang w:eastAsia="en-GB"/>
        </w:rPr>
        <w:t xml:space="preserve"> </w:t>
      </w:r>
      <w:r w:rsidR="00AA46D7" w:rsidRPr="003B251F">
        <w:rPr>
          <w:lang w:eastAsia="en-GB"/>
        </w:rPr>
        <w:t>32</w:t>
      </w:r>
      <w:r w:rsidR="00A8594D" w:rsidRPr="003B251F">
        <w:rPr>
          <w:lang w:eastAsia="en-GB"/>
        </w:rPr>
        <w:t>% (n=329</w:t>
      </w:r>
      <w:r w:rsidR="00694157" w:rsidRPr="003B251F">
        <w:rPr>
          <w:lang w:eastAsia="en-GB"/>
        </w:rPr>
        <w:t xml:space="preserve">) </w:t>
      </w:r>
      <w:r w:rsidR="00AA46D7" w:rsidRPr="003B251F">
        <w:rPr>
          <w:lang w:eastAsia="en-GB"/>
        </w:rPr>
        <w:t>within 6 months</w:t>
      </w:r>
      <w:r w:rsidR="0073200E" w:rsidRPr="003B251F">
        <w:rPr>
          <w:lang w:eastAsia="en-GB"/>
        </w:rPr>
        <w:t xml:space="preserve"> </w:t>
      </w:r>
      <w:r w:rsidR="00AA46D7" w:rsidRPr="003B251F">
        <w:rPr>
          <w:lang w:eastAsia="en-GB"/>
        </w:rPr>
        <w:t>and 50% (n=513) within 18 months</w:t>
      </w:r>
      <w:r w:rsidR="00355554" w:rsidRPr="003B251F">
        <w:rPr>
          <w:lang w:eastAsia="en-GB"/>
        </w:rPr>
        <w:t>.</w:t>
      </w:r>
    </w:p>
    <w:p w14:paraId="31CA597A" w14:textId="358A4D7F" w:rsidR="00355554" w:rsidRPr="003B251F" w:rsidRDefault="006844C0">
      <w:pPr>
        <w:spacing w:line="480" w:lineRule="auto"/>
        <w:jc w:val="both"/>
        <w:rPr>
          <w:lang w:eastAsia="en-GB"/>
        </w:rPr>
      </w:pPr>
      <w:r w:rsidRPr="003B251F">
        <w:rPr>
          <w:lang w:eastAsia="en-GB"/>
        </w:rPr>
        <w:t xml:space="preserve">A further 273 individuals with chronic GI symptoms had a record of a </w:t>
      </w:r>
      <w:r w:rsidR="00666121" w:rsidRPr="003B251F">
        <w:rPr>
          <w:lang w:eastAsia="en-GB"/>
        </w:rPr>
        <w:t>‘</w:t>
      </w:r>
      <w:r w:rsidRPr="003B251F">
        <w:rPr>
          <w:lang w:eastAsia="en-GB"/>
        </w:rPr>
        <w:t>general internal medicine</w:t>
      </w:r>
      <w:r w:rsidR="00666121" w:rsidRPr="003B251F">
        <w:rPr>
          <w:lang w:eastAsia="en-GB"/>
        </w:rPr>
        <w:t>’</w:t>
      </w:r>
      <w:r w:rsidRPr="003B251F">
        <w:rPr>
          <w:lang w:eastAsia="en-GB"/>
        </w:rPr>
        <w:t xml:space="preserve"> or </w:t>
      </w:r>
      <w:r w:rsidR="00666121" w:rsidRPr="003B251F">
        <w:rPr>
          <w:lang w:eastAsia="en-GB"/>
        </w:rPr>
        <w:t>‘</w:t>
      </w:r>
      <w:r w:rsidRPr="003B251F">
        <w:rPr>
          <w:lang w:eastAsia="en-GB"/>
        </w:rPr>
        <w:t>general surgery</w:t>
      </w:r>
      <w:r w:rsidR="00666121" w:rsidRPr="003B251F">
        <w:rPr>
          <w:lang w:eastAsia="en-GB"/>
        </w:rPr>
        <w:t>’</w:t>
      </w:r>
      <w:r w:rsidRPr="003B251F">
        <w:rPr>
          <w:lang w:eastAsia="en-GB"/>
        </w:rPr>
        <w:t xml:space="preserve"> outpatient appointment but no appointment that met our stricter definition of specialist review. We included these individuals and those in the main analysis within a sensitivity analysis, </w:t>
      </w:r>
      <w:r w:rsidR="00694157" w:rsidRPr="003B251F">
        <w:rPr>
          <w:lang w:eastAsia="en-GB"/>
        </w:rPr>
        <w:t xml:space="preserve">where any general internal medicine </w:t>
      </w:r>
      <w:r w:rsidR="003C400F" w:rsidRPr="003B251F">
        <w:rPr>
          <w:lang w:eastAsia="en-GB"/>
        </w:rPr>
        <w:t xml:space="preserve">or </w:t>
      </w:r>
      <w:r w:rsidR="00CB45FC" w:rsidRPr="003B251F">
        <w:rPr>
          <w:lang w:eastAsia="en-GB"/>
        </w:rPr>
        <w:t>general surgery</w:t>
      </w:r>
      <w:r w:rsidR="00651183" w:rsidRPr="003B251F">
        <w:rPr>
          <w:lang w:eastAsia="en-GB"/>
        </w:rPr>
        <w:t xml:space="preserve"> appointments were al</w:t>
      </w:r>
      <w:r w:rsidRPr="003B251F">
        <w:rPr>
          <w:lang w:eastAsia="en-GB"/>
        </w:rPr>
        <w:t>so considered specialist review.</w:t>
      </w:r>
      <w:r w:rsidR="00651183" w:rsidRPr="003B251F">
        <w:rPr>
          <w:lang w:eastAsia="en-GB"/>
        </w:rPr>
        <w:t xml:space="preserve"> </w:t>
      </w:r>
      <w:r w:rsidRPr="003B251F">
        <w:rPr>
          <w:lang w:eastAsia="en-GB"/>
        </w:rPr>
        <w:t xml:space="preserve">Using this wider definition, rates of specialist review </w:t>
      </w:r>
      <w:r w:rsidR="00651183" w:rsidRPr="003B251F">
        <w:rPr>
          <w:lang w:eastAsia="en-GB"/>
        </w:rPr>
        <w:t>rose to 23% at 4 weeks (n=300), 61% at 6 months (n=796) and 74% at 18 months (n=964).</w:t>
      </w:r>
    </w:p>
    <w:p w14:paraId="1CF42BD1" w14:textId="46742FEC" w:rsidR="00694157" w:rsidRPr="003B251F" w:rsidRDefault="00D36BDC">
      <w:pPr>
        <w:spacing w:line="480" w:lineRule="auto"/>
        <w:jc w:val="both"/>
        <w:rPr>
          <w:lang w:eastAsia="en-GB"/>
        </w:rPr>
      </w:pPr>
      <w:r w:rsidRPr="003B251F">
        <w:rPr>
          <w:lang w:eastAsia="en-GB"/>
        </w:rPr>
        <w:t xml:space="preserve">Compared with individuals presenting with chronic GI symptoms in the era 2003-2006 those presenting </w:t>
      </w:r>
      <w:r w:rsidR="00913714" w:rsidRPr="003B251F">
        <w:rPr>
          <w:lang w:eastAsia="en-GB"/>
        </w:rPr>
        <w:t>in the era</w:t>
      </w:r>
      <w:r w:rsidR="00AE377D" w:rsidRPr="003B251F">
        <w:rPr>
          <w:lang w:eastAsia="en-GB"/>
        </w:rPr>
        <w:t xml:space="preserve"> 2014-2016</w:t>
      </w:r>
      <w:r w:rsidR="00F30A60" w:rsidRPr="003B251F">
        <w:rPr>
          <w:lang w:eastAsia="en-GB"/>
        </w:rPr>
        <w:t xml:space="preserve"> </w:t>
      </w:r>
      <w:r w:rsidR="00913714" w:rsidRPr="003B251F">
        <w:rPr>
          <w:lang w:eastAsia="en-GB"/>
        </w:rPr>
        <w:t xml:space="preserve">were significantly </w:t>
      </w:r>
      <w:r w:rsidR="0000165D" w:rsidRPr="003B251F">
        <w:rPr>
          <w:lang w:eastAsia="en-GB"/>
        </w:rPr>
        <w:t>more likely to receive</w:t>
      </w:r>
      <w:r w:rsidR="00913714" w:rsidRPr="003B251F">
        <w:rPr>
          <w:lang w:eastAsia="en-GB"/>
        </w:rPr>
        <w:t xml:space="preserve"> specialist review </w:t>
      </w:r>
      <w:r w:rsidR="0000165D" w:rsidRPr="003B251F">
        <w:rPr>
          <w:lang w:eastAsia="en-GB"/>
        </w:rPr>
        <w:t xml:space="preserve">within </w:t>
      </w:r>
      <w:r w:rsidR="00913714" w:rsidRPr="003B251F">
        <w:rPr>
          <w:lang w:eastAsia="en-GB"/>
        </w:rPr>
        <w:t xml:space="preserve">4 weeks </w:t>
      </w:r>
      <w:r w:rsidR="00A91358" w:rsidRPr="003B251F">
        <w:rPr>
          <w:lang w:eastAsia="en-GB"/>
        </w:rPr>
        <w:t>(</w:t>
      </w:r>
      <w:r w:rsidR="0073200E" w:rsidRPr="003B251F">
        <w:rPr>
          <w:lang w:eastAsia="en-GB"/>
        </w:rPr>
        <w:t>2.1</w:t>
      </w:r>
      <w:r w:rsidRPr="003B251F">
        <w:rPr>
          <w:lang w:eastAsia="en-GB"/>
        </w:rPr>
        <w:t>% vs</w:t>
      </w:r>
      <w:r w:rsidR="007F14E3" w:rsidRPr="003B251F">
        <w:rPr>
          <w:lang w:eastAsia="en-GB"/>
        </w:rPr>
        <w:t>.</w:t>
      </w:r>
      <w:r w:rsidRPr="003B251F">
        <w:rPr>
          <w:lang w:eastAsia="en-GB"/>
        </w:rPr>
        <w:t xml:space="preserve"> </w:t>
      </w:r>
      <w:r w:rsidR="0000165D" w:rsidRPr="003B251F">
        <w:rPr>
          <w:lang w:eastAsia="en-GB"/>
        </w:rPr>
        <w:t>1</w:t>
      </w:r>
      <w:r w:rsidR="00AE377D" w:rsidRPr="003B251F">
        <w:rPr>
          <w:lang w:eastAsia="en-GB"/>
        </w:rPr>
        <w:t>5.2</w:t>
      </w:r>
      <w:r w:rsidR="007B55E2" w:rsidRPr="003B251F">
        <w:rPr>
          <w:lang w:eastAsia="en-GB"/>
        </w:rPr>
        <w:t>%</w:t>
      </w:r>
      <w:r w:rsidR="00A91358" w:rsidRPr="003B251F">
        <w:rPr>
          <w:lang w:eastAsia="en-GB"/>
        </w:rPr>
        <w:t>), 6 months (</w:t>
      </w:r>
      <w:r w:rsidR="0073200E" w:rsidRPr="003B251F">
        <w:rPr>
          <w:lang w:eastAsia="en-GB"/>
        </w:rPr>
        <w:t>17.6</w:t>
      </w:r>
      <w:r w:rsidRPr="003B251F">
        <w:rPr>
          <w:lang w:eastAsia="en-GB"/>
        </w:rPr>
        <w:t>% vs</w:t>
      </w:r>
      <w:r w:rsidR="007F14E3" w:rsidRPr="003B251F">
        <w:rPr>
          <w:lang w:eastAsia="en-GB"/>
        </w:rPr>
        <w:t>.</w:t>
      </w:r>
      <w:r w:rsidRPr="003B251F">
        <w:rPr>
          <w:lang w:eastAsia="en-GB"/>
        </w:rPr>
        <w:t xml:space="preserve"> </w:t>
      </w:r>
      <w:r w:rsidR="00AE377D" w:rsidRPr="003B251F">
        <w:rPr>
          <w:lang w:eastAsia="en-GB"/>
        </w:rPr>
        <w:t>75.8</w:t>
      </w:r>
      <w:r w:rsidR="007B55E2" w:rsidRPr="003B251F">
        <w:rPr>
          <w:lang w:eastAsia="en-GB"/>
        </w:rPr>
        <w:t>%</w:t>
      </w:r>
      <w:r w:rsidR="0000165D" w:rsidRPr="003B251F">
        <w:rPr>
          <w:lang w:eastAsia="en-GB"/>
        </w:rPr>
        <w:t>) and</w:t>
      </w:r>
      <w:r w:rsidR="002D10DC" w:rsidRPr="003B251F">
        <w:rPr>
          <w:lang w:eastAsia="en-GB"/>
        </w:rPr>
        <w:t xml:space="preserve"> 18</w:t>
      </w:r>
      <w:r w:rsidR="00A91358" w:rsidRPr="003B251F">
        <w:rPr>
          <w:lang w:eastAsia="en-GB"/>
        </w:rPr>
        <w:t xml:space="preserve"> months (</w:t>
      </w:r>
      <w:r w:rsidR="002D10DC" w:rsidRPr="003B251F">
        <w:rPr>
          <w:lang w:eastAsia="en-GB"/>
        </w:rPr>
        <w:t>32.6</w:t>
      </w:r>
      <w:r w:rsidRPr="003B251F">
        <w:rPr>
          <w:lang w:eastAsia="en-GB"/>
        </w:rPr>
        <w:t>% vs</w:t>
      </w:r>
      <w:r w:rsidR="007F14E3" w:rsidRPr="003B251F">
        <w:rPr>
          <w:lang w:eastAsia="en-GB"/>
        </w:rPr>
        <w:t>.</w:t>
      </w:r>
      <w:r w:rsidRPr="003B251F">
        <w:rPr>
          <w:lang w:eastAsia="en-GB"/>
        </w:rPr>
        <w:t xml:space="preserve"> </w:t>
      </w:r>
      <w:r w:rsidR="00AE377D" w:rsidRPr="003B251F">
        <w:rPr>
          <w:lang w:eastAsia="en-GB"/>
        </w:rPr>
        <w:t>100</w:t>
      </w:r>
      <w:r w:rsidR="007B55E2" w:rsidRPr="003B251F">
        <w:rPr>
          <w:lang w:eastAsia="en-GB"/>
        </w:rPr>
        <w:t>%</w:t>
      </w:r>
      <w:r w:rsidR="008D3862" w:rsidRPr="003B251F">
        <w:rPr>
          <w:lang w:eastAsia="en-GB"/>
        </w:rPr>
        <w:t xml:space="preserve">, Figure </w:t>
      </w:r>
      <w:r w:rsidR="00FC5C8A" w:rsidRPr="003B251F">
        <w:rPr>
          <w:lang w:eastAsia="en-GB"/>
        </w:rPr>
        <w:t>3</w:t>
      </w:r>
      <w:r w:rsidR="0000165D" w:rsidRPr="003B251F">
        <w:rPr>
          <w:lang w:eastAsia="en-GB"/>
        </w:rPr>
        <w:t>).</w:t>
      </w:r>
    </w:p>
    <w:p w14:paraId="623DC129" w14:textId="0051472E" w:rsidR="006E0549" w:rsidRPr="003B251F" w:rsidRDefault="004C6382">
      <w:pPr>
        <w:spacing w:line="480" w:lineRule="auto"/>
        <w:jc w:val="both"/>
        <w:rPr>
          <w:lang w:eastAsia="en-GB"/>
        </w:rPr>
      </w:pPr>
      <w:r w:rsidRPr="003B251F">
        <w:rPr>
          <w:rFonts w:cs="Arial"/>
        </w:rPr>
        <w:t xml:space="preserve">Individuals with a previous diagnosis of IBS or depression were less likely to receive timely specialist review than those without (IBS: HR 0.77, 95%CI 0.60-0.99, Figure </w:t>
      </w:r>
      <w:r w:rsidR="00FC5C8A" w:rsidRPr="003B251F">
        <w:rPr>
          <w:rFonts w:cs="Arial"/>
        </w:rPr>
        <w:t>4</w:t>
      </w:r>
      <w:r w:rsidRPr="003B251F">
        <w:rPr>
          <w:rFonts w:cs="Arial"/>
        </w:rPr>
        <w:t>, Depression: HR=0.77, 95%CI 0.60-0.98</w:t>
      </w:r>
      <w:r w:rsidR="00E46B30" w:rsidRPr="003B251F">
        <w:rPr>
          <w:rFonts w:cs="Arial"/>
        </w:rPr>
        <w:t xml:space="preserve">, </w:t>
      </w:r>
      <w:r w:rsidRPr="003B251F">
        <w:rPr>
          <w:rFonts w:cs="Arial"/>
        </w:rPr>
        <w:t>Table 2).</w:t>
      </w:r>
      <w:r w:rsidR="00144C26" w:rsidRPr="003B251F">
        <w:rPr>
          <w:lang w:eastAsia="en-GB"/>
        </w:rPr>
        <w:t xml:space="preserve"> </w:t>
      </w:r>
    </w:p>
    <w:p w14:paraId="5099BEDB" w14:textId="53B6DEEC" w:rsidR="00454834" w:rsidRPr="003B251F" w:rsidRDefault="00B92AEE">
      <w:pPr>
        <w:spacing w:line="480" w:lineRule="auto"/>
        <w:jc w:val="both"/>
        <w:rPr>
          <w:lang w:eastAsia="en-GB"/>
        </w:rPr>
      </w:pPr>
      <w:r w:rsidRPr="003B251F">
        <w:rPr>
          <w:lang w:eastAsia="en-GB"/>
        </w:rPr>
        <w:t>Fourteen per cent</w:t>
      </w:r>
      <w:r w:rsidR="007F14E3" w:rsidRPr="003B251F">
        <w:rPr>
          <w:lang w:eastAsia="en-GB"/>
        </w:rPr>
        <w:t xml:space="preserve"> (n=142)</w:t>
      </w:r>
      <w:r w:rsidR="009D24B6" w:rsidRPr="003B251F">
        <w:rPr>
          <w:lang w:eastAsia="en-GB"/>
        </w:rPr>
        <w:t xml:space="preserve"> of</w:t>
      </w:r>
      <w:r w:rsidR="007F14E3" w:rsidRPr="003B251F">
        <w:rPr>
          <w:lang w:eastAsia="en-GB"/>
        </w:rPr>
        <w:t xml:space="preserve"> </w:t>
      </w:r>
      <w:r w:rsidR="006E0549" w:rsidRPr="003B251F">
        <w:rPr>
          <w:lang w:eastAsia="en-GB"/>
        </w:rPr>
        <w:t xml:space="preserve">patients presenting with chronic GI symptoms were referred for specialist review but did not attend their appointment. These were 32% </w:t>
      </w:r>
      <w:r w:rsidR="007A0746" w:rsidRPr="003B251F">
        <w:rPr>
          <w:lang w:eastAsia="en-GB"/>
        </w:rPr>
        <w:t>less likely to receive specialist review within 18 months</w:t>
      </w:r>
      <w:r w:rsidR="007F14E3" w:rsidRPr="003B251F">
        <w:rPr>
          <w:lang w:eastAsia="en-GB"/>
        </w:rPr>
        <w:t xml:space="preserve"> </w:t>
      </w:r>
      <w:r w:rsidR="00477CD2" w:rsidRPr="003B251F">
        <w:rPr>
          <w:lang w:eastAsia="en-GB"/>
        </w:rPr>
        <w:t>(Table 2)</w:t>
      </w:r>
      <w:r w:rsidR="007D69AC" w:rsidRPr="003B251F">
        <w:rPr>
          <w:lang w:eastAsia="en-GB"/>
        </w:rPr>
        <w:t>.</w:t>
      </w:r>
      <w:r w:rsidR="002F7AA2" w:rsidRPr="003B251F">
        <w:rPr>
          <w:lang w:eastAsia="en-GB"/>
        </w:rPr>
        <w:t xml:space="preserve"> </w:t>
      </w:r>
      <w:r w:rsidR="00B33844" w:rsidRPr="003B251F">
        <w:rPr>
          <w:lang w:eastAsia="en-GB"/>
        </w:rPr>
        <w:t>T</w:t>
      </w:r>
      <w:r w:rsidR="002F7AA2" w:rsidRPr="003B251F">
        <w:rPr>
          <w:lang w:eastAsia="en-GB"/>
        </w:rPr>
        <w:t xml:space="preserve">he risk of </w:t>
      </w:r>
      <w:r w:rsidR="007A0746" w:rsidRPr="003B251F">
        <w:rPr>
          <w:lang w:eastAsia="en-GB"/>
        </w:rPr>
        <w:t>missed</w:t>
      </w:r>
      <w:r w:rsidR="002F7AA2" w:rsidRPr="003B251F">
        <w:rPr>
          <w:lang w:eastAsia="en-GB"/>
        </w:rPr>
        <w:t xml:space="preserve"> appointment</w:t>
      </w:r>
      <w:r w:rsidR="007A0746" w:rsidRPr="003B251F">
        <w:rPr>
          <w:lang w:eastAsia="en-GB"/>
        </w:rPr>
        <w:t>s</w:t>
      </w:r>
      <w:r w:rsidR="002F7AA2" w:rsidRPr="003B251F">
        <w:rPr>
          <w:lang w:eastAsia="en-GB"/>
        </w:rPr>
        <w:t xml:space="preserve"> was similar regardless </w:t>
      </w:r>
      <w:r w:rsidR="002F7AA2" w:rsidRPr="003B251F">
        <w:rPr>
          <w:lang w:eastAsia="en-GB"/>
        </w:rPr>
        <w:lastRenderedPageBreak/>
        <w:t>of sex, age at presentation, smoking status, socioeconomic status or a previous diagnosis of depression or IBS.</w:t>
      </w:r>
    </w:p>
    <w:p w14:paraId="518DE1F0" w14:textId="77777777" w:rsidR="00454834" w:rsidRPr="003B251F" w:rsidRDefault="00454834">
      <w:pPr>
        <w:rPr>
          <w:lang w:eastAsia="en-GB"/>
        </w:rPr>
      </w:pPr>
      <w:r w:rsidRPr="003B251F">
        <w:rPr>
          <w:lang w:eastAsia="en-GB"/>
        </w:rPr>
        <w:br w:type="page"/>
      </w:r>
    </w:p>
    <w:p w14:paraId="105EF70C" w14:textId="26383152" w:rsidR="004167BB" w:rsidRPr="003B251F" w:rsidRDefault="00F07CF9" w:rsidP="00A624CE">
      <w:pPr>
        <w:pStyle w:val="Heading1"/>
        <w:spacing w:line="480" w:lineRule="auto"/>
        <w:jc w:val="both"/>
        <w:rPr>
          <w:rFonts w:asciiTheme="minorHAnsi" w:hAnsiTheme="minorHAnsi"/>
          <w:b/>
        </w:rPr>
      </w:pPr>
      <w:r w:rsidRPr="003B251F">
        <w:rPr>
          <w:rFonts w:asciiTheme="minorHAnsi" w:hAnsiTheme="minorHAnsi"/>
          <w:b/>
        </w:rPr>
        <w:lastRenderedPageBreak/>
        <w:t>Discussion</w:t>
      </w:r>
    </w:p>
    <w:p w14:paraId="749537C6" w14:textId="2B702BDB" w:rsidR="00F07CF9" w:rsidRPr="003B251F" w:rsidRDefault="00F07CF9" w:rsidP="00A624CE">
      <w:pPr>
        <w:pStyle w:val="Heading2"/>
        <w:spacing w:line="480" w:lineRule="auto"/>
        <w:jc w:val="both"/>
        <w:rPr>
          <w:rFonts w:asciiTheme="minorHAnsi" w:hAnsiTheme="minorHAnsi"/>
        </w:rPr>
      </w:pPr>
      <w:r w:rsidRPr="003B251F">
        <w:rPr>
          <w:rFonts w:asciiTheme="minorHAnsi" w:hAnsiTheme="minorHAnsi"/>
        </w:rPr>
        <w:t>Main findings</w:t>
      </w:r>
    </w:p>
    <w:p w14:paraId="773A417E" w14:textId="43ADC31E" w:rsidR="009C6FAC" w:rsidRPr="003B251F" w:rsidRDefault="0094524B">
      <w:pPr>
        <w:spacing w:line="480" w:lineRule="auto"/>
        <w:jc w:val="both"/>
      </w:pPr>
      <w:r w:rsidRPr="003B251F">
        <w:t>This is the largest study to date</w:t>
      </w:r>
      <w:r w:rsidR="001D1CF2" w:rsidRPr="003B251F">
        <w:t xml:space="preserve"> </w:t>
      </w:r>
      <w:r w:rsidR="00F07CF9" w:rsidRPr="003B251F">
        <w:t>to examine the</w:t>
      </w:r>
      <w:r w:rsidR="008C113E" w:rsidRPr="003B251F">
        <w:t xml:space="preserve"> prevalence of GI symptoms in the </w:t>
      </w:r>
      <w:r w:rsidR="008C201D" w:rsidRPr="003B251F">
        <w:t>decade</w:t>
      </w:r>
      <w:r w:rsidR="008C113E" w:rsidRPr="003B251F">
        <w:t xml:space="preserve"> before IBD diagnosis compared </w:t>
      </w:r>
      <w:r w:rsidR="008C201D" w:rsidRPr="003B251F">
        <w:t xml:space="preserve">with </w:t>
      </w:r>
      <w:r w:rsidR="00AB2E33" w:rsidRPr="003B251F">
        <w:t>matched control group</w:t>
      </w:r>
      <w:r w:rsidR="00FF16DF" w:rsidRPr="003B251F">
        <w:t>s</w:t>
      </w:r>
      <w:r w:rsidR="008C201D" w:rsidRPr="003B251F">
        <w:t xml:space="preserve"> drawn from the </w:t>
      </w:r>
      <w:r w:rsidR="00FE4F56" w:rsidRPr="003B251F">
        <w:t>general</w:t>
      </w:r>
      <w:r w:rsidR="008C113E" w:rsidRPr="003B251F">
        <w:t xml:space="preserve"> population</w:t>
      </w:r>
      <w:r w:rsidR="00F07CF9" w:rsidRPr="003B251F">
        <w:t>.</w:t>
      </w:r>
      <w:r w:rsidR="0056169A" w:rsidRPr="003B251F">
        <w:t xml:space="preserve"> </w:t>
      </w:r>
      <w:r w:rsidRPr="003B251F">
        <w:t xml:space="preserve">There is a significant </w:t>
      </w:r>
      <w:r w:rsidR="00C03A0E" w:rsidRPr="003B251F">
        <w:t>excess</w:t>
      </w:r>
      <w:r w:rsidRPr="003B251F">
        <w:t xml:space="preserve"> of GI symptoms amongst patients who go on</w:t>
      </w:r>
      <w:r w:rsidR="000579AD" w:rsidRPr="003B251F">
        <w:t xml:space="preserve"> </w:t>
      </w:r>
      <w:r w:rsidRPr="003B251F">
        <w:t>to develop IBD in each of the ten years prior to their diagnos</w:t>
      </w:r>
      <w:r w:rsidR="00FF16DF" w:rsidRPr="003B251F">
        <w:t>is</w:t>
      </w:r>
      <w:r w:rsidRPr="003B251F">
        <w:t xml:space="preserve"> compared to matched controls. </w:t>
      </w:r>
      <w:r w:rsidR="001D1CF2" w:rsidRPr="003B251F">
        <w:t>We</w:t>
      </w:r>
      <w:r w:rsidR="00477CD2" w:rsidRPr="003B251F">
        <w:t xml:space="preserve"> found </w:t>
      </w:r>
      <w:r w:rsidRPr="003B251F">
        <w:t xml:space="preserve"> one in ten</w:t>
      </w:r>
      <w:r w:rsidR="00750065" w:rsidRPr="003B251F">
        <w:t xml:space="preserve"> </w:t>
      </w:r>
      <w:r w:rsidR="001D1CF2" w:rsidRPr="003B251F">
        <w:t xml:space="preserve">individuals </w:t>
      </w:r>
      <w:r w:rsidR="006B157F" w:rsidRPr="003B251F">
        <w:t xml:space="preserve">visited their </w:t>
      </w:r>
      <w:r w:rsidR="00C97731" w:rsidRPr="003B251F">
        <w:t>primary care physician</w:t>
      </w:r>
      <w:r w:rsidR="006B157F" w:rsidRPr="003B251F">
        <w:t xml:space="preserve"> for gastrointestinal symptoms </w:t>
      </w:r>
      <w:r w:rsidR="000B0616" w:rsidRPr="003B251F">
        <w:t>5</w:t>
      </w:r>
      <w:r w:rsidR="00562DB4" w:rsidRPr="003B251F">
        <w:t xml:space="preserve"> years before being diagnosed with either CD or UC</w:t>
      </w:r>
      <w:r w:rsidR="003343D3" w:rsidRPr="003B251F">
        <w:t>,</w:t>
      </w:r>
      <w:r w:rsidR="00C573D1" w:rsidRPr="003B251F">
        <w:t xml:space="preserve"> compared with </w:t>
      </w:r>
      <w:r w:rsidRPr="003B251F">
        <w:t xml:space="preserve">one in </w:t>
      </w:r>
      <w:r w:rsidR="007A0746" w:rsidRPr="003B251F">
        <w:t>twenty</w:t>
      </w:r>
      <w:r w:rsidRPr="003B251F">
        <w:t xml:space="preserve"> individuals in the </w:t>
      </w:r>
      <w:r w:rsidR="00C573D1" w:rsidRPr="003B251F">
        <w:t xml:space="preserve"> matched </w:t>
      </w:r>
      <w:r w:rsidR="00AB2E33" w:rsidRPr="003B251F">
        <w:t>control group</w:t>
      </w:r>
      <w:r w:rsidR="006B157F" w:rsidRPr="003B251F">
        <w:t>.</w:t>
      </w:r>
      <w:r w:rsidR="006C77A5" w:rsidRPr="003B251F">
        <w:t xml:space="preserve"> </w:t>
      </w:r>
      <w:r w:rsidR="0073200E" w:rsidRPr="003B251F">
        <w:t>Only 5.6</w:t>
      </w:r>
      <w:r w:rsidR="000B0616" w:rsidRPr="003B251F">
        <w:t>% of individuals</w:t>
      </w:r>
      <w:r w:rsidR="000F2FED" w:rsidRPr="003B251F">
        <w:t xml:space="preserve"> </w:t>
      </w:r>
      <w:r w:rsidR="007A0746" w:rsidRPr="003B251F">
        <w:t xml:space="preserve">with IBD </w:t>
      </w:r>
      <w:r w:rsidR="000B0616" w:rsidRPr="003B251F">
        <w:t>received</w:t>
      </w:r>
      <w:r w:rsidR="007A0746" w:rsidRPr="003B251F">
        <w:t xml:space="preserve"> timely</w:t>
      </w:r>
      <w:r w:rsidR="000B0616" w:rsidRPr="003B251F">
        <w:t xml:space="preserve"> spe</w:t>
      </w:r>
      <w:r w:rsidR="000F2FED" w:rsidRPr="003B251F">
        <w:t>cialist review within 4 weeks</w:t>
      </w:r>
      <w:r w:rsidR="007A0746" w:rsidRPr="003B251F">
        <w:t xml:space="preserve"> of presenting to their primary care physician with chronic GI symptoms</w:t>
      </w:r>
      <w:r w:rsidR="000F2FED" w:rsidRPr="003B251F">
        <w:t xml:space="preserve">, </w:t>
      </w:r>
      <w:r w:rsidR="009E79C2" w:rsidRPr="003B251F">
        <w:t>al</w:t>
      </w:r>
      <w:r w:rsidR="000F2FED" w:rsidRPr="003B251F">
        <w:t xml:space="preserve">though this </w:t>
      </w:r>
      <w:r w:rsidR="009E79C2" w:rsidRPr="003B251F">
        <w:t xml:space="preserve">rose to </w:t>
      </w:r>
      <w:r w:rsidR="000F2FED" w:rsidRPr="003B251F">
        <w:t xml:space="preserve">15.2% in the </w:t>
      </w:r>
      <w:r w:rsidR="006C4C5B" w:rsidRPr="003B251F">
        <w:t xml:space="preserve">most recent </w:t>
      </w:r>
      <w:r w:rsidR="000F2FED" w:rsidRPr="003B251F">
        <w:t>era of our study (2014-2016)</w:t>
      </w:r>
      <w:r w:rsidR="000B0616" w:rsidRPr="003B251F">
        <w:t>. Individuals with either</w:t>
      </w:r>
      <w:r w:rsidRPr="003B251F">
        <w:t xml:space="preserve"> a</w:t>
      </w:r>
      <w:r w:rsidR="000B0616" w:rsidRPr="003B251F">
        <w:t xml:space="preserve"> premorbid </w:t>
      </w:r>
      <w:r w:rsidRPr="003B251F">
        <w:t xml:space="preserve">diagnosis of </w:t>
      </w:r>
      <w:r w:rsidR="000B0616" w:rsidRPr="003B251F">
        <w:t xml:space="preserve">IBS </w:t>
      </w:r>
      <w:r w:rsidR="00CB45FC" w:rsidRPr="003B251F">
        <w:t xml:space="preserve">or depression </w:t>
      </w:r>
      <w:r w:rsidR="000B0616" w:rsidRPr="003B251F">
        <w:t xml:space="preserve">were less likely to receive </w:t>
      </w:r>
      <w:r w:rsidRPr="003B251F">
        <w:t xml:space="preserve">timely </w:t>
      </w:r>
      <w:r w:rsidR="000B0616" w:rsidRPr="003B251F">
        <w:t xml:space="preserve">specialist review after presenting to their </w:t>
      </w:r>
      <w:r w:rsidR="00C97731" w:rsidRPr="003B251F">
        <w:t>primary care physician</w:t>
      </w:r>
      <w:r w:rsidR="000B0616" w:rsidRPr="003B251F">
        <w:t xml:space="preserve"> with chronic GI symptoms.</w:t>
      </w:r>
    </w:p>
    <w:p w14:paraId="3CC3FB5E" w14:textId="77777777" w:rsidR="00A21E08" w:rsidRPr="003B251F" w:rsidRDefault="00A21E08" w:rsidP="00A624CE">
      <w:pPr>
        <w:pStyle w:val="Heading2"/>
        <w:spacing w:line="480" w:lineRule="auto"/>
        <w:jc w:val="both"/>
        <w:rPr>
          <w:rFonts w:asciiTheme="minorHAnsi" w:hAnsiTheme="minorHAnsi"/>
        </w:rPr>
      </w:pPr>
      <w:r w:rsidRPr="003B251F">
        <w:rPr>
          <w:rFonts w:asciiTheme="minorHAnsi" w:hAnsiTheme="minorHAnsi"/>
        </w:rPr>
        <w:t>Findings in relation to previous studies</w:t>
      </w:r>
    </w:p>
    <w:p w14:paraId="27685E43" w14:textId="521D6735" w:rsidR="003E5542" w:rsidRPr="003B251F" w:rsidRDefault="00FD72D8" w:rsidP="00757A93">
      <w:pPr>
        <w:spacing w:line="480" w:lineRule="auto"/>
        <w:jc w:val="both"/>
      </w:pPr>
      <w:r w:rsidRPr="003B251F">
        <w:t xml:space="preserve">The time from </w:t>
      </w:r>
      <w:r w:rsidR="0094524B" w:rsidRPr="003B251F">
        <w:t xml:space="preserve">the onset of </w:t>
      </w:r>
      <w:r w:rsidRPr="003B251F">
        <w:t>GI symptom</w:t>
      </w:r>
      <w:r w:rsidR="00FF16DF" w:rsidRPr="003B251F">
        <w:t>s</w:t>
      </w:r>
      <w:r w:rsidRPr="003B251F">
        <w:t xml:space="preserve">  to IBD diagnosis has generally been reported to be longer for CD than UC.</w:t>
      </w:r>
      <w:r w:rsidR="00615B3C" w:rsidRPr="003B251F">
        <w:fldChar w:fldCharType="begin" w:fldLock="1"/>
      </w:r>
      <w:r w:rsidR="00AD0E3E" w:rsidRPr="003B251F">
        <w:instrText>ADDIN CSL_CITATION {"citationItems":[{"id":"ITEM-1","itemData":{"ISSN":"0002-9270","abstract":"OBJECTIVES: \nIrritable bowel syndrome, a common gastrointestinal diagnosis, has not been clearly studied in inflammatory bowel disease. Some of the residual symptoms in subjects treated with Crohn's disease and ulcerative colitis are thought to be related to irritable bowel syndrome. The aims of this study were 1) to describe the duration and nature of complaints before the diagnosis of Crohn's disease and ulcerative colitis (prodromal period), and 2) to determine the role of IBS in this prodromal period.\nMETHODS:\nA total of 66 patients with confirmed inflammatory bowel disease were enrolled in the study. The subjects received a questionnaire to ascertain the nature and duration of symptoms preceding the diagnosis of Crohn's disease or ulcerative colitis, including features described under the Rome criteria for irritable bowel syndrome.\nRESULTS:\nOf the 66 subjects analyzed, 45 had Crohn's disease and 21 had ulcerative colitis. The prodromal period was 7.7 ± 10.7 yr for Crohn's disease and 1.2 ± 1.8 yr for ulcerative colitis (p &lt; 0.05). Once patients meeting the Rome criteria for irritable bowel syndrome during the prodrome were excluded, the duration of the prodromal period (non-IBS) for ulcerative colitis dropped to 0.8 ± 1.3 yr compared to 6.9 ± 9.8 yr in the Crohn's disease group (p &lt; 0.05). The symptoms of the non-IBS prodrome in subjects with Crohn's disease were bloating, diarrhea, stomach pain, heartburn, fever, weight loss, and fatigue. Further analysis demonstrated that subjects whose Crohn's disease initially began as colonic disease had a longer prodrome than with small bowel. In the non-IBS Crohn's group, there was also a correlation between the age at the time of diagnosis and the duration of prodrome (r = 0.67, p &lt; 0.0001).\nCONCLUSIONS:\nThere is a significant prodromal period before the time of diagnosis of Crohn's disease that is not found in ulcerative colitis even after exclusion of subjects with IBS.\nReprint requests and correspondence: Mark Pimentel, MD, Cedars-Sinai Medical Center, 8700 Beverly Boulevard, Room 7511, Los Angeles, CA 90048\nReceived September. 20, 1999; accepted March. 27, 2000\n© The American College of Gastroenterology 2000. All Rights Reserved.","author":[{"dropping-particle":"","family":"Pimentel","given":"Mark","non-dropping-particle":"","parse-names":false,"suffix":""},{"dropping-particle":"","family":"Chang","given":"Michael","non-dropping-particle":"","parse-names":false,"suffix":""},{"dropping-particle":"","family":"Chow","given":"Evelyn J","non-dropping-particle":"","parse-names":false,"suffix":""},{"dropping-particle":"","family":"Tabibzadeh","given":"Siamak","non-dropping-particle":"","parse-names":false,"suffix":""},{"dropping-particle":"","family":"Kirit-Kiriak","given":"Viorelia","non-dropping-particle":"","parse-names":false,"suffix":""},{"dropping-particle":"","family":"Targan","given":"Stephan R","non-dropping-particle":"","parse-names":false,"suffix":""},{"dropping-particle":"","family":"Lin","given":"Henry C","non-dropping-particle":"","parse-names":false,"suffix":""}],"container-title":"American Journal of Gastroenterology","id":"ITEM-1","issue":"12","issued":{"date-parts":[["2000"]]},"title":"Identification of A Prodromal Period in Crohn's Disease But Not Ulcerative Colitis","type":"article-journal","volume":"95"},"uris":["http://www.mendeley.com/documents/?uuid=2fe2bd9f-903b-4ad1-b8fa-260b1235287c"]},{"id":"ITEM-2","itemData":{"DOI":"10.1002/ibd.21719","author":[{"dropping-particle":"","family":"Vavricka","given":"Stephan R","non-dropping-particle":"","parse-names":false,"suffix":""},{"dropping-particle":"","family":"Spigaglia","given":"Sabrina M","non-dropping-particle":"","parse-names":false,"suffix":""},{"dropping-particle":"","family":"Rogler","given":"Gerhard","non-dropping-particle":"","parse-names":false,"suffix":""},{"dropping-particle":"","family":"Michetti","given":"Pierre","non-dropping-particle":"","parse-names":false,"suffix":""},{"dropping-particle":"","family":"Felley","given":"Christian","non-dropping-particle":"","parse-names":false,"suffix":""},{"dropping-particle":"","family":"Mottet","given":"Christian","non-dropping-particle":"","parse-names":false,"suffix":""},{"dropping-particle":"","family":"Braegger","given":"Christian P","non-dropping-particle":"","parse-names":false,"suffix":""},{"dropping-particle":"","family":"Rogler","given":"Daniela","non-dropping-particle":"","parse-names":false,"suffix":""},{"dropping-particle":"","family":"Straumann","given":"Alex","non-dropping-particle":"","parse-names":false,"suffix":""},{"dropping-particle":"","family":"Bauerfeind","given":"Peter","non-dropping-particle":"","parse-names":false,"suffix":""},{"dropping-particle":"","family":"Fried","given":"Michael","non-dropping-particle":"","parse-names":false,"suffix":""}],"container-title":"Inflamm Bowel Dis","id":"ITEM-2","issue":"3","issued":{"date-parts":[["2012"]]},"page":"496-505","title":"Systematic Evaluation of Risk Factors for Diagnostic Delay in","type":"article-journal","volume":"18"},"uris":["http://www.mendeley.com/documents/?uuid=92fbe4bb-f1e1-48a5-ab78-36fea53bf5c3"]},{"id":"ITEM-3","itemData":{"DOI":"10.1097/MIB.0000000000001257","ISBN":"0000000000","author":[{"dropping-particle":"","family":"Nguyen","given":"Vu Q","non-dropping-particle":"","parse-names":false,"suffix":""},{"dropping-particle":"","family":"Jiang","given":"Dingfeng","non-dropping-particle":"","parse-names":false,"suffix":""},{"dropping-particle":"","family":"Hoffman","given":"Sharon N","non-dropping-particle":"","parse-names":false,"suffix":""},{"dropping-particle":"","family":"Guntaka","given":"Srikar","non-dropping-particle":"","parse-names":false,"suffix":""},{"dropping-particle":"","family":"Mays","given":"Jessica L","non-dropping-particle":"","parse-names":false,"suffix":""},{"dropping-particle":"","family":"Wang","given":"Anthony","non-dropping-particle":"","parse-names":false,"suffix":""},{"dropping-particle":"","family":"Gomes","given":"Joseph","non-dropping-particle":"","parse-names":false,"suffix":""},{"dropping-particle":"","family":"Sorrentino","given":"Dario","non-dropping-particle":"","parse-names":false,"suffix":""}],"container-title":"Inflammatory bowel diseases","id":"ITEM-3","issue":"10","issued":{"date-parts":[["2017"]]},"page":"1825-1831","title":"Impact of Diagnostic Delay and Associated Factors on Clinical","type":"article-journal","volume":"23"},"uris":["http://www.mendeley.com/documents/?uuid=9c622b0f-570f-4dc6-a997-81bd39c67d28"]}],"mendeley":{"formattedCitation":"&lt;sup&gt;15,30,31&lt;/sup&gt;","plainTextFormattedCitation":"15,30,31","previouslyFormattedCitation":"&lt;sup&gt;15,30,31&lt;/sup&gt;"},"properties":{"noteIndex":0},"schema":"https://github.com/citation-style-language/schema/raw/master/csl-citation.json"}</w:instrText>
      </w:r>
      <w:r w:rsidR="00615B3C" w:rsidRPr="003B251F">
        <w:fldChar w:fldCharType="separate"/>
      </w:r>
      <w:r w:rsidR="002F0202" w:rsidRPr="003B251F">
        <w:rPr>
          <w:noProof/>
          <w:vertAlign w:val="superscript"/>
        </w:rPr>
        <w:t>15,30,31</w:t>
      </w:r>
      <w:r w:rsidR="00615B3C" w:rsidRPr="003B251F">
        <w:fldChar w:fldCharType="end"/>
      </w:r>
      <w:r w:rsidR="001E4B67" w:rsidRPr="003B251F">
        <w:t xml:space="preserve"> </w:t>
      </w:r>
      <w:r w:rsidR="00BE7A1D" w:rsidRPr="003B251F">
        <w:t xml:space="preserve"> </w:t>
      </w:r>
      <w:r w:rsidR="00750065" w:rsidRPr="003B251F">
        <w:t>I</w:t>
      </w:r>
      <w:r w:rsidR="0056169A" w:rsidRPr="003B251F">
        <w:t>n contrast,</w:t>
      </w:r>
      <w:r w:rsidR="002A33EC" w:rsidRPr="003B251F">
        <w:t xml:space="preserve"> our study found the</w:t>
      </w:r>
      <w:r w:rsidR="002C1A10" w:rsidRPr="003B251F">
        <w:t xml:space="preserve"> </w:t>
      </w:r>
      <w:r w:rsidR="006A2C7B" w:rsidRPr="003B251F">
        <w:t xml:space="preserve">prevalence </w:t>
      </w:r>
      <w:r w:rsidR="002A33EC" w:rsidRPr="003B251F">
        <w:t>of</w:t>
      </w:r>
      <w:r w:rsidR="006A2C7B" w:rsidRPr="003B251F">
        <w:t xml:space="preserve"> GI symptoms in the years before diagnosis of</w:t>
      </w:r>
      <w:r w:rsidR="002A33EC" w:rsidRPr="003B251F">
        <w:t xml:space="preserve"> UC was similar to that of CD.</w:t>
      </w:r>
      <w:r w:rsidR="0056169A" w:rsidRPr="003B251F">
        <w:t xml:space="preserve"> </w:t>
      </w:r>
      <w:r w:rsidR="002C1A10" w:rsidRPr="003B251F">
        <w:t>In a</w:t>
      </w:r>
      <w:r w:rsidR="002A33EC" w:rsidRPr="003B251F">
        <w:t xml:space="preserve"> study of the</w:t>
      </w:r>
      <w:r w:rsidR="008C7B21" w:rsidRPr="003B251F">
        <w:t xml:space="preserve"> Swiss IBD Cohort</w:t>
      </w:r>
      <w:r w:rsidR="00F51CE0" w:rsidRPr="003B251F">
        <w:t xml:space="preserve"> </w:t>
      </w:r>
      <w:r w:rsidR="0094524B" w:rsidRPr="003B251F">
        <w:t xml:space="preserve">10% </w:t>
      </w:r>
      <w:r w:rsidR="00893D16" w:rsidRPr="003B251F">
        <w:t xml:space="preserve">of patients </w:t>
      </w:r>
      <w:r w:rsidR="006064F0" w:rsidRPr="003B251F">
        <w:t>reported</w:t>
      </w:r>
      <w:r w:rsidR="00E60566" w:rsidRPr="003B251F">
        <w:t xml:space="preserve"> first present</w:t>
      </w:r>
      <w:r w:rsidR="00750065" w:rsidRPr="003B251F">
        <w:t>ing</w:t>
      </w:r>
      <w:r w:rsidR="00E60566" w:rsidRPr="003B251F">
        <w:t xml:space="preserve"> to a physician with</w:t>
      </w:r>
      <w:r w:rsidR="00B40D68" w:rsidRPr="003B251F">
        <w:t xml:space="preserve"> </w:t>
      </w:r>
      <w:r w:rsidR="00DB6DEC" w:rsidRPr="003B251F">
        <w:t>GI symptoms</w:t>
      </w:r>
      <w:r w:rsidR="00E60566" w:rsidRPr="003B251F">
        <w:t xml:space="preserve"> two </w:t>
      </w:r>
      <w:r w:rsidR="00B40D68" w:rsidRPr="003B251F">
        <w:t xml:space="preserve">years before being diagnosed </w:t>
      </w:r>
      <w:r w:rsidR="008C7B21" w:rsidRPr="003B251F">
        <w:t xml:space="preserve">with </w:t>
      </w:r>
      <w:r w:rsidR="00E60566" w:rsidRPr="003B251F">
        <w:t>UC.</w:t>
      </w:r>
      <w:r w:rsidR="005B5DFB" w:rsidRPr="003B251F">
        <w:fldChar w:fldCharType="begin" w:fldLock="1"/>
      </w:r>
      <w:r w:rsidR="00AD0E3E" w:rsidRPr="003B251F">
        <w:instrText>ADDIN CSL_CITATION {"citationItems":[{"id":"ITEM-1","itemData":{"DOI":"10.1002/ibd.21719","author":[{"dropping-particle":"","family":"Vavricka","given":"Stephan R","non-dropping-particle":"","parse-names":false,"suffix":""},{"dropping-particle":"","family":"Spigaglia","given":"Sabrina M","non-dropping-particle":"","parse-names":false,"suffix":""},{"dropping-particle":"","family":"Rogler","given":"Gerhard","non-dropping-particle":"","parse-names":false,"suffix":""},{"dropping-particle":"","family":"Michetti","given":"Pierre","non-dropping-particle":"","parse-names":false,"suffix":""},{"dropping-particle":"","family":"Felley","given":"Christian","non-dropping-particle":"","parse-names":false,"suffix":""},{"dropping-particle":"","family":"Mottet","given":"Christian","non-dropping-particle":"","parse-names":false,"suffix":""},{"dropping-particle":"","family":"Braegger","given":"Christian P","non-dropping-particle":"","parse-names":false,"suffix":""},{"dropping-particle":"","family":"Rogler","given":"Daniela","non-dropping-particle":"","parse-names":false,"suffix":""},{"dropping-particle":"","family":"Straumann","given":"Alex","non-dropping-particle":"","parse-names":false,"suffix":""},{"dropping-particle":"","family":"Bauerfeind","given":"Peter","non-dropping-particle":"","parse-names":false,"suffix":""},{"dropping-particle":"","family":"Fried","given":"Michael","non-dropping-particle":"","parse-names":false,"suffix":""}],"container-title":"Inflamm Bowel Dis","id":"ITEM-1","issue":"3","issued":{"date-parts":[["2012"]]},"page":"496-505","title":"Systematic Evaluation of Risk Factors for Diagnostic Delay in","type":"article-journal","volume":"18"},"uris":["http://www.mendeley.com/documents/?uuid=92fbe4bb-f1e1-48a5-ab78-36fea53bf5c3"]}],"mendeley":{"formattedCitation":"&lt;sup&gt;15&lt;/sup&gt;","plainTextFormattedCitation":"15","previouslyFormattedCitation":"&lt;sup&gt;15&lt;/sup&gt;"},"properties":{"noteIndex":0},"schema":"https://github.com/citation-style-language/schema/raw/master/csl-citation.json"}</w:instrText>
      </w:r>
      <w:r w:rsidR="005B5DFB" w:rsidRPr="003B251F">
        <w:fldChar w:fldCharType="separate"/>
      </w:r>
      <w:r w:rsidR="002F0202" w:rsidRPr="003B251F">
        <w:rPr>
          <w:noProof/>
          <w:vertAlign w:val="superscript"/>
        </w:rPr>
        <w:t>15</w:t>
      </w:r>
      <w:r w:rsidR="005B5DFB" w:rsidRPr="003B251F">
        <w:fldChar w:fldCharType="end"/>
      </w:r>
      <w:r w:rsidR="00660A70" w:rsidRPr="003B251F">
        <w:t xml:space="preserve"> W</w:t>
      </w:r>
      <w:r w:rsidR="00F51CE0" w:rsidRPr="003B251F">
        <w:t xml:space="preserve">e found </w:t>
      </w:r>
      <w:r w:rsidR="005C0033" w:rsidRPr="003B251F">
        <w:t xml:space="preserve">even five years before </w:t>
      </w:r>
      <w:r w:rsidR="00F51CE0" w:rsidRPr="003B251F">
        <w:t xml:space="preserve">the diagnosis of </w:t>
      </w:r>
      <w:r w:rsidR="005C0033" w:rsidRPr="003B251F">
        <w:t>UC</w:t>
      </w:r>
      <w:r w:rsidR="00541977" w:rsidRPr="003B251F">
        <w:t>,</w:t>
      </w:r>
      <w:r w:rsidR="005C0033" w:rsidRPr="003B251F">
        <w:t xml:space="preserve"> </w:t>
      </w:r>
      <w:r w:rsidR="0094524B" w:rsidRPr="003B251F">
        <w:t>one in ten</w:t>
      </w:r>
      <w:r w:rsidR="005C0033" w:rsidRPr="003B251F">
        <w:t xml:space="preserve"> patients </w:t>
      </w:r>
      <w:r w:rsidR="003B3F54" w:rsidRPr="003B251F">
        <w:t>were</w:t>
      </w:r>
      <w:r w:rsidR="00615B3C" w:rsidRPr="003B251F">
        <w:t xml:space="preserve"> already</w:t>
      </w:r>
      <w:r w:rsidR="003B3F54" w:rsidRPr="003B251F">
        <w:t xml:space="preserve"> visiting their </w:t>
      </w:r>
      <w:r w:rsidR="00C97731" w:rsidRPr="003B251F">
        <w:t>primary care physician</w:t>
      </w:r>
      <w:r w:rsidR="003B3F54" w:rsidRPr="003B251F">
        <w:t xml:space="preserve"> </w:t>
      </w:r>
      <w:r w:rsidR="007F14E3" w:rsidRPr="003B251F">
        <w:t xml:space="preserve">with </w:t>
      </w:r>
      <w:r w:rsidR="003B3F54" w:rsidRPr="003B251F">
        <w:t>GI symptoms</w:t>
      </w:r>
      <w:r w:rsidR="005C0033" w:rsidRPr="003B251F">
        <w:t>.</w:t>
      </w:r>
      <w:r w:rsidR="008C7B21" w:rsidRPr="003B251F">
        <w:t xml:space="preserve"> </w:t>
      </w:r>
      <w:r w:rsidR="00893D16" w:rsidRPr="003B251F">
        <w:t>T</w:t>
      </w:r>
      <w:r w:rsidR="006064F0" w:rsidRPr="003B251F">
        <w:t>his may be</w:t>
      </w:r>
      <w:r w:rsidR="005569C0" w:rsidRPr="003B251F">
        <w:t xml:space="preserve"> because</w:t>
      </w:r>
      <w:r w:rsidR="00893D16" w:rsidRPr="003B251F">
        <w:t xml:space="preserve"> </w:t>
      </w:r>
      <w:r w:rsidR="005569C0" w:rsidRPr="003B251F">
        <w:t>we</w:t>
      </w:r>
      <w:r w:rsidR="00893D16" w:rsidRPr="003B251F">
        <w:t xml:space="preserve"> used prospectively collected data </w:t>
      </w:r>
      <w:r w:rsidR="00624C28" w:rsidRPr="003B251F">
        <w:t xml:space="preserve">as opposed to </w:t>
      </w:r>
      <w:r w:rsidR="00893D16" w:rsidRPr="003B251F">
        <w:t>questionnaire</w:t>
      </w:r>
      <w:r w:rsidR="00624C28" w:rsidRPr="003B251F">
        <w:t xml:space="preserve">s </w:t>
      </w:r>
      <w:r w:rsidR="007F14E3" w:rsidRPr="003B251F">
        <w:t xml:space="preserve">that are subject </w:t>
      </w:r>
      <w:r w:rsidR="009D24B6" w:rsidRPr="003B251F">
        <w:t>t</w:t>
      </w:r>
      <w:r w:rsidR="007F14E3" w:rsidRPr="003B251F">
        <w:t xml:space="preserve">o </w:t>
      </w:r>
      <w:r w:rsidR="00893D16" w:rsidRPr="003B251F">
        <w:t>recall bias.</w:t>
      </w:r>
      <w:r w:rsidR="003B3F54" w:rsidRPr="003B251F">
        <w:t xml:space="preserve"> </w:t>
      </w:r>
      <w:r w:rsidR="00893D16" w:rsidRPr="003B251F">
        <w:t>It</w:t>
      </w:r>
      <w:r w:rsidR="006064F0" w:rsidRPr="003B251F">
        <w:t xml:space="preserve"> is also possible</w:t>
      </w:r>
      <w:r w:rsidR="002D3761" w:rsidRPr="003B251F">
        <w:t xml:space="preserve"> UC</w:t>
      </w:r>
      <w:r w:rsidR="00893D16" w:rsidRPr="003B251F">
        <w:t xml:space="preserve"> patients in the Swiss study </w:t>
      </w:r>
      <w:r w:rsidR="002D3761" w:rsidRPr="003B251F">
        <w:t xml:space="preserve">considered </w:t>
      </w:r>
      <w:r w:rsidR="003343D3" w:rsidRPr="003B251F">
        <w:t xml:space="preserve">only </w:t>
      </w:r>
      <w:r w:rsidR="002D3761" w:rsidRPr="003B251F">
        <w:t>rectal bleeding as a symptom of UC</w:t>
      </w:r>
      <w:r w:rsidR="00CD2260" w:rsidRPr="003B251F">
        <w:t xml:space="preserve">. </w:t>
      </w:r>
      <w:r w:rsidR="009E79C2" w:rsidRPr="003B251F">
        <w:t>However,</w:t>
      </w:r>
      <w:r w:rsidR="002D3761" w:rsidRPr="003B251F">
        <w:t xml:space="preserve"> </w:t>
      </w:r>
      <w:r w:rsidR="000539F0" w:rsidRPr="003B251F">
        <w:t>in our study</w:t>
      </w:r>
      <w:r w:rsidR="00562DB4" w:rsidRPr="003B251F">
        <w:t>,</w:t>
      </w:r>
      <w:r w:rsidR="00B73CA9" w:rsidRPr="003B251F">
        <w:t xml:space="preserve"> diarrhoea and abdominal pain comprised</w:t>
      </w:r>
      <w:r w:rsidR="000539F0" w:rsidRPr="003B251F">
        <w:t xml:space="preserve"> </w:t>
      </w:r>
      <w:r w:rsidR="00F51CE0" w:rsidRPr="003B251F">
        <w:t xml:space="preserve">more than </w:t>
      </w:r>
      <w:r w:rsidR="00C97731" w:rsidRPr="003B251F">
        <w:t>half</w:t>
      </w:r>
      <w:r w:rsidR="00F51CE0" w:rsidRPr="003B251F">
        <w:t xml:space="preserve"> of the excess GI symptoms in the UC cohort 2-10 </w:t>
      </w:r>
      <w:r w:rsidR="00F51CE0" w:rsidRPr="003B251F">
        <w:lastRenderedPageBreak/>
        <w:t>years before diagnosis. This</w:t>
      </w:r>
      <w:r w:rsidR="00DB6DEC" w:rsidRPr="003B251F">
        <w:t xml:space="preserve"> suggest</w:t>
      </w:r>
      <w:r w:rsidR="00F51CE0" w:rsidRPr="003B251F">
        <w:t xml:space="preserve">s </w:t>
      </w:r>
      <w:r w:rsidR="00DB6DEC" w:rsidRPr="003B251F">
        <w:t>these symptoms</w:t>
      </w:r>
      <w:r w:rsidR="00481565" w:rsidRPr="003B251F">
        <w:t>, which are common after diagnosis,</w:t>
      </w:r>
      <w:r w:rsidR="00DB6DEC" w:rsidRPr="003B251F">
        <w:t xml:space="preserve"> may</w:t>
      </w:r>
      <w:r w:rsidR="00F51CE0" w:rsidRPr="003B251F">
        <w:t xml:space="preserve"> </w:t>
      </w:r>
      <w:r w:rsidR="00481565" w:rsidRPr="003B251F">
        <w:t xml:space="preserve">also </w:t>
      </w:r>
      <w:r w:rsidR="00F51CE0" w:rsidRPr="003B251F">
        <w:t>in some individuals</w:t>
      </w:r>
      <w:r w:rsidR="00DB6DEC" w:rsidRPr="003B251F">
        <w:t xml:space="preserve"> precede </w:t>
      </w:r>
      <w:r w:rsidR="00B73CA9" w:rsidRPr="003B251F">
        <w:t>rectal</w:t>
      </w:r>
      <w:r w:rsidR="00DB6DEC" w:rsidRPr="003B251F">
        <w:t xml:space="preserve"> bleeding in the natural history of UC</w:t>
      </w:r>
      <w:r w:rsidR="006F1F13" w:rsidRPr="003B251F">
        <w:t>.</w:t>
      </w:r>
      <w:r w:rsidR="00481565" w:rsidRPr="003B251F">
        <w:fldChar w:fldCharType="begin" w:fldLock="1"/>
      </w:r>
      <w:r w:rsidR="007F504C" w:rsidRPr="003B251F">
        <w:instrText>ADDIN CSL_CITATION {"citationItems":[{"id":"ITEM-1","itemData":{"DOI":"10.1093/ecco-jcc/jjx152","ISSN":"1876-4479 (Electronic)","PMID":"29186372","abstract":"Background and Aims: An increased prevalence of irritable bowel syndrome [IBS]-like symptoms has been reported in patients with ulcerative colitis [UC]. Whether ongoing inflammation increases the prevalence of such symptoms is unknown. The aims of this study were to determine the prevalence of IBS-like symptoms in a population-based cohort of UC patients 20 years after diagnosis, and to assess the possible association between such symptoms and ongoing inflammation. Methods: Patients diagnosed with UC between 1990 and 1994, in a geographically well-defined area, were included in a prospective follow-up study, and IBS symptoms according to Rome III criteria were recorded 20 years after diagnosis. The patients underwent colonoscopy with biopsies and/or the level of faecal calprotectin was analysed. Results: A total of 260 patients answered the Rome III questionnaire. The overall prevalence of IBS-like symptoms was 27%. In patients who had no signs of inflammation in colonic biopsies [n = 96] [deep remission], the prevalence was 29%. No difference in prevalence of IBS-like symptoms was found between patients with ongoing inflammation and patients in deep remission. Conclusions: IBS-like symptoms in UC patients are frequent after 20 years of disease. Deep remission did not change the frequency of IBS-like symptoms.","author":[{"dropping-particle":"","family":"Henriksen","given":"Magne","non-dropping-particle":"","parse-names":false,"suffix":""},{"dropping-particle":"","family":"Hoivik","given":"Marte Lie","non-dropping-particle":"","parse-names":false,"suffix":""},{"dropping-particle":"","family":"Jelsness-Jorgensen","given":"Lars-Petter","non-dropping-particle":"","parse-names":false,"suffix":""},{"dropping-particle":"","family":"Moum","given":"Bjorn","non-dropping-particle":"","parse-names":false,"suffix":""}],"container-title":"Journal of Crohn's &amp; colitis","id":"ITEM-1","issue":"4","issued":{"date-parts":[["2018","3"]]},"language":"eng","page":"389-393","publisher-place":"England","title":"Irritable Bowel-like Symptoms in Ulcerative Colitis are as Common in Patients in  Deep Remission as in Inflammation: Results From a Population-based Study [the IBSEN Study].","type":"article-journal","volume":"12"},"uris":["http://www.mendeley.com/documents/?uuid=37c6e0bf-04f3-4733-bc4d-303942dcf6b4"]}],"mendeley":{"formattedCitation":"&lt;sup&gt;32&lt;/sup&gt;","plainTextFormattedCitation":"32","previouslyFormattedCitation":"&lt;sup&gt;32&lt;/sup&gt;"},"properties":{"noteIndex":0},"schema":"https://github.com/citation-style-language/schema/raw/master/csl-citation.json"}</w:instrText>
      </w:r>
      <w:r w:rsidR="00481565" w:rsidRPr="003B251F">
        <w:fldChar w:fldCharType="separate"/>
      </w:r>
      <w:r w:rsidR="00481565" w:rsidRPr="003B251F">
        <w:rPr>
          <w:noProof/>
          <w:vertAlign w:val="superscript"/>
        </w:rPr>
        <w:t>32</w:t>
      </w:r>
      <w:r w:rsidR="00481565" w:rsidRPr="003B251F">
        <w:fldChar w:fldCharType="end"/>
      </w:r>
    </w:p>
    <w:p w14:paraId="02907C87" w14:textId="73DA3090" w:rsidR="00C22EEB" w:rsidRPr="003B251F" w:rsidRDefault="00C22EEB">
      <w:pPr>
        <w:spacing w:line="480" w:lineRule="auto"/>
        <w:jc w:val="both"/>
      </w:pPr>
      <w:r w:rsidRPr="003B251F">
        <w:t xml:space="preserve">Our study </w:t>
      </w:r>
      <w:r w:rsidR="007F14E3" w:rsidRPr="003B251F">
        <w:t xml:space="preserve">revealed </w:t>
      </w:r>
      <w:r w:rsidRPr="003B251F">
        <w:t>that each year between 4-6% of primar</w:t>
      </w:r>
      <w:r w:rsidR="00541977" w:rsidRPr="003B251F">
        <w:t>y care patients</w:t>
      </w:r>
      <w:r w:rsidR="00027CFB" w:rsidRPr="003B251F">
        <w:t xml:space="preserve">, </w:t>
      </w:r>
      <w:r w:rsidR="00B33844" w:rsidRPr="003B251F">
        <w:t>who</w:t>
      </w:r>
      <w:r w:rsidR="00027CFB" w:rsidRPr="003B251F">
        <w:t xml:space="preserve"> do not have a subsequent diagnosis of </w:t>
      </w:r>
      <w:r w:rsidR="00541977" w:rsidRPr="003B251F">
        <w:t>IBD</w:t>
      </w:r>
      <w:r w:rsidR="00027CFB" w:rsidRPr="003B251F">
        <w:t>,</w:t>
      </w:r>
      <w:r w:rsidRPr="003B251F">
        <w:t xml:space="preserve"> present to their </w:t>
      </w:r>
      <w:r w:rsidR="00C97731" w:rsidRPr="003B251F">
        <w:t>primary care physician</w:t>
      </w:r>
      <w:r w:rsidRPr="003B251F">
        <w:t xml:space="preserve"> </w:t>
      </w:r>
      <w:r w:rsidR="00027CFB" w:rsidRPr="003B251F">
        <w:t xml:space="preserve">with </w:t>
      </w:r>
      <w:r w:rsidRPr="003B251F">
        <w:t xml:space="preserve">GI symptoms. </w:t>
      </w:r>
      <w:r w:rsidR="002A1614" w:rsidRPr="003B251F">
        <w:t>Like the</w:t>
      </w:r>
      <w:r w:rsidR="0086376E" w:rsidRPr="003B251F">
        <w:t xml:space="preserve"> Swiss </w:t>
      </w:r>
      <w:r w:rsidR="0056169A" w:rsidRPr="003B251F">
        <w:t xml:space="preserve">cohort </w:t>
      </w:r>
      <w:r w:rsidR="0086376E" w:rsidRPr="003B251F">
        <w:t>study</w:t>
      </w:r>
      <w:r w:rsidR="007F14E3" w:rsidRPr="003B251F">
        <w:t>,</w:t>
      </w:r>
      <w:r w:rsidR="002A1614" w:rsidRPr="003B251F">
        <w:t xml:space="preserve"> we</w:t>
      </w:r>
      <w:r w:rsidR="003D2D08" w:rsidRPr="003B251F">
        <w:t xml:space="preserve"> found</w:t>
      </w:r>
      <w:r w:rsidR="00D333E8" w:rsidRPr="003B251F">
        <w:t xml:space="preserve"> 10% of CD individuals reported GI symptoms five years before </w:t>
      </w:r>
      <w:r w:rsidR="0086376E" w:rsidRPr="003B251F">
        <w:t xml:space="preserve">IBD </w:t>
      </w:r>
      <w:r w:rsidR="00D333E8" w:rsidRPr="003B251F">
        <w:t xml:space="preserve">diagnosis, </w:t>
      </w:r>
      <w:r w:rsidR="000579AD" w:rsidRPr="003B251F">
        <w:t>but</w:t>
      </w:r>
      <w:r w:rsidR="00D333E8" w:rsidRPr="003B251F">
        <w:t xml:space="preserve"> in </w:t>
      </w:r>
      <w:r w:rsidR="007F14E3" w:rsidRPr="003B251F">
        <w:t xml:space="preserve">the current </w:t>
      </w:r>
      <w:r w:rsidR="00D333E8" w:rsidRPr="003B251F">
        <w:t xml:space="preserve">study 6% of the </w:t>
      </w:r>
      <w:r w:rsidR="00AB2E33" w:rsidRPr="003B251F">
        <w:t>control group</w:t>
      </w:r>
      <w:r w:rsidR="00D333E8" w:rsidRPr="003B251F">
        <w:t xml:space="preserve"> reported GI symptoms in that same period, </w:t>
      </w:r>
      <w:r w:rsidR="0013294D" w:rsidRPr="003B251F">
        <w:t xml:space="preserve">leaving an </w:t>
      </w:r>
      <w:r w:rsidR="003D2D08" w:rsidRPr="003B251F">
        <w:t xml:space="preserve">excess </w:t>
      </w:r>
      <w:r w:rsidR="0013294D" w:rsidRPr="003B251F">
        <w:t xml:space="preserve">of </w:t>
      </w:r>
      <w:r w:rsidR="00D333E8" w:rsidRPr="003B251F">
        <w:t xml:space="preserve">4%. By establishing </w:t>
      </w:r>
      <w:r w:rsidR="005974F9" w:rsidRPr="003B251F">
        <w:t xml:space="preserve">the excess prevalence of GI symptoms </w:t>
      </w:r>
      <w:r w:rsidR="00D333E8" w:rsidRPr="003B251F">
        <w:t xml:space="preserve">we </w:t>
      </w:r>
      <w:r w:rsidR="00BB3B91" w:rsidRPr="003B251F">
        <w:t>obtained</w:t>
      </w:r>
      <w:r w:rsidR="005974F9" w:rsidRPr="003B251F">
        <w:t xml:space="preserve"> a more accurat</w:t>
      </w:r>
      <w:r w:rsidR="00BB3B91" w:rsidRPr="003B251F">
        <w:t>e estimate of the prevalence of</w:t>
      </w:r>
      <w:r w:rsidR="003B665F" w:rsidRPr="003B251F">
        <w:t xml:space="preserve"> </w:t>
      </w:r>
      <w:r w:rsidR="005974F9" w:rsidRPr="003B251F">
        <w:t xml:space="preserve">GI symptoms </w:t>
      </w:r>
      <w:r w:rsidR="007F14E3" w:rsidRPr="003B251F">
        <w:t xml:space="preserve">likely </w:t>
      </w:r>
      <w:r w:rsidR="005974F9" w:rsidRPr="003B251F">
        <w:t xml:space="preserve">attributable to undiagnosed IBD. </w:t>
      </w:r>
    </w:p>
    <w:p w14:paraId="17563A0D" w14:textId="309C3729" w:rsidR="004A3A4B" w:rsidRPr="003B251F" w:rsidRDefault="0086376E">
      <w:pPr>
        <w:spacing w:line="480" w:lineRule="auto"/>
        <w:jc w:val="both"/>
      </w:pPr>
      <w:r w:rsidRPr="003B251F">
        <w:t>UK</w:t>
      </w:r>
      <w:r w:rsidR="005E4BA1" w:rsidRPr="003B251F">
        <w:t xml:space="preserve"> IBD standards state individuals with suspected IBD</w:t>
      </w:r>
      <w:r w:rsidR="006D122F" w:rsidRPr="003B251F">
        <w:t xml:space="preserve"> should</w:t>
      </w:r>
      <w:r w:rsidR="005E4BA1" w:rsidRPr="003B251F">
        <w:t xml:space="preserve"> receive specialist review </w:t>
      </w:r>
      <w:r w:rsidR="004A3A4B" w:rsidRPr="003B251F">
        <w:t>within four weeks</w:t>
      </w:r>
      <w:r w:rsidR="0073200E" w:rsidRPr="003B251F">
        <w:t>.</w:t>
      </w:r>
      <w:r w:rsidR="006828ED" w:rsidRPr="003B251F">
        <w:fldChar w:fldCharType="begin" w:fldLock="1"/>
      </w:r>
      <w:r w:rsidR="00AD0E3E" w:rsidRPr="003B251F">
        <w:instrText>ADDIN CSL_CITATION {"citationItems":[{"id":"ITEM-1","itemData":{"DOI":"10.1136/flgastro-2019-101260","ISSN":"2041-4137","abstract":"Objective Symptoms and clinical course during inflammatory bowel disease (IBD) vary among individuals. Personalised care is therefore essential to effective management, delivered by a strong patient-centred multidisciplinary team, working within a well-designed service. This study aimed to fully rewrite the UK Standards for the healthcare of adults and children with IBD, and to develop an IBD Service Benchmarking Tool to support current and future personalised care models. Design Led by IBD UK, a national multidisciplinary alliance of patients and nominated representatives from all major stakeholders in IBD care, Standards requirements were defined by survey data collated from 689 patients and 151 healthcare professionals. Standards were drafted and refined over three rounds of modified electronic-Delphi. results Consensus was achieved for 59 Standards covering seven clinical domains; (1) design and delivery of the multidisciplinary IBD service; (2) prediagnostic referral pathways, protocols and timeframes; (3) holistic care of the newly diagnosed patient; (4) flare management to support patient empowerment, self-management and access to specialists where required; (5) surgery including appropriate expertise, preoperative information, psychological support and postoperative care; (6) inpatient medical care delivery (7) and ongoing long-term care in the outpatient department and primary care setting including shared care. Using these patient-centred Standards and informed by the IBD Quality Improvement Project (IBDQIP), this paper presents a national benchmarking framework. Conclusions The Standards and Benchmarking Tool provide a framework for healthcare providers and patients to rate the quality of their service. This will recognise excellent care, and promote quality improvement, audit and service development in IBD.","author":[{"dropping-particle":"","family":"Kapasi","given":"Rukshana","non-dropping-particle":"","parse-names":false,"suffix":""},{"dropping-particle":"","family":"Glatter","given":"Jackie","non-dropping-particle":"","parse-names":false,"suffix":""},{"dropping-particle":"","family":"Lamb","given":"Christopher A","non-dropping-particle":"","parse-names":false,"suffix":""},{"dropping-particle":"","family":"Acheson","given":"Austin G","non-dropping-particle":"","parse-names":false,"suffix":""},{"dropping-particle":"","family":"Andrews","given":"Charles","non-dropping-particle":"","parse-names":false,"suffix":""},{"dropping-particle":"","family":"Arnott","given":"Ian D","non-dropping-particle":"","parse-names":false,"suffix":""},{"dropping-particle":"","family":"Barrett","given":"Kevin J","non-dropping-particle":"","parse-names":false,"suffix":""},{"dropping-particle":"","family":"Bell","given":"Graham","non-dropping-particle":"","parse-names":false,"suffix":""},{"dropping-particle":"","family":"Bhatnagar","given":"Guaraang","non-dropping-particle":"","parse-names":false,"suffix":""},{"dropping-particle":"","family":"Bloom","given":"Stuart","non-dropping-particle":"","parse-names":false,"suffix":""},{"dropping-particle":"","family":"Brookes","given":"Matthew James","non-dropping-particle":"","parse-names":false,"suffix":""},{"dropping-particle":"","family":"Brown","given":"Steven R","non-dropping-particle":"","parse-names":false,"suffix":""},{"dropping-particle":"","family":"Burch","given":"Nicola","non-dropping-particle":"","parse-names":false,"suffix":""},{"dropping-particle":"","family":"Burman","given":"Andy","non-dropping-particle":"","parse-names":false,"suffix":""},{"dropping-particle":"","family":"Crook","given":"Kay","non-dropping-particle":"","parse-names":false,"suffix":""},{"dropping-particle":"","family":"Cummings","given":"JR Fraser","non-dropping-particle":"","parse-names":false,"suffix":""},{"dropping-particle":"","family":"Davies","given":"Justin","non-dropping-particle":"","parse-names":false,"suffix":""},{"dropping-particle":"","family":"Demick","given":"Anne","non-dropping-particle":"","parse-names":false,"suffix":""},{"dropping-particle":"","family":"Epstein","given":"Jenny","non-dropping-particle":"","parse-names":false,"suffix":""},{"dropping-particle":"","family":"Faiz","given":"Omar","non-dropping-particle":"","parse-names":false,"suffix":""},{"dropping-particle":"","family":"Feakins","given":"Roger","non-dropping-particle":"","parse-names":false,"suffix":""},{"dropping-particle":"","family":"Fletcher","given":"Melissa","non-dropping-particle":"","parse-names":false,"suffix":""},{"dropping-particle":"","family":"Garrick","given":"Vikki","non-dropping-particle":"","parse-names":false,"suffix":""},{"dropping-particle":"","family":"Jaffray","given":"Bruce","non-dropping-particle":"","parse-names":false,"suffix":""},{"dropping-particle":"","family":"Johnson","given":"Matthew","non-dropping-particle":"","parse-names":false,"suffix":""},{"dropping-particle":"","family":"Keetarut","given":"Katie","non-dropping-particle":"","parse-names":false,"suffix":""},{"dropping-particle":"","family":"Limdi","given":"Jimmy","non-dropping-particle":"","parse-names":false,"suffix":""},{"dropping-particle":"","family":"Meade","given":"Uchu","non-dropping-particle":"","parse-names":false,"suffix":""},{"dropping-particle":"","family":"Muhammed","given":"Rafeeq","non-dropping-particle":"","parse-names":false,"suffix":""},{"dropping-particle":"","family":"Murdock","given":"Andrew","non-dropping-particle":"","parse-names":false,"suffix":""},{"dropping-particle":"","family":"Posford","given":"Nick","non-dropping-particle":"","parse-names":false,"suffix":""},{"dropping-particle":"","family":"Rowse","given":"Georgina","non-dropping-particle":"","parse-names":false,"suffix":""},{"dropping-particle":"","family":"Shaw","given":"Ian","non-dropping-particle":"","parse-names":false,"suffix":""},{"dropping-particle":"","family":"St Clair Jones","given":"Anja","non-dropping-particle":"","parse-names":false,"suffix":""},{"dropping-particle":"","family":"Taylor","given":"Stuart","non-dropping-particle":"","parse-names":false,"suffix":""},{"dropping-particle":"","family":"Weaver","given":"Sean","non-dropping-particle":"","parse-names":false,"suffix":""},{"dropping-particle":"","family":"Younge","given":"Lisa","non-dropping-particle":"","parse-names":false,"suffix":""},{"dropping-particle":"","family":"Hawthorne","given":"Antony Barney","non-dropping-particle":"","parse-names":false,"suffix":""}],"container-title":"Frontline Gastroenterology","id":"ITEM-1","issued":{"date-parts":[["2019"]]},"page":"flgastro-2019-101260","title":"Consensus standards of healthcare for adults and children with inflammatory bowel disease in the UK","type":"article-journal"},"uris":["http://www.mendeley.com/documents/?uuid=16977c80-404c-48df-bc01-75cb38fb9bb3"]}],"mendeley":{"formattedCitation":"&lt;sup&gt;17&lt;/sup&gt;","plainTextFormattedCitation":"17","previouslyFormattedCitation":"&lt;sup&gt;17&lt;/sup&gt;"},"properties":{"noteIndex":0},"schema":"https://github.com/citation-style-language/schema/raw/master/csl-citation.json"}</w:instrText>
      </w:r>
      <w:r w:rsidR="006828ED" w:rsidRPr="003B251F">
        <w:fldChar w:fldCharType="separate"/>
      </w:r>
      <w:r w:rsidR="002F0202" w:rsidRPr="003B251F">
        <w:rPr>
          <w:noProof/>
          <w:vertAlign w:val="superscript"/>
        </w:rPr>
        <w:t>17</w:t>
      </w:r>
      <w:r w:rsidR="006828ED" w:rsidRPr="003B251F">
        <w:fldChar w:fldCharType="end"/>
      </w:r>
      <w:r w:rsidR="00E35BD3" w:rsidRPr="003B251F">
        <w:t xml:space="preserve"> This is the first study to examine whether this </w:t>
      </w:r>
      <w:r w:rsidR="0076726C" w:rsidRPr="003B251F">
        <w:t xml:space="preserve">national </w:t>
      </w:r>
      <w:r w:rsidR="00E35BD3" w:rsidRPr="003B251F">
        <w:t xml:space="preserve">standard is being </w:t>
      </w:r>
      <w:r w:rsidR="0076726C" w:rsidRPr="003B251F">
        <w:t>met</w:t>
      </w:r>
      <w:r w:rsidR="00E35BD3" w:rsidRPr="003B251F">
        <w:t>.</w:t>
      </w:r>
      <w:r w:rsidR="00BB3B91" w:rsidRPr="003B251F">
        <w:t xml:space="preserve"> We found</w:t>
      </w:r>
      <w:r w:rsidR="0073200E" w:rsidRPr="003B251F">
        <w:t xml:space="preserve"> only 5.6</w:t>
      </w:r>
      <w:r w:rsidR="004A3A4B" w:rsidRPr="003B251F">
        <w:t>% of individuals</w:t>
      </w:r>
      <w:r w:rsidR="005E4BA1" w:rsidRPr="003B251F">
        <w:t xml:space="preserve"> with chronic GI symptoms</w:t>
      </w:r>
      <w:r w:rsidR="004A3A4B" w:rsidRPr="003B251F">
        <w:t xml:space="preserve"> received specialist review</w:t>
      </w:r>
      <w:r w:rsidR="00BB3B91" w:rsidRPr="003B251F">
        <w:t xml:space="preserve"> within </w:t>
      </w:r>
      <w:r w:rsidR="00E35BD3" w:rsidRPr="003B251F">
        <w:t>four weeks</w:t>
      </w:r>
      <w:r w:rsidR="00BB3B91" w:rsidRPr="003B251F">
        <w:t>.</w:t>
      </w:r>
      <w:r w:rsidR="0076726C" w:rsidRPr="003B251F">
        <w:t xml:space="preserve"> </w:t>
      </w:r>
      <w:r w:rsidR="00012CBB" w:rsidRPr="003B251F">
        <w:t>Encouragingly</w:t>
      </w:r>
      <w:r w:rsidR="00BB3B91" w:rsidRPr="003B251F">
        <w:t xml:space="preserve">, in </w:t>
      </w:r>
      <w:r w:rsidR="004A3A4B" w:rsidRPr="003B251F">
        <w:t xml:space="preserve">more recent era there has been a significant and progressive improvement in the rates of specialist review after presentation with chronic GI symptoms (Figure </w:t>
      </w:r>
      <w:r w:rsidR="00FC5C8A" w:rsidRPr="003B251F">
        <w:t>3</w:t>
      </w:r>
      <w:r w:rsidR="004A3A4B" w:rsidRPr="003B251F">
        <w:t>)</w:t>
      </w:r>
      <w:r w:rsidR="0076726C" w:rsidRPr="003B251F">
        <w:t>,</w:t>
      </w:r>
      <w:r w:rsidRPr="003B251F">
        <w:t xml:space="preserve"> </w:t>
      </w:r>
      <w:r w:rsidR="00BB3B91" w:rsidRPr="003B251F">
        <w:t xml:space="preserve">perhaps </w:t>
      </w:r>
      <w:r w:rsidRPr="003B251F">
        <w:t>reflect</w:t>
      </w:r>
      <w:r w:rsidR="00BB3B91" w:rsidRPr="003B251F">
        <w:t>ing</w:t>
      </w:r>
      <w:r w:rsidRPr="003B251F">
        <w:t xml:space="preserve"> improved diagnostic pathways </w:t>
      </w:r>
      <w:r w:rsidR="00027CFB" w:rsidRPr="003B251F">
        <w:t>with</w:t>
      </w:r>
      <w:r w:rsidRPr="003B251F">
        <w:t xml:space="preserve"> the </w:t>
      </w:r>
      <w:r w:rsidR="0076726C" w:rsidRPr="003B251F">
        <w:t xml:space="preserve">increased use of surrogate </w:t>
      </w:r>
      <w:r w:rsidR="00027CFB" w:rsidRPr="003B251F">
        <w:t xml:space="preserve">biomarkers such as </w:t>
      </w:r>
      <w:r w:rsidRPr="003B251F">
        <w:t>faecal calprotectin as a</w:t>
      </w:r>
      <w:r w:rsidR="00027CFB" w:rsidRPr="003B251F">
        <w:t>n aid to risk stratification and diagnosis</w:t>
      </w:r>
      <w:r w:rsidR="0076726C" w:rsidRPr="003B251F">
        <w:t xml:space="preserve"> in the lat</w:t>
      </w:r>
      <w:r w:rsidR="009D24B6" w:rsidRPr="003B251F">
        <w:t>t</w:t>
      </w:r>
      <w:r w:rsidR="0076726C" w:rsidRPr="003B251F">
        <w:t>er era of this study</w:t>
      </w:r>
      <w:r w:rsidRPr="003B251F">
        <w:t>.</w:t>
      </w:r>
      <w:r w:rsidR="00784FC4" w:rsidRPr="003B251F">
        <w:fldChar w:fldCharType="begin" w:fldLock="1"/>
      </w:r>
      <w:r w:rsidR="007F504C" w:rsidRPr="003B251F">
        <w:instrText>ADDIN CSL_CITATION {"citationItems":[{"id":"ITEM-1","itemData":{"ISSN":"0002-9270","author":[{"dropping-particle":"","family":"Menees","given":"Stacy B","non-dropping-particle":"","parse-names":false,"suffix":""},{"dropping-particle":"","family":"Powell","given":"Corey","non-dropping-particle":"","parse-names":false,"suffix":""},{"dropping-particle":"","family":"Kurlander","given":"Jacob","non-dropping-particle":"","parse-names":false,"suffix":""},{"dropping-particle":"","family":"Goel","given":"Akash","non-dropping-particle":"","parse-names":false,"suffix":""},{"dropping-particle":"","family":"Chey","given":"William D","non-dropping-particle":"","parse-names":false,"suffix":""}],"container-title":"Am J Gastroenterol","id":"ITEM-1","issue":"3","issued":{"date-parts":[["2015","3"]]},"page":"444-454","publisher":"American College of Gastroenterology","title":"A Meta-Analysis of the Utility of C-Reactive Protein, Erythrocyte Sedimentation Rate, Fecal Calprotectin, and Fecal Lactoferrin to Exclude Inflammatory Bowel Disease in Adults With IBS","type":"article-journal","volume":"110"},"uris":["http://www.mendeley.com/documents/?uuid=43bf3019-aac7-4b20-881e-731c3295a1d1"]},{"id":"ITEM-2","itemData":{"DOI":"10.1093/ecco-jcc/jjv067","ISSN":"18764479","abstract":"Background and Aims: Diagnostic delay is frequent in patients with Crohn's disease (CD). We developed a tool to predict early diagnosis. Methods: A systematic literature review and 12 CD specialists identified 'Red Flags', i.e. symptoms or signs suggestive of CD. A 21-item questionnaire was administered to 36 healthy subjects, 80 patients with irritable bowel syndrome (non-CD group) and 85 patients with recently diagnosed (&lt;18 months) CD. Patients with CD were asked to recall symptoms and signs they experienced during the 12 months before diagnosis. Multiple logistic regression analyses selected and weighted independent items to construct the Red Flags index. A receiver operating characteristic curve was used to assess the threshold that discriminated CD from non-CD. Association with the Red Flags index relative to this threshold was expressed as the odds ratios (OR). Results: Two hundred and one subjects, CD and non-CD, answered the questionnaire. The multivariate analysis identified eight items independently associated with a diagnosis of CD. A minimum Red Flags index value of 8 was highly predictive of CD diagnosis with sensitivity and specificity bootstrap estimates of 0.94 (95% confidence interval 0.88-0.99) and 0.94 (0.90-0.97), respectively. Positive and negative likelihood ratios were 15.1 (9.3-33.6) and 0.066 (0.013-0.125), respectively. The association between CD diagnosis and a Red Flags index value of ≥8 corresponds to an OR of 290 (p &lt; 0.0001). Conclusions: The Red Flags index using early symptoms and signs has high predictive value for the diagnosis of CD. These results need prospective validation prior to introduction into clinical practice.","author":[{"dropping-particle":"","family":"Danese","given":"Silvio","non-dropping-particle":"","parse-names":false,"suffix":""},{"dropping-particle":"","family":"Fiorino","given":"Gionata","non-dropping-particle":"","parse-names":false,"suffix":""},{"dropping-particle":"","family":"Mary","given":"Jean Yves","non-dropping-particle":"","parse-names":false,"suffix":""},{"dropping-particle":"","family":"Lakatos","given":"Peter L.","non-dropping-particle":"","parse-names":false,"suffix":""},{"dropping-particle":"","family":"D'Haens","given":"Geert","non-dropping-particle":"","parse-names":false,"suffix":""},{"dropping-particle":"","family":"Moja","given":"Lorenzo","non-dropping-particle":"","parse-names":false,"suffix":""},{"dropping-particle":"","family":"D'Hoore","given":"André","non-dropping-particle":"","parse-names":false,"suffix":""},{"dropping-particle":"","family":"Panes","given":"Julian","non-dropping-particle":"","parse-names":false,"suffix":""},{"dropping-particle":"","family":"Reinisch","given":"Walter","non-dropping-particle":"","parse-names":false,"suffix":""},{"dropping-particle":"","family":"Sandborn","given":"William J.","non-dropping-particle":"","parse-names":false,"suffix":""},{"dropping-particle":"","family":"Travis","given":"Simon P.","non-dropping-particle":"","parse-names":false,"suffix":""},{"dropping-particle":"","family":"Vermeire","given":"Séverine","non-dropping-particle":"","parse-names":false,"suffix":""},{"dropping-particle":"","family":"Peyrin-Biroulet","given":"Laurent","non-dropping-particle":"","parse-names":false,"suffix":""},{"dropping-particle":"","family":"Colombel","given":"Jean Fréderic","non-dropping-particle":"","parse-names":false,"suffix":""}],"container-title":"Journal of Crohn's and Colitis","id":"ITEM-2","issue":"8","issued":{"date-parts":[["2015"]]},"page":"601-606","title":"Development of red flags index for early referral of adults with symptoms and signs suggestive of Crohn's disease: An IOIBD initiative","type":"article-journal","volume":"9"},"uris":["http://www.mendeley.com/documents/?uuid=edcad599-296e-4ccf-aff1-4e83fc32eed4"]}],"mendeley":{"formattedCitation":"&lt;sup&gt;33,34&lt;/sup&gt;","plainTextFormattedCitation":"33,34","previouslyFormattedCitation":"&lt;sup&gt;33,34&lt;/sup&gt;"},"properties":{"noteIndex":0},"schema":"https://github.com/citation-style-language/schema/raw/master/csl-citation.json"}</w:instrText>
      </w:r>
      <w:r w:rsidR="00784FC4" w:rsidRPr="003B251F">
        <w:fldChar w:fldCharType="separate"/>
      </w:r>
      <w:r w:rsidR="00481565" w:rsidRPr="003B251F">
        <w:rPr>
          <w:noProof/>
          <w:vertAlign w:val="superscript"/>
        </w:rPr>
        <w:t>33,34</w:t>
      </w:r>
      <w:r w:rsidR="00784FC4" w:rsidRPr="003B251F">
        <w:fldChar w:fldCharType="end"/>
      </w:r>
    </w:p>
    <w:p w14:paraId="49EA8AE0" w14:textId="6C75C706" w:rsidR="00541977" w:rsidRPr="003B251F" w:rsidRDefault="00757A93" w:rsidP="00A624CE">
      <w:pPr>
        <w:spacing w:line="480" w:lineRule="auto"/>
        <w:jc w:val="both"/>
      </w:pPr>
      <w:r w:rsidRPr="003B251F">
        <w:t>ECCO guidelines state that to avoid diagnostic delay clinicians should consider investigating chronic non-specific symptoms which may mimic IBS.</w:t>
      </w:r>
      <w:r w:rsidRPr="003B251F">
        <w:fldChar w:fldCharType="begin" w:fldLock="1"/>
      </w:r>
      <w:r w:rsidR="007F504C" w:rsidRPr="003B251F">
        <w:instrText>ADDIN CSL_CITATION {"citationItems":[{"id":"ITEM-1","itemData":{"DOI":"10.1093/ecco-jcc/jjw168","ISBN":"3905772434","ISSN":"1873-9946","PMID":"27660341","abstract":"This paper is the first in a series of two publications relating to the European Crohn's and Colitis Organisation [ECCO] evidence-based consensus on the diagnosis and management of Crohn's disease and concerns the methodology of the consensus process, and the classification, diagnosis and medical management of active and quiescent Crohn's disease. Surgical management as well as special situations including management of perianal Crohn's disease of this ECCO Consensus are covered in a subsequent second paper [Gionchetti et al JCC 2016].","author":[{"dropping-particle":"","family":"Gomollón","given":"Fernando","non-dropping-particle":"","parse-names":false,"suffix":""},{"dropping-particle":"","family":"Dignass","given":"Axel","non-dropping-particle":"","parse-names":false,"suffix":""},{"dropping-particle":"","family":"Annese","given":"Vito","non-dropping-particle":"","parse-names":false,"suffix":""},{"dropping-particle":"","family":"Tilg","given":"Herbert","non-dropping-particle":"","parse-names":false,"suffix":""},{"dropping-particle":"Van","family":"Assche","given":"Gert","non-dropping-particle":"","parse-names":false,"suffix":""},{"dropping-particle":"","family":"Lindsay","given":"James O","non-dropping-particle":"","parse-names":false,"suffix":""},{"dropping-particle":"","family":"Peyrin-Biroulet","given":"Laurent","non-dropping-particle":"","parse-names":false,"suffix":""},{"dropping-particle":"","family":"Cullen","given":"Garret J","non-dropping-particle":"","parse-names":false,"suffix":""},{"dropping-particle":"","family":"Daperno","given":"Marco","non-dropping-particle":"","parse-names":false,"suffix":""},{"dropping-particle":"","family":"Kucharzik","given":"Torsten","non-dropping-particle":"","parse-names":false,"suffix":""},{"dropping-particle":"","family":"Rieder","given":"Florian","non-dropping-particle":"","parse-names":false,"suffix":""},{"dropping-particle":"","family":"Almer","given":"Sven","non-dropping-particle":"","parse-names":false,"suffix":""},{"dropping-particle":"","family":"Armuzzi","given":"Alessandro","non-dropping-particle":"","parse-names":false,"suffix":""},{"dropping-particle":"","family":"Harbord","given":"Marcus","non-dropping-particle":"","parse-names":false,"suffix":""},{"dropping-particle":"","family":"Langhorst","given":"Jost","non-dropping-particle":"","parse-names":false,"suffix":""},{"dropping-particle":"","family":"Sans","given":"Miquel","non-dropping-particle":"","parse-names":false,"suffix":""},{"dropping-particle":"","family":"Chowers","given":"Yehuda","non-dropping-particle":"","parse-names":false,"suffix":""},{"dropping-particle":"","family":"Fiorino","given":"Gionata","non-dropping-particle":"","parse-names":false,"suffix":""},{"dropping-particle":"","family":"Juillerat","given":"Pascal","non-dropping-particle":"","parse-names":false,"suffix":""},{"dropping-particle":"","family":"Mantzaris","given":"Gerassimos J","non-dropping-particle":"","parse-names":false,"suffix":""},{"dropping-particle":"","family":"Rizzello","given":"Fernando","non-dropping-particle":"","parse-names":false,"suffix":""},{"dropping-particle":"","family":"Vavricka","given":"Stephan","non-dropping-particle":"","parse-names":false,"suffix":""},{"dropping-particle":"","family":"Gionchetti","given":"Paolo","non-dropping-particle":"","parse-names":false,"suffix":""},{"dropping-particle":"","family":"Krankenhaus","given":"Markus","non-dropping-particle":"","parse-names":false,"suffix":""},{"dropping-particle":"","family":"Gomollon","given":"Fernando","non-dropping-particle":"","parse-names":false,"suffix":""}],"container-title":"Journal of Crohn's and Colitis","id":"ITEM-1","issued":{"date-parts":[["2016"]]},"page":"1-23","title":"3rd European Evidence-based Consensus on the Diagnosis and Management of Crohn's Disease 2016: Part 1: Diagnosis and Medical Management on behalf of ECCO","type":"article-journal"},"uris":["http://www.mendeley.com/documents/?uuid=e150e217-2c4f-4ce5-bafd-78181d0dd9af"]}],"mendeley":{"formattedCitation":"&lt;sup&gt;35&lt;/sup&gt;","plainTextFormattedCitation":"35","previouslyFormattedCitation":"&lt;sup&gt;35&lt;/sup&gt;"},"properties":{"noteIndex":0},"schema":"https://github.com/citation-style-language/schema/raw/master/csl-citation.json"}</w:instrText>
      </w:r>
      <w:r w:rsidRPr="003B251F">
        <w:fldChar w:fldCharType="separate"/>
      </w:r>
      <w:r w:rsidR="00481565" w:rsidRPr="003B251F">
        <w:rPr>
          <w:noProof/>
          <w:vertAlign w:val="superscript"/>
        </w:rPr>
        <w:t>35</w:t>
      </w:r>
      <w:r w:rsidRPr="003B251F">
        <w:fldChar w:fldCharType="end"/>
      </w:r>
      <w:r w:rsidRPr="003B251F">
        <w:t xml:space="preserve"> </w:t>
      </w:r>
      <w:r w:rsidR="0028484D" w:rsidRPr="003B251F">
        <w:t xml:space="preserve"> Interestingly,</w:t>
      </w:r>
      <w:r w:rsidRPr="003B251F">
        <w:t xml:space="preserve"> our study found</w:t>
      </w:r>
      <w:r w:rsidR="0028484D" w:rsidRPr="003B251F">
        <w:t xml:space="preserve"> a previous diagnosis of IBS was associated with </w:t>
      </w:r>
      <w:r w:rsidR="000B1FD3" w:rsidRPr="003B251F">
        <w:t>a reduced likelihood</w:t>
      </w:r>
      <w:r w:rsidR="0028484D" w:rsidRPr="003B251F">
        <w:t xml:space="preserve"> </w:t>
      </w:r>
      <w:r w:rsidR="000B1FD3" w:rsidRPr="003B251F">
        <w:t xml:space="preserve">of </w:t>
      </w:r>
      <w:r w:rsidR="0028484D" w:rsidRPr="003B251F">
        <w:t>specialist review (Figure</w:t>
      </w:r>
      <w:r w:rsidR="0073200E" w:rsidRPr="003B251F">
        <w:t xml:space="preserve"> </w:t>
      </w:r>
      <w:r w:rsidR="00FC5C8A" w:rsidRPr="003B251F">
        <w:t>4</w:t>
      </w:r>
      <w:r w:rsidR="0028484D" w:rsidRPr="003B251F">
        <w:t>)</w:t>
      </w:r>
      <w:r w:rsidR="00BB3B91" w:rsidRPr="003B251F">
        <w:t xml:space="preserve">, possibly </w:t>
      </w:r>
      <w:r w:rsidR="0028484D" w:rsidRPr="003B251F">
        <w:t>due to clinicians assuming IBS to b</w:t>
      </w:r>
      <w:r w:rsidR="00BB3B91" w:rsidRPr="003B251F">
        <w:t xml:space="preserve">e the cause of the patient’s </w:t>
      </w:r>
      <w:r w:rsidR="0028484D" w:rsidRPr="003B251F">
        <w:t>symptoms</w:t>
      </w:r>
      <w:r w:rsidR="0086376E" w:rsidRPr="003B251F">
        <w:t>.</w:t>
      </w:r>
      <w:r w:rsidR="00784FC4" w:rsidRPr="003B251F">
        <w:fldChar w:fldCharType="begin" w:fldLock="1"/>
      </w:r>
      <w:r w:rsidR="007F504C" w:rsidRPr="003B251F">
        <w:instrText>ADDIN CSL_CITATION {"citationItems":[{"id":"ITEM-1","itemData":{"DOI":"10.1371/journal.pone.0106478","ISBN":"1932-6203 (Electronic)\\r1932-6203 (Linking)","ISSN":"19326203","PMID":"25238408","abstract":"BACKGROUND: Guidelines recommend Irritable Bowel Syndrome (IBS) diagnosis and management in primary care with minimal investigations; however little evidence exists regarding risk of organic gastrointestinal conditions following diagnosis of IBS and how such risks vary over the long term. This study assesses excess incidence of coeliac disease, inflammatory bowel disease (IBD) and colorectal cancer (CRC) and variation with age and time after IBS diagnosis.\\n\\nMETHODS: IBS patients and controls were identified within the UK Clinical Practice Research Dataset. Incidence rates were calculated and stratified by age and time since IBS diagnosis with incident rate ratios generated.\\n\\nRESULTS: Fifteen years after IBS diagnosis there is a significant cumulative excess incidence of coeliac disease, IBD and CRC in IBS of 3.7% compared to 1.7% in controls. For every 10000 patient years, IBS patients experienced an additional 4 diagnoses of coeliac disease, 13 of IBD and 4 CRCs. In each condition peak excess incidence was in the 6 months following diagnosis. After one year, increased incidence of coeliac disease remained consistent without variation by age. IBD incidence fell slowly, with higher rates in those under 30. CRC incidence was increased only in patients aged 30 to 74 during the first 5 years.\\n\\nCONCLUSION: Some IBS patients later receive organic gastrointestinal diagnoses, with the early excess incidence likely detected during diagnostic investigation at the time of IBS diagnosis. More than 5 years after IBS diagnosis there is no increased risk of CRC compared to the general population, but a small excess risk of coeliac disease and IBD persists. Overall, though our findings provide reassurance that non-specialists, especially those in primary care, are unlikely to be missing an organic condition in the majority of their patients. This suggests that current guidelines suggesting avoidance of universal referral for these patients are appropriate.","author":[{"dropping-particle":"","family":"Canavan","given":"Caroline","non-dropping-particle":"","parse-names":false,"suffix":""},{"dropping-particle":"","family":"Card","given":"Timothy","non-dropping-particle":"","parse-names":false,"suffix":""},{"dropping-particle":"","family":"West","given":"Joe","non-dropping-particle":"","parse-names":false,"suffix":""}],"container-title":"PLoS ONE","id":"ITEM-1","issue":"9","issued":{"date-parts":[["2014"]]},"title":"The incidence of other gastroenterological disease following diagnosis of irritable bowel syndrome in the UK: A cohort study","type":"article-journal","volume":"9"},"uris":["http://www.mendeley.com/documents/?uuid=b8a6c203-ee84-404a-9bf0-1a43cc970a7f"]}],"mendeley":{"formattedCitation":"&lt;sup&gt;36&lt;/sup&gt;","plainTextFormattedCitation":"36","previouslyFormattedCitation":"&lt;sup&gt;36&lt;/sup&gt;"},"properties":{"noteIndex":0},"schema":"https://github.com/citation-style-language/schema/raw/master/csl-citation.json"}</w:instrText>
      </w:r>
      <w:r w:rsidR="00784FC4" w:rsidRPr="003B251F">
        <w:fldChar w:fldCharType="separate"/>
      </w:r>
      <w:r w:rsidR="00481565" w:rsidRPr="003B251F">
        <w:rPr>
          <w:noProof/>
          <w:vertAlign w:val="superscript"/>
        </w:rPr>
        <w:t>36</w:t>
      </w:r>
      <w:r w:rsidR="00784FC4" w:rsidRPr="003B251F">
        <w:fldChar w:fldCharType="end"/>
      </w:r>
      <w:r w:rsidR="00E47AC2" w:rsidRPr="003B251F">
        <w:t xml:space="preserve"> </w:t>
      </w:r>
      <w:r w:rsidR="0086376E" w:rsidRPr="003B251F">
        <w:t xml:space="preserve"> </w:t>
      </w:r>
      <w:r w:rsidR="0028484D" w:rsidRPr="003B251F">
        <w:t xml:space="preserve">Likewise, </w:t>
      </w:r>
      <w:r w:rsidR="00E35BD3" w:rsidRPr="003B251F">
        <w:t xml:space="preserve">we found </w:t>
      </w:r>
      <w:r w:rsidR="0028484D" w:rsidRPr="003B251F">
        <w:t>a previous diagnosis of depression w</w:t>
      </w:r>
      <w:r w:rsidR="00E35BD3" w:rsidRPr="003B251F">
        <w:t xml:space="preserve">as associated with </w:t>
      </w:r>
      <w:r w:rsidR="002A1614" w:rsidRPr="003B251F">
        <w:t xml:space="preserve">a relative </w:t>
      </w:r>
      <w:r w:rsidR="00E35BD3" w:rsidRPr="003B251F">
        <w:t>delay</w:t>
      </w:r>
      <w:r w:rsidR="002A1614" w:rsidRPr="003B251F">
        <w:t xml:space="preserve"> in</w:t>
      </w:r>
      <w:r w:rsidR="00E35BD3" w:rsidRPr="003B251F">
        <w:t xml:space="preserve"> specialist review</w:t>
      </w:r>
      <w:r w:rsidR="002D3BE5" w:rsidRPr="003B251F">
        <w:t xml:space="preserve">. </w:t>
      </w:r>
      <w:r w:rsidR="004C6382" w:rsidRPr="003B251F">
        <w:t xml:space="preserve">It is possible </w:t>
      </w:r>
      <w:r w:rsidR="00C97731" w:rsidRPr="003B251F">
        <w:t>primary care physicians</w:t>
      </w:r>
      <w:r w:rsidR="00C37026" w:rsidRPr="003B251F">
        <w:t xml:space="preserve"> </w:t>
      </w:r>
      <w:r w:rsidR="0076726C" w:rsidRPr="003B251F">
        <w:t xml:space="preserve">may consider </w:t>
      </w:r>
      <w:r w:rsidR="002D3BE5" w:rsidRPr="003B251F">
        <w:t>GI symptoms</w:t>
      </w:r>
      <w:r w:rsidR="00C37026" w:rsidRPr="003B251F">
        <w:t xml:space="preserve"> </w:t>
      </w:r>
      <w:r w:rsidR="0076726C" w:rsidRPr="003B251F">
        <w:t xml:space="preserve">more likely to be functional </w:t>
      </w:r>
      <w:r w:rsidR="001D718A" w:rsidRPr="003B251F">
        <w:t xml:space="preserve"> </w:t>
      </w:r>
      <w:r w:rsidR="00C37026" w:rsidRPr="003B251F">
        <w:t xml:space="preserve">in this group </w:t>
      </w:r>
      <w:r w:rsidR="003B665F" w:rsidRPr="003B251F">
        <w:t xml:space="preserve">and </w:t>
      </w:r>
      <w:r w:rsidR="0076726C" w:rsidRPr="003B251F">
        <w:t xml:space="preserve">hold off </w:t>
      </w:r>
      <w:r w:rsidR="0086376E" w:rsidRPr="003B251F">
        <w:t>onward referral</w:t>
      </w:r>
      <w:r w:rsidR="002D3BE5" w:rsidRPr="003B251F">
        <w:t>.</w:t>
      </w:r>
      <w:r w:rsidR="0026488D" w:rsidRPr="003B251F">
        <w:fldChar w:fldCharType="begin" w:fldLock="1"/>
      </w:r>
      <w:r w:rsidR="007F504C" w:rsidRPr="003B251F">
        <w:instrText>ADDIN CSL_CITATION {"citationItems":[{"id":"ITEM-1","itemData":{"DOI":"10.1177/1352458518823955","ISSN":"1352-4585","abstract":"Background:Diagnosing multiple sclerosis (MS) early is crucial to avoid future disability. However, potentially preventable delays in the diagnostic cascade from contact with a physician to definite diagnosis still occur and their causes are still unclear.Objective:To identify the possible causes of delays in the diagnostic process.Methods:We analyzed the data of the Swiss MS Registry. With logistic regression, we modeled the time from the first contact to the first consultation (contact-to-evaluation time, ?1?month/&gt;1?month) and the evaluation-to-diagnosis time (?6?months/&gt;6?months). Potential factors were health system characteristics, sociodemographic variables, first symptoms, and MS type.Results:We included 522 participants. Mostly, general practitioners (67%) were contacted first, without delaying the diagnosis. In contrast, first symptoms and MS type were the major contributors to delays: gait problems were associated with longer contact-to-evaluation times, depression as a concomitant symptom with longer evaluation-to-diagnosis times, and having primary progressive MS prolonged both phases. In addition, living in mountainous areas was associated with longer contact-to-evaluation times, whereas diagnosis after 2000 was associated with faster diagnoses.Conclusion:For a quicker diagnosis, awareness of MS as a differential diagnosis of gait disorders and the co-occurrence of depression at onset should be raised, and these symptoms should be attentively followed.","author":[{"dropping-particle":"","family":"Barin","given":"Laura","non-dropping-particle":"","parse-names":false,"suffix":""},{"dropping-particle":"","family":"Kamm","given":"Christian P","non-dropping-particle":"","parse-names":false,"suffix":""},{"dropping-particle":"","family":"Salmen","given":"Anke","non-dropping-particle":"","parse-names":false,"suffix":""},{"dropping-particle":"","family":"Dressel","given":"Holger","non-dropping-particle":"","parse-names":false,"suffix":""},{"dropping-particle":"","family":"Calabrese","given":"Pasquale","non-dropping-particle":"","parse-names":false,"suffix":""},{"dropping-particle":"","family":"Pot","given":"Caroline","non-dropping-particle":"","parse-names":false,"suffix":""},{"dropping-particle":"","family":"Schippling","given":"Sven","non-dropping-particle":"","parse-names":false,"suffix":""},{"dropping-particle":"","family":"Gobbi","given":"Claudio","non-dropping-particle":"","parse-names":false,"suffix":""},{"dropping-particle":"","family":"Müller","given":"Stefanie","non-dropping-particle":"","parse-names":false,"suffix":""},{"dropping-particle":"","family":"Chan","given":"Andrew","non-dropping-particle":"","parse-names":false,"suffix":""},{"dropping-particle":"","family":"Rodgers","given":"Stephanie","non-dropping-particle":"","parse-names":false,"suffix":""},{"dropping-particle":"","family":"Kaufmann","given":"Marco","non-dropping-particle":"","parse-names":false,"suffix":""},{"dropping-particle":"","family":"Ajdacic-Gross","given":"Vladeta","non-dropping-particle":"","parse-names":false,"suffix":""},{"dropping-particle":"","family":"Steinemann","given":"Nina","non-dropping-particle":"","parse-names":false,"suffix":""},{"dropping-particle":"","family":"Kesselring","given":"Jürg","non-dropping-particle":"","parse-names":false,"suffix":""},{"dropping-particle":"","family":"Puhan","given":"Milo A","non-dropping-particle":"","parse-names":false,"suffix":""},{"dropping-particle":"","family":"Wyl","given":"Viktor","non-dropping-particle":"von","parse-names":false,"suffix":""}],"container-title":"Multiple Sclerosis Journal","id":"ITEM-1","issued":{"date-parts":[["2019","1","18"]]},"note":"doi: 10.1177/1352458518823955","page":"1352458518823955","publisher":"SAGE Publications Ltd STM","title":"How do patients enter the healthcare system after the first onset of multiple sclerosis symptoms? The influence of setting and physician specialty on speed of diagnosis","type":"article-journal"},"uris":["http://www.mendeley.com/documents/?uuid=3d8c218a-baed-4a46-bccd-25a759bed004"]},{"id":"ITEM-2","itemData":{"DOI":"10.1111/j.1600-0447.2008.01211.x","ISSN":"0001-690X","author":[{"dropping-particle":"","family":"Jones","given":"Simon","non-dropping-particle":"","parse-names":false,"suffix":""},{"dropping-particle":"","family":"Howard","given":"Louise","non-dropping-particle":"","parse-names":false,"suffix":""},{"dropping-particle":"","family":"Thornicroft","given":"Graham","non-dropping-particle":"","parse-names":false,"suffix":""}],"container-title":"Acta Psychiatrica Scandinavica","id":"ITEM-2","issue":"3","issued":{"date-parts":[["2008","9","1"]]},"note":"doi: 10.1111/j.1600-0447.2008.01211.x","page":"169-171","publisher":"John Wiley &amp; Sons, Ltd","title":"‘Diagnostic overshadowing’: worse physical health care for people with mental illness","type":"article-journal","volume":"118"},"uris":["http://www.mendeley.com/documents/?uuid=8dee11ef-c7e2-409a-a5c6-920acfb7ccbe"]}],"mendeley":{"formattedCitation":"&lt;sup&gt;37,38&lt;/sup&gt;","plainTextFormattedCitation":"37,38","previouslyFormattedCitation":"&lt;sup&gt;37,38&lt;/sup&gt;"},"properties":{"noteIndex":0},"schema":"https://github.com/citation-style-language/schema/raw/master/csl-citation.json"}</w:instrText>
      </w:r>
      <w:r w:rsidR="0026488D" w:rsidRPr="003B251F">
        <w:fldChar w:fldCharType="separate"/>
      </w:r>
      <w:r w:rsidR="00481565" w:rsidRPr="003B251F">
        <w:rPr>
          <w:noProof/>
          <w:vertAlign w:val="superscript"/>
        </w:rPr>
        <w:t>37,38</w:t>
      </w:r>
      <w:r w:rsidR="0026488D" w:rsidRPr="003B251F">
        <w:fldChar w:fldCharType="end"/>
      </w:r>
      <w:r w:rsidR="002D3BE5" w:rsidRPr="003B251F">
        <w:t xml:space="preserve"> An alternative explanation may be that individual</w:t>
      </w:r>
      <w:r w:rsidR="0016186C" w:rsidRPr="003B251F">
        <w:t>s with depression have different health-seeking behaviours and are less likely to request a referral to a specialist</w:t>
      </w:r>
      <w:r w:rsidR="00AA79E4" w:rsidRPr="003B251F">
        <w:t xml:space="preserve"> or </w:t>
      </w:r>
      <w:r w:rsidR="000B1FD3" w:rsidRPr="003B251F">
        <w:t>attend appointments</w:t>
      </w:r>
      <w:r w:rsidR="0016186C" w:rsidRPr="003B251F">
        <w:t xml:space="preserve">, </w:t>
      </w:r>
      <w:r w:rsidR="0076726C" w:rsidRPr="003B251F">
        <w:t xml:space="preserve">although </w:t>
      </w:r>
      <w:r w:rsidR="001C0C18" w:rsidRPr="003B251F">
        <w:t xml:space="preserve"> adjusting for unattended ap</w:t>
      </w:r>
      <w:r w:rsidR="00BB3B91" w:rsidRPr="003B251F">
        <w:t>pointments did not</w:t>
      </w:r>
      <w:r w:rsidR="001C0C18" w:rsidRPr="003B251F">
        <w:t xml:space="preserve"> alter our findings</w:t>
      </w:r>
      <w:r w:rsidR="0016186C" w:rsidRPr="003B251F">
        <w:t>.</w:t>
      </w:r>
      <w:r w:rsidR="00DA031B" w:rsidRPr="003B251F">
        <w:fldChar w:fldCharType="begin" w:fldLock="1"/>
      </w:r>
      <w:r w:rsidR="007F504C" w:rsidRPr="003B251F">
        <w:instrText>ADDIN CSL_CITATION {"citationItems":[{"id":"ITEM-1","itemData":{"DOI":"10.1093/fampra/cmr053","ISSN":"02632136","abstract":"Objective: The objective is to examine the relation between young adults' non-attendance at primary care appointments and mental health problems, using a retrospective cohort study, in a urban primary health care facility in a relatively deprived and ethnically diverse area of Oxford, England. Methods: Two hundred and nine patients aged between 15 and 35 years who failed to attend a doctor's appointment in primary care during 2008 each matched with two control patients of the same age and gender who had attended appointments during the same period. Main outcome measure is the presentation with a mental health problem within 12 months following the missed appointment. Results: Non-attendance in primary care among 15-35 year olds was strongly associated with presentation of mental health problems. Those who did not attend an appointment were more likely to have presented mental health problems in the past [31.0% versus 8.9%, odds ratio (OR) 4.72, 95% confidence interval (CI) 3.00-7.42] and to present mental health problems within the ensuing 12 months (32.0% versus 7.4%, OR 5.91, 95% CI 3.69-9.46) when compared with those who attended appointments. Patients with no known past history of mental health problems were more likely to make their first recorded mental health presentation in the 12 months following a non-attendance when compared with those who attended (10.3% versus 3.1%, OR 3.60, 95% CI 1.76-7.35). Conclusions: Non-attendance of a young adult for a doctor's appointment in primary care may signal a mental health problem. This applies whether or not the patient is known to have presented mental health problems in the past. © The Author 2011. Published by Oxford University Press. All rights reserved.","author":[{"dropping-particle":"","family":"Moscrop","given":"Andrew","non-dropping-particle":"","parse-names":false,"suffix":""},{"dropping-particle":"","family":"Siskind","given":"Dan","non-dropping-particle":"","parse-names":false,"suffix":""},{"dropping-particle":"","family":"Stevens","given":"Richard","non-dropping-particle":"","parse-names":false,"suffix":""}],"container-title":"Family Practice","id":"ITEM-1","issue":"1","issued":{"date-parts":[["2012"]]},"page":"24-29","title":"Mental health of young adult patients who do not attend appointments in primary care: A retrospective cohort study","type":"article-journal","volume":"29"},"uris":["http://www.mendeley.com/documents/?uuid=54514ca2-e909-4024-b297-b62a5180436b"]}],"mendeley":{"formattedCitation":"&lt;sup&gt;39&lt;/sup&gt;","plainTextFormattedCitation":"39","previouslyFormattedCitation":"&lt;sup&gt;39&lt;/sup&gt;"},"properties":{"noteIndex":0},"schema":"https://github.com/citation-style-language/schema/raw/master/csl-citation.json"}</w:instrText>
      </w:r>
      <w:r w:rsidR="00DA031B" w:rsidRPr="003B251F">
        <w:fldChar w:fldCharType="separate"/>
      </w:r>
      <w:r w:rsidR="00481565" w:rsidRPr="003B251F">
        <w:rPr>
          <w:noProof/>
          <w:vertAlign w:val="superscript"/>
        </w:rPr>
        <w:t>39</w:t>
      </w:r>
      <w:r w:rsidR="00DA031B" w:rsidRPr="003B251F">
        <w:fldChar w:fldCharType="end"/>
      </w:r>
      <w:r w:rsidR="0016186C" w:rsidRPr="003B251F">
        <w:t xml:space="preserve"> </w:t>
      </w:r>
    </w:p>
    <w:p w14:paraId="1F4DE7C4" w14:textId="77777777" w:rsidR="00012CBB" w:rsidRPr="003B251F" w:rsidRDefault="00012CBB" w:rsidP="00012CBB">
      <w:pPr>
        <w:pStyle w:val="Heading2"/>
        <w:spacing w:line="480" w:lineRule="auto"/>
        <w:jc w:val="both"/>
        <w:rPr>
          <w:rFonts w:asciiTheme="minorHAnsi" w:hAnsiTheme="minorHAnsi"/>
        </w:rPr>
      </w:pPr>
      <w:r w:rsidRPr="003B251F">
        <w:rPr>
          <w:rFonts w:asciiTheme="minorHAnsi" w:hAnsiTheme="minorHAnsi"/>
        </w:rPr>
        <w:lastRenderedPageBreak/>
        <w:t>Strengths and Limitations</w:t>
      </w:r>
    </w:p>
    <w:p w14:paraId="0AC1168F" w14:textId="77777777" w:rsidR="00012CBB" w:rsidRPr="003B251F" w:rsidRDefault="00012CBB" w:rsidP="00012CBB">
      <w:pPr>
        <w:spacing w:line="480" w:lineRule="auto"/>
        <w:jc w:val="both"/>
      </w:pPr>
      <w:r w:rsidRPr="003B251F">
        <w:t xml:space="preserve">To our knowledge this is the largest study to examine the prevalence of GI symptoms in the 10 years before IBD diagnosis. Its size makes it highly unlikely that our results are due to chance. Data were drawn from a large nationally representative validated primary care research database linked to a national secondary care data source free of referral centre and recall bias, compared with previous studies which relied on retrospective questionnaires. In the UK universal healthcare coverage is provided by the National Health Service (NHS). It requires all individuals to be registered with a primary care physician, enabling high quality representative population-based studies using primary care data. In contrast with previous studies we used an age and sex matched control group without IBD to determine the baseline prevalence of GI symptoms among people who did not later receive a diagnosis of IBD during their follow-up. This allowed us to examine what proportion of GI symptoms is likely to be attributable to IBD. </w:t>
      </w:r>
    </w:p>
    <w:p w14:paraId="2C8B22F3" w14:textId="77777777" w:rsidR="00012CBB" w:rsidRPr="003B251F" w:rsidRDefault="00012CBB" w:rsidP="00012CBB">
      <w:pPr>
        <w:spacing w:line="480" w:lineRule="auto"/>
        <w:jc w:val="both"/>
      </w:pPr>
      <w:r w:rsidRPr="003B251F">
        <w:t>We captured data on primary care physician consultations for GI symptoms. A previous study has reported 1 in 10 patients with IBD wait more than a year from the time of onset of their symptoms before first visiting a doctor which is a potential limitation to the study.</w:t>
      </w:r>
      <w:r w:rsidRPr="003B251F">
        <w:fldChar w:fldCharType="begin" w:fldLock="1"/>
      </w:r>
      <w:r w:rsidRPr="003B251F">
        <w:instrText>ADDIN CSL_CITATION {"citationItems":[{"id":"ITEM-1","itemData":{"DOI":"10.1002/ibd.21719","author":[{"dropping-particle":"","family":"Vavricka","given":"Stephan R","non-dropping-particle":"","parse-names":false,"suffix":""},{"dropping-particle":"","family":"Spigaglia","given":"Sabrina M","non-dropping-particle":"","parse-names":false,"suffix":""},{"dropping-particle":"","family":"Rogler","given":"Gerhard","non-dropping-particle":"","parse-names":false,"suffix":""},{"dropping-particle":"","family":"Michetti","given":"Pierre","non-dropping-particle":"","parse-names":false,"suffix":""},{"dropping-particle":"","family":"Felley","given":"Christian","non-dropping-particle":"","parse-names":false,"suffix":""},{"dropping-particle":"","family":"Mottet","given":"Christian","non-dropping-particle":"","parse-names":false,"suffix":""},{"dropping-particle":"","family":"Braegger","given":"Christian P","non-dropping-particle":"","parse-names":false,"suffix":""},{"dropping-particle":"","family":"Rogler","given":"Daniela","non-dropping-particle":"","parse-names":false,"suffix":""},{"dropping-particle":"","family":"Straumann","given":"Alex","non-dropping-particle":"","parse-names":false,"suffix":""},{"dropping-particle":"","family":"Bauerfeind","given":"Peter","non-dropping-particle":"","parse-names":false,"suffix":""},{"dropping-particle":"","family":"Fried","given":"Michael","non-dropping-particle":"","parse-names":false,"suffix":""}],"container-title":"Inflamm Bowel Dis","id":"ITEM-1","issue":"3","issued":{"date-parts":[["2012"]]},"page":"496-505","title":"Systematic Evaluation of Risk Factors for Diagnostic Delay in","type":"article-journal","volume":"18"},"uris":["http://www.mendeley.com/documents/?uuid=92fbe4bb-f1e1-48a5-ab78-36fea53bf5c3"]}],"mendeley":{"formattedCitation":"&lt;sup&gt;15&lt;/sup&gt;","plainTextFormattedCitation":"15","previouslyFormattedCitation":"&lt;sup&gt;15&lt;/sup&gt;"},"properties":{"noteIndex":0},"schema":"https://github.com/citation-style-language/schema/raw/master/csl-citation.json"}</w:instrText>
      </w:r>
      <w:r w:rsidRPr="003B251F">
        <w:fldChar w:fldCharType="separate"/>
      </w:r>
      <w:r w:rsidRPr="003B251F">
        <w:rPr>
          <w:noProof/>
          <w:vertAlign w:val="superscript"/>
        </w:rPr>
        <w:t>15</w:t>
      </w:r>
      <w:r w:rsidRPr="003B251F">
        <w:fldChar w:fldCharType="end"/>
      </w:r>
      <w:r w:rsidRPr="003B251F">
        <w:t xml:space="preserve"> This is more likely to affect males who are less likely to consult a primary care physician, even after adjusting for equivalent morbidity.</w:t>
      </w:r>
      <w:r w:rsidRPr="003B251F">
        <w:fldChar w:fldCharType="begin" w:fldLock="1"/>
      </w:r>
      <w:r w:rsidRPr="003B251F">
        <w:instrText>ADDIN CSL_CITATION {"citationItems":[{"id":"ITEM-1","itemData":{"DOI":"10.1136/bmjopen-2013-003320","author":[{"dropping-particle":"","family":"Wang","given":"Yingying","non-dropping-particle":"","parse-names":false,"suffix":""},{"dropping-particle":"","family":"Hunt","given":"Kate","non-dropping-particle":"","parse-names":false,"suffix":""},{"dropping-particle":"","family":"Nazareth","given":"Irwin","non-dropping-particle":"","parse-names":false,"suffix":""},{"dropping-particle":"","family":"Freemantle","given":"Nick","non-dropping-particle":"","parse-names":false,"suffix":""},{"dropping-particle":"","family":"Petersen","given":"Irene","non-dropping-particle":"","parse-names":false,"suffix":""}],"id":"ITEM-1","issued":{"date-parts":[["2013"]]},"page":"1-7","title":"Do men consult less than women ? An analysis of routinely collected UK general practice data","type":"article-journal"},"uris":["http://www.mendeley.com/documents/?uuid=27202a14-ccf4-4388-a8f8-f548abac67d7"]}],"mendeley":{"formattedCitation":"&lt;sup&gt;40&lt;/sup&gt;","plainTextFormattedCitation":"40","previouslyFormattedCitation":"&lt;sup&gt;40&lt;/sup&gt;"},"properties":{"noteIndex":0},"schema":"https://github.com/citation-style-language/schema/raw/master/csl-citation.json"}</w:instrText>
      </w:r>
      <w:r w:rsidRPr="003B251F">
        <w:fldChar w:fldCharType="separate"/>
      </w:r>
      <w:r w:rsidRPr="003B251F">
        <w:rPr>
          <w:noProof/>
          <w:vertAlign w:val="superscript"/>
        </w:rPr>
        <w:t>40</w:t>
      </w:r>
      <w:r w:rsidRPr="003B251F">
        <w:fldChar w:fldCharType="end"/>
      </w:r>
      <w:r w:rsidRPr="003B251F">
        <w:t xml:space="preserve"> Individuals may have been diagnosed with IBD directly during an emergency hospital admission and never visited their primary care physician regarding GI symptoms before this. Coding of GI symptoms may have been incomplete as we were unable to capture data recorded as free-text, meaning the burden of diagnostic delay may be even greater than we report. We were unable to capture data on faecal calprotectin as this test only became available toward the end of our study period and it is not consistently recorded in CPRD.</w:t>
      </w:r>
      <w:r w:rsidRPr="003B251F">
        <w:fldChar w:fldCharType="begin" w:fldLock="1"/>
      </w:r>
      <w:r w:rsidRPr="003B251F">
        <w:instrText>ADDIN CSL_CITATION {"citationItems":[{"id":"ITEM-1","itemData":{"DOI":"10.3399/bjgp17X690425","ISSN":"09601643","abstract":"Background: Incidences of colorectal cancer (CRC) and inflammatory bowel disease (IBD) are increasing in those aged &lt;50 years. Aim: To identify and quantify clinical features in primary care of CRC/IBD in those aged &lt;50 years. This study considered the two conditions together and aimed to determine which younger patients, presenting in primary care with symptoms, would benefit from investigation for potentially serious colorectal disease. Design and setting: Matched case-control study using primary care records from the Clinical Practice Research Datalink, UK. Method: Incident cases (aged &lt;50 years) of CRC (n = 1661) and IBD (n = 9578) diagnosed between 2000 and 2013 were each matched with up to three controls (n = 3979 CRC; n = 22 947 IBD). Odds ratios (OR) and positive predictive values (PPV) were estimated for features of CRC/IBD in the year before diagnosis. Results: Ten features were independently associated with CRC/IBD (all P&lt;0.001): rectal bleeding, change in bowel habit, diarrhoea, raised inflammatory markers, thrombocytosis, abdominal pain, low mean cell volume (MCV), low haemoglobin, raised white cell count, and raised hepatic enzymes. PPVs were &gt;3% for rectal bleeding with diarrhoea, thrombocytosis, low MCV, low haemoglobin or raised inflammatory markers; for change in bowel habit with low MCV, thrombocytosis or low haemoglobin; and for diarrhoea with thrombocytosis. Conclusion: This study quantified the risk of serious bowel disease in symptomatic patients aged &lt;50 years in primary care. Rectal bleeding and change in bowel habit are strongly predictive of CRC/IBD when combined with abnormal haematology. The present findings help prioritise patients for colonoscopy where the diagnosis is not immediately apparent.","author":[{"dropping-particle":"","family":"Stapley","given":"Sally A.","non-dropping-particle":"","parse-names":false,"suffix":""},{"dropping-particle":"","family":"Rubin","given":"Greg P.","non-dropping-particle":"","parse-names":false,"suffix":""},{"dropping-particle":"","family":"Alsina","given":"Deborah","non-dropping-particle":"","parse-names":false,"suffix":""},{"dropping-particle":"","family":"Shephard","given":"Elizabeth A.","non-dropping-particle":"","parse-names":false,"suffix":""},{"dropping-particle":"","family":"Rutter","given":"Matthew D.","non-dropping-particle":"","parse-names":false,"suffix":""},{"dropping-particle":"","family":"Hamilton","given":"William T.","non-dropping-particle":"","parse-names":false,"suffix":""}],"container-title":"British Journal of General Practice","id":"ITEM-1","issue":"658","issued":{"date-parts":[["2017"]]},"page":"e336-e344","title":"Clinical features of bowel disease in patients aged &lt;50 years in primary care: A large case-control study","type":"article-journal","volume":"67"},"uris":["http://www.mendeley.com/documents/?uuid=1adf1d22-7602-4379-a2ba-53541ef9231c"]}],"mendeley":{"formattedCitation":"&lt;sup&gt;12&lt;/sup&gt;","plainTextFormattedCitation":"12","previouslyFormattedCitation":"&lt;sup&gt;12&lt;/sup&gt;"},"properties":{"noteIndex":0},"schema":"https://github.com/citation-style-language/schema/raw/master/csl-citation.json"}</w:instrText>
      </w:r>
      <w:r w:rsidRPr="003B251F">
        <w:fldChar w:fldCharType="separate"/>
      </w:r>
      <w:r w:rsidRPr="003B251F">
        <w:rPr>
          <w:noProof/>
          <w:vertAlign w:val="superscript"/>
        </w:rPr>
        <w:t>12</w:t>
      </w:r>
      <w:r w:rsidRPr="003B251F">
        <w:fldChar w:fldCharType="end"/>
      </w:r>
    </w:p>
    <w:p w14:paraId="70C88430" w14:textId="77777777" w:rsidR="00012CBB" w:rsidRPr="003B251F" w:rsidRDefault="00012CBB" w:rsidP="00012CBB">
      <w:pPr>
        <w:spacing w:line="480" w:lineRule="auto"/>
        <w:jc w:val="both"/>
      </w:pPr>
      <w:r w:rsidRPr="003B251F">
        <w:t xml:space="preserve">We used a strict definition of specialist review, which only included hospital appointments coded as gastroenterology, paediatric gastroenterology or colorectal surgery. However some appointments may not have been coded as a specific specialty and would not have been captured in our definition. </w:t>
      </w:r>
      <w:r w:rsidRPr="003B251F">
        <w:lastRenderedPageBreak/>
        <w:t>This was particularly likely to affect our first era, 2003-2006, when 16% of all HES OP appointments were coded only as general internal medicine or surgery, although by 2016 this affected only 1% of appointments. We therefore conducted a sensitivity analysis using a broader definition of specialist review to include any outpatient appointments which had not been coded as a specific specialty. Incomplete coding partially explains the higher rates of specialist review seen in the more recent era relative to 2003-2007, but our sensitivity analysis using the wider definition of specialist review still demonstrated a significant improvement in rates of specialist review in the more recent era (Appendix 5).</w:t>
      </w:r>
    </w:p>
    <w:p w14:paraId="57842351" w14:textId="77777777" w:rsidR="00012CBB" w:rsidRPr="003B251F" w:rsidRDefault="00012CBB" w:rsidP="00012CBB">
      <w:pPr>
        <w:spacing w:line="480" w:lineRule="auto"/>
        <w:jc w:val="both"/>
      </w:pPr>
      <w:r w:rsidRPr="003B251F">
        <w:t>Some individuals may have been reviewed in the private healthcare sector and this would not have been captured in our study. It may also be possible some patients were referred directly for colonoscopy on a suspected cancer referral pathway, which was also not captured in our study. It is therefore possible that for a small proportion of cases the time to specialist review may have been overestimated.</w:t>
      </w:r>
    </w:p>
    <w:p w14:paraId="034BBA43" w14:textId="77777777" w:rsidR="00012CBB" w:rsidRPr="003B251F" w:rsidRDefault="00012CBB" w:rsidP="00012CBB">
      <w:pPr>
        <w:spacing w:line="480" w:lineRule="auto"/>
        <w:jc w:val="both"/>
      </w:pPr>
      <w:r w:rsidRPr="003B251F">
        <w:t>Despite our study design using matched control groups, some residual confounding remains. For example, we did not have data on severity of GI symptoms which may have also influenced the time to specialist review.</w:t>
      </w:r>
    </w:p>
    <w:p w14:paraId="3E119A69" w14:textId="77777777" w:rsidR="00F84190" w:rsidRPr="003B251F" w:rsidRDefault="0080614F" w:rsidP="00A624CE">
      <w:pPr>
        <w:pStyle w:val="Heading2"/>
        <w:spacing w:line="480" w:lineRule="auto"/>
        <w:jc w:val="both"/>
        <w:rPr>
          <w:rFonts w:asciiTheme="minorHAnsi" w:hAnsiTheme="minorHAnsi"/>
        </w:rPr>
      </w:pPr>
      <w:r w:rsidRPr="003B251F">
        <w:rPr>
          <w:rFonts w:asciiTheme="minorHAnsi" w:hAnsiTheme="minorHAnsi"/>
        </w:rPr>
        <w:t>Implications</w:t>
      </w:r>
    </w:p>
    <w:p w14:paraId="56A464C1" w14:textId="5F032500" w:rsidR="00EC3BE1" w:rsidRPr="003B251F" w:rsidRDefault="00FD3544">
      <w:pPr>
        <w:spacing w:line="480" w:lineRule="auto"/>
        <w:jc w:val="both"/>
      </w:pPr>
      <w:r w:rsidRPr="003B251F">
        <w:rPr>
          <w:lang w:eastAsia="en-GB"/>
        </w:rPr>
        <w:t xml:space="preserve">Our findings </w:t>
      </w:r>
      <w:r w:rsidR="00B33844" w:rsidRPr="003B251F">
        <w:rPr>
          <w:lang w:eastAsia="en-GB"/>
        </w:rPr>
        <w:t>highlight</w:t>
      </w:r>
      <w:r w:rsidRPr="003B251F">
        <w:rPr>
          <w:lang w:eastAsia="en-GB"/>
        </w:rPr>
        <w:t xml:space="preserve"> a pressing need to improve the timely detection of IBD among symptomatic patients consulting in primary care. Even in the UK</w:t>
      </w:r>
      <w:r w:rsidR="00B33844" w:rsidRPr="003B251F">
        <w:rPr>
          <w:lang w:eastAsia="en-GB"/>
        </w:rPr>
        <w:t>,</w:t>
      </w:r>
      <w:r w:rsidR="00475A5E" w:rsidRPr="003B251F">
        <w:rPr>
          <w:lang w:eastAsia="en-GB"/>
        </w:rPr>
        <w:t xml:space="preserve"> </w:t>
      </w:r>
      <w:r w:rsidR="006913EE" w:rsidRPr="003B251F">
        <w:rPr>
          <w:lang w:eastAsia="en-GB"/>
        </w:rPr>
        <w:t xml:space="preserve">where 98% of patients have access to </w:t>
      </w:r>
      <w:r w:rsidRPr="003B251F">
        <w:rPr>
          <w:lang w:eastAsia="en-GB"/>
        </w:rPr>
        <w:t xml:space="preserve">universal coverage of healthcare, </w:t>
      </w:r>
      <w:r w:rsidR="005D0518" w:rsidRPr="003B251F">
        <w:rPr>
          <w:lang w:eastAsia="en-GB"/>
        </w:rPr>
        <w:t>one in twenty</w:t>
      </w:r>
      <w:r w:rsidR="00DB298B" w:rsidRPr="003B251F">
        <w:rPr>
          <w:lang w:eastAsia="en-GB"/>
        </w:rPr>
        <w:t>-five</w:t>
      </w:r>
      <w:r w:rsidR="00AF0575" w:rsidRPr="003B251F">
        <w:rPr>
          <w:lang w:eastAsia="en-GB"/>
        </w:rPr>
        <w:t xml:space="preserve"> individual</w:t>
      </w:r>
      <w:r w:rsidR="00C25550" w:rsidRPr="003B251F">
        <w:rPr>
          <w:lang w:eastAsia="en-GB"/>
        </w:rPr>
        <w:t>s</w:t>
      </w:r>
      <w:r w:rsidRPr="003B251F">
        <w:rPr>
          <w:lang w:eastAsia="en-GB"/>
        </w:rPr>
        <w:t xml:space="preserve"> who</w:t>
      </w:r>
      <w:r w:rsidR="00781707" w:rsidRPr="003B251F">
        <w:rPr>
          <w:lang w:eastAsia="en-GB"/>
        </w:rPr>
        <w:t xml:space="preserve"> are</w:t>
      </w:r>
      <w:r w:rsidRPr="003B251F">
        <w:rPr>
          <w:lang w:eastAsia="en-GB"/>
        </w:rPr>
        <w:t xml:space="preserve"> eventually diagnosed with IBD </w:t>
      </w:r>
      <w:r w:rsidR="00AF0575" w:rsidRPr="003B251F">
        <w:rPr>
          <w:lang w:eastAsia="en-GB"/>
        </w:rPr>
        <w:t>have G</w:t>
      </w:r>
      <w:r w:rsidR="00C25550" w:rsidRPr="003B251F">
        <w:rPr>
          <w:lang w:eastAsia="en-GB"/>
        </w:rPr>
        <w:t>I</w:t>
      </w:r>
      <w:r w:rsidR="00AF0575" w:rsidRPr="003B251F">
        <w:rPr>
          <w:lang w:eastAsia="en-GB"/>
        </w:rPr>
        <w:t xml:space="preserve"> symptoms </w:t>
      </w:r>
      <w:r w:rsidRPr="003B251F">
        <w:rPr>
          <w:lang w:eastAsia="en-GB"/>
        </w:rPr>
        <w:t>for</w:t>
      </w:r>
      <w:r w:rsidR="005D0518" w:rsidRPr="003B251F">
        <w:rPr>
          <w:lang w:eastAsia="en-GB"/>
        </w:rPr>
        <w:t xml:space="preserve"> </w:t>
      </w:r>
      <w:r w:rsidR="00475A5E" w:rsidRPr="003B251F">
        <w:rPr>
          <w:lang w:eastAsia="en-GB"/>
        </w:rPr>
        <w:t xml:space="preserve">at least </w:t>
      </w:r>
      <w:r w:rsidR="005D0518" w:rsidRPr="003B251F">
        <w:rPr>
          <w:lang w:eastAsia="en-GB"/>
        </w:rPr>
        <w:t xml:space="preserve">5 years </w:t>
      </w:r>
      <w:r w:rsidR="00AF0575" w:rsidRPr="003B251F">
        <w:rPr>
          <w:lang w:eastAsia="en-GB"/>
        </w:rPr>
        <w:t xml:space="preserve">before diagnosis. </w:t>
      </w:r>
      <w:r w:rsidR="004D6D24" w:rsidRPr="003B251F">
        <w:t xml:space="preserve">Diagnostic delay </w:t>
      </w:r>
      <w:r w:rsidRPr="003B251F">
        <w:t xml:space="preserve">of this magnitude is likely to </w:t>
      </w:r>
      <w:r w:rsidR="004D6D24" w:rsidRPr="003B251F">
        <w:t>negative</w:t>
      </w:r>
      <w:r w:rsidRPr="003B251F">
        <w:t>ly</w:t>
      </w:r>
      <w:r w:rsidR="004D6D24" w:rsidRPr="003B251F">
        <w:t xml:space="preserve"> impact quality of life</w:t>
      </w:r>
      <w:r w:rsidRPr="003B251F">
        <w:t xml:space="preserve"> for these patients</w:t>
      </w:r>
      <w:r w:rsidR="004D6D24" w:rsidRPr="003B251F">
        <w:t>,</w:t>
      </w:r>
      <w:r w:rsidR="004D6D24" w:rsidRPr="003B251F">
        <w:fldChar w:fldCharType="begin" w:fldLock="1"/>
      </w:r>
      <w:r w:rsidR="007F504C" w:rsidRPr="003B251F">
        <w:instrText>ADDIN CSL_CITATION {"citationItems":[{"id":"ITEM-1","itemData":{"ISSN":"0954-691X","abstract":"Objectives \nThree patterns of Crohn’s disease (CD) have been described. Our aim was to investigate for differences in diagnostic delay between patterns of CD, and differences in treatment outcomes, need for surgery and quality of life (QoL).\nPatients and methods\nThis is a cross-sectional study. First, the data of CD patients observed at our IBD Referral Centre between 2000 and 2009 were analysed. We gathered demographical characteristics and data on the onset of clinical symptoms, progression until diagnosis and treatment. The risk of delayed diagnosis was computed for each pattern. We then asked patients to fill the Inflammatory Bowel Disease Questionnaire (IBDQ). QoL scores of patients receiving a diagnosis within 18 months from the onset of symptoms were matched with those of the remaining patients.\nResults\nThree-hundred and sixty-one patients were identified. The mean age of the patients at the onset of symptoms and at diagnosis was 30±14 and 32±14 years. The penetrating pattern showed an association only with perianal symptoms at onset (P=0.0015). The risk of delayed diagnosis was 21, 27 and 59% for inflammatory, stricturing and penetrating patterns. We found a significant difference between penetrating and nonpenetrating patterns (P=0.043). A delayed diagnosis was associated with poorer treatment outcomes, QoL and higher surgery rate.\nConclusion\nOur study suggests a correlation between delayed diagnosis and the CD pattern. The delay in diagnosis between the CD subtypes can influence outcomes and QoL.","author":[{"dropping-particle":"","family":"Pellino","given":"Gianluca","non-dropping-particle":"","parse-names":false,"suffix":""},{"dropping-particle":"","family":"Sciaudone","given":"Guido","non-dropping-particle":"","parse-names":false,"suffix":""},{"dropping-particle":"","family":"Selvaggi","given":"Francesco","non-dropping-particle":"","parse-names":false,"suffix":""},{"dropping-particle":"","family":"Riegler","given":"Gabriele","non-dropping-particle":"","parse-names":false,"suffix":""}],"container-title":"European Journal of Gastroenterology &amp; Hepatology","id":"ITEM-1","issue":"2","issued":{"date-parts":[["2015"]]},"title":"Delayed diagnosis is influenced by the clinical pattern of Crohn’s disease and affects treatment outcomes and quality of life in the long term:  a cross-sectional study of 361 patients in Southern Italy","type":"article-journal","volume":"27"},"uris":["http://www.mendeley.com/documents/?uuid=c3d3baa4-e0f5-4099-b417-5ffc86c4feec"]}],"mendeley":{"formattedCitation":"&lt;sup&gt;41&lt;/sup&gt;","plainTextFormattedCitation":"41","previouslyFormattedCitation":"&lt;sup&gt;41&lt;/sup&gt;"},"properties":{"noteIndex":0},"schema":"https://github.com/citation-style-language/schema/raw/master/csl-citation.json"}</w:instrText>
      </w:r>
      <w:r w:rsidR="004D6D24" w:rsidRPr="003B251F">
        <w:fldChar w:fldCharType="separate"/>
      </w:r>
      <w:r w:rsidR="00481565" w:rsidRPr="003B251F">
        <w:rPr>
          <w:noProof/>
          <w:vertAlign w:val="superscript"/>
        </w:rPr>
        <w:t>41</w:t>
      </w:r>
      <w:r w:rsidR="004D6D24" w:rsidRPr="003B251F">
        <w:fldChar w:fldCharType="end"/>
      </w:r>
      <w:r w:rsidR="004D6D24" w:rsidRPr="003B251F">
        <w:t xml:space="preserve"> creating uncertainty about the possible cause of symptoms</w:t>
      </w:r>
      <w:r w:rsidRPr="003B251F">
        <w:t xml:space="preserve"> as well as </w:t>
      </w:r>
      <w:r w:rsidR="00E55317" w:rsidRPr="003B251F">
        <w:t xml:space="preserve">leaving pain, </w:t>
      </w:r>
      <w:r w:rsidRPr="003B251F">
        <w:t>troublesome diarrhoea and rectal bleeding</w:t>
      </w:r>
      <w:r w:rsidR="00E55317" w:rsidRPr="003B251F">
        <w:t xml:space="preserve"> untreated</w:t>
      </w:r>
      <w:r w:rsidR="004D6D24" w:rsidRPr="003B251F">
        <w:t>.</w:t>
      </w:r>
      <w:r w:rsidR="00F1376A" w:rsidRPr="003B251F">
        <w:t xml:space="preserve"> A Danish register-</w:t>
      </w:r>
      <w:r w:rsidR="00B97898" w:rsidRPr="003B251F">
        <w:t>based study demons</w:t>
      </w:r>
      <w:r w:rsidR="00F1376A" w:rsidRPr="003B251F">
        <w:t>trated individuals with IBD had</w:t>
      </w:r>
      <w:r w:rsidR="00B97898" w:rsidRPr="003B251F">
        <w:t xml:space="preserve"> significantly higher health costs in each of the 10 years before diagnosis relative to controls</w:t>
      </w:r>
      <w:r w:rsidR="00EC3BE1" w:rsidRPr="003B251F">
        <w:t>.</w:t>
      </w:r>
      <w:r w:rsidR="00EC3BE1" w:rsidRPr="003B251F">
        <w:fldChar w:fldCharType="begin" w:fldLock="1"/>
      </w:r>
      <w:r w:rsidR="00F045C8" w:rsidRPr="003B251F">
        <w:instrText>ADDIN CSL_CITATION {"citationItems":[{"id":"ITEM-1","itemData":{"DOI":"10.1093/ibd/izz265","ISSN":"1078-0998","abstract":"BACKGROUND: The diagnostic delay in inflammatory bowel disease (IBD) is well known, yet the costs associated with diagnoses before IBD diagnosis have not yet been reported. This study explored societal costs and disease diagnoses 10 years before Crohn's disease (CD) and ulcerative colitis (UC) diagnosis in Denmark. METHODS: This national register study included patients diagnosed between 2003 and 2015 identified in the Danish National Patient Registry (NPR) and controls who were individually matched on age and sex from the general population. Societal costs included health care services, prescription medicine, home care services, and labor productivity loss. Prediagnostic hospital contact occurring before CD or UC diagnosis was identified using the NPR. Average annual costs per individual were calculated before the patient's first CD or UC diagnosis. A 1-sample t test was then applied to determine significance in differences between cases and controls. RESULTS: Among CD (n = 9019) and UC patients (n = 20,913) the average societal costs were higher throughout the entire 10-year period before the diagnosis date compared with the general population. The difference increased over time and equaled euro404 for CD patients and euro516 for UC patients 10 years before diagnosis and euro3377 and euro2960, respectively, in the year before diagnosis. Crohn's disease and UC patients had significantly more diagnoses before their CD and UC diagnosis compared with the general population. CONCLUSIONS: Compared with the general population, the societal costs and number of additional diagnoses among CD and UC patients were substantially higher in the 10-year period before diagnosis.","author":[{"dropping-particle":"","family":"Vadstrup","given":"Kasper","non-dropping-particle":"","parse-names":false,"suffix":""},{"dropping-particle":"","family":"Alulis","given":"Sarah","non-dropping-particle":"","parse-names":false,"suffix":""},{"dropping-particle":"","family":"Borsi","given":"Andras","non-dropping-particle":"","parse-names":false,"suffix":""},{"dropping-particle":"","family":"Gustafsson","given":"Nina","non-dropping-particle":"","parse-names":false,"suffix":""},{"dropping-particle":"","family":"Nielsen","given":"Agnete","non-dropping-particle":"","parse-names":false,"suffix":""},{"dropping-particle":"","family":"Wennerström","given":"E Christina M","non-dropping-particle":"","parse-names":false,"suffix":""},{"dropping-particle":"","family":"Jørgensen","given":"Tine Rikke","non-dropping-particle":"","parse-names":false,"suffix":""},{"dropping-particle":"","family":"Qvist","given":"Niels","non-dropping-particle":"","parse-names":false,"suffix":""},{"dropping-particle":"","family":"Munkholm","given":"Pia","non-dropping-particle":"","parse-names":false,"suffix":""}],"container-title":"Inflammatory Bowel Diseases","id":"ITEM-1","issue":"Xx","issued":{"date-parts":[["2019"]]},"page":"1-6","title":"Cost Burden of Crohn’s Disease and Ulcerative Colitis in the 10-Year Period Before Diagnosis—A Danish Register-Based Study From 2003–2015","type":"article-journal","volume":"XX"},"uris":["http://www.mendeley.com/documents/?uuid=8c848603-f752-431b-baaa-f7a19f703ae3"]}],"mendeley":{"formattedCitation":"&lt;sup&gt;42&lt;/sup&gt;","plainTextFormattedCitation":"42","previouslyFormattedCitation":"&lt;sup&gt;42&lt;/sup&gt;"},"properties":{"noteIndex":0},"schema":"https://github.com/citation-style-language/schema/raw/master/csl-citation.json"}</w:instrText>
      </w:r>
      <w:r w:rsidR="00EC3BE1" w:rsidRPr="003B251F">
        <w:fldChar w:fldCharType="separate"/>
      </w:r>
      <w:r w:rsidR="00EC3BE1" w:rsidRPr="003B251F">
        <w:rPr>
          <w:noProof/>
          <w:vertAlign w:val="superscript"/>
        </w:rPr>
        <w:t>42</w:t>
      </w:r>
      <w:r w:rsidR="00EC3BE1" w:rsidRPr="003B251F">
        <w:fldChar w:fldCharType="end"/>
      </w:r>
    </w:p>
    <w:p w14:paraId="2876BEA7" w14:textId="7BBA2184" w:rsidR="004D6D24" w:rsidRPr="003B251F" w:rsidRDefault="00EC3BE1">
      <w:pPr>
        <w:spacing w:line="480" w:lineRule="auto"/>
        <w:jc w:val="both"/>
      </w:pPr>
      <w:r w:rsidRPr="003B251F">
        <w:lastRenderedPageBreak/>
        <w:t xml:space="preserve"> I</w:t>
      </w:r>
      <w:r w:rsidR="00B97898" w:rsidRPr="003B251F">
        <w:t xml:space="preserve">ndividuals with IBD were more likely to </w:t>
      </w:r>
      <w:r w:rsidR="00676FC1" w:rsidRPr="003B251F">
        <w:t xml:space="preserve">use health services but also had lower labour production value </w:t>
      </w:r>
      <w:r w:rsidRPr="003B251F">
        <w:t>due to</w:t>
      </w:r>
      <w:r w:rsidR="00676FC1" w:rsidRPr="003B251F">
        <w:t xml:space="preserve"> periods of unemployment.</w:t>
      </w:r>
      <w:r w:rsidR="00B97898" w:rsidRPr="003B251F">
        <w:t xml:space="preserve"> This may be a consequence of </w:t>
      </w:r>
      <w:r w:rsidR="00F1376A" w:rsidRPr="003B251F">
        <w:t xml:space="preserve">the </w:t>
      </w:r>
      <w:r w:rsidR="00B97898" w:rsidRPr="003B251F">
        <w:t xml:space="preserve">excess GI symptoms </w:t>
      </w:r>
      <w:r w:rsidR="00F1376A" w:rsidRPr="003B251F">
        <w:t xml:space="preserve">identified </w:t>
      </w:r>
      <w:r w:rsidR="00B97898" w:rsidRPr="003B251F">
        <w:t xml:space="preserve">during </w:t>
      </w:r>
      <w:r w:rsidR="00F1376A" w:rsidRPr="003B251F">
        <w:t>the pre-diagnostic</w:t>
      </w:r>
      <w:r w:rsidR="00676FC1" w:rsidRPr="003B251F">
        <w:t xml:space="preserve"> period </w:t>
      </w:r>
      <w:r w:rsidR="00F1376A" w:rsidRPr="003B251F">
        <w:t xml:space="preserve">in our study </w:t>
      </w:r>
      <w:r w:rsidR="00676FC1" w:rsidRPr="003B251F">
        <w:t>and timely diagnosis of IBD</w:t>
      </w:r>
      <w:r w:rsidR="00B97898" w:rsidRPr="003B251F">
        <w:t xml:space="preserve"> </w:t>
      </w:r>
      <w:r w:rsidR="00D12C8E" w:rsidRPr="003B251F">
        <w:t xml:space="preserve">may </w:t>
      </w:r>
      <w:r w:rsidR="00F1376A" w:rsidRPr="003B251F">
        <w:t>reduce the cost burden associated with diagnostic delay.</w:t>
      </w:r>
      <w:r w:rsidR="00D12C8E" w:rsidRPr="003B251F">
        <w:t xml:space="preserve"> </w:t>
      </w:r>
      <w:r w:rsidR="004D6D24" w:rsidRPr="003B251F">
        <w:t xml:space="preserve">Furthermore, </w:t>
      </w:r>
      <w:r w:rsidR="006D122F" w:rsidRPr="003B251F">
        <w:t>s</w:t>
      </w:r>
      <w:r w:rsidR="004D6D24" w:rsidRPr="003B251F">
        <w:t>everal studies have indicated diagnostic delay is associated with</w:t>
      </w:r>
      <w:r w:rsidR="001234AA" w:rsidRPr="003B251F">
        <w:t xml:space="preserve"> disease progression, increased steroid use and </w:t>
      </w:r>
      <w:r w:rsidR="004D6D24" w:rsidRPr="003B251F">
        <w:t>an increased risk of surgery in both CD and UC.</w:t>
      </w:r>
      <w:r w:rsidR="004D6D24" w:rsidRPr="003B251F">
        <w:fldChar w:fldCharType="begin" w:fldLock="1"/>
      </w:r>
      <w:r w:rsidR="00AD0E3E" w:rsidRPr="003B251F">
        <w:instrText>ADDIN CSL_CITATION {"citationItems":[{"id":"ITEM-1","itemData":{"DOI":"10.1097/MIB.0000000000001257","ISBN":"0000000000","author":[{"dropping-particle":"","family":"Nguyen","given":"Vu Q","non-dropping-particle":"","parse-names":false,"suffix":""},{"dropping-particle":"","family":"Jiang","given":"Dingfeng","non-dropping-particle":"","parse-names":false,"suffix":""},{"dropping-particle":"","family":"Hoffman","given":"Sharon N","non-dropping-particle":"","parse-names":false,"suffix":""},{"dropping-particle":"","family":"Guntaka","given":"Srikar","non-dropping-particle":"","parse-names":false,"suffix":""},{"dropping-particle":"","family":"Mays","given":"Jessica L","non-dropping-particle":"","parse-names":false,"suffix":""},{"dropping-particle":"","family":"Wang","given":"Anthony","non-dropping-particle":"","parse-names":false,"suffix":""},{"dropping-particle":"","family":"Gomes","given":"Joseph","non-dropping-particle":"","parse-names":false,"suffix":""},{"dropping-particle":"","family":"Sorrentino","given":"Dario","non-dropping-particle":"","parse-names":false,"suffix":""}],"container-title":"Inflammatory bowel diseases","id":"ITEM-1","issue":"10","issued":{"date-parts":[["2017"]]},"page":"1825-1831","title":"Impact of Diagnostic Delay and Associated Factors on Clinical","type":"article-journal","volume":"23"},"uris":["http://www.mendeley.com/documents/?uuid=9c622b0f-570f-4dc6-a997-81bd39c67d28"]},{"id":"ITEM-2","itemData":{"DOI":"10.12659/MSM.904238","ISSN":"16433750","abstract":"BACKGROUND Increasing evidence suggests that delayed diagnosis in Crohn's disease is associated with a complicated disease course. The aim of this study was to explore the association between delayed diagnosis and the timing of the first Crohn's disease-related intestinal surgery. MATERIAL AND METHODS A retrospective study included 215 Crohn's disease patients with previous surgical history in the Department of General Surgery of Jinling Hospital, China, between January 2013 and March 2016. Data were collected on demographics, clinical characteristics, medication history, and operation history. RESULTS The time from the first appearance of Crohn's disease-related symptoms to the first intestinal surgery in the delayed diagnosis group was obviously shorter than in the non-delayed diagnosis group (26.4±28.7 months vs. 42.6±58.4 months, respectively, p=0.032). Patients in the delayed diagnosis group tended to receive more ileal resections (47.8% vs. 26.4%, respectively, p=0.002) and less ileocecal resections (22.4% vs. 37.2%, respectively, p=0.032). More patients in the delayed diagnosis group received the first Crohn's disease-related intestinal surgery as an emergency one (20.9% vs. 4.7%, respectively, p=0.001). CONCLUSIONS Delayed diagnosis is associated with early and emergency need for the first Crohn's disease-related intestinal surgery.","author":[{"dropping-particle":"","family":"Hong","given":"Zhiwu","non-dropping-particle":"","parse-names":false,"suffix":""},{"dropping-particle":"","family":"Ren","given":"Jianan","non-dropping-particle":"","parse-names":false,"suffix":""},{"dropping-particle":"","family":"Li","given":"Yuan","non-dropping-particle":"","parse-names":false,"suffix":""},{"dropping-particle":"","family":"Wang","given":"Gefei","non-dropping-particle":"","parse-names":false,"suffix":""},{"dropping-particle":"","family":"Gu","given":"Guosheng","non-dropping-particle":"","parse-names":false,"suffix":""},{"dropping-particle":"","family":"Wu","given":"Xiuwen","non-dropping-particle":"","parse-names":false,"suffix":""},{"dropping-particle":"","family":"Ren","given":"Huajian","non-dropping-particle":"","parse-names":false,"suffix":""},{"dropping-particle":"","family":"Li","given":"Jieshou","non-dropping-particle":"","parse-names":false,"suffix":""}],"container-title":"Medical Science Monitor","id":"ITEM-2","issued":{"date-parts":[["2017"]]},"page":"4841-4846","title":"Delayed diagnosis is associated with early and emergency need for first crohn’s disease-related intestinal surgery","type":"article-journal","volume":"23"},"uris":["http://www.mendeley.com/documents/?uuid=8c0ed9bc-2bb2-4f97-86a8-ae5722fd3cb5"]},{"id":"ITEM-3","itemData":{"DOI":"10.3748/wjg.v23.i35.6474","ISBN":"0000000256","author":[{"dropping-particle":"","family":"Lee","given":"Dong-won","non-dropping-particle":"","parse-names":false,"suffix":""},{"dropping-particle":"","family":"Koo","given":"Ja Seol","non-dropping-particle":"","parse-names":false,"suffix":""},{"dropping-particle":"","family":"Choe","given":"Jung Wan","non-dropping-particle":"","parse-names":false,"suffix":""},{"dropping-particle":"","family":"Suh","given":"Sang Jun","non-dropping-particle":"","parse-names":false,"suffix":""},{"dropping-particle":"","family":"Kim","given":"Seung Young","non-dropping-particle":"","parse-names":false,"suffix":""},{"dropping-particle":"","family":"Hyun","given":"Jong Jin","non-dropping-particle":"","parse-names":false,"suffix":""},{"dropping-particle":"","family":"Woo","given":"Sung","non-dropping-particle":"","parse-names":false,"suffix":""},{"dropping-particle":"","family":"Jung","given":"Young Kul","non-dropping-particle":"","parse-names":false,"suffix":""},{"dropping-particle":"","family":"Yim","given":"Hyung Joon","non-dropping-particle":"","parse-names":false,"suffix":""},{"dropping-particle":"","family":"Lee","given":"Sang Woo","non-dropping-particle":"","parse-names":false,"suffix":""},{"dropping-particle":"","family":"Lee","given":"Dong-won","non-dropping-particle":"","parse-names":false,"suffix":""},{"dropping-particle":"","family":"Koo","given":"Ja Seol","non-dropping-particle":"","parse-names":false,"suffix":""},{"dropping-particle":"","family":"Choe","given":"Jung Wan","non-dropping-particle":"","parse-names":false,"suffix":""},{"dropping-particle":"","family":"Jun","given":"Sang","non-dropping-particle":"","parse-names":false,"suffix":""}],"container-title":"World Journal of Gastroenterology","id":"ITEM-3","issue":"35","issued":{"date-parts":[["2017"]]},"page":"6474-6481","title":"Diagnostic delay in inflammatory bowel disease increases the risk of intestinal surgery","type":"article-journal","volume":"23"},"uris":["http://www.mendeley.com/documents/?uuid=08cdd211-5814-4ea0-bfca-7f4afc8a10e8"]}],"mendeley":{"formattedCitation":"&lt;sup&gt;1,2,31&lt;/sup&gt;","plainTextFormattedCitation":"1,2,31","previouslyFormattedCitation":"&lt;sup&gt;1,2,31&lt;/sup&gt;"},"properties":{"noteIndex":0},"schema":"https://github.com/citation-style-language/schema/raw/master/csl-citation.json"}</w:instrText>
      </w:r>
      <w:r w:rsidR="004D6D24" w:rsidRPr="003B251F">
        <w:fldChar w:fldCharType="separate"/>
      </w:r>
      <w:r w:rsidR="002F0202" w:rsidRPr="003B251F">
        <w:rPr>
          <w:noProof/>
          <w:vertAlign w:val="superscript"/>
        </w:rPr>
        <w:t>1,2,31</w:t>
      </w:r>
      <w:r w:rsidR="004D6D24" w:rsidRPr="003B251F">
        <w:fldChar w:fldCharType="end"/>
      </w:r>
      <w:r w:rsidR="004D6D24" w:rsidRPr="003B251F">
        <w:t xml:space="preserve"> </w:t>
      </w:r>
      <w:r w:rsidR="006D122F" w:rsidRPr="003B251F">
        <w:t>E</w:t>
      </w:r>
      <w:r w:rsidR="004D6D24" w:rsidRPr="003B251F">
        <w:t>arly initiation of therapy may improve the natural history of CD</w:t>
      </w:r>
      <w:r w:rsidR="00E74518" w:rsidRPr="003B251F">
        <w:t>,</w:t>
      </w:r>
      <w:r w:rsidR="006D122F" w:rsidRPr="003B251F">
        <w:t xml:space="preserve"> delaying or preventing progression to </w:t>
      </w:r>
      <w:r w:rsidR="001234AA" w:rsidRPr="003B251F">
        <w:t>str</w:t>
      </w:r>
      <w:r w:rsidR="00E74518" w:rsidRPr="003B251F">
        <w:t>i</w:t>
      </w:r>
      <w:r w:rsidR="001234AA" w:rsidRPr="003B251F">
        <w:t>cturing (B</w:t>
      </w:r>
      <w:r w:rsidR="00781707" w:rsidRPr="003B251F">
        <w:t>2</w:t>
      </w:r>
      <w:r w:rsidR="001234AA" w:rsidRPr="003B251F">
        <w:t xml:space="preserve">) </w:t>
      </w:r>
      <w:r w:rsidR="006D122F" w:rsidRPr="003B251F">
        <w:t xml:space="preserve">or </w:t>
      </w:r>
      <w:r w:rsidR="001234AA" w:rsidRPr="003B251F">
        <w:t xml:space="preserve">penetrating (B3) </w:t>
      </w:r>
      <w:r w:rsidR="006D122F" w:rsidRPr="003B251F">
        <w:t>phenotype</w:t>
      </w:r>
      <w:r w:rsidR="004D6D24" w:rsidRPr="003B251F">
        <w:t xml:space="preserve">, </w:t>
      </w:r>
      <w:r w:rsidR="00F55C56" w:rsidRPr="003B251F">
        <w:t xml:space="preserve">although </w:t>
      </w:r>
      <w:r w:rsidR="006D122F" w:rsidRPr="003B251F">
        <w:t>an</w:t>
      </w:r>
      <w:r w:rsidR="00613EF8" w:rsidRPr="003B251F">
        <w:t xml:space="preserve"> equivalent disease modifying effect is yet to be demonstrated in</w:t>
      </w:r>
      <w:r w:rsidR="00F404D1" w:rsidRPr="003B251F">
        <w:t xml:space="preserve"> </w:t>
      </w:r>
      <w:r w:rsidR="004D6D24" w:rsidRPr="003B251F">
        <w:t>UC.</w:t>
      </w:r>
      <w:r w:rsidR="004D6D24" w:rsidRPr="003B251F">
        <w:fldChar w:fldCharType="begin" w:fldLock="1"/>
      </w:r>
      <w:r w:rsidRPr="003B251F">
        <w:instrText>ADDIN CSL_CITATION {"citationItems":[{"id":"ITEM-1","itemData":{"abstract":"We agree with Danese et al1 that prospective studies to evaluate the disease-modifying action of antitumour necrosis factor (anti-TNF) drugs are overdue. As a counterpoint to this informative review, we would like to highlight some additional evidence for the role of thiopurines as disease-modifying agents in Crohn’s disease. A cohort study by Magro et al2 supports a role for thiopurines in delaying phenotype progression from an inflammatory (B1) to a stricturing/penetrating (B2/B3) disease (HR 0.15, 95% CI 0.11 to 0.19). A meta-analysis of 10 …","author":[{"dropping-particle":"","family":"Blackwell","given":"Jonathan","non-dropping-particle":"","parse-names":false,"suffix":""},{"dropping-particle":"","family":"Saxena","given":"Sonia","non-dropping-particle":"","parse-names":false,"suffix":""},{"dropping-particle":"","family":"Pollok","given":"Richard C","non-dropping-particle":"","parse-names":false,"suffix":""}],"container-title":"Gut","id":"ITEM-1","issued":{"date-parts":[["2018","1","3"]]},"title":"Role of thiopurines as disease-modifying agents in Crohn’s disease","type":"article-journal"},"uris":["http://www.mendeley.com/documents/?uuid=61192f2b-92dc-4124-af8e-1a43562a73e5"]},{"id":"ITEM-2","itemData":{"DOI":"10.1111/apt.13361","ISSN":"13652036","PMID":"26271196","abstract":"BACKGROUND The role of early thiopurine treatment in inflammatory bowel disease (IBD) is unproven. AIM To quantify the impact of timing and duration of thiopurines on the risk of first surgery in children and young people with IBD using a population-based cohort. METHODS We constructed an incident cohort of children and young people aged &lt;25 years, diagnosed with Crohn's disease (CD) or ulcerative colitis (UC) from 1990 to 2009. We used Cox proportional hazards modelling to determine the impact of early thiopurine use, commenced within a year of diagnosis on risk of first surgery. RESULTS We identified 1595 and 1175 incident cases of CD and UC respectively with a mean length of follow-up of 4.3 years/person. There were 216 (13.5%) and 73 (6.2%) surgeries for CD and UC patients between 1990 and 2009 respectively. In CD among thiopurine users, the absolute risk of surgery at 5 years for early thiopurine use vs. late was 15.3% (95% CI: 10.5-22.1) vs. 22.1% (95% CI: 18.1-26.9) respectively. After adjustment, the early use of thiopurines was associated with a reduction in risk of first surgery of 39% (HR 0.61, 95% CI: 0.41-0.91) over the 20-year study period. In UC, early thiopurine use offered no additional benefit. CONCLUSIONS In Crohn's disease, early treatment with thiopurines in children and young people is associated with an appreciable reduction in the risk of surgery, but early treatment does not reduce surgical risk in UC.","author":[{"dropping-particle":"","family":"Chhaya","given":"V.","non-dropping-particle":"","parse-names":false,"suffix":""},{"dropping-particle":"","family":"Pollok","given":"R. C G","non-dropping-particle":"","parse-names":false,"suffix":""},{"dropping-particle":"","family":"Cecil","given":"E.","non-dropping-particle":"","parse-names":false,"suffix":""},{"dropping-particle":"","family":"Subramanian","given":"V.","non-dropping-particle":"","parse-names":false,"suffix":""},{"dropping-particle":"","family":"Curcin","given":"V.","non-dropping-particle":"","parse-names":false,"suffix":""},{"dropping-particle":"","family":"Majeed","given":"A.","non-dropping-particle":"","parse-names":false,"suffix":""},{"dropping-particle":"","family":"Saxena","given":"S.","non-dropping-particle":"","parse-names":false,"suffix":""}],"container-title":"Alimentary Pharmacology and Therapeutics","id":"ITEM-2","issue":"8","issued":{"date-parts":[["2015"]]},"page":"990-999","title":"Impact of early thiopurines on surgery in 2770 children and young people diagnosed with inflammatory bowel disease: A national population-based study","type":"article-journal","volume":"42"},"uris":["http://www.mendeley.com/documents/?uuid=797a54aa-3741-45df-ae16-ba18354ee729"]},{"id":"ITEM-3","itemData":{"DOI":"10.1053/j.gastro.2013.04.048","author":[{"dropping-particle":"","family":"Cosnes","given":"Jacques","non-dropping-particle":"","parse-names":false,"suffix":""},{"dropping-particle":"","family":"Bourrier","given":"Anne","non-dropping-particle":"","parse-names":false,"suffix":""},{"dropping-particle":"","family":"Laharie","given":"David","non-dropping-particle":"","parse-names":false,"suffix":""},{"dropping-particle":"","family":"Nahon","given":"Stéphane","non-dropping-particle":"","parse-names":false,"suffix":""},{"dropping-particle":"","family":"Bouhnik","given":"Yoram","non-dropping-particle":"","parse-names":false,"suffix":""},{"dropping-particle":"","family":"Carbonnel","given":"Franck","non-dropping-particle":"","parse-names":false,"suffix":""},{"dropping-particle":"","family":"Allez","given":"Matthieu","non-dropping-particle":"","parse-names":false,"suffix":""},{"dropping-particle":"","family":"Dupas","given":"Jean Louis","non-dropping-particle":"","parse-names":false,"suffix":""},{"dropping-particle":"","family":"Reimund","given":"Jean Marie","non-dropping-particle":"","parse-names":false,"suffix":""},{"dropping-particle":"","family":"Savoye","given":"Guillaume","non-dropping-particle":"","parse-names":false,"suffix":""},{"dropping-particle":"","family":"Jouet","given":"Pauline","non-dropping-particle":"","parse-names":false,"suffix":""}],"id":"ITEM-3","issued":{"date-parts":[["2013"]]},"page":"758-765","title":"Early Administration of Azathioprine vs Conventional Management of Crohn ’ s Disease: A Randomized Controlled Trial","type":"article-journal"},"uris":["http://www.mendeley.com/documents/?uuid=968c1776-e5da-4b37-b61e-9634be180499"]},{"id":"ITEM-4","itemData":{"DOI":"10.1093/ibd/izz059","ISSN":"1078-0998","abstract":"The goals for treatment of inflammatory bowel diseases (IBDs) are changing from elimination of symptoms toward complete disease control—a process that demands both clinical and endoscopic remission. This new IBD treatment paradigm has been shifting from a conventional “step-up” approach toward a more “top-down” early intervention treatment strategy. Recent studies suggest that the use of biologic agents, specifically those targeting tumor necrosis factor alpha, earlier in the treatment course improves patient outcomes and can prevent progression to irreversible bowel damage. Although the strategy of early intervention has accumulating evidence in Crohn’s disease, there is less evidence supporting its impact in ulcerative colitis.","author":[{"dropping-particle":"","family":"Berg","given":"Dana Rachel","non-dropping-particle":"","parse-names":false,"suffix":""},{"dropping-particle":"","family":"Colombel","given":"Jean-Frederic","non-dropping-particle":"","parse-names":false,"suffix":""},{"dropping-particle":"","family":"Ungaro","given":"Ryan","non-dropping-particle":"","parse-names":false,"suffix":""}],"container-title":"Inflammatory Bowel Diseases","id":"ITEM-4","issued":{"date-parts":[["2019","4","1"]]},"title":"The Role of Early Biologic Therapy in Inflammatory Bowel Disease","type":"article-journal"},"uris":["http://www.mendeley.com/documents/?uuid=e16c66f6-e514-4635-83c6-5d3f3c13b080"]},{"id":"ITEM-5","itemData":{"DOI":"10.1038/ajg.2014.97","ISBN":"1572-0241 (Electronic)\\r0002-9270 (Linking)","ISSN":"15720241","PMID":"24796767","abstract":"OBJECTIVES: Crohn's disease (CD) induces cumulative structural damage, initially characterized by a non-stenosing non-penetrating behavior (B1) with progression over time to a fibro-stenosing (B2) and/or penetrating phenotype (B3). Our aim was to assess the long-term evolution of disease behavior of CD and determine what factors predict phenotype progression.\\n\\nMETHODS: This was a study based on prospectively collected data from a CD database in an inflammatory bowel disease outpatient clinic. B1 corresponds to a non-stenosing non-penetrating disease, B2 to a stenosing behavior, and B3 to a penetrating one.\\n\\nRESULTS: Seven hundred and thirty-six patients with CD (368 female) were followed up for 12.3 years (±8.4), with 87.0% of them exhibiting B1 phenotype at diagnosis. Of these patients, 28.5% progressed to B2 phenotype and 23.5% to B3. Fifty percent of the patients started azathioprine treatment before phenotype change and 13.9% started anti-tumor necrosis factor-α (anti-TNFα) treatment before phenotype change. Monotherapy with azathioprine before phenotype change as well as combination therapy with azathioprine/anti-TNFα before phenotype change delayed disease progression (B1-B2 or B3) in comparison with patients who did not receive treatment (P&lt;0.001). The hazard ratio (HR) for disease progression was lower for both monotherapy with azathioprine (HR: 0.15, P&lt;0.001) or combination therapy with anti-TNFα (HR: 0.33, P&lt;0.001). Upper gastrointestinal tract involvement, male gender, and steroid use were associated with an early progression of phenotype from B1 to B2 or B3 (P&lt;0.001). The HR for disease progression was higher in patients who used steroids without criteria of dependence or resistance (HR: 2.67, P&lt;0.001) and was even higher in patients with criteria of dependence or resistance (HR: 6.44, P&lt;0.001). Longer delays between CD diagnosis and beginning of therapy with azathioprine and/or anti-TNFα were associated with disease progression. The longer the duration of treatment, the less likely the disease progression.\\n\\nCONCLUSIONS: Monotherapy with azathioprine before behavior change as well as combination therapy with azathioprine and anti-TNFα before behavior change delays phenotype progression of CD, whereas upper gastrointestinal tract involvement, male gender, and steroid use with or without criteria of steroid dependence are associated with a higher risk for disease progression.","author":[{"dropping-particle":"","family":"Magro","given":"Fernando","non-dropping-particle":"","parse-names":false,"suffix":""},{"dropping-particle":"","family":"Rodrigues-Pinto","given":"Eduardo","non-dropping-particle":"","parse-names":false,"suffix":""},{"dropping-particle":"","family":"Coelho","given":"Rosa","non-dropping-particle":"","parse-names":false,"suffix":""},{"dropping-particle":"","family":"Andrade","given":"Patrícia","non-dropping-particle":"","parse-names":false,"suffix":""},{"dropping-particle":"","family":"Santos-Antunes","given":"João","non-dropping-particle":"","parse-names":false,"suffix":""},{"dropping-particle":"","family":"Lopes","given":"Susana","non-dropping-particle":"","parse-names":false,"suffix":""},{"dropping-particle":"","family":"Camila-Dias","given":"Claudia","non-dropping-particle":"","parse-names":false,"suffix":""},{"dropping-particle":"","family":"MacEdo","given":"Guilherme","non-dropping-particle":"","parse-names":false,"suffix":""}],"container-title":"American Journal of Gastroenterology","id":"ITEM-5","issue":"7","issued":{"date-parts":[["2014"]]},"page":"1026-1036","title":"Is it possible to change phenotype progression in crohn's disease in the era of immunomodulators? predictive factors of phenotype progression","type":"article-journal","volume":"109"},"uris":["http://www.mendeley.com/documents/?uuid=924e9fde-1888-4321-bbca-edd9917dd00c"]},{"id":"ITEM-6","itemData":{"DOI":"10.1053/gast.2000.18144","ISSN":"0016-5085 (Print)","PMID":"11040176","abstract":"BACKGROUND &amp; AIMS: Clinical experience suggests that 6-mercaptopurine (6-MP) is effective therapy for children with active steroid-dependent Crohn's disease (CD). We report the results of a prospective, placebo-controlled, multicenter trial evaluating the combination of 6-MP and prednisone as therapy for children with newly diagnosed moderate-to-severe CD. METHODS: Fifty-five children (age, 13+/-2 years) were randomized to treatment with 6-MP (1.5 mg x kg(-1) x day(-1)) or placebo within 8 weeks of initial diagnosis. Both groups also received prednisone (40 mg/day). Prednisone dosage adjustments were based on a defined schedule determined by the change in a subject's disease activity score, and steroid administration was discontinued as remission was achieved. Study treatment with 6-MP or placebo continued for 18 months. RESULTS: Groups were comparable for age, sex, and site and activity of disease. In the 6-MP group, the duration of steroid use was shorter (P&lt;0.001) and the cumulative steroid dose lower at 6, 12, and 18 months (P&lt;0.01). Although remission was induced in 89% of both groups, only 9% of the remitters in the 6-MP group relapsed compared with 47% of controls (P = 0.007). Growth was comparable in both groups. No clinically significant adverse events occurred, although mild leukopenia and increases in aminotransferase activity were noted in the 6-MP group. CONCLUSIONS: Addition of 6-MP to a regimen of corticosteroids significantly lessens the need for prednisone and improves maintenance of remission. 6-MP should be part of the initial treatment regimen for children with newly diagnosed moderate-to-severe CD.","author":[{"dropping-particle":"","family":"Markowitz","given":"J","non-dropping-particle":"","parse-names":false,"suffix":""},{"dropping-particle":"","family":"Grancher","given":"K","non-dropping-particle":"","parse-names":false,"suffix":""},{"dropping-particle":"","family":"Kohn","given":"N","non-dropping-particle":"","parse-names":false,"suffix":""},{"dropping-particle":"","family":"Lesser","given":"M","non-dropping-particle":"","parse-names":false,"suffix":""},{"dropping-particle":"","family":"Daum","given":"F","non-dropping-particle":"","parse-names":false,"suffix":""}],"container-title":"Gastroenterology","id":"ITEM-6","issue":"4","issued":{"date-parts":[["2000","10"]]},"language":"eng","page":"895-902","publisher-place":"United States","title":"A multicenter trial of 6-mercaptopurine and prednisone in children with newly diagnosed Crohn's disease.","type":"article-journal","volume":"119"},"uris":["http://www.mendeley.com/documents/?uuid=3c05b12d-d36b-40b6-8935-ca60800432a6"]}],"mendeley":{"formattedCitation":"&lt;sup&gt;4–6,11,43,44&lt;/sup&gt;","plainTextFormattedCitation":"4–6,11,43,44","previouslyFormattedCitation":"&lt;sup&gt;4–6,11,43,44&lt;/sup&gt;"},"properties":{"noteIndex":0},"schema":"https://github.com/citation-style-language/schema/raw/master/csl-citation.json"}</w:instrText>
      </w:r>
      <w:r w:rsidR="004D6D24" w:rsidRPr="003B251F">
        <w:fldChar w:fldCharType="separate"/>
      </w:r>
      <w:r w:rsidR="00F1376A" w:rsidRPr="003B251F">
        <w:rPr>
          <w:noProof/>
          <w:vertAlign w:val="superscript"/>
        </w:rPr>
        <w:t>4–6,11,43,44</w:t>
      </w:r>
      <w:r w:rsidR="004D6D24" w:rsidRPr="003B251F">
        <w:fldChar w:fldCharType="end"/>
      </w:r>
      <w:r w:rsidR="004D6D24" w:rsidRPr="003B251F">
        <w:t xml:space="preserve"> </w:t>
      </w:r>
      <w:r w:rsidR="00FF2A2F" w:rsidRPr="003B251F">
        <w:t>Even so, timely diagnosis of UC remains a crucial goal as treatment significantly improves symptoms and patients’ quality of life.</w:t>
      </w:r>
      <w:r w:rsidR="00FF2A2F" w:rsidRPr="003B251F">
        <w:fldChar w:fldCharType="begin" w:fldLock="1"/>
      </w:r>
      <w:r w:rsidR="00C37026" w:rsidRPr="003B251F">
        <w:instrText>ADDIN CSL_CITATION {"citationItems":[{"id":"ITEM-1","itemData":{"DOI":"10.1016/j.crohns.2013.08.007","ISSN":"1876-4479 (Electronic)","PMID":"24012063","abstract":"BACKGROUND AND AIMS: Mesalazine (5-aminosalicylic acid) is the standard first-line therapy for mild-to-moderate ulcerative colitis. In the PINCE study, remission rates were significantly greater with combined oral/enema vs. oral/placebo treatment at 8 weeks (64% vs. 43%, respectively; p=0.030). In this analysis, we explored early response, mucosal healing rates, cessation of rectal bleeding, and quality of life in PINCE. METHODS: Patients with extensive mild-to-moderately active ulcerative colitis received 8weeks of oral mesalazine 4 g/day, plus 4 weeks of daily active (1g mesalazine) or placebo enema. Early response was assessed using the abbreviated ulcerative colitis disease activity index. Mucosal healing was assessed by disease activity index endoscopic mucosal appearance score. Cessation of bleeding (patient diaries), quality of life (EQ-5D), and patient acceptability (questionnaire) were also assessed. RESULTS: Combined mesalazine oral/enema treatment achieved a significantly higher rate of improvement in abbreviated ulcerative colitis disease activity index (score decrease &gt;/= 2) within 2 weeks, compared with oral-only treatment (p = 0.032). Bleeding ceased significantly more quickly with combination vs. oral therapy (p = 0.003). More patients showed mucosal healing (disease activity index endoscopic mucosal appearance score 0/1) with combination vs. oral therapy, which was significantly different between groups at week 4 (p = 0.052). Both groups showed quality of life improvements, with a significant benefit for combination vs. oral therapy at week 4 in multiple domains. Most patients reported finding the treatment acceptable. CONCLUSIONS: Rapid cessation of symptoms was seen with combination therapy, which is particularly important to patients and may improve quality of life.","author":[{"dropping-particle":"","family":"Probert","given":"Christopher S J","non-dropping-particle":"","parse-names":false,"suffix":""},{"dropping-particle":"","family":"Dignass","given":"Axel U","non-dropping-particle":"","parse-names":false,"suffix":""},{"dropping-particle":"","family":"Lindgren","given":"Stefan","non-dropping-particle":"","parse-names":false,"suffix":""},{"dropping-particle":"","family":"Oudkerk Pool","given":"Marco","non-dropping-particle":"","parse-names":false,"suffix":""},{"dropping-particle":"","family":"Marteau","given":"Philippe","non-dropping-particle":"","parse-names":false,"suffix":""}],"container-title":"Journal of Crohn's &amp; colitis","id":"ITEM-1","issue":"3","issued":{"date-parts":[["2014","3"]]},"language":"eng","page":"200-207","publisher-place":"England","title":"Combined oral and rectal mesalazine for the treatment of mild-to-moderately active ulcerative colitis: rapid symptom resolution and improvements in quality of life.","type":"article-journal","volume":"8"},"uris":["http://www.mendeley.com/documents/?uuid=d2467592-a13b-4d04-94e5-ab430db8710e"]}],"mendeley":{"formattedCitation":"&lt;sup&gt;8&lt;/sup&gt;","plainTextFormattedCitation":"8","previouslyFormattedCitation":"&lt;sup&gt;8&lt;/sup&gt;"},"properties":{"noteIndex":0},"schema":"https://github.com/citation-style-language/schema/raw/master/csl-citation.json"}</w:instrText>
      </w:r>
      <w:r w:rsidR="00FF2A2F" w:rsidRPr="003B251F">
        <w:fldChar w:fldCharType="separate"/>
      </w:r>
      <w:r w:rsidR="00FF2A2F" w:rsidRPr="003B251F">
        <w:rPr>
          <w:noProof/>
          <w:vertAlign w:val="superscript"/>
        </w:rPr>
        <w:t>8</w:t>
      </w:r>
      <w:r w:rsidR="00FF2A2F" w:rsidRPr="003B251F">
        <w:fldChar w:fldCharType="end"/>
      </w:r>
    </w:p>
    <w:p w14:paraId="24EF2F73" w14:textId="0DE6AEE0" w:rsidR="00492A17" w:rsidRPr="003B251F" w:rsidRDefault="00E55317">
      <w:pPr>
        <w:spacing w:line="480" w:lineRule="auto"/>
        <w:jc w:val="both"/>
        <w:rPr>
          <w:lang w:eastAsia="en-GB"/>
        </w:rPr>
      </w:pPr>
      <w:r w:rsidRPr="003B251F">
        <w:rPr>
          <w:lang w:eastAsia="en-GB"/>
        </w:rPr>
        <w:t>Clinicians need a higher index of suspicion for IBD and fast-track referral pathways should be implemented.</w:t>
      </w:r>
      <w:r w:rsidR="005821F2" w:rsidRPr="003B251F">
        <w:rPr>
          <w:lang w:eastAsia="en-GB"/>
        </w:rPr>
        <w:t xml:space="preserve"> </w:t>
      </w:r>
      <w:r w:rsidR="00C57772" w:rsidRPr="003B251F">
        <w:rPr>
          <w:lang w:eastAsia="en-GB"/>
        </w:rPr>
        <w:t>Less than a tenth of</w:t>
      </w:r>
      <w:r w:rsidR="001A6E6E" w:rsidRPr="003B251F">
        <w:rPr>
          <w:lang w:eastAsia="en-GB"/>
        </w:rPr>
        <w:t xml:space="preserve"> individuals with chronic GI symptoms receive</w:t>
      </w:r>
      <w:r w:rsidR="00FD3544" w:rsidRPr="003B251F">
        <w:rPr>
          <w:lang w:eastAsia="en-GB"/>
        </w:rPr>
        <w:t xml:space="preserve"> timely</w:t>
      </w:r>
      <w:r w:rsidR="001A6E6E" w:rsidRPr="003B251F">
        <w:rPr>
          <w:lang w:eastAsia="en-GB"/>
        </w:rPr>
        <w:t xml:space="preserve"> specialist review within the</w:t>
      </w:r>
      <w:r w:rsidRPr="003B251F">
        <w:rPr>
          <w:lang w:eastAsia="en-GB"/>
        </w:rPr>
        <w:t xml:space="preserve"> recommended</w:t>
      </w:r>
      <w:r w:rsidR="001A6E6E" w:rsidRPr="003B251F">
        <w:rPr>
          <w:lang w:eastAsia="en-GB"/>
        </w:rPr>
        <w:t xml:space="preserve"> 4 weeks</w:t>
      </w:r>
      <w:r w:rsidRPr="003B251F">
        <w:rPr>
          <w:lang w:eastAsia="en-GB"/>
        </w:rPr>
        <w:t>.</w:t>
      </w:r>
      <w:r w:rsidR="005B0D0F" w:rsidRPr="003B251F">
        <w:rPr>
          <w:lang w:eastAsia="en-GB"/>
        </w:rPr>
        <w:fldChar w:fldCharType="begin" w:fldLock="1"/>
      </w:r>
      <w:r w:rsidR="00481565" w:rsidRPr="003B251F">
        <w:rPr>
          <w:lang w:eastAsia="en-GB"/>
        </w:rPr>
        <w:instrText>ADDIN CSL_CITATION {"citationItems":[{"id":"ITEM-1","itemData":{"DOI":"10.1136/flgastro-2019-101260","ISSN":"2041-4137","abstract":"Objective Symptoms and clinical course during inflammatory bowel disease (IBD) vary among individuals. Personalised care is therefore essential to effective management, delivered by a strong patient-centred multidisciplinary team, working within a well-designed service. This study aimed to fully rewrite the UK Standards for the healthcare of adults and children with IBD, and to develop an IBD Service Benchmarking Tool to support current and future personalised care models. Design Led by IBD UK, a national multidisciplinary alliance of patients and nominated representatives from all major stakeholders in IBD care, Standards requirements were defined by survey data collated from 689 patients and 151 healthcare professionals. Standards were drafted and refined over three rounds of modified electronic-Delphi. results Consensus was achieved for 59 Standards covering seven clinical domains; (1) design and delivery of the multidisciplinary IBD service; (2) prediagnostic referral pathways, protocols and timeframes; (3) holistic care of the newly diagnosed patient; (4) flare management to support patient empowerment, self-management and access to specialists where required; (5) surgery including appropriate expertise, preoperative information, psychological support and postoperative care; (6) inpatient medical care delivery (7) and ongoing long-term care in the outpatient department and primary care setting including shared care. Using these patient-centred Standards and informed by the IBD Quality Improvement Project (IBDQIP), this paper presents a national benchmarking framework. Conclusions The Standards and Benchmarking Tool provide a framework for healthcare providers and patients to rate the quality of their service. This will recognise excellent care, and promote quality improvement, audit and service development in IBD.","author":[{"dropping-particle":"","family":"Kapasi","given":"Rukshana","non-dropping-particle":"","parse-names":false,"suffix":""},{"dropping-particle":"","family":"Glatter","given":"Jackie","non-dropping-particle":"","parse-names":false,"suffix":""},{"dropping-particle":"","family":"Lamb","given":"Christopher A","non-dropping-particle":"","parse-names":false,"suffix":""},{"dropping-particle":"","family":"Acheson","given":"Austin G","non-dropping-particle":"","parse-names":false,"suffix":""},{"dropping-particle":"","family":"Andrews","given":"Charles","non-dropping-particle":"","parse-names":false,"suffix":""},{"dropping-particle":"","family":"Arnott","given":"Ian D","non-dropping-particle":"","parse-names":false,"suffix":""},{"dropping-particle":"","family":"Barrett","given":"Kevin J","non-dropping-particle":"","parse-names":false,"suffix":""},{"dropping-particle":"","family":"Bell","given":"Graham","non-dropping-particle":"","parse-names":false,"suffix":""},{"dropping-particle":"","family":"Bhatnagar","given":"Guaraang","non-dropping-particle":"","parse-names":false,"suffix":""},{"dropping-particle":"","family":"Bloom","given":"Stuart","non-dropping-particle":"","parse-names":false,"suffix":""},{"dropping-particle":"","family":"Brookes","given":"Matthew James","non-dropping-particle":"","parse-names":false,"suffix":""},{"dropping-particle":"","family":"Brown","given":"Steven R","non-dropping-particle":"","parse-names":false,"suffix":""},{"dropping-particle":"","family":"Burch","given":"Nicola","non-dropping-particle":"","parse-names":false,"suffix":""},{"dropping-particle":"","family":"Burman","given":"Andy","non-dropping-particle":"","parse-names":false,"suffix":""},{"dropping-particle":"","family":"Crook","given":"Kay","non-dropping-particle":"","parse-names":false,"suffix":""},{"dropping-particle":"","family":"Cummings","given":"JR Fraser","non-dropping-particle":"","parse-names":false,"suffix":""},{"dropping-particle":"","family":"Davies","given":"Justin","non-dropping-particle":"","parse-names":false,"suffix":""},{"dropping-particle":"","family":"Demick","given":"Anne","non-dropping-particle":"","parse-names":false,"suffix":""},{"dropping-particle":"","family":"Epstein","given":"Jenny","non-dropping-particle":"","parse-names":false,"suffix":""},{"dropping-particle":"","family":"Faiz","given":"Omar","non-dropping-particle":"","parse-names":false,"suffix":""},{"dropping-particle":"","family":"Feakins","given":"Roger","non-dropping-particle":"","parse-names":false,"suffix":""},{"dropping-particle":"","family":"Fletcher","given":"Melissa","non-dropping-particle":"","parse-names":false,"suffix":""},{"dropping-particle":"","family":"Garrick","given":"Vikki","non-dropping-particle":"","parse-names":false,"suffix":""},{"dropping-particle":"","family":"Jaffray","given":"Bruce","non-dropping-particle":"","parse-names":false,"suffix":""},{"dropping-particle":"","family":"Johnson","given":"Matthew","non-dropping-particle":"","parse-names":false,"suffix":""},{"dropping-particle":"","family":"Keetarut","given":"Katie","non-dropping-particle":"","parse-names":false,"suffix":""},{"dropping-particle":"","family":"Limdi","given":"Jimmy","non-dropping-particle":"","parse-names":false,"suffix":""},{"dropping-particle":"","family":"Meade","given":"Uchu","non-dropping-particle":"","parse-names":false,"suffix":""},{"dropping-particle":"","family":"Muhammed","given":"Rafeeq","non-dropping-particle":"","parse-names":false,"suffix":""},{"dropping-particle":"","family":"Murdock","given":"Andrew","non-dropping-particle":"","parse-names":false,"suffix":""},{"dropping-particle":"","family":"Posford","given":"Nick","non-dropping-particle":"","parse-names":false,"suffix":""},{"dropping-particle":"","family":"Rowse","given":"Georgina","non-dropping-particle":"","parse-names":false,"suffix":""},{"dropping-particle":"","family":"Shaw","given":"Ian","non-dropping-particle":"","parse-names":false,"suffix":""},{"dropping-particle":"","family":"St Clair Jones","given":"Anja","non-dropping-particle":"","parse-names":false,"suffix":""},{"dropping-particle":"","family":"Taylor","given":"Stuart","non-dropping-particle":"","parse-names":false,"suffix":""},{"dropping-particle":"","family":"Weaver","given":"Sean","non-dropping-particle":"","parse-names":false,"suffix":""},{"dropping-particle":"","family":"Younge","given":"Lisa","non-dropping-particle":"","parse-names":false,"suffix":""},{"dropping-particle":"","family":"Hawthorne","given":"Antony Barney","non-dropping-particle":"","parse-names":false,"suffix":""}],"container-title":"Frontline Gastroenterology","id":"ITEM-1","issued":{"date-parts":[["2019"]]},"page":"flgastro-2019-101260","title":"Consensus standards of healthcare for adults and children with inflammatory bowel disease in the UK","type":"article-journal"},"uris":["http://www.mendeley.com/documents/?uuid=16977c80-404c-48df-bc01-75cb38fb9bb3"]},{"id":"ITEM-2","itemData":{"DOI":"10.1136/gutjnl-2019-318484","ISSN":"0017-5749","PMID":"31562236","abstract":"Ulcerative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Barney","non-dropping-particle":"","parse-names":false,"suffix":""}],"container-title":"Gut","id":"ITEM-2","issued":{"date-parts":[["2019"]]},"page":"gutjnl-2019-318484","title":"British Society of Gastroenterology consensus guidelines on the management of inflammatory bowel disease in adults","type":"article-journal"},"uris":["http://www.mendeley.com/documents/?uuid=4e086d58-9424-4040-8984-90354eac194f"]}],"mendeley":{"formattedCitation":"&lt;sup&gt;16,17&lt;/sup&gt;","plainTextFormattedCitation":"16,17","previouslyFormattedCitation":"&lt;sup&gt;16,17&lt;/sup&gt;"},"properties":{"noteIndex":0},"schema":"https://github.com/citation-style-language/schema/raw/master/csl-citation.json"}</w:instrText>
      </w:r>
      <w:r w:rsidR="005B0D0F" w:rsidRPr="003B251F">
        <w:rPr>
          <w:lang w:eastAsia="en-GB"/>
        </w:rPr>
        <w:fldChar w:fldCharType="separate"/>
      </w:r>
      <w:r w:rsidR="005B0D0F" w:rsidRPr="003B251F">
        <w:rPr>
          <w:noProof/>
          <w:vertAlign w:val="superscript"/>
          <w:lang w:eastAsia="en-GB"/>
        </w:rPr>
        <w:t>16,17</w:t>
      </w:r>
      <w:r w:rsidR="005B0D0F" w:rsidRPr="003B251F">
        <w:rPr>
          <w:lang w:eastAsia="en-GB"/>
        </w:rPr>
        <w:fldChar w:fldCharType="end"/>
      </w:r>
      <w:r w:rsidR="001A6E6E" w:rsidRPr="003B251F">
        <w:rPr>
          <w:lang w:eastAsia="en-GB"/>
        </w:rPr>
        <w:t xml:space="preserve"> </w:t>
      </w:r>
      <w:r w:rsidR="00E4333D" w:rsidRPr="003B251F">
        <w:rPr>
          <w:lang w:eastAsia="en-GB"/>
        </w:rPr>
        <w:t>Although this improved significantly in the more recent era of our study this trend is likely to have reversed during the COVID-19 pandemic which has resulted in substantially higher thresholds for investigation and inevitable delay in referral from primary care for all but the sickest. After the pandemic recedes it is probable there will remain a prolonged backlog in services which must be addressed carefully in planning future diagnostic pathways.</w:t>
      </w:r>
    </w:p>
    <w:p w14:paraId="70D0B845" w14:textId="22E49173" w:rsidR="00D800CA" w:rsidRPr="003B251F" w:rsidRDefault="000A32C2">
      <w:pPr>
        <w:spacing w:line="480" w:lineRule="auto"/>
        <w:jc w:val="both"/>
        <w:rPr>
          <w:lang w:eastAsia="en-GB"/>
        </w:rPr>
      </w:pPr>
      <w:r w:rsidRPr="003B251F">
        <w:rPr>
          <w:lang w:eastAsia="en-GB"/>
        </w:rPr>
        <w:t>An IOIBD initiative develop</w:t>
      </w:r>
      <w:r w:rsidR="00753B87" w:rsidRPr="003B251F">
        <w:rPr>
          <w:lang w:eastAsia="en-GB"/>
        </w:rPr>
        <w:t>ed</w:t>
      </w:r>
      <w:r w:rsidRPr="003B251F">
        <w:rPr>
          <w:lang w:eastAsia="en-GB"/>
        </w:rPr>
        <w:t xml:space="preserve"> a red flag index for early diagnosis of Crohn’s Disease in patients presenting with GI symptoms</w:t>
      </w:r>
      <w:r w:rsidR="00D81825" w:rsidRPr="003B251F">
        <w:rPr>
          <w:lang w:eastAsia="en-GB"/>
        </w:rPr>
        <w:t>.</w:t>
      </w:r>
      <w:r w:rsidR="00F045C8" w:rsidRPr="003B251F">
        <w:rPr>
          <w:lang w:eastAsia="en-GB"/>
        </w:rPr>
        <w:fldChar w:fldCharType="begin" w:fldLock="1"/>
      </w:r>
      <w:r w:rsidR="00F045C8" w:rsidRPr="003B251F">
        <w:rPr>
          <w:lang w:eastAsia="en-GB"/>
        </w:rPr>
        <w:instrText>ADDIN CSL_CITATION {"citationItems":[{"id":"ITEM-1","itemData":{"DOI":"10.1093/ecco-jcc/jjv067","ISSN":"18764479","abstract":"Background and Aims: Diagnostic delay is frequent in patients with Crohn's disease (CD). We developed a tool to predict early diagnosis. Methods: A systematic literature review and 12 CD specialists identified 'Red Flags', i.e. symptoms or signs suggestive of CD. A 21-item questionnaire was administered to 36 healthy subjects, 80 patients with irritable bowel syndrome (non-CD group) and 85 patients with recently diagnosed (&lt;18 months) CD. Patients with CD were asked to recall symptoms and signs they experienced during the 12 months before diagnosis. Multiple logistic regression analyses selected and weighted independent items to construct the Red Flags index. A receiver operating characteristic curve was used to assess the threshold that discriminated CD from non-CD. Association with the Red Flags index relative to this threshold was expressed as the odds ratios (OR). Results: Two hundred and one subjects, CD and non-CD, answered the questionnaire. The multivariate analysis identified eight items independently associated with a diagnosis of CD. A minimum Red Flags index value of 8 was highly predictive of CD diagnosis with sensitivity and specificity bootstrap estimates of 0.94 (95% confidence interval 0.88-0.99) and 0.94 (0.90-0.97), respectively. Positive and negative likelihood ratios were 15.1 (9.3-33.6) and 0.066 (0.013-0.125), respectively. The association between CD diagnosis and a Red Flags index value of ≥8 corresponds to an OR of 290 (p &lt; 0.0001). Conclusions: The Red Flags index using early symptoms and signs has high predictive value for the diagnosis of CD. These results need prospective validation prior to introduction into clinical practice.","author":[{"dropping-particle":"","family":"Danese","given":"Silvio","non-dropping-particle":"","parse-names":false,"suffix":""},{"dropping-particle":"","family":"Fiorino","given":"Gionata","non-dropping-particle":"","parse-names":false,"suffix":""},{"dropping-particle":"","family":"Mary","given":"Jean Yves","non-dropping-particle":"","parse-names":false,"suffix":""},{"dropping-particle":"","family":"Lakatos","given":"Peter L.","non-dropping-particle":"","parse-names":false,"suffix":""},{"dropping-particle":"","family":"D'Haens","given":"Geert","non-dropping-particle":"","parse-names":false,"suffix":""},{"dropping-particle":"","family":"Moja","given":"Lorenzo","non-dropping-particle":"","parse-names":false,"suffix":""},{"dropping-particle":"","family":"D'Hoore","given":"André","non-dropping-particle":"","parse-names":false,"suffix":""},{"dropping-particle":"","family":"Panes","given":"Julian","non-dropping-particle":"","parse-names":false,"suffix":""},{"dropping-particle":"","family":"Reinisch","given":"Walter","non-dropping-particle":"","parse-names":false,"suffix":""},{"dropping-particle":"","family":"Sandborn","given":"William J.","non-dropping-particle":"","parse-names":false,"suffix":""},{"dropping-particle":"","family":"Travis","given":"Simon P.","non-dropping-particle":"","parse-names":false,"suffix":""},{"dropping-particle":"","family":"Vermeire","given":"Séverine","non-dropping-particle":"","parse-names":false,"suffix":""},{"dropping-particle":"","family":"Peyrin-Biroulet","given":"Laurent","non-dropping-particle":"","parse-names":false,"suffix":""},{"dropping-particle":"","family":"Colombel","given":"Jean Fréderic","non-dropping-particle":"","parse-names":false,"suffix":""}],"container-title":"Journal of Crohn's and Colitis","id":"ITEM-1","issue":"8","issued":{"date-parts":[["2015"]]},"page":"601-606","title":"Development of red flags index for early referral of adults with symptoms and signs suggestive of Crohn's disease: An IOIBD initiative","type":"article-journal","volume":"9"},"uris":["http://www.mendeley.com/documents/?uuid=edcad599-296e-4ccf-aff1-4e83fc32eed4"]}],"mendeley":{"formattedCitation":"&lt;sup&gt;34&lt;/sup&gt;","plainTextFormattedCitation":"34","previouslyFormattedCitation":"&lt;sup&gt;34&lt;/sup&gt;"},"properties":{"noteIndex":0},"schema":"https://github.com/citation-style-language/schema/raw/master/csl-citation.json"}</w:instrText>
      </w:r>
      <w:r w:rsidR="00F045C8" w:rsidRPr="003B251F">
        <w:rPr>
          <w:lang w:eastAsia="en-GB"/>
        </w:rPr>
        <w:fldChar w:fldCharType="separate"/>
      </w:r>
      <w:r w:rsidR="00F045C8" w:rsidRPr="003B251F">
        <w:rPr>
          <w:noProof/>
          <w:vertAlign w:val="superscript"/>
          <w:lang w:eastAsia="en-GB"/>
        </w:rPr>
        <w:t>34</w:t>
      </w:r>
      <w:r w:rsidR="00F045C8" w:rsidRPr="003B251F">
        <w:rPr>
          <w:lang w:eastAsia="en-GB"/>
        </w:rPr>
        <w:fldChar w:fldCharType="end"/>
      </w:r>
      <w:r w:rsidRPr="003B251F">
        <w:rPr>
          <w:lang w:eastAsia="en-GB"/>
        </w:rPr>
        <w:t xml:space="preserve"> </w:t>
      </w:r>
      <w:r w:rsidR="00F045C8" w:rsidRPr="003B251F">
        <w:rPr>
          <w:lang w:eastAsia="en-GB"/>
        </w:rPr>
        <w:t>A validation study found the</w:t>
      </w:r>
      <w:r w:rsidR="00D81825" w:rsidRPr="003B251F">
        <w:rPr>
          <w:lang w:eastAsia="en-GB"/>
        </w:rPr>
        <w:t xml:space="preserve"> index, based on history alone, had </w:t>
      </w:r>
      <w:r w:rsidR="00D800CA" w:rsidRPr="003B251F">
        <w:rPr>
          <w:lang w:eastAsia="en-GB"/>
        </w:rPr>
        <w:t xml:space="preserve">only </w:t>
      </w:r>
      <w:r w:rsidR="00D81825" w:rsidRPr="003B251F">
        <w:rPr>
          <w:lang w:eastAsia="en-GB"/>
        </w:rPr>
        <w:t>50% and 58% sensitivity and specificity respectively</w:t>
      </w:r>
      <w:r w:rsidR="00D800CA" w:rsidRPr="003B251F">
        <w:rPr>
          <w:lang w:eastAsia="en-GB"/>
        </w:rPr>
        <w:t>, meaning many diagnoses of CD would be missed.</w:t>
      </w:r>
      <w:r w:rsidR="00F045C8" w:rsidRPr="003B251F">
        <w:rPr>
          <w:lang w:eastAsia="en-GB"/>
        </w:rPr>
        <w:fldChar w:fldCharType="begin" w:fldLock="1"/>
      </w:r>
      <w:r w:rsidR="00864F88" w:rsidRPr="003B251F">
        <w:rPr>
          <w:lang w:eastAsia="en-GB"/>
        </w:rPr>
        <w:instrText>ADDIN CSL_CITATION {"citationItems":[{"id":"ITEM-1","itemData":{"DOI":"10.1093/ecco-jcc/jjz203.373","ISSN":"1873-9946","abstract":"A diagnostic delay &amp;gt;12 months is frequent in Crohn’s disease (CD), and associated with lower therapeutic response rates and worse outcomes. The Red Flags index, a simple tool to help to identify early CD and reduce diagnostic delay, was recently developed. We aimed to assess its accuracy for early diagnosis of CD patients.Consecutive adult patients, suffering from intestinal symptoms and having no medical history of any gastrointestinal disease, referring to the General Practitioner (GP) were screened. Patients should have at least one of the following symptoms: chronic abdominal pain, chronic diarrhoea, nocturnal diarrhoea, unexpected weight loss, or perianal lesions. The GPs administered the Red Flags questionnaire to each eligible patient. Then, all patients were referred to the nearest participating Centre to confirm or exclude the diagnosis of CD. IBD specialists were blinded to the results of the questionnaire. The first-line examination systematically included blood cell count, serum C-reactive protein, faecal calprotectin (FC) and abdominal ultrasound, according to routine practice. If required to confirm CD, second-line examinations were planned (i.e. colonoscopy and cross-sectional imaging). Sensitivity (Se), specificity (Sp), positive and negative predictive values (PPV, NPV) of the Red Flags index were estimated. Patients lost to follow-up were included in the analysis by a non-responder imputation assuming they were negative for CD.From 11/2016 to 11/2019, 64 GPs participated (Bergamo: 52, Pavia: 12, in charge of a population of 93,000 subjects) and 112 patients over a mean number of 53,568 subjects screened were included in the study (median age 35 years, range: 18–69, 37% males). Only 66 subjects (59%) completed the study. The prevalence of CD was 3.6% in the study population (4 of 112 subjects; 3 with B1, and 1 with B2 phenotype). The Red Flags index had Se=0.50 (95% CI: 0.07–0.93), Sp = 0.58 (0.49–0.68), PPV=0.04 (0.01–0.15), and NPV=0.97 (0.89–1.00). A combined diagnostic strategy with faecal calprotectin (in which a subject was considered ‘positive’ if having RFI ≥8 and/or FC &amp;gt;250) resulted in significantly improved diagnostic accuracy: Se=1.00 (0.29–1.00), Sp = 0.72 (0.55–0.85), PPV=0.21 (0.05–0.51), NPV=1.00 (0.88–1.00); however, only 42 subjects (with 3 confirmed cases of CD) were available for this analysis.The diagnostic accuracy of the Red Flags questionnaire was moderate when applied alone to a primary care setting. Howev…","author":[{"dropping-particle":"","family":"Fiorino","given":"G","non-dropping-particle":"","parse-names":false,"suffix":""},{"dropping-particle":"","family":"Gilardi","given":"D","non-dropping-particle":"","parse-names":false,"suffix":""},{"dropping-particle":"","family":"Bonovas","given":"S","non-dropping-particle":"","parse-names":false,"suffix":""},{"dropping-particle":"","family":"Sabatino","given":"A","non-dropping-particle":"Di","parse-names":false,"suffix":""},{"dropping-particle":"","family":"Angeli","given":"E","non-dropping-particle":"","parse-names":false,"suffix":""},{"dropping-particle":"","family":"Gaffuri","given":"N","non-dropping-particle":"","parse-names":false,"suffix":""},{"dropping-particle":"","family":"Allocca","given":"M","non-dropping-particle":"","parse-names":false,"suffix":""},{"dropping-particle":"","family":"Furfaro","given":"F","non-dropping-particle":"","parse-names":false,"suffix":""},{"dropping-particle":"","family":"Roda","given":"G","non-dropping-particle":"","parse-names":false,"suffix":""},{"dropping-particle":"","family":"Lenti","given":"M","non-dropping-particle":"","parse-names":false,"suffix":""},{"dropping-particle":"","family":"Nicola","given":"A","non-dropping-particle":"","parse-names":false,"suffix":""},{"dropping-particle":"","family":"Mengoli","given":"C","non-dropping-particle":"","parse-names":false,"suffix":""},{"dropping-particle":"","family":"Peyrin-Biroulet","given":"L","non-dropping-particle":"","parse-names":false,"suffix":""},{"dropping-particle":"","family":"Danese","given":"S","non-dropping-particle":"","parse-names":false,"suffix":""}],"container-title":"Journal of Crohn's and Colitis","id":"ITEM-1","issue":"Supplement_1","issued":{"date-parts":[["2020","1","15"]]},"page":"S267-S269","title":"P244 Validation of the Red Flags index for early diagnosis of Crohn’s disease: A prospective general practitioner study","type":"article-journal","volume":"14"},"uris":["http://www.mendeley.com/documents/?uuid=038a3c8b-8846-4bca-a2e2-10c72b33dac6"]}],"mendeley":{"formattedCitation":"&lt;sup&gt;45&lt;/sup&gt;","plainTextFormattedCitation":"45","previouslyFormattedCitation":"&lt;sup&gt;45&lt;/sup&gt;"},"properties":{"noteIndex":0},"schema":"https://github.com/citation-style-language/schema/raw/master/csl-citation.json"}</w:instrText>
      </w:r>
      <w:r w:rsidR="00F045C8" w:rsidRPr="003B251F">
        <w:rPr>
          <w:lang w:eastAsia="en-GB"/>
        </w:rPr>
        <w:fldChar w:fldCharType="separate"/>
      </w:r>
      <w:r w:rsidR="00F045C8" w:rsidRPr="003B251F">
        <w:rPr>
          <w:noProof/>
          <w:vertAlign w:val="superscript"/>
          <w:lang w:eastAsia="en-GB"/>
        </w:rPr>
        <w:t>45</w:t>
      </w:r>
      <w:r w:rsidR="00F045C8" w:rsidRPr="003B251F">
        <w:rPr>
          <w:lang w:eastAsia="en-GB"/>
        </w:rPr>
        <w:fldChar w:fldCharType="end"/>
      </w:r>
      <w:r w:rsidR="00D800CA" w:rsidRPr="003B251F">
        <w:rPr>
          <w:lang w:eastAsia="en-GB"/>
        </w:rPr>
        <w:t xml:space="preserve"> However when used in conjunction with f</w:t>
      </w:r>
      <w:r w:rsidR="005821F2" w:rsidRPr="003B251F">
        <w:rPr>
          <w:lang w:eastAsia="en-GB"/>
        </w:rPr>
        <w:t>aecal calprotectin,</w:t>
      </w:r>
      <w:r w:rsidR="00D800CA" w:rsidRPr="003B251F">
        <w:rPr>
          <w:lang w:eastAsia="en-GB"/>
        </w:rPr>
        <w:t xml:space="preserve"> a</w:t>
      </w:r>
      <w:r w:rsidR="005821F2" w:rsidRPr="003B251F">
        <w:rPr>
          <w:lang w:eastAsia="en-GB"/>
        </w:rPr>
        <w:t xml:space="preserve"> non-invasive </w:t>
      </w:r>
      <w:r w:rsidR="00D800CA" w:rsidRPr="003B251F">
        <w:rPr>
          <w:lang w:eastAsia="en-GB"/>
        </w:rPr>
        <w:t>biomarker of intestinal inflammation, the sensitivity and specificity rose to 100% and 72% respectively</w:t>
      </w:r>
      <w:r w:rsidR="00C57772" w:rsidRPr="003B251F">
        <w:rPr>
          <w:lang w:eastAsia="en-GB"/>
        </w:rPr>
        <w:t xml:space="preserve">. </w:t>
      </w:r>
      <w:r w:rsidR="00012CBB" w:rsidRPr="003B251F">
        <w:rPr>
          <w:lang w:eastAsia="en-GB"/>
        </w:rPr>
        <w:t>The BSG guidelines recommend any individuals presenting with GI symptoms lasting more than 4 weeks, where it is unclear whether further investigation is warranted, should have a faecal calprotectin tested and if this is raised further investigation is appropriate.</w:t>
      </w:r>
      <w:r w:rsidR="00012CBB" w:rsidRPr="003B251F">
        <w:rPr>
          <w:lang w:eastAsia="en-GB"/>
        </w:rPr>
        <w:fldChar w:fldCharType="begin" w:fldLock="1"/>
      </w:r>
      <w:r w:rsidR="003E3AC5" w:rsidRPr="003B251F">
        <w:rPr>
          <w:lang w:eastAsia="en-GB"/>
        </w:rPr>
        <w:instrText>ADDIN CSL_CITATION {"citationItems":[{"id":"ITEM-1","itemData":{"DOI":"10.1136/gutjnl-2019-318484","ISSN":"0017-5749","PMID":"31562236","abstract":"Ulcerative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Barney","non-dropping-particle":"","parse-names":false,"suffix":""}],"container-title":"Gut","id":"ITEM-1","issued":{"date-parts":[["2019"]]},"page":"gutjnl-2019-318484","title":"British Society of Gastroenterology consensus guidelines on the management of inflammatory bowel disease in adults","type":"article-journal"},"uris":["http://www.mendeley.com/documents/?uuid=4e086d58-9424-4040-8984-90354eac194f"]}],"mendeley":{"formattedCitation":"&lt;sup&gt;16&lt;/sup&gt;","plainTextFormattedCitation":"16","previouslyFormattedCitation":"&lt;sup&gt;16&lt;/sup&gt;"},"properties":{"noteIndex":0},"schema":"https://github.com/citation-style-language/schema/raw/master/csl-citation.json"}</w:instrText>
      </w:r>
      <w:r w:rsidR="00012CBB" w:rsidRPr="003B251F">
        <w:rPr>
          <w:lang w:eastAsia="en-GB"/>
        </w:rPr>
        <w:fldChar w:fldCharType="separate"/>
      </w:r>
      <w:r w:rsidR="00012CBB" w:rsidRPr="003B251F">
        <w:rPr>
          <w:noProof/>
          <w:vertAlign w:val="superscript"/>
          <w:lang w:eastAsia="en-GB"/>
        </w:rPr>
        <w:t>16</w:t>
      </w:r>
      <w:r w:rsidR="00012CBB" w:rsidRPr="003B251F">
        <w:rPr>
          <w:lang w:eastAsia="en-GB"/>
        </w:rPr>
        <w:fldChar w:fldCharType="end"/>
      </w:r>
    </w:p>
    <w:p w14:paraId="71EA8B8B" w14:textId="3BABA73F" w:rsidR="006C4C5B" w:rsidRPr="003B251F" w:rsidRDefault="00851E07">
      <w:pPr>
        <w:spacing w:line="480" w:lineRule="auto"/>
        <w:jc w:val="both"/>
        <w:rPr>
          <w:lang w:eastAsia="en-GB"/>
        </w:rPr>
      </w:pPr>
      <w:r w:rsidRPr="003B251F">
        <w:rPr>
          <w:lang w:eastAsia="en-GB"/>
        </w:rPr>
        <w:lastRenderedPageBreak/>
        <w:t>Cli</w:t>
      </w:r>
      <w:r w:rsidR="00E74518" w:rsidRPr="003B251F">
        <w:rPr>
          <w:lang w:eastAsia="en-GB"/>
        </w:rPr>
        <w:t>ni</w:t>
      </w:r>
      <w:r w:rsidRPr="003B251F">
        <w:rPr>
          <w:lang w:eastAsia="en-GB"/>
        </w:rPr>
        <w:t>cians need to be mindful</w:t>
      </w:r>
      <w:r w:rsidR="00E74518" w:rsidRPr="003B251F">
        <w:rPr>
          <w:lang w:eastAsia="en-GB"/>
        </w:rPr>
        <w:t xml:space="preserve"> that</w:t>
      </w:r>
      <w:r w:rsidRPr="003B251F">
        <w:rPr>
          <w:lang w:eastAsia="en-GB"/>
        </w:rPr>
        <w:t xml:space="preserve"> d</w:t>
      </w:r>
      <w:r w:rsidR="00122F5A" w:rsidRPr="003B251F">
        <w:rPr>
          <w:lang w:eastAsia="en-GB"/>
        </w:rPr>
        <w:t>iagnostic labels of IBS</w:t>
      </w:r>
      <w:r w:rsidR="00C57772" w:rsidRPr="003B251F">
        <w:rPr>
          <w:lang w:eastAsia="en-GB"/>
        </w:rPr>
        <w:t xml:space="preserve"> and depression</w:t>
      </w:r>
      <w:r w:rsidR="00122F5A" w:rsidRPr="003B251F">
        <w:rPr>
          <w:lang w:eastAsia="en-GB"/>
        </w:rPr>
        <w:t xml:space="preserve"> are associated with </w:t>
      </w:r>
      <w:r w:rsidR="001A6E6E" w:rsidRPr="003B251F">
        <w:rPr>
          <w:lang w:eastAsia="en-GB"/>
        </w:rPr>
        <w:t>a</w:t>
      </w:r>
      <w:r w:rsidRPr="003B251F">
        <w:rPr>
          <w:lang w:eastAsia="en-GB"/>
        </w:rPr>
        <w:t xml:space="preserve"> relatively increased </w:t>
      </w:r>
      <w:r w:rsidR="00122F5A" w:rsidRPr="003B251F">
        <w:rPr>
          <w:lang w:eastAsia="en-GB"/>
        </w:rPr>
        <w:t xml:space="preserve">delay </w:t>
      </w:r>
      <w:r w:rsidR="001A6E6E" w:rsidRPr="003B251F">
        <w:rPr>
          <w:lang w:eastAsia="en-GB"/>
        </w:rPr>
        <w:t xml:space="preserve">in </w:t>
      </w:r>
      <w:r w:rsidR="00122F5A" w:rsidRPr="003B251F">
        <w:rPr>
          <w:lang w:eastAsia="en-GB"/>
        </w:rPr>
        <w:t>specialist</w:t>
      </w:r>
      <w:r w:rsidR="00C25550" w:rsidRPr="003B251F">
        <w:rPr>
          <w:lang w:eastAsia="en-GB"/>
        </w:rPr>
        <w:t xml:space="preserve"> review</w:t>
      </w:r>
      <w:r w:rsidR="00C57772" w:rsidRPr="003B251F">
        <w:rPr>
          <w:lang w:eastAsia="en-GB"/>
        </w:rPr>
        <w:t xml:space="preserve"> for</w:t>
      </w:r>
      <w:r w:rsidR="001A6E6E" w:rsidRPr="003B251F">
        <w:rPr>
          <w:lang w:eastAsia="en-GB"/>
        </w:rPr>
        <w:t xml:space="preserve"> GI symptoms</w:t>
      </w:r>
      <w:r w:rsidR="00122F5A" w:rsidRPr="003B251F">
        <w:rPr>
          <w:lang w:eastAsia="en-GB"/>
        </w:rPr>
        <w:t>.</w:t>
      </w:r>
      <w:r w:rsidR="00AB10E1" w:rsidRPr="003B251F">
        <w:rPr>
          <w:lang w:eastAsia="en-GB"/>
        </w:rPr>
        <w:t xml:space="preserve"> </w:t>
      </w:r>
      <w:r w:rsidR="006913EE" w:rsidRPr="003B251F">
        <w:rPr>
          <w:lang w:eastAsia="en-GB"/>
        </w:rPr>
        <w:t>Raising p</w:t>
      </w:r>
      <w:r w:rsidR="004A6E23" w:rsidRPr="003B251F">
        <w:rPr>
          <w:lang w:eastAsia="en-GB"/>
        </w:rPr>
        <w:t xml:space="preserve">ublic awareness </w:t>
      </w:r>
      <w:r w:rsidR="006913EE" w:rsidRPr="003B251F">
        <w:rPr>
          <w:lang w:eastAsia="en-GB"/>
        </w:rPr>
        <w:t xml:space="preserve">of the importance of reporting unresolved GI symptoms to </w:t>
      </w:r>
      <w:r w:rsidR="00E74518" w:rsidRPr="003B251F">
        <w:rPr>
          <w:lang w:eastAsia="en-GB"/>
        </w:rPr>
        <w:t>primary care physician</w:t>
      </w:r>
      <w:r w:rsidR="006913EE" w:rsidRPr="003B251F">
        <w:rPr>
          <w:lang w:eastAsia="en-GB"/>
        </w:rPr>
        <w:t xml:space="preserve">s may </w:t>
      </w:r>
      <w:r w:rsidR="004A6E23" w:rsidRPr="003B251F">
        <w:rPr>
          <w:lang w:eastAsia="en-GB"/>
        </w:rPr>
        <w:t>facilitate timely diagnosis</w:t>
      </w:r>
      <w:r w:rsidR="00AB10E1" w:rsidRPr="003B251F">
        <w:rPr>
          <w:lang w:eastAsia="en-GB"/>
        </w:rPr>
        <w:t>.</w:t>
      </w:r>
      <w:r w:rsidR="004A6E23" w:rsidRPr="003B251F">
        <w:rPr>
          <w:lang w:eastAsia="en-GB"/>
        </w:rPr>
        <w:fldChar w:fldCharType="begin" w:fldLock="1"/>
      </w:r>
      <w:r w:rsidR="00864F88" w:rsidRPr="003B251F">
        <w:rPr>
          <w:lang w:eastAsia="en-GB"/>
        </w:rPr>
        <w:instrText>ADDIN CSL_CITATION {"citationItems":[{"id":"ITEM-1","itemData":{"DOI":"10.1016/j.crohns.2009.01.003","ISSN":"1873-9946","abstract":"Background and aims: Crohn's disease (CD) and ulcerative colitis (UC) are lifelong inflammatory bowel diseases (IBD) progressing over time. Lack of public awareness may contribute to tardy consultation of primary care physicians, late diagnosis and development of potentially preventable complications of disease. A public opinion poll has been performed to assess the awareness of CD and UC in the Austrian population.Methods: In March/April 2006, 122 interviewers of an international polling institute asked 1001 Austrians aged 16 and over about their knowledge of CD and UC. People interviewed were selected using a quota sampling scheme representing the Austrian population. Results: CD and UC were never heard/read in 68% and 79% (group 1), respectively, whereas 23% and 14% had already heard/read these terms (group 2). Only 9% and 7% of participants gained information on or were familiar with CD and UC (group3), respectively. Among provided choices of potentially afflicted organs interviewees of group 3 associated the terms “CD” and “UC” with an intestinal disease in 86% each. Among those of group 2 + 3 the corresponding figures were 53% and 60% for CD and UC, respectively. Overall, 7% and 4% of the participants stated to be aware and/or informed on CD and UC and correctly associated these terms with an intestinal disease. Conclusions: This is the first study on public awareness of the terms “Crohn's disease” and “ulcerative colitis”. Poor knowledge in the public is reported which may vastly impact outcome and health economic consequences of IBD. ","author":[{"dropping-particle":"","family":"Angelberger","given":"Sieglinde","non-dropping-particle":"","parse-names":false,"suffix":""},{"dropping-particle":"","family":"Vogelsang","given":"Harald","non-dropping-particle":"","parse-names":false,"suffix":""},{"dropping-particle":"","family":"Novacek","given":"Gottfried","non-dropping-particle":"","parse-names":false,"suffix":""},{"dropping-particle":"","family":"Miehsler","given":"Wolfgang","non-dropping-particle":"","parse-names":false,"suffix":""},{"dropping-particle":"","family":"Dejaco","given":"Clemens","non-dropping-particle":"","parse-names":false,"suffix":""},{"dropping-particle":"","family":"Gangl","given":"Alfred","non-dropping-particle":"","parse-names":false,"suffix":""},{"dropping-particle":"","family":"Reinisch","given":"Walter","non-dropping-particle":"","parse-names":false,"suffix":""}],"container-title":"Journal of Crohn's and Colitis","id":"ITEM-1","issue":"3","issued":{"date-parts":[["2009","9","1"]]},"page":"157-161","title":"Public awareness of Crohn's disease and ulcerative colitis: A national survey ","type":"article-journal","volume":"3"},"uris":["http://www.mendeley.com/documents/?uuid=ff16e5de-6e5e-41f2-b91f-c2dc93c7174b"]}],"mendeley":{"formattedCitation":"&lt;sup&gt;46&lt;/sup&gt;","plainTextFormattedCitation":"46","previouslyFormattedCitation":"&lt;sup&gt;46&lt;/sup&gt;"},"properties":{"noteIndex":0},"schema":"https://github.com/citation-style-language/schema/raw/master/csl-citation.json"}</w:instrText>
      </w:r>
      <w:r w:rsidR="004A6E23" w:rsidRPr="003B251F">
        <w:rPr>
          <w:lang w:eastAsia="en-GB"/>
        </w:rPr>
        <w:fldChar w:fldCharType="separate"/>
      </w:r>
      <w:r w:rsidR="00F045C8" w:rsidRPr="003B251F">
        <w:rPr>
          <w:noProof/>
          <w:vertAlign w:val="superscript"/>
          <w:lang w:eastAsia="en-GB"/>
        </w:rPr>
        <w:t>46</w:t>
      </w:r>
      <w:r w:rsidR="004A6E23" w:rsidRPr="003B251F">
        <w:rPr>
          <w:lang w:eastAsia="en-GB"/>
        </w:rPr>
        <w:fldChar w:fldCharType="end"/>
      </w:r>
      <w:r w:rsidR="00AB10E1" w:rsidRPr="003B251F">
        <w:rPr>
          <w:lang w:eastAsia="en-GB"/>
        </w:rPr>
        <w:t xml:space="preserve"> </w:t>
      </w:r>
      <w:r w:rsidR="004A6E23" w:rsidRPr="003B251F">
        <w:rPr>
          <w:lang w:eastAsia="en-GB"/>
        </w:rPr>
        <w:t>T</w:t>
      </w:r>
      <w:r w:rsidR="00AB10E1" w:rsidRPr="003B251F">
        <w:rPr>
          <w:lang w:eastAsia="en-GB"/>
        </w:rPr>
        <w:t xml:space="preserve">he Royal College of General Practitioners and Crohn’s and Colitis UK have </w:t>
      </w:r>
      <w:r w:rsidR="004A6E23" w:rsidRPr="003B251F">
        <w:rPr>
          <w:lang w:eastAsia="en-GB"/>
        </w:rPr>
        <w:t xml:space="preserve">used the IBD </w:t>
      </w:r>
      <w:r w:rsidR="006913EE" w:rsidRPr="003B251F">
        <w:rPr>
          <w:lang w:eastAsia="en-GB"/>
        </w:rPr>
        <w:t>S</w:t>
      </w:r>
      <w:r w:rsidR="004A6E23" w:rsidRPr="003B251F">
        <w:rPr>
          <w:lang w:eastAsia="en-GB"/>
        </w:rPr>
        <w:t xml:space="preserve">potlight project in 2017/2018 to support primary care physicians </w:t>
      </w:r>
      <w:r w:rsidR="00053E68" w:rsidRPr="003B251F">
        <w:rPr>
          <w:lang w:eastAsia="en-GB"/>
        </w:rPr>
        <w:t xml:space="preserve">with the aim of </w:t>
      </w:r>
      <w:r w:rsidR="004A6E23" w:rsidRPr="003B251F">
        <w:rPr>
          <w:lang w:eastAsia="en-GB"/>
        </w:rPr>
        <w:t>improv</w:t>
      </w:r>
      <w:r w:rsidR="00053E68" w:rsidRPr="003B251F">
        <w:rPr>
          <w:lang w:eastAsia="en-GB"/>
        </w:rPr>
        <w:t>ing</w:t>
      </w:r>
      <w:r w:rsidR="004A6E23" w:rsidRPr="003B251F">
        <w:rPr>
          <w:lang w:eastAsia="en-GB"/>
        </w:rPr>
        <w:t xml:space="preserve"> detection and diagnosis of IBD.</w:t>
      </w:r>
      <w:r w:rsidR="003E3AC5" w:rsidRPr="003B251F">
        <w:rPr>
          <w:lang w:eastAsia="en-GB"/>
        </w:rPr>
        <w:fldChar w:fldCharType="begin" w:fldLock="1"/>
      </w:r>
      <w:r w:rsidR="003E3AC5" w:rsidRPr="003B251F">
        <w:rPr>
          <w:lang w:eastAsia="en-GB"/>
        </w:rPr>
        <w:instrText>ADDIN CSL_CITATION {"citationItems":[{"id":"ITEM-1","itemData":{"URL":"https://www.rcgp.org.uk/clinical-and-research/our-programmes/clinical-priorities/spotlight-projects-2019-to-2020/inflammatory-bowel-disease.aspx","accessed":{"date-parts":[["2020","6","7"]]},"author":[{"dropping-particle":"","family":"Royal College of General Practitioners","given":"","non-dropping-particle":"","parse-names":false,"suffix":""}],"id":"ITEM-1","issued":{"date-parts":[["2020"]]},"title":"IBD Spotlight Project","type":"webpage"},"uris":["http://www.mendeley.com/documents/?uuid=a95f1de7-b215-4933-b92c-7906ea20dbfb"]}],"mendeley":{"formattedCitation":"&lt;sup&gt;47&lt;/sup&gt;","plainTextFormattedCitation":"47"},"properties":{"noteIndex":0},"schema":"https://github.com/citation-style-language/schema/raw/master/csl-citation.json"}</w:instrText>
      </w:r>
      <w:r w:rsidR="003E3AC5" w:rsidRPr="003B251F">
        <w:rPr>
          <w:lang w:eastAsia="en-GB"/>
        </w:rPr>
        <w:fldChar w:fldCharType="separate"/>
      </w:r>
      <w:r w:rsidR="003E3AC5" w:rsidRPr="003B251F">
        <w:rPr>
          <w:noProof/>
          <w:vertAlign w:val="superscript"/>
          <w:lang w:eastAsia="en-GB"/>
        </w:rPr>
        <w:t>47</w:t>
      </w:r>
      <w:r w:rsidR="003E3AC5" w:rsidRPr="003B251F">
        <w:rPr>
          <w:lang w:eastAsia="en-GB"/>
        </w:rPr>
        <w:fldChar w:fldCharType="end"/>
      </w:r>
      <w:r w:rsidR="004A6E23" w:rsidRPr="003B251F">
        <w:rPr>
          <w:lang w:eastAsia="en-GB"/>
        </w:rPr>
        <w:t xml:space="preserve"> This campaign was conducted just after our study period and further research is needed to determine its impact.</w:t>
      </w:r>
    </w:p>
    <w:p w14:paraId="24994CB4" w14:textId="77777777" w:rsidR="006C4C5B" w:rsidRPr="003B251F" w:rsidRDefault="006C4C5B">
      <w:pPr>
        <w:spacing w:line="480" w:lineRule="auto"/>
        <w:jc w:val="both"/>
        <w:rPr>
          <w:lang w:eastAsia="en-GB"/>
        </w:rPr>
      </w:pPr>
    </w:p>
    <w:p w14:paraId="3FD9963A" w14:textId="181003F7" w:rsidR="0080614F" w:rsidRPr="003B251F" w:rsidRDefault="0080614F" w:rsidP="00A624CE">
      <w:pPr>
        <w:pStyle w:val="Heading2"/>
        <w:spacing w:line="480" w:lineRule="auto"/>
        <w:jc w:val="both"/>
        <w:rPr>
          <w:rFonts w:asciiTheme="minorHAnsi" w:hAnsiTheme="minorHAnsi"/>
        </w:rPr>
      </w:pPr>
      <w:r w:rsidRPr="003B251F">
        <w:rPr>
          <w:rFonts w:asciiTheme="minorHAnsi" w:hAnsiTheme="minorHAnsi"/>
        </w:rPr>
        <w:t>Conclusions</w:t>
      </w:r>
    </w:p>
    <w:p w14:paraId="78BA78CE" w14:textId="0E49F8FF" w:rsidR="00F404D1" w:rsidRPr="003B251F" w:rsidRDefault="004E767D">
      <w:pPr>
        <w:spacing w:line="480" w:lineRule="auto"/>
        <w:jc w:val="both"/>
        <w:rPr>
          <w:rFonts w:cs="Arial"/>
        </w:rPr>
      </w:pPr>
      <w:r w:rsidRPr="003B251F">
        <w:rPr>
          <w:rFonts w:cs="Arial"/>
        </w:rPr>
        <w:t>There is a significant excess of GI symptoms 5 years before diagnosis of IBD compared to the background population which</w:t>
      </w:r>
      <w:r w:rsidR="00492A17" w:rsidRPr="003B251F">
        <w:rPr>
          <w:rFonts w:cs="Arial"/>
        </w:rPr>
        <w:t xml:space="preserve"> is</w:t>
      </w:r>
      <w:r w:rsidRPr="003B251F">
        <w:rPr>
          <w:rFonts w:cs="Arial"/>
        </w:rPr>
        <w:t xml:space="preserve"> likely attributable to undiagnosed disease. Previous diagnoses of IBS and depression are associated with a delay in specialist review. Enhanced pathways are needed to accelerate specialist referral and timely IBD diagnosis. </w:t>
      </w:r>
    </w:p>
    <w:p w14:paraId="33090C0A" w14:textId="77777777" w:rsidR="00C90846" w:rsidRPr="003B251F" w:rsidRDefault="00C90846">
      <w:pPr>
        <w:rPr>
          <w:rFonts w:asciiTheme="majorHAnsi" w:eastAsiaTheme="majorEastAsia" w:hAnsiTheme="majorHAnsi" w:cstheme="majorBidi"/>
          <w:color w:val="2E74B5" w:themeColor="accent1" w:themeShade="BF"/>
          <w:sz w:val="32"/>
          <w:szCs w:val="32"/>
        </w:rPr>
      </w:pPr>
      <w:r w:rsidRPr="003B251F">
        <w:br w:type="page"/>
      </w:r>
    </w:p>
    <w:p w14:paraId="6A0F097F" w14:textId="184F3DF8" w:rsidR="00C90846" w:rsidRPr="003B251F" w:rsidRDefault="00C90846" w:rsidP="00C90846">
      <w:pPr>
        <w:pStyle w:val="Heading1"/>
      </w:pPr>
      <w:r w:rsidRPr="003B251F">
        <w:lastRenderedPageBreak/>
        <w:t>Table 1: Baseline characteristics of study population</w:t>
      </w:r>
    </w:p>
    <w:tbl>
      <w:tblPr>
        <w:tblStyle w:val="TableGrid"/>
        <w:tblW w:w="699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66"/>
        <w:gridCol w:w="1133"/>
        <w:gridCol w:w="217"/>
        <w:gridCol w:w="967"/>
        <w:gridCol w:w="1084"/>
        <w:gridCol w:w="1184"/>
      </w:tblGrid>
      <w:tr w:rsidR="00C90846" w:rsidRPr="003B251F" w14:paraId="2608B7F1" w14:textId="77777777" w:rsidTr="00D12C8E">
        <w:trPr>
          <w:gridAfter w:val="3"/>
          <w:wAfter w:w="3235" w:type="dxa"/>
          <w:trHeight w:val="748"/>
          <w:jc w:val="center"/>
        </w:trPr>
        <w:tc>
          <w:tcPr>
            <w:tcW w:w="2344" w:type="dxa"/>
          </w:tcPr>
          <w:p w14:paraId="5DEC39A2" w14:textId="77777777" w:rsidR="00C90846" w:rsidRPr="003B251F" w:rsidRDefault="00C90846" w:rsidP="00D12C8E">
            <w:pPr>
              <w:pStyle w:val="Heading1"/>
              <w:outlineLvl w:val="0"/>
            </w:pPr>
          </w:p>
        </w:tc>
        <w:tc>
          <w:tcPr>
            <w:tcW w:w="1416" w:type="dxa"/>
            <w:gridSpan w:val="3"/>
          </w:tcPr>
          <w:p w14:paraId="4A6BD64A" w14:textId="77777777" w:rsidR="00C90846" w:rsidRPr="003B251F" w:rsidRDefault="00C90846" w:rsidP="00D12C8E">
            <w:pPr>
              <w:jc w:val="right"/>
              <w:rPr>
                <w:rFonts w:asciiTheme="majorHAnsi" w:hAnsiTheme="majorHAnsi"/>
                <w:b/>
                <w:sz w:val="20"/>
                <w:szCs w:val="18"/>
              </w:rPr>
            </w:pPr>
          </w:p>
        </w:tc>
      </w:tr>
      <w:tr w:rsidR="00C90846" w:rsidRPr="003B251F" w14:paraId="45B7BB4F" w14:textId="77777777" w:rsidTr="00D12C8E">
        <w:trPr>
          <w:trHeight w:val="1010"/>
          <w:jc w:val="center"/>
        </w:trPr>
        <w:tc>
          <w:tcPr>
            <w:tcW w:w="2410" w:type="dxa"/>
            <w:gridSpan w:val="2"/>
            <w:shd w:val="clear" w:color="auto" w:fill="DEEAF6" w:themeFill="accent1" w:themeFillTint="33"/>
          </w:tcPr>
          <w:p w14:paraId="378550F9" w14:textId="77777777" w:rsidR="00C90846" w:rsidRPr="003B251F" w:rsidRDefault="00C90846" w:rsidP="00D12C8E">
            <w:pPr>
              <w:rPr>
                <w:rFonts w:asciiTheme="majorHAnsi" w:hAnsiTheme="majorHAnsi"/>
                <w:b/>
                <w:sz w:val="24"/>
              </w:rPr>
            </w:pPr>
            <w:r w:rsidRPr="003B251F">
              <w:rPr>
                <w:rFonts w:asciiTheme="majorHAnsi" w:hAnsiTheme="majorHAnsi"/>
                <w:b/>
                <w:sz w:val="20"/>
              </w:rPr>
              <w:t>IBD Status</w:t>
            </w:r>
          </w:p>
        </w:tc>
        <w:tc>
          <w:tcPr>
            <w:tcW w:w="1133" w:type="dxa"/>
            <w:shd w:val="clear" w:color="auto" w:fill="DEEAF6" w:themeFill="accent1" w:themeFillTint="33"/>
            <w:hideMark/>
          </w:tcPr>
          <w:p w14:paraId="108031AF" w14:textId="77777777" w:rsidR="00C90846" w:rsidRPr="003B251F" w:rsidRDefault="00C90846" w:rsidP="00D12C8E">
            <w:pPr>
              <w:jc w:val="right"/>
              <w:rPr>
                <w:rFonts w:asciiTheme="majorHAnsi" w:hAnsiTheme="majorHAnsi"/>
                <w:b/>
                <w:sz w:val="20"/>
                <w:szCs w:val="18"/>
              </w:rPr>
            </w:pPr>
            <w:r w:rsidRPr="003B251F">
              <w:rPr>
                <w:rFonts w:asciiTheme="majorHAnsi" w:hAnsiTheme="majorHAnsi"/>
                <w:b/>
                <w:sz w:val="20"/>
                <w:szCs w:val="18"/>
              </w:rPr>
              <w:t>Crohn’s Disease</w:t>
            </w:r>
          </w:p>
        </w:tc>
        <w:tc>
          <w:tcPr>
            <w:tcW w:w="1184" w:type="dxa"/>
            <w:gridSpan w:val="2"/>
            <w:shd w:val="clear" w:color="auto" w:fill="DEEAF6" w:themeFill="accent1" w:themeFillTint="33"/>
          </w:tcPr>
          <w:p w14:paraId="20FEB628" w14:textId="77777777" w:rsidR="00C90846" w:rsidRPr="003B251F" w:rsidRDefault="00C90846" w:rsidP="00D12C8E">
            <w:pPr>
              <w:jc w:val="center"/>
              <w:rPr>
                <w:rFonts w:asciiTheme="majorHAnsi" w:hAnsiTheme="majorHAnsi"/>
                <w:b/>
                <w:sz w:val="20"/>
                <w:szCs w:val="18"/>
              </w:rPr>
            </w:pPr>
            <w:r w:rsidRPr="003B251F">
              <w:rPr>
                <w:rFonts w:asciiTheme="majorHAnsi" w:hAnsiTheme="majorHAnsi"/>
                <w:b/>
                <w:sz w:val="20"/>
                <w:szCs w:val="18"/>
              </w:rPr>
              <w:t>Controls</w:t>
            </w:r>
            <w:r w:rsidRPr="003B251F">
              <w:rPr>
                <w:rFonts w:asciiTheme="majorHAnsi" w:hAnsiTheme="majorHAnsi"/>
                <w:b/>
                <w:sz w:val="20"/>
                <w:szCs w:val="18"/>
              </w:rPr>
              <w:br/>
              <w:t>(CD)</w:t>
            </w:r>
          </w:p>
        </w:tc>
        <w:tc>
          <w:tcPr>
            <w:tcW w:w="1084" w:type="dxa"/>
            <w:shd w:val="clear" w:color="auto" w:fill="DEEAF6" w:themeFill="accent1" w:themeFillTint="33"/>
            <w:hideMark/>
          </w:tcPr>
          <w:p w14:paraId="669EDD1E" w14:textId="77777777" w:rsidR="00C90846" w:rsidRPr="003B251F" w:rsidRDefault="00C90846" w:rsidP="00D12C8E">
            <w:pPr>
              <w:jc w:val="center"/>
              <w:rPr>
                <w:rFonts w:asciiTheme="majorHAnsi" w:hAnsiTheme="majorHAnsi"/>
                <w:b/>
                <w:sz w:val="20"/>
                <w:szCs w:val="18"/>
              </w:rPr>
            </w:pPr>
            <w:r w:rsidRPr="003B251F">
              <w:rPr>
                <w:rFonts w:asciiTheme="majorHAnsi" w:hAnsiTheme="majorHAnsi"/>
                <w:b/>
                <w:sz w:val="20"/>
                <w:szCs w:val="18"/>
              </w:rPr>
              <w:t>Ulcerative Colitis</w:t>
            </w:r>
          </w:p>
        </w:tc>
        <w:tc>
          <w:tcPr>
            <w:tcW w:w="1184" w:type="dxa"/>
            <w:shd w:val="clear" w:color="auto" w:fill="DEEAF6" w:themeFill="accent1" w:themeFillTint="33"/>
            <w:hideMark/>
          </w:tcPr>
          <w:p w14:paraId="7795B7C3" w14:textId="77777777" w:rsidR="00C90846" w:rsidRPr="003B251F" w:rsidRDefault="00C90846" w:rsidP="00D12C8E">
            <w:pPr>
              <w:jc w:val="center"/>
              <w:rPr>
                <w:rFonts w:asciiTheme="majorHAnsi" w:hAnsiTheme="majorHAnsi"/>
                <w:b/>
                <w:sz w:val="20"/>
                <w:szCs w:val="18"/>
              </w:rPr>
            </w:pPr>
            <w:r w:rsidRPr="003B251F">
              <w:rPr>
                <w:rFonts w:asciiTheme="majorHAnsi" w:hAnsiTheme="majorHAnsi"/>
                <w:b/>
                <w:sz w:val="20"/>
                <w:szCs w:val="18"/>
              </w:rPr>
              <w:t>Controls</w:t>
            </w:r>
            <w:r w:rsidRPr="003B251F">
              <w:rPr>
                <w:rFonts w:asciiTheme="majorHAnsi" w:hAnsiTheme="majorHAnsi"/>
                <w:b/>
                <w:sz w:val="20"/>
                <w:szCs w:val="18"/>
              </w:rPr>
              <w:br/>
              <w:t>(UC)</w:t>
            </w:r>
          </w:p>
        </w:tc>
      </w:tr>
      <w:tr w:rsidR="00C90846" w:rsidRPr="003B251F" w14:paraId="2DA05C4E" w14:textId="77777777" w:rsidTr="00D12C8E">
        <w:trPr>
          <w:trHeight w:val="150"/>
          <w:jc w:val="center"/>
        </w:trPr>
        <w:tc>
          <w:tcPr>
            <w:tcW w:w="2410" w:type="dxa"/>
            <w:gridSpan w:val="2"/>
            <w:shd w:val="clear" w:color="auto" w:fill="DEEAF6" w:themeFill="accent1" w:themeFillTint="33"/>
          </w:tcPr>
          <w:p w14:paraId="3499AF20" w14:textId="77777777" w:rsidR="00C90846" w:rsidRPr="003B251F" w:rsidRDefault="00C90846" w:rsidP="00D12C8E">
            <w:pPr>
              <w:rPr>
                <w:rFonts w:asciiTheme="majorHAnsi" w:hAnsiTheme="majorHAnsi"/>
                <w:b/>
                <w:sz w:val="20"/>
              </w:rPr>
            </w:pPr>
            <w:r w:rsidRPr="003B251F">
              <w:rPr>
                <w:rFonts w:asciiTheme="majorHAnsi" w:hAnsiTheme="majorHAnsi"/>
                <w:b/>
                <w:sz w:val="20"/>
              </w:rPr>
              <w:t>n=</w:t>
            </w:r>
          </w:p>
        </w:tc>
        <w:tc>
          <w:tcPr>
            <w:tcW w:w="1133" w:type="dxa"/>
            <w:shd w:val="clear" w:color="auto" w:fill="DEEAF6" w:themeFill="accent1" w:themeFillTint="33"/>
          </w:tcPr>
          <w:p w14:paraId="06E027E9" w14:textId="77777777" w:rsidR="00C90846" w:rsidRPr="003B251F" w:rsidRDefault="00C90846" w:rsidP="00D12C8E">
            <w:pPr>
              <w:jc w:val="right"/>
              <w:rPr>
                <w:rFonts w:asciiTheme="majorHAnsi" w:hAnsiTheme="majorHAnsi"/>
                <w:b/>
                <w:sz w:val="20"/>
                <w:szCs w:val="18"/>
              </w:rPr>
            </w:pPr>
            <w:r w:rsidRPr="003B251F">
              <w:rPr>
                <w:rFonts w:asciiTheme="majorHAnsi" w:hAnsiTheme="majorHAnsi"/>
                <w:b/>
                <w:sz w:val="20"/>
                <w:szCs w:val="18"/>
              </w:rPr>
              <w:t>5,874</w:t>
            </w:r>
          </w:p>
        </w:tc>
        <w:tc>
          <w:tcPr>
            <w:tcW w:w="1184" w:type="dxa"/>
            <w:gridSpan w:val="2"/>
            <w:shd w:val="clear" w:color="auto" w:fill="DEEAF6" w:themeFill="accent1" w:themeFillTint="33"/>
          </w:tcPr>
          <w:p w14:paraId="6067BB7B" w14:textId="77777777" w:rsidR="00C90846" w:rsidRPr="003B251F" w:rsidRDefault="00C90846" w:rsidP="00D12C8E">
            <w:pPr>
              <w:jc w:val="right"/>
              <w:rPr>
                <w:rFonts w:asciiTheme="majorHAnsi" w:hAnsiTheme="majorHAnsi"/>
                <w:b/>
                <w:sz w:val="20"/>
                <w:szCs w:val="18"/>
              </w:rPr>
            </w:pPr>
            <w:r w:rsidRPr="003B251F">
              <w:rPr>
                <w:rFonts w:asciiTheme="majorHAnsi" w:hAnsiTheme="majorHAnsi"/>
                <w:b/>
                <w:sz w:val="20"/>
                <w:szCs w:val="18"/>
              </w:rPr>
              <w:t>23,436</w:t>
            </w:r>
          </w:p>
        </w:tc>
        <w:tc>
          <w:tcPr>
            <w:tcW w:w="1084" w:type="dxa"/>
            <w:shd w:val="clear" w:color="auto" w:fill="DEEAF6" w:themeFill="accent1" w:themeFillTint="33"/>
          </w:tcPr>
          <w:p w14:paraId="0690537A" w14:textId="77777777" w:rsidR="00C90846" w:rsidRPr="003B251F" w:rsidRDefault="00C90846" w:rsidP="00D12C8E">
            <w:pPr>
              <w:jc w:val="right"/>
              <w:rPr>
                <w:rFonts w:asciiTheme="majorHAnsi" w:hAnsiTheme="majorHAnsi"/>
                <w:b/>
                <w:sz w:val="20"/>
                <w:szCs w:val="18"/>
              </w:rPr>
            </w:pPr>
            <w:r w:rsidRPr="003B251F">
              <w:rPr>
                <w:rFonts w:asciiTheme="majorHAnsi" w:hAnsiTheme="majorHAnsi"/>
                <w:b/>
                <w:sz w:val="20"/>
                <w:szCs w:val="18"/>
              </w:rPr>
              <w:t>13,681</w:t>
            </w:r>
          </w:p>
        </w:tc>
        <w:tc>
          <w:tcPr>
            <w:tcW w:w="1184" w:type="dxa"/>
            <w:shd w:val="clear" w:color="auto" w:fill="DEEAF6" w:themeFill="accent1" w:themeFillTint="33"/>
          </w:tcPr>
          <w:p w14:paraId="69DF111C" w14:textId="77777777" w:rsidR="00C90846" w:rsidRPr="003B251F" w:rsidRDefault="00C90846" w:rsidP="00D12C8E">
            <w:pPr>
              <w:jc w:val="right"/>
              <w:rPr>
                <w:rFonts w:asciiTheme="majorHAnsi" w:hAnsiTheme="majorHAnsi"/>
                <w:b/>
                <w:sz w:val="20"/>
                <w:szCs w:val="18"/>
              </w:rPr>
            </w:pPr>
            <w:r w:rsidRPr="003B251F">
              <w:rPr>
                <w:rFonts w:asciiTheme="majorHAnsi" w:hAnsiTheme="majorHAnsi"/>
                <w:b/>
                <w:sz w:val="20"/>
                <w:szCs w:val="18"/>
              </w:rPr>
              <w:t>54,616</w:t>
            </w:r>
          </w:p>
        </w:tc>
      </w:tr>
      <w:tr w:rsidR="00C90846" w:rsidRPr="003B251F" w14:paraId="32CDFC54" w14:textId="77777777" w:rsidTr="00D12C8E">
        <w:trPr>
          <w:trHeight w:val="282"/>
          <w:jc w:val="center"/>
        </w:trPr>
        <w:tc>
          <w:tcPr>
            <w:tcW w:w="2410" w:type="dxa"/>
            <w:gridSpan w:val="2"/>
          </w:tcPr>
          <w:p w14:paraId="7C01DCD9" w14:textId="77777777" w:rsidR="00C90846" w:rsidRPr="003B251F" w:rsidRDefault="00C90846" w:rsidP="00D12C8E">
            <w:pPr>
              <w:rPr>
                <w:rFonts w:asciiTheme="majorHAnsi" w:hAnsiTheme="majorHAnsi"/>
                <w:sz w:val="24"/>
              </w:rPr>
            </w:pPr>
            <w:r w:rsidRPr="003B251F">
              <w:rPr>
                <w:rFonts w:asciiTheme="majorHAnsi" w:hAnsiTheme="majorHAnsi"/>
                <w:color w:val="2E74B5" w:themeColor="accent1" w:themeShade="BF"/>
                <w:sz w:val="24"/>
              </w:rPr>
              <w:t>Demographics</w:t>
            </w:r>
          </w:p>
        </w:tc>
        <w:tc>
          <w:tcPr>
            <w:tcW w:w="1133" w:type="dxa"/>
          </w:tcPr>
          <w:p w14:paraId="6E8259BB" w14:textId="77777777" w:rsidR="00C90846" w:rsidRPr="003B251F" w:rsidRDefault="00C90846" w:rsidP="00D12C8E">
            <w:pPr>
              <w:jc w:val="center"/>
              <w:rPr>
                <w:rFonts w:asciiTheme="majorHAnsi" w:hAnsiTheme="majorHAnsi"/>
                <w:b/>
                <w:sz w:val="20"/>
                <w:szCs w:val="18"/>
              </w:rPr>
            </w:pPr>
          </w:p>
        </w:tc>
        <w:tc>
          <w:tcPr>
            <w:tcW w:w="1184" w:type="dxa"/>
            <w:gridSpan w:val="2"/>
          </w:tcPr>
          <w:p w14:paraId="19B9402A" w14:textId="77777777" w:rsidR="00C90846" w:rsidRPr="003B251F" w:rsidRDefault="00C90846" w:rsidP="00D12C8E">
            <w:pPr>
              <w:jc w:val="center"/>
              <w:rPr>
                <w:rFonts w:asciiTheme="majorHAnsi" w:hAnsiTheme="majorHAnsi"/>
                <w:b/>
                <w:sz w:val="20"/>
                <w:szCs w:val="18"/>
              </w:rPr>
            </w:pPr>
          </w:p>
        </w:tc>
        <w:tc>
          <w:tcPr>
            <w:tcW w:w="1084" w:type="dxa"/>
          </w:tcPr>
          <w:p w14:paraId="72DF4E04" w14:textId="77777777" w:rsidR="00C90846" w:rsidRPr="003B251F" w:rsidRDefault="00C90846" w:rsidP="00D12C8E">
            <w:pPr>
              <w:jc w:val="center"/>
              <w:rPr>
                <w:rFonts w:asciiTheme="majorHAnsi" w:hAnsiTheme="majorHAnsi"/>
                <w:b/>
                <w:sz w:val="20"/>
                <w:szCs w:val="18"/>
              </w:rPr>
            </w:pPr>
          </w:p>
        </w:tc>
        <w:tc>
          <w:tcPr>
            <w:tcW w:w="1184" w:type="dxa"/>
          </w:tcPr>
          <w:p w14:paraId="7BC0E995" w14:textId="77777777" w:rsidR="00C90846" w:rsidRPr="003B251F" w:rsidRDefault="00C90846" w:rsidP="00D12C8E">
            <w:pPr>
              <w:jc w:val="center"/>
              <w:rPr>
                <w:rFonts w:asciiTheme="majorHAnsi" w:hAnsiTheme="majorHAnsi"/>
                <w:b/>
                <w:sz w:val="20"/>
                <w:szCs w:val="18"/>
              </w:rPr>
            </w:pPr>
          </w:p>
        </w:tc>
      </w:tr>
      <w:tr w:rsidR="00C90846" w:rsidRPr="003B251F" w14:paraId="1ED763FF" w14:textId="77777777" w:rsidTr="00D12C8E">
        <w:trPr>
          <w:trHeight w:val="653"/>
          <w:jc w:val="center"/>
        </w:trPr>
        <w:tc>
          <w:tcPr>
            <w:tcW w:w="2410" w:type="dxa"/>
            <w:gridSpan w:val="2"/>
            <w:hideMark/>
          </w:tcPr>
          <w:p w14:paraId="2355FE74" w14:textId="77777777" w:rsidR="00C90846" w:rsidRPr="003B251F" w:rsidRDefault="00C90846" w:rsidP="00D12C8E">
            <w:pPr>
              <w:rPr>
                <w:b/>
                <w:sz w:val="20"/>
                <w:szCs w:val="20"/>
              </w:rPr>
            </w:pPr>
            <w:r w:rsidRPr="003B251F">
              <w:rPr>
                <w:b/>
                <w:sz w:val="20"/>
                <w:szCs w:val="20"/>
              </w:rPr>
              <w:t>Male (%)</w:t>
            </w:r>
          </w:p>
          <w:p w14:paraId="350F7D1C" w14:textId="77777777" w:rsidR="00C90846" w:rsidRPr="003B251F" w:rsidRDefault="00C90846" w:rsidP="00D12C8E">
            <w:pPr>
              <w:rPr>
                <w:b/>
                <w:sz w:val="20"/>
                <w:szCs w:val="20"/>
              </w:rPr>
            </w:pPr>
          </w:p>
          <w:p w14:paraId="2E3F7443" w14:textId="77777777" w:rsidR="00C90846" w:rsidRPr="003B251F" w:rsidRDefault="00C90846" w:rsidP="00D12C8E">
            <w:pPr>
              <w:rPr>
                <w:b/>
                <w:sz w:val="20"/>
                <w:szCs w:val="20"/>
              </w:rPr>
            </w:pPr>
            <w:r w:rsidRPr="003B251F">
              <w:rPr>
                <w:b/>
                <w:sz w:val="20"/>
                <w:szCs w:val="20"/>
              </w:rPr>
              <w:t>Age at diagnosis (years) (%)</w:t>
            </w:r>
          </w:p>
        </w:tc>
        <w:tc>
          <w:tcPr>
            <w:tcW w:w="1133" w:type="dxa"/>
          </w:tcPr>
          <w:p w14:paraId="535C070E" w14:textId="77777777" w:rsidR="00C90846" w:rsidRPr="003B251F" w:rsidRDefault="00C90846" w:rsidP="00D12C8E">
            <w:pPr>
              <w:jc w:val="right"/>
              <w:rPr>
                <w:sz w:val="20"/>
                <w:szCs w:val="20"/>
              </w:rPr>
            </w:pPr>
            <w:r w:rsidRPr="003B251F">
              <w:rPr>
                <w:sz w:val="20"/>
                <w:szCs w:val="20"/>
              </w:rPr>
              <w:t>2,721 (46)</w:t>
            </w:r>
          </w:p>
          <w:p w14:paraId="0C878053" w14:textId="77777777" w:rsidR="00C90846" w:rsidRPr="003B251F" w:rsidRDefault="00C90846" w:rsidP="00D12C8E">
            <w:pPr>
              <w:jc w:val="right"/>
              <w:rPr>
                <w:sz w:val="20"/>
                <w:szCs w:val="20"/>
              </w:rPr>
            </w:pPr>
          </w:p>
        </w:tc>
        <w:tc>
          <w:tcPr>
            <w:tcW w:w="1184" w:type="dxa"/>
            <w:gridSpan w:val="2"/>
          </w:tcPr>
          <w:p w14:paraId="4552BAA2" w14:textId="77777777" w:rsidR="00C90846" w:rsidRPr="003B251F" w:rsidRDefault="00C90846" w:rsidP="00D12C8E">
            <w:pPr>
              <w:jc w:val="right"/>
              <w:rPr>
                <w:sz w:val="20"/>
                <w:szCs w:val="20"/>
              </w:rPr>
            </w:pPr>
            <w:r w:rsidRPr="003B251F">
              <w:rPr>
                <w:sz w:val="20"/>
                <w:szCs w:val="20"/>
              </w:rPr>
              <w:t>10,848 (46)</w:t>
            </w:r>
          </w:p>
        </w:tc>
        <w:tc>
          <w:tcPr>
            <w:tcW w:w="1084" w:type="dxa"/>
          </w:tcPr>
          <w:p w14:paraId="11CEA176" w14:textId="77777777" w:rsidR="00C90846" w:rsidRPr="003B251F" w:rsidRDefault="00C90846" w:rsidP="00D12C8E">
            <w:pPr>
              <w:jc w:val="right"/>
              <w:rPr>
                <w:sz w:val="20"/>
                <w:szCs w:val="20"/>
              </w:rPr>
            </w:pPr>
            <w:r w:rsidRPr="003B251F">
              <w:rPr>
                <w:sz w:val="20"/>
                <w:szCs w:val="20"/>
              </w:rPr>
              <w:t>7,278 (53)</w:t>
            </w:r>
          </w:p>
        </w:tc>
        <w:tc>
          <w:tcPr>
            <w:tcW w:w="1184" w:type="dxa"/>
          </w:tcPr>
          <w:p w14:paraId="3F14DFB8" w14:textId="77777777" w:rsidR="00C90846" w:rsidRPr="003B251F" w:rsidRDefault="00C90846" w:rsidP="00D12C8E">
            <w:pPr>
              <w:jc w:val="right"/>
              <w:rPr>
                <w:sz w:val="20"/>
                <w:szCs w:val="20"/>
              </w:rPr>
            </w:pPr>
            <w:r w:rsidRPr="003B251F">
              <w:rPr>
                <w:sz w:val="20"/>
                <w:szCs w:val="20"/>
              </w:rPr>
              <w:t>29,054 (53)</w:t>
            </w:r>
          </w:p>
        </w:tc>
      </w:tr>
      <w:tr w:rsidR="00C90846" w:rsidRPr="003B251F" w14:paraId="6C4C61A5" w14:textId="77777777" w:rsidTr="00D12C8E">
        <w:trPr>
          <w:trHeight w:val="1247"/>
          <w:jc w:val="center"/>
        </w:trPr>
        <w:tc>
          <w:tcPr>
            <w:tcW w:w="2410" w:type="dxa"/>
            <w:gridSpan w:val="2"/>
            <w:hideMark/>
          </w:tcPr>
          <w:p w14:paraId="4823F26C" w14:textId="77777777" w:rsidR="00C90846" w:rsidRPr="003B251F" w:rsidRDefault="00C90846" w:rsidP="00D12C8E">
            <w:pPr>
              <w:spacing w:line="276" w:lineRule="auto"/>
              <w:rPr>
                <w:sz w:val="20"/>
                <w:szCs w:val="20"/>
              </w:rPr>
            </w:pPr>
            <w:r w:rsidRPr="003B251F">
              <w:rPr>
                <w:sz w:val="20"/>
                <w:szCs w:val="20"/>
              </w:rPr>
              <w:t>&lt;17</w:t>
            </w:r>
            <w:r w:rsidRPr="003B251F">
              <w:rPr>
                <w:sz w:val="20"/>
                <w:szCs w:val="20"/>
              </w:rPr>
              <w:br/>
              <w:t>17-39</w:t>
            </w:r>
            <w:r w:rsidRPr="003B251F">
              <w:rPr>
                <w:sz w:val="20"/>
                <w:szCs w:val="20"/>
              </w:rPr>
              <w:br/>
              <w:t>&gt;39</w:t>
            </w:r>
          </w:p>
        </w:tc>
        <w:tc>
          <w:tcPr>
            <w:tcW w:w="1133" w:type="dxa"/>
          </w:tcPr>
          <w:p w14:paraId="2617E956" w14:textId="77777777" w:rsidR="00C90846" w:rsidRPr="003B251F" w:rsidRDefault="00C90846" w:rsidP="00D12C8E">
            <w:pPr>
              <w:spacing w:line="276" w:lineRule="auto"/>
              <w:jc w:val="right"/>
              <w:rPr>
                <w:sz w:val="20"/>
                <w:szCs w:val="20"/>
              </w:rPr>
            </w:pPr>
            <w:r w:rsidRPr="003B251F">
              <w:rPr>
                <w:sz w:val="20"/>
                <w:szCs w:val="20"/>
              </w:rPr>
              <w:t>492 (8)</w:t>
            </w:r>
            <w:r w:rsidRPr="003B251F">
              <w:rPr>
                <w:sz w:val="20"/>
                <w:szCs w:val="20"/>
              </w:rPr>
              <w:br/>
              <w:t>2,420 (41)</w:t>
            </w:r>
            <w:r w:rsidRPr="003B251F">
              <w:rPr>
                <w:sz w:val="20"/>
                <w:szCs w:val="20"/>
              </w:rPr>
              <w:br/>
              <w:t>2,961 (51)</w:t>
            </w:r>
          </w:p>
        </w:tc>
        <w:tc>
          <w:tcPr>
            <w:tcW w:w="1184" w:type="dxa"/>
            <w:gridSpan w:val="2"/>
          </w:tcPr>
          <w:p w14:paraId="7E5F4262" w14:textId="77777777" w:rsidR="00C90846" w:rsidRPr="003B251F" w:rsidRDefault="00C90846" w:rsidP="00D12C8E">
            <w:pPr>
              <w:spacing w:line="276" w:lineRule="auto"/>
              <w:jc w:val="right"/>
              <w:rPr>
                <w:sz w:val="20"/>
                <w:szCs w:val="20"/>
              </w:rPr>
            </w:pPr>
            <w:r w:rsidRPr="003B251F">
              <w:rPr>
                <w:sz w:val="20"/>
                <w:szCs w:val="20"/>
              </w:rPr>
              <w:t>1,961 (8)</w:t>
            </w:r>
            <w:r w:rsidRPr="003B251F">
              <w:rPr>
                <w:sz w:val="20"/>
                <w:szCs w:val="20"/>
              </w:rPr>
              <w:br/>
              <w:t>9,654 (41)</w:t>
            </w:r>
            <w:r w:rsidRPr="003B251F">
              <w:rPr>
                <w:sz w:val="20"/>
                <w:szCs w:val="20"/>
              </w:rPr>
              <w:br/>
              <w:t>11,817 (51)</w:t>
            </w:r>
          </w:p>
        </w:tc>
        <w:tc>
          <w:tcPr>
            <w:tcW w:w="1084" w:type="dxa"/>
          </w:tcPr>
          <w:p w14:paraId="2782A802" w14:textId="77777777" w:rsidR="00C90846" w:rsidRPr="003B251F" w:rsidRDefault="00C90846" w:rsidP="00D12C8E">
            <w:pPr>
              <w:spacing w:line="276" w:lineRule="auto"/>
              <w:jc w:val="right"/>
              <w:rPr>
                <w:sz w:val="20"/>
                <w:szCs w:val="20"/>
              </w:rPr>
            </w:pPr>
            <w:r w:rsidRPr="003B251F">
              <w:rPr>
                <w:sz w:val="20"/>
                <w:szCs w:val="20"/>
              </w:rPr>
              <w:t>380 (3)</w:t>
            </w:r>
            <w:r w:rsidRPr="003B251F">
              <w:rPr>
                <w:sz w:val="20"/>
                <w:szCs w:val="20"/>
              </w:rPr>
              <w:br/>
              <w:t>4,194 (31)</w:t>
            </w:r>
            <w:r w:rsidRPr="003B251F">
              <w:rPr>
                <w:sz w:val="20"/>
                <w:szCs w:val="20"/>
              </w:rPr>
              <w:br/>
              <w:t>9,106 (67)</w:t>
            </w:r>
          </w:p>
        </w:tc>
        <w:tc>
          <w:tcPr>
            <w:tcW w:w="1184" w:type="dxa"/>
          </w:tcPr>
          <w:p w14:paraId="5A7418AF" w14:textId="77777777" w:rsidR="00C90846" w:rsidRPr="003B251F" w:rsidRDefault="00C90846" w:rsidP="00D12C8E">
            <w:pPr>
              <w:spacing w:line="276" w:lineRule="auto"/>
              <w:jc w:val="right"/>
              <w:rPr>
                <w:sz w:val="20"/>
                <w:szCs w:val="20"/>
              </w:rPr>
            </w:pPr>
            <w:r w:rsidRPr="003B251F">
              <w:rPr>
                <w:sz w:val="20"/>
                <w:szCs w:val="20"/>
              </w:rPr>
              <w:t>1,522 (3)</w:t>
            </w:r>
            <w:r w:rsidRPr="003B251F">
              <w:rPr>
                <w:sz w:val="20"/>
                <w:szCs w:val="20"/>
              </w:rPr>
              <w:br/>
              <w:t>16,756 (31)</w:t>
            </w:r>
            <w:r w:rsidRPr="003B251F">
              <w:rPr>
                <w:sz w:val="20"/>
                <w:szCs w:val="20"/>
              </w:rPr>
              <w:br/>
              <w:t>36,334 (67)</w:t>
            </w:r>
          </w:p>
          <w:p w14:paraId="32E3E81D" w14:textId="77777777" w:rsidR="00C90846" w:rsidRPr="003B251F" w:rsidRDefault="00C90846" w:rsidP="00D12C8E">
            <w:pPr>
              <w:spacing w:line="276" w:lineRule="auto"/>
              <w:jc w:val="right"/>
              <w:rPr>
                <w:sz w:val="20"/>
                <w:szCs w:val="20"/>
              </w:rPr>
            </w:pPr>
          </w:p>
        </w:tc>
      </w:tr>
      <w:tr w:rsidR="00C90846" w:rsidRPr="003B251F" w14:paraId="2D1A5087" w14:textId="77777777" w:rsidTr="00D12C8E">
        <w:trPr>
          <w:trHeight w:val="1592"/>
          <w:jc w:val="center"/>
        </w:trPr>
        <w:tc>
          <w:tcPr>
            <w:tcW w:w="2410" w:type="dxa"/>
            <w:gridSpan w:val="2"/>
            <w:hideMark/>
          </w:tcPr>
          <w:p w14:paraId="494AF139" w14:textId="77777777" w:rsidR="00C90846" w:rsidRPr="003B251F" w:rsidRDefault="00C90846" w:rsidP="00D12C8E">
            <w:pPr>
              <w:spacing w:line="276" w:lineRule="auto"/>
              <w:rPr>
                <w:b/>
                <w:sz w:val="20"/>
                <w:szCs w:val="20"/>
              </w:rPr>
            </w:pPr>
            <w:r w:rsidRPr="003B251F">
              <w:rPr>
                <w:b/>
                <w:sz w:val="20"/>
                <w:szCs w:val="20"/>
              </w:rPr>
              <w:t>Social deprivation (%)</w:t>
            </w:r>
          </w:p>
          <w:p w14:paraId="5B150254" w14:textId="77777777" w:rsidR="00C90846" w:rsidRPr="003B251F" w:rsidRDefault="00C90846" w:rsidP="00D12C8E">
            <w:pPr>
              <w:spacing w:line="276" w:lineRule="auto"/>
              <w:rPr>
                <w:sz w:val="20"/>
                <w:szCs w:val="20"/>
              </w:rPr>
            </w:pPr>
            <w:r w:rsidRPr="003B251F">
              <w:rPr>
                <w:sz w:val="20"/>
                <w:szCs w:val="20"/>
              </w:rPr>
              <w:t>IMD 1-3</w:t>
            </w:r>
            <w:r w:rsidRPr="003B251F">
              <w:rPr>
                <w:sz w:val="20"/>
                <w:szCs w:val="20"/>
              </w:rPr>
              <w:br/>
              <w:t>IMD 4-5</w:t>
            </w:r>
            <w:r w:rsidRPr="003B251F">
              <w:rPr>
                <w:sz w:val="20"/>
                <w:szCs w:val="20"/>
              </w:rPr>
              <w:br/>
              <w:t>Unknown</w:t>
            </w:r>
          </w:p>
        </w:tc>
        <w:tc>
          <w:tcPr>
            <w:tcW w:w="1133" w:type="dxa"/>
          </w:tcPr>
          <w:p w14:paraId="50073C90" w14:textId="77777777" w:rsidR="00C90846" w:rsidRPr="003B251F" w:rsidRDefault="00C90846" w:rsidP="00D12C8E">
            <w:pPr>
              <w:spacing w:line="276" w:lineRule="auto"/>
              <w:jc w:val="right"/>
              <w:rPr>
                <w:sz w:val="20"/>
                <w:szCs w:val="20"/>
              </w:rPr>
            </w:pPr>
          </w:p>
          <w:p w14:paraId="40AB374E" w14:textId="77777777" w:rsidR="00C90846" w:rsidRPr="003B251F" w:rsidRDefault="00C90846" w:rsidP="00D12C8E">
            <w:pPr>
              <w:spacing w:line="276" w:lineRule="auto"/>
              <w:jc w:val="right"/>
              <w:rPr>
                <w:sz w:val="20"/>
                <w:szCs w:val="20"/>
              </w:rPr>
            </w:pPr>
            <w:r w:rsidRPr="003B251F">
              <w:rPr>
                <w:sz w:val="20"/>
                <w:szCs w:val="20"/>
              </w:rPr>
              <w:t>2,187 (37)</w:t>
            </w:r>
            <w:r w:rsidRPr="003B251F">
              <w:rPr>
                <w:sz w:val="20"/>
                <w:szCs w:val="20"/>
              </w:rPr>
              <w:br/>
              <w:t>1,243 (21)</w:t>
            </w:r>
            <w:r w:rsidRPr="003B251F">
              <w:rPr>
                <w:sz w:val="20"/>
                <w:szCs w:val="20"/>
              </w:rPr>
              <w:br/>
              <w:t>2,444 (42)</w:t>
            </w:r>
          </w:p>
        </w:tc>
        <w:tc>
          <w:tcPr>
            <w:tcW w:w="1184" w:type="dxa"/>
            <w:gridSpan w:val="2"/>
          </w:tcPr>
          <w:p w14:paraId="037580C2" w14:textId="77777777" w:rsidR="00C90846" w:rsidRPr="003B251F" w:rsidRDefault="00C90846" w:rsidP="00D12C8E">
            <w:pPr>
              <w:spacing w:line="276" w:lineRule="auto"/>
              <w:jc w:val="right"/>
              <w:rPr>
                <w:sz w:val="20"/>
                <w:szCs w:val="20"/>
              </w:rPr>
            </w:pPr>
          </w:p>
          <w:p w14:paraId="4DD948A6" w14:textId="77777777" w:rsidR="00C90846" w:rsidRPr="003B251F" w:rsidRDefault="00C90846" w:rsidP="00D12C8E">
            <w:pPr>
              <w:spacing w:line="276" w:lineRule="auto"/>
              <w:jc w:val="right"/>
              <w:rPr>
                <w:sz w:val="20"/>
                <w:szCs w:val="20"/>
              </w:rPr>
            </w:pPr>
            <w:r w:rsidRPr="003B251F">
              <w:rPr>
                <w:sz w:val="20"/>
                <w:szCs w:val="20"/>
              </w:rPr>
              <w:t>8,466 (36)</w:t>
            </w:r>
            <w:r w:rsidRPr="003B251F">
              <w:rPr>
                <w:sz w:val="20"/>
                <w:szCs w:val="20"/>
              </w:rPr>
              <w:br/>
              <w:t>4,969 (21)</w:t>
            </w:r>
            <w:r w:rsidRPr="003B251F">
              <w:rPr>
                <w:sz w:val="20"/>
                <w:szCs w:val="20"/>
              </w:rPr>
              <w:br/>
              <w:t>10,001 (43)</w:t>
            </w:r>
          </w:p>
        </w:tc>
        <w:tc>
          <w:tcPr>
            <w:tcW w:w="1084" w:type="dxa"/>
          </w:tcPr>
          <w:p w14:paraId="23C4EEA9" w14:textId="77777777" w:rsidR="00C90846" w:rsidRPr="003B251F" w:rsidRDefault="00C90846" w:rsidP="00D12C8E">
            <w:pPr>
              <w:spacing w:line="276" w:lineRule="auto"/>
              <w:jc w:val="right"/>
              <w:rPr>
                <w:sz w:val="20"/>
                <w:szCs w:val="20"/>
              </w:rPr>
            </w:pPr>
          </w:p>
          <w:p w14:paraId="55048184" w14:textId="77777777" w:rsidR="00C90846" w:rsidRPr="003B251F" w:rsidRDefault="00C90846" w:rsidP="00D12C8E">
            <w:pPr>
              <w:spacing w:line="276" w:lineRule="auto"/>
              <w:jc w:val="right"/>
              <w:rPr>
                <w:sz w:val="20"/>
                <w:szCs w:val="20"/>
              </w:rPr>
            </w:pPr>
            <w:r w:rsidRPr="003B251F">
              <w:rPr>
                <w:sz w:val="20"/>
                <w:szCs w:val="20"/>
              </w:rPr>
              <w:t>5,692 (42)</w:t>
            </w:r>
            <w:r w:rsidRPr="003B251F">
              <w:rPr>
                <w:sz w:val="20"/>
                <w:szCs w:val="20"/>
              </w:rPr>
              <w:br/>
              <w:t>2,437 (18)</w:t>
            </w:r>
            <w:r w:rsidRPr="003B251F">
              <w:rPr>
                <w:sz w:val="20"/>
                <w:szCs w:val="20"/>
              </w:rPr>
              <w:br/>
              <w:t>5,552 (41)</w:t>
            </w:r>
          </w:p>
        </w:tc>
        <w:tc>
          <w:tcPr>
            <w:tcW w:w="1184" w:type="dxa"/>
            <w:hideMark/>
          </w:tcPr>
          <w:p w14:paraId="28E980AB" w14:textId="77777777" w:rsidR="00C90846" w:rsidRPr="003B251F" w:rsidRDefault="00C90846" w:rsidP="00D12C8E">
            <w:pPr>
              <w:spacing w:line="276" w:lineRule="auto"/>
              <w:jc w:val="right"/>
              <w:rPr>
                <w:sz w:val="20"/>
                <w:szCs w:val="20"/>
              </w:rPr>
            </w:pPr>
          </w:p>
          <w:p w14:paraId="20F9E030" w14:textId="77777777" w:rsidR="00C90846" w:rsidRPr="003B251F" w:rsidRDefault="00C90846" w:rsidP="00D12C8E">
            <w:pPr>
              <w:spacing w:line="276" w:lineRule="auto"/>
              <w:jc w:val="right"/>
              <w:rPr>
                <w:sz w:val="20"/>
                <w:szCs w:val="20"/>
              </w:rPr>
            </w:pPr>
            <w:r w:rsidRPr="003B251F">
              <w:rPr>
                <w:sz w:val="20"/>
                <w:szCs w:val="20"/>
              </w:rPr>
              <w:t>20,332 (37)</w:t>
            </w:r>
            <w:r w:rsidRPr="003B251F">
              <w:rPr>
                <w:sz w:val="20"/>
                <w:szCs w:val="20"/>
              </w:rPr>
              <w:br/>
              <w:t>11,238 (21)</w:t>
            </w:r>
            <w:r w:rsidRPr="003B251F">
              <w:rPr>
                <w:sz w:val="20"/>
                <w:szCs w:val="20"/>
              </w:rPr>
              <w:br/>
              <w:t>23,046 (42)</w:t>
            </w:r>
          </w:p>
        </w:tc>
      </w:tr>
    </w:tbl>
    <w:p w14:paraId="659022A2" w14:textId="77777777" w:rsidR="00C90846" w:rsidRPr="003B251F" w:rsidRDefault="00C90846" w:rsidP="00C90846">
      <w:pPr>
        <w:spacing w:after="120" w:line="264" w:lineRule="auto"/>
        <w:rPr>
          <w:rFonts w:eastAsiaTheme="minorEastAsia"/>
          <w:sz w:val="20"/>
          <w:szCs w:val="20"/>
        </w:rPr>
      </w:pPr>
      <w:r w:rsidRPr="003B251F">
        <w:rPr>
          <w:rFonts w:eastAsiaTheme="minorEastAsia"/>
          <w:b/>
          <w:sz w:val="20"/>
          <w:szCs w:val="20"/>
        </w:rPr>
        <w:t xml:space="preserve">Chronic GI symptoms </w:t>
      </w:r>
      <w:r w:rsidRPr="003B251F">
        <w:rPr>
          <w:rFonts w:eastAsiaTheme="minorEastAsia"/>
          <w:sz w:val="20"/>
          <w:szCs w:val="20"/>
        </w:rPr>
        <w:t>– Individuals who presented twice within a 6 month period for gastrointestinal symptoms, where the presentations were at least 6 weeks apart</w:t>
      </w:r>
    </w:p>
    <w:p w14:paraId="658D87A7" w14:textId="77777777" w:rsidR="00C90846" w:rsidRPr="003B251F" w:rsidRDefault="00C90846" w:rsidP="00C90846">
      <w:pPr>
        <w:spacing w:after="120" w:line="264" w:lineRule="auto"/>
        <w:rPr>
          <w:rFonts w:eastAsiaTheme="minorEastAsia"/>
          <w:sz w:val="20"/>
          <w:szCs w:val="20"/>
        </w:rPr>
      </w:pPr>
      <w:r w:rsidRPr="003B251F">
        <w:rPr>
          <w:rFonts w:eastAsiaTheme="minorEastAsia"/>
          <w:b/>
          <w:sz w:val="20"/>
          <w:szCs w:val="20"/>
        </w:rPr>
        <w:t xml:space="preserve">IMD – </w:t>
      </w:r>
      <w:r w:rsidRPr="003B251F">
        <w:rPr>
          <w:rFonts w:eastAsiaTheme="minorEastAsia"/>
          <w:sz w:val="20"/>
          <w:szCs w:val="20"/>
        </w:rPr>
        <w:t>Index of Multiple Deprivation, 1 represents the least deprived and 5 represents the most deprived</w:t>
      </w:r>
    </w:p>
    <w:p w14:paraId="0199F39A" w14:textId="77777777" w:rsidR="00C90846" w:rsidRPr="003B251F" w:rsidRDefault="00C90846" w:rsidP="00C90846">
      <w:pPr>
        <w:spacing w:after="120" w:line="264" w:lineRule="auto"/>
        <w:rPr>
          <w:rFonts w:eastAsiaTheme="minorEastAsia"/>
          <w:sz w:val="20"/>
          <w:szCs w:val="20"/>
        </w:rPr>
      </w:pPr>
      <w:r w:rsidRPr="003B251F">
        <w:rPr>
          <w:rFonts w:eastAsiaTheme="minorEastAsia"/>
          <w:b/>
          <w:sz w:val="20"/>
          <w:szCs w:val="20"/>
        </w:rPr>
        <w:t>Premorbid Depression</w:t>
      </w:r>
      <w:r w:rsidRPr="003B251F">
        <w:rPr>
          <w:rFonts w:eastAsiaTheme="minorEastAsia"/>
          <w:sz w:val="20"/>
          <w:szCs w:val="20"/>
        </w:rPr>
        <w:t xml:space="preserve"> – The patient had a previous diagnosis of depression prior to this presentation with chronic gastrointestinal symptoms</w:t>
      </w:r>
    </w:p>
    <w:p w14:paraId="0A231DEF" w14:textId="77777777" w:rsidR="00C90846" w:rsidRPr="003B251F" w:rsidRDefault="00C90846" w:rsidP="00C90846">
      <w:pPr>
        <w:spacing w:after="120" w:line="264" w:lineRule="auto"/>
        <w:rPr>
          <w:rFonts w:eastAsiaTheme="minorEastAsia"/>
          <w:sz w:val="20"/>
          <w:szCs w:val="20"/>
        </w:rPr>
      </w:pPr>
      <w:r w:rsidRPr="003B251F">
        <w:rPr>
          <w:rFonts w:eastAsiaTheme="minorEastAsia"/>
          <w:b/>
          <w:sz w:val="20"/>
          <w:szCs w:val="20"/>
        </w:rPr>
        <w:t>Premorbid IBS</w:t>
      </w:r>
      <w:r w:rsidRPr="003B251F">
        <w:rPr>
          <w:rFonts w:eastAsiaTheme="minorEastAsia"/>
          <w:sz w:val="20"/>
          <w:szCs w:val="20"/>
        </w:rPr>
        <w:t xml:space="preserve"> – The patient had a previous diagnosis of Irritable Bowel Syndrome prior to this presentation with chronic GI symptoms</w:t>
      </w:r>
    </w:p>
    <w:p w14:paraId="00401C24" w14:textId="77777777" w:rsidR="00C90846" w:rsidRPr="003B251F" w:rsidRDefault="00C90846" w:rsidP="00C90846">
      <w:pPr>
        <w:spacing w:after="120" w:line="264" w:lineRule="auto"/>
        <w:rPr>
          <w:rFonts w:eastAsiaTheme="minorEastAsia"/>
          <w:sz w:val="20"/>
          <w:szCs w:val="20"/>
        </w:rPr>
      </w:pPr>
      <w:r w:rsidRPr="003B251F">
        <w:rPr>
          <w:rFonts w:eastAsiaTheme="minorEastAsia"/>
          <w:b/>
          <w:sz w:val="20"/>
          <w:szCs w:val="20"/>
        </w:rPr>
        <w:t xml:space="preserve">Unattended Appointment </w:t>
      </w:r>
      <w:r w:rsidRPr="003B251F">
        <w:rPr>
          <w:rFonts w:eastAsiaTheme="minorEastAsia"/>
          <w:sz w:val="20"/>
          <w:szCs w:val="20"/>
        </w:rPr>
        <w:t>– The patient was offered but did not attend a specialist appointment between the time of presenting to their GP with chronic GI symptoms and finally attending a specialist appointment</w:t>
      </w:r>
    </w:p>
    <w:p w14:paraId="3684468A" w14:textId="77777777" w:rsidR="00C90846" w:rsidRPr="003B251F" w:rsidRDefault="00C90846" w:rsidP="00C90846"/>
    <w:p w14:paraId="0B92F9D6" w14:textId="77777777" w:rsidR="00C90846" w:rsidRPr="003B251F" w:rsidRDefault="00C90846" w:rsidP="00C90846">
      <w:pPr>
        <w:rPr>
          <w:rFonts w:asciiTheme="majorHAnsi" w:eastAsiaTheme="majorEastAsia" w:hAnsiTheme="majorHAnsi" w:cstheme="majorBidi"/>
          <w:b/>
          <w:color w:val="2E74B5" w:themeColor="accent1" w:themeShade="BF"/>
          <w:sz w:val="28"/>
          <w:szCs w:val="28"/>
        </w:rPr>
      </w:pPr>
      <w:r w:rsidRPr="003B251F">
        <w:rPr>
          <w:rFonts w:asciiTheme="majorHAnsi" w:eastAsiaTheme="majorEastAsia" w:hAnsiTheme="majorHAnsi" w:cstheme="majorBidi"/>
          <w:b/>
          <w:color w:val="2E74B5" w:themeColor="accent1" w:themeShade="BF"/>
          <w:sz w:val="28"/>
          <w:szCs w:val="28"/>
        </w:rPr>
        <w:br w:type="page"/>
      </w:r>
    </w:p>
    <w:p w14:paraId="20873AD2" w14:textId="77777777" w:rsidR="00C90846" w:rsidRPr="003B251F" w:rsidRDefault="00C90846" w:rsidP="00C90846">
      <w:pPr>
        <w:pStyle w:val="Heading1"/>
      </w:pPr>
      <w:r w:rsidRPr="003B251F">
        <w:lastRenderedPageBreak/>
        <w:t xml:space="preserve">Table 2:   Probability of specialist review in the 18 months following presentation with chronic GI symptoms to a primary care physician  </w:t>
      </w:r>
      <w:r w:rsidRPr="003B251F">
        <w:br/>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2261"/>
        <w:gridCol w:w="130"/>
        <w:gridCol w:w="236"/>
        <w:gridCol w:w="768"/>
        <w:gridCol w:w="366"/>
        <w:gridCol w:w="1080"/>
        <w:gridCol w:w="366"/>
      </w:tblGrid>
      <w:tr w:rsidR="00C90846" w:rsidRPr="003B251F" w14:paraId="735F893A" w14:textId="77777777" w:rsidTr="00D12C8E">
        <w:trPr>
          <w:gridAfter w:val="1"/>
          <w:wAfter w:w="366" w:type="dxa"/>
          <w:trHeight w:val="513"/>
          <w:jc w:val="center"/>
        </w:trPr>
        <w:tc>
          <w:tcPr>
            <w:tcW w:w="2000" w:type="dxa"/>
            <w:shd w:val="clear" w:color="auto" w:fill="DEEAF6" w:themeFill="accent1" w:themeFillTint="33"/>
          </w:tcPr>
          <w:p w14:paraId="7EE846FA" w14:textId="77777777" w:rsidR="00C90846" w:rsidRPr="003B251F" w:rsidRDefault="00C90846" w:rsidP="00D12C8E">
            <w:pPr>
              <w:rPr>
                <w:rFonts w:asciiTheme="majorHAnsi" w:hAnsiTheme="majorHAnsi"/>
                <w:b/>
                <w:sz w:val="20"/>
                <w:szCs w:val="20"/>
              </w:rPr>
            </w:pPr>
          </w:p>
        </w:tc>
        <w:tc>
          <w:tcPr>
            <w:tcW w:w="2261" w:type="dxa"/>
            <w:shd w:val="clear" w:color="auto" w:fill="DEEAF6" w:themeFill="accent1" w:themeFillTint="33"/>
          </w:tcPr>
          <w:p w14:paraId="2FF7E9F8" w14:textId="77777777" w:rsidR="00C90846" w:rsidRPr="003B251F" w:rsidRDefault="00C90846" w:rsidP="00D12C8E">
            <w:pPr>
              <w:jc w:val="center"/>
              <w:rPr>
                <w:rFonts w:asciiTheme="majorHAnsi" w:hAnsiTheme="majorHAnsi"/>
                <w:b/>
                <w:sz w:val="20"/>
                <w:szCs w:val="18"/>
              </w:rPr>
            </w:pPr>
            <w:r w:rsidRPr="003B251F">
              <w:rPr>
                <w:rFonts w:asciiTheme="majorHAnsi" w:hAnsiTheme="majorHAnsi"/>
                <w:b/>
                <w:sz w:val="20"/>
                <w:szCs w:val="18"/>
              </w:rPr>
              <w:t>Baseline Characteristics</w:t>
            </w:r>
          </w:p>
          <w:p w14:paraId="54D7A064" w14:textId="77777777" w:rsidR="00C90846" w:rsidRPr="003B251F" w:rsidRDefault="00C90846" w:rsidP="00D12C8E">
            <w:pPr>
              <w:jc w:val="center"/>
              <w:rPr>
                <w:rFonts w:asciiTheme="majorHAnsi" w:hAnsiTheme="majorHAnsi"/>
                <w:b/>
                <w:sz w:val="20"/>
                <w:szCs w:val="18"/>
              </w:rPr>
            </w:pPr>
            <w:r w:rsidRPr="003B251F">
              <w:rPr>
                <w:rFonts w:asciiTheme="majorHAnsi" w:hAnsiTheme="majorHAnsi"/>
                <w:b/>
                <w:sz w:val="20"/>
                <w:szCs w:val="18"/>
              </w:rPr>
              <w:t>n=1,034</w:t>
            </w:r>
          </w:p>
        </w:tc>
        <w:tc>
          <w:tcPr>
            <w:tcW w:w="2580" w:type="dxa"/>
            <w:gridSpan w:val="5"/>
            <w:shd w:val="clear" w:color="auto" w:fill="DEEAF6" w:themeFill="accent1" w:themeFillTint="33"/>
            <w:hideMark/>
          </w:tcPr>
          <w:p w14:paraId="6F30F93D" w14:textId="77777777" w:rsidR="00C90846" w:rsidRPr="003B251F" w:rsidRDefault="00C90846" w:rsidP="00D12C8E">
            <w:pPr>
              <w:jc w:val="center"/>
              <w:rPr>
                <w:rFonts w:asciiTheme="majorHAnsi" w:hAnsiTheme="majorHAnsi"/>
                <w:b/>
                <w:sz w:val="20"/>
                <w:szCs w:val="18"/>
              </w:rPr>
            </w:pPr>
            <w:r w:rsidRPr="003B251F">
              <w:rPr>
                <w:rFonts w:asciiTheme="majorHAnsi" w:hAnsiTheme="majorHAnsi"/>
                <w:b/>
                <w:sz w:val="20"/>
                <w:szCs w:val="18"/>
              </w:rPr>
              <w:t>Multiple Cox Regression</w:t>
            </w:r>
          </w:p>
          <w:p w14:paraId="44D67BFE" w14:textId="77777777" w:rsidR="00C90846" w:rsidRPr="003B251F" w:rsidRDefault="00C90846" w:rsidP="00D12C8E">
            <w:pPr>
              <w:jc w:val="center"/>
              <w:rPr>
                <w:rFonts w:asciiTheme="majorHAnsi" w:hAnsiTheme="majorHAnsi"/>
                <w:b/>
                <w:sz w:val="20"/>
                <w:szCs w:val="18"/>
              </w:rPr>
            </w:pPr>
            <w:r w:rsidRPr="003B251F">
              <w:rPr>
                <w:rFonts w:asciiTheme="majorHAnsi" w:hAnsiTheme="majorHAnsi"/>
                <w:b/>
                <w:sz w:val="20"/>
                <w:szCs w:val="18"/>
              </w:rPr>
              <w:t>n=1,034</w:t>
            </w:r>
          </w:p>
        </w:tc>
      </w:tr>
      <w:tr w:rsidR="00C90846" w:rsidRPr="003B251F" w14:paraId="4140EDDA" w14:textId="77777777" w:rsidTr="00D12C8E">
        <w:trPr>
          <w:gridAfter w:val="1"/>
          <w:wAfter w:w="366" w:type="dxa"/>
          <w:trHeight w:val="282"/>
          <w:jc w:val="center"/>
        </w:trPr>
        <w:tc>
          <w:tcPr>
            <w:tcW w:w="2000" w:type="dxa"/>
          </w:tcPr>
          <w:p w14:paraId="33205AA0" w14:textId="77777777" w:rsidR="00C90846" w:rsidRPr="003B251F" w:rsidRDefault="00C90846" w:rsidP="00D12C8E">
            <w:pPr>
              <w:rPr>
                <w:rFonts w:asciiTheme="majorHAnsi" w:hAnsiTheme="majorHAnsi"/>
                <w:sz w:val="24"/>
              </w:rPr>
            </w:pPr>
          </w:p>
        </w:tc>
        <w:tc>
          <w:tcPr>
            <w:tcW w:w="2261" w:type="dxa"/>
          </w:tcPr>
          <w:p w14:paraId="7B417CF8" w14:textId="77777777" w:rsidR="00C90846" w:rsidRPr="003B251F" w:rsidRDefault="00C90846" w:rsidP="00D12C8E">
            <w:pPr>
              <w:jc w:val="right"/>
              <w:rPr>
                <w:rFonts w:asciiTheme="majorHAnsi" w:hAnsiTheme="majorHAnsi"/>
                <w:b/>
                <w:sz w:val="20"/>
                <w:szCs w:val="18"/>
              </w:rPr>
            </w:pPr>
            <w:r w:rsidRPr="003B251F">
              <w:rPr>
                <w:rFonts w:asciiTheme="majorHAnsi" w:hAnsiTheme="majorHAnsi"/>
                <w:b/>
                <w:sz w:val="20"/>
                <w:szCs w:val="18"/>
              </w:rPr>
              <w:t>n (%)</w:t>
            </w:r>
          </w:p>
          <w:p w14:paraId="1A6435ED" w14:textId="77777777" w:rsidR="00C90846" w:rsidRPr="003B251F" w:rsidRDefault="00C90846" w:rsidP="00D12C8E">
            <w:pPr>
              <w:jc w:val="right"/>
              <w:rPr>
                <w:rFonts w:asciiTheme="majorHAnsi" w:hAnsiTheme="majorHAnsi"/>
                <w:b/>
                <w:sz w:val="20"/>
                <w:szCs w:val="18"/>
              </w:rPr>
            </w:pPr>
          </w:p>
        </w:tc>
        <w:tc>
          <w:tcPr>
            <w:tcW w:w="1134" w:type="dxa"/>
            <w:gridSpan w:val="3"/>
          </w:tcPr>
          <w:p w14:paraId="11757415" w14:textId="77777777" w:rsidR="00C90846" w:rsidRPr="003B251F" w:rsidRDefault="00C90846" w:rsidP="00D12C8E">
            <w:pPr>
              <w:jc w:val="right"/>
              <w:rPr>
                <w:rFonts w:asciiTheme="majorHAnsi" w:hAnsiTheme="majorHAnsi"/>
                <w:b/>
                <w:sz w:val="20"/>
                <w:szCs w:val="18"/>
              </w:rPr>
            </w:pPr>
            <w:r w:rsidRPr="003B251F">
              <w:rPr>
                <w:rFonts w:asciiTheme="majorHAnsi" w:hAnsiTheme="majorHAnsi"/>
                <w:b/>
                <w:sz w:val="20"/>
                <w:szCs w:val="18"/>
              </w:rPr>
              <w:t>HR</w:t>
            </w:r>
          </w:p>
        </w:tc>
        <w:tc>
          <w:tcPr>
            <w:tcW w:w="1446" w:type="dxa"/>
            <w:gridSpan w:val="2"/>
          </w:tcPr>
          <w:p w14:paraId="61F2F8D5" w14:textId="77777777" w:rsidR="00C90846" w:rsidRPr="003B251F" w:rsidRDefault="00C90846" w:rsidP="00D12C8E">
            <w:pPr>
              <w:jc w:val="right"/>
              <w:rPr>
                <w:rFonts w:asciiTheme="majorHAnsi" w:hAnsiTheme="majorHAnsi"/>
                <w:b/>
                <w:sz w:val="20"/>
                <w:szCs w:val="18"/>
              </w:rPr>
            </w:pPr>
            <w:r w:rsidRPr="003B251F">
              <w:rPr>
                <w:rFonts w:asciiTheme="majorHAnsi" w:hAnsiTheme="majorHAnsi"/>
                <w:b/>
                <w:sz w:val="20"/>
                <w:szCs w:val="18"/>
              </w:rPr>
              <w:t>95% CI</w:t>
            </w:r>
          </w:p>
        </w:tc>
      </w:tr>
      <w:tr w:rsidR="00C90846" w:rsidRPr="003B251F" w14:paraId="6F6CD706" w14:textId="77777777" w:rsidTr="00D12C8E">
        <w:trPr>
          <w:gridAfter w:val="1"/>
          <w:wAfter w:w="366" w:type="dxa"/>
          <w:trHeight w:val="395"/>
          <w:jc w:val="center"/>
        </w:trPr>
        <w:tc>
          <w:tcPr>
            <w:tcW w:w="2000" w:type="dxa"/>
            <w:hideMark/>
          </w:tcPr>
          <w:p w14:paraId="72F1A24D" w14:textId="77777777" w:rsidR="00C90846" w:rsidRPr="003B251F" w:rsidRDefault="00C90846" w:rsidP="00D12C8E">
            <w:pPr>
              <w:rPr>
                <w:b/>
                <w:sz w:val="20"/>
                <w:szCs w:val="20"/>
              </w:rPr>
            </w:pPr>
            <w:r w:rsidRPr="003B251F">
              <w:rPr>
                <w:b/>
                <w:sz w:val="20"/>
                <w:szCs w:val="20"/>
              </w:rPr>
              <w:t>Age at presentation</w:t>
            </w:r>
          </w:p>
          <w:p w14:paraId="3AEC6992" w14:textId="77777777" w:rsidR="00C90846" w:rsidRPr="003B251F" w:rsidRDefault="00C90846" w:rsidP="00D12C8E">
            <w:pPr>
              <w:rPr>
                <w:sz w:val="20"/>
                <w:szCs w:val="20"/>
              </w:rPr>
            </w:pPr>
            <w:r w:rsidRPr="003B251F">
              <w:rPr>
                <w:sz w:val="20"/>
                <w:szCs w:val="20"/>
              </w:rPr>
              <w:t>&lt;17</w:t>
            </w:r>
          </w:p>
          <w:p w14:paraId="1A9ADAC9" w14:textId="77777777" w:rsidR="00C90846" w:rsidRPr="003B251F" w:rsidRDefault="00C90846" w:rsidP="00D12C8E">
            <w:pPr>
              <w:rPr>
                <w:sz w:val="20"/>
                <w:szCs w:val="20"/>
              </w:rPr>
            </w:pPr>
            <w:r w:rsidRPr="003B251F">
              <w:rPr>
                <w:sz w:val="20"/>
                <w:szCs w:val="20"/>
              </w:rPr>
              <w:t>17-39</w:t>
            </w:r>
          </w:p>
          <w:p w14:paraId="41C81534" w14:textId="77777777" w:rsidR="00C90846" w:rsidRPr="003B251F" w:rsidRDefault="00C90846" w:rsidP="00D12C8E">
            <w:pPr>
              <w:rPr>
                <w:sz w:val="20"/>
                <w:szCs w:val="20"/>
              </w:rPr>
            </w:pPr>
            <w:r w:rsidRPr="003B251F">
              <w:rPr>
                <w:sz w:val="20"/>
                <w:szCs w:val="20"/>
              </w:rPr>
              <w:t>&gt;39</w:t>
            </w:r>
          </w:p>
          <w:p w14:paraId="33E250F8" w14:textId="77777777" w:rsidR="00C90846" w:rsidRPr="003B251F" w:rsidRDefault="00C90846" w:rsidP="00D12C8E">
            <w:pPr>
              <w:rPr>
                <w:sz w:val="20"/>
                <w:szCs w:val="20"/>
              </w:rPr>
            </w:pPr>
          </w:p>
        </w:tc>
        <w:tc>
          <w:tcPr>
            <w:tcW w:w="2261" w:type="dxa"/>
          </w:tcPr>
          <w:p w14:paraId="0C491536" w14:textId="77777777" w:rsidR="00C90846" w:rsidRPr="003B251F" w:rsidRDefault="00C90846" w:rsidP="00D12C8E">
            <w:pPr>
              <w:jc w:val="right"/>
              <w:rPr>
                <w:sz w:val="20"/>
                <w:szCs w:val="20"/>
              </w:rPr>
            </w:pPr>
          </w:p>
          <w:p w14:paraId="6ABF674C" w14:textId="77777777" w:rsidR="00C90846" w:rsidRPr="003B251F" w:rsidRDefault="00C90846" w:rsidP="00D12C8E">
            <w:pPr>
              <w:jc w:val="right"/>
              <w:rPr>
                <w:sz w:val="20"/>
                <w:szCs w:val="20"/>
              </w:rPr>
            </w:pPr>
            <w:r w:rsidRPr="003B251F">
              <w:rPr>
                <w:sz w:val="20"/>
                <w:szCs w:val="20"/>
              </w:rPr>
              <w:t>63 (6)</w:t>
            </w:r>
            <w:r w:rsidRPr="003B251F">
              <w:rPr>
                <w:sz w:val="20"/>
                <w:szCs w:val="20"/>
              </w:rPr>
              <w:br/>
              <w:t>379 (37)</w:t>
            </w:r>
            <w:r w:rsidRPr="003B251F">
              <w:rPr>
                <w:sz w:val="20"/>
                <w:szCs w:val="20"/>
              </w:rPr>
              <w:br/>
              <w:t>592 (57)</w:t>
            </w:r>
          </w:p>
          <w:p w14:paraId="4BEAAEAB" w14:textId="77777777" w:rsidR="00C90846" w:rsidRPr="003B251F" w:rsidRDefault="00C90846" w:rsidP="00D12C8E">
            <w:pPr>
              <w:jc w:val="right"/>
              <w:rPr>
                <w:sz w:val="20"/>
                <w:szCs w:val="20"/>
              </w:rPr>
            </w:pPr>
          </w:p>
        </w:tc>
        <w:tc>
          <w:tcPr>
            <w:tcW w:w="1134" w:type="dxa"/>
            <w:gridSpan w:val="3"/>
          </w:tcPr>
          <w:p w14:paraId="053BAAB8" w14:textId="77777777" w:rsidR="00C90846" w:rsidRPr="003B251F" w:rsidRDefault="00C90846" w:rsidP="00D12C8E">
            <w:pPr>
              <w:jc w:val="right"/>
              <w:rPr>
                <w:sz w:val="20"/>
                <w:szCs w:val="20"/>
              </w:rPr>
            </w:pPr>
          </w:p>
          <w:p w14:paraId="5D110B17" w14:textId="77777777" w:rsidR="00C90846" w:rsidRPr="003B251F" w:rsidRDefault="00C90846" w:rsidP="00D12C8E">
            <w:pPr>
              <w:jc w:val="right"/>
              <w:rPr>
                <w:sz w:val="20"/>
                <w:szCs w:val="20"/>
              </w:rPr>
            </w:pPr>
            <w:r w:rsidRPr="003B251F">
              <w:rPr>
                <w:sz w:val="20"/>
                <w:szCs w:val="20"/>
              </w:rPr>
              <w:t>0.68</w:t>
            </w:r>
          </w:p>
          <w:p w14:paraId="71E35EAC" w14:textId="77777777" w:rsidR="00C90846" w:rsidRPr="003B251F" w:rsidRDefault="00C90846" w:rsidP="00D12C8E">
            <w:pPr>
              <w:jc w:val="right"/>
              <w:rPr>
                <w:sz w:val="20"/>
                <w:szCs w:val="20"/>
              </w:rPr>
            </w:pPr>
            <w:r w:rsidRPr="003B251F">
              <w:rPr>
                <w:sz w:val="20"/>
                <w:szCs w:val="20"/>
              </w:rPr>
              <w:t>1</w:t>
            </w:r>
          </w:p>
          <w:p w14:paraId="3AB3ED36" w14:textId="77777777" w:rsidR="00C90846" w:rsidRPr="003B251F" w:rsidRDefault="00C90846" w:rsidP="00D12C8E">
            <w:pPr>
              <w:jc w:val="right"/>
              <w:rPr>
                <w:sz w:val="20"/>
                <w:szCs w:val="20"/>
              </w:rPr>
            </w:pPr>
            <w:r w:rsidRPr="003B251F">
              <w:rPr>
                <w:sz w:val="20"/>
                <w:szCs w:val="20"/>
              </w:rPr>
              <w:t>0.94</w:t>
            </w:r>
          </w:p>
        </w:tc>
        <w:tc>
          <w:tcPr>
            <w:tcW w:w="1446" w:type="dxa"/>
            <w:gridSpan w:val="2"/>
          </w:tcPr>
          <w:p w14:paraId="23A00CDB" w14:textId="77777777" w:rsidR="00C90846" w:rsidRPr="003B251F" w:rsidRDefault="00C90846" w:rsidP="00D12C8E">
            <w:pPr>
              <w:jc w:val="right"/>
              <w:rPr>
                <w:sz w:val="20"/>
                <w:szCs w:val="20"/>
              </w:rPr>
            </w:pPr>
          </w:p>
          <w:p w14:paraId="4E19F809" w14:textId="77777777" w:rsidR="00C90846" w:rsidRPr="003B251F" w:rsidRDefault="00C90846" w:rsidP="00D12C8E">
            <w:pPr>
              <w:jc w:val="right"/>
              <w:rPr>
                <w:sz w:val="20"/>
                <w:szCs w:val="20"/>
              </w:rPr>
            </w:pPr>
            <w:r w:rsidRPr="003B251F">
              <w:rPr>
                <w:sz w:val="20"/>
                <w:szCs w:val="20"/>
              </w:rPr>
              <w:t>0.46-1.01</w:t>
            </w:r>
          </w:p>
          <w:p w14:paraId="554D603D" w14:textId="77777777" w:rsidR="00C90846" w:rsidRPr="003B251F" w:rsidRDefault="00C90846" w:rsidP="00D12C8E">
            <w:pPr>
              <w:jc w:val="right"/>
              <w:rPr>
                <w:sz w:val="20"/>
                <w:szCs w:val="20"/>
              </w:rPr>
            </w:pPr>
            <w:r w:rsidRPr="003B251F">
              <w:rPr>
                <w:sz w:val="20"/>
                <w:szCs w:val="20"/>
              </w:rPr>
              <w:t>-</w:t>
            </w:r>
          </w:p>
          <w:p w14:paraId="1471DE60" w14:textId="77777777" w:rsidR="00C90846" w:rsidRPr="003B251F" w:rsidRDefault="00C90846" w:rsidP="00D12C8E">
            <w:pPr>
              <w:jc w:val="right"/>
              <w:rPr>
                <w:sz w:val="20"/>
                <w:szCs w:val="20"/>
              </w:rPr>
            </w:pPr>
            <w:r w:rsidRPr="003B251F">
              <w:rPr>
                <w:sz w:val="20"/>
                <w:szCs w:val="20"/>
              </w:rPr>
              <w:t>0.78-1.13</w:t>
            </w:r>
          </w:p>
        </w:tc>
      </w:tr>
      <w:tr w:rsidR="00C90846" w:rsidRPr="003B251F" w14:paraId="2DFA5A58" w14:textId="77777777" w:rsidTr="00D12C8E">
        <w:trPr>
          <w:gridAfter w:val="1"/>
          <w:wAfter w:w="366" w:type="dxa"/>
          <w:trHeight w:val="996"/>
          <w:jc w:val="center"/>
        </w:trPr>
        <w:tc>
          <w:tcPr>
            <w:tcW w:w="2000" w:type="dxa"/>
            <w:hideMark/>
          </w:tcPr>
          <w:p w14:paraId="3D81EC54" w14:textId="77777777" w:rsidR="00C90846" w:rsidRPr="003B251F" w:rsidRDefault="00C90846" w:rsidP="00D12C8E">
            <w:pPr>
              <w:spacing w:line="276" w:lineRule="auto"/>
              <w:rPr>
                <w:b/>
                <w:sz w:val="20"/>
                <w:szCs w:val="20"/>
              </w:rPr>
            </w:pPr>
            <w:r w:rsidRPr="003B251F">
              <w:rPr>
                <w:b/>
                <w:sz w:val="20"/>
                <w:szCs w:val="20"/>
              </w:rPr>
              <w:t>Sex</w:t>
            </w:r>
          </w:p>
          <w:p w14:paraId="3C5422C4" w14:textId="77777777" w:rsidR="00C90846" w:rsidRPr="003B251F" w:rsidRDefault="00C90846" w:rsidP="00D12C8E">
            <w:pPr>
              <w:spacing w:line="276" w:lineRule="auto"/>
              <w:rPr>
                <w:sz w:val="20"/>
                <w:szCs w:val="20"/>
              </w:rPr>
            </w:pPr>
            <w:r w:rsidRPr="003B251F">
              <w:rPr>
                <w:sz w:val="20"/>
                <w:szCs w:val="20"/>
              </w:rPr>
              <w:t>Female</w:t>
            </w:r>
          </w:p>
          <w:p w14:paraId="02C6814A" w14:textId="77777777" w:rsidR="00C90846" w:rsidRPr="003B251F" w:rsidRDefault="00C90846" w:rsidP="00D12C8E">
            <w:pPr>
              <w:spacing w:line="276" w:lineRule="auto"/>
              <w:rPr>
                <w:sz w:val="20"/>
                <w:szCs w:val="20"/>
              </w:rPr>
            </w:pPr>
            <w:r w:rsidRPr="003B251F">
              <w:rPr>
                <w:sz w:val="20"/>
                <w:szCs w:val="20"/>
              </w:rPr>
              <w:t>Male</w:t>
            </w:r>
          </w:p>
        </w:tc>
        <w:tc>
          <w:tcPr>
            <w:tcW w:w="2261" w:type="dxa"/>
          </w:tcPr>
          <w:p w14:paraId="145A9D52" w14:textId="77777777" w:rsidR="00C90846" w:rsidRPr="003B251F" w:rsidRDefault="00C90846" w:rsidP="00D12C8E">
            <w:pPr>
              <w:spacing w:line="276" w:lineRule="auto"/>
              <w:jc w:val="right"/>
              <w:rPr>
                <w:sz w:val="20"/>
                <w:szCs w:val="20"/>
              </w:rPr>
            </w:pPr>
          </w:p>
          <w:p w14:paraId="7352176C" w14:textId="77777777" w:rsidR="00C90846" w:rsidRPr="003B251F" w:rsidRDefault="00C90846" w:rsidP="00D12C8E">
            <w:pPr>
              <w:spacing w:line="276" w:lineRule="auto"/>
              <w:jc w:val="right"/>
              <w:rPr>
                <w:sz w:val="20"/>
                <w:szCs w:val="20"/>
              </w:rPr>
            </w:pPr>
            <w:r w:rsidRPr="003B251F">
              <w:rPr>
                <w:sz w:val="20"/>
                <w:szCs w:val="20"/>
              </w:rPr>
              <w:t>590 (57)</w:t>
            </w:r>
          </w:p>
          <w:p w14:paraId="2F5989C4" w14:textId="77777777" w:rsidR="00C90846" w:rsidRPr="003B251F" w:rsidRDefault="00C90846" w:rsidP="00D12C8E">
            <w:pPr>
              <w:spacing w:line="276" w:lineRule="auto"/>
              <w:jc w:val="right"/>
              <w:rPr>
                <w:sz w:val="20"/>
                <w:szCs w:val="20"/>
              </w:rPr>
            </w:pPr>
            <w:r w:rsidRPr="003B251F">
              <w:rPr>
                <w:sz w:val="20"/>
                <w:szCs w:val="20"/>
              </w:rPr>
              <w:t>444 (43)</w:t>
            </w:r>
          </w:p>
          <w:p w14:paraId="1906DDAD" w14:textId="77777777" w:rsidR="00C90846" w:rsidRPr="003B251F" w:rsidRDefault="00C90846" w:rsidP="00D12C8E">
            <w:pPr>
              <w:spacing w:line="276" w:lineRule="auto"/>
              <w:jc w:val="right"/>
              <w:rPr>
                <w:sz w:val="20"/>
                <w:szCs w:val="20"/>
              </w:rPr>
            </w:pPr>
          </w:p>
        </w:tc>
        <w:tc>
          <w:tcPr>
            <w:tcW w:w="1134" w:type="dxa"/>
            <w:gridSpan w:val="3"/>
          </w:tcPr>
          <w:p w14:paraId="3772F58A" w14:textId="77777777" w:rsidR="00C90846" w:rsidRPr="003B251F" w:rsidRDefault="00C90846" w:rsidP="00D12C8E">
            <w:pPr>
              <w:spacing w:line="276" w:lineRule="auto"/>
              <w:jc w:val="right"/>
              <w:rPr>
                <w:sz w:val="20"/>
                <w:szCs w:val="20"/>
              </w:rPr>
            </w:pPr>
          </w:p>
          <w:p w14:paraId="504271BE" w14:textId="77777777" w:rsidR="00C90846" w:rsidRPr="003B251F" w:rsidRDefault="00C90846" w:rsidP="00D12C8E">
            <w:pPr>
              <w:spacing w:line="276" w:lineRule="auto"/>
              <w:jc w:val="right"/>
              <w:rPr>
                <w:sz w:val="20"/>
                <w:szCs w:val="20"/>
              </w:rPr>
            </w:pPr>
            <w:r w:rsidRPr="003B251F">
              <w:rPr>
                <w:sz w:val="20"/>
                <w:szCs w:val="20"/>
              </w:rPr>
              <w:t>1</w:t>
            </w:r>
          </w:p>
          <w:p w14:paraId="20127239" w14:textId="77777777" w:rsidR="00C90846" w:rsidRPr="003B251F" w:rsidRDefault="00C90846" w:rsidP="00D12C8E">
            <w:pPr>
              <w:spacing w:line="276" w:lineRule="auto"/>
              <w:jc w:val="right"/>
              <w:rPr>
                <w:sz w:val="20"/>
                <w:szCs w:val="20"/>
              </w:rPr>
            </w:pPr>
            <w:r w:rsidRPr="003B251F">
              <w:rPr>
                <w:sz w:val="20"/>
                <w:szCs w:val="20"/>
              </w:rPr>
              <w:t>1.03</w:t>
            </w:r>
          </w:p>
        </w:tc>
        <w:tc>
          <w:tcPr>
            <w:tcW w:w="1446" w:type="dxa"/>
            <w:gridSpan w:val="2"/>
          </w:tcPr>
          <w:p w14:paraId="7EB4B345" w14:textId="77777777" w:rsidR="00C90846" w:rsidRPr="003B251F" w:rsidRDefault="00C90846" w:rsidP="00D12C8E">
            <w:pPr>
              <w:spacing w:line="276" w:lineRule="auto"/>
              <w:rPr>
                <w:sz w:val="20"/>
                <w:szCs w:val="20"/>
              </w:rPr>
            </w:pPr>
          </w:p>
          <w:p w14:paraId="754E519A" w14:textId="77777777" w:rsidR="00C90846" w:rsidRPr="003B251F" w:rsidRDefault="00C90846" w:rsidP="00D12C8E">
            <w:pPr>
              <w:spacing w:line="276" w:lineRule="auto"/>
              <w:jc w:val="right"/>
              <w:rPr>
                <w:sz w:val="20"/>
                <w:szCs w:val="20"/>
              </w:rPr>
            </w:pPr>
            <w:r w:rsidRPr="003B251F">
              <w:rPr>
                <w:sz w:val="20"/>
                <w:szCs w:val="20"/>
              </w:rPr>
              <w:t>-</w:t>
            </w:r>
          </w:p>
          <w:p w14:paraId="589D84BE" w14:textId="77777777" w:rsidR="00C90846" w:rsidRPr="003B251F" w:rsidRDefault="00C90846" w:rsidP="00D12C8E">
            <w:pPr>
              <w:spacing w:line="276" w:lineRule="auto"/>
              <w:jc w:val="right"/>
              <w:rPr>
                <w:sz w:val="20"/>
                <w:szCs w:val="20"/>
              </w:rPr>
            </w:pPr>
            <w:r w:rsidRPr="003B251F">
              <w:rPr>
                <w:sz w:val="20"/>
                <w:szCs w:val="20"/>
              </w:rPr>
              <w:t>0.86-1.23</w:t>
            </w:r>
          </w:p>
        </w:tc>
      </w:tr>
      <w:tr w:rsidR="00C90846" w:rsidRPr="003B251F" w14:paraId="67DE1F3E" w14:textId="77777777" w:rsidTr="00D12C8E">
        <w:trPr>
          <w:gridAfter w:val="1"/>
          <w:wAfter w:w="366" w:type="dxa"/>
          <w:trHeight w:val="981"/>
          <w:jc w:val="center"/>
        </w:trPr>
        <w:tc>
          <w:tcPr>
            <w:tcW w:w="2000" w:type="dxa"/>
            <w:hideMark/>
          </w:tcPr>
          <w:p w14:paraId="7868BC54" w14:textId="77777777" w:rsidR="00C90846" w:rsidRPr="003B251F" w:rsidRDefault="00C90846" w:rsidP="00D12C8E">
            <w:pPr>
              <w:spacing w:line="276" w:lineRule="auto"/>
              <w:rPr>
                <w:b/>
                <w:sz w:val="20"/>
                <w:szCs w:val="20"/>
              </w:rPr>
            </w:pPr>
            <w:r w:rsidRPr="003B251F">
              <w:rPr>
                <w:b/>
                <w:sz w:val="20"/>
                <w:szCs w:val="20"/>
              </w:rPr>
              <w:t xml:space="preserve">Social deprivation </w:t>
            </w:r>
          </w:p>
          <w:p w14:paraId="650DE4F7" w14:textId="77777777" w:rsidR="00C90846" w:rsidRPr="003B251F" w:rsidRDefault="00C90846" w:rsidP="00D12C8E">
            <w:pPr>
              <w:spacing w:line="276" w:lineRule="auto"/>
              <w:rPr>
                <w:sz w:val="20"/>
                <w:szCs w:val="20"/>
              </w:rPr>
            </w:pPr>
            <w:r w:rsidRPr="003B251F">
              <w:rPr>
                <w:sz w:val="20"/>
                <w:szCs w:val="20"/>
              </w:rPr>
              <w:t>IMD 1-3</w:t>
            </w:r>
            <w:r w:rsidRPr="003B251F">
              <w:rPr>
                <w:sz w:val="20"/>
                <w:szCs w:val="20"/>
              </w:rPr>
              <w:br/>
              <w:t>IMD 4-5</w:t>
            </w:r>
          </w:p>
        </w:tc>
        <w:tc>
          <w:tcPr>
            <w:tcW w:w="2261" w:type="dxa"/>
          </w:tcPr>
          <w:p w14:paraId="6115BAB6" w14:textId="77777777" w:rsidR="00C90846" w:rsidRPr="003B251F" w:rsidRDefault="00C90846" w:rsidP="00D12C8E">
            <w:pPr>
              <w:spacing w:line="276" w:lineRule="auto"/>
              <w:jc w:val="right"/>
              <w:rPr>
                <w:sz w:val="20"/>
                <w:szCs w:val="20"/>
              </w:rPr>
            </w:pPr>
            <w:r w:rsidRPr="003B251F">
              <w:rPr>
                <w:sz w:val="20"/>
                <w:szCs w:val="20"/>
              </w:rPr>
              <w:br/>
              <w:t>696 (67)</w:t>
            </w:r>
            <w:r w:rsidRPr="003B251F">
              <w:rPr>
                <w:sz w:val="20"/>
                <w:szCs w:val="20"/>
              </w:rPr>
              <w:br/>
              <w:t>338 (33)</w:t>
            </w:r>
          </w:p>
        </w:tc>
        <w:tc>
          <w:tcPr>
            <w:tcW w:w="1134" w:type="dxa"/>
            <w:gridSpan w:val="3"/>
          </w:tcPr>
          <w:p w14:paraId="19A8AFF0" w14:textId="77777777" w:rsidR="00C90846" w:rsidRPr="003B251F" w:rsidRDefault="00C90846" w:rsidP="00D12C8E">
            <w:pPr>
              <w:spacing w:line="276" w:lineRule="auto"/>
              <w:jc w:val="right"/>
              <w:rPr>
                <w:sz w:val="20"/>
                <w:szCs w:val="20"/>
              </w:rPr>
            </w:pPr>
          </w:p>
          <w:p w14:paraId="7772392A" w14:textId="77777777" w:rsidR="00C90846" w:rsidRPr="003B251F" w:rsidRDefault="00C90846" w:rsidP="00D12C8E">
            <w:pPr>
              <w:spacing w:line="276" w:lineRule="auto"/>
              <w:jc w:val="right"/>
              <w:rPr>
                <w:sz w:val="20"/>
                <w:szCs w:val="20"/>
              </w:rPr>
            </w:pPr>
            <w:r w:rsidRPr="003B251F">
              <w:rPr>
                <w:sz w:val="20"/>
                <w:szCs w:val="20"/>
              </w:rPr>
              <w:t>1</w:t>
            </w:r>
          </w:p>
          <w:p w14:paraId="7407FC30" w14:textId="77777777" w:rsidR="00C90846" w:rsidRPr="003B251F" w:rsidRDefault="00C90846" w:rsidP="00D12C8E">
            <w:pPr>
              <w:spacing w:line="276" w:lineRule="auto"/>
              <w:jc w:val="right"/>
              <w:rPr>
                <w:sz w:val="20"/>
                <w:szCs w:val="20"/>
              </w:rPr>
            </w:pPr>
            <w:r w:rsidRPr="003B251F">
              <w:rPr>
                <w:sz w:val="20"/>
                <w:szCs w:val="20"/>
              </w:rPr>
              <w:t>1.12</w:t>
            </w:r>
          </w:p>
        </w:tc>
        <w:tc>
          <w:tcPr>
            <w:tcW w:w="1446" w:type="dxa"/>
            <w:gridSpan w:val="2"/>
          </w:tcPr>
          <w:p w14:paraId="7162A80F" w14:textId="77777777" w:rsidR="00C90846" w:rsidRPr="003B251F" w:rsidRDefault="00C90846" w:rsidP="00D12C8E">
            <w:pPr>
              <w:spacing w:line="276" w:lineRule="auto"/>
              <w:jc w:val="right"/>
              <w:rPr>
                <w:sz w:val="20"/>
                <w:szCs w:val="20"/>
              </w:rPr>
            </w:pPr>
          </w:p>
          <w:p w14:paraId="70D63391" w14:textId="77777777" w:rsidR="00C90846" w:rsidRPr="003B251F" w:rsidRDefault="00C90846" w:rsidP="00D12C8E">
            <w:pPr>
              <w:spacing w:line="276" w:lineRule="auto"/>
              <w:jc w:val="right"/>
              <w:rPr>
                <w:sz w:val="20"/>
                <w:szCs w:val="20"/>
              </w:rPr>
            </w:pPr>
            <w:r w:rsidRPr="003B251F">
              <w:rPr>
                <w:sz w:val="20"/>
                <w:szCs w:val="20"/>
              </w:rPr>
              <w:t>-</w:t>
            </w:r>
          </w:p>
          <w:p w14:paraId="64854612" w14:textId="77777777" w:rsidR="00C90846" w:rsidRPr="003B251F" w:rsidRDefault="00C90846" w:rsidP="00D12C8E">
            <w:pPr>
              <w:spacing w:line="276" w:lineRule="auto"/>
              <w:jc w:val="right"/>
              <w:rPr>
                <w:sz w:val="20"/>
                <w:szCs w:val="20"/>
              </w:rPr>
            </w:pPr>
            <w:r w:rsidRPr="003B251F">
              <w:rPr>
                <w:sz w:val="20"/>
                <w:szCs w:val="20"/>
              </w:rPr>
              <w:t>0.93-1.35</w:t>
            </w:r>
          </w:p>
        </w:tc>
      </w:tr>
      <w:tr w:rsidR="00C90846" w:rsidRPr="003B251F" w14:paraId="110C3AE4" w14:textId="77777777" w:rsidTr="00D12C8E">
        <w:trPr>
          <w:gridAfter w:val="1"/>
          <w:wAfter w:w="366" w:type="dxa"/>
          <w:trHeight w:val="277"/>
          <w:jc w:val="center"/>
        </w:trPr>
        <w:tc>
          <w:tcPr>
            <w:tcW w:w="2000" w:type="dxa"/>
          </w:tcPr>
          <w:p w14:paraId="4F616D48" w14:textId="77777777" w:rsidR="00C90846" w:rsidRPr="003B251F" w:rsidRDefault="00C90846" w:rsidP="00D12C8E">
            <w:pPr>
              <w:spacing w:line="276" w:lineRule="auto"/>
              <w:rPr>
                <w:b/>
                <w:sz w:val="20"/>
                <w:szCs w:val="20"/>
              </w:rPr>
            </w:pPr>
            <w:r w:rsidRPr="003B251F">
              <w:rPr>
                <w:b/>
                <w:sz w:val="20"/>
                <w:szCs w:val="20"/>
              </w:rPr>
              <w:t>Smoking Status</w:t>
            </w:r>
          </w:p>
          <w:p w14:paraId="67AA423D" w14:textId="77777777" w:rsidR="00C90846" w:rsidRPr="003B251F" w:rsidRDefault="00C90846" w:rsidP="00D12C8E">
            <w:pPr>
              <w:spacing w:line="276" w:lineRule="auto"/>
              <w:rPr>
                <w:sz w:val="20"/>
                <w:szCs w:val="20"/>
              </w:rPr>
            </w:pPr>
            <w:r w:rsidRPr="003B251F">
              <w:rPr>
                <w:sz w:val="20"/>
                <w:szCs w:val="20"/>
              </w:rPr>
              <w:t>Non-smoker</w:t>
            </w:r>
          </w:p>
          <w:p w14:paraId="09BC0B42" w14:textId="77777777" w:rsidR="00C90846" w:rsidRPr="003B251F" w:rsidRDefault="00C90846" w:rsidP="00D12C8E">
            <w:pPr>
              <w:spacing w:line="276" w:lineRule="auto"/>
              <w:rPr>
                <w:sz w:val="20"/>
                <w:szCs w:val="20"/>
              </w:rPr>
            </w:pPr>
            <w:r w:rsidRPr="003B251F">
              <w:rPr>
                <w:sz w:val="20"/>
                <w:szCs w:val="20"/>
              </w:rPr>
              <w:t>Smoker</w:t>
            </w:r>
          </w:p>
          <w:p w14:paraId="0E08A870" w14:textId="77777777" w:rsidR="00C90846" w:rsidRPr="003B251F" w:rsidRDefault="00C90846" w:rsidP="00D12C8E">
            <w:pPr>
              <w:spacing w:line="276" w:lineRule="auto"/>
              <w:rPr>
                <w:sz w:val="20"/>
                <w:szCs w:val="20"/>
              </w:rPr>
            </w:pPr>
            <w:r w:rsidRPr="003B251F">
              <w:rPr>
                <w:sz w:val="20"/>
                <w:szCs w:val="20"/>
              </w:rPr>
              <w:t>Ex-Smoker</w:t>
            </w:r>
          </w:p>
        </w:tc>
        <w:tc>
          <w:tcPr>
            <w:tcW w:w="2261" w:type="dxa"/>
          </w:tcPr>
          <w:p w14:paraId="7D3292C5" w14:textId="77777777" w:rsidR="00C90846" w:rsidRPr="003B251F" w:rsidRDefault="00C90846" w:rsidP="00D12C8E">
            <w:pPr>
              <w:spacing w:line="276" w:lineRule="auto"/>
              <w:jc w:val="right"/>
              <w:rPr>
                <w:sz w:val="20"/>
                <w:szCs w:val="20"/>
              </w:rPr>
            </w:pPr>
            <w:r w:rsidRPr="003B251F">
              <w:rPr>
                <w:sz w:val="20"/>
                <w:szCs w:val="20"/>
              </w:rPr>
              <w:br/>
              <w:t>574 (55)</w:t>
            </w:r>
            <w:r w:rsidRPr="003B251F">
              <w:rPr>
                <w:sz w:val="20"/>
                <w:szCs w:val="20"/>
              </w:rPr>
              <w:br/>
              <w:t>165 (16)</w:t>
            </w:r>
            <w:r w:rsidRPr="003B251F">
              <w:rPr>
                <w:sz w:val="20"/>
                <w:szCs w:val="20"/>
              </w:rPr>
              <w:br/>
              <w:t>295 (29)</w:t>
            </w:r>
          </w:p>
        </w:tc>
        <w:tc>
          <w:tcPr>
            <w:tcW w:w="1134" w:type="dxa"/>
            <w:gridSpan w:val="3"/>
          </w:tcPr>
          <w:p w14:paraId="183597B7" w14:textId="77777777" w:rsidR="00C90846" w:rsidRPr="003B251F" w:rsidRDefault="00C90846" w:rsidP="00D12C8E">
            <w:pPr>
              <w:spacing w:line="276" w:lineRule="auto"/>
              <w:jc w:val="right"/>
              <w:rPr>
                <w:sz w:val="20"/>
                <w:szCs w:val="20"/>
              </w:rPr>
            </w:pPr>
          </w:p>
          <w:p w14:paraId="5B09FC9A" w14:textId="77777777" w:rsidR="00C90846" w:rsidRPr="003B251F" w:rsidRDefault="00C90846" w:rsidP="00D12C8E">
            <w:pPr>
              <w:spacing w:line="276" w:lineRule="auto"/>
              <w:jc w:val="right"/>
              <w:rPr>
                <w:sz w:val="20"/>
                <w:szCs w:val="20"/>
              </w:rPr>
            </w:pPr>
            <w:r w:rsidRPr="003B251F">
              <w:rPr>
                <w:sz w:val="20"/>
                <w:szCs w:val="20"/>
              </w:rPr>
              <w:t>1</w:t>
            </w:r>
          </w:p>
          <w:p w14:paraId="292C97D5" w14:textId="77777777" w:rsidR="00C90846" w:rsidRPr="003B251F" w:rsidRDefault="00C90846" w:rsidP="00D12C8E">
            <w:pPr>
              <w:spacing w:line="276" w:lineRule="auto"/>
              <w:jc w:val="right"/>
              <w:rPr>
                <w:sz w:val="20"/>
                <w:szCs w:val="20"/>
              </w:rPr>
            </w:pPr>
            <w:r w:rsidRPr="003B251F">
              <w:rPr>
                <w:sz w:val="20"/>
                <w:szCs w:val="20"/>
              </w:rPr>
              <w:t>1.02</w:t>
            </w:r>
          </w:p>
          <w:p w14:paraId="2EC991D5" w14:textId="77777777" w:rsidR="00C90846" w:rsidRPr="003B251F" w:rsidRDefault="00C90846" w:rsidP="00D12C8E">
            <w:pPr>
              <w:spacing w:line="276" w:lineRule="auto"/>
              <w:jc w:val="right"/>
              <w:rPr>
                <w:sz w:val="20"/>
                <w:szCs w:val="20"/>
              </w:rPr>
            </w:pPr>
            <w:r w:rsidRPr="003B251F">
              <w:rPr>
                <w:sz w:val="20"/>
                <w:szCs w:val="20"/>
              </w:rPr>
              <w:t>1.14</w:t>
            </w:r>
          </w:p>
        </w:tc>
        <w:tc>
          <w:tcPr>
            <w:tcW w:w="1446" w:type="dxa"/>
            <w:gridSpan w:val="2"/>
          </w:tcPr>
          <w:p w14:paraId="05EC6EDA" w14:textId="77777777" w:rsidR="00C90846" w:rsidRPr="003B251F" w:rsidRDefault="00C90846" w:rsidP="00D12C8E">
            <w:pPr>
              <w:spacing w:line="276" w:lineRule="auto"/>
              <w:jc w:val="right"/>
              <w:rPr>
                <w:sz w:val="20"/>
                <w:szCs w:val="20"/>
              </w:rPr>
            </w:pPr>
          </w:p>
          <w:p w14:paraId="5A6545D5" w14:textId="77777777" w:rsidR="00C90846" w:rsidRPr="003B251F" w:rsidRDefault="00C90846" w:rsidP="00D12C8E">
            <w:pPr>
              <w:spacing w:line="276" w:lineRule="auto"/>
              <w:jc w:val="right"/>
              <w:rPr>
                <w:sz w:val="20"/>
                <w:szCs w:val="20"/>
              </w:rPr>
            </w:pPr>
            <w:r w:rsidRPr="003B251F">
              <w:rPr>
                <w:sz w:val="20"/>
                <w:szCs w:val="20"/>
              </w:rPr>
              <w:t>-</w:t>
            </w:r>
          </w:p>
          <w:p w14:paraId="7A34F5C2" w14:textId="77777777" w:rsidR="00C90846" w:rsidRPr="003B251F" w:rsidRDefault="00C90846" w:rsidP="00D12C8E">
            <w:pPr>
              <w:spacing w:line="276" w:lineRule="auto"/>
              <w:jc w:val="right"/>
              <w:rPr>
                <w:sz w:val="20"/>
                <w:szCs w:val="20"/>
              </w:rPr>
            </w:pPr>
            <w:r w:rsidRPr="003B251F">
              <w:rPr>
                <w:sz w:val="20"/>
                <w:szCs w:val="20"/>
              </w:rPr>
              <w:t>0.79-1.33</w:t>
            </w:r>
          </w:p>
          <w:p w14:paraId="5CC51D91" w14:textId="77777777" w:rsidR="00C90846" w:rsidRPr="003B251F" w:rsidRDefault="00C90846" w:rsidP="00D12C8E">
            <w:pPr>
              <w:spacing w:line="276" w:lineRule="auto"/>
              <w:jc w:val="right"/>
              <w:rPr>
                <w:sz w:val="20"/>
                <w:szCs w:val="20"/>
              </w:rPr>
            </w:pPr>
            <w:r w:rsidRPr="003B251F">
              <w:rPr>
                <w:sz w:val="20"/>
                <w:szCs w:val="20"/>
              </w:rPr>
              <w:t>0.94-1.40</w:t>
            </w:r>
          </w:p>
        </w:tc>
      </w:tr>
      <w:tr w:rsidR="00C90846" w:rsidRPr="003B251F" w14:paraId="7B8EAB87" w14:textId="77777777" w:rsidTr="00D12C8E">
        <w:trPr>
          <w:gridAfter w:val="1"/>
          <w:wAfter w:w="366" w:type="dxa"/>
          <w:trHeight w:val="277"/>
          <w:jc w:val="center"/>
        </w:trPr>
        <w:tc>
          <w:tcPr>
            <w:tcW w:w="2000" w:type="dxa"/>
          </w:tcPr>
          <w:p w14:paraId="1D3BEFEF" w14:textId="77777777" w:rsidR="00C90846" w:rsidRPr="003B251F" w:rsidRDefault="00C90846" w:rsidP="00D12C8E">
            <w:pPr>
              <w:spacing w:line="276" w:lineRule="auto"/>
              <w:rPr>
                <w:b/>
                <w:sz w:val="20"/>
                <w:szCs w:val="20"/>
              </w:rPr>
            </w:pPr>
          </w:p>
        </w:tc>
        <w:tc>
          <w:tcPr>
            <w:tcW w:w="2261" w:type="dxa"/>
          </w:tcPr>
          <w:p w14:paraId="1F7052A8" w14:textId="77777777" w:rsidR="00C90846" w:rsidRPr="003B251F" w:rsidRDefault="00C90846" w:rsidP="00D12C8E">
            <w:pPr>
              <w:spacing w:line="276" w:lineRule="auto"/>
              <w:jc w:val="right"/>
              <w:rPr>
                <w:sz w:val="20"/>
                <w:szCs w:val="20"/>
              </w:rPr>
            </w:pPr>
          </w:p>
        </w:tc>
        <w:tc>
          <w:tcPr>
            <w:tcW w:w="1134" w:type="dxa"/>
            <w:gridSpan w:val="3"/>
          </w:tcPr>
          <w:p w14:paraId="331FBEAA" w14:textId="77777777" w:rsidR="00C90846" w:rsidRPr="003B251F" w:rsidRDefault="00C90846" w:rsidP="00D12C8E">
            <w:pPr>
              <w:spacing w:line="276" w:lineRule="auto"/>
              <w:jc w:val="right"/>
              <w:rPr>
                <w:sz w:val="20"/>
                <w:szCs w:val="20"/>
              </w:rPr>
            </w:pPr>
          </w:p>
        </w:tc>
        <w:tc>
          <w:tcPr>
            <w:tcW w:w="1446" w:type="dxa"/>
            <w:gridSpan w:val="2"/>
          </w:tcPr>
          <w:p w14:paraId="63E24C1C" w14:textId="77777777" w:rsidR="00C90846" w:rsidRPr="003B251F" w:rsidRDefault="00C90846" w:rsidP="00D12C8E">
            <w:pPr>
              <w:spacing w:line="276" w:lineRule="auto"/>
              <w:jc w:val="right"/>
              <w:rPr>
                <w:sz w:val="20"/>
                <w:szCs w:val="20"/>
              </w:rPr>
            </w:pPr>
          </w:p>
        </w:tc>
      </w:tr>
      <w:tr w:rsidR="00C90846" w:rsidRPr="003B251F" w14:paraId="7245DF09" w14:textId="77777777" w:rsidTr="00D12C8E">
        <w:trPr>
          <w:gridAfter w:val="1"/>
          <w:wAfter w:w="366" w:type="dxa"/>
          <w:trHeight w:val="591"/>
          <w:jc w:val="center"/>
        </w:trPr>
        <w:tc>
          <w:tcPr>
            <w:tcW w:w="2000" w:type="dxa"/>
          </w:tcPr>
          <w:p w14:paraId="2B5766AF" w14:textId="77777777" w:rsidR="00C90846" w:rsidRPr="003B251F" w:rsidRDefault="00C90846" w:rsidP="00D12C8E">
            <w:pPr>
              <w:spacing w:line="276" w:lineRule="auto"/>
              <w:rPr>
                <w:b/>
                <w:sz w:val="20"/>
                <w:szCs w:val="20"/>
              </w:rPr>
            </w:pPr>
            <w:r w:rsidRPr="003B251F">
              <w:rPr>
                <w:b/>
                <w:sz w:val="20"/>
                <w:szCs w:val="20"/>
              </w:rPr>
              <w:t>Premorbid Depression</w:t>
            </w:r>
          </w:p>
        </w:tc>
        <w:tc>
          <w:tcPr>
            <w:tcW w:w="2261" w:type="dxa"/>
          </w:tcPr>
          <w:p w14:paraId="530B1F2A" w14:textId="77777777" w:rsidR="00C90846" w:rsidRPr="003B251F" w:rsidRDefault="00C90846" w:rsidP="00D12C8E">
            <w:pPr>
              <w:spacing w:line="276" w:lineRule="auto"/>
              <w:jc w:val="right"/>
              <w:rPr>
                <w:sz w:val="20"/>
                <w:szCs w:val="20"/>
              </w:rPr>
            </w:pPr>
            <w:r w:rsidRPr="003B251F">
              <w:rPr>
                <w:sz w:val="20"/>
                <w:szCs w:val="20"/>
              </w:rPr>
              <w:t>174 (17)</w:t>
            </w:r>
          </w:p>
          <w:p w14:paraId="6CB7750F" w14:textId="77777777" w:rsidR="00C90846" w:rsidRPr="003B251F" w:rsidRDefault="00C90846" w:rsidP="00D12C8E">
            <w:pPr>
              <w:spacing w:line="276" w:lineRule="auto"/>
              <w:jc w:val="right"/>
              <w:rPr>
                <w:b/>
                <w:sz w:val="20"/>
                <w:szCs w:val="20"/>
              </w:rPr>
            </w:pPr>
          </w:p>
        </w:tc>
        <w:tc>
          <w:tcPr>
            <w:tcW w:w="1134" w:type="dxa"/>
            <w:gridSpan w:val="3"/>
          </w:tcPr>
          <w:p w14:paraId="5512A261" w14:textId="77777777" w:rsidR="00C90846" w:rsidRPr="003B251F" w:rsidRDefault="00C90846" w:rsidP="00D12C8E">
            <w:pPr>
              <w:spacing w:line="276" w:lineRule="auto"/>
              <w:jc w:val="right"/>
              <w:rPr>
                <w:b/>
                <w:sz w:val="20"/>
                <w:szCs w:val="20"/>
              </w:rPr>
            </w:pPr>
            <w:r w:rsidRPr="003B251F">
              <w:rPr>
                <w:b/>
                <w:sz w:val="20"/>
                <w:szCs w:val="20"/>
              </w:rPr>
              <w:t>0.78</w:t>
            </w:r>
          </w:p>
        </w:tc>
        <w:tc>
          <w:tcPr>
            <w:tcW w:w="1446" w:type="dxa"/>
            <w:gridSpan w:val="2"/>
          </w:tcPr>
          <w:p w14:paraId="46EC4CAA" w14:textId="77777777" w:rsidR="00C90846" w:rsidRPr="003B251F" w:rsidRDefault="00C90846" w:rsidP="00D12C8E">
            <w:pPr>
              <w:spacing w:line="276" w:lineRule="auto"/>
              <w:jc w:val="right"/>
              <w:rPr>
                <w:b/>
                <w:sz w:val="20"/>
                <w:szCs w:val="20"/>
              </w:rPr>
            </w:pPr>
            <w:r w:rsidRPr="003B251F">
              <w:rPr>
                <w:b/>
                <w:sz w:val="20"/>
                <w:szCs w:val="20"/>
              </w:rPr>
              <w:t>0.61-0.99</w:t>
            </w:r>
          </w:p>
        </w:tc>
      </w:tr>
      <w:tr w:rsidR="00C90846" w:rsidRPr="003B251F" w14:paraId="2858196C" w14:textId="77777777" w:rsidTr="00D12C8E">
        <w:trPr>
          <w:gridAfter w:val="1"/>
          <w:wAfter w:w="366" w:type="dxa"/>
          <w:trHeight w:val="143"/>
          <w:jc w:val="center"/>
        </w:trPr>
        <w:tc>
          <w:tcPr>
            <w:tcW w:w="2000" w:type="dxa"/>
          </w:tcPr>
          <w:p w14:paraId="7D8A4ED5" w14:textId="77777777" w:rsidR="00C90846" w:rsidRPr="003B251F" w:rsidRDefault="00C90846" w:rsidP="00D12C8E">
            <w:pPr>
              <w:spacing w:line="276" w:lineRule="auto"/>
              <w:rPr>
                <w:b/>
                <w:sz w:val="20"/>
                <w:szCs w:val="20"/>
              </w:rPr>
            </w:pPr>
            <w:r w:rsidRPr="003B251F">
              <w:rPr>
                <w:b/>
                <w:sz w:val="20"/>
                <w:szCs w:val="20"/>
              </w:rPr>
              <w:t>Premorbid IBS</w:t>
            </w:r>
          </w:p>
        </w:tc>
        <w:tc>
          <w:tcPr>
            <w:tcW w:w="2261" w:type="dxa"/>
          </w:tcPr>
          <w:p w14:paraId="3DFF373E" w14:textId="77777777" w:rsidR="00C90846" w:rsidRPr="003B251F" w:rsidRDefault="00C90846" w:rsidP="00D12C8E">
            <w:pPr>
              <w:spacing w:line="276" w:lineRule="auto"/>
              <w:jc w:val="right"/>
              <w:rPr>
                <w:sz w:val="20"/>
                <w:szCs w:val="20"/>
              </w:rPr>
            </w:pPr>
            <w:r w:rsidRPr="003B251F">
              <w:rPr>
                <w:sz w:val="20"/>
                <w:szCs w:val="20"/>
              </w:rPr>
              <w:t>173 (17)</w:t>
            </w:r>
          </w:p>
        </w:tc>
        <w:tc>
          <w:tcPr>
            <w:tcW w:w="1134" w:type="dxa"/>
            <w:gridSpan w:val="3"/>
          </w:tcPr>
          <w:p w14:paraId="02F714BA" w14:textId="77777777" w:rsidR="00C90846" w:rsidRPr="003B251F" w:rsidRDefault="00C90846" w:rsidP="00D12C8E">
            <w:pPr>
              <w:spacing w:line="276" w:lineRule="auto"/>
              <w:jc w:val="right"/>
              <w:rPr>
                <w:b/>
                <w:sz w:val="20"/>
                <w:szCs w:val="20"/>
              </w:rPr>
            </w:pPr>
            <w:r w:rsidRPr="003B251F">
              <w:rPr>
                <w:b/>
                <w:sz w:val="20"/>
                <w:szCs w:val="20"/>
              </w:rPr>
              <w:t>0.77</w:t>
            </w:r>
          </w:p>
        </w:tc>
        <w:tc>
          <w:tcPr>
            <w:tcW w:w="1446" w:type="dxa"/>
            <w:gridSpan w:val="2"/>
          </w:tcPr>
          <w:p w14:paraId="5BE2D6D2" w14:textId="77777777" w:rsidR="00C90846" w:rsidRPr="003B251F" w:rsidRDefault="00C90846" w:rsidP="00D12C8E">
            <w:pPr>
              <w:spacing w:line="276" w:lineRule="auto"/>
              <w:jc w:val="right"/>
              <w:rPr>
                <w:b/>
                <w:sz w:val="20"/>
                <w:szCs w:val="20"/>
              </w:rPr>
            </w:pPr>
            <w:r w:rsidRPr="003B251F">
              <w:rPr>
                <w:b/>
                <w:sz w:val="20"/>
                <w:szCs w:val="20"/>
              </w:rPr>
              <w:t>0.59-0.99</w:t>
            </w:r>
          </w:p>
        </w:tc>
      </w:tr>
      <w:tr w:rsidR="00C90846" w:rsidRPr="003B251F" w14:paraId="272C0806" w14:textId="77777777" w:rsidTr="00D12C8E">
        <w:trPr>
          <w:gridAfter w:val="1"/>
          <w:wAfter w:w="366" w:type="dxa"/>
          <w:trHeight w:val="266"/>
          <w:jc w:val="center"/>
        </w:trPr>
        <w:tc>
          <w:tcPr>
            <w:tcW w:w="2000" w:type="dxa"/>
          </w:tcPr>
          <w:p w14:paraId="56D41AA0" w14:textId="77777777" w:rsidR="00C90846" w:rsidRPr="003B251F" w:rsidRDefault="00C90846" w:rsidP="00D12C8E">
            <w:pPr>
              <w:spacing w:line="276" w:lineRule="auto"/>
              <w:rPr>
                <w:b/>
                <w:sz w:val="20"/>
                <w:szCs w:val="20"/>
              </w:rPr>
            </w:pPr>
          </w:p>
          <w:p w14:paraId="220E5686" w14:textId="77777777" w:rsidR="00C90846" w:rsidRPr="003B251F" w:rsidRDefault="00C90846" w:rsidP="00D12C8E">
            <w:pPr>
              <w:spacing w:line="276" w:lineRule="auto"/>
              <w:rPr>
                <w:b/>
                <w:sz w:val="20"/>
                <w:szCs w:val="20"/>
              </w:rPr>
            </w:pPr>
            <w:r w:rsidRPr="003B251F">
              <w:rPr>
                <w:b/>
                <w:sz w:val="20"/>
                <w:szCs w:val="20"/>
              </w:rPr>
              <w:t>Era of presentation</w:t>
            </w:r>
          </w:p>
          <w:p w14:paraId="1B1A29D3" w14:textId="77777777" w:rsidR="00C90846" w:rsidRPr="003B251F" w:rsidRDefault="00C90846" w:rsidP="00D12C8E">
            <w:pPr>
              <w:spacing w:line="276" w:lineRule="auto"/>
              <w:rPr>
                <w:sz w:val="20"/>
                <w:szCs w:val="20"/>
              </w:rPr>
            </w:pPr>
            <w:r w:rsidRPr="003B251F">
              <w:rPr>
                <w:sz w:val="20"/>
                <w:szCs w:val="20"/>
              </w:rPr>
              <w:t>2003-2006</w:t>
            </w:r>
          </w:p>
          <w:p w14:paraId="55C340A5" w14:textId="77777777" w:rsidR="00C90846" w:rsidRPr="003B251F" w:rsidRDefault="00C90846" w:rsidP="00D12C8E">
            <w:pPr>
              <w:spacing w:line="276" w:lineRule="auto"/>
              <w:rPr>
                <w:sz w:val="20"/>
                <w:szCs w:val="20"/>
              </w:rPr>
            </w:pPr>
            <w:r w:rsidRPr="003B251F">
              <w:rPr>
                <w:sz w:val="20"/>
                <w:szCs w:val="20"/>
              </w:rPr>
              <w:t>2007-2010</w:t>
            </w:r>
          </w:p>
          <w:p w14:paraId="3E93CE3C" w14:textId="77777777" w:rsidR="00C90846" w:rsidRPr="003B251F" w:rsidRDefault="00C90846" w:rsidP="00D12C8E">
            <w:pPr>
              <w:spacing w:line="276" w:lineRule="auto"/>
              <w:rPr>
                <w:sz w:val="20"/>
                <w:szCs w:val="20"/>
              </w:rPr>
            </w:pPr>
            <w:r w:rsidRPr="003B251F">
              <w:rPr>
                <w:sz w:val="20"/>
                <w:szCs w:val="20"/>
              </w:rPr>
              <w:t>2011-2013</w:t>
            </w:r>
          </w:p>
          <w:p w14:paraId="475BBAE6" w14:textId="77777777" w:rsidR="00C90846" w:rsidRPr="003B251F" w:rsidRDefault="00C90846" w:rsidP="00D12C8E">
            <w:pPr>
              <w:spacing w:line="276" w:lineRule="auto"/>
              <w:rPr>
                <w:b/>
                <w:sz w:val="20"/>
                <w:szCs w:val="20"/>
              </w:rPr>
            </w:pPr>
            <w:r w:rsidRPr="003B251F">
              <w:rPr>
                <w:sz w:val="20"/>
                <w:szCs w:val="20"/>
              </w:rPr>
              <w:t>2014-2016</w:t>
            </w:r>
          </w:p>
        </w:tc>
        <w:tc>
          <w:tcPr>
            <w:tcW w:w="2261" w:type="dxa"/>
          </w:tcPr>
          <w:p w14:paraId="251DE0FF" w14:textId="77777777" w:rsidR="00C90846" w:rsidRPr="003B251F" w:rsidRDefault="00C90846" w:rsidP="00D12C8E">
            <w:pPr>
              <w:spacing w:line="276" w:lineRule="auto"/>
              <w:jc w:val="right"/>
              <w:rPr>
                <w:sz w:val="20"/>
                <w:szCs w:val="20"/>
              </w:rPr>
            </w:pPr>
          </w:p>
          <w:p w14:paraId="064D6F81" w14:textId="77777777" w:rsidR="00C90846" w:rsidRPr="003B251F" w:rsidRDefault="00C90846" w:rsidP="00D12C8E">
            <w:pPr>
              <w:spacing w:line="276" w:lineRule="auto"/>
              <w:jc w:val="right"/>
              <w:rPr>
                <w:sz w:val="20"/>
                <w:szCs w:val="20"/>
              </w:rPr>
            </w:pPr>
          </w:p>
          <w:p w14:paraId="63BB6BAC" w14:textId="77777777" w:rsidR="00C90846" w:rsidRPr="003B251F" w:rsidRDefault="00C90846" w:rsidP="00D12C8E">
            <w:pPr>
              <w:spacing w:line="276" w:lineRule="auto"/>
              <w:jc w:val="right"/>
              <w:rPr>
                <w:sz w:val="20"/>
                <w:szCs w:val="20"/>
              </w:rPr>
            </w:pPr>
            <w:r w:rsidRPr="003B251F">
              <w:rPr>
                <w:sz w:val="20"/>
                <w:szCs w:val="20"/>
              </w:rPr>
              <w:t>473 (46)</w:t>
            </w:r>
          </w:p>
          <w:p w14:paraId="281E8E16" w14:textId="77777777" w:rsidR="00C90846" w:rsidRPr="003B251F" w:rsidRDefault="00C90846" w:rsidP="00D12C8E">
            <w:pPr>
              <w:spacing w:line="276" w:lineRule="auto"/>
              <w:jc w:val="right"/>
              <w:rPr>
                <w:sz w:val="20"/>
                <w:szCs w:val="20"/>
              </w:rPr>
            </w:pPr>
            <w:r w:rsidRPr="003B251F">
              <w:rPr>
                <w:sz w:val="20"/>
                <w:szCs w:val="20"/>
              </w:rPr>
              <w:t>363 (35)</w:t>
            </w:r>
          </w:p>
          <w:p w14:paraId="373DAB59" w14:textId="77777777" w:rsidR="00C90846" w:rsidRPr="003B251F" w:rsidRDefault="00C90846" w:rsidP="00D12C8E">
            <w:pPr>
              <w:spacing w:line="276" w:lineRule="auto"/>
              <w:jc w:val="right"/>
              <w:rPr>
                <w:sz w:val="20"/>
                <w:szCs w:val="20"/>
              </w:rPr>
            </w:pPr>
            <w:r w:rsidRPr="003B251F">
              <w:rPr>
                <w:sz w:val="20"/>
                <w:szCs w:val="20"/>
              </w:rPr>
              <w:t xml:space="preserve"> 165 (16)</w:t>
            </w:r>
          </w:p>
          <w:p w14:paraId="53E34880" w14:textId="77777777" w:rsidR="00C90846" w:rsidRPr="003B251F" w:rsidRDefault="00C90846" w:rsidP="00D12C8E">
            <w:pPr>
              <w:spacing w:line="276" w:lineRule="auto"/>
              <w:jc w:val="right"/>
              <w:rPr>
                <w:sz w:val="20"/>
                <w:szCs w:val="20"/>
              </w:rPr>
            </w:pPr>
            <w:r w:rsidRPr="003B251F">
              <w:rPr>
                <w:sz w:val="20"/>
                <w:szCs w:val="20"/>
              </w:rPr>
              <w:t>33 (3)</w:t>
            </w:r>
          </w:p>
        </w:tc>
        <w:tc>
          <w:tcPr>
            <w:tcW w:w="1134" w:type="dxa"/>
            <w:gridSpan w:val="3"/>
          </w:tcPr>
          <w:p w14:paraId="5161482A" w14:textId="77777777" w:rsidR="00C90846" w:rsidRPr="003B251F" w:rsidRDefault="00C90846" w:rsidP="00D12C8E">
            <w:pPr>
              <w:spacing w:line="276" w:lineRule="auto"/>
              <w:jc w:val="right"/>
              <w:rPr>
                <w:sz w:val="20"/>
                <w:szCs w:val="20"/>
              </w:rPr>
            </w:pPr>
          </w:p>
          <w:p w14:paraId="1C1A6227" w14:textId="77777777" w:rsidR="00C90846" w:rsidRPr="003B251F" w:rsidRDefault="00C90846" w:rsidP="00D12C8E">
            <w:pPr>
              <w:spacing w:line="276" w:lineRule="auto"/>
              <w:jc w:val="right"/>
              <w:rPr>
                <w:sz w:val="20"/>
                <w:szCs w:val="20"/>
              </w:rPr>
            </w:pPr>
          </w:p>
          <w:p w14:paraId="3B34456A" w14:textId="77777777" w:rsidR="00C90846" w:rsidRPr="003B251F" w:rsidRDefault="00C90846" w:rsidP="00D12C8E">
            <w:pPr>
              <w:spacing w:line="276" w:lineRule="auto"/>
              <w:jc w:val="right"/>
              <w:rPr>
                <w:sz w:val="20"/>
                <w:szCs w:val="20"/>
              </w:rPr>
            </w:pPr>
            <w:r w:rsidRPr="003B251F">
              <w:rPr>
                <w:sz w:val="20"/>
                <w:szCs w:val="20"/>
              </w:rPr>
              <w:t>1</w:t>
            </w:r>
          </w:p>
          <w:p w14:paraId="5F57C5C7" w14:textId="77777777" w:rsidR="00C90846" w:rsidRPr="003B251F" w:rsidRDefault="00C90846" w:rsidP="00D12C8E">
            <w:pPr>
              <w:spacing w:line="276" w:lineRule="auto"/>
              <w:jc w:val="right"/>
              <w:rPr>
                <w:b/>
                <w:sz w:val="20"/>
                <w:szCs w:val="20"/>
              </w:rPr>
            </w:pPr>
            <w:r w:rsidRPr="003B251F">
              <w:rPr>
                <w:b/>
                <w:sz w:val="20"/>
                <w:szCs w:val="20"/>
              </w:rPr>
              <w:t>2.07</w:t>
            </w:r>
          </w:p>
          <w:p w14:paraId="454B4E11" w14:textId="77777777" w:rsidR="00C90846" w:rsidRPr="003B251F" w:rsidRDefault="00C90846" w:rsidP="00D12C8E">
            <w:pPr>
              <w:spacing w:line="276" w:lineRule="auto"/>
              <w:jc w:val="right"/>
              <w:rPr>
                <w:b/>
                <w:sz w:val="20"/>
                <w:szCs w:val="20"/>
              </w:rPr>
            </w:pPr>
            <w:r w:rsidRPr="003B251F">
              <w:rPr>
                <w:b/>
                <w:sz w:val="20"/>
                <w:szCs w:val="20"/>
              </w:rPr>
              <w:t>3.89</w:t>
            </w:r>
          </w:p>
          <w:p w14:paraId="74FEB5CB" w14:textId="77777777" w:rsidR="00C90846" w:rsidRPr="003B251F" w:rsidRDefault="00C90846" w:rsidP="00D12C8E">
            <w:pPr>
              <w:spacing w:line="276" w:lineRule="auto"/>
              <w:jc w:val="right"/>
              <w:rPr>
                <w:sz w:val="20"/>
                <w:szCs w:val="20"/>
              </w:rPr>
            </w:pPr>
            <w:r w:rsidRPr="003B251F">
              <w:rPr>
                <w:b/>
                <w:sz w:val="20"/>
                <w:szCs w:val="20"/>
              </w:rPr>
              <w:t>8.53</w:t>
            </w:r>
          </w:p>
        </w:tc>
        <w:tc>
          <w:tcPr>
            <w:tcW w:w="1446" w:type="dxa"/>
            <w:gridSpan w:val="2"/>
          </w:tcPr>
          <w:p w14:paraId="6A9121DB" w14:textId="77777777" w:rsidR="00C90846" w:rsidRPr="003B251F" w:rsidRDefault="00C90846" w:rsidP="00D12C8E">
            <w:pPr>
              <w:spacing w:line="276" w:lineRule="auto"/>
              <w:jc w:val="right"/>
              <w:rPr>
                <w:sz w:val="20"/>
                <w:szCs w:val="20"/>
              </w:rPr>
            </w:pPr>
          </w:p>
          <w:p w14:paraId="5CCCCB2A" w14:textId="77777777" w:rsidR="00C90846" w:rsidRPr="003B251F" w:rsidRDefault="00C90846" w:rsidP="00D12C8E">
            <w:pPr>
              <w:spacing w:line="276" w:lineRule="auto"/>
              <w:jc w:val="right"/>
              <w:rPr>
                <w:sz w:val="20"/>
                <w:szCs w:val="20"/>
              </w:rPr>
            </w:pPr>
          </w:p>
          <w:p w14:paraId="379AE6B8" w14:textId="77777777" w:rsidR="00C90846" w:rsidRPr="003B251F" w:rsidRDefault="00C90846" w:rsidP="00D12C8E">
            <w:pPr>
              <w:spacing w:line="276" w:lineRule="auto"/>
              <w:jc w:val="right"/>
              <w:rPr>
                <w:sz w:val="20"/>
                <w:szCs w:val="20"/>
              </w:rPr>
            </w:pPr>
            <w:r w:rsidRPr="003B251F">
              <w:rPr>
                <w:sz w:val="20"/>
                <w:szCs w:val="20"/>
              </w:rPr>
              <w:t>-</w:t>
            </w:r>
          </w:p>
          <w:p w14:paraId="4C92003A" w14:textId="77777777" w:rsidR="00C90846" w:rsidRPr="003B251F" w:rsidRDefault="00C90846" w:rsidP="00D12C8E">
            <w:pPr>
              <w:spacing w:line="276" w:lineRule="auto"/>
              <w:jc w:val="right"/>
              <w:rPr>
                <w:b/>
                <w:sz w:val="20"/>
                <w:szCs w:val="20"/>
              </w:rPr>
            </w:pPr>
            <w:r w:rsidRPr="003B251F">
              <w:rPr>
                <w:b/>
                <w:sz w:val="20"/>
                <w:szCs w:val="20"/>
              </w:rPr>
              <w:t>1.67-2.56</w:t>
            </w:r>
          </w:p>
          <w:p w14:paraId="181F93AE" w14:textId="77777777" w:rsidR="00C90846" w:rsidRPr="003B251F" w:rsidRDefault="00C90846" w:rsidP="00D12C8E">
            <w:pPr>
              <w:spacing w:line="276" w:lineRule="auto"/>
              <w:jc w:val="right"/>
              <w:rPr>
                <w:b/>
                <w:sz w:val="20"/>
                <w:szCs w:val="20"/>
              </w:rPr>
            </w:pPr>
            <w:r w:rsidRPr="003B251F">
              <w:rPr>
                <w:b/>
                <w:sz w:val="20"/>
                <w:szCs w:val="20"/>
              </w:rPr>
              <w:t>3.06-4.95</w:t>
            </w:r>
          </w:p>
          <w:p w14:paraId="0E712F30" w14:textId="77777777" w:rsidR="00C90846" w:rsidRPr="003B251F" w:rsidRDefault="00C90846" w:rsidP="00D12C8E">
            <w:pPr>
              <w:spacing w:line="276" w:lineRule="auto"/>
              <w:jc w:val="right"/>
              <w:rPr>
                <w:sz w:val="20"/>
                <w:szCs w:val="20"/>
              </w:rPr>
            </w:pPr>
            <w:r w:rsidRPr="003B251F">
              <w:rPr>
                <w:b/>
                <w:sz w:val="20"/>
                <w:szCs w:val="20"/>
              </w:rPr>
              <w:t>5.78-12.6</w:t>
            </w:r>
          </w:p>
        </w:tc>
      </w:tr>
      <w:tr w:rsidR="00C90846" w:rsidRPr="003B251F" w14:paraId="37F00C26" w14:textId="77777777" w:rsidTr="00D12C8E">
        <w:trPr>
          <w:gridAfter w:val="1"/>
          <w:wAfter w:w="366" w:type="dxa"/>
          <w:trHeight w:val="266"/>
          <w:jc w:val="center"/>
        </w:trPr>
        <w:tc>
          <w:tcPr>
            <w:tcW w:w="2000" w:type="dxa"/>
          </w:tcPr>
          <w:p w14:paraId="5F3CA1DF" w14:textId="77777777" w:rsidR="00C90846" w:rsidRPr="003B251F" w:rsidRDefault="00C90846" w:rsidP="00D12C8E">
            <w:pPr>
              <w:spacing w:line="276" w:lineRule="auto"/>
              <w:rPr>
                <w:b/>
                <w:sz w:val="20"/>
                <w:szCs w:val="20"/>
              </w:rPr>
            </w:pPr>
          </w:p>
          <w:p w14:paraId="341AE418" w14:textId="77777777" w:rsidR="00C90846" w:rsidRPr="003B251F" w:rsidRDefault="00C90846" w:rsidP="00D12C8E">
            <w:pPr>
              <w:spacing w:line="276" w:lineRule="auto"/>
              <w:rPr>
                <w:b/>
                <w:sz w:val="20"/>
                <w:szCs w:val="20"/>
              </w:rPr>
            </w:pPr>
            <w:r w:rsidRPr="003B251F">
              <w:rPr>
                <w:b/>
                <w:sz w:val="20"/>
                <w:szCs w:val="20"/>
              </w:rPr>
              <w:t>Unattended Appointment</w:t>
            </w:r>
          </w:p>
        </w:tc>
        <w:tc>
          <w:tcPr>
            <w:tcW w:w="2261" w:type="dxa"/>
          </w:tcPr>
          <w:p w14:paraId="06AD3EC5" w14:textId="77777777" w:rsidR="00C90846" w:rsidRPr="003B251F" w:rsidRDefault="00C90846" w:rsidP="00D12C8E">
            <w:pPr>
              <w:spacing w:line="276" w:lineRule="auto"/>
              <w:jc w:val="right"/>
              <w:rPr>
                <w:rFonts w:asciiTheme="majorHAnsi" w:hAnsiTheme="majorHAnsi"/>
                <w:sz w:val="20"/>
                <w:szCs w:val="18"/>
              </w:rPr>
            </w:pPr>
          </w:p>
          <w:p w14:paraId="3F4DBB12" w14:textId="77777777" w:rsidR="00C90846" w:rsidRPr="003B251F" w:rsidRDefault="00C90846" w:rsidP="00D12C8E">
            <w:pPr>
              <w:spacing w:line="276" w:lineRule="auto"/>
              <w:jc w:val="right"/>
              <w:rPr>
                <w:sz w:val="20"/>
                <w:szCs w:val="20"/>
              </w:rPr>
            </w:pPr>
            <w:r w:rsidRPr="003B251F">
              <w:rPr>
                <w:rFonts w:asciiTheme="majorHAnsi" w:hAnsiTheme="majorHAnsi"/>
                <w:sz w:val="20"/>
                <w:szCs w:val="18"/>
              </w:rPr>
              <w:t>143 (14)</w:t>
            </w:r>
          </w:p>
        </w:tc>
        <w:tc>
          <w:tcPr>
            <w:tcW w:w="1134" w:type="dxa"/>
            <w:gridSpan w:val="3"/>
          </w:tcPr>
          <w:p w14:paraId="240E8186" w14:textId="77777777" w:rsidR="00C90846" w:rsidRPr="003B251F" w:rsidRDefault="00C90846" w:rsidP="00D12C8E">
            <w:pPr>
              <w:spacing w:line="276" w:lineRule="auto"/>
              <w:jc w:val="right"/>
              <w:rPr>
                <w:sz w:val="20"/>
                <w:szCs w:val="20"/>
              </w:rPr>
            </w:pPr>
          </w:p>
          <w:p w14:paraId="5B8BBF4E" w14:textId="77777777" w:rsidR="00C90846" w:rsidRPr="003B251F" w:rsidRDefault="00C90846" w:rsidP="00D12C8E">
            <w:pPr>
              <w:spacing w:line="276" w:lineRule="auto"/>
              <w:jc w:val="right"/>
              <w:rPr>
                <w:b/>
                <w:sz w:val="20"/>
                <w:szCs w:val="20"/>
              </w:rPr>
            </w:pPr>
            <w:r w:rsidRPr="003B251F">
              <w:rPr>
                <w:b/>
                <w:sz w:val="20"/>
                <w:szCs w:val="20"/>
              </w:rPr>
              <w:t>0.68</w:t>
            </w:r>
          </w:p>
        </w:tc>
        <w:tc>
          <w:tcPr>
            <w:tcW w:w="1446" w:type="dxa"/>
            <w:gridSpan w:val="2"/>
          </w:tcPr>
          <w:p w14:paraId="1B36F412" w14:textId="77777777" w:rsidR="00C90846" w:rsidRPr="003B251F" w:rsidRDefault="00C90846" w:rsidP="00D12C8E">
            <w:pPr>
              <w:spacing w:line="276" w:lineRule="auto"/>
              <w:jc w:val="right"/>
              <w:rPr>
                <w:b/>
                <w:sz w:val="20"/>
                <w:szCs w:val="20"/>
              </w:rPr>
            </w:pPr>
          </w:p>
          <w:p w14:paraId="263E1D20" w14:textId="77777777" w:rsidR="00C90846" w:rsidRPr="003B251F" w:rsidRDefault="00C90846" w:rsidP="00D12C8E">
            <w:pPr>
              <w:spacing w:line="276" w:lineRule="auto"/>
              <w:jc w:val="right"/>
              <w:rPr>
                <w:b/>
                <w:sz w:val="20"/>
                <w:szCs w:val="20"/>
              </w:rPr>
            </w:pPr>
            <w:r w:rsidRPr="003B251F">
              <w:rPr>
                <w:b/>
                <w:sz w:val="20"/>
                <w:szCs w:val="20"/>
              </w:rPr>
              <w:t>0.52-0.89</w:t>
            </w:r>
          </w:p>
        </w:tc>
      </w:tr>
      <w:tr w:rsidR="00C90846" w:rsidRPr="003B251F" w14:paraId="0CBB7B21" w14:textId="77777777" w:rsidTr="00D12C8E">
        <w:trPr>
          <w:trHeight w:val="131"/>
          <w:jc w:val="center"/>
        </w:trPr>
        <w:tc>
          <w:tcPr>
            <w:tcW w:w="2000" w:type="dxa"/>
          </w:tcPr>
          <w:p w14:paraId="0F0ED823" w14:textId="77777777" w:rsidR="00C90846" w:rsidRPr="003B251F" w:rsidRDefault="00C90846" w:rsidP="00D12C8E">
            <w:pPr>
              <w:spacing w:line="276" w:lineRule="auto"/>
              <w:rPr>
                <w:sz w:val="20"/>
                <w:szCs w:val="20"/>
              </w:rPr>
            </w:pPr>
          </w:p>
        </w:tc>
        <w:tc>
          <w:tcPr>
            <w:tcW w:w="2391" w:type="dxa"/>
            <w:gridSpan w:val="2"/>
          </w:tcPr>
          <w:p w14:paraId="47867162" w14:textId="77777777" w:rsidR="00C90846" w:rsidRPr="003B251F" w:rsidRDefault="00C90846" w:rsidP="00D12C8E">
            <w:pPr>
              <w:spacing w:line="276" w:lineRule="auto"/>
              <w:jc w:val="right"/>
              <w:rPr>
                <w:sz w:val="20"/>
                <w:szCs w:val="20"/>
              </w:rPr>
            </w:pPr>
          </w:p>
        </w:tc>
        <w:tc>
          <w:tcPr>
            <w:tcW w:w="236" w:type="dxa"/>
          </w:tcPr>
          <w:p w14:paraId="0BB89F10" w14:textId="77777777" w:rsidR="00C90846" w:rsidRPr="003B251F" w:rsidRDefault="00C90846" w:rsidP="00D12C8E">
            <w:pPr>
              <w:spacing w:line="276" w:lineRule="auto"/>
              <w:jc w:val="right"/>
              <w:rPr>
                <w:sz w:val="20"/>
                <w:szCs w:val="20"/>
              </w:rPr>
            </w:pPr>
          </w:p>
        </w:tc>
        <w:tc>
          <w:tcPr>
            <w:tcW w:w="1134" w:type="dxa"/>
            <w:gridSpan w:val="2"/>
          </w:tcPr>
          <w:p w14:paraId="44BACFDA" w14:textId="77777777" w:rsidR="00C90846" w:rsidRPr="003B251F" w:rsidRDefault="00C90846" w:rsidP="00D12C8E">
            <w:pPr>
              <w:spacing w:line="276" w:lineRule="auto"/>
              <w:jc w:val="right"/>
              <w:rPr>
                <w:sz w:val="20"/>
                <w:szCs w:val="20"/>
              </w:rPr>
            </w:pPr>
          </w:p>
        </w:tc>
        <w:tc>
          <w:tcPr>
            <w:tcW w:w="1446" w:type="dxa"/>
            <w:gridSpan w:val="2"/>
          </w:tcPr>
          <w:p w14:paraId="4DC4AA06" w14:textId="77777777" w:rsidR="00C90846" w:rsidRPr="003B251F" w:rsidRDefault="00C90846" w:rsidP="00D12C8E">
            <w:pPr>
              <w:spacing w:line="276" w:lineRule="auto"/>
              <w:jc w:val="right"/>
              <w:rPr>
                <w:sz w:val="20"/>
                <w:szCs w:val="20"/>
              </w:rPr>
            </w:pPr>
          </w:p>
        </w:tc>
      </w:tr>
    </w:tbl>
    <w:p w14:paraId="0F6F5764" w14:textId="77777777" w:rsidR="00C90846" w:rsidRPr="003B251F" w:rsidRDefault="00C90846" w:rsidP="00C90846">
      <w:pPr>
        <w:spacing w:after="120" w:line="264" w:lineRule="auto"/>
        <w:rPr>
          <w:rFonts w:eastAsiaTheme="minorEastAsia"/>
          <w:b/>
          <w:sz w:val="20"/>
          <w:szCs w:val="20"/>
        </w:rPr>
      </w:pPr>
      <w:r w:rsidRPr="003B251F">
        <w:rPr>
          <w:rFonts w:eastAsiaTheme="minorEastAsia"/>
          <w:b/>
          <w:sz w:val="20"/>
          <w:szCs w:val="20"/>
        </w:rPr>
        <w:t>All variables are included in the analysis. Results with a p-value of &lt;0.05 are highlighted in bold.</w:t>
      </w:r>
    </w:p>
    <w:p w14:paraId="3D7845DC" w14:textId="77777777" w:rsidR="00C90846" w:rsidRPr="003B251F" w:rsidRDefault="00C90846" w:rsidP="00C90846">
      <w:pPr>
        <w:spacing w:after="120" w:line="264" w:lineRule="auto"/>
        <w:rPr>
          <w:rFonts w:eastAsiaTheme="minorEastAsia"/>
          <w:sz w:val="20"/>
          <w:szCs w:val="20"/>
        </w:rPr>
      </w:pPr>
      <w:r w:rsidRPr="003B251F">
        <w:rPr>
          <w:rFonts w:eastAsiaTheme="minorEastAsia"/>
          <w:b/>
          <w:sz w:val="20"/>
          <w:szCs w:val="20"/>
        </w:rPr>
        <w:t xml:space="preserve">Chronic GI symptoms </w:t>
      </w:r>
      <w:r w:rsidRPr="003B251F">
        <w:rPr>
          <w:rFonts w:eastAsiaTheme="minorEastAsia"/>
          <w:sz w:val="20"/>
          <w:szCs w:val="20"/>
        </w:rPr>
        <w:t>– Individuals who presented twice within a 6 month period for gastrointestinal symptoms, where the presentations were at least 6 weeks apart</w:t>
      </w:r>
    </w:p>
    <w:p w14:paraId="4A1CDB0B" w14:textId="77777777" w:rsidR="00C90846" w:rsidRPr="003B251F" w:rsidRDefault="00C90846" w:rsidP="00C90846">
      <w:pPr>
        <w:spacing w:after="120" w:line="264" w:lineRule="auto"/>
        <w:rPr>
          <w:rFonts w:eastAsiaTheme="minorEastAsia"/>
          <w:sz w:val="20"/>
          <w:szCs w:val="20"/>
        </w:rPr>
      </w:pPr>
      <w:r w:rsidRPr="003B251F">
        <w:rPr>
          <w:rFonts w:eastAsiaTheme="minorEastAsia"/>
          <w:b/>
          <w:sz w:val="20"/>
          <w:szCs w:val="20"/>
        </w:rPr>
        <w:t xml:space="preserve">IMD – </w:t>
      </w:r>
      <w:r w:rsidRPr="003B251F">
        <w:rPr>
          <w:rFonts w:eastAsiaTheme="minorEastAsia"/>
          <w:sz w:val="20"/>
          <w:szCs w:val="20"/>
        </w:rPr>
        <w:t>Index of Multiple Deprivation, 1 represents the least deprived and 5 represents the most deprived</w:t>
      </w:r>
    </w:p>
    <w:p w14:paraId="500C11D5" w14:textId="77777777" w:rsidR="00C90846" w:rsidRPr="003B251F" w:rsidRDefault="00C90846" w:rsidP="00C90846">
      <w:pPr>
        <w:spacing w:after="120" w:line="264" w:lineRule="auto"/>
        <w:rPr>
          <w:rFonts w:eastAsiaTheme="minorEastAsia"/>
          <w:sz w:val="20"/>
          <w:szCs w:val="20"/>
        </w:rPr>
      </w:pPr>
      <w:r w:rsidRPr="003B251F">
        <w:rPr>
          <w:rFonts w:eastAsiaTheme="minorEastAsia"/>
          <w:b/>
          <w:sz w:val="20"/>
          <w:szCs w:val="20"/>
        </w:rPr>
        <w:t>Premorbid Depression</w:t>
      </w:r>
      <w:r w:rsidRPr="003B251F">
        <w:rPr>
          <w:rFonts w:eastAsiaTheme="minorEastAsia"/>
          <w:sz w:val="20"/>
          <w:szCs w:val="20"/>
        </w:rPr>
        <w:t xml:space="preserve"> – The patient had a previous diagnosis of depression prior to this presentation with chronic gastrointestinal symptoms</w:t>
      </w:r>
    </w:p>
    <w:p w14:paraId="7A14F43D" w14:textId="77777777" w:rsidR="00C90846" w:rsidRPr="003B251F" w:rsidRDefault="00C90846" w:rsidP="00C90846">
      <w:pPr>
        <w:spacing w:after="120" w:line="264" w:lineRule="auto"/>
        <w:rPr>
          <w:rFonts w:eastAsiaTheme="minorEastAsia"/>
          <w:sz w:val="20"/>
          <w:szCs w:val="20"/>
        </w:rPr>
      </w:pPr>
      <w:r w:rsidRPr="003B251F">
        <w:rPr>
          <w:rFonts w:eastAsiaTheme="minorEastAsia"/>
          <w:b/>
          <w:sz w:val="20"/>
          <w:szCs w:val="20"/>
        </w:rPr>
        <w:t>Premorbid IBS</w:t>
      </w:r>
      <w:r w:rsidRPr="003B251F">
        <w:rPr>
          <w:rFonts w:eastAsiaTheme="minorEastAsia"/>
          <w:sz w:val="20"/>
          <w:szCs w:val="20"/>
        </w:rPr>
        <w:t xml:space="preserve"> – The patient had a previous diagnosis of Irritable Bowel Syndrome prior to this presentation with chronic GI symptoms</w:t>
      </w:r>
    </w:p>
    <w:p w14:paraId="10EABC87" w14:textId="77777777" w:rsidR="00C90846" w:rsidRPr="003B251F" w:rsidRDefault="00C90846" w:rsidP="00C90846">
      <w:pPr>
        <w:spacing w:after="120" w:line="264" w:lineRule="auto"/>
        <w:rPr>
          <w:rFonts w:eastAsiaTheme="minorEastAsia"/>
          <w:sz w:val="20"/>
          <w:szCs w:val="20"/>
        </w:rPr>
      </w:pPr>
      <w:r w:rsidRPr="003B251F">
        <w:rPr>
          <w:rFonts w:eastAsiaTheme="minorEastAsia"/>
          <w:b/>
          <w:sz w:val="20"/>
          <w:szCs w:val="20"/>
        </w:rPr>
        <w:t xml:space="preserve">Unattended Appointment </w:t>
      </w:r>
      <w:r w:rsidRPr="003B251F">
        <w:rPr>
          <w:rFonts w:eastAsiaTheme="minorEastAsia"/>
          <w:sz w:val="20"/>
          <w:szCs w:val="20"/>
        </w:rPr>
        <w:t>– The patient was offered but did not attend a specialist appointment between the time of presenting to their GP with chronic GI symptoms and finally attending a specialist appointment</w:t>
      </w:r>
    </w:p>
    <w:p w14:paraId="61F8EFBA" w14:textId="77777777" w:rsidR="00C90846" w:rsidRPr="003B251F" w:rsidRDefault="00C90846">
      <w:pPr>
        <w:spacing w:line="480" w:lineRule="auto"/>
        <w:jc w:val="both"/>
      </w:pPr>
    </w:p>
    <w:p w14:paraId="30ED3B37" w14:textId="55F1D3D4" w:rsidR="00F404D1" w:rsidRPr="003B251F" w:rsidRDefault="00F404D1">
      <w:r w:rsidRPr="003B251F">
        <w:br w:type="page"/>
      </w:r>
    </w:p>
    <w:p w14:paraId="395840E9" w14:textId="042444EB" w:rsidR="00F404D1" w:rsidRPr="003B251F" w:rsidRDefault="00F404D1" w:rsidP="00C90846">
      <w:pPr>
        <w:pStyle w:val="Heading1"/>
      </w:pPr>
      <w:r w:rsidRPr="003B251F">
        <w:lastRenderedPageBreak/>
        <w:t>References</w:t>
      </w:r>
    </w:p>
    <w:p w14:paraId="60D08976" w14:textId="3B9C78C3" w:rsidR="003E3AC5" w:rsidRPr="003B251F" w:rsidRDefault="001C2F16" w:rsidP="003E3AC5">
      <w:pPr>
        <w:widowControl w:val="0"/>
        <w:autoSpaceDE w:val="0"/>
        <w:autoSpaceDN w:val="0"/>
        <w:adjustRightInd w:val="0"/>
        <w:spacing w:line="480" w:lineRule="auto"/>
        <w:ind w:left="640" w:hanging="640"/>
        <w:rPr>
          <w:rFonts w:ascii="Calibri" w:hAnsi="Calibri" w:cs="Times New Roman"/>
          <w:noProof/>
          <w:szCs w:val="24"/>
        </w:rPr>
      </w:pPr>
      <w:r w:rsidRPr="003B251F">
        <w:fldChar w:fldCharType="begin" w:fldLock="1"/>
      </w:r>
      <w:r w:rsidRPr="003B251F">
        <w:instrText xml:space="preserve">ADDIN Mendeley Bibliography CSL_BIBLIOGRAPHY </w:instrText>
      </w:r>
      <w:r w:rsidRPr="003B251F">
        <w:fldChar w:fldCharType="separate"/>
      </w:r>
      <w:r w:rsidR="003E3AC5" w:rsidRPr="003B251F">
        <w:rPr>
          <w:rFonts w:ascii="Calibri" w:hAnsi="Calibri" w:cs="Times New Roman"/>
          <w:noProof/>
          <w:szCs w:val="24"/>
        </w:rPr>
        <w:t xml:space="preserve">1. </w:t>
      </w:r>
      <w:r w:rsidR="003E3AC5" w:rsidRPr="003B251F">
        <w:rPr>
          <w:rFonts w:ascii="Calibri" w:hAnsi="Calibri" w:cs="Times New Roman"/>
          <w:noProof/>
          <w:szCs w:val="24"/>
        </w:rPr>
        <w:tab/>
        <w:t xml:space="preserve">Hong Z, Ren J, Li Y, et al. Delayed diagnosis is associated with early and emergency need for first crohn’s disease-related intestinal surgery. </w:t>
      </w:r>
      <w:r w:rsidR="003E3AC5" w:rsidRPr="003B251F">
        <w:rPr>
          <w:rFonts w:ascii="Calibri" w:hAnsi="Calibri" w:cs="Times New Roman"/>
          <w:i/>
          <w:iCs/>
          <w:noProof/>
          <w:szCs w:val="24"/>
        </w:rPr>
        <w:t>Med Sci Monit</w:t>
      </w:r>
      <w:r w:rsidR="003E3AC5" w:rsidRPr="003B251F">
        <w:rPr>
          <w:rFonts w:ascii="Calibri" w:hAnsi="Calibri" w:cs="Times New Roman"/>
          <w:noProof/>
          <w:szCs w:val="24"/>
        </w:rPr>
        <w:t>. 2017;23:4841-4846. doi:10.12659/MSM.904238</w:t>
      </w:r>
    </w:p>
    <w:p w14:paraId="3B366622"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2. </w:t>
      </w:r>
      <w:r w:rsidRPr="003B251F">
        <w:rPr>
          <w:rFonts w:ascii="Calibri" w:hAnsi="Calibri" w:cs="Times New Roman"/>
          <w:noProof/>
          <w:szCs w:val="24"/>
        </w:rPr>
        <w:tab/>
        <w:t xml:space="preserve">Lee D, Koo JS, Choe JW, et al. Diagnostic delay in inflammatory bowel disease increases the risk of intestinal surgery. </w:t>
      </w:r>
      <w:r w:rsidRPr="003B251F">
        <w:rPr>
          <w:rFonts w:ascii="Calibri" w:hAnsi="Calibri" w:cs="Times New Roman"/>
          <w:i/>
          <w:iCs/>
          <w:noProof/>
          <w:szCs w:val="24"/>
        </w:rPr>
        <w:t>World J Gastroenterol</w:t>
      </w:r>
      <w:r w:rsidRPr="003B251F">
        <w:rPr>
          <w:rFonts w:ascii="Calibri" w:hAnsi="Calibri" w:cs="Times New Roman"/>
          <w:noProof/>
          <w:szCs w:val="24"/>
        </w:rPr>
        <w:t>. 2017;23(35):6474-6481. doi:10.3748/wjg.v23.i35.6474</w:t>
      </w:r>
    </w:p>
    <w:p w14:paraId="30F90044"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3. </w:t>
      </w:r>
      <w:r w:rsidRPr="003B251F">
        <w:rPr>
          <w:rFonts w:ascii="Calibri" w:hAnsi="Calibri" w:cs="Times New Roman"/>
          <w:noProof/>
          <w:szCs w:val="24"/>
        </w:rPr>
        <w:tab/>
        <w:t xml:space="preserve">Safroneeva E, Vavricka SR, Fournier N, et al. Impact of the early use of immunomodulators or TNF antagonists on bowel damage and surgery in Crohn’s disease. </w:t>
      </w:r>
      <w:r w:rsidRPr="003B251F">
        <w:rPr>
          <w:rFonts w:ascii="Calibri" w:hAnsi="Calibri" w:cs="Times New Roman"/>
          <w:i/>
          <w:iCs/>
          <w:noProof/>
          <w:szCs w:val="24"/>
        </w:rPr>
        <w:t>Aliment Pharmacol Ther</w:t>
      </w:r>
      <w:r w:rsidRPr="003B251F">
        <w:rPr>
          <w:rFonts w:ascii="Calibri" w:hAnsi="Calibri" w:cs="Times New Roman"/>
          <w:noProof/>
          <w:szCs w:val="24"/>
        </w:rPr>
        <w:t>. 2015;42(8):977-989. doi:10.1111/apt.13363</w:t>
      </w:r>
    </w:p>
    <w:p w14:paraId="5B8C0958"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4. </w:t>
      </w:r>
      <w:r w:rsidRPr="003B251F">
        <w:rPr>
          <w:rFonts w:ascii="Calibri" w:hAnsi="Calibri" w:cs="Times New Roman"/>
          <w:noProof/>
          <w:szCs w:val="24"/>
        </w:rPr>
        <w:tab/>
        <w:t xml:space="preserve">Chhaya V, Pollok RCG, Cecil E, et al. Impact of early thiopurines on surgery in 2770 children and young people diagnosed with inflammatory bowel disease: A national population-based study. </w:t>
      </w:r>
      <w:r w:rsidRPr="003B251F">
        <w:rPr>
          <w:rFonts w:ascii="Calibri" w:hAnsi="Calibri" w:cs="Times New Roman"/>
          <w:i/>
          <w:iCs/>
          <w:noProof/>
          <w:szCs w:val="24"/>
        </w:rPr>
        <w:t>Aliment Pharmacol Ther</w:t>
      </w:r>
      <w:r w:rsidRPr="003B251F">
        <w:rPr>
          <w:rFonts w:ascii="Calibri" w:hAnsi="Calibri" w:cs="Times New Roman"/>
          <w:noProof/>
          <w:szCs w:val="24"/>
        </w:rPr>
        <w:t>. 2015;42(8):990-999. doi:10.1111/apt.13361</w:t>
      </w:r>
    </w:p>
    <w:p w14:paraId="264F4A3D"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5. </w:t>
      </w:r>
      <w:r w:rsidRPr="003B251F">
        <w:rPr>
          <w:rFonts w:ascii="Calibri" w:hAnsi="Calibri" w:cs="Times New Roman"/>
          <w:noProof/>
          <w:szCs w:val="24"/>
        </w:rPr>
        <w:tab/>
        <w:t xml:space="preserve">Magro F, Rodrigues-Pinto E, Coelho R, et al. Is it possible to change phenotype progression in crohn’s disease in the era of immunomodulators? predictive factors of phenotype progression. </w:t>
      </w:r>
      <w:r w:rsidRPr="003B251F">
        <w:rPr>
          <w:rFonts w:ascii="Calibri" w:hAnsi="Calibri" w:cs="Times New Roman"/>
          <w:i/>
          <w:iCs/>
          <w:noProof/>
          <w:szCs w:val="24"/>
        </w:rPr>
        <w:t>Am J Gastroenterol</w:t>
      </w:r>
      <w:r w:rsidRPr="003B251F">
        <w:rPr>
          <w:rFonts w:ascii="Calibri" w:hAnsi="Calibri" w:cs="Times New Roman"/>
          <w:noProof/>
          <w:szCs w:val="24"/>
        </w:rPr>
        <w:t>. 2014;109(7):1026-1036. doi:10.1038/ajg.2014.97</w:t>
      </w:r>
    </w:p>
    <w:p w14:paraId="4ADFD4C2"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6. </w:t>
      </w:r>
      <w:r w:rsidRPr="003B251F">
        <w:rPr>
          <w:rFonts w:ascii="Calibri" w:hAnsi="Calibri" w:cs="Times New Roman"/>
          <w:noProof/>
          <w:szCs w:val="24"/>
        </w:rPr>
        <w:tab/>
        <w:t>Cosnes J, Bourrier A, Laharie D, et al. Early Administration of Azathioprine vs Conventional Management of Crohn ’ s Disease: A Randomized Controlled Trial. 2013:758-765. doi:10.1053/j.gastro.2013.04.048</w:t>
      </w:r>
    </w:p>
    <w:p w14:paraId="07F20513"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7. </w:t>
      </w:r>
      <w:r w:rsidRPr="003B251F">
        <w:rPr>
          <w:rFonts w:ascii="Calibri" w:hAnsi="Calibri" w:cs="Times New Roman"/>
          <w:noProof/>
          <w:szCs w:val="24"/>
        </w:rPr>
        <w:tab/>
        <w:t xml:space="preserve">Aloi M, D’Arcangelo G, Bramuzzo M, et al. Effect of Early Versus Late Azathioprine Therapy in Pediatric Ulcerative Colitis. </w:t>
      </w:r>
      <w:r w:rsidRPr="003B251F">
        <w:rPr>
          <w:rFonts w:ascii="Calibri" w:hAnsi="Calibri" w:cs="Times New Roman"/>
          <w:i/>
          <w:iCs/>
          <w:noProof/>
          <w:szCs w:val="24"/>
        </w:rPr>
        <w:t>Inflamm Bowel Dis</w:t>
      </w:r>
      <w:r w:rsidRPr="003B251F">
        <w:rPr>
          <w:rFonts w:ascii="Calibri" w:hAnsi="Calibri" w:cs="Times New Roman"/>
          <w:noProof/>
          <w:szCs w:val="24"/>
        </w:rPr>
        <w:t>. 2016;22(7):1647-1654. doi:10.1097/MIB.0000000000000828</w:t>
      </w:r>
    </w:p>
    <w:p w14:paraId="6AB96146"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8. </w:t>
      </w:r>
      <w:r w:rsidRPr="003B251F">
        <w:rPr>
          <w:rFonts w:ascii="Calibri" w:hAnsi="Calibri" w:cs="Times New Roman"/>
          <w:noProof/>
          <w:szCs w:val="24"/>
        </w:rPr>
        <w:tab/>
        <w:t xml:space="preserve">Probert CSJ, Dignass AU, Lindgren S, Oudkerk Pool M, Marteau P. Combined oral and rectal mesalazine for the treatment of mild-to-moderately active ulcerative colitis: rapid symptom </w:t>
      </w:r>
      <w:r w:rsidRPr="003B251F">
        <w:rPr>
          <w:rFonts w:ascii="Calibri" w:hAnsi="Calibri" w:cs="Times New Roman"/>
          <w:noProof/>
          <w:szCs w:val="24"/>
        </w:rPr>
        <w:lastRenderedPageBreak/>
        <w:t xml:space="preserve">resolution and improvements in quality of life. </w:t>
      </w:r>
      <w:r w:rsidRPr="003B251F">
        <w:rPr>
          <w:rFonts w:ascii="Calibri" w:hAnsi="Calibri" w:cs="Times New Roman"/>
          <w:i/>
          <w:iCs/>
          <w:noProof/>
          <w:szCs w:val="24"/>
        </w:rPr>
        <w:t>J Crohns Colitis</w:t>
      </w:r>
      <w:r w:rsidRPr="003B251F">
        <w:rPr>
          <w:rFonts w:ascii="Calibri" w:hAnsi="Calibri" w:cs="Times New Roman"/>
          <w:noProof/>
          <w:szCs w:val="24"/>
        </w:rPr>
        <w:t>. 2014;8(3):200-207. doi:10.1016/j.crohns.2013.08.007</w:t>
      </w:r>
    </w:p>
    <w:p w14:paraId="64D59D2F"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9. </w:t>
      </w:r>
      <w:r w:rsidRPr="003B251F">
        <w:rPr>
          <w:rFonts w:ascii="Calibri" w:hAnsi="Calibri" w:cs="Times New Roman"/>
          <w:noProof/>
          <w:szCs w:val="24"/>
        </w:rPr>
        <w:tab/>
        <w:t xml:space="preserve">Travis S, Feagan BG, Peyrin-Biroulet L, et al. Effect of Adalimumab on Clinical Outcomes and Health-related Quality of Life Among Patients With Ulcerative Colitis in a Clinical Practice Setting: Results From InspirADA. </w:t>
      </w:r>
      <w:r w:rsidRPr="003B251F">
        <w:rPr>
          <w:rFonts w:ascii="Calibri" w:hAnsi="Calibri" w:cs="Times New Roman"/>
          <w:i/>
          <w:iCs/>
          <w:noProof/>
          <w:szCs w:val="24"/>
        </w:rPr>
        <w:t>J Crohns Colitis</w:t>
      </w:r>
      <w:r w:rsidRPr="003B251F">
        <w:rPr>
          <w:rFonts w:ascii="Calibri" w:hAnsi="Calibri" w:cs="Times New Roman"/>
          <w:noProof/>
          <w:szCs w:val="24"/>
        </w:rPr>
        <w:t>. 2017;11(11):1317-1325. doi:10.1093/ecco-jcc/jjx093</w:t>
      </w:r>
    </w:p>
    <w:p w14:paraId="71FBFD59"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10. </w:t>
      </w:r>
      <w:r w:rsidRPr="003B251F">
        <w:rPr>
          <w:rFonts w:ascii="Calibri" w:hAnsi="Calibri" w:cs="Times New Roman"/>
          <w:noProof/>
          <w:szCs w:val="24"/>
        </w:rPr>
        <w:tab/>
        <w:t xml:space="preserve">Fuentes D, Torrente F, Keady S, et al. High-dose azathioprine in children with inflammatory bowel disease. </w:t>
      </w:r>
      <w:r w:rsidRPr="003B251F">
        <w:rPr>
          <w:rFonts w:ascii="Calibri" w:hAnsi="Calibri" w:cs="Times New Roman"/>
          <w:i/>
          <w:iCs/>
          <w:noProof/>
          <w:szCs w:val="24"/>
        </w:rPr>
        <w:t>Aliment Pharmacol Ther</w:t>
      </w:r>
      <w:r w:rsidRPr="003B251F">
        <w:rPr>
          <w:rFonts w:ascii="Calibri" w:hAnsi="Calibri" w:cs="Times New Roman"/>
          <w:noProof/>
          <w:szCs w:val="24"/>
        </w:rPr>
        <w:t>. 2003;17(7):913-921. doi:10.1046/j.1365-2036.2003.01540.x</w:t>
      </w:r>
    </w:p>
    <w:p w14:paraId="6B332109"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11. </w:t>
      </w:r>
      <w:r w:rsidRPr="003B251F">
        <w:rPr>
          <w:rFonts w:ascii="Calibri" w:hAnsi="Calibri" w:cs="Times New Roman"/>
          <w:noProof/>
          <w:szCs w:val="24"/>
        </w:rPr>
        <w:tab/>
        <w:t xml:space="preserve">Berg DR, Colombel J-F, Ungaro R. The Role of Early Biologic Therapy in Inflammatory Bowel Disease. </w:t>
      </w:r>
      <w:r w:rsidRPr="003B251F">
        <w:rPr>
          <w:rFonts w:ascii="Calibri" w:hAnsi="Calibri" w:cs="Times New Roman"/>
          <w:i/>
          <w:iCs/>
          <w:noProof/>
          <w:szCs w:val="24"/>
        </w:rPr>
        <w:t>Inflamm Bowel Dis</w:t>
      </w:r>
      <w:r w:rsidRPr="003B251F">
        <w:rPr>
          <w:rFonts w:ascii="Calibri" w:hAnsi="Calibri" w:cs="Times New Roman"/>
          <w:noProof/>
          <w:szCs w:val="24"/>
        </w:rPr>
        <w:t>. April 2019. doi:10.1093/ibd/izz059</w:t>
      </w:r>
    </w:p>
    <w:p w14:paraId="23875114"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12. </w:t>
      </w:r>
      <w:r w:rsidRPr="003B251F">
        <w:rPr>
          <w:rFonts w:ascii="Calibri" w:hAnsi="Calibri" w:cs="Times New Roman"/>
          <w:noProof/>
          <w:szCs w:val="24"/>
        </w:rPr>
        <w:tab/>
        <w:t xml:space="preserve">Stapley SA, Rubin GP, Alsina D, Shephard EA, Rutter MD, Hamilton WT. Clinical features of bowel disease in patients aged &lt;50 years in primary care: A large case-control study. </w:t>
      </w:r>
      <w:r w:rsidRPr="003B251F">
        <w:rPr>
          <w:rFonts w:ascii="Calibri" w:hAnsi="Calibri" w:cs="Times New Roman"/>
          <w:i/>
          <w:iCs/>
          <w:noProof/>
          <w:szCs w:val="24"/>
        </w:rPr>
        <w:t>Br J Gen Pract</w:t>
      </w:r>
      <w:r w:rsidRPr="003B251F">
        <w:rPr>
          <w:rFonts w:ascii="Calibri" w:hAnsi="Calibri" w:cs="Times New Roman"/>
          <w:noProof/>
          <w:szCs w:val="24"/>
        </w:rPr>
        <w:t>. 2017;67(658):e336-e344. doi:10.3399/bjgp17X690425</w:t>
      </w:r>
    </w:p>
    <w:p w14:paraId="193E3B05"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13. </w:t>
      </w:r>
      <w:r w:rsidRPr="003B251F">
        <w:rPr>
          <w:rFonts w:ascii="Calibri" w:hAnsi="Calibri" w:cs="Times New Roman"/>
          <w:noProof/>
          <w:szCs w:val="24"/>
        </w:rPr>
        <w:tab/>
        <w:t xml:space="preserve">Card TR, Siffledeen J, Fleming KM. Are IBD patients more likely to have a prior diagnosis of irritable bowel syndrome? Report of a case-control study in the General Practice Research Database. </w:t>
      </w:r>
      <w:r w:rsidRPr="003B251F">
        <w:rPr>
          <w:rFonts w:ascii="Calibri" w:hAnsi="Calibri" w:cs="Times New Roman"/>
          <w:i/>
          <w:iCs/>
          <w:noProof/>
          <w:szCs w:val="24"/>
        </w:rPr>
        <w:t>United Eur Gastroenterol J</w:t>
      </w:r>
      <w:r w:rsidRPr="003B251F">
        <w:rPr>
          <w:rFonts w:ascii="Calibri" w:hAnsi="Calibri" w:cs="Times New Roman"/>
          <w:noProof/>
          <w:szCs w:val="24"/>
        </w:rPr>
        <w:t>. 2014;2(6):505-512. doi:10.1177/2050640614554217</w:t>
      </w:r>
    </w:p>
    <w:p w14:paraId="036ADEA0"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14. </w:t>
      </w:r>
      <w:r w:rsidRPr="003B251F">
        <w:rPr>
          <w:rFonts w:ascii="Calibri" w:hAnsi="Calibri" w:cs="Times New Roman"/>
          <w:noProof/>
          <w:szCs w:val="24"/>
        </w:rPr>
        <w:tab/>
        <w:t xml:space="preserve">Cantoro L, Sabatino A Di, Papi C, et al. The time course of diagnostic delay in inflammatory bowel disease over the last sixty years: an Italian multicentre study. </w:t>
      </w:r>
      <w:r w:rsidRPr="003B251F">
        <w:rPr>
          <w:rFonts w:ascii="Calibri" w:hAnsi="Calibri" w:cs="Times New Roman"/>
          <w:i/>
          <w:iCs/>
          <w:noProof/>
          <w:szCs w:val="24"/>
        </w:rPr>
        <w:t>J Crohns Colitis</w:t>
      </w:r>
      <w:r w:rsidRPr="003B251F">
        <w:rPr>
          <w:rFonts w:ascii="Calibri" w:hAnsi="Calibri" w:cs="Times New Roman"/>
          <w:noProof/>
          <w:szCs w:val="24"/>
        </w:rPr>
        <w:t>. 2017;17(3):E-published ahead of print. doi:10.1093/ecco-jcc/jjx041</w:t>
      </w:r>
    </w:p>
    <w:p w14:paraId="35EB4F41"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15. </w:t>
      </w:r>
      <w:r w:rsidRPr="003B251F">
        <w:rPr>
          <w:rFonts w:ascii="Calibri" w:hAnsi="Calibri" w:cs="Times New Roman"/>
          <w:noProof/>
          <w:szCs w:val="24"/>
        </w:rPr>
        <w:tab/>
        <w:t xml:space="preserve">Vavricka SR, Spigaglia SM, Rogler G, et al. Systematic Evaluation of Risk Factors for Diagnostic Delay in. </w:t>
      </w:r>
      <w:r w:rsidRPr="003B251F">
        <w:rPr>
          <w:rFonts w:ascii="Calibri" w:hAnsi="Calibri" w:cs="Times New Roman"/>
          <w:i/>
          <w:iCs/>
          <w:noProof/>
          <w:szCs w:val="24"/>
        </w:rPr>
        <w:t>Inflamm Bowel Dis</w:t>
      </w:r>
      <w:r w:rsidRPr="003B251F">
        <w:rPr>
          <w:rFonts w:ascii="Calibri" w:hAnsi="Calibri" w:cs="Times New Roman"/>
          <w:noProof/>
          <w:szCs w:val="24"/>
        </w:rPr>
        <w:t>. 2012;18(3):496-505. doi:10.1002/ibd.21719</w:t>
      </w:r>
    </w:p>
    <w:p w14:paraId="1F4C541F"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16. </w:t>
      </w:r>
      <w:r w:rsidRPr="003B251F">
        <w:rPr>
          <w:rFonts w:ascii="Calibri" w:hAnsi="Calibri" w:cs="Times New Roman"/>
          <w:noProof/>
          <w:szCs w:val="24"/>
        </w:rPr>
        <w:tab/>
        <w:t xml:space="preserve">Lamb CA, Kennedy NA, Raine T, et al. British Society of Gastroenterology consensus guidelines on the management of inflammatory bowel disease in adults. </w:t>
      </w:r>
      <w:r w:rsidRPr="003B251F">
        <w:rPr>
          <w:rFonts w:ascii="Calibri" w:hAnsi="Calibri" w:cs="Times New Roman"/>
          <w:i/>
          <w:iCs/>
          <w:noProof/>
          <w:szCs w:val="24"/>
        </w:rPr>
        <w:t>Gut</w:t>
      </w:r>
      <w:r w:rsidRPr="003B251F">
        <w:rPr>
          <w:rFonts w:ascii="Calibri" w:hAnsi="Calibri" w:cs="Times New Roman"/>
          <w:noProof/>
          <w:szCs w:val="24"/>
        </w:rPr>
        <w:t>. 2019:gutjnl-</w:t>
      </w:r>
      <w:r w:rsidRPr="003B251F">
        <w:rPr>
          <w:rFonts w:ascii="Calibri" w:hAnsi="Calibri" w:cs="Times New Roman"/>
          <w:noProof/>
          <w:szCs w:val="24"/>
        </w:rPr>
        <w:lastRenderedPageBreak/>
        <w:t>2019-318484. doi:10.1136/gutjnl-2019-318484</w:t>
      </w:r>
    </w:p>
    <w:p w14:paraId="4E43E521"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17. </w:t>
      </w:r>
      <w:r w:rsidRPr="003B251F">
        <w:rPr>
          <w:rFonts w:ascii="Calibri" w:hAnsi="Calibri" w:cs="Times New Roman"/>
          <w:noProof/>
          <w:szCs w:val="24"/>
        </w:rPr>
        <w:tab/>
        <w:t xml:space="preserve">Kapasi R, Glatter J, Lamb CA, et al. Consensus standards of healthcare for adults and children with inflammatory bowel disease in the UK. </w:t>
      </w:r>
      <w:r w:rsidRPr="003B251F">
        <w:rPr>
          <w:rFonts w:ascii="Calibri" w:hAnsi="Calibri" w:cs="Times New Roman"/>
          <w:i/>
          <w:iCs/>
          <w:noProof/>
          <w:szCs w:val="24"/>
        </w:rPr>
        <w:t>Frontline Gastroenterol</w:t>
      </w:r>
      <w:r w:rsidRPr="003B251F">
        <w:rPr>
          <w:rFonts w:ascii="Calibri" w:hAnsi="Calibri" w:cs="Times New Roman"/>
          <w:noProof/>
          <w:szCs w:val="24"/>
        </w:rPr>
        <w:t>. 2019:flgastro-2019-101260. doi:10.1136/flgastro-2019-101260</w:t>
      </w:r>
    </w:p>
    <w:p w14:paraId="1DBA01DA"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18. </w:t>
      </w:r>
      <w:r w:rsidRPr="003B251F">
        <w:rPr>
          <w:rFonts w:ascii="Calibri" w:hAnsi="Calibri" w:cs="Times New Roman"/>
          <w:noProof/>
          <w:szCs w:val="24"/>
        </w:rPr>
        <w:tab/>
        <w:t xml:space="preserve">Herrett E, Gallagher AM, Bhaskaran K, et al. Data Resource Profile: Clinical Practice Research Datalink (CPRD). </w:t>
      </w:r>
      <w:r w:rsidRPr="003B251F">
        <w:rPr>
          <w:rFonts w:ascii="Calibri" w:hAnsi="Calibri" w:cs="Times New Roman"/>
          <w:i/>
          <w:iCs/>
          <w:noProof/>
          <w:szCs w:val="24"/>
        </w:rPr>
        <w:t>Int J Epidemiol</w:t>
      </w:r>
      <w:r w:rsidRPr="003B251F">
        <w:rPr>
          <w:rFonts w:ascii="Calibri" w:hAnsi="Calibri" w:cs="Times New Roman"/>
          <w:noProof/>
          <w:szCs w:val="24"/>
        </w:rPr>
        <w:t>. 2015;44(3):827-836. doi:10.1093/ije/dyv098</w:t>
      </w:r>
    </w:p>
    <w:p w14:paraId="03E5BA07"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19. </w:t>
      </w:r>
      <w:r w:rsidRPr="003B251F">
        <w:rPr>
          <w:rFonts w:ascii="Calibri" w:hAnsi="Calibri" w:cs="Times New Roman"/>
          <w:noProof/>
          <w:szCs w:val="24"/>
        </w:rPr>
        <w:tab/>
        <w:t xml:space="preserve">Lewis JD, Ms CB, Bilker WB, Strom BL. Validity and completeness of the General Practice Research Database for studies of inflammatory bowel disease. </w:t>
      </w:r>
      <w:r w:rsidRPr="003B251F">
        <w:rPr>
          <w:rFonts w:ascii="Calibri" w:hAnsi="Calibri" w:cs="Times New Roman"/>
          <w:i/>
          <w:iCs/>
          <w:noProof/>
          <w:szCs w:val="24"/>
        </w:rPr>
        <w:t>Pharmacoepidemiol Drug Saf</w:t>
      </w:r>
      <w:r w:rsidRPr="003B251F">
        <w:rPr>
          <w:rFonts w:ascii="Calibri" w:hAnsi="Calibri" w:cs="Times New Roman"/>
          <w:noProof/>
          <w:szCs w:val="24"/>
        </w:rPr>
        <w:t>. 2002;(April):211-218.</w:t>
      </w:r>
    </w:p>
    <w:p w14:paraId="1F1E4A01"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20. </w:t>
      </w:r>
      <w:r w:rsidRPr="003B251F">
        <w:rPr>
          <w:rFonts w:ascii="Calibri" w:hAnsi="Calibri" w:cs="Times New Roman"/>
          <w:noProof/>
          <w:szCs w:val="24"/>
        </w:rPr>
        <w:tab/>
        <w:t xml:space="preserve">van Staal TP, Card T, Logan RF, et al. 5-Aminosalicylate use and colorectal cancer risk in inflammatory bowel disease: a large epidemiological study. </w:t>
      </w:r>
      <w:r w:rsidRPr="003B251F">
        <w:rPr>
          <w:rFonts w:ascii="Calibri" w:hAnsi="Calibri" w:cs="Times New Roman"/>
          <w:i/>
          <w:iCs/>
          <w:noProof/>
          <w:szCs w:val="24"/>
        </w:rPr>
        <w:t>Gut</w:t>
      </w:r>
      <w:r w:rsidRPr="003B251F">
        <w:rPr>
          <w:rFonts w:ascii="Calibri" w:hAnsi="Calibri" w:cs="Times New Roman"/>
          <w:noProof/>
          <w:szCs w:val="24"/>
        </w:rPr>
        <w:t>. 2005;54(11):1573-1578. doi:10.1136/gut.2005.070896</w:t>
      </w:r>
    </w:p>
    <w:p w14:paraId="6809C953"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21. </w:t>
      </w:r>
      <w:r w:rsidRPr="003B251F">
        <w:rPr>
          <w:rFonts w:ascii="Calibri" w:hAnsi="Calibri" w:cs="Times New Roman"/>
          <w:noProof/>
          <w:szCs w:val="24"/>
        </w:rPr>
        <w:tab/>
        <w:t xml:space="preserve">Armstrong RG, West J, Card TR. Risk of cancer in inflammatory bowel disease treated with azathioprine: a UK population-based case-control study. </w:t>
      </w:r>
      <w:r w:rsidRPr="003B251F">
        <w:rPr>
          <w:rFonts w:ascii="Calibri" w:hAnsi="Calibri" w:cs="Times New Roman"/>
          <w:i/>
          <w:iCs/>
          <w:noProof/>
          <w:szCs w:val="24"/>
        </w:rPr>
        <w:t>Am J Gastroenterol</w:t>
      </w:r>
      <w:r w:rsidRPr="003B251F">
        <w:rPr>
          <w:rFonts w:ascii="Calibri" w:hAnsi="Calibri" w:cs="Times New Roman"/>
          <w:noProof/>
          <w:szCs w:val="24"/>
        </w:rPr>
        <w:t>. 2010;105(7):1604-1609. doi:10.1038/ajg.2009.745</w:t>
      </w:r>
    </w:p>
    <w:p w14:paraId="5A7D617F"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22. </w:t>
      </w:r>
      <w:r w:rsidRPr="003B251F">
        <w:rPr>
          <w:rFonts w:ascii="Calibri" w:hAnsi="Calibri" w:cs="Times New Roman"/>
          <w:noProof/>
          <w:szCs w:val="24"/>
        </w:rPr>
        <w:tab/>
        <w:t xml:space="preserve">Blackwell J, Saxena S, Alexakis C, et al. The impact of smoking and smoking cessation on disease outcomes in ulcerative colitis: a nationwide population-based study. </w:t>
      </w:r>
      <w:r w:rsidRPr="003B251F">
        <w:rPr>
          <w:rFonts w:ascii="Calibri" w:hAnsi="Calibri" w:cs="Times New Roman"/>
          <w:i/>
          <w:iCs/>
          <w:noProof/>
          <w:szCs w:val="24"/>
        </w:rPr>
        <w:t>Aliment Pharmacol Ther</w:t>
      </w:r>
      <w:r w:rsidRPr="003B251F">
        <w:rPr>
          <w:rFonts w:ascii="Calibri" w:hAnsi="Calibri" w:cs="Times New Roman"/>
          <w:noProof/>
          <w:szCs w:val="24"/>
        </w:rPr>
        <w:t>. 2019;(March):1-12. doi:10.1111/apt.15390</w:t>
      </w:r>
    </w:p>
    <w:p w14:paraId="17123801"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23. </w:t>
      </w:r>
      <w:r w:rsidRPr="003B251F">
        <w:rPr>
          <w:rFonts w:ascii="Calibri" w:hAnsi="Calibri" w:cs="Times New Roman"/>
          <w:noProof/>
          <w:szCs w:val="24"/>
        </w:rPr>
        <w:tab/>
        <w:t xml:space="preserve">Chhaya V, Pollok R. The impact of thiopurines on surgical outcomes in inflammatory bowel disease: do they make a difference? </w:t>
      </w:r>
      <w:r w:rsidRPr="003B251F">
        <w:rPr>
          <w:rFonts w:ascii="Calibri" w:hAnsi="Calibri" w:cs="Times New Roman"/>
          <w:i/>
          <w:iCs/>
          <w:noProof/>
          <w:szCs w:val="24"/>
        </w:rPr>
        <w:t>F1000Prime Rep</w:t>
      </w:r>
      <w:r w:rsidRPr="003B251F">
        <w:rPr>
          <w:rFonts w:ascii="Calibri" w:hAnsi="Calibri" w:cs="Times New Roman"/>
          <w:noProof/>
          <w:szCs w:val="24"/>
        </w:rPr>
        <w:t>. 2013;5(November):50. doi:10.12703/P5-50</w:t>
      </w:r>
    </w:p>
    <w:p w14:paraId="30FB434C"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24. </w:t>
      </w:r>
      <w:r w:rsidRPr="003B251F">
        <w:rPr>
          <w:rFonts w:ascii="Calibri" w:hAnsi="Calibri" w:cs="Times New Roman"/>
          <w:noProof/>
          <w:szCs w:val="24"/>
        </w:rPr>
        <w:tab/>
        <w:t xml:space="preserve">Hoyer N, Prior TS, Bendstrup E, Wilcke T, Shaker SB. Risk factors for diagnostic delay in idiopathic pulmonary fibrosis. </w:t>
      </w:r>
      <w:r w:rsidRPr="003B251F">
        <w:rPr>
          <w:rFonts w:ascii="Calibri" w:hAnsi="Calibri" w:cs="Times New Roman"/>
          <w:i/>
          <w:iCs/>
          <w:noProof/>
          <w:szCs w:val="24"/>
        </w:rPr>
        <w:t>Respir Res</w:t>
      </w:r>
      <w:r w:rsidRPr="003B251F">
        <w:rPr>
          <w:rFonts w:ascii="Calibri" w:hAnsi="Calibri" w:cs="Times New Roman"/>
          <w:noProof/>
          <w:szCs w:val="24"/>
        </w:rPr>
        <w:t>. 2019;20(1):103. doi:10.1186/s12931-019-1076-0</w:t>
      </w:r>
    </w:p>
    <w:p w14:paraId="325198A5"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lastRenderedPageBreak/>
        <w:t xml:space="preserve">25. </w:t>
      </w:r>
      <w:r w:rsidRPr="003B251F">
        <w:rPr>
          <w:rFonts w:ascii="Calibri" w:hAnsi="Calibri" w:cs="Times New Roman"/>
          <w:noProof/>
          <w:szCs w:val="24"/>
        </w:rPr>
        <w:tab/>
        <w:t xml:space="preserve">Aires A, Barros A, Machado C, et al. Diagnostic Delay of Multiple Sclerosis in a Portuguese Population. </w:t>
      </w:r>
      <w:r w:rsidRPr="003B251F">
        <w:rPr>
          <w:rFonts w:ascii="Calibri" w:hAnsi="Calibri" w:cs="Times New Roman"/>
          <w:i/>
          <w:iCs/>
          <w:noProof/>
          <w:szCs w:val="24"/>
        </w:rPr>
        <w:t>Acta Med Port</w:t>
      </w:r>
      <w:r w:rsidRPr="003B251F">
        <w:rPr>
          <w:rFonts w:ascii="Calibri" w:hAnsi="Calibri" w:cs="Times New Roman"/>
          <w:noProof/>
          <w:szCs w:val="24"/>
        </w:rPr>
        <w:t>. 2019;32(4):289-294. doi:10.20344/amp.11187</w:t>
      </w:r>
    </w:p>
    <w:p w14:paraId="7F59CA34"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26. </w:t>
      </w:r>
      <w:r w:rsidRPr="003B251F">
        <w:rPr>
          <w:rFonts w:ascii="Calibri" w:hAnsi="Calibri" w:cs="Times New Roman"/>
          <w:noProof/>
          <w:szCs w:val="24"/>
        </w:rPr>
        <w:tab/>
        <w:t xml:space="preserve">Dianatinasab M, Mohammadianpanah M, Daneshi N, Zare-Bandamiri M, Rezaeianzadeh A, Fararouei M. Socioeconomic Factors, Health Behavior, and Late-Stage Diagnosis of Breast Cancer: Considering the Impact of Delay in Diagnosis. </w:t>
      </w:r>
      <w:r w:rsidRPr="003B251F">
        <w:rPr>
          <w:rFonts w:ascii="Calibri" w:hAnsi="Calibri" w:cs="Times New Roman"/>
          <w:i/>
          <w:iCs/>
          <w:noProof/>
          <w:szCs w:val="24"/>
        </w:rPr>
        <w:t>Clin Breast Cancer</w:t>
      </w:r>
      <w:r w:rsidRPr="003B251F">
        <w:rPr>
          <w:rFonts w:ascii="Calibri" w:hAnsi="Calibri" w:cs="Times New Roman"/>
          <w:noProof/>
          <w:szCs w:val="24"/>
        </w:rPr>
        <w:t>. 2018;18(3):239-245. doi:10.1016/j.clbc.2017.09.005</w:t>
      </w:r>
    </w:p>
    <w:p w14:paraId="32AF2C0C"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27. </w:t>
      </w:r>
      <w:r w:rsidRPr="003B251F">
        <w:rPr>
          <w:rFonts w:ascii="Calibri" w:hAnsi="Calibri" w:cs="Times New Roman"/>
          <w:noProof/>
          <w:szCs w:val="24"/>
        </w:rPr>
        <w:tab/>
        <w:t xml:space="preserve">Kweon S-S, Kim M-G, Kang M-R, Shin M-H, Choi J-S. Difference of stage at cancer diagnosis by socioeconomic status for four target cancers of the National Cancer Screening Program in Korea: Results from the Gwangju and Jeonnam cancer registries. </w:t>
      </w:r>
      <w:r w:rsidRPr="003B251F">
        <w:rPr>
          <w:rFonts w:ascii="Calibri" w:hAnsi="Calibri" w:cs="Times New Roman"/>
          <w:i/>
          <w:iCs/>
          <w:noProof/>
          <w:szCs w:val="24"/>
        </w:rPr>
        <w:t>J Epidemiol</w:t>
      </w:r>
      <w:r w:rsidRPr="003B251F">
        <w:rPr>
          <w:rFonts w:ascii="Calibri" w:hAnsi="Calibri" w:cs="Times New Roman"/>
          <w:noProof/>
          <w:szCs w:val="24"/>
        </w:rPr>
        <w:t>. 2017;27(7):299-304. doi:10.1016/J.JE.2016.07.004</w:t>
      </w:r>
    </w:p>
    <w:p w14:paraId="05398548"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28. </w:t>
      </w:r>
      <w:r w:rsidRPr="003B251F">
        <w:rPr>
          <w:rFonts w:ascii="Calibri" w:hAnsi="Calibri" w:cs="Times New Roman"/>
          <w:noProof/>
          <w:szCs w:val="24"/>
        </w:rPr>
        <w:tab/>
        <w:t xml:space="preserve">Marston L, Carpenter JR, Walters KR, et al. Smoker , ex-smoker or non-smoker ? The validity of routinely recorded smoking status in UK primary care : a cross-sectional study. </w:t>
      </w:r>
      <w:r w:rsidRPr="003B251F">
        <w:rPr>
          <w:rFonts w:ascii="Calibri" w:hAnsi="Calibri" w:cs="Times New Roman"/>
          <w:i/>
          <w:iCs/>
          <w:noProof/>
          <w:szCs w:val="24"/>
        </w:rPr>
        <w:t>BMJ Open</w:t>
      </w:r>
      <w:r w:rsidRPr="003B251F">
        <w:rPr>
          <w:rFonts w:ascii="Calibri" w:hAnsi="Calibri" w:cs="Times New Roman"/>
          <w:noProof/>
          <w:szCs w:val="24"/>
        </w:rPr>
        <w:t>. 2014:1-7. doi:10.1136/bmjopen-2014-004958</w:t>
      </w:r>
    </w:p>
    <w:p w14:paraId="0ABAC21F"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29. </w:t>
      </w:r>
      <w:r w:rsidRPr="003B251F">
        <w:rPr>
          <w:rFonts w:ascii="Calibri" w:hAnsi="Calibri" w:cs="Times New Roman"/>
          <w:noProof/>
          <w:szCs w:val="24"/>
        </w:rPr>
        <w:tab/>
        <w:t xml:space="preserve">Blackwell J, Saxena S, Pollok RC. Changing trends in coding for depression among the UK inflammatory bowel disease population. </w:t>
      </w:r>
      <w:r w:rsidRPr="003B251F">
        <w:rPr>
          <w:rFonts w:ascii="Calibri" w:hAnsi="Calibri" w:cs="Times New Roman"/>
          <w:i/>
          <w:iCs/>
          <w:noProof/>
          <w:szCs w:val="24"/>
        </w:rPr>
        <w:t>Gut</w:t>
      </w:r>
      <w:r w:rsidRPr="003B251F">
        <w:rPr>
          <w:rFonts w:ascii="Calibri" w:hAnsi="Calibri" w:cs="Times New Roman"/>
          <w:noProof/>
          <w:szCs w:val="24"/>
        </w:rPr>
        <w:t>. February 2019:gutjnl-2019-318296. doi:10.1136/gutjnl-2019-318296</w:t>
      </w:r>
    </w:p>
    <w:p w14:paraId="39B5E41F"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30. </w:t>
      </w:r>
      <w:r w:rsidRPr="003B251F">
        <w:rPr>
          <w:rFonts w:ascii="Calibri" w:hAnsi="Calibri" w:cs="Times New Roman"/>
          <w:noProof/>
          <w:szCs w:val="24"/>
        </w:rPr>
        <w:tab/>
        <w:t xml:space="preserve">Pimentel M, Chang M, Chow EJ, et al. Identification of A Prodromal Period in Crohn’s Disease But Not Ulcerative Colitis. </w:t>
      </w:r>
      <w:r w:rsidRPr="003B251F">
        <w:rPr>
          <w:rFonts w:ascii="Calibri" w:hAnsi="Calibri" w:cs="Times New Roman"/>
          <w:i/>
          <w:iCs/>
          <w:noProof/>
          <w:szCs w:val="24"/>
        </w:rPr>
        <w:t>Am J Gastroenterol</w:t>
      </w:r>
      <w:r w:rsidRPr="003B251F">
        <w:rPr>
          <w:rFonts w:ascii="Calibri" w:hAnsi="Calibri" w:cs="Times New Roman"/>
          <w:noProof/>
          <w:szCs w:val="24"/>
        </w:rPr>
        <w:t>. 2000;95(12). https://journals.lww.com/ajg/Fulltext/2000/12000/Identification_of_A_Prodromal_Period_in_Crohn_s.19.aspx.</w:t>
      </w:r>
    </w:p>
    <w:p w14:paraId="11FD5055"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31. </w:t>
      </w:r>
      <w:r w:rsidRPr="003B251F">
        <w:rPr>
          <w:rFonts w:ascii="Calibri" w:hAnsi="Calibri" w:cs="Times New Roman"/>
          <w:noProof/>
          <w:szCs w:val="24"/>
        </w:rPr>
        <w:tab/>
        <w:t xml:space="preserve">Nguyen VQ, Jiang D, Hoffman SN, et al. Impact of Diagnostic Delay and Associated Factors on Clinical. </w:t>
      </w:r>
      <w:r w:rsidRPr="003B251F">
        <w:rPr>
          <w:rFonts w:ascii="Calibri" w:hAnsi="Calibri" w:cs="Times New Roman"/>
          <w:i/>
          <w:iCs/>
          <w:noProof/>
          <w:szCs w:val="24"/>
        </w:rPr>
        <w:t>Inflamm Bowel Dis</w:t>
      </w:r>
      <w:r w:rsidRPr="003B251F">
        <w:rPr>
          <w:rFonts w:ascii="Calibri" w:hAnsi="Calibri" w:cs="Times New Roman"/>
          <w:noProof/>
          <w:szCs w:val="24"/>
        </w:rPr>
        <w:t>. 2017;23(10):1825-1831. doi:10.1097/MIB.0000000000001257</w:t>
      </w:r>
    </w:p>
    <w:p w14:paraId="3DFF82E7"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32. </w:t>
      </w:r>
      <w:r w:rsidRPr="003B251F">
        <w:rPr>
          <w:rFonts w:ascii="Calibri" w:hAnsi="Calibri" w:cs="Times New Roman"/>
          <w:noProof/>
          <w:szCs w:val="24"/>
        </w:rPr>
        <w:tab/>
        <w:t xml:space="preserve">Henriksen M, Hoivik ML, Jelsness-Jorgensen L-P, Moum B. Irritable Bowel-like Symptoms in Ulcerative Colitis are as Common in Patients in  Deep Remission as in Inflammation: Results </w:t>
      </w:r>
      <w:r w:rsidRPr="003B251F">
        <w:rPr>
          <w:rFonts w:ascii="Calibri" w:hAnsi="Calibri" w:cs="Times New Roman"/>
          <w:noProof/>
          <w:szCs w:val="24"/>
        </w:rPr>
        <w:lastRenderedPageBreak/>
        <w:t xml:space="preserve">From a Population-based Study [the IBSEN Study]. </w:t>
      </w:r>
      <w:r w:rsidRPr="003B251F">
        <w:rPr>
          <w:rFonts w:ascii="Calibri" w:hAnsi="Calibri" w:cs="Times New Roman"/>
          <w:i/>
          <w:iCs/>
          <w:noProof/>
          <w:szCs w:val="24"/>
        </w:rPr>
        <w:t>J Crohns Colitis</w:t>
      </w:r>
      <w:r w:rsidRPr="003B251F">
        <w:rPr>
          <w:rFonts w:ascii="Calibri" w:hAnsi="Calibri" w:cs="Times New Roman"/>
          <w:noProof/>
          <w:szCs w:val="24"/>
        </w:rPr>
        <w:t>. 2018;12(4):389-393. doi:10.1093/ecco-jcc/jjx152</w:t>
      </w:r>
    </w:p>
    <w:p w14:paraId="0E4DB056"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33. </w:t>
      </w:r>
      <w:r w:rsidRPr="003B251F">
        <w:rPr>
          <w:rFonts w:ascii="Calibri" w:hAnsi="Calibri" w:cs="Times New Roman"/>
          <w:noProof/>
          <w:szCs w:val="24"/>
        </w:rPr>
        <w:tab/>
        <w:t xml:space="preserve">Menees SB, Powell C, Kurlander J, Goel A, Chey WD. A Meta-Analysis of the Utility of C-Reactive Protein, Erythrocyte Sedimentation Rate, Fecal Calprotectin, and Fecal Lactoferrin to Exclude Inflammatory Bowel Disease in Adults With IBS. </w:t>
      </w:r>
      <w:r w:rsidRPr="003B251F">
        <w:rPr>
          <w:rFonts w:ascii="Calibri" w:hAnsi="Calibri" w:cs="Times New Roman"/>
          <w:i/>
          <w:iCs/>
          <w:noProof/>
          <w:szCs w:val="24"/>
        </w:rPr>
        <w:t>Am J Gastroenterol</w:t>
      </w:r>
      <w:r w:rsidRPr="003B251F">
        <w:rPr>
          <w:rFonts w:ascii="Calibri" w:hAnsi="Calibri" w:cs="Times New Roman"/>
          <w:noProof/>
          <w:szCs w:val="24"/>
        </w:rPr>
        <w:t>. 2015;110(3):444-454. http://dx.doi.org/10.1038/ajg.2015.6.</w:t>
      </w:r>
    </w:p>
    <w:p w14:paraId="5572939B"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34. </w:t>
      </w:r>
      <w:r w:rsidRPr="003B251F">
        <w:rPr>
          <w:rFonts w:ascii="Calibri" w:hAnsi="Calibri" w:cs="Times New Roman"/>
          <w:noProof/>
          <w:szCs w:val="24"/>
        </w:rPr>
        <w:tab/>
        <w:t xml:space="preserve">Danese S, Fiorino G, Mary JY, et al. Development of red flags index for early referral of adults with symptoms and signs suggestive of Crohn’s disease: An IOIBD initiative. </w:t>
      </w:r>
      <w:r w:rsidRPr="003B251F">
        <w:rPr>
          <w:rFonts w:ascii="Calibri" w:hAnsi="Calibri" w:cs="Times New Roman"/>
          <w:i/>
          <w:iCs/>
          <w:noProof/>
          <w:szCs w:val="24"/>
        </w:rPr>
        <w:t>J Crohn’s Colitis</w:t>
      </w:r>
      <w:r w:rsidRPr="003B251F">
        <w:rPr>
          <w:rFonts w:ascii="Calibri" w:hAnsi="Calibri" w:cs="Times New Roman"/>
          <w:noProof/>
          <w:szCs w:val="24"/>
        </w:rPr>
        <w:t>. 2015;9(8):601-606. doi:10.1093/ecco-jcc/jjv067</w:t>
      </w:r>
    </w:p>
    <w:p w14:paraId="27957C46"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35. </w:t>
      </w:r>
      <w:r w:rsidRPr="003B251F">
        <w:rPr>
          <w:rFonts w:ascii="Calibri" w:hAnsi="Calibri" w:cs="Times New Roman"/>
          <w:noProof/>
          <w:szCs w:val="24"/>
        </w:rPr>
        <w:tab/>
        <w:t xml:space="preserve">Gomollón F, Dignass A, Annese V, et al. 3rd European Evidence-based Consensus on the Diagnosis and Management of Crohn’s Disease 2016: Part 1: Diagnosis and Medical Management on behalf of ECCO. </w:t>
      </w:r>
      <w:r w:rsidRPr="003B251F">
        <w:rPr>
          <w:rFonts w:ascii="Calibri" w:hAnsi="Calibri" w:cs="Times New Roman"/>
          <w:i/>
          <w:iCs/>
          <w:noProof/>
          <w:szCs w:val="24"/>
        </w:rPr>
        <w:t>J Crohn’s Colitis</w:t>
      </w:r>
      <w:r w:rsidRPr="003B251F">
        <w:rPr>
          <w:rFonts w:ascii="Calibri" w:hAnsi="Calibri" w:cs="Times New Roman"/>
          <w:noProof/>
          <w:szCs w:val="24"/>
        </w:rPr>
        <w:t>. 2016:1-23. doi:10.1093/ecco-jcc/jjw168</w:t>
      </w:r>
    </w:p>
    <w:p w14:paraId="2CCD508A"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36. </w:t>
      </w:r>
      <w:r w:rsidRPr="003B251F">
        <w:rPr>
          <w:rFonts w:ascii="Calibri" w:hAnsi="Calibri" w:cs="Times New Roman"/>
          <w:noProof/>
          <w:szCs w:val="24"/>
        </w:rPr>
        <w:tab/>
        <w:t xml:space="preserve">Canavan C, Card T, West J. The incidence of other gastroenterological disease following diagnosis of irritable bowel syndrome in the UK: A cohort study. </w:t>
      </w:r>
      <w:r w:rsidRPr="003B251F">
        <w:rPr>
          <w:rFonts w:ascii="Calibri" w:hAnsi="Calibri" w:cs="Times New Roman"/>
          <w:i/>
          <w:iCs/>
          <w:noProof/>
          <w:szCs w:val="24"/>
        </w:rPr>
        <w:t>PLoS One</w:t>
      </w:r>
      <w:r w:rsidRPr="003B251F">
        <w:rPr>
          <w:rFonts w:ascii="Calibri" w:hAnsi="Calibri" w:cs="Times New Roman"/>
          <w:noProof/>
          <w:szCs w:val="24"/>
        </w:rPr>
        <w:t>. 2014;9(9). doi:10.1371/journal.pone.0106478</w:t>
      </w:r>
    </w:p>
    <w:p w14:paraId="5B978011"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37. </w:t>
      </w:r>
      <w:r w:rsidRPr="003B251F">
        <w:rPr>
          <w:rFonts w:ascii="Calibri" w:hAnsi="Calibri" w:cs="Times New Roman"/>
          <w:noProof/>
          <w:szCs w:val="24"/>
        </w:rPr>
        <w:tab/>
        <w:t xml:space="preserve">Barin L, Kamm CP, Salmen A, et al. How do patients enter the healthcare system after the first onset of multiple sclerosis symptoms? The influence of setting and physician specialty on speed of diagnosis. </w:t>
      </w:r>
      <w:r w:rsidRPr="003B251F">
        <w:rPr>
          <w:rFonts w:ascii="Calibri" w:hAnsi="Calibri" w:cs="Times New Roman"/>
          <w:i/>
          <w:iCs/>
          <w:noProof/>
          <w:szCs w:val="24"/>
        </w:rPr>
        <w:t>Mult Scler J</w:t>
      </w:r>
      <w:r w:rsidRPr="003B251F">
        <w:rPr>
          <w:rFonts w:ascii="Calibri" w:hAnsi="Calibri" w:cs="Times New Roman"/>
          <w:noProof/>
          <w:szCs w:val="24"/>
        </w:rPr>
        <w:t>. January 2019:1352458518823955. doi:10.1177/1352458518823955</w:t>
      </w:r>
    </w:p>
    <w:p w14:paraId="5E190662"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38. </w:t>
      </w:r>
      <w:r w:rsidRPr="003B251F">
        <w:rPr>
          <w:rFonts w:ascii="Calibri" w:hAnsi="Calibri" w:cs="Times New Roman"/>
          <w:noProof/>
          <w:szCs w:val="24"/>
        </w:rPr>
        <w:tab/>
        <w:t xml:space="preserve">Jones S, Howard L, Thornicroft G. ‘Diagnostic overshadowing’: worse physical health care for people with mental illness. </w:t>
      </w:r>
      <w:r w:rsidRPr="003B251F">
        <w:rPr>
          <w:rFonts w:ascii="Calibri" w:hAnsi="Calibri" w:cs="Times New Roman"/>
          <w:i/>
          <w:iCs/>
          <w:noProof/>
          <w:szCs w:val="24"/>
        </w:rPr>
        <w:t>Acta Psychiatr Scand</w:t>
      </w:r>
      <w:r w:rsidRPr="003B251F">
        <w:rPr>
          <w:rFonts w:ascii="Calibri" w:hAnsi="Calibri" w:cs="Times New Roman"/>
          <w:noProof/>
          <w:szCs w:val="24"/>
        </w:rPr>
        <w:t>. 2008;118(3):169-171. doi:10.1111/j.1600-0447.2008.01211.x</w:t>
      </w:r>
    </w:p>
    <w:p w14:paraId="0116C143"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39. </w:t>
      </w:r>
      <w:r w:rsidRPr="003B251F">
        <w:rPr>
          <w:rFonts w:ascii="Calibri" w:hAnsi="Calibri" w:cs="Times New Roman"/>
          <w:noProof/>
          <w:szCs w:val="24"/>
        </w:rPr>
        <w:tab/>
        <w:t xml:space="preserve">Moscrop A, Siskind D, Stevens R. Mental health of young adult patients who do not attend appointments in primary care: A retrospective cohort study. </w:t>
      </w:r>
      <w:r w:rsidRPr="003B251F">
        <w:rPr>
          <w:rFonts w:ascii="Calibri" w:hAnsi="Calibri" w:cs="Times New Roman"/>
          <w:i/>
          <w:iCs/>
          <w:noProof/>
          <w:szCs w:val="24"/>
        </w:rPr>
        <w:t>Fam Pract</w:t>
      </w:r>
      <w:r w:rsidRPr="003B251F">
        <w:rPr>
          <w:rFonts w:ascii="Calibri" w:hAnsi="Calibri" w:cs="Times New Roman"/>
          <w:noProof/>
          <w:szCs w:val="24"/>
        </w:rPr>
        <w:t xml:space="preserve">. 2012;29(1):24-29. </w:t>
      </w:r>
      <w:r w:rsidRPr="003B251F">
        <w:rPr>
          <w:rFonts w:ascii="Calibri" w:hAnsi="Calibri" w:cs="Times New Roman"/>
          <w:noProof/>
          <w:szCs w:val="24"/>
        </w:rPr>
        <w:lastRenderedPageBreak/>
        <w:t>doi:10.1093/fampra/cmr053</w:t>
      </w:r>
    </w:p>
    <w:p w14:paraId="6100CAC7"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40. </w:t>
      </w:r>
      <w:r w:rsidRPr="003B251F">
        <w:rPr>
          <w:rFonts w:ascii="Calibri" w:hAnsi="Calibri" w:cs="Times New Roman"/>
          <w:noProof/>
          <w:szCs w:val="24"/>
        </w:rPr>
        <w:tab/>
        <w:t>Wang Y, Hunt K, Nazareth I, Freemantle N, Petersen I. Do men consult less than women ? An analysis of routinely collected UK general practice data. 2013:1-7. doi:10.1136/bmjopen-2013-003320</w:t>
      </w:r>
    </w:p>
    <w:p w14:paraId="76703146"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41. </w:t>
      </w:r>
      <w:r w:rsidRPr="003B251F">
        <w:rPr>
          <w:rFonts w:ascii="Calibri" w:hAnsi="Calibri" w:cs="Times New Roman"/>
          <w:noProof/>
          <w:szCs w:val="24"/>
        </w:rPr>
        <w:tab/>
        <w:t xml:space="preserve">Pellino G, Sciaudone G, Selvaggi F, Riegler G. Delayed diagnosis is influenced by the clinical pattern of Crohn’s disease and affects treatment outcomes and quality of life in the long term:  a cross-sectional study of 361 patients in Southern Italy. </w:t>
      </w:r>
      <w:r w:rsidRPr="003B251F">
        <w:rPr>
          <w:rFonts w:ascii="Calibri" w:hAnsi="Calibri" w:cs="Times New Roman"/>
          <w:i/>
          <w:iCs/>
          <w:noProof/>
          <w:szCs w:val="24"/>
        </w:rPr>
        <w:t>Eur J Gastroenterol Hepatol</w:t>
      </w:r>
      <w:r w:rsidRPr="003B251F">
        <w:rPr>
          <w:rFonts w:ascii="Calibri" w:hAnsi="Calibri" w:cs="Times New Roman"/>
          <w:noProof/>
          <w:szCs w:val="24"/>
        </w:rPr>
        <w:t>. 2015;27(2). https://journals.lww.com/eurojgh/Fulltext/2015/02000/Delayed_diagnosis_is_influenced_by_the_clinical.10.aspx.</w:t>
      </w:r>
    </w:p>
    <w:p w14:paraId="491F2ED5"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42. </w:t>
      </w:r>
      <w:r w:rsidRPr="003B251F">
        <w:rPr>
          <w:rFonts w:ascii="Calibri" w:hAnsi="Calibri" w:cs="Times New Roman"/>
          <w:noProof/>
          <w:szCs w:val="24"/>
        </w:rPr>
        <w:tab/>
        <w:t xml:space="preserve">Vadstrup K, Alulis S, Borsi A, et al. Cost Burden of Crohn’s Disease and Ulcerative Colitis in the 10-Year Period Before Diagnosis—A Danish Register-Based Study From 2003–2015. </w:t>
      </w:r>
      <w:r w:rsidRPr="003B251F">
        <w:rPr>
          <w:rFonts w:ascii="Calibri" w:hAnsi="Calibri" w:cs="Times New Roman"/>
          <w:i/>
          <w:iCs/>
          <w:noProof/>
          <w:szCs w:val="24"/>
        </w:rPr>
        <w:t>Inflamm Bowel Dis</w:t>
      </w:r>
      <w:r w:rsidRPr="003B251F">
        <w:rPr>
          <w:rFonts w:ascii="Calibri" w:hAnsi="Calibri" w:cs="Times New Roman"/>
          <w:noProof/>
          <w:szCs w:val="24"/>
        </w:rPr>
        <w:t>. 2019;XX(Xx):1-6. doi:10.1093/ibd/izz265</w:t>
      </w:r>
    </w:p>
    <w:p w14:paraId="4C548A81"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43. </w:t>
      </w:r>
      <w:r w:rsidRPr="003B251F">
        <w:rPr>
          <w:rFonts w:ascii="Calibri" w:hAnsi="Calibri" w:cs="Times New Roman"/>
          <w:noProof/>
          <w:szCs w:val="24"/>
        </w:rPr>
        <w:tab/>
        <w:t xml:space="preserve">Blackwell J, Saxena S, Pollok RC. Role of thiopurines as disease-modifying agents in Crohn’s disease. </w:t>
      </w:r>
      <w:r w:rsidRPr="003B251F">
        <w:rPr>
          <w:rFonts w:ascii="Calibri" w:hAnsi="Calibri" w:cs="Times New Roman"/>
          <w:i/>
          <w:iCs/>
          <w:noProof/>
          <w:szCs w:val="24"/>
        </w:rPr>
        <w:t>Gut</w:t>
      </w:r>
      <w:r w:rsidRPr="003B251F">
        <w:rPr>
          <w:rFonts w:ascii="Calibri" w:hAnsi="Calibri" w:cs="Times New Roman"/>
          <w:noProof/>
          <w:szCs w:val="24"/>
        </w:rPr>
        <w:t>. January 2018. http://gut.bmj.com/content/early/2018/01/03/gutjnl-2017-315840.abstract.</w:t>
      </w:r>
    </w:p>
    <w:p w14:paraId="62524AA2"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44. </w:t>
      </w:r>
      <w:r w:rsidRPr="003B251F">
        <w:rPr>
          <w:rFonts w:ascii="Calibri" w:hAnsi="Calibri" w:cs="Times New Roman"/>
          <w:noProof/>
          <w:szCs w:val="24"/>
        </w:rPr>
        <w:tab/>
        <w:t xml:space="preserve">Markowitz J, Grancher K, Kohn N, Lesser M, Daum F. A multicenter trial of 6-mercaptopurine and prednisone in children with newly diagnosed Crohn’s disease. </w:t>
      </w:r>
      <w:r w:rsidRPr="003B251F">
        <w:rPr>
          <w:rFonts w:ascii="Calibri" w:hAnsi="Calibri" w:cs="Times New Roman"/>
          <w:i/>
          <w:iCs/>
          <w:noProof/>
          <w:szCs w:val="24"/>
        </w:rPr>
        <w:t>Gastroenterology</w:t>
      </w:r>
      <w:r w:rsidRPr="003B251F">
        <w:rPr>
          <w:rFonts w:ascii="Calibri" w:hAnsi="Calibri" w:cs="Times New Roman"/>
          <w:noProof/>
          <w:szCs w:val="24"/>
        </w:rPr>
        <w:t>. 2000;119(4):895-902. doi:10.1053/gast.2000.18144</w:t>
      </w:r>
    </w:p>
    <w:p w14:paraId="0A06058B"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45. </w:t>
      </w:r>
      <w:r w:rsidRPr="003B251F">
        <w:rPr>
          <w:rFonts w:ascii="Calibri" w:hAnsi="Calibri" w:cs="Times New Roman"/>
          <w:noProof/>
          <w:szCs w:val="24"/>
        </w:rPr>
        <w:tab/>
        <w:t xml:space="preserve">Fiorino G, Gilardi D, Bonovas S, et al. P244 Validation of the Red Flags index for early diagnosis of Crohn’s disease: A prospective general practitioner study. </w:t>
      </w:r>
      <w:r w:rsidRPr="003B251F">
        <w:rPr>
          <w:rFonts w:ascii="Calibri" w:hAnsi="Calibri" w:cs="Times New Roman"/>
          <w:i/>
          <w:iCs/>
          <w:noProof/>
          <w:szCs w:val="24"/>
        </w:rPr>
        <w:t>J Crohn’s Colitis</w:t>
      </w:r>
      <w:r w:rsidRPr="003B251F">
        <w:rPr>
          <w:rFonts w:ascii="Calibri" w:hAnsi="Calibri" w:cs="Times New Roman"/>
          <w:noProof/>
          <w:szCs w:val="24"/>
        </w:rPr>
        <w:t>. 2020;14(Supplement_1):S267-S269. doi:10.1093/ecco-jcc/jjz203.373</w:t>
      </w:r>
    </w:p>
    <w:p w14:paraId="240F4D0F" w14:textId="77777777" w:rsidR="003E3AC5" w:rsidRPr="003B251F" w:rsidRDefault="003E3AC5" w:rsidP="003E3AC5">
      <w:pPr>
        <w:widowControl w:val="0"/>
        <w:autoSpaceDE w:val="0"/>
        <w:autoSpaceDN w:val="0"/>
        <w:adjustRightInd w:val="0"/>
        <w:spacing w:line="480" w:lineRule="auto"/>
        <w:ind w:left="640" w:hanging="640"/>
        <w:rPr>
          <w:rFonts w:ascii="Calibri" w:hAnsi="Calibri" w:cs="Times New Roman"/>
          <w:noProof/>
          <w:szCs w:val="24"/>
        </w:rPr>
      </w:pPr>
      <w:r w:rsidRPr="003B251F">
        <w:rPr>
          <w:rFonts w:ascii="Calibri" w:hAnsi="Calibri" w:cs="Times New Roman"/>
          <w:noProof/>
          <w:szCs w:val="24"/>
        </w:rPr>
        <w:t xml:space="preserve">46. </w:t>
      </w:r>
      <w:r w:rsidRPr="003B251F">
        <w:rPr>
          <w:rFonts w:ascii="Calibri" w:hAnsi="Calibri" w:cs="Times New Roman"/>
          <w:noProof/>
          <w:szCs w:val="24"/>
        </w:rPr>
        <w:tab/>
        <w:t xml:space="preserve">Angelberger S, Vogelsang H, Novacek G, et al. Public awareness of Crohn’s disease and ulcerative colitis: A national survey . </w:t>
      </w:r>
      <w:r w:rsidRPr="003B251F">
        <w:rPr>
          <w:rFonts w:ascii="Calibri" w:hAnsi="Calibri" w:cs="Times New Roman"/>
          <w:i/>
          <w:iCs/>
          <w:noProof/>
          <w:szCs w:val="24"/>
        </w:rPr>
        <w:t>J Crohn’s Colitis</w:t>
      </w:r>
      <w:r w:rsidRPr="003B251F">
        <w:rPr>
          <w:rFonts w:ascii="Calibri" w:hAnsi="Calibri" w:cs="Times New Roman"/>
          <w:noProof/>
          <w:szCs w:val="24"/>
        </w:rPr>
        <w:t xml:space="preserve">. 2009;3(3):157-161. </w:t>
      </w:r>
      <w:r w:rsidRPr="003B251F">
        <w:rPr>
          <w:rFonts w:ascii="Calibri" w:hAnsi="Calibri" w:cs="Times New Roman"/>
          <w:noProof/>
          <w:szCs w:val="24"/>
        </w:rPr>
        <w:lastRenderedPageBreak/>
        <w:t>doi:10.1016/j.crohns.2009.01.003</w:t>
      </w:r>
    </w:p>
    <w:p w14:paraId="7A0C0EB0" w14:textId="77777777" w:rsidR="003E3AC5" w:rsidRPr="003B251F" w:rsidRDefault="003E3AC5" w:rsidP="003E3AC5">
      <w:pPr>
        <w:widowControl w:val="0"/>
        <w:autoSpaceDE w:val="0"/>
        <w:autoSpaceDN w:val="0"/>
        <w:adjustRightInd w:val="0"/>
        <w:spacing w:line="480" w:lineRule="auto"/>
        <w:ind w:left="640" w:hanging="640"/>
        <w:rPr>
          <w:rFonts w:ascii="Calibri" w:hAnsi="Calibri"/>
          <w:noProof/>
        </w:rPr>
      </w:pPr>
      <w:r w:rsidRPr="003B251F">
        <w:rPr>
          <w:rFonts w:ascii="Calibri" w:hAnsi="Calibri" w:cs="Times New Roman"/>
          <w:noProof/>
          <w:szCs w:val="24"/>
        </w:rPr>
        <w:t xml:space="preserve">47. </w:t>
      </w:r>
      <w:r w:rsidRPr="003B251F">
        <w:rPr>
          <w:rFonts w:ascii="Calibri" w:hAnsi="Calibri" w:cs="Times New Roman"/>
          <w:noProof/>
          <w:szCs w:val="24"/>
        </w:rPr>
        <w:tab/>
        <w:t>Royal College of General Practitioners. IBD Spotlight Project. https://www.rcgp.org.uk/clinical-and-research/our-programmes/clinical-priorities/spotlight-projects-2019-to-2020/inflammatory-bowel-disease.aspx. Published 2020. Accessed June 7, 2020.</w:t>
      </w:r>
    </w:p>
    <w:p w14:paraId="4D7A43DA" w14:textId="271A043F" w:rsidR="00412A3D" w:rsidRDefault="001C2F16">
      <w:pPr>
        <w:spacing w:line="480" w:lineRule="auto"/>
        <w:jc w:val="both"/>
      </w:pPr>
      <w:r w:rsidRPr="003B251F">
        <w:fldChar w:fldCharType="end"/>
      </w:r>
      <w:bookmarkStart w:id="0" w:name="_GoBack"/>
      <w:bookmarkEnd w:id="0"/>
    </w:p>
    <w:p w14:paraId="52F6097E" w14:textId="2C21B343" w:rsidR="00412A3D" w:rsidRDefault="00412A3D" w:rsidP="005C1558">
      <w:pPr>
        <w:widowControl w:val="0"/>
        <w:autoSpaceDE w:val="0"/>
        <w:autoSpaceDN w:val="0"/>
        <w:adjustRightInd w:val="0"/>
        <w:spacing w:line="480" w:lineRule="auto"/>
        <w:ind w:left="640" w:hanging="640"/>
      </w:pPr>
    </w:p>
    <w:sectPr w:rsidR="00412A3D">
      <w:headerReference w:type="default" r:id="rId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F417E" w16cid:durableId="22261E72"/>
  <w16cid:commentId w16cid:paraId="79200245" w16cid:durableId="22260E88"/>
  <w16cid:commentId w16cid:paraId="5CD0E647" w16cid:durableId="222610A9"/>
  <w16cid:commentId w16cid:paraId="23C8AB6F" w16cid:durableId="222610E4"/>
  <w16cid:commentId w16cid:paraId="620A29DA" w16cid:durableId="222620C1"/>
  <w16cid:commentId w16cid:paraId="3107B1BB" w16cid:durableId="22261E16"/>
  <w16cid:commentId w16cid:paraId="49A34E30" w16cid:durableId="22261F2C"/>
  <w16cid:commentId w16cid:paraId="2749EF8A" w16cid:durableId="22261EB9"/>
  <w16cid:commentId w16cid:paraId="7F370A23" w16cid:durableId="22261ECE"/>
  <w16cid:commentId w16cid:paraId="1AF13BB2" w16cid:durableId="2226231B"/>
  <w16cid:commentId w16cid:paraId="2C38F223" w16cid:durableId="22262583"/>
  <w16cid:commentId w16cid:paraId="23B9170A" w16cid:durableId="222621F9"/>
  <w16cid:commentId w16cid:paraId="68364E37" w16cid:durableId="222621C2"/>
  <w16cid:commentId w16cid:paraId="3D978E74" w16cid:durableId="2226223F"/>
  <w16cid:commentId w16cid:paraId="0F7299A4" w16cid:durableId="222625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C9C00" w14:textId="77777777" w:rsidR="00950517" w:rsidRDefault="00950517" w:rsidP="00791B82">
      <w:pPr>
        <w:spacing w:after="0" w:line="240" w:lineRule="auto"/>
      </w:pPr>
      <w:r>
        <w:separator/>
      </w:r>
    </w:p>
  </w:endnote>
  <w:endnote w:type="continuationSeparator" w:id="0">
    <w:p w14:paraId="026976C6" w14:textId="77777777" w:rsidR="00950517" w:rsidRDefault="00950517" w:rsidP="0079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Reg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563463"/>
      <w:docPartObj>
        <w:docPartGallery w:val="Page Numbers (Bottom of Page)"/>
        <w:docPartUnique/>
      </w:docPartObj>
    </w:sdtPr>
    <w:sdtEndPr>
      <w:rPr>
        <w:noProof/>
      </w:rPr>
    </w:sdtEndPr>
    <w:sdtContent>
      <w:p w14:paraId="625416C1" w14:textId="60970586" w:rsidR="00D12C8E" w:rsidRDefault="00D12C8E">
        <w:pPr>
          <w:pStyle w:val="Footer"/>
          <w:jc w:val="right"/>
        </w:pPr>
        <w:r>
          <w:fldChar w:fldCharType="begin"/>
        </w:r>
        <w:r>
          <w:instrText xml:space="preserve"> PAGE   \* MERGEFORMAT </w:instrText>
        </w:r>
        <w:r>
          <w:fldChar w:fldCharType="separate"/>
        </w:r>
        <w:r w:rsidR="003B251F">
          <w:rPr>
            <w:noProof/>
          </w:rPr>
          <w:t>12</w:t>
        </w:r>
        <w:r>
          <w:rPr>
            <w:noProof/>
          </w:rPr>
          <w:fldChar w:fldCharType="end"/>
        </w:r>
      </w:p>
    </w:sdtContent>
  </w:sdt>
  <w:p w14:paraId="1DC6E16E" w14:textId="77777777" w:rsidR="00D12C8E" w:rsidRDefault="00D12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06B5A" w14:textId="77777777" w:rsidR="00950517" w:rsidRDefault="00950517" w:rsidP="00791B82">
      <w:pPr>
        <w:spacing w:after="0" w:line="240" w:lineRule="auto"/>
      </w:pPr>
      <w:r>
        <w:separator/>
      </w:r>
    </w:p>
  </w:footnote>
  <w:footnote w:type="continuationSeparator" w:id="0">
    <w:p w14:paraId="78A18C29" w14:textId="77777777" w:rsidR="00950517" w:rsidRDefault="00950517" w:rsidP="00791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87534" w14:textId="4F9E4591" w:rsidR="00D12C8E" w:rsidRPr="00EC665B" w:rsidRDefault="00D12C8E" w:rsidP="00AB060E">
    <w:pPr>
      <w:pStyle w:val="Header"/>
      <w:rPr>
        <w:rFonts w:asciiTheme="majorHAnsi" w:eastAsiaTheme="majorEastAsia" w:hAnsiTheme="majorHAnsi" w:cstheme="majorBidi"/>
        <w:b/>
        <w:bCs/>
        <w:color w:val="767171" w:themeColor="background2" w:themeShade="80"/>
        <w:sz w:val="20"/>
        <w:szCs w:val="28"/>
        <w:lang w:eastAsia="en-GB"/>
      </w:rPr>
    </w:pPr>
    <w:r w:rsidRPr="00EC665B">
      <w:rPr>
        <w:rFonts w:asciiTheme="majorHAnsi" w:eastAsiaTheme="majorEastAsia" w:hAnsiTheme="majorHAnsi" w:cstheme="majorBidi"/>
        <w:b/>
        <w:bCs/>
        <w:color w:val="767171" w:themeColor="background2" w:themeShade="80"/>
        <w:sz w:val="20"/>
        <w:szCs w:val="28"/>
        <w:lang w:eastAsia="en-GB"/>
      </w:rPr>
      <w:t>Prevalence and duration of gastrointestinal symptoms before diagnosis of Inflammatory Bowel Disease and predictors of timely specialist review: a population-based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F4B"/>
    <w:multiLevelType w:val="hybridMultilevel"/>
    <w:tmpl w:val="2974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96193"/>
    <w:multiLevelType w:val="hybridMultilevel"/>
    <w:tmpl w:val="7BF60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587F98"/>
    <w:multiLevelType w:val="hybridMultilevel"/>
    <w:tmpl w:val="8CF6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A30E4"/>
    <w:multiLevelType w:val="hybridMultilevel"/>
    <w:tmpl w:val="9F04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066B4"/>
    <w:multiLevelType w:val="hybridMultilevel"/>
    <w:tmpl w:val="8CF6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73CCC"/>
    <w:multiLevelType w:val="hybridMultilevel"/>
    <w:tmpl w:val="5822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13848"/>
    <w:multiLevelType w:val="hybridMultilevel"/>
    <w:tmpl w:val="DEB8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405F46"/>
    <w:multiLevelType w:val="hybridMultilevel"/>
    <w:tmpl w:val="150E3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8E7D82"/>
    <w:multiLevelType w:val="hybridMultilevel"/>
    <w:tmpl w:val="7F00A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A56EAA"/>
    <w:multiLevelType w:val="hybridMultilevel"/>
    <w:tmpl w:val="629A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53BBE"/>
    <w:multiLevelType w:val="multilevel"/>
    <w:tmpl w:val="71F6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8C3C0B"/>
    <w:multiLevelType w:val="multilevel"/>
    <w:tmpl w:val="464E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D01473"/>
    <w:multiLevelType w:val="multilevel"/>
    <w:tmpl w:val="6776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5D1229"/>
    <w:multiLevelType w:val="hybridMultilevel"/>
    <w:tmpl w:val="253E2E56"/>
    <w:lvl w:ilvl="0" w:tplc="27FC5738">
      <w:start w:val="1"/>
      <w:numFmt w:val="decimal"/>
      <w:lvlText w:val="%1."/>
      <w:lvlJc w:val="left"/>
      <w:pPr>
        <w:ind w:left="720" w:hanging="360"/>
      </w:pPr>
      <w:rPr>
        <w:rFonts w:ascii="NimbusSanL-Regu" w:eastAsiaTheme="minorHAnsi" w:hAnsi="NimbusSanL-Regu" w:cs="NimbusSanL-Regu"/>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14140F"/>
    <w:multiLevelType w:val="hybridMultilevel"/>
    <w:tmpl w:val="62AA9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6E57B7"/>
    <w:multiLevelType w:val="hybridMultilevel"/>
    <w:tmpl w:val="C19AE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2"/>
  </w:num>
  <w:num w:numId="4">
    <w:abstractNumId w:val="4"/>
  </w:num>
  <w:num w:numId="5">
    <w:abstractNumId w:val="3"/>
  </w:num>
  <w:num w:numId="6">
    <w:abstractNumId w:val="1"/>
  </w:num>
  <w:num w:numId="7">
    <w:abstractNumId w:val="8"/>
  </w:num>
  <w:num w:numId="8">
    <w:abstractNumId w:val="14"/>
  </w:num>
  <w:num w:numId="9">
    <w:abstractNumId w:val="7"/>
  </w:num>
  <w:num w:numId="10">
    <w:abstractNumId w:val="15"/>
  </w:num>
  <w:num w:numId="11">
    <w:abstractNumId w:val="11"/>
  </w:num>
  <w:num w:numId="12">
    <w:abstractNumId w:val="10"/>
  </w:num>
  <w:num w:numId="13">
    <w:abstractNumId w:val="12"/>
  </w:num>
  <w:num w:numId="14">
    <w:abstractNumId w:val="6"/>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9F"/>
    <w:rsid w:val="0000165D"/>
    <w:rsid w:val="000018EF"/>
    <w:rsid w:val="00003E74"/>
    <w:rsid w:val="00003FAC"/>
    <w:rsid w:val="00004549"/>
    <w:rsid w:val="00010B61"/>
    <w:rsid w:val="00011099"/>
    <w:rsid w:val="00012CBB"/>
    <w:rsid w:val="00013ABE"/>
    <w:rsid w:val="00016579"/>
    <w:rsid w:val="00027CFB"/>
    <w:rsid w:val="000306A8"/>
    <w:rsid w:val="00033AA7"/>
    <w:rsid w:val="000345A8"/>
    <w:rsid w:val="00035308"/>
    <w:rsid w:val="000358FC"/>
    <w:rsid w:val="000413FA"/>
    <w:rsid w:val="00041C18"/>
    <w:rsid w:val="00047537"/>
    <w:rsid w:val="00050B13"/>
    <w:rsid w:val="00050D1B"/>
    <w:rsid w:val="0005157C"/>
    <w:rsid w:val="000539F0"/>
    <w:rsid w:val="00053E68"/>
    <w:rsid w:val="0005520A"/>
    <w:rsid w:val="000579AD"/>
    <w:rsid w:val="000626DC"/>
    <w:rsid w:val="0006302F"/>
    <w:rsid w:val="000656E0"/>
    <w:rsid w:val="000662C0"/>
    <w:rsid w:val="000724CA"/>
    <w:rsid w:val="00073782"/>
    <w:rsid w:val="0008139F"/>
    <w:rsid w:val="000815A7"/>
    <w:rsid w:val="00097C7E"/>
    <w:rsid w:val="000A32C2"/>
    <w:rsid w:val="000A481B"/>
    <w:rsid w:val="000A6458"/>
    <w:rsid w:val="000B0616"/>
    <w:rsid w:val="000B1FD3"/>
    <w:rsid w:val="000B287E"/>
    <w:rsid w:val="000C62A7"/>
    <w:rsid w:val="000D1C64"/>
    <w:rsid w:val="000E7877"/>
    <w:rsid w:val="000E78C0"/>
    <w:rsid w:val="000F2FED"/>
    <w:rsid w:val="000F304E"/>
    <w:rsid w:val="001002AA"/>
    <w:rsid w:val="00103A0C"/>
    <w:rsid w:val="00103B4F"/>
    <w:rsid w:val="001068D5"/>
    <w:rsid w:val="00110626"/>
    <w:rsid w:val="00111809"/>
    <w:rsid w:val="001125F1"/>
    <w:rsid w:val="00114C4A"/>
    <w:rsid w:val="001161BA"/>
    <w:rsid w:val="00116478"/>
    <w:rsid w:val="00122F5A"/>
    <w:rsid w:val="001234AA"/>
    <w:rsid w:val="001260B3"/>
    <w:rsid w:val="00127F15"/>
    <w:rsid w:val="00130918"/>
    <w:rsid w:val="00132267"/>
    <w:rsid w:val="00132642"/>
    <w:rsid w:val="0013294D"/>
    <w:rsid w:val="0013715E"/>
    <w:rsid w:val="00143105"/>
    <w:rsid w:val="00144C26"/>
    <w:rsid w:val="001456EB"/>
    <w:rsid w:val="001459E5"/>
    <w:rsid w:val="00151266"/>
    <w:rsid w:val="0015140A"/>
    <w:rsid w:val="00155A28"/>
    <w:rsid w:val="0015649A"/>
    <w:rsid w:val="001607FD"/>
    <w:rsid w:val="0016186C"/>
    <w:rsid w:val="00162D29"/>
    <w:rsid w:val="00165F37"/>
    <w:rsid w:val="00167590"/>
    <w:rsid w:val="00173F7C"/>
    <w:rsid w:val="00174B4E"/>
    <w:rsid w:val="00174D7E"/>
    <w:rsid w:val="0017526E"/>
    <w:rsid w:val="00176625"/>
    <w:rsid w:val="00177E9B"/>
    <w:rsid w:val="001814E2"/>
    <w:rsid w:val="0018347E"/>
    <w:rsid w:val="0018462F"/>
    <w:rsid w:val="00184C53"/>
    <w:rsid w:val="001A0829"/>
    <w:rsid w:val="001A6E6E"/>
    <w:rsid w:val="001B150B"/>
    <w:rsid w:val="001B2117"/>
    <w:rsid w:val="001B3F86"/>
    <w:rsid w:val="001B4A9A"/>
    <w:rsid w:val="001B5B39"/>
    <w:rsid w:val="001C0C18"/>
    <w:rsid w:val="001C205A"/>
    <w:rsid w:val="001C20C3"/>
    <w:rsid w:val="001C2F16"/>
    <w:rsid w:val="001C3862"/>
    <w:rsid w:val="001C3CA5"/>
    <w:rsid w:val="001D1CF2"/>
    <w:rsid w:val="001D2388"/>
    <w:rsid w:val="001D2FD4"/>
    <w:rsid w:val="001D4745"/>
    <w:rsid w:val="001D718A"/>
    <w:rsid w:val="001E4B67"/>
    <w:rsid w:val="001E5BAE"/>
    <w:rsid w:val="001F49EC"/>
    <w:rsid w:val="002004F3"/>
    <w:rsid w:val="00204580"/>
    <w:rsid w:val="00215988"/>
    <w:rsid w:val="002236F7"/>
    <w:rsid w:val="0022372F"/>
    <w:rsid w:val="0022432A"/>
    <w:rsid w:val="00226F26"/>
    <w:rsid w:val="00230728"/>
    <w:rsid w:val="002452E9"/>
    <w:rsid w:val="00247DF6"/>
    <w:rsid w:val="00250FBB"/>
    <w:rsid w:val="00256952"/>
    <w:rsid w:val="00256BF0"/>
    <w:rsid w:val="002606A7"/>
    <w:rsid w:val="002635BA"/>
    <w:rsid w:val="0026424F"/>
    <w:rsid w:val="0026488D"/>
    <w:rsid w:val="002654B5"/>
    <w:rsid w:val="002671E1"/>
    <w:rsid w:val="00267A49"/>
    <w:rsid w:val="002709DB"/>
    <w:rsid w:val="002830F9"/>
    <w:rsid w:val="00283405"/>
    <w:rsid w:val="0028484D"/>
    <w:rsid w:val="0029047C"/>
    <w:rsid w:val="00290AC3"/>
    <w:rsid w:val="00292778"/>
    <w:rsid w:val="0029557A"/>
    <w:rsid w:val="0029679F"/>
    <w:rsid w:val="002A1614"/>
    <w:rsid w:val="002A33EC"/>
    <w:rsid w:val="002A43CA"/>
    <w:rsid w:val="002A46D6"/>
    <w:rsid w:val="002A55E7"/>
    <w:rsid w:val="002B6125"/>
    <w:rsid w:val="002B7A39"/>
    <w:rsid w:val="002C0A20"/>
    <w:rsid w:val="002C1A10"/>
    <w:rsid w:val="002C31CE"/>
    <w:rsid w:val="002C51CE"/>
    <w:rsid w:val="002C71B7"/>
    <w:rsid w:val="002D10DC"/>
    <w:rsid w:val="002D3761"/>
    <w:rsid w:val="002D3BE5"/>
    <w:rsid w:val="002D54E8"/>
    <w:rsid w:val="002D56B4"/>
    <w:rsid w:val="002D57F6"/>
    <w:rsid w:val="002E049F"/>
    <w:rsid w:val="002E27BE"/>
    <w:rsid w:val="002F0202"/>
    <w:rsid w:val="002F1310"/>
    <w:rsid w:val="002F7AA2"/>
    <w:rsid w:val="00301535"/>
    <w:rsid w:val="003022E3"/>
    <w:rsid w:val="00306171"/>
    <w:rsid w:val="00310182"/>
    <w:rsid w:val="0031066E"/>
    <w:rsid w:val="00313DA0"/>
    <w:rsid w:val="00315475"/>
    <w:rsid w:val="00316A4D"/>
    <w:rsid w:val="00321BD7"/>
    <w:rsid w:val="00325F79"/>
    <w:rsid w:val="00327B6B"/>
    <w:rsid w:val="00330CD0"/>
    <w:rsid w:val="00331C2F"/>
    <w:rsid w:val="003343D3"/>
    <w:rsid w:val="00340A8E"/>
    <w:rsid w:val="00341677"/>
    <w:rsid w:val="0034197B"/>
    <w:rsid w:val="00345266"/>
    <w:rsid w:val="00346471"/>
    <w:rsid w:val="00350FB6"/>
    <w:rsid w:val="00352BEC"/>
    <w:rsid w:val="00352F2D"/>
    <w:rsid w:val="00355554"/>
    <w:rsid w:val="00360BC6"/>
    <w:rsid w:val="00363222"/>
    <w:rsid w:val="00365C81"/>
    <w:rsid w:val="00366F19"/>
    <w:rsid w:val="00371330"/>
    <w:rsid w:val="00374FB4"/>
    <w:rsid w:val="003765D3"/>
    <w:rsid w:val="00382515"/>
    <w:rsid w:val="0038287A"/>
    <w:rsid w:val="0038591F"/>
    <w:rsid w:val="00392A27"/>
    <w:rsid w:val="00393BE5"/>
    <w:rsid w:val="003A395B"/>
    <w:rsid w:val="003B251F"/>
    <w:rsid w:val="003B3F54"/>
    <w:rsid w:val="003B5348"/>
    <w:rsid w:val="003B665F"/>
    <w:rsid w:val="003B6B1F"/>
    <w:rsid w:val="003C400F"/>
    <w:rsid w:val="003C632F"/>
    <w:rsid w:val="003D11B1"/>
    <w:rsid w:val="003D2D08"/>
    <w:rsid w:val="003D3C97"/>
    <w:rsid w:val="003D3E72"/>
    <w:rsid w:val="003D5A8B"/>
    <w:rsid w:val="003D5D6D"/>
    <w:rsid w:val="003E32F8"/>
    <w:rsid w:val="003E3AC5"/>
    <w:rsid w:val="003E5542"/>
    <w:rsid w:val="003F02C6"/>
    <w:rsid w:val="003F2B98"/>
    <w:rsid w:val="003F6D65"/>
    <w:rsid w:val="003F7D37"/>
    <w:rsid w:val="0040254F"/>
    <w:rsid w:val="0040282C"/>
    <w:rsid w:val="00403DD1"/>
    <w:rsid w:val="00404DD7"/>
    <w:rsid w:val="00412A3D"/>
    <w:rsid w:val="00412B5E"/>
    <w:rsid w:val="00412FE4"/>
    <w:rsid w:val="004167BB"/>
    <w:rsid w:val="00421157"/>
    <w:rsid w:val="0042605B"/>
    <w:rsid w:val="004352BE"/>
    <w:rsid w:val="00441A89"/>
    <w:rsid w:val="0044258D"/>
    <w:rsid w:val="0044330E"/>
    <w:rsid w:val="00453F0A"/>
    <w:rsid w:val="00454834"/>
    <w:rsid w:val="00456A97"/>
    <w:rsid w:val="00464C35"/>
    <w:rsid w:val="00467E61"/>
    <w:rsid w:val="00470156"/>
    <w:rsid w:val="00470659"/>
    <w:rsid w:val="0047152F"/>
    <w:rsid w:val="004755BC"/>
    <w:rsid w:val="00475A5E"/>
    <w:rsid w:val="00475D72"/>
    <w:rsid w:val="00477CD2"/>
    <w:rsid w:val="00481565"/>
    <w:rsid w:val="00483469"/>
    <w:rsid w:val="00484ED0"/>
    <w:rsid w:val="0048737A"/>
    <w:rsid w:val="004900A9"/>
    <w:rsid w:val="00492399"/>
    <w:rsid w:val="00492A17"/>
    <w:rsid w:val="00495C5C"/>
    <w:rsid w:val="004A3A4B"/>
    <w:rsid w:val="004A6E23"/>
    <w:rsid w:val="004B08FB"/>
    <w:rsid w:val="004B0C0E"/>
    <w:rsid w:val="004B67CC"/>
    <w:rsid w:val="004C3A0B"/>
    <w:rsid w:val="004C6382"/>
    <w:rsid w:val="004C6A44"/>
    <w:rsid w:val="004C796A"/>
    <w:rsid w:val="004D19E7"/>
    <w:rsid w:val="004D30F6"/>
    <w:rsid w:val="004D6D24"/>
    <w:rsid w:val="004E3550"/>
    <w:rsid w:val="004E3DD7"/>
    <w:rsid w:val="004E4753"/>
    <w:rsid w:val="004E5BFA"/>
    <w:rsid w:val="004E5E4B"/>
    <w:rsid w:val="004E767D"/>
    <w:rsid w:val="004E7B87"/>
    <w:rsid w:val="004F18B6"/>
    <w:rsid w:val="004F4136"/>
    <w:rsid w:val="005035B8"/>
    <w:rsid w:val="00505952"/>
    <w:rsid w:val="005060A0"/>
    <w:rsid w:val="00511D86"/>
    <w:rsid w:val="00520273"/>
    <w:rsid w:val="0052294C"/>
    <w:rsid w:val="005240E8"/>
    <w:rsid w:val="005250A6"/>
    <w:rsid w:val="00536A1D"/>
    <w:rsid w:val="00541977"/>
    <w:rsid w:val="00550C71"/>
    <w:rsid w:val="0055440E"/>
    <w:rsid w:val="005550FD"/>
    <w:rsid w:val="00555436"/>
    <w:rsid w:val="005569C0"/>
    <w:rsid w:val="0056169A"/>
    <w:rsid w:val="00562DB4"/>
    <w:rsid w:val="005660B4"/>
    <w:rsid w:val="00571CAD"/>
    <w:rsid w:val="00572101"/>
    <w:rsid w:val="00573929"/>
    <w:rsid w:val="00575F82"/>
    <w:rsid w:val="00576B63"/>
    <w:rsid w:val="00580637"/>
    <w:rsid w:val="00581FA8"/>
    <w:rsid w:val="005821F2"/>
    <w:rsid w:val="005845F9"/>
    <w:rsid w:val="00586A2D"/>
    <w:rsid w:val="00597058"/>
    <w:rsid w:val="005974F9"/>
    <w:rsid w:val="005A4860"/>
    <w:rsid w:val="005B0D0F"/>
    <w:rsid w:val="005B23AB"/>
    <w:rsid w:val="005B484E"/>
    <w:rsid w:val="005B5DFB"/>
    <w:rsid w:val="005C0033"/>
    <w:rsid w:val="005C05E3"/>
    <w:rsid w:val="005C1558"/>
    <w:rsid w:val="005C20FB"/>
    <w:rsid w:val="005D0511"/>
    <w:rsid w:val="005D0518"/>
    <w:rsid w:val="005D0636"/>
    <w:rsid w:val="005D2C34"/>
    <w:rsid w:val="005D37D9"/>
    <w:rsid w:val="005D4585"/>
    <w:rsid w:val="005D7582"/>
    <w:rsid w:val="005E205D"/>
    <w:rsid w:val="005E2BD8"/>
    <w:rsid w:val="005E4BA1"/>
    <w:rsid w:val="005E6740"/>
    <w:rsid w:val="005F3AE9"/>
    <w:rsid w:val="005F6231"/>
    <w:rsid w:val="005F6C2B"/>
    <w:rsid w:val="00601EAB"/>
    <w:rsid w:val="006064F0"/>
    <w:rsid w:val="00610454"/>
    <w:rsid w:val="006119FD"/>
    <w:rsid w:val="006129A3"/>
    <w:rsid w:val="00613EF8"/>
    <w:rsid w:val="00614BF9"/>
    <w:rsid w:val="00615B3C"/>
    <w:rsid w:val="00615C54"/>
    <w:rsid w:val="006240BC"/>
    <w:rsid w:val="00624306"/>
    <w:rsid w:val="00624C28"/>
    <w:rsid w:val="00625547"/>
    <w:rsid w:val="006262EC"/>
    <w:rsid w:val="00631A49"/>
    <w:rsid w:val="006337D4"/>
    <w:rsid w:val="00636743"/>
    <w:rsid w:val="0064045D"/>
    <w:rsid w:val="006477B2"/>
    <w:rsid w:val="006506DE"/>
    <w:rsid w:val="00650844"/>
    <w:rsid w:val="00651183"/>
    <w:rsid w:val="006553B9"/>
    <w:rsid w:val="0065658D"/>
    <w:rsid w:val="00660A70"/>
    <w:rsid w:val="00660EE2"/>
    <w:rsid w:val="006610AF"/>
    <w:rsid w:val="00661552"/>
    <w:rsid w:val="00666121"/>
    <w:rsid w:val="00672A0A"/>
    <w:rsid w:val="006753E4"/>
    <w:rsid w:val="0067570B"/>
    <w:rsid w:val="00675AF8"/>
    <w:rsid w:val="00676BC0"/>
    <w:rsid w:val="00676FC1"/>
    <w:rsid w:val="00680AF6"/>
    <w:rsid w:val="00681898"/>
    <w:rsid w:val="006828ED"/>
    <w:rsid w:val="006844C0"/>
    <w:rsid w:val="006862DA"/>
    <w:rsid w:val="00687F6F"/>
    <w:rsid w:val="006913EE"/>
    <w:rsid w:val="00691C95"/>
    <w:rsid w:val="006922F5"/>
    <w:rsid w:val="00694157"/>
    <w:rsid w:val="00695385"/>
    <w:rsid w:val="00695EEA"/>
    <w:rsid w:val="006975BA"/>
    <w:rsid w:val="006A2C76"/>
    <w:rsid w:val="006A2C7B"/>
    <w:rsid w:val="006B0764"/>
    <w:rsid w:val="006B0AFD"/>
    <w:rsid w:val="006B157F"/>
    <w:rsid w:val="006B39BA"/>
    <w:rsid w:val="006B750F"/>
    <w:rsid w:val="006C244C"/>
    <w:rsid w:val="006C4C5B"/>
    <w:rsid w:val="006C720B"/>
    <w:rsid w:val="006C77A5"/>
    <w:rsid w:val="006D0F45"/>
    <w:rsid w:val="006D122F"/>
    <w:rsid w:val="006D1DB8"/>
    <w:rsid w:val="006D501A"/>
    <w:rsid w:val="006E0549"/>
    <w:rsid w:val="006E1E7C"/>
    <w:rsid w:val="006E6936"/>
    <w:rsid w:val="006E7FEE"/>
    <w:rsid w:val="006F069A"/>
    <w:rsid w:val="006F1ABD"/>
    <w:rsid w:val="006F1F13"/>
    <w:rsid w:val="006F32AB"/>
    <w:rsid w:val="006F7F0F"/>
    <w:rsid w:val="00702F6E"/>
    <w:rsid w:val="007100E0"/>
    <w:rsid w:val="0071737F"/>
    <w:rsid w:val="00717D15"/>
    <w:rsid w:val="007225DA"/>
    <w:rsid w:val="0072416D"/>
    <w:rsid w:val="007272A9"/>
    <w:rsid w:val="0073200E"/>
    <w:rsid w:val="00732530"/>
    <w:rsid w:val="007350A8"/>
    <w:rsid w:val="007358C8"/>
    <w:rsid w:val="00735D5B"/>
    <w:rsid w:val="00741F3F"/>
    <w:rsid w:val="0074610A"/>
    <w:rsid w:val="00750065"/>
    <w:rsid w:val="00750EE1"/>
    <w:rsid w:val="00753152"/>
    <w:rsid w:val="00753B87"/>
    <w:rsid w:val="00757A93"/>
    <w:rsid w:val="00764869"/>
    <w:rsid w:val="0076726C"/>
    <w:rsid w:val="00767AE9"/>
    <w:rsid w:val="007704DD"/>
    <w:rsid w:val="00772F74"/>
    <w:rsid w:val="007733C0"/>
    <w:rsid w:val="0077489F"/>
    <w:rsid w:val="0077602C"/>
    <w:rsid w:val="007772B2"/>
    <w:rsid w:val="00781707"/>
    <w:rsid w:val="00782581"/>
    <w:rsid w:val="0078413D"/>
    <w:rsid w:val="00784FC4"/>
    <w:rsid w:val="0078547E"/>
    <w:rsid w:val="00791B82"/>
    <w:rsid w:val="00792692"/>
    <w:rsid w:val="00794AFE"/>
    <w:rsid w:val="00795BE2"/>
    <w:rsid w:val="007A0746"/>
    <w:rsid w:val="007A4021"/>
    <w:rsid w:val="007A5F9A"/>
    <w:rsid w:val="007A6A2F"/>
    <w:rsid w:val="007A6AC8"/>
    <w:rsid w:val="007A7B14"/>
    <w:rsid w:val="007B27C7"/>
    <w:rsid w:val="007B55E2"/>
    <w:rsid w:val="007B670C"/>
    <w:rsid w:val="007C0760"/>
    <w:rsid w:val="007C168E"/>
    <w:rsid w:val="007C2D69"/>
    <w:rsid w:val="007C6B3C"/>
    <w:rsid w:val="007D4C40"/>
    <w:rsid w:val="007D5A6F"/>
    <w:rsid w:val="007D69AC"/>
    <w:rsid w:val="007E3A46"/>
    <w:rsid w:val="007E3DF9"/>
    <w:rsid w:val="007F111A"/>
    <w:rsid w:val="007F14E3"/>
    <w:rsid w:val="007F2F5E"/>
    <w:rsid w:val="007F440A"/>
    <w:rsid w:val="007F44C6"/>
    <w:rsid w:val="007F4BF4"/>
    <w:rsid w:val="007F504C"/>
    <w:rsid w:val="00800EFE"/>
    <w:rsid w:val="00801FD3"/>
    <w:rsid w:val="00802651"/>
    <w:rsid w:val="0080614F"/>
    <w:rsid w:val="008103BA"/>
    <w:rsid w:val="0081065A"/>
    <w:rsid w:val="00812E1A"/>
    <w:rsid w:val="008157B5"/>
    <w:rsid w:val="008163EA"/>
    <w:rsid w:val="00823535"/>
    <w:rsid w:val="00826255"/>
    <w:rsid w:val="00831D58"/>
    <w:rsid w:val="0083479E"/>
    <w:rsid w:val="008372BA"/>
    <w:rsid w:val="00842CB9"/>
    <w:rsid w:val="0084598A"/>
    <w:rsid w:val="00850D9A"/>
    <w:rsid w:val="00851E07"/>
    <w:rsid w:val="00852245"/>
    <w:rsid w:val="00852499"/>
    <w:rsid w:val="00860D2B"/>
    <w:rsid w:val="0086376E"/>
    <w:rsid w:val="00864F88"/>
    <w:rsid w:val="00866A11"/>
    <w:rsid w:val="00871B3F"/>
    <w:rsid w:val="00872DA8"/>
    <w:rsid w:val="00874972"/>
    <w:rsid w:val="00874D6C"/>
    <w:rsid w:val="0088087F"/>
    <w:rsid w:val="00881552"/>
    <w:rsid w:val="008858A2"/>
    <w:rsid w:val="00886545"/>
    <w:rsid w:val="00891F78"/>
    <w:rsid w:val="00893D16"/>
    <w:rsid w:val="008A1AB3"/>
    <w:rsid w:val="008A21B9"/>
    <w:rsid w:val="008A224A"/>
    <w:rsid w:val="008A40C3"/>
    <w:rsid w:val="008A5031"/>
    <w:rsid w:val="008B6F99"/>
    <w:rsid w:val="008C113E"/>
    <w:rsid w:val="008C1729"/>
    <w:rsid w:val="008C201D"/>
    <w:rsid w:val="008C2849"/>
    <w:rsid w:val="008C4072"/>
    <w:rsid w:val="008C67B1"/>
    <w:rsid w:val="008C7B21"/>
    <w:rsid w:val="008D18A3"/>
    <w:rsid w:val="008D25DC"/>
    <w:rsid w:val="008D3862"/>
    <w:rsid w:val="008D4D58"/>
    <w:rsid w:val="008D6C0C"/>
    <w:rsid w:val="008E1ABB"/>
    <w:rsid w:val="008E61AF"/>
    <w:rsid w:val="008E738A"/>
    <w:rsid w:val="008F0129"/>
    <w:rsid w:val="008F19A4"/>
    <w:rsid w:val="008F20E1"/>
    <w:rsid w:val="008F6F64"/>
    <w:rsid w:val="008F77A6"/>
    <w:rsid w:val="00900B9C"/>
    <w:rsid w:val="00911287"/>
    <w:rsid w:val="00913714"/>
    <w:rsid w:val="00913A03"/>
    <w:rsid w:val="00913A20"/>
    <w:rsid w:val="0091515E"/>
    <w:rsid w:val="00916562"/>
    <w:rsid w:val="00916D9F"/>
    <w:rsid w:val="009254D7"/>
    <w:rsid w:val="00925939"/>
    <w:rsid w:val="00926E0D"/>
    <w:rsid w:val="0092778B"/>
    <w:rsid w:val="00931E6F"/>
    <w:rsid w:val="00935337"/>
    <w:rsid w:val="00935497"/>
    <w:rsid w:val="0094524B"/>
    <w:rsid w:val="0094536F"/>
    <w:rsid w:val="00945F76"/>
    <w:rsid w:val="009468D3"/>
    <w:rsid w:val="00950517"/>
    <w:rsid w:val="00950CF5"/>
    <w:rsid w:val="009546F8"/>
    <w:rsid w:val="00955B60"/>
    <w:rsid w:val="00956FB7"/>
    <w:rsid w:val="0096059D"/>
    <w:rsid w:val="00967D58"/>
    <w:rsid w:val="00970149"/>
    <w:rsid w:val="009712E2"/>
    <w:rsid w:val="00982795"/>
    <w:rsid w:val="00982F2C"/>
    <w:rsid w:val="00983041"/>
    <w:rsid w:val="00984944"/>
    <w:rsid w:val="00987BC2"/>
    <w:rsid w:val="00987CC1"/>
    <w:rsid w:val="00991BBF"/>
    <w:rsid w:val="00993B9A"/>
    <w:rsid w:val="00993E29"/>
    <w:rsid w:val="00994C46"/>
    <w:rsid w:val="009A176A"/>
    <w:rsid w:val="009A42F6"/>
    <w:rsid w:val="009C35F9"/>
    <w:rsid w:val="009C4EC0"/>
    <w:rsid w:val="009C6FAC"/>
    <w:rsid w:val="009D24B6"/>
    <w:rsid w:val="009D4344"/>
    <w:rsid w:val="009E4F9E"/>
    <w:rsid w:val="009E6250"/>
    <w:rsid w:val="009E79C2"/>
    <w:rsid w:val="009F0198"/>
    <w:rsid w:val="009F16E8"/>
    <w:rsid w:val="009F1960"/>
    <w:rsid w:val="009F5B1C"/>
    <w:rsid w:val="00A00B7D"/>
    <w:rsid w:val="00A0117F"/>
    <w:rsid w:val="00A01FCE"/>
    <w:rsid w:val="00A02A0D"/>
    <w:rsid w:val="00A10458"/>
    <w:rsid w:val="00A11AE7"/>
    <w:rsid w:val="00A142EE"/>
    <w:rsid w:val="00A14748"/>
    <w:rsid w:val="00A15610"/>
    <w:rsid w:val="00A21E08"/>
    <w:rsid w:val="00A22412"/>
    <w:rsid w:val="00A25E32"/>
    <w:rsid w:val="00A302E2"/>
    <w:rsid w:val="00A316EF"/>
    <w:rsid w:val="00A33C5B"/>
    <w:rsid w:val="00A347B0"/>
    <w:rsid w:val="00A34B72"/>
    <w:rsid w:val="00A36DF6"/>
    <w:rsid w:val="00A37E3D"/>
    <w:rsid w:val="00A41874"/>
    <w:rsid w:val="00A4524D"/>
    <w:rsid w:val="00A4534D"/>
    <w:rsid w:val="00A45F78"/>
    <w:rsid w:val="00A602F0"/>
    <w:rsid w:val="00A614ED"/>
    <w:rsid w:val="00A624CE"/>
    <w:rsid w:val="00A6694E"/>
    <w:rsid w:val="00A67EC3"/>
    <w:rsid w:val="00A8594D"/>
    <w:rsid w:val="00A87167"/>
    <w:rsid w:val="00A91358"/>
    <w:rsid w:val="00A93069"/>
    <w:rsid w:val="00A975F0"/>
    <w:rsid w:val="00AA46D7"/>
    <w:rsid w:val="00AA79E4"/>
    <w:rsid w:val="00AB060E"/>
    <w:rsid w:val="00AB10E1"/>
    <w:rsid w:val="00AB2E33"/>
    <w:rsid w:val="00AB649F"/>
    <w:rsid w:val="00AC12DF"/>
    <w:rsid w:val="00AC3625"/>
    <w:rsid w:val="00AC47D4"/>
    <w:rsid w:val="00AC6B55"/>
    <w:rsid w:val="00AD0C29"/>
    <w:rsid w:val="00AD0E3E"/>
    <w:rsid w:val="00AD3679"/>
    <w:rsid w:val="00AD62D6"/>
    <w:rsid w:val="00AD7CF8"/>
    <w:rsid w:val="00AE250C"/>
    <w:rsid w:val="00AE3326"/>
    <w:rsid w:val="00AE377D"/>
    <w:rsid w:val="00AF0575"/>
    <w:rsid w:val="00AF0C40"/>
    <w:rsid w:val="00AF0C4E"/>
    <w:rsid w:val="00B033E3"/>
    <w:rsid w:val="00B04992"/>
    <w:rsid w:val="00B05C41"/>
    <w:rsid w:val="00B135BF"/>
    <w:rsid w:val="00B1408E"/>
    <w:rsid w:val="00B15A54"/>
    <w:rsid w:val="00B166DD"/>
    <w:rsid w:val="00B25258"/>
    <w:rsid w:val="00B26495"/>
    <w:rsid w:val="00B267A3"/>
    <w:rsid w:val="00B26E7E"/>
    <w:rsid w:val="00B33844"/>
    <w:rsid w:val="00B40D68"/>
    <w:rsid w:val="00B42401"/>
    <w:rsid w:val="00B435BF"/>
    <w:rsid w:val="00B445E7"/>
    <w:rsid w:val="00B44691"/>
    <w:rsid w:val="00B502E8"/>
    <w:rsid w:val="00B5033E"/>
    <w:rsid w:val="00B537F6"/>
    <w:rsid w:val="00B54FA7"/>
    <w:rsid w:val="00B574E8"/>
    <w:rsid w:val="00B61ECE"/>
    <w:rsid w:val="00B62AA9"/>
    <w:rsid w:val="00B62F54"/>
    <w:rsid w:val="00B71173"/>
    <w:rsid w:val="00B73CA9"/>
    <w:rsid w:val="00B8003B"/>
    <w:rsid w:val="00B8207D"/>
    <w:rsid w:val="00B82BC9"/>
    <w:rsid w:val="00B92AEE"/>
    <w:rsid w:val="00B937BA"/>
    <w:rsid w:val="00B96D5F"/>
    <w:rsid w:val="00B97898"/>
    <w:rsid w:val="00B97FA7"/>
    <w:rsid w:val="00BA685E"/>
    <w:rsid w:val="00BA792B"/>
    <w:rsid w:val="00BB0B43"/>
    <w:rsid w:val="00BB3B91"/>
    <w:rsid w:val="00BB476A"/>
    <w:rsid w:val="00BB4AF5"/>
    <w:rsid w:val="00BC0EDF"/>
    <w:rsid w:val="00BC29CE"/>
    <w:rsid w:val="00BC7FA8"/>
    <w:rsid w:val="00BD76AC"/>
    <w:rsid w:val="00BD7E58"/>
    <w:rsid w:val="00BE4A2E"/>
    <w:rsid w:val="00BE73EE"/>
    <w:rsid w:val="00BE7A1D"/>
    <w:rsid w:val="00BF5054"/>
    <w:rsid w:val="00BF6484"/>
    <w:rsid w:val="00BF7029"/>
    <w:rsid w:val="00C00BF3"/>
    <w:rsid w:val="00C00CE8"/>
    <w:rsid w:val="00C03A0E"/>
    <w:rsid w:val="00C0509B"/>
    <w:rsid w:val="00C07108"/>
    <w:rsid w:val="00C11662"/>
    <w:rsid w:val="00C1367E"/>
    <w:rsid w:val="00C142D1"/>
    <w:rsid w:val="00C1497E"/>
    <w:rsid w:val="00C17685"/>
    <w:rsid w:val="00C1769B"/>
    <w:rsid w:val="00C22EEB"/>
    <w:rsid w:val="00C25550"/>
    <w:rsid w:val="00C27841"/>
    <w:rsid w:val="00C27A11"/>
    <w:rsid w:val="00C32405"/>
    <w:rsid w:val="00C357DE"/>
    <w:rsid w:val="00C37026"/>
    <w:rsid w:val="00C45BBB"/>
    <w:rsid w:val="00C45C7B"/>
    <w:rsid w:val="00C53C2A"/>
    <w:rsid w:val="00C565B7"/>
    <w:rsid w:val="00C573D1"/>
    <w:rsid w:val="00C57772"/>
    <w:rsid w:val="00C60F42"/>
    <w:rsid w:val="00C61775"/>
    <w:rsid w:val="00C63BBC"/>
    <w:rsid w:val="00C667C9"/>
    <w:rsid w:val="00C70B5B"/>
    <w:rsid w:val="00C71627"/>
    <w:rsid w:val="00C71700"/>
    <w:rsid w:val="00C7180E"/>
    <w:rsid w:val="00C7253B"/>
    <w:rsid w:val="00C750D8"/>
    <w:rsid w:val="00C77EA1"/>
    <w:rsid w:val="00C77F1F"/>
    <w:rsid w:val="00C8078F"/>
    <w:rsid w:val="00C82F2F"/>
    <w:rsid w:val="00C85E06"/>
    <w:rsid w:val="00C87E24"/>
    <w:rsid w:val="00C90846"/>
    <w:rsid w:val="00C91E21"/>
    <w:rsid w:val="00C95B07"/>
    <w:rsid w:val="00C964EC"/>
    <w:rsid w:val="00C97731"/>
    <w:rsid w:val="00CA0634"/>
    <w:rsid w:val="00CA0F85"/>
    <w:rsid w:val="00CA14E6"/>
    <w:rsid w:val="00CA15E0"/>
    <w:rsid w:val="00CA63DC"/>
    <w:rsid w:val="00CB45FC"/>
    <w:rsid w:val="00CB527F"/>
    <w:rsid w:val="00CC3634"/>
    <w:rsid w:val="00CD0B1B"/>
    <w:rsid w:val="00CD187D"/>
    <w:rsid w:val="00CD2260"/>
    <w:rsid w:val="00CD3075"/>
    <w:rsid w:val="00CD4305"/>
    <w:rsid w:val="00CE1596"/>
    <w:rsid w:val="00CE1B4E"/>
    <w:rsid w:val="00CF0431"/>
    <w:rsid w:val="00CF1D32"/>
    <w:rsid w:val="00CF53B6"/>
    <w:rsid w:val="00CF6A23"/>
    <w:rsid w:val="00CF6EAF"/>
    <w:rsid w:val="00CF7233"/>
    <w:rsid w:val="00D00613"/>
    <w:rsid w:val="00D025A4"/>
    <w:rsid w:val="00D037FF"/>
    <w:rsid w:val="00D04B9E"/>
    <w:rsid w:val="00D06BF5"/>
    <w:rsid w:val="00D07384"/>
    <w:rsid w:val="00D10280"/>
    <w:rsid w:val="00D1104D"/>
    <w:rsid w:val="00D12C8E"/>
    <w:rsid w:val="00D17038"/>
    <w:rsid w:val="00D173F7"/>
    <w:rsid w:val="00D1740B"/>
    <w:rsid w:val="00D23906"/>
    <w:rsid w:val="00D3057A"/>
    <w:rsid w:val="00D333E8"/>
    <w:rsid w:val="00D337D3"/>
    <w:rsid w:val="00D34D42"/>
    <w:rsid w:val="00D36BDC"/>
    <w:rsid w:val="00D37529"/>
    <w:rsid w:val="00D4056C"/>
    <w:rsid w:val="00D411EA"/>
    <w:rsid w:val="00D445AF"/>
    <w:rsid w:val="00D47F7F"/>
    <w:rsid w:val="00D50838"/>
    <w:rsid w:val="00D50A56"/>
    <w:rsid w:val="00D571A1"/>
    <w:rsid w:val="00D60FAF"/>
    <w:rsid w:val="00D6629B"/>
    <w:rsid w:val="00D702A7"/>
    <w:rsid w:val="00D72133"/>
    <w:rsid w:val="00D72ADE"/>
    <w:rsid w:val="00D75282"/>
    <w:rsid w:val="00D800CA"/>
    <w:rsid w:val="00D815AD"/>
    <w:rsid w:val="00D81825"/>
    <w:rsid w:val="00D83D0C"/>
    <w:rsid w:val="00D97965"/>
    <w:rsid w:val="00D97DA1"/>
    <w:rsid w:val="00DA031B"/>
    <w:rsid w:val="00DA66FA"/>
    <w:rsid w:val="00DB113A"/>
    <w:rsid w:val="00DB298B"/>
    <w:rsid w:val="00DB3084"/>
    <w:rsid w:val="00DB5C1E"/>
    <w:rsid w:val="00DB6DEC"/>
    <w:rsid w:val="00DB780D"/>
    <w:rsid w:val="00DC0657"/>
    <w:rsid w:val="00DC1835"/>
    <w:rsid w:val="00DC6A4F"/>
    <w:rsid w:val="00DD3CC8"/>
    <w:rsid w:val="00DD48A4"/>
    <w:rsid w:val="00DD4937"/>
    <w:rsid w:val="00DD554B"/>
    <w:rsid w:val="00DD7D83"/>
    <w:rsid w:val="00DF0CEA"/>
    <w:rsid w:val="00DF2AA9"/>
    <w:rsid w:val="00DF63D4"/>
    <w:rsid w:val="00E0077B"/>
    <w:rsid w:val="00E01204"/>
    <w:rsid w:val="00E0300A"/>
    <w:rsid w:val="00E033E5"/>
    <w:rsid w:val="00E053C1"/>
    <w:rsid w:val="00E06C7B"/>
    <w:rsid w:val="00E06CB8"/>
    <w:rsid w:val="00E10871"/>
    <w:rsid w:val="00E12620"/>
    <w:rsid w:val="00E139AE"/>
    <w:rsid w:val="00E13D08"/>
    <w:rsid w:val="00E15B1A"/>
    <w:rsid w:val="00E17141"/>
    <w:rsid w:val="00E208DC"/>
    <w:rsid w:val="00E27B43"/>
    <w:rsid w:val="00E30002"/>
    <w:rsid w:val="00E32843"/>
    <w:rsid w:val="00E32954"/>
    <w:rsid w:val="00E3543A"/>
    <w:rsid w:val="00E35BD3"/>
    <w:rsid w:val="00E368CE"/>
    <w:rsid w:val="00E41433"/>
    <w:rsid w:val="00E419E6"/>
    <w:rsid w:val="00E42BD8"/>
    <w:rsid w:val="00E4333D"/>
    <w:rsid w:val="00E4473E"/>
    <w:rsid w:val="00E46880"/>
    <w:rsid w:val="00E46B30"/>
    <w:rsid w:val="00E47AC2"/>
    <w:rsid w:val="00E5304C"/>
    <w:rsid w:val="00E54A58"/>
    <w:rsid w:val="00E55317"/>
    <w:rsid w:val="00E57637"/>
    <w:rsid w:val="00E60285"/>
    <w:rsid w:val="00E60566"/>
    <w:rsid w:val="00E61A77"/>
    <w:rsid w:val="00E74518"/>
    <w:rsid w:val="00E7655B"/>
    <w:rsid w:val="00E76CC9"/>
    <w:rsid w:val="00E94BF7"/>
    <w:rsid w:val="00E96CDA"/>
    <w:rsid w:val="00E97026"/>
    <w:rsid w:val="00EA0309"/>
    <w:rsid w:val="00EA7001"/>
    <w:rsid w:val="00EB27EC"/>
    <w:rsid w:val="00EB3F50"/>
    <w:rsid w:val="00EB4EF4"/>
    <w:rsid w:val="00EB5DF7"/>
    <w:rsid w:val="00EB6A97"/>
    <w:rsid w:val="00EC3BE1"/>
    <w:rsid w:val="00EC665B"/>
    <w:rsid w:val="00ED1B60"/>
    <w:rsid w:val="00ED2D4F"/>
    <w:rsid w:val="00ED4087"/>
    <w:rsid w:val="00EE0BEB"/>
    <w:rsid w:val="00EE7B3B"/>
    <w:rsid w:val="00EF0680"/>
    <w:rsid w:val="00EF13CB"/>
    <w:rsid w:val="00EF31B5"/>
    <w:rsid w:val="00EF66F4"/>
    <w:rsid w:val="00EF7B33"/>
    <w:rsid w:val="00F0394E"/>
    <w:rsid w:val="00F045C8"/>
    <w:rsid w:val="00F04C18"/>
    <w:rsid w:val="00F05EF9"/>
    <w:rsid w:val="00F07CF9"/>
    <w:rsid w:val="00F1376A"/>
    <w:rsid w:val="00F15A62"/>
    <w:rsid w:val="00F15C4F"/>
    <w:rsid w:val="00F178D7"/>
    <w:rsid w:val="00F2087D"/>
    <w:rsid w:val="00F21952"/>
    <w:rsid w:val="00F2293F"/>
    <w:rsid w:val="00F30A60"/>
    <w:rsid w:val="00F311BD"/>
    <w:rsid w:val="00F404D1"/>
    <w:rsid w:val="00F433B3"/>
    <w:rsid w:val="00F4357D"/>
    <w:rsid w:val="00F50CB8"/>
    <w:rsid w:val="00F51CE0"/>
    <w:rsid w:val="00F52D85"/>
    <w:rsid w:val="00F52F7E"/>
    <w:rsid w:val="00F55C56"/>
    <w:rsid w:val="00F573A4"/>
    <w:rsid w:val="00F62494"/>
    <w:rsid w:val="00F64986"/>
    <w:rsid w:val="00F64E8C"/>
    <w:rsid w:val="00F6530A"/>
    <w:rsid w:val="00F70967"/>
    <w:rsid w:val="00F81751"/>
    <w:rsid w:val="00F8184C"/>
    <w:rsid w:val="00F81D6F"/>
    <w:rsid w:val="00F8215A"/>
    <w:rsid w:val="00F84190"/>
    <w:rsid w:val="00F87B18"/>
    <w:rsid w:val="00F9166D"/>
    <w:rsid w:val="00F9195C"/>
    <w:rsid w:val="00F9259E"/>
    <w:rsid w:val="00F93F86"/>
    <w:rsid w:val="00F943A8"/>
    <w:rsid w:val="00F95E23"/>
    <w:rsid w:val="00FB2ED3"/>
    <w:rsid w:val="00FB48BB"/>
    <w:rsid w:val="00FB5C87"/>
    <w:rsid w:val="00FB5D8F"/>
    <w:rsid w:val="00FC2F7A"/>
    <w:rsid w:val="00FC3F11"/>
    <w:rsid w:val="00FC5699"/>
    <w:rsid w:val="00FC5AE2"/>
    <w:rsid w:val="00FC5C8A"/>
    <w:rsid w:val="00FC7885"/>
    <w:rsid w:val="00FD0145"/>
    <w:rsid w:val="00FD3544"/>
    <w:rsid w:val="00FD45B7"/>
    <w:rsid w:val="00FD5C37"/>
    <w:rsid w:val="00FD72D8"/>
    <w:rsid w:val="00FE09BF"/>
    <w:rsid w:val="00FE322C"/>
    <w:rsid w:val="00FE4F56"/>
    <w:rsid w:val="00FE525C"/>
    <w:rsid w:val="00FE53BB"/>
    <w:rsid w:val="00FF15E9"/>
    <w:rsid w:val="00FF16DF"/>
    <w:rsid w:val="00FF1B06"/>
    <w:rsid w:val="00FF2A2F"/>
    <w:rsid w:val="00FF4B80"/>
    <w:rsid w:val="00FF5864"/>
    <w:rsid w:val="00FF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99C92"/>
  <w15:docId w15:val="{BC470B92-B254-4C90-A225-C4491DCE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23AB"/>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n-GB"/>
    </w:rPr>
  </w:style>
  <w:style w:type="paragraph" w:styleId="Heading3">
    <w:name w:val="heading 3"/>
    <w:basedOn w:val="Normal"/>
    <w:next w:val="Normal"/>
    <w:link w:val="Heading3Char"/>
    <w:uiPriority w:val="9"/>
    <w:unhideWhenUsed/>
    <w:qFormat/>
    <w:rsid w:val="00033A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E"/>
    <w:rPr>
      <w:rFonts w:ascii="Segoe UI" w:hAnsi="Segoe UI" w:cs="Segoe UI"/>
      <w:sz w:val="18"/>
      <w:szCs w:val="18"/>
    </w:rPr>
  </w:style>
  <w:style w:type="character" w:styleId="CommentReference">
    <w:name w:val="annotation reference"/>
    <w:basedOn w:val="DefaultParagraphFont"/>
    <w:uiPriority w:val="99"/>
    <w:semiHidden/>
    <w:unhideWhenUsed/>
    <w:rsid w:val="00F6530A"/>
    <w:rPr>
      <w:sz w:val="16"/>
      <w:szCs w:val="16"/>
    </w:rPr>
  </w:style>
  <w:style w:type="paragraph" w:styleId="CommentText">
    <w:name w:val="annotation text"/>
    <w:basedOn w:val="Normal"/>
    <w:link w:val="CommentTextChar"/>
    <w:uiPriority w:val="99"/>
    <w:unhideWhenUsed/>
    <w:rsid w:val="00F6530A"/>
    <w:pPr>
      <w:spacing w:line="240" w:lineRule="auto"/>
    </w:pPr>
    <w:rPr>
      <w:sz w:val="20"/>
      <w:szCs w:val="20"/>
    </w:rPr>
  </w:style>
  <w:style w:type="character" w:customStyle="1" w:styleId="CommentTextChar">
    <w:name w:val="Comment Text Char"/>
    <w:basedOn w:val="DefaultParagraphFont"/>
    <w:link w:val="CommentText"/>
    <w:uiPriority w:val="99"/>
    <w:rsid w:val="00F6530A"/>
    <w:rPr>
      <w:sz w:val="20"/>
      <w:szCs w:val="20"/>
    </w:rPr>
  </w:style>
  <w:style w:type="paragraph" w:styleId="CommentSubject">
    <w:name w:val="annotation subject"/>
    <w:basedOn w:val="CommentText"/>
    <w:next w:val="CommentText"/>
    <w:link w:val="CommentSubjectChar"/>
    <w:uiPriority w:val="99"/>
    <w:semiHidden/>
    <w:unhideWhenUsed/>
    <w:rsid w:val="00F6530A"/>
    <w:rPr>
      <w:b/>
      <w:bCs/>
    </w:rPr>
  </w:style>
  <w:style w:type="character" w:customStyle="1" w:styleId="CommentSubjectChar">
    <w:name w:val="Comment Subject Char"/>
    <w:basedOn w:val="CommentTextChar"/>
    <w:link w:val="CommentSubject"/>
    <w:uiPriority w:val="99"/>
    <w:semiHidden/>
    <w:rsid w:val="00F6530A"/>
    <w:rPr>
      <w:b/>
      <w:bCs/>
      <w:sz w:val="20"/>
      <w:szCs w:val="20"/>
    </w:rPr>
  </w:style>
  <w:style w:type="character" w:customStyle="1" w:styleId="Heading2Char">
    <w:name w:val="Heading 2 Char"/>
    <w:basedOn w:val="DefaultParagraphFont"/>
    <w:link w:val="Heading2"/>
    <w:uiPriority w:val="9"/>
    <w:rsid w:val="005B23AB"/>
    <w:rPr>
      <w:rFonts w:asciiTheme="majorHAnsi" w:eastAsiaTheme="majorEastAsia" w:hAnsiTheme="majorHAnsi" w:cstheme="majorBidi"/>
      <w:b/>
      <w:bCs/>
      <w:color w:val="5B9BD5" w:themeColor="accent1"/>
      <w:sz w:val="26"/>
      <w:szCs w:val="26"/>
      <w:lang w:eastAsia="en-GB"/>
    </w:rPr>
  </w:style>
  <w:style w:type="paragraph" w:styleId="ListParagraph">
    <w:name w:val="List Paragraph"/>
    <w:basedOn w:val="Normal"/>
    <w:uiPriority w:val="34"/>
    <w:qFormat/>
    <w:rsid w:val="002C51CE"/>
    <w:pPr>
      <w:ind w:left="720"/>
      <w:contextualSpacing/>
    </w:pPr>
  </w:style>
  <w:style w:type="character" w:customStyle="1" w:styleId="Heading1Char">
    <w:name w:val="Heading 1 Char"/>
    <w:basedOn w:val="DefaultParagraphFont"/>
    <w:link w:val="Heading1"/>
    <w:uiPriority w:val="9"/>
    <w:rsid w:val="00F07CF9"/>
    <w:rPr>
      <w:rFonts w:asciiTheme="majorHAnsi" w:eastAsiaTheme="majorEastAsia" w:hAnsiTheme="majorHAnsi" w:cstheme="majorBidi"/>
      <w:color w:val="2E74B5" w:themeColor="accent1" w:themeShade="BF"/>
      <w:sz w:val="32"/>
      <w:szCs w:val="32"/>
    </w:rPr>
  </w:style>
  <w:style w:type="paragraph" w:customStyle="1" w:styleId="Default">
    <w:name w:val="Default"/>
    <w:rsid w:val="003765D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91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B82"/>
  </w:style>
  <w:style w:type="paragraph" w:styleId="Footer">
    <w:name w:val="footer"/>
    <w:basedOn w:val="Normal"/>
    <w:link w:val="FooterChar"/>
    <w:uiPriority w:val="99"/>
    <w:unhideWhenUsed/>
    <w:rsid w:val="00791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B82"/>
  </w:style>
  <w:style w:type="character" w:customStyle="1" w:styleId="Heading3Char">
    <w:name w:val="Heading 3 Char"/>
    <w:basedOn w:val="DefaultParagraphFont"/>
    <w:link w:val="Heading3"/>
    <w:uiPriority w:val="9"/>
    <w:rsid w:val="00033AA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C0657"/>
    <w:p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702A7"/>
    <w:pPr>
      <w:spacing w:after="0" w:line="240" w:lineRule="auto"/>
    </w:pPr>
  </w:style>
  <w:style w:type="table" w:styleId="TableGrid">
    <w:name w:val="Table Grid"/>
    <w:basedOn w:val="TableNormal"/>
    <w:uiPriority w:val="59"/>
    <w:rsid w:val="00C90846"/>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15630">
      <w:bodyDiv w:val="1"/>
      <w:marLeft w:val="0"/>
      <w:marRight w:val="0"/>
      <w:marTop w:val="0"/>
      <w:marBottom w:val="0"/>
      <w:divBdr>
        <w:top w:val="none" w:sz="0" w:space="0" w:color="auto"/>
        <w:left w:val="none" w:sz="0" w:space="0" w:color="auto"/>
        <w:bottom w:val="none" w:sz="0" w:space="0" w:color="auto"/>
        <w:right w:val="none" w:sz="0" w:space="0" w:color="auto"/>
      </w:divBdr>
    </w:div>
    <w:div w:id="1265190160">
      <w:bodyDiv w:val="1"/>
      <w:marLeft w:val="0"/>
      <w:marRight w:val="0"/>
      <w:marTop w:val="0"/>
      <w:marBottom w:val="0"/>
      <w:divBdr>
        <w:top w:val="none" w:sz="0" w:space="0" w:color="auto"/>
        <w:left w:val="none" w:sz="0" w:space="0" w:color="auto"/>
        <w:bottom w:val="none" w:sz="0" w:space="0" w:color="auto"/>
        <w:right w:val="none" w:sz="0" w:space="0" w:color="auto"/>
      </w:divBdr>
    </w:div>
    <w:div w:id="1493830292">
      <w:bodyDiv w:val="1"/>
      <w:marLeft w:val="0"/>
      <w:marRight w:val="0"/>
      <w:marTop w:val="0"/>
      <w:marBottom w:val="0"/>
      <w:divBdr>
        <w:top w:val="none" w:sz="0" w:space="0" w:color="auto"/>
        <w:left w:val="none" w:sz="0" w:space="0" w:color="auto"/>
        <w:bottom w:val="none" w:sz="0" w:space="0" w:color="auto"/>
        <w:right w:val="none" w:sz="0" w:space="0" w:color="auto"/>
      </w:divBdr>
    </w:div>
    <w:div w:id="17034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C59F-B18F-47B3-9648-A6D94B29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37755</Words>
  <Characters>215206</Characters>
  <Application>Microsoft Office Word</Application>
  <DocSecurity>0</DocSecurity>
  <Lines>1793</Lines>
  <Paragraphs>504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Blackwell</dc:creator>
  <cp:lastModifiedBy>Jonathan Blackwell</cp:lastModifiedBy>
  <cp:revision>5</cp:revision>
  <cp:lastPrinted>2020-03-26T15:37:00Z</cp:lastPrinted>
  <dcterms:created xsi:type="dcterms:W3CDTF">2020-06-05T23:48:00Z</dcterms:created>
  <dcterms:modified xsi:type="dcterms:W3CDTF">2020-06-30T15:30:00Z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61802b10-0e76-354d-a587-c251043a81ac</vt:lpwstr>
  </property>
  <property fmtid="{D5CDD505-2E9C-101B-9397-08002B2CF9AE}" pid="24" name="Mendeley Citation Style_1">
    <vt:lpwstr>http://www.zotero.org/styles/american-medical-association</vt:lpwstr>
  </property>
</Properties>
</file>