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7CEF" w14:textId="77777777" w:rsidR="00E211A0" w:rsidRPr="00B32D46" w:rsidRDefault="00E211A0" w:rsidP="00E211A0">
      <w:pPr>
        <w:pStyle w:val="Bod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2D46">
        <w:rPr>
          <w:rFonts w:ascii="Times New Roman" w:hAnsi="Times New Roman" w:cs="Times New Roman"/>
          <w:b/>
          <w:sz w:val="24"/>
          <w:szCs w:val="24"/>
        </w:rPr>
        <w:t>Table 3. Gaps in evidence</w:t>
      </w:r>
    </w:p>
    <w:tbl>
      <w:tblPr>
        <w:tblW w:w="12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66"/>
        <w:gridCol w:w="10064"/>
      </w:tblGrid>
      <w:tr w:rsidR="000D7814" w:rsidRPr="00B32D46" w14:paraId="49C946CD" w14:textId="77777777" w:rsidTr="000D7814">
        <w:trPr>
          <w:trHeight w:val="27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223A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FCF5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Gaps in evidence</w:t>
            </w:r>
          </w:p>
        </w:tc>
      </w:tr>
      <w:tr w:rsidR="000D7814" w:rsidRPr="00B32D46" w14:paraId="124331E3" w14:textId="77777777" w:rsidTr="000D7814">
        <w:trPr>
          <w:trHeight w:val="81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13CB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2D1C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Pathophysiology is not clarified</w:t>
            </w:r>
          </w:p>
          <w:p w14:paraId="70E16742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Definition is not unique</w:t>
            </w:r>
          </w:p>
        </w:tc>
      </w:tr>
      <w:tr w:rsidR="000D7814" w:rsidRPr="00B32D46" w14:paraId="72EFA758" w14:textId="77777777" w:rsidTr="000D7814">
        <w:trPr>
          <w:trHeight w:val="10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7BF3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F2BD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AMI patients at risk for CS</w:t>
            </w:r>
          </w:p>
          <w:p w14:paraId="28B53838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Recognition of early stages (pre-shock states)</w:t>
            </w:r>
          </w:p>
          <w:p w14:paraId="4B3A83FA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Whether transitions to higher or lower grade stages of CS change the prognosis </w:t>
            </w:r>
          </w:p>
          <w:p w14:paraId="1EE5DA2D" w14:textId="308ADA49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Phenotyping CS patients will improve decision-making </w:t>
            </w:r>
            <w:r w:rsidR="003E2E0F" w:rsidRPr="00B32D46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814" w:rsidRPr="00B32D46" w14:paraId="3293C711" w14:textId="77777777" w:rsidTr="000D7814">
        <w:trPr>
          <w:trHeight w:val="27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C13E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Prognosis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657B" w14:textId="0FAF21F3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Risk stratification in </w:t>
            </w:r>
            <w:proofErr w:type="spellStart"/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nonACS</w:t>
            </w:r>
            <w:proofErr w:type="spellEnd"/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CS populations</w:t>
            </w:r>
          </w:p>
          <w:p w14:paraId="3D055A0C" w14:textId="77777777" w:rsidR="00E211A0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Prospective validation and impact studies for contemporary risk scores</w:t>
            </w:r>
          </w:p>
          <w:p w14:paraId="52C6E032" w14:textId="4465B435" w:rsidR="00397B6A" w:rsidRPr="00B32D46" w:rsidRDefault="00397B6A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C2C69">
              <w:rPr>
                <w:rFonts w:ascii="Times New Roman" w:hAnsi="Times New Roman" w:cs="Times New Roman"/>
                <w:sz w:val="24"/>
                <w:szCs w:val="24"/>
              </w:rPr>
              <w:t xml:space="preserve">incremental value of </w:t>
            </w:r>
            <w:proofErr w:type="spellStart"/>
            <w:r w:rsidR="00CC2C69">
              <w:rPr>
                <w:rFonts w:ascii="Times New Roman" w:hAnsi="Times New Roman" w:cs="Times New Roman"/>
                <w:sz w:val="24"/>
                <w:szCs w:val="24"/>
              </w:rPr>
              <w:t>proteonomics</w:t>
            </w:r>
            <w:proofErr w:type="spellEnd"/>
            <w:r w:rsidR="00CC2C69">
              <w:rPr>
                <w:rFonts w:ascii="Times New Roman" w:hAnsi="Times New Roman" w:cs="Times New Roman"/>
                <w:sz w:val="24"/>
                <w:szCs w:val="24"/>
              </w:rPr>
              <w:t xml:space="preserve"> in risk stratification </w:t>
            </w:r>
          </w:p>
        </w:tc>
      </w:tr>
      <w:tr w:rsidR="000D7814" w:rsidRPr="00B32D46" w14:paraId="553971FF" w14:textId="77777777" w:rsidTr="000D7814">
        <w:trPr>
          <w:trHeight w:val="13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960A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E6AE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Which markers shall we follow for optimal monitoring?</w:t>
            </w:r>
          </w:p>
          <w:p w14:paraId="068E9461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PAC, Echo, Lactate?</w:t>
            </w:r>
          </w:p>
          <w:p w14:paraId="26DF07C2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Define markers for specific organ dysfunction, if prognostic</w:t>
            </w:r>
          </w:p>
        </w:tc>
      </w:tr>
      <w:tr w:rsidR="000D7814" w:rsidRPr="00B32D46" w14:paraId="15B53431" w14:textId="77777777" w:rsidTr="000D7814">
        <w:trPr>
          <w:trHeight w:val="13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1948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Medical Management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AA3C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Patient selection for inotropes/vasopressors</w:t>
            </w:r>
          </w:p>
          <w:p w14:paraId="1F1C99CA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Dose, up-titration and combination of vasopressors and inotropes</w:t>
            </w:r>
          </w:p>
          <w:p w14:paraId="274493A1" w14:textId="3B059F02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wean th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 xml:space="preserve">e patients from </w:t>
            </w:r>
            <w:r w:rsidR="008A0A42" w:rsidRPr="00B32D46">
              <w:rPr>
                <w:rFonts w:ascii="Times New Roman" w:hAnsi="Times New Roman" w:cs="Times New Roman"/>
                <w:sz w:val="24"/>
                <w:szCs w:val="24"/>
              </w:rPr>
              <w:t>inotropes/vasopressors</w:t>
            </w:r>
          </w:p>
          <w:p w14:paraId="08A16228" w14:textId="77777777" w:rsidR="00E211A0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Novel therapies</w:t>
            </w:r>
          </w:p>
          <w:p w14:paraId="0CE058A4" w14:textId="29CC8692" w:rsidR="00397B6A" w:rsidRPr="00B32D46" w:rsidRDefault="00397B6A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proteonomics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6A">
              <w:rPr>
                <w:rFonts w:ascii="Times New Roman" w:hAnsi="Times New Roman" w:cs="Times New Roman"/>
                <w:sz w:val="24"/>
                <w:szCs w:val="24"/>
              </w:rPr>
              <w:t>for individualized targeted interventions</w:t>
            </w:r>
          </w:p>
        </w:tc>
      </w:tr>
      <w:tr w:rsidR="000D7814" w:rsidRPr="00B32D46" w14:paraId="5162B9B4" w14:textId="77777777" w:rsidTr="000D7814">
        <w:trPr>
          <w:trHeight w:val="81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0082" w14:textId="7582E6EF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MCS</w:t>
            </w:r>
            <w:r w:rsidR="00397B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6AB9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Patient selection for MCS</w:t>
            </w:r>
          </w:p>
          <w:p w14:paraId="1E4AF97A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The type and timing of MCSs implant by CS etiology</w:t>
            </w:r>
          </w:p>
          <w:p w14:paraId="3D516EA0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The timing of mechanical LV unloading relative to coronary reperfusion in ACS-CS</w:t>
            </w:r>
          </w:p>
          <w:p w14:paraId="780DB787" w14:textId="3B0AD5C3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wean the patients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146BA37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Optimal approach to prevent and manage potential MCS-related complications: New devices with less complications </w:t>
            </w:r>
          </w:p>
        </w:tc>
      </w:tr>
      <w:tr w:rsidR="000D7814" w:rsidRPr="00B32D46" w14:paraId="5DD4CC95" w14:textId="77777777" w:rsidTr="000D7814">
        <w:trPr>
          <w:trHeight w:val="10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138B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Systems of care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9D94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Which is the safer trajectory of a CS patient?</w:t>
            </w:r>
          </w:p>
          <w:p w14:paraId="0D0F07B1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Network between CS centers</w:t>
            </w:r>
          </w:p>
          <w:p w14:paraId="14A6CB60" w14:textId="77777777" w:rsidR="00E211A0" w:rsidRPr="00B32D46" w:rsidRDefault="00E211A0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The link between hospitalization and rehabilitation/palliation</w:t>
            </w:r>
          </w:p>
        </w:tc>
      </w:tr>
    </w:tbl>
    <w:p w14:paraId="6B760D75" w14:textId="77777777" w:rsidR="00E211A0" w:rsidRDefault="00E211A0"/>
    <w:sectPr w:rsidR="00E211A0" w:rsidSect="00E211A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A0"/>
    <w:rsid w:val="000D7814"/>
    <w:rsid w:val="00140791"/>
    <w:rsid w:val="00397B6A"/>
    <w:rsid w:val="003E2E0F"/>
    <w:rsid w:val="008A0A42"/>
    <w:rsid w:val="00CC2C69"/>
    <w:rsid w:val="00E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9BFB3B"/>
  <w15:docId w15:val="{7D0D0C00-00B6-B246-B44C-806C9C0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211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11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6A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Chioncel</dc:creator>
  <cp:keywords/>
  <dc:description/>
  <cp:lastModifiedBy>Ovidiu Chioncel</cp:lastModifiedBy>
  <cp:revision>5</cp:revision>
  <dcterms:created xsi:type="dcterms:W3CDTF">2020-01-11T07:43:00Z</dcterms:created>
  <dcterms:modified xsi:type="dcterms:W3CDTF">2020-02-16T20:02:00Z</dcterms:modified>
</cp:coreProperties>
</file>