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BFF" w:rsidRPr="00405277" w:rsidRDefault="00FB710C" w:rsidP="00822BFF">
      <w:pPr>
        <w:rPr>
          <w:rFonts w:ascii="Arial" w:hAnsi="Arial" w:cs="Arial"/>
          <w:b/>
          <w:sz w:val="28"/>
          <w:szCs w:val="28"/>
        </w:rPr>
      </w:pPr>
      <w:r w:rsidRPr="00405277">
        <w:rPr>
          <w:rFonts w:ascii="Arial" w:hAnsi="Arial" w:cs="Arial"/>
          <w:b/>
          <w:sz w:val="28"/>
          <w:szCs w:val="28"/>
        </w:rPr>
        <w:t xml:space="preserve">Retinal </w:t>
      </w:r>
      <w:r w:rsidR="003A33F0" w:rsidRPr="00405277">
        <w:rPr>
          <w:rFonts w:ascii="Arial" w:hAnsi="Arial" w:cs="Arial"/>
          <w:b/>
          <w:sz w:val="28"/>
          <w:szCs w:val="28"/>
        </w:rPr>
        <w:t>vasculometric characteristics</w:t>
      </w:r>
      <w:r w:rsidRPr="00405277">
        <w:rPr>
          <w:rFonts w:ascii="Arial" w:hAnsi="Arial" w:cs="Arial"/>
          <w:b/>
          <w:sz w:val="28"/>
          <w:szCs w:val="28"/>
        </w:rPr>
        <w:t xml:space="preserve"> and their associations with </w:t>
      </w:r>
      <w:r w:rsidR="00822BFF" w:rsidRPr="00405277">
        <w:rPr>
          <w:rFonts w:ascii="Arial" w:hAnsi="Arial" w:cs="Arial"/>
          <w:b/>
          <w:sz w:val="28"/>
          <w:szCs w:val="28"/>
        </w:rPr>
        <w:t>polymyalgia rheumatica and giant cell arteritis in a prospective cohort: EPIC-Norfolk</w:t>
      </w:r>
      <w:r w:rsidRPr="00405277">
        <w:rPr>
          <w:rFonts w:ascii="Arial" w:hAnsi="Arial" w:cs="Arial"/>
          <w:b/>
          <w:sz w:val="28"/>
          <w:szCs w:val="28"/>
        </w:rPr>
        <w:t xml:space="preserve"> Eye</w:t>
      </w:r>
      <w:r w:rsidR="00822BFF" w:rsidRPr="00405277">
        <w:rPr>
          <w:rFonts w:ascii="Arial" w:hAnsi="Arial" w:cs="Arial"/>
          <w:b/>
          <w:sz w:val="28"/>
          <w:szCs w:val="28"/>
        </w:rPr>
        <w:t xml:space="preserve"> Study</w:t>
      </w:r>
    </w:p>
    <w:p w:rsidR="00822BFF" w:rsidRPr="00DD56F5" w:rsidRDefault="00822BFF" w:rsidP="00822BFF">
      <w:pPr>
        <w:rPr>
          <w:b/>
          <w:sz w:val="24"/>
          <w:szCs w:val="24"/>
        </w:rPr>
      </w:pPr>
    </w:p>
    <w:p w:rsidR="00FB710C" w:rsidRPr="00DD56F5" w:rsidRDefault="00FB710C" w:rsidP="00FB710C">
      <w:pPr>
        <w:spacing w:line="240" w:lineRule="auto"/>
        <w:jc w:val="both"/>
        <w:rPr>
          <w:rFonts w:ascii="Arial" w:hAnsi="Arial" w:cs="Arial"/>
          <w:sz w:val="24"/>
          <w:szCs w:val="24"/>
        </w:rPr>
      </w:pPr>
      <w:r w:rsidRPr="00CE4A4E">
        <w:rPr>
          <w:rFonts w:ascii="Arial" w:hAnsi="Arial" w:cs="Arial"/>
          <w:b/>
          <w:sz w:val="24"/>
          <w:szCs w:val="24"/>
        </w:rPr>
        <w:t>Max</w:t>
      </w:r>
      <w:r>
        <w:rPr>
          <w:rFonts w:ascii="Arial" w:hAnsi="Arial" w:cs="Arial"/>
          <w:b/>
          <w:sz w:val="24"/>
          <w:szCs w:val="24"/>
        </w:rPr>
        <w:t xml:space="preserve"> </w:t>
      </w:r>
      <w:r w:rsidRPr="00CE4A4E">
        <w:rPr>
          <w:rFonts w:ascii="Arial" w:hAnsi="Arial" w:cs="Arial"/>
          <w:b/>
          <w:sz w:val="24"/>
          <w:szCs w:val="24"/>
        </w:rPr>
        <w:t>Yates</w:t>
      </w:r>
      <w:r w:rsidRPr="00DD56F5">
        <w:rPr>
          <w:rFonts w:ascii="Arial" w:hAnsi="Arial" w:cs="Arial"/>
          <w:sz w:val="24"/>
          <w:szCs w:val="24"/>
          <w:vertAlign w:val="superscript"/>
        </w:rPr>
        <w:t>1</w:t>
      </w:r>
      <w:r w:rsidRPr="00DD56F5">
        <w:rPr>
          <w:rFonts w:ascii="Arial" w:hAnsi="Arial" w:cs="Arial"/>
          <w:sz w:val="24"/>
          <w:szCs w:val="24"/>
        </w:rPr>
        <w:t xml:space="preserve">, </w:t>
      </w:r>
      <w:r w:rsidR="00583108" w:rsidRPr="002E5EA1">
        <w:rPr>
          <w:rFonts w:ascii="Arial" w:hAnsi="Arial" w:cs="Arial"/>
          <w:b/>
          <w:sz w:val="24"/>
          <w:szCs w:val="24"/>
        </w:rPr>
        <w:t>Roshan A Welikala</w:t>
      </w:r>
      <w:r w:rsidR="00583108" w:rsidRPr="002E5EA1">
        <w:rPr>
          <w:rFonts w:ascii="Arial" w:hAnsi="Arial" w:cs="Arial"/>
          <w:sz w:val="24"/>
          <w:szCs w:val="24"/>
          <w:vertAlign w:val="superscript"/>
        </w:rPr>
        <w:t>2</w:t>
      </w:r>
      <w:r w:rsidR="00583108">
        <w:rPr>
          <w:rFonts w:ascii="Arial" w:hAnsi="Arial" w:cs="Arial"/>
          <w:sz w:val="24"/>
          <w:szCs w:val="24"/>
        </w:rPr>
        <w:t xml:space="preserve">, </w:t>
      </w:r>
      <w:r w:rsidRPr="002E5EA1">
        <w:rPr>
          <w:rFonts w:ascii="Arial" w:hAnsi="Arial" w:cs="Arial"/>
          <w:b/>
          <w:sz w:val="24"/>
          <w:szCs w:val="24"/>
        </w:rPr>
        <w:t>Alicja R Rudnicka</w:t>
      </w:r>
      <w:r w:rsidRPr="002E5EA1">
        <w:rPr>
          <w:rFonts w:ascii="Arial" w:hAnsi="Arial" w:cs="Arial"/>
          <w:sz w:val="24"/>
          <w:szCs w:val="24"/>
          <w:vertAlign w:val="superscript"/>
        </w:rPr>
        <w:t>3</w:t>
      </w:r>
      <w:r>
        <w:rPr>
          <w:rFonts w:ascii="Arial" w:hAnsi="Arial" w:cs="Arial"/>
          <w:sz w:val="24"/>
          <w:szCs w:val="24"/>
        </w:rPr>
        <w:t xml:space="preserve">, </w:t>
      </w:r>
      <w:r w:rsidR="00583108" w:rsidRPr="00184DDE">
        <w:rPr>
          <w:rFonts w:ascii="Arial" w:hAnsi="Arial" w:cs="Arial"/>
          <w:b/>
          <w:sz w:val="24"/>
          <w:szCs w:val="24"/>
        </w:rPr>
        <w:t>Tunde Peto</w:t>
      </w:r>
      <w:r w:rsidR="00583108">
        <w:rPr>
          <w:rFonts w:ascii="Arial" w:hAnsi="Arial" w:cs="Arial"/>
          <w:sz w:val="24"/>
          <w:szCs w:val="24"/>
          <w:vertAlign w:val="superscript"/>
        </w:rPr>
        <w:t>4</w:t>
      </w:r>
      <w:r w:rsidR="00583108">
        <w:rPr>
          <w:rFonts w:ascii="Arial" w:hAnsi="Arial" w:cs="Arial"/>
          <w:sz w:val="24"/>
          <w:szCs w:val="24"/>
        </w:rPr>
        <w:t xml:space="preserve">, </w:t>
      </w:r>
      <w:r w:rsidRPr="00CE4A4E">
        <w:rPr>
          <w:rFonts w:ascii="Arial" w:hAnsi="Arial" w:cs="Arial"/>
          <w:b/>
          <w:sz w:val="24"/>
          <w:szCs w:val="24"/>
        </w:rPr>
        <w:t>Alex J MacGregor</w:t>
      </w:r>
      <w:r w:rsidRPr="00DD56F5">
        <w:rPr>
          <w:rFonts w:ascii="Arial" w:hAnsi="Arial" w:cs="Arial"/>
          <w:sz w:val="24"/>
          <w:szCs w:val="24"/>
          <w:vertAlign w:val="superscript"/>
        </w:rPr>
        <w:t>1</w:t>
      </w:r>
      <w:r w:rsidRPr="00DD56F5">
        <w:rPr>
          <w:rFonts w:ascii="Arial" w:hAnsi="Arial" w:cs="Arial"/>
          <w:sz w:val="24"/>
          <w:szCs w:val="24"/>
        </w:rPr>
        <w:t xml:space="preserve">, </w:t>
      </w:r>
      <w:r w:rsidRPr="00184DDE">
        <w:rPr>
          <w:rFonts w:ascii="Arial" w:hAnsi="Arial" w:cs="Arial"/>
          <w:b/>
          <w:sz w:val="24"/>
          <w:szCs w:val="24"/>
        </w:rPr>
        <w:t>A</w:t>
      </w:r>
      <w:r>
        <w:rPr>
          <w:rFonts w:ascii="Arial" w:hAnsi="Arial" w:cs="Arial"/>
          <w:b/>
          <w:sz w:val="24"/>
          <w:szCs w:val="24"/>
        </w:rPr>
        <w:t>nthony</w:t>
      </w:r>
      <w:r w:rsidRPr="00184DDE">
        <w:rPr>
          <w:rFonts w:ascii="Arial" w:hAnsi="Arial" w:cs="Arial"/>
          <w:b/>
          <w:sz w:val="24"/>
          <w:szCs w:val="24"/>
        </w:rPr>
        <w:t xml:space="preserve"> P Khawaja</w:t>
      </w:r>
      <w:r w:rsidR="00583108" w:rsidRPr="00583108">
        <w:rPr>
          <w:rFonts w:ascii="Arial" w:hAnsi="Arial" w:cs="Arial"/>
          <w:b/>
          <w:sz w:val="24"/>
          <w:szCs w:val="24"/>
          <w:vertAlign w:val="superscript"/>
        </w:rPr>
        <w:t>5</w:t>
      </w:r>
      <w:r>
        <w:rPr>
          <w:rFonts w:ascii="Arial" w:hAnsi="Arial" w:cs="Arial"/>
          <w:sz w:val="24"/>
          <w:szCs w:val="24"/>
        </w:rPr>
        <w:t xml:space="preserve">, </w:t>
      </w:r>
      <w:r>
        <w:rPr>
          <w:rFonts w:ascii="Arial" w:hAnsi="Arial" w:cs="Arial"/>
          <w:b/>
          <w:sz w:val="24"/>
          <w:szCs w:val="24"/>
        </w:rPr>
        <w:t>Richard A</w:t>
      </w:r>
      <w:r w:rsidRPr="00CE4A4E">
        <w:rPr>
          <w:rFonts w:ascii="Arial" w:hAnsi="Arial" w:cs="Arial"/>
          <w:b/>
          <w:sz w:val="24"/>
          <w:szCs w:val="24"/>
        </w:rPr>
        <w:t xml:space="preserve"> Watts</w:t>
      </w:r>
      <w:r w:rsidRPr="00DD56F5">
        <w:rPr>
          <w:rFonts w:ascii="Arial" w:hAnsi="Arial" w:cs="Arial"/>
          <w:sz w:val="24"/>
          <w:szCs w:val="24"/>
          <w:vertAlign w:val="superscript"/>
        </w:rPr>
        <w:t>1</w:t>
      </w:r>
      <w:r w:rsidRPr="00E5294F">
        <w:rPr>
          <w:rFonts w:ascii="Arial" w:hAnsi="Arial" w:cs="Arial"/>
          <w:sz w:val="24"/>
          <w:szCs w:val="24"/>
        </w:rPr>
        <w:t>,</w:t>
      </w:r>
      <w:r>
        <w:rPr>
          <w:rFonts w:ascii="Arial" w:hAnsi="Arial" w:cs="Arial"/>
          <w:sz w:val="24"/>
          <w:szCs w:val="24"/>
          <w:vertAlign w:val="superscript"/>
        </w:rPr>
        <w:t xml:space="preserve"> </w:t>
      </w:r>
      <w:r>
        <w:rPr>
          <w:rFonts w:ascii="Arial" w:hAnsi="Arial" w:cs="Arial"/>
          <w:b/>
          <w:sz w:val="24"/>
          <w:szCs w:val="24"/>
        </w:rPr>
        <w:t>David C Broadway</w:t>
      </w:r>
      <w:r w:rsidR="00583108">
        <w:rPr>
          <w:rFonts w:ascii="Arial" w:hAnsi="Arial" w:cs="Arial"/>
          <w:sz w:val="24"/>
          <w:szCs w:val="24"/>
          <w:vertAlign w:val="superscript"/>
        </w:rPr>
        <w:t>6</w:t>
      </w:r>
      <w:r w:rsidRPr="00E5294F">
        <w:rPr>
          <w:rFonts w:ascii="Arial" w:hAnsi="Arial" w:cs="Arial"/>
          <w:sz w:val="24"/>
          <w:szCs w:val="24"/>
        </w:rPr>
        <w:t>,</w:t>
      </w:r>
      <w:r>
        <w:rPr>
          <w:rFonts w:ascii="Arial" w:hAnsi="Arial" w:cs="Arial"/>
          <w:sz w:val="24"/>
          <w:szCs w:val="24"/>
        </w:rPr>
        <w:t xml:space="preserve"> </w:t>
      </w:r>
      <w:r>
        <w:rPr>
          <w:rFonts w:ascii="Arial" w:hAnsi="Arial" w:cs="Arial"/>
          <w:b/>
          <w:sz w:val="24"/>
          <w:szCs w:val="24"/>
        </w:rPr>
        <w:t>Shabina Hayat</w:t>
      </w:r>
      <w:r>
        <w:rPr>
          <w:rFonts w:ascii="Arial" w:hAnsi="Arial" w:cs="Arial"/>
          <w:sz w:val="24"/>
          <w:szCs w:val="24"/>
          <w:vertAlign w:val="superscript"/>
        </w:rPr>
        <w:t>5</w:t>
      </w:r>
      <w:r w:rsidRPr="00DD56F5">
        <w:rPr>
          <w:rFonts w:ascii="Arial" w:hAnsi="Arial" w:cs="Arial"/>
          <w:sz w:val="24"/>
          <w:szCs w:val="24"/>
        </w:rPr>
        <w:t xml:space="preserve">, </w:t>
      </w:r>
      <w:r>
        <w:rPr>
          <w:rFonts w:ascii="Arial" w:hAnsi="Arial" w:cs="Arial"/>
          <w:b/>
          <w:sz w:val="24"/>
          <w:szCs w:val="24"/>
        </w:rPr>
        <w:t>Robert Luben</w:t>
      </w:r>
      <w:r>
        <w:rPr>
          <w:rFonts w:ascii="Arial" w:hAnsi="Arial" w:cs="Arial"/>
          <w:sz w:val="24"/>
          <w:szCs w:val="24"/>
          <w:vertAlign w:val="superscript"/>
        </w:rPr>
        <w:t>5</w:t>
      </w:r>
      <w:r w:rsidRPr="00DD56F5">
        <w:rPr>
          <w:rFonts w:ascii="Arial" w:hAnsi="Arial" w:cs="Arial"/>
          <w:sz w:val="24"/>
          <w:szCs w:val="24"/>
        </w:rPr>
        <w:t xml:space="preserve">, </w:t>
      </w:r>
      <w:r w:rsidRPr="002E5EA1">
        <w:rPr>
          <w:rFonts w:ascii="Arial" w:hAnsi="Arial" w:cs="Arial"/>
          <w:b/>
          <w:sz w:val="24"/>
          <w:szCs w:val="24"/>
        </w:rPr>
        <w:t>Sarah A Barman</w:t>
      </w:r>
      <w:r w:rsidRPr="002E5EA1">
        <w:rPr>
          <w:rFonts w:ascii="Arial" w:hAnsi="Arial" w:cs="Arial"/>
          <w:sz w:val="24"/>
          <w:szCs w:val="24"/>
          <w:vertAlign w:val="superscript"/>
        </w:rPr>
        <w:t>2</w:t>
      </w:r>
      <w:r>
        <w:rPr>
          <w:rFonts w:ascii="Arial" w:hAnsi="Arial" w:cs="Arial"/>
          <w:sz w:val="24"/>
          <w:szCs w:val="24"/>
        </w:rPr>
        <w:t xml:space="preserve">, </w:t>
      </w:r>
      <w:r w:rsidRPr="002E5EA1">
        <w:rPr>
          <w:rFonts w:ascii="Arial" w:hAnsi="Arial" w:cs="Arial"/>
          <w:b/>
          <w:sz w:val="24"/>
          <w:szCs w:val="24"/>
        </w:rPr>
        <w:t>Chris</w:t>
      </w:r>
      <w:r w:rsidR="00583108">
        <w:rPr>
          <w:rFonts w:ascii="Arial" w:hAnsi="Arial" w:cs="Arial"/>
          <w:b/>
          <w:sz w:val="24"/>
          <w:szCs w:val="24"/>
        </w:rPr>
        <w:t>topher</w:t>
      </w:r>
      <w:r w:rsidRPr="002E5EA1">
        <w:rPr>
          <w:rFonts w:ascii="Arial" w:hAnsi="Arial" w:cs="Arial"/>
          <w:b/>
          <w:sz w:val="24"/>
          <w:szCs w:val="24"/>
        </w:rPr>
        <w:t xml:space="preserve"> G Owen</w:t>
      </w:r>
      <w:r w:rsidRPr="002E5EA1">
        <w:rPr>
          <w:rFonts w:ascii="Arial" w:hAnsi="Arial" w:cs="Arial"/>
          <w:sz w:val="24"/>
          <w:szCs w:val="24"/>
          <w:vertAlign w:val="superscript"/>
        </w:rPr>
        <w:t>3</w:t>
      </w:r>
      <w:r>
        <w:rPr>
          <w:rFonts w:ascii="Arial" w:hAnsi="Arial" w:cs="Arial"/>
          <w:sz w:val="24"/>
          <w:szCs w:val="24"/>
        </w:rPr>
        <w:t xml:space="preserve">, </w:t>
      </w:r>
      <w:r>
        <w:rPr>
          <w:rFonts w:ascii="Arial" w:hAnsi="Arial" w:cs="Arial"/>
          <w:b/>
          <w:sz w:val="24"/>
          <w:szCs w:val="24"/>
        </w:rPr>
        <w:t>KT Khaw</w:t>
      </w:r>
      <w:r>
        <w:rPr>
          <w:rFonts w:ascii="Arial" w:hAnsi="Arial" w:cs="Arial"/>
          <w:sz w:val="24"/>
          <w:szCs w:val="24"/>
          <w:vertAlign w:val="superscript"/>
        </w:rPr>
        <w:t>6</w:t>
      </w:r>
      <w:r>
        <w:rPr>
          <w:rFonts w:ascii="Arial" w:hAnsi="Arial" w:cs="Arial"/>
          <w:sz w:val="24"/>
          <w:szCs w:val="24"/>
        </w:rPr>
        <w:t xml:space="preserve">, </w:t>
      </w:r>
      <w:r>
        <w:rPr>
          <w:rFonts w:ascii="Arial" w:hAnsi="Arial" w:cs="Arial"/>
          <w:b/>
          <w:sz w:val="24"/>
          <w:szCs w:val="24"/>
        </w:rPr>
        <w:t>Paul</w:t>
      </w:r>
      <w:r w:rsidRPr="00E5294F">
        <w:rPr>
          <w:rFonts w:ascii="Arial" w:hAnsi="Arial" w:cs="Arial"/>
          <w:b/>
          <w:sz w:val="24"/>
          <w:szCs w:val="24"/>
        </w:rPr>
        <w:t xml:space="preserve"> J </w:t>
      </w:r>
      <w:r>
        <w:rPr>
          <w:rFonts w:ascii="Arial" w:hAnsi="Arial" w:cs="Arial"/>
          <w:b/>
          <w:sz w:val="24"/>
          <w:szCs w:val="24"/>
        </w:rPr>
        <w:t>Foster</w:t>
      </w:r>
      <w:r w:rsidR="00583108">
        <w:rPr>
          <w:rFonts w:ascii="Arial" w:hAnsi="Arial" w:cs="Arial"/>
          <w:sz w:val="24"/>
          <w:szCs w:val="24"/>
          <w:vertAlign w:val="superscript"/>
        </w:rPr>
        <w:t>7</w:t>
      </w:r>
      <w:r>
        <w:rPr>
          <w:rFonts w:ascii="Arial" w:hAnsi="Arial" w:cs="Arial"/>
          <w:sz w:val="24"/>
          <w:szCs w:val="24"/>
          <w:vertAlign w:val="superscript"/>
        </w:rPr>
        <w:t>&amp;</w:t>
      </w:r>
      <w:r w:rsidR="000619E6">
        <w:rPr>
          <w:rFonts w:ascii="Arial" w:hAnsi="Arial" w:cs="Arial"/>
          <w:sz w:val="24"/>
          <w:szCs w:val="24"/>
          <w:vertAlign w:val="superscript"/>
        </w:rPr>
        <w:t>8</w:t>
      </w:r>
      <w:r w:rsidRPr="00DD56F5">
        <w:rPr>
          <w:rFonts w:ascii="Arial" w:hAnsi="Arial" w:cs="Arial"/>
          <w:sz w:val="24"/>
          <w:szCs w:val="24"/>
        </w:rPr>
        <w:t>.</w:t>
      </w:r>
    </w:p>
    <w:p w:rsidR="00FB710C" w:rsidRDefault="00FB710C" w:rsidP="00FB710C">
      <w:r w:rsidRPr="001C239B">
        <w:rPr>
          <w:vertAlign w:val="superscript"/>
        </w:rPr>
        <w:t>1</w:t>
      </w:r>
      <w:r w:rsidR="00AE62BC">
        <w:t xml:space="preserve">Centre for Epidemiology </w:t>
      </w:r>
      <w:proofErr w:type="gramStart"/>
      <w:r w:rsidR="00AE62BC">
        <w:t>Versus</w:t>
      </w:r>
      <w:proofErr w:type="gramEnd"/>
      <w:r w:rsidR="00AE62BC">
        <w:t xml:space="preserve"> Arthritis, N</w:t>
      </w:r>
      <w:r w:rsidRPr="001C239B">
        <w:t xml:space="preserve">orwich Medical School, University of East Anglia, Norwich, UNITED KINGDOM. </w:t>
      </w:r>
    </w:p>
    <w:p w:rsidR="00FB710C" w:rsidRDefault="00FB710C" w:rsidP="00FB710C">
      <w:r w:rsidRPr="002E5EA1">
        <w:rPr>
          <w:vertAlign w:val="superscript"/>
        </w:rPr>
        <w:t>2</w:t>
      </w:r>
      <w:r>
        <w:t xml:space="preserve">School of Computing and Information Systems, Kingston University, Surrey KT1 2EE, </w:t>
      </w:r>
      <w:r w:rsidRPr="001C239B">
        <w:t>UNITED KINGDOM.</w:t>
      </w:r>
    </w:p>
    <w:p w:rsidR="00FB710C" w:rsidRDefault="00FB710C" w:rsidP="00FB710C">
      <w:r w:rsidRPr="002E5EA1">
        <w:rPr>
          <w:vertAlign w:val="superscript"/>
        </w:rPr>
        <w:t>3</w:t>
      </w:r>
      <w:r>
        <w:t>Population Health Research Institute, St. George's, University of London, London SW17 0RE, United Kingdom.</w:t>
      </w:r>
    </w:p>
    <w:p w:rsidR="00FB710C" w:rsidRPr="001C239B" w:rsidRDefault="00583108" w:rsidP="00FB710C">
      <w:r w:rsidRPr="00583108">
        <w:rPr>
          <w:vertAlign w:val="superscript"/>
        </w:rPr>
        <w:t>4</w:t>
      </w:r>
      <w:r w:rsidR="00FB710C">
        <w:t xml:space="preserve">School of Medicine, Dentistry and Biomedical Sciences, Queen’s University Belfast, Belfast, </w:t>
      </w:r>
      <w:r w:rsidR="00FB710C" w:rsidRPr="001C239B">
        <w:t>UNITED KINGDOM.</w:t>
      </w:r>
    </w:p>
    <w:p w:rsidR="00FB710C" w:rsidRPr="001C239B" w:rsidRDefault="00583108" w:rsidP="00FB710C">
      <w:r w:rsidRPr="00583108">
        <w:rPr>
          <w:vertAlign w:val="superscript"/>
        </w:rPr>
        <w:t>5</w:t>
      </w:r>
      <w:r w:rsidR="00FB710C" w:rsidRPr="001C239B">
        <w:t xml:space="preserve">Department of Public Health and Primary Care, Institute of Public Health, University of Cambridge School of Clinical Medicine, Cambridge, UNITED KINGDOM. </w:t>
      </w:r>
    </w:p>
    <w:p w:rsidR="00FB710C" w:rsidRPr="001C239B" w:rsidRDefault="00583108" w:rsidP="00FB710C">
      <w:r w:rsidRPr="00583108">
        <w:rPr>
          <w:vertAlign w:val="superscript"/>
        </w:rPr>
        <w:t>6</w:t>
      </w:r>
      <w:r w:rsidR="00FB710C" w:rsidRPr="001C239B">
        <w:t>Department of Ophthalmology, Norfolk &amp; Norwich University Hospital, Norwich, UNITED KINGDOM.</w:t>
      </w:r>
    </w:p>
    <w:p w:rsidR="00FB710C" w:rsidRDefault="00583108" w:rsidP="00FB710C">
      <w:r>
        <w:rPr>
          <w:vertAlign w:val="superscript"/>
        </w:rPr>
        <w:t>7</w:t>
      </w:r>
      <w:r>
        <w:t xml:space="preserve">Intergrative </w:t>
      </w:r>
      <w:r w:rsidR="00FB710C" w:rsidRPr="001C239B">
        <w:t>Epidemiology</w:t>
      </w:r>
      <w:r>
        <w:t xml:space="preserve"> Research Group</w:t>
      </w:r>
      <w:r w:rsidR="00FB710C" w:rsidRPr="001C239B">
        <w:t>, UCL Institute of Ophthalmology, London, UNITED KINGDOM.</w:t>
      </w:r>
    </w:p>
    <w:p w:rsidR="00583108" w:rsidRDefault="00583108" w:rsidP="00583108">
      <w:r>
        <w:t>8</w:t>
      </w:r>
      <w:r w:rsidRPr="001C239B">
        <w:t xml:space="preserve">NIHR Biomedical Research Centre, </w:t>
      </w:r>
      <w:proofErr w:type="spellStart"/>
      <w:r w:rsidRPr="001C239B">
        <w:t>Moorfields</w:t>
      </w:r>
      <w:proofErr w:type="spellEnd"/>
      <w:r w:rsidRPr="001C239B">
        <w:t xml:space="preserve"> Eye Hospital NHS Foundation Trust and UCL Institute of Ophthalmology, London, UNITED KINGDOM.</w:t>
      </w:r>
    </w:p>
    <w:p w:rsidR="00583108" w:rsidRPr="001C239B" w:rsidRDefault="00583108" w:rsidP="00FB710C"/>
    <w:p w:rsidR="00FB710C" w:rsidRPr="00BF60E5" w:rsidRDefault="00FB710C" w:rsidP="00FB710C">
      <w:r w:rsidRPr="00BF60E5">
        <w:rPr>
          <w:b/>
        </w:rPr>
        <w:t>Corresponding author:</w:t>
      </w:r>
      <w:r w:rsidRPr="00BF60E5">
        <w:t xml:space="preserve"> Dr Max Yates,</w:t>
      </w:r>
      <w:r w:rsidR="00BF341A">
        <w:t xml:space="preserve"> Centre for Epidemiology Versus Arthritis,</w:t>
      </w:r>
      <w:r w:rsidRPr="00BF60E5">
        <w:t xml:space="preserve"> Norwich Medical School, Floor 2, Bob Champion Research and Education Building, Norwich Research Park, University of East Anglia, NR4 7UQ. Email </w:t>
      </w:r>
      <w:hyperlink r:id="rId5" w:history="1">
        <w:r w:rsidRPr="00BF60E5">
          <w:rPr>
            <w:rStyle w:val="Hyperlink"/>
          </w:rPr>
          <w:t>m.yates@uea.ac.uk</w:t>
        </w:r>
      </w:hyperlink>
      <w:r w:rsidRPr="00BF60E5">
        <w:t xml:space="preserve"> Telephone ++44 1603 59 3570</w:t>
      </w:r>
    </w:p>
    <w:p w:rsidR="00FB710C" w:rsidRPr="00BF60E5" w:rsidRDefault="00FB710C" w:rsidP="00FB710C"/>
    <w:p w:rsidR="00FB710C" w:rsidRDefault="00FB710C" w:rsidP="00FB710C">
      <w:r w:rsidRPr="00BF60E5">
        <w:rPr>
          <w:b/>
        </w:rPr>
        <w:t>Key words:</w:t>
      </w:r>
      <w:r w:rsidRPr="00BF60E5">
        <w:t xml:space="preserve"> Giant cell arteritis, polymyalgia rheumatica, retinal morphology</w:t>
      </w:r>
    </w:p>
    <w:p w:rsidR="00FB710C" w:rsidRPr="00BF60E5" w:rsidRDefault="00FB710C" w:rsidP="00FB710C">
      <w:r w:rsidRPr="00BF60E5">
        <w:rPr>
          <w:b/>
        </w:rPr>
        <w:t>Competing interests:</w:t>
      </w:r>
      <w:r w:rsidRPr="00BF60E5">
        <w:t xml:space="preserve"> none declared.</w:t>
      </w:r>
    </w:p>
    <w:p w:rsidR="00FB710C" w:rsidRPr="00BF60E5" w:rsidRDefault="00FB710C" w:rsidP="00FB710C">
      <w:pPr>
        <w:rPr>
          <w:b/>
        </w:rPr>
      </w:pPr>
      <w:r w:rsidRPr="00BF60E5">
        <w:rPr>
          <w:b/>
        </w:rPr>
        <w:t xml:space="preserve">Word Count: </w:t>
      </w:r>
    </w:p>
    <w:p w:rsidR="00583108" w:rsidRPr="00BF60E5" w:rsidRDefault="00FB710C" w:rsidP="00583108">
      <w:r w:rsidRPr="00BF60E5">
        <w:rPr>
          <w:b/>
        </w:rPr>
        <w:t>Funding information:</w:t>
      </w:r>
      <w:r w:rsidRPr="00BF60E5">
        <w:t xml:space="preserve"> EPIC-Norfolk infrastructure and core functions are supported by grants from the Medical Research Council (G1000143) and Cancer Research UK (C864/A14136). The clinic for the third health examination was funded by Research into </w:t>
      </w:r>
      <w:proofErr w:type="gramStart"/>
      <w:r w:rsidRPr="00BF60E5">
        <w:t>Ageing</w:t>
      </w:r>
      <w:proofErr w:type="gramEnd"/>
      <w:r w:rsidRPr="00BF60E5">
        <w:t xml:space="preserve"> (262). </w:t>
      </w:r>
      <w:r w:rsidR="00583108" w:rsidRPr="008D18B8">
        <w:t>The retinal vessel morphometry work was supported by the Medical Research Council Population and Systems Medicine Board (MR/L02005X/1) and British Heart Foundation (PG/15/101/31889).</w:t>
      </w:r>
      <w:r w:rsidR="00583108">
        <w:t xml:space="preserve">  Dr Yates was Clinical Research Fellow Versus Arthritis. </w:t>
      </w:r>
      <w:r w:rsidR="00583108" w:rsidRPr="00BF60E5">
        <w:t xml:space="preserve">Mr Khawaja is a Wellcome Trust Clinical Research Fellow. </w:t>
      </w:r>
      <w:r w:rsidR="00583108">
        <w:t>Prof</w:t>
      </w:r>
      <w:r w:rsidR="00583108" w:rsidRPr="00BF60E5">
        <w:t xml:space="preserve"> Foster has received additional support from the Richard Desmond Charitable Trust (via Fight for Sight) and the </w:t>
      </w:r>
      <w:r w:rsidR="00583108" w:rsidRPr="00BF60E5">
        <w:lastRenderedPageBreak/>
        <w:t xml:space="preserve">Department for Health through the award made by the National Institute for Health Research to </w:t>
      </w:r>
      <w:proofErr w:type="spellStart"/>
      <w:r w:rsidR="00583108" w:rsidRPr="00BF60E5">
        <w:t>Moorfields</w:t>
      </w:r>
      <w:proofErr w:type="spellEnd"/>
      <w:r w:rsidR="00583108" w:rsidRPr="00BF60E5">
        <w:t xml:space="preserve"> Eye Hospital and the UCL Institute of Ophthalmology for a specialist Biomedical Research Centre for Ophthalmology. None of the funding organisations had a role in the design or conduct of the research. </w:t>
      </w:r>
    </w:p>
    <w:p w:rsidR="00FB710C" w:rsidRPr="00BF60E5" w:rsidRDefault="00FB710C" w:rsidP="00FB710C">
      <w:r w:rsidRPr="00BF60E5">
        <w:rPr>
          <w:b/>
        </w:rPr>
        <w:t>Ethical approval information:</w:t>
      </w:r>
      <w:r w:rsidRPr="00BF60E5">
        <w:t xml:space="preserve"> The study was approved by the Norfolk Local Research Ethics Committee. Participants consented to the study and access to their records was granted. The procedures followed were in accordance with the ethical standards of the responsible committee on human experimentation and with the Helsinki Declaration of 1975, as revised in 1983.</w:t>
      </w:r>
    </w:p>
    <w:p w:rsidR="00FB710C" w:rsidRDefault="00FB710C" w:rsidP="00FB710C">
      <w:r w:rsidRPr="00BF60E5">
        <w:rPr>
          <w:rStyle w:val="fn-label"/>
          <w:b/>
        </w:rPr>
        <w:t>Data sharing statement</w:t>
      </w:r>
      <w:r>
        <w:t>: All data requests and collaborations are reviewed and assessed by the EPIC-Norfolk Management Committee.</w:t>
      </w:r>
    </w:p>
    <w:p w:rsidR="00822BFF" w:rsidRDefault="00822BFF">
      <w:pPr>
        <w:rPr>
          <w:b/>
        </w:rPr>
      </w:pPr>
      <w:r>
        <w:rPr>
          <w:b/>
        </w:rPr>
        <w:br w:type="page"/>
      </w:r>
    </w:p>
    <w:p w:rsidR="00822BFF" w:rsidRDefault="00822BFF" w:rsidP="00822BFF">
      <w:pPr>
        <w:rPr>
          <w:b/>
        </w:rPr>
      </w:pPr>
      <w:r>
        <w:rPr>
          <w:b/>
        </w:rPr>
        <w:lastRenderedPageBreak/>
        <w:t>Dear Edit</w:t>
      </w:r>
      <w:bookmarkStart w:id="0" w:name="_GoBack"/>
      <w:bookmarkEnd w:id="0"/>
      <w:r>
        <w:rPr>
          <w:b/>
        </w:rPr>
        <w:t>or</w:t>
      </w:r>
    </w:p>
    <w:p w:rsidR="00822BFF" w:rsidRDefault="00956C24" w:rsidP="00822BFF">
      <w:r>
        <w:t>Both p</w:t>
      </w:r>
      <w:r w:rsidR="00822BFF">
        <w:t>olymyalgia rheumatica (PMR) and giant cell arteritis</w:t>
      </w:r>
      <w:r w:rsidR="007D5208">
        <w:t xml:space="preserve"> (GCA)</w:t>
      </w:r>
      <w:r w:rsidR="00822BFF">
        <w:t xml:space="preserve"> </w:t>
      </w:r>
      <w:r w:rsidR="00122244">
        <w:t xml:space="preserve">have been </w:t>
      </w:r>
      <w:r w:rsidR="00023E11">
        <w:t>associated with</w:t>
      </w:r>
      <w:r w:rsidR="00945CCB">
        <w:t xml:space="preserve"> </w:t>
      </w:r>
      <w:r w:rsidR="00122244">
        <w:t>an increased future risk of cardio</w:t>
      </w:r>
      <w:r w:rsidR="004B414C">
        <w:t xml:space="preserve">vascular disease </w:t>
      </w:r>
      <w:r w:rsidR="00517A11">
        <w:fldChar w:fldCharType="begin"/>
      </w:r>
      <w:r w:rsidR="00517A11">
        <w:instrText xml:space="preserve"> ADDIN EN.CITE &lt;EndNote&gt;&lt;Cite&gt;&lt;Author&gt;Ungprasert&lt;/Author&gt;&lt;Year&gt;2017&lt;/Year&gt;&lt;RecNum&gt;4605&lt;/RecNum&gt;&lt;DisplayText&gt;(1)&lt;/DisplayText&gt;&lt;record&gt;&lt;rec-number&gt;4605&lt;/rec-number&gt;&lt;foreign-keys&gt;&lt;key app="EN" db-id="ssfzf5wewsx5dbee29qpw0tbav0r5dtzpwzx" timestamp="1500634754"&gt;4605&lt;/key&gt;&lt;/foreign-keys&gt;&lt;ref-type name="Journal Article"&gt;17&lt;/ref-type&gt;&lt;contributors&gt;&lt;authors&gt;&lt;author&gt;Ungprasert, P.&lt;/author&gt;&lt;author&gt;Koster, M. J.&lt;/author&gt;&lt;author&gt;Warrington, K. J.&lt;/author&gt;&lt;author&gt;Matteson, E. L.&lt;/author&gt;&lt;/authors&gt;&lt;/contributors&gt;&lt;auth-address&gt;Division of Rheumatology, Department of Internal Medicine, Mayo Clinic, 200 First Street SW, Rochester, MN, 55905, USA. p.ungprasert@gmail.com.&amp;#xD;Division of Rheumatology, Department of Medicine, Siriraj Hospital, Mahidol University, Bangkok, Thailand. p.ungprasert@gmail.com.&amp;#xD;Division of Rheumatology, Department of Internal Medicine, Mayo Clinic, 200 First Street SW, Rochester, MN, 55905, USA.&amp;#xD;Division of Epidemiology, Department of Health Sciences Research, Mayo Clinic, Rochester, MN, 55905, USA.&lt;/auth-address&gt;&lt;titles&gt;&lt;title&gt;Polymyalgia rheumatica and risk of coronary artery disease: a systematic review and meta-analysis of observational studies&lt;/title&gt;&lt;secondary-title&gt;Rheumatol Int&lt;/secondary-title&gt;&lt;alt-title&gt;Rheumatology international&lt;/alt-title&gt;&lt;/titles&gt;&lt;alt-periodical&gt;&lt;full-title&gt;Rheumatology International&lt;/full-title&gt;&lt;/alt-periodical&gt;&lt;pages&gt;143-149&lt;/pages&gt;&lt;volume&gt;37&lt;/volume&gt;&lt;number&gt;1&lt;/number&gt;&lt;edition&gt;2016/09/01&lt;/edition&gt;&lt;keywords&gt;&lt;keyword&gt;Cardiovascular disease&lt;/keyword&gt;&lt;keyword&gt;Epidemiology&lt;/keyword&gt;&lt;keyword&gt;Meta-analysis&lt;/keyword&gt;&lt;keyword&gt;Polymyalgia rheumatica&lt;/keyword&gt;&lt;/keywords&gt;&lt;dates&gt;&lt;year&gt;2017&lt;/year&gt;&lt;pub-dates&gt;&lt;date&gt;Jan&lt;/date&gt;&lt;/pub-dates&gt;&lt;/dates&gt;&lt;isbn&gt;0172-8172&lt;/isbn&gt;&lt;accession-num&gt;27577940&lt;/accession-num&gt;&lt;urls&gt;&lt;/urls&gt;&lt;electronic-resource-num&gt;10.1007/s00296-016-3557-5&lt;/electronic-resource-num&gt;&lt;remote-database-provider&gt;NLM&lt;/remote-database-provider&gt;&lt;language&gt;eng&lt;/language&gt;&lt;/record&gt;&lt;/Cite&gt;&lt;/EndNote&gt;</w:instrText>
      </w:r>
      <w:r w:rsidR="00517A11">
        <w:fldChar w:fldCharType="separate"/>
      </w:r>
      <w:r w:rsidR="00517A11">
        <w:rPr>
          <w:noProof/>
        </w:rPr>
        <w:t>(1)</w:t>
      </w:r>
      <w:r w:rsidR="00517A11">
        <w:fldChar w:fldCharType="end"/>
      </w:r>
      <w:r w:rsidR="004B414C">
        <w:t xml:space="preserve">. </w:t>
      </w:r>
      <w:r w:rsidR="00945CCB">
        <w:t xml:space="preserve">However, it remains </w:t>
      </w:r>
      <w:r w:rsidR="00122244">
        <w:t>uncertain whether this is a consequence of inflammatory disease or relates to a common underlying mechanism. Retina</w:t>
      </w:r>
      <w:r w:rsidR="00CE7CBE">
        <w:t>l</w:t>
      </w:r>
      <w:r w:rsidR="00FB710C">
        <w:t xml:space="preserve"> vascular </w:t>
      </w:r>
      <w:r w:rsidR="00945CCB">
        <w:t xml:space="preserve">images are </w:t>
      </w:r>
      <w:proofErr w:type="gramStart"/>
      <w:r w:rsidR="00945CCB">
        <w:t>a sensitiv</w:t>
      </w:r>
      <w:r w:rsidR="00187B04">
        <w:t>e</w:t>
      </w:r>
      <w:proofErr w:type="gramEnd"/>
      <w:r w:rsidR="00FB710C">
        <w:t xml:space="preserve"> measure</w:t>
      </w:r>
      <w:r w:rsidR="00FC7B7D">
        <w:t>s</w:t>
      </w:r>
      <w:r w:rsidR="00FB710C">
        <w:t xml:space="preserve"> of vascular </w:t>
      </w:r>
      <w:r w:rsidR="00FC7B7D">
        <w:t>health, which</w:t>
      </w:r>
      <w:r w:rsidR="00122244">
        <w:t xml:space="preserve"> </w:t>
      </w:r>
      <w:r w:rsidR="00D62EC6">
        <w:t xml:space="preserve">are emerging as important </w:t>
      </w:r>
      <w:r w:rsidR="00122244">
        <w:t xml:space="preserve">biomarkers of </w:t>
      </w:r>
      <w:r w:rsidR="00D62EC6">
        <w:t xml:space="preserve">future </w:t>
      </w:r>
      <w:r w:rsidR="00122244">
        <w:t>cardiovascular risk</w:t>
      </w:r>
      <w:r w:rsidR="004904E2">
        <w:t xml:space="preserve"> with changes affecting arterioles and venules</w:t>
      </w:r>
      <w:r w:rsidR="00122244">
        <w:t xml:space="preserve"> </w:t>
      </w:r>
      <w:r w:rsidR="00A04990">
        <w:fldChar w:fldCharType="begin">
          <w:fldData xml:space="preserve">PEVuZE5vdGU+PENpdGU+PEF1dGhvcj5Pd2VuPC9BdXRob3I+PFllYXI+MjAxODwvWWVhcj48UmVj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</w:fldData>
        </w:fldChar>
      </w:r>
      <w:r w:rsidR="00517A11">
        <w:instrText xml:space="preserve"> ADDIN EN.CITE </w:instrText>
      </w:r>
      <w:r w:rsidR="00517A11">
        <w:fldChar w:fldCharType="begin">
          <w:fldData xml:space="preserve">PEVuZE5vdGU+PENpdGU+PEF1dGhvcj5Pd2VuPC9BdXRob3I+PFllYXI+MjAxODwvWWVhcj48UmVj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</w:fldData>
        </w:fldChar>
      </w:r>
      <w:r w:rsidR="00517A11">
        <w:instrText xml:space="preserve"> ADDIN EN.CITE.DATA </w:instrText>
      </w:r>
      <w:r w:rsidR="00517A11">
        <w:fldChar w:fldCharType="end"/>
      </w:r>
      <w:r w:rsidR="00A04990">
        <w:fldChar w:fldCharType="separate"/>
      </w:r>
      <w:r w:rsidR="00517A11">
        <w:rPr>
          <w:noProof/>
        </w:rPr>
        <w:t>(2)</w:t>
      </w:r>
      <w:r w:rsidR="00A04990">
        <w:fldChar w:fldCharType="end"/>
      </w:r>
      <w:r w:rsidR="00FB710C">
        <w:t>.</w:t>
      </w:r>
      <w:r w:rsidR="00D62EC6">
        <w:t xml:space="preserve"> </w:t>
      </w:r>
      <w:r w:rsidR="00FC7B7D">
        <w:t>In this study, we assess whether</w:t>
      </w:r>
      <w:r w:rsidR="00D62EC6">
        <w:t xml:space="preserve"> </w:t>
      </w:r>
      <w:r w:rsidR="00FC7B7D">
        <w:t>vasculometric features</w:t>
      </w:r>
      <w:r w:rsidR="00122244">
        <w:t xml:space="preserve"> </w:t>
      </w:r>
      <w:r w:rsidR="00D62EC6">
        <w:t xml:space="preserve">associated with </w:t>
      </w:r>
      <w:r w:rsidR="00FC7B7D">
        <w:t xml:space="preserve">CVD </w:t>
      </w:r>
      <w:r w:rsidR="00122244">
        <w:t xml:space="preserve">are </w:t>
      </w:r>
      <w:r w:rsidR="00D62EC6">
        <w:t xml:space="preserve">detectable </w:t>
      </w:r>
      <w:r w:rsidR="00122244">
        <w:t xml:space="preserve">prior to the onset of PMR </w:t>
      </w:r>
      <w:r w:rsidR="00D62EC6">
        <w:t>and GCA.</w:t>
      </w:r>
      <w:r w:rsidR="00122244">
        <w:t xml:space="preserve"> </w:t>
      </w:r>
    </w:p>
    <w:p w:rsidR="001E385A" w:rsidRDefault="000F55AE" w:rsidP="001E385A">
      <w:r>
        <w:t>We analysed</w:t>
      </w:r>
      <w:r w:rsidR="00D62EC6">
        <w:t xml:space="preserve"> data from initially healthy subjects enrolled in</w:t>
      </w:r>
      <w:r w:rsidR="00822BFF">
        <w:t xml:space="preserve"> the EPIC-Norfolk</w:t>
      </w:r>
      <w:r w:rsidR="00FB710C">
        <w:t xml:space="preserve"> </w:t>
      </w:r>
      <w:r w:rsidR="00D62EC6">
        <w:t>S</w:t>
      </w:r>
      <w:r w:rsidR="00822BFF">
        <w:t>tudy, a prospective population-based cohort</w:t>
      </w:r>
      <w:r w:rsidR="00B31902">
        <w:t xml:space="preserve"> which enrolled participants between the years 1993 to 1997</w:t>
      </w:r>
      <w:r w:rsidR="00822BFF">
        <w:t xml:space="preserve"> </w:t>
      </w:r>
      <w:r w:rsidR="00822BFF">
        <w:fldChar w:fldCharType="begin">
          <w:fldData xml:space="preserve">PEVuZE5vdGU+PENpdGU+PEF1dGhvcj5EYXk8L0F1dGhvcj48WWVhcj4xOTk5PC9ZZWFyPjxSZWNO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</w:fldData>
        </w:fldChar>
      </w:r>
      <w:r w:rsidR="00517A11">
        <w:instrText xml:space="preserve"> ADDIN EN.CITE </w:instrText>
      </w:r>
      <w:r w:rsidR="00517A11">
        <w:fldChar w:fldCharType="begin">
          <w:fldData xml:space="preserve">PEVuZE5vdGU+PENpdGU+PEF1dGhvcj5EYXk8L0F1dGhvcj48WWVhcj4xOTk5PC9ZZWFyPjxSZWNO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</w:fldData>
        </w:fldChar>
      </w:r>
      <w:r w:rsidR="00517A11">
        <w:instrText xml:space="preserve"> ADDIN EN.CITE.DATA </w:instrText>
      </w:r>
      <w:r w:rsidR="00517A11">
        <w:fldChar w:fldCharType="end"/>
      </w:r>
      <w:r w:rsidR="00822BFF">
        <w:fldChar w:fldCharType="separate"/>
      </w:r>
      <w:r w:rsidR="00517A11">
        <w:rPr>
          <w:noProof/>
        </w:rPr>
        <w:t>(3, 4)</w:t>
      </w:r>
      <w:r w:rsidR="00822BFF">
        <w:fldChar w:fldCharType="end"/>
      </w:r>
      <w:r w:rsidR="00822BFF">
        <w:t>.</w:t>
      </w:r>
      <w:r w:rsidR="00B31902">
        <w:t xml:space="preserve"> Digital photographs of the retinal fundus were taken of </w:t>
      </w:r>
      <w:r w:rsidR="00433532">
        <w:t xml:space="preserve">8,112 </w:t>
      </w:r>
      <w:r w:rsidR="00B31902">
        <w:t>participants between 2004 and 2011 using a TRC-NW6S non-</w:t>
      </w:r>
      <w:proofErr w:type="spellStart"/>
      <w:r w:rsidR="00B31902">
        <w:t>mydriatic</w:t>
      </w:r>
      <w:proofErr w:type="spellEnd"/>
      <w:r w:rsidR="00B31902">
        <w:t xml:space="preserve"> retinal camera and </w:t>
      </w:r>
      <w:proofErr w:type="spellStart"/>
      <w:r w:rsidR="00B31902">
        <w:t>IMAGEnet</w:t>
      </w:r>
      <w:proofErr w:type="spellEnd"/>
      <w:r w:rsidR="00B31902">
        <w:t xml:space="preserve"> Telemedicine System (Topcon Corporation, Tokyo</w:t>
      </w:r>
      <w:r w:rsidR="002F4685">
        <w:t>, Japan</w:t>
      </w:r>
      <w:r w:rsidR="00B31902">
        <w:t>) with a 10 megapixel Nikon D80 camera (Nikon Corporation, Tokyo</w:t>
      </w:r>
      <w:r w:rsidR="002F4685">
        <w:t>, Japan</w:t>
      </w:r>
      <w:r w:rsidR="00B31902">
        <w:t>).</w:t>
      </w:r>
      <w:r w:rsidR="007D5208">
        <w:t xml:space="preserve"> </w:t>
      </w:r>
      <w:r w:rsidR="00B31902">
        <w:t>Retinal v</w:t>
      </w:r>
      <w:r w:rsidR="001E385A">
        <w:t xml:space="preserve">essel widths were </w:t>
      </w:r>
      <w:r w:rsidR="00B31902">
        <w:t>measured</w:t>
      </w:r>
      <w:r w:rsidR="00D62EC6">
        <w:t xml:space="preserve"> </w:t>
      </w:r>
      <w:r w:rsidR="001E385A">
        <w:t xml:space="preserve">using the </w:t>
      </w:r>
      <w:proofErr w:type="gramStart"/>
      <w:r w:rsidR="001E385A">
        <w:t>QUARTZ  (</w:t>
      </w:r>
      <w:proofErr w:type="spellStart"/>
      <w:proofErr w:type="gramEnd"/>
      <w:r w:rsidR="001E385A">
        <w:t>QUantitative</w:t>
      </w:r>
      <w:proofErr w:type="spellEnd"/>
      <w:r w:rsidR="001E385A">
        <w:t xml:space="preserve"> Analysis of Retinal vessel Topology and </w:t>
      </w:r>
      <w:proofErr w:type="spellStart"/>
      <w:r w:rsidR="001E385A">
        <w:t>siZe</w:t>
      </w:r>
      <w:proofErr w:type="spellEnd"/>
      <w:r w:rsidR="001E385A">
        <w:t xml:space="preserve">) programme </w:t>
      </w:r>
      <w:r w:rsidR="001E385A">
        <w:fldChar w:fldCharType="begin">
          <w:fldData xml:space="preserve">PEVuZE5vdGU+PENpdGU+PEF1dGhvcj5XZWxpa2FsYTwvQXV0aG9yPjxZZWFyPjIwMTY8L1llYXI+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=
</w:fldData>
        </w:fldChar>
      </w:r>
      <w:r w:rsidR="00517A11">
        <w:instrText xml:space="preserve"> ADDIN EN.CITE </w:instrText>
      </w:r>
      <w:r w:rsidR="00517A11">
        <w:fldChar w:fldCharType="begin">
          <w:fldData xml:space="preserve">PEVuZE5vdGU+PENpdGU+PEF1dGhvcj5XZWxpa2FsYTwvQXV0aG9yPjxZZWFyPjIwMTY8L1llYXI+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=
</w:fldData>
        </w:fldChar>
      </w:r>
      <w:r w:rsidR="00517A11">
        <w:instrText xml:space="preserve"> ADDIN EN.CITE.DATA </w:instrText>
      </w:r>
      <w:r w:rsidR="00517A11">
        <w:fldChar w:fldCharType="end"/>
      </w:r>
      <w:r w:rsidR="001E385A">
        <w:fldChar w:fldCharType="separate"/>
      </w:r>
      <w:r w:rsidR="00517A11">
        <w:rPr>
          <w:noProof/>
        </w:rPr>
        <w:t>(5)</w:t>
      </w:r>
      <w:r w:rsidR="001E385A">
        <w:fldChar w:fldCharType="end"/>
      </w:r>
      <w:r w:rsidR="001E385A">
        <w:t xml:space="preserve">. The </w:t>
      </w:r>
      <w:r>
        <w:t xml:space="preserve">fully automated </w:t>
      </w:r>
      <w:r w:rsidR="004801AE">
        <w:t>algorithm</w:t>
      </w:r>
      <w:r w:rsidR="00B31902">
        <w:t xml:space="preserve"> </w:t>
      </w:r>
      <w:r w:rsidR="003A33F0">
        <w:t xml:space="preserve">uses an ensemble classifier of bagged decision trees to allocate vessels into arterioles and venules at 80% probability and </w:t>
      </w:r>
      <w:r w:rsidR="00D62EC6">
        <w:t xml:space="preserve">calculates </w:t>
      </w:r>
      <w:r w:rsidR="001E385A">
        <w:t xml:space="preserve">summary </w:t>
      </w:r>
      <w:r w:rsidR="00E850F8">
        <w:t xml:space="preserve">measures </w:t>
      </w:r>
      <w:r w:rsidR="001E385A">
        <w:t>for each participant with an average</w:t>
      </w:r>
      <w:r w:rsidR="00D62EC6">
        <w:t>d</w:t>
      </w:r>
      <w:r w:rsidR="00B31902">
        <w:t xml:space="preserve"> measure </w:t>
      </w:r>
      <w:r w:rsidR="001E385A">
        <w:t xml:space="preserve">between right and left eyes. </w:t>
      </w:r>
    </w:p>
    <w:p w:rsidR="00A04990" w:rsidRDefault="00A04990" w:rsidP="00822BFF">
      <w:r>
        <w:t>C</w:t>
      </w:r>
      <w:r w:rsidR="00822BFF" w:rsidRPr="0089193D">
        <w:t xml:space="preserve">ases </w:t>
      </w:r>
      <w:r w:rsidR="00822BFF">
        <w:t xml:space="preserve">of PMR and GCA </w:t>
      </w:r>
      <w:r w:rsidR="00822BFF" w:rsidRPr="0089193D">
        <w:t>were</w:t>
      </w:r>
      <w:r w:rsidR="00822BFF">
        <w:t xml:space="preserve"> identified by</w:t>
      </w:r>
      <w:r w:rsidR="004641FA">
        <w:t xml:space="preserve"> three methods</w:t>
      </w:r>
      <w:r w:rsidR="00822BFF">
        <w:t>: (</w:t>
      </w:r>
      <w:proofErr w:type="spellStart"/>
      <w:r w:rsidR="00822BFF">
        <w:t>i</w:t>
      </w:r>
      <w:proofErr w:type="spellEnd"/>
      <w:r w:rsidR="00822BFF">
        <w:t xml:space="preserve">) free text </w:t>
      </w:r>
      <w:r w:rsidR="00822BFF" w:rsidRPr="0089193D">
        <w:t>quest</w:t>
      </w:r>
      <w:r w:rsidR="00822BFF">
        <w:t xml:space="preserve">ionnaire </w:t>
      </w:r>
      <w:r w:rsidR="00822BFF" w:rsidRPr="0089193D">
        <w:t xml:space="preserve">responses at </w:t>
      </w:r>
      <w:r w:rsidR="007F6B1E">
        <w:t>enrolment</w:t>
      </w:r>
      <w:r w:rsidR="00822BFF" w:rsidRPr="0089193D">
        <w:t>,</w:t>
      </w:r>
      <w:r w:rsidR="004641FA">
        <w:t xml:space="preserve"> and thereafter,</w:t>
      </w:r>
      <w:r w:rsidR="00822BFF" w:rsidRPr="0089193D">
        <w:t xml:space="preserve"> 18 month</w:t>
      </w:r>
      <w:r w:rsidR="00822BFF">
        <w:t>s</w:t>
      </w:r>
      <w:r w:rsidR="00822BFF" w:rsidRPr="0089193D">
        <w:t xml:space="preserve">, </w:t>
      </w:r>
      <w:r w:rsidR="00822BFF">
        <w:t xml:space="preserve">3, </w:t>
      </w:r>
      <w:proofErr w:type="gramStart"/>
      <w:r w:rsidR="00822BFF">
        <w:t>10</w:t>
      </w:r>
      <w:proofErr w:type="gramEnd"/>
      <w:r w:rsidR="00822BFF">
        <w:t xml:space="preserve"> and 13 years; (ii) </w:t>
      </w:r>
      <w:r w:rsidR="00822BFF" w:rsidRPr="0089193D">
        <w:t xml:space="preserve">linkage </w:t>
      </w:r>
      <w:r w:rsidR="00822BFF">
        <w:t>to</w:t>
      </w:r>
      <w:r w:rsidR="00822BFF" w:rsidRPr="0089193D">
        <w:t xml:space="preserve"> hospital electronic discharge summaries</w:t>
      </w:r>
      <w:r w:rsidR="00822BFF">
        <w:t xml:space="preserve"> containing </w:t>
      </w:r>
      <w:r w:rsidR="00822BFF" w:rsidRPr="0089193D">
        <w:t xml:space="preserve">ICD codes </w:t>
      </w:r>
      <w:r w:rsidR="00822BFF">
        <w:t xml:space="preserve">(iii) </w:t>
      </w:r>
      <w:r w:rsidR="00822BFF" w:rsidRPr="0089193D">
        <w:t xml:space="preserve">linkage </w:t>
      </w:r>
      <w:r w:rsidR="00822BFF">
        <w:t>to</w:t>
      </w:r>
      <w:r w:rsidR="00822BFF" w:rsidRPr="0089193D">
        <w:t xml:space="preserve"> key word search</w:t>
      </w:r>
      <w:r w:rsidR="00822BFF">
        <w:t>es (</w:t>
      </w:r>
      <w:r w:rsidR="00822BFF">
        <w:rPr>
          <w:i/>
        </w:rPr>
        <w:t>polymyalgia or rheumatica or giant or arteritis)</w:t>
      </w:r>
      <w:r w:rsidR="00822BFF" w:rsidRPr="0089193D">
        <w:t xml:space="preserve"> </w:t>
      </w:r>
      <w:r w:rsidR="00822BFF">
        <w:t>of</w:t>
      </w:r>
      <w:r w:rsidR="00822BFF" w:rsidRPr="0089193D">
        <w:t xml:space="preserve"> out-patient </w:t>
      </w:r>
      <w:r w:rsidR="00822BFF">
        <w:t xml:space="preserve">clinic </w:t>
      </w:r>
      <w:r w:rsidR="00822BFF" w:rsidRPr="0089193D">
        <w:t>letters.</w:t>
      </w:r>
      <w:r w:rsidR="00822BFF">
        <w:t xml:space="preserve"> To </w:t>
      </w:r>
      <w:proofErr w:type="gramStart"/>
      <w:r w:rsidR="00822BFF">
        <w:t>be identified</w:t>
      </w:r>
      <w:proofErr w:type="gramEnd"/>
      <w:r w:rsidR="00822BFF">
        <w:t xml:space="preserve"> as PMR or GCA, participants were required to have received at least</w:t>
      </w:r>
      <w:r w:rsidR="00822BFF" w:rsidRPr="00361759">
        <w:t xml:space="preserve"> two prescriptions</w:t>
      </w:r>
      <w:r w:rsidR="00822BFF">
        <w:t xml:space="preserve"> </w:t>
      </w:r>
      <w:r w:rsidR="00822BFF" w:rsidRPr="00361759">
        <w:t>for oral glucocorticoids</w:t>
      </w:r>
      <w:r w:rsidR="00822BFF">
        <w:t xml:space="preserve"> within six months</w:t>
      </w:r>
      <w:r w:rsidR="00822BFF" w:rsidRPr="00361759">
        <w:t xml:space="preserve"> </w:t>
      </w:r>
      <w:r w:rsidR="00822BFF">
        <w:t>following the</w:t>
      </w:r>
      <w:r w:rsidR="004641FA">
        <w:t xml:space="preserve">ir </w:t>
      </w:r>
      <w:r w:rsidR="00822BFF" w:rsidRPr="00361759">
        <w:t xml:space="preserve">diagnosis. </w:t>
      </w:r>
      <w:r w:rsidR="004801AE">
        <w:t>This</w:t>
      </w:r>
      <w:r w:rsidR="004801AE" w:rsidRPr="00361759">
        <w:t xml:space="preserve"> </w:t>
      </w:r>
      <w:r w:rsidR="00822BFF" w:rsidRPr="00361759">
        <w:t xml:space="preserve">approach </w:t>
      </w:r>
      <w:r w:rsidR="00822BFF">
        <w:t xml:space="preserve">follows </w:t>
      </w:r>
      <w:r w:rsidR="004801AE">
        <w:t xml:space="preserve">classification </w:t>
      </w:r>
      <w:r w:rsidR="00822BFF">
        <w:t xml:space="preserve">methodology </w:t>
      </w:r>
      <w:r w:rsidR="00822BFF" w:rsidRPr="00361759">
        <w:t>validated in</w:t>
      </w:r>
      <w:r w:rsidR="00433532">
        <w:t xml:space="preserve"> </w:t>
      </w:r>
      <w:r w:rsidR="00822BFF" w:rsidRPr="00361759">
        <w:t xml:space="preserve">the Clinical Practice Research Datalink (CPRD) </w:t>
      </w:r>
      <w:r w:rsidR="00822BFF" w:rsidRPr="00361759">
        <w:fldChar w:fldCharType="begin">
          <w:fldData xml:space="preserve">PEVuZE5vdGU+PENpdGU+PEF1dGhvcj5TbWVldGg8L0F1dGhvcj48WWVhcj4yMDA2PC9ZZWFyPjxS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</w:fldData>
        </w:fldChar>
      </w:r>
      <w:r w:rsidR="00517A11">
        <w:instrText xml:space="preserve"> ADDIN EN.CITE </w:instrText>
      </w:r>
      <w:r w:rsidR="00517A11">
        <w:fldChar w:fldCharType="begin">
          <w:fldData xml:space="preserve">PEVuZE5vdGU+PENpdGU+PEF1dGhvcj5TbWVldGg8L0F1dGhvcj48WWVhcj4yMDA2PC9ZZWFyPjxS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</w:fldData>
        </w:fldChar>
      </w:r>
      <w:r w:rsidR="00517A11">
        <w:instrText xml:space="preserve"> ADDIN EN.CITE.DATA </w:instrText>
      </w:r>
      <w:r w:rsidR="00517A11">
        <w:fldChar w:fldCharType="end"/>
      </w:r>
      <w:r w:rsidR="00822BFF" w:rsidRPr="00361759">
        <w:fldChar w:fldCharType="separate"/>
      </w:r>
      <w:r w:rsidR="00517A11">
        <w:rPr>
          <w:noProof/>
        </w:rPr>
        <w:t>(6)</w:t>
      </w:r>
      <w:r w:rsidR="00822BFF" w:rsidRPr="00361759">
        <w:fldChar w:fldCharType="end"/>
      </w:r>
      <w:r w:rsidR="00822BFF" w:rsidRPr="00361759">
        <w:t>.</w:t>
      </w:r>
      <w:r w:rsidR="00822BFF">
        <w:t xml:space="preserve"> Cases </w:t>
      </w:r>
      <w:proofErr w:type="gramStart"/>
      <w:r w:rsidR="00822BFF">
        <w:t>were excluded</w:t>
      </w:r>
      <w:proofErr w:type="gramEnd"/>
      <w:r w:rsidR="00822BFF">
        <w:t xml:space="preserve"> from analysis if the diagnosis in the case record was refuted or changed within the first six months. Case assignment was carried out independently by two rheumatologists (MY, RW).</w:t>
      </w:r>
      <w:r w:rsidR="002967D7">
        <w:t xml:space="preserve"> </w:t>
      </w:r>
      <w:r w:rsidR="00156E97">
        <w:t>Only incident cases wi</w:t>
      </w:r>
      <w:r w:rsidR="002F4685">
        <w:t>th retinal images captured before</w:t>
      </w:r>
      <w:r w:rsidR="009D53C7">
        <w:t xml:space="preserve"> their PMR or </w:t>
      </w:r>
      <w:r w:rsidR="00156E97">
        <w:t>GCA diagnosis were included.</w:t>
      </w:r>
    </w:p>
    <w:p w:rsidR="00D858A1" w:rsidRDefault="00C00546" w:rsidP="00822BFF">
      <w:r>
        <w:t>Amongst 5</w:t>
      </w:r>
      <w:r w:rsidR="004801AE">
        <w:t>,</w:t>
      </w:r>
      <w:r w:rsidR="000B2098">
        <w:t>5</w:t>
      </w:r>
      <w:r w:rsidR="00156E97">
        <w:t>32</w:t>
      </w:r>
      <w:r>
        <w:t xml:space="preserve"> participants who had </w:t>
      </w:r>
      <w:r w:rsidR="004D20EE">
        <w:t>r</w:t>
      </w:r>
      <w:r>
        <w:t xml:space="preserve">etinal images </w:t>
      </w:r>
      <w:r w:rsidR="004641FA">
        <w:t>analysable</w:t>
      </w:r>
      <w:r w:rsidR="00433532">
        <w:t xml:space="preserve"> by QUARTZ</w:t>
      </w:r>
      <w:r>
        <w:t>, w</w:t>
      </w:r>
      <w:r w:rsidR="00822BFF">
        <w:t xml:space="preserve">e identified </w:t>
      </w:r>
      <w:r w:rsidR="00433532">
        <w:t>30</w:t>
      </w:r>
      <w:r w:rsidR="00822BFF">
        <w:t xml:space="preserve"> cases of</w:t>
      </w:r>
      <w:r w:rsidR="00433532">
        <w:t xml:space="preserve"> incident</w:t>
      </w:r>
      <w:r w:rsidR="00822BFF">
        <w:t xml:space="preserve"> PMR </w:t>
      </w:r>
      <w:r w:rsidR="00822BFF" w:rsidRPr="001639DA">
        <w:t>(</w:t>
      </w:r>
      <w:r w:rsidR="00822BFF">
        <w:t xml:space="preserve">median age </w:t>
      </w:r>
      <w:r w:rsidR="005A1E87">
        <w:t>at diagnosis: 74.8</w:t>
      </w:r>
      <w:r w:rsidR="00156E97">
        <w:t xml:space="preserve"> years, range [</w:t>
      </w:r>
      <w:r w:rsidR="005A1E87">
        <w:t>60</w:t>
      </w:r>
      <w:r w:rsidR="00156E97">
        <w:t>.5</w:t>
      </w:r>
      <w:r w:rsidR="008D0036">
        <w:t>, 87</w:t>
      </w:r>
      <w:r w:rsidR="00822BFF">
        <w:t>.</w:t>
      </w:r>
      <w:r w:rsidR="008D0036">
        <w:t>0</w:t>
      </w:r>
      <w:r w:rsidR="00156E97">
        <w:t>]</w:t>
      </w:r>
      <w:r w:rsidR="00822BFF">
        <w:t>;</w:t>
      </w:r>
      <w:r w:rsidR="005322CE">
        <w:t xml:space="preserve"> me</w:t>
      </w:r>
      <w:r w:rsidR="00822BFF">
        <w:t xml:space="preserve">an ESR </w:t>
      </w:r>
      <w:r w:rsidR="005A1E87">
        <w:t>at diagnosis: 48</w:t>
      </w:r>
      <w:r w:rsidR="00822BFF">
        <w:t xml:space="preserve"> mm/hr; </w:t>
      </w:r>
      <w:r w:rsidR="005A1E87">
        <w:t>70.0</w:t>
      </w:r>
      <w:r w:rsidR="00822BFF" w:rsidRPr="001639DA">
        <w:t>% female</w:t>
      </w:r>
      <w:r w:rsidR="00822BFF">
        <w:t>) and</w:t>
      </w:r>
      <w:r w:rsidR="00B23A56">
        <w:t xml:space="preserve"> an additional</w:t>
      </w:r>
      <w:r w:rsidR="00433532">
        <w:t xml:space="preserve"> 16</w:t>
      </w:r>
      <w:r w:rsidR="00822BFF">
        <w:t xml:space="preserve"> cases of GCA </w:t>
      </w:r>
      <w:r w:rsidR="00822BFF" w:rsidRPr="001639DA">
        <w:t>(</w:t>
      </w:r>
      <w:r w:rsidR="00822BFF">
        <w:t xml:space="preserve">median age </w:t>
      </w:r>
      <w:r w:rsidR="005A1E87">
        <w:t>at diagnosis: 75.0</w:t>
      </w:r>
      <w:r w:rsidR="00822BFF">
        <w:t xml:space="preserve"> years</w:t>
      </w:r>
      <w:r w:rsidR="00156E97">
        <w:t>, range</w:t>
      </w:r>
      <w:r w:rsidR="005A1E87">
        <w:t xml:space="preserve"> </w:t>
      </w:r>
      <w:r w:rsidR="00156E97">
        <w:t>[</w:t>
      </w:r>
      <w:r w:rsidR="008D0036">
        <w:t>6</w:t>
      </w:r>
      <w:r w:rsidR="00B10F1D">
        <w:t>2.1</w:t>
      </w:r>
      <w:r w:rsidR="00822BFF">
        <w:t xml:space="preserve">, </w:t>
      </w:r>
      <w:r w:rsidR="00B10F1D">
        <w:t>8</w:t>
      </w:r>
      <w:r w:rsidR="005A1E87">
        <w:t>4</w:t>
      </w:r>
      <w:r w:rsidR="00822BFF">
        <w:t>.</w:t>
      </w:r>
      <w:r w:rsidR="005A1E87">
        <w:t>0</w:t>
      </w:r>
      <w:r w:rsidR="00156E97">
        <w:t>]</w:t>
      </w:r>
      <w:r w:rsidR="00822BFF">
        <w:t>;</w:t>
      </w:r>
      <w:r w:rsidR="005322CE">
        <w:t xml:space="preserve"> me</w:t>
      </w:r>
      <w:r w:rsidR="00822BFF">
        <w:t xml:space="preserve">an ESR </w:t>
      </w:r>
      <w:r w:rsidR="00B10F1D">
        <w:t>at diagnosis: 80</w:t>
      </w:r>
      <w:r w:rsidR="005322CE">
        <w:t xml:space="preserve"> </w:t>
      </w:r>
      <w:r w:rsidR="00822BFF">
        <w:t xml:space="preserve">mm/hr; </w:t>
      </w:r>
      <w:r w:rsidR="00B10F1D">
        <w:t>81.3</w:t>
      </w:r>
      <w:r w:rsidR="00822BFF" w:rsidRPr="001639DA">
        <w:t>% female</w:t>
      </w:r>
      <w:r w:rsidR="00822BFF">
        <w:t>)</w:t>
      </w:r>
      <w:r w:rsidR="00156E97">
        <w:t>.</w:t>
      </w:r>
      <w:r w:rsidR="00822BFF">
        <w:t xml:space="preserve"> </w:t>
      </w:r>
      <w:r w:rsidR="00B345B8">
        <w:t>Vasculometric measures</w:t>
      </w:r>
      <w:r w:rsidR="004D20EE">
        <w:t xml:space="preserve"> of</w:t>
      </w:r>
      <w:r w:rsidR="00B345B8">
        <w:t xml:space="preserve"> </w:t>
      </w:r>
      <w:r w:rsidR="00433532">
        <w:t xml:space="preserve">those </w:t>
      </w:r>
      <w:r w:rsidR="002F4685">
        <w:t>subsequently developing</w:t>
      </w:r>
      <w:r w:rsidR="00433532">
        <w:t xml:space="preserve"> PMR </w:t>
      </w:r>
      <w:r w:rsidR="00B345B8">
        <w:t>(Table1)</w:t>
      </w:r>
      <w:r w:rsidR="00156E97">
        <w:t>,</w:t>
      </w:r>
      <w:r w:rsidR="006E5650">
        <w:t xml:space="preserve"> showed wider venules compared to controls (</w:t>
      </w:r>
      <w:r w:rsidR="00EF10D5">
        <w:t>5.5 micron</w:t>
      </w:r>
      <w:r w:rsidR="00603E53">
        <w:t>s</w:t>
      </w:r>
      <w:r w:rsidR="00EF10D5">
        <w:t xml:space="preserve"> increased width</w:t>
      </w:r>
      <w:r w:rsidR="00B26E6A">
        <w:t xml:space="preserve"> 95% CI 1.7 to 9.3</w:t>
      </w:r>
      <w:r w:rsidR="006E5650">
        <w:t xml:space="preserve">, </w:t>
      </w:r>
      <w:r w:rsidR="009B06DB">
        <w:t>p=0.004)</w:t>
      </w:r>
      <w:r w:rsidR="006E5650">
        <w:t xml:space="preserve">, which remained </w:t>
      </w:r>
      <w:r w:rsidR="00E850F8">
        <w:t xml:space="preserve">significant </w:t>
      </w:r>
      <w:r w:rsidR="006E5650">
        <w:t>after adjustment for age at time of retinal image capture</w:t>
      </w:r>
      <w:r w:rsidR="0080200B">
        <w:t>, and sex</w:t>
      </w:r>
      <w:r w:rsidR="006E5650">
        <w:t xml:space="preserve"> (4.</w:t>
      </w:r>
      <w:r w:rsidR="0080200B">
        <w:t>4</w:t>
      </w:r>
      <w:r w:rsidR="006E5650">
        <w:t xml:space="preserve"> microns wider, </w:t>
      </w:r>
      <w:r w:rsidR="00603E53">
        <w:t>95%</w:t>
      </w:r>
      <w:r w:rsidR="00E850F8">
        <w:t xml:space="preserve"> CI </w:t>
      </w:r>
      <w:r w:rsidR="0080200B">
        <w:t>0.7 to 8.2</w:t>
      </w:r>
      <w:r w:rsidR="00603E53">
        <w:t>,</w:t>
      </w:r>
      <w:r w:rsidR="00E850F8">
        <w:t xml:space="preserve"> </w:t>
      </w:r>
      <w:r w:rsidR="006E5650">
        <w:t>p=0.02</w:t>
      </w:r>
      <w:r w:rsidR="0080200B">
        <w:t>1</w:t>
      </w:r>
      <w:r w:rsidR="007F6B1E">
        <w:t xml:space="preserve">). </w:t>
      </w:r>
      <w:r w:rsidR="00156E97">
        <w:t xml:space="preserve">Some who </w:t>
      </w:r>
      <w:proofErr w:type="gramStart"/>
      <w:r w:rsidR="00156E97">
        <w:t>were diagnosed</w:t>
      </w:r>
      <w:proofErr w:type="gramEnd"/>
      <w:r w:rsidR="00156E97">
        <w:t xml:space="preserve"> with disease did not meet the classification criteria. </w:t>
      </w:r>
      <w:r w:rsidR="007F6B1E">
        <w:t>A stronger</w:t>
      </w:r>
      <w:r w:rsidR="00036C92">
        <w:t xml:space="preserve"> association w</w:t>
      </w:r>
      <w:r w:rsidR="007F6B1E">
        <w:t>as present when the analysis was limited to</w:t>
      </w:r>
      <w:r w:rsidR="00DF25FF">
        <w:t xml:space="preserve"> </w:t>
      </w:r>
      <w:r w:rsidR="00036C92">
        <w:t xml:space="preserve">those </w:t>
      </w:r>
      <w:proofErr w:type="gramStart"/>
      <w:r w:rsidR="00036C92">
        <w:t>cases which</w:t>
      </w:r>
      <w:proofErr w:type="gramEnd"/>
      <w:r w:rsidR="00036C92">
        <w:t xml:space="preserve"> fulfil</w:t>
      </w:r>
      <w:r w:rsidR="007F6B1E">
        <w:t>led</w:t>
      </w:r>
      <w:r w:rsidR="00036C92">
        <w:t xml:space="preserve"> current classification criteria sets.</w:t>
      </w:r>
      <w:r w:rsidR="009B06DB">
        <w:t xml:space="preserve"> Although, on av</w:t>
      </w:r>
      <w:r w:rsidR="00B26E6A">
        <w:t xml:space="preserve">erage those </w:t>
      </w:r>
      <w:r w:rsidR="00323532">
        <w:t>subsequently developing</w:t>
      </w:r>
      <w:r w:rsidR="00B26E6A">
        <w:t xml:space="preserve"> GCA had wider</w:t>
      </w:r>
      <w:r w:rsidR="009B06DB">
        <w:t xml:space="preserve"> venules</w:t>
      </w:r>
      <w:r w:rsidR="00B26E6A">
        <w:t xml:space="preserve"> compared to controls</w:t>
      </w:r>
      <w:r w:rsidR="006E5650">
        <w:t xml:space="preserve"> </w:t>
      </w:r>
      <w:r w:rsidR="00603E53">
        <w:t>(93 microns vs 91.1 microns</w:t>
      </w:r>
      <w:r w:rsidR="00E850F8">
        <w:t xml:space="preserve">) </w:t>
      </w:r>
      <w:r w:rsidR="006E5650">
        <w:t>th</w:t>
      </w:r>
      <w:r w:rsidR="00E850F8">
        <w:t xml:space="preserve">e difference </w:t>
      </w:r>
      <w:r w:rsidR="006E5650">
        <w:t>failed to reach statistical difference</w:t>
      </w:r>
      <w:r w:rsidR="009B06DB">
        <w:t>. There was no association between arteriolar measures for either PMR or GCA.</w:t>
      </w:r>
      <w:r w:rsidR="002967D7">
        <w:t xml:space="preserve"> </w:t>
      </w:r>
    </w:p>
    <w:p w:rsidR="00D858A1" w:rsidRDefault="00E850F8" w:rsidP="00822BFF">
      <w:r>
        <w:t xml:space="preserve">Using a novel </w:t>
      </w:r>
      <w:r w:rsidR="00FF3553">
        <w:t xml:space="preserve">retinal </w:t>
      </w:r>
      <w:r>
        <w:t>marker</w:t>
      </w:r>
      <w:r w:rsidR="0061660C">
        <w:t xml:space="preserve"> in a longitudinal population-</w:t>
      </w:r>
      <w:r w:rsidR="00FF3553">
        <w:t>based setting</w:t>
      </w:r>
      <w:r>
        <w:t>, this analysi</w:t>
      </w:r>
      <w:r w:rsidR="00172E45">
        <w:t xml:space="preserve">s </w:t>
      </w:r>
      <w:r w:rsidR="00156E97">
        <w:t>shows</w:t>
      </w:r>
      <w:r w:rsidR="00172E45">
        <w:t xml:space="preserve"> that </w:t>
      </w:r>
      <w:r w:rsidR="00603E53">
        <w:t>participants</w:t>
      </w:r>
      <w:r>
        <w:t xml:space="preserve"> who develop</w:t>
      </w:r>
      <w:r w:rsidR="00172E45">
        <w:t>ed</w:t>
      </w:r>
      <w:r>
        <w:t xml:space="preserve"> PMR </w:t>
      </w:r>
      <w:r w:rsidR="00172E45">
        <w:t xml:space="preserve">already </w:t>
      </w:r>
      <w:r w:rsidR="00962191">
        <w:t>had</w:t>
      </w:r>
      <w:r w:rsidR="004D20EE">
        <w:t xml:space="preserve"> wider retinal venules</w:t>
      </w:r>
      <w:r w:rsidR="00FF3553">
        <w:t xml:space="preserve"> prior to the onset of their inflammatory disease. </w:t>
      </w:r>
      <w:r w:rsidR="00172E45">
        <w:t xml:space="preserve">The data are limited by the relatively small number of cases </w:t>
      </w:r>
      <w:r w:rsidR="00603E53">
        <w:t>with</w:t>
      </w:r>
      <w:r w:rsidR="00172E45">
        <w:t xml:space="preserve"> incident disease and need to be replicate</w:t>
      </w:r>
      <w:r w:rsidR="00603E53">
        <w:t>d in</w:t>
      </w:r>
      <w:r w:rsidR="00172E45">
        <w:t xml:space="preserve"> other settings. They</w:t>
      </w:r>
      <w:r w:rsidR="002F4685">
        <w:t xml:space="preserve"> nevertheless</w:t>
      </w:r>
      <w:r w:rsidR="00172E45">
        <w:t xml:space="preserve"> </w:t>
      </w:r>
      <w:r w:rsidR="00FF3553">
        <w:t>lend weight to the</w:t>
      </w:r>
      <w:r w:rsidR="008D0036">
        <w:t xml:space="preserve"> </w:t>
      </w:r>
      <w:r w:rsidR="00344CEB">
        <w:t>hypothesis</w:t>
      </w:r>
      <w:r w:rsidR="008D0036">
        <w:t xml:space="preserve"> </w:t>
      </w:r>
      <w:r w:rsidR="00DF25FF">
        <w:t xml:space="preserve">that </w:t>
      </w:r>
      <w:r w:rsidR="008D0036">
        <w:t xml:space="preserve">vascular </w:t>
      </w:r>
      <w:r w:rsidR="004D20EE">
        <w:t xml:space="preserve">changes </w:t>
      </w:r>
      <w:r w:rsidR="00DF25FF">
        <w:t>precede</w:t>
      </w:r>
      <w:r w:rsidR="00344CEB">
        <w:t xml:space="preserve"> </w:t>
      </w:r>
      <w:r w:rsidR="00DF25FF">
        <w:t xml:space="preserve">the onset of </w:t>
      </w:r>
      <w:r w:rsidR="00344CEB">
        <w:t>PMR</w:t>
      </w:r>
      <w:r w:rsidR="002967D7">
        <w:t>.</w:t>
      </w:r>
      <w:r w:rsidR="00FF3553">
        <w:t xml:space="preserve"> </w:t>
      </w:r>
    </w:p>
    <w:p w:rsidR="00D858A1" w:rsidRDefault="00D858A1" w:rsidP="00822BFF">
      <w:pPr>
        <w:sectPr w:rsidR="00D858A1">
          <w:pgSz w:w="11906" w:h="16838"/>
          <w:pgMar w:top="1440" w:right="1440" w:bottom="1440" w:left="1440" w:header="708" w:footer="708" w:gutter="0"/>
          <w:cols w:space="708"/>
          <w:docGrid w:linePitch="360"/>
        </w:sectPr>
      </w:pPr>
    </w:p>
    <w:p w:rsidR="001A23C8" w:rsidRPr="00D858A1" w:rsidRDefault="00D858A1" w:rsidP="00822BFF">
      <w:pPr>
        <w:rPr>
          <w:b/>
        </w:rPr>
      </w:pPr>
      <w:r>
        <w:rPr>
          <w:b/>
        </w:rPr>
        <w:lastRenderedPageBreak/>
        <w:t xml:space="preserve">Table 1. </w:t>
      </w:r>
      <w:r w:rsidR="00FB710C">
        <w:rPr>
          <w:b/>
        </w:rPr>
        <w:t xml:space="preserve">Retinal vasculometric characteristics and their association to </w:t>
      </w:r>
      <w:r>
        <w:rPr>
          <w:b/>
        </w:rPr>
        <w:t>diagnoses of PMR and GCA</w:t>
      </w:r>
      <w:r w:rsidR="002967D7">
        <w:rPr>
          <w:b/>
        </w:rPr>
        <w:t xml:space="preserve"> </w:t>
      </w:r>
    </w:p>
    <w:tbl>
      <w:tblPr>
        <w:tblW w:w="5000" w:type="pct"/>
        <w:tblLayout w:type="fixed"/>
        <w:tblLook w:val="04A0" w:firstRow="1" w:lastRow="0" w:firstColumn="1" w:lastColumn="0" w:noHBand="0" w:noVBand="1"/>
      </w:tblPr>
      <w:tblGrid>
        <w:gridCol w:w="4536"/>
        <w:gridCol w:w="3501"/>
        <w:gridCol w:w="2775"/>
        <w:gridCol w:w="3146"/>
      </w:tblGrid>
      <w:tr w:rsidR="00DB13CD" w:rsidRPr="00FB710C" w:rsidTr="00182E80">
        <w:trPr>
          <w:trHeight w:val="300"/>
        </w:trPr>
        <w:tc>
          <w:tcPr>
            <w:tcW w:w="1625" w:type="pct"/>
            <w:tcBorders>
              <w:top w:val="nil"/>
              <w:left w:val="nil"/>
              <w:bottom w:val="single" w:sz="4" w:space="0" w:color="auto"/>
              <w:right w:val="nil"/>
            </w:tcBorders>
            <w:shd w:val="clear" w:color="auto" w:fill="auto"/>
            <w:noWrap/>
            <w:hideMark/>
          </w:tcPr>
          <w:p w:rsidR="00DB13CD" w:rsidRPr="00FB710C" w:rsidRDefault="00DB13CD" w:rsidP="00FB710C">
            <w:pPr>
              <w:spacing w:after="0" w:line="240" w:lineRule="auto"/>
              <w:rPr>
                <w:rFonts w:ascii="Times New Roman" w:eastAsia="Times New Roman" w:hAnsi="Times New Roman"/>
                <w:sz w:val="24"/>
                <w:szCs w:val="24"/>
                <w:lang w:eastAsia="en-GB"/>
              </w:rPr>
            </w:pPr>
          </w:p>
        </w:tc>
        <w:tc>
          <w:tcPr>
            <w:tcW w:w="1254" w:type="pct"/>
            <w:tcBorders>
              <w:top w:val="nil"/>
              <w:left w:val="nil"/>
              <w:bottom w:val="single" w:sz="4" w:space="0" w:color="auto"/>
              <w:right w:val="nil"/>
            </w:tcBorders>
            <w:shd w:val="clear" w:color="auto" w:fill="auto"/>
            <w:noWrap/>
            <w:hideMark/>
          </w:tcPr>
          <w:p w:rsidR="00DB13CD" w:rsidRPr="00FB710C" w:rsidRDefault="00DB13CD" w:rsidP="00FB710C">
            <w:pPr>
              <w:spacing w:after="0" w:line="240" w:lineRule="auto"/>
              <w:rPr>
                <w:rFonts w:eastAsia="Times New Roman" w:cs="Calibri"/>
                <w:b/>
                <w:color w:val="000000"/>
                <w:lang w:eastAsia="en-GB"/>
              </w:rPr>
            </w:pPr>
            <w:r w:rsidRPr="00FB710C">
              <w:rPr>
                <w:rFonts w:eastAsia="Times New Roman" w:cs="Calibri"/>
                <w:b/>
                <w:color w:val="000000"/>
                <w:lang w:eastAsia="en-GB"/>
              </w:rPr>
              <w:t>Incident cases</w:t>
            </w:r>
            <w:r w:rsidR="000326BF">
              <w:rPr>
                <w:rFonts w:ascii="Verdana" w:eastAsia="Times New Roman" w:hAnsi="Verdana" w:cs="Calibri"/>
                <w:b/>
                <w:color w:val="000000"/>
                <w:lang w:eastAsia="en-GB"/>
              </w:rPr>
              <w:t>†</w:t>
            </w:r>
          </w:p>
        </w:tc>
        <w:tc>
          <w:tcPr>
            <w:tcW w:w="994" w:type="pct"/>
            <w:tcBorders>
              <w:top w:val="nil"/>
              <w:left w:val="nil"/>
              <w:bottom w:val="single" w:sz="4" w:space="0" w:color="auto"/>
              <w:right w:val="nil"/>
            </w:tcBorders>
          </w:tcPr>
          <w:p w:rsidR="00DB13CD" w:rsidRPr="00FB710C" w:rsidRDefault="00DB13CD" w:rsidP="00FB710C">
            <w:pPr>
              <w:spacing w:after="0" w:line="240" w:lineRule="auto"/>
              <w:rPr>
                <w:rFonts w:eastAsia="Times New Roman" w:cs="Calibri"/>
                <w:b/>
                <w:color w:val="000000"/>
                <w:lang w:eastAsia="en-GB"/>
              </w:rPr>
            </w:pPr>
            <w:r>
              <w:rPr>
                <w:rFonts w:eastAsia="Times New Roman" w:cs="Calibri"/>
                <w:b/>
                <w:color w:val="000000"/>
                <w:lang w:eastAsia="en-GB"/>
              </w:rPr>
              <w:t>Incident cases meeting classification set</w:t>
            </w:r>
            <w:r w:rsidR="006E1C26">
              <w:rPr>
                <w:rFonts w:eastAsia="Times New Roman" w:cs="Calibri"/>
                <w:b/>
                <w:color w:val="000000"/>
                <w:lang w:eastAsia="en-GB"/>
              </w:rPr>
              <w:t>s</w:t>
            </w:r>
          </w:p>
        </w:tc>
        <w:tc>
          <w:tcPr>
            <w:tcW w:w="1127" w:type="pct"/>
            <w:tcBorders>
              <w:top w:val="nil"/>
              <w:left w:val="nil"/>
              <w:bottom w:val="single" w:sz="4" w:space="0" w:color="auto"/>
              <w:right w:val="nil"/>
            </w:tcBorders>
            <w:shd w:val="clear" w:color="auto" w:fill="auto"/>
            <w:noWrap/>
            <w:hideMark/>
          </w:tcPr>
          <w:p w:rsidR="00DB13CD" w:rsidRPr="00FB710C" w:rsidRDefault="00DB13CD" w:rsidP="00FB710C">
            <w:pPr>
              <w:spacing w:after="0" w:line="240" w:lineRule="auto"/>
              <w:rPr>
                <w:rFonts w:eastAsia="Times New Roman" w:cs="Calibri"/>
                <w:b/>
                <w:color w:val="000000"/>
                <w:lang w:eastAsia="en-GB"/>
              </w:rPr>
            </w:pPr>
            <w:r w:rsidRPr="00FB710C">
              <w:rPr>
                <w:rFonts w:eastAsia="Times New Roman" w:cs="Calibri"/>
                <w:b/>
                <w:color w:val="000000"/>
                <w:lang w:eastAsia="en-GB"/>
              </w:rPr>
              <w:t>Control n=5,477</w:t>
            </w:r>
          </w:p>
        </w:tc>
      </w:tr>
      <w:tr w:rsidR="00DB13CD" w:rsidRPr="00FB710C" w:rsidTr="00182E80">
        <w:trPr>
          <w:trHeight w:val="300"/>
        </w:trPr>
        <w:tc>
          <w:tcPr>
            <w:tcW w:w="1625" w:type="pct"/>
            <w:tcBorders>
              <w:top w:val="single" w:sz="4" w:space="0" w:color="auto"/>
              <w:left w:val="nil"/>
              <w:bottom w:val="nil"/>
              <w:right w:val="nil"/>
            </w:tcBorders>
            <w:shd w:val="clear" w:color="auto" w:fill="E7E6E6" w:themeFill="background2"/>
            <w:noWrap/>
            <w:hideMark/>
          </w:tcPr>
          <w:p w:rsidR="00DB13CD" w:rsidRPr="00FB710C" w:rsidRDefault="00DB13CD" w:rsidP="00FB710C">
            <w:pPr>
              <w:spacing w:after="0" w:line="240" w:lineRule="auto"/>
              <w:rPr>
                <w:rFonts w:eastAsia="Times New Roman" w:cs="Calibri"/>
                <w:b/>
                <w:color w:val="000000"/>
                <w:lang w:eastAsia="en-GB"/>
              </w:rPr>
            </w:pPr>
            <w:r w:rsidRPr="00FB710C">
              <w:rPr>
                <w:rFonts w:eastAsia="Times New Roman" w:cs="Calibri"/>
                <w:b/>
                <w:color w:val="000000"/>
                <w:lang w:eastAsia="en-GB"/>
              </w:rPr>
              <w:t>PMR (n)</w:t>
            </w:r>
          </w:p>
        </w:tc>
        <w:tc>
          <w:tcPr>
            <w:tcW w:w="1254" w:type="pct"/>
            <w:tcBorders>
              <w:top w:val="single" w:sz="4" w:space="0" w:color="auto"/>
              <w:left w:val="nil"/>
              <w:bottom w:val="nil"/>
              <w:right w:val="nil"/>
            </w:tcBorders>
            <w:shd w:val="clear" w:color="auto" w:fill="E7E6E6" w:themeFill="background2"/>
            <w:noWrap/>
            <w:hideMark/>
          </w:tcPr>
          <w:p w:rsidR="00DB13CD" w:rsidRPr="00FB710C" w:rsidRDefault="00DB13CD" w:rsidP="00FB710C">
            <w:pPr>
              <w:spacing w:after="0" w:line="240" w:lineRule="auto"/>
              <w:rPr>
                <w:rFonts w:eastAsia="Times New Roman" w:cs="Calibri"/>
                <w:color w:val="000000"/>
                <w:lang w:eastAsia="en-GB"/>
              </w:rPr>
            </w:pPr>
            <w:r w:rsidRPr="00FB710C">
              <w:rPr>
                <w:rFonts w:eastAsia="Times New Roman" w:cs="Calibri"/>
                <w:color w:val="000000"/>
                <w:lang w:eastAsia="en-GB"/>
              </w:rPr>
              <w:t>30</w:t>
            </w:r>
          </w:p>
        </w:tc>
        <w:tc>
          <w:tcPr>
            <w:tcW w:w="994" w:type="pct"/>
            <w:tcBorders>
              <w:top w:val="single" w:sz="4" w:space="0" w:color="auto"/>
              <w:left w:val="nil"/>
              <w:bottom w:val="nil"/>
              <w:right w:val="nil"/>
            </w:tcBorders>
            <w:shd w:val="clear" w:color="auto" w:fill="E7E6E6" w:themeFill="background2"/>
          </w:tcPr>
          <w:p w:rsidR="00DB13CD" w:rsidRPr="00FB710C" w:rsidRDefault="00DB13CD" w:rsidP="00FB710C">
            <w:pPr>
              <w:spacing w:after="0" w:line="240" w:lineRule="auto"/>
              <w:rPr>
                <w:rFonts w:eastAsia="Times New Roman" w:cs="Calibri"/>
                <w:color w:val="000000"/>
                <w:lang w:eastAsia="en-GB"/>
              </w:rPr>
            </w:pPr>
            <w:r>
              <w:rPr>
                <w:rFonts w:eastAsia="Times New Roman" w:cs="Calibri"/>
                <w:color w:val="000000"/>
                <w:lang w:eastAsia="en-GB"/>
              </w:rPr>
              <w:t>24</w:t>
            </w:r>
          </w:p>
        </w:tc>
        <w:tc>
          <w:tcPr>
            <w:tcW w:w="1127" w:type="pct"/>
            <w:tcBorders>
              <w:top w:val="single" w:sz="4" w:space="0" w:color="auto"/>
              <w:left w:val="nil"/>
              <w:bottom w:val="nil"/>
              <w:right w:val="nil"/>
            </w:tcBorders>
            <w:shd w:val="clear" w:color="auto" w:fill="E7E6E6" w:themeFill="background2"/>
            <w:noWrap/>
            <w:hideMark/>
          </w:tcPr>
          <w:p w:rsidR="00DB13CD" w:rsidRPr="00FB710C" w:rsidRDefault="00DB13CD" w:rsidP="00FB710C">
            <w:pPr>
              <w:spacing w:after="0" w:line="240" w:lineRule="auto"/>
              <w:rPr>
                <w:rFonts w:eastAsia="Times New Roman" w:cs="Calibri"/>
                <w:color w:val="000000"/>
                <w:lang w:eastAsia="en-GB"/>
              </w:rPr>
            </w:pPr>
          </w:p>
        </w:tc>
      </w:tr>
      <w:tr w:rsidR="00DB13CD" w:rsidRPr="00FB710C" w:rsidTr="00182E80">
        <w:trPr>
          <w:trHeight w:val="300"/>
        </w:trPr>
        <w:tc>
          <w:tcPr>
            <w:tcW w:w="1625" w:type="pct"/>
            <w:tcBorders>
              <w:top w:val="nil"/>
              <w:left w:val="nil"/>
              <w:bottom w:val="nil"/>
              <w:right w:val="nil"/>
            </w:tcBorders>
            <w:shd w:val="clear" w:color="auto" w:fill="auto"/>
            <w:noWrap/>
            <w:hideMark/>
          </w:tcPr>
          <w:p w:rsidR="00DB13CD" w:rsidRPr="00FB710C" w:rsidRDefault="00DB13CD" w:rsidP="00FB710C">
            <w:pPr>
              <w:spacing w:after="0" w:line="240" w:lineRule="auto"/>
              <w:rPr>
                <w:rFonts w:eastAsia="Times New Roman" w:cs="Calibri"/>
                <w:color w:val="000000"/>
                <w:lang w:eastAsia="en-GB"/>
              </w:rPr>
            </w:pPr>
            <w:r>
              <w:rPr>
                <w:rFonts w:eastAsia="Times New Roman" w:cs="Calibri"/>
                <w:color w:val="000000"/>
                <w:lang w:eastAsia="en-GB"/>
              </w:rPr>
              <w:t xml:space="preserve">Venular width </w:t>
            </w:r>
            <w:r w:rsidRPr="007D5208">
              <w:rPr>
                <w:rFonts w:eastAsia="Times New Roman" w:cs="Calibri"/>
                <w:color w:val="000000"/>
                <w:lang w:eastAsia="en-GB"/>
              </w:rPr>
              <w:t>(</w:t>
            </w:r>
            <w:proofErr w:type="spellStart"/>
            <w:r w:rsidRPr="007D5208">
              <w:rPr>
                <w:rFonts w:eastAsia="Times New Roman" w:cs="Calibri"/>
                <w:color w:val="000000"/>
                <w:lang w:eastAsia="en-GB"/>
              </w:rPr>
              <w:t>μm</w:t>
            </w:r>
            <w:proofErr w:type="spellEnd"/>
            <w:r w:rsidRPr="007D5208">
              <w:rPr>
                <w:rFonts w:eastAsia="Times New Roman" w:cs="Calibri"/>
                <w:color w:val="000000"/>
                <w:lang w:eastAsia="en-GB"/>
              </w:rPr>
              <w:t>)</w:t>
            </w:r>
            <w:r w:rsidRPr="003435A9">
              <w:rPr>
                <w:rFonts w:eastAsia="Times New Roman" w:cs="Calibri"/>
                <w:color w:val="000000"/>
                <w:lang w:eastAsia="en-GB"/>
              </w:rPr>
              <w:t xml:space="preserve"> and SD</w:t>
            </w:r>
          </w:p>
        </w:tc>
        <w:tc>
          <w:tcPr>
            <w:tcW w:w="1254" w:type="pct"/>
            <w:tcBorders>
              <w:top w:val="nil"/>
              <w:left w:val="nil"/>
              <w:bottom w:val="nil"/>
              <w:right w:val="nil"/>
            </w:tcBorders>
            <w:shd w:val="clear" w:color="auto" w:fill="auto"/>
            <w:noWrap/>
            <w:hideMark/>
          </w:tcPr>
          <w:p w:rsidR="00DB13CD" w:rsidRPr="00FB710C" w:rsidRDefault="00DB13CD" w:rsidP="00FB710C">
            <w:pPr>
              <w:spacing w:after="0" w:line="240" w:lineRule="auto"/>
              <w:rPr>
                <w:rFonts w:eastAsia="Times New Roman" w:cs="Calibri"/>
                <w:color w:val="000000"/>
                <w:lang w:eastAsia="en-GB"/>
              </w:rPr>
            </w:pPr>
            <w:r w:rsidRPr="00FB710C">
              <w:rPr>
                <w:rFonts w:eastAsia="Times New Roman" w:cs="Calibri"/>
                <w:color w:val="000000"/>
                <w:lang w:eastAsia="en-GB"/>
              </w:rPr>
              <w:t>96.6 SD 12.5</w:t>
            </w:r>
          </w:p>
        </w:tc>
        <w:tc>
          <w:tcPr>
            <w:tcW w:w="994" w:type="pct"/>
            <w:tcBorders>
              <w:top w:val="nil"/>
              <w:left w:val="nil"/>
              <w:bottom w:val="nil"/>
              <w:right w:val="nil"/>
            </w:tcBorders>
          </w:tcPr>
          <w:p w:rsidR="00DB13CD" w:rsidRPr="00FB710C" w:rsidRDefault="00DB13CD" w:rsidP="00FB710C">
            <w:pPr>
              <w:spacing w:after="0" w:line="240" w:lineRule="auto"/>
              <w:rPr>
                <w:rFonts w:eastAsia="Times New Roman" w:cs="Calibri"/>
                <w:color w:val="000000"/>
                <w:lang w:eastAsia="en-GB"/>
              </w:rPr>
            </w:pPr>
            <w:r>
              <w:rPr>
                <w:rFonts w:eastAsia="Times New Roman" w:cs="Calibri"/>
                <w:color w:val="000000"/>
                <w:lang w:eastAsia="en-GB"/>
              </w:rPr>
              <w:t>100.0 SD 11.3</w:t>
            </w:r>
          </w:p>
        </w:tc>
        <w:tc>
          <w:tcPr>
            <w:tcW w:w="1127" w:type="pct"/>
            <w:tcBorders>
              <w:top w:val="nil"/>
              <w:left w:val="nil"/>
              <w:bottom w:val="nil"/>
              <w:right w:val="nil"/>
            </w:tcBorders>
            <w:shd w:val="clear" w:color="auto" w:fill="auto"/>
            <w:noWrap/>
            <w:hideMark/>
          </w:tcPr>
          <w:p w:rsidR="00DB13CD" w:rsidRPr="00FB710C" w:rsidRDefault="00DB13CD" w:rsidP="00FB710C">
            <w:pPr>
              <w:spacing w:after="0" w:line="240" w:lineRule="auto"/>
              <w:rPr>
                <w:rFonts w:eastAsia="Times New Roman" w:cs="Calibri"/>
                <w:color w:val="000000"/>
                <w:lang w:eastAsia="en-GB"/>
              </w:rPr>
            </w:pPr>
            <w:r w:rsidRPr="00FB710C">
              <w:rPr>
                <w:rFonts w:eastAsia="Times New Roman" w:cs="Calibri"/>
                <w:color w:val="000000"/>
                <w:lang w:eastAsia="en-GB"/>
              </w:rPr>
              <w:t>91.1 SD 10.6 from 5,036 controls</w:t>
            </w:r>
          </w:p>
        </w:tc>
      </w:tr>
      <w:tr w:rsidR="00DB13CD" w:rsidRPr="00FB710C" w:rsidTr="00182E80">
        <w:trPr>
          <w:trHeight w:val="300"/>
        </w:trPr>
        <w:tc>
          <w:tcPr>
            <w:tcW w:w="1625" w:type="pct"/>
            <w:tcBorders>
              <w:top w:val="nil"/>
              <w:left w:val="nil"/>
              <w:bottom w:val="nil"/>
              <w:right w:val="nil"/>
            </w:tcBorders>
            <w:shd w:val="clear" w:color="auto" w:fill="auto"/>
            <w:noWrap/>
            <w:hideMark/>
          </w:tcPr>
          <w:p w:rsidR="00DB13CD" w:rsidRPr="00FB710C" w:rsidRDefault="006D727C" w:rsidP="006D727C">
            <w:pPr>
              <w:spacing w:after="0" w:line="240" w:lineRule="auto"/>
              <w:rPr>
                <w:rFonts w:eastAsia="Times New Roman" w:cs="Calibri"/>
                <w:color w:val="000000"/>
                <w:lang w:eastAsia="en-GB"/>
              </w:rPr>
            </w:pPr>
            <w:r>
              <w:rPr>
                <w:rFonts w:eastAsia="Times New Roman" w:cs="Calibri"/>
                <w:color w:val="000000"/>
                <w:lang w:eastAsia="en-GB"/>
              </w:rPr>
              <w:t>Difference in v</w:t>
            </w:r>
            <w:r w:rsidR="00DB13CD" w:rsidRPr="003435A9">
              <w:rPr>
                <w:rFonts w:eastAsia="Times New Roman" w:cs="Calibri"/>
                <w:color w:val="000000"/>
                <w:lang w:eastAsia="en-GB"/>
              </w:rPr>
              <w:t xml:space="preserve">enular width </w:t>
            </w:r>
            <w:r w:rsidR="00DB13CD">
              <w:rPr>
                <w:rFonts w:eastAsia="Times New Roman" w:cs="Calibri"/>
                <w:color w:val="000000"/>
                <w:lang w:eastAsia="en-GB"/>
              </w:rPr>
              <w:t>(</w:t>
            </w:r>
            <w:proofErr w:type="spellStart"/>
            <w:r w:rsidR="00DB13CD" w:rsidRPr="007D5208">
              <w:rPr>
                <w:rFonts w:eastAsia="Times New Roman" w:cs="Calibri"/>
                <w:color w:val="000000"/>
                <w:lang w:eastAsia="en-GB"/>
              </w:rPr>
              <w:t>μm</w:t>
            </w:r>
            <w:proofErr w:type="spellEnd"/>
            <w:r w:rsidR="00DB13CD">
              <w:rPr>
                <w:rFonts w:eastAsia="Times New Roman" w:cs="Calibri"/>
                <w:color w:val="000000"/>
                <w:lang w:eastAsia="en-GB"/>
              </w:rPr>
              <w:t>)</w:t>
            </w:r>
            <w:r w:rsidR="00DB13CD" w:rsidRPr="003435A9">
              <w:rPr>
                <w:rFonts w:eastAsia="Times New Roman" w:cs="Calibri"/>
                <w:color w:val="000000"/>
                <w:lang w:eastAsia="en-GB"/>
              </w:rPr>
              <w:t xml:space="preserve"> (95% CI</w:t>
            </w:r>
            <w:r w:rsidR="00DB13CD" w:rsidRPr="00FB710C">
              <w:rPr>
                <w:rFonts w:eastAsia="Times New Roman" w:cs="Calibri"/>
                <w:color w:val="000000"/>
                <w:lang w:eastAsia="en-GB"/>
              </w:rPr>
              <w:t>) 80% probability*</w:t>
            </w:r>
          </w:p>
        </w:tc>
        <w:tc>
          <w:tcPr>
            <w:tcW w:w="1254" w:type="pct"/>
            <w:tcBorders>
              <w:top w:val="nil"/>
              <w:left w:val="nil"/>
              <w:bottom w:val="nil"/>
              <w:right w:val="nil"/>
            </w:tcBorders>
            <w:shd w:val="clear" w:color="auto" w:fill="auto"/>
            <w:noWrap/>
            <w:hideMark/>
          </w:tcPr>
          <w:p w:rsidR="00DB13CD" w:rsidRPr="00FB710C" w:rsidRDefault="00182E80" w:rsidP="00FB710C">
            <w:pPr>
              <w:spacing w:after="0" w:line="240" w:lineRule="auto"/>
              <w:rPr>
                <w:rFonts w:eastAsia="Times New Roman" w:cs="Calibri"/>
                <w:color w:val="000000"/>
                <w:lang w:eastAsia="en-GB"/>
              </w:rPr>
            </w:pPr>
            <w:r>
              <w:rPr>
                <w:rFonts w:eastAsia="Times New Roman" w:cs="Calibri"/>
                <w:color w:val="000000"/>
                <w:lang w:eastAsia="en-GB"/>
              </w:rPr>
              <w:t>5.5 (1.7, 9.3) p=0.005</w:t>
            </w:r>
          </w:p>
        </w:tc>
        <w:tc>
          <w:tcPr>
            <w:tcW w:w="994" w:type="pct"/>
            <w:tcBorders>
              <w:top w:val="nil"/>
              <w:left w:val="nil"/>
              <w:bottom w:val="nil"/>
              <w:right w:val="nil"/>
            </w:tcBorders>
          </w:tcPr>
          <w:p w:rsidR="00DB13CD" w:rsidRPr="00FB710C" w:rsidRDefault="00182E80" w:rsidP="00FB710C">
            <w:pPr>
              <w:spacing w:after="0" w:line="240" w:lineRule="auto"/>
              <w:rPr>
                <w:rFonts w:eastAsia="Times New Roman" w:cs="Calibri"/>
                <w:color w:val="000000"/>
                <w:lang w:eastAsia="en-GB"/>
              </w:rPr>
            </w:pPr>
            <w:r>
              <w:rPr>
                <w:rFonts w:eastAsia="Times New Roman" w:cs="Calibri"/>
                <w:color w:val="000000"/>
                <w:lang w:eastAsia="en-GB"/>
              </w:rPr>
              <w:t>8.9 (4.7, 13.2) p=&lt;0.001</w:t>
            </w:r>
          </w:p>
        </w:tc>
        <w:tc>
          <w:tcPr>
            <w:tcW w:w="1127" w:type="pct"/>
            <w:tcBorders>
              <w:top w:val="nil"/>
              <w:left w:val="nil"/>
              <w:bottom w:val="nil"/>
              <w:right w:val="nil"/>
            </w:tcBorders>
            <w:shd w:val="clear" w:color="auto" w:fill="auto"/>
            <w:noWrap/>
            <w:hideMark/>
          </w:tcPr>
          <w:p w:rsidR="00DB13CD" w:rsidRPr="00FB710C" w:rsidRDefault="00DB13CD" w:rsidP="00FB710C">
            <w:pPr>
              <w:spacing w:after="0" w:line="240" w:lineRule="auto"/>
              <w:rPr>
                <w:rFonts w:eastAsia="Times New Roman" w:cs="Calibri"/>
                <w:color w:val="000000"/>
                <w:lang w:eastAsia="en-GB"/>
              </w:rPr>
            </w:pPr>
          </w:p>
        </w:tc>
      </w:tr>
      <w:tr w:rsidR="00182E80" w:rsidRPr="00FB710C" w:rsidTr="00182E80">
        <w:trPr>
          <w:trHeight w:val="300"/>
        </w:trPr>
        <w:tc>
          <w:tcPr>
            <w:tcW w:w="1625" w:type="pct"/>
            <w:tcBorders>
              <w:top w:val="nil"/>
              <w:left w:val="nil"/>
              <w:bottom w:val="nil"/>
              <w:right w:val="nil"/>
            </w:tcBorders>
            <w:shd w:val="clear" w:color="auto" w:fill="auto"/>
            <w:noWrap/>
          </w:tcPr>
          <w:p w:rsidR="00182E80" w:rsidRDefault="00182E80" w:rsidP="006D727C">
            <w:pPr>
              <w:spacing w:after="0" w:line="240" w:lineRule="auto"/>
              <w:ind w:left="720"/>
              <w:rPr>
                <w:rFonts w:eastAsia="Times New Roman" w:cs="Calibri"/>
                <w:color w:val="000000"/>
                <w:lang w:eastAsia="en-GB"/>
              </w:rPr>
            </w:pPr>
            <w:r>
              <w:rPr>
                <w:rFonts w:eastAsia="Times New Roman" w:cs="Calibri"/>
                <w:color w:val="000000"/>
                <w:lang w:eastAsia="en-GB"/>
              </w:rPr>
              <w:t xml:space="preserve">Adjusted for age at time of retinal photograph </w:t>
            </w:r>
            <w:r w:rsidR="006D727C">
              <w:rPr>
                <w:rFonts w:eastAsia="Times New Roman" w:cs="Calibri"/>
                <w:color w:val="000000"/>
                <w:lang w:eastAsia="en-GB"/>
              </w:rPr>
              <w:t xml:space="preserve">capture </w:t>
            </w:r>
            <w:r>
              <w:rPr>
                <w:rFonts w:eastAsia="Times New Roman" w:cs="Calibri"/>
                <w:color w:val="000000"/>
                <w:lang w:eastAsia="en-GB"/>
              </w:rPr>
              <w:t>and sex</w:t>
            </w:r>
          </w:p>
        </w:tc>
        <w:tc>
          <w:tcPr>
            <w:tcW w:w="1254" w:type="pct"/>
            <w:tcBorders>
              <w:top w:val="nil"/>
              <w:left w:val="nil"/>
              <w:bottom w:val="nil"/>
              <w:right w:val="nil"/>
            </w:tcBorders>
            <w:shd w:val="clear" w:color="auto" w:fill="auto"/>
            <w:noWrap/>
          </w:tcPr>
          <w:p w:rsidR="00182E80" w:rsidRDefault="00182E80" w:rsidP="00FB710C">
            <w:pPr>
              <w:spacing w:after="0" w:line="240" w:lineRule="auto"/>
              <w:rPr>
                <w:rFonts w:eastAsia="Times New Roman" w:cs="Calibri"/>
                <w:color w:val="000000"/>
                <w:lang w:eastAsia="en-GB"/>
              </w:rPr>
            </w:pPr>
            <w:r>
              <w:rPr>
                <w:rFonts w:eastAsia="Times New Roman" w:cs="Calibri"/>
                <w:color w:val="000000"/>
                <w:lang w:eastAsia="en-GB"/>
              </w:rPr>
              <w:t>4.4 (0.7, 8.2) p=0.021</w:t>
            </w:r>
          </w:p>
        </w:tc>
        <w:tc>
          <w:tcPr>
            <w:tcW w:w="994" w:type="pct"/>
            <w:tcBorders>
              <w:top w:val="nil"/>
              <w:left w:val="nil"/>
              <w:bottom w:val="nil"/>
              <w:right w:val="nil"/>
            </w:tcBorders>
          </w:tcPr>
          <w:p w:rsidR="00182E80" w:rsidRPr="00FB710C" w:rsidRDefault="00182E80" w:rsidP="00FB710C">
            <w:pPr>
              <w:spacing w:after="0" w:line="240" w:lineRule="auto"/>
              <w:rPr>
                <w:rFonts w:eastAsia="Times New Roman" w:cs="Calibri"/>
                <w:color w:val="000000"/>
                <w:lang w:eastAsia="en-GB"/>
              </w:rPr>
            </w:pPr>
            <w:r>
              <w:rPr>
                <w:rFonts w:eastAsia="Times New Roman" w:cs="Calibri"/>
                <w:color w:val="000000"/>
                <w:lang w:eastAsia="en-GB"/>
              </w:rPr>
              <w:t>7.8 (3.6, 12.0) p=&lt;0.001</w:t>
            </w:r>
          </w:p>
        </w:tc>
        <w:tc>
          <w:tcPr>
            <w:tcW w:w="1127" w:type="pct"/>
            <w:tcBorders>
              <w:top w:val="nil"/>
              <w:left w:val="nil"/>
              <w:bottom w:val="nil"/>
              <w:right w:val="nil"/>
            </w:tcBorders>
            <w:shd w:val="clear" w:color="auto" w:fill="auto"/>
            <w:noWrap/>
          </w:tcPr>
          <w:p w:rsidR="00182E80" w:rsidRPr="00FB710C" w:rsidRDefault="00182E80" w:rsidP="00FB710C">
            <w:pPr>
              <w:spacing w:after="0" w:line="240" w:lineRule="auto"/>
              <w:rPr>
                <w:rFonts w:eastAsia="Times New Roman" w:cs="Calibri"/>
                <w:color w:val="000000"/>
                <w:lang w:eastAsia="en-GB"/>
              </w:rPr>
            </w:pPr>
          </w:p>
        </w:tc>
      </w:tr>
      <w:tr w:rsidR="00DB13CD" w:rsidRPr="00FB710C" w:rsidTr="00182E80">
        <w:trPr>
          <w:trHeight w:val="300"/>
        </w:trPr>
        <w:tc>
          <w:tcPr>
            <w:tcW w:w="1625" w:type="pct"/>
            <w:tcBorders>
              <w:top w:val="nil"/>
              <w:left w:val="nil"/>
              <w:bottom w:val="nil"/>
              <w:right w:val="nil"/>
            </w:tcBorders>
            <w:shd w:val="clear" w:color="auto" w:fill="auto"/>
            <w:noWrap/>
          </w:tcPr>
          <w:p w:rsidR="00DB13CD" w:rsidRPr="003435A9" w:rsidRDefault="00DB13CD" w:rsidP="00FB710C">
            <w:pPr>
              <w:spacing w:after="0" w:line="240" w:lineRule="auto"/>
              <w:rPr>
                <w:rFonts w:eastAsia="Times New Roman" w:cs="Calibri"/>
                <w:color w:val="000000"/>
                <w:lang w:eastAsia="en-GB"/>
              </w:rPr>
            </w:pPr>
          </w:p>
        </w:tc>
        <w:tc>
          <w:tcPr>
            <w:tcW w:w="1254" w:type="pct"/>
            <w:tcBorders>
              <w:top w:val="nil"/>
              <w:left w:val="nil"/>
              <w:bottom w:val="nil"/>
              <w:right w:val="nil"/>
            </w:tcBorders>
            <w:shd w:val="clear" w:color="auto" w:fill="auto"/>
            <w:noWrap/>
          </w:tcPr>
          <w:p w:rsidR="00DB13CD" w:rsidRPr="00FB710C" w:rsidRDefault="00DB13CD" w:rsidP="00FB710C">
            <w:pPr>
              <w:spacing w:after="0" w:line="240" w:lineRule="auto"/>
              <w:rPr>
                <w:rFonts w:eastAsia="Times New Roman" w:cs="Calibri"/>
                <w:color w:val="000000"/>
                <w:lang w:eastAsia="en-GB"/>
              </w:rPr>
            </w:pPr>
          </w:p>
        </w:tc>
        <w:tc>
          <w:tcPr>
            <w:tcW w:w="994" w:type="pct"/>
            <w:tcBorders>
              <w:top w:val="nil"/>
              <w:left w:val="nil"/>
              <w:bottom w:val="nil"/>
              <w:right w:val="nil"/>
            </w:tcBorders>
          </w:tcPr>
          <w:p w:rsidR="00DB13CD" w:rsidRPr="00FB710C" w:rsidRDefault="00DB13CD" w:rsidP="00FB710C">
            <w:pPr>
              <w:spacing w:after="0" w:line="240" w:lineRule="auto"/>
              <w:rPr>
                <w:rFonts w:eastAsia="Times New Roman" w:cs="Calibri"/>
                <w:color w:val="000000"/>
                <w:lang w:eastAsia="en-GB"/>
              </w:rPr>
            </w:pPr>
          </w:p>
        </w:tc>
        <w:tc>
          <w:tcPr>
            <w:tcW w:w="1127" w:type="pct"/>
            <w:tcBorders>
              <w:top w:val="nil"/>
              <w:left w:val="nil"/>
              <w:bottom w:val="nil"/>
              <w:right w:val="nil"/>
            </w:tcBorders>
            <w:shd w:val="clear" w:color="auto" w:fill="auto"/>
            <w:noWrap/>
          </w:tcPr>
          <w:p w:rsidR="00DB13CD" w:rsidRPr="00FB710C" w:rsidRDefault="00DB13CD" w:rsidP="00FB710C">
            <w:pPr>
              <w:spacing w:after="0" w:line="240" w:lineRule="auto"/>
              <w:rPr>
                <w:rFonts w:eastAsia="Times New Roman" w:cs="Calibri"/>
                <w:color w:val="000000"/>
                <w:lang w:eastAsia="en-GB"/>
              </w:rPr>
            </w:pPr>
          </w:p>
        </w:tc>
      </w:tr>
      <w:tr w:rsidR="00DB13CD" w:rsidRPr="00FB710C" w:rsidTr="00182E80">
        <w:trPr>
          <w:trHeight w:val="300"/>
        </w:trPr>
        <w:tc>
          <w:tcPr>
            <w:tcW w:w="1625" w:type="pct"/>
            <w:tcBorders>
              <w:top w:val="nil"/>
              <w:left w:val="nil"/>
              <w:bottom w:val="nil"/>
              <w:right w:val="nil"/>
            </w:tcBorders>
            <w:shd w:val="clear" w:color="auto" w:fill="auto"/>
            <w:noWrap/>
            <w:hideMark/>
          </w:tcPr>
          <w:p w:rsidR="00DB13CD" w:rsidRPr="00FB710C" w:rsidRDefault="00DB13CD" w:rsidP="00FB710C">
            <w:pPr>
              <w:spacing w:after="0" w:line="240" w:lineRule="auto"/>
              <w:rPr>
                <w:rFonts w:eastAsia="Times New Roman" w:cs="Calibri"/>
                <w:color w:val="000000"/>
                <w:lang w:eastAsia="en-GB"/>
              </w:rPr>
            </w:pPr>
            <w:r w:rsidRPr="003435A9">
              <w:rPr>
                <w:rFonts w:eastAsia="Times New Roman" w:cs="Calibri"/>
                <w:color w:val="000000"/>
                <w:lang w:eastAsia="en-GB"/>
              </w:rPr>
              <w:t>Arteriolar width (</w:t>
            </w:r>
            <w:proofErr w:type="spellStart"/>
            <w:r w:rsidRPr="007D5208">
              <w:rPr>
                <w:rFonts w:eastAsia="Times New Roman" w:cs="Calibri"/>
                <w:color w:val="000000"/>
                <w:lang w:eastAsia="en-GB"/>
              </w:rPr>
              <w:t>μm</w:t>
            </w:r>
            <w:proofErr w:type="spellEnd"/>
            <w:r w:rsidRPr="003435A9">
              <w:rPr>
                <w:rFonts w:eastAsia="Times New Roman" w:cs="Calibri"/>
                <w:color w:val="000000"/>
                <w:lang w:eastAsia="en-GB"/>
              </w:rPr>
              <w:t>) and SD</w:t>
            </w:r>
          </w:p>
        </w:tc>
        <w:tc>
          <w:tcPr>
            <w:tcW w:w="1254" w:type="pct"/>
            <w:tcBorders>
              <w:top w:val="nil"/>
              <w:left w:val="nil"/>
              <w:bottom w:val="nil"/>
              <w:right w:val="nil"/>
            </w:tcBorders>
            <w:shd w:val="clear" w:color="auto" w:fill="auto"/>
            <w:noWrap/>
            <w:hideMark/>
          </w:tcPr>
          <w:p w:rsidR="00DB13CD" w:rsidRPr="00FB710C" w:rsidRDefault="00DB13CD" w:rsidP="00FB710C">
            <w:pPr>
              <w:spacing w:after="0" w:line="240" w:lineRule="auto"/>
              <w:rPr>
                <w:rFonts w:eastAsia="Times New Roman" w:cs="Calibri"/>
                <w:color w:val="000000"/>
                <w:lang w:eastAsia="en-GB"/>
              </w:rPr>
            </w:pPr>
            <w:r w:rsidRPr="00FB710C">
              <w:rPr>
                <w:rFonts w:eastAsia="Times New Roman" w:cs="Calibri"/>
                <w:color w:val="000000"/>
                <w:lang w:eastAsia="en-GB"/>
              </w:rPr>
              <w:t>75.6 SD 7.6</w:t>
            </w:r>
          </w:p>
        </w:tc>
        <w:tc>
          <w:tcPr>
            <w:tcW w:w="994" w:type="pct"/>
            <w:tcBorders>
              <w:top w:val="nil"/>
              <w:left w:val="nil"/>
              <w:bottom w:val="nil"/>
              <w:right w:val="nil"/>
            </w:tcBorders>
          </w:tcPr>
          <w:p w:rsidR="00DB13CD" w:rsidRPr="00FB710C" w:rsidRDefault="00FA13C2" w:rsidP="00FB710C">
            <w:pPr>
              <w:spacing w:after="0" w:line="240" w:lineRule="auto"/>
              <w:rPr>
                <w:rFonts w:eastAsia="Times New Roman" w:cs="Calibri"/>
                <w:color w:val="000000"/>
                <w:lang w:eastAsia="en-GB"/>
              </w:rPr>
            </w:pPr>
            <w:r>
              <w:rPr>
                <w:rFonts w:eastAsia="Times New Roman" w:cs="Calibri"/>
                <w:color w:val="000000"/>
                <w:lang w:eastAsia="en-GB"/>
              </w:rPr>
              <w:t>76.9 SD 7.8</w:t>
            </w:r>
          </w:p>
        </w:tc>
        <w:tc>
          <w:tcPr>
            <w:tcW w:w="1127" w:type="pct"/>
            <w:tcBorders>
              <w:top w:val="nil"/>
              <w:left w:val="nil"/>
              <w:bottom w:val="nil"/>
              <w:right w:val="nil"/>
            </w:tcBorders>
            <w:shd w:val="clear" w:color="auto" w:fill="auto"/>
            <w:noWrap/>
            <w:hideMark/>
          </w:tcPr>
          <w:p w:rsidR="00DB13CD" w:rsidRPr="00FB710C" w:rsidRDefault="00DB13CD" w:rsidP="00FB710C">
            <w:pPr>
              <w:spacing w:after="0" w:line="240" w:lineRule="auto"/>
              <w:rPr>
                <w:rFonts w:eastAsia="Times New Roman" w:cs="Calibri"/>
                <w:color w:val="000000"/>
                <w:lang w:eastAsia="en-GB"/>
              </w:rPr>
            </w:pPr>
            <w:r w:rsidRPr="00FB710C">
              <w:rPr>
                <w:rFonts w:eastAsia="Times New Roman" w:cs="Calibri"/>
                <w:color w:val="000000"/>
                <w:lang w:eastAsia="en-GB"/>
              </w:rPr>
              <w:t>75.0 SD 6.3 from 5,037 controls</w:t>
            </w:r>
          </w:p>
        </w:tc>
      </w:tr>
      <w:tr w:rsidR="00DB13CD" w:rsidRPr="00FB710C" w:rsidTr="00182E80">
        <w:trPr>
          <w:trHeight w:val="300"/>
        </w:trPr>
        <w:tc>
          <w:tcPr>
            <w:tcW w:w="1625" w:type="pct"/>
            <w:tcBorders>
              <w:top w:val="nil"/>
              <w:left w:val="nil"/>
              <w:bottom w:val="nil"/>
              <w:right w:val="nil"/>
            </w:tcBorders>
            <w:shd w:val="clear" w:color="auto" w:fill="auto"/>
            <w:noWrap/>
            <w:hideMark/>
          </w:tcPr>
          <w:p w:rsidR="00DB13CD" w:rsidRPr="00FB710C" w:rsidRDefault="006D727C" w:rsidP="006D727C">
            <w:pPr>
              <w:spacing w:after="0" w:line="240" w:lineRule="auto"/>
              <w:rPr>
                <w:rFonts w:eastAsia="Times New Roman" w:cs="Calibri"/>
                <w:color w:val="000000"/>
                <w:lang w:eastAsia="en-GB"/>
              </w:rPr>
            </w:pPr>
            <w:r>
              <w:rPr>
                <w:rFonts w:eastAsia="Times New Roman" w:cs="Calibri"/>
                <w:color w:val="000000"/>
                <w:lang w:eastAsia="en-GB"/>
              </w:rPr>
              <w:t>Difference in a</w:t>
            </w:r>
            <w:r w:rsidR="00DB13CD" w:rsidRPr="00FB710C">
              <w:rPr>
                <w:rFonts w:eastAsia="Times New Roman" w:cs="Calibri"/>
                <w:color w:val="000000"/>
                <w:lang w:eastAsia="en-GB"/>
              </w:rPr>
              <w:t xml:space="preserve">rteriolar width </w:t>
            </w:r>
            <w:r w:rsidR="00DB13CD">
              <w:rPr>
                <w:rFonts w:eastAsia="Times New Roman" w:cs="Calibri"/>
                <w:color w:val="000000"/>
                <w:lang w:eastAsia="en-GB"/>
              </w:rPr>
              <w:t>(</w:t>
            </w:r>
            <w:proofErr w:type="spellStart"/>
            <w:r w:rsidR="00DB13CD" w:rsidRPr="007D5208">
              <w:rPr>
                <w:rFonts w:eastAsia="Times New Roman" w:cs="Calibri"/>
                <w:color w:val="000000"/>
                <w:lang w:eastAsia="en-GB"/>
              </w:rPr>
              <w:t>μm</w:t>
            </w:r>
            <w:proofErr w:type="spellEnd"/>
            <w:r w:rsidR="00DB13CD">
              <w:rPr>
                <w:rFonts w:eastAsia="Times New Roman" w:cs="Calibri"/>
                <w:color w:val="000000"/>
                <w:lang w:eastAsia="en-GB"/>
              </w:rPr>
              <w:t>)</w:t>
            </w:r>
            <w:r w:rsidR="00DB13CD" w:rsidRPr="003435A9">
              <w:rPr>
                <w:rFonts w:eastAsia="Times New Roman" w:cs="Calibri"/>
                <w:color w:val="000000"/>
                <w:lang w:eastAsia="en-GB"/>
              </w:rPr>
              <w:t xml:space="preserve"> (95% CI</w:t>
            </w:r>
            <w:r w:rsidR="00DB13CD" w:rsidRPr="00FB710C">
              <w:rPr>
                <w:rFonts w:eastAsia="Times New Roman" w:cs="Calibri"/>
                <w:color w:val="000000"/>
                <w:lang w:eastAsia="en-GB"/>
              </w:rPr>
              <w:t>) 80% probability*</w:t>
            </w:r>
          </w:p>
        </w:tc>
        <w:tc>
          <w:tcPr>
            <w:tcW w:w="1254" w:type="pct"/>
            <w:tcBorders>
              <w:top w:val="nil"/>
              <w:left w:val="nil"/>
              <w:bottom w:val="nil"/>
              <w:right w:val="nil"/>
            </w:tcBorders>
            <w:shd w:val="clear" w:color="auto" w:fill="auto"/>
            <w:noWrap/>
            <w:hideMark/>
          </w:tcPr>
          <w:p w:rsidR="00DB13CD" w:rsidRPr="00FB710C" w:rsidRDefault="00DB13CD" w:rsidP="006E5650">
            <w:pPr>
              <w:spacing w:after="0" w:line="240" w:lineRule="auto"/>
              <w:rPr>
                <w:rFonts w:eastAsia="Times New Roman" w:cs="Calibri"/>
                <w:color w:val="000000"/>
                <w:lang w:eastAsia="en-GB"/>
              </w:rPr>
            </w:pPr>
            <w:r>
              <w:rPr>
                <w:rFonts w:eastAsia="Times New Roman" w:cs="Calibri"/>
                <w:color w:val="000000"/>
                <w:lang w:eastAsia="en-GB"/>
              </w:rPr>
              <w:t>0.7</w:t>
            </w:r>
            <w:r w:rsidRPr="00FB710C">
              <w:rPr>
                <w:rFonts w:eastAsia="Times New Roman" w:cs="Calibri"/>
                <w:color w:val="000000"/>
                <w:lang w:eastAsia="en-GB"/>
              </w:rPr>
              <w:t xml:space="preserve"> (-1.6, 2.9) p=0.575</w:t>
            </w:r>
          </w:p>
        </w:tc>
        <w:tc>
          <w:tcPr>
            <w:tcW w:w="994" w:type="pct"/>
            <w:tcBorders>
              <w:top w:val="nil"/>
              <w:left w:val="nil"/>
              <w:bottom w:val="nil"/>
              <w:right w:val="nil"/>
            </w:tcBorders>
          </w:tcPr>
          <w:p w:rsidR="00DB13CD" w:rsidRPr="00FB710C" w:rsidRDefault="00FA13C2" w:rsidP="00FB710C">
            <w:pPr>
              <w:spacing w:after="0" w:line="240" w:lineRule="auto"/>
              <w:rPr>
                <w:rFonts w:eastAsia="Times New Roman" w:cs="Calibri"/>
                <w:color w:val="000000"/>
                <w:lang w:eastAsia="en-GB"/>
              </w:rPr>
            </w:pPr>
            <w:r>
              <w:rPr>
                <w:rFonts w:eastAsia="Times New Roman" w:cs="Calibri"/>
                <w:color w:val="000000"/>
                <w:lang w:eastAsia="en-GB"/>
              </w:rPr>
              <w:t>0.6 (-1.6, 2.9) p=0.57</w:t>
            </w:r>
          </w:p>
        </w:tc>
        <w:tc>
          <w:tcPr>
            <w:tcW w:w="1127" w:type="pct"/>
            <w:tcBorders>
              <w:top w:val="nil"/>
              <w:left w:val="nil"/>
              <w:bottom w:val="nil"/>
              <w:right w:val="nil"/>
            </w:tcBorders>
            <w:shd w:val="clear" w:color="auto" w:fill="auto"/>
            <w:noWrap/>
            <w:hideMark/>
          </w:tcPr>
          <w:p w:rsidR="00DB13CD" w:rsidRPr="00FB710C" w:rsidRDefault="00DB13CD" w:rsidP="00FB710C">
            <w:pPr>
              <w:spacing w:after="0" w:line="240" w:lineRule="auto"/>
              <w:rPr>
                <w:rFonts w:eastAsia="Times New Roman" w:cs="Calibri"/>
                <w:color w:val="000000"/>
                <w:lang w:eastAsia="en-GB"/>
              </w:rPr>
            </w:pPr>
          </w:p>
        </w:tc>
      </w:tr>
      <w:tr w:rsidR="00DB13CD" w:rsidRPr="00FB710C" w:rsidTr="00182E80">
        <w:trPr>
          <w:trHeight w:val="300"/>
        </w:trPr>
        <w:tc>
          <w:tcPr>
            <w:tcW w:w="1625" w:type="pct"/>
            <w:tcBorders>
              <w:top w:val="nil"/>
              <w:left w:val="nil"/>
              <w:bottom w:val="nil"/>
              <w:right w:val="nil"/>
            </w:tcBorders>
            <w:shd w:val="clear" w:color="auto" w:fill="auto"/>
            <w:noWrap/>
          </w:tcPr>
          <w:p w:rsidR="00DB13CD" w:rsidRPr="003435A9" w:rsidRDefault="00DB13CD" w:rsidP="006D727C">
            <w:pPr>
              <w:spacing w:after="0" w:line="240" w:lineRule="auto"/>
              <w:ind w:left="720"/>
              <w:rPr>
                <w:rFonts w:eastAsia="Times New Roman" w:cs="Calibri"/>
                <w:color w:val="000000"/>
                <w:lang w:eastAsia="en-GB"/>
              </w:rPr>
            </w:pPr>
            <w:r>
              <w:rPr>
                <w:rFonts w:eastAsia="Times New Roman" w:cs="Calibri"/>
                <w:color w:val="000000"/>
                <w:lang w:eastAsia="en-GB"/>
              </w:rPr>
              <w:t>Adjusted for age at time of retinal photograph</w:t>
            </w:r>
            <w:r w:rsidR="006D727C">
              <w:rPr>
                <w:rFonts w:eastAsia="Times New Roman" w:cs="Calibri"/>
                <w:color w:val="000000"/>
                <w:lang w:eastAsia="en-GB"/>
              </w:rPr>
              <w:t xml:space="preserve"> capture</w:t>
            </w:r>
            <w:r w:rsidR="00FA13C2">
              <w:rPr>
                <w:rFonts w:eastAsia="Times New Roman" w:cs="Calibri"/>
                <w:color w:val="000000"/>
                <w:lang w:eastAsia="en-GB"/>
              </w:rPr>
              <w:t xml:space="preserve"> and sex</w:t>
            </w:r>
          </w:p>
        </w:tc>
        <w:tc>
          <w:tcPr>
            <w:tcW w:w="1254" w:type="pct"/>
            <w:tcBorders>
              <w:top w:val="nil"/>
              <w:left w:val="nil"/>
              <w:bottom w:val="nil"/>
              <w:right w:val="nil"/>
            </w:tcBorders>
            <w:shd w:val="clear" w:color="auto" w:fill="auto"/>
            <w:noWrap/>
          </w:tcPr>
          <w:p w:rsidR="00DB13CD" w:rsidRPr="00FB710C" w:rsidRDefault="00DB13CD" w:rsidP="00FB710C">
            <w:pPr>
              <w:spacing w:after="0" w:line="240" w:lineRule="auto"/>
              <w:rPr>
                <w:rFonts w:eastAsia="Times New Roman" w:cs="Calibri"/>
                <w:color w:val="000000"/>
                <w:lang w:eastAsia="en-GB"/>
              </w:rPr>
            </w:pPr>
            <w:r>
              <w:rPr>
                <w:rFonts w:eastAsia="Times New Roman" w:cs="Calibri"/>
                <w:color w:val="000000"/>
                <w:lang w:eastAsia="en-GB"/>
              </w:rPr>
              <w:t>1.0 (-1.2, 3.3) p=0.366</w:t>
            </w:r>
          </w:p>
        </w:tc>
        <w:tc>
          <w:tcPr>
            <w:tcW w:w="994" w:type="pct"/>
            <w:tcBorders>
              <w:top w:val="nil"/>
              <w:left w:val="nil"/>
              <w:bottom w:val="nil"/>
              <w:right w:val="nil"/>
            </w:tcBorders>
          </w:tcPr>
          <w:p w:rsidR="00DB13CD" w:rsidRPr="00FB710C" w:rsidRDefault="00FA13C2" w:rsidP="00FB710C">
            <w:pPr>
              <w:spacing w:after="0" w:line="240" w:lineRule="auto"/>
              <w:rPr>
                <w:rFonts w:eastAsia="Times New Roman" w:cs="Calibri"/>
                <w:color w:val="000000"/>
                <w:lang w:eastAsia="en-GB"/>
              </w:rPr>
            </w:pPr>
            <w:r>
              <w:rPr>
                <w:rFonts w:eastAsia="Times New Roman" w:cs="Calibri"/>
                <w:color w:val="000000"/>
                <w:lang w:eastAsia="en-GB"/>
              </w:rPr>
              <w:t>1.1 (-1.1, 3.4) p=0.32</w:t>
            </w:r>
          </w:p>
        </w:tc>
        <w:tc>
          <w:tcPr>
            <w:tcW w:w="1127" w:type="pct"/>
            <w:tcBorders>
              <w:top w:val="nil"/>
              <w:left w:val="nil"/>
              <w:bottom w:val="nil"/>
              <w:right w:val="nil"/>
            </w:tcBorders>
            <w:shd w:val="clear" w:color="auto" w:fill="auto"/>
            <w:noWrap/>
          </w:tcPr>
          <w:p w:rsidR="00DB13CD" w:rsidRPr="00FB710C" w:rsidRDefault="00DB13CD" w:rsidP="00FB710C">
            <w:pPr>
              <w:spacing w:after="0" w:line="240" w:lineRule="auto"/>
              <w:rPr>
                <w:rFonts w:eastAsia="Times New Roman" w:cs="Calibri"/>
                <w:color w:val="000000"/>
                <w:lang w:eastAsia="en-GB"/>
              </w:rPr>
            </w:pPr>
          </w:p>
        </w:tc>
      </w:tr>
      <w:tr w:rsidR="00DB13CD" w:rsidRPr="00FB710C" w:rsidTr="00182E80">
        <w:trPr>
          <w:trHeight w:val="300"/>
        </w:trPr>
        <w:tc>
          <w:tcPr>
            <w:tcW w:w="1625" w:type="pct"/>
            <w:tcBorders>
              <w:top w:val="nil"/>
              <w:left w:val="nil"/>
              <w:bottom w:val="single" w:sz="4" w:space="0" w:color="auto"/>
              <w:right w:val="nil"/>
            </w:tcBorders>
            <w:shd w:val="clear" w:color="auto" w:fill="auto"/>
            <w:noWrap/>
            <w:hideMark/>
          </w:tcPr>
          <w:p w:rsidR="00DB13CD" w:rsidRPr="00FB710C" w:rsidRDefault="00DB13CD" w:rsidP="00FB710C">
            <w:pPr>
              <w:spacing w:after="0" w:line="240" w:lineRule="auto"/>
              <w:rPr>
                <w:rFonts w:eastAsia="Times New Roman" w:cs="Calibri"/>
                <w:sz w:val="20"/>
                <w:szCs w:val="20"/>
                <w:lang w:eastAsia="en-GB"/>
              </w:rPr>
            </w:pPr>
          </w:p>
        </w:tc>
        <w:tc>
          <w:tcPr>
            <w:tcW w:w="1254" w:type="pct"/>
            <w:tcBorders>
              <w:top w:val="nil"/>
              <w:left w:val="nil"/>
              <w:bottom w:val="single" w:sz="4" w:space="0" w:color="auto"/>
              <w:right w:val="nil"/>
            </w:tcBorders>
            <w:shd w:val="clear" w:color="auto" w:fill="auto"/>
            <w:noWrap/>
            <w:hideMark/>
          </w:tcPr>
          <w:p w:rsidR="00DB13CD" w:rsidRPr="00FB710C" w:rsidRDefault="00DB13CD" w:rsidP="00FB710C">
            <w:pPr>
              <w:spacing w:after="0" w:line="240" w:lineRule="auto"/>
              <w:rPr>
                <w:rFonts w:eastAsia="Times New Roman" w:cs="Calibri"/>
                <w:sz w:val="20"/>
                <w:szCs w:val="20"/>
                <w:lang w:eastAsia="en-GB"/>
              </w:rPr>
            </w:pPr>
          </w:p>
        </w:tc>
        <w:tc>
          <w:tcPr>
            <w:tcW w:w="994" w:type="pct"/>
            <w:tcBorders>
              <w:top w:val="nil"/>
              <w:left w:val="nil"/>
              <w:bottom w:val="single" w:sz="4" w:space="0" w:color="auto"/>
              <w:right w:val="nil"/>
            </w:tcBorders>
          </w:tcPr>
          <w:p w:rsidR="00DB13CD" w:rsidRPr="00FB710C" w:rsidRDefault="00DB13CD" w:rsidP="00FB710C">
            <w:pPr>
              <w:spacing w:after="0" w:line="240" w:lineRule="auto"/>
              <w:rPr>
                <w:rFonts w:ascii="Times New Roman" w:eastAsia="Times New Roman" w:hAnsi="Times New Roman"/>
                <w:sz w:val="20"/>
                <w:szCs w:val="20"/>
                <w:lang w:eastAsia="en-GB"/>
              </w:rPr>
            </w:pPr>
          </w:p>
        </w:tc>
        <w:tc>
          <w:tcPr>
            <w:tcW w:w="1127" w:type="pct"/>
            <w:tcBorders>
              <w:top w:val="nil"/>
              <w:left w:val="nil"/>
              <w:bottom w:val="single" w:sz="4" w:space="0" w:color="auto"/>
              <w:right w:val="nil"/>
            </w:tcBorders>
            <w:shd w:val="clear" w:color="auto" w:fill="auto"/>
            <w:noWrap/>
            <w:hideMark/>
          </w:tcPr>
          <w:p w:rsidR="00DB13CD" w:rsidRPr="00FB710C" w:rsidRDefault="00DB13CD" w:rsidP="00FB710C">
            <w:pPr>
              <w:spacing w:after="0" w:line="240" w:lineRule="auto"/>
              <w:rPr>
                <w:rFonts w:ascii="Times New Roman" w:eastAsia="Times New Roman" w:hAnsi="Times New Roman"/>
                <w:sz w:val="20"/>
                <w:szCs w:val="20"/>
                <w:lang w:eastAsia="en-GB"/>
              </w:rPr>
            </w:pPr>
          </w:p>
        </w:tc>
      </w:tr>
      <w:tr w:rsidR="00DB13CD" w:rsidRPr="00FB710C" w:rsidTr="00182E80">
        <w:trPr>
          <w:trHeight w:val="300"/>
        </w:trPr>
        <w:tc>
          <w:tcPr>
            <w:tcW w:w="1625" w:type="pct"/>
            <w:tcBorders>
              <w:top w:val="single" w:sz="4" w:space="0" w:color="auto"/>
              <w:left w:val="nil"/>
              <w:bottom w:val="nil"/>
              <w:right w:val="nil"/>
            </w:tcBorders>
            <w:shd w:val="clear" w:color="auto" w:fill="E7E6E6" w:themeFill="background2"/>
            <w:noWrap/>
            <w:hideMark/>
          </w:tcPr>
          <w:p w:rsidR="00DB13CD" w:rsidRPr="00FB710C" w:rsidRDefault="00DB13CD" w:rsidP="00FB710C">
            <w:pPr>
              <w:spacing w:after="0" w:line="240" w:lineRule="auto"/>
              <w:rPr>
                <w:rFonts w:eastAsia="Times New Roman" w:cs="Calibri"/>
                <w:b/>
                <w:color w:val="000000"/>
                <w:lang w:eastAsia="en-GB"/>
              </w:rPr>
            </w:pPr>
            <w:r w:rsidRPr="00FB710C">
              <w:rPr>
                <w:rFonts w:eastAsia="Times New Roman" w:cs="Calibri"/>
                <w:b/>
                <w:color w:val="000000"/>
                <w:lang w:eastAsia="en-GB"/>
              </w:rPr>
              <w:t>GCA (n)</w:t>
            </w:r>
          </w:p>
        </w:tc>
        <w:tc>
          <w:tcPr>
            <w:tcW w:w="1254" w:type="pct"/>
            <w:tcBorders>
              <w:top w:val="single" w:sz="4" w:space="0" w:color="auto"/>
              <w:left w:val="nil"/>
              <w:bottom w:val="nil"/>
              <w:right w:val="nil"/>
            </w:tcBorders>
            <w:shd w:val="clear" w:color="auto" w:fill="E7E6E6" w:themeFill="background2"/>
            <w:noWrap/>
            <w:hideMark/>
          </w:tcPr>
          <w:p w:rsidR="00DB13CD" w:rsidRPr="00FB710C" w:rsidRDefault="00DB13CD" w:rsidP="00FB710C">
            <w:pPr>
              <w:spacing w:after="0" w:line="240" w:lineRule="auto"/>
              <w:rPr>
                <w:rFonts w:eastAsia="Times New Roman" w:cs="Calibri"/>
                <w:color w:val="000000"/>
                <w:lang w:eastAsia="en-GB"/>
              </w:rPr>
            </w:pPr>
            <w:r w:rsidRPr="00FB710C">
              <w:rPr>
                <w:rFonts w:eastAsia="Times New Roman" w:cs="Calibri"/>
                <w:color w:val="000000"/>
                <w:lang w:eastAsia="en-GB"/>
              </w:rPr>
              <w:t>16</w:t>
            </w:r>
          </w:p>
        </w:tc>
        <w:tc>
          <w:tcPr>
            <w:tcW w:w="994" w:type="pct"/>
            <w:tcBorders>
              <w:top w:val="single" w:sz="4" w:space="0" w:color="auto"/>
              <w:left w:val="nil"/>
              <w:bottom w:val="nil"/>
              <w:right w:val="nil"/>
            </w:tcBorders>
            <w:shd w:val="clear" w:color="auto" w:fill="E7E6E6" w:themeFill="background2"/>
          </w:tcPr>
          <w:p w:rsidR="00DB13CD" w:rsidRPr="00FB710C" w:rsidRDefault="00182E80" w:rsidP="00FB710C">
            <w:pPr>
              <w:spacing w:after="0" w:line="240" w:lineRule="auto"/>
              <w:rPr>
                <w:rFonts w:eastAsia="Times New Roman" w:cs="Calibri"/>
                <w:color w:val="000000"/>
                <w:lang w:eastAsia="en-GB"/>
              </w:rPr>
            </w:pPr>
            <w:r>
              <w:rPr>
                <w:rFonts w:eastAsia="Times New Roman" w:cs="Calibri"/>
                <w:color w:val="000000"/>
                <w:lang w:eastAsia="en-GB"/>
              </w:rPr>
              <w:t>13</w:t>
            </w:r>
          </w:p>
        </w:tc>
        <w:tc>
          <w:tcPr>
            <w:tcW w:w="1127" w:type="pct"/>
            <w:tcBorders>
              <w:top w:val="single" w:sz="4" w:space="0" w:color="auto"/>
              <w:left w:val="nil"/>
              <w:bottom w:val="nil"/>
              <w:right w:val="nil"/>
            </w:tcBorders>
            <w:shd w:val="clear" w:color="auto" w:fill="E7E6E6" w:themeFill="background2"/>
            <w:noWrap/>
            <w:hideMark/>
          </w:tcPr>
          <w:p w:rsidR="00DB13CD" w:rsidRPr="00FB710C" w:rsidRDefault="00DB13CD" w:rsidP="00FB710C">
            <w:pPr>
              <w:spacing w:after="0" w:line="240" w:lineRule="auto"/>
              <w:rPr>
                <w:rFonts w:eastAsia="Times New Roman" w:cs="Calibri"/>
                <w:color w:val="000000"/>
                <w:lang w:eastAsia="en-GB"/>
              </w:rPr>
            </w:pPr>
          </w:p>
        </w:tc>
      </w:tr>
      <w:tr w:rsidR="00DB13CD" w:rsidRPr="00FB710C" w:rsidTr="00182E80">
        <w:trPr>
          <w:trHeight w:val="300"/>
        </w:trPr>
        <w:tc>
          <w:tcPr>
            <w:tcW w:w="1625" w:type="pct"/>
            <w:tcBorders>
              <w:top w:val="nil"/>
              <w:left w:val="nil"/>
              <w:bottom w:val="nil"/>
              <w:right w:val="nil"/>
            </w:tcBorders>
            <w:shd w:val="clear" w:color="auto" w:fill="auto"/>
            <w:noWrap/>
            <w:hideMark/>
          </w:tcPr>
          <w:p w:rsidR="00DB13CD" w:rsidRPr="00FB710C" w:rsidRDefault="00DB13CD" w:rsidP="00FB710C">
            <w:pPr>
              <w:spacing w:after="0" w:line="240" w:lineRule="auto"/>
              <w:rPr>
                <w:rFonts w:eastAsia="Times New Roman" w:cs="Calibri"/>
                <w:color w:val="000000"/>
                <w:lang w:eastAsia="en-GB"/>
              </w:rPr>
            </w:pPr>
            <w:r w:rsidRPr="003435A9">
              <w:rPr>
                <w:rFonts w:eastAsia="Times New Roman" w:cs="Calibri"/>
                <w:color w:val="000000"/>
                <w:lang w:eastAsia="en-GB"/>
              </w:rPr>
              <w:t>Venular width (</w:t>
            </w:r>
            <w:proofErr w:type="spellStart"/>
            <w:r w:rsidRPr="007D5208">
              <w:rPr>
                <w:rFonts w:eastAsia="Times New Roman" w:cs="Calibri"/>
                <w:color w:val="000000"/>
                <w:lang w:eastAsia="en-GB"/>
              </w:rPr>
              <w:t>μm</w:t>
            </w:r>
            <w:proofErr w:type="spellEnd"/>
            <w:r w:rsidRPr="003435A9">
              <w:rPr>
                <w:rFonts w:eastAsia="Times New Roman" w:cs="Calibri"/>
                <w:color w:val="000000"/>
                <w:lang w:eastAsia="en-GB"/>
              </w:rPr>
              <w:t>) and SD</w:t>
            </w:r>
          </w:p>
        </w:tc>
        <w:tc>
          <w:tcPr>
            <w:tcW w:w="1254" w:type="pct"/>
            <w:tcBorders>
              <w:top w:val="nil"/>
              <w:left w:val="nil"/>
              <w:bottom w:val="nil"/>
              <w:right w:val="nil"/>
            </w:tcBorders>
            <w:shd w:val="clear" w:color="auto" w:fill="auto"/>
            <w:noWrap/>
            <w:hideMark/>
          </w:tcPr>
          <w:p w:rsidR="00DB13CD" w:rsidRPr="00FB710C" w:rsidRDefault="00DB13CD" w:rsidP="00FB710C">
            <w:pPr>
              <w:spacing w:after="0" w:line="240" w:lineRule="auto"/>
              <w:rPr>
                <w:rFonts w:eastAsia="Times New Roman" w:cs="Calibri"/>
                <w:color w:val="000000"/>
                <w:lang w:eastAsia="en-GB"/>
              </w:rPr>
            </w:pPr>
            <w:r w:rsidRPr="00FB710C">
              <w:rPr>
                <w:rFonts w:eastAsia="Times New Roman" w:cs="Calibri"/>
                <w:color w:val="000000"/>
                <w:lang w:eastAsia="en-GB"/>
              </w:rPr>
              <w:t>93.0 SD 9.4</w:t>
            </w:r>
          </w:p>
        </w:tc>
        <w:tc>
          <w:tcPr>
            <w:tcW w:w="994" w:type="pct"/>
            <w:tcBorders>
              <w:top w:val="nil"/>
              <w:left w:val="nil"/>
              <w:bottom w:val="nil"/>
              <w:right w:val="nil"/>
            </w:tcBorders>
          </w:tcPr>
          <w:p w:rsidR="00DB13CD" w:rsidRPr="00FB710C" w:rsidRDefault="00182E80" w:rsidP="00FB710C">
            <w:pPr>
              <w:spacing w:after="0" w:line="240" w:lineRule="auto"/>
              <w:rPr>
                <w:rFonts w:eastAsia="Times New Roman" w:cs="Calibri"/>
                <w:color w:val="000000"/>
                <w:lang w:eastAsia="en-GB"/>
              </w:rPr>
            </w:pPr>
            <w:r>
              <w:rPr>
                <w:rFonts w:eastAsia="Times New Roman" w:cs="Calibri"/>
                <w:color w:val="000000"/>
                <w:lang w:eastAsia="en-GB"/>
              </w:rPr>
              <w:t>93.7 SD 10.3</w:t>
            </w:r>
          </w:p>
        </w:tc>
        <w:tc>
          <w:tcPr>
            <w:tcW w:w="1127" w:type="pct"/>
            <w:tcBorders>
              <w:top w:val="nil"/>
              <w:left w:val="nil"/>
              <w:bottom w:val="nil"/>
              <w:right w:val="nil"/>
            </w:tcBorders>
            <w:shd w:val="clear" w:color="auto" w:fill="auto"/>
            <w:noWrap/>
            <w:hideMark/>
          </w:tcPr>
          <w:p w:rsidR="00DB13CD" w:rsidRPr="00FB710C" w:rsidRDefault="00DB13CD" w:rsidP="00FB710C">
            <w:pPr>
              <w:spacing w:after="0" w:line="240" w:lineRule="auto"/>
              <w:rPr>
                <w:rFonts w:eastAsia="Times New Roman" w:cs="Calibri"/>
                <w:color w:val="000000"/>
                <w:lang w:eastAsia="en-GB"/>
              </w:rPr>
            </w:pPr>
            <w:r w:rsidRPr="00FB710C">
              <w:rPr>
                <w:rFonts w:eastAsia="Times New Roman" w:cs="Calibri"/>
                <w:color w:val="000000"/>
                <w:lang w:eastAsia="en-GB"/>
              </w:rPr>
              <w:t>91.1 SD 10.6 from 5,036 controls</w:t>
            </w:r>
          </w:p>
        </w:tc>
      </w:tr>
      <w:tr w:rsidR="00DB13CD" w:rsidRPr="00FB710C" w:rsidTr="00182E80">
        <w:trPr>
          <w:trHeight w:val="300"/>
        </w:trPr>
        <w:tc>
          <w:tcPr>
            <w:tcW w:w="1625" w:type="pct"/>
            <w:tcBorders>
              <w:top w:val="nil"/>
              <w:left w:val="nil"/>
              <w:bottom w:val="nil"/>
              <w:right w:val="nil"/>
            </w:tcBorders>
            <w:shd w:val="clear" w:color="auto" w:fill="auto"/>
            <w:noWrap/>
            <w:hideMark/>
          </w:tcPr>
          <w:p w:rsidR="00DB13CD" w:rsidRPr="00FB710C" w:rsidRDefault="006D727C" w:rsidP="00FB710C">
            <w:pPr>
              <w:spacing w:after="0" w:line="240" w:lineRule="auto"/>
              <w:rPr>
                <w:rFonts w:eastAsia="Times New Roman" w:cs="Calibri"/>
                <w:color w:val="000000"/>
                <w:lang w:eastAsia="en-GB"/>
              </w:rPr>
            </w:pPr>
            <w:r>
              <w:rPr>
                <w:rFonts w:eastAsia="Times New Roman" w:cs="Calibri"/>
                <w:color w:val="000000"/>
                <w:lang w:eastAsia="en-GB"/>
              </w:rPr>
              <w:t>Difference in v</w:t>
            </w:r>
            <w:r w:rsidR="00DB13CD" w:rsidRPr="00FB710C">
              <w:rPr>
                <w:rFonts w:eastAsia="Times New Roman" w:cs="Calibri"/>
                <w:color w:val="000000"/>
                <w:lang w:eastAsia="en-GB"/>
              </w:rPr>
              <w:t xml:space="preserve">enular width </w:t>
            </w:r>
            <w:r w:rsidR="00DB13CD">
              <w:rPr>
                <w:rFonts w:eastAsia="Times New Roman" w:cs="Calibri"/>
                <w:color w:val="000000"/>
                <w:lang w:eastAsia="en-GB"/>
              </w:rPr>
              <w:t>(</w:t>
            </w:r>
            <w:proofErr w:type="spellStart"/>
            <w:r w:rsidR="00DB13CD" w:rsidRPr="007D5208">
              <w:rPr>
                <w:rFonts w:eastAsia="Times New Roman" w:cs="Calibri"/>
                <w:color w:val="000000"/>
                <w:lang w:eastAsia="en-GB"/>
              </w:rPr>
              <w:t>μm</w:t>
            </w:r>
            <w:proofErr w:type="spellEnd"/>
            <w:r w:rsidR="00DB13CD">
              <w:rPr>
                <w:rFonts w:eastAsia="Times New Roman" w:cs="Calibri"/>
                <w:color w:val="000000"/>
                <w:lang w:eastAsia="en-GB"/>
              </w:rPr>
              <w:t>)</w:t>
            </w:r>
            <w:r w:rsidR="00DB13CD" w:rsidRPr="003435A9">
              <w:rPr>
                <w:rFonts w:eastAsia="Times New Roman" w:cs="Calibri"/>
                <w:color w:val="000000"/>
                <w:lang w:eastAsia="en-GB"/>
              </w:rPr>
              <w:t xml:space="preserve"> (95% CI</w:t>
            </w:r>
            <w:r w:rsidR="00DB13CD" w:rsidRPr="00FB710C">
              <w:rPr>
                <w:rFonts w:eastAsia="Times New Roman" w:cs="Calibri"/>
                <w:color w:val="000000"/>
                <w:lang w:eastAsia="en-GB"/>
              </w:rPr>
              <w:t>) 80% probability*</w:t>
            </w:r>
          </w:p>
        </w:tc>
        <w:tc>
          <w:tcPr>
            <w:tcW w:w="1254" w:type="pct"/>
            <w:tcBorders>
              <w:top w:val="nil"/>
              <w:left w:val="nil"/>
              <w:bottom w:val="nil"/>
              <w:right w:val="nil"/>
            </w:tcBorders>
            <w:shd w:val="clear" w:color="auto" w:fill="auto"/>
            <w:noWrap/>
            <w:hideMark/>
          </w:tcPr>
          <w:p w:rsidR="00DB13CD" w:rsidRPr="00FB710C" w:rsidRDefault="00DB13CD" w:rsidP="00FB710C">
            <w:pPr>
              <w:spacing w:after="0" w:line="240" w:lineRule="auto"/>
              <w:rPr>
                <w:rFonts w:eastAsia="Times New Roman" w:cs="Calibri"/>
                <w:color w:val="000000"/>
                <w:lang w:eastAsia="en-GB"/>
              </w:rPr>
            </w:pPr>
            <w:r w:rsidRPr="00FB710C">
              <w:rPr>
                <w:rFonts w:eastAsia="Times New Roman" w:cs="Calibri"/>
                <w:color w:val="000000"/>
                <w:lang w:eastAsia="en-GB"/>
              </w:rPr>
              <w:t>1.9 (-3.3, 7.1) p=0.47</w:t>
            </w:r>
          </w:p>
        </w:tc>
        <w:tc>
          <w:tcPr>
            <w:tcW w:w="994" w:type="pct"/>
            <w:tcBorders>
              <w:top w:val="nil"/>
              <w:left w:val="nil"/>
              <w:bottom w:val="nil"/>
              <w:right w:val="nil"/>
            </w:tcBorders>
          </w:tcPr>
          <w:p w:rsidR="00DB13CD" w:rsidRPr="00FB710C" w:rsidRDefault="0007576D" w:rsidP="00FB710C">
            <w:pPr>
              <w:spacing w:after="0" w:line="240" w:lineRule="auto"/>
              <w:rPr>
                <w:rFonts w:eastAsia="Times New Roman" w:cs="Calibri"/>
                <w:color w:val="000000"/>
                <w:lang w:eastAsia="en-GB"/>
              </w:rPr>
            </w:pPr>
            <w:r>
              <w:rPr>
                <w:rFonts w:eastAsia="Times New Roman" w:cs="Calibri"/>
                <w:color w:val="000000"/>
                <w:lang w:eastAsia="en-GB"/>
              </w:rPr>
              <w:t>2.6 (-3.2, 8.4)</w:t>
            </w:r>
            <w:r w:rsidR="00F66764">
              <w:rPr>
                <w:rFonts w:eastAsia="Times New Roman" w:cs="Calibri"/>
                <w:color w:val="000000"/>
                <w:lang w:eastAsia="en-GB"/>
              </w:rPr>
              <w:t xml:space="preserve"> p=0.38</w:t>
            </w:r>
          </w:p>
        </w:tc>
        <w:tc>
          <w:tcPr>
            <w:tcW w:w="1127" w:type="pct"/>
            <w:tcBorders>
              <w:top w:val="nil"/>
              <w:left w:val="nil"/>
              <w:bottom w:val="nil"/>
              <w:right w:val="nil"/>
            </w:tcBorders>
            <w:shd w:val="clear" w:color="auto" w:fill="auto"/>
            <w:noWrap/>
            <w:hideMark/>
          </w:tcPr>
          <w:p w:rsidR="00DB13CD" w:rsidRPr="00FB710C" w:rsidRDefault="00DB13CD" w:rsidP="00FB710C">
            <w:pPr>
              <w:spacing w:after="0" w:line="240" w:lineRule="auto"/>
              <w:rPr>
                <w:rFonts w:eastAsia="Times New Roman" w:cs="Calibri"/>
                <w:color w:val="000000"/>
                <w:lang w:eastAsia="en-GB"/>
              </w:rPr>
            </w:pPr>
          </w:p>
        </w:tc>
      </w:tr>
      <w:tr w:rsidR="0007576D" w:rsidRPr="00FB710C" w:rsidTr="00182E80">
        <w:trPr>
          <w:trHeight w:val="300"/>
        </w:trPr>
        <w:tc>
          <w:tcPr>
            <w:tcW w:w="1625" w:type="pct"/>
            <w:tcBorders>
              <w:top w:val="nil"/>
              <w:left w:val="nil"/>
              <w:bottom w:val="nil"/>
              <w:right w:val="nil"/>
            </w:tcBorders>
            <w:shd w:val="clear" w:color="auto" w:fill="auto"/>
            <w:noWrap/>
          </w:tcPr>
          <w:p w:rsidR="0007576D" w:rsidRDefault="00F66764" w:rsidP="006D727C">
            <w:pPr>
              <w:spacing w:after="0" w:line="240" w:lineRule="auto"/>
              <w:ind w:left="720"/>
              <w:rPr>
                <w:rFonts w:eastAsia="Times New Roman" w:cs="Calibri"/>
                <w:color w:val="000000"/>
                <w:lang w:eastAsia="en-GB"/>
              </w:rPr>
            </w:pPr>
            <w:r>
              <w:rPr>
                <w:rFonts w:eastAsia="Times New Roman" w:cs="Calibri"/>
                <w:color w:val="000000"/>
                <w:lang w:eastAsia="en-GB"/>
              </w:rPr>
              <w:t>Adjusted for age at time of retinal photograph</w:t>
            </w:r>
            <w:r w:rsidR="006D727C">
              <w:rPr>
                <w:rFonts w:eastAsia="Times New Roman" w:cs="Calibri"/>
                <w:color w:val="000000"/>
                <w:lang w:eastAsia="en-GB"/>
              </w:rPr>
              <w:t xml:space="preserve"> capture</w:t>
            </w:r>
            <w:r>
              <w:rPr>
                <w:rFonts w:eastAsia="Times New Roman" w:cs="Calibri"/>
                <w:color w:val="000000"/>
                <w:lang w:eastAsia="en-GB"/>
              </w:rPr>
              <w:t xml:space="preserve"> and sex</w:t>
            </w:r>
          </w:p>
        </w:tc>
        <w:tc>
          <w:tcPr>
            <w:tcW w:w="1254" w:type="pct"/>
            <w:tcBorders>
              <w:top w:val="nil"/>
              <w:left w:val="nil"/>
              <w:bottom w:val="nil"/>
              <w:right w:val="nil"/>
            </w:tcBorders>
            <w:shd w:val="clear" w:color="auto" w:fill="auto"/>
            <w:noWrap/>
          </w:tcPr>
          <w:p w:rsidR="0007576D" w:rsidRDefault="00F66764" w:rsidP="00FB710C">
            <w:pPr>
              <w:spacing w:after="0" w:line="240" w:lineRule="auto"/>
              <w:rPr>
                <w:rFonts w:eastAsia="Times New Roman" w:cs="Calibri"/>
                <w:color w:val="000000"/>
                <w:lang w:eastAsia="en-GB"/>
              </w:rPr>
            </w:pPr>
            <w:r>
              <w:rPr>
                <w:rFonts w:eastAsia="Times New Roman" w:cs="Calibri"/>
                <w:color w:val="000000"/>
                <w:lang w:eastAsia="en-GB"/>
              </w:rPr>
              <w:t>1.1 (-4.1, 6.2) p=0.68</w:t>
            </w:r>
          </w:p>
        </w:tc>
        <w:tc>
          <w:tcPr>
            <w:tcW w:w="994" w:type="pct"/>
            <w:tcBorders>
              <w:top w:val="nil"/>
              <w:left w:val="nil"/>
              <w:bottom w:val="nil"/>
              <w:right w:val="nil"/>
            </w:tcBorders>
          </w:tcPr>
          <w:p w:rsidR="0007576D" w:rsidRDefault="00F66764" w:rsidP="00FB710C">
            <w:pPr>
              <w:spacing w:after="0" w:line="240" w:lineRule="auto"/>
              <w:rPr>
                <w:rFonts w:eastAsia="Times New Roman" w:cs="Calibri"/>
                <w:color w:val="000000"/>
                <w:lang w:eastAsia="en-GB"/>
              </w:rPr>
            </w:pPr>
            <w:r>
              <w:rPr>
                <w:rFonts w:eastAsia="Times New Roman" w:cs="Calibri"/>
                <w:color w:val="000000"/>
                <w:lang w:eastAsia="en-GB"/>
              </w:rPr>
              <w:t>1.5 (-4.2, 7.2) p=0.60</w:t>
            </w:r>
          </w:p>
        </w:tc>
        <w:tc>
          <w:tcPr>
            <w:tcW w:w="1127" w:type="pct"/>
            <w:tcBorders>
              <w:top w:val="nil"/>
              <w:left w:val="nil"/>
              <w:bottom w:val="nil"/>
              <w:right w:val="nil"/>
            </w:tcBorders>
            <w:shd w:val="clear" w:color="auto" w:fill="auto"/>
            <w:noWrap/>
          </w:tcPr>
          <w:p w:rsidR="0007576D" w:rsidRPr="00FB710C" w:rsidRDefault="0007576D" w:rsidP="00FB710C">
            <w:pPr>
              <w:spacing w:after="0" w:line="240" w:lineRule="auto"/>
              <w:rPr>
                <w:rFonts w:eastAsia="Times New Roman" w:cs="Calibri"/>
                <w:color w:val="000000"/>
                <w:lang w:eastAsia="en-GB"/>
              </w:rPr>
            </w:pPr>
          </w:p>
        </w:tc>
      </w:tr>
      <w:tr w:rsidR="00DB13CD" w:rsidRPr="00FB710C" w:rsidTr="00182E80">
        <w:trPr>
          <w:trHeight w:val="300"/>
        </w:trPr>
        <w:tc>
          <w:tcPr>
            <w:tcW w:w="1625" w:type="pct"/>
            <w:tcBorders>
              <w:top w:val="nil"/>
              <w:left w:val="nil"/>
              <w:right w:val="nil"/>
            </w:tcBorders>
            <w:shd w:val="clear" w:color="auto" w:fill="auto"/>
            <w:noWrap/>
          </w:tcPr>
          <w:p w:rsidR="00DB13CD" w:rsidRPr="003435A9" w:rsidRDefault="00DB13CD" w:rsidP="00FB710C">
            <w:pPr>
              <w:spacing w:after="0" w:line="240" w:lineRule="auto"/>
              <w:rPr>
                <w:rFonts w:eastAsia="Times New Roman" w:cs="Calibri"/>
                <w:color w:val="000000"/>
                <w:lang w:eastAsia="en-GB"/>
              </w:rPr>
            </w:pPr>
          </w:p>
        </w:tc>
        <w:tc>
          <w:tcPr>
            <w:tcW w:w="1254" w:type="pct"/>
            <w:tcBorders>
              <w:top w:val="nil"/>
              <w:left w:val="nil"/>
              <w:right w:val="nil"/>
            </w:tcBorders>
            <w:shd w:val="clear" w:color="auto" w:fill="auto"/>
            <w:noWrap/>
          </w:tcPr>
          <w:p w:rsidR="00DB13CD" w:rsidRPr="00FB710C" w:rsidRDefault="00DB13CD" w:rsidP="00FB710C">
            <w:pPr>
              <w:spacing w:after="0" w:line="240" w:lineRule="auto"/>
              <w:rPr>
                <w:rFonts w:eastAsia="Times New Roman" w:cs="Calibri"/>
                <w:color w:val="000000"/>
                <w:lang w:eastAsia="en-GB"/>
              </w:rPr>
            </w:pPr>
          </w:p>
        </w:tc>
        <w:tc>
          <w:tcPr>
            <w:tcW w:w="994" w:type="pct"/>
            <w:tcBorders>
              <w:top w:val="nil"/>
              <w:left w:val="nil"/>
              <w:right w:val="nil"/>
            </w:tcBorders>
          </w:tcPr>
          <w:p w:rsidR="00DB13CD" w:rsidRPr="00FB710C" w:rsidRDefault="00DB13CD" w:rsidP="00FB710C">
            <w:pPr>
              <w:spacing w:after="0" w:line="240" w:lineRule="auto"/>
              <w:rPr>
                <w:rFonts w:eastAsia="Times New Roman" w:cs="Calibri"/>
                <w:color w:val="000000"/>
                <w:lang w:eastAsia="en-GB"/>
              </w:rPr>
            </w:pPr>
          </w:p>
        </w:tc>
        <w:tc>
          <w:tcPr>
            <w:tcW w:w="1127" w:type="pct"/>
            <w:tcBorders>
              <w:top w:val="nil"/>
              <w:left w:val="nil"/>
              <w:right w:val="nil"/>
            </w:tcBorders>
            <w:shd w:val="clear" w:color="auto" w:fill="auto"/>
            <w:noWrap/>
          </w:tcPr>
          <w:p w:rsidR="00DB13CD" w:rsidRPr="00FB710C" w:rsidRDefault="00DB13CD" w:rsidP="00FB710C">
            <w:pPr>
              <w:spacing w:after="0" w:line="240" w:lineRule="auto"/>
              <w:rPr>
                <w:rFonts w:eastAsia="Times New Roman" w:cs="Calibri"/>
                <w:color w:val="000000"/>
                <w:lang w:eastAsia="en-GB"/>
              </w:rPr>
            </w:pPr>
          </w:p>
        </w:tc>
      </w:tr>
      <w:tr w:rsidR="00DB13CD" w:rsidRPr="00FB710C" w:rsidTr="00182E80">
        <w:trPr>
          <w:trHeight w:val="300"/>
        </w:trPr>
        <w:tc>
          <w:tcPr>
            <w:tcW w:w="1625" w:type="pct"/>
            <w:tcBorders>
              <w:top w:val="nil"/>
              <w:left w:val="nil"/>
              <w:right w:val="nil"/>
            </w:tcBorders>
            <w:shd w:val="clear" w:color="auto" w:fill="auto"/>
            <w:noWrap/>
            <w:hideMark/>
          </w:tcPr>
          <w:p w:rsidR="00DB13CD" w:rsidRPr="00FB710C" w:rsidRDefault="00DB13CD" w:rsidP="00FB710C">
            <w:pPr>
              <w:spacing w:after="0" w:line="240" w:lineRule="auto"/>
              <w:rPr>
                <w:rFonts w:eastAsia="Times New Roman" w:cs="Calibri"/>
                <w:color w:val="000000"/>
                <w:lang w:eastAsia="en-GB"/>
              </w:rPr>
            </w:pPr>
            <w:r w:rsidRPr="003435A9">
              <w:rPr>
                <w:rFonts w:eastAsia="Times New Roman" w:cs="Calibri"/>
                <w:color w:val="000000"/>
                <w:lang w:eastAsia="en-GB"/>
              </w:rPr>
              <w:t>Arteriolar width (</w:t>
            </w:r>
            <w:proofErr w:type="spellStart"/>
            <w:r w:rsidRPr="007D5208">
              <w:rPr>
                <w:rFonts w:eastAsia="Times New Roman" w:cs="Calibri"/>
                <w:color w:val="000000"/>
                <w:lang w:eastAsia="en-GB"/>
              </w:rPr>
              <w:t>μm</w:t>
            </w:r>
            <w:proofErr w:type="spellEnd"/>
            <w:r w:rsidRPr="003435A9">
              <w:rPr>
                <w:rFonts w:eastAsia="Times New Roman" w:cs="Calibri"/>
                <w:color w:val="000000"/>
                <w:lang w:eastAsia="en-GB"/>
              </w:rPr>
              <w:t>) and SD</w:t>
            </w:r>
          </w:p>
        </w:tc>
        <w:tc>
          <w:tcPr>
            <w:tcW w:w="1254" w:type="pct"/>
            <w:tcBorders>
              <w:top w:val="nil"/>
              <w:left w:val="nil"/>
              <w:right w:val="nil"/>
            </w:tcBorders>
            <w:shd w:val="clear" w:color="auto" w:fill="auto"/>
            <w:noWrap/>
            <w:hideMark/>
          </w:tcPr>
          <w:p w:rsidR="00DB13CD" w:rsidRPr="00FB710C" w:rsidRDefault="00DB13CD" w:rsidP="00FB710C">
            <w:pPr>
              <w:spacing w:after="0" w:line="240" w:lineRule="auto"/>
              <w:rPr>
                <w:rFonts w:eastAsia="Times New Roman" w:cs="Calibri"/>
                <w:color w:val="000000"/>
                <w:lang w:eastAsia="en-GB"/>
              </w:rPr>
            </w:pPr>
            <w:r w:rsidRPr="00FB710C">
              <w:rPr>
                <w:rFonts w:eastAsia="Times New Roman" w:cs="Calibri"/>
                <w:color w:val="000000"/>
                <w:lang w:eastAsia="en-GB"/>
              </w:rPr>
              <w:t>74.4 SD 5.9</w:t>
            </w:r>
          </w:p>
        </w:tc>
        <w:tc>
          <w:tcPr>
            <w:tcW w:w="994" w:type="pct"/>
            <w:tcBorders>
              <w:top w:val="nil"/>
              <w:left w:val="nil"/>
              <w:right w:val="nil"/>
            </w:tcBorders>
          </w:tcPr>
          <w:p w:rsidR="00DB13CD" w:rsidRPr="00FB710C" w:rsidRDefault="00FA13C2" w:rsidP="00FB710C">
            <w:pPr>
              <w:spacing w:after="0" w:line="240" w:lineRule="auto"/>
              <w:rPr>
                <w:rFonts w:eastAsia="Times New Roman" w:cs="Calibri"/>
                <w:color w:val="000000"/>
                <w:lang w:eastAsia="en-GB"/>
              </w:rPr>
            </w:pPr>
            <w:r>
              <w:rPr>
                <w:rFonts w:eastAsia="Times New Roman" w:cs="Calibri"/>
                <w:color w:val="000000"/>
                <w:lang w:eastAsia="en-GB"/>
              </w:rPr>
              <w:t>73.8 SD 6.0</w:t>
            </w:r>
          </w:p>
        </w:tc>
        <w:tc>
          <w:tcPr>
            <w:tcW w:w="1127" w:type="pct"/>
            <w:tcBorders>
              <w:top w:val="nil"/>
              <w:left w:val="nil"/>
              <w:right w:val="nil"/>
            </w:tcBorders>
            <w:shd w:val="clear" w:color="auto" w:fill="auto"/>
            <w:noWrap/>
            <w:hideMark/>
          </w:tcPr>
          <w:p w:rsidR="00DB13CD" w:rsidRPr="00FB710C" w:rsidRDefault="00DB13CD" w:rsidP="00FB710C">
            <w:pPr>
              <w:spacing w:after="0" w:line="240" w:lineRule="auto"/>
              <w:rPr>
                <w:rFonts w:eastAsia="Times New Roman" w:cs="Calibri"/>
                <w:color w:val="000000"/>
                <w:lang w:eastAsia="en-GB"/>
              </w:rPr>
            </w:pPr>
            <w:r w:rsidRPr="00FB710C">
              <w:rPr>
                <w:rFonts w:eastAsia="Times New Roman" w:cs="Calibri"/>
                <w:color w:val="000000"/>
                <w:lang w:eastAsia="en-GB"/>
              </w:rPr>
              <w:t>75.0 SD 6.3 from 5,037 controls</w:t>
            </w:r>
          </w:p>
        </w:tc>
      </w:tr>
      <w:tr w:rsidR="00DB13CD" w:rsidRPr="00FB710C" w:rsidTr="00182E80">
        <w:trPr>
          <w:trHeight w:val="300"/>
        </w:trPr>
        <w:tc>
          <w:tcPr>
            <w:tcW w:w="1625" w:type="pct"/>
            <w:tcBorders>
              <w:top w:val="nil"/>
              <w:left w:val="nil"/>
              <w:bottom w:val="nil"/>
              <w:right w:val="nil"/>
            </w:tcBorders>
            <w:shd w:val="clear" w:color="auto" w:fill="auto"/>
            <w:noWrap/>
            <w:hideMark/>
          </w:tcPr>
          <w:p w:rsidR="00DB13CD" w:rsidRPr="00FB710C" w:rsidRDefault="006D727C" w:rsidP="00FB710C">
            <w:pPr>
              <w:spacing w:after="0" w:line="240" w:lineRule="auto"/>
              <w:rPr>
                <w:rFonts w:eastAsia="Times New Roman" w:cs="Calibri"/>
                <w:color w:val="000000"/>
                <w:lang w:eastAsia="en-GB"/>
              </w:rPr>
            </w:pPr>
            <w:r>
              <w:rPr>
                <w:rFonts w:eastAsia="Times New Roman" w:cs="Calibri"/>
                <w:color w:val="000000"/>
                <w:lang w:eastAsia="en-GB"/>
              </w:rPr>
              <w:t>Differences in a</w:t>
            </w:r>
            <w:r w:rsidR="00DB13CD" w:rsidRPr="00FB710C">
              <w:rPr>
                <w:rFonts w:eastAsia="Times New Roman" w:cs="Calibri"/>
                <w:color w:val="000000"/>
                <w:lang w:eastAsia="en-GB"/>
              </w:rPr>
              <w:t xml:space="preserve">rteriolar width </w:t>
            </w:r>
            <w:r w:rsidR="00DB13CD">
              <w:rPr>
                <w:rFonts w:eastAsia="Times New Roman" w:cs="Calibri"/>
                <w:color w:val="000000"/>
                <w:lang w:eastAsia="en-GB"/>
              </w:rPr>
              <w:t>(</w:t>
            </w:r>
            <w:proofErr w:type="spellStart"/>
            <w:r w:rsidR="00DB13CD" w:rsidRPr="007D5208">
              <w:rPr>
                <w:rFonts w:eastAsia="Times New Roman" w:cs="Calibri"/>
                <w:color w:val="000000"/>
                <w:lang w:eastAsia="en-GB"/>
              </w:rPr>
              <w:t>μm</w:t>
            </w:r>
            <w:proofErr w:type="spellEnd"/>
            <w:r w:rsidR="00DB13CD">
              <w:rPr>
                <w:rFonts w:eastAsia="Times New Roman" w:cs="Calibri"/>
                <w:color w:val="000000"/>
                <w:lang w:eastAsia="en-GB"/>
              </w:rPr>
              <w:t>)</w:t>
            </w:r>
            <w:r w:rsidR="00DB13CD" w:rsidRPr="003435A9">
              <w:rPr>
                <w:rFonts w:eastAsia="Times New Roman" w:cs="Calibri"/>
                <w:color w:val="000000"/>
                <w:lang w:eastAsia="en-GB"/>
              </w:rPr>
              <w:t xml:space="preserve"> (95% CI</w:t>
            </w:r>
            <w:r w:rsidR="00DB13CD" w:rsidRPr="00FB710C">
              <w:rPr>
                <w:rFonts w:eastAsia="Times New Roman" w:cs="Calibri"/>
                <w:color w:val="000000"/>
                <w:lang w:eastAsia="en-GB"/>
              </w:rPr>
              <w:t>) 80% probability*</w:t>
            </w:r>
          </w:p>
        </w:tc>
        <w:tc>
          <w:tcPr>
            <w:tcW w:w="1254" w:type="pct"/>
            <w:tcBorders>
              <w:top w:val="nil"/>
              <w:left w:val="nil"/>
              <w:bottom w:val="nil"/>
              <w:right w:val="nil"/>
            </w:tcBorders>
            <w:shd w:val="clear" w:color="auto" w:fill="auto"/>
            <w:noWrap/>
            <w:hideMark/>
          </w:tcPr>
          <w:p w:rsidR="00DB13CD" w:rsidRPr="00FB710C" w:rsidRDefault="00DB13CD" w:rsidP="00FB710C">
            <w:pPr>
              <w:spacing w:after="0" w:line="240" w:lineRule="auto"/>
              <w:rPr>
                <w:rFonts w:eastAsia="Times New Roman" w:cs="Calibri"/>
                <w:color w:val="000000"/>
                <w:lang w:eastAsia="en-GB"/>
              </w:rPr>
            </w:pPr>
            <w:r>
              <w:rPr>
                <w:rFonts w:eastAsia="Times New Roman" w:cs="Calibri"/>
                <w:color w:val="000000"/>
                <w:lang w:eastAsia="en-GB"/>
              </w:rPr>
              <w:t>-</w:t>
            </w:r>
            <w:r w:rsidRPr="00FB710C">
              <w:rPr>
                <w:rFonts w:eastAsia="Times New Roman" w:cs="Calibri"/>
                <w:color w:val="000000"/>
                <w:lang w:eastAsia="en-GB"/>
              </w:rPr>
              <w:t>0.6 (-3.6, 2.5) p=0.73</w:t>
            </w:r>
          </w:p>
        </w:tc>
        <w:tc>
          <w:tcPr>
            <w:tcW w:w="994" w:type="pct"/>
            <w:tcBorders>
              <w:top w:val="nil"/>
              <w:left w:val="nil"/>
              <w:bottom w:val="nil"/>
              <w:right w:val="nil"/>
            </w:tcBorders>
          </w:tcPr>
          <w:p w:rsidR="00DB13CD" w:rsidRPr="00FB710C" w:rsidRDefault="00FA13C2" w:rsidP="00FB710C">
            <w:pPr>
              <w:spacing w:after="0" w:line="240" w:lineRule="auto"/>
              <w:rPr>
                <w:rFonts w:eastAsia="Times New Roman" w:cs="Calibri"/>
                <w:color w:val="000000"/>
                <w:lang w:eastAsia="en-GB"/>
              </w:rPr>
            </w:pPr>
            <w:r>
              <w:rPr>
                <w:rFonts w:eastAsia="Times New Roman" w:cs="Calibri"/>
                <w:color w:val="000000"/>
                <w:lang w:eastAsia="en-GB"/>
              </w:rPr>
              <w:t>-1.2 (-4.7, 2.2) p=0.48</w:t>
            </w:r>
          </w:p>
        </w:tc>
        <w:tc>
          <w:tcPr>
            <w:tcW w:w="1127" w:type="pct"/>
            <w:tcBorders>
              <w:top w:val="nil"/>
              <w:left w:val="nil"/>
              <w:bottom w:val="nil"/>
              <w:right w:val="nil"/>
            </w:tcBorders>
            <w:shd w:val="clear" w:color="auto" w:fill="auto"/>
            <w:noWrap/>
            <w:hideMark/>
          </w:tcPr>
          <w:p w:rsidR="00DB13CD" w:rsidRPr="00FB710C" w:rsidRDefault="00DB13CD" w:rsidP="00FB710C">
            <w:pPr>
              <w:spacing w:after="0" w:line="240" w:lineRule="auto"/>
              <w:rPr>
                <w:rFonts w:eastAsia="Times New Roman" w:cs="Calibri"/>
                <w:color w:val="000000"/>
                <w:lang w:eastAsia="en-GB"/>
              </w:rPr>
            </w:pPr>
          </w:p>
        </w:tc>
      </w:tr>
      <w:tr w:rsidR="00DB13CD" w:rsidRPr="00FB710C" w:rsidTr="00FA13C2">
        <w:trPr>
          <w:trHeight w:val="300"/>
        </w:trPr>
        <w:tc>
          <w:tcPr>
            <w:tcW w:w="1625" w:type="pct"/>
            <w:tcBorders>
              <w:top w:val="nil"/>
              <w:left w:val="nil"/>
              <w:bottom w:val="nil"/>
              <w:right w:val="nil"/>
            </w:tcBorders>
            <w:shd w:val="clear" w:color="auto" w:fill="auto"/>
            <w:noWrap/>
          </w:tcPr>
          <w:p w:rsidR="00DB13CD" w:rsidRPr="003435A9" w:rsidRDefault="00DB13CD" w:rsidP="006D727C">
            <w:pPr>
              <w:spacing w:after="0" w:line="240" w:lineRule="auto"/>
              <w:ind w:left="720"/>
              <w:rPr>
                <w:rFonts w:eastAsia="Times New Roman" w:cs="Calibri"/>
                <w:color w:val="000000"/>
                <w:lang w:eastAsia="en-GB"/>
              </w:rPr>
            </w:pPr>
            <w:r>
              <w:rPr>
                <w:rFonts w:eastAsia="Times New Roman" w:cs="Calibri"/>
                <w:color w:val="000000"/>
                <w:lang w:eastAsia="en-GB"/>
              </w:rPr>
              <w:t>Adjusted for age at time of retinal photograph</w:t>
            </w:r>
            <w:r w:rsidR="00FA13C2">
              <w:rPr>
                <w:rFonts w:eastAsia="Times New Roman" w:cs="Calibri"/>
                <w:color w:val="000000"/>
                <w:lang w:eastAsia="en-GB"/>
              </w:rPr>
              <w:t xml:space="preserve"> </w:t>
            </w:r>
            <w:r w:rsidR="006D727C">
              <w:rPr>
                <w:rFonts w:eastAsia="Times New Roman" w:cs="Calibri"/>
                <w:color w:val="000000"/>
                <w:lang w:eastAsia="en-GB"/>
              </w:rPr>
              <w:t xml:space="preserve">capture </w:t>
            </w:r>
            <w:r w:rsidR="00FA13C2">
              <w:rPr>
                <w:rFonts w:eastAsia="Times New Roman" w:cs="Calibri"/>
                <w:color w:val="000000"/>
                <w:lang w:eastAsia="en-GB"/>
              </w:rPr>
              <w:t>and sex</w:t>
            </w:r>
          </w:p>
        </w:tc>
        <w:tc>
          <w:tcPr>
            <w:tcW w:w="1254" w:type="pct"/>
            <w:tcBorders>
              <w:top w:val="nil"/>
              <w:left w:val="nil"/>
              <w:bottom w:val="nil"/>
              <w:right w:val="nil"/>
            </w:tcBorders>
            <w:shd w:val="clear" w:color="auto" w:fill="auto"/>
            <w:noWrap/>
          </w:tcPr>
          <w:p w:rsidR="00DB13CD" w:rsidRPr="00FB710C" w:rsidRDefault="00FA13C2" w:rsidP="00FA13C2">
            <w:pPr>
              <w:spacing w:after="0" w:line="240" w:lineRule="auto"/>
              <w:rPr>
                <w:rFonts w:eastAsia="Times New Roman" w:cs="Calibri"/>
                <w:color w:val="000000"/>
                <w:lang w:eastAsia="en-GB"/>
              </w:rPr>
            </w:pPr>
            <w:r>
              <w:rPr>
                <w:rFonts w:eastAsia="Times New Roman" w:cs="Calibri"/>
                <w:color w:val="000000"/>
                <w:lang w:eastAsia="en-GB"/>
              </w:rPr>
              <w:t>-0.03</w:t>
            </w:r>
            <w:r w:rsidR="00DB13CD">
              <w:rPr>
                <w:rFonts w:eastAsia="Times New Roman" w:cs="Calibri"/>
                <w:color w:val="000000"/>
                <w:lang w:eastAsia="en-GB"/>
              </w:rPr>
              <w:t xml:space="preserve"> (-3.</w:t>
            </w:r>
            <w:r>
              <w:rPr>
                <w:rFonts w:eastAsia="Times New Roman" w:cs="Calibri"/>
                <w:color w:val="000000"/>
                <w:lang w:eastAsia="en-GB"/>
              </w:rPr>
              <w:t>1, 3</w:t>
            </w:r>
            <w:r w:rsidR="00DB13CD">
              <w:rPr>
                <w:rFonts w:eastAsia="Times New Roman" w:cs="Calibri"/>
                <w:color w:val="000000"/>
                <w:lang w:eastAsia="en-GB"/>
              </w:rPr>
              <w:t>.</w:t>
            </w:r>
            <w:r>
              <w:rPr>
                <w:rFonts w:eastAsia="Times New Roman" w:cs="Calibri"/>
                <w:color w:val="000000"/>
                <w:lang w:eastAsia="en-GB"/>
              </w:rPr>
              <w:t>0) p=0.</w:t>
            </w:r>
            <w:r w:rsidR="00DB13CD">
              <w:rPr>
                <w:rFonts w:eastAsia="Times New Roman" w:cs="Calibri"/>
                <w:color w:val="000000"/>
                <w:lang w:eastAsia="en-GB"/>
              </w:rPr>
              <w:t>9</w:t>
            </w:r>
            <w:r>
              <w:rPr>
                <w:rFonts w:eastAsia="Times New Roman" w:cs="Calibri"/>
                <w:color w:val="000000"/>
                <w:lang w:eastAsia="en-GB"/>
              </w:rPr>
              <w:t>8</w:t>
            </w:r>
          </w:p>
        </w:tc>
        <w:tc>
          <w:tcPr>
            <w:tcW w:w="994" w:type="pct"/>
            <w:tcBorders>
              <w:top w:val="nil"/>
              <w:left w:val="nil"/>
              <w:bottom w:val="nil"/>
              <w:right w:val="nil"/>
            </w:tcBorders>
          </w:tcPr>
          <w:p w:rsidR="00DB13CD" w:rsidRPr="00FB710C" w:rsidRDefault="00FA13C2" w:rsidP="00FB710C">
            <w:pPr>
              <w:spacing w:after="0" w:line="240" w:lineRule="auto"/>
              <w:rPr>
                <w:rFonts w:eastAsia="Times New Roman" w:cs="Calibri"/>
                <w:color w:val="000000"/>
                <w:lang w:eastAsia="en-GB"/>
              </w:rPr>
            </w:pPr>
            <w:r>
              <w:rPr>
                <w:rFonts w:eastAsia="Times New Roman" w:cs="Calibri"/>
                <w:color w:val="000000"/>
                <w:lang w:eastAsia="en-GB"/>
              </w:rPr>
              <w:t>-0.7 (-4.1, 2.7) p=0.70</w:t>
            </w:r>
          </w:p>
        </w:tc>
        <w:tc>
          <w:tcPr>
            <w:tcW w:w="1127" w:type="pct"/>
            <w:tcBorders>
              <w:top w:val="nil"/>
              <w:left w:val="nil"/>
              <w:bottom w:val="nil"/>
              <w:right w:val="nil"/>
            </w:tcBorders>
            <w:shd w:val="clear" w:color="auto" w:fill="auto"/>
            <w:noWrap/>
          </w:tcPr>
          <w:p w:rsidR="00DB13CD" w:rsidRPr="00FB710C" w:rsidRDefault="00DB13CD" w:rsidP="00FB710C">
            <w:pPr>
              <w:spacing w:after="0" w:line="240" w:lineRule="auto"/>
              <w:rPr>
                <w:rFonts w:eastAsia="Times New Roman" w:cs="Calibri"/>
                <w:color w:val="000000"/>
                <w:lang w:eastAsia="en-GB"/>
              </w:rPr>
            </w:pPr>
          </w:p>
        </w:tc>
      </w:tr>
      <w:tr w:rsidR="00FA13C2" w:rsidRPr="00FB710C" w:rsidTr="00182E80">
        <w:trPr>
          <w:trHeight w:val="300"/>
        </w:trPr>
        <w:tc>
          <w:tcPr>
            <w:tcW w:w="1625" w:type="pct"/>
            <w:tcBorders>
              <w:top w:val="nil"/>
              <w:left w:val="nil"/>
              <w:bottom w:val="single" w:sz="4" w:space="0" w:color="auto"/>
              <w:right w:val="nil"/>
            </w:tcBorders>
            <w:shd w:val="clear" w:color="auto" w:fill="auto"/>
            <w:noWrap/>
          </w:tcPr>
          <w:p w:rsidR="00FA13C2" w:rsidRDefault="00FA13C2" w:rsidP="00FB710C">
            <w:pPr>
              <w:spacing w:after="0" w:line="240" w:lineRule="auto"/>
              <w:rPr>
                <w:rFonts w:eastAsia="Times New Roman" w:cs="Calibri"/>
                <w:color w:val="000000"/>
                <w:lang w:eastAsia="en-GB"/>
              </w:rPr>
            </w:pPr>
          </w:p>
        </w:tc>
        <w:tc>
          <w:tcPr>
            <w:tcW w:w="1254" w:type="pct"/>
            <w:tcBorders>
              <w:top w:val="nil"/>
              <w:left w:val="nil"/>
              <w:bottom w:val="single" w:sz="4" w:space="0" w:color="auto"/>
              <w:right w:val="nil"/>
            </w:tcBorders>
            <w:shd w:val="clear" w:color="auto" w:fill="auto"/>
            <w:noWrap/>
          </w:tcPr>
          <w:p w:rsidR="00FA13C2" w:rsidRDefault="00FA13C2" w:rsidP="00FB710C">
            <w:pPr>
              <w:spacing w:after="0" w:line="240" w:lineRule="auto"/>
              <w:rPr>
                <w:rFonts w:eastAsia="Times New Roman" w:cs="Calibri"/>
                <w:color w:val="000000"/>
                <w:lang w:eastAsia="en-GB"/>
              </w:rPr>
            </w:pPr>
          </w:p>
        </w:tc>
        <w:tc>
          <w:tcPr>
            <w:tcW w:w="994" w:type="pct"/>
            <w:tcBorders>
              <w:top w:val="nil"/>
              <w:left w:val="nil"/>
              <w:bottom w:val="single" w:sz="4" w:space="0" w:color="auto"/>
              <w:right w:val="nil"/>
            </w:tcBorders>
          </w:tcPr>
          <w:p w:rsidR="00FA13C2" w:rsidRDefault="00FA13C2" w:rsidP="00FB710C">
            <w:pPr>
              <w:spacing w:after="0" w:line="240" w:lineRule="auto"/>
              <w:rPr>
                <w:rFonts w:eastAsia="Times New Roman" w:cs="Calibri"/>
                <w:color w:val="000000"/>
                <w:lang w:eastAsia="en-GB"/>
              </w:rPr>
            </w:pPr>
          </w:p>
        </w:tc>
        <w:tc>
          <w:tcPr>
            <w:tcW w:w="1127" w:type="pct"/>
            <w:tcBorders>
              <w:top w:val="nil"/>
              <w:left w:val="nil"/>
              <w:bottom w:val="single" w:sz="4" w:space="0" w:color="auto"/>
              <w:right w:val="nil"/>
            </w:tcBorders>
            <w:shd w:val="clear" w:color="auto" w:fill="auto"/>
            <w:noWrap/>
          </w:tcPr>
          <w:p w:rsidR="00FA13C2" w:rsidRPr="00FB710C" w:rsidRDefault="00FA13C2" w:rsidP="00FB710C">
            <w:pPr>
              <w:spacing w:after="0" w:line="240" w:lineRule="auto"/>
              <w:rPr>
                <w:rFonts w:eastAsia="Times New Roman" w:cs="Calibri"/>
                <w:color w:val="000000"/>
                <w:lang w:eastAsia="en-GB"/>
              </w:rPr>
            </w:pPr>
          </w:p>
        </w:tc>
      </w:tr>
    </w:tbl>
    <w:p w:rsidR="00D858A1" w:rsidRPr="000326BF" w:rsidRDefault="00FB710C" w:rsidP="00822BFF">
      <w:pPr>
        <w:sectPr w:rsidR="00D858A1" w:rsidRPr="000326BF" w:rsidSect="00DB13CD">
          <w:pgSz w:w="16838" w:h="11906" w:orient="landscape"/>
          <w:pgMar w:top="1440" w:right="1440" w:bottom="1440" w:left="1440" w:header="708" w:footer="708" w:gutter="0"/>
          <w:cols w:space="708"/>
          <w:docGrid w:linePitch="360"/>
        </w:sectPr>
      </w:pPr>
      <w:r w:rsidRPr="003435A9">
        <w:rPr>
          <w:rFonts w:cs="Calibri"/>
          <w:sz w:val="18"/>
          <w:szCs w:val="18"/>
        </w:rPr>
        <w:t xml:space="preserve">SD – standard deviation. </w:t>
      </w:r>
      <w:r w:rsidR="00D858A1" w:rsidRPr="003435A9">
        <w:rPr>
          <w:rFonts w:cs="Calibri"/>
          <w:sz w:val="18"/>
          <w:szCs w:val="18"/>
        </w:rPr>
        <w:t xml:space="preserve"> </w:t>
      </w:r>
      <w:r w:rsidRPr="003435A9">
        <w:rPr>
          <w:rFonts w:cs="Calibri"/>
          <w:sz w:val="18"/>
          <w:szCs w:val="18"/>
        </w:rPr>
        <w:t xml:space="preserve">* </w:t>
      </w:r>
      <w:proofErr w:type="gramStart"/>
      <w:r w:rsidRPr="003435A9">
        <w:rPr>
          <w:rFonts w:cs="Calibri"/>
          <w:sz w:val="18"/>
          <w:szCs w:val="18"/>
        </w:rPr>
        <w:t>probability</w:t>
      </w:r>
      <w:proofErr w:type="gramEnd"/>
      <w:r w:rsidRPr="003435A9">
        <w:rPr>
          <w:rFonts w:cs="Calibri"/>
          <w:sz w:val="18"/>
          <w:szCs w:val="18"/>
        </w:rPr>
        <w:t xml:space="preserve"> of vascular segm</w:t>
      </w:r>
      <w:r w:rsidR="00026F63">
        <w:rPr>
          <w:rFonts w:cs="Calibri"/>
          <w:sz w:val="18"/>
          <w:szCs w:val="18"/>
        </w:rPr>
        <w:t>ent type (arteriole or venule)</w:t>
      </w:r>
      <w:r w:rsidRPr="003435A9">
        <w:rPr>
          <w:rFonts w:eastAsia="Times New Roman" w:cs="Calibri"/>
          <w:color w:val="000000"/>
          <w:sz w:val="18"/>
          <w:szCs w:val="18"/>
          <w:lang w:eastAsia="en-GB"/>
        </w:rPr>
        <w:t xml:space="preserve"> </w:t>
      </w:r>
      <w:r w:rsidR="00026F63">
        <w:rPr>
          <w:rFonts w:eastAsia="Times New Roman" w:cs="Calibri"/>
          <w:color w:val="000000"/>
          <w:sz w:val="18"/>
          <w:szCs w:val="18"/>
          <w:lang w:eastAsia="en-GB"/>
        </w:rPr>
        <w:t>weighted by segment length</w:t>
      </w:r>
      <w:r w:rsidR="003435A9" w:rsidRPr="003435A9">
        <w:rPr>
          <w:rFonts w:cs="Calibri"/>
          <w:sz w:val="18"/>
          <w:szCs w:val="18"/>
        </w:rPr>
        <w:t xml:space="preserve">, 95% CI – 95% confidence </w:t>
      </w:r>
      <w:r w:rsidR="003435A9" w:rsidRPr="000326BF">
        <w:rPr>
          <w:rFonts w:cs="Calibri"/>
          <w:sz w:val="18"/>
          <w:szCs w:val="18"/>
        </w:rPr>
        <w:t>interval</w:t>
      </w:r>
      <w:r w:rsidR="000326BF" w:rsidRPr="000326BF">
        <w:rPr>
          <w:rFonts w:cs="Calibri"/>
          <w:sz w:val="18"/>
          <w:szCs w:val="18"/>
        </w:rPr>
        <w:t xml:space="preserve"> </w:t>
      </w:r>
      <w:r w:rsidR="000326BF" w:rsidRPr="000326BF">
        <w:rPr>
          <w:rFonts w:eastAsia="Times New Roman" w:cs="Calibri"/>
          <w:color w:val="000000"/>
          <w:sz w:val="18"/>
          <w:szCs w:val="18"/>
          <w:lang w:eastAsia="en-GB"/>
        </w:rPr>
        <w:t>†</w:t>
      </w:r>
      <w:r w:rsidR="007623F3">
        <w:rPr>
          <w:rFonts w:eastAsia="Times New Roman" w:cs="Calibri"/>
          <w:color w:val="000000"/>
          <w:sz w:val="18"/>
          <w:szCs w:val="18"/>
          <w:lang w:eastAsia="en-GB"/>
        </w:rPr>
        <w:t xml:space="preserve">incident cases – median </w:t>
      </w:r>
      <w:r w:rsidR="0083568E">
        <w:rPr>
          <w:rFonts w:eastAsia="Times New Roman" w:cs="Calibri"/>
          <w:color w:val="000000"/>
          <w:sz w:val="18"/>
          <w:szCs w:val="18"/>
          <w:lang w:eastAsia="en-GB"/>
        </w:rPr>
        <w:t>time period 2.9 years</w:t>
      </w:r>
      <w:r w:rsidR="007623F3">
        <w:rPr>
          <w:rFonts w:eastAsia="Times New Roman" w:cs="Calibri"/>
          <w:color w:val="000000"/>
          <w:sz w:val="18"/>
          <w:szCs w:val="18"/>
          <w:lang w:eastAsia="en-GB"/>
        </w:rPr>
        <w:t xml:space="preserve"> between retinal image capture and subsequent diagnosis with &gt;75% having an interval of greater than 1 year.</w:t>
      </w:r>
    </w:p>
    <w:p w:rsidR="00D858A1" w:rsidRPr="00750D77" w:rsidRDefault="00D858A1" w:rsidP="00D858A1">
      <w:pPr>
        <w:rPr>
          <w:b/>
        </w:rPr>
      </w:pPr>
      <w:r w:rsidRPr="00750D77">
        <w:rPr>
          <w:b/>
        </w:rPr>
        <w:lastRenderedPageBreak/>
        <w:t>Acknowledgements</w:t>
      </w:r>
    </w:p>
    <w:p w:rsidR="00D858A1" w:rsidRDefault="00D858A1" w:rsidP="00D858A1">
      <w:r w:rsidRPr="00737FBC">
        <w:t>We thank the EPIC-Norfolk participants</w:t>
      </w:r>
      <w:r>
        <w:t xml:space="preserve">, funders of the EPIC-Norfolk cohort, </w:t>
      </w:r>
      <w:r w:rsidRPr="00737FBC">
        <w:t>GPs of Norfolk and Clinicians at the Norfolk and Norwich University Hospital.</w:t>
      </w:r>
    </w:p>
    <w:p w:rsidR="00D858A1" w:rsidRDefault="00D858A1" w:rsidP="00D858A1">
      <w:pPr>
        <w:rPr>
          <w:b/>
        </w:rPr>
      </w:pPr>
      <w:r>
        <w:rPr>
          <w:b/>
        </w:rPr>
        <w:t>Ethical approval</w:t>
      </w:r>
    </w:p>
    <w:p w:rsidR="00D858A1" w:rsidRDefault="00D858A1" w:rsidP="00D858A1">
      <w:r>
        <w:t>The study complies with the Declaration of Helsinki. The Norwich District Health Authority Ethics Committee approved the study and all participants gave written informed consent.</w:t>
      </w:r>
    </w:p>
    <w:p w:rsidR="00E321F2" w:rsidRDefault="00E321F2" w:rsidP="00D858A1">
      <w:pPr>
        <w:rPr>
          <w:b/>
        </w:rPr>
      </w:pPr>
    </w:p>
    <w:p w:rsidR="00E321F2" w:rsidRDefault="00E321F2" w:rsidP="00D858A1">
      <w:pPr>
        <w:rPr>
          <w:b/>
        </w:rPr>
      </w:pPr>
    </w:p>
    <w:p w:rsidR="00E321F2" w:rsidRDefault="00E321F2" w:rsidP="00D858A1">
      <w:pPr>
        <w:rPr>
          <w:b/>
        </w:rPr>
      </w:pPr>
    </w:p>
    <w:p w:rsidR="00822BFF" w:rsidRPr="00D858A1" w:rsidRDefault="00D858A1" w:rsidP="00D858A1">
      <w:pPr>
        <w:rPr>
          <w:b/>
        </w:rPr>
      </w:pPr>
      <w:r>
        <w:rPr>
          <w:b/>
        </w:rPr>
        <w:t>References:</w:t>
      </w:r>
    </w:p>
    <w:p w:rsidR="00517A11" w:rsidRPr="00517A11" w:rsidRDefault="00E321F2" w:rsidP="00517A11">
      <w:pPr>
        <w:pStyle w:val="EndNoteBibliography"/>
        <w:spacing w:after="0"/>
      </w:pPr>
      <w:r>
        <w:fldChar w:fldCharType="begin"/>
      </w:r>
      <w:r>
        <w:instrText xml:space="preserve"> ADDIN EN.REFLIST </w:instrText>
      </w:r>
      <w:r>
        <w:fldChar w:fldCharType="separate"/>
      </w:r>
      <w:r w:rsidR="00517A11" w:rsidRPr="00517A11">
        <w:t>1.</w:t>
      </w:r>
      <w:r w:rsidR="00517A11" w:rsidRPr="00517A11">
        <w:tab/>
        <w:t>Ungprasert P, Koster MJ, Warrington KJ, Matteson EL. Polymyalgia rheumatica and risk of coronary artery disease: a systematic review and meta-analysis of observational studies. Rheumatol Int. 2017;37(1):143-9.</w:t>
      </w:r>
    </w:p>
    <w:p w:rsidR="00517A11" w:rsidRPr="00517A11" w:rsidRDefault="00517A11" w:rsidP="00517A11">
      <w:pPr>
        <w:pStyle w:val="EndNoteBibliography"/>
        <w:spacing w:after="0"/>
      </w:pPr>
      <w:r w:rsidRPr="00517A11">
        <w:t>2.</w:t>
      </w:r>
      <w:r w:rsidRPr="00517A11">
        <w:tab/>
        <w:t>Owen CG, Rudnicka AR, Welikala RA, Fraz MM, Barman SA, Luben R, et al. Retinal Vasculometry Associations with Cardiometabolic Risk Factors in the European Prospective Investigation of Cancer-Norfolk Study. Ophthalmology. 2018.</w:t>
      </w:r>
    </w:p>
    <w:p w:rsidR="00517A11" w:rsidRPr="00517A11" w:rsidRDefault="00517A11" w:rsidP="00517A11">
      <w:pPr>
        <w:pStyle w:val="EndNoteBibliography"/>
        <w:spacing w:after="0"/>
      </w:pPr>
      <w:r w:rsidRPr="00517A11">
        <w:t>3.</w:t>
      </w:r>
      <w:r w:rsidRPr="00517A11">
        <w:tab/>
        <w:t>Day N, Oakes S, Luben R, Khaw KT, Bingham S, Welch A, et al. EPIC-Norfolk: study design and characteristics of the cohort. European Prospective Investigation of Cancer. Br J Cancer. 1999;80 Suppl 1:95-103.</w:t>
      </w:r>
    </w:p>
    <w:p w:rsidR="00517A11" w:rsidRPr="00517A11" w:rsidRDefault="00517A11" w:rsidP="00517A11">
      <w:pPr>
        <w:pStyle w:val="EndNoteBibliography"/>
        <w:spacing w:after="0"/>
      </w:pPr>
      <w:r w:rsidRPr="00517A11">
        <w:t>4.</w:t>
      </w:r>
      <w:r w:rsidRPr="00517A11">
        <w:tab/>
        <w:t>Khawaja AP, Chan MP, Hayat S, Broadway DC, Luben R, Garway-Heath DF, et al. The EPIC-Norfolk Eye Study: rationale, methods and a cross-sectional analysis of visual impairment in a population-based cohort. BMJ open. 2013;3(3).</w:t>
      </w:r>
    </w:p>
    <w:p w:rsidR="00517A11" w:rsidRPr="00517A11" w:rsidRDefault="00517A11" w:rsidP="00517A11">
      <w:pPr>
        <w:pStyle w:val="EndNoteBibliography"/>
        <w:spacing w:after="0"/>
      </w:pPr>
      <w:r w:rsidRPr="00517A11">
        <w:t>5.</w:t>
      </w:r>
      <w:r w:rsidRPr="00517A11">
        <w:tab/>
        <w:t>Welikala RA, Fraz MM, Foster PJ, Whincup PH, Rudnicka AR, Owen CG, et al. Automated retinal image quality assessment on the UK Biobank dataset for epidemiological studies. Computers in biology and medicine. 2016;71:67-76.</w:t>
      </w:r>
    </w:p>
    <w:p w:rsidR="00517A11" w:rsidRPr="00517A11" w:rsidRDefault="00517A11" w:rsidP="00517A11">
      <w:pPr>
        <w:pStyle w:val="EndNoteBibliography"/>
      </w:pPr>
      <w:r w:rsidRPr="00517A11">
        <w:t>6.</w:t>
      </w:r>
      <w:r w:rsidRPr="00517A11">
        <w:tab/>
        <w:t>Smeeth L, Cook C, Hall AJ. Incidence of diagnosed polymyalgia rheumatica and temporal arteritis in the United Kingdom, 1990-2001. Ann Rheum Dis. 2006;65(8):1093-8.</w:t>
      </w:r>
    </w:p>
    <w:p w:rsidR="001A23C8" w:rsidRDefault="00E321F2" w:rsidP="00822BFF">
      <w:r>
        <w:fldChar w:fldCharType="end"/>
      </w:r>
    </w:p>
    <w:sectPr w:rsidR="001A23C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9C0570" w16cid:durableId="20D1F084"/>
  <w16cid:commentId w16cid:paraId="1A3DCEB7" w16cid:durableId="20D1F097"/>
  <w16cid:commentId w16cid:paraId="3FD99272" w16cid:durableId="20D1F14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sfzf5wewsx5dbee29qpw0tbav0r5dtzpwzx&quot;&gt;MyendnotelibraryMax&lt;record-ids&gt;&lt;item&gt;2736&lt;/item&gt;&lt;item&gt;3731&lt;/item&gt;&lt;item&gt;4477&lt;/item&gt;&lt;item&gt;4605&lt;/item&gt;&lt;item&gt;4732&lt;/item&gt;&lt;/record-ids&gt;&lt;/item&gt;&lt;/Libraries&gt;"/>
  </w:docVars>
  <w:rsids>
    <w:rsidRoot w:val="00822BFF"/>
    <w:rsid w:val="00023E11"/>
    <w:rsid w:val="00026F63"/>
    <w:rsid w:val="000326BF"/>
    <w:rsid w:val="00036C92"/>
    <w:rsid w:val="000619E6"/>
    <w:rsid w:val="0007576D"/>
    <w:rsid w:val="000B2098"/>
    <w:rsid w:val="000F55AE"/>
    <w:rsid w:val="00122244"/>
    <w:rsid w:val="00122D4A"/>
    <w:rsid w:val="00156E97"/>
    <w:rsid w:val="00172E45"/>
    <w:rsid w:val="00182E80"/>
    <w:rsid w:val="00187B04"/>
    <w:rsid w:val="001962C3"/>
    <w:rsid w:val="001A23C8"/>
    <w:rsid w:val="001E385A"/>
    <w:rsid w:val="001F4E57"/>
    <w:rsid w:val="002967D7"/>
    <w:rsid w:val="002F4685"/>
    <w:rsid w:val="00323532"/>
    <w:rsid w:val="003435A9"/>
    <w:rsid w:val="00344CEB"/>
    <w:rsid w:val="00367CC3"/>
    <w:rsid w:val="003A33F0"/>
    <w:rsid w:val="003A5B70"/>
    <w:rsid w:val="003C67C7"/>
    <w:rsid w:val="00405277"/>
    <w:rsid w:val="0041540A"/>
    <w:rsid w:val="00433532"/>
    <w:rsid w:val="00453BAA"/>
    <w:rsid w:val="004641FA"/>
    <w:rsid w:val="004801AE"/>
    <w:rsid w:val="004904E2"/>
    <w:rsid w:val="004B414C"/>
    <w:rsid w:val="004D20EE"/>
    <w:rsid w:val="00517A11"/>
    <w:rsid w:val="005322CE"/>
    <w:rsid w:val="00564781"/>
    <w:rsid w:val="00566C88"/>
    <w:rsid w:val="00583108"/>
    <w:rsid w:val="00590416"/>
    <w:rsid w:val="005A1E87"/>
    <w:rsid w:val="00603E53"/>
    <w:rsid w:val="0061660C"/>
    <w:rsid w:val="006D727C"/>
    <w:rsid w:val="006E1C26"/>
    <w:rsid w:val="006E5650"/>
    <w:rsid w:val="00734B40"/>
    <w:rsid w:val="00747EBB"/>
    <w:rsid w:val="007623F3"/>
    <w:rsid w:val="007B03EF"/>
    <w:rsid w:val="007D5208"/>
    <w:rsid w:val="007F6B1E"/>
    <w:rsid w:val="0080200B"/>
    <w:rsid w:val="00822BFF"/>
    <w:rsid w:val="0083568E"/>
    <w:rsid w:val="008D0036"/>
    <w:rsid w:val="008E0EE6"/>
    <w:rsid w:val="00945CCB"/>
    <w:rsid w:val="00956C24"/>
    <w:rsid w:val="00962191"/>
    <w:rsid w:val="00984652"/>
    <w:rsid w:val="009B06DB"/>
    <w:rsid w:val="009D0C82"/>
    <w:rsid w:val="009D53C7"/>
    <w:rsid w:val="00A04990"/>
    <w:rsid w:val="00A31C3B"/>
    <w:rsid w:val="00A64412"/>
    <w:rsid w:val="00A672B9"/>
    <w:rsid w:val="00A807ED"/>
    <w:rsid w:val="00AE62BC"/>
    <w:rsid w:val="00AF3718"/>
    <w:rsid w:val="00B10F1D"/>
    <w:rsid w:val="00B23A56"/>
    <w:rsid w:val="00B24D0D"/>
    <w:rsid w:val="00B26E6A"/>
    <w:rsid w:val="00B31902"/>
    <w:rsid w:val="00B345B8"/>
    <w:rsid w:val="00BA0CAD"/>
    <w:rsid w:val="00BF341A"/>
    <w:rsid w:val="00C00546"/>
    <w:rsid w:val="00CC4482"/>
    <w:rsid w:val="00CD4521"/>
    <w:rsid w:val="00CE7CBE"/>
    <w:rsid w:val="00D51D64"/>
    <w:rsid w:val="00D62EC6"/>
    <w:rsid w:val="00D858A1"/>
    <w:rsid w:val="00DA2531"/>
    <w:rsid w:val="00DB13CD"/>
    <w:rsid w:val="00DF25FF"/>
    <w:rsid w:val="00E321F2"/>
    <w:rsid w:val="00E850F8"/>
    <w:rsid w:val="00EC28AA"/>
    <w:rsid w:val="00ED2645"/>
    <w:rsid w:val="00EF10D5"/>
    <w:rsid w:val="00F66764"/>
    <w:rsid w:val="00FA13C2"/>
    <w:rsid w:val="00FB710C"/>
    <w:rsid w:val="00FC7B7D"/>
    <w:rsid w:val="00FF3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5BEA3"/>
  <w15:chartTrackingRefBased/>
  <w15:docId w15:val="{56C7847B-A4D1-4B2D-9386-612FFA144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B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2BFF"/>
    <w:rPr>
      <w:color w:val="0000FF"/>
      <w:u w:val="single"/>
    </w:rPr>
  </w:style>
  <w:style w:type="character" w:styleId="CommentReference">
    <w:name w:val="annotation reference"/>
    <w:uiPriority w:val="99"/>
    <w:semiHidden/>
    <w:unhideWhenUsed/>
    <w:rsid w:val="00822BFF"/>
    <w:rPr>
      <w:sz w:val="18"/>
      <w:szCs w:val="18"/>
    </w:rPr>
  </w:style>
  <w:style w:type="paragraph" w:styleId="CommentText">
    <w:name w:val="annotation text"/>
    <w:basedOn w:val="Normal"/>
    <w:link w:val="CommentTextChar"/>
    <w:uiPriority w:val="99"/>
    <w:semiHidden/>
    <w:unhideWhenUsed/>
    <w:rsid w:val="00822BFF"/>
    <w:rPr>
      <w:sz w:val="24"/>
      <w:szCs w:val="24"/>
    </w:rPr>
  </w:style>
  <w:style w:type="character" w:customStyle="1" w:styleId="CommentTextChar">
    <w:name w:val="Comment Text Char"/>
    <w:basedOn w:val="DefaultParagraphFont"/>
    <w:link w:val="CommentText"/>
    <w:uiPriority w:val="99"/>
    <w:semiHidden/>
    <w:rsid w:val="00822BFF"/>
    <w:rPr>
      <w:rFonts w:ascii="Calibri" w:eastAsia="Calibri" w:hAnsi="Calibri" w:cs="Times New Roman"/>
      <w:sz w:val="24"/>
      <w:szCs w:val="24"/>
    </w:rPr>
  </w:style>
  <w:style w:type="paragraph" w:styleId="BalloonText">
    <w:name w:val="Balloon Text"/>
    <w:basedOn w:val="Normal"/>
    <w:link w:val="BalloonTextChar"/>
    <w:uiPriority w:val="99"/>
    <w:semiHidden/>
    <w:unhideWhenUsed/>
    <w:rsid w:val="00822B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BFF"/>
    <w:rPr>
      <w:rFonts w:ascii="Segoe UI" w:eastAsia="Calibri" w:hAnsi="Segoe UI" w:cs="Segoe UI"/>
      <w:sz w:val="18"/>
      <w:szCs w:val="18"/>
    </w:rPr>
  </w:style>
  <w:style w:type="paragraph" w:customStyle="1" w:styleId="EndNoteBibliographyTitle">
    <w:name w:val="EndNote Bibliography Title"/>
    <w:basedOn w:val="Normal"/>
    <w:link w:val="EndNoteBibliographyTitleChar"/>
    <w:rsid w:val="00E321F2"/>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E321F2"/>
    <w:rPr>
      <w:rFonts w:ascii="Calibri" w:eastAsia="Calibri" w:hAnsi="Calibri" w:cs="Calibri"/>
      <w:noProof/>
      <w:lang w:val="en-US"/>
    </w:rPr>
  </w:style>
  <w:style w:type="paragraph" w:customStyle="1" w:styleId="EndNoteBibliography">
    <w:name w:val="EndNote Bibliography"/>
    <w:basedOn w:val="Normal"/>
    <w:link w:val="EndNoteBibliographyChar"/>
    <w:rsid w:val="00E321F2"/>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E321F2"/>
    <w:rPr>
      <w:rFonts w:ascii="Calibri" w:eastAsia="Calibri" w:hAnsi="Calibri" w:cs="Calibri"/>
      <w:noProof/>
      <w:lang w:val="en-US"/>
    </w:rPr>
  </w:style>
  <w:style w:type="character" w:customStyle="1" w:styleId="fn-label">
    <w:name w:val="fn-label"/>
    <w:rsid w:val="00FB710C"/>
  </w:style>
  <w:style w:type="paragraph" w:styleId="CommentSubject">
    <w:name w:val="annotation subject"/>
    <w:basedOn w:val="CommentText"/>
    <w:next w:val="CommentText"/>
    <w:link w:val="CommentSubjectChar"/>
    <w:uiPriority w:val="99"/>
    <w:semiHidden/>
    <w:unhideWhenUsed/>
    <w:rsid w:val="00187B04"/>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187B0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94257">
      <w:bodyDiv w:val="1"/>
      <w:marLeft w:val="0"/>
      <w:marRight w:val="0"/>
      <w:marTop w:val="0"/>
      <w:marBottom w:val="0"/>
      <w:divBdr>
        <w:top w:val="none" w:sz="0" w:space="0" w:color="auto"/>
        <w:left w:val="none" w:sz="0" w:space="0" w:color="auto"/>
        <w:bottom w:val="none" w:sz="0" w:space="0" w:color="auto"/>
        <w:right w:val="none" w:sz="0" w:space="0" w:color="auto"/>
      </w:divBdr>
    </w:div>
    <w:div w:id="155138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yates@uea.ac.uk" TargetMode="Externa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F4AE0-2D97-419B-AE9E-F7E8382C5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1908</Words>
  <Characters>10881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12764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Yates (MED - Staff)</dc:creator>
  <cp:keywords/>
  <dc:description/>
  <cp:lastModifiedBy>Max Yates (MED - Staff)</cp:lastModifiedBy>
  <cp:revision>12</cp:revision>
  <dcterms:created xsi:type="dcterms:W3CDTF">2019-11-15T11:21:00Z</dcterms:created>
  <dcterms:modified xsi:type="dcterms:W3CDTF">2019-11-15T16:47:00Z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1083481484</vt:i4>
  </property>
  <property fmtid="{D5CDD505-2E9C-101B-9397-08002B2CF9AE}" pid="3" name="_NewReviewCycle">
    <vt:lpwstr/>
  </property>
  <property fmtid="{D5CDD505-2E9C-101B-9397-08002B2CF9AE}" pid="4" name="_EmailSubject">
    <vt:lpwstr>UKBiobank meeting</vt:lpwstr>
  </property>
  <property fmtid="{D5CDD505-2E9C-101B-9397-08002B2CF9AE}" pid="5" name="_AuthorEmail">
    <vt:lpwstr>M.Yates@uea.ac.uk</vt:lpwstr>
  </property>
  <property fmtid="{D5CDD505-2E9C-101B-9397-08002B2CF9AE}" pid="6" name="_AuthorEmailDisplayName">
    <vt:lpwstr>Max Yates (MED - Staff)</vt:lpwstr>
  </property>
  <property fmtid="{D5CDD505-2E9C-101B-9397-08002B2CF9AE}" pid="7" name="_PreviousAdHocReviewCycleID">
    <vt:i4>183046640</vt:i4>
  </property>
</Properties>
</file>