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5C6D" w14:textId="77777777" w:rsidR="00747E4A" w:rsidRPr="00747E4A" w:rsidRDefault="00747E4A" w:rsidP="00747E4A">
      <w:pPr>
        <w:suppressLineNumbers/>
        <w:spacing w:line="480" w:lineRule="auto"/>
        <w:jc w:val="both"/>
        <w:rPr>
          <w:rFonts w:ascii="Times New Roman" w:hAnsi="Times New Roman" w:cs="Times New Roman"/>
          <w:color w:val="000000" w:themeColor="text1"/>
          <w:sz w:val="24"/>
          <w:szCs w:val="24"/>
        </w:rPr>
      </w:pPr>
      <w:r w:rsidRPr="00747E4A">
        <w:rPr>
          <w:rFonts w:ascii="Times New Roman" w:hAnsi="Times New Roman" w:cs="Times New Roman"/>
          <w:b/>
          <w:sz w:val="24"/>
          <w:szCs w:val="24"/>
          <w:u w:val="single"/>
        </w:rPr>
        <w:t>Title</w:t>
      </w:r>
      <w:r w:rsidRPr="00747E4A">
        <w:rPr>
          <w:rFonts w:ascii="Times New Roman" w:hAnsi="Times New Roman" w:cs="Times New Roman"/>
          <w:sz w:val="24"/>
          <w:szCs w:val="24"/>
        </w:rPr>
        <w:t xml:space="preserve">: </w:t>
      </w:r>
      <w:r w:rsidRPr="00747E4A">
        <w:rPr>
          <w:rFonts w:ascii="Times New Roman" w:hAnsi="Times New Roman" w:cs="Times New Roman"/>
          <w:color w:val="000000" w:themeColor="text1"/>
          <w:sz w:val="24"/>
          <w:szCs w:val="24"/>
        </w:rPr>
        <w:t>The Association of Patient Weight and Dose of Fosphenytoin, Levetiracetam and Valproic acid with Treatment Success in Status Epilepticus</w:t>
      </w:r>
    </w:p>
    <w:p w14:paraId="6D5D9FA1" w14:textId="77777777" w:rsidR="00747E4A" w:rsidRPr="00312BCC" w:rsidRDefault="00747E4A" w:rsidP="00747E4A">
      <w:pPr>
        <w:suppressLineNumbers/>
        <w:spacing w:line="480" w:lineRule="auto"/>
        <w:jc w:val="both"/>
        <w:rPr>
          <w:rFonts w:ascii="Times New Roman" w:hAnsi="Times New Roman" w:cs="Times New Roman"/>
          <w:color w:val="000000" w:themeColor="text1"/>
          <w:sz w:val="24"/>
          <w:szCs w:val="24"/>
        </w:rPr>
      </w:pPr>
      <w:r w:rsidRPr="00747E4A">
        <w:rPr>
          <w:rFonts w:ascii="Times New Roman" w:hAnsi="Times New Roman" w:cs="Times New Roman"/>
          <w:b/>
          <w:color w:val="000000" w:themeColor="text1"/>
          <w:sz w:val="24"/>
          <w:szCs w:val="24"/>
          <w:u w:val="single"/>
        </w:rPr>
        <w:t>Authors List</w:t>
      </w:r>
      <w:r w:rsidRPr="00747E4A">
        <w:rPr>
          <w:rFonts w:ascii="Times New Roman" w:hAnsi="Times New Roman" w:cs="Times New Roman"/>
          <w:color w:val="000000" w:themeColor="text1"/>
          <w:sz w:val="24"/>
          <w:szCs w:val="24"/>
        </w:rPr>
        <w:t>: Abhishek G. Sathe</w:t>
      </w:r>
      <w:r w:rsidRPr="00747E4A">
        <w:rPr>
          <w:rFonts w:ascii="Times New Roman" w:hAnsi="Times New Roman" w:cs="Times New Roman"/>
          <w:color w:val="000000" w:themeColor="text1"/>
          <w:sz w:val="24"/>
          <w:szCs w:val="24"/>
          <w:vertAlign w:val="superscript"/>
        </w:rPr>
        <w:t>1</w:t>
      </w:r>
      <w:r w:rsidRPr="00747E4A">
        <w:rPr>
          <w:rFonts w:ascii="Times New Roman" w:hAnsi="Times New Roman" w:cs="Times New Roman"/>
          <w:color w:val="000000" w:themeColor="text1"/>
          <w:sz w:val="24"/>
          <w:szCs w:val="24"/>
        </w:rPr>
        <w:t>; Jordan J. Elm</w:t>
      </w:r>
      <w:r w:rsidRPr="00747E4A">
        <w:rPr>
          <w:rFonts w:ascii="Times New Roman" w:hAnsi="Times New Roman" w:cs="Times New Roman"/>
          <w:color w:val="000000" w:themeColor="text1"/>
          <w:sz w:val="24"/>
          <w:szCs w:val="24"/>
          <w:vertAlign w:val="superscript"/>
        </w:rPr>
        <w:t>2</w:t>
      </w:r>
      <w:r w:rsidRPr="00747E4A">
        <w:rPr>
          <w:rFonts w:ascii="Times New Roman" w:hAnsi="Times New Roman" w:cs="Times New Roman"/>
          <w:color w:val="000000" w:themeColor="text1"/>
          <w:sz w:val="24"/>
          <w:szCs w:val="24"/>
        </w:rPr>
        <w:t>; James C. Cloyd</w:t>
      </w:r>
      <w:r w:rsidRPr="00747E4A">
        <w:rPr>
          <w:rFonts w:ascii="Times New Roman" w:hAnsi="Times New Roman" w:cs="Times New Roman"/>
          <w:color w:val="000000" w:themeColor="text1"/>
          <w:sz w:val="24"/>
          <w:szCs w:val="24"/>
          <w:vertAlign w:val="superscript"/>
        </w:rPr>
        <w:t>1</w:t>
      </w:r>
      <w:r w:rsidRPr="00747E4A">
        <w:rPr>
          <w:rFonts w:ascii="Times New Roman" w:hAnsi="Times New Roman" w:cs="Times New Roman"/>
          <w:color w:val="000000" w:themeColor="text1"/>
          <w:sz w:val="24"/>
          <w:szCs w:val="24"/>
        </w:rPr>
        <w:t>; James M. Chamberlain</w:t>
      </w:r>
      <w:r w:rsidRPr="00747E4A">
        <w:rPr>
          <w:rFonts w:ascii="Times New Roman" w:hAnsi="Times New Roman" w:cs="Times New Roman"/>
          <w:color w:val="000000" w:themeColor="text1"/>
          <w:sz w:val="24"/>
          <w:szCs w:val="24"/>
          <w:vertAlign w:val="superscript"/>
        </w:rPr>
        <w:t>3</w:t>
      </w:r>
      <w:r w:rsidRPr="00747E4A">
        <w:rPr>
          <w:rFonts w:ascii="Times New Roman" w:hAnsi="Times New Roman" w:cs="Times New Roman"/>
          <w:color w:val="000000" w:themeColor="text1"/>
          <w:sz w:val="24"/>
          <w:szCs w:val="24"/>
        </w:rPr>
        <w:t>; Robert Silbergleit</w:t>
      </w:r>
      <w:r w:rsidRPr="00747E4A">
        <w:rPr>
          <w:rFonts w:ascii="Times New Roman" w:hAnsi="Times New Roman" w:cs="Times New Roman"/>
          <w:color w:val="000000" w:themeColor="text1"/>
          <w:sz w:val="24"/>
          <w:szCs w:val="24"/>
          <w:vertAlign w:val="superscript"/>
        </w:rPr>
        <w:t>4</w:t>
      </w:r>
      <w:r w:rsidRPr="00747E4A">
        <w:rPr>
          <w:rFonts w:ascii="Times New Roman" w:hAnsi="Times New Roman" w:cs="Times New Roman"/>
          <w:color w:val="000000" w:themeColor="text1"/>
          <w:sz w:val="24"/>
          <w:szCs w:val="24"/>
        </w:rPr>
        <w:t>; Jaideep Kapur</w:t>
      </w:r>
      <w:r w:rsidRPr="00747E4A">
        <w:rPr>
          <w:rFonts w:ascii="Times New Roman" w:hAnsi="Times New Roman" w:cs="Times New Roman"/>
          <w:color w:val="000000" w:themeColor="text1"/>
          <w:sz w:val="24"/>
          <w:szCs w:val="24"/>
          <w:vertAlign w:val="superscript"/>
        </w:rPr>
        <w:t>5,6</w:t>
      </w:r>
      <w:r w:rsidRPr="00747E4A">
        <w:rPr>
          <w:rFonts w:ascii="Times New Roman" w:hAnsi="Times New Roman" w:cs="Times New Roman"/>
          <w:color w:val="000000" w:themeColor="text1"/>
          <w:sz w:val="24"/>
          <w:szCs w:val="24"/>
        </w:rPr>
        <w:t>; Hannah R. Cock</w:t>
      </w:r>
      <w:r w:rsidRPr="00747E4A">
        <w:rPr>
          <w:rFonts w:ascii="Times New Roman" w:hAnsi="Times New Roman" w:cs="Times New Roman"/>
          <w:color w:val="000000" w:themeColor="text1"/>
          <w:sz w:val="24"/>
          <w:szCs w:val="24"/>
          <w:vertAlign w:val="superscript"/>
        </w:rPr>
        <w:t>7</w:t>
      </w:r>
      <w:r w:rsidRPr="00747E4A">
        <w:rPr>
          <w:rFonts w:ascii="Times New Roman" w:hAnsi="Times New Roman" w:cs="Times New Roman"/>
          <w:color w:val="000000" w:themeColor="text1"/>
          <w:sz w:val="24"/>
          <w:szCs w:val="24"/>
        </w:rPr>
        <w:t>; Nathan B. Fountain</w:t>
      </w:r>
      <w:r w:rsidRPr="00747E4A">
        <w:rPr>
          <w:rFonts w:ascii="Times New Roman" w:hAnsi="Times New Roman" w:cs="Times New Roman"/>
          <w:color w:val="000000" w:themeColor="text1"/>
          <w:sz w:val="24"/>
          <w:szCs w:val="24"/>
          <w:vertAlign w:val="superscript"/>
        </w:rPr>
        <w:t>5</w:t>
      </w:r>
      <w:r w:rsidRPr="00747E4A">
        <w:rPr>
          <w:rFonts w:ascii="Times New Roman" w:hAnsi="Times New Roman" w:cs="Times New Roman"/>
          <w:color w:val="000000" w:themeColor="text1"/>
          <w:sz w:val="24"/>
          <w:szCs w:val="24"/>
        </w:rPr>
        <w:t xml:space="preserve">; </w:t>
      </w:r>
      <w:proofErr w:type="spellStart"/>
      <w:r w:rsidRPr="00747E4A">
        <w:rPr>
          <w:rFonts w:ascii="Times New Roman" w:hAnsi="Times New Roman" w:cs="Times New Roman"/>
          <w:color w:val="000000" w:themeColor="text1"/>
          <w:sz w:val="24"/>
          <w:szCs w:val="24"/>
        </w:rPr>
        <w:t>Shlomo</w:t>
      </w:r>
      <w:proofErr w:type="spellEnd"/>
      <w:r w:rsidRPr="00747E4A">
        <w:rPr>
          <w:rFonts w:ascii="Times New Roman" w:hAnsi="Times New Roman" w:cs="Times New Roman"/>
          <w:color w:val="000000" w:themeColor="text1"/>
          <w:sz w:val="24"/>
          <w:szCs w:val="24"/>
        </w:rPr>
        <w:t xml:space="preserve"> Shinnar</w:t>
      </w:r>
      <w:r w:rsidRPr="00747E4A">
        <w:rPr>
          <w:rFonts w:ascii="Times New Roman" w:hAnsi="Times New Roman" w:cs="Times New Roman"/>
          <w:color w:val="000000" w:themeColor="text1"/>
          <w:sz w:val="24"/>
          <w:szCs w:val="24"/>
          <w:vertAlign w:val="superscript"/>
        </w:rPr>
        <w:t>8</w:t>
      </w:r>
      <w:r w:rsidRPr="00747E4A">
        <w:rPr>
          <w:rFonts w:ascii="Times New Roman" w:hAnsi="Times New Roman" w:cs="Times New Roman"/>
          <w:color w:val="000000" w:themeColor="text1"/>
          <w:sz w:val="24"/>
          <w:szCs w:val="24"/>
        </w:rPr>
        <w:t>; Daniel H. Lowenstein</w:t>
      </w:r>
      <w:r w:rsidRPr="00747E4A">
        <w:rPr>
          <w:rFonts w:ascii="Times New Roman" w:hAnsi="Times New Roman" w:cs="Times New Roman"/>
          <w:color w:val="000000" w:themeColor="text1"/>
          <w:sz w:val="24"/>
          <w:szCs w:val="24"/>
          <w:vertAlign w:val="superscript"/>
        </w:rPr>
        <w:t>9</w:t>
      </w:r>
      <w:r w:rsidRPr="00747E4A">
        <w:rPr>
          <w:rFonts w:ascii="Times New Roman" w:hAnsi="Times New Roman" w:cs="Times New Roman"/>
          <w:color w:val="000000" w:themeColor="text1"/>
          <w:sz w:val="24"/>
          <w:szCs w:val="24"/>
        </w:rPr>
        <w:t>; Robin A. Conwit</w:t>
      </w:r>
      <w:r w:rsidRPr="00747E4A">
        <w:rPr>
          <w:rFonts w:ascii="Times New Roman" w:hAnsi="Times New Roman" w:cs="Times New Roman"/>
          <w:color w:val="000000" w:themeColor="text1"/>
          <w:sz w:val="24"/>
          <w:szCs w:val="24"/>
          <w:vertAlign w:val="superscript"/>
        </w:rPr>
        <w:t>10</w:t>
      </w:r>
      <w:r w:rsidRPr="00747E4A">
        <w:rPr>
          <w:rFonts w:ascii="Times New Roman" w:hAnsi="Times New Roman" w:cs="Times New Roman"/>
          <w:color w:val="000000" w:themeColor="text1"/>
          <w:sz w:val="24"/>
          <w:szCs w:val="24"/>
        </w:rPr>
        <w:t>; Thomas P. Bleck</w:t>
      </w:r>
      <w:r w:rsidRPr="00747E4A">
        <w:rPr>
          <w:rFonts w:ascii="Times New Roman" w:hAnsi="Times New Roman" w:cs="Times New Roman"/>
          <w:color w:val="000000" w:themeColor="text1"/>
          <w:sz w:val="24"/>
          <w:szCs w:val="24"/>
          <w:vertAlign w:val="superscript"/>
        </w:rPr>
        <w:t>11</w:t>
      </w:r>
      <w:r w:rsidRPr="00747E4A">
        <w:rPr>
          <w:rFonts w:ascii="Times New Roman" w:hAnsi="Times New Roman" w:cs="Times New Roman"/>
          <w:color w:val="000000" w:themeColor="text1"/>
          <w:sz w:val="24"/>
          <w:szCs w:val="24"/>
        </w:rPr>
        <w:t xml:space="preserve"> and Lisa D. Coles</w:t>
      </w:r>
      <w:r w:rsidRPr="00747E4A">
        <w:rPr>
          <w:rFonts w:ascii="Times New Roman" w:hAnsi="Times New Roman" w:cs="Times New Roman"/>
          <w:color w:val="000000" w:themeColor="text1"/>
          <w:sz w:val="24"/>
          <w:szCs w:val="24"/>
          <w:vertAlign w:val="superscript"/>
        </w:rPr>
        <w:t>1</w:t>
      </w:r>
    </w:p>
    <w:p w14:paraId="3BC1E21E" w14:textId="08779775" w:rsidR="00747E4A" w:rsidRPr="00747E4A" w:rsidRDefault="00747E4A" w:rsidP="00747E4A">
      <w:pPr>
        <w:suppressLineNumbers/>
        <w:spacing w:line="480" w:lineRule="auto"/>
        <w:jc w:val="both"/>
        <w:rPr>
          <w:rFonts w:ascii="Times New Roman" w:hAnsi="Times New Roman" w:cs="Times New Roman"/>
          <w:color w:val="000000" w:themeColor="text1"/>
          <w:sz w:val="24"/>
          <w:szCs w:val="24"/>
        </w:rPr>
      </w:pPr>
      <w:r w:rsidRPr="00747E4A">
        <w:rPr>
          <w:rFonts w:ascii="Times New Roman" w:hAnsi="Times New Roman" w:cs="Times New Roman"/>
          <w:b/>
          <w:color w:val="000000" w:themeColor="text1"/>
          <w:sz w:val="24"/>
          <w:szCs w:val="24"/>
          <w:u w:val="single"/>
        </w:rPr>
        <w:t>Author Affiliations</w:t>
      </w:r>
      <w:r w:rsidRPr="00747E4A">
        <w:rPr>
          <w:rFonts w:ascii="Times New Roman" w:hAnsi="Times New Roman" w:cs="Times New Roman"/>
          <w:color w:val="000000" w:themeColor="text1"/>
          <w:sz w:val="24"/>
          <w:szCs w:val="24"/>
        </w:rPr>
        <w:t xml:space="preserve">: </w:t>
      </w:r>
      <w:r w:rsidRPr="00747E4A">
        <w:rPr>
          <w:rFonts w:ascii="Times New Roman" w:hAnsi="Times New Roman" w:cs="Times New Roman"/>
          <w:color w:val="000000" w:themeColor="text1"/>
          <w:sz w:val="24"/>
          <w:szCs w:val="24"/>
          <w:vertAlign w:val="superscript"/>
        </w:rPr>
        <w:t>1</w:t>
      </w:r>
      <w:r w:rsidRPr="00747E4A">
        <w:rPr>
          <w:rFonts w:ascii="Times New Roman" w:hAnsi="Times New Roman" w:cs="Times New Roman"/>
          <w:color w:val="000000" w:themeColor="text1"/>
          <w:sz w:val="24"/>
          <w:szCs w:val="24"/>
        </w:rPr>
        <w:t>Department of Experimental and Clinical Pharmacology</w:t>
      </w:r>
      <w:r w:rsidR="00030A06">
        <w:rPr>
          <w:rFonts w:ascii="Times New Roman" w:hAnsi="Times New Roman" w:cs="Times New Roman"/>
          <w:color w:val="000000" w:themeColor="text1"/>
          <w:sz w:val="24"/>
          <w:szCs w:val="24"/>
        </w:rPr>
        <w:t xml:space="preserve"> and </w:t>
      </w:r>
      <w:r w:rsidR="00030A06" w:rsidRPr="00747E4A">
        <w:rPr>
          <w:rFonts w:ascii="Times New Roman" w:hAnsi="Times New Roman" w:cs="Times New Roman"/>
          <w:color w:val="000000" w:themeColor="text1"/>
          <w:sz w:val="24"/>
          <w:szCs w:val="24"/>
        </w:rPr>
        <w:t>Center for Orphan Drug Research</w:t>
      </w:r>
      <w:r w:rsidRPr="00747E4A">
        <w:rPr>
          <w:rFonts w:ascii="Times New Roman" w:hAnsi="Times New Roman" w:cs="Times New Roman"/>
          <w:color w:val="000000" w:themeColor="text1"/>
          <w:sz w:val="24"/>
          <w:szCs w:val="24"/>
        </w:rPr>
        <w:t xml:space="preserve">, College of Pharmacy, University of Minnesota, Minneapolis, MN; </w:t>
      </w:r>
      <w:r w:rsidRPr="00747E4A">
        <w:rPr>
          <w:rFonts w:ascii="Times New Roman" w:hAnsi="Times New Roman" w:cs="Times New Roman"/>
          <w:color w:val="000000" w:themeColor="text1"/>
          <w:sz w:val="24"/>
          <w:szCs w:val="24"/>
          <w:vertAlign w:val="superscript"/>
        </w:rPr>
        <w:t>2</w:t>
      </w:r>
      <w:r w:rsidRPr="00747E4A">
        <w:rPr>
          <w:rFonts w:ascii="Times New Roman" w:hAnsi="Times New Roman" w:cs="Times New Roman"/>
          <w:color w:val="000000" w:themeColor="text1"/>
          <w:sz w:val="24"/>
          <w:szCs w:val="24"/>
        </w:rPr>
        <w:t xml:space="preserve">Department of Public Health Science, Medical University of South Carolina, Charleston, SC; </w:t>
      </w:r>
      <w:r w:rsidRPr="00747E4A">
        <w:rPr>
          <w:rFonts w:ascii="Times New Roman" w:hAnsi="Times New Roman" w:cs="Times New Roman"/>
          <w:color w:val="000000" w:themeColor="text1"/>
          <w:sz w:val="24"/>
          <w:szCs w:val="24"/>
          <w:vertAlign w:val="superscript"/>
        </w:rPr>
        <w:t>3</w:t>
      </w:r>
      <w:r w:rsidRPr="00747E4A">
        <w:rPr>
          <w:rFonts w:ascii="Times New Roman" w:hAnsi="Times New Roman" w:cs="Times New Roman"/>
          <w:color w:val="000000" w:themeColor="text1"/>
          <w:sz w:val="24"/>
          <w:szCs w:val="24"/>
        </w:rPr>
        <w:t xml:space="preserve">Division of Emergency Medicine, Children’s National Hospital and the Department of Pediatrics and Emergency Medicine, School of Medicine and Health Sciences, George Washington University Washington, DC; </w:t>
      </w:r>
      <w:r w:rsidRPr="00747E4A">
        <w:rPr>
          <w:rFonts w:ascii="Times New Roman" w:hAnsi="Times New Roman" w:cs="Times New Roman"/>
          <w:color w:val="000000" w:themeColor="text1"/>
          <w:sz w:val="24"/>
          <w:szCs w:val="24"/>
          <w:vertAlign w:val="superscript"/>
        </w:rPr>
        <w:t>4</w:t>
      </w:r>
      <w:r w:rsidRPr="00747E4A">
        <w:rPr>
          <w:rFonts w:ascii="Times New Roman" w:hAnsi="Times New Roman" w:cs="Times New Roman"/>
          <w:color w:val="000000" w:themeColor="text1"/>
          <w:sz w:val="24"/>
          <w:szCs w:val="24"/>
        </w:rPr>
        <w:t xml:space="preserve">Department of Emergency Medicine, University of Michigan, Ann Arbor, MI; </w:t>
      </w:r>
      <w:r w:rsidRPr="00747E4A">
        <w:rPr>
          <w:rFonts w:ascii="Times New Roman" w:hAnsi="Times New Roman" w:cs="Times New Roman"/>
          <w:color w:val="000000" w:themeColor="text1"/>
          <w:sz w:val="24"/>
          <w:szCs w:val="24"/>
          <w:vertAlign w:val="superscript"/>
        </w:rPr>
        <w:t>5</w:t>
      </w:r>
      <w:r w:rsidRPr="00747E4A">
        <w:rPr>
          <w:rFonts w:ascii="Times New Roman" w:hAnsi="Times New Roman" w:cs="Times New Roman"/>
          <w:color w:val="000000" w:themeColor="text1"/>
          <w:sz w:val="24"/>
          <w:szCs w:val="24"/>
        </w:rPr>
        <w:t xml:space="preserve">Department of Neurology and </w:t>
      </w:r>
      <w:r w:rsidRPr="00747E4A">
        <w:rPr>
          <w:rFonts w:ascii="Times New Roman" w:hAnsi="Times New Roman" w:cs="Times New Roman"/>
          <w:color w:val="000000" w:themeColor="text1"/>
          <w:sz w:val="24"/>
          <w:szCs w:val="24"/>
          <w:vertAlign w:val="superscript"/>
        </w:rPr>
        <w:t>6</w:t>
      </w:r>
      <w:r w:rsidRPr="00747E4A">
        <w:rPr>
          <w:rFonts w:ascii="Times New Roman" w:hAnsi="Times New Roman" w:cs="Times New Roman"/>
          <w:color w:val="000000" w:themeColor="text1"/>
          <w:sz w:val="24"/>
          <w:szCs w:val="24"/>
        </w:rPr>
        <w:t xml:space="preserve">Department of Neuroscience, Brain Institute, University of Virginia, Charlottesville, VA; </w:t>
      </w:r>
      <w:r w:rsidRPr="00747E4A">
        <w:rPr>
          <w:rFonts w:ascii="Times New Roman" w:hAnsi="Times New Roman" w:cs="Times New Roman"/>
          <w:color w:val="000000" w:themeColor="text1"/>
          <w:sz w:val="24"/>
          <w:szCs w:val="24"/>
          <w:vertAlign w:val="superscript"/>
        </w:rPr>
        <w:t>7</w:t>
      </w:r>
      <w:r w:rsidRPr="00747E4A">
        <w:rPr>
          <w:rFonts w:ascii="Times New Roman" w:hAnsi="Times New Roman" w:cs="Times New Roman"/>
          <w:color w:val="000000" w:themeColor="text1"/>
          <w:sz w:val="24"/>
          <w:szCs w:val="24"/>
        </w:rPr>
        <w:t xml:space="preserve">St. George’s University of London and St. George’s University Hospitals NHS Foundation Trust, London, UK; </w:t>
      </w:r>
      <w:r w:rsidRPr="00747E4A">
        <w:rPr>
          <w:rFonts w:ascii="Times New Roman" w:hAnsi="Times New Roman" w:cs="Times New Roman"/>
          <w:color w:val="000000" w:themeColor="text1"/>
          <w:sz w:val="24"/>
          <w:szCs w:val="24"/>
          <w:vertAlign w:val="superscript"/>
        </w:rPr>
        <w:t>8</w:t>
      </w:r>
      <w:r w:rsidRPr="00747E4A">
        <w:rPr>
          <w:rFonts w:ascii="Times New Roman" w:hAnsi="Times New Roman" w:cs="Times New Roman"/>
          <w:color w:val="000000" w:themeColor="text1"/>
          <w:sz w:val="24"/>
          <w:szCs w:val="24"/>
        </w:rPr>
        <w:t xml:space="preserve">Montefiore Medical Center, Albert Einstein College of Medicine, Bronx, NY; </w:t>
      </w:r>
      <w:r w:rsidRPr="00747E4A">
        <w:rPr>
          <w:rFonts w:ascii="Times New Roman" w:hAnsi="Times New Roman" w:cs="Times New Roman"/>
          <w:color w:val="000000" w:themeColor="text1"/>
          <w:sz w:val="24"/>
          <w:szCs w:val="24"/>
          <w:vertAlign w:val="superscript"/>
        </w:rPr>
        <w:t>9</w:t>
      </w:r>
      <w:r w:rsidRPr="00747E4A">
        <w:rPr>
          <w:rFonts w:ascii="Times New Roman" w:hAnsi="Times New Roman" w:cs="Times New Roman"/>
          <w:color w:val="000000" w:themeColor="text1"/>
          <w:sz w:val="24"/>
          <w:szCs w:val="24"/>
        </w:rPr>
        <w:t xml:space="preserve">Department of Neurology, University of California, San Francisco, CA; </w:t>
      </w:r>
      <w:r w:rsidRPr="00747E4A">
        <w:rPr>
          <w:rFonts w:ascii="Times New Roman" w:hAnsi="Times New Roman" w:cs="Times New Roman"/>
          <w:color w:val="000000" w:themeColor="text1"/>
          <w:sz w:val="24"/>
          <w:szCs w:val="24"/>
          <w:vertAlign w:val="superscript"/>
        </w:rPr>
        <w:t>10</w:t>
      </w:r>
      <w:r w:rsidRPr="00747E4A">
        <w:rPr>
          <w:rFonts w:ascii="Times New Roman" w:hAnsi="Times New Roman" w:cs="Times New Roman"/>
          <w:color w:val="000000" w:themeColor="text1"/>
          <w:sz w:val="24"/>
          <w:szCs w:val="24"/>
        </w:rPr>
        <w:t xml:space="preserve">National Institute of Neurological Disorders and Stroke, National Institutes of Health, Bethesda, MD; </w:t>
      </w:r>
      <w:r w:rsidRPr="00747E4A">
        <w:rPr>
          <w:rFonts w:ascii="Times New Roman" w:hAnsi="Times New Roman" w:cs="Times New Roman"/>
          <w:color w:val="000000" w:themeColor="text1"/>
          <w:sz w:val="24"/>
          <w:szCs w:val="24"/>
          <w:vertAlign w:val="superscript"/>
        </w:rPr>
        <w:t>11</w:t>
      </w:r>
      <w:r w:rsidRPr="00747E4A">
        <w:rPr>
          <w:rFonts w:ascii="Times New Roman" w:hAnsi="Times New Roman" w:cs="Times New Roman"/>
          <w:color w:val="000000" w:themeColor="text1"/>
          <w:sz w:val="24"/>
          <w:szCs w:val="24"/>
        </w:rPr>
        <w:t>Feinberg School of Medicine, Northwestern University, Chicago, IL.</w:t>
      </w:r>
    </w:p>
    <w:p w14:paraId="180C71D7" w14:textId="77777777" w:rsidR="00747E4A" w:rsidRPr="00747E4A" w:rsidRDefault="00747E4A" w:rsidP="00747E4A">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Corresponding Author Contact Information</w:t>
      </w:r>
      <w:r w:rsidRPr="00747E4A">
        <w:rPr>
          <w:rFonts w:ascii="Times New Roman" w:hAnsi="Times New Roman" w:cs="Times New Roman"/>
          <w:b/>
          <w:color w:val="000000" w:themeColor="text1"/>
          <w:sz w:val="24"/>
          <w:szCs w:val="24"/>
        </w:rPr>
        <w:t>:</w:t>
      </w:r>
    </w:p>
    <w:p w14:paraId="30780FE3"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Abhishek G. Sathe, MS, PhD Candidate,</w:t>
      </w:r>
    </w:p>
    <w:p w14:paraId="09063596"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Center for Orphan Drug Research/Experimental and Clinical Pharmacology</w:t>
      </w:r>
    </w:p>
    <w:p w14:paraId="4E425EDC"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Rm 4-226, McGuire Translational Research Facility</w:t>
      </w:r>
    </w:p>
    <w:p w14:paraId="633DED92"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2001 6th St. SE</w:t>
      </w:r>
    </w:p>
    <w:p w14:paraId="59CFD719"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College of Pharmacy, University of Minnesota</w:t>
      </w:r>
    </w:p>
    <w:p w14:paraId="157BCADA"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Minneapolis, MN 55455 USA</w:t>
      </w:r>
    </w:p>
    <w:p w14:paraId="4921CED5"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Cell: +1617-650-4621</w:t>
      </w:r>
    </w:p>
    <w:p w14:paraId="31089FB7" w14:textId="77777777" w:rsidR="00747E4A" w:rsidRPr="00747E4A" w:rsidRDefault="00747E4A" w:rsidP="00747E4A">
      <w:pPr>
        <w:spacing w:after="0" w:line="240" w:lineRule="auto"/>
        <w:rPr>
          <w:rFonts w:ascii="Times New Roman" w:hAnsi="Times New Roman" w:cs="Times New Roman"/>
          <w:sz w:val="24"/>
          <w:szCs w:val="24"/>
        </w:rPr>
      </w:pPr>
      <w:r w:rsidRPr="00747E4A">
        <w:rPr>
          <w:rFonts w:ascii="Times New Roman" w:hAnsi="Times New Roman" w:cs="Times New Roman"/>
          <w:sz w:val="24"/>
          <w:szCs w:val="24"/>
        </w:rPr>
        <w:t>Email: sathe134@umn.edu</w:t>
      </w:r>
    </w:p>
    <w:p w14:paraId="32E3FD42" w14:textId="77777777" w:rsidR="00747E4A" w:rsidRPr="00747E4A" w:rsidRDefault="00747E4A" w:rsidP="00747E4A">
      <w:pPr>
        <w:suppressLineNumbers/>
        <w:spacing w:after="0" w:line="480" w:lineRule="auto"/>
        <w:jc w:val="both"/>
        <w:rPr>
          <w:rFonts w:ascii="Times New Roman" w:hAnsi="Times New Roman" w:cs="Times New Roman"/>
          <w:b/>
          <w:color w:val="000000" w:themeColor="text1"/>
          <w:sz w:val="24"/>
          <w:szCs w:val="24"/>
          <w:u w:val="single"/>
        </w:rPr>
      </w:pPr>
    </w:p>
    <w:p w14:paraId="59A6CFDC" w14:textId="2961DBBE" w:rsidR="00747E4A" w:rsidRPr="00747E4A" w:rsidRDefault="00747E4A" w:rsidP="00747E4A">
      <w:pPr>
        <w:suppressLineNumbers/>
        <w:spacing w:after="0" w:line="480" w:lineRule="auto"/>
        <w:jc w:val="both"/>
        <w:rPr>
          <w:rFonts w:ascii="Times New Roman" w:hAnsi="Times New Roman" w:cs="Times New Roman"/>
          <w:b/>
          <w:color w:val="000000" w:themeColor="text1"/>
          <w:sz w:val="24"/>
          <w:szCs w:val="24"/>
        </w:rPr>
      </w:pPr>
      <w:r w:rsidRPr="00747E4A">
        <w:rPr>
          <w:rFonts w:ascii="Times New Roman" w:hAnsi="Times New Roman" w:cs="Times New Roman"/>
          <w:b/>
          <w:color w:val="000000" w:themeColor="text1"/>
          <w:sz w:val="24"/>
          <w:szCs w:val="24"/>
          <w:u w:val="single"/>
        </w:rPr>
        <w:t>Keywords</w:t>
      </w:r>
      <w:r w:rsidRPr="00747E4A">
        <w:rPr>
          <w:rFonts w:ascii="Times New Roman" w:hAnsi="Times New Roman" w:cs="Times New Roman"/>
          <w:b/>
          <w:color w:val="000000" w:themeColor="text1"/>
          <w:sz w:val="24"/>
          <w:szCs w:val="24"/>
        </w:rPr>
        <w:t xml:space="preserve">: </w:t>
      </w:r>
      <w:r w:rsidRPr="00747E4A">
        <w:rPr>
          <w:rFonts w:ascii="Times New Roman" w:hAnsi="Times New Roman" w:cs="Times New Roman"/>
          <w:bCs/>
          <w:color w:val="000000" w:themeColor="text1"/>
          <w:sz w:val="24"/>
          <w:szCs w:val="24"/>
        </w:rPr>
        <w:t xml:space="preserve">Weight-based dosing, dose-response, anti-seizure medications, ESETT, </w:t>
      </w:r>
      <w:r w:rsidR="00BE256E">
        <w:rPr>
          <w:rFonts w:ascii="Times New Roman" w:hAnsi="Times New Roman" w:cs="Times New Roman"/>
          <w:bCs/>
          <w:color w:val="000000" w:themeColor="text1"/>
          <w:sz w:val="24"/>
          <w:szCs w:val="24"/>
        </w:rPr>
        <w:t>seizure cessation</w:t>
      </w:r>
    </w:p>
    <w:p w14:paraId="4458763C" w14:textId="11D8B2FF" w:rsidR="00747E4A" w:rsidRPr="00747E4A" w:rsidRDefault="00747E4A" w:rsidP="00747E4A">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Text Pages</w:t>
      </w:r>
      <w:r w:rsidRPr="00747E4A">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7</w:t>
      </w:r>
    </w:p>
    <w:p w14:paraId="333D7821" w14:textId="17D87C2E" w:rsidR="00747E4A" w:rsidRPr="00FD2EF8" w:rsidRDefault="00747E4A" w:rsidP="00747E4A">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Words</w:t>
      </w:r>
      <w:r w:rsidRPr="00747E4A">
        <w:rPr>
          <w:rFonts w:ascii="Times New Roman" w:hAnsi="Times New Roman" w:cs="Times New Roman"/>
          <w:b/>
          <w:color w:val="000000" w:themeColor="text1"/>
          <w:sz w:val="24"/>
          <w:szCs w:val="24"/>
        </w:rPr>
        <w:t>:</w:t>
      </w:r>
      <w:r w:rsidR="00FD2EF8">
        <w:rPr>
          <w:rFonts w:ascii="Times New Roman" w:hAnsi="Times New Roman" w:cs="Times New Roman"/>
          <w:bCs/>
          <w:color w:val="000000" w:themeColor="text1"/>
          <w:sz w:val="24"/>
          <w:szCs w:val="24"/>
        </w:rPr>
        <w:t xml:space="preserve"> </w:t>
      </w:r>
      <w:r w:rsidR="00C90052">
        <w:rPr>
          <w:rFonts w:ascii="Times New Roman" w:hAnsi="Times New Roman" w:cs="Times New Roman"/>
          <w:bCs/>
          <w:color w:val="000000" w:themeColor="text1"/>
          <w:sz w:val="24"/>
          <w:szCs w:val="24"/>
        </w:rPr>
        <w:t xml:space="preserve">1835 </w:t>
      </w:r>
    </w:p>
    <w:p w14:paraId="36FFEBF3" w14:textId="35EA3038" w:rsidR="00747E4A" w:rsidRPr="00747E4A" w:rsidRDefault="00747E4A" w:rsidP="00747E4A">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References</w:t>
      </w:r>
      <w:r w:rsidRPr="00747E4A">
        <w:rPr>
          <w:rFonts w:ascii="Times New Roman" w:hAnsi="Times New Roman" w:cs="Times New Roman"/>
          <w:b/>
          <w:color w:val="000000" w:themeColor="text1"/>
          <w:sz w:val="24"/>
          <w:szCs w:val="24"/>
        </w:rPr>
        <w:t xml:space="preserve">: </w:t>
      </w:r>
      <w:r w:rsidRPr="00747E4A">
        <w:rPr>
          <w:rFonts w:ascii="Times New Roman" w:hAnsi="Times New Roman" w:cs="Times New Roman"/>
          <w:bCs/>
          <w:color w:val="000000" w:themeColor="text1"/>
          <w:sz w:val="24"/>
          <w:szCs w:val="24"/>
        </w:rPr>
        <w:t>10</w:t>
      </w:r>
    </w:p>
    <w:p w14:paraId="41357F4B" w14:textId="427FA503" w:rsidR="00747E4A" w:rsidRPr="00747E4A" w:rsidRDefault="00747E4A" w:rsidP="00747E4A">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Figures</w:t>
      </w:r>
      <w:r w:rsidRPr="00747E4A">
        <w:rPr>
          <w:rFonts w:ascii="Times New Roman" w:hAnsi="Times New Roman" w:cs="Times New Roman"/>
          <w:b/>
          <w:color w:val="000000" w:themeColor="text1"/>
          <w:sz w:val="24"/>
          <w:szCs w:val="24"/>
        </w:rPr>
        <w:t xml:space="preserve">: </w:t>
      </w:r>
      <w:r w:rsidRPr="00747E4A">
        <w:rPr>
          <w:rFonts w:ascii="Times New Roman" w:hAnsi="Times New Roman" w:cs="Times New Roman"/>
          <w:bCs/>
          <w:color w:val="000000" w:themeColor="text1"/>
          <w:sz w:val="24"/>
          <w:szCs w:val="24"/>
        </w:rPr>
        <w:t>1</w:t>
      </w:r>
    </w:p>
    <w:p w14:paraId="70A5F9F3" w14:textId="2A72C961" w:rsidR="00BA5F73" w:rsidRPr="00BA5F73" w:rsidRDefault="00747E4A" w:rsidP="00BA5F73">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Tables</w:t>
      </w:r>
      <w:r w:rsidRPr="00747E4A">
        <w:rPr>
          <w:rFonts w:ascii="Times New Roman" w:hAnsi="Times New Roman" w:cs="Times New Roman"/>
          <w:b/>
          <w:color w:val="000000" w:themeColor="text1"/>
          <w:sz w:val="24"/>
          <w:szCs w:val="24"/>
        </w:rPr>
        <w:t xml:space="preserve">: </w:t>
      </w:r>
      <w:r w:rsidRPr="00747E4A">
        <w:rPr>
          <w:rFonts w:ascii="Times New Roman" w:hAnsi="Times New Roman" w:cs="Times New Roman"/>
          <w:bCs/>
          <w:color w:val="000000" w:themeColor="text1"/>
          <w:sz w:val="24"/>
          <w:szCs w:val="24"/>
        </w:rPr>
        <w:t>2</w:t>
      </w:r>
    </w:p>
    <w:p w14:paraId="0AAF8E21" w14:textId="7919250D" w:rsidR="00B96D91" w:rsidRPr="00B96D91" w:rsidRDefault="00BA5F73" w:rsidP="00BA5F73">
      <w:pPr>
        <w:suppressLineNumbers/>
        <w:spacing w:line="480" w:lineRule="auto"/>
        <w:jc w:val="both"/>
        <w:rPr>
          <w:rFonts w:ascii="Times New Roman" w:hAnsi="Times New Roman" w:cs="Times New Roman"/>
          <w:color w:val="000000" w:themeColor="text1"/>
          <w:sz w:val="24"/>
          <w:szCs w:val="24"/>
        </w:rPr>
      </w:pPr>
      <w:r w:rsidRPr="00BA5F73">
        <w:rPr>
          <w:rFonts w:ascii="Times New Roman" w:hAnsi="Times New Roman" w:cs="Times New Roman"/>
          <w:b/>
          <w:bCs/>
          <w:color w:val="000000" w:themeColor="text1"/>
          <w:sz w:val="24"/>
          <w:szCs w:val="24"/>
          <w:u w:val="single"/>
        </w:rPr>
        <w:t>Supporting Information</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Tables S1 and S2 as additional supporting information have been included with this submission</w:t>
      </w:r>
    </w:p>
    <w:p w14:paraId="7FD6210C" w14:textId="77777777" w:rsidR="000E7BD3" w:rsidRPr="00B90668" w:rsidRDefault="000E7BD3" w:rsidP="00B90668">
      <w:pPr>
        <w:suppressLineNumbers/>
        <w:spacing w:after="0" w:line="480" w:lineRule="auto"/>
        <w:jc w:val="both"/>
        <w:rPr>
          <w:rFonts w:ascii="Times New Roman" w:hAnsi="Times New Roman" w:cs="Times New Roman"/>
          <w:color w:val="000000" w:themeColor="text1"/>
          <w:sz w:val="24"/>
          <w:szCs w:val="24"/>
        </w:rPr>
      </w:pPr>
    </w:p>
    <w:p w14:paraId="77179CAF" w14:textId="77777777" w:rsidR="00C12644" w:rsidRPr="00B90668" w:rsidRDefault="00C12644" w:rsidP="00B90668">
      <w:pPr>
        <w:suppressLineNumbers/>
        <w:spacing w:after="0" w:line="480" w:lineRule="auto"/>
        <w:jc w:val="both"/>
        <w:rPr>
          <w:rFonts w:ascii="Times New Roman" w:hAnsi="Times New Roman" w:cs="Times New Roman"/>
          <w:b/>
          <w:color w:val="000000" w:themeColor="text1"/>
          <w:sz w:val="24"/>
          <w:szCs w:val="24"/>
        </w:rPr>
      </w:pPr>
    </w:p>
    <w:p w14:paraId="6DE9123E" w14:textId="77777777"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0950C5BE" w14:textId="77777777"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04083733" w14:textId="77777777"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3AE55B28" w14:textId="77777777"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32EE08B4" w14:textId="77777777"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0836C84A" w14:textId="54AF4F8B" w:rsidR="00747E4A" w:rsidRDefault="00747E4A" w:rsidP="00B90668">
      <w:pPr>
        <w:suppressLineNumbers/>
        <w:spacing w:after="0" w:line="480" w:lineRule="auto"/>
        <w:jc w:val="both"/>
        <w:rPr>
          <w:rFonts w:ascii="Times New Roman" w:hAnsi="Times New Roman" w:cs="Times New Roman"/>
          <w:b/>
          <w:color w:val="000000" w:themeColor="text1"/>
          <w:sz w:val="24"/>
          <w:szCs w:val="24"/>
        </w:rPr>
      </w:pPr>
    </w:p>
    <w:p w14:paraId="648B7005" w14:textId="54555891" w:rsidR="00B96D91" w:rsidRDefault="00B96D91" w:rsidP="00B90668">
      <w:pPr>
        <w:suppressLineNumbers/>
        <w:spacing w:after="0" w:line="480" w:lineRule="auto"/>
        <w:jc w:val="both"/>
        <w:rPr>
          <w:rFonts w:ascii="Times New Roman" w:hAnsi="Times New Roman" w:cs="Times New Roman"/>
          <w:b/>
          <w:color w:val="000000" w:themeColor="text1"/>
          <w:sz w:val="24"/>
          <w:szCs w:val="24"/>
        </w:rPr>
      </w:pPr>
    </w:p>
    <w:p w14:paraId="693389F7" w14:textId="7940BA05" w:rsidR="00B96D91" w:rsidRDefault="00B96D91" w:rsidP="00B90668">
      <w:pPr>
        <w:suppressLineNumbers/>
        <w:spacing w:after="0" w:line="480" w:lineRule="auto"/>
        <w:jc w:val="both"/>
        <w:rPr>
          <w:rFonts w:ascii="Times New Roman" w:hAnsi="Times New Roman" w:cs="Times New Roman"/>
          <w:b/>
          <w:color w:val="000000" w:themeColor="text1"/>
          <w:sz w:val="24"/>
          <w:szCs w:val="24"/>
        </w:rPr>
      </w:pPr>
    </w:p>
    <w:p w14:paraId="432D443B" w14:textId="3A9F735C" w:rsidR="00B96D91" w:rsidRDefault="00B96D91" w:rsidP="00B90668">
      <w:pPr>
        <w:suppressLineNumbers/>
        <w:spacing w:after="0" w:line="480" w:lineRule="auto"/>
        <w:jc w:val="both"/>
        <w:rPr>
          <w:rFonts w:ascii="Times New Roman" w:hAnsi="Times New Roman" w:cs="Times New Roman"/>
          <w:b/>
          <w:color w:val="000000" w:themeColor="text1"/>
          <w:sz w:val="24"/>
          <w:szCs w:val="24"/>
        </w:rPr>
      </w:pPr>
    </w:p>
    <w:p w14:paraId="121967CB" w14:textId="73AF8247" w:rsidR="00B96D91" w:rsidRDefault="00B96D91" w:rsidP="00B90668">
      <w:pPr>
        <w:suppressLineNumbers/>
        <w:spacing w:after="0" w:line="480" w:lineRule="auto"/>
        <w:jc w:val="both"/>
        <w:rPr>
          <w:rFonts w:ascii="Times New Roman" w:hAnsi="Times New Roman" w:cs="Times New Roman"/>
          <w:b/>
          <w:color w:val="000000" w:themeColor="text1"/>
          <w:sz w:val="24"/>
          <w:szCs w:val="24"/>
        </w:rPr>
      </w:pPr>
    </w:p>
    <w:p w14:paraId="2F25CC17" w14:textId="77777777" w:rsidR="00B96D91" w:rsidRDefault="00B96D91" w:rsidP="00B90668">
      <w:pPr>
        <w:suppressLineNumbers/>
        <w:spacing w:after="0" w:line="480" w:lineRule="auto"/>
        <w:jc w:val="both"/>
        <w:rPr>
          <w:rFonts w:ascii="Times New Roman" w:hAnsi="Times New Roman" w:cs="Times New Roman"/>
          <w:b/>
          <w:color w:val="000000" w:themeColor="text1"/>
          <w:sz w:val="24"/>
          <w:szCs w:val="24"/>
        </w:rPr>
      </w:pPr>
    </w:p>
    <w:p w14:paraId="4A308644" w14:textId="19D0094B" w:rsidR="0051753A" w:rsidRPr="00B90668" w:rsidRDefault="0051753A" w:rsidP="00B90668">
      <w:pPr>
        <w:suppressLineNumbers/>
        <w:spacing w:after="0"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lastRenderedPageBreak/>
        <w:t>Summary</w:t>
      </w:r>
    </w:p>
    <w:p w14:paraId="2B576D2F" w14:textId="77777777" w:rsidR="0051753A" w:rsidRPr="00B90668" w:rsidRDefault="0051753A" w:rsidP="00B90668">
      <w:pPr>
        <w:suppressLineNumbers/>
        <w:spacing w:after="0" w:line="480" w:lineRule="auto"/>
        <w:jc w:val="both"/>
        <w:rPr>
          <w:rFonts w:ascii="Times New Roman" w:hAnsi="Times New Roman" w:cs="Times New Roman"/>
          <w:bCs/>
          <w:color w:val="000000" w:themeColor="text1"/>
          <w:sz w:val="24"/>
          <w:szCs w:val="24"/>
        </w:rPr>
      </w:pPr>
    </w:p>
    <w:p w14:paraId="5DA70F96" w14:textId="3A5490E3" w:rsidR="009B291C" w:rsidRPr="00B90668" w:rsidRDefault="009B291C" w:rsidP="00B90668">
      <w:pPr>
        <w:suppressLineNumbers/>
        <w:spacing w:after="0" w:line="480" w:lineRule="auto"/>
        <w:rPr>
          <w:rFonts w:ascii="Times New Roman" w:hAnsi="Times New Roman" w:cs="Times New Roman"/>
          <w:bCs/>
          <w:color w:val="000000" w:themeColor="text1"/>
          <w:sz w:val="24"/>
          <w:szCs w:val="24"/>
        </w:rPr>
      </w:pPr>
      <w:r w:rsidRPr="00B90668">
        <w:rPr>
          <w:rFonts w:ascii="Times New Roman" w:hAnsi="Times New Roman" w:cs="Times New Roman"/>
          <w:bCs/>
          <w:color w:val="000000" w:themeColor="text1"/>
          <w:sz w:val="24"/>
          <w:szCs w:val="24"/>
        </w:rPr>
        <w:t>The Established Status Epilepticus Treatment</w:t>
      </w:r>
      <w:r w:rsidR="00725D5B" w:rsidRPr="00B90668">
        <w:rPr>
          <w:rFonts w:ascii="Times New Roman" w:hAnsi="Times New Roman" w:cs="Times New Roman"/>
          <w:bCs/>
          <w:color w:val="000000" w:themeColor="text1"/>
          <w:sz w:val="24"/>
          <w:szCs w:val="24"/>
        </w:rPr>
        <w:t xml:space="preserve"> Trial</w:t>
      </w:r>
      <w:r w:rsidRPr="00B90668">
        <w:rPr>
          <w:rFonts w:ascii="Times New Roman" w:hAnsi="Times New Roman" w:cs="Times New Roman"/>
          <w:bCs/>
          <w:color w:val="000000" w:themeColor="text1"/>
          <w:sz w:val="24"/>
          <w:szCs w:val="24"/>
        </w:rPr>
        <w:t xml:space="preserve"> was</w:t>
      </w:r>
      <w:r w:rsidR="00725D5B" w:rsidRPr="00B90668">
        <w:rPr>
          <w:rFonts w:ascii="Times New Roman" w:hAnsi="Times New Roman" w:cs="Times New Roman"/>
          <w:bCs/>
          <w:color w:val="000000" w:themeColor="text1"/>
          <w:sz w:val="24"/>
          <w:szCs w:val="24"/>
        </w:rPr>
        <w:t xml:space="preserve"> a</w:t>
      </w:r>
      <w:r w:rsidRPr="00B90668">
        <w:rPr>
          <w:rFonts w:ascii="Times New Roman" w:hAnsi="Times New Roman" w:cs="Times New Roman"/>
          <w:bCs/>
          <w:color w:val="000000" w:themeColor="text1"/>
          <w:sz w:val="24"/>
          <w:szCs w:val="24"/>
        </w:rPr>
        <w:t xml:space="preserve"> blinded, </w:t>
      </w:r>
      <w:r w:rsidR="00210E42" w:rsidRPr="00B90668">
        <w:rPr>
          <w:rFonts w:ascii="Times New Roman" w:hAnsi="Times New Roman" w:cs="Times New Roman"/>
          <w:bCs/>
          <w:color w:val="000000" w:themeColor="text1"/>
          <w:sz w:val="24"/>
          <w:szCs w:val="24"/>
        </w:rPr>
        <w:t>comparative</w:t>
      </w:r>
      <w:r w:rsidR="00E622C8" w:rsidRPr="00B90668">
        <w:rPr>
          <w:rFonts w:ascii="Times New Roman" w:hAnsi="Times New Roman" w:cs="Times New Roman"/>
          <w:bCs/>
          <w:color w:val="000000" w:themeColor="text1"/>
          <w:sz w:val="24"/>
          <w:szCs w:val="24"/>
        </w:rPr>
        <w:t>-</w:t>
      </w:r>
      <w:r w:rsidR="00210E42" w:rsidRPr="00B90668">
        <w:rPr>
          <w:rFonts w:ascii="Times New Roman" w:hAnsi="Times New Roman" w:cs="Times New Roman"/>
          <w:bCs/>
          <w:color w:val="000000" w:themeColor="text1"/>
          <w:sz w:val="24"/>
          <w:szCs w:val="24"/>
        </w:rPr>
        <w:t xml:space="preserve">effectiveness study </w:t>
      </w:r>
      <w:r w:rsidRPr="00B90668">
        <w:rPr>
          <w:rFonts w:ascii="Times New Roman" w:hAnsi="Times New Roman" w:cs="Times New Roman"/>
          <w:bCs/>
          <w:color w:val="000000" w:themeColor="text1"/>
          <w:sz w:val="24"/>
          <w:szCs w:val="24"/>
        </w:rPr>
        <w:t>of fosphenytoin, levetiracetam</w:t>
      </w:r>
      <w:r w:rsidR="007C6325" w:rsidRPr="00B90668">
        <w:rPr>
          <w:rFonts w:ascii="Times New Roman" w:hAnsi="Times New Roman" w:cs="Times New Roman"/>
          <w:bCs/>
          <w:color w:val="000000" w:themeColor="text1"/>
          <w:sz w:val="24"/>
          <w:szCs w:val="24"/>
        </w:rPr>
        <w:t>,</w:t>
      </w:r>
      <w:r w:rsidRPr="00B90668">
        <w:rPr>
          <w:rFonts w:ascii="Times New Roman" w:hAnsi="Times New Roman" w:cs="Times New Roman"/>
          <w:bCs/>
          <w:color w:val="000000" w:themeColor="text1"/>
          <w:sz w:val="24"/>
          <w:szCs w:val="24"/>
        </w:rPr>
        <w:t xml:space="preserve"> and valproic acid i</w:t>
      </w:r>
      <w:r w:rsidR="00DD5F37" w:rsidRPr="00B90668">
        <w:rPr>
          <w:rFonts w:ascii="Times New Roman" w:hAnsi="Times New Roman" w:cs="Times New Roman"/>
          <w:bCs/>
          <w:color w:val="000000" w:themeColor="text1"/>
          <w:sz w:val="24"/>
          <w:szCs w:val="24"/>
        </w:rPr>
        <w:t>n</w:t>
      </w:r>
      <w:r w:rsidRPr="00B90668">
        <w:rPr>
          <w:rFonts w:ascii="Times New Roman" w:hAnsi="Times New Roman" w:cs="Times New Roman"/>
          <w:bCs/>
          <w:color w:val="000000" w:themeColor="text1"/>
          <w:sz w:val="24"/>
          <w:szCs w:val="24"/>
        </w:rPr>
        <w:t xml:space="preserve"> benzodiazepine-refractory status epilepticus.</w:t>
      </w:r>
      <w:r w:rsidR="00725D5B"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The primary outcome was </w:t>
      </w:r>
      <w:r w:rsidR="001E2F9A" w:rsidRPr="00B90668">
        <w:rPr>
          <w:rFonts w:ascii="Times New Roman" w:hAnsi="Times New Roman" w:cs="Times New Roman"/>
          <w:bCs/>
          <w:color w:val="000000" w:themeColor="text1"/>
          <w:sz w:val="24"/>
          <w:szCs w:val="24"/>
        </w:rPr>
        <w:t xml:space="preserve">clinical </w:t>
      </w:r>
      <w:r w:rsidR="00725D5B" w:rsidRPr="00B90668">
        <w:rPr>
          <w:rFonts w:ascii="Times New Roman" w:hAnsi="Times New Roman" w:cs="Times New Roman"/>
          <w:bCs/>
          <w:color w:val="000000" w:themeColor="text1"/>
          <w:sz w:val="24"/>
          <w:szCs w:val="24"/>
        </w:rPr>
        <w:t>seizure</w:t>
      </w:r>
      <w:r w:rsidR="00E622C8" w:rsidRPr="00B90668">
        <w:rPr>
          <w:rFonts w:ascii="Times New Roman" w:hAnsi="Times New Roman" w:cs="Times New Roman"/>
          <w:bCs/>
          <w:color w:val="000000" w:themeColor="text1"/>
          <w:sz w:val="24"/>
          <w:szCs w:val="24"/>
        </w:rPr>
        <w:t xml:space="preserve"> </w:t>
      </w:r>
      <w:r w:rsidR="00725D5B" w:rsidRPr="00B90668">
        <w:rPr>
          <w:rFonts w:ascii="Times New Roman" w:hAnsi="Times New Roman" w:cs="Times New Roman"/>
          <w:bCs/>
          <w:color w:val="000000" w:themeColor="text1"/>
          <w:sz w:val="24"/>
          <w:szCs w:val="24"/>
        </w:rPr>
        <w:t xml:space="preserve">cessation </w:t>
      </w:r>
      <w:r w:rsidR="0023192B" w:rsidRPr="00B90668">
        <w:rPr>
          <w:rFonts w:ascii="Times New Roman" w:hAnsi="Times New Roman" w:cs="Times New Roman"/>
          <w:bCs/>
          <w:color w:val="000000" w:themeColor="text1"/>
          <w:sz w:val="24"/>
          <w:szCs w:val="24"/>
        </w:rPr>
        <w:t>and</w:t>
      </w:r>
      <w:r w:rsidR="00725D5B" w:rsidRPr="00B90668">
        <w:rPr>
          <w:rFonts w:ascii="Times New Roman" w:hAnsi="Times New Roman" w:cs="Times New Roman"/>
          <w:bCs/>
          <w:color w:val="000000" w:themeColor="text1"/>
          <w:sz w:val="24"/>
          <w:szCs w:val="24"/>
        </w:rPr>
        <w:t xml:space="preserve"> increased responsiveness</w:t>
      </w:r>
      <w:r w:rsidR="007C6325" w:rsidRPr="00B90668">
        <w:rPr>
          <w:rFonts w:ascii="Times New Roman" w:hAnsi="Times New Roman" w:cs="Times New Roman"/>
          <w:bCs/>
          <w:color w:val="000000" w:themeColor="text1"/>
          <w:sz w:val="24"/>
          <w:szCs w:val="24"/>
        </w:rPr>
        <w:t xml:space="preserve"> without additional anticonvulsant medications</w:t>
      </w:r>
      <w:r w:rsidR="00725D5B" w:rsidRPr="00B90668">
        <w:rPr>
          <w:rFonts w:ascii="Times New Roman" w:hAnsi="Times New Roman" w:cs="Times New Roman"/>
          <w:bCs/>
          <w:color w:val="000000" w:themeColor="text1"/>
          <w:sz w:val="24"/>
          <w:szCs w:val="24"/>
        </w:rPr>
        <w:t xml:space="preserve">. </w:t>
      </w:r>
      <w:r w:rsidR="00DD5F37" w:rsidRPr="00B90668">
        <w:rPr>
          <w:rFonts w:ascii="Times New Roman" w:hAnsi="Times New Roman" w:cs="Times New Roman"/>
          <w:bCs/>
          <w:color w:val="000000" w:themeColor="text1"/>
          <w:sz w:val="24"/>
          <w:szCs w:val="24"/>
        </w:rPr>
        <w:t>Weight-based dosing</w:t>
      </w:r>
      <w:r w:rsidR="002C0C24"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was </w:t>
      </w:r>
      <w:r w:rsidRPr="00B90668">
        <w:rPr>
          <w:rFonts w:ascii="Times New Roman" w:hAnsi="Times New Roman" w:cs="Times New Roman"/>
          <w:bCs/>
          <w:color w:val="000000" w:themeColor="text1"/>
          <w:sz w:val="24"/>
          <w:szCs w:val="24"/>
        </w:rPr>
        <w:t xml:space="preserve">capped at 75 kg. </w:t>
      </w:r>
      <w:r w:rsidR="002C0C24" w:rsidRPr="00B90668">
        <w:rPr>
          <w:rFonts w:ascii="Times New Roman" w:hAnsi="Times New Roman" w:cs="Times New Roman"/>
          <w:bCs/>
          <w:color w:val="000000" w:themeColor="text1"/>
          <w:sz w:val="24"/>
          <w:szCs w:val="24"/>
        </w:rPr>
        <w:t xml:space="preserve"> </w:t>
      </w:r>
      <w:r w:rsidR="00C82CB6" w:rsidRPr="00B90668">
        <w:rPr>
          <w:rFonts w:ascii="Times New Roman" w:hAnsi="Times New Roman" w:cs="Times New Roman"/>
          <w:bCs/>
          <w:color w:val="000000" w:themeColor="text1"/>
          <w:sz w:val="24"/>
          <w:szCs w:val="24"/>
        </w:rPr>
        <w:t>Hence, p</w:t>
      </w:r>
      <w:r w:rsidR="002C0C24" w:rsidRPr="00B90668">
        <w:rPr>
          <w:rFonts w:ascii="Times New Roman" w:hAnsi="Times New Roman" w:cs="Times New Roman"/>
          <w:bCs/>
          <w:color w:val="000000" w:themeColor="text1"/>
          <w:sz w:val="24"/>
          <w:szCs w:val="24"/>
        </w:rPr>
        <w:t>atients weighing &gt; 75 kg received a lower mg/kg</w:t>
      </w:r>
      <w:r w:rsidR="00C82CB6" w:rsidRPr="00B90668">
        <w:rPr>
          <w:rFonts w:ascii="Times New Roman" w:hAnsi="Times New Roman" w:cs="Times New Roman"/>
          <w:bCs/>
          <w:color w:val="000000" w:themeColor="text1"/>
          <w:sz w:val="24"/>
          <w:szCs w:val="24"/>
        </w:rPr>
        <w:t xml:space="preserve"> dose.</w:t>
      </w:r>
      <w:r w:rsidR="00DD5F37" w:rsidRPr="00B90668">
        <w:rPr>
          <w:rFonts w:ascii="Times New Roman" w:hAnsi="Times New Roman" w:cs="Times New Roman"/>
          <w:bCs/>
          <w:color w:val="000000" w:themeColor="text1"/>
          <w:sz w:val="24"/>
          <w:szCs w:val="24"/>
        </w:rPr>
        <w:t xml:space="preserve"> </w:t>
      </w:r>
      <w:r w:rsidR="005100A5">
        <w:rPr>
          <w:rFonts w:ascii="Times New Roman" w:hAnsi="Times New Roman" w:cs="Times New Roman"/>
          <w:bCs/>
          <w:color w:val="000000" w:themeColor="text1"/>
          <w:sz w:val="24"/>
          <w:szCs w:val="24"/>
        </w:rPr>
        <w:t>L</w:t>
      </w:r>
      <w:r w:rsidR="00BA57DA" w:rsidRPr="00B90668">
        <w:rPr>
          <w:rFonts w:ascii="Times New Roman" w:hAnsi="Times New Roman" w:cs="Times New Roman"/>
          <w:bCs/>
          <w:color w:val="000000" w:themeColor="text1"/>
          <w:sz w:val="24"/>
          <w:szCs w:val="24"/>
        </w:rPr>
        <w:t xml:space="preserve">ogistic regression </w:t>
      </w:r>
      <w:r w:rsidR="007C6325" w:rsidRPr="00B90668">
        <w:rPr>
          <w:rFonts w:ascii="Times New Roman" w:hAnsi="Times New Roman" w:cs="Times New Roman"/>
          <w:bCs/>
          <w:color w:val="000000" w:themeColor="text1"/>
          <w:sz w:val="24"/>
          <w:szCs w:val="24"/>
        </w:rPr>
        <w:t xml:space="preserve">models </w:t>
      </w:r>
      <w:r w:rsidR="00C82CB6" w:rsidRPr="00B90668">
        <w:rPr>
          <w:rFonts w:ascii="Times New Roman" w:hAnsi="Times New Roman" w:cs="Times New Roman"/>
          <w:bCs/>
          <w:color w:val="000000" w:themeColor="text1"/>
          <w:sz w:val="24"/>
          <w:szCs w:val="24"/>
        </w:rPr>
        <w:t>we</w:t>
      </w:r>
      <w:r w:rsidR="002630FA" w:rsidRPr="00B90668">
        <w:rPr>
          <w:rFonts w:ascii="Times New Roman" w:hAnsi="Times New Roman" w:cs="Times New Roman"/>
          <w:bCs/>
          <w:color w:val="000000" w:themeColor="text1"/>
          <w:sz w:val="24"/>
          <w:szCs w:val="24"/>
        </w:rPr>
        <w:t>re</w:t>
      </w:r>
      <w:r w:rsidR="00C82CB6"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developed </w:t>
      </w:r>
      <w:r w:rsidR="00725D5B" w:rsidRPr="00B90668">
        <w:rPr>
          <w:rFonts w:ascii="Times New Roman" w:hAnsi="Times New Roman" w:cs="Times New Roman"/>
          <w:bCs/>
          <w:color w:val="000000" w:themeColor="text1"/>
          <w:sz w:val="24"/>
          <w:szCs w:val="24"/>
        </w:rPr>
        <w:t>in 235</w:t>
      </w:r>
      <w:r w:rsidR="00210E42" w:rsidRPr="00B90668">
        <w:rPr>
          <w:rFonts w:ascii="Times New Roman" w:hAnsi="Times New Roman" w:cs="Times New Roman"/>
          <w:bCs/>
          <w:color w:val="000000" w:themeColor="text1"/>
          <w:sz w:val="24"/>
          <w:szCs w:val="24"/>
        </w:rPr>
        <w:t xml:space="preserve"> </w:t>
      </w:r>
      <w:r w:rsidR="00725D5B" w:rsidRPr="00B90668">
        <w:rPr>
          <w:rFonts w:ascii="Times New Roman" w:hAnsi="Times New Roman" w:cs="Times New Roman"/>
          <w:bCs/>
          <w:color w:val="000000" w:themeColor="text1"/>
          <w:sz w:val="24"/>
          <w:szCs w:val="24"/>
        </w:rPr>
        <w:t>adults</w:t>
      </w:r>
      <w:r w:rsidR="00C82CB6" w:rsidRPr="00B90668">
        <w:rPr>
          <w:rFonts w:ascii="Times New Roman" w:hAnsi="Times New Roman" w:cs="Times New Roman"/>
          <w:bCs/>
          <w:color w:val="000000" w:themeColor="text1"/>
          <w:sz w:val="24"/>
          <w:szCs w:val="24"/>
        </w:rPr>
        <w:t xml:space="preserve"> to determine the association of weight (≤ or &gt; 75 kg)</w:t>
      </w:r>
      <w:r w:rsidR="00825FB6" w:rsidRPr="00B90668">
        <w:rPr>
          <w:rFonts w:ascii="Times New Roman" w:hAnsi="Times New Roman" w:cs="Times New Roman"/>
          <w:bCs/>
          <w:color w:val="000000" w:themeColor="text1"/>
          <w:sz w:val="24"/>
          <w:szCs w:val="24"/>
        </w:rPr>
        <w:t xml:space="preserve"> or (≤ or &gt; 90 kg)</w:t>
      </w:r>
      <w:r w:rsidR="00683C9B" w:rsidRPr="00B90668">
        <w:rPr>
          <w:rFonts w:ascii="Times New Roman" w:hAnsi="Times New Roman" w:cs="Times New Roman"/>
          <w:bCs/>
          <w:color w:val="000000" w:themeColor="text1"/>
          <w:sz w:val="24"/>
          <w:szCs w:val="24"/>
        </w:rPr>
        <w:t>, sex, treatment</w:t>
      </w:r>
      <w:r w:rsidR="00B442AE" w:rsidRPr="00B90668">
        <w:rPr>
          <w:rFonts w:ascii="Times New Roman" w:hAnsi="Times New Roman" w:cs="Times New Roman"/>
          <w:bCs/>
          <w:color w:val="000000" w:themeColor="text1"/>
          <w:sz w:val="24"/>
          <w:szCs w:val="24"/>
        </w:rPr>
        <w:t xml:space="preserve">, </w:t>
      </w:r>
      <w:r w:rsidR="00C82CB6" w:rsidRPr="00B90668">
        <w:rPr>
          <w:rFonts w:ascii="Times New Roman" w:hAnsi="Times New Roman" w:cs="Times New Roman"/>
          <w:bCs/>
          <w:color w:val="000000" w:themeColor="text1"/>
          <w:sz w:val="24"/>
          <w:szCs w:val="24"/>
        </w:rPr>
        <w:t>and weight-</w:t>
      </w:r>
      <w:r w:rsidR="00232219" w:rsidRPr="00B90668">
        <w:rPr>
          <w:rFonts w:ascii="Times New Roman" w:hAnsi="Times New Roman" w:cs="Times New Roman"/>
          <w:bCs/>
          <w:color w:val="000000" w:themeColor="text1"/>
          <w:sz w:val="24"/>
          <w:szCs w:val="24"/>
        </w:rPr>
        <w:t>normalized</w:t>
      </w:r>
      <w:r w:rsidR="00C82CB6" w:rsidRPr="00B90668">
        <w:rPr>
          <w:rFonts w:ascii="Times New Roman" w:hAnsi="Times New Roman" w:cs="Times New Roman"/>
          <w:bCs/>
          <w:color w:val="000000" w:themeColor="text1"/>
          <w:sz w:val="24"/>
          <w:szCs w:val="24"/>
        </w:rPr>
        <w:t xml:space="preserve"> dose with</w:t>
      </w:r>
      <w:r w:rsidR="00725D5B"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the primary outcom</w:t>
      </w:r>
      <w:r w:rsidR="005100A5">
        <w:rPr>
          <w:rFonts w:ascii="Times New Roman" w:hAnsi="Times New Roman" w:cs="Times New Roman"/>
          <w:bCs/>
          <w:color w:val="000000" w:themeColor="text1"/>
          <w:sz w:val="24"/>
          <w:szCs w:val="24"/>
        </w:rPr>
        <w:t>e</w:t>
      </w:r>
      <w:r w:rsidR="00C82CB6"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and solely </w:t>
      </w:r>
      <w:r w:rsidR="00C82CB6" w:rsidRPr="00B90668">
        <w:rPr>
          <w:rFonts w:ascii="Times New Roman" w:hAnsi="Times New Roman" w:cs="Times New Roman"/>
          <w:bCs/>
          <w:color w:val="000000" w:themeColor="text1"/>
          <w:sz w:val="24"/>
          <w:szCs w:val="24"/>
        </w:rPr>
        <w:t>seizure cessation.</w:t>
      </w:r>
      <w:r w:rsidR="00683C9B"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The primary outcome was achieved in </w:t>
      </w:r>
      <w:r w:rsidR="00B442AE" w:rsidRPr="00B90668">
        <w:rPr>
          <w:rFonts w:ascii="Times New Roman" w:hAnsi="Times New Roman" w:cs="Times New Roman"/>
          <w:color w:val="000000" w:themeColor="text1"/>
          <w:sz w:val="24"/>
          <w:szCs w:val="24"/>
        </w:rPr>
        <w:t xml:space="preserve">45.1% and 42.5% </w:t>
      </w:r>
      <w:r w:rsidR="005100A5">
        <w:rPr>
          <w:rFonts w:ascii="Times New Roman" w:hAnsi="Times New Roman" w:cs="Times New Roman"/>
          <w:color w:val="000000" w:themeColor="text1"/>
          <w:sz w:val="24"/>
          <w:szCs w:val="24"/>
        </w:rPr>
        <w:t>of</w:t>
      </w:r>
      <w:r w:rsidR="00B442AE" w:rsidRPr="00B90668">
        <w:rPr>
          <w:rFonts w:ascii="Times New Roman" w:hAnsi="Times New Roman" w:cs="Times New Roman"/>
          <w:color w:val="000000" w:themeColor="text1"/>
          <w:sz w:val="24"/>
          <w:szCs w:val="24"/>
        </w:rPr>
        <w:t xml:space="preserve"> those ≤ 75 kg and &gt; 75 kg, respectively</w:t>
      </w:r>
      <w:r w:rsidR="00683C9B" w:rsidRPr="00B90668">
        <w:rPr>
          <w:rFonts w:ascii="Times New Roman" w:hAnsi="Times New Roman" w:cs="Times New Roman"/>
          <w:bCs/>
          <w:color w:val="000000" w:themeColor="text1"/>
          <w:sz w:val="24"/>
          <w:szCs w:val="24"/>
        </w:rPr>
        <w:t>.</w:t>
      </w:r>
      <w:r w:rsidR="00DD5F37" w:rsidRPr="00B90668">
        <w:rPr>
          <w:rFonts w:ascii="Times New Roman" w:hAnsi="Times New Roman" w:cs="Times New Roman"/>
          <w:bCs/>
          <w:color w:val="000000" w:themeColor="text1"/>
          <w:sz w:val="24"/>
          <w:szCs w:val="24"/>
        </w:rPr>
        <w:t xml:space="preserve"> </w:t>
      </w:r>
      <w:r w:rsidR="005100A5">
        <w:rPr>
          <w:rFonts w:ascii="Times New Roman" w:hAnsi="Times New Roman" w:cs="Times New Roman"/>
          <w:bCs/>
          <w:color w:val="000000" w:themeColor="text1"/>
          <w:sz w:val="24"/>
          <w:szCs w:val="24"/>
        </w:rPr>
        <w:t>Using univariate analyses, t</w:t>
      </w:r>
      <w:r w:rsidR="005253C6" w:rsidRPr="00B90668">
        <w:rPr>
          <w:rFonts w:ascii="Times New Roman" w:hAnsi="Times New Roman" w:cs="Times New Roman"/>
          <w:bCs/>
          <w:color w:val="000000" w:themeColor="text1"/>
          <w:sz w:val="24"/>
          <w:szCs w:val="24"/>
        </w:rPr>
        <w:t xml:space="preserve">he </w:t>
      </w:r>
      <w:r w:rsidR="007C6325" w:rsidRPr="00B90668">
        <w:rPr>
          <w:rFonts w:ascii="Times New Roman" w:hAnsi="Times New Roman" w:cs="Times New Roman"/>
          <w:bCs/>
          <w:color w:val="000000" w:themeColor="text1"/>
          <w:sz w:val="24"/>
          <w:szCs w:val="24"/>
        </w:rPr>
        <w:t>likelihood</w:t>
      </w:r>
      <w:r w:rsidR="005253C6" w:rsidRPr="00B90668">
        <w:rPr>
          <w:rFonts w:ascii="Times New Roman" w:hAnsi="Times New Roman" w:cs="Times New Roman"/>
          <w:bCs/>
          <w:color w:val="000000" w:themeColor="text1"/>
          <w:sz w:val="24"/>
          <w:szCs w:val="24"/>
        </w:rPr>
        <w:t xml:space="preserve"> of success</w:t>
      </w:r>
      <w:r w:rsidR="005100A5">
        <w:rPr>
          <w:rFonts w:ascii="Times New Roman" w:hAnsi="Times New Roman" w:cs="Times New Roman"/>
          <w:bCs/>
          <w:color w:val="000000" w:themeColor="text1"/>
          <w:sz w:val="24"/>
          <w:szCs w:val="24"/>
        </w:rPr>
        <w:t xml:space="preserve"> that</w:t>
      </w:r>
      <w:r w:rsidR="005253C6" w:rsidRPr="00B90668">
        <w:rPr>
          <w:rFonts w:ascii="Times New Roman" w:hAnsi="Times New Roman" w:cs="Times New Roman"/>
          <w:bCs/>
          <w:color w:val="000000" w:themeColor="text1"/>
          <w:sz w:val="24"/>
          <w:szCs w:val="24"/>
        </w:rPr>
        <w:t xml:space="preserve"> for those &gt; 75 kg</w:t>
      </w:r>
      <w:r w:rsidR="00DD5F37" w:rsidRPr="00B90668">
        <w:rPr>
          <w:rFonts w:ascii="Times New Roman" w:hAnsi="Times New Roman" w:cs="Times New Roman"/>
          <w:bCs/>
          <w:color w:val="000000" w:themeColor="text1"/>
          <w:sz w:val="24"/>
          <w:szCs w:val="24"/>
        </w:rPr>
        <w:t xml:space="preserve"> (</w:t>
      </w:r>
      <w:r w:rsidR="007C6325" w:rsidRPr="00B90668">
        <w:rPr>
          <w:rFonts w:ascii="Times New Roman" w:hAnsi="Times New Roman" w:cs="Times New Roman"/>
          <w:bCs/>
          <w:color w:val="000000" w:themeColor="text1"/>
          <w:sz w:val="24"/>
          <w:szCs w:val="24"/>
        </w:rPr>
        <w:t xml:space="preserve">OR </w:t>
      </w:r>
      <w:r w:rsidR="00DD5F37" w:rsidRPr="00B90668">
        <w:rPr>
          <w:rFonts w:ascii="Times New Roman" w:hAnsi="Times New Roman" w:cs="Times New Roman"/>
          <w:bCs/>
          <w:color w:val="000000" w:themeColor="text1"/>
          <w:sz w:val="24"/>
          <w:szCs w:val="24"/>
        </w:rPr>
        <w:t>0.9 (</w:t>
      </w:r>
      <w:r w:rsidR="007C6325" w:rsidRPr="00B90668">
        <w:rPr>
          <w:rFonts w:ascii="Times New Roman" w:hAnsi="Times New Roman" w:cs="Times New Roman"/>
          <w:bCs/>
          <w:color w:val="000000" w:themeColor="text1"/>
          <w:sz w:val="24"/>
          <w:szCs w:val="24"/>
        </w:rPr>
        <w:t xml:space="preserve">95% CI </w:t>
      </w:r>
      <w:r w:rsidR="00DD5F37" w:rsidRPr="00B90668">
        <w:rPr>
          <w:rFonts w:ascii="Times New Roman" w:hAnsi="Times New Roman" w:cs="Times New Roman"/>
          <w:bCs/>
          <w:color w:val="000000" w:themeColor="text1"/>
          <w:sz w:val="24"/>
          <w:szCs w:val="24"/>
        </w:rPr>
        <w:t xml:space="preserve">0.54, 1.51)) </w:t>
      </w:r>
      <w:r w:rsidR="005253C6" w:rsidRPr="00B90668">
        <w:rPr>
          <w:rFonts w:ascii="Times New Roman" w:hAnsi="Times New Roman" w:cs="Times New Roman"/>
          <w:bCs/>
          <w:color w:val="000000" w:themeColor="text1"/>
          <w:sz w:val="24"/>
          <w:szCs w:val="24"/>
        </w:rPr>
        <w:t>or &gt; 90 kg</w:t>
      </w:r>
      <w:r w:rsidR="00DD5F37" w:rsidRPr="00B90668">
        <w:rPr>
          <w:rFonts w:ascii="Times New Roman" w:hAnsi="Times New Roman" w:cs="Times New Roman"/>
          <w:bCs/>
          <w:color w:val="000000" w:themeColor="text1"/>
          <w:sz w:val="24"/>
          <w:szCs w:val="24"/>
        </w:rPr>
        <w:t xml:space="preserve"> (0.85 (0.42, 1.66)), </w:t>
      </w:r>
      <w:r w:rsidR="005253C6" w:rsidRPr="00B90668">
        <w:rPr>
          <w:rFonts w:ascii="Times New Roman" w:hAnsi="Times New Roman" w:cs="Times New Roman"/>
          <w:bCs/>
          <w:color w:val="000000" w:themeColor="text1"/>
          <w:sz w:val="24"/>
          <w:szCs w:val="24"/>
        </w:rPr>
        <w:t>were not statistically different compared with tho</w:t>
      </w:r>
      <w:r w:rsidR="005627C7" w:rsidRPr="00B90668">
        <w:rPr>
          <w:rFonts w:ascii="Times New Roman" w:hAnsi="Times New Roman" w:cs="Times New Roman"/>
          <w:bCs/>
          <w:color w:val="000000" w:themeColor="text1"/>
          <w:sz w:val="24"/>
          <w:szCs w:val="24"/>
        </w:rPr>
        <w:t>se</w:t>
      </w:r>
      <w:r w:rsidR="005253C6" w:rsidRPr="00B90668">
        <w:rPr>
          <w:rFonts w:ascii="Times New Roman" w:hAnsi="Times New Roman" w:cs="Times New Roman"/>
          <w:bCs/>
          <w:color w:val="000000" w:themeColor="text1"/>
          <w:sz w:val="24"/>
          <w:szCs w:val="24"/>
        </w:rPr>
        <w:t xml:space="preserve"> ≤ 75 kg</w:t>
      </w:r>
      <w:r w:rsidR="00DD5F37" w:rsidRPr="00B90668">
        <w:rPr>
          <w:rFonts w:ascii="Times New Roman" w:hAnsi="Times New Roman" w:cs="Times New Roman"/>
          <w:bCs/>
          <w:color w:val="000000" w:themeColor="text1"/>
          <w:sz w:val="24"/>
          <w:szCs w:val="24"/>
        </w:rPr>
        <w:t xml:space="preserve"> </w:t>
      </w:r>
      <w:r w:rsidR="005253C6" w:rsidRPr="00B90668">
        <w:rPr>
          <w:rFonts w:ascii="Times New Roman" w:hAnsi="Times New Roman" w:cs="Times New Roman"/>
          <w:bCs/>
          <w:color w:val="000000" w:themeColor="text1"/>
          <w:sz w:val="24"/>
          <w:szCs w:val="24"/>
        </w:rPr>
        <w:t>or</w:t>
      </w:r>
      <w:r w:rsidR="00DD5F37" w:rsidRPr="00B90668">
        <w:rPr>
          <w:rFonts w:ascii="Times New Roman" w:hAnsi="Times New Roman" w:cs="Times New Roman"/>
          <w:bCs/>
          <w:color w:val="000000" w:themeColor="text1"/>
          <w:sz w:val="24"/>
          <w:szCs w:val="24"/>
        </w:rPr>
        <w:t xml:space="preserve"> </w:t>
      </w:r>
      <w:r w:rsidR="005253C6" w:rsidRPr="00B90668">
        <w:rPr>
          <w:rFonts w:ascii="Times New Roman" w:hAnsi="Times New Roman" w:cs="Times New Roman"/>
          <w:bCs/>
          <w:color w:val="000000" w:themeColor="text1"/>
          <w:sz w:val="24"/>
          <w:szCs w:val="24"/>
        </w:rPr>
        <w:t>≤ 90 kg, respectively.</w:t>
      </w:r>
      <w:r w:rsidR="00DD5F37" w:rsidRPr="00B90668">
        <w:rPr>
          <w:rFonts w:ascii="Times New Roman" w:hAnsi="Times New Roman" w:cs="Times New Roman"/>
          <w:bCs/>
          <w:color w:val="000000" w:themeColor="text1"/>
          <w:sz w:val="24"/>
          <w:szCs w:val="24"/>
        </w:rPr>
        <w:t xml:space="preserve"> </w:t>
      </w:r>
      <w:r w:rsidR="00B54626" w:rsidRPr="00B90668">
        <w:rPr>
          <w:rFonts w:ascii="Times New Roman" w:hAnsi="Times New Roman" w:cs="Times New Roman"/>
          <w:bCs/>
          <w:color w:val="000000" w:themeColor="text1"/>
          <w:sz w:val="24"/>
          <w:szCs w:val="24"/>
        </w:rPr>
        <w:t>Similarly</w:t>
      </w:r>
      <w:r w:rsidR="009137CD" w:rsidRPr="00B90668">
        <w:rPr>
          <w:rFonts w:ascii="Times New Roman" w:hAnsi="Times New Roman" w:cs="Times New Roman"/>
          <w:bCs/>
          <w:color w:val="000000" w:themeColor="text1"/>
          <w:sz w:val="24"/>
          <w:szCs w:val="24"/>
        </w:rPr>
        <w:t>,</w:t>
      </w:r>
      <w:r w:rsidR="00B442AE" w:rsidRPr="00B90668">
        <w:rPr>
          <w:rFonts w:ascii="Times New Roman" w:hAnsi="Times New Roman" w:cs="Times New Roman"/>
          <w:bCs/>
          <w:color w:val="000000" w:themeColor="text1"/>
          <w:sz w:val="24"/>
          <w:szCs w:val="24"/>
        </w:rPr>
        <w:t xml:space="preserve"> </w:t>
      </w:r>
      <w:r w:rsidR="009137CD" w:rsidRPr="00B90668">
        <w:rPr>
          <w:rFonts w:ascii="Times New Roman" w:hAnsi="Times New Roman" w:cs="Times New Roman"/>
          <w:bCs/>
          <w:color w:val="000000" w:themeColor="text1"/>
          <w:sz w:val="24"/>
          <w:szCs w:val="24"/>
        </w:rPr>
        <w:t>other predictors</w:t>
      </w:r>
      <w:r w:rsidR="00B54626" w:rsidRPr="00B90668">
        <w:rPr>
          <w:rFonts w:ascii="Times New Roman" w:hAnsi="Times New Roman" w:cs="Times New Roman"/>
          <w:bCs/>
          <w:color w:val="000000" w:themeColor="text1"/>
          <w:sz w:val="24"/>
          <w:szCs w:val="24"/>
        </w:rPr>
        <w:t xml:space="preserve"> w</w:t>
      </w:r>
      <w:r w:rsidR="009137CD" w:rsidRPr="00B90668">
        <w:rPr>
          <w:rFonts w:ascii="Times New Roman" w:hAnsi="Times New Roman" w:cs="Times New Roman"/>
          <w:bCs/>
          <w:color w:val="000000" w:themeColor="text1"/>
          <w:sz w:val="24"/>
          <w:szCs w:val="24"/>
        </w:rPr>
        <w:t>ere</w:t>
      </w:r>
      <w:r w:rsidR="00B54626" w:rsidRPr="00B90668">
        <w:rPr>
          <w:rFonts w:ascii="Times New Roman" w:hAnsi="Times New Roman" w:cs="Times New Roman"/>
          <w:bCs/>
          <w:color w:val="000000" w:themeColor="text1"/>
          <w:sz w:val="24"/>
          <w:szCs w:val="24"/>
        </w:rPr>
        <w:t xml:space="preserve"> not significantly associated with </w:t>
      </w:r>
      <w:r w:rsidR="007C6325" w:rsidRPr="00B90668">
        <w:rPr>
          <w:rFonts w:ascii="Times New Roman" w:hAnsi="Times New Roman" w:cs="Times New Roman"/>
          <w:bCs/>
          <w:color w:val="000000" w:themeColor="text1"/>
          <w:sz w:val="24"/>
          <w:szCs w:val="24"/>
        </w:rPr>
        <w:t xml:space="preserve">primary outcome </w:t>
      </w:r>
      <w:r w:rsidR="00B54626" w:rsidRPr="00B90668">
        <w:rPr>
          <w:rFonts w:ascii="Times New Roman" w:hAnsi="Times New Roman" w:cs="Times New Roman"/>
          <w:bCs/>
          <w:color w:val="000000" w:themeColor="text1"/>
          <w:sz w:val="24"/>
          <w:szCs w:val="24"/>
        </w:rPr>
        <w:t>o</w:t>
      </w:r>
      <w:r w:rsidR="00725D5B" w:rsidRPr="00B90668">
        <w:rPr>
          <w:rFonts w:ascii="Times New Roman" w:hAnsi="Times New Roman" w:cs="Times New Roman"/>
          <w:bCs/>
          <w:color w:val="000000" w:themeColor="text1"/>
          <w:sz w:val="24"/>
          <w:szCs w:val="24"/>
        </w:rPr>
        <w:t>r</w:t>
      </w:r>
      <w:r w:rsidR="00B54626" w:rsidRPr="00B90668">
        <w:rPr>
          <w:rFonts w:ascii="Times New Roman" w:hAnsi="Times New Roman" w:cs="Times New Roman"/>
          <w:bCs/>
          <w:color w:val="000000" w:themeColor="text1"/>
          <w:sz w:val="24"/>
          <w:szCs w:val="24"/>
        </w:rPr>
        <w:t xml:space="preserve"> seizure cessation</w:t>
      </w:r>
      <w:r w:rsidR="00210E42" w:rsidRPr="00B90668">
        <w:rPr>
          <w:rFonts w:ascii="Times New Roman" w:hAnsi="Times New Roman" w:cs="Times New Roman"/>
          <w:bCs/>
          <w:color w:val="000000" w:themeColor="text1"/>
          <w:sz w:val="24"/>
          <w:szCs w:val="24"/>
        </w:rPr>
        <w:t>.</w:t>
      </w:r>
      <w:r w:rsidR="00DD5F37" w:rsidRPr="00B90668">
        <w:rPr>
          <w:rFonts w:ascii="Times New Roman" w:hAnsi="Times New Roman" w:cs="Times New Roman"/>
          <w:bCs/>
          <w:color w:val="000000" w:themeColor="text1"/>
          <w:sz w:val="24"/>
          <w:szCs w:val="24"/>
        </w:rPr>
        <w:t xml:space="preserve"> Our findings suggest that doses, capped at 75 kg, </w:t>
      </w:r>
      <w:r w:rsidR="005100A5">
        <w:rPr>
          <w:rFonts w:ascii="Times New Roman" w:hAnsi="Times New Roman" w:cs="Times New Roman"/>
          <w:bCs/>
          <w:color w:val="000000" w:themeColor="text1"/>
          <w:sz w:val="24"/>
          <w:szCs w:val="24"/>
        </w:rPr>
        <w:t xml:space="preserve">likely </w:t>
      </w:r>
      <w:r w:rsidR="00DD5F37" w:rsidRPr="00B90668">
        <w:rPr>
          <w:rFonts w:ascii="Times New Roman" w:hAnsi="Times New Roman" w:cs="Times New Roman"/>
          <w:bCs/>
          <w:color w:val="000000" w:themeColor="text1"/>
          <w:sz w:val="24"/>
          <w:szCs w:val="24"/>
        </w:rPr>
        <w:t>resulted</w:t>
      </w:r>
      <w:r w:rsidR="00210E42" w:rsidRPr="00B90668">
        <w:rPr>
          <w:rFonts w:ascii="Times New Roman" w:hAnsi="Times New Roman" w:cs="Times New Roman"/>
          <w:bCs/>
          <w:color w:val="000000" w:themeColor="text1"/>
          <w:sz w:val="24"/>
          <w:szCs w:val="24"/>
        </w:rPr>
        <w:t xml:space="preserve"> in concentrations </w:t>
      </w:r>
      <w:r w:rsidR="00DD5F37" w:rsidRPr="00B90668">
        <w:rPr>
          <w:rFonts w:ascii="Times New Roman" w:hAnsi="Times New Roman" w:cs="Times New Roman"/>
          <w:bCs/>
          <w:color w:val="000000" w:themeColor="text1"/>
          <w:sz w:val="24"/>
          <w:szCs w:val="24"/>
        </w:rPr>
        <w:t>greater</w:t>
      </w:r>
      <w:r w:rsidR="00210E42" w:rsidRPr="00B90668">
        <w:rPr>
          <w:rFonts w:ascii="Times New Roman" w:hAnsi="Times New Roman" w:cs="Times New Roman"/>
          <w:bCs/>
          <w:color w:val="000000" w:themeColor="text1"/>
          <w:sz w:val="24"/>
          <w:szCs w:val="24"/>
        </w:rPr>
        <w:t xml:space="preserve"> </w:t>
      </w:r>
      <w:r w:rsidR="00DD5F37" w:rsidRPr="00B90668">
        <w:rPr>
          <w:rFonts w:ascii="Times New Roman" w:hAnsi="Times New Roman" w:cs="Times New Roman"/>
          <w:bCs/>
          <w:color w:val="000000" w:themeColor="text1"/>
          <w:sz w:val="24"/>
          <w:szCs w:val="24"/>
        </w:rPr>
        <w:t xml:space="preserve">than </w:t>
      </w:r>
      <w:r w:rsidR="00210E42" w:rsidRPr="00B90668">
        <w:rPr>
          <w:rFonts w:ascii="Times New Roman" w:hAnsi="Times New Roman" w:cs="Times New Roman"/>
          <w:bCs/>
          <w:color w:val="000000" w:themeColor="text1"/>
          <w:sz w:val="24"/>
          <w:szCs w:val="24"/>
        </w:rPr>
        <w:t>those needed for outcome.</w:t>
      </w:r>
      <w:r w:rsidR="00232219" w:rsidRPr="00B90668">
        <w:rPr>
          <w:rFonts w:ascii="Times New Roman" w:hAnsi="Times New Roman" w:cs="Times New Roman"/>
          <w:bCs/>
          <w:color w:val="000000" w:themeColor="text1"/>
          <w:sz w:val="24"/>
          <w:szCs w:val="24"/>
        </w:rPr>
        <w:t xml:space="preserve"> </w:t>
      </w:r>
      <w:r w:rsidR="00F267CB" w:rsidRPr="00B90668">
        <w:rPr>
          <w:rFonts w:ascii="Times New Roman" w:hAnsi="Times New Roman" w:cs="Times New Roman"/>
          <w:bCs/>
          <w:color w:val="000000" w:themeColor="text1"/>
          <w:sz w:val="24"/>
          <w:szCs w:val="24"/>
        </w:rPr>
        <w:t>S</w:t>
      </w:r>
      <w:r w:rsidR="00232219" w:rsidRPr="00B90668">
        <w:rPr>
          <w:rFonts w:ascii="Times New Roman" w:hAnsi="Times New Roman" w:cs="Times New Roman"/>
          <w:bCs/>
          <w:color w:val="000000" w:themeColor="text1"/>
          <w:sz w:val="24"/>
          <w:szCs w:val="24"/>
        </w:rPr>
        <w:t xml:space="preserve">tudies </w:t>
      </w:r>
      <w:r w:rsidR="00DD5F37" w:rsidRPr="00B90668">
        <w:rPr>
          <w:rFonts w:ascii="Times New Roman" w:hAnsi="Times New Roman" w:cs="Times New Roman"/>
          <w:bCs/>
          <w:color w:val="000000" w:themeColor="text1"/>
          <w:sz w:val="24"/>
          <w:szCs w:val="24"/>
        </w:rPr>
        <w:t xml:space="preserve">that </w:t>
      </w:r>
      <w:r w:rsidR="001E2F9A" w:rsidRPr="00B90668">
        <w:rPr>
          <w:rFonts w:ascii="Times New Roman" w:hAnsi="Times New Roman" w:cs="Times New Roman"/>
          <w:bCs/>
          <w:color w:val="000000" w:themeColor="text1"/>
          <w:sz w:val="24"/>
          <w:szCs w:val="24"/>
        </w:rPr>
        <w:t>include</w:t>
      </w:r>
      <w:r w:rsidR="00825FB6" w:rsidRPr="00B90668">
        <w:rPr>
          <w:rFonts w:ascii="Times New Roman" w:hAnsi="Times New Roman" w:cs="Times New Roman"/>
          <w:bCs/>
          <w:color w:val="000000" w:themeColor="text1"/>
          <w:sz w:val="24"/>
          <w:szCs w:val="24"/>
        </w:rPr>
        <w:t xml:space="preserve"> drug concentrations</w:t>
      </w:r>
      <w:r w:rsidR="00DD5F37" w:rsidRPr="00B90668">
        <w:rPr>
          <w:rFonts w:ascii="Times New Roman" w:hAnsi="Times New Roman" w:cs="Times New Roman"/>
          <w:bCs/>
          <w:color w:val="000000" w:themeColor="text1"/>
          <w:sz w:val="24"/>
          <w:szCs w:val="24"/>
        </w:rPr>
        <w:t xml:space="preserve"> and heavier individuals</w:t>
      </w:r>
      <w:r w:rsidR="00825FB6" w:rsidRPr="00B90668">
        <w:rPr>
          <w:rFonts w:ascii="Times New Roman" w:hAnsi="Times New Roman" w:cs="Times New Roman"/>
          <w:bCs/>
          <w:color w:val="000000" w:themeColor="text1"/>
          <w:sz w:val="24"/>
          <w:szCs w:val="24"/>
        </w:rPr>
        <w:t xml:space="preserve"> </w:t>
      </w:r>
      <w:r w:rsidR="00232219" w:rsidRPr="00B90668">
        <w:rPr>
          <w:rFonts w:ascii="Times New Roman" w:hAnsi="Times New Roman" w:cs="Times New Roman"/>
          <w:bCs/>
          <w:color w:val="000000" w:themeColor="text1"/>
          <w:sz w:val="24"/>
          <w:szCs w:val="24"/>
        </w:rPr>
        <w:t>are needed to confirm these findings.</w:t>
      </w:r>
    </w:p>
    <w:p w14:paraId="478D580E" w14:textId="77777777" w:rsidR="00AE4745" w:rsidRPr="00B90668" w:rsidRDefault="00AE4745" w:rsidP="00B90668">
      <w:pPr>
        <w:suppressLineNumbers/>
        <w:spacing w:after="0" w:line="480" w:lineRule="auto"/>
        <w:rPr>
          <w:rFonts w:ascii="Times New Roman" w:hAnsi="Times New Roman" w:cs="Times New Roman"/>
          <w:bCs/>
          <w:color w:val="000000" w:themeColor="text1"/>
          <w:sz w:val="24"/>
          <w:szCs w:val="24"/>
        </w:rPr>
      </w:pPr>
    </w:p>
    <w:p w14:paraId="58738CA5" w14:textId="77777777" w:rsidR="00AE4745" w:rsidRPr="00B90668" w:rsidRDefault="00AE4745" w:rsidP="00B90668">
      <w:pPr>
        <w:suppressLineNumbers/>
        <w:spacing w:after="0" w:line="480" w:lineRule="auto"/>
        <w:rPr>
          <w:rFonts w:ascii="Times New Roman" w:hAnsi="Times New Roman" w:cs="Times New Roman"/>
          <w:bCs/>
          <w:color w:val="000000" w:themeColor="text1"/>
          <w:sz w:val="24"/>
          <w:szCs w:val="24"/>
        </w:rPr>
      </w:pPr>
    </w:p>
    <w:p w14:paraId="78AFDFAD" w14:textId="7530A134" w:rsidR="00AE4745" w:rsidRPr="00B90668" w:rsidRDefault="00AE4745" w:rsidP="00B90668">
      <w:pPr>
        <w:suppressLineNumbers/>
        <w:spacing w:after="0" w:line="480" w:lineRule="auto"/>
        <w:jc w:val="both"/>
        <w:rPr>
          <w:rFonts w:ascii="Times New Roman" w:hAnsi="Times New Roman" w:cs="Times New Roman"/>
          <w:bCs/>
          <w:color w:val="000000" w:themeColor="text1"/>
          <w:sz w:val="24"/>
          <w:szCs w:val="24"/>
        </w:rPr>
        <w:sectPr w:rsidR="00AE4745" w:rsidRPr="00B90668">
          <w:headerReference w:type="default" r:id="rId8"/>
          <w:pgSz w:w="12240" w:h="15840"/>
          <w:pgMar w:top="1440" w:right="1440" w:bottom="1440" w:left="1440" w:header="720" w:footer="720" w:gutter="0"/>
          <w:cols w:space="720"/>
          <w:docGrid w:linePitch="360"/>
        </w:sectPr>
      </w:pPr>
      <w:r w:rsidRPr="00B90668">
        <w:rPr>
          <w:rFonts w:ascii="Times New Roman" w:hAnsi="Times New Roman" w:cs="Times New Roman"/>
          <w:b/>
          <w:color w:val="000000" w:themeColor="text1"/>
          <w:sz w:val="24"/>
          <w:szCs w:val="24"/>
        </w:rPr>
        <w:t>Keywords</w:t>
      </w:r>
      <w:r w:rsidRPr="00B90668">
        <w:rPr>
          <w:rFonts w:ascii="Times New Roman" w:hAnsi="Times New Roman" w:cs="Times New Roman"/>
          <w:bCs/>
          <w:color w:val="000000" w:themeColor="text1"/>
          <w:sz w:val="24"/>
          <w:szCs w:val="24"/>
        </w:rPr>
        <w:t>: Weight-based dosing, dose-response, anti-seizure medications, ESETT,</w:t>
      </w:r>
      <w:r w:rsidR="00AF094A">
        <w:rPr>
          <w:rFonts w:ascii="Times New Roman" w:hAnsi="Times New Roman" w:cs="Times New Roman"/>
          <w:bCs/>
          <w:color w:val="000000" w:themeColor="text1"/>
          <w:sz w:val="24"/>
          <w:szCs w:val="24"/>
        </w:rPr>
        <w:t xml:space="preserve"> </w:t>
      </w:r>
      <w:r w:rsidR="00704A22">
        <w:rPr>
          <w:rFonts w:ascii="Times New Roman" w:hAnsi="Times New Roman" w:cs="Times New Roman"/>
          <w:bCs/>
          <w:color w:val="000000" w:themeColor="text1"/>
          <w:sz w:val="24"/>
          <w:szCs w:val="24"/>
        </w:rPr>
        <w:t>seizure cessation</w:t>
      </w:r>
    </w:p>
    <w:p w14:paraId="762BA2DB" w14:textId="2C0C8DFD" w:rsidR="00CE798C" w:rsidRPr="00B90668" w:rsidRDefault="00CE798C" w:rsidP="003A31C5">
      <w:pPr>
        <w:spacing w:after="0"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lastRenderedPageBreak/>
        <w:t>INTRODUCTION</w:t>
      </w:r>
    </w:p>
    <w:p w14:paraId="0313B308" w14:textId="77777777" w:rsidR="00CE798C" w:rsidRPr="00B90668" w:rsidRDefault="00CE798C" w:rsidP="003A31C5">
      <w:pPr>
        <w:spacing w:after="0" w:line="480" w:lineRule="auto"/>
        <w:jc w:val="both"/>
        <w:rPr>
          <w:rFonts w:ascii="Times New Roman" w:hAnsi="Times New Roman" w:cs="Times New Roman"/>
          <w:b/>
          <w:color w:val="000000" w:themeColor="text1"/>
          <w:sz w:val="24"/>
          <w:szCs w:val="24"/>
        </w:rPr>
      </w:pPr>
    </w:p>
    <w:p w14:paraId="25C7FCF8" w14:textId="26F7A777" w:rsidR="0032008A" w:rsidRPr="00B90668" w:rsidRDefault="00CE798C"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The</w:t>
      </w:r>
      <w:r w:rsidR="00156353"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Established Status Epilepticus Treatment Trial (ESETT)</w:t>
      </w:r>
      <w:r w:rsidR="00842A74" w:rsidRPr="00B90668">
        <w:rPr>
          <w:rFonts w:ascii="Times New Roman" w:hAnsi="Times New Roman" w:cs="Times New Roman"/>
          <w:color w:val="000000" w:themeColor="text1"/>
          <w:sz w:val="24"/>
          <w:szCs w:val="24"/>
        </w:rPr>
        <w:t>,</w:t>
      </w:r>
      <w:r w:rsidR="00B6309F" w:rsidRPr="00B90668">
        <w:rPr>
          <w:rFonts w:ascii="Times New Roman" w:hAnsi="Times New Roman" w:cs="Times New Roman"/>
          <w:color w:val="000000" w:themeColor="text1"/>
          <w:sz w:val="24"/>
          <w:szCs w:val="24"/>
        </w:rPr>
        <w:t xml:space="preserve"> that </w:t>
      </w:r>
      <w:r w:rsidR="00156353" w:rsidRPr="00B90668">
        <w:rPr>
          <w:rFonts w:ascii="Times New Roman" w:hAnsi="Times New Roman" w:cs="Times New Roman"/>
          <w:color w:val="000000" w:themeColor="text1"/>
          <w:sz w:val="24"/>
          <w:szCs w:val="24"/>
        </w:rPr>
        <w:t>completed</w:t>
      </w:r>
      <w:r w:rsidR="0032008A" w:rsidRPr="00B90668">
        <w:rPr>
          <w:rFonts w:ascii="Times New Roman" w:hAnsi="Times New Roman" w:cs="Times New Roman"/>
          <w:color w:val="000000" w:themeColor="text1"/>
          <w:sz w:val="24"/>
          <w:szCs w:val="24"/>
        </w:rPr>
        <w:t xml:space="preserve"> </w:t>
      </w:r>
      <w:r w:rsidR="00B6309F" w:rsidRPr="00B90668">
        <w:rPr>
          <w:rFonts w:ascii="Times New Roman" w:hAnsi="Times New Roman" w:cs="Times New Roman"/>
          <w:color w:val="000000" w:themeColor="text1"/>
          <w:sz w:val="24"/>
          <w:szCs w:val="24"/>
        </w:rPr>
        <w:t xml:space="preserve">enrollment </w:t>
      </w:r>
      <w:r w:rsidR="0032008A" w:rsidRPr="00B90668">
        <w:rPr>
          <w:rFonts w:ascii="Times New Roman" w:hAnsi="Times New Roman" w:cs="Times New Roman"/>
          <w:color w:val="000000" w:themeColor="text1"/>
          <w:sz w:val="24"/>
          <w:szCs w:val="24"/>
        </w:rPr>
        <w:t xml:space="preserve">in </w:t>
      </w:r>
      <w:r w:rsidR="00B6309F" w:rsidRPr="00B90668">
        <w:rPr>
          <w:rFonts w:ascii="Times New Roman" w:hAnsi="Times New Roman" w:cs="Times New Roman"/>
          <w:color w:val="000000" w:themeColor="text1"/>
          <w:sz w:val="24"/>
          <w:szCs w:val="24"/>
        </w:rPr>
        <w:t>January 2019</w:t>
      </w:r>
      <w:r w:rsidR="00842A74" w:rsidRPr="00B90668">
        <w:rPr>
          <w:rFonts w:ascii="Times New Roman" w:hAnsi="Times New Roman" w:cs="Times New Roman"/>
          <w:color w:val="000000" w:themeColor="text1"/>
          <w:sz w:val="24"/>
          <w:szCs w:val="24"/>
        </w:rPr>
        <w:t>,</w:t>
      </w:r>
      <w:r w:rsidRPr="00B90668">
        <w:rPr>
          <w:rFonts w:ascii="Times New Roman" w:hAnsi="Times New Roman" w:cs="Times New Roman"/>
          <w:color w:val="000000" w:themeColor="text1"/>
          <w:sz w:val="24"/>
          <w:szCs w:val="24"/>
        </w:rPr>
        <w:t xml:space="preserve"> was a multi-center,</w:t>
      </w:r>
      <w:r w:rsidR="001A2F7A"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randomized,</w:t>
      </w:r>
      <w:r w:rsidR="001A2F7A"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 xml:space="preserve">double-blind study </w:t>
      </w:r>
      <w:r w:rsidR="00895354" w:rsidRPr="00B90668">
        <w:rPr>
          <w:rFonts w:ascii="Times New Roman" w:hAnsi="Times New Roman" w:cs="Times New Roman"/>
          <w:color w:val="000000" w:themeColor="text1"/>
          <w:sz w:val="24"/>
          <w:szCs w:val="24"/>
        </w:rPr>
        <w:t>to determine the best</w:t>
      </w:r>
      <w:r w:rsidR="001A2F7A" w:rsidRPr="00B90668">
        <w:rPr>
          <w:rFonts w:ascii="Times New Roman" w:hAnsi="Times New Roman" w:cs="Times New Roman"/>
          <w:color w:val="000000" w:themeColor="text1"/>
          <w:sz w:val="24"/>
          <w:szCs w:val="24"/>
        </w:rPr>
        <w:t xml:space="preserve"> </w:t>
      </w:r>
      <w:r w:rsidR="00895354" w:rsidRPr="00B90668">
        <w:rPr>
          <w:rFonts w:ascii="Times New Roman" w:hAnsi="Times New Roman" w:cs="Times New Roman"/>
          <w:color w:val="000000" w:themeColor="text1"/>
          <w:sz w:val="24"/>
          <w:szCs w:val="24"/>
        </w:rPr>
        <w:t>or</w:t>
      </w:r>
      <w:r w:rsidR="001A2F7A" w:rsidRPr="00B90668">
        <w:rPr>
          <w:rFonts w:ascii="Times New Roman" w:hAnsi="Times New Roman" w:cs="Times New Roman"/>
          <w:color w:val="000000" w:themeColor="text1"/>
          <w:sz w:val="24"/>
          <w:szCs w:val="24"/>
        </w:rPr>
        <w:t xml:space="preserve"> </w:t>
      </w:r>
      <w:r w:rsidR="00895354" w:rsidRPr="00B90668">
        <w:rPr>
          <w:rFonts w:ascii="Times New Roman" w:hAnsi="Times New Roman" w:cs="Times New Roman"/>
          <w:color w:val="000000" w:themeColor="text1"/>
          <w:sz w:val="24"/>
          <w:szCs w:val="24"/>
        </w:rPr>
        <w:t>worst second</w:t>
      </w:r>
      <w:r w:rsidR="00377C7A" w:rsidRPr="00B90668">
        <w:rPr>
          <w:rFonts w:ascii="Times New Roman" w:hAnsi="Times New Roman" w:cs="Times New Roman"/>
          <w:color w:val="000000" w:themeColor="text1"/>
          <w:sz w:val="24"/>
          <w:szCs w:val="24"/>
        </w:rPr>
        <w:t>-</w:t>
      </w:r>
      <w:r w:rsidR="00895354" w:rsidRPr="00B90668">
        <w:rPr>
          <w:rFonts w:ascii="Times New Roman" w:hAnsi="Times New Roman" w:cs="Times New Roman"/>
          <w:color w:val="000000" w:themeColor="text1"/>
          <w:sz w:val="24"/>
          <w:szCs w:val="24"/>
        </w:rPr>
        <w:t>line treatment among</w:t>
      </w:r>
      <w:r w:rsidRPr="00B90668">
        <w:rPr>
          <w:rFonts w:ascii="Times New Roman" w:hAnsi="Times New Roman" w:cs="Times New Roman"/>
          <w:color w:val="000000" w:themeColor="text1"/>
          <w:sz w:val="24"/>
          <w:szCs w:val="24"/>
        </w:rPr>
        <w:t xml:space="preserve"> fosphenytoin (FOS), levetiracetam (LEV) and valproic acid (VPA) in patients with benzodiazepine-refractory status epilepticus (SE).</w:t>
      </w:r>
      <w:r w:rsidR="00AC51D4" w:rsidRPr="00B90668">
        <w:rPr>
          <w:rFonts w:ascii="Times New Roman" w:hAnsi="Times New Roman" w:cs="Times New Roman"/>
          <w:color w:val="000000" w:themeColor="text1"/>
          <w:sz w:val="24"/>
          <w:szCs w:val="24"/>
        </w:rPr>
        <w:fldChar w:fldCharType="begin" w:fldLock="1"/>
      </w:r>
      <w:r w:rsidR="00AC51D4" w:rsidRPr="00B90668">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mendeley":{"formattedCitation":"&lt;sup&gt;1&lt;/sup&gt;","plainTextFormattedCitation":"1","previouslyFormattedCitation":"&lt;sup&gt;1&lt;/sup&gt;"},"properties":{"noteIndex":0},"schema":"https://github.com/citation-style-language/schema/raw/master/csl-citation.json"}</w:instrText>
      </w:r>
      <w:r w:rsidR="00AC51D4" w:rsidRPr="00B90668">
        <w:rPr>
          <w:rFonts w:ascii="Times New Roman" w:hAnsi="Times New Roman" w:cs="Times New Roman"/>
          <w:color w:val="000000" w:themeColor="text1"/>
          <w:sz w:val="24"/>
          <w:szCs w:val="24"/>
        </w:rPr>
        <w:fldChar w:fldCharType="separate"/>
      </w:r>
      <w:r w:rsidR="00AC51D4" w:rsidRPr="00B90668">
        <w:rPr>
          <w:rFonts w:ascii="Times New Roman" w:hAnsi="Times New Roman" w:cs="Times New Roman"/>
          <w:noProof/>
          <w:color w:val="000000" w:themeColor="text1"/>
          <w:sz w:val="24"/>
          <w:szCs w:val="24"/>
          <w:vertAlign w:val="superscript"/>
        </w:rPr>
        <w:t>1</w:t>
      </w:r>
      <w:r w:rsidR="00AC51D4" w:rsidRPr="00B90668">
        <w:rPr>
          <w:rFonts w:ascii="Times New Roman" w:hAnsi="Times New Roman" w:cs="Times New Roman"/>
          <w:color w:val="000000" w:themeColor="text1"/>
          <w:sz w:val="24"/>
          <w:szCs w:val="24"/>
        </w:rPr>
        <w:fldChar w:fldCharType="end"/>
      </w:r>
      <w:r w:rsidR="009D259E"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 xml:space="preserve">The primary outcome of the study was cessation of SE </w:t>
      </w:r>
      <w:r w:rsidR="00842A74" w:rsidRPr="00B90668">
        <w:rPr>
          <w:rFonts w:ascii="Times New Roman" w:hAnsi="Times New Roman" w:cs="Times New Roman"/>
          <w:color w:val="000000" w:themeColor="text1"/>
          <w:sz w:val="24"/>
          <w:szCs w:val="24"/>
        </w:rPr>
        <w:t xml:space="preserve">at 60 minutes after the start of study drug infusion without use of additional anti-seizure medication, </w:t>
      </w:r>
      <w:r w:rsidRPr="00B90668">
        <w:rPr>
          <w:rFonts w:ascii="Times New Roman" w:hAnsi="Times New Roman" w:cs="Times New Roman"/>
          <w:color w:val="000000" w:themeColor="text1"/>
          <w:sz w:val="24"/>
          <w:szCs w:val="24"/>
        </w:rPr>
        <w:t>as determined by absence of clinically apparent seizures and improved consciousness</w:t>
      </w:r>
      <w:r w:rsidR="00842A74" w:rsidRPr="00B90668">
        <w:rPr>
          <w:rFonts w:ascii="Times New Roman" w:hAnsi="Times New Roman" w:cs="Times New Roman"/>
          <w:color w:val="000000" w:themeColor="text1"/>
          <w:sz w:val="24"/>
          <w:szCs w:val="24"/>
        </w:rPr>
        <w:t>.</w:t>
      </w:r>
      <w:r w:rsidR="00AB2BD4" w:rsidRPr="00B90668">
        <w:rPr>
          <w:rFonts w:ascii="Times New Roman" w:hAnsi="Times New Roman" w:cs="Times New Roman"/>
          <w:color w:val="000000" w:themeColor="text1"/>
          <w:sz w:val="24"/>
          <w:szCs w:val="24"/>
        </w:rPr>
        <w:t xml:space="preserve"> </w:t>
      </w:r>
      <w:r w:rsidR="003F2A75" w:rsidRPr="00B90668">
        <w:rPr>
          <w:rFonts w:ascii="Times New Roman" w:hAnsi="Times New Roman" w:cs="Times New Roman"/>
          <w:color w:val="000000" w:themeColor="text1"/>
          <w:sz w:val="24"/>
          <w:szCs w:val="24"/>
        </w:rPr>
        <w:t>S</w:t>
      </w:r>
      <w:r w:rsidR="00C80B07" w:rsidRPr="00B90668">
        <w:rPr>
          <w:rFonts w:ascii="Times New Roman" w:hAnsi="Times New Roman" w:cs="Times New Roman"/>
          <w:color w:val="000000" w:themeColor="text1"/>
          <w:sz w:val="24"/>
          <w:szCs w:val="24"/>
        </w:rPr>
        <w:t>ubjects aged ≥ 2 years that failed first</w:t>
      </w:r>
      <w:r w:rsidR="00377C7A" w:rsidRPr="00B90668">
        <w:rPr>
          <w:rFonts w:ascii="Times New Roman" w:hAnsi="Times New Roman" w:cs="Times New Roman"/>
          <w:color w:val="000000" w:themeColor="text1"/>
          <w:sz w:val="24"/>
          <w:szCs w:val="24"/>
        </w:rPr>
        <w:t>-</w:t>
      </w:r>
      <w:r w:rsidR="00C80B07" w:rsidRPr="00B90668">
        <w:rPr>
          <w:rFonts w:ascii="Times New Roman" w:hAnsi="Times New Roman" w:cs="Times New Roman"/>
          <w:color w:val="000000" w:themeColor="text1"/>
          <w:sz w:val="24"/>
          <w:szCs w:val="24"/>
        </w:rPr>
        <w:t xml:space="preserve">line treatment with benzodiazepines and continued to </w:t>
      </w:r>
      <w:r w:rsidR="00377C7A" w:rsidRPr="00B90668">
        <w:rPr>
          <w:rFonts w:ascii="Times New Roman" w:hAnsi="Times New Roman" w:cs="Times New Roman"/>
          <w:color w:val="000000" w:themeColor="text1"/>
          <w:sz w:val="24"/>
          <w:szCs w:val="24"/>
        </w:rPr>
        <w:t xml:space="preserve">have </w:t>
      </w:r>
      <w:r w:rsidR="00C80B07" w:rsidRPr="00B90668">
        <w:rPr>
          <w:rFonts w:ascii="Times New Roman" w:hAnsi="Times New Roman" w:cs="Times New Roman"/>
          <w:color w:val="000000" w:themeColor="text1"/>
          <w:sz w:val="24"/>
          <w:szCs w:val="24"/>
        </w:rPr>
        <w:t>seizure</w:t>
      </w:r>
      <w:r w:rsidR="00377C7A" w:rsidRPr="00B90668">
        <w:rPr>
          <w:rFonts w:ascii="Times New Roman" w:hAnsi="Times New Roman" w:cs="Times New Roman"/>
          <w:color w:val="000000" w:themeColor="text1"/>
          <w:sz w:val="24"/>
          <w:szCs w:val="24"/>
        </w:rPr>
        <w:t>s</w:t>
      </w:r>
      <w:r w:rsidR="003F2A75" w:rsidRPr="00B90668">
        <w:rPr>
          <w:rFonts w:ascii="Times New Roman" w:hAnsi="Times New Roman" w:cs="Times New Roman"/>
          <w:color w:val="000000" w:themeColor="text1"/>
          <w:sz w:val="24"/>
          <w:szCs w:val="24"/>
        </w:rPr>
        <w:t xml:space="preserve"> were included in this study</w:t>
      </w:r>
      <w:r w:rsidR="00C80B07" w:rsidRPr="00B90668">
        <w:rPr>
          <w:rFonts w:ascii="Times New Roman" w:hAnsi="Times New Roman" w:cs="Times New Roman"/>
          <w:color w:val="000000" w:themeColor="text1"/>
          <w:sz w:val="24"/>
          <w:szCs w:val="24"/>
        </w:rPr>
        <w:t>.</w:t>
      </w:r>
    </w:p>
    <w:p w14:paraId="04407F61" w14:textId="77777777" w:rsidR="0032008A" w:rsidRPr="00B90668" w:rsidRDefault="0032008A" w:rsidP="003A31C5">
      <w:pPr>
        <w:spacing w:after="0" w:line="480" w:lineRule="auto"/>
        <w:jc w:val="both"/>
        <w:rPr>
          <w:rFonts w:ascii="Times New Roman" w:hAnsi="Times New Roman" w:cs="Times New Roman"/>
          <w:color w:val="000000" w:themeColor="text1"/>
          <w:sz w:val="24"/>
          <w:szCs w:val="24"/>
        </w:rPr>
      </w:pPr>
    </w:p>
    <w:p w14:paraId="39636915" w14:textId="0D256355" w:rsidR="00941B82" w:rsidRPr="00B90668" w:rsidRDefault="00002AB8"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sz w:val="24"/>
          <w:szCs w:val="24"/>
        </w:rPr>
        <w:t>T</w:t>
      </w:r>
      <w:r w:rsidR="0052687C" w:rsidRPr="00B90668">
        <w:rPr>
          <w:rFonts w:ascii="Times New Roman" w:hAnsi="Times New Roman" w:cs="Times New Roman"/>
          <w:sz w:val="24"/>
          <w:szCs w:val="24"/>
        </w:rPr>
        <w:t xml:space="preserve">o maintain the blind, the </w:t>
      </w:r>
      <w:r w:rsidRPr="00B90668">
        <w:rPr>
          <w:rFonts w:ascii="Times New Roman" w:hAnsi="Times New Roman" w:cs="Times New Roman"/>
          <w:sz w:val="24"/>
          <w:szCs w:val="24"/>
        </w:rPr>
        <w:t>three</w:t>
      </w:r>
      <w:r w:rsidR="0052687C" w:rsidRPr="00B90668">
        <w:rPr>
          <w:rFonts w:ascii="Times New Roman" w:hAnsi="Times New Roman" w:cs="Times New Roman"/>
          <w:sz w:val="24"/>
          <w:szCs w:val="24"/>
        </w:rPr>
        <w:t xml:space="preserve"> drugs, FO</w:t>
      </w:r>
      <w:r w:rsidR="00CD5429" w:rsidRPr="00B90668">
        <w:rPr>
          <w:rFonts w:ascii="Times New Roman" w:hAnsi="Times New Roman" w:cs="Times New Roman"/>
          <w:sz w:val="24"/>
          <w:szCs w:val="24"/>
        </w:rPr>
        <w:t>S</w:t>
      </w:r>
      <w:r w:rsidR="0052687C" w:rsidRPr="00B90668">
        <w:rPr>
          <w:rFonts w:ascii="Times New Roman" w:hAnsi="Times New Roman" w:cs="Times New Roman"/>
          <w:sz w:val="24"/>
          <w:szCs w:val="24"/>
        </w:rPr>
        <w:t>,</w:t>
      </w:r>
      <w:r w:rsidR="00CD5429" w:rsidRPr="00B90668">
        <w:rPr>
          <w:rFonts w:ascii="Times New Roman" w:hAnsi="Times New Roman" w:cs="Times New Roman"/>
          <w:sz w:val="24"/>
          <w:szCs w:val="24"/>
        </w:rPr>
        <w:t xml:space="preserve"> </w:t>
      </w:r>
      <w:r w:rsidR="0052687C" w:rsidRPr="00B90668">
        <w:rPr>
          <w:rFonts w:ascii="Times New Roman" w:hAnsi="Times New Roman" w:cs="Times New Roman"/>
          <w:sz w:val="24"/>
          <w:szCs w:val="24"/>
        </w:rPr>
        <w:t xml:space="preserve">LEV, and VPA, had to be administered in the same volume and infusion rate </w:t>
      </w:r>
      <w:r w:rsidR="00336313" w:rsidRPr="00B90668">
        <w:rPr>
          <w:rFonts w:ascii="Times New Roman" w:hAnsi="Times New Roman" w:cs="Times New Roman"/>
          <w:sz w:val="24"/>
          <w:szCs w:val="24"/>
        </w:rPr>
        <w:t>even though</w:t>
      </w:r>
      <w:r w:rsidR="0052687C" w:rsidRPr="00B90668">
        <w:rPr>
          <w:rFonts w:ascii="Times New Roman" w:hAnsi="Times New Roman" w:cs="Times New Roman"/>
          <w:sz w:val="24"/>
          <w:szCs w:val="24"/>
        </w:rPr>
        <w:t xml:space="preserve"> the drugs had different mg/kg doses.</w:t>
      </w:r>
      <w:r w:rsidR="009D259E" w:rsidRPr="00B90668">
        <w:rPr>
          <w:rFonts w:ascii="Times New Roman" w:hAnsi="Times New Roman" w:cs="Times New Roman"/>
          <w:sz w:val="24"/>
          <w:szCs w:val="24"/>
        </w:rPr>
        <w:fldChar w:fldCharType="begin" w:fldLock="1"/>
      </w:r>
      <w:r w:rsidR="002A77EF" w:rsidRPr="00B90668">
        <w:rPr>
          <w:rFonts w:ascii="Times New Roman" w:hAnsi="Times New Roman" w:cs="Times New Roman"/>
          <w:sz w:val="24"/>
          <w:szCs w:val="24"/>
        </w:rPr>
        <w:instrText>ADDIN CSL_CITATION {"citationItems":[{"id":"ITEM-1","itemData":{"DOI":"10.1016/j.yebeh.2019.04.049","ISSN":"15255069","abstract":"Convulsive status epilepticus (SE) is a relatively common emergency condition affecting individuals of all ages. The primary goal of treatment is prompt termination of seizures. Where first-line treatment with benzodiazepine has failed to achieve this, a condition known as established SE (ESE), there is uncertainty about which agent to use next. The Established Status Epilepticus Treatment Trial (ESETT) is a 3-arm (valproate (VPA), fosphenytoin (FOS), levetiracetam (LEV)), phase III, double-blind randomized comparative effectiveness study in patients aged 2 years and above with established convulsive SE. Enrollment was completed in January 2019, and the results are expected later this year. We discuss lessons learnt during the conduct of the study in relation to the following: ethical considerations; trial design and practical implementation in emergency settings, including pediatric and adult populations; quality assurance; and outcome determination where treating emergency clinicians may lack specialist expertise. We consider that the ESETT is already informing both clinical practice and future trial design. This article is part of the Special Issue “Proceedings of the 7th London-Innsbruck Colloquium on Status Epilepticus and Acute Seizures\"","author":[{"dropping-particle":"","family":"Cock","given":"Hannah R.","non-dropping-particle":"","parse-names":false,"suffix":""},{"dropping-particle":"","family":"Coles","given":"Lisa D.","non-dropping-particle":"","parse-names":false,"suffix":""},{"dropping-particle":"","family":"Elm","given":"Jordan","non-dropping-particle":"","parse-names":false,"suffix":""},{"dropping-particle":"","family":"Silbergleit","given":"Robert","non-dropping-particle":"","parse-names":false,"suffix":""},{"dropping-particle":"","family":"Chamberlain","given":"James M.","non-dropping-particle":"","parse-names":false,"suffix":""},{"dropping-particle":"","family":"Cloyd","given":"James C.","non-dropping-particle":"","parse-names":false,"suffix":""},{"dropping-particle":"","family":"Fountain","given":"Nathan","non-dropping-particle":"","parse-names":false,"suffix":""},{"dropping-particle":"","family":"Shinnar","given":"Shlomo","non-dropping-particle":"","parse-names":false,"suffix":""},{"dropping-particle":"","family":"Lowenstein","given":"Dan","non-dropping-particle":"","parse-names":false,"suffix":""},{"dropping-particle":"","family":"Conwit","given":"Robin","non-dropping-particle":"","parse-names":false,"suffix":""},{"dropping-particle":"","family":"Bleck","given":"Thomas P.","non-dropping-particle":"","parse-names":false,"suffix":""},{"dropping-particle":"","family":"Kapur","given":"Jaideep","non-dropping-particle":"","parse-names":false,"suffix":""}],"container-title":"Epilepsy and Behavior","id":"ITEM-1","issue":"2019","issued":{"date-parts":[["2019"]]},"page":"106296","publisher":"Elsevier Inc.","title":"Lessons from the Established Status Epilepticus Treatment Trial","type":"article-journal","volume":"101"},"uris":["http://www.mendeley.com/documents/?uuid=6a41a6b7-ee18-4c42-a402-a1ce13bea0d4"]}],"mendeley":{"formattedCitation":"&lt;sup&gt;2&lt;/sup&gt;","plainTextFormattedCitation":"2","previouslyFormattedCitation":"&lt;sup&gt;2&lt;/sup&gt;"},"properties":{"noteIndex":0},"schema":"https://github.com/citation-style-language/schema/raw/master/csl-citation.json"}</w:instrText>
      </w:r>
      <w:r w:rsidR="009D259E" w:rsidRPr="00B90668">
        <w:rPr>
          <w:rFonts w:ascii="Times New Roman" w:hAnsi="Times New Roman" w:cs="Times New Roman"/>
          <w:sz w:val="24"/>
          <w:szCs w:val="24"/>
        </w:rPr>
        <w:fldChar w:fldCharType="separate"/>
      </w:r>
      <w:r w:rsidR="009D259E" w:rsidRPr="00B90668">
        <w:rPr>
          <w:rFonts w:ascii="Times New Roman" w:hAnsi="Times New Roman" w:cs="Times New Roman"/>
          <w:noProof/>
          <w:sz w:val="24"/>
          <w:szCs w:val="24"/>
          <w:vertAlign w:val="superscript"/>
        </w:rPr>
        <w:t>2</w:t>
      </w:r>
      <w:r w:rsidR="009D259E" w:rsidRPr="00B90668">
        <w:rPr>
          <w:rFonts w:ascii="Times New Roman" w:hAnsi="Times New Roman" w:cs="Times New Roman"/>
          <w:sz w:val="24"/>
          <w:szCs w:val="24"/>
        </w:rPr>
        <w:fldChar w:fldCharType="end"/>
      </w:r>
      <w:r w:rsidR="00EE43DE" w:rsidRPr="00B90668">
        <w:rPr>
          <w:rFonts w:ascii="Times New Roman" w:hAnsi="Times New Roman" w:cs="Times New Roman"/>
          <w:sz w:val="24"/>
          <w:szCs w:val="24"/>
        </w:rPr>
        <w:t xml:space="preserve"> </w:t>
      </w:r>
      <w:r w:rsidR="0052687C" w:rsidRPr="00B90668">
        <w:rPr>
          <w:rFonts w:ascii="Times New Roman" w:hAnsi="Times New Roman" w:cs="Times New Roman"/>
          <w:sz w:val="24"/>
          <w:szCs w:val="24"/>
        </w:rPr>
        <w:t xml:space="preserve">The </w:t>
      </w:r>
      <w:r w:rsidR="00377C7A" w:rsidRPr="00B90668">
        <w:rPr>
          <w:rFonts w:ascii="Times New Roman" w:hAnsi="Times New Roman" w:cs="Times New Roman"/>
          <w:color w:val="000000" w:themeColor="text1"/>
          <w:sz w:val="24"/>
          <w:szCs w:val="24"/>
        </w:rPr>
        <w:t>FOS</w:t>
      </w:r>
      <w:r w:rsidR="00924F01" w:rsidRPr="00B90668">
        <w:rPr>
          <w:rFonts w:ascii="Times New Roman" w:hAnsi="Times New Roman" w:cs="Times New Roman"/>
          <w:color w:val="000000" w:themeColor="text1"/>
          <w:sz w:val="24"/>
          <w:szCs w:val="24"/>
        </w:rPr>
        <w:t xml:space="preserve"> </w:t>
      </w:r>
      <w:r w:rsidR="0032008A" w:rsidRPr="00B90668">
        <w:rPr>
          <w:rFonts w:ascii="Times New Roman" w:hAnsi="Times New Roman" w:cs="Times New Roman"/>
          <w:color w:val="000000" w:themeColor="text1"/>
          <w:sz w:val="24"/>
          <w:szCs w:val="24"/>
        </w:rPr>
        <w:t>product label</w:t>
      </w:r>
      <w:r w:rsidR="0052687C" w:rsidRPr="00B90668">
        <w:rPr>
          <w:rFonts w:ascii="Times New Roman" w:hAnsi="Times New Roman" w:cs="Times New Roman"/>
          <w:color w:val="000000" w:themeColor="text1"/>
          <w:sz w:val="24"/>
          <w:szCs w:val="24"/>
        </w:rPr>
        <w:t xml:space="preserve"> recommend</w:t>
      </w:r>
      <w:r w:rsidR="00377C7A" w:rsidRPr="00B90668">
        <w:rPr>
          <w:rFonts w:ascii="Times New Roman" w:hAnsi="Times New Roman" w:cs="Times New Roman"/>
          <w:color w:val="000000" w:themeColor="text1"/>
          <w:sz w:val="24"/>
          <w:szCs w:val="24"/>
        </w:rPr>
        <w:t>s</w:t>
      </w:r>
      <w:r w:rsidR="003F2A75" w:rsidRPr="00B90668">
        <w:rPr>
          <w:rFonts w:ascii="Times New Roman" w:hAnsi="Times New Roman" w:cs="Times New Roman"/>
          <w:color w:val="000000" w:themeColor="text1"/>
          <w:sz w:val="24"/>
          <w:szCs w:val="24"/>
        </w:rPr>
        <w:t xml:space="preserve"> a maximum </w:t>
      </w:r>
      <w:r w:rsidR="00143D17" w:rsidRPr="00B90668">
        <w:rPr>
          <w:rFonts w:ascii="Times New Roman" w:hAnsi="Times New Roman" w:cs="Times New Roman"/>
          <w:color w:val="000000" w:themeColor="text1"/>
          <w:sz w:val="24"/>
          <w:szCs w:val="24"/>
        </w:rPr>
        <w:t xml:space="preserve">dose of FOS (pro-drug of phenytoin) </w:t>
      </w:r>
      <w:r w:rsidR="00ED5FF4" w:rsidRPr="00B90668">
        <w:rPr>
          <w:rFonts w:ascii="Times New Roman" w:hAnsi="Times New Roman" w:cs="Times New Roman"/>
          <w:color w:val="000000" w:themeColor="text1"/>
          <w:sz w:val="24"/>
          <w:szCs w:val="24"/>
        </w:rPr>
        <w:t>of 20 mg</w:t>
      </w:r>
      <w:r w:rsidR="00143D17" w:rsidRPr="00B90668">
        <w:rPr>
          <w:rFonts w:ascii="Times New Roman" w:hAnsi="Times New Roman" w:cs="Times New Roman"/>
          <w:color w:val="000000" w:themeColor="text1"/>
          <w:sz w:val="24"/>
          <w:szCs w:val="24"/>
        </w:rPr>
        <w:t xml:space="preserve"> phenytoin equivalents (P</w:t>
      </w:r>
      <w:r w:rsidR="00ED5FF4" w:rsidRPr="00B90668">
        <w:rPr>
          <w:rFonts w:ascii="Times New Roman" w:hAnsi="Times New Roman" w:cs="Times New Roman"/>
          <w:color w:val="000000" w:themeColor="text1"/>
          <w:sz w:val="24"/>
          <w:szCs w:val="24"/>
        </w:rPr>
        <w:t>E)/</w:t>
      </w:r>
      <w:r w:rsidR="00143D17" w:rsidRPr="00B90668">
        <w:rPr>
          <w:rFonts w:ascii="Times New Roman" w:hAnsi="Times New Roman" w:cs="Times New Roman"/>
          <w:color w:val="000000" w:themeColor="text1"/>
          <w:sz w:val="24"/>
          <w:szCs w:val="24"/>
        </w:rPr>
        <w:t xml:space="preserve">kg </w:t>
      </w:r>
      <w:r w:rsidR="003F2A75" w:rsidRPr="00B90668">
        <w:rPr>
          <w:rFonts w:ascii="Times New Roman" w:hAnsi="Times New Roman" w:cs="Times New Roman"/>
          <w:color w:val="000000" w:themeColor="text1"/>
          <w:sz w:val="24"/>
          <w:szCs w:val="24"/>
        </w:rPr>
        <w:t>and</w:t>
      </w:r>
      <w:r w:rsidR="0032008A" w:rsidRPr="00B90668">
        <w:rPr>
          <w:rFonts w:ascii="Times New Roman" w:hAnsi="Times New Roman" w:cs="Times New Roman"/>
          <w:color w:val="000000" w:themeColor="text1"/>
          <w:sz w:val="24"/>
          <w:szCs w:val="24"/>
        </w:rPr>
        <w:t xml:space="preserve"> </w:t>
      </w:r>
      <w:r w:rsidR="003F2A75" w:rsidRPr="00B90668">
        <w:rPr>
          <w:rFonts w:ascii="Times New Roman" w:hAnsi="Times New Roman" w:cs="Times New Roman"/>
          <w:color w:val="000000" w:themeColor="text1"/>
          <w:sz w:val="24"/>
          <w:szCs w:val="24"/>
        </w:rPr>
        <w:t xml:space="preserve">that </w:t>
      </w:r>
      <w:r w:rsidR="0032008A" w:rsidRPr="00B90668">
        <w:rPr>
          <w:rFonts w:ascii="Times New Roman" w:hAnsi="Times New Roman" w:cs="Times New Roman"/>
          <w:color w:val="000000" w:themeColor="text1"/>
          <w:sz w:val="24"/>
          <w:szCs w:val="24"/>
        </w:rPr>
        <w:t>t</w:t>
      </w:r>
      <w:r w:rsidR="00941B82" w:rsidRPr="00B90668">
        <w:rPr>
          <w:rFonts w:ascii="Times New Roman" w:hAnsi="Times New Roman" w:cs="Times New Roman"/>
          <w:color w:val="000000" w:themeColor="text1"/>
          <w:sz w:val="24"/>
          <w:szCs w:val="24"/>
        </w:rPr>
        <w:t>he rate of intravenous administration</w:t>
      </w:r>
      <w:r w:rsidR="00143D17" w:rsidRPr="00B90668">
        <w:rPr>
          <w:rFonts w:ascii="Times New Roman" w:hAnsi="Times New Roman" w:cs="Times New Roman"/>
          <w:color w:val="000000" w:themeColor="text1"/>
          <w:sz w:val="24"/>
          <w:szCs w:val="24"/>
        </w:rPr>
        <w:t xml:space="preserve"> </w:t>
      </w:r>
      <w:r w:rsidR="0052687C" w:rsidRPr="00B90668">
        <w:rPr>
          <w:rFonts w:ascii="Times New Roman" w:hAnsi="Times New Roman" w:cs="Times New Roman"/>
          <w:color w:val="000000" w:themeColor="text1"/>
          <w:sz w:val="24"/>
          <w:szCs w:val="24"/>
        </w:rPr>
        <w:t xml:space="preserve">should </w:t>
      </w:r>
      <w:r w:rsidR="00941B82" w:rsidRPr="00B90668">
        <w:rPr>
          <w:rFonts w:ascii="Times New Roman" w:hAnsi="Times New Roman" w:cs="Times New Roman"/>
          <w:color w:val="000000" w:themeColor="text1"/>
          <w:sz w:val="24"/>
          <w:szCs w:val="24"/>
        </w:rPr>
        <w:t>not exceed</w:t>
      </w:r>
      <w:r w:rsidR="00156353" w:rsidRPr="00B90668">
        <w:rPr>
          <w:rFonts w:ascii="Times New Roman" w:hAnsi="Times New Roman" w:cs="Times New Roman"/>
          <w:color w:val="000000" w:themeColor="text1"/>
          <w:sz w:val="24"/>
          <w:szCs w:val="24"/>
        </w:rPr>
        <w:t xml:space="preserve"> 150 mg </w:t>
      </w:r>
      <w:r w:rsidR="00143D17" w:rsidRPr="00B90668">
        <w:rPr>
          <w:rFonts w:ascii="Times New Roman" w:hAnsi="Times New Roman" w:cs="Times New Roman"/>
          <w:color w:val="000000" w:themeColor="text1"/>
          <w:sz w:val="24"/>
          <w:szCs w:val="24"/>
        </w:rPr>
        <w:t>PE</w:t>
      </w:r>
      <w:r w:rsidR="00156353" w:rsidRPr="00B90668">
        <w:rPr>
          <w:rFonts w:ascii="Times New Roman" w:hAnsi="Times New Roman" w:cs="Times New Roman"/>
          <w:color w:val="000000" w:themeColor="text1"/>
          <w:sz w:val="24"/>
          <w:szCs w:val="24"/>
        </w:rPr>
        <w:t xml:space="preserve"> per minute due to</w:t>
      </w:r>
      <w:r w:rsidR="00941B82" w:rsidRPr="00B90668">
        <w:rPr>
          <w:rFonts w:ascii="Times New Roman" w:hAnsi="Times New Roman" w:cs="Times New Roman"/>
          <w:color w:val="000000" w:themeColor="text1"/>
          <w:sz w:val="24"/>
          <w:szCs w:val="24"/>
        </w:rPr>
        <w:t xml:space="preserve"> </w:t>
      </w:r>
      <w:r w:rsidR="0032008A" w:rsidRPr="00B90668">
        <w:rPr>
          <w:rFonts w:ascii="Times New Roman" w:hAnsi="Times New Roman" w:cs="Times New Roman"/>
          <w:color w:val="000000" w:themeColor="text1"/>
          <w:sz w:val="24"/>
          <w:szCs w:val="24"/>
        </w:rPr>
        <w:t>cardiovascular risk</w:t>
      </w:r>
      <w:r w:rsidR="00377C7A" w:rsidRPr="00B90668">
        <w:rPr>
          <w:rFonts w:ascii="Times New Roman" w:hAnsi="Times New Roman" w:cs="Times New Roman"/>
          <w:color w:val="000000" w:themeColor="text1"/>
          <w:sz w:val="24"/>
          <w:szCs w:val="24"/>
        </w:rPr>
        <w:t>s</w:t>
      </w:r>
      <w:r w:rsidR="0032008A" w:rsidRPr="00B90668">
        <w:rPr>
          <w:rFonts w:ascii="Times New Roman" w:hAnsi="Times New Roman" w:cs="Times New Roman"/>
          <w:color w:val="000000" w:themeColor="text1"/>
          <w:sz w:val="24"/>
          <w:szCs w:val="24"/>
        </w:rPr>
        <w:t xml:space="preserve"> associated with rapid injection</w:t>
      </w:r>
      <w:r w:rsidR="00941B82" w:rsidRPr="00B90668">
        <w:rPr>
          <w:rFonts w:ascii="Times New Roman" w:hAnsi="Times New Roman" w:cs="Times New Roman"/>
          <w:color w:val="000000" w:themeColor="text1"/>
          <w:sz w:val="24"/>
          <w:szCs w:val="24"/>
        </w:rPr>
        <w:t>.</w:t>
      </w:r>
      <w:r w:rsidR="004E45BE" w:rsidRPr="00B90668">
        <w:rPr>
          <w:rFonts w:ascii="Times New Roman" w:hAnsi="Times New Roman" w:cs="Times New Roman"/>
          <w:color w:val="000000" w:themeColor="text1"/>
          <w:sz w:val="24"/>
          <w:szCs w:val="24"/>
        </w:rPr>
        <w:fldChar w:fldCharType="begin" w:fldLock="1"/>
      </w:r>
      <w:r w:rsidR="002A77EF" w:rsidRPr="00B90668">
        <w:rPr>
          <w:rFonts w:ascii="Times New Roman" w:hAnsi="Times New Roman" w:cs="Times New Roman"/>
          <w:color w:val="000000" w:themeColor="text1"/>
          <w:sz w:val="24"/>
          <w:szCs w:val="24"/>
        </w:rPr>
        <w:instrText>ADDIN CSL_CITATION {"citationItems":[{"id":"ITEM-1","itemData":{"id":"ITEM-1","issued":{"date-parts":[["0"]]},"page":"1-22","title":"CEREBYX®(fosphenytoin sodium injection)[package insert]. New York, NY: Pfizer Injectables; 2015.","type":"article-journal"},"uris":["http://www.mendeley.com/documents/?uuid=80c012b5-d767-4157-bcc3-ac66ef60e0bc"]}],"mendeley":{"formattedCitation":"&lt;sup&gt;3&lt;/sup&gt;","plainTextFormattedCitation":"3","previouslyFormattedCitation":"&lt;sup&gt;3&lt;/sup&gt;"},"properties":{"noteIndex":0},"schema":"https://github.com/citation-style-language/schema/raw/master/csl-citation.json"}</w:instrText>
      </w:r>
      <w:r w:rsidR="004E45BE" w:rsidRPr="00B90668">
        <w:rPr>
          <w:rFonts w:ascii="Times New Roman" w:hAnsi="Times New Roman" w:cs="Times New Roman"/>
          <w:color w:val="000000" w:themeColor="text1"/>
          <w:sz w:val="24"/>
          <w:szCs w:val="24"/>
        </w:rPr>
        <w:fldChar w:fldCharType="separate"/>
      </w:r>
      <w:r w:rsidR="009D259E" w:rsidRPr="00B90668">
        <w:rPr>
          <w:rFonts w:ascii="Times New Roman" w:hAnsi="Times New Roman" w:cs="Times New Roman"/>
          <w:noProof/>
          <w:color w:val="000000" w:themeColor="text1"/>
          <w:sz w:val="24"/>
          <w:szCs w:val="24"/>
          <w:vertAlign w:val="superscript"/>
        </w:rPr>
        <w:t>3</w:t>
      </w:r>
      <w:r w:rsidR="004E45BE" w:rsidRPr="00B90668">
        <w:rPr>
          <w:rFonts w:ascii="Times New Roman" w:hAnsi="Times New Roman" w:cs="Times New Roman"/>
          <w:color w:val="000000" w:themeColor="text1"/>
          <w:sz w:val="24"/>
          <w:szCs w:val="24"/>
        </w:rPr>
        <w:fldChar w:fldCharType="end"/>
      </w:r>
      <w:r w:rsidR="00941B82"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 xml:space="preserve">Given </w:t>
      </w:r>
      <w:r w:rsidR="006A6AF2" w:rsidRPr="00B90668">
        <w:rPr>
          <w:rFonts w:ascii="Times New Roman" w:hAnsi="Times New Roman" w:cs="Times New Roman"/>
          <w:color w:val="000000" w:themeColor="text1"/>
          <w:sz w:val="24"/>
          <w:szCs w:val="24"/>
        </w:rPr>
        <w:t>that</w:t>
      </w:r>
      <w:r w:rsidR="00EE43DE" w:rsidRPr="00B90668">
        <w:rPr>
          <w:rFonts w:ascii="Times New Roman" w:hAnsi="Times New Roman" w:cs="Times New Roman"/>
          <w:color w:val="000000" w:themeColor="text1"/>
          <w:sz w:val="24"/>
          <w:szCs w:val="24"/>
        </w:rPr>
        <w:t xml:space="preserve"> </w:t>
      </w:r>
      <w:r w:rsidR="00143F46" w:rsidRPr="00B90668">
        <w:rPr>
          <w:rFonts w:ascii="Times New Roman" w:hAnsi="Times New Roman" w:cs="Times New Roman"/>
          <w:color w:val="000000" w:themeColor="text1"/>
          <w:sz w:val="24"/>
          <w:szCs w:val="24"/>
        </w:rPr>
        <w:t>the ESETT protocol fixed the infusion time as 10 minutes</w:t>
      </w:r>
      <w:r w:rsidR="00EE43DE" w:rsidRPr="00B90668">
        <w:rPr>
          <w:rFonts w:ascii="Times New Roman" w:hAnsi="Times New Roman" w:cs="Times New Roman"/>
          <w:color w:val="000000" w:themeColor="text1"/>
          <w:sz w:val="24"/>
          <w:szCs w:val="24"/>
        </w:rPr>
        <w:t>,</w:t>
      </w:r>
      <w:r w:rsidR="00143F46" w:rsidRPr="00B90668">
        <w:rPr>
          <w:rFonts w:ascii="Times New Roman" w:hAnsi="Times New Roman" w:cs="Times New Roman"/>
          <w:color w:val="000000" w:themeColor="text1"/>
          <w:sz w:val="24"/>
          <w:szCs w:val="24"/>
        </w:rPr>
        <w:t xml:space="preserve"> dosing was capped at 1500 mg PE.</w:t>
      </w:r>
      <w:r w:rsidR="009D259E" w:rsidRPr="00B90668">
        <w:rPr>
          <w:rFonts w:ascii="Times New Roman" w:hAnsi="Times New Roman" w:cs="Times New Roman"/>
          <w:color w:val="000000" w:themeColor="text1"/>
          <w:sz w:val="24"/>
          <w:szCs w:val="24"/>
        </w:rPr>
        <w:t xml:space="preserve"> </w:t>
      </w:r>
      <w:r w:rsidR="00143D17" w:rsidRPr="00B90668">
        <w:rPr>
          <w:rFonts w:ascii="Times New Roman" w:hAnsi="Times New Roman" w:cs="Times New Roman"/>
          <w:color w:val="000000" w:themeColor="text1"/>
          <w:sz w:val="24"/>
          <w:szCs w:val="24"/>
        </w:rPr>
        <w:t>As a result,</w:t>
      </w:r>
      <w:r w:rsidR="009D259E" w:rsidRPr="00B90668">
        <w:rPr>
          <w:rFonts w:ascii="Times New Roman" w:hAnsi="Times New Roman" w:cs="Times New Roman"/>
          <w:color w:val="000000" w:themeColor="text1"/>
          <w:sz w:val="24"/>
          <w:szCs w:val="24"/>
        </w:rPr>
        <w:t xml:space="preserve"> </w:t>
      </w:r>
      <w:r w:rsidR="00143F46" w:rsidRPr="00B90668">
        <w:rPr>
          <w:rFonts w:ascii="Times New Roman" w:hAnsi="Times New Roman" w:cs="Times New Roman"/>
          <w:color w:val="000000" w:themeColor="text1"/>
          <w:sz w:val="24"/>
          <w:szCs w:val="24"/>
        </w:rPr>
        <w:t xml:space="preserve">all patients weighing ≥ 75 kg </w:t>
      </w:r>
      <w:r w:rsidR="00143D17" w:rsidRPr="00B90668">
        <w:rPr>
          <w:rFonts w:ascii="Times New Roman" w:hAnsi="Times New Roman" w:cs="Times New Roman"/>
          <w:color w:val="000000" w:themeColor="text1"/>
          <w:sz w:val="24"/>
          <w:szCs w:val="24"/>
        </w:rPr>
        <w:t>received the same</w:t>
      </w:r>
      <w:r w:rsidR="007F5C0F" w:rsidRPr="00B90668">
        <w:rPr>
          <w:rFonts w:ascii="Times New Roman" w:hAnsi="Times New Roman" w:cs="Times New Roman"/>
          <w:color w:val="000000" w:themeColor="text1"/>
          <w:sz w:val="24"/>
          <w:szCs w:val="24"/>
        </w:rPr>
        <w:t xml:space="preserve"> capped</w:t>
      </w:r>
      <w:r w:rsidR="00143D17" w:rsidRPr="00B90668">
        <w:rPr>
          <w:rFonts w:ascii="Times New Roman" w:hAnsi="Times New Roman" w:cs="Times New Roman"/>
          <w:color w:val="000000" w:themeColor="text1"/>
          <w:sz w:val="24"/>
          <w:szCs w:val="24"/>
        </w:rPr>
        <w:t xml:space="preserve"> dose</w:t>
      </w:r>
      <w:r w:rsidR="00143F46" w:rsidRPr="00B90668">
        <w:rPr>
          <w:rFonts w:ascii="Times New Roman" w:hAnsi="Times New Roman" w:cs="Times New Roman"/>
          <w:color w:val="000000" w:themeColor="text1"/>
          <w:sz w:val="24"/>
          <w:szCs w:val="24"/>
        </w:rPr>
        <w:t xml:space="preserve"> of FOS</w:t>
      </w:r>
      <w:r w:rsidR="00143D17" w:rsidRPr="00B90668">
        <w:rPr>
          <w:rFonts w:ascii="Times New Roman" w:hAnsi="Times New Roman" w:cs="Times New Roman"/>
          <w:color w:val="000000" w:themeColor="text1"/>
          <w:sz w:val="24"/>
          <w:szCs w:val="24"/>
        </w:rPr>
        <w:t xml:space="preserve"> (</w:t>
      </w:r>
      <w:r w:rsidR="007A35FB">
        <w:rPr>
          <w:rFonts w:ascii="Times New Roman" w:hAnsi="Times New Roman" w:cs="Times New Roman"/>
          <w:color w:val="000000" w:themeColor="text1"/>
          <w:sz w:val="24"/>
          <w:szCs w:val="24"/>
        </w:rPr>
        <w:t xml:space="preserve">20 mg/kg, maximum </w:t>
      </w:r>
      <w:r w:rsidR="00143D17" w:rsidRPr="00B90668">
        <w:rPr>
          <w:rFonts w:ascii="Times New Roman" w:hAnsi="Times New Roman" w:cs="Times New Roman"/>
          <w:color w:val="000000" w:themeColor="text1"/>
          <w:sz w:val="24"/>
          <w:szCs w:val="24"/>
        </w:rPr>
        <w:t xml:space="preserve">1500 mg PE). </w:t>
      </w:r>
      <w:r w:rsidRPr="00B90668">
        <w:rPr>
          <w:rFonts w:ascii="Times New Roman" w:hAnsi="Times New Roman" w:cs="Times New Roman"/>
          <w:color w:val="000000" w:themeColor="text1"/>
          <w:sz w:val="24"/>
          <w:szCs w:val="24"/>
        </w:rPr>
        <w:t>Similarly</w:t>
      </w:r>
      <w:r w:rsidR="00143D17" w:rsidRPr="00B90668">
        <w:rPr>
          <w:rFonts w:ascii="Times New Roman" w:hAnsi="Times New Roman" w:cs="Times New Roman"/>
          <w:color w:val="000000" w:themeColor="text1"/>
          <w:sz w:val="24"/>
          <w:szCs w:val="24"/>
        </w:rPr>
        <w:t xml:space="preserve">, </w:t>
      </w:r>
      <w:r w:rsidR="00941B82" w:rsidRPr="00B90668">
        <w:rPr>
          <w:rFonts w:ascii="Times New Roman" w:hAnsi="Times New Roman" w:cs="Times New Roman"/>
          <w:color w:val="000000" w:themeColor="text1"/>
          <w:sz w:val="24"/>
          <w:szCs w:val="24"/>
        </w:rPr>
        <w:t>weight-based dosing</w:t>
      </w:r>
      <w:r w:rsidR="003653FF" w:rsidRPr="00B90668">
        <w:rPr>
          <w:rFonts w:ascii="Times New Roman" w:hAnsi="Times New Roman" w:cs="Times New Roman"/>
          <w:color w:val="000000" w:themeColor="text1"/>
          <w:sz w:val="24"/>
          <w:szCs w:val="24"/>
        </w:rPr>
        <w:t xml:space="preserve"> </w:t>
      </w:r>
      <w:r w:rsidR="00143F46" w:rsidRPr="00B90668">
        <w:rPr>
          <w:rFonts w:ascii="Times New Roman" w:hAnsi="Times New Roman" w:cs="Times New Roman"/>
          <w:color w:val="000000" w:themeColor="text1"/>
          <w:sz w:val="24"/>
          <w:szCs w:val="24"/>
        </w:rPr>
        <w:t>was also capped at</w:t>
      </w:r>
      <w:r w:rsidR="003653FF" w:rsidRPr="00B90668">
        <w:rPr>
          <w:rFonts w:ascii="Times New Roman" w:hAnsi="Times New Roman" w:cs="Times New Roman"/>
          <w:color w:val="000000" w:themeColor="text1"/>
          <w:sz w:val="24"/>
          <w:szCs w:val="24"/>
        </w:rPr>
        <w:t xml:space="preserve"> 75 kg</w:t>
      </w:r>
      <w:r w:rsidR="00941B82" w:rsidRPr="00B90668">
        <w:rPr>
          <w:rFonts w:ascii="Times New Roman" w:hAnsi="Times New Roman" w:cs="Times New Roman"/>
          <w:color w:val="000000" w:themeColor="text1"/>
          <w:sz w:val="24"/>
          <w:szCs w:val="24"/>
        </w:rPr>
        <w:t xml:space="preserve"> for </w:t>
      </w:r>
      <w:r w:rsidR="00143D17" w:rsidRPr="00B90668">
        <w:rPr>
          <w:rFonts w:ascii="Times New Roman" w:hAnsi="Times New Roman" w:cs="Times New Roman"/>
          <w:color w:val="000000" w:themeColor="text1"/>
          <w:sz w:val="24"/>
          <w:szCs w:val="24"/>
        </w:rPr>
        <w:t>LEV</w:t>
      </w:r>
      <w:r w:rsidR="007A35FB">
        <w:rPr>
          <w:rFonts w:ascii="Times New Roman" w:hAnsi="Times New Roman" w:cs="Times New Roman"/>
          <w:color w:val="000000" w:themeColor="text1"/>
          <w:sz w:val="24"/>
          <w:szCs w:val="24"/>
        </w:rPr>
        <w:t xml:space="preserve"> (60 mg/kg, maximum 4500 mg)</w:t>
      </w:r>
      <w:r w:rsidR="00143D17" w:rsidRPr="00B90668">
        <w:rPr>
          <w:rFonts w:ascii="Times New Roman" w:hAnsi="Times New Roman" w:cs="Times New Roman"/>
          <w:color w:val="000000" w:themeColor="text1"/>
          <w:sz w:val="24"/>
          <w:szCs w:val="24"/>
        </w:rPr>
        <w:t xml:space="preserve"> and VPA</w:t>
      </w:r>
      <w:r w:rsidR="007A35FB">
        <w:rPr>
          <w:rFonts w:ascii="Times New Roman" w:hAnsi="Times New Roman" w:cs="Times New Roman"/>
          <w:color w:val="000000" w:themeColor="text1"/>
          <w:sz w:val="24"/>
          <w:szCs w:val="24"/>
        </w:rPr>
        <w:t xml:space="preserve"> (40 mg/kg, maximum 3000 mg)</w:t>
      </w:r>
      <w:r w:rsidR="00941B82" w:rsidRPr="00B90668">
        <w:rPr>
          <w:rFonts w:ascii="Times New Roman" w:hAnsi="Times New Roman" w:cs="Times New Roman"/>
          <w:color w:val="000000" w:themeColor="text1"/>
          <w:sz w:val="24"/>
          <w:szCs w:val="24"/>
        </w:rPr>
        <w:t>.</w:t>
      </w:r>
    </w:p>
    <w:p w14:paraId="35C310FD" w14:textId="77777777" w:rsidR="00941B82" w:rsidRPr="00B90668" w:rsidRDefault="00941B82" w:rsidP="003A31C5">
      <w:pPr>
        <w:spacing w:after="0" w:line="480" w:lineRule="auto"/>
        <w:jc w:val="both"/>
        <w:rPr>
          <w:rFonts w:ascii="Times New Roman" w:hAnsi="Times New Roman" w:cs="Times New Roman"/>
          <w:color w:val="000000" w:themeColor="text1"/>
          <w:sz w:val="24"/>
          <w:szCs w:val="24"/>
        </w:rPr>
      </w:pPr>
    </w:p>
    <w:p w14:paraId="176F82E5" w14:textId="18372974" w:rsidR="00CE798C" w:rsidRPr="00B90668" w:rsidRDefault="00672E12"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P</w:t>
      </w:r>
      <w:r w:rsidR="00842A74" w:rsidRPr="00B90668">
        <w:rPr>
          <w:rFonts w:ascii="Times New Roman" w:hAnsi="Times New Roman" w:cs="Times New Roman"/>
          <w:color w:val="000000" w:themeColor="text1"/>
          <w:sz w:val="24"/>
          <w:szCs w:val="24"/>
        </w:rPr>
        <w:t xml:space="preserve">atients </w:t>
      </w:r>
      <w:r w:rsidR="00895354" w:rsidRPr="00B90668">
        <w:rPr>
          <w:rFonts w:ascii="Times New Roman" w:hAnsi="Times New Roman" w:cs="Times New Roman"/>
          <w:color w:val="000000" w:themeColor="text1"/>
          <w:sz w:val="24"/>
          <w:szCs w:val="24"/>
        </w:rPr>
        <w:t xml:space="preserve">weighing </w:t>
      </w:r>
      <w:r w:rsidRPr="00B90668">
        <w:rPr>
          <w:rFonts w:ascii="Times New Roman" w:hAnsi="Times New Roman" w:cs="Times New Roman"/>
          <w:color w:val="000000" w:themeColor="text1"/>
          <w:sz w:val="24"/>
          <w:szCs w:val="24"/>
        </w:rPr>
        <w:t>more than</w:t>
      </w:r>
      <w:r w:rsidR="00842A74" w:rsidRPr="00B90668">
        <w:rPr>
          <w:rFonts w:ascii="Times New Roman" w:hAnsi="Times New Roman" w:cs="Times New Roman"/>
          <w:color w:val="000000" w:themeColor="text1"/>
          <w:sz w:val="24"/>
          <w:szCs w:val="24"/>
        </w:rPr>
        <w:t xml:space="preserve"> </w:t>
      </w:r>
      <w:r w:rsidR="00895354" w:rsidRPr="00B90668">
        <w:rPr>
          <w:rFonts w:ascii="Times New Roman" w:hAnsi="Times New Roman" w:cs="Times New Roman"/>
          <w:color w:val="000000" w:themeColor="text1"/>
          <w:sz w:val="24"/>
          <w:szCs w:val="24"/>
        </w:rPr>
        <w:t>75 kg</w:t>
      </w:r>
      <w:r w:rsidR="00BF39D7" w:rsidRPr="00B90668">
        <w:rPr>
          <w:rFonts w:ascii="Times New Roman" w:hAnsi="Times New Roman" w:cs="Times New Roman"/>
          <w:color w:val="000000" w:themeColor="text1"/>
          <w:sz w:val="24"/>
          <w:szCs w:val="24"/>
        </w:rPr>
        <w:t xml:space="preserve"> received a lower mg/kg dose</w:t>
      </w:r>
      <w:r w:rsidR="0052687C" w:rsidRPr="00B90668">
        <w:rPr>
          <w:rFonts w:ascii="Times New Roman" w:hAnsi="Times New Roman" w:cs="Times New Roman"/>
          <w:color w:val="000000" w:themeColor="text1"/>
          <w:sz w:val="24"/>
          <w:szCs w:val="24"/>
        </w:rPr>
        <w:t>,</w:t>
      </w:r>
      <w:r w:rsidRPr="00B90668">
        <w:rPr>
          <w:rFonts w:ascii="Times New Roman" w:hAnsi="Times New Roman" w:cs="Times New Roman"/>
          <w:color w:val="000000" w:themeColor="text1"/>
          <w:sz w:val="24"/>
          <w:szCs w:val="24"/>
        </w:rPr>
        <w:t xml:space="preserve"> thus,</w:t>
      </w:r>
      <w:r w:rsidR="0052687C" w:rsidRPr="00B90668">
        <w:rPr>
          <w:rFonts w:ascii="Times New Roman" w:hAnsi="Times New Roman" w:cs="Times New Roman"/>
          <w:color w:val="000000" w:themeColor="text1"/>
          <w:sz w:val="24"/>
          <w:szCs w:val="24"/>
        </w:rPr>
        <w:t xml:space="preserve"> </w:t>
      </w:r>
      <w:r w:rsidR="00C80B07" w:rsidRPr="00B90668">
        <w:rPr>
          <w:rFonts w:ascii="Times New Roman" w:hAnsi="Times New Roman" w:cs="Times New Roman"/>
          <w:color w:val="000000" w:themeColor="text1"/>
          <w:sz w:val="24"/>
          <w:szCs w:val="24"/>
        </w:rPr>
        <w:t>lower drug exposure</w:t>
      </w:r>
      <w:r w:rsidR="00BF39D7" w:rsidRPr="00B90668">
        <w:rPr>
          <w:rFonts w:ascii="Times New Roman" w:hAnsi="Times New Roman" w:cs="Times New Roman"/>
          <w:color w:val="000000" w:themeColor="text1"/>
          <w:sz w:val="24"/>
          <w:szCs w:val="24"/>
        </w:rPr>
        <w:t xml:space="preserve"> </w:t>
      </w:r>
      <w:r w:rsidR="0052687C" w:rsidRPr="00B90668">
        <w:rPr>
          <w:rFonts w:ascii="Times New Roman" w:hAnsi="Times New Roman" w:cs="Times New Roman"/>
          <w:color w:val="000000" w:themeColor="text1"/>
          <w:sz w:val="24"/>
          <w:szCs w:val="24"/>
        </w:rPr>
        <w:t>would be expected given the pharmacokinetic properties of these drugs</w:t>
      </w:r>
      <w:r w:rsidR="00BF39D7" w:rsidRPr="00B90668">
        <w:rPr>
          <w:rFonts w:ascii="Times New Roman" w:hAnsi="Times New Roman" w:cs="Times New Roman"/>
          <w:color w:val="000000" w:themeColor="text1"/>
          <w:sz w:val="24"/>
          <w:szCs w:val="24"/>
        </w:rPr>
        <w:t>.</w:t>
      </w:r>
      <w:r w:rsidR="00FA1A45" w:rsidRPr="00B90668">
        <w:rPr>
          <w:rFonts w:ascii="Times New Roman" w:hAnsi="Times New Roman" w:cs="Times New Roman"/>
          <w:color w:val="000000" w:themeColor="text1"/>
          <w:sz w:val="24"/>
          <w:szCs w:val="24"/>
        </w:rPr>
        <w:t xml:space="preserve"> </w:t>
      </w:r>
      <w:r w:rsidR="00842A74" w:rsidRPr="00B90668">
        <w:rPr>
          <w:rFonts w:ascii="Times New Roman" w:hAnsi="Times New Roman" w:cs="Times New Roman"/>
          <w:color w:val="000000" w:themeColor="text1"/>
          <w:sz w:val="24"/>
          <w:szCs w:val="24"/>
        </w:rPr>
        <w:t>Therefore, we performed a</w:t>
      </w:r>
      <w:r w:rsidR="00FA1A45" w:rsidRPr="00B90668">
        <w:rPr>
          <w:rFonts w:ascii="Times New Roman" w:hAnsi="Times New Roman" w:cs="Times New Roman"/>
          <w:color w:val="000000" w:themeColor="text1"/>
          <w:sz w:val="24"/>
          <w:szCs w:val="24"/>
        </w:rPr>
        <w:t xml:space="preserve"> </w:t>
      </w:r>
      <w:r w:rsidR="00FA1A45" w:rsidRPr="00B90668">
        <w:rPr>
          <w:rFonts w:ascii="Times New Roman" w:hAnsi="Times New Roman" w:cs="Times New Roman"/>
          <w:color w:val="000000" w:themeColor="text1"/>
          <w:sz w:val="24"/>
          <w:szCs w:val="24"/>
        </w:rPr>
        <w:lastRenderedPageBreak/>
        <w:t>secondary analysi</w:t>
      </w:r>
      <w:r w:rsidRPr="00B90668">
        <w:rPr>
          <w:rFonts w:ascii="Times New Roman" w:hAnsi="Times New Roman" w:cs="Times New Roman"/>
          <w:color w:val="000000" w:themeColor="text1"/>
          <w:sz w:val="24"/>
          <w:szCs w:val="24"/>
        </w:rPr>
        <w:t xml:space="preserve">s </w:t>
      </w:r>
      <w:r w:rsidR="00FA1A45" w:rsidRPr="00B90668">
        <w:rPr>
          <w:rFonts w:ascii="Times New Roman" w:hAnsi="Times New Roman" w:cs="Times New Roman"/>
          <w:color w:val="000000" w:themeColor="text1"/>
          <w:sz w:val="24"/>
          <w:szCs w:val="24"/>
        </w:rPr>
        <w:t xml:space="preserve">to assess whether </w:t>
      </w:r>
      <w:r w:rsidR="00CE798C" w:rsidRPr="00B90668">
        <w:rPr>
          <w:rFonts w:ascii="Times New Roman" w:hAnsi="Times New Roman" w:cs="Times New Roman"/>
          <w:color w:val="000000" w:themeColor="text1"/>
          <w:sz w:val="24"/>
          <w:szCs w:val="24"/>
        </w:rPr>
        <w:t>the odds of treatment</w:t>
      </w:r>
      <w:r w:rsidR="00FA1A45" w:rsidRPr="00B90668">
        <w:rPr>
          <w:rFonts w:ascii="Times New Roman" w:hAnsi="Times New Roman" w:cs="Times New Roman"/>
          <w:color w:val="000000" w:themeColor="text1"/>
          <w:sz w:val="24"/>
          <w:szCs w:val="24"/>
        </w:rPr>
        <w:t xml:space="preserve"> success</w:t>
      </w:r>
      <w:r w:rsidR="00CE798C" w:rsidRPr="00B90668">
        <w:rPr>
          <w:rFonts w:ascii="Times New Roman" w:hAnsi="Times New Roman" w:cs="Times New Roman"/>
          <w:color w:val="000000" w:themeColor="text1"/>
          <w:sz w:val="24"/>
          <w:szCs w:val="24"/>
        </w:rPr>
        <w:t xml:space="preserve"> were </w:t>
      </w:r>
      <w:r w:rsidR="00FA1A45" w:rsidRPr="00B90668">
        <w:rPr>
          <w:rFonts w:ascii="Times New Roman" w:hAnsi="Times New Roman" w:cs="Times New Roman"/>
          <w:color w:val="000000" w:themeColor="text1"/>
          <w:sz w:val="24"/>
          <w:szCs w:val="24"/>
        </w:rPr>
        <w:t>lower</w:t>
      </w:r>
      <w:r w:rsidR="00CE798C" w:rsidRPr="00B90668">
        <w:rPr>
          <w:rFonts w:ascii="Times New Roman" w:hAnsi="Times New Roman" w:cs="Times New Roman"/>
          <w:color w:val="000000" w:themeColor="text1"/>
          <w:sz w:val="24"/>
          <w:szCs w:val="24"/>
        </w:rPr>
        <w:t xml:space="preserve"> in </w:t>
      </w:r>
      <w:r w:rsidR="00237903" w:rsidRPr="00B90668">
        <w:rPr>
          <w:rFonts w:ascii="Times New Roman" w:hAnsi="Times New Roman" w:cs="Times New Roman"/>
          <w:color w:val="000000" w:themeColor="text1"/>
          <w:sz w:val="24"/>
          <w:szCs w:val="24"/>
        </w:rPr>
        <w:t>patients</w:t>
      </w:r>
      <w:r w:rsidR="00CE798C" w:rsidRPr="00B90668">
        <w:rPr>
          <w:rFonts w:ascii="Times New Roman" w:hAnsi="Times New Roman" w:cs="Times New Roman"/>
          <w:color w:val="000000" w:themeColor="text1"/>
          <w:sz w:val="24"/>
          <w:szCs w:val="24"/>
        </w:rPr>
        <w:t xml:space="preserve"> weighing </w:t>
      </w:r>
      <w:r w:rsidR="00FA1A45" w:rsidRPr="00B90668">
        <w:rPr>
          <w:rFonts w:ascii="Times New Roman" w:hAnsi="Times New Roman" w:cs="Times New Roman"/>
          <w:color w:val="000000" w:themeColor="text1"/>
          <w:sz w:val="24"/>
          <w:szCs w:val="24"/>
        </w:rPr>
        <w:t xml:space="preserve">more than </w:t>
      </w:r>
      <w:r w:rsidR="00CE798C" w:rsidRPr="00B90668">
        <w:rPr>
          <w:rFonts w:ascii="Times New Roman" w:hAnsi="Times New Roman" w:cs="Times New Roman"/>
          <w:color w:val="000000" w:themeColor="text1"/>
          <w:sz w:val="24"/>
          <w:szCs w:val="24"/>
        </w:rPr>
        <w:t xml:space="preserve">75 kg as </w:t>
      </w:r>
      <w:r w:rsidR="003653FF" w:rsidRPr="00B90668">
        <w:rPr>
          <w:rFonts w:ascii="Times New Roman" w:hAnsi="Times New Roman" w:cs="Times New Roman"/>
          <w:color w:val="000000" w:themeColor="text1"/>
          <w:sz w:val="24"/>
          <w:szCs w:val="24"/>
        </w:rPr>
        <w:t>compared to thos</w:t>
      </w:r>
      <w:r w:rsidR="00FA1A45" w:rsidRPr="00B90668">
        <w:rPr>
          <w:rFonts w:ascii="Times New Roman" w:hAnsi="Times New Roman" w:cs="Times New Roman"/>
          <w:color w:val="000000" w:themeColor="text1"/>
          <w:sz w:val="24"/>
          <w:szCs w:val="24"/>
        </w:rPr>
        <w:t>e up</w:t>
      </w:r>
      <w:r w:rsidR="003A19F8" w:rsidRPr="00B90668">
        <w:rPr>
          <w:rFonts w:ascii="Times New Roman" w:hAnsi="Times New Roman" w:cs="Times New Roman"/>
          <w:color w:val="000000" w:themeColor="text1"/>
          <w:sz w:val="24"/>
          <w:szCs w:val="24"/>
        </w:rPr>
        <w:t xml:space="preserve"> </w:t>
      </w:r>
      <w:r w:rsidR="00FA1A45" w:rsidRPr="00B90668">
        <w:rPr>
          <w:rFonts w:ascii="Times New Roman" w:hAnsi="Times New Roman" w:cs="Times New Roman"/>
          <w:color w:val="000000" w:themeColor="text1"/>
          <w:sz w:val="24"/>
          <w:szCs w:val="24"/>
        </w:rPr>
        <w:t>to</w:t>
      </w:r>
      <w:r w:rsidR="003653FF" w:rsidRPr="00B90668">
        <w:rPr>
          <w:rFonts w:ascii="Times New Roman" w:hAnsi="Times New Roman" w:cs="Times New Roman"/>
          <w:color w:val="000000" w:themeColor="text1"/>
          <w:sz w:val="24"/>
          <w:szCs w:val="24"/>
        </w:rPr>
        <w:t xml:space="preserve"> 75 kg</w:t>
      </w:r>
      <w:r w:rsidR="00CE798C" w:rsidRPr="00B90668">
        <w:rPr>
          <w:rFonts w:ascii="Times New Roman" w:hAnsi="Times New Roman" w:cs="Times New Roman"/>
          <w:color w:val="000000" w:themeColor="text1"/>
          <w:sz w:val="24"/>
          <w:szCs w:val="24"/>
        </w:rPr>
        <w:t>.</w:t>
      </w:r>
      <w:r w:rsidR="009B2310" w:rsidRPr="00B90668">
        <w:rPr>
          <w:rFonts w:ascii="Times New Roman" w:hAnsi="Times New Roman" w:cs="Times New Roman"/>
          <w:color w:val="000000" w:themeColor="text1"/>
          <w:sz w:val="24"/>
          <w:szCs w:val="24"/>
        </w:rPr>
        <w:t xml:space="preserve"> Since </w:t>
      </w:r>
      <w:r w:rsidR="00A63B05" w:rsidRPr="00B90668">
        <w:rPr>
          <w:rFonts w:ascii="Times New Roman" w:hAnsi="Times New Roman" w:cs="Times New Roman"/>
          <w:color w:val="000000" w:themeColor="text1"/>
          <w:sz w:val="24"/>
          <w:szCs w:val="24"/>
        </w:rPr>
        <w:t>a</w:t>
      </w:r>
      <w:r w:rsidR="009B2310" w:rsidRPr="00B90668">
        <w:rPr>
          <w:rFonts w:ascii="Times New Roman" w:hAnsi="Times New Roman" w:cs="Times New Roman"/>
          <w:color w:val="000000" w:themeColor="text1"/>
          <w:sz w:val="24"/>
          <w:szCs w:val="24"/>
        </w:rPr>
        <w:t xml:space="preserve"> primary outcome failure could be a result of </w:t>
      </w:r>
      <w:r w:rsidR="00002AB8" w:rsidRPr="00B90668">
        <w:rPr>
          <w:rFonts w:ascii="Times New Roman" w:hAnsi="Times New Roman" w:cs="Times New Roman"/>
          <w:color w:val="000000" w:themeColor="text1"/>
          <w:sz w:val="24"/>
          <w:szCs w:val="24"/>
        </w:rPr>
        <w:t>one</w:t>
      </w:r>
      <w:r w:rsidR="009B2310" w:rsidRPr="00B90668">
        <w:rPr>
          <w:rFonts w:ascii="Times New Roman" w:hAnsi="Times New Roman" w:cs="Times New Roman"/>
          <w:color w:val="000000" w:themeColor="text1"/>
          <w:sz w:val="24"/>
          <w:szCs w:val="24"/>
        </w:rPr>
        <w:t xml:space="preserve"> or more of t</w:t>
      </w:r>
      <w:r w:rsidR="00A63B05" w:rsidRPr="00B90668">
        <w:rPr>
          <w:rFonts w:ascii="Times New Roman" w:hAnsi="Times New Roman" w:cs="Times New Roman"/>
          <w:color w:val="000000" w:themeColor="text1"/>
          <w:sz w:val="24"/>
          <w:szCs w:val="24"/>
        </w:rPr>
        <w:t>he following:</w:t>
      </w:r>
      <w:r w:rsidR="009B2310" w:rsidRPr="00B90668">
        <w:rPr>
          <w:rFonts w:ascii="Times New Roman" w:hAnsi="Times New Roman" w:cs="Times New Roman"/>
          <w:color w:val="000000" w:themeColor="text1"/>
          <w:sz w:val="24"/>
          <w:szCs w:val="24"/>
        </w:rPr>
        <w:t xml:space="preserve"> </w:t>
      </w:r>
      <w:r w:rsidR="00A63B05" w:rsidRPr="00B90668">
        <w:rPr>
          <w:rFonts w:ascii="Times New Roman" w:hAnsi="Times New Roman" w:cs="Times New Roman"/>
          <w:color w:val="000000" w:themeColor="text1"/>
          <w:sz w:val="24"/>
          <w:szCs w:val="24"/>
        </w:rPr>
        <w:t xml:space="preserve">(1) </w:t>
      </w:r>
      <w:r w:rsidR="009B2310" w:rsidRPr="00B90668">
        <w:rPr>
          <w:rFonts w:ascii="Times New Roman" w:hAnsi="Times New Roman" w:cs="Times New Roman"/>
          <w:color w:val="000000" w:themeColor="text1"/>
          <w:sz w:val="24"/>
          <w:szCs w:val="24"/>
        </w:rPr>
        <w:t>need for</w:t>
      </w:r>
      <w:r w:rsidR="00934537" w:rsidRPr="00B90668">
        <w:rPr>
          <w:rFonts w:ascii="Times New Roman" w:hAnsi="Times New Roman" w:cs="Times New Roman"/>
          <w:color w:val="000000" w:themeColor="text1"/>
          <w:sz w:val="24"/>
          <w:szCs w:val="24"/>
        </w:rPr>
        <w:t xml:space="preserve"> an</w:t>
      </w:r>
      <w:r w:rsidR="009B2310" w:rsidRPr="00B90668">
        <w:rPr>
          <w:rFonts w:ascii="Times New Roman" w:hAnsi="Times New Roman" w:cs="Times New Roman"/>
          <w:color w:val="000000" w:themeColor="text1"/>
          <w:sz w:val="24"/>
          <w:szCs w:val="24"/>
        </w:rPr>
        <w:t xml:space="preserve"> additional</w:t>
      </w:r>
      <w:r w:rsidR="00934537" w:rsidRPr="00B90668">
        <w:rPr>
          <w:rFonts w:ascii="Times New Roman" w:hAnsi="Times New Roman" w:cs="Times New Roman"/>
          <w:color w:val="000000" w:themeColor="text1"/>
          <w:sz w:val="24"/>
          <w:szCs w:val="24"/>
        </w:rPr>
        <w:t xml:space="preserve"> anti-seizure</w:t>
      </w:r>
      <w:r w:rsidR="009B2310" w:rsidRPr="00B90668">
        <w:rPr>
          <w:rFonts w:ascii="Times New Roman" w:hAnsi="Times New Roman" w:cs="Times New Roman"/>
          <w:color w:val="000000" w:themeColor="text1"/>
          <w:sz w:val="24"/>
          <w:szCs w:val="24"/>
        </w:rPr>
        <w:t xml:space="preserve"> medication</w:t>
      </w:r>
      <w:r w:rsidR="003A19F8" w:rsidRPr="00B90668">
        <w:rPr>
          <w:rFonts w:ascii="Times New Roman" w:hAnsi="Times New Roman" w:cs="Times New Roman"/>
          <w:color w:val="000000" w:themeColor="text1"/>
          <w:sz w:val="24"/>
          <w:szCs w:val="24"/>
        </w:rPr>
        <w:t xml:space="preserve"> before 60 minutes</w:t>
      </w:r>
      <w:r w:rsidR="009B2310" w:rsidRPr="00B90668">
        <w:rPr>
          <w:rFonts w:ascii="Times New Roman" w:hAnsi="Times New Roman" w:cs="Times New Roman"/>
          <w:color w:val="000000" w:themeColor="text1"/>
          <w:sz w:val="24"/>
          <w:szCs w:val="24"/>
        </w:rPr>
        <w:t>,</w:t>
      </w:r>
      <w:r w:rsidR="00A63B05" w:rsidRPr="00B90668">
        <w:rPr>
          <w:rFonts w:ascii="Times New Roman" w:hAnsi="Times New Roman" w:cs="Times New Roman"/>
          <w:color w:val="000000" w:themeColor="text1"/>
          <w:sz w:val="24"/>
          <w:szCs w:val="24"/>
        </w:rPr>
        <w:t xml:space="preserve"> (2)</w:t>
      </w:r>
      <w:r w:rsidR="009B2310" w:rsidRPr="00B90668">
        <w:rPr>
          <w:rFonts w:ascii="Times New Roman" w:hAnsi="Times New Roman" w:cs="Times New Roman"/>
          <w:color w:val="000000" w:themeColor="text1"/>
          <w:sz w:val="24"/>
          <w:szCs w:val="24"/>
        </w:rPr>
        <w:t xml:space="preserve"> </w:t>
      </w:r>
      <w:r w:rsidR="00581E18" w:rsidRPr="00B90668">
        <w:rPr>
          <w:rFonts w:ascii="Times New Roman" w:hAnsi="Times New Roman" w:cs="Times New Roman"/>
          <w:color w:val="000000" w:themeColor="text1"/>
          <w:sz w:val="24"/>
          <w:szCs w:val="24"/>
        </w:rPr>
        <w:t xml:space="preserve">clinically apparent </w:t>
      </w:r>
      <w:r w:rsidR="009B2310" w:rsidRPr="00B90668">
        <w:rPr>
          <w:rFonts w:ascii="Times New Roman" w:hAnsi="Times New Roman" w:cs="Times New Roman"/>
          <w:color w:val="000000" w:themeColor="text1"/>
          <w:sz w:val="24"/>
          <w:szCs w:val="24"/>
        </w:rPr>
        <w:t>seizure</w:t>
      </w:r>
      <w:r w:rsidR="00581E18" w:rsidRPr="00B90668">
        <w:rPr>
          <w:rFonts w:ascii="Times New Roman" w:hAnsi="Times New Roman" w:cs="Times New Roman"/>
          <w:color w:val="000000" w:themeColor="text1"/>
          <w:sz w:val="24"/>
          <w:szCs w:val="24"/>
        </w:rPr>
        <w:t>s</w:t>
      </w:r>
      <w:r w:rsidR="009B2310" w:rsidRPr="00B90668">
        <w:rPr>
          <w:rFonts w:ascii="Times New Roman" w:hAnsi="Times New Roman" w:cs="Times New Roman"/>
          <w:color w:val="000000" w:themeColor="text1"/>
          <w:sz w:val="24"/>
          <w:szCs w:val="24"/>
        </w:rPr>
        <w:t xml:space="preserve"> at 60 minutes or </w:t>
      </w:r>
      <w:r w:rsidR="00A63B05" w:rsidRPr="00B90668">
        <w:rPr>
          <w:rFonts w:ascii="Times New Roman" w:hAnsi="Times New Roman" w:cs="Times New Roman"/>
          <w:color w:val="000000" w:themeColor="text1"/>
          <w:sz w:val="24"/>
          <w:szCs w:val="24"/>
        </w:rPr>
        <w:t xml:space="preserve">(3) </w:t>
      </w:r>
      <w:r w:rsidR="009B2310" w:rsidRPr="00B90668">
        <w:rPr>
          <w:rFonts w:ascii="Times New Roman" w:hAnsi="Times New Roman" w:cs="Times New Roman"/>
          <w:color w:val="000000" w:themeColor="text1"/>
          <w:sz w:val="24"/>
          <w:szCs w:val="24"/>
        </w:rPr>
        <w:t>lack of improvement in consciousness and response at 60 minutes</w:t>
      </w:r>
      <w:r w:rsidR="00A63B05" w:rsidRPr="00B90668">
        <w:rPr>
          <w:rFonts w:ascii="Times New Roman" w:hAnsi="Times New Roman" w:cs="Times New Roman"/>
          <w:color w:val="000000" w:themeColor="text1"/>
          <w:sz w:val="24"/>
          <w:szCs w:val="24"/>
        </w:rPr>
        <w:t>,</w:t>
      </w:r>
      <w:r w:rsidR="009B2310" w:rsidRPr="00B90668">
        <w:rPr>
          <w:rFonts w:ascii="Times New Roman" w:hAnsi="Times New Roman" w:cs="Times New Roman"/>
          <w:color w:val="000000" w:themeColor="text1"/>
          <w:sz w:val="24"/>
          <w:szCs w:val="24"/>
        </w:rPr>
        <w:t xml:space="preserve"> we </w:t>
      </w:r>
      <w:r w:rsidR="00A63B05" w:rsidRPr="00B90668">
        <w:rPr>
          <w:rFonts w:ascii="Times New Roman" w:hAnsi="Times New Roman" w:cs="Times New Roman"/>
          <w:color w:val="000000" w:themeColor="text1"/>
          <w:sz w:val="24"/>
          <w:szCs w:val="24"/>
        </w:rPr>
        <w:t>also</w:t>
      </w:r>
      <w:r w:rsidR="009B2310" w:rsidRPr="00B90668">
        <w:rPr>
          <w:rFonts w:ascii="Times New Roman" w:hAnsi="Times New Roman" w:cs="Times New Roman"/>
          <w:color w:val="000000" w:themeColor="text1"/>
          <w:sz w:val="24"/>
          <w:szCs w:val="24"/>
        </w:rPr>
        <w:t xml:space="preserve"> evaluate</w:t>
      </w:r>
      <w:r w:rsidR="006A6AF2" w:rsidRPr="00B90668">
        <w:rPr>
          <w:rFonts w:ascii="Times New Roman" w:hAnsi="Times New Roman" w:cs="Times New Roman"/>
          <w:color w:val="000000" w:themeColor="text1"/>
          <w:sz w:val="24"/>
          <w:szCs w:val="24"/>
        </w:rPr>
        <w:t>d</w:t>
      </w:r>
      <w:r w:rsidR="009B2310" w:rsidRPr="00B90668">
        <w:rPr>
          <w:rFonts w:ascii="Times New Roman" w:hAnsi="Times New Roman" w:cs="Times New Roman"/>
          <w:color w:val="000000" w:themeColor="text1"/>
          <w:sz w:val="24"/>
          <w:szCs w:val="24"/>
        </w:rPr>
        <w:t xml:space="preserve"> the </w:t>
      </w:r>
      <w:r w:rsidR="00581E18" w:rsidRPr="00B90668">
        <w:rPr>
          <w:rFonts w:ascii="Times New Roman" w:hAnsi="Times New Roman" w:cs="Times New Roman"/>
          <w:color w:val="000000" w:themeColor="text1"/>
          <w:sz w:val="24"/>
          <w:szCs w:val="24"/>
        </w:rPr>
        <w:t>association</w:t>
      </w:r>
      <w:r w:rsidR="009B2310" w:rsidRPr="00B90668">
        <w:rPr>
          <w:rFonts w:ascii="Times New Roman" w:hAnsi="Times New Roman" w:cs="Times New Roman"/>
          <w:color w:val="000000" w:themeColor="text1"/>
          <w:sz w:val="24"/>
          <w:szCs w:val="24"/>
        </w:rPr>
        <w:t xml:space="preserve"> of weight and other predictors </w:t>
      </w:r>
      <w:r w:rsidR="00581E18" w:rsidRPr="00B90668">
        <w:rPr>
          <w:rFonts w:ascii="Times New Roman" w:hAnsi="Times New Roman" w:cs="Times New Roman"/>
          <w:color w:val="000000" w:themeColor="text1"/>
          <w:sz w:val="24"/>
          <w:szCs w:val="24"/>
        </w:rPr>
        <w:t>with</w:t>
      </w:r>
      <w:r w:rsidR="009B2310" w:rsidRPr="00B90668">
        <w:rPr>
          <w:rFonts w:ascii="Times New Roman" w:hAnsi="Times New Roman" w:cs="Times New Roman"/>
          <w:color w:val="000000" w:themeColor="text1"/>
          <w:sz w:val="24"/>
          <w:szCs w:val="24"/>
        </w:rPr>
        <w:t xml:space="preserve"> </w:t>
      </w:r>
      <w:r w:rsidR="00581E18" w:rsidRPr="00B90668">
        <w:rPr>
          <w:rFonts w:ascii="Times New Roman" w:hAnsi="Times New Roman" w:cs="Times New Roman"/>
          <w:color w:val="000000" w:themeColor="text1"/>
          <w:sz w:val="24"/>
          <w:szCs w:val="24"/>
        </w:rPr>
        <w:t xml:space="preserve">clinical </w:t>
      </w:r>
      <w:r w:rsidR="00A63B05" w:rsidRPr="00B90668">
        <w:rPr>
          <w:rFonts w:ascii="Times New Roman" w:hAnsi="Times New Roman" w:cs="Times New Roman"/>
          <w:color w:val="000000" w:themeColor="text1"/>
          <w:sz w:val="24"/>
          <w:szCs w:val="24"/>
        </w:rPr>
        <w:t>seizure cessation</w:t>
      </w:r>
      <w:r w:rsidRPr="00B90668">
        <w:rPr>
          <w:rFonts w:ascii="Times New Roman" w:hAnsi="Times New Roman" w:cs="Times New Roman"/>
          <w:color w:val="000000" w:themeColor="text1"/>
          <w:sz w:val="24"/>
          <w:szCs w:val="24"/>
        </w:rPr>
        <w:t xml:space="preserve"> alone</w:t>
      </w:r>
      <w:r w:rsidR="00A63B05" w:rsidRPr="00B90668">
        <w:rPr>
          <w:rFonts w:ascii="Times New Roman" w:hAnsi="Times New Roman" w:cs="Times New Roman"/>
          <w:color w:val="000000" w:themeColor="text1"/>
          <w:sz w:val="24"/>
          <w:szCs w:val="24"/>
        </w:rPr>
        <w:t xml:space="preserve"> </w:t>
      </w:r>
      <w:r w:rsidR="006A6AF2" w:rsidRPr="00B90668">
        <w:rPr>
          <w:rFonts w:ascii="Times New Roman" w:hAnsi="Times New Roman" w:cs="Times New Roman"/>
          <w:color w:val="000000" w:themeColor="text1"/>
          <w:sz w:val="24"/>
          <w:szCs w:val="24"/>
        </w:rPr>
        <w:t>at 60 minutes</w:t>
      </w:r>
      <w:r w:rsidR="00A63B05" w:rsidRPr="00B90668">
        <w:rPr>
          <w:rFonts w:ascii="Times New Roman" w:hAnsi="Times New Roman" w:cs="Times New Roman"/>
          <w:color w:val="000000" w:themeColor="text1"/>
          <w:sz w:val="24"/>
          <w:szCs w:val="24"/>
        </w:rPr>
        <w:t>.</w:t>
      </w:r>
    </w:p>
    <w:p w14:paraId="284E2840" w14:textId="77777777" w:rsidR="00853C97" w:rsidRPr="00B90668" w:rsidRDefault="00853C97" w:rsidP="003A31C5">
      <w:pPr>
        <w:spacing w:after="0" w:line="480" w:lineRule="auto"/>
        <w:jc w:val="both"/>
        <w:rPr>
          <w:rFonts w:ascii="Times New Roman" w:hAnsi="Times New Roman" w:cs="Times New Roman"/>
          <w:color w:val="000000" w:themeColor="text1"/>
          <w:sz w:val="24"/>
          <w:szCs w:val="24"/>
        </w:rPr>
      </w:pPr>
    </w:p>
    <w:p w14:paraId="2B80E46D" w14:textId="280CAE8A" w:rsidR="001939B7" w:rsidRPr="00F41BFD" w:rsidRDefault="00DA386C" w:rsidP="003A31C5">
      <w:pPr>
        <w:spacing w:after="0"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t>METHODS</w:t>
      </w:r>
    </w:p>
    <w:p w14:paraId="2E8DAFE5" w14:textId="75DEC023" w:rsidR="00EE43DE" w:rsidRPr="00B90668" w:rsidRDefault="00241087"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ESETT was approved by institutional review boards for all participating institutions.</w:t>
      </w:r>
      <w:r w:rsidRPr="00B90668">
        <w:rPr>
          <w:rFonts w:ascii="Times New Roman" w:hAnsi="Times New Roman" w:cs="Times New Roman"/>
          <w:color w:val="000000" w:themeColor="text1"/>
          <w:sz w:val="24"/>
          <w:szCs w:val="24"/>
        </w:rPr>
        <w:fldChar w:fldCharType="begin" w:fldLock="1"/>
      </w:r>
      <w:r w:rsidRPr="00B90668">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mendeley":{"formattedCitation":"&lt;sup&gt;1&lt;/sup&gt;","plainTextFormattedCitation":"1"},"properties":{"noteIndex":0},"schema":"https://github.com/citation-style-language/schema/raw/master/csl-citation.json"}</w:instrText>
      </w:r>
      <w:r w:rsidRPr="00B90668">
        <w:rPr>
          <w:rFonts w:ascii="Times New Roman" w:hAnsi="Times New Roman" w:cs="Times New Roman"/>
          <w:color w:val="000000" w:themeColor="text1"/>
          <w:sz w:val="24"/>
          <w:szCs w:val="24"/>
        </w:rPr>
        <w:fldChar w:fldCharType="separate"/>
      </w:r>
      <w:r w:rsidRPr="00B90668">
        <w:rPr>
          <w:rFonts w:ascii="Times New Roman" w:hAnsi="Times New Roman" w:cs="Times New Roman"/>
          <w:noProof/>
          <w:color w:val="000000" w:themeColor="text1"/>
          <w:sz w:val="24"/>
          <w:szCs w:val="24"/>
          <w:vertAlign w:val="superscript"/>
        </w:rPr>
        <w:t>1</w:t>
      </w:r>
      <w:r w:rsidRPr="00B90668">
        <w:rPr>
          <w:rFonts w:ascii="Times New Roman" w:hAnsi="Times New Roman" w:cs="Times New Roman"/>
          <w:color w:val="000000" w:themeColor="text1"/>
          <w:sz w:val="24"/>
          <w:szCs w:val="24"/>
        </w:rPr>
        <w:fldChar w:fldCharType="end"/>
      </w:r>
      <w:r w:rsidRPr="00B90668">
        <w:rPr>
          <w:rFonts w:ascii="Times New Roman" w:hAnsi="Times New Roman" w:cs="Times New Roman"/>
          <w:color w:val="000000" w:themeColor="text1"/>
          <w:sz w:val="24"/>
          <w:szCs w:val="24"/>
        </w:rPr>
        <w:t xml:space="preserve"> </w:t>
      </w:r>
      <w:r w:rsidR="00237903" w:rsidRPr="00B90668">
        <w:rPr>
          <w:rFonts w:ascii="Times New Roman" w:hAnsi="Times New Roman" w:cs="Times New Roman"/>
          <w:color w:val="000000" w:themeColor="text1"/>
          <w:sz w:val="24"/>
          <w:szCs w:val="24"/>
        </w:rPr>
        <w:t>Of the 478 patients enrolled in ESETT,</w:t>
      </w:r>
      <w:r w:rsidR="007175FF" w:rsidRPr="00B90668">
        <w:rPr>
          <w:rFonts w:ascii="Times New Roman" w:hAnsi="Times New Roman" w:cs="Times New Roman"/>
          <w:color w:val="000000" w:themeColor="text1"/>
          <w:sz w:val="24"/>
          <w:szCs w:val="24"/>
        </w:rPr>
        <w:t xml:space="preserve"> </w:t>
      </w:r>
      <w:r w:rsidR="00391C90" w:rsidRPr="00B90668">
        <w:rPr>
          <w:rFonts w:ascii="Times New Roman" w:hAnsi="Times New Roman" w:cs="Times New Roman"/>
          <w:color w:val="000000" w:themeColor="text1"/>
          <w:sz w:val="24"/>
          <w:szCs w:val="24"/>
        </w:rPr>
        <w:t>48.2%</w:t>
      </w:r>
      <w:r w:rsidR="00237903" w:rsidRPr="00B90668">
        <w:rPr>
          <w:rFonts w:ascii="Times New Roman" w:hAnsi="Times New Roman" w:cs="Times New Roman"/>
          <w:color w:val="000000" w:themeColor="text1"/>
          <w:sz w:val="24"/>
          <w:szCs w:val="24"/>
        </w:rPr>
        <w:t xml:space="preserve"> of adults and 0.9 % of children</w:t>
      </w:r>
      <w:r w:rsidR="007175FF" w:rsidRPr="00B90668">
        <w:rPr>
          <w:rFonts w:ascii="Times New Roman" w:hAnsi="Times New Roman" w:cs="Times New Roman"/>
          <w:color w:val="000000" w:themeColor="text1"/>
          <w:sz w:val="24"/>
          <w:szCs w:val="24"/>
        </w:rPr>
        <w:t xml:space="preserve"> weighed</w:t>
      </w:r>
      <w:r w:rsidR="00B9210E">
        <w:rPr>
          <w:rFonts w:ascii="Times New Roman" w:hAnsi="Times New Roman" w:cs="Times New Roman"/>
          <w:color w:val="000000" w:themeColor="text1"/>
          <w:sz w:val="24"/>
          <w:szCs w:val="24"/>
        </w:rPr>
        <w:t xml:space="preserve"> &gt;</w:t>
      </w:r>
      <w:r w:rsidR="007175FF" w:rsidRPr="00B90668">
        <w:rPr>
          <w:rFonts w:ascii="Times New Roman" w:hAnsi="Times New Roman" w:cs="Times New Roman"/>
          <w:color w:val="000000" w:themeColor="text1"/>
          <w:sz w:val="24"/>
          <w:szCs w:val="24"/>
        </w:rPr>
        <w:t xml:space="preserve"> 75 kg</w:t>
      </w:r>
      <w:r w:rsidR="00237903" w:rsidRPr="00B90668">
        <w:rPr>
          <w:rFonts w:ascii="Times New Roman" w:hAnsi="Times New Roman" w:cs="Times New Roman"/>
          <w:color w:val="000000" w:themeColor="text1"/>
          <w:sz w:val="24"/>
          <w:szCs w:val="24"/>
        </w:rPr>
        <w:t xml:space="preserve">. </w:t>
      </w:r>
      <w:r w:rsidR="00E3388E">
        <w:rPr>
          <w:rFonts w:ascii="Times New Roman" w:hAnsi="Times New Roman" w:cs="Times New Roman"/>
          <w:color w:val="000000" w:themeColor="text1"/>
          <w:sz w:val="24"/>
          <w:szCs w:val="24"/>
        </w:rPr>
        <w:t>B</w:t>
      </w:r>
      <w:r w:rsidR="00FA1A45" w:rsidRPr="00B90668">
        <w:rPr>
          <w:rFonts w:ascii="Times New Roman" w:hAnsi="Times New Roman" w:cs="Times New Roman"/>
          <w:color w:val="000000" w:themeColor="text1"/>
          <w:sz w:val="24"/>
          <w:szCs w:val="24"/>
        </w:rPr>
        <w:t xml:space="preserve">ecause of </w:t>
      </w:r>
      <w:r w:rsidR="007175FF" w:rsidRPr="00B90668">
        <w:rPr>
          <w:rFonts w:ascii="Times New Roman" w:hAnsi="Times New Roman" w:cs="Times New Roman"/>
          <w:color w:val="000000" w:themeColor="text1"/>
          <w:sz w:val="24"/>
          <w:szCs w:val="24"/>
        </w:rPr>
        <w:t>the</w:t>
      </w:r>
      <w:r w:rsidR="00E9753A" w:rsidRPr="00B90668">
        <w:rPr>
          <w:rFonts w:ascii="Times New Roman" w:hAnsi="Times New Roman" w:cs="Times New Roman"/>
          <w:color w:val="000000" w:themeColor="text1"/>
          <w:sz w:val="24"/>
          <w:szCs w:val="24"/>
        </w:rPr>
        <w:t xml:space="preserve"> </w:t>
      </w:r>
      <w:r w:rsidR="00242A29" w:rsidRPr="00B90668">
        <w:rPr>
          <w:rFonts w:ascii="Times New Roman" w:hAnsi="Times New Roman" w:cs="Times New Roman"/>
          <w:color w:val="000000" w:themeColor="text1"/>
          <w:sz w:val="24"/>
          <w:szCs w:val="24"/>
        </w:rPr>
        <w:t xml:space="preserve">low number of children </w:t>
      </w:r>
      <w:r w:rsidR="007175FF" w:rsidRPr="00B90668">
        <w:rPr>
          <w:rFonts w:ascii="Times New Roman" w:hAnsi="Times New Roman" w:cs="Times New Roman"/>
          <w:color w:val="000000" w:themeColor="text1"/>
          <w:sz w:val="24"/>
          <w:szCs w:val="24"/>
        </w:rPr>
        <w:t>receiving</w:t>
      </w:r>
      <w:r w:rsidR="00242A29" w:rsidRPr="00B90668">
        <w:rPr>
          <w:rFonts w:ascii="Times New Roman" w:hAnsi="Times New Roman" w:cs="Times New Roman"/>
          <w:color w:val="000000" w:themeColor="text1"/>
          <w:sz w:val="24"/>
          <w:szCs w:val="24"/>
        </w:rPr>
        <w:t xml:space="preserve"> a fixed dose and</w:t>
      </w:r>
      <w:r w:rsidR="00FA1A45" w:rsidRPr="00B90668">
        <w:rPr>
          <w:rFonts w:ascii="Times New Roman" w:hAnsi="Times New Roman" w:cs="Times New Roman"/>
          <w:color w:val="000000" w:themeColor="text1"/>
          <w:sz w:val="24"/>
          <w:szCs w:val="24"/>
        </w:rPr>
        <w:t xml:space="preserve"> </w:t>
      </w:r>
      <w:r w:rsidR="00242A29" w:rsidRPr="00B90668">
        <w:rPr>
          <w:rFonts w:ascii="Times New Roman" w:hAnsi="Times New Roman" w:cs="Times New Roman"/>
          <w:color w:val="000000" w:themeColor="text1"/>
          <w:sz w:val="24"/>
          <w:szCs w:val="24"/>
        </w:rPr>
        <w:t xml:space="preserve">the </w:t>
      </w:r>
      <w:r w:rsidR="00FA1A45" w:rsidRPr="00B90668">
        <w:rPr>
          <w:rFonts w:ascii="Times New Roman" w:hAnsi="Times New Roman" w:cs="Times New Roman"/>
          <w:color w:val="000000" w:themeColor="text1"/>
          <w:sz w:val="24"/>
          <w:szCs w:val="24"/>
        </w:rPr>
        <w:t>possibility of differing response rates within children and adults,</w:t>
      </w:r>
      <w:r w:rsidR="00237903" w:rsidRPr="00B90668">
        <w:rPr>
          <w:rFonts w:ascii="Times New Roman" w:hAnsi="Times New Roman" w:cs="Times New Roman"/>
          <w:color w:val="000000" w:themeColor="text1"/>
          <w:sz w:val="24"/>
          <w:szCs w:val="24"/>
        </w:rPr>
        <w:t xml:space="preserve"> the analyses were limited to those ≥ 18 years (n=249). Two patients</w:t>
      </w:r>
      <w:r w:rsidR="006B5EA0" w:rsidRPr="00B90668">
        <w:rPr>
          <w:rFonts w:ascii="Times New Roman" w:hAnsi="Times New Roman" w:cs="Times New Roman"/>
          <w:color w:val="000000" w:themeColor="text1"/>
          <w:sz w:val="24"/>
          <w:szCs w:val="24"/>
        </w:rPr>
        <w:t xml:space="preserve"> were excluded because the</w:t>
      </w:r>
      <w:r w:rsidR="001939B7" w:rsidRPr="00B90668">
        <w:rPr>
          <w:rFonts w:ascii="Times New Roman" w:hAnsi="Times New Roman" w:cs="Times New Roman"/>
          <w:color w:val="000000" w:themeColor="text1"/>
          <w:sz w:val="24"/>
          <w:szCs w:val="24"/>
        </w:rPr>
        <w:t xml:space="preserve"> </w:t>
      </w:r>
      <w:r w:rsidR="00E3388E">
        <w:rPr>
          <w:rFonts w:ascii="Times New Roman" w:hAnsi="Times New Roman" w:cs="Times New Roman"/>
          <w:color w:val="000000" w:themeColor="text1"/>
          <w:sz w:val="24"/>
          <w:szCs w:val="24"/>
        </w:rPr>
        <w:t xml:space="preserve">study drug </w:t>
      </w:r>
      <w:r w:rsidR="001939B7" w:rsidRPr="00B90668">
        <w:rPr>
          <w:rFonts w:ascii="Times New Roman" w:hAnsi="Times New Roman" w:cs="Times New Roman"/>
          <w:color w:val="000000" w:themeColor="text1"/>
          <w:sz w:val="24"/>
          <w:szCs w:val="24"/>
        </w:rPr>
        <w:t>volume admin</w:t>
      </w:r>
      <w:r w:rsidR="006B5EA0" w:rsidRPr="00B90668">
        <w:rPr>
          <w:rFonts w:ascii="Times New Roman" w:hAnsi="Times New Roman" w:cs="Times New Roman"/>
          <w:color w:val="000000" w:themeColor="text1"/>
          <w:sz w:val="24"/>
          <w:szCs w:val="24"/>
        </w:rPr>
        <w:t>istered could not be determined</w:t>
      </w:r>
      <w:r w:rsidR="001939B7" w:rsidRPr="00B90668">
        <w:rPr>
          <w:rFonts w:ascii="Times New Roman" w:hAnsi="Times New Roman" w:cs="Times New Roman"/>
          <w:color w:val="000000" w:themeColor="text1"/>
          <w:sz w:val="24"/>
          <w:szCs w:val="24"/>
        </w:rPr>
        <w:t>.</w:t>
      </w:r>
      <w:r w:rsidR="00DC41DB" w:rsidRPr="00B90668">
        <w:rPr>
          <w:rFonts w:ascii="Times New Roman" w:hAnsi="Times New Roman" w:cs="Times New Roman"/>
          <w:color w:val="000000" w:themeColor="text1"/>
          <w:sz w:val="24"/>
          <w:szCs w:val="24"/>
        </w:rPr>
        <w:t xml:space="preserve"> </w:t>
      </w:r>
      <w:r w:rsidR="005C6649" w:rsidRPr="00B90668">
        <w:rPr>
          <w:rFonts w:ascii="Times New Roman" w:hAnsi="Times New Roman" w:cs="Times New Roman"/>
          <w:color w:val="000000" w:themeColor="text1"/>
          <w:sz w:val="24"/>
          <w:szCs w:val="24"/>
        </w:rPr>
        <w:t>Among</w:t>
      </w:r>
      <w:r w:rsidR="00BF08B5" w:rsidRPr="00B90668">
        <w:rPr>
          <w:rFonts w:ascii="Times New Roman" w:hAnsi="Times New Roman" w:cs="Times New Roman"/>
          <w:color w:val="000000" w:themeColor="text1"/>
          <w:sz w:val="24"/>
          <w:szCs w:val="24"/>
        </w:rPr>
        <w:t xml:space="preserve"> the</w:t>
      </w:r>
      <w:r w:rsidR="005C6649" w:rsidRPr="00B90668">
        <w:rPr>
          <w:rFonts w:ascii="Times New Roman" w:hAnsi="Times New Roman" w:cs="Times New Roman"/>
          <w:color w:val="000000" w:themeColor="text1"/>
          <w:sz w:val="24"/>
          <w:szCs w:val="24"/>
        </w:rPr>
        <w:t xml:space="preserve"> </w:t>
      </w:r>
      <w:r w:rsidR="00FA1A45" w:rsidRPr="00B90668">
        <w:rPr>
          <w:rFonts w:ascii="Times New Roman" w:hAnsi="Times New Roman" w:cs="Times New Roman"/>
          <w:color w:val="000000" w:themeColor="text1"/>
          <w:sz w:val="24"/>
          <w:szCs w:val="24"/>
        </w:rPr>
        <w:t>247 enrollments</w:t>
      </w:r>
      <w:r w:rsidR="005C6649" w:rsidRPr="00B90668">
        <w:rPr>
          <w:rFonts w:ascii="Times New Roman" w:hAnsi="Times New Roman" w:cs="Times New Roman"/>
          <w:color w:val="000000" w:themeColor="text1"/>
          <w:sz w:val="24"/>
          <w:szCs w:val="24"/>
        </w:rPr>
        <w:t>, 12 patients</w:t>
      </w:r>
      <w:r w:rsidR="00FA1A45" w:rsidRPr="00B90668">
        <w:rPr>
          <w:rFonts w:ascii="Times New Roman" w:hAnsi="Times New Roman" w:cs="Times New Roman"/>
          <w:color w:val="000000" w:themeColor="text1"/>
          <w:sz w:val="24"/>
          <w:szCs w:val="24"/>
        </w:rPr>
        <w:t xml:space="preserve"> </w:t>
      </w:r>
      <w:r w:rsidR="006F1C74" w:rsidRPr="00B90668">
        <w:rPr>
          <w:rFonts w:ascii="Times New Roman" w:hAnsi="Times New Roman" w:cs="Times New Roman"/>
          <w:color w:val="000000" w:themeColor="text1"/>
          <w:sz w:val="24"/>
          <w:szCs w:val="24"/>
        </w:rPr>
        <w:t xml:space="preserve">were </w:t>
      </w:r>
      <w:r w:rsidR="00FA1A45" w:rsidRPr="00B90668">
        <w:rPr>
          <w:rFonts w:ascii="Times New Roman" w:hAnsi="Times New Roman" w:cs="Times New Roman"/>
          <w:color w:val="000000" w:themeColor="text1"/>
          <w:sz w:val="24"/>
          <w:szCs w:val="24"/>
        </w:rPr>
        <w:t xml:space="preserve">enrolled more than once </w:t>
      </w:r>
      <w:r w:rsidR="00C26F7C" w:rsidRPr="00B90668">
        <w:rPr>
          <w:rFonts w:ascii="Times New Roman" w:hAnsi="Times New Roman" w:cs="Times New Roman"/>
          <w:color w:val="000000" w:themeColor="text1"/>
          <w:sz w:val="24"/>
          <w:szCs w:val="24"/>
        </w:rPr>
        <w:t>but only their first enrollments were used</w:t>
      </w:r>
      <w:r w:rsidR="005C6649"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Among</w:t>
      </w:r>
      <w:r w:rsidR="005C6649" w:rsidRPr="00B90668">
        <w:rPr>
          <w:rFonts w:ascii="Times New Roman" w:hAnsi="Times New Roman" w:cs="Times New Roman"/>
          <w:color w:val="000000" w:themeColor="text1"/>
          <w:sz w:val="24"/>
          <w:szCs w:val="24"/>
        </w:rPr>
        <w:t xml:space="preserve"> the </w:t>
      </w:r>
      <w:r w:rsidR="00C26F7C" w:rsidRPr="00B90668">
        <w:rPr>
          <w:rFonts w:ascii="Times New Roman" w:hAnsi="Times New Roman" w:cs="Times New Roman"/>
          <w:color w:val="000000" w:themeColor="text1"/>
          <w:sz w:val="24"/>
          <w:szCs w:val="24"/>
        </w:rPr>
        <w:t>235</w:t>
      </w:r>
      <w:r w:rsidR="00D37FCB" w:rsidRPr="00B90668">
        <w:rPr>
          <w:rFonts w:ascii="Times New Roman" w:hAnsi="Times New Roman" w:cs="Times New Roman"/>
          <w:color w:val="000000" w:themeColor="text1"/>
          <w:sz w:val="24"/>
          <w:szCs w:val="24"/>
        </w:rPr>
        <w:t xml:space="preserve"> unique adult patients</w:t>
      </w:r>
      <w:r w:rsidR="005C6649" w:rsidRPr="00B90668">
        <w:rPr>
          <w:rFonts w:ascii="Times New Roman" w:hAnsi="Times New Roman" w:cs="Times New Roman"/>
          <w:color w:val="000000" w:themeColor="text1"/>
          <w:sz w:val="24"/>
          <w:szCs w:val="24"/>
        </w:rPr>
        <w:t xml:space="preserve">, </w:t>
      </w:r>
      <w:r w:rsidR="00C26F7C" w:rsidRPr="00B90668">
        <w:rPr>
          <w:rFonts w:ascii="Times New Roman" w:hAnsi="Times New Roman" w:cs="Times New Roman"/>
          <w:color w:val="000000" w:themeColor="text1"/>
          <w:sz w:val="24"/>
          <w:szCs w:val="24"/>
        </w:rPr>
        <w:t>132</w:t>
      </w:r>
      <w:r w:rsidR="006F1C74" w:rsidRPr="00B90668">
        <w:rPr>
          <w:rFonts w:ascii="Times New Roman" w:hAnsi="Times New Roman" w:cs="Times New Roman"/>
          <w:color w:val="000000" w:themeColor="text1"/>
          <w:sz w:val="24"/>
          <w:szCs w:val="24"/>
        </w:rPr>
        <w:t xml:space="preserve"> (5</w:t>
      </w:r>
      <w:r w:rsidR="00C26F7C" w:rsidRPr="00B90668">
        <w:rPr>
          <w:rFonts w:ascii="Times New Roman" w:hAnsi="Times New Roman" w:cs="Times New Roman"/>
          <w:color w:val="000000" w:themeColor="text1"/>
          <w:sz w:val="24"/>
          <w:szCs w:val="24"/>
        </w:rPr>
        <w:t>6.2</w:t>
      </w:r>
      <w:r w:rsidR="006F1C74" w:rsidRPr="00B90668">
        <w:rPr>
          <w:rFonts w:ascii="Times New Roman" w:hAnsi="Times New Roman" w:cs="Times New Roman"/>
          <w:color w:val="000000" w:themeColor="text1"/>
          <w:sz w:val="24"/>
          <w:szCs w:val="24"/>
        </w:rPr>
        <w:t>%)</w:t>
      </w:r>
      <w:r w:rsidR="00D37FCB" w:rsidRPr="00B90668">
        <w:rPr>
          <w:rFonts w:ascii="Times New Roman" w:hAnsi="Times New Roman" w:cs="Times New Roman"/>
          <w:color w:val="000000" w:themeColor="text1"/>
          <w:sz w:val="24"/>
          <w:szCs w:val="24"/>
        </w:rPr>
        <w:t xml:space="preserve"> </w:t>
      </w:r>
      <w:r w:rsidR="00DC41DB" w:rsidRPr="00B90668">
        <w:rPr>
          <w:rFonts w:ascii="Times New Roman" w:hAnsi="Times New Roman" w:cs="Times New Roman"/>
          <w:color w:val="000000" w:themeColor="text1"/>
          <w:sz w:val="24"/>
          <w:szCs w:val="24"/>
        </w:rPr>
        <w:t xml:space="preserve">failed the </w:t>
      </w:r>
      <w:r w:rsidR="00391C90" w:rsidRPr="00B90668">
        <w:rPr>
          <w:rFonts w:ascii="Times New Roman" w:hAnsi="Times New Roman" w:cs="Times New Roman"/>
          <w:color w:val="000000" w:themeColor="text1"/>
          <w:sz w:val="24"/>
          <w:szCs w:val="24"/>
        </w:rPr>
        <w:t xml:space="preserve">ESETT </w:t>
      </w:r>
      <w:r w:rsidR="00DC41DB" w:rsidRPr="00B90668">
        <w:rPr>
          <w:rFonts w:ascii="Times New Roman" w:hAnsi="Times New Roman" w:cs="Times New Roman"/>
          <w:color w:val="000000" w:themeColor="text1"/>
          <w:sz w:val="24"/>
          <w:szCs w:val="24"/>
        </w:rPr>
        <w:t>primary outcome</w:t>
      </w:r>
      <w:r w:rsidR="006A6AF2" w:rsidRPr="00B90668">
        <w:rPr>
          <w:rFonts w:ascii="Times New Roman" w:hAnsi="Times New Roman" w:cs="Times New Roman"/>
          <w:color w:val="000000" w:themeColor="text1"/>
          <w:sz w:val="24"/>
          <w:szCs w:val="24"/>
        </w:rPr>
        <w:t>.</w:t>
      </w:r>
      <w:r w:rsidR="00064BAF" w:rsidRPr="00B90668">
        <w:rPr>
          <w:rFonts w:ascii="Times New Roman" w:hAnsi="Times New Roman" w:cs="Times New Roman"/>
          <w:color w:val="000000" w:themeColor="text1"/>
          <w:sz w:val="24"/>
          <w:szCs w:val="24"/>
        </w:rPr>
        <w:t xml:space="preserve"> </w:t>
      </w:r>
      <w:r w:rsidR="006A6AF2" w:rsidRPr="00B90668">
        <w:rPr>
          <w:rFonts w:ascii="Times New Roman" w:hAnsi="Times New Roman" w:cs="Times New Roman"/>
          <w:color w:val="000000" w:themeColor="text1"/>
          <w:sz w:val="24"/>
          <w:szCs w:val="24"/>
        </w:rPr>
        <w:t>Of th</w:t>
      </w:r>
      <w:r w:rsidR="006F1C74" w:rsidRPr="00B90668">
        <w:rPr>
          <w:rFonts w:ascii="Times New Roman" w:hAnsi="Times New Roman" w:cs="Times New Roman"/>
          <w:color w:val="000000" w:themeColor="text1"/>
          <w:sz w:val="24"/>
          <w:szCs w:val="24"/>
        </w:rPr>
        <w:t>e 1</w:t>
      </w:r>
      <w:r w:rsidR="00C26F7C" w:rsidRPr="00B90668">
        <w:rPr>
          <w:rFonts w:ascii="Times New Roman" w:hAnsi="Times New Roman" w:cs="Times New Roman"/>
          <w:color w:val="000000" w:themeColor="text1"/>
          <w:sz w:val="24"/>
          <w:szCs w:val="24"/>
        </w:rPr>
        <w:t>32</w:t>
      </w:r>
      <w:r w:rsidR="006F1C74" w:rsidRPr="00B90668">
        <w:rPr>
          <w:rFonts w:ascii="Times New Roman" w:hAnsi="Times New Roman" w:cs="Times New Roman"/>
          <w:color w:val="000000" w:themeColor="text1"/>
          <w:sz w:val="24"/>
          <w:szCs w:val="24"/>
        </w:rPr>
        <w:t xml:space="preserve"> failures</w:t>
      </w:r>
      <w:r w:rsidR="006A6AF2" w:rsidRPr="00B90668">
        <w:rPr>
          <w:rFonts w:ascii="Times New Roman" w:hAnsi="Times New Roman" w:cs="Times New Roman"/>
          <w:color w:val="000000" w:themeColor="text1"/>
          <w:sz w:val="24"/>
          <w:szCs w:val="24"/>
        </w:rPr>
        <w:t>,</w:t>
      </w:r>
      <w:r w:rsidR="00064BAF" w:rsidRPr="00B90668">
        <w:rPr>
          <w:rFonts w:ascii="Times New Roman" w:hAnsi="Times New Roman" w:cs="Times New Roman"/>
          <w:color w:val="000000" w:themeColor="text1"/>
          <w:sz w:val="24"/>
          <w:szCs w:val="24"/>
        </w:rPr>
        <w:t xml:space="preserve"> </w:t>
      </w:r>
      <w:r w:rsidR="00C26F7C" w:rsidRPr="00B90668">
        <w:rPr>
          <w:rFonts w:ascii="Times New Roman" w:hAnsi="Times New Roman" w:cs="Times New Roman"/>
          <w:color w:val="000000" w:themeColor="text1"/>
          <w:sz w:val="24"/>
          <w:szCs w:val="24"/>
        </w:rPr>
        <w:t>87</w:t>
      </w:r>
      <w:r w:rsidR="006F1C74" w:rsidRPr="00B90668">
        <w:rPr>
          <w:rFonts w:ascii="Times New Roman" w:hAnsi="Times New Roman" w:cs="Times New Roman"/>
          <w:color w:val="000000" w:themeColor="text1"/>
          <w:sz w:val="24"/>
          <w:szCs w:val="24"/>
        </w:rPr>
        <w:t xml:space="preserve"> (6</w:t>
      </w:r>
      <w:r w:rsidR="00C26F7C" w:rsidRPr="00B90668">
        <w:rPr>
          <w:rFonts w:ascii="Times New Roman" w:hAnsi="Times New Roman" w:cs="Times New Roman"/>
          <w:color w:val="000000" w:themeColor="text1"/>
          <w:sz w:val="24"/>
          <w:szCs w:val="24"/>
        </w:rPr>
        <w:t>5</w:t>
      </w:r>
      <w:r w:rsidR="006F1C74" w:rsidRPr="00B90668">
        <w:rPr>
          <w:rFonts w:ascii="Times New Roman" w:hAnsi="Times New Roman" w:cs="Times New Roman"/>
          <w:color w:val="000000" w:themeColor="text1"/>
          <w:sz w:val="24"/>
          <w:szCs w:val="24"/>
        </w:rPr>
        <w:t>.</w:t>
      </w:r>
      <w:r w:rsidR="00C26F7C" w:rsidRPr="00B90668">
        <w:rPr>
          <w:rFonts w:ascii="Times New Roman" w:hAnsi="Times New Roman" w:cs="Times New Roman"/>
          <w:color w:val="000000" w:themeColor="text1"/>
          <w:sz w:val="24"/>
          <w:szCs w:val="24"/>
        </w:rPr>
        <w:t>9</w:t>
      </w:r>
      <w:r w:rsidR="006F1C74" w:rsidRPr="00B90668">
        <w:rPr>
          <w:rFonts w:ascii="Times New Roman" w:hAnsi="Times New Roman" w:cs="Times New Roman"/>
          <w:color w:val="000000" w:themeColor="text1"/>
          <w:sz w:val="24"/>
          <w:szCs w:val="24"/>
        </w:rPr>
        <w:t>%) failed because they</w:t>
      </w:r>
      <w:r w:rsidR="00DC41DB" w:rsidRPr="00B90668">
        <w:rPr>
          <w:rFonts w:ascii="Times New Roman" w:hAnsi="Times New Roman" w:cs="Times New Roman"/>
          <w:color w:val="000000" w:themeColor="text1"/>
          <w:sz w:val="24"/>
          <w:szCs w:val="24"/>
        </w:rPr>
        <w:t xml:space="preserve"> </w:t>
      </w:r>
      <w:r w:rsidR="006F1C74" w:rsidRPr="00B90668">
        <w:rPr>
          <w:rFonts w:ascii="Times New Roman" w:hAnsi="Times New Roman" w:cs="Times New Roman"/>
          <w:color w:val="000000" w:themeColor="text1"/>
          <w:sz w:val="24"/>
          <w:szCs w:val="24"/>
        </w:rPr>
        <w:t>needed an</w:t>
      </w:r>
      <w:r w:rsidR="00DC41DB" w:rsidRPr="00B90668">
        <w:rPr>
          <w:rFonts w:ascii="Times New Roman" w:hAnsi="Times New Roman" w:cs="Times New Roman"/>
          <w:color w:val="000000" w:themeColor="text1"/>
          <w:sz w:val="24"/>
          <w:szCs w:val="24"/>
        </w:rPr>
        <w:t xml:space="preserve"> additional </w:t>
      </w:r>
      <w:r w:rsidR="00FF6A20" w:rsidRPr="00B90668">
        <w:rPr>
          <w:rFonts w:ascii="Times New Roman" w:hAnsi="Times New Roman" w:cs="Times New Roman"/>
          <w:color w:val="000000" w:themeColor="text1"/>
          <w:sz w:val="24"/>
          <w:szCs w:val="24"/>
        </w:rPr>
        <w:t xml:space="preserve">anti-seizure </w:t>
      </w:r>
      <w:r w:rsidR="00DC41DB" w:rsidRPr="00B90668">
        <w:rPr>
          <w:rFonts w:ascii="Times New Roman" w:hAnsi="Times New Roman" w:cs="Times New Roman"/>
          <w:color w:val="000000" w:themeColor="text1"/>
          <w:sz w:val="24"/>
          <w:szCs w:val="24"/>
        </w:rPr>
        <w:t>medication</w:t>
      </w:r>
      <w:r w:rsidR="006F1C74" w:rsidRPr="00B90668">
        <w:rPr>
          <w:rFonts w:ascii="Times New Roman" w:hAnsi="Times New Roman" w:cs="Times New Roman"/>
          <w:color w:val="000000" w:themeColor="text1"/>
          <w:sz w:val="24"/>
          <w:szCs w:val="24"/>
        </w:rPr>
        <w:t xml:space="preserve"> prior to 60 minutes, </w:t>
      </w:r>
      <w:r w:rsidR="00DC41DB" w:rsidRPr="00B90668">
        <w:rPr>
          <w:rFonts w:ascii="Times New Roman" w:hAnsi="Times New Roman" w:cs="Times New Roman"/>
          <w:color w:val="000000" w:themeColor="text1"/>
          <w:sz w:val="24"/>
          <w:szCs w:val="24"/>
        </w:rPr>
        <w:t>1</w:t>
      </w:r>
      <w:r w:rsidR="00C26F7C" w:rsidRPr="00B90668">
        <w:rPr>
          <w:rFonts w:ascii="Times New Roman" w:hAnsi="Times New Roman" w:cs="Times New Roman"/>
          <w:color w:val="000000" w:themeColor="text1"/>
          <w:sz w:val="24"/>
          <w:szCs w:val="24"/>
        </w:rPr>
        <w:t>0</w:t>
      </w:r>
      <w:r w:rsidR="006F1C74" w:rsidRPr="00B90668">
        <w:rPr>
          <w:rFonts w:ascii="Times New Roman" w:hAnsi="Times New Roman" w:cs="Times New Roman"/>
          <w:color w:val="000000" w:themeColor="text1"/>
          <w:sz w:val="24"/>
          <w:szCs w:val="24"/>
        </w:rPr>
        <w:t xml:space="preserve"> (7.6%)</w:t>
      </w:r>
      <w:r w:rsidR="00DC41DB" w:rsidRPr="00B90668">
        <w:rPr>
          <w:rFonts w:ascii="Times New Roman" w:hAnsi="Times New Roman" w:cs="Times New Roman"/>
          <w:color w:val="000000" w:themeColor="text1"/>
          <w:sz w:val="24"/>
          <w:szCs w:val="24"/>
        </w:rPr>
        <w:t xml:space="preserve"> </w:t>
      </w:r>
      <w:r w:rsidR="00002AB8" w:rsidRPr="00B90668">
        <w:rPr>
          <w:rFonts w:ascii="Times New Roman" w:hAnsi="Times New Roman" w:cs="Times New Roman"/>
          <w:color w:val="000000" w:themeColor="text1"/>
          <w:sz w:val="24"/>
          <w:szCs w:val="24"/>
        </w:rPr>
        <w:t xml:space="preserve">failed </w:t>
      </w:r>
      <w:r w:rsidR="006F1C74" w:rsidRPr="00B90668">
        <w:rPr>
          <w:rFonts w:ascii="Times New Roman" w:hAnsi="Times New Roman" w:cs="Times New Roman"/>
          <w:color w:val="000000" w:themeColor="text1"/>
          <w:sz w:val="24"/>
          <w:szCs w:val="24"/>
        </w:rPr>
        <w:t>due to</w:t>
      </w:r>
      <w:r w:rsidR="00581E18" w:rsidRPr="00B90668">
        <w:rPr>
          <w:rFonts w:ascii="Times New Roman" w:hAnsi="Times New Roman" w:cs="Times New Roman"/>
          <w:color w:val="000000" w:themeColor="text1"/>
          <w:sz w:val="24"/>
          <w:szCs w:val="24"/>
        </w:rPr>
        <w:t xml:space="preserve"> clinically apparent</w:t>
      </w:r>
      <w:r w:rsidR="00DC41DB" w:rsidRPr="00B90668">
        <w:rPr>
          <w:rFonts w:ascii="Times New Roman" w:hAnsi="Times New Roman" w:cs="Times New Roman"/>
          <w:color w:val="000000" w:themeColor="text1"/>
          <w:sz w:val="24"/>
          <w:szCs w:val="24"/>
        </w:rPr>
        <w:t xml:space="preserve"> seizures at 60 minutes</w:t>
      </w:r>
      <w:r w:rsidR="009C313A" w:rsidRPr="00B90668">
        <w:rPr>
          <w:rFonts w:ascii="Times New Roman" w:hAnsi="Times New Roman" w:cs="Times New Roman"/>
          <w:color w:val="000000" w:themeColor="text1"/>
          <w:sz w:val="24"/>
          <w:szCs w:val="24"/>
        </w:rPr>
        <w:t>,</w:t>
      </w:r>
      <w:r w:rsidR="00DC41DB" w:rsidRPr="00B90668">
        <w:rPr>
          <w:rFonts w:ascii="Times New Roman" w:hAnsi="Times New Roman" w:cs="Times New Roman"/>
          <w:color w:val="000000" w:themeColor="text1"/>
          <w:sz w:val="24"/>
          <w:szCs w:val="24"/>
        </w:rPr>
        <w:t xml:space="preserve"> and 3</w:t>
      </w:r>
      <w:r w:rsidR="00C26F7C" w:rsidRPr="00B90668">
        <w:rPr>
          <w:rFonts w:ascii="Times New Roman" w:hAnsi="Times New Roman" w:cs="Times New Roman"/>
          <w:color w:val="000000" w:themeColor="text1"/>
          <w:sz w:val="24"/>
          <w:szCs w:val="24"/>
        </w:rPr>
        <w:t>5</w:t>
      </w:r>
      <w:r w:rsidR="006F1C74" w:rsidRPr="00B90668">
        <w:rPr>
          <w:rFonts w:ascii="Times New Roman" w:hAnsi="Times New Roman" w:cs="Times New Roman"/>
          <w:color w:val="000000" w:themeColor="text1"/>
          <w:sz w:val="24"/>
          <w:szCs w:val="24"/>
        </w:rPr>
        <w:t xml:space="preserve"> (2</w:t>
      </w:r>
      <w:r w:rsidR="00C26F7C" w:rsidRPr="00B90668">
        <w:rPr>
          <w:rFonts w:ascii="Times New Roman" w:hAnsi="Times New Roman" w:cs="Times New Roman"/>
          <w:color w:val="000000" w:themeColor="text1"/>
          <w:sz w:val="24"/>
          <w:szCs w:val="24"/>
        </w:rPr>
        <w:t>6</w:t>
      </w:r>
      <w:r w:rsidR="006F1C74" w:rsidRPr="00B90668">
        <w:rPr>
          <w:rFonts w:ascii="Times New Roman" w:hAnsi="Times New Roman" w:cs="Times New Roman"/>
          <w:color w:val="000000" w:themeColor="text1"/>
          <w:sz w:val="24"/>
          <w:szCs w:val="24"/>
        </w:rPr>
        <w:t>.</w:t>
      </w:r>
      <w:r w:rsidR="00C26F7C" w:rsidRPr="00B90668">
        <w:rPr>
          <w:rFonts w:ascii="Times New Roman" w:hAnsi="Times New Roman" w:cs="Times New Roman"/>
          <w:color w:val="000000" w:themeColor="text1"/>
          <w:sz w:val="24"/>
          <w:szCs w:val="24"/>
        </w:rPr>
        <w:t>5</w:t>
      </w:r>
      <w:r w:rsidR="006F1C74" w:rsidRPr="00B90668">
        <w:rPr>
          <w:rFonts w:ascii="Times New Roman" w:hAnsi="Times New Roman" w:cs="Times New Roman"/>
          <w:color w:val="000000" w:themeColor="text1"/>
          <w:sz w:val="24"/>
          <w:szCs w:val="24"/>
        </w:rPr>
        <w:t>%)</w:t>
      </w:r>
      <w:r w:rsidR="00002AB8" w:rsidRPr="00B90668">
        <w:rPr>
          <w:rFonts w:ascii="Times New Roman" w:hAnsi="Times New Roman" w:cs="Times New Roman"/>
          <w:color w:val="000000" w:themeColor="text1"/>
          <w:sz w:val="24"/>
          <w:szCs w:val="24"/>
        </w:rPr>
        <w:t xml:space="preserve"> failed</w:t>
      </w:r>
      <w:r w:rsidR="00242A29" w:rsidRPr="00B90668">
        <w:rPr>
          <w:rFonts w:ascii="Times New Roman" w:hAnsi="Times New Roman" w:cs="Times New Roman"/>
          <w:color w:val="000000" w:themeColor="text1"/>
          <w:sz w:val="24"/>
          <w:szCs w:val="24"/>
        </w:rPr>
        <w:t xml:space="preserve"> because </w:t>
      </w:r>
      <w:r w:rsidR="006F1C74" w:rsidRPr="00B90668">
        <w:rPr>
          <w:rFonts w:ascii="Times New Roman" w:hAnsi="Times New Roman" w:cs="Times New Roman"/>
          <w:color w:val="000000" w:themeColor="text1"/>
          <w:sz w:val="24"/>
          <w:szCs w:val="24"/>
        </w:rPr>
        <w:t xml:space="preserve">they </w:t>
      </w:r>
      <w:r w:rsidR="00DC41DB" w:rsidRPr="00B90668">
        <w:rPr>
          <w:rFonts w:ascii="Times New Roman" w:hAnsi="Times New Roman" w:cs="Times New Roman"/>
          <w:color w:val="000000" w:themeColor="text1"/>
          <w:sz w:val="24"/>
          <w:szCs w:val="24"/>
        </w:rPr>
        <w:t>did not show an improvement in</w:t>
      </w:r>
      <w:r w:rsidR="00391C90" w:rsidRPr="00B90668">
        <w:rPr>
          <w:rFonts w:ascii="Times New Roman" w:hAnsi="Times New Roman" w:cs="Times New Roman"/>
          <w:color w:val="000000" w:themeColor="text1"/>
          <w:sz w:val="24"/>
          <w:szCs w:val="24"/>
        </w:rPr>
        <w:t xml:space="preserve"> </w:t>
      </w:r>
      <w:r w:rsidR="00DC41DB" w:rsidRPr="00B90668">
        <w:rPr>
          <w:rFonts w:ascii="Times New Roman" w:hAnsi="Times New Roman" w:cs="Times New Roman"/>
          <w:color w:val="000000" w:themeColor="text1"/>
          <w:sz w:val="24"/>
          <w:szCs w:val="24"/>
        </w:rPr>
        <w:t>respons</w:t>
      </w:r>
      <w:r w:rsidR="00391C90" w:rsidRPr="00B90668">
        <w:rPr>
          <w:rFonts w:ascii="Times New Roman" w:hAnsi="Times New Roman" w:cs="Times New Roman"/>
          <w:color w:val="000000" w:themeColor="text1"/>
          <w:sz w:val="24"/>
          <w:szCs w:val="24"/>
        </w:rPr>
        <w:t>iveness</w:t>
      </w:r>
      <w:r w:rsidR="00DC41DB" w:rsidRPr="00B90668">
        <w:rPr>
          <w:rFonts w:ascii="Times New Roman" w:hAnsi="Times New Roman" w:cs="Times New Roman"/>
          <w:color w:val="000000" w:themeColor="text1"/>
          <w:sz w:val="24"/>
          <w:szCs w:val="24"/>
        </w:rPr>
        <w:t xml:space="preserve"> at 60 minutes</w:t>
      </w:r>
      <w:r w:rsidR="00002AB8" w:rsidRPr="00B90668">
        <w:rPr>
          <w:rFonts w:ascii="Times New Roman" w:hAnsi="Times New Roman" w:cs="Times New Roman"/>
          <w:color w:val="000000" w:themeColor="text1"/>
          <w:sz w:val="24"/>
          <w:szCs w:val="24"/>
        </w:rPr>
        <w:t xml:space="preserve"> despite </w:t>
      </w:r>
      <w:r w:rsidR="009C313A" w:rsidRPr="00B90668">
        <w:rPr>
          <w:rFonts w:ascii="Times New Roman" w:hAnsi="Times New Roman" w:cs="Times New Roman"/>
          <w:color w:val="000000" w:themeColor="text1"/>
          <w:sz w:val="24"/>
          <w:szCs w:val="24"/>
        </w:rPr>
        <w:t>clinical</w:t>
      </w:r>
      <w:r w:rsidR="00E3388E">
        <w:rPr>
          <w:rFonts w:ascii="Times New Roman" w:hAnsi="Times New Roman" w:cs="Times New Roman"/>
          <w:color w:val="000000" w:themeColor="text1"/>
          <w:sz w:val="24"/>
          <w:szCs w:val="24"/>
        </w:rPr>
        <w:t xml:space="preserve"> seizure</w:t>
      </w:r>
      <w:r w:rsidR="009C313A" w:rsidRPr="00B90668">
        <w:rPr>
          <w:rFonts w:ascii="Times New Roman" w:hAnsi="Times New Roman" w:cs="Times New Roman"/>
          <w:color w:val="000000" w:themeColor="text1"/>
          <w:sz w:val="24"/>
          <w:szCs w:val="24"/>
        </w:rPr>
        <w:t xml:space="preserve"> </w:t>
      </w:r>
      <w:r w:rsidR="00002AB8" w:rsidRPr="00B90668">
        <w:rPr>
          <w:rFonts w:ascii="Times New Roman" w:hAnsi="Times New Roman" w:cs="Times New Roman"/>
          <w:color w:val="000000" w:themeColor="text1"/>
          <w:sz w:val="24"/>
          <w:szCs w:val="24"/>
        </w:rPr>
        <w:t>cessatio</w:t>
      </w:r>
      <w:r w:rsidR="00E3388E">
        <w:rPr>
          <w:rFonts w:ascii="Times New Roman" w:hAnsi="Times New Roman" w:cs="Times New Roman"/>
          <w:color w:val="000000" w:themeColor="text1"/>
          <w:sz w:val="24"/>
          <w:szCs w:val="24"/>
        </w:rPr>
        <w:t>n</w:t>
      </w:r>
      <w:r w:rsidR="00DC41DB" w:rsidRPr="00B90668">
        <w:rPr>
          <w:rFonts w:ascii="Times New Roman" w:hAnsi="Times New Roman" w:cs="Times New Roman"/>
          <w:color w:val="000000" w:themeColor="text1"/>
          <w:sz w:val="24"/>
          <w:szCs w:val="24"/>
        </w:rPr>
        <w:t>.</w:t>
      </w:r>
    </w:p>
    <w:p w14:paraId="5B4BC31E" w14:textId="77777777" w:rsidR="006A6AF2" w:rsidRPr="00B90668" w:rsidRDefault="006A6AF2" w:rsidP="003A31C5">
      <w:pPr>
        <w:spacing w:after="0" w:line="480" w:lineRule="auto"/>
        <w:jc w:val="both"/>
        <w:rPr>
          <w:rFonts w:ascii="Times New Roman" w:hAnsi="Times New Roman" w:cs="Times New Roman"/>
          <w:color w:val="000000" w:themeColor="text1"/>
          <w:sz w:val="24"/>
          <w:szCs w:val="24"/>
        </w:rPr>
      </w:pPr>
    </w:p>
    <w:p w14:paraId="34E29BA4" w14:textId="46D4F11F" w:rsidR="00DC41DB" w:rsidRPr="00B90668" w:rsidRDefault="00DC41DB" w:rsidP="003A31C5">
      <w:pPr>
        <w:spacing w:after="0" w:line="480" w:lineRule="auto"/>
        <w:jc w:val="both"/>
        <w:rPr>
          <w:rFonts w:ascii="Times New Roman" w:hAnsi="Times New Roman" w:cs="Times New Roman"/>
          <w:color w:val="000000" w:themeColor="text1"/>
          <w:sz w:val="24"/>
          <w:szCs w:val="24"/>
          <w:u w:val="single"/>
        </w:rPr>
      </w:pPr>
      <w:r w:rsidRPr="00B90668">
        <w:rPr>
          <w:rFonts w:ascii="Times New Roman" w:hAnsi="Times New Roman" w:cs="Times New Roman"/>
          <w:color w:val="000000" w:themeColor="text1"/>
          <w:sz w:val="24"/>
          <w:szCs w:val="24"/>
          <w:u w:val="single"/>
        </w:rPr>
        <w:t>ESETT primary outcome as the dependent variable</w:t>
      </w:r>
    </w:p>
    <w:p w14:paraId="0AC7EFCF" w14:textId="22F93AC5" w:rsidR="00DA386C" w:rsidRPr="00B90668" w:rsidRDefault="00A14F50" w:rsidP="003A31C5">
      <w:pPr>
        <w:spacing w:after="0"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color w:val="000000" w:themeColor="text1"/>
          <w:sz w:val="24"/>
          <w:szCs w:val="24"/>
        </w:rPr>
        <w:t>The ESETT primary outcome</w:t>
      </w:r>
      <w:r w:rsidR="00DA386C" w:rsidRPr="00B90668">
        <w:rPr>
          <w:rFonts w:ascii="Times New Roman" w:hAnsi="Times New Roman" w:cs="Times New Roman"/>
          <w:color w:val="000000" w:themeColor="text1"/>
          <w:sz w:val="24"/>
          <w:szCs w:val="24"/>
        </w:rPr>
        <w:t xml:space="preserve"> was expressed </w:t>
      </w:r>
      <w:r w:rsidR="00E3388E">
        <w:rPr>
          <w:rFonts w:ascii="Times New Roman" w:hAnsi="Times New Roman" w:cs="Times New Roman"/>
          <w:color w:val="000000" w:themeColor="text1"/>
          <w:sz w:val="24"/>
          <w:szCs w:val="24"/>
        </w:rPr>
        <w:t>as</w:t>
      </w:r>
      <w:r w:rsidR="00DA386C" w:rsidRPr="00B90668">
        <w:rPr>
          <w:rFonts w:ascii="Times New Roman" w:hAnsi="Times New Roman" w:cs="Times New Roman"/>
          <w:color w:val="000000" w:themeColor="text1"/>
          <w:sz w:val="24"/>
          <w:szCs w:val="24"/>
        </w:rPr>
        <w:t xml:space="preserve"> binary (0=treatment failure, 1=treatment success) and used as the dependent variable</w:t>
      </w:r>
      <w:r w:rsidR="001939B7" w:rsidRPr="00B90668">
        <w:rPr>
          <w:rFonts w:ascii="Times New Roman" w:hAnsi="Times New Roman" w:cs="Times New Roman"/>
          <w:color w:val="000000" w:themeColor="text1"/>
          <w:sz w:val="24"/>
          <w:szCs w:val="24"/>
        </w:rPr>
        <w:t xml:space="preserve"> for </w:t>
      </w:r>
      <w:r w:rsidR="001174B9" w:rsidRPr="00B90668">
        <w:rPr>
          <w:rFonts w:ascii="Times New Roman" w:hAnsi="Times New Roman" w:cs="Times New Roman"/>
          <w:color w:val="000000" w:themeColor="text1"/>
          <w:sz w:val="24"/>
          <w:szCs w:val="24"/>
        </w:rPr>
        <w:t xml:space="preserve">the following </w:t>
      </w:r>
      <w:r w:rsidR="001939B7" w:rsidRPr="00B90668">
        <w:rPr>
          <w:rFonts w:ascii="Times New Roman" w:hAnsi="Times New Roman" w:cs="Times New Roman"/>
          <w:color w:val="000000" w:themeColor="text1"/>
          <w:sz w:val="24"/>
          <w:szCs w:val="24"/>
        </w:rPr>
        <w:t>logistic regression models</w:t>
      </w:r>
      <w:r w:rsidR="001174B9" w:rsidRPr="00B90668">
        <w:rPr>
          <w:rFonts w:ascii="Times New Roman" w:hAnsi="Times New Roman" w:cs="Times New Roman"/>
          <w:color w:val="000000" w:themeColor="text1"/>
          <w:sz w:val="24"/>
          <w:szCs w:val="24"/>
        </w:rPr>
        <w:t>:</w:t>
      </w:r>
    </w:p>
    <w:p w14:paraId="3347933E" w14:textId="77777777" w:rsidR="003A3A80" w:rsidRPr="00B90668" w:rsidRDefault="003A3A80" w:rsidP="003A31C5">
      <w:pPr>
        <w:spacing w:after="0" w:line="480" w:lineRule="auto"/>
        <w:jc w:val="both"/>
        <w:rPr>
          <w:rFonts w:ascii="Times New Roman" w:hAnsi="Times New Roman" w:cs="Times New Roman"/>
          <w:color w:val="000000" w:themeColor="text1"/>
          <w:sz w:val="24"/>
          <w:szCs w:val="24"/>
        </w:rPr>
      </w:pPr>
    </w:p>
    <w:p w14:paraId="5BE89075" w14:textId="4112C51D" w:rsidR="001C0357" w:rsidRPr="00B90668" w:rsidRDefault="009C313A" w:rsidP="003A31C5">
      <w:pPr>
        <w:spacing w:after="0"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t xml:space="preserve">Association of </w:t>
      </w:r>
      <w:r w:rsidR="003A3A80" w:rsidRPr="00B90668">
        <w:rPr>
          <w:rFonts w:ascii="Times New Roman" w:hAnsi="Times New Roman" w:cs="Times New Roman"/>
          <w:i/>
          <w:color w:val="000000" w:themeColor="text1"/>
          <w:sz w:val="24"/>
          <w:szCs w:val="24"/>
        </w:rPr>
        <w:t xml:space="preserve">weight </w:t>
      </w:r>
      <w:r w:rsidRPr="00B90668">
        <w:rPr>
          <w:rFonts w:ascii="Times New Roman" w:hAnsi="Times New Roman" w:cs="Times New Roman"/>
          <w:i/>
          <w:color w:val="000000" w:themeColor="text1"/>
          <w:sz w:val="24"/>
          <w:szCs w:val="24"/>
        </w:rPr>
        <w:t>with</w:t>
      </w:r>
      <w:r w:rsidR="003A3A80" w:rsidRPr="00B90668">
        <w:rPr>
          <w:rFonts w:ascii="Times New Roman" w:hAnsi="Times New Roman" w:cs="Times New Roman"/>
          <w:i/>
          <w:color w:val="000000" w:themeColor="text1"/>
          <w:sz w:val="24"/>
          <w:szCs w:val="24"/>
        </w:rPr>
        <w:t xml:space="preserve"> </w:t>
      </w:r>
      <w:r w:rsidR="00A14F50" w:rsidRPr="00B90668">
        <w:rPr>
          <w:rFonts w:ascii="Times New Roman" w:hAnsi="Times New Roman" w:cs="Times New Roman"/>
          <w:i/>
          <w:color w:val="000000" w:themeColor="text1"/>
          <w:sz w:val="24"/>
          <w:szCs w:val="24"/>
          <w:u w:val="single"/>
        </w:rPr>
        <w:t>primary outcome</w:t>
      </w:r>
      <w:r w:rsidR="00B47DD5" w:rsidRPr="00044050">
        <w:rPr>
          <w:rFonts w:ascii="Times New Roman" w:hAnsi="Times New Roman" w:cs="Times New Roman"/>
          <w:i/>
          <w:color w:val="000000" w:themeColor="text1"/>
          <w:sz w:val="24"/>
          <w:szCs w:val="24"/>
        </w:rPr>
        <w:t xml:space="preserve"> using univariate and multivariate analys</w:t>
      </w:r>
      <w:r w:rsidR="00B47DD5">
        <w:rPr>
          <w:rFonts w:ascii="Times New Roman" w:hAnsi="Times New Roman" w:cs="Times New Roman"/>
          <w:i/>
          <w:color w:val="000000" w:themeColor="text1"/>
          <w:sz w:val="24"/>
          <w:szCs w:val="24"/>
        </w:rPr>
        <w:t>e</w:t>
      </w:r>
      <w:r w:rsidR="00B47DD5" w:rsidRPr="00044050">
        <w:rPr>
          <w:rFonts w:ascii="Times New Roman" w:hAnsi="Times New Roman" w:cs="Times New Roman"/>
          <w:i/>
          <w:color w:val="000000" w:themeColor="text1"/>
          <w:sz w:val="24"/>
          <w:szCs w:val="24"/>
        </w:rPr>
        <w:t>s</w:t>
      </w:r>
    </w:p>
    <w:p w14:paraId="6884EA34" w14:textId="3F40B86A" w:rsidR="003A3A80" w:rsidRPr="00B90668" w:rsidRDefault="006B5EA0"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 xml:space="preserve">Two logistic regression models were used to test the </w:t>
      </w:r>
      <w:r w:rsidR="001A2F7A" w:rsidRPr="00B90668">
        <w:rPr>
          <w:rFonts w:ascii="Times New Roman" w:hAnsi="Times New Roman" w:cs="Times New Roman"/>
          <w:color w:val="000000" w:themeColor="text1"/>
          <w:sz w:val="24"/>
          <w:szCs w:val="24"/>
        </w:rPr>
        <w:t>association</w:t>
      </w:r>
      <w:r w:rsidR="003A3A80" w:rsidRPr="00B90668">
        <w:rPr>
          <w:rFonts w:ascii="Times New Roman" w:hAnsi="Times New Roman" w:cs="Times New Roman"/>
          <w:color w:val="000000" w:themeColor="text1"/>
          <w:sz w:val="24"/>
          <w:szCs w:val="24"/>
        </w:rPr>
        <w:t xml:space="preserve"> of weight</w:t>
      </w:r>
      <w:r w:rsidR="008E292E" w:rsidRPr="00B90668">
        <w:rPr>
          <w:rFonts w:ascii="Times New Roman" w:hAnsi="Times New Roman" w:cs="Times New Roman"/>
          <w:color w:val="000000" w:themeColor="text1"/>
          <w:sz w:val="24"/>
          <w:szCs w:val="24"/>
        </w:rPr>
        <w:t xml:space="preserve">, </w:t>
      </w:r>
      <w:r w:rsidR="001174B9" w:rsidRPr="00B90668">
        <w:rPr>
          <w:rFonts w:ascii="Times New Roman" w:hAnsi="Times New Roman" w:cs="Times New Roman"/>
          <w:color w:val="000000" w:themeColor="text1"/>
          <w:sz w:val="24"/>
          <w:szCs w:val="24"/>
        </w:rPr>
        <w:t>as</w:t>
      </w:r>
      <w:r w:rsidR="008E292E" w:rsidRPr="00B90668">
        <w:rPr>
          <w:rFonts w:ascii="Times New Roman" w:hAnsi="Times New Roman" w:cs="Times New Roman"/>
          <w:color w:val="000000" w:themeColor="text1"/>
          <w:sz w:val="24"/>
          <w:szCs w:val="24"/>
        </w:rPr>
        <w:t xml:space="preserve"> a</w:t>
      </w:r>
      <w:r w:rsidR="001174B9" w:rsidRPr="00B90668">
        <w:rPr>
          <w:rFonts w:ascii="Times New Roman" w:hAnsi="Times New Roman" w:cs="Times New Roman"/>
          <w:color w:val="000000" w:themeColor="text1"/>
          <w:sz w:val="24"/>
          <w:szCs w:val="24"/>
        </w:rPr>
        <w:t xml:space="preserve"> </w:t>
      </w:r>
      <w:r w:rsidR="003A3A80" w:rsidRPr="00B90668">
        <w:rPr>
          <w:rFonts w:ascii="Times New Roman" w:hAnsi="Times New Roman" w:cs="Times New Roman"/>
          <w:color w:val="000000" w:themeColor="text1"/>
          <w:sz w:val="24"/>
          <w:szCs w:val="24"/>
        </w:rPr>
        <w:t>binary</w:t>
      </w:r>
      <w:r w:rsidR="00D73601" w:rsidRPr="00B90668">
        <w:rPr>
          <w:rFonts w:ascii="Times New Roman" w:hAnsi="Times New Roman" w:cs="Times New Roman"/>
          <w:color w:val="000000" w:themeColor="text1"/>
          <w:sz w:val="24"/>
          <w:szCs w:val="24"/>
        </w:rPr>
        <w:t xml:space="preserve"> </w:t>
      </w:r>
      <w:r w:rsidR="008E292E" w:rsidRPr="00B90668">
        <w:rPr>
          <w:rFonts w:ascii="Times New Roman" w:hAnsi="Times New Roman" w:cs="Times New Roman"/>
          <w:color w:val="000000" w:themeColor="text1"/>
          <w:sz w:val="24"/>
          <w:szCs w:val="24"/>
        </w:rPr>
        <w:t>predictor,</w:t>
      </w:r>
      <w:r w:rsidR="003A3A80" w:rsidRPr="00B90668">
        <w:rPr>
          <w:rFonts w:ascii="Times New Roman" w:hAnsi="Times New Roman" w:cs="Times New Roman"/>
          <w:color w:val="000000" w:themeColor="text1"/>
          <w:sz w:val="24"/>
          <w:szCs w:val="24"/>
        </w:rPr>
        <w:t xml:space="preserve"> </w:t>
      </w:r>
      <w:r w:rsidR="001A2F7A" w:rsidRPr="00B90668">
        <w:rPr>
          <w:rFonts w:ascii="Times New Roman" w:hAnsi="Times New Roman" w:cs="Times New Roman"/>
          <w:color w:val="000000" w:themeColor="text1"/>
          <w:sz w:val="24"/>
          <w:szCs w:val="24"/>
        </w:rPr>
        <w:t>with</w:t>
      </w:r>
      <w:r w:rsidR="00A14F50" w:rsidRPr="00B90668">
        <w:rPr>
          <w:rFonts w:ascii="Times New Roman" w:hAnsi="Times New Roman" w:cs="Times New Roman"/>
          <w:color w:val="000000" w:themeColor="text1"/>
          <w:sz w:val="24"/>
          <w:szCs w:val="24"/>
        </w:rPr>
        <w:t xml:space="preserve"> primary outcome</w:t>
      </w:r>
      <w:r w:rsidR="003A3A80" w:rsidRPr="00B90668">
        <w:rPr>
          <w:rFonts w:ascii="Times New Roman" w:hAnsi="Times New Roman" w:cs="Times New Roman"/>
          <w:color w:val="000000" w:themeColor="text1"/>
          <w:sz w:val="24"/>
          <w:szCs w:val="24"/>
        </w:rPr>
        <w:t xml:space="preserve"> </w:t>
      </w:r>
      <w:r w:rsidR="00B9210E">
        <w:rPr>
          <w:rFonts w:ascii="Times New Roman" w:hAnsi="Times New Roman" w:cs="Times New Roman"/>
          <w:color w:val="000000" w:themeColor="text1"/>
          <w:sz w:val="24"/>
          <w:szCs w:val="24"/>
        </w:rPr>
        <w:t>using</w:t>
      </w:r>
      <w:r w:rsidRPr="00B90668">
        <w:rPr>
          <w:rFonts w:ascii="Times New Roman" w:hAnsi="Times New Roman" w:cs="Times New Roman"/>
          <w:color w:val="000000" w:themeColor="text1"/>
          <w:sz w:val="24"/>
          <w:szCs w:val="24"/>
        </w:rPr>
        <w:t xml:space="preserve"> weight</w:t>
      </w:r>
      <w:r w:rsidR="003A3A80" w:rsidRPr="00B90668">
        <w:rPr>
          <w:rFonts w:ascii="Times New Roman" w:hAnsi="Times New Roman" w:cs="Times New Roman"/>
          <w:color w:val="000000" w:themeColor="text1"/>
          <w:sz w:val="24"/>
          <w:szCs w:val="24"/>
        </w:rPr>
        <w:t xml:space="preserve"> cut-off</w:t>
      </w:r>
      <w:r w:rsidR="00E34ED0" w:rsidRPr="00B90668">
        <w:rPr>
          <w:rFonts w:ascii="Times New Roman" w:hAnsi="Times New Roman" w:cs="Times New Roman"/>
          <w:color w:val="000000" w:themeColor="text1"/>
          <w:sz w:val="24"/>
          <w:szCs w:val="24"/>
        </w:rPr>
        <w:t>s</w:t>
      </w:r>
      <w:r w:rsidR="003A3A80" w:rsidRPr="00B90668">
        <w:rPr>
          <w:rFonts w:ascii="Times New Roman" w:hAnsi="Times New Roman" w:cs="Times New Roman"/>
          <w:color w:val="000000" w:themeColor="text1"/>
          <w:sz w:val="24"/>
          <w:szCs w:val="24"/>
        </w:rPr>
        <w:t xml:space="preserve"> </w:t>
      </w:r>
      <w:r w:rsidR="001174B9" w:rsidRPr="00B90668">
        <w:rPr>
          <w:rFonts w:ascii="Times New Roman" w:hAnsi="Times New Roman" w:cs="Times New Roman"/>
          <w:color w:val="000000" w:themeColor="text1"/>
          <w:sz w:val="24"/>
          <w:szCs w:val="24"/>
        </w:rPr>
        <w:t>of</w:t>
      </w:r>
      <w:r w:rsidR="003A3A80" w:rsidRPr="00B90668">
        <w:rPr>
          <w:rFonts w:ascii="Times New Roman" w:hAnsi="Times New Roman" w:cs="Times New Roman"/>
          <w:color w:val="000000" w:themeColor="text1"/>
          <w:sz w:val="24"/>
          <w:szCs w:val="24"/>
        </w:rPr>
        <w:t xml:space="preserve"> 75 kg and</w:t>
      </w:r>
      <w:r w:rsidRPr="00B90668">
        <w:rPr>
          <w:rFonts w:ascii="Times New Roman" w:hAnsi="Times New Roman" w:cs="Times New Roman"/>
          <w:color w:val="000000" w:themeColor="text1"/>
          <w:sz w:val="24"/>
          <w:szCs w:val="24"/>
        </w:rPr>
        <w:t xml:space="preserve"> 90 kg</w:t>
      </w:r>
      <w:r w:rsidR="00237903" w:rsidRPr="00B90668">
        <w:rPr>
          <w:rFonts w:ascii="Times New Roman" w:hAnsi="Times New Roman" w:cs="Times New Roman"/>
          <w:color w:val="000000" w:themeColor="text1"/>
          <w:sz w:val="24"/>
          <w:szCs w:val="24"/>
        </w:rPr>
        <w:t>,</w:t>
      </w:r>
      <w:r w:rsidR="00E34ED0" w:rsidRPr="00B90668">
        <w:rPr>
          <w:rFonts w:ascii="Times New Roman" w:hAnsi="Times New Roman" w:cs="Times New Roman"/>
          <w:color w:val="000000" w:themeColor="text1"/>
          <w:sz w:val="24"/>
          <w:szCs w:val="24"/>
        </w:rPr>
        <w:t xml:space="preserve"> respectively</w:t>
      </w:r>
      <w:r w:rsidR="003A3A80" w:rsidRPr="00B90668">
        <w:rPr>
          <w:rFonts w:ascii="Times New Roman" w:hAnsi="Times New Roman" w:cs="Times New Roman"/>
          <w:color w:val="000000" w:themeColor="text1"/>
          <w:sz w:val="24"/>
          <w:szCs w:val="24"/>
        </w:rPr>
        <w:t>.</w:t>
      </w:r>
      <w:r w:rsidR="001A2F7A" w:rsidRPr="00B90668">
        <w:rPr>
          <w:rFonts w:ascii="Times New Roman" w:hAnsi="Times New Roman" w:cs="Times New Roman"/>
          <w:color w:val="000000" w:themeColor="text1"/>
          <w:sz w:val="24"/>
          <w:szCs w:val="24"/>
        </w:rPr>
        <w:t xml:space="preserve"> </w:t>
      </w:r>
      <w:r w:rsidR="008E292E" w:rsidRPr="00B90668">
        <w:rPr>
          <w:rFonts w:ascii="Times New Roman" w:hAnsi="Times New Roman" w:cs="Times New Roman"/>
          <w:color w:val="000000" w:themeColor="text1"/>
          <w:sz w:val="24"/>
          <w:szCs w:val="24"/>
        </w:rPr>
        <w:t>A 90</w:t>
      </w:r>
      <w:r w:rsidR="00D73601" w:rsidRPr="00B90668">
        <w:rPr>
          <w:rFonts w:ascii="Times New Roman" w:hAnsi="Times New Roman" w:cs="Times New Roman"/>
          <w:color w:val="000000" w:themeColor="text1"/>
          <w:sz w:val="24"/>
          <w:szCs w:val="24"/>
        </w:rPr>
        <w:t xml:space="preserve"> kg</w:t>
      </w:r>
      <w:r w:rsidR="008E292E" w:rsidRPr="00B90668">
        <w:rPr>
          <w:rFonts w:ascii="Times New Roman" w:hAnsi="Times New Roman" w:cs="Times New Roman"/>
          <w:color w:val="000000" w:themeColor="text1"/>
          <w:sz w:val="24"/>
          <w:szCs w:val="24"/>
        </w:rPr>
        <w:t xml:space="preserve"> cut-off was chosen</w:t>
      </w:r>
      <w:r w:rsidR="00D73601" w:rsidRPr="00B90668">
        <w:rPr>
          <w:rFonts w:ascii="Times New Roman" w:hAnsi="Times New Roman" w:cs="Times New Roman"/>
          <w:color w:val="000000" w:themeColor="text1"/>
          <w:sz w:val="24"/>
          <w:szCs w:val="24"/>
        </w:rPr>
        <w:t xml:space="preserve"> to examine the </w:t>
      </w:r>
      <w:r w:rsidR="001A2F7A" w:rsidRPr="00B90668">
        <w:rPr>
          <w:rFonts w:ascii="Times New Roman" w:hAnsi="Times New Roman" w:cs="Times New Roman"/>
          <w:color w:val="000000" w:themeColor="text1"/>
          <w:sz w:val="24"/>
          <w:szCs w:val="24"/>
        </w:rPr>
        <w:t>association</w:t>
      </w:r>
      <w:r w:rsidR="00D73601" w:rsidRPr="00B90668">
        <w:rPr>
          <w:rFonts w:ascii="Times New Roman" w:hAnsi="Times New Roman" w:cs="Times New Roman"/>
          <w:color w:val="000000" w:themeColor="text1"/>
          <w:sz w:val="24"/>
          <w:szCs w:val="24"/>
        </w:rPr>
        <w:t xml:space="preserve"> </w:t>
      </w:r>
      <w:r w:rsidR="001A2F7A" w:rsidRPr="00B90668">
        <w:rPr>
          <w:rFonts w:ascii="Times New Roman" w:hAnsi="Times New Roman" w:cs="Times New Roman"/>
          <w:color w:val="000000" w:themeColor="text1"/>
          <w:sz w:val="24"/>
          <w:szCs w:val="24"/>
        </w:rPr>
        <w:t>for</w:t>
      </w:r>
      <w:r w:rsidR="00D73601" w:rsidRPr="00B90668">
        <w:rPr>
          <w:rFonts w:ascii="Times New Roman" w:hAnsi="Times New Roman" w:cs="Times New Roman"/>
          <w:color w:val="000000" w:themeColor="text1"/>
          <w:sz w:val="24"/>
          <w:szCs w:val="24"/>
        </w:rPr>
        <w:t xml:space="preserve"> higher weight individuals</w:t>
      </w:r>
      <w:r w:rsidR="00002AB8" w:rsidRPr="00B90668">
        <w:rPr>
          <w:rFonts w:ascii="Times New Roman" w:hAnsi="Times New Roman" w:cs="Times New Roman"/>
          <w:color w:val="000000" w:themeColor="text1"/>
          <w:sz w:val="24"/>
          <w:szCs w:val="24"/>
        </w:rPr>
        <w:t xml:space="preserve"> more rigorously.</w:t>
      </w:r>
      <w:r w:rsidR="00F760D6" w:rsidRPr="00B90668">
        <w:rPr>
          <w:rFonts w:ascii="Times New Roman" w:hAnsi="Times New Roman" w:cs="Times New Roman"/>
          <w:color w:val="000000" w:themeColor="text1"/>
          <w:sz w:val="24"/>
          <w:szCs w:val="24"/>
        </w:rPr>
        <w:t xml:space="preserve"> </w:t>
      </w:r>
      <w:r w:rsidR="00585C62" w:rsidRPr="00B90668">
        <w:rPr>
          <w:rFonts w:ascii="Times New Roman" w:hAnsi="Times New Roman" w:cs="Times New Roman"/>
          <w:color w:val="000000" w:themeColor="text1"/>
          <w:sz w:val="24"/>
          <w:szCs w:val="24"/>
        </w:rPr>
        <w:t xml:space="preserve">A </w:t>
      </w:r>
      <w:r w:rsidR="003A3A80" w:rsidRPr="00B90668">
        <w:rPr>
          <w:rFonts w:ascii="Times New Roman" w:hAnsi="Times New Roman" w:cs="Times New Roman"/>
          <w:color w:val="000000" w:themeColor="text1"/>
          <w:sz w:val="24"/>
          <w:szCs w:val="24"/>
        </w:rPr>
        <w:t xml:space="preserve">logistic regression </w:t>
      </w:r>
      <w:r w:rsidR="00585C62" w:rsidRPr="00B90668">
        <w:rPr>
          <w:rFonts w:ascii="Times New Roman" w:hAnsi="Times New Roman" w:cs="Times New Roman"/>
          <w:color w:val="000000" w:themeColor="text1"/>
          <w:sz w:val="24"/>
          <w:szCs w:val="24"/>
        </w:rPr>
        <w:t xml:space="preserve">model </w:t>
      </w:r>
      <w:r w:rsidR="00F74280" w:rsidRPr="00B90668">
        <w:rPr>
          <w:rFonts w:ascii="Times New Roman" w:hAnsi="Times New Roman" w:cs="Times New Roman"/>
          <w:color w:val="000000" w:themeColor="text1"/>
          <w:sz w:val="24"/>
          <w:szCs w:val="24"/>
        </w:rPr>
        <w:t>was</w:t>
      </w:r>
      <w:r w:rsidR="00875C73" w:rsidRPr="00B90668">
        <w:rPr>
          <w:rFonts w:ascii="Times New Roman" w:hAnsi="Times New Roman" w:cs="Times New Roman"/>
          <w:color w:val="000000" w:themeColor="text1"/>
          <w:sz w:val="24"/>
          <w:szCs w:val="24"/>
        </w:rPr>
        <w:t xml:space="preserve"> also</w:t>
      </w:r>
      <w:r w:rsidR="00F74280" w:rsidRPr="00B90668">
        <w:rPr>
          <w:rFonts w:ascii="Times New Roman" w:hAnsi="Times New Roman" w:cs="Times New Roman"/>
          <w:color w:val="000000" w:themeColor="text1"/>
          <w:sz w:val="24"/>
          <w:szCs w:val="24"/>
        </w:rPr>
        <w:t xml:space="preserve"> </w:t>
      </w:r>
      <w:r w:rsidR="00B9210E">
        <w:rPr>
          <w:rFonts w:ascii="Times New Roman" w:hAnsi="Times New Roman" w:cs="Times New Roman"/>
          <w:color w:val="000000" w:themeColor="text1"/>
          <w:sz w:val="24"/>
          <w:szCs w:val="24"/>
        </w:rPr>
        <w:t>tested</w:t>
      </w:r>
      <w:r w:rsidR="00C02D5A" w:rsidRPr="00B90668">
        <w:rPr>
          <w:rFonts w:ascii="Times New Roman" w:hAnsi="Times New Roman" w:cs="Times New Roman"/>
          <w:color w:val="000000" w:themeColor="text1"/>
          <w:sz w:val="24"/>
          <w:szCs w:val="24"/>
        </w:rPr>
        <w:t xml:space="preserve"> association of</w:t>
      </w:r>
      <w:r w:rsidR="00875C73" w:rsidRPr="00B90668">
        <w:rPr>
          <w:rFonts w:ascii="Times New Roman" w:hAnsi="Times New Roman" w:cs="Times New Roman"/>
          <w:color w:val="000000" w:themeColor="text1"/>
          <w:sz w:val="24"/>
          <w:szCs w:val="24"/>
        </w:rPr>
        <w:t xml:space="preserve"> interaction</w:t>
      </w:r>
      <w:r w:rsidR="00F760D6" w:rsidRPr="00B90668">
        <w:rPr>
          <w:rFonts w:ascii="Times New Roman" w:hAnsi="Times New Roman" w:cs="Times New Roman"/>
          <w:color w:val="000000" w:themeColor="text1"/>
          <w:sz w:val="24"/>
          <w:szCs w:val="24"/>
        </w:rPr>
        <w:t>s</w:t>
      </w:r>
      <w:r w:rsidR="00875C73" w:rsidRPr="00B90668">
        <w:rPr>
          <w:rFonts w:ascii="Times New Roman" w:hAnsi="Times New Roman" w:cs="Times New Roman"/>
          <w:color w:val="000000" w:themeColor="text1"/>
          <w:sz w:val="24"/>
          <w:szCs w:val="24"/>
        </w:rPr>
        <w:t xml:space="preserve"> of weight, sex and treatment </w:t>
      </w:r>
      <w:r w:rsidR="00D515D3" w:rsidRPr="00B90668">
        <w:rPr>
          <w:rFonts w:ascii="Times New Roman" w:hAnsi="Times New Roman" w:cs="Times New Roman"/>
          <w:color w:val="000000" w:themeColor="text1"/>
          <w:sz w:val="24"/>
          <w:szCs w:val="24"/>
        </w:rPr>
        <w:t>with</w:t>
      </w:r>
      <w:r w:rsidR="00A14F50" w:rsidRPr="00B90668">
        <w:rPr>
          <w:rFonts w:ascii="Times New Roman" w:hAnsi="Times New Roman" w:cs="Times New Roman"/>
          <w:color w:val="000000" w:themeColor="text1"/>
          <w:sz w:val="24"/>
          <w:szCs w:val="24"/>
        </w:rPr>
        <w:t xml:space="preserve"> the</w:t>
      </w:r>
      <w:r w:rsidR="00875C73" w:rsidRPr="00B90668">
        <w:rPr>
          <w:rFonts w:ascii="Times New Roman" w:hAnsi="Times New Roman" w:cs="Times New Roman"/>
          <w:color w:val="000000" w:themeColor="text1"/>
          <w:sz w:val="24"/>
          <w:szCs w:val="24"/>
        </w:rPr>
        <w:t xml:space="preserve"> </w:t>
      </w:r>
      <w:r w:rsidR="00A14F50" w:rsidRPr="00B90668">
        <w:rPr>
          <w:rFonts w:ascii="Times New Roman" w:hAnsi="Times New Roman" w:cs="Times New Roman"/>
          <w:color w:val="000000" w:themeColor="text1"/>
          <w:sz w:val="24"/>
          <w:szCs w:val="24"/>
        </w:rPr>
        <w:t>primary outcome</w:t>
      </w:r>
      <w:r w:rsidR="00875C73" w:rsidRPr="00B90668">
        <w:rPr>
          <w:rFonts w:ascii="Times New Roman" w:hAnsi="Times New Roman" w:cs="Times New Roman"/>
          <w:color w:val="000000" w:themeColor="text1"/>
          <w:sz w:val="24"/>
          <w:szCs w:val="24"/>
        </w:rPr>
        <w:t>. The model</w:t>
      </w:r>
      <w:r w:rsidR="00585C62" w:rsidRPr="00B90668">
        <w:rPr>
          <w:rFonts w:ascii="Times New Roman" w:hAnsi="Times New Roman" w:cs="Times New Roman"/>
          <w:color w:val="000000" w:themeColor="text1"/>
          <w:sz w:val="24"/>
          <w:szCs w:val="24"/>
        </w:rPr>
        <w:t xml:space="preserve"> included</w:t>
      </w:r>
      <w:r w:rsidR="003A3A80" w:rsidRPr="00B90668">
        <w:rPr>
          <w:rFonts w:ascii="Times New Roman" w:hAnsi="Times New Roman" w:cs="Times New Roman"/>
          <w:color w:val="000000" w:themeColor="text1"/>
          <w:sz w:val="24"/>
          <w:szCs w:val="24"/>
        </w:rPr>
        <w:t xml:space="preserve"> treatment</w:t>
      </w:r>
      <w:r w:rsidR="006F1C74" w:rsidRPr="00B90668">
        <w:rPr>
          <w:rFonts w:ascii="Times New Roman" w:hAnsi="Times New Roman" w:cs="Times New Roman"/>
          <w:color w:val="000000" w:themeColor="text1"/>
          <w:sz w:val="24"/>
          <w:szCs w:val="24"/>
        </w:rPr>
        <w:t xml:space="preserve"> group</w:t>
      </w:r>
      <w:r w:rsidR="003A3A80" w:rsidRPr="00B90668">
        <w:rPr>
          <w:rFonts w:ascii="Times New Roman" w:hAnsi="Times New Roman" w:cs="Times New Roman"/>
          <w:color w:val="000000" w:themeColor="text1"/>
          <w:sz w:val="24"/>
          <w:szCs w:val="24"/>
        </w:rPr>
        <w:t xml:space="preserve"> (FOS, LEV or VPA), sex</w:t>
      </w:r>
      <w:r w:rsidR="00F74280" w:rsidRPr="00B90668">
        <w:rPr>
          <w:rFonts w:ascii="Times New Roman" w:hAnsi="Times New Roman" w:cs="Times New Roman"/>
          <w:color w:val="000000" w:themeColor="text1"/>
          <w:sz w:val="24"/>
          <w:szCs w:val="24"/>
        </w:rPr>
        <w:t xml:space="preserve"> (</w:t>
      </w:r>
      <w:r w:rsidR="00002AB8" w:rsidRPr="00B90668">
        <w:rPr>
          <w:rFonts w:ascii="Times New Roman" w:hAnsi="Times New Roman" w:cs="Times New Roman"/>
          <w:color w:val="000000" w:themeColor="text1"/>
          <w:sz w:val="24"/>
          <w:szCs w:val="24"/>
        </w:rPr>
        <w:t>m</w:t>
      </w:r>
      <w:r w:rsidR="006F1C74" w:rsidRPr="00B90668">
        <w:rPr>
          <w:rFonts w:ascii="Times New Roman" w:hAnsi="Times New Roman" w:cs="Times New Roman"/>
          <w:color w:val="000000" w:themeColor="text1"/>
          <w:sz w:val="24"/>
          <w:szCs w:val="24"/>
        </w:rPr>
        <w:t xml:space="preserve">ale or </w:t>
      </w:r>
      <w:r w:rsidR="00002AB8" w:rsidRPr="00B90668">
        <w:rPr>
          <w:rFonts w:ascii="Times New Roman" w:hAnsi="Times New Roman" w:cs="Times New Roman"/>
          <w:color w:val="000000" w:themeColor="text1"/>
          <w:sz w:val="24"/>
          <w:szCs w:val="24"/>
        </w:rPr>
        <w:t>f</w:t>
      </w:r>
      <w:r w:rsidR="006F1C74" w:rsidRPr="00B90668">
        <w:rPr>
          <w:rFonts w:ascii="Times New Roman" w:hAnsi="Times New Roman" w:cs="Times New Roman"/>
          <w:color w:val="000000" w:themeColor="text1"/>
          <w:sz w:val="24"/>
          <w:szCs w:val="24"/>
        </w:rPr>
        <w:t>emale</w:t>
      </w:r>
      <w:r w:rsidR="00F74280" w:rsidRPr="00B90668">
        <w:rPr>
          <w:rFonts w:ascii="Times New Roman" w:hAnsi="Times New Roman" w:cs="Times New Roman"/>
          <w:color w:val="000000" w:themeColor="text1"/>
          <w:sz w:val="24"/>
          <w:szCs w:val="24"/>
        </w:rPr>
        <w:t>)</w:t>
      </w:r>
      <w:r w:rsidR="003A3A80" w:rsidRPr="00B90668">
        <w:rPr>
          <w:rFonts w:ascii="Times New Roman" w:hAnsi="Times New Roman" w:cs="Times New Roman"/>
          <w:color w:val="000000" w:themeColor="text1"/>
          <w:sz w:val="24"/>
          <w:szCs w:val="24"/>
        </w:rPr>
        <w:t xml:space="preserve"> and weight as binary (≤ or &gt; 75kg) with all the interaction terms</w:t>
      </w:r>
      <w:r w:rsidR="006F1C74" w:rsidRPr="00B90668">
        <w:rPr>
          <w:rFonts w:ascii="Times New Roman" w:hAnsi="Times New Roman" w:cs="Times New Roman"/>
          <w:color w:val="000000" w:themeColor="text1"/>
          <w:sz w:val="24"/>
          <w:szCs w:val="24"/>
        </w:rPr>
        <w:t xml:space="preserve"> (weight x treatment group x sex)</w:t>
      </w:r>
      <w:r w:rsidR="00585C62" w:rsidRPr="00B90668">
        <w:rPr>
          <w:rFonts w:ascii="Times New Roman" w:hAnsi="Times New Roman" w:cs="Times New Roman"/>
          <w:color w:val="000000" w:themeColor="text1"/>
          <w:sz w:val="24"/>
          <w:szCs w:val="24"/>
        </w:rPr>
        <w:t xml:space="preserve"> as predictors of the primary outcome</w:t>
      </w:r>
      <w:r w:rsidR="003A3A80" w:rsidRPr="00B90668">
        <w:rPr>
          <w:rFonts w:ascii="Times New Roman" w:hAnsi="Times New Roman" w:cs="Times New Roman"/>
          <w:color w:val="000000" w:themeColor="text1"/>
          <w:sz w:val="24"/>
          <w:szCs w:val="24"/>
        </w:rPr>
        <w:t>.</w:t>
      </w:r>
    </w:p>
    <w:p w14:paraId="4E19B5B7" w14:textId="77777777" w:rsidR="003A3A80" w:rsidRPr="00B90668" w:rsidRDefault="003A3A80" w:rsidP="003A31C5">
      <w:pPr>
        <w:spacing w:after="0" w:line="480" w:lineRule="auto"/>
        <w:jc w:val="both"/>
        <w:rPr>
          <w:rFonts w:ascii="Times New Roman" w:hAnsi="Times New Roman" w:cs="Times New Roman"/>
          <w:color w:val="000000" w:themeColor="text1"/>
          <w:sz w:val="24"/>
          <w:szCs w:val="24"/>
        </w:rPr>
      </w:pPr>
    </w:p>
    <w:p w14:paraId="4B5D0BBD" w14:textId="2D82C777" w:rsidR="00BE3C36" w:rsidRPr="00B90668" w:rsidRDefault="009C313A" w:rsidP="003A31C5">
      <w:pPr>
        <w:spacing w:after="0"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t>Assoc</w:t>
      </w:r>
      <w:r w:rsidR="001A2F7A" w:rsidRPr="00B90668">
        <w:rPr>
          <w:rFonts w:ascii="Times New Roman" w:hAnsi="Times New Roman" w:cs="Times New Roman"/>
          <w:i/>
          <w:color w:val="000000" w:themeColor="text1"/>
          <w:sz w:val="24"/>
          <w:szCs w:val="24"/>
        </w:rPr>
        <w:t>i</w:t>
      </w:r>
      <w:r w:rsidRPr="00B90668">
        <w:rPr>
          <w:rFonts w:ascii="Times New Roman" w:hAnsi="Times New Roman" w:cs="Times New Roman"/>
          <w:i/>
          <w:color w:val="000000" w:themeColor="text1"/>
          <w:sz w:val="24"/>
          <w:szCs w:val="24"/>
        </w:rPr>
        <w:t>ation of</w:t>
      </w:r>
      <w:r w:rsidR="00585C62" w:rsidRPr="00B90668">
        <w:rPr>
          <w:rFonts w:ascii="Times New Roman" w:hAnsi="Times New Roman" w:cs="Times New Roman"/>
          <w:i/>
          <w:color w:val="000000" w:themeColor="text1"/>
          <w:sz w:val="24"/>
          <w:szCs w:val="24"/>
        </w:rPr>
        <w:t xml:space="preserve"> weight</w:t>
      </w:r>
      <w:r w:rsidR="00E9753A" w:rsidRPr="00B90668">
        <w:rPr>
          <w:rFonts w:ascii="Times New Roman" w:hAnsi="Times New Roman" w:cs="Times New Roman"/>
          <w:i/>
          <w:color w:val="000000" w:themeColor="text1"/>
          <w:sz w:val="24"/>
          <w:szCs w:val="24"/>
        </w:rPr>
        <w:t>-</w:t>
      </w:r>
      <w:r w:rsidR="00585C62" w:rsidRPr="00B90668">
        <w:rPr>
          <w:rFonts w:ascii="Times New Roman" w:hAnsi="Times New Roman" w:cs="Times New Roman"/>
          <w:i/>
          <w:color w:val="000000" w:themeColor="text1"/>
          <w:sz w:val="24"/>
          <w:szCs w:val="24"/>
        </w:rPr>
        <w:t xml:space="preserve">normalized dose and sex </w:t>
      </w:r>
      <w:r w:rsidRPr="00B90668">
        <w:rPr>
          <w:rFonts w:ascii="Times New Roman" w:hAnsi="Times New Roman" w:cs="Times New Roman"/>
          <w:i/>
          <w:color w:val="000000" w:themeColor="text1"/>
          <w:sz w:val="24"/>
          <w:szCs w:val="24"/>
        </w:rPr>
        <w:t>with</w:t>
      </w:r>
      <w:r w:rsidR="00A94410" w:rsidRPr="00B90668">
        <w:rPr>
          <w:rFonts w:ascii="Times New Roman" w:hAnsi="Times New Roman" w:cs="Times New Roman"/>
          <w:i/>
          <w:color w:val="000000" w:themeColor="text1"/>
          <w:sz w:val="24"/>
          <w:szCs w:val="24"/>
        </w:rPr>
        <w:t xml:space="preserve"> </w:t>
      </w:r>
      <w:r w:rsidR="00A14F50" w:rsidRPr="00B90668">
        <w:rPr>
          <w:rFonts w:ascii="Times New Roman" w:hAnsi="Times New Roman" w:cs="Times New Roman"/>
          <w:i/>
          <w:color w:val="000000" w:themeColor="text1"/>
          <w:sz w:val="24"/>
          <w:szCs w:val="24"/>
          <w:u w:val="single"/>
        </w:rPr>
        <w:t>primary</w:t>
      </w:r>
      <w:r w:rsidR="00A94410" w:rsidRPr="00B90668">
        <w:rPr>
          <w:rFonts w:ascii="Times New Roman" w:hAnsi="Times New Roman" w:cs="Times New Roman"/>
          <w:i/>
          <w:color w:val="000000" w:themeColor="text1"/>
          <w:sz w:val="24"/>
          <w:szCs w:val="24"/>
          <w:u w:val="single"/>
        </w:rPr>
        <w:t xml:space="preserve"> </w:t>
      </w:r>
      <w:r w:rsidR="00FE6BAC" w:rsidRPr="00B90668">
        <w:rPr>
          <w:rFonts w:ascii="Times New Roman" w:hAnsi="Times New Roman" w:cs="Times New Roman"/>
          <w:i/>
          <w:color w:val="000000" w:themeColor="text1"/>
          <w:sz w:val="24"/>
          <w:szCs w:val="24"/>
          <w:u w:val="single"/>
        </w:rPr>
        <w:t>outcome</w:t>
      </w:r>
    </w:p>
    <w:p w14:paraId="4B983ED5" w14:textId="6BDAFAA4" w:rsidR="003A3A80" w:rsidRPr="00B90668" w:rsidRDefault="00BE3C36"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Separate</w:t>
      </w:r>
      <w:r w:rsidR="003A3A80" w:rsidRPr="00B90668">
        <w:rPr>
          <w:rFonts w:ascii="Times New Roman" w:hAnsi="Times New Roman" w:cs="Times New Roman"/>
          <w:color w:val="000000" w:themeColor="text1"/>
          <w:sz w:val="24"/>
          <w:szCs w:val="24"/>
        </w:rPr>
        <w:t xml:space="preserve"> logistic regression model</w:t>
      </w:r>
      <w:r w:rsidR="001174B9" w:rsidRPr="00B90668">
        <w:rPr>
          <w:rFonts w:ascii="Times New Roman" w:hAnsi="Times New Roman" w:cs="Times New Roman"/>
          <w:color w:val="000000" w:themeColor="text1"/>
          <w:sz w:val="24"/>
          <w:szCs w:val="24"/>
        </w:rPr>
        <w:t>s</w:t>
      </w:r>
      <w:r w:rsidRPr="00B90668">
        <w:rPr>
          <w:rFonts w:ascii="Times New Roman" w:hAnsi="Times New Roman" w:cs="Times New Roman"/>
          <w:color w:val="000000" w:themeColor="text1"/>
          <w:sz w:val="24"/>
          <w:szCs w:val="24"/>
        </w:rPr>
        <w:t xml:space="preserve"> </w:t>
      </w:r>
      <w:r w:rsidR="003A3A80" w:rsidRPr="00B90668">
        <w:rPr>
          <w:rFonts w:ascii="Times New Roman" w:hAnsi="Times New Roman" w:cs="Times New Roman"/>
          <w:color w:val="000000" w:themeColor="text1"/>
          <w:sz w:val="24"/>
          <w:szCs w:val="24"/>
        </w:rPr>
        <w:t>w</w:t>
      </w:r>
      <w:r w:rsidR="001174B9" w:rsidRPr="00B90668">
        <w:rPr>
          <w:rFonts w:ascii="Times New Roman" w:hAnsi="Times New Roman" w:cs="Times New Roman"/>
          <w:color w:val="000000" w:themeColor="text1"/>
          <w:sz w:val="24"/>
          <w:szCs w:val="24"/>
        </w:rPr>
        <w:t>ere</w:t>
      </w:r>
      <w:r w:rsidR="003A3A80" w:rsidRPr="00B90668">
        <w:rPr>
          <w:rFonts w:ascii="Times New Roman" w:hAnsi="Times New Roman" w:cs="Times New Roman"/>
          <w:color w:val="000000" w:themeColor="text1"/>
          <w:sz w:val="24"/>
          <w:szCs w:val="24"/>
        </w:rPr>
        <w:t xml:space="preserve"> built</w:t>
      </w:r>
      <w:r w:rsidR="00585C62" w:rsidRPr="00B90668">
        <w:rPr>
          <w:rFonts w:ascii="Times New Roman" w:hAnsi="Times New Roman" w:cs="Times New Roman"/>
          <w:color w:val="000000" w:themeColor="text1"/>
          <w:sz w:val="24"/>
          <w:szCs w:val="24"/>
        </w:rPr>
        <w:t xml:space="preserve"> for </w:t>
      </w:r>
      <w:r w:rsidR="001174B9" w:rsidRPr="00B90668">
        <w:rPr>
          <w:rFonts w:ascii="Times New Roman" w:hAnsi="Times New Roman" w:cs="Times New Roman"/>
          <w:color w:val="000000" w:themeColor="text1"/>
          <w:sz w:val="24"/>
          <w:szCs w:val="24"/>
        </w:rPr>
        <w:t>FOS, LEV and VPA</w:t>
      </w:r>
      <w:r w:rsidR="003A3A80" w:rsidRPr="00B90668">
        <w:rPr>
          <w:rFonts w:ascii="Times New Roman" w:hAnsi="Times New Roman" w:cs="Times New Roman"/>
          <w:color w:val="000000" w:themeColor="text1"/>
          <w:sz w:val="24"/>
          <w:szCs w:val="24"/>
        </w:rPr>
        <w:t xml:space="preserve"> to test the </w:t>
      </w:r>
      <w:r w:rsidR="00651F63" w:rsidRPr="00B90668">
        <w:rPr>
          <w:rFonts w:ascii="Times New Roman" w:hAnsi="Times New Roman" w:cs="Times New Roman"/>
          <w:color w:val="000000" w:themeColor="text1"/>
          <w:sz w:val="24"/>
          <w:szCs w:val="24"/>
        </w:rPr>
        <w:t xml:space="preserve">association </w:t>
      </w:r>
      <w:r w:rsidR="003A3A80" w:rsidRPr="00B90668">
        <w:rPr>
          <w:rFonts w:ascii="Times New Roman" w:hAnsi="Times New Roman" w:cs="Times New Roman"/>
          <w:color w:val="000000" w:themeColor="text1"/>
          <w:sz w:val="24"/>
          <w:szCs w:val="24"/>
        </w:rPr>
        <w:t>o</w:t>
      </w:r>
      <w:r w:rsidRPr="00B90668">
        <w:rPr>
          <w:rFonts w:ascii="Times New Roman" w:hAnsi="Times New Roman" w:cs="Times New Roman"/>
          <w:color w:val="000000" w:themeColor="text1"/>
          <w:sz w:val="24"/>
          <w:szCs w:val="24"/>
        </w:rPr>
        <w:t>f weight-normalized dose</w:t>
      </w:r>
      <w:r w:rsidR="002F1F98" w:rsidRPr="00B90668">
        <w:rPr>
          <w:rFonts w:ascii="Times New Roman" w:hAnsi="Times New Roman" w:cs="Times New Roman"/>
          <w:color w:val="000000" w:themeColor="text1"/>
          <w:sz w:val="24"/>
          <w:szCs w:val="24"/>
        </w:rPr>
        <w:t xml:space="preserve"> in mg/kg</w:t>
      </w:r>
      <w:r w:rsidR="00875C73" w:rsidRPr="00B90668">
        <w:rPr>
          <w:rFonts w:ascii="Times New Roman" w:hAnsi="Times New Roman" w:cs="Times New Roman"/>
          <w:color w:val="000000" w:themeColor="text1"/>
          <w:sz w:val="24"/>
          <w:szCs w:val="24"/>
        </w:rPr>
        <w:t xml:space="preserve"> as a continuous </w:t>
      </w:r>
      <w:r w:rsidR="00477A6D" w:rsidRPr="00B90668">
        <w:rPr>
          <w:rFonts w:ascii="Times New Roman" w:hAnsi="Times New Roman" w:cs="Times New Roman"/>
          <w:color w:val="000000" w:themeColor="text1"/>
          <w:sz w:val="24"/>
          <w:szCs w:val="24"/>
        </w:rPr>
        <w:t>variable</w:t>
      </w:r>
      <w:r w:rsidRPr="00B90668">
        <w:rPr>
          <w:rFonts w:ascii="Times New Roman" w:hAnsi="Times New Roman" w:cs="Times New Roman"/>
          <w:color w:val="000000" w:themeColor="text1"/>
          <w:sz w:val="24"/>
          <w:szCs w:val="24"/>
        </w:rPr>
        <w:t>,</w:t>
      </w:r>
      <w:r w:rsidR="003A3A80" w:rsidRPr="00B90668">
        <w:rPr>
          <w:rFonts w:ascii="Times New Roman" w:hAnsi="Times New Roman" w:cs="Times New Roman"/>
          <w:color w:val="000000" w:themeColor="text1"/>
          <w:sz w:val="24"/>
          <w:szCs w:val="24"/>
        </w:rPr>
        <w:t xml:space="preserve"> sex</w:t>
      </w:r>
      <w:r w:rsidR="0065295E" w:rsidRPr="00B90668">
        <w:rPr>
          <w:rFonts w:ascii="Times New Roman" w:hAnsi="Times New Roman" w:cs="Times New Roman"/>
          <w:color w:val="000000" w:themeColor="text1"/>
          <w:sz w:val="24"/>
          <w:szCs w:val="24"/>
        </w:rPr>
        <w:t xml:space="preserve"> </w:t>
      </w:r>
      <w:r w:rsidR="00DA4E76" w:rsidRPr="00B90668">
        <w:rPr>
          <w:rFonts w:ascii="Times New Roman" w:hAnsi="Times New Roman" w:cs="Times New Roman"/>
          <w:color w:val="000000" w:themeColor="text1"/>
          <w:sz w:val="24"/>
          <w:szCs w:val="24"/>
        </w:rPr>
        <w:t>(</w:t>
      </w:r>
      <w:r w:rsidR="00002AB8" w:rsidRPr="00B90668">
        <w:rPr>
          <w:rFonts w:ascii="Times New Roman" w:hAnsi="Times New Roman" w:cs="Times New Roman"/>
          <w:color w:val="000000" w:themeColor="text1"/>
          <w:sz w:val="24"/>
          <w:szCs w:val="24"/>
        </w:rPr>
        <w:t>m</w:t>
      </w:r>
      <w:r w:rsidR="0065295E" w:rsidRPr="00B90668">
        <w:rPr>
          <w:rFonts w:ascii="Times New Roman" w:hAnsi="Times New Roman" w:cs="Times New Roman"/>
          <w:color w:val="000000" w:themeColor="text1"/>
          <w:sz w:val="24"/>
          <w:szCs w:val="24"/>
        </w:rPr>
        <w:t xml:space="preserve">ale or </w:t>
      </w:r>
      <w:r w:rsidR="00002AB8" w:rsidRPr="00B90668">
        <w:rPr>
          <w:rFonts w:ascii="Times New Roman" w:hAnsi="Times New Roman" w:cs="Times New Roman"/>
          <w:color w:val="000000" w:themeColor="text1"/>
          <w:sz w:val="24"/>
          <w:szCs w:val="24"/>
        </w:rPr>
        <w:t>f</w:t>
      </w:r>
      <w:r w:rsidR="0065295E" w:rsidRPr="00B90668">
        <w:rPr>
          <w:rFonts w:ascii="Times New Roman" w:hAnsi="Times New Roman" w:cs="Times New Roman"/>
          <w:color w:val="000000" w:themeColor="text1"/>
          <w:sz w:val="24"/>
          <w:szCs w:val="24"/>
        </w:rPr>
        <w:t>emale</w:t>
      </w:r>
      <w:r w:rsidR="00DA4E76" w:rsidRPr="00B90668">
        <w:rPr>
          <w:rFonts w:ascii="Times New Roman" w:hAnsi="Times New Roman" w:cs="Times New Roman"/>
          <w:color w:val="000000" w:themeColor="text1"/>
          <w:sz w:val="24"/>
          <w:szCs w:val="24"/>
        </w:rPr>
        <w:t>)</w:t>
      </w:r>
      <w:r w:rsidR="003A3A80"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and the</w:t>
      </w:r>
      <w:r w:rsidR="003A3A80" w:rsidRPr="00B90668">
        <w:rPr>
          <w:rFonts w:ascii="Times New Roman" w:hAnsi="Times New Roman" w:cs="Times New Roman"/>
          <w:color w:val="000000" w:themeColor="text1"/>
          <w:sz w:val="24"/>
          <w:szCs w:val="24"/>
        </w:rPr>
        <w:t xml:space="preserve"> interaction</w:t>
      </w:r>
      <w:r w:rsidR="0065295E" w:rsidRPr="00B90668">
        <w:rPr>
          <w:rFonts w:ascii="Times New Roman" w:hAnsi="Times New Roman" w:cs="Times New Roman"/>
          <w:color w:val="000000" w:themeColor="text1"/>
          <w:sz w:val="24"/>
          <w:szCs w:val="24"/>
        </w:rPr>
        <w:t xml:space="preserve"> of dose and sex</w:t>
      </w:r>
      <w:r w:rsidRPr="00B90668">
        <w:rPr>
          <w:rFonts w:ascii="Times New Roman" w:hAnsi="Times New Roman" w:cs="Times New Roman"/>
          <w:color w:val="000000" w:themeColor="text1"/>
          <w:sz w:val="24"/>
          <w:szCs w:val="24"/>
        </w:rPr>
        <w:t xml:space="preserve"> </w:t>
      </w:r>
      <w:r w:rsidR="00651F63" w:rsidRPr="00B90668">
        <w:rPr>
          <w:rFonts w:ascii="Times New Roman" w:hAnsi="Times New Roman" w:cs="Times New Roman"/>
          <w:color w:val="000000" w:themeColor="text1"/>
          <w:sz w:val="24"/>
          <w:szCs w:val="24"/>
        </w:rPr>
        <w:t xml:space="preserve">with </w:t>
      </w:r>
      <w:r w:rsidR="00A14F50" w:rsidRPr="00B90668">
        <w:rPr>
          <w:rFonts w:ascii="Times New Roman" w:hAnsi="Times New Roman" w:cs="Times New Roman"/>
          <w:color w:val="000000" w:themeColor="text1"/>
          <w:sz w:val="24"/>
          <w:szCs w:val="24"/>
        </w:rPr>
        <w:t>the ESETT primary outcome</w:t>
      </w:r>
      <w:r w:rsidR="001C0357" w:rsidRPr="00B90668">
        <w:rPr>
          <w:rFonts w:ascii="Times New Roman" w:hAnsi="Times New Roman" w:cs="Times New Roman"/>
          <w:color w:val="000000" w:themeColor="text1"/>
          <w:sz w:val="24"/>
          <w:szCs w:val="24"/>
        </w:rPr>
        <w:t>.</w:t>
      </w:r>
    </w:p>
    <w:p w14:paraId="5C33E198" w14:textId="4D626D45" w:rsidR="009B2310" w:rsidRPr="00B90668" w:rsidRDefault="009B2310" w:rsidP="003A31C5">
      <w:pPr>
        <w:spacing w:after="0" w:line="480" w:lineRule="auto"/>
        <w:jc w:val="both"/>
        <w:rPr>
          <w:rFonts w:ascii="Times New Roman" w:hAnsi="Times New Roman" w:cs="Times New Roman"/>
          <w:color w:val="000000" w:themeColor="text1"/>
          <w:sz w:val="24"/>
          <w:szCs w:val="24"/>
        </w:rPr>
      </w:pPr>
    </w:p>
    <w:p w14:paraId="5406BCDE" w14:textId="00A1494D" w:rsidR="009B2310" w:rsidRPr="00B90668" w:rsidRDefault="009C313A" w:rsidP="003A31C5">
      <w:pPr>
        <w:spacing w:after="0"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t xml:space="preserve">Association of </w:t>
      </w:r>
      <w:r w:rsidR="006A6AF2" w:rsidRPr="00B90668">
        <w:rPr>
          <w:rFonts w:ascii="Times New Roman" w:hAnsi="Times New Roman" w:cs="Times New Roman"/>
          <w:i/>
          <w:color w:val="000000" w:themeColor="text1"/>
          <w:sz w:val="24"/>
          <w:szCs w:val="24"/>
        </w:rPr>
        <w:t>weight</w:t>
      </w:r>
      <w:r w:rsidR="00B47DD5">
        <w:rPr>
          <w:rFonts w:ascii="Times New Roman" w:hAnsi="Times New Roman" w:cs="Times New Roman"/>
          <w:i/>
          <w:color w:val="000000" w:themeColor="text1"/>
          <w:sz w:val="24"/>
          <w:szCs w:val="24"/>
        </w:rPr>
        <w:t>, sex and treatment</w:t>
      </w:r>
      <w:r w:rsidR="006A6AF2" w:rsidRPr="00B90668">
        <w:rPr>
          <w:rFonts w:ascii="Times New Roman" w:hAnsi="Times New Roman" w:cs="Times New Roman"/>
          <w:i/>
          <w:color w:val="000000" w:themeColor="text1"/>
          <w:sz w:val="24"/>
          <w:szCs w:val="24"/>
        </w:rPr>
        <w:t xml:space="preserve"> </w:t>
      </w:r>
      <w:r w:rsidRPr="00B90668">
        <w:rPr>
          <w:rFonts w:ascii="Times New Roman" w:hAnsi="Times New Roman" w:cs="Times New Roman"/>
          <w:i/>
          <w:color w:val="000000" w:themeColor="text1"/>
          <w:sz w:val="24"/>
          <w:szCs w:val="24"/>
        </w:rPr>
        <w:t>with</w:t>
      </w:r>
      <w:r w:rsidR="006A6AF2" w:rsidRPr="00B90668">
        <w:rPr>
          <w:rFonts w:ascii="Times New Roman" w:hAnsi="Times New Roman" w:cs="Times New Roman"/>
          <w:i/>
          <w:color w:val="000000" w:themeColor="text1"/>
          <w:sz w:val="24"/>
          <w:szCs w:val="24"/>
        </w:rPr>
        <w:t xml:space="preserve"> </w:t>
      </w:r>
      <w:r w:rsidR="00771118" w:rsidRPr="00B90668">
        <w:rPr>
          <w:rFonts w:ascii="Times New Roman" w:hAnsi="Times New Roman" w:cs="Times New Roman"/>
          <w:i/>
          <w:color w:val="000000" w:themeColor="text1"/>
          <w:sz w:val="24"/>
          <w:szCs w:val="24"/>
          <w:u w:val="single"/>
        </w:rPr>
        <w:t xml:space="preserve">clinical </w:t>
      </w:r>
      <w:r w:rsidR="006A6AF2" w:rsidRPr="00B90668">
        <w:rPr>
          <w:rFonts w:ascii="Times New Roman" w:hAnsi="Times New Roman" w:cs="Times New Roman"/>
          <w:i/>
          <w:color w:val="000000" w:themeColor="text1"/>
          <w:sz w:val="24"/>
          <w:szCs w:val="24"/>
          <w:u w:val="single"/>
        </w:rPr>
        <w:t>s</w:t>
      </w:r>
      <w:r w:rsidR="00FE6BAC" w:rsidRPr="00B90668">
        <w:rPr>
          <w:rFonts w:ascii="Times New Roman" w:hAnsi="Times New Roman" w:cs="Times New Roman"/>
          <w:i/>
          <w:color w:val="000000" w:themeColor="text1"/>
          <w:sz w:val="24"/>
          <w:szCs w:val="24"/>
          <w:u w:val="single"/>
        </w:rPr>
        <w:t>eizure cessation</w:t>
      </w:r>
      <w:r w:rsidR="00984D8C" w:rsidRPr="00B90668">
        <w:rPr>
          <w:rFonts w:ascii="Times New Roman" w:hAnsi="Times New Roman" w:cs="Times New Roman"/>
          <w:i/>
          <w:color w:val="000000" w:themeColor="text1"/>
          <w:sz w:val="24"/>
          <w:szCs w:val="24"/>
          <w:u w:val="single"/>
        </w:rPr>
        <w:t xml:space="preserve"> without additional anti-seizure medication</w:t>
      </w:r>
    </w:p>
    <w:p w14:paraId="760982BF" w14:textId="4CC6F97C" w:rsidR="00DC41DB" w:rsidRPr="00B90668" w:rsidRDefault="00F760D6"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A l</w:t>
      </w:r>
      <w:r w:rsidR="0015136A" w:rsidRPr="00B90668">
        <w:rPr>
          <w:rFonts w:ascii="Times New Roman" w:hAnsi="Times New Roman" w:cs="Times New Roman"/>
          <w:color w:val="000000" w:themeColor="text1"/>
          <w:sz w:val="24"/>
          <w:szCs w:val="24"/>
        </w:rPr>
        <w:t>ogistic regression model w</w:t>
      </w:r>
      <w:r w:rsidR="00C02D5A" w:rsidRPr="00B90668">
        <w:rPr>
          <w:rFonts w:ascii="Times New Roman" w:hAnsi="Times New Roman" w:cs="Times New Roman"/>
          <w:color w:val="000000" w:themeColor="text1"/>
          <w:sz w:val="24"/>
          <w:szCs w:val="24"/>
        </w:rPr>
        <w:t>as</w:t>
      </w:r>
      <w:r w:rsidR="0015136A" w:rsidRPr="00B90668">
        <w:rPr>
          <w:rFonts w:ascii="Times New Roman" w:hAnsi="Times New Roman" w:cs="Times New Roman"/>
          <w:color w:val="000000" w:themeColor="text1"/>
          <w:sz w:val="24"/>
          <w:szCs w:val="24"/>
        </w:rPr>
        <w:t xml:space="preserve"> used to</w:t>
      </w:r>
      <w:r w:rsidR="00FE6BAC" w:rsidRPr="00B90668">
        <w:rPr>
          <w:rFonts w:ascii="Times New Roman" w:hAnsi="Times New Roman" w:cs="Times New Roman"/>
          <w:color w:val="000000" w:themeColor="text1"/>
          <w:sz w:val="24"/>
          <w:szCs w:val="24"/>
        </w:rPr>
        <w:t xml:space="preserve"> test </w:t>
      </w:r>
      <w:r w:rsidR="0015136A" w:rsidRPr="00B90668">
        <w:rPr>
          <w:rFonts w:ascii="Times New Roman" w:hAnsi="Times New Roman" w:cs="Times New Roman"/>
          <w:color w:val="000000" w:themeColor="text1"/>
          <w:sz w:val="24"/>
          <w:szCs w:val="24"/>
        </w:rPr>
        <w:t xml:space="preserve">the </w:t>
      </w:r>
      <w:r w:rsidR="009C313A" w:rsidRPr="00B90668">
        <w:rPr>
          <w:rFonts w:ascii="Times New Roman" w:hAnsi="Times New Roman" w:cs="Times New Roman"/>
          <w:color w:val="000000" w:themeColor="text1"/>
          <w:sz w:val="24"/>
          <w:szCs w:val="24"/>
        </w:rPr>
        <w:t xml:space="preserve">association of </w:t>
      </w:r>
      <w:r w:rsidR="00FE6BAC" w:rsidRPr="00B90668">
        <w:rPr>
          <w:rFonts w:ascii="Times New Roman" w:hAnsi="Times New Roman" w:cs="Times New Roman"/>
          <w:color w:val="000000" w:themeColor="text1"/>
          <w:sz w:val="24"/>
          <w:szCs w:val="24"/>
        </w:rPr>
        <w:t xml:space="preserve">weight and other predictors </w:t>
      </w:r>
      <w:r w:rsidR="00771118" w:rsidRPr="00B90668">
        <w:rPr>
          <w:rFonts w:ascii="Times New Roman" w:hAnsi="Times New Roman" w:cs="Times New Roman"/>
          <w:color w:val="000000" w:themeColor="text1"/>
          <w:sz w:val="24"/>
          <w:szCs w:val="24"/>
        </w:rPr>
        <w:t>with</w:t>
      </w:r>
      <w:r w:rsidR="00FE6BAC" w:rsidRPr="00B90668">
        <w:rPr>
          <w:rFonts w:ascii="Times New Roman" w:hAnsi="Times New Roman" w:cs="Times New Roman"/>
          <w:color w:val="000000" w:themeColor="text1"/>
          <w:sz w:val="24"/>
          <w:szCs w:val="24"/>
        </w:rPr>
        <w:t xml:space="preserve"> </w:t>
      </w:r>
      <w:r w:rsidR="00771118" w:rsidRPr="00B90668">
        <w:rPr>
          <w:rFonts w:ascii="Times New Roman" w:hAnsi="Times New Roman" w:cs="Times New Roman"/>
          <w:color w:val="000000" w:themeColor="text1"/>
          <w:sz w:val="24"/>
          <w:szCs w:val="24"/>
        </w:rPr>
        <w:t xml:space="preserve">clinical </w:t>
      </w:r>
      <w:r w:rsidR="00FE6BAC" w:rsidRPr="00B90668">
        <w:rPr>
          <w:rFonts w:ascii="Times New Roman" w:hAnsi="Times New Roman" w:cs="Times New Roman"/>
          <w:color w:val="000000" w:themeColor="text1"/>
          <w:sz w:val="24"/>
          <w:szCs w:val="24"/>
        </w:rPr>
        <w:t>seizure cessation</w:t>
      </w:r>
      <w:r w:rsidR="00984D8C" w:rsidRPr="00B90668">
        <w:rPr>
          <w:rFonts w:ascii="Times New Roman" w:hAnsi="Times New Roman" w:cs="Times New Roman"/>
          <w:color w:val="000000" w:themeColor="text1"/>
          <w:sz w:val="24"/>
          <w:szCs w:val="24"/>
        </w:rPr>
        <w:t xml:space="preserve"> without additional antiseizure medication</w:t>
      </w:r>
      <w:r w:rsidR="0015136A" w:rsidRPr="00B90668">
        <w:rPr>
          <w:rFonts w:ascii="Times New Roman" w:hAnsi="Times New Roman" w:cs="Times New Roman"/>
          <w:color w:val="000000" w:themeColor="text1"/>
          <w:sz w:val="24"/>
          <w:szCs w:val="24"/>
        </w:rPr>
        <w:t>.</w:t>
      </w:r>
      <w:r w:rsidR="00C02D5A"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A</w:t>
      </w:r>
      <w:r w:rsidR="00E9532B" w:rsidRPr="00B90668">
        <w:rPr>
          <w:rFonts w:ascii="Times New Roman" w:hAnsi="Times New Roman" w:cs="Times New Roman"/>
          <w:color w:val="000000" w:themeColor="text1"/>
          <w:sz w:val="24"/>
          <w:szCs w:val="24"/>
        </w:rPr>
        <w:t>dult</w:t>
      </w:r>
      <w:r w:rsidR="00FE6BAC" w:rsidRPr="00B90668">
        <w:rPr>
          <w:rFonts w:ascii="Times New Roman" w:hAnsi="Times New Roman" w:cs="Times New Roman"/>
          <w:color w:val="000000" w:themeColor="text1"/>
          <w:sz w:val="24"/>
          <w:szCs w:val="24"/>
        </w:rPr>
        <w:t xml:space="preserve"> ESETT patients who</w:t>
      </w:r>
      <w:r w:rsidR="00041D66" w:rsidRPr="00B90668">
        <w:rPr>
          <w:rFonts w:ascii="Times New Roman" w:hAnsi="Times New Roman" w:cs="Times New Roman"/>
          <w:color w:val="000000" w:themeColor="text1"/>
          <w:sz w:val="24"/>
          <w:szCs w:val="24"/>
        </w:rPr>
        <w:t>se seizures were terminated but</w:t>
      </w:r>
      <w:r w:rsidR="00FE6BAC" w:rsidRPr="00B90668">
        <w:rPr>
          <w:rFonts w:ascii="Times New Roman" w:hAnsi="Times New Roman" w:cs="Times New Roman"/>
          <w:color w:val="000000" w:themeColor="text1"/>
          <w:sz w:val="24"/>
          <w:szCs w:val="24"/>
        </w:rPr>
        <w:t xml:space="preserve"> failed the primary outcome</w:t>
      </w:r>
      <w:r w:rsidR="00D32071" w:rsidRPr="00B90668">
        <w:rPr>
          <w:rFonts w:ascii="Times New Roman" w:hAnsi="Times New Roman" w:cs="Times New Roman"/>
          <w:color w:val="000000" w:themeColor="text1"/>
          <w:sz w:val="24"/>
          <w:szCs w:val="24"/>
        </w:rPr>
        <w:t xml:space="preserve"> </w:t>
      </w:r>
      <w:r w:rsidR="00FE6BAC" w:rsidRPr="00B90668">
        <w:rPr>
          <w:rFonts w:ascii="Times New Roman" w:hAnsi="Times New Roman" w:cs="Times New Roman"/>
          <w:color w:val="000000" w:themeColor="text1"/>
          <w:sz w:val="24"/>
          <w:szCs w:val="24"/>
        </w:rPr>
        <w:t xml:space="preserve">due to lack of improved responsiveness </w:t>
      </w:r>
      <w:r w:rsidR="00E9532B" w:rsidRPr="00B90668">
        <w:rPr>
          <w:rFonts w:ascii="Times New Roman" w:hAnsi="Times New Roman" w:cs="Times New Roman"/>
          <w:color w:val="000000" w:themeColor="text1"/>
          <w:sz w:val="24"/>
          <w:szCs w:val="24"/>
        </w:rPr>
        <w:t xml:space="preserve">at 60 minutes </w:t>
      </w:r>
      <w:r w:rsidR="00FE6BAC" w:rsidRPr="00B90668">
        <w:rPr>
          <w:rFonts w:ascii="Times New Roman" w:hAnsi="Times New Roman" w:cs="Times New Roman"/>
          <w:color w:val="000000" w:themeColor="text1"/>
          <w:sz w:val="24"/>
          <w:szCs w:val="24"/>
        </w:rPr>
        <w:t>(n=3</w:t>
      </w:r>
      <w:r w:rsidRPr="00B90668">
        <w:rPr>
          <w:rFonts w:ascii="Times New Roman" w:hAnsi="Times New Roman" w:cs="Times New Roman"/>
          <w:color w:val="000000" w:themeColor="text1"/>
          <w:sz w:val="24"/>
          <w:szCs w:val="24"/>
        </w:rPr>
        <w:t>5</w:t>
      </w:r>
      <w:r w:rsidR="00FE6BAC" w:rsidRPr="00B90668">
        <w:rPr>
          <w:rFonts w:ascii="Times New Roman" w:hAnsi="Times New Roman" w:cs="Times New Roman"/>
          <w:color w:val="000000" w:themeColor="text1"/>
          <w:sz w:val="24"/>
          <w:szCs w:val="24"/>
        </w:rPr>
        <w:t xml:space="preserve">) were </w:t>
      </w:r>
      <w:r w:rsidR="00D32071" w:rsidRPr="00B90668">
        <w:rPr>
          <w:rFonts w:ascii="Times New Roman" w:hAnsi="Times New Roman" w:cs="Times New Roman"/>
          <w:color w:val="000000" w:themeColor="text1"/>
          <w:sz w:val="24"/>
          <w:szCs w:val="24"/>
        </w:rPr>
        <w:t>treated as successes</w:t>
      </w:r>
      <w:r w:rsidR="00FE6BAC" w:rsidRPr="00B90668">
        <w:rPr>
          <w:rFonts w:ascii="Times New Roman" w:hAnsi="Times New Roman" w:cs="Times New Roman"/>
          <w:color w:val="000000" w:themeColor="text1"/>
          <w:sz w:val="24"/>
          <w:szCs w:val="24"/>
        </w:rPr>
        <w:t>.</w:t>
      </w:r>
      <w:r w:rsidR="00771118" w:rsidRPr="00B90668">
        <w:rPr>
          <w:rFonts w:ascii="Times New Roman" w:hAnsi="Times New Roman" w:cs="Times New Roman"/>
          <w:color w:val="000000" w:themeColor="text1"/>
          <w:sz w:val="24"/>
          <w:szCs w:val="24"/>
        </w:rPr>
        <w:t xml:space="preserve"> Clinical s</w:t>
      </w:r>
      <w:r w:rsidR="00D32071" w:rsidRPr="00B90668">
        <w:rPr>
          <w:rFonts w:ascii="Times New Roman" w:hAnsi="Times New Roman" w:cs="Times New Roman"/>
          <w:color w:val="000000" w:themeColor="text1"/>
          <w:sz w:val="24"/>
          <w:szCs w:val="24"/>
        </w:rPr>
        <w:t>eizure cessation</w:t>
      </w:r>
      <w:r w:rsidR="001963DE" w:rsidRPr="00B90668">
        <w:rPr>
          <w:rFonts w:ascii="Times New Roman" w:hAnsi="Times New Roman" w:cs="Times New Roman"/>
          <w:color w:val="000000" w:themeColor="text1"/>
          <w:sz w:val="24"/>
          <w:szCs w:val="24"/>
        </w:rPr>
        <w:t xml:space="preserve">, </w:t>
      </w:r>
      <w:r w:rsidR="000744E7">
        <w:rPr>
          <w:rFonts w:ascii="Times New Roman" w:hAnsi="Times New Roman" w:cs="Times New Roman"/>
          <w:color w:val="000000" w:themeColor="text1"/>
          <w:sz w:val="24"/>
          <w:szCs w:val="24"/>
        </w:rPr>
        <w:t>as</w:t>
      </w:r>
      <w:r w:rsidR="001963DE" w:rsidRPr="00B90668">
        <w:rPr>
          <w:rFonts w:ascii="Times New Roman" w:hAnsi="Times New Roman" w:cs="Times New Roman"/>
          <w:color w:val="000000" w:themeColor="text1"/>
          <w:sz w:val="24"/>
          <w:szCs w:val="24"/>
        </w:rPr>
        <w:t xml:space="preserve"> </w:t>
      </w:r>
      <w:proofErr w:type="gramStart"/>
      <w:r w:rsidR="001963DE" w:rsidRPr="00B90668">
        <w:rPr>
          <w:rFonts w:ascii="Times New Roman" w:hAnsi="Times New Roman" w:cs="Times New Roman"/>
          <w:color w:val="000000" w:themeColor="text1"/>
          <w:sz w:val="24"/>
          <w:szCs w:val="24"/>
        </w:rPr>
        <w:t xml:space="preserve">binary </w:t>
      </w:r>
      <w:r w:rsidR="00D32071" w:rsidRPr="00B90668">
        <w:rPr>
          <w:rFonts w:ascii="Times New Roman" w:hAnsi="Times New Roman" w:cs="Times New Roman"/>
          <w:color w:val="000000" w:themeColor="text1"/>
          <w:sz w:val="24"/>
          <w:szCs w:val="24"/>
        </w:rPr>
        <w:t xml:space="preserve"> (</w:t>
      </w:r>
      <w:proofErr w:type="gramEnd"/>
      <w:r w:rsidR="00D32071" w:rsidRPr="00B90668">
        <w:rPr>
          <w:rFonts w:ascii="Times New Roman" w:hAnsi="Times New Roman" w:cs="Times New Roman"/>
          <w:color w:val="000000" w:themeColor="text1"/>
          <w:sz w:val="24"/>
          <w:szCs w:val="24"/>
        </w:rPr>
        <w:t>1= success, 0= failure)</w:t>
      </w:r>
      <w:r w:rsidR="001963DE" w:rsidRPr="00B90668">
        <w:rPr>
          <w:rFonts w:ascii="Times New Roman" w:hAnsi="Times New Roman" w:cs="Times New Roman"/>
          <w:color w:val="000000" w:themeColor="text1"/>
          <w:sz w:val="24"/>
          <w:szCs w:val="24"/>
        </w:rPr>
        <w:t>,</w:t>
      </w:r>
      <w:r w:rsidR="00D32071" w:rsidRPr="00B90668">
        <w:rPr>
          <w:rFonts w:ascii="Times New Roman" w:hAnsi="Times New Roman" w:cs="Times New Roman"/>
          <w:color w:val="000000" w:themeColor="text1"/>
          <w:sz w:val="24"/>
          <w:szCs w:val="24"/>
        </w:rPr>
        <w:t xml:space="preserve"> </w:t>
      </w:r>
      <w:r w:rsidR="00FE6BAC" w:rsidRPr="00B90668">
        <w:rPr>
          <w:rFonts w:ascii="Times New Roman" w:hAnsi="Times New Roman" w:cs="Times New Roman"/>
          <w:color w:val="000000" w:themeColor="text1"/>
          <w:sz w:val="24"/>
          <w:szCs w:val="24"/>
        </w:rPr>
        <w:t xml:space="preserve">was used as the dependent variable for this analysis. A logistic model with weight, as a binary </w:t>
      </w:r>
      <w:r w:rsidR="0081680B" w:rsidRPr="00B90668">
        <w:rPr>
          <w:rFonts w:ascii="Times New Roman" w:hAnsi="Times New Roman" w:cs="Times New Roman"/>
          <w:color w:val="000000" w:themeColor="text1"/>
          <w:sz w:val="24"/>
          <w:szCs w:val="24"/>
        </w:rPr>
        <w:t>(≤ or &gt; 75kg)</w:t>
      </w:r>
      <w:r w:rsidR="00FE6BAC" w:rsidRPr="00B90668">
        <w:rPr>
          <w:rFonts w:ascii="Times New Roman" w:hAnsi="Times New Roman" w:cs="Times New Roman"/>
          <w:color w:val="000000" w:themeColor="text1"/>
          <w:sz w:val="24"/>
          <w:szCs w:val="24"/>
        </w:rPr>
        <w:t>, sex (</w:t>
      </w:r>
      <w:r w:rsidR="00002AB8" w:rsidRPr="00B90668">
        <w:rPr>
          <w:rFonts w:ascii="Times New Roman" w:hAnsi="Times New Roman" w:cs="Times New Roman"/>
          <w:color w:val="000000" w:themeColor="text1"/>
          <w:sz w:val="24"/>
          <w:szCs w:val="24"/>
        </w:rPr>
        <w:t>m</w:t>
      </w:r>
      <w:r w:rsidR="006512ED" w:rsidRPr="00B90668">
        <w:rPr>
          <w:rFonts w:ascii="Times New Roman" w:hAnsi="Times New Roman" w:cs="Times New Roman"/>
          <w:color w:val="000000" w:themeColor="text1"/>
          <w:sz w:val="24"/>
          <w:szCs w:val="24"/>
        </w:rPr>
        <w:t xml:space="preserve">ale or </w:t>
      </w:r>
      <w:r w:rsidR="00002AB8" w:rsidRPr="00B90668">
        <w:rPr>
          <w:rFonts w:ascii="Times New Roman" w:hAnsi="Times New Roman" w:cs="Times New Roman"/>
          <w:color w:val="000000" w:themeColor="text1"/>
          <w:sz w:val="24"/>
          <w:szCs w:val="24"/>
        </w:rPr>
        <w:t>f</w:t>
      </w:r>
      <w:r w:rsidR="006512ED" w:rsidRPr="00B90668">
        <w:rPr>
          <w:rFonts w:ascii="Times New Roman" w:hAnsi="Times New Roman" w:cs="Times New Roman"/>
          <w:color w:val="000000" w:themeColor="text1"/>
          <w:sz w:val="24"/>
          <w:szCs w:val="24"/>
        </w:rPr>
        <w:t>emale</w:t>
      </w:r>
      <w:r w:rsidR="00FE6BAC" w:rsidRPr="00B90668">
        <w:rPr>
          <w:rFonts w:ascii="Times New Roman" w:hAnsi="Times New Roman" w:cs="Times New Roman"/>
          <w:color w:val="000000" w:themeColor="text1"/>
          <w:sz w:val="24"/>
          <w:szCs w:val="24"/>
        </w:rPr>
        <w:t>) and treatment</w:t>
      </w:r>
      <w:r w:rsidR="006512ED" w:rsidRPr="00B90668">
        <w:rPr>
          <w:rFonts w:ascii="Times New Roman" w:hAnsi="Times New Roman" w:cs="Times New Roman"/>
          <w:color w:val="000000" w:themeColor="text1"/>
          <w:sz w:val="24"/>
          <w:szCs w:val="24"/>
        </w:rPr>
        <w:t xml:space="preserve"> group</w:t>
      </w:r>
      <w:r w:rsidR="00FE6BAC" w:rsidRPr="00B90668">
        <w:rPr>
          <w:rFonts w:ascii="Times New Roman" w:hAnsi="Times New Roman" w:cs="Times New Roman"/>
          <w:color w:val="000000" w:themeColor="text1"/>
          <w:sz w:val="24"/>
          <w:szCs w:val="24"/>
        </w:rPr>
        <w:t xml:space="preserve"> (FOS, LEV or VPA) with all </w:t>
      </w:r>
      <w:r w:rsidR="00FE6BAC" w:rsidRPr="00B90668">
        <w:rPr>
          <w:rFonts w:ascii="Times New Roman" w:hAnsi="Times New Roman" w:cs="Times New Roman"/>
          <w:color w:val="000000" w:themeColor="text1"/>
          <w:sz w:val="24"/>
          <w:szCs w:val="24"/>
        </w:rPr>
        <w:lastRenderedPageBreak/>
        <w:t>interactions</w:t>
      </w:r>
      <w:r w:rsidR="006512ED" w:rsidRPr="00B90668">
        <w:rPr>
          <w:rFonts w:ascii="Times New Roman" w:hAnsi="Times New Roman" w:cs="Times New Roman"/>
          <w:color w:val="000000" w:themeColor="text1"/>
          <w:sz w:val="24"/>
          <w:szCs w:val="24"/>
        </w:rPr>
        <w:t xml:space="preserve"> (weight x treatment group x sex)</w:t>
      </w:r>
      <w:r w:rsidR="00FE6BAC" w:rsidRPr="00B90668">
        <w:rPr>
          <w:rFonts w:ascii="Times New Roman" w:hAnsi="Times New Roman" w:cs="Times New Roman"/>
          <w:color w:val="000000" w:themeColor="text1"/>
          <w:sz w:val="24"/>
          <w:szCs w:val="24"/>
        </w:rPr>
        <w:t xml:space="preserve"> </w:t>
      </w:r>
      <w:r w:rsidR="0081680B" w:rsidRPr="00B90668">
        <w:rPr>
          <w:rFonts w:ascii="Times New Roman" w:hAnsi="Times New Roman" w:cs="Times New Roman"/>
          <w:color w:val="000000" w:themeColor="text1"/>
          <w:sz w:val="24"/>
          <w:szCs w:val="24"/>
        </w:rPr>
        <w:t xml:space="preserve">as predictors </w:t>
      </w:r>
      <w:r w:rsidR="00FE6BAC" w:rsidRPr="00B90668">
        <w:rPr>
          <w:rFonts w:ascii="Times New Roman" w:hAnsi="Times New Roman" w:cs="Times New Roman"/>
          <w:color w:val="000000" w:themeColor="text1"/>
          <w:sz w:val="24"/>
          <w:szCs w:val="24"/>
        </w:rPr>
        <w:t xml:space="preserve">was used to </w:t>
      </w:r>
      <w:r w:rsidR="0081680B" w:rsidRPr="00B90668">
        <w:rPr>
          <w:rFonts w:ascii="Times New Roman" w:hAnsi="Times New Roman" w:cs="Times New Roman"/>
          <w:color w:val="000000" w:themeColor="text1"/>
          <w:sz w:val="24"/>
          <w:szCs w:val="24"/>
        </w:rPr>
        <w:t>test their</w:t>
      </w:r>
      <w:r w:rsidR="00FE6BAC" w:rsidRPr="00B90668">
        <w:rPr>
          <w:rFonts w:ascii="Times New Roman" w:hAnsi="Times New Roman" w:cs="Times New Roman"/>
          <w:color w:val="000000" w:themeColor="text1"/>
          <w:sz w:val="24"/>
          <w:szCs w:val="24"/>
        </w:rPr>
        <w:t xml:space="preserve"> </w:t>
      </w:r>
      <w:r w:rsidR="00771118" w:rsidRPr="00B90668">
        <w:rPr>
          <w:rFonts w:ascii="Times New Roman" w:hAnsi="Times New Roman" w:cs="Times New Roman"/>
          <w:color w:val="000000" w:themeColor="text1"/>
          <w:sz w:val="24"/>
          <w:szCs w:val="24"/>
        </w:rPr>
        <w:t>association with clinical</w:t>
      </w:r>
      <w:r w:rsidR="00FE6BAC" w:rsidRPr="00B90668">
        <w:rPr>
          <w:rFonts w:ascii="Times New Roman" w:hAnsi="Times New Roman" w:cs="Times New Roman"/>
          <w:color w:val="000000" w:themeColor="text1"/>
          <w:sz w:val="24"/>
          <w:szCs w:val="24"/>
        </w:rPr>
        <w:t xml:space="preserve"> seizure cessation.</w:t>
      </w:r>
    </w:p>
    <w:p w14:paraId="5492C6F4" w14:textId="77777777" w:rsidR="00DC41DB" w:rsidRPr="00B90668" w:rsidRDefault="00DC41DB" w:rsidP="003A31C5">
      <w:pPr>
        <w:spacing w:after="0" w:line="480" w:lineRule="auto"/>
        <w:jc w:val="both"/>
        <w:rPr>
          <w:rFonts w:ascii="Times New Roman" w:hAnsi="Times New Roman" w:cs="Times New Roman"/>
          <w:color w:val="000000" w:themeColor="text1"/>
          <w:sz w:val="24"/>
          <w:szCs w:val="24"/>
        </w:rPr>
      </w:pPr>
    </w:p>
    <w:p w14:paraId="1FE2EC2B" w14:textId="7504ADAE" w:rsidR="00DA386C" w:rsidRPr="00B90668" w:rsidRDefault="00DA386C" w:rsidP="003A31C5">
      <w:pPr>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Significance was determined as an alpha level &lt; 0.05.</w:t>
      </w:r>
      <w:r w:rsidR="00F70D35" w:rsidRPr="00B90668">
        <w:rPr>
          <w:rFonts w:ascii="Times New Roman" w:hAnsi="Times New Roman" w:cs="Times New Roman"/>
          <w:color w:val="000000" w:themeColor="text1"/>
          <w:sz w:val="24"/>
          <w:szCs w:val="24"/>
        </w:rPr>
        <w:t xml:space="preserve"> </w:t>
      </w:r>
      <w:r w:rsidR="007F5C0F" w:rsidRPr="00B90668">
        <w:rPr>
          <w:rFonts w:ascii="Times New Roman" w:hAnsi="Times New Roman" w:cs="Times New Roman"/>
          <w:color w:val="000000" w:themeColor="text1"/>
          <w:sz w:val="24"/>
          <w:szCs w:val="24"/>
        </w:rPr>
        <w:t xml:space="preserve">All the analyses were conducted using </w:t>
      </w:r>
      <w:r w:rsidR="00F70D35" w:rsidRPr="00B90668">
        <w:rPr>
          <w:rFonts w:ascii="Times New Roman" w:hAnsi="Times New Roman" w:cs="Times New Roman"/>
          <w:color w:val="000000" w:themeColor="text1"/>
          <w:sz w:val="24"/>
          <w:szCs w:val="24"/>
        </w:rPr>
        <w:t>R (version 3.6.1)</w:t>
      </w:r>
      <w:r w:rsidR="000744E7">
        <w:rPr>
          <w:rFonts w:ascii="Times New Roman" w:hAnsi="Times New Roman" w:cs="Times New Roman"/>
          <w:color w:val="000000" w:themeColor="text1"/>
          <w:sz w:val="24"/>
          <w:szCs w:val="24"/>
        </w:rPr>
        <w:t xml:space="preserve">, </w:t>
      </w:r>
      <w:r w:rsidR="00F70D35" w:rsidRPr="00B90668">
        <w:rPr>
          <w:rFonts w:ascii="Times New Roman" w:hAnsi="Times New Roman" w:cs="Times New Roman"/>
          <w:color w:val="000000" w:themeColor="text1"/>
          <w:sz w:val="24"/>
          <w:szCs w:val="24"/>
        </w:rPr>
        <w:t>RStudio (version 1.2.5001</w:t>
      </w:r>
      <w:r w:rsidR="007F5C0F" w:rsidRPr="00B90668">
        <w:rPr>
          <w:rFonts w:ascii="Times New Roman" w:hAnsi="Times New Roman" w:cs="Times New Roman"/>
          <w:color w:val="000000" w:themeColor="text1"/>
          <w:sz w:val="24"/>
          <w:szCs w:val="24"/>
        </w:rPr>
        <w:t>)</w:t>
      </w:r>
      <w:r w:rsidR="000744E7">
        <w:rPr>
          <w:rFonts w:ascii="Times New Roman" w:hAnsi="Times New Roman" w:cs="Times New Roman"/>
          <w:color w:val="000000" w:themeColor="text1"/>
          <w:sz w:val="24"/>
          <w:szCs w:val="24"/>
        </w:rPr>
        <w:t xml:space="preserve"> and SAS (version 9.4)</w:t>
      </w:r>
      <w:r w:rsidR="00F70D35" w:rsidRPr="00B90668">
        <w:rPr>
          <w:rFonts w:ascii="Times New Roman" w:hAnsi="Times New Roman" w:cs="Times New Roman"/>
          <w:color w:val="000000" w:themeColor="text1"/>
          <w:sz w:val="24"/>
          <w:szCs w:val="24"/>
        </w:rPr>
        <w:t>.</w:t>
      </w:r>
    </w:p>
    <w:p w14:paraId="5F8AE96A" w14:textId="77777777" w:rsidR="00BF4203" w:rsidRPr="00B90668" w:rsidRDefault="00BF4203" w:rsidP="003A31C5">
      <w:pPr>
        <w:spacing w:line="480" w:lineRule="auto"/>
        <w:jc w:val="both"/>
        <w:rPr>
          <w:rFonts w:ascii="Times New Roman" w:hAnsi="Times New Roman" w:cs="Times New Roman"/>
          <w:b/>
          <w:color w:val="000000" w:themeColor="text1"/>
          <w:sz w:val="24"/>
          <w:szCs w:val="24"/>
        </w:rPr>
      </w:pPr>
    </w:p>
    <w:p w14:paraId="6F295F65" w14:textId="77777777" w:rsidR="000E7BD3" w:rsidRPr="00B90668" w:rsidRDefault="004A01F3" w:rsidP="003A31C5">
      <w:pPr>
        <w:spacing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t>RESULTS</w:t>
      </w:r>
    </w:p>
    <w:p w14:paraId="213DA85E" w14:textId="77777777" w:rsidR="000125F1" w:rsidRPr="00B90668" w:rsidRDefault="000125F1" w:rsidP="003A31C5">
      <w:pPr>
        <w:spacing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t xml:space="preserve">Distribution of weights </w:t>
      </w:r>
    </w:p>
    <w:p w14:paraId="5570EF98" w14:textId="0CC158C3" w:rsidR="004A01F3" w:rsidRPr="00B90668" w:rsidRDefault="00627F04"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ESETT patients ≥ 18 years</w:t>
      </w:r>
      <w:r w:rsidR="00EC5055" w:rsidRPr="00B90668">
        <w:rPr>
          <w:rFonts w:ascii="Times New Roman" w:hAnsi="Times New Roman" w:cs="Times New Roman"/>
          <w:color w:val="000000" w:themeColor="text1"/>
          <w:sz w:val="24"/>
          <w:szCs w:val="24"/>
        </w:rPr>
        <w:t xml:space="preserve"> </w:t>
      </w:r>
      <w:r w:rsidR="004A58AD" w:rsidRPr="00B90668">
        <w:rPr>
          <w:rFonts w:ascii="Times New Roman" w:hAnsi="Times New Roman" w:cs="Times New Roman"/>
          <w:color w:val="000000" w:themeColor="text1"/>
          <w:sz w:val="24"/>
          <w:szCs w:val="24"/>
        </w:rPr>
        <w:t>weighed</w:t>
      </w:r>
      <w:r w:rsidRPr="00B90668">
        <w:rPr>
          <w:rFonts w:ascii="Times New Roman" w:hAnsi="Times New Roman" w:cs="Times New Roman"/>
          <w:color w:val="000000" w:themeColor="text1"/>
          <w:sz w:val="24"/>
          <w:szCs w:val="24"/>
        </w:rPr>
        <w:t xml:space="preserve"> from 36-157 kg</w:t>
      </w:r>
      <w:r w:rsidR="00EC5055" w:rsidRPr="00B90668">
        <w:rPr>
          <w:rFonts w:ascii="Times New Roman" w:hAnsi="Times New Roman" w:cs="Times New Roman"/>
          <w:color w:val="000000" w:themeColor="text1"/>
          <w:sz w:val="24"/>
          <w:szCs w:val="24"/>
        </w:rPr>
        <w:t xml:space="preserve"> and</w:t>
      </w:r>
      <w:r w:rsidR="004A01F3" w:rsidRPr="00B90668">
        <w:rPr>
          <w:rFonts w:ascii="Times New Roman" w:hAnsi="Times New Roman" w:cs="Times New Roman"/>
          <w:color w:val="000000" w:themeColor="text1"/>
          <w:sz w:val="24"/>
          <w:szCs w:val="24"/>
        </w:rPr>
        <w:t xml:space="preserve"> were</w:t>
      </w:r>
      <w:r w:rsidR="00D0702D" w:rsidRPr="00B90668">
        <w:rPr>
          <w:rFonts w:ascii="Times New Roman" w:hAnsi="Times New Roman" w:cs="Times New Roman"/>
          <w:color w:val="000000" w:themeColor="text1"/>
          <w:sz w:val="24"/>
          <w:szCs w:val="24"/>
        </w:rPr>
        <w:t xml:space="preserve"> approximately</w:t>
      </w:r>
      <w:r w:rsidR="004A01F3" w:rsidRPr="00B90668">
        <w:rPr>
          <w:rFonts w:ascii="Times New Roman" w:hAnsi="Times New Roman" w:cs="Times New Roman"/>
          <w:color w:val="000000" w:themeColor="text1"/>
          <w:sz w:val="24"/>
          <w:szCs w:val="24"/>
        </w:rPr>
        <w:t xml:space="preserve"> normally distributed </w:t>
      </w:r>
      <w:r w:rsidR="002A3B5A" w:rsidRPr="00B90668">
        <w:rPr>
          <w:rFonts w:ascii="Times New Roman" w:hAnsi="Times New Roman" w:cs="Times New Roman"/>
          <w:color w:val="000000" w:themeColor="text1"/>
          <w:sz w:val="24"/>
          <w:szCs w:val="24"/>
        </w:rPr>
        <w:t>w</w:t>
      </w:r>
      <w:r w:rsidR="00EC5055" w:rsidRPr="00B90668">
        <w:rPr>
          <w:rFonts w:ascii="Times New Roman" w:hAnsi="Times New Roman" w:cs="Times New Roman"/>
          <w:color w:val="000000" w:themeColor="text1"/>
          <w:sz w:val="24"/>
          <w:szCs w:val="24"/>
        </w:rPr>
        <w:t>ith a mean of 76.7</w:t>
      </w:r>
      <w:r w:rsidR="004A58AD" w:rsidRPr="00B90668">
        <w:rPr>
          <w:rFonts w:ascii="Times New Roman" w:hAnsi="Times New Roman" w:cs="Times New Roman"/>
          <w:color w:val="000000" w:themeColor="text1"/>
          <w:sz w:val="24"/>
          <w:szCs w:val="24"/>
        </w:rPr>
        <w:t xml:space="preserve"> kg</w:t>
      </w:r>
      <w:r w:rsidR="00EC5055" w:rsidRPr="00B90668">
        <w:rPr>
          <w:rFonts w:ascii="Times New Roman" w:hAnsi="Times New Roman" w:cs="Times New Roman"/>
          <w:color w:val="000000" w:themeColor="text1"/>
          <w:sz w:val="24"/>
          <w:szCs w:val="24"/>
        </w:rPr>
        <w:t xml:space="preserve"> and standard deviation of 18.9</w:t>
      </w:r>
      <w:r w:rsidR="004A58AD" w:rsidRPr="00B90668">
        <w:rPr>
          <w:rFonts w:ascii="Times New Roman" w:hAnsi="Times New Roman" w:cs="Times New Roman"/>
          <w:color w:val="000000" w:themeColor="text1"/>
          <w:sz w:val="24"/>
          <w:szCs w:val="24"/>
        </w:rPr>
        <w:t xml:space="preserve"> kg (</w:t>
      </w:r>
      <w:r w:rsidR="004A58AD" w:rsidRPr="00B90668">
        <w:rPr>
          <w:rFonts w:ascii="Times New Roman" w:hAnsi="Times New Roman" w:cs="Times New Roman"/>
          <w:b/>
          <w:color w:val="000000" w:themeColor="text1"/>
          <w:sz w:val="24"/>
          <w:szCs w:val="24"/>
        </w:rPr>
        <w:t>Figure 1</w:t>
      </w:r>
      <w:r w:rsidR="004A58AD" w:rsidRPr="00B90668">
        <w:rPr>
          <w:rFonts w:ascii="Times New Roman" w:hAnsi="Times New Roman" w:cs="Times New Roman"/>
          <w:bCs/>
          <w:color w:val="000000" w:themeColor="text1"/>
          <w:sz w:val="24"/>
          <w:szCs w:val="24"/>
        </w:rPr>
        <w:t>)</w:t>
      </w:r>
      <w:r w:rsidR="004A01F3" w:rsidRPr="00B90668">
        <w:rPr>
          <w:rFonts w:ascii="Times New Roman" w:hAnsi="Times New Roman" w:cs="Times New Roman"/>
          <w:color w:val="000000" w:themeColor="text1"/>
          <w:sz w:val="24"/>
          <w:szCs w:val="24"/>
        </w:rPr>
        <w:t>.</w:t>
      </w:r>
      <w:r w:rsidR="004A01F3" w:rsidRPr="00B90668">
        <w:rPr>
          <w:rFonts w:ascii="Times New Roman" w:hAnsi="Times New Roman" w:cs="Times New Roman"/>
          <w:bCs/>
          <w:color w:val="000000" w:themeColor="text1"/>
          <w:sz w:val="24"/>
          <w:szCs w:val="24"/>
        </w:rPr>
        <w:t xml:space="preserve"> </w:t>
      </w:r>
      <w:r w:rsidR="004A01F3" w:rsidRPr="00B90668">
        <w:rPr>
          <w:rFonts w:ascii="Times New Roman" w:hAnsi="Times New Roman" w:cs="Times New Roman"/>
          <w:color w:val="000000" w:themeColor="text1"/>
          <w:sz w:val="24"/>
          <w:szCs w:val="24"/>
        </w:rPr>
        <w:t>Of the 2</w:t>
      </w:r>
      <w:r w:rsidR="00EC5055" w:rsidRPr="00B90668">
        <w:rPr>
          <w:rFonts w:ascii="Times New Roman" w:hAnsi="Times New Roman" w:cs="Times New Roman"/>
          <w:color w:val="000000" w:themeColor="text1"/>
          <w:sz w:val="24"/>
          <w:szCs w:val="24"/>
        </w:rPr>
        <w:t>35</w:t>
      </w:r>
      <w:r w:rsidR="004A01F3" w:rsidRPr="00B90668">
        <w:rPr>
          <w:rFonts w:ascii="Times New Roman" w:hAnsi="Times New Roman" w:cs="Times New Roman"/>
          <w:color w:val="000000" w:themeColor="text1"/>
          <w:sz w:val="24"/>
          <w:szCs w:val="24"/>
        </w:rPr>
        <w:t xml:space="preserve"> </w:t>
      </w:r>
      <w:r w:rsidR="00D0702D" w:rsidRPr="00B90668">
        <w:rPr>
          <w:rFonts w:ascii="Times New Roman" w:hAnsi="Times New Roman" w:cs="Times New Roman"/>
          <w:color w:val="000000" w:themeColor="text1"/>
          <w:sz w:val="24"/>
          <w:szCs w:val="24"/>
        </w:rPr>
        <w:t>patients</w:t>
      </w:r>
      <w:r w:rsidR="004A01F3" w:rsidRPr="00B90668">
        <w:rPr>
          <w:rFonts w:ascii="Times New Roman" w:hAnsi="Times New Roman" w:cs="Times New Roman"/>
          <w:color w:val="000000" w:themeColor="text1"/>
          <w:sz w:val="24"/>
          <w:szCs w:val="24"/>
        </w:rPr>
        <w:t>, 1</w:t>
      </w:r>
      <w:r w:rsidR="00770048" w:rsidRPr="00B90668">
        <w:rPr>
          <w:rFonts w:ascii="Times New Roman" w:hAnsi="Times New Roman" w:cs="Times New Roman"/>
          <w:color w:val="000000" w:themeColor="text1"/>
          <w:sz w:val="24"/>
          <w:szCs w:val="24"/>
        </w:rPr>
        <w:t>1</w:t>
      </w:r>
      <w:r w:rsidR="00EC5055" w:rsidRPr="00B90668">
        <w:rPr>
          <w:rFonts w:ascii="Times New Roman" w:hAnsi="Times New Roman" w:cs="Times New Roman"/>
          <w:color w:val="000000" w:themeColor="text1"/>
          <w:sz w:val="24"/>
          <w:szCs w:val="24"/>
        </w:rPr>
        <w:t>3</w:t>
      </w:r>
      <w:r w:rsidR="004A01F3"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4</w:t>
      </w:r>
      <w:r w:rsidR="00770048" w:rsidRPr="00B90668">
        <w:rPr>
          <w:rFonts w:ascii="Times New Roman" w:hAnsi="Times New Roman" w:cs="Times New Roman"/>
          <w:color w:val="000000" w:themeColor="text1"/>
          <w:sz w:val="24"/>
          <w:szCs w:val="24"/>
        </w:rPr>
        <w:t>8</w:t>
      </w:r>
      <w:r w:rsidRPr="00B90668">
        <w:rPr>
          <w:rFonts w:ascii="Times New Roman" w:hAnsi="Times New Roman" w:cs="Times New Roman"/>
          <w:color w:val="000000" w:themeColor="text1"/>
          <w:sz w:val="24"/>
          <w:szCs w:val="24"/>
        </w:rPr>
        <w:t>.</w:t>
      </w:r>
      <w:r w:rsidR="00EC5055" w:rsidRPr="00B90668">
        <w:rPr>
          <w:rFonts w:ascii="Times New Roman" w:hAnsi="Times New Roman" w:cs="Times New Roman"/>
          <w:color w:val="000000" w:themeColor="text1"/>
          <w:sz w:val="24"/>
          <w:szCs w:val="24"/>
        </w:rPr>
        <w:t>1</w:t>
      </w:r>
      <w:r w:rsidR="004A01F3" w:rsidRPr="00B90668">
        <w:rPr>
          <w:rFonts w:ascii="Times New Roman" w:hAnsi="Times New Roman" w:cs="Times New Roman"/>
          <w:color w:val="000000" w:themeColor="text1"/>
          <w:sz w:val="24"/>
          <w:szCs w:val="24"/>
        </w:rPr>
        <w:t xml:space="preserve">%) weighed &gt; 75 kg and received the </w:t>
      </w:r>
      <w:r w:rsidR="00651F63" w:rsidRPr="00B90668">
        <w:rPr>
          <w:rFonts w:ascii="Times New Roman" w:hAnsi="Times New Roman" w:cs="Times New Roman"/>
          <w:color w:val="000000" w:themeColor="text1"/>
          <w:sz w:val="24"/>
          <w:szCs w:val="24"/>
        </w:rPr>
        <w:t xml:space="preserve">maximum </w:t>
      </w:r>
      <w:r w:rsidR="004A01F3" w:rsidRPr="00B90668">
        <w:rPr>
          <w:rFonts w:ascii="Times New Roman" w:hAnsi="Times New Roman" w:cs="Times New Roman"/>
          <w:color w:val="000000" w:themeColor="text1"/>
          <w:sz w:val="24"/>
          <w:szCs w:val="24"/>
        </w:rPr>
        <w:t>dose</w:t>
      </w:r>
      <w:r w:rsidR="00D0702D" w:rsidRPr="00B90668">
        <w:rPr>
          <w:rFonts w:ascii="Times New Roman" w:hAnsi="Times New Roman" w:cs="Times New Roman"/>
          <w:color w:val="000000" w:themeColor="text1"/>
          <w:sz w:val="24"/>
          <w:szCs w:val="24"/>
        </w:rPr>
        <w:t>s</w:t>
      </w:r>
      <w:r w:rsidR="004A01F3" w:rsidRPr="00B90668">
        <w:rPr>
          <w:rFonts w:ascii="Times New Roman" w:hAnsi="Times New Roman" w:cs="Times New Roman"/>
          <w:color w:val="000000" w:themeColor="text1"/>
          <w:sz w:val="24"/>
          <w:szCs w:val="24"/>
        </w:rPr>
        <w:t>.</w:t>
      </w:r>
      <w:r w:rsidR="000125F1" w:rsidRPr="00B90668">
        <w:rPr>
          <w:rFonts w:ascii="Times New Roman" w:hAnsi="Times New Roman" w:cs="Times New Roman"/>
          <w:color w:val="000000" w:themeColor="text1"/>
          <w:sz w:val="24"/>
          <w:szCs w:val="24"/>
        </w:rPr>
        <w:t xml:space="preserve"> </w:t>
      </w:r>
      <w:r w:rsidR="004A01F3" w:rsidRPr="00B90668">
        <w:rPr>
          <w:rFonts w:ascii="Times New Roman" w:hAnsi="Times New Roman" w:cs="Times New Roman"/>
          <w:color w:val="000000" w:themeColor="text1"/>
          <w:sz w:val="24"/>
          <w:szCs w:val="24"/>
        </w:rPr>
        <w:t>The overall success rate</w:t>
      </w:r>
      <w:r w:rsidR="00771118" w:rsidRPr="00B90668">
        <w:rPr>
          <w:rFonts w:ascii="Times New Roman" w:hAnsi="Times New Roman" w:cs="Times New Roman"/>
          <w:color w:val="000000" w:themeColor="text1"/>
          <w:sz w:val="24"/>
          <w:szCs w:val="24"/>
        </w:rPr>
        <w:t xml:space="preserve"> for the primary outcome </w:t>
      </w:r>
      <w:r w:rsidR="004A01F3" w:rsidRPr="00B90668">
        <w:rPr>
          <w:rFonts w:ascii="Times New Roman" w:hAnsi="Times New Roman" w:cs="Times New Roman"/>
          <w:color w:val="000000" w:themeColor="text1"/>
          <w:sz w:val="24"/>
          <w:szCs w:val="24"/>
        </w:rPr>
        <w:t>was 4</w:t>
      </w:r>
      <w:r w:rsidR="007F1EC5" w:rsidRPr="00B90668">
        <w:rPr>
          <w:rFonts w:ascii="Times New Roman" w:hAnsi="Times New Roman" w:cs="Times New Roman"/>
          <w:color w:val="000000" w:themeColor="text1"/>
          <w:sz w:val="24"/>
          <w:szCs w:val="24"/>
        </w:rPr>
        <w:t>5.1</w:t>
      </w:r>
      <w:r w:rsidR="004A01F3" w:rsidRPr="00B90668">
        <w:rPr>
          <w:rFonts w:ascii="Times New Roman" w:hAnsi="Times New Roman" w:cs="Times New Roman"/>
          <w:color w:val="000000" w:themeColor="text1"/>
          <w:sz w:val="24"/>
          <w:szCs w:val="24"/>
        </w:rPr>
        <w:t xml:space="preserve">% in those ≤ 75 kg vs. </w:t>
      </w:r>
      <w:r w:rsidR="00C02D5A" w:rsidRPr="00B90668">
        <w:rPr>
          <w:rFonts w:ascii="Times New Roman" w:hAnsi="Times New Roman" w:cs="Times New Roman"/>
          <w:color w:val="000000" w:themeColor="text1"/>
          <w:sz w:val="24"/>
          <w:szCs w:val="24"/>
        </w:rPr>
        <w:t>4</w:t>
      </w:r>
      <w:r w:rsidR="007F1EC5" w:rsidRPr="00B90668">
        <w:rPr>
          <w:rFonts w:ascii="Times New Roman" w:hAnsi="Times New Roman" w:cs="Times New Roman"/>
          <w:color w:val="000000" w:themeColor="text1"/>
          <w:sz w:val="24"/>
          <w:szCs w:val="24"/>
        </w:rPr>
        <w:t>2.5</w:t>
      </w:r>
      <w:r w:rsidR="004A01F3" w:rsidRPr="00B90668">
        <w:rPr>
          <w:rFonts w:ascii="Times New Roman" w:hAnsi="Times New Roman" w:cs="Times New Roman"/>
          <w:color w:val="000000" w:themeColor="text1"/>
          <w:sz w:val="24"/>
          <w:szCs w:val="24"/>
        </w:rPr>
        <w:t>% in those &gt; 75 kg.</w:t>
      </w:r>
      <w:r w:rsidR="00E03BB9" w:rsidRPr="00B90668">
        <w:rPr>
          <w:rFonts w:ascii="Times New Roman" w:hAnsi="Times New Roman" w:cs="Times New Roman"/>
          <w:color w:val="000000" w:themeColor="text1"/>
          <w:sz w:val="24"/>
          <w:szCs w:val="24"/>
        </w:rPr>
        <w:t xml:space="preserve"> Baseline characteristics of the adult population by weight group </w:t>
      </w:r>
      <w:r w:rsidR="00E93B92" w:rsidRPr="00B90668">
        <w:rPr>
          <w:rFonts w:ascii="Times New Roman" w:hAnsi="Times New Roman" w:cs="Times New Roman"/>
          <w:color w:val="000000" w:themeColor="text1"/>
          <w:sz w:val="24"/>
          <w:szCs w:val="24"/>
        </w:rPr>
        <w:t>(</w:t>
      </w:r>
      <w:r w:rsidR="00E93B92" w:rsidRPr="005F163E">
        <w:rPr>
          <w:rFonts w:ascii="Times New Roman" w:hAnsi="Times New Roman" w:cs="Times New Roman"/>
          <w:b/>
          <w:bCs/>
          <w:color w:val="000000" w:themeColor="text1"/>
          <w:sz w:val="24"/>
          <w:szCs w:val="24"/>
        </w:rPr>
        <w:t>Su</w:t>
      </w:r>
      <w:r w:rsidR="00B9210E" w:rsidRPr="005F163E">
        <w:rPr>
          <w:rFonts w:ascii="Times New Roman" w:hAnsi="Times New Roman" w:cs="Times New Roman"/>
          <w:b/>
          <w:bCs/>
          <w:color w:val="000000" w:themeColor="text1"/>
          <w:sz w:val="24"/>
          <w:szCs w:val="24"/>
        </w:rPr>
        <w:t>pporting Information</w:t>
      </w:r>
      <w:r w:rsidR="00E93B92" w:rsidRPr="005F163E">
        <w:rPr>
          <w:rFonts w:ascii="Times New Roman" w:hAnsi="Times New Roman" w:cs="Times New Roman"/>
          <w:b/>
          <w:bCs/>
          <w:color w:val="000000" w:themeColor="text1"/>
          <w:sz w:val="24"/>
          <w:szCs w:val="24"/>
        </w:rPr>
        <w:t xml:space="preserve"> Table S1</w:t>
      </w:r>
      <w:r w:rsidR="00E93B92" w:rsidRPr="00B90668">
        <w:rPr>
          <w:rFonts w:ascii="Times New Roman" w:hAnsi="Times New Roman" w:cs="Times New Roman"/>
          <w:b/>
          <w:bCs/>
          <w:color w:val="000000" w:themeColor="text1"/>
          <w:sz w:val="24"/>
          <w:szCs w:val="24"/>
        </w:rPr>
        <w:t>)</w:t>
      </w:r>
      <w:r w:rsidR="00E93B92" w:rsidRPr="00B90668">
        <w:rPr>
          <w:rFonts w:ascii="Times New Roman" w:hAnsi="Times New Roman" w:cs="Times New Roman"/>
          <w:color w:val="000000" w:themeColor="text1"/>
          <w:sz w:val="24"/>
          <w:szCs w:val="24"/>
        </w:rPr>
        <w:t xml:space="preserve"> show that</w:t>
      </w:r>
      <w:r w:rsidR="00E03BB9" w:rsidRPr="00B90668">
        <w:rPr>
          <w:rFonts w:ascii="Times New Roman" w:hAnsi="Times New Roman" w:cs="Times New Roman"/>
          <w:color w:val="000000" w:themeColor="text1"/>
          <w:sz w:val="24"/>
          <w:szCs w:val="24"/>
        </w:rPr>
        <w:t xml:space="preserve"> </w:t>
      </w:r>
      <w:r w:rsidR="00E93B92" w:rsidRPr="00B90668">
        <w:rPr>
          <w:rFonts w:ascii="Times New Roman" w:hAnsi="Times New Roman" w:cs="Times New Roman"/>
          <w:color w:val="000000" w:themeColor="text1"/>
          <w:sz w:val="24"/>
          <w:szCs w:val="24"/>
        </w:rPr>
        <w:t>m</w:t>
      </w:r>
      <w:r w:rsidR="00E03BB9" w:rsidRPr="00B90668">
        <w:rPr>
          <w:rFonts w:ascii="Times New Roman" w:hAnsi="Times New Roman" w:cs="Times New Roman"/>
          <w:color w:val="000000" w:themeColor="text1"/>
          <w:sz w:val="24"/>
          <w:szCs w:val="24"/>
        </w:rPr>
        <w:t>ale</w:t>
      </w:r>
      <w:r w:rsidR="00002AB8" w:rsidRPr="00B90668">
        <w:rPr>
          <w:rFonts w:ascii="Times New Roman" w:hAnsi="Times New Roman" w:cs="Times New Roman"/>
          <w:color w:val="000000" w:themeColor="text1"/>
          <w:sz w:val="24"/>
          <w:szCs w:val="24"/>
        </w:rPr>
        <w:t xml:space="preserve"> patients</w:t>
      </w:r>
      <w:r w:rsidR="00AF08E4" w:rsidRPr="00B90668">
        <w:rPr>
          <w:rFonts w:ascii="Times New Roman" w:hAnsi="Times New Roman" w:cs="Times New Roman"/>
          <w:color w:val="000000" w:themeColor="text1"/>
          <w:sz w:val="24"/>
          <w:szCs w:val="24"/>
        </w:rPr>
        <w:t xml:space="preserve"> were more likely to weigh &gt; 75 kg</w:t>
      </w:r>
      <w:r w:rsidR="00E03BB9" w:rsidRPr="00B90668">
        <w:rPr>
          <w:rFonts w:ascii="Times New Roman" w:hAnsi="Times New Roman" w:cs="Times New Roman"/>
          <w:color w:val="000000" w:themeColor="text1"/>
          <w:sz w:val="24"/>
          <w:szCs w:val="24"/>
        </w:rPr>
        <w:t xml:space="preserve"> (50% vs. 6</w:t>
      </w:r>
      <w:r w:rsidR="0064475F" w:rsidRPr="00B90668">
        <w:rPr>
          <w:rFonts w:ascii="Times New Roman" w:hAnsi="Times New Roman" w:cs="Times New Roman"/>
          <w:color w:val="000000" w:themeColor="text1"/>
          <w:sz w:val="24"/>
          <w:szCs w:val="24"/>
        </w:rPr>
        <w:t>6.4</w:t>
      </w:r>
      <w:r w:rsidR="00E03BB9" w:rsidRPr="00B90668">
        <w:rPr>
          <w:rFonts w:ascii="Times New Roman" w:hAnsi="Times New Roman" w:cs="Times New Roman"/>
          <w:color w:val="000000" w:themeColor="text1"/>
          <w:sz w:val="24"/>
          <w:szCs w:val="24"/>
        </w:rPr>
        <w:t>%),</w:t>
      </w:r>
      <w:r w:rsidR="00AF08E4" w:rsidRPr="00B90668">
        <w:rPr>
          <w:rFonts w:ascii="Times New Roman" w:hAnsi="Times New Roman" w:cs="Times New Roman"/>
          <w:color w:val="000000" w:themeColor="text1"/>
          <w:sz w:val="24"/>
          <w:szCs w:val="24"/>
        </w:rPr>
        <w:t xml:space="preserve"> but</w:t>
      </w:r>
      <w:r w:rsidR="00E03BB9" w:rsidRPr="00B90668">
        <w:rPr>
          <w:rFonts w:ascii="Times New Roman" w:hAnsi="Times New Roman" w:cs="Times New Roman"/>
          <w:color w:val="000000" w:themeColor="text1"/>
          <w:sz w:val="24"/>
          <w:szCs w:val="24"/>
        </w:rPr>
        <w:t xml:space="preserve"> all the other baseline characteristics </w:t>
      </w:r>
      <w:r w:rsidR="0015136A" w:rsidRPr="00B90668">
        <w:rPr>
          <w:rFonts w:ascii="Times New Roman" w:hAnsi="Times New Roman" w:cs="Times New Roman"/>
          <w:color w:val="000000" w:themeColor="text1"/>
          <w:sz w:val="24"/>
          <w:szCs w:val="24"/>
        </w:rPr>
        <w:t>were</w:t>
      </w:r>
      <w:r w:rsidR="00E03BB9" w:rsidRPr="00B90668">
        <w:rPr>
          <w:rFonts w:ascii="Times New Roman" w:hAnsi="Times New Roman" w:cs="Times New Roman"/>
          <w:color w:val="000000" w:themeColor="text1"/>
          <w:sz w:val="24"/>
          <w:szCs w:val="24"/>
        </w:rPr>
        <w:t xml:space="preserve"> evenly distributed between the </w:t>
      </w:r>
      <w:r w:rsidR="00C02D5A" w:rsidRPr="00B90668">
        <w:rPr>
          <w:rFonts w:ascii="Times New Roman" w:hAnsi="Times New Roman" w:cs="Times New Roman"/>
          <w:color w:val="000000" w:themeColor="text1"/>
          <w:sz w:val="24"/>
          <w:szCs w:val="24"/>
        </w:rPr>
        <w:t>≤</w:t>
      </w:r>
      <w:r w:rsidR="00E03BB9" w:rsidRPr="00B90668">
        <w:rPr>
          <w:rFonts w:ascii="Times New Roman" w:hAnsi="Times New Roman" w:cs="Times New Roman"/>
          <w:color w:val="000000" w:themeColor="text1"/>
          <w:sz w:val="24"/>
          <w:szCs w:val="24"/>
        </w:rPr>
        <w:t xml:space="preserve"> 75 kg and </w:t>
      </w:r>
      <w:r w:rsidR="00C02D5A" w:rsidRPr="00B90668">
        <w:rPr>
          <w:rFonts w:ascii="Times New Roman" w:hAnsi="Times New Roman" w:cs="Times New Roman"/>
          <w:color w:val="000000" w:themeColor="text1"/>
          <w:sz w:val="24"/>
          <w:szCs w:val="24"/>
        </w:rPr>
        <w:t>&gt;</w:t>
      </w:r>
      <w:r w:rsidR="00E03BB9" w:rsidRPr="00B90668">
        <w:rPr>
          <w:rFonts w:ascii="Times New Roman" w:hAnsi="Times New Roman" w:cs="Times New Roman"/>
          <w:color w:val="000000" w:themeColor="text1"/>
          <w:sz w:val="24"/>
          <w:szCs w:val="24"/>
        </w:rPr>
        <w:t xml:space="preserve"> 75 kg groups, respectively.</w:t>
      </w:r>
    </w:p>
    <w:p w14:paraId="68A48510" w14:textId="60015FC0" w:rsidR="000125F1" w:rsidRPr="00B90668" w:rsidRDefault="000125F1" w:rsidP="003A31C5">
      <w:pPr>
        <w:spacing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t>Compari</w:t>
      </w:r>
      <w:r w:rsidR="00AF08E4" w:rsidRPr="00B90668">
        <w:rPr>
          <w:rFonts w:ascii="Times New Roman" w:hAnsi="Times New Roman" w:cs="Times New Roman"/>
          <w:i/>
          <w:color w:val="000000" w:themeColor="text1"/>
          <w:sz w:val="24"/>
          <w:szCs w:val="24"/>
        </w:rPr>
        <w:t>son of</w:t>
      </w:r>
      <w:r w:rsidRPr="00B90668">
        <w:rPr>
          <w:rFonts w:ascii="Times New Roman" w:hAnsi="Times New Roman" w:cs="Times New Roman"/>
          <w:i/>
          <w:color w:val="000000" w:themeColor="text1"/>
          <w:sz w:val="24"/>
          <w:szCs w:val="24"/>
        </w:rPr>
        <w:t xml:space="preserve"> response rates between the weight-based dosing group and </w:t>
      </w:r>
      <w:r w:rsidR="003E36FD" w:rsidRPr="00B90668">
        <w:rPr>
          <w:rFonts w:ascii="Times New Roman" w:hAnsi="Times New Roman" w:cs="Times New Roman"/>
          <w:i/>
          <w:color w:val="000000" w:themeColor="text1"/>
          <w:sz w:val="24"/>
          <w:szCs w:val="24"/>
        </w:rPr>
        <w:t>fixed</w:t>
      </w:r>
      <w:r w:rsidRPr="00B90668">
        <w:rPr>
          <w:rFonts w:ascii="Times New Roman" w:hAnsi="Times New Roman" w:cs="Times New Roman"/>
          <w:i/>
          <w:color w:val="000000" w:themeColor="text1"/>
          <w:sz w:val="24"/>
          <w:szCs w:val="24"/>
        </w:rPr>
        <w:t xml:space="preserve"> dose group</w:t>
      </w:r>
    </w:p>
    <w:p w14:paraId="0A91B7C5" w14:textId="0EBC8782" w:rsidR="004A01F3" w:rsidRPr="00B90668" w:rsidRDefault="004A01F3" w:rsidP="003A31C5">
      <w:pPr>
        <w:spacing w:line="480" w:lineRule="auto"/>
        <w:jc w:val="both"/>
        <w:rPr>
          <w:rFonts w:ascii="Times New Roman" w:hAnsi="Times New Roman" w:cs="Times New Roman"/>
          <w:color w:val="000000" w:themeColor="text1"/>
          <w:sz w:val="24"/>
          <w:szCs w:val="24"/>
          <w:u w:val="single"/>
        </w:rPr>
      </w:pPr>
      <w:r w:rsidRPr="00B90668">
        <w:rPr>
          <w:rFonts w:ascii="Times New Roman" w:hAnsi="Times New Roman" w:cs="Times New Roman"/>
          <w:color w:val="000000" w:themeColor="text1"/>
          <w:sz w:val="24"/>
          <w:szCs w:val="24"/>
        </w:rPr>
        <w:t xml:space="preserve">The difference [95% confidence interval] in the response rates for those ≤ 75 kg vs. those &gt; 75 kg were </w:t>
      </w:r>
      <w:r w:rsidR="004227AB" w:rsidRPr="00B90668">
        <w:rPr>
          <w:rFonts w:ascii="Times New Roman" w:hAnsi="Times New Roman" w:cs="Times New Roman"/>
          <w:color w:val="000000" w:themeColor="text1"/>
          <w:sz w:val="24"/>
          <w:szCs w:val="24"/>
        </w:rPr>
        <w:t>3.1</w:t>
      </w:r>
      <w:r w:rsidRPr="00B90668">
        <w:rPr>
          <w:rFonts w:ascii="Times New Roman" w:hAnsi="Times New Roman" w:cs="Times New Roman"/>
          <w:color w:val="000000" w:themeColor="text1"/>
          <w:sz w:val="24"/>
          <w:szCs w:val="24"/>
        </w:rPr>
        <w:t>% [-</w:t>
      </w:r>
      <w:r w:rsidR="004227AB" w:rsidRPr="00B90668">
        <w:rPr>
          <w:rFonts w:ascii="Times New Roman" w:hAnsi="Times New Roman" w:cs="Times New Roman"/>
          <w:color w:val="000000" w:themeColor="text1"/>
          <w:sz w:val="24"/>
          <w:szCs w:val="24"/>
        </w:rPr>
        <w:t>20.5</w:t>
      </w:r>
      <w:r w:rsidRPr="00B90668">
        <w:rPr>
          <w:rFonts w:ascii="Times New Roman" w:hAnsi="Times New Roman" w:cs="Times New Roman"/>
          <w:color w:val="000000" w:themeColor="text1"/>
          <w:sz w:val="24"/>
          <w:szCs w:val="24"/>
        </w:rPr>
        <w:t>%, 2</w:t>
      </w:r>
      <w:r w:rsidR="004227AB" w:rsidRPr="00B90668">
        <w:rPr>
          <w:rFonts w:ascii="Times New Roman" w:hAnsi="Times New Roman" w:cs="Times New Roman"/>
          <w:color w:val="000000" w:themeColor="text1"/>
          <w:sz w:val="24"/>
          <w:szCs w:val="24"/>
        </w:rPr>
        <w:t>6.6</w:t>
      </w:r>
      <w:r w:rsidRPr="00B90668">
        <w:rPr>
          <w:rFonts w:ascii="Times New Roman" w:hAnsi="Times New Roman" w:cs="Times New Roman"/>
          <w:color w:val="000000" w:themeColor="text1"/>
          <w:sz w:val="24"/>
          <w:szCs w:val="24"/>
        </w:rPr>
        <w:t>%]</w:t>
      </w:r>
      <w:r w:rsidR="00002AB8" w:rsidRPr="00B90668">
        <w:rPr>
          <w:rFonts w:ascii="Times New Roman" w:hAnsi="Times New Roman" w:cs="Times New Roman"/>
          <w:color w:val="000000" w:themeColor="text1"/>
          <w:sz w:val="24"/>
          <w:szCs w:val="24"/>
        </w:rPr>
        <w:t xml:space="preserve"> for FOS</w:t>
      </w:r>
      <w:r w:rsidRPr="00B90668">
        <w:rPr>
          <w:rFonts w:ascii="Times New Roman" w:hAnsi="Times New Roman" w:cs="Times New Roman"/>
          <w:color w:val="000000" w:themeColor="text1"/>
          <w:sz w:val="24"/>
          <w:szCs w:val="24"/>
        </w:rPr>
        <w:t xml:space="preserve">, </w:t>
      </w:r>
      <w:r w:rsidR="004227AB" w:rsidRPr="00B90668">
        <w:rPr>
          <w:rFonts w:ascii="Times New Roman" w:hAnsi="Times New Roman" w:cs="Times New Roman"/>
          <w:color w:val="000000" w:themeColor="text1"/>
          <w:sz w:val="24"/>
          <w:szCs w:val="24"/>
        </w:rPr>
        <w:t>-1.2</w:t>
      </w:r>
      <w:r w:rsidRPr="00B90668">
        <w:rPr>
          <w:rFonts w:ascii="Times New Roman" w:hAnsi="Times New Roman" w:cs="Times New Roman"/>
          <w:color w:val="000000" w:themeColor="text1"/>
          <w:sz w:val="24"/>
          <w:szCs w:val="24"/>
        </w:rPr>
        <w:t>% [-</w:t>
      </w:r>
      <w:r w:rsidR="004227AB" w:rsidRPr="00B90668">
        <w:rPr>
          <w:rFonts w:ascii="Times New Roman" w:hAnsi="Times New Roman" w:cs="Times New Roman"/>
          <w:color w:val="000000" w:themeColor="text1"/>
          <w:sz w:val="24"/>
          <w:szCs w:val="24"/>
        </w:rPr>
        <w:t>21.6</w:t>
      </w:r>
      <w:r w:rsidRPr="00B90668">
        <w:rPr>
          <w:rFonts w:ascii="Times New Roman" w:hAnsi="Times New Roman" w:cs="Times New Roman"/>
          <w:color w:val="000000" w:themeColor="text1"/>
          <w:sz w:val="24"/>
          <w:szCs w:val="24"/>
        </w:rPr>
        <w:t xml:space="preserve">%, </w:t>
      </w:r>
      <w:r w:rsidR="004227AB" w:rsidRPr="00B90668">
        <w:rPr>
          <w:rFonts w:ascii="Times New Roman" w:hAnsi="Times New Roman" w:cs="Times New Roman"/>
          <w:color w:val="000000" w:themeColor="text1"/>
          <w:sz w:val="24"/>
          <w:szCs w:val="24"/>
        </w:rPr>
        <w:t>19.3</w:t>
      </w:r>
      <w:r w:rsidRPr="00B90668">
        <w:rPr>
          <w:rFonts w:ascii="Times New Roman" w:hAnsi="Times New Roman" w:cs="Times New Roman"/>
          <w:color w:val="000000" w:themeColor="text1"/>
          <w:sz w:val="24"/>
          <w:szCs w:val="24"/>
        </w:rPr>
        <w:t xml:space="preserve">%] </w:t>
      </w:r>
      <w:r w:rsidR="00002AB8" w:rsidRPr="00B90668">
        <w:rPr>
          <w:rFonts w:ascii="Times New Roman" w:hAnsi="Times New Roman" w:cs="Times New Roman"/>
          <w:color w:val="000000" w:themeColor="text1"/>
          <w:sz w:val="24"/>
          <w:szCs w:val="24"/>
        </w:rPr>
        <w:t xml:space="preserve">for LEV </w:t>
      </w:r>
      <w:r w:rsidRPr="00B90668">
        <w:rPr>
          <w:rFonts w:ascii="Times New Roman" w:hAnsi="Times New Roman" w:cs="Times New Roman"/>
          <w:color w:val="000000" w:themeColor="text1"/>
          <w:sz w:val="24"/>
          <w:szCs w:val="24"/>
        </w:rPr>
        <w:t xml:space="preserve">and </w:t>
      </w:r>
      <w:r w:rsidR="00801256" w:rsidRPr="00B90668">
        <w:rPr>
          <w:rFonts w:ascii="Times New Roman" w:hAnsi="Times New Roman" w:cs="Times New Roman"/>
          <w:color w:val="000000" w:themeColor="text1"/>
          <w:sz w:val="24"/>
          <w:szCs w:val="24"/>
        </w:rPr>
        <w:t>6.4</w:t>
      </w:r>
      <w:r w:rsidRPr="00B90668">
        <w:rPr>
          <w:rFonts w:ascii="Times New Roman" w:hAnsi="Times New Roman" w:cs="Times New Roman"/>
          <w:color w:val="000000" w:themeColor="text1"/>
          <w:sz w:val="24"/>
          <w:szCs w:val="24"/>
        </w:rPr>
        <w:t>% [-16.</w:t>
      </w:r>
      <w:r w:rsidR="00801256" w:rsidRPr="00B90668">
        <w:rPr>
          <w:rFonts w:ascii="Times New Roman" w:hAnsi="Times New Roman" w:cs="Times New Roman"/>
          <w:color w:val="000000" w:themeColor="text1"/>
          <w:sz w:val="24"/>
          <w:szCs w:val="24"/>
        </w:rPr>
        <w:t>1</w:t>
      </w:r>
      <w:r w:rsidRPr="00B90668">
        <w:rPr>
          <w:rFonts w:ascii="Times New Roman" w:hAnsi="Times New Roman" w:cs="Times New Roman"/>
          <w:color w:val="000000" w:themeColor="text1"/>
          <w:sz w:val="24"/>
          <w:szCs w:val="24"/>
        </w:rPr>
        <w:t>%, 2</w:t>
      </w:r>
      <w:r w:rsidR="00801256" w:rsidRPr="00B90668">
        <w:rPr>
          <w:rFonts w:ascii="Times New Roman" w:hAnsi="Times New Roman" w:cs="Times New Roman"/>
          <w:color w:val="000000" w:themeColor="text1"/>
          <w:sz w:val="24"/>
          <w:szCs w:val="24"/>
        </w:rPr>
        <w:t>8.9</w:t>
      </w:r>
      <w:r w:rsidRPr="00B90668">
        <w:rPr>
          <w:rFonts w:ascii="Times New Roman" w:hAnsi="Times New Roman" w:cs="Times New Roman"/>
          <w:color w:val="000000" w:themeColor="text1"/>
          <w:sz w:val="24"/>
          <w:szCs w:val="24"/>
        </w:rPr>
        <w:t>%]</w:t>
      </w:r>
      <w:r w:rsidR="00002AB8" w:rsidRPr="00B90668">
        <w:rPr>
          <w:rFonts w:ascii="Times New Roman" w:hAnsi="Times New Roman" w:cs="Times New Roman"/>
          <w:color w:val="000000" w:themeColor="text1"/>
          <w:sz w:val="24"/>
          <w:szCs w:val="24"/>
        </w:rPr>
        <w:t xml:space="preserve"> for VPA</w:t>
      </w:r>
      <w:r w:rsidRPr="00B90668">
        <w:rPr>
          <w:rFonts w:ascii="Times New Roman" w:hAnsi="Times New Roman" w:cs="Times New Roman"/>
          <w:color w:val="000000" w:themeColor="text1"/>
          <w:sz w:val="24"/>
          <w:szCs w:val="24"/>
        </w:rPr>
        <w:t>.</w:t>
      </w:r>
      <w:r w:rsidR="000125F1" w:rsidRPr="00B90668">
        <w:rPr>
          <w:rFonts w:ascii="Times New Roman" w:hAnsi="Times New Roman" w:cs="Times New Roman"/>
          <w:color w:val="000000" w:themeColor="text1"/>
          <w:sz w:val="24"/>
          <w:szCs w:val="24"/>
        </w:rPr>
        <w:t xml:space="preserve"> </w:t>
      </w:r>
      <w:r w:rsidR="00E00CC2" w:rsidRPr="00B90668">
        <w:rPr>
          <w:rFonts w:ascii="Times New Roman" w:hAnsi="Times New Roman" w:cs="Times New Roman"/>
          <w:color w:val="000000" w:themeColor="text1"/>
          <w:sz w:val="24"/>
          <w:szCs w:val="24"/>
        </w:rPr>
        <w:t xml:space="preserve">None of the differences were statistically significant </w:t>
      </w:r>
      <w:r w:rsidR="00AF08E4" w:rsidRPr="00B90668">
        <w:rPr>
          <w:rFonts w:ascii="Times New Roman" w:hAnsi="Times New Roman" w:cs="Times New Roman"/>
          <w:color w:val="000000" w:themeColor="text1"/>
          <w:sz w:val="24"/>
          <w:szCs w:val="24"/>
        </w:rPr>
        <w:t>since</w:t>
      </w:r>
      <w:r w:rsidR="00E00CC2" w:rsidRPr="00B90668">
        <w:rPr>
          <w:rFonts w:ascii="Times New Roman" w:hAnsi="Times New Roman" w:cs="Times New Roman"/>
          <w:color w:val="000000" w:themeColor="text1"/>
          <w:sz w:val="24"/>
          <w:szCs w:val="24"/>
        </w:rPr>
        <w:t xml:space="preserve"> the</w:t>
      </w:r>
      <w:r w:rsidR="002372C2" w:rsidRPr="00B90668">
        <w:rPr>
          <w:rFonts w:ascii="Times New Roman" w:hAnsi="Times New Roman" w:cs="Times New Roman"/>
          <w:color w:val="000000" w:themeColor="text1"/>
          <w:sz w:val="24"/>
          <w:szCs w:val="24"/>
        </w:rPr>
        <w:t xml:space="preserve"> 95%</w:t>
      </w:r>
      <w:r w:rsidR="00E00CC2" w:rsidRPr="00B90668">
        <w:rPr>
          <w:rFonts w:ascii="Times New Roman" w:hAnsi="Times New Roman" w:cs="Times New Roman"/>
          <w:color w:val="000000" w:themeColor="text1"/>
          <w:sz w:val="24"/>
          <w:szCs w:val="24"/>
        </w:rPr>
        <w:t xml:space="preserve"> </w:t>
      </w:r>
      <w:r w:rsidR="002372C2" w:rsidRPr="00B90668">
        <w:rPr>
          <w:rFonts w:ascii="Times New Roman" w:hAnsi="Times New Roman" w:cs="Times New Roman"/>
          <w:color w:val="000000" w:themeColor="text1"/>
          <w:sz w:val="24"/>
          <w:szCs w:val="24"/>
        </w:rPr>
        <w:t>confidence intervals</w:t>
      </w:r>
      <w:r w:rsidR="00E00CC2" w:rsidRPr="00B90668">
        <w:rPr>
          <w:rFonts w:ascii="Times New Roman" w:hAnsi="Times New Roman" w:cs="Times New Roman"/>
          <w:color w:val="000000" w:themeColor="text1"/>
          <w:sz w:val="24"/>
          <w:szCs w:val="24"/>
        </w:rPr>
        <w:t xml:space="preserve"> included 0</w:t>
      </w:r>
      <w:r w:rsidR="00AF08E4" w:rsidRPr="00B90668">
        <w:rPr>
          <w:rFonts w:ascii="Times New Roman" w:hAnsi="Times New Roman" w:cs="Times New Roman"/>
          <w:color w:val="000000" w:themeColor="text1"/>
          <w:sz w:val="24"/>
          <w:szCs w:val="24"/>
        </w:rPr>
        <w:t xml:space="preserve"> for each drug</w:t>
      </w:r>
      <w:r w:rsidR="00E00CC2" w:rsidRPr="00B90668">
        <w:rPr>
          <w:rFonts w:ascii="Times New Roman" w:hAnsi="Times New Roman" w:cs="Times New Roman"/>
          <w:color w:val="000000" w:themeColor="text1"/>
          <w:sz w:val="24"/>
          <w:szCs w:val="24"/>
        </w:rPr>
        <w:t>.</w:t>
      </w:r>
    </w:p>
    <w:p w14:paraId="1343A4D6" w14:textId="40CB9204" w:rsidR="004A01F3" w:rsidRPr="00B90668" w:rsidRDefault="00346A5F" w:rsidP="003A31C5">
      <w:pPr>
        <w:spacing w:line="480" w:lineRule="auto"/>
        <w:jc w:val="both"/>
        <w:rPr>
          <w:rFonts w:ascii="Times New Roman" w:hAnsi="Times New Roman" w:cs="Times New Roman"/>
          <w:i/>
          <w:color w:val="000000" w:themeColor="text1"/>
          <w:sz w:val="24"/>
          <w:szCs w:val="24"/>
        </w:rPr>
      </w:pPr>
      <w:r w:rsidRPr="00B90668">
        <w:rPr>
          <w:rFonts w:ascii="Times New Roman" w:hAnsi="Times New Roman" w:cs="Times New Roman"/>
          <w:i/>
          <w:color w:val="000000" w:themeColor="text1"/>
          <w:sz w:val="24"/>
          <w:szCs w:val="24"/>
        </w:rPr>
        <w:lastRenderedPageBreak/>
        <w:t>Association</w:t>
      </w:r>
      <w:r w:rsidR="0099402F" w:rsidRPr="00B90668">
        <w:rPr>
          <w:rFonts w:ascii="Times New Roman" w:hAnsi="Times New Roman" w:cs="Times New Roman"/>
          <w:i/>
          <w:color w:val="000000" w:themeColor="text1"/>
          <w:sz w:val="24"/>
          <w:szCs w:val="24"/>
        </w:rPr>
        <w:t xml:space="preserve"> of weight and other predictors </w:t>
      </w:r>
      <w:r w:rsidRPr="00B90668">
        <w:rPr>
          <w:rFonts w:ascii="Times New Roman" w:hAnsi="Times New Roman" w:cs="Times New Roman"/>
          <w:i/>
          <w:color w:val="000000" w:themeColor="text1"/>
          <w:sz w:val="24"/>
          <w:szCs w:val="24"/>
        </w:rPr>
        <w:t>with</w:t>
      </w:r>
      <w:r w:rsidR="0099402F" w:rsidRPr="00B90668">
        <w:rPr>
          <w:rFonts w:ascii="Times New Roman" w:hAnsi="Times New Roman" w:cs="Times New Roman"/>
          <w:i/>
          <w:color w:val="000000" w:themeColor="text1"/>
          <w:sz w:val="24"/>
          <w:szCs w:val="24"/>
        </w:rPr>
        <w:t xml:space="preserve"> primary outcome</w:t>
      </w:r>
      <w:r w:rsidR="00B47DD5">
        <w:rPr>
          <w:rFonts w:ascii="Times New Roman" w:hAnsi="Times New Roman" w:cs="Times New Roman"/>
          <w:i/>
          <w:color w:val="000000" w:themeColor="text1"/>
          <w:sz w:val="24"/>
          <w:szCs w:val="24"/>
        </w:rPr>
        <w:t xml:space="preserve"> using univariate and multivariate analyses</w:t>
      </w:r>
    </w:p>
    <w:p w14:paraId="251755EC" w14:textId="078B43E7" w:rsidR="004A01F3" w:rsidRPr="00B90668" w:rsidRDefault="004A01F3" w:rsidP="003A31C5">
      <w:pPr>
        <w:spacing w:line="480" w:lineRule="auto"/>
        <w:jc w:val="both"/>
        <w:rPr>
          <w:rFonts w:ascii="Times New Roman" w:hAnsi="Times New Roman" w:cs="Times New Roman"/>
          <w:bCs/>
          <w:color w:val="000000" w:themeColor="text1"/>
          <w:sz w:val="24"/>
          <w:szCs w:val="24"/>
        </w:rPr>
      </w:pPr>
      <w:r w:rsidRPr="00B90668">
        <w:rPr>
          <w:rFonts w:ascii="Times New Roman" w:hAnsi="Times New Roman" w:cs="Times New Roman"/>
          <w:color w:val="000000" w:themeColor="text1"/>
          <w:sz w:val="24"/>
          <w:szCs w:val="24"/>
          <w:u w:val="single"/>
        </w:rPr>
        <w:t>Primary outcome vs. w</w:t>
      </w:r>
      <w:r w:rsidR="00F16F38" w:rsidRPr="00B90668">
        <w:rPr>
          <w:rFonts w:ascii="Times New Roman" w:hAnsi="Times New Roman" w:cs="Times New Roman"/>
          <w:color w:val="000000" w:themeColor="text1"/>
          <w:sz w:val="24"/>
          <w:szCs w:val="24"/>
          <w:u w:val="single"/>
        </w:rPr>
        <w:t>eight</w:t>
      </w:r>
      <w:r w:rsidRPr="00B90668">
        <w:rPr>
          <w:rFonts w:ascii="Times New Roman" w:hAnsi="Times New Roman" w:cs="Times New Roman"/>
          <w:color w:val="000000" w:themeColor="text1"/>
          <w:sz w:val="24"/>
          <w:szCs w:val="24"/>
        </w:rPr>
        <w:t>:</w:t>
      </w:r>
      <w:r w:rsidR="00A019B6" w:rsidRPr="00B90668">
        <w:rPr>
          <w:rFonts w:ascii="Times New Roman" w:hAnsi="Times New Roman" w:cs="Times New Roman"/>
          <w:color w:val="000000" w:themeColor="text1"/>
          <w:sz w:val="24"/>
          <w:szCs w:val="24"/>
        </w:rPr>
        <w:t xml:space="preserve"> T</w:t>
      </w:r>
      <w:r w:rsidRPr="00B90668">
        <w:rPr>
          <w:rFonts w:ascii="Times New Roman" w:hAnsi="Times New Roman" w:cs="Times New Roman"/>
          <w:color w:val="000000" w:themeColor="text1"/>
          <w:sz w:val="24"/>
          <w:szCs w:val="24"/>
        </w:rPr>
        <w:t>he odds of success were 10.</w:t>
      </w:r>
      <w:r w:rsidR="00A663C2" w:rsidRPr="00B90668">
        <w:rPr>
          <w:rFonts w:ascii="Times New Roman" w:hAnsi="Times New Roman" w:cs="Times New Roman"/>
          <w:color w:val="000000" w:themeColor="text1"/>
          <w:sz w:val="24"/>
          <w:szCs w:val="24"/>
        </w:rPr>
        <w:t>1</w:t>
      </w:r>
      <w:r w:rsidRPr="00B90668">
        <w:rPr>
          <w:rFonts w:ascii="Times New Roman" w:hAnsi="Times New Roman" w:cs="Times New Roman"/>
          <w:color w:val="000000" w:themeColor="text1"/>
          <w:sz w:val="24"/>
          <w:szCs w:val="24"/>
        </w:rPr>
        <w:t>% lower</w:t>
      </w:r>
      <w:r w:rsidR="00CD5429" w:rsidRPr="00B90668">
        <w:rPr>
          <w:rFonts w:ascii="Times New Roman" w:hAnsi="Times New Roman" w:cs="Times New Roman"/>
          <w:color w:val="000000" w:themeColor="text1"/>
          <w:sz w:val="24"/>
          <w:szCs w:val="24"/>
        </w:rPr>
        <w:t xml:space="preserve"> (odds ratio of 0.</w:t>
      </w:r>
      <w:r w:rsidR="00A663C2" w:rsidRPr="00B90668">
        <w:rPr>
          <w:rFonts w:ascii="Times New Roman" w:hAnsi="Times New Roman" w:cs="Times New Roman"/>
          <w:color w:val="000000" w:themeColor="text1"/>
          <w:sz w:val="24"/>
          <w:szCs w:val="24"/>
        </w:rPr>
        <w:t>9</w:t>
      </w:r>
      <w:r w:rsidR="00A019B6" w:rsidRPr="00B90668">
        <w:rPr>
          <w:rFonts w:ascii="Times New Roman" w:hAnsi="Times New Roman" w:cs="Times New Roman"/>
          <w:color w:val="000000" w:themeColor="text1"/>
          <w:sz w:val="24"/>
          <w:szCs w:val="24"/>
        </w:rPr>
        <w:t xml:space="preserve"> (</w:t>
      </w:r>
      <w:r w:rsidR="00335F8C" w:rsidRPr="00B90668">
        <w:rPr>
          <w:rFonts w:ascii="Times New Roman" w:hAnsi="Times New Roman" w:cs="Times New Roman"/>
          <w:color w:val="000000" w:themeColor="text1"/>
          <w:sz w:val="24"/>
          <w:szCs w:val="24"/>
        </w:rPr>
        <w:t xml:space="preserve">95% confidence interval of </w:t>
      </w:r>
      <w:r w:rsidR="00A019B6" w:rsidRPr="00B90668">
        <w:rPr>
          <w:rFonts w:ascii="Times New Roman" w:hAnsi="Times New Roman" w:cs="Times New Roman"/>
          <w:color w:val="000000" w:themeColor="text1"/>
          <w:sz w:val="24"/>
          <w:szCs w:val="24"/>
        </w:rPr>
        <w:t>0.54, 1.51)</w:t>
      </w:r>
      <w:r w:rsidR="00CD5429" w:rsidRPr="00B90668">
        <w:rPr>
          <w:rFonts w:ascii="Times New Roman" w:hAnsi="Times New Roman" w:cs="Times New Roman"/>
          <w:color w:val="000000" w:themeColor="text1"/>
          <w:sz w:val="24"/>
          <w:szCs w:val="24"/>
        </w:rPr>
        <w:t>)</w:t>
      </w:r>
      <w:r w:rsidRPr="00B90668">
        <w:rPr>
          <w:rFonts w:ascii="Times New Roman" w:hAnsi="Times New Roman" w:cs="Times New Roman"/>
          <w:color w:val="000000" w:themeColor="text1"/>
          <w:sz w:val="24"/>
          <w:szCs w:val="24"/>
        </w:rPr>
        <w:t xml:space="preserve"> for those &gt;</w:t>
      </w:r>
      <w:r w:rsidR="003E36FD"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75 kg</w:t>
      </w:r>
      <w:r w:rsidR="00335F8C" w:rsidRPr="00B90668">
        <w:rPr>
          <w:rFonts w:ascii="Times New Roman" w:hAnsi="Times New Roman" w:cs="Times New Roman"/>
          <w:color w:val="000000" w:themeColor="text1"/>
          <w:sz w:val="24"/>
          <w:szCs w:val="24"/>
        </w:rPr>
        <w:t xml:space="preserve"> compared to those ≤ 75 kg</w:t>
      </w:r>
      <w:r w:rsidRPr="00B90668">
        <w:rPr>
          <w:rFonts w:ascii="Times New Roman" w:hAnsi="Times New Roman" w:cs="Times New Roman"/>
          <w:color w:val="000000" w:themeColor="text1"/>
          <w:sz w:val="24"/>
          <w:szCs w:val="24"/>
        </w:rPr>
        <w:t xml:space="preserve"> and 1</w:t>
      </w:r>
      <w:r w:rsidR="00A663C2" w:rsidRPr="00B90668">
        <w:rPr>
          <w:rFonts w:ascii="Times New Roman" w:hAnsi="Times New Roman" w:cs="Times New Roman"/>
          <w:color w:val="000000" w:themeColor="text1"/>
          <w:sz w:val="24"/>
          <w:szCs w:val="24"/>
        </w:rPr>
        <w:t>5.4</w:t>
      </w:r>
      <w:r w:rsidRPr="00B90668">
        <w:rPr>
          <w:rFonts w:ascii="Times New Roman" w:hAnsi="Times New Roman" w:cs="Times New Roman"/>
          <w:color w:val="000000" w:themeColor="text1"/>
          <w:sz w:val="24"/>
          <w:szCs w:val="24"/>
        </w:rPr>
        <w:t>% lower</w:t>
      </w:r>
      <w:r w:rsidR="00CD5429" w:rsidRPr="00B90668">
        <w:rPr>
          <w:rFonts w:ascii="Times New Roman" w:hAnsi="Times New Roman" w:cs="Times New Roman"/>
          <w:color w:val="000000" w:themeColor="text1"/>
          <w:sz w:val="24"/>
          <w:szCs w:val="24"/>
        </w:rPr>
        <w:t xml:space="preserve"> (odds ratio of 0.8</w:t>
      </w:r>
      <w:r w:rsidR="00A663C2" w:rsidRPr="00B90668">
        <w:rPr>
          <w:rFonts w:ascii="Times New Roman" w:hAnsi="Times New Roman" w:cs="Times New Roman"/>
          <w:color w:val="000000" w:themeColor="text1"/>
          <w:sz w:val="24"/>
          <w:szCs w:val="24"/>
        </w:rPr>
        <w:t>5</w:t>
      </w:r>
      <w:r w:rsidR="00A019B6" w:rsidRPr="00B90668">
        <w:rPr>
          <w:rFonts w:ascii="Times New Roman" w:hAnsi="Times New Roman" w:cs="Times New Roman"/>
          <w:color w:val="000000" w:themeColor="text1"/>
          <w:sz w:val="24"/>
          <w:szCs w:val="24"/>
        </w:rPr>
        <w:t xml:space="preserve"> (</w:t>
      </w:r>
      <w:r w:rsidR="00335F8C" w:rsidRPr="00B90668">
        <w:rPr>
          <w:rFonts w:ascii="Times New Roman" w:hAnsi="Times New Roman" w:cs="Times New Roman"/>
          <w:color w:val="000000" w:themeColor="text1"/>
          <w:sz w:val="24"/>
          <w:szCs w:val="24"/>
        </w:rPr>
        <w:t xml:space="preserve">95% confidence interval of </w:t>
      </w:r>
      <w:r w:rsidR="00A019B6" w:rsidRPr="00B90668">
        <w:rPr>
          <w:rFonts w:ascii="Times New Roman" w:hAnsi="Times New Roman" w:cs="Times New Roman"/>
          <w:color w:val="000000" w:themeColor="text1"/>
          <w:sz w:val="24"/>
          <w:szCs w:val="24"/>
        </w:rPr>
        <w:t>0.42, 1.66)</w:t>
      </w:r>
      <w:r w:rsidR="00CD5429" w:rsidRPr="00B90668">
        <w:rPr>
          <w:rFonts w:ascii="Times New Roman" w:hAnsi="Times New Roman" w:cs="Times New Roman"/>
          <w:color w:val="000000" w:themeColor="text1"/>
          <w:sz w:val="24"/>
          <w:szCs w:val="24"/>
        </w:rPr>
        <w:t>)</w:t>
      </w:r>
      <w:r w:rsidRPr="00B90668">
        <w:rPr>
          <w:rFonts w:ascii="Times New Roman" w:hAnsi="Times New Roman" w:cs="Times New Roman"/>
          <w:color w:val="000000" w:themeColor="text1"/>
          <w:sz w:val="24"/>
          <w:szCs w:val="24"/>
        </w:rPr>
        <w:t xml:space="preserve"> for those &gt; 90 kg</w:t>
      </w:r>
      <w:r w:rsidR="00335F8C" w:rsidRPr="00B90668">
        <w:rPr>
          <w:rFonts w:ascii="Times New Roman" w:hAnsi="Times New Roman" w:cs="Times New Roman"/>
          <w:color w:val="000000" w:themeColor="text1"/>
          <w:sz w:val="24"/>
          <w:szCs w:val="24"/>
        </w:rPr>
        <w:t xml:space="preserve"> compared to those ≤ 90 kg. T</w:t>
      </w:r>
      <w:r w:rsidRPr="00B90668">
        <w:rPr>
          <w:rFonts w:ascii="Times New Roman" w:hAnsi="Times New Roman" w:cs="Times New Roman"/>
          <w:color w:val="000000" w:themeColor="text1"/>
          <w:sz w:val="24"/>
          <w:szCs w:val="24"/>
        </w:rPr>
        <w:t>hese differences were not significant</w:t>
      </w:r>
      <w:r w:rsidR="00AF08E4" w:rsidRPr="00B90668">
        <w:rPr>
          <w:rFonts w:ascii="Times New Roman" w:hAnsi="Times New Roman" w:cs="Times New Roman"/>
          <w:color w:val="000000" w:themeColor="text1"/>
          <w:sz w:val="24"/>
          <w:szCs w:val="24"/>
        </w:rPr>
        <w:t xml:space="preserve"> since the 95% confidence intervals for the odds ratios included 1</w:t>
      </w:r>
      <w:r w:rsidRPr="00B90668">
        <w:rPr>
          <w:rFonts w:ascii="Times New Roman" w:hAnsi="Times New Roman" w:cs="Times New Roman"/>
          <w:bCs/>
          <w:color w:val="000000" w:themeColor="text1"/>
          <w:sz w:val="24"/>
          <w:szCs w:val="24"/>
        </w:rPr>
        <w:t>.</w:t>
      </w:r>
      <w:r w:rsidR="003F1DAC" w:rsidRPr="00B90668">
        <w:rPr>
          <w:rFonts w:ascii="Times New Roman" w:hAnsi="Times New Roman" w:cs="Times New Roman"/>
          <w:bCs/>
          <w:color w:val="000000" w:themeColor="text1"/>
          <w:sz w:val="24"/>
          <w:szCs w:val="24"/>
        </w:rPr>
        <w:t xml:space="preserve"> Similarly, there was no statistically significant </w:t>
      </w:r>
      <w:r w:rsidR="00D832C2" w:rsidRPr="00B90668">
        <w:rPr>
          <w:rFonts w:ascii="Times New Roman" w:hAnsi="Times New Roman" w:cs="Times New Roman"/>
          <w:bCs/>
          <w:color w:val="000000" w:themeColor="text1"/>
          <w:sz w:val="24"/>
          <w:szCs w:val="24"/>
        </w:rPr>
        <w:t xml:space="preserve">association with </w:t>
      </w:r>
      <w:r w:rsidR="00D32071" w:rsidRPr="00B90668">
        <w:rPr>
          <w:rFonts w:ascii="Times New Roman" w:hAnsi="Times New Roman" w:cs="Times New Roman"/>
          <w:bCs/>
          <w:color w:val="000000" w:themeColor="text1"/>
          <w:sz w:val="24"/>
          <w:szCs w:val="24"/>
        </w:rPr>
        <w:t xml:space="preserve">treatment success </w:t>
      </w:r>
      <w:r w:rsidR="003F1DAC" w:rsidRPr="00B90668">
        <w:rPr>
          <w:rFonts w:ascii="Times New Roman" w:hAnsi="Times New Roman" w:cs="Times New Roman"/>
          <w:bCs/>
          <w:color w:val="000000" w:themeColor="text1"/>
          <w:sz w:val="24"/>
          <w:szCs w:val="24"/>
        </w:rPr>
        <w:t>when sex</w:t>
      </w:r>
      <w:r w:rsidR="006512ED" w:rsidRPr="00B90668">
        <w:rPr>
          <w:rFonts w:ascii="Times New Roman" w:hAnsi="Times New Roman" w:cs="Times New Roman"/>
          <w:bCs/>
          <w:color w:val="000000" w:themeColor="text1"/>
          <w:sz w:val="24"/>
          <w:szCs w:val="24"/>
        </w:rPr>
        <w:t xml:space="preserve">, </w:t>
      </w:r>
      <w:r w:rsidR="003F1DAC" w:rsidRPr="00B90668">
        <w:rPr>
          <w:rFonts w:ascii="Times New Roman" w:hAnsi="Times New Roman" w:cs="Times New Roman"/>
          <w:bCs/>
          <w:color w:val="000000" w:themeColor="text1"/>
          <w:sz w:val="24"/>
          <w:szCs w:val="24"/>
        </w:rPr>
        <w:t>treatment</w:t>
      </w:r>
      <w:r w:rsidR="006512ED" w:rsidRPr="00B90668">
        <w:rPr>
          <w:rFonts w:ascii="Times New Roman" w:hAnsi="Times New Roman" w:cs="Times New Roman"/>
          <w:bCs/>
          <w:color w:val="000000" w:themeColor="text1"/>
          <w:sz w:val="24"/>
          <w:szCs w:val="24"/>
        </w:rPr>
        <w:t xml:space="preserve"> group and</w:t>
      </w:r>
      <w:r w:rsidR="003F1DAC" w:rsidRPr="00B90668">
        <w:rPr>
          <w:rFonts w:ascii="Times New Roman" w:hAnsi="Times New Roman" w:cs="Times New Roman"/>
          <w:bCs/>
          <w:color w:val="000000" w:themeColor="text1"/>
          <w:sz w:val="24"/>
          <w:szCs w:val="24"/>
        </w:rPr>
        <w:t xml:space="preserve"> interaction</w:t>
      </w:r>
      <w:r w:rsidR="006512ED" w:rsidRPr="00B90668">
        <w:rPr>
          <w:rFonts w:ascii="Times New Roman" w:hAnsi="Times New Roman" w:cs="Times New Roman"/>
          <w:bCs/>
          <w:color w:val="000000" w:themeColor="text1"/>
          <w:sz w:val="24"/>
          <w:szCs w:val="24"/>
        </w:rPr>
        <w:t xml:space="preserve"> of </w:t>
      </w:r>
      <w:r w:rsidR="00D32071" w:rsidRPr="00B90668">
        <w:rPr>
          <w:rFonts w:ascii="Times New Roman" w:hAnsi="Times New Roman" w:cs="Times New Roman"/>
          <w:bCs/>
          <w:color w:val="000000" w:themeColor="text1"/>
          <w:sz w:val="24"/>
          <w:szCs w:val="24"/>
        </w:rPr>
        <w:t xml:space="preserve">weight with </w:t>
      </w:r>
      <w:r w:rsidR="006512ED" w:rsidRPr="00B90668">
        <w:rPr>
          <w:rFonts w:ascii="Times New Roman" w:hAnsi="Times New Roman" w:cs="Times New Roman"/>
          <w:bCs/>
          <w:color w:val="000000" w:themeColor="text1"/>
          <w:sz w:val="24"/>
          <w:szCs w:val="24"/>
        </w:rPr>
        <w:t xml:space="preserve">sex </w:t>
      </w:r>
      <w:r w:rsidR="00D32071" w:rsidRPr="00B90668">
        <w:rPr>
          <w:rFonts w:ascii="Times New Roman" w:hAnsi="Times New Roman" w:cs="Times New Roman"/>
          <w:bCs/>
          <w:color w:val="000000" w:themeColor="text1"/>
          <w:sz w:val="24"/>
          <w:szCs w:val="24"/>
        </w:rPr>
        <w:t>and</w:t>
      </w:r>
      <w:r w:rsidR="006512ED" w:rsidRPr="00B90668">
        <w:rPr>
          <w:rFonts w:ascii="Times New Roman" w:hAnsi="Times New Roman" w:cs="Times New Roman"/>
          <w:bCs/>
          <w:color w:val="000000" w:themeColor="text1"/>
          <w:sz w:val="24"/>
          <w:szCs w:val="24"/>
        </w:rPr>
        <w:t xml:space="preserve"> treatment group</w:t>
      </w:r>
      <w:r w:rsidR="003F1DAC" w:rsidRPr="00B90668">
        <w:rPr>
          <w:rFonts w:ascii="Times New Roman" w:hAnsi="Times New Roman" w:cs="Times New Roman"/>
          <w:bCs/>
          <w:color w:val="000000" w:themeColor="text1"/>
          <w:sz w:val="24"/>
          <w:szCs w:val="24"/>
        </w:rPr>
        <w:t xml:space="preserve"> were included in the model</w:t>
      </w:r>
      <w:r w:rsidR="00A019B6" w:rsidRPr="00B90668">
        <w:rPr>
          <w:rFonts w:ascii="Times New Roman" w:hAnsi="Times New Roman" w:cs="Times New Roman"/>
          <w:bCs/>
          <w:color w:val="000000" w:themeColor="text1"/>
          <w:sz w:val="24"/>
          <w:szCs w:val="24"/>
        </w:rPr>
        <w:t xml:space="preserve"> (</w:t>
      </w:r>
      <w:r w:rsidR="00A019B6" w:rsidRPr="00B90668">
        <w:rPr>
          <w:rFonts w:ascii="Times New Roman" w:hAnsi="Times New Roman" w:cs="Times New Roman"/>
          <w:b/>
          <w:color w:val="000000" w:themeColor="text1"/>
          <w:sz w:val="24"/>
          <w:szCs w:val="24"/>
        </w:rPr>
        <w:t xml:space="preserve">Table </w:t>
      </w:r>
      <w:r w:rsidR="00E93B92" w:rsidRPr="00B90668">
        <w:rPr>
          <w:rFonts w:ascii="Times New Roman" w:hAnsi="Times New Roman" w:cs="Times New Roman"/>
          <w:b/>
          <w:color w:val="000000" w:themeColor="text1"/>
          <w:sz w:val="24"/>
          <w:szCs w:val="24"/>
        </w:rPr>
        <w:t>1</w:t>
      </w:r>
      <w:r w:rsidR="00A019B6" w:rsidRPr="00B90668">
        <w:rPr>
          <w:rFonts w:ascii="Times New Roman" w:hAnsi="Times New Roman" w:cs="Times New Roman"/>
          <w:bCs/>
          <w:color w:val="000000" w:themeColor="text1"/>
          <w:sz w:val="24"/>
          <w:szCs w:val="24"/>
        </w:rPr>
        <w:t>)</w:t>
      </w:r>
      <w:r w:rsidR="003F1DAC" w:rsidRPr="00B90668">
        <w:rPr>
          <w:rFonts w:ascii="Times New Roman" w:hAnsi="Times New Roman" w:cs="Times New Roman"/>
          <w:bCs/>
          <w:color w:val="000000" w:themeColor="text1"/>
          <w:sz w:val="24"/>
          <w:szCs w:val="24"/>
        </w:rPr>
        <w:t>.</w:t>
      </w:r>
    </w:p>
    <w:p w14:paraId="071B49F4" w14:textId="17959148" w:rsidR="0099402F" w:rsidRPr="00B90668" w:rsidRDefault="004A01F3"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u w:val="single"/>
        </w:rPr>
        <w:t>Primary outcome vs</w:t>
      </w:r>
      <w:r w:rsidR="00246D98" w:rsidRPr="00B90668">
        <w:rPr>
          <w:rFonts w:ascii="Times New Roman" w:hAnsi="Times New Roman" w:cs="Times New Roman"/>
          <w:color w:val="000000" w:themeColor="text1"/>
          <w:sz w:val="24"/>
          <w:szCs w:val="24"/>
          <w:u w:val="single"/>
        </w:rPr>
        <w:t>.</w:t>
      </w:r>
      <w:r w:rsidRPr="00B90668">
        <w:rPr>
          <w:rFonts w:ascii="Times New Roman" w:hAnsi="Times New Roman" w:cs="Times New Roman"/>
          <w:color w:val="000000" w:themeColor="text1"/>
          <w:sz w:val="24"/>
          <w:szCs w:val="24"/>
          <w:u w:val="single"/>
        </w:rPr>
        <w:t xml:space="preserve"> </w:t>
      </w:r>
      <w:r w:rsidR="00246D98" w:rsidRPr="00B90668">
        <w:rPr>
          <w:rFonts w:ascii="Times New Roman" w:hAnsi="Times New Roman" w:cs="Times New Roman"/>
          <w:color w:val="000000" w:themeColor="text1"/>
          <w:sz w:val="24"/>
          <w:szCs w:val="24"/>
          <w:u w:val="single"/>
        </w:rPr>
        <w:t>sex and weight-normalized dose</w:t>
      </w:r>
      <w:r w:rsidRPr="00B90668">
        <w:rPr>
          <w:rFonts w:ascii="Times New Roman" w:hAnsi="Times New Roman" w:cs="Times New Roman"/>
          <w:color w:val="000000" w:themeColor="text1"/>
          <w:sz w:val="24"/>
          <w:szCs w:val="24"/>
        </w:rPr>
        <w:t>:</w:t>
      </w:r>
      <w:r w:rsidR="00AF6231" w:rsidRPr="00B90668">
        <w:rPr>
          <w:rFonts w:ascii="Times New Roman" w:hAnsi="Times New Roman" w:cs="Times New Roman"/>
          <w:color w:val="000000" w:themeColor="text1"/>
          <w:sz w:val="24"/>
          <w:szCs w:val="24"/>
        </w:rPr>
        <w:t xml:space="preserve"> </w:t>
      </w:r>
      <w:r w:rsidR="00B9210E">
        <w:rPr>
          <w:rFonts w:ascii="Times New Roman" w:hAnsi="Times New Roman" w:cs="Times New Roman"/>
          <w:color w:val="000000" w:themeColor="text1"/>
          <w:sz w:val="24"/>
          <w:szCs w:val="24"/>
        </w:rPr>
        <w:t>W</w:t>
      </w:r>
      <w:r w:rsidR="00EF2DFF" w:rsidRPr="00B90668">
        <w:rPr>
          <w:rFonts w:ascii="Times New Roman" w:hAnsi="Times New Roman" w:cs="Times New Roman"/>
          <w:color w:val="000000" w:themeColor="text1"/>
          <w:sz w:val="24"/>
          <w:szCs w:val="24"/>
        </w:rPr>
        <w:t xml:space="preserve">hen each drug </w:t>
      </w:r>
      <w:r w:rsidR="00AF6231" w:rsidRPr="00B90668">
        <w:rPr>
          <w:rFonts w:ascii="Times New Roman" w:hAnsi="Times New Roman" w:cs="Times New Roman"/>
          <w:color w:val="000000" w:themeColor="text1"/>
          <w:sz w:val="24"/>
          <w:szCs w:val="24"/>
        </w:rPr>
        <w:t>was</w:t>
      </w:r>
      <w:r w:rsidR="00EF2DFF" w:rsidRPr="00B90668">
        <w:rPr>
          <w:rFonts w:ascii="Times New Roman" w:hAnsi="Times New Roman" w:cs="Times New Roman"/>
          <w:color w:val="000000" w:themeColor="text1"/>
          <w:sz w:val="24"/>
          <w:szCs w:val="24"/>
        </w:rPr>
        <w:t xml:space="preserve"> modeled separately,</w:t>
      </w:r>
      <w:r w:rsidRPr="00B90668">
        <w:rPr>
          <w:rFonts w:ascii="Times New Roman" w:hAnsi="Times New Roman" w:cs="Times New Roman"/>
          <w:color w:val="000000" w:themeColor="text1"/>
          <w:sz w:val="24"/>
          <w:szCs w:val="24"/>
        </w:rPr>
        <w:t xml:space="preserve"> </w:t>
      </w:r>
      <w:r w:rsidR="00EF2DFF" w:rsidRPr="00B90668">
        <w:rPr>
          <w:rFonts w:ascii="Times New Roman" w:hAnsi="Times New Roman" w:cs="Times New Roman"/>
          <w:color w:val="000000" w:themeColor="text1"/>
          <w:sz w:val="24"/>
          <w:szCs w:val="24"/>
        </w:rPr>
        <w:t xml:space="preserve">the </w:t>
      </w:r>
      <w:r w:rsidR="00F16F38" w:rsidRPr="00B90668">
        <w:rPr>
          <w:rFonts w:ascii="Times New Roman" w:hAnsi="Times New Roman" w:cs="Times New Roman"/>
          <w:color w:val="000000" w:themeColor="text1"/>
          <w:sz w:val="24"/>
          <w:szCs w:val="24"/>
        </w:rPr>
        <w:t>weight-normalized dose</w:t>
      </w:r>
      <w:r w:rsidRPr="00B90668">
        <w:rPr>
          <w:rFonts w:ascii="Times New Roman" w:hAnsi="Times New Roman" w:cs="Times New Roman"/>
          <w:color w:val="000000" w:themeColor="text1"/>
          <w:sz w:val="24"/>
          <w:szCs w:val="24"/>
        </w:rPr>
        <w:t xml:space="preserve"> </w:t>
      </w:r>
      <w:r w:rsidR="00D832C2" w:rsidRPr="00B90668">
        <w:rPr>
          <w:rFonts w:ascii="Times New Roman" w:hAnsi="Times New Roman" w:cs="Times New Roman"/>
          <w:color w:val="000000" w:themeColor="text1"/>
          <w:sz w:val="24"/>
          <w:szCs w:val="24"/>
        </w:rPr>
        <w:t xml:space="preserve">was not associated with </w:t>
      </w:r>
      <w:r w:rsidRPr="00B90668">
        <w:rPr>
          <w:rFonts w:ascii="Times New Roman" w:hAnsi="Times New Roman" w:cs="Times New Roman"/>
          <w:color w:val="000000" w:themeColor="text1"/>
          <w:sz w:val="24"/>
          <w:szCs w:val="24"/>
        </w:rPr>
        <w:t>success</w:t>
      </w:r>
      <w:r w:rsidR="00D832C2" w:rsidRPr="00B90668">
        <w:rPr>
          <w:rFonts w:ascii="Times New Roman" w:hAnsi="Times New Roman" w:cs="Times New Roman"/>
          <w:color w:val="000000" w:themeColor="text1"/>
          <w:sz w:val="24"/>
          <w:szCs w:val="24"/>
        </w:rPr>
        <w:t>,</w:t>
      </w:r>
      <w:r w:rsidR="003F1DAC" w:rsidRPr="00B90668">
        <w:rPr>
          <w:rFonts w:ascii="Times New Roman" w:hAnsi="Times New Roman" w:cs="Times New Roman"/>
          <w:color w:val="000000" w:themeColor="text1"/>
          <w:sz w:val="24"/>
          <w:szCs w:val="24"/>
        </w:rPr>
        <w:t xml:space="preserve"> nor </w:t>
      </w:r>
      <w:r w:rsidR="00D832C2" w:rsidRPr="00B90668">
        <w:rPr>
          <w:rFonts w:ascii="Times New Roman" w:hAnsi="Times New Roman" w:cs="Times New Roman"/>
          <w:color w:val="000000" w:themeColor="text1"/>
          <w:sz w:val="24"/>
          <w:szCs w:val="24"/>
        </w:rPr>
        <w:t>was</w:t>
      </w:r>
      <w:r w:rsidR="003F1DAC" w:rsidRPr="00B90668">
        <w:rPr>
          <w:rFonts w:ascii="Times New Roman" w:hAnsi="Times New Roman" w:cs="Times New Roman"/>
          <w:color w:val="000000" w:themeColor="text1"/>
          <w:sz w:val="24"/>
          <w:szCs w:val="24"/>
        </w:rPr>
        <w:t xml:space="preserve"> sex or the interaction</w:t>
      </w:r>
      <w:r w:rsidR="006512ED" w:rsidRPr="00B90668">
        <w:rPr>
          <w:rFonts w:ascii="Times New Roman" w:hAnsi="Times New Roman" w:cs="Times New Roman"/>
          <w:color w:val="000000" w:themeColor="text1"/>
          <w:sz w:val="24"/>
          <w:szCs w:val="24"/>
        </w:rPr>
        <w:t xml:space="preserve"> of dose and sex</w:t>
      </w:r>
      <w:r w:rsidR="00B9210E">
        <w:rPr>
          <w:rFonts w:ascii="Times New Roman" w:hAnsi="Times New Roman" w:cs="Times New Roman"/>
          <w:color w:val="000000" w:themeColor="text1"/>
          <w:sz w:val="24"/>
          <w:szCs w:val="24"/>
        </w:rPr>
        <w:t xml:space="preserve"> (</w:t>
      </w:r>
      <w:r w:rsidR="005F163E">
        <w:rPr>
          <w:rFonts w:ascii="Times New Roman" w:hAnsi="Times New Roman" w:cs="Times New Roman"/>
          <w:b/>
          <w:bCs/>
          <w:color w:val="000000" w:themeColor="text1"/>
          <w:sz w:val="24"/>
          <w:szCs w:val="24"/>
        </w:rPr>
        <w:t>Supporting Information Table S2</w:t>
      </w:r>
      <w:r w:rsidR="00B9210E">
        <w:rPr>
          <w:rFonts w:ascii="Times New Roman" w:hAnsi="Times New Roman" w:cs="Times New Roman"/>
          <w:color w:val="000000" w:themeColor="text1"/>
          <w:sz w:val="24"/>
          <w:szCs w:val="24"/>
        </w:rPr>
        <w:t>)</w:t>
      </w:r>
      <w:r w:rsidRPr="00B90668">
        <w:rPr>
          <w:rFonts w:ascii="Times New Roman" w:hAnsi="Times New Roman" w:cs="Times New Roman"/>
          <w:color w:val="000000" w:themeColor="text1"/>
          <w:sz w:val="24"/>
          <w:szCs w:val="24"/>
        </w:rPr>
        <w:t>.</w:t>
      </w:r>
    </w:p>
    <w:p w14:paraId="5DA5F3DD" w14:textId="04F8DFEE" w:rsidR="0099402F" w:rsidRPr="00B90668" w:rsidRDefault="00D832C2"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i/>
          <w:color w:val="000000" w:themeColor="text1"/>
          <w:sz w:val="24"/>
          <w:szCs w:val="24"/>
        </w:rPr>
        <w:t xml:space="preserve">Association </w:t>
      </w:r>
      <w:r w:rsidR="0099402F" w:rsidRPr="00B90668">
        <w:rPr>
          <w:rFonts w:ascii="Times New Roman" w:hAnsi="Times New Roman" w:cs="Times New Roman"/>
          <w:i/>
          <w:color w:val="000000" w:themeColor="text1"/>
          <w:sz w:val="24"/>
          <w:szCs w:val="24"/>
        </w:rPr>
        <w:t>of weight</w:t>
      </w:r>
      <w:r w:rsidR="005C182E">
        <w:rPr>
          <w:rFonts w:ascii="Times New Roman" w:hAnsi="Times New Roman" w:cs="Times New Roman"/>
          <w:i/>
          <w:color w:val="000000" w:themeColor="text1"/>
          <w:sz w:val="24"/>
          <w:szCs w:val="24"/>
        </w:rPr>
        <w:t>, sex and treatment</w:t>
      </w:r>
      <w:r w:rsidR="0099402F" w:rsidRPr="00B90668">
        <w:rPr>
          <w:rFonts w:ascii="Times New Roman" w:hAnsi="Times New Roman" w:cs="Times New Roman"/>
          <w:i/>
          <w:color w:val="000000" w:themeColor="text1"/>
          <w:sz w:val="24"/>
          <w:szCs w:val="24"/>
        </w:rPr>
        <w:t xml:space="preserve"> </w:t>
      </w:r>
      <w:r w:rsidRPr="00B90668">
        <w:rPr>
          <w:rFonts w:ascii="Times New Roman" w:hAnsi="Times New Roman" w:cs="Times New Roman"/>
          <w:i/>
          <w:color w:val="000000" w:themeColor="text1"/>
          <w:sz w:val="24"/>
          <w:szCs w:val="24"/>
        </w:rPr>
        <w:t>with</w:t>
      </w:r>
      <w:r w:rsidR="00771118" w:rsidRPr="00B90668">
        <w:rPr>
          <w:rFonts w:ascii="Times New Roman" w:hAnsi="Times New Roman" w:cs="Times New Roman"/>
          <w:i/>
          <w:color w:val="000000" w:themeColor="text1"/>
          <w:sz w:val="24"/>
          <w:szCs w:val="24"/>
        </w:rPr>
        <w:t xml:space="preserve"> clinical</w:t>
      </w:r>
      <w:r w:rsidR="0099402F" w:rsidRPr="00B90668">
        <w:rPr>
          <w:rFonts w:ascii="Times New Roman" w:hAnsi="Times New Roman" w:cs="Times New Roman"/>
          <w:i/>
          <w:color w:val="000000" w:themeColor="text1"/>
          <w:sz w:val="24"/>
          <w:szCs w:val="24"/>
        </w:rPr>
        <w:t xml:space="preserve"> seizure cessation</w:t>
      </w:r>
      <w:r w:rsidR="00411D56" w:rsidRPr="00B90668">
        <w:rPr>
          <w:rFonts w:ascii="Times New Roman" w:hAnsi="Times New Roman" w:cs="Times New Roman"/>
          <w:i/>
          <w:color w:val="000000" w:themeColor="text1"/>
          <w:sz w:val="24"/>
          <w:szCs w:val="24"/>
        </w:rPr>
        <w:t xml:space="preserve"> without additional anti-seizure medication</w:t>
      </w:r>
    </w:p>
    <w:p w14:paraId="35B287D0" w14:textId="0990BE0D" w:rsidR="00747E4A" w:rsidRDefault="00984D8C"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 xml:space="preserve">A total of 138 (59%) patients did not have clinical apparent seizures at 60 minutes without receiving additional anti-seizure medication (regardless of </w:t>
      </w:r>
      <w:r w:rsidR="00FE0BDD" w:rsidRPr="00B90668">
        <w:rPr>
          <w:rFonts w:ascii="Times New Roman" w:hAnsi="Times New Roman" w:cs="Times New Roman"/>
          <w:color w:val="000000" w:themeColor="text1"/>
          <w:sz w:val="24"/>
          <w:szCs w:val="24"/>
        </w:rPr>
        <w:t>whether</w:t>
      </w:r>
      <w:r w:rsidRPr="00B90668">
        <w:rPr>
          <w:rFonts w:ascii="Times New Roman" w:hAnsi="Times New Roman" w:cs="Times New Roman"/>
          <w:color w:val="000000" w:themeColor="text1"/>
          <w:sz w:val="24"/>
          <w:szCs w:val="24"/>
        </w:rPr>
        <w:t xml:space="preserve"> they were responsive to verbal commands or noxious stimuli). </w:t>
      </w:r>
      <w:r w:rsidR="00462E44" w:rsidRPr="00B90668">
        <w:rPr>
          <w:rFonts w:ascii="Times New Roman" w:hAnsi="Times New Roman" w:cs="Times New Roman"/>
          <w:color w:val="000000" w:themeColor="text1"/>
          <w:sz w:val="24"/>
          <w:szCs w:val="24"/>
        </w:rPr>
        <w:t xml:space="preserve">As seen from </w:t>
      </w:r>
      <w:r w:rsidR="00462E44" w:rsidRPr="00B90668">
        <w:rPr>
          <w:rFonts w:ascii="Times New Roman" w:hAnsi="Times New Roman" w:cs="Times New Roman"/>
          <w:b/>
          <w:color w:val="000000" w:themeColor="text1"/>
          <w:sz w:val="24"/>
          <w:szCs w:val="24"/>
        </w:rPr>
        <w:t xml:space="preserve">Table </w:t>
      </w:r>
      <w:r w:rsidR="00E93B92" w:rsidRPr="00B90668">
        <w:rPr>
          <w:rFonts w:ascii="Times New Roman" w:hAnsi="Times New Roman" w:cs="Times New Roman"/>
          <w:b/>
          <w:color w:val="000000" w:themeColor="text1"/>
          <w:sz w:val="24"/>
          <w:szCs w:val="24"/>
        </w:rPr>
        <w:t>1</w:t>
      </w:r>
      <w:r w:rsidR="00462E44" w:rsidRPr="00B90668">
        <w:rPr>
          <w:rFonts w:ascii="Times New Roman" w:hAnsi="Times New Roman" w:cs="Times New Roman"/>
          <w:color w:val="000000" w:themeColor="text1"/>
          <w:sz w:val="24"/>
          <w:szCs w:val="24"/>
        </w:rPr>
        <w:t xml:space="preserve">, weight (≤ or &gt; 75 kg), sex </w:t>
      </w:r>
      <w:r w:rsidR="006512ED" w:rsidRPr="00B90668">
        <w:rPr>
          <w:rFonts w:ascii="Times New Roman" w:hAnsi="Times New Roman" w:cs="Times New Roman"/>
          <w:color w:val="000000" w:themeColor="text1"/>
          <w:sz w:val="24"/>
          <w:szCs w:val="24"/>
        </w:rPr>
        <w:t>(</w:t>
      </w:r>
      <w:r w:rsidR="00AF6231" w:rsidRPr="00B90668">
        <w:rPr>
          <w:rFonts w:ascii="Times New Roman" w:hAnsi="Times New Roman" w:cs="Times New Roman"/>
          <w:color w:val="000000" w:themeColor="text1"/>
          <w:sz w:val="24"/>
          <w:szCs w:val="24"/>
        </w:rPr>
        <w:t>m</w:t>
      </w:r>
      <w:r w:rsidR="006512ED" w:rsidRPr="00B90668">
        <w:rPr>
          <w:rFonts w:ascii="Times New Roman" w:hAnsi="Times New Roman" w:cs="Times New Roman"/>
          <w:color w:val="000000" w:themeColor="text1"/>
          <w:sz w:val="24"/>
          <w:szCs w:val="24"/>
        </w:rPr>
        <w:t xml:space="preserve">ale or </w:t>
      </w:r>
      <w:r w:rsidR="00AF6231" w:rsidRPr="00B90668">
        <w:rPr>
          <w:rFonts w:ascii="Times New Roman" w:hAnsi="Times New Roman" w:cs="Times New Roman"/>
          <w:color w:val="000000" w:themeColor="text1"/>
          <w:sz w:val="24"/>
          <w:szCs w:val="24"/>
        </w:rPr>
        <w:t>f</w:t>
      </w:r>
      <w:r w:rsidR="006512ED" w:rsidRPr="00B90668">
        <w:rPr>
          <w:rFonts w:ascii="Times New Roman" w:hAnsi="Times New Roman" w:cs="Times New Roman"/>
          <w:color w:val="000000" w:themeColor="text1"/>
          <w:sz w:val="24"/>
          <w:szCs w:val="24"/>
        </w:rPr>
        <w:t>emale)</w:t>
      </w:r>
      <w:r w:rsidR="00D32071" w:rsidRPr="00B90668">
        <w:rPr>
          <w:rFonts w:ascii="Times New Roman" w:hAnsi="Times New Roman" w:cs="Times New Roman"/>
          <w:color w:val="000000" w:themeColor="text1"/>
          <w:sz w:val="24"/>
          <w:szCs w:val="24"/>
        </w:rPr>
        <w:t xml:space="preserve">, </w:t>
      </w:r>
      <w:r w:rsidR="00462E44" w:rsidRPr="00B90668">
        <w:rPr>
          <w:rFonts w:ascii="Times New Roman" w:hAnsi="Times New Roman" w:cs="Times New Roman"/>
          <w:color w:val="000000" w:themeColor="text1"/>
          <w:sz w:val="24"/>
          <w:szCs w:val="24"/>
        </w:rPr>
        <w:t>treatment</w:t>
      </w:r>
      <w:r w:rsidR="006512ED" w:rsidRPr="00B90668">
        <w:rPr>
          <w:rFonts w:ascii="Times New Roman" w:hAnsi="Times New Roman" w:cs="Times New Roman"/>
          <w:color w:val="000000" w:themeColor="text1"/>
          <w:sz w:val="24"/>
          <w:szCs w:val="24"/>
        </w:rPr>
        <w:t xml:space="preserve"> group</w:t>
      </w:r>
      <w:r w:rsidR="00462E44" w:rsidRPr="00B90668">
        <w:rPr>
          <w:rFonts w:ascii="Times New Roman" w:hAnsi="Times New Roman" w:cs="Times New Roman"/>
          <w:color w:val="000000" w:themeColor="text1"/>
          <w:sz w:val="24"/>
          <w:szCs w:val="24"/>
        </w:rPr>
        <w:t xml:space="preserve"> (FOS, LEV or VPA)</w:t>
      </w:r>
      <w:r w:rsidR="0037459D" w:rsidRPr="00B90668">
        <w:rPr>
          <w:rFonts w:ascii="Times New Roman" w:hAnsi="Times New Roman" w:cs="Times New Roman"/>
          <w:color w:val="000000" w:themeColor="text1"/>
          <w:sz w:val="24"/>
          <w:szCs w:val="24"/>
        </w:rPr>
        <w:t xml:space="preserve">, </w:t>
      </w:r>
      <w:r w:rsidR="00D32071" w:rsidRPr="00B90668">
        <w:rPr>
          <w:rFonts w:ascii="Times New Roman" w:hAnsi="Times New Roman" w:cs="Times New Roman"/>
          <w:color w:val="000000" w:themeColor="text1"/>
          <w:sz w:val="24"/>
          <w:szCs w:val="24"/>
        </w:rPr>
        <w:t>and all the interaction terms (weight</w:t>
      </w:r>
      <w:r w:rsidR="00EB5108" w:rsidRPr="00B90668">
        <w:rPr>
          <w:rFonts w:ascii="Times New Roman" w:hAnsi="Times New Roman" w:cs="Times New Roman"/>
          <w:color w:val="000000" w:themeColor="text1"/>
          <w:sz w:val="24"/>
          <w:szCs w:val="24"/>
        </w:rPr>
        <w:t xml:space="preserve"> x </w:t>
      </w:r>
      <w:r w:rsidR="00D32071" w:rsidRPr="00B90668">
        <w:rPr>
          <w:rFonts w:ascii="Times New Roman" w:hAnsi="Times New Roman" w:cs="Times New Roman"/>
          <w:color w:val="000000" w:themeColor="text1"/>
          <w:sz w:val="24"/>
          <w:szCs w:val="24"/>
        </w:rPr>
        <w:t>sex</w:t>
      </w:r>
      <w:r w:rsidR="00EB5108" w:rsidRPr="00B90668">
        <w:rPr>
          <w:rFonts w:ascii="Times New Roman" w:hAnsi="Times New Roman" w:cs="Times New Roman"/>
          <w:color w:val="000000" w:themeColor="text1"/>
          <w:sz w:val="24"/>
          <w:szCs w:val="24"/>
        </w:rPr>
        <w:t xml:space="preserve"> x </w:t>
      </w:r>
      <w:r w:rsidR="00D32071" w:rsidRPr="00B90668">
        <w:rPr>
          <w:rFonts w:ascii="Times New Roman" w:hAnsi="Times New Roman" w:cs="Times New Roman"/>
          <w:color w:val="000000" w:themeColor="text1"/>
          <w:sz w:val="24"/>
          <w:szCs w:val="24"/>
        </w:rPr>
        <w:t>treatment group)</w:t>
      </w:r>
      <w:r w:rsidR="00462E44" w:rsidRPr="00B90668">
        <w:rPr>
          <w:rFonts w:ascii="Times New Roman" w:hAnsi="Times New Roman" w:cs="Times New Roman"/>
          <w:color w:val="000000" w:themeColor="text1"/>
          <w:sz w:val="24"/>
          <w:szCs w:val="24"/>
        </w:rPr>
        <w:t xml:space="preserve"> did not have a significant </w:t>
      </w:r>
      <w:r w:rsidR="00D832C2" w:rsidRPr="00B90668">
        <w:rPr>
          <w:rFonts w:ascii="Times New Roman" w:hAnsi="Times New Roman" w:cs="Times New Roman"/>
          <w:color w:val="000000" w:themeColor="text1"/>
          <w:sz w:val="24"/>
          <w:szCs w:val="24"/>
        </w:rPr>
        <w:t xml:space="preserve">association with </w:t>
      </w:r>
      <w:r w:rsidR="00771118" w:rsidRPr="00B90668">
        <w:rPr>
          <w:rFonts w:ascii="Times New Roman" w:hAnsi="Times New Roman" w:cs="Times New Roman"/>
          <w:color w:val="000000" w:themeColor="text1"/>
          <w:sz w:val="24"/>
          <w:szCs w:val="24"/>
        </w:rPr>
        <w:t xml:space="preserve">clinical </w:t>
      </w:r>
      <w:r w:rsidR="00462E44" w:rsidRPr="00B90668">
        <w:rPr>
          <w:rFonts w:ascii="Times New Roman" w:hAnsi="Times New Roman" w:cs="Times New Roman"/>
          <w:color w:val="000000" w:themeColor="text1"/>
          <w:sz w:val="24"/>
          <w:szCs w:val="24"/>
        </w:rPr>
        <w:t>seizure cessation.</w:t>
      </w:r>
    </w:p>
    <w:p w14:paraId="10D7AB01" w14:textId="77777777" w:rsidR="00F41BFD" w:rsidRPr="00747E4A" w:rsidRDefault="00F41BFD" w:rsidP="003A31C5">
      <w:pPr>
        <w:spacing w:line="480" w:lineRule="auto"/>
        <w:jc w:val="both"/>
        <w:rPr>
          <w:rFonts w:ascii="Times New Roman" w:hAnsi="Times New Roman" w:cs="Times New Roman"/>
          <w:color w:val="000000" w:themeColor="text1"/>
          <w:sz w:val="24"/>
          <w:szCs w:val="24"/>
        </w:rPr>
      </w:pPr>
    </w:p>
    <w:p w14:paraId="2CA4A92F" w14:textId="54EEF34B" w:rsidR="00156353" w:rsidRPr="00B90668" w:rsidRDefault="00156353" w:rsidP="003A31C5">
      <w:pPr>
        <w:spacing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t>DISCUSSION</w:t>
      </w:r>
    </w:p>
    <w:p w14:paraId="394B113B" w14:textId="789206BE" w:rsidR="00796715" w:rsidRPr="00B90668" w:rsidRDefault="00796715"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lastRenderedPageBreak/>
        <w:t>The results of th</w:t>
      </w:r>
      <w:r w:rsidR="0037459D" w:rsidRPr="00B90668">
        <w:rPr>
          <w:rFonts w:ascii="Times New Roman" w:hAnsi="Times New Roman" w:cs="Times New Roman"/>
          <w:color w:val="000000" w:themeColor="text1"/>
          <w:sz w:val="24"/>
          <w:szCs w:val="24"/>
        </w:rPr>
        <w:t>ese</w:t>
      </w:r>
      <w:r w:rsidRPr="00B90668">
        <w:rPr>
          <w:rFonts w:ascii="Times New Roman" w:hAnsi="Times New Roman" w:cs="Times New Roman"/>
          <w:color w:val="000000" w:themeColor="text1"/>
          <w:sz w:val="24"/>
          <w:szCs w:val="24"/>
        </w:rPr>
        <w:t xml:space="preserve"> secondary analys</w:t>
      </w:r>
      <w:r w:rsidR="0037459D" w:rsidRPr="00B90668">
        <w:rPr>
          <w:rFonts w:ascii="Times New Roman" w:hAnsi="Times New Roman" w:cs="Times New Roman"/>
          <w:color w:val="000000" w:themeColor="text1"/>
          <w:sz w:val="24"/>
          <w:szCs w:val="24"/>
        </w:rPr>
        <w:t>e</w:t>
      </w:r>
      <w:r w:rsidRPr="00B90668">
        <w:rPr>
          <w:rFonts w:ascii="Times New Roman" w:hAnsi="Times New Roman" w:cs="Times New Roman"/>
          <w:color w:val="000000" w:themeColor="text1"/>
          <w:sz w:val="24"/>
          <w:szCs w:val="24"/>
        </w:rPr>
        <w:t xml:space="preserve">s </w:t>
      </w:r>
      <w:r w:rsidR="0025106C" w:rsidRPr="00B90668">
        <w:rPr>
          <w:rFonts w:ascii="Times New Roman" w:hAnsi="Times New Roman" w:cs="Times New Roman"/>
          <w:color w:val="000000" w:themeColor="text1"/>
          <w:sz w:val="24"/>
          <w:szCs w:val="24"/>
        </w:rPr>
        <w:t xml:space="preserve">demonstrate that the differences in response rates between the </w:t>
      </w:r>
      <w:r w:rsidR="0037459D" w:rsidRPr="00B90668">
        <w:rPr>
          <w:rFonts w:ascii="Times New Roman" w:hAnsi="Times New Roman" w:cs="Times New Roman"/>
          <w:color w:val="000000" w:themeColor="text1"/>
          <w:sz w:val="24"/>
          <w:szCs w:val="24"/>
        </w:rPr>
        <w:t>fixed</w:t>
      </w:r>
      <w:r w:rsidR="0025106C" w:rsidRPr="00B90668">
        <w:rPr>
          <w:rFonts w:ascii="Times New Roman" w:hAnsi="Times New Roman" w:cs="Times New Roman"/>
          <w:color w:val="000000" w:themeColor="text1"/>
          <w:sz w:val="24"/>
          <w:szCs w:val="24"/>
        </w:rPr>
        <w:t xml:space="preserve"> dosing regimen (above 75 kg) and weight-based regimen (up to 75 kg) were not significant when the</w:t>
      </w:r>
      <w:r w:rsidR="004D409A" w:rsidRPr="00B90668">
        <w:rPr>
          <w:rFonts w:ascii="Times New Roman" w:hAnsi="Times New Roman" w:cs="Times New Roman"/>
          <w:color w:val="000000" w:themeColor="text1"/>
          <w:sz w:val="24"/>
          <w:szCs w:val="24"/>
        </w:rPr>
        <w:t xml:space="preserve"> study</w:t>
      </w:r>
      <w:r w:rsidR="0025106C" w:rsidRPr="00B90668">
        <w:rPr>
          <w:rFonts w:ascii="Times New Roman" w:hAnsi="Times New Roman" w:cs="Times New Roman"/>
          <w:color w:val="000000" w:themeColor="text1"/>
          <w:sz w:val="24"/>
          <w:szCs w:val="24"/>
        </w:rPr>
        <w:t xml:space="preserve"> drugs were grouped together or analyzed separately</w:t>
      </w:r>
      <w:r w:rsidR="00EF6B9E" w:rsidRPr="00B90668">
        <w:rPr>
          <w:rFonts w:ascii="Times New Roman" w:hAnsi="Times New Roman" w:cs="Times New Roman"/>
          <w:color w:val="000000" w:themeColor="text1"/>
          <w:sz w:val="24"/>
          <w:szCs w:val="24"/>
        </w:rPr>
        <w:t xml:space="preserve">. The logistic regression models using the ESETT primary outcome and </w:t>
      </w:r>
      <w:r w:rsidR="004D409A" w:rsidRPr="00B90668">
        <w:rPr>
          <w:rFonts w:ascii="Times New Roman" w:hAnsi="Times New Roman" w:cs="Times New Roman"/>
          <w:color w:val="000000" w:themeColor="text1"/>
          <w:sz w:val="24"/>
          <w:szCs w:val="24"/>
        </w:rPr>
        <w:t xml:space="preserve">clinical </w:t>
      </w:r>
      <w:r w:rsidR="00EF6B9E" w:rsidRPr="00B90668">
        <w:rPr>
          <w:rFonts w:ascii="Times New Roman" w:hAnsi="Times New Roman" w:cs="Times New Roman"/>
          <w:color w:val="000000" w:themeColor="text1"/>
          <w:sz w:val="24"/>
          <w:szCs w:val="24"/>
        </w:rPr>
        <w:t>seizure cessation</w:t>
      </w:r>
      <w:r w:rsidR="00411D56" w:rsidRPr="00B90668">
        <w:rPr>
          <w:rFonts w:ascii="Times New Roman" w:hAnsi="Times New Roman" w:cs="Times New Roman"/>
          <w:color w:val="000000" w:themeColor="text1"/>
          <w:sz w:val="24"/>
          <w:szCs w:val="24"/>
        </w:rPr>
        <w:t xml:space="preserve"> without additional anti-seizure medication</w:t>
      </w:r>
      <w:r w:rsidR="00EF6B9E" w:rsidRPr="00B90668">
        <w:rPr>
          <w:rFonts w:ascii="Times New Roman" w:hAnsi="Times New Roman" w:cs="Times New Roman"/>
          <w:color w:val="000000" w:themeColor="text1"/>
          <w:sz w:val="24"/>
          <w:szCs w:val="24"/>
        </w:rPr>
        <w:t xml:space="preserve"> as dependent variables also failed to find significant associations with weight, treatment, sex or weight-normalized dose.</w:t>
      </w:r>
    </w:p>
    <w:p w14:paraId="161F37EC" w14:textId="3FEBF7F9" w:rsidR="004D144F" w:rsidRPr="00B90668" w:rsidRDefault="00EF6B9E"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Fixed dosing, which is commonly used in adults, results in lower doses per body weight in heavier individuals</w:t>
      </w:r>
      <w:r w:rsidR="004665B7" w:rsidRPr="00B90668">
        <w:rPr>
          <w:rFonts w:ascii="Times New Roman" w:hAnsi="Times New Roman" w:cs="Times New Roman"/>
          <w:color w:val="000000" w:themeColor="text1"/>
          <w:sz w:val="24"/>
          <w:szCs w:val="24"/>
        </w:rPr>
        <w:t xml:space="preserve"> and potentially lower drug concentrations for many drugs. </w:t>
      </w:r>
      <w:r w:rsidR="00E51674" w:rsidRPr="00B90668">
        <w:rPr>
          <w:rFonts w:ascii="Times New Roman" w:hAnsi="Times New Roman" w:cs="Times New Roman"/>
          <w:color w:val="000000" w:themeColor="text1"/>
          <w:sz w:val="24"/>
          <w:szCs w:val="24"/>
        </w:rPr>
        <w:t>Further</w:t>
      </w:r>
      <w:r w:rsidR="00AF6231" w:rsidRPr="00B90668">
        <w:rPr>
          <w:rFonts w:ascii="Times New Roman" w:hAnsi="Times New Roman" w:cs="Times New Roman"/>
          <w:color w:val="000000" w:themeColor="text1"/>
          <w:sz w:val="24"/>
          <w:szCs w:val="24"/>
        </w:rPr>
        <w:t>more</w:t>
      </w:r>
      <w:r w:rsidR="00E51674" w:rsidRPr="00B90668">
        <w:rPr>
          <w:rFonts w:ascii="Times New Roman" w:hAnsi="Times New Roman" w:cs="Times New Roman"/>
          <w:color w:val="000000" w:themeColor="text1"/>
          <w:sz w:val="24"/>
          <w:szCs w:val="24"/>
        </w:rPr>
        <w:t>, if</w:t>
      </w:r>
      <w:r w:rsidR="009C6E42" w:rsidRPr="00B90668">
        <w:rPr>
          <w:rFonts w:ascii="Times New Roman" w:hAnsi="Times New Roman" w:cs="Times New Roman"/>
          <w:color w:val="000000" w:themeColor="text1"/>
          <w:sz w:val="24"/>
          <w:szCs w:val="24"/>
        </w:rPr>
        <w:t xml:space="preserve"> drug concentrations fall in the linear portion of the dose-response curve, lower drug concentrations may result in reduced efficacy. </w:t>
      </w:r>
      <w:r w:rsidR="002F54FB" w:rsidRPr="00B90668">
        <w:rPr>
          <w:rFonts w:ascii="Times New Roman" w:hAnsi="Times New Roman" w:cs="Times New Roman"/>
          <w:color w:val="000000" w:themeColor="text1"/>
          <w:sz w:val="24"/>
          <w:szCs w:val="24"/>
        </w:rPr>
        <w:t>In this study,</w:t>
      </w:r>
      <w:r w:rsidR="00335804" w:rsidRPr="00B90668">
        <w:rPr>
          <w:rFonts w:ascii="Times New Roman" w:hAnsi="Times New Roman" w:cs="Times New Roman"/>
          <w:color w:val="000000" w:themeColor="text1"/>
          <w:sz w:val="24"/>
          <w:szCs w:val="24"/>
        </w:rPr>
        <w:t xml:space="preserve"> </w:t>
      </w:r>
      <w:r w:rsidR="004665B7" w:rsidRPr="00B90668">
        <w:rPr>
          <w:rFonts w:ascii="Times New Roman" w:hAnsi="Times New Roman" w:cs="Times New Roman"/>
          <w:color w:val="000000" w:themeColor="text1"/>
          <w:sz w:val="24"/>
          <w:szCs w:val="24"/>
        </w:rPr>
        <w:t xml:space="preserve">while </w:t>
      </w:r>
      <w:r w:rsidR="00335804" w:rsidRPr="00B90668">
        <w:rPr>
          <w:rFonts w:ascii="Times New Roman" w:hAnsi="Times New Roman" w:cs="Times New Roman"/>
          <w:color w:val="000000" w:themeColor="text1"/>
          <w:sz w:val="24"/>
          <w:szCs w:val="24"/>
        </w:rPr>
        <w:t xml:space="preserve">approximately half of the ESETT adult patients received the </w:t>
      </w:r>
      <w:r w:rsidR="00317C0F" w:rsidRPr="00B90668">
        <w:rPr>
          <w:rFonts w:ascii="Times New Roman" w:hAnsi="Times New Roman" w:cs="Times New Roman"/>
          <w:color w:val="000000" w:themeColor="text1"/>
          <w:sz w:val="24"/>
          <w:szCs w:val="24"/>
        </w:rPr>
        <w:t>maximum</w:t>
      </w:r>
      <w:r w:rsidR="00335804" w:rsidRPr="00B90668">
        <w:rPr>
          <w:rFonts w:ascii="Times New Roman" w:hAnsi="Times New Roman" w:cs="Times New Roman"/>
          <w:color w:val="000000" w:themeColor="text1"/>
          <w:sz w:val="24"/>
          <w:szCs w:val="24"/>
        </w:rPr>
        <w:t xml:space="preserve"> dose</w:t>
      </w:r>
      <w:r w:rsidR="004665B7" w:rsidRPr="00B90668">
        <w:rPr>
          <w:rFonts w:ascii="Times New Roman" w:hAnsi="Times New Roman" w:cs="Times New Roman"/>
          <w:color w:val="000000" w:themeColor="text1"/>
          <w:sz w:val="24"/>
          <w:szCs w:val="24"/>
        </w:rPr>
        <w:t xml:space="preserve">, the response rates between weight-based and </w:t>
      </w:r>
      <w:r w:rsidR="0037459D" w:rsidRPr="00B90668">
        <w:rPr>
          <w:rFonts w:ascii="Times New Roman" w:hAnsi="Times New Roman" w:cs="Times New Roman"/>
          <w:color w:val="000000" w:themeColor="text1"/>
          <w:sz w:val="24"/>
          <w:szCs w:val="24"/>
        </w:rPr>
        <w:t>fixed</w:t>
      </w:r>
      <w:r w:rsidR="004665B7" w:rsidRPr="00B90668">
        <w:rPr>
          <w:rFonts w:ascii="Times New Roman" w:hAnsi="Times New Roman" w:cs="Times New Roman"/>
          <w:color w:val="000000" w:themeColor="text1"/>
          <w:sz w:val="24"/>
          <w:szCs w:val="24"/>
        </w:rPr>
        <w:t xml:space="preserve"> dosing regimen w</w:t>
      </w:r>
      <w:r w:rsidR="0001566D" w:rsidRPr="00B90668">
        <w:rPr>
          <w:rFonts w:ascii="Times New Roman" w:hAnsi="Times New Roman" w:cs="Times New Roman"/>
          <w:color w:val="000000" w:themeColor="text1"/>
          <w:sz w:val="24"/>
          <w:szCs w:val="24"/>
        </w:rPr>
        <w:t>ere similar</w:t>
      </w:r>
      <w:r w:rsidR="004665B7" w:rsidRPr="00B90668">
        <w:rPr>
          <w:rFonts w:ascii="Times New Roman" w:hAnsi="Times New Roman" w:cs="Times New Roman"/>
          <w:color w:val="000000" w:themeColor="text1"/>
          <w:sz w:val="24"/>
          <w:szCs w:val="24"/>
        </w:rPr>
        <w:t>.</w:t>
      </w:r>
      <w:r w:rsidR="0001566D" w:rsidRPr="00B90668">
        <w:rPr>
          <w:rFonts w:ascii="Times New Roman" w:hAnsi="Times New Roman" w:cs="Times New Roman"/>
          <w:color w:val="000000" w:themeColor="text1"/>
          <w:sz w:val="24"/>
          <w:szCs w:val="24"/>
        </w:rPr>
        <w:t xml:space="preserve"> </w:t>
      </w:r>
      <w:r w:rsidR="00E931E3" w:rsidRPr="00B90668">
        <w:rPr>
          <w:rFonts w:ascii="Times New Roman" w:hAnsi="Times New Roman" w:cs="Times New Roman"/>
          <w:color w:val="000000" w:themeColor="text1"/>
          <w:sz w:val="24"/>
          <w:szCs w:val="24"/>
        </w:rPr>
        <w:t>It is possible that</w:t>
      </w:r>
      <w:r w:rsidR="008A7EA3" w:rsidRPr="00B90668">
        <w:rPr>
          <w:rFonts w:ascii="Times New Roman" w:hAnsi="Times New Roman" w:cs="Times New Roman"/>
          <w:color w:val="000000" w:themeColor="text1"/>
          <w:sz w:val="24"/>
          <w:szCs w:val="24"/>
        </w:rPr>
        <w:t xml:space="preserve"> </w:t>
      </w:r>
      <w:r w:rsidR="004D144F" w:rsidRPr="00B90668">
        <w:rPr>
          <w:rFonts w:ascii="Times New Roman" w:hAnsi="Times New Roman" w:cs="Times New Roman"/>
          <w:color w:val="000000" w:themeColor="text1"/>
          <w:sz w:val="24"/>
          <w:szCs w:val="24"/>
        </w:rPr>
        <w:t xml:space="preserve">weight or </w:t>
      </w:r>
      <w:r w:rsidR="008A7EA3" w:rsidRPr="00B90668">
        <w:rPr>
          <w:rFonts w:ascii="Times New Roman" w:hAnsi="Times New Roman" w:cs="Times New Roman"/>
          <w:color w:val="000000" w:themeColor="text1"/>
          <w:sz w:val="24"/>
          <w:szCs w:val="24"/>
        </w:rPr>
        <w:t>weight-normalized dose did</w:t>
      </w:r>
      <w:r w:rsidR="00C417E9" w:rsidRPr="00B90668">
        <w:rPr>
          <w:rFonts w:ascii="Times New Roman" w:hAnsi="Times New Roman" w:cs="Times New Roman"/>
          <w:color w:val="000000" w:themeColor="text1"/>
          <w:sz w:val="24"/>
          <w:szCs w:val="24"/>
        </w:rPr>
        <w:t xml:space="preserve"> not</w:t>
      </w:r>
      <w:r w:rsidR="008A7EA3" w:rsidRPr="00B90668">
        <w:rPr>
          <w:rFonts w:ascii="Times New Roman" w:hAnsi="Times New Roman" w:cs="Times New Roman"/>
          <w:color w:val="000000" w:themeColor="text1"/>
          <w:sz w:val="24"/>
          <w:szCs w:val="24"/>
        </w:rPr>
        <w:t xml:space="preserve"> </w:t>
      </w:r>
      <w:r w:rsidR="00317C0F" w:rsidRPr="00B90668">
        <w:rPr>
          <w:rFonts w:ascii="Times New Roman" w:hAnsi="Times New Roman" w:cs="Times New Roman"/>
          <w:color w:val="000000" w:themeColor="text1"/>
          <w:sz w:val="24"/>
          <w:szCs w:val="24"/>
        </w:rPr>
        <w:t xml:space="preserve">affect </w:t>
      </w:r>
      <w:r w:rsidR="00A50FD6" w:rsidRPr="00B90668">
        <w:rPr>
          <w:rFonts w:ascii="Times New Roman" w:hAnsi="Times New Roman" w:cs="Times New Roman"/>
          <w:color w:val="000000" w:themeColor="text1"/>
          <w:sz w:val="24"/>
          <w:szCs w:val="24"/>
        </w:rPr>
        <w:t xml:space="preserve">the primary outcome or </w:t>
      </w:r>
      <w:r w:rsidR="00771118" w:rsidRPr="00B90668">
        <w:rPr>
          <w:rFonts w:ascii="Times New Roman" w:hAnsi="Times New Roman" w:cs="Times New Roman"/>
          <w:color w:val="000000" w:themeColor="text1"/>
          <w:sz w:val="24"/>
          <w:szCs w:val="24"/>
        </w:rPr>
        <w:t xml:space="preserve">clinical </w:t>
      </w:r>
      <w:r w:rsidR="004D144F" w:rsidRPr="00B90668">
        <w:rPr>
          <w:rFonts w:ascii="Times New Roman" w:hAnsi="Times New Roman" w:cs="Times New Roman"/>
          <w:color w:val="000000" w:themeColor="text1"/>
          <w:sz w:val="24"/>
          <w:szCs w:val="24"/>
        </w:rPr>
        <w:t xml:space="preserve">seizure cessation </w:t>
      </w:r>
      <w:r w:rsidR="008A7EA3" w:rsidRPr="00B90668">
        <w:rPr>
          <w:rFonts w:ascii="Times New Roman" w:hAnsi="Times New Roman" w:cs="Times New Roman"/>
          <w:color w:val="000000" w:themeColor="text1"/>
          <w:sz w:val="24"/>
          <w:szCs w:val="24"/>
        </w:rPr>
        <w:t>because</w:t>
      </w:r>
      <w:r w:rsidR="004D144F" w:rsidRPr="00B90668">
        <w:rPr>
          <w:rFonts w:ascii="Times New Roman" w:hAnsi="Times New Roman" w:cs="Times New Roman"/>
          <w:color w:val="000000" w:themeColor="text1"/>
          <w:sz w:val="24"/>
          <w:szCs w:val="24"/>
        </w:rPr>
        <w:t xml:space="preserve"> the doses used in the trial resulted in drug concentrations above those needed for therapeutic outcome even in </w:t>
      </w:r>
      <w:r w:rsidR="00543446" w:rsidRPr="00B90668">
        <w:rPr>
          <w:rFonts w:ascii="Times New Roman" w:hAnsi="Times New Roman" w:cs="Times New Roman"/>
          <w:color w:val="000000" w:themeColor="text1"/>
          <w:sz w:val="24"/>
          <w:szCs w:val="24"/>
        </w:rPr>
        <w:t>patients</w:t>
      </w:r>
      <w:r w:rsidR="004D144F" w:rsidRPr="00B90668">
        <w:rPr>
          <w:rFonts w:ascii="Times New Roman" w:hAnsi="Times New Roman" w:cs="Times New Roman"/>
          <w:color w:val="000000" w:themeColor="text1"/>
          <w:sz w:val="24"/>
          <w:szCs w:val="24"/>
        </w:rPr>
        <w:t xml:space="preserve"> </w:t>
      </w:r>
      <w:r w:rsidR="006512ED" w:rsidRPr="00B90668">
        <w:rPr>
          <w:rFonts w:ascii="Times New Roman" w:hAnsi="Times New Roman" w:cs="Times New Roman"/>
          <w:color w:val="000000" w:themeColor="text1"/>
          <w:sz w:val="24"/>
          <w:szCs w:val="24"/>
        </w:rPr>
        <w:t>above</w:t>
      </w:r>
      <w:r w:rsidR="004D144F" w:rsidRPr="00B90668">
        <w:rPr>
          <w:rFonts w:ascii="Times New Roman" w:hAnsi="Times New Roman" w:cs="Times New Roman"/>
          <w:color w:val="000000" w:themeColor="text1"/>
          <w:sz w:val="24"/>
          <w:szCs w:val="24"/>
        </w:rPr>
        <w:t xml:space="preserve"> 75 kg.</w:t>
      </w:r>
      <w:r w:rsidR="00E51674" w:rsidRPr="00B90668">
        <w:rPr>
          <w:rFonts w:ascii="Times New Roman" w:hAnsi="Times New Roman" w:cs="Times New Roman"/>
          <w:color w:val="000000" w:themeColor="text1"/>
          <w:sz w:val="24"/>
          <w:szCs w:val="24"/>
        </w:rPr>
        <w:t xml:space="preserve"> While this may be true, </w:t>
      </w:r>
      <w:r w:rsidR="00335804" w:rsidRPr="00B90668">
        <w:rPr>
          <w:rFonts w:ascii="Times New Roman" w:hAnsi="Times New Roman" w:cs="Times New Roman"/>
          <w:color w:val="000000" w:themeColor="text1"/>
          <w:sz w:val="24"/>
          <w:szCs w:val="24"/>
        </w:rPr>
        <w:t>other predictors, such as drug concentration</w:t>
      </w:r>
      <w:r w:rsidR="0017761F" w:rsidRPr="00B90668">
        <w:rPr>
          <w:rFonts w:ascii="Times New Roman" w:hAnsi="Times New Roman" w:cs="Times New Roman"/>
          <w:color w:val="000000" w:themeColor="text1"/>
          <w:sz w:val="24"/>
          <w:szCs w:val="24"/>
        </w:rPr>
        <w:t>,</w:t>
      </w:r>
      <w:r w:rsidR="00335804" w:rsidRPr="00B90668">
        <w:rPr>
          <w:rFonts w:ascii="Times New Roman" w:hAnsi="Times New Roman" w:cs="Times New Roman"/>
          <w:color w:val="000000" w:themeColor="text1"/>
          <w:sz w:val="24"/>
          <w:szCs w:val="24"/>
        </w:rPr>
        <w:t xml:space="preserve"> would have been a better metric to</w:t>
      </w:r>
      <w:r w:rsidR="00E3388E">
        <w:rPr>
          <w:rFonts w:ascii="Times New Roman" w:hAnsi="Times New Roman" w:cs="Times New Roman"/>
          <w:color w:val="000000" w:themeColor="text1"/>
          <w:sz w:val="24"/>
          <w:szCs w:val="24"/>
        </w:rPr>
        <w:t xml:space="preserve"> </w:t>
      </w:r>
      <w:r w:rsidR="00E3388E" w:rsidRPr="00B90668">
        <w:rPr>
          <w:rFonts w:ascii="Times New Roman" w:hAnsi="Times New Roman" w:cs="Times New Roman"/>
          <w:color w:val="000000" w:themeColor="text1"/>
          <w:sz w:val="24"/>
          <w:szCs w:val="24"/>
        </w:rPr>
        <w:t>evaluate the differences between responders and non-responders</w:t>
      </w:r>
      <w:r w:rsidR="00335804" w:rsidRPr="00B90668">
        <w:rPr>
          <w:rFonts w:ascii="Times New Roman" w:hAnsi="Times New Roman" w:cs="Times New Roman"/>
          <w:color w:val="000000" w:themeColor="text1"/>
          <w:sz w:val="24"/>
          <w:szCs w:val="24"/>
        </w:rPr>
        <w:t>.</w:t>
      </w:r>
      <w:r w:rsidR="009D259E" w:rsidRPr="00B90668">
        <w:rPr>
          <w:rFonts w:ascii="Times New Roman" w:hAnsi="Times New Roman" w:cs="Times New Roman"/>
          <w:color w:val="000000" w:themeColor="text1"/>
          <w:sz w:val="24"/>
          <w:szCs w:val="24"/>
        </w:rPr>
        <w:t xml:space="preserve"> </w:t>
      </w:r>
      <w:r w:rsidR="00335804" w:rsidRPr="00B90668">
        <w:rPr>
          <w:rFonts w:ascii="Times New Roman" w:hAnsi="Times New Roman" w:cs="Times New Roman"/>
          <w:color w:val="000000" w:themeColor="text1"/>
          <w:sz w:val="24"/>
          <w:szCs w:val="24"/>
        </w:rPr>
        <w:t xml:space="preserve">We know that drug concentrations </w:t>
      </w:r>
      <w:r w:rsidR="00317C0F" w:rsidRPr="00B90668">
        <w:rPr>
          <w:rFonts w:ascii="Times New Roman" w:hAnsi="Times New Roman" w:cs="Times New Roman"/>
          <w:color w:val="000000" w:themeColor="text1"/>
          <w:sz w:val="24"/>
          <w:szCs w:val="24"/>
        </w:rPr>
        <w:t xml:space="preserve">can be variable </w:t>
      </w:r>
      <w:r w:rsidR="00335804" w:rsidRPr="00B90668">
        <w:rPr>
          <w:rFonts w:ascii="Times New Roman" w:hAnsi="Times New Roman" w:cs="Times New Roman"/>
          <w:color w:val="000000" w:themeColor="text1"/>
          <w:sz w:val="24"/>
          <w:szCs w:val="24"/>
        </w:rPr>
        <w:t>in individuals receiving an identical dose</w:t>
      </w:r>
      <w:r w:rsidR="0017761F" w:rsidRPr="00B90668">
        <w:rPr>
          <w:rFonts w:ascii="Times New Roman" w:hAnsi="Times New Roman" w:cs="Times New Roman"/>
          <w:color w:val="000000" w:themeColor="text1"/>
          <w:sz w:val="24"/>
          <w:szCs w:val="24"/>
        </w:rPr>
        <w:t>.</w:t>
      </w:r>
      <w:r w:rsidR="00335804" w:rsidRPr="00B90668">
        <w:rPr>
          <w:rFonts w:ascii="Times New Roman" w:hAnsi="Times New Roman" w:cs="Times New Roman"/>
          <w:color w:val="000000" w:themeColor="text1"/>
          <w:sz w:val="24"/>
          <w:szCs w:val="24"/>
        </w:rPr>
        <w:fldChar w:fldCharType="begin" w:fldLock="1"/>
      </w:r>
      <w:r w:rsidR="002A77EF" w:rsidRPr="00B90668">
        <w:rPr>
          <w:rFonts w:ascii="Times New Roman" w:hAnsi="Times New Roman" w:cs="Times New Roman"/>
          <w:color w:val="000000" w:themeColor="text1"/>
          <w:sz w:val="24"/>
          <w:szCs w:val="24"/>
        </w:rPr>
        <w:instrText>ADDIN CSL_CITATION {"citationItems":[{"id":"ITEM-1","itemData":{"DOI":"10.1007/s00228-012-1373-8","ISSN":"00316970","abstract":"Purpose: We performed a population pharmacokinetic analysis of phenytoin after intravenous administration of fosphenytoin sodium in healthy, neurosurgical, and epileptic subjects, including pediatric patients, and determined the optimal dose and infusion rate for achieving the therapeutic range. Methods: We used pooled data obtained from two phase I studies and one phase III study performed in Japan. The population pharmacokinetic analysis was performed using NONMEM software. The optimal dose and infusion rate were determined using simulation results obtained using the final model. The therapeutic range for total plasma phenytoin concentration is 10-20 μg/mL. Results: We used a linear two-compartment model with conversion of fosphenytoin to phenytoin. Pharmacokinetic parameters of phenytoin, such as total clearance and central and peripheral volume of distribution were influenced by body weight. The dose simulations are as follows. In adult patients, the optimal dose and infusion rate of phenytoin for achieving the therapeutic range was 22.5 mg/kg and 3 mg/kg/min respectively. In pediatric patients, the total plasma concentration of phenytoin was within the therapeutic range for a shorter duration than that in adult patients at 22.5 mg/kg (3 mg/kg/min). However, many pediatric patients showed phenytoin concentration within the toxic range after administration of a dose of 30 mg/kg. Conclusions: The pharmacokinetics of phenytoin after intravenous administration of fosphenytoin sodium could be described using a linear two-compartment model. The administration of fosphenytoin sodium 22.5 mg/kg at an infusion rate of 3 mg/kg/min was optimal for achieving the desired plasma phenytoin concentration. © 2012 The Author(s).","author":[{"dropping-particle":"","family":"Tanaka","given":"Jun","non-dropping-particle":"","parse-names":false,"suffix":""},{"dropping-particle":"","family":"Kasai","given":"Hidefumi","non-dropping-particle":"","parse-names":false,"suffix":""},{"dropping-particle":"","family":"Shimizu","given":"Kenji","non-dropping-particle":"","parse-names":false,"suffix":""},{"dropping-particle":"","family":"Shimasaki","given":"Shigeki","non-dropping-particle":"","parse-names":false,"suffix":""},{"dropping-particle":"","family":"Kumagai","given":"Yuji","non-dropping-particle":"","parse-names":false,"suffix":""}],"container-title":"European Journal of Clinical Pharmacology","id":"ITEM-1","issue":"3","issued":{"date-parts":[["2013"]]},"page":"489-497","title":"Population pharmacokinetics of phenytoin after intravenous administration of fosphenytoin sodium in pediatric patients, adult patients, and healthy volunteers","type":"article-journal","volume":"69"},"uris":["http://www.mendeley.com/documents/?uuid=69d31234-6f55-48c7-bea8-6370a72dee21"]},{"id":"ITEM-2","itemData":{"DOI":"10.1111/j.1528-1167.2008.01889.x","ISBN":"1528-1167 (Electronic)\\n0013-9580 (Linking)","ISSN":"00139580","PMID":"19054418","abstract":"PURPOSE: To evaluate the feasibility and safety of intravenous (iv) levetiracetam (LEV) added to the standard therapeutic regimen in adults with status epilepticus (SE), and as secondary objective to assess a population pharmacokinetic (PK) model for ivLEV in patients with SE. METHODS: In 12 adults presenting with SE, 2,500 mg ivLEV was added as soon as possible to standardized protocol, consisting of iv clonazepam and/or rectal diazepam, as needed followed by phenytoin or valproic acid. ivLEV was administered over approximately 5 min, in general after administration of clonazepam, regardless the need for further treatment. During 24-h follow-up, patients were observed for any clinically relevant side-effects. Blood samples for PK analysis were available in 10 patients. A population PK model was developed by iterative two-stage Bayesian analysis and compared to PK data of healthy volunteers. RESULTS: Eleven patients with a median age of 60 years were included in the per protocol analysis. Five were diagnosed as generalized-convulsive SE, five as partial-convulsive SE, and one as a nonconvulsive SE. The median time from hospital admission to ivLEV was 36 min. No serious side effects could be related directly to the administration of ivLEV. During PK analysis, four patients showed a clear distribution phase, lacking in the others. The PK of the population was best described by a two-compartment population model. Mean (standard deviation, SD) population parameters included volume of distribution of central compartment: 0.45 (0.084) L/kg; total body clearance: 0.0476 (0.0147) L/h/kg; distribution rate constants, central to peripheral compartment (k(12)): 0.24 (0.12)/h, and peripheral to central (k(21)): 0.70 (0.22)/h. Mean maximal plasma concentration was 85 (19) mg/L. DISCUSSION: The addition of ivLEV to the standard regimen for controlling SE seems feasible and safe. PK data of ivLEV in patients with SE correspond to earlier values derived from healthy volunteers, confirming a two-compartment population model.","author":[{"dropping-particle":"","family":"Uges","given":"Joris W.F.","non-dropping-particle":"","parse-names":false,"suffix":""},{"dropping-particle":"","family":"Huizen","given":"Marc D.","non-dropping-particle":"Van","parse-names":false,"suffix":""},{"dropping-particle":"","family":"Engelsman","given":"Jeroen","non-dropping-particle":"","parse-names":false,"suffix":""},{"dropping-particle":"","family":"Wilms","given":"Erik B.","non-dropping-particle":"","parse-names":false,"suffix":""},{"dropping-particle":"","family":"Touw","given":"Daniel J.","non-dropping-particle":"","parse-names":false,"suffix":""},{"dropping-particle":"","family":"Peeters","given":"Els","non-dropping-particle":"","parse-names":false,"suffix":""},{"dropping-particle":"","family":"Vecht","given":"Charles J.","non-dropping-particle":"","parse-names":false,"suffix":""}],"container-title":"Epilepsia","id":"ITEM-2","issue":"3","issued":{"date-parts":[["2009"]]},"page":"415-421","title":"Safety and pharmacokinetics of intravenous levetiracetam infusion as add-on in status epilepticus","type":"article-journal","volume":"50"},"uris":["http://www.mendeley.com/documents/?uuid=3577ca06-071b-42cd-8f7b-4c390711f050"]},{"id":"ITEM-3","itemData":{"DOI":"10.1046/j.1365-2710.2002.00440.x","ISBN":"0269-4727 (Print)\\r0269-4727 (Linking)","ISSN":"02694727","PMID":"12472981","abstract":"OBJECTIVE: To determine population-based pharmacokinetic parameters for intravenous valproic acid, and the factors influencing these parameters, in Korean adults. METHODS: Valproic acid concentrations were obtained using a peak and trough sampling scheme for 102 Korean epileptic patients who were not taking concurrent antiepileptic medication. Three hundred and fifty-four serum concentrations were analysed according to a one-compartment model with a mixed effect modelling method (NONMEM Ver 5.0). The influence of body-weight (kg), height, daily valproic acid dose (mg/day), body mass index (kg/m2), sex, and age on volume of distribution (Vd) and clearance (CL) was assessed in the course of analysis. RESULTS: Vd and CL of valproic acid increased with body-weight. No significant influence of the other screened covariates was observed. The final regression model was: [equation: see text]. Interindividual variabilities (coefficient of variation) for CL and Vd were 32 and 18%, respectively. Residual error including intraindividual variability was 26.7%. CONCLUSION: The current results may be used as a basic reference to optimize drug therapy with intravenous valproic acid. Further research on the paediatric population is necessary to confirm the non-linearity of the relation between body-weight and Vd.","author":[{"dropping-particle":"","family":"Park","given":"H. M.","non-dropping-particle":"","parse-names":false,"suffix":""},{"dropping-particle":"","family":"Kang","given":"S. S.","non-dropping-particle":"","parse-names":false,"suffix":""},{"dropping-particle":"","family":"Lee","given":"Y. B.","non-dropping-particle":"","parse-names":false,"suffix":""},{"dropping-particle":"","family":"Shin","given":"D. J.","non-dropping-particle":"","parse-names":false,"suffix":""},{"dropping-particle":"","family":"Kim","given":"O. N.","non-dropping-particle":"","parse-names":false,"suffix":""},{"dropping-particle":"","family":"Lee","given":"S. B.","non-dropping-particle":"","parse-names":false,"suffix":""},{"dropping-particle":"","family":"Yim","given":"Dong Seok","non-dropping-particle":"","parse-names":false,"suffix":""}],"container-title":"Journal of Clinical Pharmacy and Therapeutics","id":"ITEM-3","issue":"6","issued":{"date-parts":[["2002"]]},"page":"419-425","title":"Population pharmacokinetics of intravenous valproic acid in Korean patients","type":"article-journal","volume":"27"},"uris":["http://www.mendeley.com/documents/?uuid=cdf52202-d15d-4c70-a6f4-153d5aa99927"]}],"mendeley":{"formattedCitation":"&lt;sup&gt;4–6&lt;/sup&gt;","plainTextFormattedCitation":"4–6","previouslyFormattedCitation":"&lt;sup&gt;4–6&lt;/sup&gt;"},"properties":{"noteIndex":0},"schema":"https://github.com/citation-style-language/schema/raw/master/csl-citation.json"}</w:instrText>
      </w:r>
      <w:r w:rsidR="00335804" w:rsidRPr="00B90668">
        <w:rPr>
          <w:rFonts w:ascii="Times New Roman" w:hAnsi="Times New Roman" w:cs="Times New Roman"/>
          <w:color w:val="000000" w:themeColor="text1"/>
          <w:sz w:val="24"/>
          <w:szCs w:val="24"/>
        </w:rPr>
        <w:fldChar w:fldCharType="separate"/>
      </w:r>
      <w:r w:rsidR="009D259E" w:rsidRPr="00B90668">
        <w:rPr>
          <w:rFonts w:ascii="Times New Roman" w:hAnsi="Times New Roman" w:cs="Times New Roman"/>
          <w:noProof/>
          <w:color w:val="000000" w:themeColor="text1"/>
          <w:sz w:val="24"/>
          <w:szCs w:val="24"/>
          <w:vertAlign w:val="superscript"/>
        </w:rPr>
        <w:t>4–6</w:t>
      </w:r>
      <w:r w:rsidR="00335804" w:rsidRPr="00B90668">
        <w:rPr>
          <w:rFonts w:ascii="Times New Roman" w:hAnsi="Times New Roman" w:cs="Times New Roman"/>
          <w:color w:val="000000" w:themeColor="text1"/>
          <w:sz w:val="24"/>
          <w:szCs w:val="24"/>
        </w:rPr>
        <w:fldChar w:fldCharType="end"/>
      </w:r>
      <w:r w:rsidR="00335804" w:rsidRPr="00B90668">
        <w:rPr>
          <w:rFonts w:ascii="Times New Roman" w:hAnsi="Times New Roman" w:cs="Times New Roman"/>
          <w:color w:val="000000" w:themeColor="text1"/>
          <w:sz w:val="24"/>
          <w:szCs w:val="24"/>
        </w:rPr>
        <w:t xml:space="preserve"> </w:t>
      </w:r>
      <w:r w:rsidR="0017761F" w:rsidRPr="00B90668">
        <w:rPr>
          <w:rFonts w:ascii="Times New Roman" w:hAnsi="Times New Roman" w:cs="Times New Roman"/>
          <w:color w:val="000000" w:themeColor="text1"/>
          <w:sz w:val="24"/>
          <w:szCs w:val="24"/>
        </w:rPr>
        <w:t xml:space="preserve">There is also evidence that </w:t>
      </w:r>
      <w:r w:rsidR="00CC622C" w:rsidRPr="00B90668">
        <w:rPr>
          <w:rFonts w:ascii="Times New Roman" w:hAnsi="Times New Roman" w:cs="Times New Roman"/>
          <w:color w:val="000000" w:themeColor="text1"/>
          <w:sz w:val="24"/>
          <w:szCs w:val="24"/>
        </w:rPr>
        <w:t xml:space="preserve">the </w:t>
      </w:r>
      <w:r w:rsidR="00A7040F" w:rsidRPr="00B90668">
        <w:rPr>
          <w:rFonts w:ascii="Times New Roman" w:hAnsi="Times New Roman" w:cs="Times New Roman"/>
          <w:color w:val="000000" w:themeColor="text1"/>
          <w:sz w:val="24"/>
          <w:szCs w:val="24"/>
        </w:rPr>
        <w:t>pharmacokinetics of FOS, LEV and VPA are altered in overweight and obese patients.</w:t>
      </w:r>
      <w:r w:rsidR="00A7040F" w:rsidRPr="00B90668">
        <w:rPr>
          <w:rFonts w:ascii="Times New Roman" w:hAnsi="Times New Roman" w:cs="Times New Roman"/>
          <w:color w:val="000000" w:themeColor="text1"/>
          <w:sz w:val="24"/>
          <w:szCs w:val="24"/>
        </w:rPr>
        <w:fldChar w:fldCharType="begin" w:fldLock="1"/>
      </w:r>
      <w:r w:rsidR="002A77EF" w:rsidRPr="00B90668">
        <w:rPr>
          <w:rFonts w:ascii="Times New Roman" w:hAnsi="Times New Roman" w:cs="Times New Roman"/>
          <w:color w:val="000000" w:themeColor="text1"/>
          <w:sz w:val="24"/>
          <w:szCs w:val="24"/>
        </w:rPr>
        <w:instrText>ADDIN CSL_CITATION {"citationItems":[{"id":"ITEM-1","itemData":{"DOI":"10.1212/CPJ.0000000000000322","ISSN":"21630933","abstract":"Background: Previous studies evaluated the disposition of IV phenytoin loading doses and found that obese patients had increased drug distribution into excess body weight, larger volumes of distribution, and longer half-lives when compared to their nonobese counterparts. We assess the safety and efficacy of fosphenytoin loading doses in patients with different body mass indices (BMIs). Methods: A retrospective chart review was conducted in 410 patients who received fosphenytoin. Patients were divided into 2 groups: BMI &lt;30 (nonobese) and BMI ≥30 (obese). Patient demographics, fosphenytoin dose administered in mg/kg body weight, renal and liver function tests, fosphenytoin drug levels, and pre- and post-fosphenytoin administration vital signs were collected to assess for adverse events. Necessity of additional antiepileptic loading doses was used as a surrogate for clinical efficacy. Results: The median dose of fosphenytoin administered was 19 mg/kg (interquartile range 15-20). The most frequently encountered adverse event was hypotension, which occurred in 39% of the cohort. Using a Bonferroni adjustment for multiple comparisons, there were no differences in adverse events between the 2 groups. The need for additional antiepileptic loading doses was not different between the 2 groups (p = 0.07). Conclusions: The incidence of adverse events and the need for repeat loading antiepileptic medications was similar between the 2 groups. From our findings, the patients in our study did not receive empiric loading dose adjustments and the current method of loading fosphenytoin achieves similar outcomes, regardless of the patient's BMI.","author":[{"dropping-particle":"","family":"Clark","given":"Sarah L.","non-dropping-particle":"","parse-names":false,"suffix":""},{"dropping-particle":"","family":"Leloux","given":"Megan R.","non-dropping-particle":"","parse-names":false,"suffix":""},{"dropping-particle":"","family":"Dierkhising","given":"Ross A.","non-dropping-particle":"","parse-names":false,"suffix":""},{"dropping-particle":"","family":"Cascino","given":"Gregory D.","non-dropping-particle":"","parse-names":false,"suffix":""},{"dropping-particle":"","family":"Hocker","given":"Sara E.","non-dropping-particle":"","parse-names":false,"suffix":""}],"container-title":"Neurology: Clinical Practice","id":"ITEM-1","issue":"1","issued":{"date-parts":[["2017"]]},"page":"45-52","title":"IV fosphenytoin in obese patients","type":"article-journal","volume":"7"},"uris":["http://www.mendeley.com/documents/?uuid=9a8d9bb8-c14b-4035-bbc6-89acff3048d1"]},{"id":"ITEM-2","itemData":{"DOI":"10.1001/archneur.1985.04060050066010","ISSN":"15383687","abstract":"Fourteen obese subjects (mean body weight, 124 kg; percent of ideal body weight [IBW], 178%) and ten control subjects of normal body habitus (mean body weight, 67 kg; 92% IBW) received 300 mg of phenytoin sodium by tenminute intravenous infusion. Obese subjects compared with controls had prolonged phenytoin elimination half-life (19.9 v 12.0 hours). Total metabolic clearance of phenytoin was greater in obese than in control groups, although the difference was not significant (59 v 39 mL/ min). Phenytoin half-life, inversely proportional to clearance and directly proportional to volume of distribution (Vd), was prolonged in obesity mainly as a result of the increase in Vd in obese subjects (84 v 40 L). Phenytoin loading dose should be calculated on the basis of IBW plus the product of 1.33 times the excess weight over IBW. Very obese individuals will require large absolute loading doses of phenytoin to rapidly achieve therapeutic drug concentrations. © 1985, American Medical Association. All rights reserved.","author":[{"dropping-particle":"","family":"Abernethy","given":"Darrell R.","non-dropping-particle":"","parse-names":false,"suffix":""},{"dropping-particle":"","family":"Greenblatt","given":"David J.","non-dropping-particle":"","parse-names":false,"suffix":""}],"container-title":"Archives of Neurology","id":"ITEM-2","issue":"5","issued":{"date-parts":[["1985"]]},"page":"468-471","title":"Phenytoin Disposition in Obesity: Determination of Loading Dose","type":"article-journal","volume":"42"},"uris":["http://www.mendeley.com/documents/?uuid=5cc44bfc-f4a1-43ff-ba3b-7b8348f01b28"]},{"id":"ITEM-3","itemData":{"DOI":"10.1111/j.1365-2710.1996.tb00005.x","ISSN":"02694727","abstract":"The interaction between clearance of phenytoin, valproic acid, phenobarbital and carbamazepine, and changes in body weight was determined in a 19-year-old obese woman with epilepsy (body weight 93 kg, BMI 36.3 kg/m2). The patient, who was given daily oral doses of 100 mg phenobarbital, 350 mg phenytoin, 800 mg valproic acid and 800 mg carbamazepine over 5 months was hospitalized for obesity treatment. The daily dosage of each drug was held constant during treatment of the obesity. Blood samples were taken five times. Weight reduction was 7 kg (7.5%) over 46 days. Estimation of the pharmacokinetic parameters in each drug was performed by Higuchi's Bayesian program, PEDA Pearson's correlation coefficient (r) between clearance and body weight was calculated for each drug. High positive correlations were found between clearance and body weight for phenytoin (r=0.800) and valproic acid (r=0.785), but not for phenobarbital (r= -0.227) and carbamazepine (r=0.152). Clearance of phenytoin and valproic acid may be potentially affected by small changes in body weight.","author":[{"dropping-particle":"","family":"Kuranari","given":"M.","non-dropping-particle":"","parse-names":false,"suffix":""},{"dropping-particle":"","family":"Chiba","given":"S.","non-dropping-particle":"","parse-names":false,"suffix":""},{"dropping-particle":"","family":"Ashikari","given":"Y.","non-dropping-particle":"","parse-names":false,"suffix":""},{"dropping-particle":"","family":"Kodama","given":"Y.","non-dropping-particle":"","parse-names":false,"suffix":""},{"dropping-particle":"","family":"Sakata","given":"T.","non-dropping-particle":"","parse-names":false,"suffix":""},{"dropping-particle":"","family":"Takeyama","given":"M.","non-dropping-particle":"","parse-names":false,"suffix":""}],"container-title":"Journal of Clinical Pharmacy and Therapeutics","id":"ITEM-3","issue":"2","issued":{"date-parts":[["1996"]]},"page":"83-87","title":"Clearance of phenytoin and valproic acid is affected by a small body weight reduction in an epileptic obese patient: A case study","type":"article-journal","volume":"21"},"uris":["http://www.mendeley.com/documents/?uuid=ed610be7-80b9-48b9-81d0-0138ad810f83"]},{"id":"ITEM-4","itemData":{"DOI":"10.1097/FTD.0000000000000550","ISSN":"15363694","abstract":"Background: Levetiracetam (LEV) is a second-generation antiepileptic drug extensively used in therapeutics. The aim of this study was to evaluate the influence that sex, age, and weight exert on LEV pharmacokinetics in clinical practice. Methods: We conducted a 6-year retrospective observational study. Patients were classified in subgroups according to sex, weight (normal range, overweight, and obese), and age (young adult: 16–30 years old, middle-aged adult: 31–50 years old, advanced adult: 51–64 years old, and elderly adult: $65 years old). We compared LEV apparent oral clearance (LEV CL/F) between the subgroups. Results: A total of 238 LEV basal serum concentrations (LEV C 0 ) corresponding to 156 patients were identified. Significant differences were observed in LEV CL/F between males and females when LEV CL/F was expressed as L/h [mean (SD): 4.79 (1.84) L/h in males versus 4.13 (1.64) L/h in females; P, 0.001]. These differences were not significant when LEV CL/F was normalized by weight [mean (SD): 60.64 (24.90) mL/h/kg in males versus 64.10 (28.87) mL/h/kg in females; n.s.]. Weight in females was 17% lower compared with males. A progressive reduction in LEV CL/F was observed with increasing age, in a proportion that was similar to the decline in renal function. The elderly patients presented 30% lower LEV CL/F (mL/h/kg) and 43% lower creatinine clearance (CCr) in comparison with adults. No statistically significant differences were observed in LEV CL/F calculated in L/h between weight subgroups. However, when LEV CL/F was expressed in mL/h/kg, a progressive reduction was observed [normal weight: 72.21 (28.97); overweight: 57.84 (25.38); obese: 49.45 (14.50); P, 0.001]. A significant and positive correlation between CCr and LEV CL/F was observed, confirming the important role of the renal function in LEV CL/F. The CCr increased in each sex group when weight increased; however, LEV CL/F (L/h) remained constant. Conclusions: Sex, age, and weight affect LEV pharmacokinetics, having an impact on the individual dosage regimen needed to achieve the therapeutic objective. Sex is a conditioning factor of LEV CL/F, although its influence is principally due to the weight. LEV CL/F decreases with advancing age, proportionally to the decline in renal function. It is confirmed that LEV dosage per body weight is not required, and prescribing higher doses of LEV in obese patients is not justified. These data suggest that routine LEV therapeutic drug monitoring i…","author":[{"dropping-particle":"","family":"Alzueta","given":"Natalia","non-dropping-particle":"","parse-names":false,"suffix":""},{"dropping-particle":"","family":"Ortega","given":"Ana","non-dropping-particle":"","parse-names":false,"suffix":""},{"dropping-particle":"","family":"Aldaz","given":"Azucena","non-dropping-particle":"","parse-names":false,"suffix":""}],"container-title":"Therapeutic Drug Monitoring","id":"ITEM-4","issue":"5","issued":{"date-parts":[["2018"]]},"page":"628-634","title":"Influence of sex, age, and weight on levetiracetam pharmacokinetics","type":"article-journal","volume":"40"},"uris":["http://www.mendeley.com/documents/?uuid=3aa92897-b321-48f8-906b-6408cff60640"]}],"mendeley":{"formattedCitation":"&lt;sup&gt;7–10&lt;/sup&gt;","plainTextFormattedCitation":"7–10","previouslyFormattedCitation":"&lt;sup&gt;7–10&lt;/sup&gt;"},"properties":{"noteIndex":0},"schema":"https://github.com/citation-style-language/schema/raw/master/csl-citation.json"}</w:instrText>
      </w:r>
      <w:r w:rsidR="00A7040F" w:rsidRPr="00B90668">
        <w:rPr>
          <w:rFonts w:ascii="Times New Roman" w:hAnsi="Times New Roman" w:cs="Times New Roman"/>
          <w:color w:val="000000" w:themeColor="text1"/>
          <w:sz w:val="24"/>
          <w:szCs w:val="24"/>
        </w:rPr>
        <w:fldChar w:fldCharType="separate"/>
      </w:r>
      <w:r w:rsidR="009D259E" w:rsidRPr="00B90668">
        <w:rPr>
          <w:rFonts w:ascii="Times New Roman" w:hAnsi="Times New Roman" w:cs="Times New Roman"/>
          <w:noProof/>
          <w:color w:val="000000" w:themeColor="text1"/>
          <w:sz w:val="24"/>
          <w:szCs w:val="24"/>
          <w:vertAlign w:val="superscript"/>
        </w:rPr>
        <w:t>7–10</w:t>
      </w:r>
      <w:r w:rsidR="00A7040F" w:rsidRPr="00B90668">
        <w:rPr>
          <w:rFonts w:ascii="Times New Roman" w:hAnsi="Times New Roman" w:cs="Times New Roman"/>
          <w:color w:val="000000" w:themeColor="text1"/>
          <w:sz w:val="24"/>
          <w:szCs w:val="24"/>
        </w:rPr>
        <w:fldChar w:fldCharType="end"/>
      </w:r>
      <w:r w:rsidR="00A7040F" w:rsidRPr="00B90668">
        <w:rPr>
          <w:rFonts w:ascii="Times New Roman" w:hAnsi="Times New Roman" w:cs="Times New Roman"/>
          <w:color w:val="000000" w:themeColor="text1"/>
          <w:sz w:val="24"/>
          <w:szCs w:val="24"/>
        </w:rPr>
        <w:t xml:space="preserve"> </w:t>
      </w:r>
      <w:bookmarkStart w:id="0" w:name="_Hlk37432552"/>
      <w:r w:rsidR="00B47DD5">
        <w:rPr>
          <w:rFonts w:ascii="Times New Roman" w:hAnsi="Times New Roman" w:cs="Times New Roman"/>
          <w:color w:val="000000" w:themeColor="text1"/>
          <w:sz w:val="24"/>
          <w:szCs w:val="24"/>
        </w:rPr>
        <w:t xml:space="preserve">In particular, patients with higher body fat will likely have greater volume of distribution. </w:t>
      </w:r>
      <w:bookmarkEnd w:id="0"/>
      <w:r w:rsidR="00A7040F" w:rsidRPr="00B90668">
        <w:rPr>
          <w:rFonts w:ascii="Times New Roman" w:hAnsi="Times New Roman" w:cs="Times New Roman"/>
          <w:color w:val="000000" w:themeColor="text1"/>
          <w:sz w:val="24"/>
          <w:szCs w:val="24"/>
        </w:rPr>
        <w:t xml:space="preserve">However, we were not able to </w:t>
      </w:r>
      <w:r w:rsidR="0037459D" w:rsidRPr="00B90668">
        <w:rPr>
          <w:rFonts w:ascii="Times New Roman" w:hAnsi="Times New Roman" w:cs="Times New Roman"/>
          <w:color w:val="000000" w:themeColor="text1"/>
          <w:sz w:val="24"/>
          <w:szCs w:val="24"/>
        </w:rPr>
        <w:t>investigate</w:t>
      </w:r>
      <w:r w:rsidR="00A7040F" w:rsidRPr="00B90668">
        <w:rPr>
          <w:rFonts w:ascii="Times New Roman" w:hAnsi="Times New Roman" w:cs="Times New Roman"/>
          <w:color w:val="000000" w:themeColor="text1"/>
          <w:sz w:val="24"/>
          <w:szCs w:val="24"/>
        </w:rPr>
        <w:t xml:space="preserve"> </w:t>
      </w:r>
      <w:r w:rsidR="00335804" w:rsidRPr="00B90668">
        <w:rPr>
          <w:rFonts w:ascii="Times New Roman" w:hAnsi="Times New Roman" w:cs="Times New Roman"/>
          <w:color w:val="000000" w:themeColor="text1"/>
          <w:sz w:val="24"/>
          <w:szCs w:val="24"/>
        </w:rPr>
        <w:t>the effect of</w:t>
      </w:r>
      <w:r w:rsidR="0017761F" w:rsidRPr="00B90668">
        <w:rPr>
          <w:rFonts w:ascii="Times New Roman" w:hAnsi="Times New Roman" w:cs="Times New Roman"/>
          <w:color w:val="000000" w:themeColor="text1"/>
          <w:sz w:val="24"/>
          <w:szCs w:val="24"/>
        </w:rPr>
        <w:t xml:space="preserve"> drug concentrations or </w:t>
      </w:r>
      <w:r w:rsidR="00335804" w:rsidRPr="00B90668">
        <w:rPr>
          <w:rFonts w:ascii="Times New Roman" w:hAnsi="Times New Roman" w:cs="Times New Roman"/>
          <w:color w:val="000000" w:themeColor="text1"/>
          <w:sz w:val="24"/>
          <w:szCs w:val="24"/>
        </w:rPr>
        <w:t xml:space="preserve">BMI </w:t>
      </w:r>
      <w:r w:rsidR="00A7040F" w:rsidRPr="00B90668">
        <w:rPr>
          <w:rFonts w:ascii="Times New Roman" w:hAnsi="Times New Roman" w:cs="Times New Roman"/>
          <w:color w:val="000000" w:themeColor="text1"/>
          <w:sz w:val="24"/>
          <w:szCs w:val="24"/>
        </w:rPr>
        <w:t xml:space="preserve">as </w:t>
      </w:r>
      <w:proofErr w:type="gramStart"/>
      <w:r w:rsidR="0017761F" w:rsidRPr="00B90668">
        <w:rPr>
          <w:rFonts w:ascii="Times New Roman" w:hAnsi="Times New Roman" w:cs="Times New Roman"/>
          <w:color w:val="000000" w:themeColor="text1"/>
          <w:sz w:val="24"/>
          <w:szCs w:val="24"/>
        </w:rPr>
        <w:t>sufficient</w:t>
      </w:r>
      <w:proofErr w:type="gramEnd"/>
      <w:r w:rsidR="0017761F" w:rsidRPr="00B90668">
        <w:rPr>
          <w:rFonts w:ascii="Times New Roman" w:hAnsi="Times New Roman" w:cs="Times New Roman"/>
          <w:color w:val="000000" w:themeColor="text1"/>
          <w:sz w:val="24"/>
          <w:szCs w:val="24"/>
        </w:rPr>
        <w:t xml:space="preserve"> </w:t>
      </w:r>
      <w:r w:rsidR="00335804" w:rsidRPr="00B90668">
        <w:rPr>
          <w:rFonts w:ascii="Times New Roman" w:hAnsi="Times New Roman" w:cs="Times New Roman"/>
          <w:color w:val="000000" w:themeColor="text1"/>
          <w:sz w:val="24"/>
          <w:szCs w:val="24"/>
        </w:rPr>
        <w:t>information</w:t>
      </w:r>
      <w:r w:rsidR="00A7040F" w:rsidRPr="00B90668">
        <w:rPr>
          <w:rFonts w:ascii="Times New Roman" w:hAnsi="Times New Roman" w:cs="Times New Roman"/>
          <w:color w:val="000000" w:themeColor="text1"/>
          <w:sz w:val="24"/>
          <w:szCs w:val="24"/>
        </w:rPr>
        <w:t xml:space="preserve"> was not available. Further</w:t>
      </w:r>
      <w:r w:rsidR="00AF6231" w:rsidRPr="00B90668">
        <w:rPr>
          <w:rFonts w:ascii="Times New Roman" w:hAnsi="Times New Roman" w:cs="Times New Roman"/>
          <w:color w:val="000000" w:themeColor="text1"/>
          <w:sz w:val="24"/>
          <w:szCs w:val="24"/>
        </w:rPr>
        <w:t>more</w:t>
      </w:r>
      <w:r w:rsidR="00A7040F" w:rsidRPr="00B90668">
        <w:rPr>
          <w:rFonts w:ascii="Times New Roman" w:hAnsi="Times New Roman" w:cs="Times New Roman"/>
          <w:color w:val="000000" w:themeColor="text1"/>
          <w:sz w:val="24"/>
          <w:szCs w:val="24"/>
        </w:rPr>
        <w:t xml:space="preserve">, </w:t>
      </w:r>
      <w:r w:rsidR="00EF32A6" w:rsidRPr="00B90668">
        <w:rPr>
          <w:rFonts w:ascii="Times New Roman" w:hAnsi="Times New Roman" w:cs="Times New Roman"/>
          <w:color w:val="000000" w:themeColor="text1"/>
          <w:sz w:val="24"/>
          <w:szCs w:val="24"/>
        </w:rPr>
        <w:t xml:space="preserve">only </w:t>
      </w:r>
      <w:r w:rsidR="005F2FEF" w:rsidRPr="00B90668">
        <w:rPr>
          <w:rFonts w:ascii="Times New Roman" w:hAnsi="Times New Roman" w:cs="Times New Roman"/>
          <w:color w:val="000000" w:themeColor="text1"/>
          <w:sz w:val="24"/>
          <w:szCs w:val="24"/>
        </w:rPr>
        <w:t>18</w:t>
      </w:r>
      <w:r w:rsidR="00970BB1" w:rsidRPr="00B90668">
        <w:rPr>
          <w:rFonts w:ascii="Times New Roman" w:hAnsi="Times New Roman" w:cs="Times New Roman"/>
          <w:color w:val="000000" w:themeColor="text1"/>
          <w:sz w:val="24"/>
          <w:szCs w:val="24"/>
        </w:rPr>
        <w:t xml:space="preserve"> (7.</w:t>
      </w:r>
      <w:r w:rsidR="00134C1C" w:rsidRPr="00B90668">
        <w:rPr>
          <w:rFonts w:ascii="Times New Roman" w:hAnsi="Times New Roman" w:cs="Times New Roman"/>
          <w:color w:val="000000" w:themeColor="text1"/>
          <w:sz w:val="24"/>
          <w:szCs w:val="24"/>
        </w:rPr>
        <w:t>7</w:t>
      </w:r>
      <w:r w:rsidR="00970BB1" w:rsidRPr="00B90668">
        <w:rPr>
          <w:rFonts w:ascii="Times New Roman" w:hAnsi="Times New Roman" w:cs="Times New Roman"/>
          <w:color w:val="000000" w:themeColor="text1"/>
          <w:sz w:val="24"/>
          <w:szCs w:val="24"/>
        </w:rPr>
        <w:t>%)</w:t>
      </w:r>
      <w:r w:rsidR="00E9753A" w:rsidRPr="00B90668">
        <w:rPr>
          <w:rFonts w:ascii="Times New Roman" w:hAnsi="Times New Roman" w:cs="Times New Roman"/>
          <w:color w:val="000000" w:themeColor="text1"/>
          <w:sz w:val="24"/>
          <w:szCs w:val="24"/>
        </w:rPr>
        <w:t xml:space="preserve"> </w:t>
      </w:r>
      <w:r w:rsidR="005F2FEF" w:rsidRPr="00B90668">
        <w:rPr>
          <w:rFonts w:ascii="Times New Roman" w:hAnsi="Times New Roman" w:cs="Times New Roman"/>
          <w:color w:val="000000" w:themeColor="text1"/>
          <w:sz w:val="24"/>
          <w:szCs w:val="24"/>
        </w:rPr>
        <w:t>patients</w:t>
      </w:r>
      <w:r w:rsidR="00EF32A6" w:rsidRPr="00B90668">
        <w:rPr>
          <w:rFonts w:ascii="Times New Roman" w:hAnsi="Times New Roman" w:cs="Times New Roman"/>
          <w:color w:val="000000" w:themeColor="text1"/>
          <w:sz w:val="24"/>
          <w:szCs w:val="24"/>
        </w:rPr>
        <w:t xml:space="preserve"> weighed </w:t>
      </w:r>
      <w:r w:rsidR="006512ED" w:rsidRPr="00B90668">
        <w:rPr>
          <w:rFonts w:ascii="Times New Roman" w:hAnsi="Times New Roman" w:cs="Times New Roman"/>
          <w:color w:val="000000" w:themeColor="text1"/>
          <w:sz w:val="24"/>
          <w:szCs w:val="24"/>
        </w:rPr>
        <w:t xml:space="preserve">above </w:t>
      </w:r>
      <w:r w:rsidR="00EF32A6" w:rsidRPr="00B90668">
        <w:rPr>
          <w:rFonts w:ascii="Times New Roman" w:hAnsi="Times New Roman" w:cs="Times New Roman"/>
          <w:color w:val="000000" w:themeColor="text1"/>
          <w:sz w:val="24"/>
          <w:szCs w:val="24"/>
        </w:rPr>
        <w:t>100 kg. Thus</w:t>
      </w:r>
      <w:r w:rsidR="00CC622C" w:rsidRPr="00B90668">
        <w:rPr>
          <w:rFonts w:ascii="Times New Roman" w:hAnsi="Times New Roman" w:cs="Times New Roman"/>
          <w:color w:val="000000" w:themeColor="text1"/>
          <w:sz w:val="24"/>
          <w:szCs w:val="24"/>
        </w:rPr>
        <w:t xml:space="preserve">, </w:t>
      </w:r>
      <w:r w:rsidR="00742AF9" w:rsidRPr="00B90668">
        <w:rPr>
          <w:rFonts w:ascii="Times New Roman" w:hAnsi="Times New Roman" w:cs="Times New Roman"/>
          <w:color w:val="000000" w:themeColor="text1"/>
          <w:sz w:val="24"/>
          <w:szCs w:val="24"/>
        </w:rPr>
        <w:t>difference</w:t>
      </w:r>
      <w:r w:rsidR="00CC622C" w:rsidRPr="00B90668">
        <w:rPr>
          <w:rFonts w:ascii="Times New Roman" w:hAnsi="Times New Roman" w:cs="Times New Roman"/>
          <w:color w:val="000000" w:themeColor="text1"/>
          <w:sz w:val="24"/>
          <w:szCs w:val="24"/>
        </w:rPr>
        <w:t>s</w:t>
      </w:r>
      <w:r w:rsidR="00A7040F" w:rsidRPr="00B90668">
        <w:rPr>
          <w:rFonts w:ascii="Times New Roman" w:hAnsi="Times New Roman" w:cs="Times New Roman"/>
          <w:color w:val="000000" w:themeColor="text1"/>
          <w:sz w:val="24"/>
          <w:szCs w:val="24"/>
        </w:rPr>
        <w:t xml:space="preserve"> in pharmacokinetics</w:t>
      </w:r>
      <w:r w:rsidR="00581E18" w:rsidRPr="00B90668">
        <w:rPr>
          <w:rFonts w:ascii="Times New Roman" w:hAnsi="Times New Roman" w:cs="Times New Roman"/>
          <w:color w:val="000000" w:themeColor="text1"/>
          <w:sz w:val="24"/>
          <w:szCs w:val="24"/>
        </w:rPr>
        <w:t>, if any,</w:t>
      </w:r>
      <w:r w:rsidR="00A7040F" w:rsidRPr="00B90668">
        <w:rPr>
          <w:rFonts w:ascii="Times New Roman" w:hAnsi="Times New Roman" w:cs="Times New Roman"/>
          <w:color w:val="000000" w:themeColor="text1"/>
          <w:sz w:val="24"/>
          <w:szCs w:val="24"/>
        </w:rPr>
        <w:t xml:space="preserve"> may not have been </w:t>
      </w:r>
      <w:r w:rsidR="00742AF9" w:rsidRPr="00B90668">
        <w:rPr>
          <w:rFonts w:ascii="Times New Roman" w:hAnsi="Times New Roman" w:cs="Times New Roman"/>
          <w:color w:val="000000" w:themeColor="text1"/>
          <w:sz w:val="24"/>
          <w:szCs w:val="24"/>
        </w:rPr>
        <w:t>large</w:t>
      </w:r>
      <w:r w:rsidR="00A7040F" w:rsidRPr="00B90668">
        <w:rPr>
          <w:rFonts w:ascii="Times New Roman" w:hAnsi="Times New Roman" w:cs="Times New Roman"/>
          <w:color w:val="000000" w:themeColor="text1"/>
          <w:sz w:val="24"/>
          <w:szCs w:val="24"/>
        </w:rPr>
        <w:t xml:space="preserve"> enough to impact the outcome.</w:t>
      </w:r>
    </w:p>
    <w:p w14:paraId="23759943" w14:textId="77E58187" w:rsidR="009A4491" w:rsidRPr="00B90668" w:rsidRDefault="009A4491"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lastRenderedPageBreak/>
        <w:t>The</w:t>
      </w:r>
      <w:r w:rsidR="00CC622C" w:rsidRPr="00B90668">
        <w:rPr>
          <w:rFonts w:ascii="Times New Roman" w:hAnsi="Times New Roman" w:cs="Times New Roman"/>
          <w:color w:val="000000" w:themeColor="text1"/>
          <w:sz w:val="24"/>
          <w:szCs w:val="24"/>
        </w:rPr>
        <w:t xml:space="preserve"> </w:t>
      </w:r>
      <w:r w:rsidR="00B81C82" w:rsidRPr="00B90668">
        <w:rPr>
          <w:rFonts w:ascii="Times New Roman" w:hAnsi="Times New Roman" w:cs="Times New Roman"/>
          <w:color w:val="000000" w:themeColor="text1"/>
          <w:sz w:val="24"/>
          <w:szCs w:val="24"/>
        </w:rPr>
        <w:t>ESETT</w:t>
      </w:r>
      <w:r w:rsidRPr="00B90668">
        <w:rPr>
          <w:rFonts w:ascii="Times New Roman" w:hAnsi="Times New Roman" w:cs="Times New Roman"/>
          <w:color w:val="000000" w:themeColor="text1"/>
          <w:sz w:val="24"/>
          <w:szCs w:val="24"/>
        </w:rPr>
        <w:t xml:space="preserve"> primary outcome</w:t>
      </w:r>
      <w:r w:rsidR="00B81C82" w:rsidRPr="00B90668">
        <w:rPr>
          <w:rFonts w:ascii="Times New Roman" w:hAnsi="Times New Roman" w:cs="Times New Roman"/>
          <w:color w:val="000000" w:themeColor="text1"/>
          <w:sz w:val="24"/>
          <w:szCs w:val="24"/>
        </w:rPr>
        <w:t xml:space="preserve"> was </w:t>
      </w:r>
      <w:r w:rsidR="0017761F" w:rsidRPr="00B90668">
        <w:rPr>
          <w:rFonts w:ascii="Times New Roman" w:hAnsi="Times New Roman" w:cs="Times New Roman"/>
          <w:color w:val="000000" w:themeColor="text1"/>
          <w:sz w:val="24"/>
          <w:szCs w:val="24"/>
        </w:rPr>
        <w:t xml:space="preserve">a </w:t>
      </w:r>
      <w:r w:rsidR="00B81C82" w:rsidRPr="00B90668">
        <w:rPr>
          <w:rFonts w:ascii="Times New Roman" w:hAnsi="Times New Roman" w:cs="Times New Roman"/>
          <w:color w:val="000000" w:themeColor="text1"/>
          <w:sz w:val="24"/>
          <w:szCs w:val="24"/>
        </w:rPr>
        <w:t>composite and included</w:t>
      </w:r>
      <w:r w:rsidR="00EE6E83" w:rsidRPr="00B90668">
        <w:rPr>
          <w:rFonts w:ascii="Times New Roman" w:hAnsi="Times New Roman" w:cs="Times New Roman"/>
          <w:color w:val="000000" w:themeColor="text1"/>
          <w:sz w:val="24"/>
          <w:szCs w:val="24"/>
        </w:rPr>
        <w:t xml:space="preserve"> absence of clinically apparent seizures and</w:t>
      </w:r>
      <w:r w:rsidR="00B81C82" w:rsidRPr="00B90668">
        <w:rPr>
          <w:rFonts w:ascii="Times New Roman" w:hAnsi="Times New Roman" w:cs="Times New Roman"/>
          <w:color w:val="000000" w:themeColor="text1"/>
          <w:sz w:val="24"/>
          <w:szCs w:val="24"/>
        </w:rPr>
        <w:t xml:space="preserve"> improve</w:t>
      </w:r>
      <w:r w:rsidR="00EE6E83" w:rsidRPr="00B90668">
        <w:rPr>
          <w:rFonts w:ascii="Times New Roman" w:hAnsi="Times New Roman" w:cs="Times New Roman"/>
          <w:color w:val="000000" w:themeColor="text1"/>
          <w:sz w:val="24"/>
          <w:szCs w:val="24"/>
        </w:rPr>
        <w:t>d</w:t>
      </w:r>
      <w:r w:rsidR="00B81C82" w:rsidRPr="00B90668">
        <w:rPr>
          <w:rFonts w:ascii="Times New Roman" w:hAnsi="Times New Roman" w:cs="Times New Roman"/>
          <w:color w:val="000000" w:themeColor="text1"/>
          <w:sz w:val="24"/>
          <w:szCs w:val="24"/>
        </w:rPr>
        <w:t xml:space="preserve"> responsiveness at 60 minutes.</w:t>
      </w:r>
      <w:r w:rsidR="00CC622C" w:rsidRPr="00B90668">
        <w:rPr>
          <w:rFonts w:ascii="Times New Roman" w:hAnsi="Times New Roman" w:cs="Times New Roman"/>
          <w:color w:val="000000" w:themeColor="text1"/>
          <w:sz w:val="24"/>
          <w:szCs w:val="24"/>
        </w:rPr>
        <w:t xml:space="preserve"> </w:t>
      </w:r>
      <w:r w:rsidR="0017761F" w:rsidRPr="00B90668">
        <w:rPr>
          <w:rFonts w:ascii="Times New Roman" w:hAnsi="Times New Roman" w:cs="Times New Roman"/>
          <w:color w:val="000000" w:themeColor="text1"/>
          <w:sz w:val="24"/>
          <w:szCs w:val="24"/>
        </w:rPr>
        <w:t xml:space="preserve">It </w:t>
      </w:r>
      <w:r w:rsidR="00AF6231" w:rsidRPr="00B90668">
        <w:rPr>
          <w:rFonts w:ascii="Times New Roman" w:hAnsi="Times New Roman" w:cs="Times New Roman"/>
          <w:color w:val="000000" w:themeColor="text1"/>
          <w:sz w:val="24"/>
          <w:szCs w:val="24"/>
        </w:rPr>
        <w:t xml:space="preserve">is </w:t>
      </w:r>
      <w:r w:rsidR="0017761F" w:rsidRPr="00B90668">
        <w:rPr>
          <w:rFonts w:ascii="Times New Roman" w:hAnsi="Times New Roman" w:cs="Times New Roman"/>
          <w:color w:val="000000" w:themeColor="text1"/>
          <w:sz w:val="24"/>
          <w:szCs w:val="24"/>
        </w:rPr>
        <w:t>possible that those who had higher doses were more likely to stop seizing but also more likely to have no improvement in responsiveness.</w:t>
      </w:r>
      <w:r w:rsidR="00CC622C" w:rsidRPr="00B90668">
        <w:rPr>
          <w:rFonts w:ascii="Times New Roman" w:hAnsi="Times New Roman" w:cs="Times New Roman"/>
          <w:color w:val="000000" w:themeColor="text1"/>
          <w:sz w:val="24"/>
          <w:szCs w:val="24"/>
        </w:rPr>
        <w:t xml:space="preserve"> </w:t>
      </w:r>
      <w:r w:rsidR="00AF6231" w:rsidRPr="00B90668">
        <w:rPr>
          <w:rFonts w:ascii="Times New Roman" w:hAnsi="Times New Roman" w:cs="Times New Roman"/>
          <w:color w:val="000000" w:themeColor="text1"/>
          <w:sz w:val="24"/>
          <w:szCs w:val="24"/>
        </w:rPr>
        <w:t>T</w:t>
      </w:r>
      <w:r w:rsidR="007D1C36" w:rsidRPr="00B90668">
        <w:rPr>
          <w:rFonts w:ascii="Times New Roman" w:hAnsi="Times New Roman" w:cs="Times New Roman"/>
          <w:color w:val="000000" w:themeColor="text1"/>
          <w:sz w:val="24"/>
          <w:szCs w:val="24"/>
        </w:rPr>
        <w:t xml:space="preserve">o tease out the </w:t>
      </w:r>
      <w:r w:rsidR="00143923" w:rsidRPr="00B90668">
        <w:rPr>
          <w:rFonts w:ascii="Times New Roman" w:hAnsi="Times New Roman" w:cs="Times New Roman"/>
          <w:color w:val="000000" w:themeColor="text1"/>
          <w:sz w:val="24"/>
          <w:szCs w:val="24"/>
        </w:rPr>
        <w:t>association</w:t>
      </w:r>
      <w:r w:rsidR="007D1C36" w:rsidRPr="00B90668">
        <w:rPr>
          <w:rFonts w:ascii="Times New Roman" w:hAnsi="Times New Roman" w:cs="Times New Roman"/>
          <w:color w:val="000000" w:themeColor="text1"/>
          <w:sz w:val="24"/>
          <w:szCs w:val="24"/>
        </w:rPr>
        <w:t xml:space="preserve"> of weight and other variables </w:t>
      </w:r>
      <w:r w:rsidR="00143923" w:rsidRPr="00B90668">
        <w:rPr>
          <w:rFonts w:ascii="Times New Roman" w:hAnsi="Times New Roman" w:cs="Times New Roman"/>
          <w:color w:val="000000" w:themeColor="text1"/>
          <w:sz w:val="24"/>
          <w:szCs w:val="24"/>
        </w:rPr>
        <w:t>with</w:t>
      </w:r>
      <w:r w:rsidR="00EE6E83" w:rsidRPr="00B90668">
        <w:rPr>
          <w:rFonts w:ascii="Times New Roman" w:hAnsi="Times New Roman" w:cs="Times New Roman"/>
          <w:color w:val="000000" w:themeColor="text1"/>
          <w:sz w:val="24"/>
          <w:szCs w:val="24"/>
        </w:rPr>
        <w:t xml:space="preserve"> clinical</w:t>
      </w:r>
      <w:r w:rsidR="007D1C36" w:rsidRPr="00B90668">
        <w:rPr>
          <w:rFonts w:ascii="Times New Roman" w:hAnsi="Times New Roman" w:cs="Times New Roman"/>
          <w:color w:val="000000" w:themeColor="text1"/>
          <w:sz w:val="24"/>
          <w:szCs w:val="24"/>
        </w:rPr>
        <w:t xml:space="preserve"> seizure cessation alone, </w:t>
      </w:r>
      <w:r w:rsidR="0017761F" w:rsidRPr="00B90668">
        <w:rPr>
          <w:rFonts w:ascii="Times New Roman" w:hAnsi="Times New Roman" w:cs="Times New Roman"/>
          <w:color w:val="000000" w:themeColor="text1"/>
          <w:sz w:val="24"/>
          <w:szCs w:val="24"/>
        </w:rPr>
        <w:t xml:space="preserve">we </w:t>
      </w:r>
      <w:r w:rsidR="00CC622C" w:rsidRPr="00B90668">
        <w:rPr>
          <w:rFonts w:ascii="Times New Roman" w:hAnsi="Times New Roman" w:cs="Times New Roman"/>
          <w:color w:val="000000" w:themeColor="text1"/>
          <w:sz w:val="24"/>
          <w:szCs w:val="24"/>
        </w:rPr>
        <w:t>included those who failed the</w:t>
      </w:r>
      <w:r w:rsidR="007D1C36" w:rsidRPr="00B90668">
        <w:rPr>
          <w:rFonts w:ascii="Times New Roman" w:hAnsi="Times New Roman" w:cs="Times New Roman"/>
          <w:color w:val="000000" w:themeColor="text1"/>
          <w:sz w:val="24"/>
          <w:szCs w:val="24"/>
        </w:rPr>
        <w:t xml:space="preserve"> primary outcome</w:t>
      </w:r>
      <w:r w:rsidR="00CC622C" w:rsidRPr="00B90668">
        <w:rPr>
          <w:rFonts w:ascii="Times New Roman" w:hAnsi="Times New Roman" w:cs="Times New Roman"/>
          <w:color w:val="000000" w:themeColor="text1"/>
          <w:sz w:val="24"/>
          <w:szCs w:val="24"/>
        </w:rPr>
        <w:t xml:space="preserve"> only </w:t>
      </w:r>
      <w:r w:rsidR="007D1C36" w:rsidRPr="00B90668">
        <w:rPr>
          <w:rFonts w:ascii="Times New Roman" w:hAnsi="Times New Roman" w:cs="Times New Roman"/>
          <w:color w:val="000000" w:themeColor="text1"/>
          <w:sz w:val="24"/>
          <w:szCs w:val="24"/>
        </w:rPr>
        <w:t>due to</w:t>
      </w:r>
      <w:r w:rsidR="0017761F" w:rsidRPr="00B90668">
        <w:rPr>
          <w:rFonts w:ascii="Times New Roman" w:hAnsi="Times New Roman" w:cs="Times New Roman"/>
          <w:color w:val="000000" w:themeColor="text1"/>
          <w:sz w:val="24"/>
          <w:szCs w:val="24"/>
        </w:rPr>
        <w:t xml:space="preserve"> the </w:t>
      </w:r>
      <w:r w:rsidR="007D1C36" w:rsidRPr="00B90668">
        <w:rPr>
          <w:rFonts w:ascii="Times New Roman" w:hAnsi="Times New Roman" w:cs="Times New Roman"/>
          <w:color w:val="000000" w:themeColor="text1"/>
          <w:sz w:val="24"/>
          <w:szCs w:val="24"/>
        </w:rPr>
        <w:t>lack of improved responsiveness at 60 minutes</w:t>
      </w:r>
      <w:r w:rsidR="00CC622C" w:rsidRPr="00B90668">
        <w:rPr>
          <w:rFonts w:ascii="Times New Roman" w:hAnsi="Times New Roman" w:cs="Times New Roman"/>
          <w:color w:val="000000" w:themeColor="text1"/>
          <w:sz w:val="24"/>
          <w:szCs w:val="24"/>
        </w:rPr>
        <w:t xml:space="preserve"> as successes</w:t>
      </w:r>
      <w:r w:rsidR="007D1C36" w:rsidRPr="00B90668">
        <w:rPr>
          <w:rFonts w:ascii="Times New Roman" w:hAnsi="Times New Roman" w:cs="Times New Roman"/>
          <w:color w:val="000000" w:themeColor="text1"/>
          <w:sz w:val="24"/>
          <w:szCs w:val="24"/>
        </w:rPr>
        <w:t xml:space="preserve"> but found no significan</w:t>
      </w:r>
      <w:r w:rsidR="00D24253" w:rsidRPr="00B90668">
        <w:rPr>
          <w:rFonts w:ascii="Times New Roman" w:hAnsi="Times New Roman" w:cs="Times New Roman"/>
          <w:color w:val="000000" w:themeColor="text1"/>
          <w:sz w:val="24"/>
          <w:szCs w:val="24"/>
        </w:rPr>
        <w:t>t differences</w:t>
      </w:r>
      <w:r w:rsidR="00EE6E83" w:rsidRPr="00B90668">
        <w:rPr>
          <w:rFonts w:ascii="Times New Roman" w:hAnsi="Times New Roman" w:cs="Times New Roman"/>
          <w:color w:val="000000" w:themeColor="text1"/>
          <w:sz w:val="24"/>
          <w:szCs w:val="24"/>
        </w:rPr>
        <w:t xml:space="preserve"> between fixed and weight-based dosing</w:t>
      </w:r>
      <w:r w:rsidR="007D1C36" w:rsidRPr="00B90668">
        <w:rPr>
          <w:rFonts w:ascii="Times New Roman" w:hAnsi="Times New Roman" w:cs="Times New Roman"/>
          <w:color w:val="000000" w:themeColor="text1"/>
          <w:sz w:val="24"/>
          <w:szCs w:val="24"/>
        </w:rPr>
        <w:t>.</w:t>
      </w:r>
      <w:r w:rsidR="00581E18" w:rsidRPr="00B90668">
        <w:rPr>
          <w:rFonts w:ascii="Times New Roman" w:hAnsi="Times New Roman" w:cs="Times New Roman"/>
          <w:color w:val="000000" w:themeColor="text1"/>
          <w:sz w:val="24"/>
          <w:szCs w:val="24"/>
        </w:rPr>
        <w:t xml:space="preserve"> Future studies of status epilepticus will likely include EEG as a part of outcome and allow us to better understand this subgroup. </w:t>
      </w:r>
    </w:p>
    <w:p w14:paraId="46B10E62" w14:textId="3CC7F445" w:rsidR="007519EF" w:rsidRDefault="004D144F"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 xml:space="preserve">A limitation of these analyses is the small number of </w:t>
      </w:r>
      <w:r w:rsidR="006A7940" w:rsidRPr="00B90668">
        <w:rPr>
          <w:rFonts w:ascii="Times New Roman" w:hAnsi="Times New Roman" w:cs="Times New Roman"/>
          <w:color w:val="000000" w:themeColor="text1"/>
          <w:sz w:val="24"/>
          <w:szCs w:val="24"/>
        </w:rPr>
        <w:t>patients in each treatment group (</w:t>
      </w:r>
      <w:r w:rsidR="00143923" w:rsidRPr="00B90668">
        <w:rPr>
          <w:rFonts w:ascii="Times New Roman" w:hAnsi="Times New Roman" w:cs="Times New Roman"/>
          <w:color w:val="000000" w:themeColor="text1"/>
          <w:sz w:val="24"/>
          <w:szCs w:val="24"/>
        </w:rPr>
        <w:t>~40</w:t>
      </w:r>
      <w:r w:rsidR="006A7940" w:rsidRPr="00B90668">
        <w:rPr>
          <w:rFonts w:ascii="Times New Roman" w:hAnsi="Times New Roman" w:cs="Times New Roman"/>
          <w:color w:val="000000" w:themeColor="text1"/>
          <w:sz w:val="24"/>
          <w:szCs w:val="24"/>
        </w:rPr>
        <w:t>/drug)</w:t>
      </w:r>
      <w:r w:rsidRPr="00B90668">
        <w:rPr>
          <w:rFonts w:ascii="Times New Roman" w:hAnsi="Times New Roman" w:cs="Times New Roman"/>
          <w:color w:val="000000" w:themeColor="text1"/>
          <w:sz w:val="24"/>
          <w:szCs w:val="24"/>
        </w:rPr>
        <w:t xml:space="preserve"> weighing </w:t>
      </w:r>
      <w:r w:rsidR="006512ED" w:rsidRPr="00B90668">
        <w:rPr>
          <w:rFonts w:ascii="Times New Roman" w:hAnsi="Times New Roman" w:cs="Times New Roman"/>
          <w:color w:val="000000" w:themeColor="text1"/>
          <w:sz w:val="24"/>
          <w:szCs w:val="24"/>
        </w:rPr>
        <w:t>above</w:t>
      </w:r>
      <w:r w:rsidRPr="00B90668">
        <w:rPr>
          <w:rFonts w:ascii="Times New Roman" w:hAnsi="Times New Roman" w:cs="Times New Roman"/>
          <w:color w:val="000000" w:themeColor="text1"/>
          <w:sz w:val="24"/>
          <w:szCs w:val="24"/>
        </w:rPr>
        <w:t xml:space="preserve"> 75 k</w:t>
      </w:r>
      <w:r w:rsidR="006A7940" w:rsidRPr="00B90668">
        <w:rPr>
          <w:rFonts w:ascii="Times New Roman" w:hAnsi="Times New Roman" w:cs="Times New Roman"/>
          <w:color w:val="000000" w:themeColor="text1"/>
          <w:sz w:val="24"/>
          <w:szCs w:val="24"/>
        </w:rPr>
        <w:t>g</w:t>
      </w:r>
      <w:r w:rsidRPr="00B90668">
        <w:rPr>
          <w:rFonts w:ascii="Times New Roman" w:hAnsi="Times New Roman" w:cs="Times New Roman"/>
          <w:color w:val="000000" w:themeColor="text1"/>
          <w:sz w:val="24"/>
          <w:szCs w:val="24"/>
        </w:rPr>
        <w:t>.</w:t>
      </w:r>
      <w:r w:rsidR="006A7940" w:rsidRPr="00B90668">
        <w:rPr>
          <w:rFonts w:ascii="Times New Roman" w:hAnsi="Times New Roman" w:cs="Times New Roman"/>
          <w:color w:val="000000" w:themeColor="text1"/>
          <w:sz w:val="24"/>
          <w:szCs w:val="24"/>
        </w:rPr>
        <w:t xml:space="preserve"> The wide confidence intervals</w:t>
      </w:r>
      <w:r w:rsidR="007575BE" w:rsidRPr="00B90668">
        <w:rPr>
          <w:rFonts w:ascii="Times New Roman" w:hAnsi="Times New Roman" w:cs="Times New Roman"/>
          <w:color w:val="000000" w:themeColor="text1"/>
          <w:sz w:val="24"/>
          <w:szCs w:val="24"/>
        </w:rPr>
        <w:t xml:space="preserve"> for the difference in response rates</w:t>
      </w:r>
      <w:r w:rsidR="006A7940" w:rsidRPr="00B90668">
        <w:rPr>
          <w:rFonts w:ascii="Times New Roman" w:hAnsi="Times New Roman" w:cs="Times New Roman"/>
          <w:color w:val="000000" w:themeColor="text1"/>
          <w:sz w:val="24"/>
          <w:szCs w:val="24"/>
        </w:rPr>
        <w:t xml:space="preserve"> suggest that a larger sample size </w:t>
      </w:r>
      <w:r w:rsidR="00581E18" w:rsidRPr="00B90668">
        <w:rPr>
          <w:rFonts w:ascii="Times New Roman" w:hAnsi="Times New Roman" w:cs="Times New Roman"/>
          <w:color w:val="000000" w:themeColor="text1"/>
          <w:sz w:val="24"/>
          <w:szCs w:val="24"/>
        </w:rPr>
        <w:t>would be</w:t>
      </w:r>
      <w:r w:rsidR="006A7940" w:rsidRPr="00B90668">
        <w:rPr>
          <w:rFonts w:ascii="Times New Roman" w:hAnsi="Times New Roman" w:cs="Times New Roman"/>
          <w:color w:val="000000" w:themeColor="text1"/>
          <w:sz w:val="24"/>
          <w:szCs w:val="24"/>
        </w:rPr>
        <w:t xml:space="preserve"> needed to confirm these findings.</w:t>
      </w:r>
      <w:r w:rsidR="00116E14" w:rsidRPr="00B90668">
        <w:rPr>
          <w:rFonts w:ascii="Times New Roman" w:hAnsi="Times New Roman" w:cs="Times New Roman"/>
          <w:color w:val="000000" w:themeColor="text1"/>
          <w:sz w:val="24"/>
          <w:szCs w:val="24"/>
        </w:rPr>
        <w:t xml:space="preserve"> While these were secondary analyses</w:t>
      </w:r>
      <w:r w:rsidR="00411D56" w:rsidRPr="00B90668">
        <w:rPr>
          <w:rFonts w:ascii="Times New Roman" w:hAnsi="Times New Roman" w:cs="Times New Roman"/>
          <w:color w:val="000000" w:themeColor="text1"/>
          <w:sz w:val="24"/>
          <w:szCs w:val="24"/>
        </w:rPr>
        <w:t xml:space="preserve">, </w:t>
      </w:r>
      <w:r w:rsidR="00116E14" w:rsidRPr="00B90668">
        <w:rPr>
          <w:rFonts w:ascii="Times New Roman" w:hAnsi="Times New Roman" w:cs="Times New Roman"/>
          <w:color w:val="000000" w:themeColor="text1"/>
          <w:sz w:val="24"/>
          <w:szCs w:val="24"/>
        </w:rPr>
        <w:t>the adaptive study design was in fact powered adequately for the primary outcomes.</w:t>
      </w:r>
    </w:p>
    <w:p w14:paraId="5DF2C9AA" w14:textId="77777777" w:rsidR="00F41BFD" w:rsidRPr="00B90668" w:rsidRDefault="00F41BFD" w:rsidP="003A31C5">
      <w:pPr>
        <w:spacing w:line="480" w:lineRule="auto"/>
        <w:jc w:val="both"/>
        <w:rPr>
          <w:rFonts w:ascii="Times New Roman" w:hAnsi="Times New Roman" w:cs="Times New Roman"/>
          <w:color w:val="000000" w:themeColor="text1"/>
          <w:sz w:val="24"/>
          <w:szCs w:val="24"/>
        </w:rPr>
      </w:pPr>
    </w:p>
    <w:p w14:paraId="1181A18B" w14:textId="77777777" w:rsidR="004D144F" w:rsidRPr="00B90668" w:rsidRDefault="004D144F" w:rsidP="003A31C5">
      <w:pPr>
        <w:spacing w:line="480" w:lineRule="auto"/>
        <w:jc w:val="both"/>
        <w:rPr>
          <w:rFonts w:ascii="Times New Roman" w:hAnsi="Times New Roman" w:cs="Times New Roman"/>
          <w:b/>
          <w:color w:val="000000" w:themeColor="text1"/>
          <w:sz w:val="24"/>
          <w:szCs w:val="24"/>
        </w:rPr>
      </w:pPr>
      <w:r w:rsidRPr="00B90668">
        <w:rPr>
          <w:rFonts w:ascii="Times New Roman" w:hAnsi="Times New Roman" w:cs="Times New Roman"/>
          <w:b/>
          <w:color w:val="000000" w:themeColor="text1"/>
          <w:sz w:val="24"/>
          <w:szCs w:val="24"/>
        </w:rPr>
        <w:t>CONCLUSION</w:t>
      </w:r>
    </w:p>
    <w:p w14:paraId="12B725FC" w14:textId="462F6D5A" w:rsidR="00747E4A" w:rsidRDefault="001626C1" w:rsidP="003A31C5">
      <w:pPr>
        <w:spacing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W</w:t>
      </w:r>
      <w:r w:rsidR="004D144F" w:rsidRPr="00B90668">
        <w:rPr>
          <w:rFonts w:ascii="Times New Roman" w:hAnsi="Times New Roman" w:cs="Times New Roman"/>
          <w:color w:val="000000" w:themeColor="text1"/>
          <w:sz w:val="24"/>
          <w:szCs w:val="24"/>
        </w:rPr>
        <w:t>eight-based dosing</w:t>
      </w:r>
      <w:r w:rsidRPr="00B90668">
        <w:rPr>
          <w:rFonts w:ascii="Times New Roman" w:hAnsi="Times New Roman" w:cs="Times New Roman"/>
          <w:color w:val="000000" w:themeColor="text1"/>
          <w:sz w:val="24"/>
          <w:szCs w:val="24"/>
        </w:rPr>
        <w:t xml:space="preserve"> used in ESETT </w:t>
      </w:r>
      <w:r w:rsidR="00796715" w:rsidRPr="00B90668">
        <w:rPr>
          <w:rFonts w:ascii="Times New Roman" w:hAnsi="Times New Roman" w:cs="Times New Roman"/>
          <w:color w:val="000000" w:themeColor="text1"/>
          <w:sz w:val="24"/>
          <w:szCs w:val="24"/>
        </w:rPr>
        <w:t xml:space="preserve">with </w:t>
      </w:r>
      <w:r w:rsidR="004D144F" w:rsidRPr="00B90668">
        <w:rPr>
          <w:rFonts w:ascii="Times New Roman" w:hAnsi="Times New Roman" w:cs="Times New Roman"/>
          <w:color w:val="000000" w:themeColor="text1"/>
          <w:sz w:val="24"/>
          <w:szCs w:val="24"/>
        </w:rPr>
        <w:t>a 75 kg cut-off d</w:t>
      </w:r>
      <w:r w:rsidR="00E9753A" w:rsidRPr="00B90668">
        <w:rPr>
          <w:rFonts w:ascii="Times New Roman" w:hAnsi="Times New Roman" w:cs="Times New Roman"/>
          <w:color w:val="000000" w:themeColor="text1"/>
          <w:sz w:val="24"/>
          <w:szCs w:val="24"/>
        </w:rPr>
        <w:t>oes</w:t>
      </w:r>
      <w:r w:rsidR="004D144F" w:rsidRPr="00B90668">
        <w:rPr>
          <w:rFonts w:ascii="Times New Roman" w:hAnsi="Times New Roman" w:cs="Times New Roman"/>
          <w:color w:val="000000" w:themeColor="text1"/>
          <w:sz w:val="24"/>
          <w:szCs w:val="24"/>
        </w:rPr>
        <w:t xml:space="preserve"> not appear to have an </w:t>
      </w:r>
      <w:r w:rsidR="004422C3" w:rsidRPr="00B90668">
        <w:rPr>
          <w:rFonts w:ascii="Times New Roman" w:hAnsi="Times New Roman" w:cs="Times New Roman"/>
          <w:color w:val="000000" w:themeColor="text1"/>
          <w:sz w:val="24"/>
          <w:szCs w:val="24"/>
        </w:rPr>
        <w:t>impact</w:t>
      </w:r>
      <w:r w:rsidR="004D144F" w:rsidRPr="00B90668">
        <w:rPr>
          <w:rFonts w:ascii="Times New Roman" w:hAnsi="Times New Roman" w:cs="Times New Roman"/>
          <w:color w:val="000000" w:themeColor="text1"/>
          <w:sz w:val="24"/>
          <w:szCs w:val="24"/>
        </w:rPr>
        <w:t xml:space="preserve"> on</w:t>
      </w:r>
      <w:r w:rsidR="00EE6E83" w:rsidRPr="00B90668">
        <w:rPr>
          <w:rFonts w:ascii="Times New Roman" w:hAnsi="Times New Roman" w:cs="Times New Roman"/>
          <w:color w:val="000000" w:themeColor="text1"/>
          <w:sz w:val="24"/>
          <w:szCs w:val="24"/>
        </w:rPr>
        <w:t xml:space="preserve"> the</w:t>
      </w:r>
      <w:r w:rsidR="007D1C36" w:rsidRPr="00B90668">
        <w:rPr>
          <w:rFonts w:ascii="Times New Roman" w:hAnsi="Times New Roman" w:cs="Times New Roman"/>
          <w:color w:val="000000" w:themeColor="text1"/>
          <w:sz w:val="24"/>
          <w:szCs w:val="24"/>
        </w:rPr>
        <w:t xml:space="preserve"> primary outcome </w:t>
      </w:r>
      <w:r w:rsidR="00EE6E83" w:rsidRPr="00B90668">
        <w:rPr>
          <w:rFonts w:ascii="Times New Roman" w:hAnsi="Times New Roman" w:cs="Times New Roman"/>
          <w:color w:val="000000" w:themeColor="text1"/>
          <w:sz w:val="24"/>
          <w:szCs w:val="24"/>
        </w:rPr>
        <w:t>or clinical</w:t>
      </w:r>
      <w:r w:rsidR="004D144F" w:rsidRPr="00B90668">
        <w:rPr>
          <w:rFonts w:ascii="Times New Roman" w:hAnsi="Times New Roman" w:cs="Times New Roman"/>
          <w:color w:val="000000" w:themeColor="text1"/>
          <w:sz w:val="24"/>
          <w:szCs w:val="24"/>
        </w:rPr>
        <w:t xml:space="preserve"> seizure cessation.</w:t>
      </w:r>
      <w:r w:rsidR="004422C3" w:rsidRPr="00B90668">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It is possible that the concentrations attained were above those</w:t>
      </w:r>
      <w:r w:rsidR="00EE6E83" w:rsidRPr="00B90668">
        <w:rPr>
          <w:rFonts w:ascii="Times New Roman" w:hAnsi="Times New Roman" w:cs="Times New Roman"/>
          <w:color w:val="000000" w:themeColor="text1"/>
          <w:sz w:val="24"/>
          <w:szCs w:val="24"/>
        </w:rPr>
        <w:t xml:space="preserve"> needed</w:t>
      </w:r>
      <w:r w:rsidRPr="00B90668">
        <w:rPr>
          <w:rFonts w:ascii="Times New Roman" w:hAnsi="Times New Roman" w:cs="Times New Roman"/>
          <w:color w:val="000000" w:themeColor="text1"/>
          <w:sz w:val="24"/>
          <w:szCs w:val="24"/>
        </w:rPr>
        <w:t xml:space="preserve"> for therapeutic outcome. However, </w:t>
      </w:r>
      <w:r w:rsidR="004D144F" w:rsidRPr="00B90668">
        <w:rPr>
          <w:rFonts w:ascii="Times New Roman" w:hAnsi="Times New Roman" w:cs="Times New Roman"/>
          <w:color w:val="000000" w:themeColor="text1"/>
          <w:sz w:val="24"/>
          <w:szCs w:val="24"/>
        </w:rPr>
        <w:t xml:space="preserve">studies </w:t>
      </w:r>
      <w:r w:rsidRPr="00B90668">
        <w:rPr>
          <w:rFonts w:ascii="Times New Roman" w:hAnsi="Times New Roman" w:cs="Times New Roman"/>
          <w:color w:val="000000" w:themeColor="text1"/>
          <w:sz w:val="24"/>
          <w:szCs w:val="24"/>
        </w:rPr>
        <w:t>with larger sample size</w:t>
      </w:r>
      <w:r w:rsidR="004422C3" w:rsidRPr="00B90668">
        <w:rPr>
          <w:rFonts w:ascii="Times New Roman" w:hAnsi="Times New Roman" w:cs="Times New Roman"/>
          <w:color w:val="000000" w:themeColor="text1"/>
          <w:sz w:val="24"/>
          <w:szCs w:val="24"/>
        </w:rPr>
        <w:t xml:space="preserve"> and</w:t>
      </w:r>
      <w:r w:rsidR="00EE6E83" w:rsidRPr="00B90668">
        <w:rPr>
          <w:rFonts w:ascii="Times New Roman" w:hAnsi="Times New Roman" w:cs="Times New Roman"/>
          <w:color w:val="000000" w:themeColor="text1"/>
          <w:sz w:val="24"/>
          <w:szCs w:val="24"/>
        </w:rPr>
        <w:t xml:space="preserve"> additional data (drug concentrations, BMI, etc.)</w:t>
      </w:r>
      <w:r w:rsidRPr="00B90668">
        <w:rPr>
          <w:rFonts w:ascii="Times New Roman" w:hAnsi="Times New Roman" w:cs="Times New Roman"/>
          <w:color w:val="000000" w:themeColor="text1"/>
          <w:sz w:val="24"/>
          <w:szCs w:val="24"/>
        </w:rPr>
        <w:t xml:space="preserve"> </w:t>
      </w:r>
      <w:r w:rsidR="004D144F" w:rsidRPr="00B90668">
        <w:rPr>
          <w:rFonts w:ascii="Times New Roman" w:hAnsi="Times New Roman" w:cs="Times New Roman"/>
          <w:color w:val="000000" w:themeColor="text1"/>
          <w:sz w:val="24"/>
          <w:szCs w:val="24"/>
        </w:rPr>
        <w:t>are required to confirm our findings</w:t>
      </w:r>
      <w:r w:rsidRPr="00B90668">
        <w:rPr>
          <w:rFonts w:ascii="Times New Roman" w:hAnsi="Times New Roman" w:cs="Times New Roman"/>
          <w:color w:val="000000" w:themeColor="text1"/>
          <w:sz w:val="24"/>
          <w:szCs w:val="24"/>
        </w:rPr>
        <w:t>. Future studies which measure drug concentrations would allow exploration of exposure-response instead of dose-response relationships.</w:t>
      </w:r>
    </w:p>
    <w:p w14:paraId="2482F36F" w14:textId="77777777" w:rsidR="00F41BFD" w:rsidRPr="00AF094A" w:rsidRDefault="00F41BFD" w:rsidP="00AF094A">
      <w:pPr>
        <w:suppressLineNumbers/>
        <w:spacing w:line="480" w:lineRule="auto"/>
        <w:jc w:val="both"/>
        <w:rPr>
          <w:rFonts w:ascii="Times New Roman" w:hAnsi="Times New Roman" w:cs="Times New Roman"/>
          <w:color w:val="000000" w:themeColor="text1"/>
          <w:sz w:val="24"/>
          <w:szCs w:val="24"/>
        </w:rPr>
      </w:pPr>
    </w:p>
    <w:p w14:paraId="5D4E274F" w14:textId="6626013B" w:rsidR="00B96D91" w:rsidRPr="00B90668" w:rsidRDefault="00B96D91" w:rsidP="00B96D91">
      <w:pPr>
        <w:suppressLineNumber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w:t>
      </w:r>
      <w:r w:rsidR="00833023">
        <w:rPr>
          <w:rFonts w:ascii="Times New Roman" w:hAnsi="Times New Roman" w:cs="Times New Roman"/>
          <w:b/>
          <w:sz w:val="24"/>
          <w:szCs w:val="24"/>
        </w:rPr>
        <w:t>S</w:t>
      </w:r>
    </w:p>
    <w:p w14:paraId="1F710D1E" w14:textId="51C16203" w:rsidR="00B96D91" w:rsidRDefault="00B96D91" w:rsidP="00B96D91">
      <w:pPr>
        <w:suppressLineNumbers/>
        <w:spacing w:line="480" w:lineRule="auto"/>
        <w:jc w:val="both"/>
        <w:rPr>
          <w:rFonts w:ascii="Times New Roman" w:hAnsi="Times New Roman" w:cs="Times New Roman"/>
          <w:sz w:val="24"/>
          <w:szCs w:val="24"/>
        </w:rPr>
      </w:pPr>
      <w:r w:rsidRPr="00B90668">
        <w:rPr>
          <w:rFonts w:ascii="Times New Roman" w:hAnsi="Times New Roman" w:cs="Times New Roman"/>
          <w:b/>
          <w:bCs/>
          <w:sz w:val="24"/>
          <w:szCs w:val="24"/>
        </w:rPr>
        <w:t xml:space="preserve">Figure 1:  </w:t>
      </w:r>
      <w:r w:rsidRPr="00B90668">
        <w:rPr>
          <w:rFonts w:ascii="Times New Roman" w:hAnsi="Times New Roman" w:cs="Times New Roman"/>
          <w:sz w:val="24"/>
          <w:szCs w:val="24"/>
        </w:rPr>
        <w:t>Distribution of ESETT adult patient weights and the response to the treatment administered as treatment success (blue) or treatment failure (red</w:t>
      </w:r>
      <w:r>
        <w:rPr>
          <w:rFonts w:ascii="Times New Roman" w:hAnsi="Times New Roman" w:cs="Times New Roman"/>
          <w:sz w:val="24"/>
          <w:szCs w:val="24"/>
        </w:rPr>
        <w:t>)</w:t>
      </w:r>
    </w:p>
    <w:p w14:paraId="02D9F146" w14:textId="77777777" w:rsidR="00833023" w:rsidRPr="00B96D91" w:rsidRDefault="00833023" w:rsidP="00B96D91">
      <w:pPr>
        <w:suppressLineNumbers/>
        <w:spacing w:line="480" w:lineRule="auto"/>
        <w:jc w:val="both"/>
        <w:rPr>
          <w:rFonts w:ascii="Times New Roman" w:hAnsi="Times New Roman" w:cs="Times New Roman"/>
          <w:b/>
          <w:sz w:val="24"/>
          <w:szCs w:val="24"/>
        </w:rPr>
      </w:pPr>
    </w:p>
    <w:p w14:paraId="661579DC" w14:textId="3047E91F" w:rsidR="00747E4A" w:rsidRDefault="003C604A" w:rsidP="00B90668">
      <w:pPr>
        <w:suppressLineNumber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14:paraId="790E4E7B" w14:textId="4EC1A5B7" w:rsidR="001A1524" w:rsidRDefault="001A1524" w:rsidP="00B90668">
      <w:pPr>
        <w:suppressLineNumbers/>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 xml:space="preserve">Research reported in this publication was supported by National Institutes of Health, National Institutes of Neurological Disorders and Stroke under Awards U01NS088034, U01NS088023, U01NS056975, U01NS059041, and R01NS099653. (Clinical trials.gov identifier NCT01960075). </w:t>
      </w:r>
      <w:r w:rsidRPr="00B90668">
        <w:rPr>
          <w:rFonts w:ascii="Times New Roman" w:hAnsi="Times New Roman" w:cs="Times New Roman"/>
          <w:bCs/>
          <w:sz w:val="24"/>
          <w:szCs w:val="24"/>
        </w:rPr>
        <w:t>Abhishek G. Sathe was supported in part by the OLSTEINS Graduate Fellowship from the College of Pharmacy, University of Minnesota.</w:t>
      </w:r>
      <w:r w:rsidRPr="00B90668">
        <w:rPr>
          <w:rFonts w:ascii="Times New Roman" w:hAnsi="Times New Roman" w:cs="Times New Roman"/>
          <w:color w:val="000000" w:themeColor="text1"/>
          <w:sz w:val="24"/>
          <w:szCs w:val="24"/>
        </w:rPr>
        <w:t xml:space="preserve"> We would like to acknowledge the ESETT Data and Safety Monitoring Board. The content of this article is solely the responsibility of the authors and does not necessarily represent the official views of the National Institute of Neurological Disorders and Stroke, National Institutes of Health, or the United States Government.</w:t>
      </w:r>
    </w:p>
    <w:p w14:paraId="75FF46C0" w14:textId="77777777" w:rsidR="00F41BFD" w:rsidRPr="00AF094A" w:rsidRDefault="00F41BFD" w:rsidP="00B90668">
      <w:pPr>
        <w:suppressLineNumbers/>
        <w:spacing w:after="0" w:line="480" w:lineRule="auto"/>
        <w:jc w:val="both"/>
        <w:rPr>
          <w:rFonts w:ascii="Times New Roman" w:hAnsi="Times New Roman" w:cs="Times New Roman"/>
          <w:b/>
          <w:color w:val="000000" w:themeColor="text1"/>
          <w:sz w:val="24"/>
          <w:szCs w:val="24"/>
        </w:rPr>
      </w:pPr>
    </w:p>
    <w:p w14:paraId="1BCCD600" w14:textId="4560BD32" w:rsidR="00482B1F" w:rsidRPr="00B90668" w:rsidRDefault="003C604A" w:rsidP="00B90668">
      <w:pPr>
        <w:suppressLineNumbers/>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CONFLICTS OF INTEREST</w:t>
      </w:r>
    </w:p>
    <w:p w14:paraId="690173F8" w14:textId="620C6661" w:rsidR="003C604A" w:rsidRPr="0091107A" w:rsidRDefault="0091107A" w:rsidP="00B90668">
      <w:pPr>
        <w:suppressLineNumbers/>
        <w:spacing w:line="480" w:lineRule="auto"/>
        <w:jc w:val="both"/>
        <w:rPr>
          <w:rFonts w:ascii="Times New Roman" w:hAnsi="Times New Roman" w:cs="Times New Roman"/>
          <w:sz w:val="24"/>
          <w:szCs w:val="24"/>
        </w:rPr>
      </w:pPr>
      <w:r w:rsidRPr="0091107A">
        <w:rPr>
          <w:rFonts w:ascii="Times New Roman" w:hAnsi="Times New Roman" w:cs="Times New Roman"/>
          <w:sz w:val="24"/>
          <w:szCs w:val="24"/>
          <w:shd w:val="clear" w:color="auto" w:fill="FFFFFF"/>
        </w:rPr>
        <w:t>Prof</w:t>
      </w:r>
      <w:r>
        <w:rPr>
          <w:rFonts w:ascii="Times New Roman" w:hAnsi="Times New Roman" w:cs="Times New Roman"/>
          <w:sz w:val="24"/>
          <w:szCs w:val="24"/>
          <w:shd w:val="clear" w:color="auto" w:fill="FFFFFF"/>
        </w:rPr>
        <w:t xml:space="preserve">essor </w:t>
      </w:r>
      <w:r w:rsidRPr="0091107A">
        <w:rPr>
          <w:rFonts w:ascii="Times New Roman" w:hAnsi="Times New Roman" w:cs="Times New Roman"/>
          <w:sz w:val="24"/>
          <w:szCs w:val="24"/>
          <w:shd w:val="clear" w:color="auto" w:fill="FFFFFF"/>
        </w:rPr>
        <w:t>Cock received consulting fees from BIAL Pharma UK and Sage Therapeutics, her institution has received funds for her work on other trials from UCB Pharma, Eisai Europe Ltd, Novartis, and GW</w:t>
      </w:r>
      <w:r w:rsidR="00FD2EF8">
        <w:rPr>
          <w:rFonts w:ascii="Times New Roman" w:hAnsi="Times New Roman" w:cs="Times New Roman"/>
          <w:sz w:val="24"/>
          <w:szCs w:val="24"/>
          <w:shd w:val="clear" w:color="auto" w:fill="FFFFFF"/>
        </w:rPr>
        <w:t xml:space="preserve"> </w:t>
      </w:r>
      <w:r w:rsidRPr="0091107A">
        <w:rPr>
          <w:rFonts w:ascii="Times New Roman" w:hAnsi="Times New Roman" w:cs="Times New Roman"/>
          <w:sz w:val="24"/>
          <w:szCs w:val="24"/>
          <w:shd w:val="clear" w:color="auto" w:fill="FFFFFF"/>
        </w:rPr>
        <w:t>Pharma.</w:t>
      </w:r>
      <w:r>
        <w:rPr>
          <w:rFonts w:ascii="Times New Roman" w:hAnsi="Times New Roman" w:cs="Times New Roman"/>
          <w:sz w:val="24"/>
          <w:szCs w:val="24"/>
          <w:shd w:val="clear" w:color="auto" w:fill="FFFFFF"/>
        </w:rPr>
        <w:t xml:space="preserve"> </w:t>
      </w:r>
      <w:r w:rsidRPr="0091107A">
        <w:rPr>
          <w:rFonts w:ascii="Times New Roman" w:hAnsi="Times New Roman" w:cs="Times New Roman"/>
          <w:sz w:val="24"/>
          <w:szCs w:val="24"/>
          <w:shd w:val="clear" w:color="auto" w:fill="FFFFFF"/>
        </w:rPr>
        <w:t xml:space="preserve">Dr. Fountain reports research grants awarded to the University of Virginia with N. Fountain as PI from Epilepsy Foundation, </w:t>
      </w:r>
      <w:proofErr w:type="spellStart"/>
      <w:r w:rsidRPr="0091107A">
        <w:rPr>
          <w:rFonts w:ascii="Times New Roman" w:hAnsi="Times New Roman" w:cs="Times New Roman"/>
          <w:sz w:val="24"/>
          <w:szCs w:val="24"/>
          <w:shd w:val="clear" w:color="auto" w:fill="FFFFFF"/>
        </w:rPr>
        <w:t>InSightech</w:t>
      </w:r>
      <w:proofErr w:type="spellEnd"/>
      <w:r w:rsidRPr="0091107A">
        <w:rPr>
          <w:rFonts w:ascii="Times New Roman" w:hAnsi="Times New Roman" w:cs="Times New Roman"/>
          <w:sz w:val="24"/>
          <w:szCs w:val="24"/>
          <w:shd w:val="clear" w:color="auto" w:fill="FFFFFF"/>
        </w:rPr>
        <w:t xml:space="preserve">, UCB, SK Life Sciences, GW Pharmaceuticals, </w:t>
      </w:r>
      <w:proofErr w:type="spellStart"/>
      <w:r w:rsidRPr="0091107A">
        <w:rPr>
          <w:rFonts w:ascii="Times New Roman" w:hAnsi="Times New Roman" w:cs="Times New Roman"/>
          <w:sz w:val="24"/>
          <w:szCs w:val="24"/>
          <w:shd w:val="clear" w:color="auto" w:fill="FFFFFF"/>
        </w:rPr>
        <w:t>Neurelis</w:t>
      </w:r>
      <w:proofErr w:type="spellEnd"/>
      <w:r w:rsidRPr="0091107A">
        <w:rPr>
          <w:rFonts w:ascii="Times New Roman" w:hAnsi="Times New Roman" w:cs="Times New Roman"/>
          <w:sz w:val="24"/>
          <w:szCs w:val="24"/>
          <w:shd w:val="clear" w:color="auto" w:fill="FFFFFF"/>
        </w:rPr>
        <w:t>, Takeda, Medtronic</w:t>
      </w:r>
      <w:r>
        <w:rPr>
          <w:rFonts w:ascii="Times New Roman" w:hAnsi="Times New Roman" w:cs="Times New Roman"/>
          <w:sz w:val="24"/>
          <w:szCs w:val="24"/>
          <w:shd w:val="clear" w:color="auto" w:fill="FFFFFF"/>
        </w:rPr>
        <w:t xml:space="preserve"> and</w:t>
      </w:r>
      <w:r w:rsidRPr="0091107A">
        <w:rPr>
          <w:rFonts w:ascii="Times New Roman" w:hAnsi="Times New Roman" w:cs="Times New Roman"/>
          <w:sz w:val="24"/>
          <w:szCs w:val="24"/>
          <w:shd w:val="clear" w:color="auto" w:fill="FFFFFF"/>
        </w:rPr>
        <w:t xml:space="preserve"> Cerebral Therapeutics. Dr. Lowenstein served on the Scientific Advisory Board of Bloom Science.</w:t>
      </w:r>
      <w:r w:rsidR="003036AE">
        <w:rPr>
          <w:rFonts w:ascii="Times New Roman" w:hAnsi="Times New Roman" w:cs="Times New Roman"/>
          <w:sz w:val="24"/>
          <w:szCs w:val="24"/>
          <w:shd w:val="clear" w:color="auto" w:fill="FFFFFF"/>
        </w:rPr>
        <w:t xml:space="preserve"> The remaining authors have no </w:t>
      </w:r>
      <w:r w:rsidR="003036AE">
        <w:rPr>
          <w:rFonts w:ascii="Times New Roman" w:hAnsi="Times New Roman" w:cs="Times New Roman"/>
          <w:sz w:val="24"/>
          <w:szCs w:val="24"/>
          <w:shd w:val="clear" w:color="auto" w:fill="FFFFFF"/>
        </w:rPr>
        <w:lastRenderedPageBreak/>
        <w:t xml:space="preserve">conflicts of interest. </w:t>
      </w:r>
      <w:r w:rsidR="00651275" w:rsidRPr="0091107A">
        <w:rPr>
          <w:rFonts w:ascii="Times New Roman" w:hAnsi="Times New Roman" w:cs="Times New Roman"/>
          <w:sz w:val="24"/>
          <w:szCs w:val="24"/>
        </w:rPr>
        <w:t>We confirm that we have read the Journal’s position on issues involved in ethical publication and affirm that this report is consistent with those guidelines.</w:t>
      </w:r>
    </w:p>
    <w:p w14:paraId="3C3C48F3" w14:textId="68D46114" w:rsidR="003C604A" w:rsidRDefault="003C604A" w:rsidP="00B90668">
      <w:pPr>
        <w:suppressLineNumbers/>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ORCID</w:t>
      </w:r>
    </w:p>
    <w:p w14:paraId="528BE089" w14:textId="07B26FE6" w:rsidR="002325CC" w:rsidRPr="0091107A" w:rsidRDefault="002325CC" w:rsidP="00442964">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Abhishek G. Sathe: </w:t>
      </w:r>
      <w:hyperlink r:id="rId9" w:history="1">
        <w:r w:rsidRPr="0091107A">
          <w:rPr>
            <w:rStyle w:val="Hyperlink"/>
            <w:rFonts w:ascii="Times New Roman" w:hAnsi="Times New Roman" w:cs="Times New Roman"/>
            <w:color w:val="auto"/>
            <w:sz w:val="24"/>
            <w:szCs w:val="24"/>
            <w:u w:val="none"/>
            <w:shd w:val="clear" w:color="auto" w:fill="FFFFFF"/>
          </w:rPr>
          <w:t>https://orcid.org/0000-0002-7348-4208</w:t>
        </w:r>
      </w:hyperlink>
    </w:p>
    <w:p w14:paraId="27BFE916" w14:textId="4A62CE75" w:rsidR="002325CC" w:rsidRPr="0091107A" w:rsidRDefault="002325CC" w:rsidP="00442964">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James C. </w:t>
      </w:r>
      <w:proofErr w:type="spellStart"/>
      <w:r w:rsidRPr="0091107A">
        <w:rPr>
          <w:rFonts w:ascii="Times New Roman" w:hAnsi="Times New Roman" w:cs="Times New Roman"/>
          <w:sz w:val="24"/>
          <w:szCs w:val="24"/>
        </w:rPr>
        <w:t>Cloyd</w:t>
      </w:r>
      <w:proofErr w:type="spellEnd"/>
      <w:r w:rsidRPr="0091107A">
        <w:rPr>
          <w:rFonts w:ascii="Times New Roman" w:hAnsi="Times New Roman" w:cs="Times New Roman"/>
          <w:sz w:val="24"/>
          <w:szCs w:val="24"/>
        </w:rPr>
        <w:t xml:space="preserve">: </w:t>
      </w:r>
      <w:hyperlink r:id="rId10" w:history="1">
        <w:r w:rsidRPr="0091107A">
          <w:rPr>
            <w:rStyle w:val="Hyperlink"/>
            <w:rFonts w:ascii="Times New Roman" w:hAnsi="Times New Roman" w:cs="Times New Roman"/>
            <w:color w:val="auto"/>
            <w:sz w:val="24"/>
            <w:szCs w:val="24"/>
            <w:u w:val="none"/>
            <w:shd w:val="clear" w:color="auto" w:fill="FFFFFF"/>
          </w:rPr>
          <w:t>https://orcid.org/0000-0002-3607-6619</w:t>
        </w:r>
      </w:hyperlink>
    </w:p>
    <w:p w14:paraId="4B972995" w14:textId="77777777" w:rsidR="002325CC" w:rsidRPr="0091107A" w:rsidRDefault="002325CC" w:rsidP="00442964">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 xml:space="preserve">Robert </w:t>
      </w:r>
      <w:proofErr w:type="spellStart"/>
      <w:r w:rsidRPr="0091107A">
        <w:rPr>
          <w:rFonts w:ascii="Times New Roman" w:hAnsi="Times New Roman" w:cs="Times New Roman"/>
          <w:sz w:val="24"/>
          <w:szCs w:val="24"/>
        </w:rPr>
        <w:t>Silbergleit</w:t>
      </w:r>
      <w:proofErr w:type="spellEnd"/>
      <w:r w:rsidRPr="0091107A">
        <w:rPr>
          <w:rFonts w:ascii="Times New Roman" w:hAnsi="Times New Roman" w:cs="Times New Roman"/>
          <w:sz w:val="24"/>
          <w:szCs w:val="24"/>
        </w:rPr>
        <w:t xml:space="preserve">: </w:t>
      </w:r>
      <w:r w:rsidRPr="0091107A">
        <w:rPr>
          <w:rStyle w:val="orcid-id-https"/>
          <w:rFonts w:ascii="Times New Roman" w:hAnsi="Times New Roman" w:cs="Times New Roman"/>
          <w:sz w:val="24"/>
          <w:szCs w:val="24"/>
          <w:shd w:val="clear" w:color="auto" w:fill="FFFFFF"/>
        </w:rPr>
        <w:t>https://orcid.org/0000-0003-4101-2430</w:t>
      </w:r>
    </w:p>
    <w:p w14:paraId="12F89DA2" w14:textId="66C403ED" w:rsidR="002815E8" w:rsidRPr="0091107A" w:rsidRDefault="002325CC" w:rsidP="00442964">
      <w:pPr>
        <w:suppressLineNumbers/>
        <w:spacing w:line="240" w:lineRule="auto"/>
        <w:jc w:val="both"/>
        <w:rPr>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Jaideep </w:t>
      </w:r>
      <w:proofErr w:type="spellStart"/>
      <w:r w:rsidRPr="0091107A">
        <w:rPr>
          <w:rFonts w:ascii="Times New Roman" w:hAnsi="Times New Roman" w:cs="Times New Roman"/>
          <w:sz w:val="24"/>
          <w:szCs w:val="24"/>
        </w:rPr>
        <w:t>Kapur</w:t>
      </w:r>
      <w:proofErr w:type="spellEnd"/>
      <w:r w:rsidRPr="0091107A">
        <w:rPr>
          <w:rFonts w:ascii="Times New Roman" w:hAnsi="Times New Roman" w:cs="Times New Roman"/>
          <w:sz w:val="24"/>
          <w:szCs w:val="24"/>
        </w:rPr>
        <w:t xml:space="preserve">: </w:t>
      </w:r>
      <w:hyperlink r:id="rId11" w:history="1">
        <w:r w:rsidR="002815E8" w:rsidRPr="0091107A">
          <w:rPr>
            <w:rStyle w:val="Hyperlink"/>
            <w:rFonts w:ascii="Times New Roman" w:hAnsi="Times New Roman" w:cs="Times New Roman"/>
            <w:color w:val="auto"/>
            <w:sz w:val="24"/>
            <w:szCs w:val="24"/>
            <w:u w:val="none"/>
            <w:shd w:val="clear" w:color="auto" w:fill="FFFFFF"/>
          </w:rPr>
          <w:t>https://orcid.org/0000-0002-8608-1352</w:t>
        </w:r>
      </w:hyperlink>
    </w:p>
    <w:p w14:paraId="09A1FD1E" w14:textId="1347D164" w:rsidR="002815E8" w:rsidRPr="0091107A" w:rsidRDefault="002815E8" w:rsidP="00442964">
      <w:pPr>
        <w:suppressLineNumbers/>
        <w:spacing w:line="240" w:lineRule="auto"/>
        <w:jc w:val="both"/>
        <w:rPr>
          <w:rFonts w:ascii="Times New Roman" w:hAnsi="Times New Roman" w:cs="Times New Roman"/>
          <w:sz w:val="24"/>
          <w:szCs w:val="24"/>
          <w:shd w:val="clear" w:color="auto" w:fill="FFFFFF"/>
        </w:rPr>
      </w:pPr>
      <w:r w:rsidRPr="0091107A">
        <w:rPr>
          <w:rFonts w:ascii="Times New Roman" w:hAnsi="Times New Roman" w:cs="Times New Roman"/>
          <w:sz w:val="24"/>
          <w:szCs w:val="24"/>
        </w:rPr>
        <w:t>Hannah R</w:t>
      </w:r>
      <w:r w:rsidR="006301E3" w:rsidRPr="0091107A">
        <w:rPr>
          <w:rFonts w:ascii="Times New Roman" w:hAnsi="Times New Roman" w:cs="Times New Roman"/>
          <w:sz w:val="24"/>
          <w:szCs w:val="24"/>
        </w:rPr>
        <w:t>.</w:t>
      </w:r>
      <w:r w:rsidRPr="0091107A">
        <w:rPr>
          <w:rFonts w:ascii="Times New Roman" w:hAnsi="Times New Roman" w:cs="Times New Roman"/>
          <w:sz w:val="24"/>
          <w:szCs w:val="24"/>
        </w:rPr>
        <w:t xml:space="preserve"> Cock: </w:t>
      </w:r>
      <w:hyperlink r:id="rId12" w:history="1">
        <w:r w:rsidRPr="0091107A">
          <w:rPr>
            <w:rStyle w:val="Hyperlink"/>
            <w:rFonts w:ascii="Times New Roman" w:hAnsi="Times New Roman" w:cs="Times New Roman"/>
            <w:color w:val="auto"/>
            <w:sz w:val="24"/>
            <w:szCs w:val="24"/>
            <w:u w:val="none"/>
            <w:shd w:val="clear" w:color="auto" w:fill="FFFFFF"/>
          </w:rPr>
          <w:t>https://orcid.org/0000-0002-5656-0141</w:t>
        </w:r>
      </w:hyperlink>
    </w:p>
    <w:p w14:paraId="5B18FBF7" w14:textId="69AB838B" w:rsidR="0091107A" w:rsidRPr="0091107A" w:rsidRDefault="0091107A" w:rsidP="00442964">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Nathan B. Fountain: https://orcid.org/</w:t>
      </w:r>
      <w:r w:rsidRPr="0091107A">
        <w:rPr>
          <w:rFonts w:ascii="Times New Roman" w:hAnsi="Times New Roman" w:cs="Times New Roman"/>
          <w:sz w:val="24"/>
          <w:szCs w:val="24"/>
          <w:shd w:val="clear" w:color="auto" w:fill="FFFFFF"/>
        </w:rPr>
        <w:t xml:space="preserve"> 0000-0003-2058-0308</w:t>
      </w:r>
    </w:p>
    <w:p w14:paraId="455AD441" w14:textId="6813CFD5" w:rsidR="002815E8" w:rsidRPr="0091107A" w:rsidRDefault="002815E8" w:rsidP="00442964">
      <w:pPr>
        <w:suppressLineNumbers/>
        <w:spacing w:line="240" w:lineRule="auto"/>
        <w:jc w:val="both"/>
        <w:rPr>
          <w:rFonts w:ascii="Times New Roman" w:hAnsi="Times New Roman" w:cs="Times New Roman"/>
          <w:sz w:val="24"/>
          <w:szCs w:val="24"/>
        </w:rPr>
      </w:pPr>
      <w:proofErr w:type="spellStart"/>
      <w:r w:rsidRPr="0091107A">
        <w:rPr>
          <w:rFonts w:ascii="Times New Roman" w:hAnsi="Times New Roman" w:cs="Times New Roman"/>
          <w:sz w:val="24"/>
          <w:szCs w:val="24"/>
        </w:rPr>
        <w:t>Shlomo</w:t>
      </w:r>
      <w:proofErr w:type="spellEnd"/>
      <w:r w:rsidRPr="0091107A">
        <w:rPr>
          <w:rFonts w:ascii="Times New Roman" w:hAnsi="Times New Roman" w:cs="Times New Roman"/>
          <w:sz w:val="24"/>
          <w:szCs w:val="24"/>
        </w:rPr>
        <w:t xml:space="preserve"> </w:t>
      </w:r>
      <w:proofErr w:type="spellStart"/>
      <w:r w:rsidRPr="0091107A">
        <w:rPr>
          <w:rFonts w:ascii="Times New Roman" w:hAnsi="Times New Roman" w:cs="Times New Roman"/>
          <w:sz w:val="24"/>
          <w:szCs w:val="24"/>
        </w:rPr>
        <w:t>Shinnar</w:t>
      </w:r>
      <w:proofErr w:type="spellEnd"/>
      <w:r w:rsidRPr="0091107A">
        <w:rPr>
          <w:rFonts w:ascii="Times New Roman" w:hAnsi="Times New Roman" w:cs="Times New Roman"/>
          <w:sz w:val="24"/>
          <w:szCs w:val="24"/>
        </w:rPr>
        <w:t xml:space="preserve">: </w:t>
      </w:r>
      <w:r w:rsidRPr="0091107A">
        <w:rPr>
          <w:rStyle w:val="orcid-id-https"/>
          <w:rFonts w:ascii="Times New Roman" w:hAnsi="Times New Roman" w:cs="Times New Roman"/>
          <w:sz w:val="24"/>
          <w:szCs w:val="24"/>
          <w:shd w:val="clear" w:color="auto" w:fill="FFFFFF"/>
        </w:rPr>
        <w:t>https://orcid.org/0000-0001-6714-3960</w:t>
      </w:r>
    </w:p>
    <w:p w14:paraId="369D3BE8" w14:textId="2E9141E1" w:rsidR="003C604A" w:rsidRPr="0091107A" w:rsidRDefault="002325CC" w:rsidP="00442964">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Daniel H. Lowenstein</w:t>
      </w:r>
      <w:r w:rsidR="002815E8" w:rsidRPr="0091107A">
        <w:rPr>
          <w:rFonts w:ascii="Times New Roman" w:hAnsi="Times New Roman" w:cs="Times New Roman"/>
          <w:sz w:val="24"/>
          <w:szCs w:val="24"/>
        </w:rPr>
        <w:t>:</w:t>
      </w:r>
      <w:r w:rsidRPr="0091107A">
        <w:rPr>
          <w:rFonts w:ascii="Times New Roman" w:hAnsi="Times New Roman" w:cs="Times New Roman"/>
          <w:sz w:val="24"/>
          <w:szCs w:val="24"/>
        </w:rPr>
        <w:t xml:space="preserve"> </w:t>
      </w:r>
      <w:r w:rsidRPr="0091107A">
        <w:rPr>
          <w:rStyle w:val="orcid-id-https"/>
          <w:rFonts w:ascii="Times New Roman" w:hAnsi="Times New Roman" w:cs="Times New Roman"/>
          <w:sz w:val="24"/>
          <w:szCs w:val="24"/>
          <w:shd w:val="clear" w:color="auto" w:fill="FFFFFF"/>
        </w:rPr>
        <w:t>https://orcid.org/0000-0002-5869-4020</w:t>
      </w:r>
    </w:p>
    <w:p w14:paraId="5A66AC0E" w14:textId="568B45BD" w:rsidR="00286D69" w:rsidRPr="0091107A" w:rsidRDefault="00286D69" w:rsidP="00442964">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 xml:space="preserve">Thomas P. </w:t>
      </w:r>
      <w:proofErr w:type="spellStart"/>
      <w:r w:rsidRPr="0091107A">
        <w:rPr>
          <w:rFonts w:ascii="Times New Roman" w:hAnsi="Times New Roman" w:cs="Times New Roman"/>
          <w:sz w:val="24"/>
          <w:szCs w:val="24"/>
        </w:rPr>
        <w:t>Bleck</w:t>
      </w:r>
      <w:proofErr w:type="spellEnd"/>
      <w:r w:rsidRPr="0091107A">
        <w:rPr>
          <w:rFonts w:ascii="Times New Roman" w:hAnsi="Times New Roman" w:cs="Times New Roman"/>
          <w:sz w:val="24"/>
          <w:szCs w:val="24"/>
        </w:rPr>
        <w:t>: https://orcid.org/</w:t>
      </w:r>
      <w:r w:rsidRPr="0091107A">
        <w:rPr>
          <w:rFonts w:ascii="Times New Roman" w:hAnsi="Times New Roman" w:cs="Times New Roman"/>
          <w:sz w:val="24"/>
          <w:szCs w:val="24"/>
          <w:shd w:val="clear" w:color="auto" w:fill="FFFFFF"/>
        </w:rPr>
        <w:t>0000-0002-8267-9787</w:t>
      </w:r>
    </w:p>
    <w:p w14:paraId="230CFC6F" w14:textId="5D4A3BD1" w:rsidR="00AF094A" w:rsidRPr="00F41BFD" w:rsidRDefault="002815E8" w:rsidP="00F41BFD">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 xml:space="preserve">Lisa D. Coles: </w:t>
      </w:r>
      <w:r w:rsidRPr="0091107A">
        <w:rPr>
          <w:rStyle w:val="orcid-id-https"/>
          <w:rFonts w:ascii="Times New Roman" w:hAnsi="Times New Roman" w:cs="Times New Roman"/>
          <w:sz w:val="24"/>
          <w:szCs w:val="24"/>
          <w:shd w:val="clear" w:color="auto" w:fill="FFFFFF"/>
        </w:rPr>
        <w:t>https://orcid.org/0000-0003-3613-9904</w:t>
      </w:r>
    </w:p>
    <w:p w14:paraId="5751402A" w14:textId="77777777" w:rsidR="00C90052" w:rsidRDefault="00C90052" w:rsidP="00C90052">
      <w:pPr>
        <w:suppressLineNumbers/>
        <w:spacing w:line="480" w:lineRule="auto"/>
        <w:jc w:val="both"/>
        <w:rPr>
          <w:rFonts w:ascii="Times New Roman" w:hAnsi="Times New Roman" w:cs="Times New Roman"/>
          <w:b/>
          <w:color w:val="000000" w:themeColor="text1"/>
          <w:sz w:val="24"/>
          <w:szCs w:val="24"/>
        </w:rPr>
      </w:pPr>
    </w:p>
    <w:p w14:paraId="6F7BF586" w14:textId="64BA3A08" w:rsidR="004D144F" w:rsidRPr="009850A5" w:rsidRDefault="00FF1915" w:rsidP="00C90052">
      <w:pPr>
        <w:suppressLineNumbers/>
        <w:spacing w:line="480" w:lineRule="auto"/>
        <w:jc w:val="both"/>
        <w:rPr>
          <w:rFonts w:ascii="Times New Roman" w:hAnsi="Times New Roman" w:cs="Times New Roman"/>
          <w:b/>
          <w:color w:val="000000" w:themeColor="text1"/>
          <w:sz w:val="24"/>
          <w:szCs w:val="24"/>
          <w:lang w:val="da-DK"/>
        </w:rPr>
      </w:pPr>
      <w:r w:rsidRPr="009850A5">
        <w:rPr>
          <w:rFonts w:ascii="Times New Roman" w:hAnsi="Times New Roman" w:cs="Times New Roman"/>
          <w:b/>
          <w:color w:val="000000" w:themeColor="text1"/>
          <w:sz w:val="24"/>
          <w:szCs w:val="24"/>
          <w:lang w:val="da-DK"/>
        </w:rPr>
        <w:t>REFERENCES</w:t>
      </w:r>
    </w:p>
    <w:p w14:paraId="57CBBF36" w14:textId="4278701A" w:rsidR="00241087" w:rsidRPr="00B90668" w:rsidRDefault="00AC51D4"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color w:val="000000" w:themeColor="text1"/>
          <w:sz w:val="24"/>
          <w:szCs w:val="24"/>
        </w:rPr>
        <w:fldChar w:fldCharType="begin" w:fldLock="1"/>
      </w:r>
      <w:r w:rsidRPr="009850A5">
        <w:rPr>
          <w:rFonts w:ascii="Times New Roman" w:hAnsi="Times New Roman" w:cs="Times New Roman"/>
          <w:color w:val="000000" w:themeColor="text1"/>
          <w:sz w:val="24"/>
          <w:szCs w:val="24"/>
          <w:lang w:val="da-DK"/>
        </w:rPr>
        <w:instrText xml:space="preserve">ADDIN Mendeley Bibliography CSL_BIBLIOGRAPHY </w:instrText>
      </w:r>
      <w:r w:rsidRPr="00B90668">
        <w:rPr>
          <w:rFonts w:ascii="Times New Roman" w:hAnsi="Times New Roman" w:cs="Times New Roman"/>
          <w:color w:val="000000" w:themeColor="text1"/>
          <w:sz w:val="24"/>
          <w:szCs w:val="24"/>
        </w:rPr>
        <w:fldChar w:fldCharType="separate"/>
      </w:r>
      <w:r w:rsidR="00241087" w:rsidRPr="009850A5">
        <w:rPr>
          <w:rFonts w:ascii="Times New Roman" w:hAnsi="Times New Roman" w:cs="Times New Roman"/>
          <w:noProof/>
          <w:sz w:val="24"/>
          <w:szCs w:val="24"/>
          <w:lang w:val="da-DK"/>
        </w:rPr>
        <w:t xml:space="preserve">1. </w:t>
      </w:r>
      <w:r w:rsidR="00241087" w:rsidRPr="009850A5">
        <w:rPr>
          <w:rFonts w:ascii="Times New Roman" w:hAnsi="Times New Roman" w:cs="Times New Roman"/>
          <w:noProof/>
          <w:sz w:val="24"/>
          <w:szCs w:val="24"/>
          <w:lang w:val="da-DK"/>
        </w:rPr>
        <w:tab/>
        <w:t xml:space="preserve">Kapur J, Elm J, Chamberlain JM, et al. </w:t>
      </w:r>
      <w:r w:rsidR="00241087" w:rsidRPr="00B90668">
        <w:rPr>
          <w:rFonts w:ascii="Times New Roman" w:hAnsi="Times New Roman" w:cs="Times New Roman"/>
          <w:noProof/>
          <w:sz w:val="24"/>
          <w:szCs w:val="24"/>
        </w:rPr>
        <w:t xml:space="preserve">Randomized Trial of Three Anticonvulsant Medications for Status Epilepticus. N Engl J Med. 2019; 381(22):2103–13. </w:t>
      </w:r>
    </w:p>
    <w:p w14:paraId="3E734C5D"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9850A5">
        <w:rPr>
          <w:rFonts w:ascii="Times New Roman" w:hAnsi="Times New Roman" w:cs="Times New Roman"/>
          <w:noProof/>
          <w:sz w:val="24"/>
          <w:szCs w:val="24"/>
          <w:lang w:val="da-DK"/>
        </w:rPr>
        <w:t xml:space="preserve">2. </w:t>
      </w:r>
      <w:r w:rsidRPr="009850A5">
        <w:rPr>
          <w:rFonts w:ascii="Times New Roman" w:hAnsi="Times New Roman" w:cs="Times New Roman"/>
          <w:noProof/>
          <w:sz w:val="24"/>
          <w:szCs w:val="24"/>
          <w:lang w:val="da-DK"/>
        </w:rPr>
        <w:tab/>
        <w:t xml:space="preserve">Cock HR, Coles LD, Elm J, et al. </w:t>
      </w:r>
      <w:r w:rsidRPr="00B90668">
        <w:rPr>
          <w:rFonts w:ascii="Times New Roman" w:hAnsi="Times New Roman" w:cs="Times New Roman"/>
          <w:noProof/>
          <w:sz w:val="24"/>
          <w:szCs w:val="24"/>
        </w:rPr>
        <w:t xml:space="preserve">Lessons from the Established Status Epilepticus Treatment Trial. Epilepsy Behav. 2019; 101(2019):106296. </w:t>
      </w:r>
    </w:p>
    <w:p w14:paraId="68456C24"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noProof/>
          <w:sz w:val="24"/>
          <w:szCs w:val="24"/>
        </w:rPr>
        <w:t xml:space="preserve">3. </w:t>
      </w:r>
      <w:r w:rsidRPr="00B90668">
        <w:rPr>
          <w:rFonts w:ascii="Times New Roman" w:hAnsi="Times New Roman" w:cs="Times New Roman"/>
          <w:noProof/>
          <w:sz w:val="24"/>
          <w:szCs w:val="24"/>
        </w:rPr>
        <w:tab/>
        <w:t xml:space="preserve">CEREBYX®(fosphenytoin sodium injection)[package insert]. New York, NY: Pfizer Injectables; 2015. :1–22. </w:t>
      </w:r>
    </w:p>
    <w:p w14:paraId="4A52918C"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9850A5">
        <w:rPr>
          <w:rFonts w:ascii="Times New Roman" w:hAnsi="Times New Roman" w:cs="Times New Roman"/>
          <w:noProof/>
          <w:sz w:val="24"/>
          <w:szCs w:val="24"/>
          <w:lang w:val="da-DK"/>
        </w:rPr>
        <w:t xml:space="preserve">4. </w:t>
      </w:r>
      <w:r w:rsidRPr="009850A5">
        <w:rPr>
          <w:rFonts w:ascii="Times New Roman" w:hAnsi="Times New Roman" w:cs="Times New Roman"/>
          <w:noProof/>
          <w:sz w:val="24"/>
          <w:szCs w:val="24"/>
          <w:lang w:val="da-DK"/>
        </w:rPr>
        <w:tab/>
        <w:t xml:space="preserve">Tanaka J, Kasai H, Shimizu K, et al. </w:t>
      </w:r>
      <w:r w:rsidRPr="00B90668">
        <w:rPr>
          <w:rFonts w:ascii="Times New Roman" w:hAnsi="Times New Roman" w:cs="Times New Roman"/>
          <w:noProof/>
          <w:sz w:val="24"/>
          <w:szCs w:val="24"/>
        </w:rPr>
        <w:t xml:space="preserve">Population pharmacokinetics of phenytoin after </w:t>
      </w:r>
      <w:r w:rsidRPr="00B90668">
        <w:rPr>
          <w:rFonts w:ascii="Times New Roman" w:hAnsi="Times New Roman" w:cs="Times New Roman"/>
          <w:noProof/>
          <w:sz w:val="24"/>
          <w:szCs w:val="24"/>
        </w:rPr>
        <w:lastRenderedPageBreak/>
        <w:t xml:space="preserve">intravenous administration of fosphenytoin sodium in pediatric patients, adult patients, and healthy volunteers. Eur J Clin Pharmacol. 2013; 69(3):489–97. </w:t>
      </w:r>
    </w:p>
    <w:p w14:paraId="5CA673FC"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noProof/>
          <w:sz w:val="24"/>
          <w:szCs w:val="24"/>
        </w:rPr>
        <w:t xml:space="preserve">5. </w:t>
      </w:r>
      <w:r w:rsidRPr="00B90668">
        <w:rPr>
          <w:rFonts w:ascii="Times New Roman" w:hAnsi="Times New Roman" w:cs="Times New Roman"/>
          <w:noProof/>
          <w:sz w:val="24"/>
          <w:szCs w:val="24"/>
        </w:rPr>
        <w:tab/>
        <w:t xml:space="preserve">Uges JWF, Van Huizen MD, Engelsman J, et al. Safety and pharmacokinetics of intravenous levetiracetam infusion as add-on in status epilepticus. Epilepsia. 2009; 50(3):415–21. </w:t>
      </w:r>
    </w:p>
    <w:p w14:paraId="78BC795D"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noProof/>
          <w:sz w:val="24"/>
          <w:szCs w:val="24"/>
        </w:rPr>
        <w:t xml:space="preserve">6. </w:t>
      </w:r>
      <w:r w:rsidRPr="00B90668">
        <w:rPr>
          <w:rFonts w:ascii="Times New Roman" w:hAnsi="Times New Roman" w:cs="Times New Roman"/>
          <w:noProof/>
          <w:sz w:val="24"/>
          <w:szCs w:val="24"/>
        </w:rPr>
        <w:tab/>
        <w:t xml:space="preserve">Park HM, Kang SS, Lee YB, et al. Population pharmacokinetics of intravenous valproic acid in Korean patients. J Clin Pharm Ther. 2002; 27(6):419–25. </w:t>
      </w:r>
    </w:p>
    <w:p w14:paraId="7188D76C"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noProof/>
          <w:sz w:val="24"/>
          <w:szCs w:val="24"/>
        </w:rPr>
        <w:t xml:space="preserve">7. </w:t>
      </w:r>
      <w:r w:rsidRPr="00B90668">
        <w:rPr>
          <w:rFonts w:ascii="Times New Roman" w:hAnsi="Times New Roman" w:cs="Times New Roman"/>
          <w:noProof/>
          <w:sz w:val="24"/>
          <w:szCs w:val="24"/>
        </w:rPr>
        <w:tab/>
        <w:t xml:space="preserve">Clark SL, Leloux MR, Dierkhising RA, et al. IV fosphenytoin in obese patients. Neurol Clin Pract. 2017; 7(1):45–52. </w:t>
      </w:r>
    </w:p>
    <w:p w14:paraId="29BD4724" w14:textId="77777777" w:rsidR="00241087" w:rsidRPr="009850A5"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lang w:val="es-ES"/>
        </w:rPr>
      </w:pPr>
      <w:r w:rsidRPr="00B90668">
        <w:rPr>
          <w:rFonts w:ascii="Times New Roman" w:hAnsi="Times New Roman" w:cs="Times New Roman"/>
          <w:noProof/>
          <w:sz w:val="24"/>
          <w:szCs w:val="24"/>
        </w:rPr>
        <w:t xml:space="preserve">8. </w:t>
      </w:r>
      <w:r w:rsidRPr="00B90668">
        <w:rPr>
          <w:rFonts w:ascii="Times New Roman" w:hAnsi="Times New Roman" w:cs="Times New Roman"/>
          <w:noProof/>
          <w:sz w:val="24"/>
          <w:szCs w:val="24"/>
        </w:rPr>
        <w:tab/>
        <w:t xml:space="preserve">Abernethy DR, Greenblatt DJ. Phenytoin Disposition in Obesity: Determination of Loading Dose. </w:t>
      </w:r>
      <w:r w:rsidRPr="009850A5">
        <w:rPr>
          <w:rFonts w:ascii="Times New Roman" w:hAnsi="Times New Roman" w:cs="Times New Roman"/>
          <w:noProof/>
          <w:sz w:val="24"/>
          <w:szCs w:val="24"/>
          <w:lang w:val="es-ES"/>
        </w:rPr>
        <w:t xml:space="preserve">Arch Neurol. 1985; 42(5):468–71. </w:t>
      </w:r>
    </w:p>
    <w:p w14:paraId="5D5F0220"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9850A5">
        <w:rPr>
          <w:rFonts w:ascii="Times New Roman" w:hAnsi="Times New Roman" w:cs="Times New Roman"/>
          <w:noProof/>
          <w:sz w:val="24"/>
          <w:szCs w:val="24"/>
          <w:lang w:val="es-ES"/>
        </w:rPr>
        <w:t xml:space="preserve">9. </w:t>
      </w:r>
      <w:r w:rsidRPr="009850A5">
        <w:rPr>
          <w:rFonts w:ascii="Times New Roman" w:hAnsi="Times New Roman" w:cs="Times New Roman"/>
          <w:noProof/>
          <w:sz w:val="24"/>
          <w:szCs w:val="24"/>
          <w:lang w:val="es-ES"/>
        </w:rPr>
        <w:tab/>
        <w:t xml:space="preserve">Kuranari M, Chiba S, Ashikari Y, et al. </w:t>
      </w:r>
      <w:r w:rsidRPr="00B90668">
        <w:rPr>
          <w:rFonts w:ascii="Times New Roman" w:hAnsi="Times New Roman" w:cs="Times New Roman"/>
          <w:noProof/>
          <w:sz w:val="24"/>
          <w:szCs w:val="24"/>
        </w:rPr>
        <w:t xml:space="preserve">Clearance of phenytoin and valproic acid is affected by a small body weight reduction in an epileptic obese patient: A case study. J Clin Pharm Ther. 1996; 21(2):83–7. </w:t>
      </w:r>
    </w:p>
    <w:p w14:paraId="20E15B7F" w14:textId="77777777" w:rsidR="00241087" w:rsidRPr="00B90668" w:rsidRDefault="00241087" w:rsidP="00C90052">
      <w:pPr>
        <w:widowControl w:val="0"/>
        <w:suppressLineNumbers/>
        <w:autoSpaceDE w:val="0"/>
        <w:autoSpaceDN w:val="0"/>
        <w:adjustRightInd w:val="0"/>
        <w:spacing w:line="480" w:lineRule="auto"/>
        <w:ind w:left="640" w:hanging="640"/>
        <w:rPr>
          <w:rFonts w:ascii="Times New Roman" w:hAnsi="Times New Roman" w:cs="Times New Roman"/>
          <w:noProof/>
          <w:sz w:val="24"/>
          <w:szCs w:val="24"/>
        </w:rPr>
      </w:pPr>
      <w:r w:rsidRPr="00B90668">
        <w:rPr>
          <w:rFonts w:ascii="Times New Roman" w:hAnsi="Times New Roman" w:cs="Times New Roman"/>
          <w:noProof/>
          <w:sz w:val="24"/>
          <w:szCs w:val="24"/>
        </w:rPr>
        <w:t xml:space="preserve">10. </w:t>
      </w:r>
      <w:r w:rsidRPr="00B90668">
        <w:rPr>
          <w:rFonts w:ascii="Times New Roman" w:hAnsi="Times New Roman" w:cs="Times New Roman"/>
          <w:noProof/>
          <w:sz w:val="24"/>
          <w:szCs w:val="24"/>
        </w:rPr>
        <w:tab/>
        <w:t xml:space="preserve">Alzueta N, Ortega A, Aldaz A. Influence of sex, age, and weight on levetiracetam pharmacokinetics. Ther Drug Monit. 2018; 40(5):628–34. </w:t>
      </w:r>
    </w:p>
    <w:p w14:paraId="4FC4712F" w14:textId="1A892B14" w:rsidR="00D24BFC" w:rsidRPr="00FD30A6" w:rsidRDefault="00AC51D4" w:rsidP="00D24BFC">
      <w:pPr>
        <w:jc w:val="center"/>
        <w:rPr>
          <w:rFonts w:ascii="Times New Roman" w:hAnsi="Times New Roman" w:cs="Times New Roman"/>
          <w:sz w:val="24"/>
          <w:szCs w:val="24"/>
        </w:rPr>
      </w:pPr>
      <w:r w:rsidRPr="00B90668">
        <w:rPr>
          <w:rFonts w:ascii="Times New Roman" w:hAnsi="Times New Roman" w:cs="Times New Roman"/>
          <w:color w:val="000000" w:themeColor="text1"/>
          <w:sz w:val="24"/>
          <w:szCs w:val="24"/>
        </w:rPr>
        <w:fldChar w:fldCharType="end"/>
      </w:r>
      <w:r w:rsidR="00D24BFC" w:rsidRPr="00D24BFC">
        <w:rPr>
          <w:rFonts w:ascii="Times New Roman" w:hAnsi="Times New Roman" w:cs="Times New Roman"/>
          <w:b/>
          <w:sz w:val="24"/>
          <w:szCs w:val="24"/>
        </w:rPr>
        <w:t xml:space="preserve"> </w:t>
      </w:r>
      <w:r w:rsidR="00D24BFC" w:rsidRPr="00171E26">
        <w:rPr>
          <w:rFonts w:ascii="Times New Roman" w:hAnsi="Times New Roman" w:cs="Times New Roman"/>
          <w:b/>
          <w:sz w:val="24"/>
          <w:szCs w:val="24"/>
        </w:rPr>
        <w:t xml:space="preserve">Table </w:t>
      </w:r>
      <w:r w:rsidR="00D24BFC">
        <w:rPr>
          <w:rFonts w:ascii="Times New Roman" w:hAnsi="Times New Roman" w:cs="Times New Roman"/>
          <w:b/>
          <w:sz w:val="24"/>
          <w:szCs w:val="24"/>
        </w:rPr>
        <w:t>1</w:t>
      </w:r>
      <w:r w:rsidR="00D24BFC" w:rsidRPr="00171E26">
        <w:rPr>
          <w:rFonts w:ascii="Times New Roman" w:hAnsi="Times New Roman" w:cs="Times New Roman"/>
          <w:b/>
          <w:sz w:val="24"/>
          <w:szCs w:val="24"/>
        </w:rPr>
        <w:t xml:space="preserve">: </w:t>
      </w:r>
      <w:r w:rsidR="00D24BFC" w:rsidRPr="00171E26">
        <w:rPr>
          <w:rFonts w:ascii="Times New Roman" w:hAnsi="Times New Roman" w:cs="Times New Roman"/>
          <w:sz w:val="24"/>
          <w:szCs w:val="24"/>
        </w:rPr>
        <w:t>Logistic regression model</w:t>
      </w:r>
      <w:r w:rsidR="00D24BFC">
        <w:rPr>
          <w:rFonts w:ascii="Times New Roman" w:hAnsi="Times New Roman" w:cs="Times New Roman"/>
          <w:sz w:val="24"/>
          <w:szCs w:val="24"/>
        </w:rPr>
        <w:t>s</w:t>
      </w:r>
      <w:r w:rsidR="00D24BFC" w:rsidRPr="00171E26">
        <w:rPr>
          <w:rFonts w:ascii="Times New Roman" w:hAnsi="Times New Roman" w:cs="Times New Roman"/>
          <w:sz w:val="24"/>
          <w:szCs w:val="24"/>
        </w:rPr>
        <w:t xml:space="preserve"> </w:t>
      </w:r>
      <w:r w:rsidR="00D24BFC">
        <w:rPr>
          <w:rFonts w:ascii="Times New Roman" w:hAnsi="Times New Roman" w:cs="Times New Roman"/>
          <w:sz w:val="24"/>
          <w:szCs w:val="24"/>
        </w:rPr>
        <w:t xml:space="preserve">of the probability of success using weight, </w:t>
      </w:r>
      <w:proofErr w:type="gramStart"/>
      <w:r w:rsidR="00D24BFC">
        <w:rPr>
          <w:rFonts w:ascii="Times New Roman" w:hAnsi="Times New Roman" w:cs="Times New Roman"/>
          <w:sz w:val="24"/>
          <w:szCs w:val="24"/>
        </w:rPr>
        <w:t>treatment</w:t>
      </w:r>
      <w:proofErr w:type="gramEnd"/>
      <w:r w:rsidR="00D24BFC">
        <w:rPr>
          <w:rFonts w:ascii="Times New Roman" w:hAnsi="Times New Roman" w:cs="Times New Roman"/>
          <w:sz w:val="24"/>
          <w:szCs w:val="24"/>
        </w:rPr>
        <w:t xml:space="preserve"> and sex with all interactions (weight ≤ 75 kg as reference group) (n=235)</w:t>
      </w:r>
    </w:p>
    <w:tbl>
      <w:tblPr>
        <w:tblStyle w:val="TableGrid"/>
        <w:tblW w:w="10275" w:type="dxa"/>
        <w:jc w:val="center"/>
        <w:tblLook w:val="04A0" w:firstRow="1" w:lastRow="0" w:firstColumn="1" w:lastColumn="0" w:noHBand="0" w:noVBand="1"/>
      </w:tblPr>
      <w:tblGrid>
        <w:gridCol w:w="1307"/>
        <w:gridCol w:w="1589"/>
        <w:gridCol w:w="1043"/>
        <w:gridCol w:w="2948"/>
        <w:gridCol w:w="3388"/>
      </w:tblGrid>
      <w:tr w:rsidR="00D24BFC" w:rsidRPr="00171E26" w14:paraId="21729612" w14:textId="77777777" w:rsidTr="00C91744">
        <w:trPr>
          <w:trHeight w:val="820"/>
          <w:jc w:val="center"/>
        </w:trPr>
        <w:tc>
          <w:tcPr>
            <w:tcW w:w="1325" w:type="dxa"/>
            <w:vAlign w:val="center"/>
          </w:tcPr>
          <w:p w14:paraId="3E3705EB" w14:textId="77777777" w:rsidR="00D24BFC" w:rsidRPr="00171E26" w:rsidRDefault="00D24BFC" w:rsidP="00C91744">
            <w:pPr>
              <w:jc w:val="center"/>
              <w:rPr>
                <w:rFonts w:ascii="Times New Roman" w:hAnsi="Times New Roman" w:cs="Times New Roman"/>
                <w:b/>
                <w:sz w:val="24"/>
                <w:szCs w:val="24"/>
              </w:rPr>
            </w:pPr>
            <w:r>
              <w:rPr>
                <w:rFonts w:ascii="Times New Roman" w:hAnsi="Times New Roman" w:cs="Times New Roman"/>
                <w:b/>
                <w:sz w:val="24"/>
                <w:szCs w:val="24"/>
              </w:rPr>
              <w:t>Weight-group</w:t>
            </w:r>
          </w:p>
        </w:tc>
        <w:tc>
          <w:tcPr>
            <w:tcW w:w="1309" w:type="dxa"/>
            <w:vAlign w:val="center"/>
          </w:tcPr>
          <w:p w14:paraId="5FEAED26" w14:textId="77777777" w:rsidR="00D24BFC" w:rsidRDefault="00D24BFC" w:rsidP="00C91744">
            <w:pPr>
              <w:jc w:val="center"/>
              <w:rPr>
                <w:rFonts w:ascii="Times New Roman" w:hAnsi="Times New Roman" w:cs="Times New Roman"/>
                <w:b/>
                <w:sz w:val="24"/>
                <w:szCs w:val="24"/>
              </w:rPr>
            </w:pPr>
            <w:r>
              <w:rPr>
                <w:rFonts w:ascii="Times New Roman" w:hAnsi="Times New Roman" w:cs="Times New Roman"/>
                <w:b/>
                <w:sz w:val="24"/>
                <w:szCs w:val="24"/>
              </w:rPr>
              <w:t>Treatment</w:t>
            </w:r>
          </w:p>
        </w:tc>
        <w:tc>
          <w:tcPr>
            <w:tcW w:w="1051" w:type="dxa"/>
            <w:vAlign w:val="center"/>
          </w:tcPr>
          <w:p w14:paraId="5298B068" w14:textId="77777777" w:rsidR="00D24BFC" w:rsidRDefault="00D24BFC" w:rsidP="00C91744">
            <w:pPr>
              <w:jc w:val="center"/>
              <w:rPr>
                <w:rFonts w:ascii="Times New Roman" w:hAnsi="Times New Roman" w:cs="Times New Roman"/>
                <w:b/>
                <w:sz w:val="24"/>
                <w:szCs w:val="24"/>
              </w:rPr>
            </w:pPr>
            <w:r>
              <w:rPr>
                <w:rFonts w:ascii="Times New Roman" w:hAnsi="Times New Roman" w:cs="Times New Roman"/>
                <w:b/>
                <w:sz w:val="24"/>
                <w:szCs w:val="24"/>
              </w:rPr>
              <w:t>Sex</w:t>
            </w:r>
          </w:p>
        </w:tc>
        <w:tc>
          <w:tcPr>
            <w:tcW w:w="3060" w:type="dxa"/>
            <w:vAlign w:val="center"/>
          </w:tcPr>
          <w:p w14:paraId="46B46B4F" w14:textId="77777777" w:rsidR="00D24BFC" w:rsidRPr="005D3B74" w:rsidRDefault="00D24BFC" w:rsidP="00C91744">
            <w:pPr>
              <w:jc w:val="center"/>
              <w:rPr>
                <w:rFonts w:ascii="Times New Roman" w:hAnsi="Times New Roman" w:cs="Times New Roman"/>
                <w:b/>
                <w:i/>
                <w:iCs/>
                <w:sz w:val="24"/>
                <w:szCs w:val="24"/>
              </w:rPr>
            </w:pPr>
            <w:r w:rsidRPr="005D3B74">
              <w:rPr>
                <w:rFonts w:ascii="Times New Roman" w:hAnsi="Times New Roman" w:cs="Times New Roman"/>
                <w:b/>
                <w:i/>
                <w:iCs/>
                <w:sz w:val="24"/>
                <w:szCs w:val="24"/>
              </w:rPr>
              <w:t xml:space="preserve">Using </w:t>
            </w:r>
            <w:r>
              <w:rPr>
                <w:rFonts w:ascii="Times New Roman" w:hAnsi="Times New Roman" w:cs="Times New Roman"/>
                <w:b/>
                <w:i/>
                <w:iCs/>
                <w:sz w:val="24"/>
                <w:szCs w:val="24"/>
              </w:rPr>
              <w:t>p</w:t>
            </w:r>
            <w:r w:rsidRPr="005D3B74">
              <w:rPr>
                <w:rFonts w:ascii="Times New Roman" w:hAnsi="Times New Roman" w:cs="Times New Roman"/>
                <w:b/>
                <w:i/>
                <w:iCs/>
                <w:sz w:val="24"/>
                <w:szCs w:val="24"/>
              </w:rPr>
              <w:t xml:space="preserve">rimary </w:t>
            </w:r>
            <w:r>
              <w:rPr>
                <w:rFonts w:ascii="Times New Roman" w:hAnsi="Times New Roman" w:cs="Times New Roman"/>
                <w:b/>
                <w:i/>
                <w:iCs/>
                <w:sz w:val="24"/>
                <w:szCs w:val="24"/>
              </w:rPr>
              <w:t>o</w:t>
            </w:r>
            <w:r w:rsidRPr="005D3B74">
              <w:rPr>
                <w:rFonts w:ascii="Times New Roman" w:hAnsi="Times New Roman" w:cs="Times New Roman"/>
                <w:b/>
                <w:i/>
                <w:iCs/>
                <w:sz w:val="24"/>
                <w:szCs w:val="24"/>
              </w:rPr>
              <w:t xml:space="preserve">utcome as </w:t>
            </w:r>
            <w:r>
              <w:rPr>
                <w:rFonts w:ascii="Times New Roman" w:hAnsi="Times New Roman" w:cs="Times New Roman"/>
                <w:b/>
                <w:i/>
                <w:iCs/>
                <w:sz w:val="24"/>
                <w:szCs w:val="24"/>
              </w:rPr>
              <w:t>d</w:t>
            </w:r>
            <w:r w:rsidRPr="005D3B74">
              <w:rPr>
                <w:rFonts w:ascii="Times New Roman" w:hAnsi="Times New Roman" w:cs="Times New Roman"/>
                <w:b/>
                <w:i/>
                <w:iCs/>
                <w:sz w:val="24"/>
                <w:szCs w:val="24"/>
              </w:rPr>
              <w:t xml:space="preserve">ependent </w:t>
            </w:r>
            <w:r>
              <w:rPr>
                <w:rFonts w:ascii="Times New Roman" w:hAnsi="Times New Roman" w:cs="Times New Roman"/>
                <w:b/>
                <w:i/>
                <w:iCs/>
                <w:sz w:val="24"/>
                <w:szCs w:val="24"/>
              </w:rPr>
              <w:t>v</w:t>
            </w:r>
            <w:r w:rsidRPr="005D3B74">
              <w:rPr>
                <w:rFonts w:ascii="Times New Roman" w:hAnsi="Times New Roman" w:cs="Times New Roman"/>
                <w:b/>
                <w:i/>
                <w:iCs/>
                <w:sz w:val="24"/>
                <w:szCs w:val="24"/>
              </w:rPr>
              <w:t>ariable</w:t>
            </w:r>
          </w:p>
          <w:p w14:paraId="12859443" w14:textId="77777777" w:rsidR="00D24BFC" w:rsidRPr="00171E26" w:rsidRDefault="00D24BFC" w:rsidP="00C91744">
            <w:pPr>
              <w:jc w:val="center"/>
              <w:rPr>
                <w:rFonts w:ascii="Times New Roman" w:hAnsi="Times New Roman" w:cs="Times New Roman"/>
                <w:b/>
                <w:sz w:val="24"/>
                <w:szCs w:val="24"/>
              </w:rPr>
            </w:pPr>
            <w:r>
              <w:rPr>
                <w:rFonts w:ascii="Times New Roman" w:hAnsi="Times New Roman" w:cs="Times New Roman"/>
                <w:b/>
                <w:sz w:val="24"/>
                <w:szCs w:val="24"/>
              </w:rPr>
              <w:t xml:space="preserve">Adjusted </w:t>
            </w:r>
            <w:r w:rsidRPr="00171E26">
              <w:rPr>
                <w:rFonts w:ascii="Times New Roman" w:hAnsi="Times New Roman" w:cs="Times New Roman"/>
                <w:b/>
                <w:sz w:val="24"/>
                <w:szCs w:val="24"/>
              </w:rPr>
              <w:t>Odds</w:t>
            </w:r>
            <w:r>
              <w:rPr>
                <w:rFonts w:ascii="Times New Roman" w:hAnsi="Times New Roman" w:cs="Times New Roman"/>
                <w:b/>
                <w:sz w:val="24"/>
                <w:szCs w:val="24"/>
              </w:rPr>
              <w:t xml:space="preserve"> Ratio</w:t>
            </w:r>
            <w:r w:rsidRPr="00171E26">
              <w:rPr>
                <w:rFonts w:ascii="Times New Roman" w:hAnsi="Times New Roman" w:cs="Times New Roman"/>
                <w:b/>
                <w:sz w:val="24"/>
                <w:szCs w:val="24"/>
              </w:rPr>
              <w:t xml:space="preserve"> (95% </w:t>
            </w:r>
            <w:r>
              <w:rPr>
                <w:rFonts w:ascii="Times New Roman" w:hAnsi="Times New Roman" w:cs="Times New Roman"/>
                <w:b/>
                <w:sz w:val="24"/>
                <w:szCs w:val="24"/>
              </w:rPr>
              <w:t>c</w:t>
            </w:r>
            <w:r w:rsidRPr="00171E26">
              <w:rPr>
                <w:rFonts w:ascii="Times New Roman" w:hAnsi="Times New Roman" w:cs="Times New Roman"/>
                <w:b/>
                <w:sz w:val="24"/>
                <w:szCs w:val="24"/>
              </w:rPr>
              <w:t>onfidence interval)</w:t>
            </w:r>
            <w:r>
              <w:rPr>
                <w:rFonts w:ascii="Times New Roman" w:hAnsi="Times New Roman" w:cs="Times New Roman"/>
                <w:b/>
                <w:sz w:val="24"/>
                <w:szCs w:val="24"/>
              </w:rPr>
              <w:t xml:space="preserve"> </w:t>
            </w:r>
          </w:p>
        </w:tc>
        <w:tc>
          <w:tcPr>
            <w:tcW w:w="3530" w:type="dxa"/>
            <w:vAlign w:val="center"/>
          </w:tcPr>
          <w:p w14:paraId="29958AA9" w14:textId="77777777" w:rsidR="00D24BFC" w:rsidRPr="005D3B74" w:rsidRDefault="00D24BFC" w:rsidP="00C91744">
            <w:pPr>
              <w:jc w:val="center"/>
              <w:rPr>
                <w:rFonts w:ascii="Times New Roman" w:hAnsi="Times New Roman" w:cs="Times New Roman"/>
                <w:b/>
                <w:i/>
                <w:iCs/>
                <w:sz w:val="24"/>
                <w:szCs w:val="24"/>
              </w:rPr>
            </w:pPr>
            <w:r w:rsidRPr="005D3B74">
              <w:rPr>
                <w:rFonts w:ascii="Times New Roman" w:hAnsi="Times New Roman" w:cs="Times New Roman"/>
                <w:b/>
                <w:i/>
                <w:iCs/>
                <w:sz w:val="24"/>
                <w:szCs w:val="24"/>
              </w:rPr>
              <w:t xml:space="preserve">Using </w:t>
            </w:r>
            <w:r>
              <w:rPr>
                <w:rFonts w:ascii="Times New Roman" w:hAnsi="Times New Roman" w:cs="Times New Roman"/>
                <w:b/>
                <w:i/>
                <w:iCs/>
                <w:sz w:val="24"/>
                <w:szCs w:val="24"/>
              </w:rPr>
              <w:t>c</w:t>
            </w:r>
            <w:r w:rsidRPr="005D3B74">
              <w:rPr>
                <w:rFonts w:ascii="Times New Roman" w:hAnsi="Times New Roman" w:cs="Times New Roman"/>
                <w:b/>
                <w:i/>
                <w:iCs/>
                <w:sz w:val="24"/>
                <w:szCs w:val="24"/>
              </w:rPr>
              <w:t xml:space="preserve">linical </w:t>
            </w:r>
            <w:r>
              <w:rPr>
                <w:rFonts w:ascii="Times New Roman" w:hAnsi="Times New Roman" w:cs="Times New Roman"/>
                <w:b/>
                <w:i/>
                <w:iCs/>
                <w:sz w:val="24"/>
                <w:szCs w:val="24"/>
              </w:rPr>
              <w:t>s</w:t>
            </w:r>
            <w:r w:rsidRPr="005D3B74">
              <w:rPr>
                <w:rFonts w:ascii="Times New Roman" w:hAnsi="Times New Roman" w:cs="Times New Roman"/>
                <w:b/>
                <w:i/>
                <w:iCs/>
                <w:sz w:val="24"/>
                <w:szCs w:val="24"/>
              </w:rPr>
              <w:t xml:space="preserve">eizure </w:t>
            </w:r>
            <w:r>
              <w:rPr>
                <w:rFonts w:ascii="Times New Roman" w:hAnsi="Times New Roman" w:cs="Times New Roman"/>
                <w:b/>
                <w:i/>
                <w:iCs/>
                <w:sz w:val="24"/>
                <w:szCs w:val="24"/>
              </w:rPr>
              <w:t>c</w:t>
            </w:r>
            <w:r w:rsidRPr="005D3B74">
              <w:rPr>
                <w:rFonts w:ascii="Times New Roman" w:hAnsi="Times New Roman" w:cs="Times New Roman"/>
                <w:b/>
                <w:i/>
                <w:iCs/>
                <w:sz w:val="24"/>
                <w:szCs w:val="24"/>
              </w:rPr>
              <w:t xml:space="preserve">essation </w:t>
            </w:r>
            <w:r>
              <w:rPr>
                <w:rFonts w:ascii="Times New Roman" w:hAnsi="Times New Roman" w:cs="Times New Roman"/>
                <w:b/>
                <w:i/>
                <w:iCs/>
                <w:sz w:val="24"/>
                <w:szCs w:val="24"/>
              </w:rPr>
              <w:t xml:space="preserve">without additional anti-seizure medication </w:t>
            </w:r>
            <w:r w:rsidRPr="005D3B74">
              <w:rPr>
                <w:rFonts w:ascii="Times New Roman" w:hAnsi="Times New Roman" w:cs="Times New Roman"/>
                <w:b/>
                <w:i/>
                <w:iCs/>
                <w:sz w:val="24"/>
                <w:szCs w:val="24"/>
              </w:rPr>
              <w:t xml:space="preserve">as </w:t>
            </w:r>
            <w:r>
              <w:rPr>
                <w:rFonts w:ascii="Times New Roman" w:hAnsi="Times New Roman" w:cs="Times New Roman"/>
                <w:b/>
                <w:i/>
                <w:iCs/>
                <w:sz w:val="24"/>
                <w:szCs w:val="24"/>
              </w:rPr>
              <w:t>d</w:t>
            </w:r>
            <w:r w:rsidRPr="005D3B74">
              <w:rPr>
                <w:rFonts w:ascii="Times New Roman" w:hAnsi="Times New Roman" w:cs="Times New Roman"/>
                <w:b/>
                <w:i/>
                <w:iCs/>
                <w:sz w:val="24"/>
                <w:szCs w:val="24"/>
              </w:rPr>
              <w:t xml:space="preserve">ependent </w:t>
            </w:r>
            <w:r>
              <w:rPr>
                <w:rFonts w:ascii="Times New Roman" w:hAnsi="Times New Roman" w:cs="Times New Roman"/>
                <w:b/>
                <w:i/>
                <w:iCs/>
                <w:sz w:val="24"/>
                <w:szCs w:val="24"/>
              </w:rPr>
              <w:t>v</w:t>
            </w:r>
            <w:r w:rsidRPr="005D3B74">
              <w:rPr>
                <w:rFonts w:ascii="Times New Roman" w:hAnsi="Times New Roman" w:cs="Times New Roman"/>
                <w:b/>
                <w:i/>
                <w:iCs/>
                <w:sz w:val="24"/>
                <w:szCs w:val="24"/>
              </w:rPr>
              <w:t>ariable</w:t>
            </w:r>
          </w:p>
          <w:p w14:paraId="68F53156" w14:textId="77777777" w:rsidR="00D24BFC" w:rsidRDefault="00D24BFC" w:rsidP="00C9174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Adjusted </w:t>
            </w:r>
            <w:r w:rsidRPr="00171E26">
              <w:rPr>
                <w:rFonts w:ascii="Times New Roman" w:hAnsi="Times New Roman" w:cs="Times New Roman"/>
                <w:b/>
                <w:sz w:val="24"/>
                <w:szCs w:val="24"/>
              </w:rPr>
              <w:t>Odds</w:t>
            </w:r>
            <w:r>
              <w:rPr>
                <w:rFonts w:ascii="Times New Roman" w:hAnsi="Times New Roman" w:cs="Times New Roman"/>
                <w:b/>
                <w:sz w:val="24"/>
                <w:szCs w:val="24"/>
              </w:rPr>
              <w:t xml:space="preserve"> Ratio</w:t>
            </w:r>
            <w:r w:rsidRPr="00171E26">
              <w:rPr>
                <w:rFonts w:ascii="Times New Roman" w:hAnsi="Times New Roman" w:cs="Times New Roman"/>
                <w:b/>
                <w:sz w:val="24"/>
                <w:szCs w:val="24"/>
              </w:rPr>
              <w:t xml:space="preserve"> (95% confidence interval)</w:t>
            </w:r>
            <w:r>
              <w:rPr>
                <w:rFonts w:ascii="Times New Roman" w:hAnsi="Times New Roman" w:cs="Times New Roman"/>
                <w:b/>
                <w:sz w:val="24"/>
                <w:szCs w:val="24"/>
              </w:rPr>
              <w:t xml:space="preserve"> </w:t>
            </w:r>
          </w:p>
        </w:tc>
      </w:tr>
      <w:tr w:rsidR="00D24BFC" w:rsidRPr="00171E26" w14:paraId="6614AD28" w14:textId="77777777" w:rsidTr="00C91744">
        <w:trPr>
          <w:trHeight w:val="512"/>
          <w:jc w:val="center"/>
        </w:trPr>
        <w:tc>
          <w:tcPr>
            <w:tcW w:w="1325" w:type="dxa"/>
            <w:vAlign w:val="center"/>
          </w:tcPr>
          <w:p w14:paraId="43F4049C"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lastRenderedPageBreak/>
              <w:t>&gt; 75 kg</w:t>
            </w:r>
          </w:p>
        </w:tc>
        <w:tc>
          <w:tcPr>
            <w:tcW w:w="1309" w:type="dxa"/>
            <w:vAlign w:val="center"/>
          </w:tcPr>
          <w:p w14:paraId="0361A6DF" w14:textId="77777777" w:rsidR="00D24BFC" w:rsidRDefault="00D24BFC" w:rsidP="00C91744">
            <w:pPr>
              <w:jc w:val="center"/>
              <w:rPr>
                <w:rFonts w:ascii="Times New Roman" w:hAnsi="Times New Roman" w:cs="Times New Roman"/>
                <w:sz w:val="24"/>
                <w:szCs w:val="24"/>
              </w:rPr>
            </w:pPr>
            <w:proofErr w:type="spellStart"/>
            <w:r>
              <w:rPr>
                <w:rFonts w:ascii="Times New Roman" w:hAnsi="Times New Roman" w:cs="Times New Roman"/>
                <w:sz w:val="24"/>
                <w:szCs w:val="24"/>
              </w:rPr>
              <w:t>Fosphenytoin</w:t>
            </w:r>
            <w:proofErr w:type="spellEnd"/>
          </w:p>
        </w:tc>
        <w:tc>
          <w:tcPr>
            <w:tcW w:w="1051" w:type="dxa"/>
            <w:vAlign w:val="center"/>
          </w:tcPr>
          <w:p w14:paraId="544B7674"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Male</w:t>
            </w:r>
          </w:p>
        </w:tc>
        <w:tc>
          <w:tcPr>
            <w:tcW w:w="3060" w:type="dxa"/>
            <w:vAlign w:val="center"/>
          </w:tcPr>
          <w:p w14:paraId="6E0C17E1" w14:textId="77777777" w:rsidR="00D24BFC" w:rsidRPr="00171E26" w:rsidRDefault="00D24BFC" w:rsidP="00C91744">
            <w:pPr>
              <w:jc w:val="center"/>
              <w:rPr>
                <w:rFonts w:ascii="Times New Roman" w:hAnsi="Times New Roman" w:cs="Times New Roman"/>
                <w:sz w:val="24"/>
                <w:szCs w:val="24"/>
              </w:rPr>
            </w:pPr>
            <w:r>
              <w:rPr>
                <w:rFonts w:ascii="Times New Roman" w:hAnsi="Times New Roman" w:cs="Times New Roman"/>
                <w:sz w:val="24"/>
                <w:szCs w:val="24"/>
              </w:rPr>
              <w:t>0.71 (0.20, 2.55)</w:t>
            </w:r>
          </w:p>
        </w:tc>
        <w:tc>
          <w:tcPr>
            <w:tcW w:w="3530" w:type="dxa"/>
            <w:vAlign w:val="center"/>
          </w:tcPr>
          <w:p w14:paraId="60FD077A"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0.56 (0.14, 2.26)</w:t>
            </w:r>
          </w:p>
        </w:tc>
      </w:tr>
      <w:tr w:rsidR="00D24BFC" w:rsidRPr="00171E26" w14:paraId="12D64141" w14:textId="77777777" w:rsidTr="00C91744">
        <w:trPr>
          <w:trHeight w:val="512"/>
          <w:jc w:val="center"/>
        </w:trPr>
        <w:tc>
          <w:tcPr>
            <w:tcW w:w="1325" w:type="dxa"/>
            <w:vAlign w:val="center"/>
          </w:tcPr>
          <w:p w14:paraId="4243CF91"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t>&gt; 75 kg</w:t>
            </w:r>
          </w:p>
        </w:tc>
        <w:tc>
          <w:tcPr>
            <w:tcW w:w="1309" w:type="dxa"/>
            <w:vAlign w:val="center"/>
          </w:tcPr>
          <w:p w14:paraId="3E7EC711" w14:textId="77777777" w:rsidR="00D24BFC" w:rsidRDefault="00D24BFC" w:rsidP="00C91744">
            <w:pPr>
              <w:jc w:val="center"/>
              <w:rPr>
                <w:rFonts w:ascii="Times New Roman" w:hAnsi="Times New Roman" w:cs="Times New Roman"/>
                <w:sz w:val="24"/>
                <w:szCs w:val="24"/>
              </w:rPr>
            </w:pPr>
            <w:proofErr w:type="spellStart"/>
            <w:r>
              <w:rPr>
                <w:rFonts w:ascii="Times New Roman" w:hAnsi="Times New Roman" w:cs="Times New Roman"/>
                <w:sz w:val="24"/>
                <w:szCs w:val="24"/>
              </w:rPr>
              <w:t>Fosphenytoin</w:t>
            </w:r>
            <w:proofErr w:type="spellEnd"/>
          </w:p>
        </w:tc>
        <w:tc>
          <w:tcPr>
            <w:tcW w:w="1051" w:type="dxa"/>
            <w:vAlign w:val="center"/>
          </w:tcPr>
          <w:p w14:paraId="20A7A567"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Female</w:t>
            </w:r>
          </w:p>
        </w:tc>
        <w:tc>
          <w:tcPr>
            <w:tcW w:w="3060" w:type="dxa"/>
            <w:vAlign w:val="center"/>
          </w:tcPr>
          <w:p w14:paraId="5A812C2B" w14:textId="77777777" w:rsidR="00D24BFC" w:rsidRPr="00171E26" w:rsidRDefault="00D24BFC" w:rsidP="00C91744">
            <w:pPr>
              <w:jc w:val="center"/>
              <w:rPr>
                <w:rFonts w:ascii="Times New Roman" w:hAnsi="Times New Roman" w:cs="Times New Roman"/>
                <w:sz w:val="24"/>
                <w:szCs w:val="24"/>
              </w:rPr>
            </w:pPr>
            <w:r>
              <w:rPr>
                <w:rFonts w:ascii="Times New Roman" w:hAnsi="Times New Roman" w:cs="Times New Roman"/>
                <w:sz w:val="24"/>
                <w:szCs w:val="24"/>
              </w:rPr>
              <w:t>1.13 (0.26, 4.94)</w:t>
            </w:r>
          </w:p>
        </w:tc>
        <w:tc>
          <w:tcPr>
            <w:tcW w:w="3530" w:type="dxa"/>
            <w:vAlign w:val="center"/>
          </w:tcPr>
          <w:p w14:paraId="28885FF7"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1.16 (0.27, 5.05)</w:t>
            </w:r>
          </w:p>
        </w:tc>
      </w:tr>
      <w:tr w:rsidR="00D24BFC" w:rsidRPr="00171E26" w14:paraId="3D3155F1" w14:textId="77777777" w:rsidTr="00C91744">
        <w:trPr>
          <w:trHeight w:val="512"/>
          <w:jc w:val="center"/>
        </w:trPr>
        <w:tc>
          <w:tcPr>
            <w:tcW w:w="1325" w:type="dxa"/>
            <w:vAlign w:val="center"/>
          </w:tcPr>
          <w:p w14:paraId="409208C5"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t>&gt; 75 kg</w:t>
            </w:r>
          </w:p>
        </w:tc>
        <w:tc>
          <w:tcPr>
            <w:tcW w:w="1309" w:type="dxa"/>
            <w:vAlign w:val="center"/>
          </w:tcPr>
          <w:p w14:paraId="3D674336"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Levetiracetam</w:t>
            </w:r>
          </w:p>
        </w:tc>
        <w:tc>
          <w:tcPr>
            <w:tcW w:w="1051" w:type="dxa"/>
            <w:vAlign w:val="center"/>
          </w:tcPr>
          <w:p w14:paraId="3D8A39B2"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Male</w:t>
            </w:r>
          </w:p>
        </w:tc>
        <w:tc>
          <w:tcPr>
            <w:tcW w:w="3060" w:type="dxa"/>
            <w:vAlign w:val="center"/>
          </w:tcPr>
          <w:p w14:paraId="7AD43BA6" w14:textId="77777777" w:rsidR="00D24BFC" w:rsidRPr="00171E26" w:rsidRDefault="00D24BFC" w:rsidP="00C91744">
            <w:pPr>
              <w:jc w:val="center"/>
              <w:rPr>
                <w:rFonts w:ascii="Times New Roman" w:hAnsi="Times New Roman" w:cs="Times New Roman"/>
                <w:sz w:val="24"/>
                <w:szCs w:val="24"/>
              </w:rPr>
            </w:pPr>
            <w:r>
              <w:rPr>
                <w:rFonts w:ascii="Times New Roman" w:hAnsi="Times New Roman" w:cs="Times New Roman"/>
                <w:sz w:val="24"/>
                <w:szCs w:val="24"/>
              </w:rPr>
              <w:t>0.82 (0.26, 2.56)</w:t>
            </w:r>
          </w:p>
        </w:tc>
        <w:tc>
          <w:tcPr>
            <w:tcW w:w="3530" w:type="dxa"/>
            <w:vAlign w:val="center"/>
          </w:tcPr>
          <w:p w14:paraId="3B015547"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0.47 (0.15, 1.49)</w:t>
            </w:r>
          </w:p>
        </w:tc>
      </w:tr>
      <w:tr w:rsidR="00D24BFC" w:rsidRPr="00171E26" w14:paraId="3F4BD426" w14:textId="77777777" w:rsidTr="00C91744">
        <w:trPr>
          <w:trHeight w:val="502"/>
          <w:jc w:val="center"/>
        </w:trPr>
        <w:tc>
          <w:tcPr>
            <w:tcW w:w="1325" w:type="dxa"/>
            <w:vAlign w:val="center"/>
          </w:tcPr>
          <w:p w14:paraId="28BACD87"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t>&gt; 75 kg</w:t>
            </w:r>
          </w:p>
        </w:tc>
        <w:tc>
          <w:tcPr>
            <w:tcW w:w="1309" w:type="dxa"/>
            <w:vAlign w:val="center"/>
          </w:tcPr>
          <w:p w14:paraId="216B78C1"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Levetiracetam</w:t>
            </w:r>
          </w:p>
        </w:tc>
        <w:tc>
          <w:tcPr>
            <w:tcW w:w="1051" w:type="dxa"/>
            <w:vAlign w:val="center"/>
          </w:tcPr>
          <w:p w14:paraId="33044D3F"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Female</w:t>
            </w:r>
          </w:p>
        </w:tc>
        <w:tc>
          <w:tcPr>
            <w:tcW w:w="3060" w:type="dxa"/>
            <w:vAlign w:val="center"/>
          </w:tcPr>
          <w:p w14:paraId="47142827" w14:textId="77777777" w:rsidR="00D24BFC" w:rsidRPr="00171E26" w:rsidRDefault="00D24BFC" w:rsidP="00C91744">
            <w:pPr>
              <w:jc w:val="center"/>
              <w:rPr>
                <w:rFonts w:ascii="Times New Roman" w:hAnsi="Times New Roman" w:cs="Times New Roman"/>
                <w:sz w:val="24"/>
                <w:szCs w:val="24"/>
              </w:rPr>
            </w:pPr>
            <w:r>
              <w:rPr>
                <w:rFonts w:ascii="Times New Roman" w:hAnsi="Times New Roman" w:cs="Times New Roman"/>
                <w:sz w:val="24"/>
                <w:szCs w:val="24"/>
              </w:rPr>
              <w:t>1.70 (0.45, 6.44)</w:t>
            </w:r>
          </w:p>
        </w:tc>
        <w:tc>
          <w:tcPr>
            <w:tcW w:w="3530" w:type="dxa"/>
            <w:vAlign w:val="center"/>
          </w:tcPr>
          <w:p w14:paraId="6B5537D5"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1.08 (0.29, 4.08)</w:t>
            </w:r>
          </w:p>
        </w:tc>
      </w:tr>
      <w:tr w:rsidR="00D24BFC" w:rsidRPr="00171E26" w14:paraId="0F7439B6" w14:textId="77777777" w:rsidTr="00C91744">
        <w:trPr>
          <w:trHeight w:val="512"/>
          <w:jc w:val="center"/>
        </w:trPr>
        <w:tc>
          <w:tcPr>
            <w:tcW w:w="1325" w:type="dxa"/>
            <w:vAlign w:val="center"/>
          </w:tcPr>
          <w:p w14:paraId="5B1693B0"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t>&gt; 75 kg</w:t>
            </w:r>
          </w:p>
        </w:tc>
        <w:tc>
          <w:tcPr>
            <w:tcW w:w="1309" w:type="dxa"/>
            <w:vAlign w:val="center"/>
          </w:tcPr>
          <w:p w14:paraId="0C2CB7A2"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Valproic acid</w:t>
            </w:r>
          </w:p>
        </w:tc>
        <w:tc>
          <w:tcPr>
            <w:tcW w:w="1051" w:type="dxa"/>
            <w:vAlign w:val="center"/>
          </w:tcPr>
          <w:p w14:paraId="2A8D7C86"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Male</w:t>
            </w:r>
          </w:p>
        </w:tc>
        <w:tc>
          <w:tcPr>
            <w:tcW w:w="3060" w:type="dxa"/>
            <w:vAlign w:val="center"/>
          </w:tcPr>
          <w:p w14:paraId="10EEDCC6" w14:textId="77777777" w:rsidR="00D24BFC" w:rsidRPr="002E4C60" w:rsidRDefault="00D24BFC" w:rsidP="00C91744">
            <w:pPr>
              <w:jc w:val="center"/>
              <w:rPr>
                <w:rFonts w:ascii="Times New Roman" w:hAnsi="Times New Roman" w:cs="Times New Roman"/>
                <w:sz w:val="24"/>
                <w:szCs w:val="24"/>
              </w:rPr>
            </w:pPr>
            <w:r>
              <w:rPr>
                <w:rFonts w:ascii="Times New Roman" w:hAnsi="Times New Roman" w:cs="Times New Roman"/>
                <w:sz w:val="24"/>
                <w:szCs w:val="24"/>
              </w:rPr>
              <w:t>0.83 (0.26, 2.66)</w:t>
            </w:r>
          </w:p>
        </w:tc>
        <w:tc>
          <w:tcPr>
            <w:tcW w:w="3530" w:type="dxa"/>
            <w:vAlign w:val="center"/>
          </w:tcPr>
          <w:p w14:paraId="36986555"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0.72 (0.22, 2.40)</w:t>
            </w:r>
          </w:p>
        </w:tc>
      </w:tr>
      <w:tr w:rsidR="00D24BFC" w:rsidRPr="00171E26" w14:paraId="297BCCBD" w14:textId="77777777" w:rsidTr="00C91744">
        <w:trPr>
          <w:trHeight w:val="512"/>
          <w:jc w:val="center"/>
        </w:trPr>
        <w:tc>
          <w:tcPr>
            <w:tcW w:w="1325" w:type="dxa"/>
            <w:vAlign w:val="center"/>
          </w:tcPr>
          <w:p w14:paraId="78D6A7B2" w14:textId="77777777" w:rsidR="00D24BFC" w:rsidRPr="00411D56" w:rsidRDefault="00D24BFC" w:rsidP="00C91744">
            <w:pPr>
              <w:jc w:val="center"/>
              <w:rPr>
                <w:rFonts w:ascii="Times New Roman" w:hAnsi="Times New Roman" w:cs="Times New Roman"/>
                <w:bCs/>
                <w:sz w:val="24"/>
                <w:szCs w:val="24"/>
              </w:rPr>
            </w:pPr>
            <w:r w:rsidRPr="00411D56">
              <w:rPr>
                <w:rFonts w:ascii="Times New Roman" w:hAnsi="Times New Roman" w:cs="Times New Roman"/>
                <w:bCs/>
                <w:sz w:val="24"/>
                <w:szCs w:val="24"/>
              </w:rPr>
              <w:t>&gt; 75 kg</w:t>
            </w:r>
          </w:p>
        </w:tc>
        <w:tc>
          <w:tcPr>
            <w:tcW w:w="1309" w:type="dxa"/>
            <w:vAlign w:val="center"/>
          </w:tcPr>
          <w:p w14:paraId="5DEC5AC9"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Valproic acid</w:t>
            </w:r>
          </w:p>
        </w:tc>
        <w:tc>
          <w:tcPr>
            <w:tcW w:w="1051" w:type="dxa"/>
            <w:vAlign w:val="center"/>
          </w:tcPr>
          <w:p w14:paraId="4F63CC6D"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Female</w:t>
            </w:r>
          </w:p>
        </w:tc>
        <w:tc>
          <w:tcPr>
            <w:tcW w:w="3060" w:type="dxa"/>
            <w:vAlign w:val="center"/>
          </w:tcPr>
          <w:p w14:paraId="42A651A8" w14:textId="77777777" w:rsidR="00D24BFC" w:rsidRPr="00171E26" w:rsidRDefault="00D24BFC" w:rsidP="00C91744">
            <w:pPr>
              <w:jc w:val="center"/>
              <w:rPr>
                <w:rFonts w:ascii="Times New Roman" w:hAnsi="Times New Roman" w:cs="Times New Roman"/>
                <w:sz w:val="24"/>
                <w:szCs w:val="24"/>
              </w:rPr>
            </w:pPr>
            <w:r>
              <w:rPr>
                <w:rFonts w:ascii="Times New Roman" w:hAnsi="Times New Roman" w:cs="Times New Roman"/>
                <w:sz w:val="24"/>
                <w:szCs w:val="24"/>
              </w:rPr>
              <w:t>0.64 (0.14, 2.91)</w:t>
            </w:r>
          </w:p>
        </w:tc>
        <w:tc>
          <w:tcPr>
            <w:tcW w:w="3530" w:type="dxa"/>
            <w:vAlign w:val="center"/>
          </w:tcPr>
          <w:p w14:paraId="01976EA1" w14:textId="77777777" w:rsidR="00D24BFC" w:rsidRDefault="00D24BFC" w:rsidP="00C91744">
            <w:pPr>
              <w:jc w:val="center"/>
              <w:rPr>
                <w:rFonts w:ascii="Times New Roman" w:hAnsi="Times New Roman" w:cs="Times New Roman"/>
                <w:sz w:val="24"/>
                <w:szCs w:val="24"/>
              </w:rPr>
            </w:pPr>
            <w:r>
              <w:rPr>
                <w:rFonts w:ascii="Times New Roman" w:hAnsi="Times New Roman" w:cs="Times New Roman"/>
                <w:sz w:val="24"/>
                <w:szCs w:val="24"/>
              </w:rPr>
              <w:t>0.49 (0.11, 2.20)</w:t>
            </w:r>
          </w:p>
        </w:tc>
      </w:tr>
    </w:tbl>
    <w:p w14:paraId="0D6A359F" w14:textId="77777777" w:rsidR="00D24BFC" w:rsidRDefault="00D24BFC" w:rsidP="00D24BFC">
      <w:pPr>
        <w:jc w:val="center"/>
        <w:rPr>
          <w:rFonts w:ascii="Times New Roman" w:hAnsi="Times New Roman" w:cs="Times New Roman"/>
          <w:sz w:val="24"/>
          <w:szCs w:val="24"/>
        </w:rPr>
      </w:pPr>
    </w:p>
    <w:p w14:paraId="3E97D444" w14:textId="77777777" w:rsidR="00D24BFC" w:rsidRDefault="00D24BFC" w:rsidP="00D24BFC">
      <w:pPr>
        <w:jc w:val="center"/>
        <w:rPr>
          <w:rFonts w:ascii="Times New Roman" w:hAnsi="Times New Roman" w:cs="Times New Roman"/>
          <w:b/>
          <w:sz w:val="24"/>
          <w:szCs w:val="24"/>
        </w:rPr>
      </w:pPr>
    </w:p>
    <w:p w14:paraId="61B6F913" w14:textId="77777777" w:rsidR="00D24BFC" w:rsidRDefault="00D24BFC" w:rsidP="00D24BFC">
      <w:pPr>
        <w:jc w:val="center"/>
        <w:rPr>
          <w:rFonts w:ascii="Times New Roman" w:hAnsi="Times New Roman" w:cs="Times New Roman"/>
          <w:b/>
          <w:sz w:val="24"/>
          <w:szCs w:val="24"/>
        </w:rPr>
      </w:pPr>
    </w:p>
    <w:p w14:paraId="437E3142" w14:textId="77777777" w:rsidR="00D24BFC" w:rsidRDefault="00D24BFC" w:rsidP="00D24BFC">
      <w:pPr>
        <w:jc w:val="center"/>
        <w:rPr>
          <w:rFonts w:ascii="Times New Roman" w:hAnsi="Times New Roman" w:cs="Times New Roman"/>
          <w:b/>
          <w:sz w:val="24"/>
          <w:szCs w:val="24"/>
        </w:rPr>
      </w:pPr>
    </w:p>
    <w:p w14:paraId="5B348545" w14:textId="77777777" w:rsidR="00D24BFC" w:rsidRDefault="00D24BFC" w:rsidP="00D24BFC">
      <w:pPr>
        <w:jc w:val="center"/>
        <w:rPr>
          <w:rFonts w:ascii="Times New Roman" w:hAnsi="Times New Roman" w:cs="Times New Roman"/>
          <w:b/>
          <w:sz w:val="24"/>
          <w:szCs w:val="24"/>
        </w:rPr>
      </w:pPr>
    </w:p>
    <w:p w14:paraId="08E98F2C" w14:textId="77777777" w:rsidR="00D24BFC" w:rsidRDefault="00D24BFC" w:rsidP="00D24BFC">
      <w:pPr>
        <w:jc w:val="center"/>
        <w:rPr>
          <w:rFonts w:ascii="Times New Roman" w:hAnsi="Times New Roman" w:cs="Times New Roman"/>
          <w:b/>
          <w:sz w:val="24"/>
          <w:szCs w:val="24"/>
        </w:rPr>
      </w:pPr>
    </w:p>
    <w:p w14:paraId="03263C11" w14:textId="77777777" w:rsidR="00D24BFC" w:rsidRDefault="00D24BFC" w:rsidP="00D24BFC">
      <w:pPr>
        <w:jc w:val="center"/>
        <w:rPr>
          <w:rFonts w:ascii="Times New Roman" w:hAnsi="Times New Roman" w:cs="Times New Roman"/>
          <w:b/>
          <w:sz w:val="24"/>
          <w:szCs w:val="24"/>
        </w:rPr>
      </w:pPr>
    </w:p>
    <w:p w14:paraId="6CDB0AAD" w14:textId="77777777" w:rsidR="00D24BFC" w:rsidRDefault="00D24BFC" w:rsidP="00D24BFC">
      <w:pPr>
        <w:jc w:val="center"/>
        <w:rPr>
          <w:rFonts w:ascii="Times New Roman" w:hAnsi="Times New Roman" w:cs="Times New Roman"/>
          <w:b/>
          <w:sz w:val="24"/>
          <w:szCs w:val="24"/>
        </w:rPr>
      </w:pPr>
    </w:p>
    <w:p w14:paraId="2A357906" w14:textId="77777777" w:rsidR="00D24BFC" w:rsidRDefault="00D24BFC" w:rsidP="00D24BFC">
      <w:pPr>
        <w:jc w:val="center"/>
        <w:rPr>
          <w:rFonts w:ascii="Times New Roman" w:hAnsi="Times New Roman" w:cs="Times New Roman"/>
          <w:b/>
          <w:sz w:val="24"/>
          <w:szCs w:val="24"/>
        </w:rPr>
      </w:pPr>
    </w:p>
    <w:p w14:paraId="6070B46B" w14:textId="77777777" w:rsidR="00D24BFC" w:rsidRDefault="00D24BFC" w:rsidP="00D24BFC">
      <w:pPr>
        <w:jc w:val="center"/>
        <w:rPr>
          <w:rFonts w:ascii="Times New Roman" w:hAnsi="Times New Roman" w:cs="Times New Roman"/>
          <w:b/>
          <w:sz w:val="24"/>
          <w:szCs w:val="24"/>
        </w:rPr>
      </w:pPr>
    </w:p>
    <w:p w14:paraId="5EC65385" w14:textId="77777777" w:rsidR="00D24BFC" w:rsidRDefault="00D24BFC" w:rsidP="00D24BFC">
      <w:pPr>
        <w:rPr>
          <w:rFonts w:ascii="Times New Roman" w:hAnsi="Times New Roman" w:cs="Times New Roman"/>
          <w:b/>
          <w:sz w:val="24"/>
          <w:szCs w:val="24"/>
        </w:rPr>
      </w:pPr>
    </w:p>
    <w:p w14:paraId="627C1608" w14:textId="58DBC47F" w:rsidR="002325CC" w:rsidRDefault="002325CC" w:rsidP="00C90052">
      <w:pPr>
        <w:suppressLineNumbers/>
        <w:spacing w:line="480" w:lineRule="auto"/>
        <w:jc w:val="both"/>
        <w:rPr>
          <w:rFonts w:ascii="Times New Roman" w:hAnsi="Times New Roman" w:cs="Times New Roman"/>
          <w:color w:val="000000" w:themeColor="text1"/>
          <w:sz w:val="24"/>
          <w:szCs w:val="24"/>
        </w:rPr>
      </w:pPr>
    </w:p>
    <w:p w14:paraId="020E2A83" w14:textId="3E5AE80B" w:rsidR="00D24BFC" w:rsidRDefault="00D24BFC" w:rsidP="00C90052">
      <w:pPr>
        <w:suppressLineNumbers/>
        <w:spacing w:line="480" w:lineRule="auto"/>
        <w:jc w:val="both"/>
        <w:rPr>
          <w:rFonts w:ascii="Times New Roman" w:hAnsi="Times New Roman" w:cs="Times New Roman"/>
          <w:color w:val="000000" w:themeColor="text1"/>
          <w:sz w:val="24"/>
          <w:szCs w:val="24"/>
        </w:rPr>
      </w:pPr>
    </w:p>
    <w:p w14:paraId="4084D134" w14:textId="425A7E40" w:rsidR="00D24BFC" w:rsidRDefault="00D24BFC" w:rsidP="00C90052">
      <w:pPr>
        <w:suppressLineNumbers/>
        <w:spacing w:line="480" w:lineRule="auto"/>
        <w:jc w:val="both"/>
        <w:rPr>
          <w:rFonts w:ascii="Times New Roman" w:hAnsi="Times New Roman" w:cs="Times New Roman"/>
          <w:color w:val="000000" w:themeColor="text1"/>
          <w:sz w:val="24"/>
          <w:szCs w:val="24"/>
        </w:rPr>
      </w:pPr>
    </w:p>
    <w:p w14:paraId="24AA263B" w14:textId="77777777" w:rsidR="00D24BFC" w:rsidRDefault="00D24BFC" w:rsidP="00C90052">
      <w:pPr>
        <w:suppressLineNumbers/>
        <w:spacing w:line="480" w:lineRule="auto"/>
        <w:jc w:val="both"/>
        <w:rPr>
          <w:rFonts w:ascii="Times New Roman" w:hAnsi="Times New Roman" w:cs="Times New Roman"/>
          <w:color w:val="000000" w:themeColor="text1"/>
          <w:sz w:val="24"/>
          <w:szCs w:val="24"/>
        </w:rPr>
      </w:pPr>
    </w:p>
    <w:p w14:paraId="7248119A" w14:textId="36CC9BA7" w:rsidR="00AE4745" w:rsidRDefault="003C604A" w:rsidP="00C90052">
      <w:pPr>
        <w:suppressLineNumbers/>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SUPPORTING INFORMATION</w:t>
      </w:r>
    </w:p>
    <w:p w14:paraId="02936FAD" w14:textId="6262BCD7" w:rsidR="003C604A" w:rsidRDefault="003C604A" w:rsidP="00C90052">
      <w:pPr>
        <w:suppressLineNumber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supporting information may be found online in the Supporting Information section.</w:t>
      </w:r>
    </w:p>
    <w:p w14:paraId="71F1711E" w14:textId="77777777" w:rsidR="00ED2044" w:rsidRDefault="00ED2044" w:rsidP="00ED2044">
      <w:pPr>
        <w:jc w:val="center"/>
        <w:rPr>
          <w:rFonts w:ascii="Times New Roman" w:hAnsi="Times New Roman" w:cs="Times New Roman"/>
          <w:b/>
          <w:sz w:val="24"/>
          <w:szCs w:val="24"/>
        </w:rPr>
      </w:pPr>
      <w:r>
        <w:rPr>
          <w:rFonts w:ascii="Times New Roman" w:hAnsi="Times New Roman" w:cs="Times New Roman"/>
          <w:b/>
          <w:sz w:val="24"/>
          <w:szCs w:val="24"/>
        </w:rPr>
        <w:t>Supporting Information</w:t>
      </w:r>
    </w:p>
    <w:p w14:paraId="568D71CD" w14:textId="77777777" w:rsidR="00ED2044" w:rsidRPr="007E4D52" w:rsidRDefault="00ED2044" w:rsidP="00ED2044">
      <w:pPr>
        <w:jc w:val="center"/>
        <w:rPr>
          <w:rFonts w:ascii="Times New Roman" w:hAnsi="Times New Roman" w:cs="Times New Roman"/>
          <w:bCs/>
          <w:sz w:val="24"/>
          <w:szCs w:val="24"/>
        </w:rPr>
      </w:pPr>
      <w:r>
        <w:rPr>
          <w:rFonts w:ascii="Times New Roman" w:hAnsi="Times New Roman" w:cs="Times New Roman"/>
          <w:b/>
          <w:sz w:val="24"/>
          <w:szCs w:val="24"/>
        </w:rPr>
        <w:t xml:space="preserve"> Table S1: </w:t>
      </w:r>
      <w:r>
        <w:rPr>
          <w:rFonts w:ascii="Times New Roman" w:hAnsi="Times New Roman" w:cs="Times New Roman"/>
          <w:bCs/>
          <w:sz w:val="24"/>
          <w:szCs w:val="24"/>
        </w:rPr>
        <w:t>Baseline characteristics of the adult population enrolled in the Established Status Epilepticus Treatment Trial (ESETT) by weight group</w:t>
      </w:r>
    </w:p>
    <w:tbl>
      <w:tblPr>
        <w:tblStyle w:val="TableGrid"/>
        <w:tblW w:w="0" w:type="auto"/>
        <w:tblLook w:val="04A0" w:firstRow="1" w:lastRow="0" w:firstColumn="1" w:lastColumn="0" w:noHBand="0" w:noVBand="1"/>
      </w:tblPr>
      <w:tblGrid>
        <w:gridCol w:w="3505"/>
        <w:gridCol w:w="2970"/>
        <w:gridCol w:w="2875"/>
      </w:tblGrid>
      <w:tr w:rsidR="00ED2044" w14:paraId="61896092" w14:textId="77777777" w:rsidTr="00C91744">
        <w:tc>
          <w:tcPr>
            <w:tcW w:w="3505" w:type="dxa"/>
            <w:vAlign w:val="center"/>
          </w:tcPr>
          <w:p w14:paraId="0B53A084" w14:textId="77777777" w:rsidR="00ED2044" w:rsidRDefault="00ED2044" w:rsidP="00C91744">
            <w:pPr>
              <w:jc w:val="center"/>
              <w:rPr>
                <w:rFonts w:ascii="Times New Roman" w:hAnsi="Times New Roman" w:cs="Times New Roman"/>
                <w:b/>
                <w:sz w:val="24"/>
                <w:szCs w:val="24"/>
              </w:rPr>
            </w:pPr>
            <w:r>
              <w:rPr>
                <w:rFonts w:ascii="Times New Roman" w:hAnsi="Times New Roman" w:cs="Times New Roman"/>
                <w:b/>
                <w:sz w:val="24"/>
                <w:szCs w:val="24"/>
              </w:rPr>
              <w:t>Characteristic</w:t>
            </w:r>
          </w:p>
        </w:tc>
        <w:tc>
          <w:tcPr>
            <w:tcW w:w="2970" w:type="dxa"/>
            <w:vAlign w:val="center"/>
          </w:tcPr>
          <w:p w14:paraId="22418FAB" w14:textId="77777777" w:rsidR="00ED2044" w:rsidRDefault="00ED2044" w:rsidP="00C91744">
            <w:pPr>
              <w:jc w:val="center"/>
              <w:rPr>
                <w:rFonts w:ascii="Times New Roman" w:hAnsi="Times New Roman" w:cs="Times New Roman"/>
                <w:b/>
                <w:sz w:val="24"/>
                <w:szCs w:val="24"/>
              </w:rPr>
            </w:pPr>
            <w:r>
              <w:rPr>
                <w:rFonts w:ascii="Times New Roman" w:hAnsi="Times New Roman" w:cs="Times New Roman"/>
                <w:b/>
                <w:sz w:val="24"/>
                <w:szCs w:val="24"/>
              </w:rPr>
              <w:t xml:space="preserve">Weight ≤ 75 kg </w:t>
            </w:r>
          </w:p>
          <w:p w14:paraId="483150F0" w14:textId="77777777" w:rsidR="00ED2044" w:rsidRDefault="00ED2044" w:rsidP="00C91744">
            <w:pPr>
              <w:jc w:val="center"/>
              <w:rPr>
                <w:rFonts w:ascii="Times New Roman" w:hAnsi="Times New Roman" w:cs="Times New Roman"/>
                <w:b/>
                <w:sz w:val="24"/>
                <w:szCs w:val="24"/>
              </w:rPr>
            </w:pPr>
            <w:r>
              <w:rPr>
                <w:rFonts w:ascii="Times New Roman" w:hAnsi="Times New Roman" w:cs="Times New Roman"/>
                <w:b/>
                <w:sz w:val="24"/>
                <w:szCs w:val="24"/>
              </w:rPr>
              <w:t>(N=122)</w:t>
            </w:r>
          </w:p>
        </w:tc>
        <w:tc>
          <w:tcPr>
            <w:tcW w:w="2875" w:type="dxa"/>
            <w:vAlign w:val="center"/>
          </w:tcPr>
          <w:p w14:paraId="26FADB69" w14:textId="77777777" w:rsidR="00ED2044" w:rsidRDefault="00ED2044" w:rsidP="00C91744">
            <w:pPr>
              <w:jc w:val="center"/>
              <w:rPr>
                <w:rFonts w:ascii="Times New Roman" w:hAnsi="Times New Roman" w:cs="Times New Roman"/>
                <w:b/>
                <w:sz w:val="24"/>
                <w:szCs w:val="24"/>
              </w:rPr>
            </w:pPr>
            <w:r>
              <w:rPr>
                <w:rFonts w:ascii="Times New Roman" w:hAnsi="Times New Roman" w:cs="Times New Roman"/>
                <w:b/>
                <w:sz w:val="24"/>
                <w:szCs w:val="24"/>
              </w:rPr>
              <w:t xml:space="preserve">Weight &gt; 75 kg </w:t>
            </w:r>
          </w:p>
          <w:p w14:paraId="00C004EB" w14:textId="77777777" w:rsidR="00ED2044" w:rsidRDefault="00ED2044" w:rsidP="00C91744">
            <w:pPr>
              <w:jc w:val="center"/>
              <w:rPr>
                <w:rFonts w:ascii="Times New Roman" w:hAnsi="Times New Roman" w:cs="Times New Roman"/>
                <w:b/>
                <w:sz w:val="24"/>
                <w:szCs w:val="24"/>
              </w:rPr>
            </w:pPr>
            <w:r>
              <w:rPr>
                <w:rFonts w:ascii="Times New Roman" w:hAnsi="Times New Roman" w:cs="Times New Roman"/>
                <w:b/>
                <w:sz w:val="24"/>
                <w:szCs w:val="24"/>
              </w:rPr>
              <w:t>(N=113)</w:t>
            </w:r>
          </w:p>
        </w:tc>
      </w:tr>
      <w:tr w:rsidR="00ED2044" w14:paraId="26CF8F7D" w14:textId="77777777" w:rsidTr="00C91744">
        <w:tc>
          <w:tcPr>
            <w:tcW w:w="3505" w:type="dxa"/>
            <w:vAlign w:val="center"/>
          </w:tcPr>
          <w:p w14:paraId="6E4A9987" w14:textId="77777777" w:rsidR="00ED2044" w:rsidRPr="0023049C" w:rsidRDefault="00ED2044" w:rsidP="00C91744">
            <w:pPr>
              <w:jc w:val="center"/>
              <w:rPr>
                <w:rFonts w:ascii="Times New Roman" w:hAnsi="Times New Roman" w:cs="Times New Roman"/>
                <w:b/>
                <w:sz w:val="24"/>
                <w:szCs w:val="24"/>
              </w:rPr>
            </w:pPr>
            <w:r w:rsidRPr="0023049C">
              <w:rPr>
                <w:rFonts w:ascii="Times New Roman" w:hAnsi="Times New Roman" w:cs="Times New Roman"/>
                <w:b/>
                <w:sz w:val="24"/>
                <w:szCs w:val="24"/>
              </w:rPr>
              <w:t>Age- mean (</w:t>
            </w:r>
            <w:r>
              <w:rPr>
                <w:rFonts w:ascii="Times New Roman" w:hAnsi="Times New Roman" w:cs="Times New Roman"/>
                <w:b/>
                <w:sz w:val="24"/>
                <w:szCs w:val="24"/>
              </w:rPr>
              <w:t>standard deviation</w:t>
            </w:r>
            <w:r w:rsidRPr="0023049C">
              <w:rPr>
                <w:rFonts w:ascii="Times New Roman" w:hAnsi="Times New Roman" w:cs="Times New Roman"/>
                <w:b/>
                <w:sz w:val="24"/>
                <w:szCs w:val="24"/>
              </w:rPr>
              <w:t xml:space="preserve">; </w:t>
            </w:r>
            <w:r>
              <w:rPr>
                <w:rFonts w:ascii="Times New Roman" w:hAnsi="Times New Roman" w:cs="Times New Roman"/>
                <w:b/>
                <w:sz w:val="24"/>
                <w:szCs w:val="24"/>
              </w:rPr>
              <w:t>r</w:t>
            </w:r>
            <w:r w:rsidRPr="0023049C">
              <w:rPr>
                <w:rFonts w:ascii="Times New Roman" w:hAnsi="Times New Roman" w:cs="Times New Roman"/>
                <w:b/>
                <w:sz w:val="24"/>
                <w:szCs w:val="24"/>
              </w:rPr>
              <w:t>ange)</w:t>
            </w:r>
          </w:p>
        </w:tc>
        <w:tc>
          <w:tcPr>
            <w:tcW w:w="2970" w:type="dxa"/>
            <w:vAlign w:val="center"/>
          </w:tcPr>
          <w:p w14:paraId="3EF0C934"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49.6 (20; 18-94)</w:t>
            </w:r>
          </w:p>
        </w:tc>
        <w:tc>
          <w:tcPr>
            <w:tcW w:w="2875" w:type="dxa"/>
            <w:vAlign w:val="center"/>
          </w:tcPr>
          <w:p w14:paraId="36639ECB"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49.3 (16.3; 18-86)</w:t>
            </w:r>
          </w:p>
        </w:tc>
      </w:tr>
      <w:tr w:rsidR="00ED2044" w14:paraId="7621497D" w14:textId="77777777" w:rsidTr="00C91744">
        <w:tc>
          <w:tcPr>
            <w:tcW w:w="3505" w:type="dxa"/>
            <w:vAlign w:val="center"/>
          </w:tcPr>
          <w:p w14:paraId="03C07BAA" w14:textId="77777777" w:rsidR="00ED2044" w:rsidRPr="0023049C" w:rsidRDefault="00ED2044" w:rsidP="00C91744">
            <w:pPr>
              <w:jc w:val="center"/>
              <w:rPr>
                <w:rFonts w:ascii="Times New Roman" w:hAnsi="Times New Roman" w:cs="Times New Roman"/>
                <w:b/>
                <w:sz w:val="24"/>
                <w:szCs w:val="24"/>
              </w:rPr>
            </w:pPr>
            <w:r w:rsidRPr="0023049C">
              <w:rPr>
                <w:rFonts w:ascii="Times New Roman" w:hAnsi="Times New Roman" w:cs="Times New Roman"/>
                <w:b/>
                <w:sz w:val="24"/>
                <w:szCs w:val="24"/>
              </w:rPr>
              <w:t>Treatment allocation-n (%)</w:t>
            </w:r>
          </w:p>
        </w:tc>
        <w:tc>
          <w:tcPr>
            <w:tcW w:w="5845" w:type="dxa"/>
            <w:gridSpan w:val="2"/>
            <w:vAlign w:val="center"/>
          </w:tcPr>
          <w:p w14:paraId="0A54E6A7" w14:textId="77777777" w:rsidR="00ED2044" w:rsidRPr="007E4D52" w:rsidRDefault="00ED2044" w:rsidP="00C91744">
            <w:pPr>
              <w:jc w:val="center"/>
              <w:rPr>
                <w:rFonts w:ascii="Times New Roman" w:hAnsi="Times New Roman" w:cs="Times New Roman"/>
                <w:bCs/>
                <w:sz w:val="24"/>
                <w:szCs w:val="24"/>
              </w:rPr>
            </w:pPr>
          </w:p>
        </w:tc>
      </w:tr>
      <w:tr w:rsidR="00ED2044" w14:paraId="7BF91C7D" w14:textId="77777777" w:rsidTr="00C91744">
        <w:tc>
          <w:tcPr>
            <w:tcW w:w="3505" w:type="dxa"/>
            <w:vAlign w:val="center"/>
          </w:tcPr>
          <w:p w14:paraId="760D42C8" w14:textId="77777777" w:rsidR="00ED2044" w:rsidRPr="0023049C" w:rsidRDefault="00ED2044" w:rsidP="00C91744">
            <w:pPr>
              <w:jc w:val="center"/>
              <w:rPr>
                <w:rFonts w:ascii="Times New Roman" w:hAnsi="Times New Roman" w:cs="Times New Roman"/>
                <w:bCs/>
                <w:sz w:val="24"/>
                <w:szCs w:val="24"/>
              </w:rPr>
            </w:pPr>
            <w:proofErr w:type="spellStart"/>
            <w:r w:rsidRPr="0023049C">
              <w:rPr>
                <w:rFonts w:ascii="Times New Roman" w:hAnsi="Times New Roman" w:cs="Times New Roman"/>
                <w:bCs/>
                <w:sz w:val="24"/>
                <w:szCs w:val="24"/>
              </w:rPr>
              <w:t>Fosphenytoin</w:t>
            </w:r>
            <w:proofErr w:type="spellEnd"/>
          </w:p>
        </w:tc>
        <w:tc>
          <w:tcPr>
            <w:tcW w:w="2970" w:type="dxa"/>
            <w:vAlign w:val="center"/>
          </w:tcPr>
          <w:p w14:paraId="75C7F4F4"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31 (25.4%)</w:t>
            </w:r>
          </w:p>
        </w:tc>
        <w:tc>
          <w:tcPr>
            <w:tcW w:w="2875" w:type="dxa"/>
            <w:vAlign w:val="center"/>
          </w:tcPr>
          <w:p w14:paraId="130D300D"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38 (33.6%)</w:t>
            </w:r>
          </w:p>
        </w:tc>
      </w:tr>
      <w:tr w:rsidR="00ED2044" w14:paraId="3FD1721D" w14:textId="77777777" w:rsidTr="00C91744">
        <w:tc>
          <w:tcPr>
            <w:tcW w:w="3505" w:type="dxa"/>
            <w:vAlign w:val="center"/>
          </w:tcPr>
          <w:p w14:paraId="1EC6E957" w14:textId="77777777" w:rsidR="00ED2044" w:rsidRPr="0023049C" w:rsidRDefault="00ED2044" w:rsidP="00C91744">
            <w:pPr>
              <w:jc w:val="center"/>
              <w:rPr>
                <w:rFonts w:ascii="Times New Roman" w:hAnsi="Times New Roman" w:cs="Times New Roman"/>
                <w:bCs/>
                <w:sz w:val="24"/>
                <w:szCs w:val="24"/>
              </w:rPr>
            </w:pPr>
            <w:r w:rsidRPr="0023049C">
              <w:rPr>
                <w:rFonts w:ascii="Times New Roman" w:hAnsi="Times New Roman" w:cs="Times New Roman"/>
                <w:bCs/>
                <w:sz w:val="24"/>
                <w:szCs w:val="24"/>
              </w:rPr>
              <w:t>Levetiracetam</w:t>
            </w:r>
          </w:p>
        </w:tc>
        <w:tc>
          <w:tcPr>
            <w:tcW w:w="2970" w:type="dxa"/>
            <w:vAlign w:val="center"/>
          </w:tcPr>
          <w:p w14:paraId="4FF260E2"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48 (39.3%)</w:t>
            </w:r>
          </w:p>
        </w:tc>
        <w:tc>
          <w:tcPr>
            <w:tcW w:w="2875" w:type="dxa"/>
            <w:vAlign w:val="center"/>
          </w:tcPr>
          <w:p w14:paraId="207B935F"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42 (37.2%)</w:t>
            </w:r>
          </w:p>
        </w:tc>
      </w:tr>
      <w:tr w:rsidR="00ED2044" w14:paraId="69CCA9D3" w14:textId="77777777" w:rsidTr="00C91744">
        <w:tc>
          <w:tcPr>
            <w:tcW w:w="3505" w:type="dxa"/>
            <w:vAlign w:val="center"/>
          </w:tcPr>
          <w:p w14:paraId="61138AC4" w14:textId="77777777" w:rsidR="00ED2044" w:rsidRPr="0023049C" w:rsidRDefault="00ED2044" w:rsidP="00C91744">
            <w:pPr>
              <w:jc w:val="center"/>
              <w:rPr>
                <w:rFonts w:ascii="Times New Roman" w:hAnsi="Times New Roman" w:cs="Times New Roman"/>
                <w:bCs/>
                <w:sz w:val="24"/>
                <w:szCs w:val="24"/>
              </w:rPr>
            </w:pPr>
            <w:r w:rsidRPr="0023049C">
              <w:rPr>
                <w:rFonts w:ascii="Times New Roman" w:hAnsi="Times New Roman" w:cs="Times New Roman"/>
                <w:bCs/>
                <w:sz w:val="24"/>
                <w:szCs w:val="24"/>
              </w:rPr>
              <w:t>Valproic acid</w:t>
            </w:r>
          </w:p>
        </w:tc>
        <w:tc>
          <w:tcPr>
            <w:tcW w:w="2970" w:type="dxa"/>
            <w:vAlign w:val="center"/>
          </w:tcPr>
          <w:p w14:paraId="45BF5EF0"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43 (35.3%)</w:t>
            </w:r>
          </w:p>
        </w:tc>
        <w:tc>
          <w:tcPr>
            <w:tcW w:w="2875" w:type="dxa"/>
            <w:vAlign w:val="center"/>
          </w:tcPr>
          <w:p w14:paraId="59A9FFF1"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33 (29.2%)</w:t>
            </w:r>
          </w:p>
        </w:tc>
      </w:tr>
      <w:tr w:rsidR="00ED2044" w14:paraId="066CC43A" w14:textId="77777777" w:rsidTr="00C91744">
        <w:tc>
          <w:tcPr>
            <w:tcW w:w="3505" w:type="dxa"/>
            <w:vAlign w:val="center"/>
          </w:tcPr>
          <w:p w14:paraId="6B9BE55B" w14:textId="77777777" w:rsidR="00ED2044" w:rsidRPr="0023049C" w:rsidRDefault="00ED2044" w:rsidP="00C91744">
            <w:pPr>
              <w:jc w:val="center"/>
              <w:rPr>
                <w:rFonts w:ascii="Times New Roman" w:hAnsi="Times New Roman" w:cs="Times New Roman"/>
                <w:b/>
                <w:sz w:val="24"/>
                <w:szCs w:val="24"/>
              </w:rPr>
            </w:pPr>
            <w:r w:rsidRPr="0023049C">
              <w:rPr>
                <w:rFonts w:ascii="Times New Roman" w:hAnsi="Times New Roman" w:cs="Times New Roman"/>
                <w:b/>
                <w:sz w:val="24"/>
                <w:szCs w:val="24"/>
              </w:rPr>
              <w:t>Sex- n male (%)</w:t>
            </w:r>
          </w:p>
        </w:tc>
        <w:tc>
          <w:tcPr>
            <w:tcW w:w="2970" w:type="dxa"/>
            <w:vAlign w:val="center"/>
          </w:tcPr>
          <w:p w14:paraId="56BACEDD"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61 (50%)</w:t>
            </w:r>
          </w:p>
        </w:tc>
        <w:tc>
          <w:tcPr>
            <w:tcW w:w="2875" w:type="dxa"/>
            <w:vAlign w:val="center"/>
          </w:tcPr>
          <w:p w14:paraId="579EE966"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75 (66.4%)</w:t>
            </w:r>
          </w:p>
        </w:tc>
      </w:tr>
      <w:tr w:rsidR="00ED2044" w14:paraId="4E9BB123" w14:textId="77777777" w:rsidTr="00C91744">
        <w:tc>
          <w:tcPr>
            <w:tcW w:w="3505" w:type="dxa"/>
            <w:vAlign w:val="center"/>
          </w:tcPr>
          <w:p w14:paraId="15B09434" w14:textId="77777777" w:rsidR="00ED2044" w:rsidRPr="0023049C" w:rsidRDefault="00ED2044" w:rsidP="00C91744">
            <w:pPr>
              <w:jc w:val="center"/>
              <w:rPr>
                <w:rFonts w:ascii="Times New Roman" w:hAnsi="Times New Roman" w:cs="Times New Roman"/>
                <w:b/>
                <w:sz w:val="24"/>
                <w:szCs w:val="24"/>
              </w:rPr>
            </w:pPr>
            <w:r w:rsidRPr="0023049C">
              <w:rPr>
                <w:rFonts w:ascii="Times New Roman" w:hAnsi="Times New Roman" w:cs="Times New Roman"/>
                <w:b/>
                <w:sz w:val="24"/>
                <w:szCs w:val="24"/>
              </w:rPr>
              <w:t>Race- n (%)</w:t>
            </w:r>
          </w:p>
        </w:tc>
        <w:tc>
          <w:tcPr>
            <w:tcW w:w="5845" w:type="dxa"/>
            <w:gridSpan w:val="2"/>
            <w:vAlign w:val="center"/>
          </w:tcPr>
          <w:p w14:paraId="32324C09" w14:textId="77777777" w:rsidR="00ED2044" w:rsidRPr="007E4D52" w:rsidRDefault="00ED2044" w:rsidP="00C91744">
            <w:pPr>
              <w:jc w:val="center"/>
              <w:rPr>
                <w:rFonts w:ascii="Times New Roman" w:hAnsi="Times New Roman" w:cs="Times New Roman"/>
                <w:bCs/>
                <w:sz w:val="24"/>
                <w:szCs w:val="24"/>
              </w:rPr>
            </w:pPr>
          </w:p>
        </w:tc>
      </w:tr>
      <w:tr w:rsidR="00ED2044" w14:paraId="340C24F6" w14:textId="77777777" w:rsidTr="00C91744">
        <w:tc>
          <w:tcPr>
            <w:tcW w:w="3505" w:type="dxa"/>
            <w:vAlign w:val="center"/>
          </w:tcPr>
          <w:p w14:paraId="45E76A93" w14:textId="77777777" w:rsidR="00ED2044" w:rsidRPr="0023049C" w:rsidRDefault="00ED2044" w:rsidP="00C91744">
            <w:pPr>
              <w:jc w:val="center"/>
              <w:rPr>
                <w:rFonts w:ascii="Times New Roman" w:hAnsi="Times New Roman" w:cs="Times New Roman"/>
                <w:bCs/>
                <w:sz w:val="24"/>
                <w:szCs w:val="24"/>
              </w:rPr>
            </w:pPr>
            <w:r w:rsidRPr="0023049C">
              <w:rPr>
                <w:rFonts w:ascii="Times New Roman" w:hAnsi="Times New Roman" w:cs="Times New Roman"/>
                <w:bCs/>
                <w:sz w:val="24"/>
                <w:szCs w:val="24"/>
              </w:rPr>
              <w:t xml:space="preserve">Black </w:t>
            </w:r>
          </w:p>
        </w:tc>
        <w:tc>
          <w:tcPr>
            <w:tcW w:w="2970" w:type="dxa"/>
            <w:vAlign w:val="center"/>
          </w:tcPr>
          <w:p w14:paraId="59F06197"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60 (49.2%)</w:t>
            </w:r>
          </w:p>
        </w:tc>
        <w:tc>
          <w:tcPr>
            <w:tcW w:w="2875" w:type="dxa"/>
            <w:vAlign w:val="center"/>
          </w:tcPr>
          <w:p w14:paraId="75DCD60A"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57 (50.4%)</w:t>
            </w:r>
          </w:p>
        </w:tc>
      </w:tr>
      <w:tr w:rsidR="00ED2044" w14:paraId="2BA8E61B" w14:textId="77777777" w:rsidTr="00C91744">
        <w:tc>
          <w:tcPr>
            <w:tcW w:w="3505" w:type="dxa"/>
            <w:vAlign w:val="center"/>
          </w:tcPr>
          <w:p w14:paraId="50F2B76D" w14:textId="77777777" w:rsidR="00ED2044" w:rsidRPr="0023049C" w:rsidRDefault="00ED2044" w:rsidP="00C91744">
            <w:pPr>
              <w:jc w:val="center"/>
              <w:rPr>
                <w:rFonts w:ascii="Times New Roman" w:hAnsi="Times New Roman" w:cs="Times New Roman"/>
                <w:bCs/>
                <w:sz w:val="24"/>
                <w:szCs w:val="24"/>
              </w:rPr>
            </w:pPr>
            <w:r w:rsidRPr="0023049C">
              <w:rPr>
                <w:rFonts w:ascii="Times New Roman" w:hAnsi="Times New Roman" w:cs="Times New Roman"/>
                <w:bCs/>
                <w:sz w:val="24"/>
                <w:szCs w:val="24"/>
              </w:rPr>
              <w:t>White</w:t>
            </w:r>
          </w:p>
        </w:tc>
        <w:tc>
          <w:tcPr>
            <w:tcW w:w="2970" w:type="dxa"/>
            <w:vAlign w:val="center"/>
          </w:tcPr>
          <w:p w14:paraId="0A73A412"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43 (35.3%)</w:t>
            </w:r>
          </w:p>
        </w:tc>
        <w:tc>
          <w:tcPr>
            <w:tcW w:w="2875" w:type="dxa"/>
            <w:vAlign w:val="center"/>
          </w:tcPr>
          <w:p w14:paraId="116A075B"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48 (42.5%)</w:t>
            </w:r>
          </w:p>
        </w:tc>
      </w:tr>
      <w:tr w:rsidR="00ED2044" w14:paraId="19E5E00F" w14:textId="77777777" w:rsidTr="00C91744">
        <w:tc>
          <w:tcPr>
            <w:tcW w:w="3505" w:type="dxa"/>
            <w:vAlign w:val="center"/>
          </w:tcPr>
          <w:p w14:paraId="09906E8E" w14:textId="77777777" w:rsidR="00ED2044" w:rsidRPr="00DF0A6F" w:rsidRDefault="00ED2044" w:rsidP="00C91744">
            <w:pPr>
              <w:jc w:val="center"/>
              <w:rPr>
                <w:rFonts w:ascii="Times New Roman" w:hAnsi="Times New Roman" w:cs="Times New Roman"/>
                <w:bCs/>
                <w:sz w:val="24"/>
                <w:szCs w:val="24"/>
              </w:rPr>
            </w:pPr>
            <w:proofErr w:type="gramStart"/>
            <w:r w:rsidRPr="00DF0A6F">
              <w:rPr>
                <w:rFonts w:ascii="Times New Roman" w:hAnsi="Times New Roman" w:cs="Times New Roman"/>
                <w:bCs/>
                <w:sz w:val="24"/>
                <w:szCs w:val="24"/>
              </w:rPr>
              <w:t>Other</w:t>
            </w:r>
            <w:proofErr w:type="gramEnd"/>
            <w:r w:rsidRPr="00DF0A6F">
              <w:rPr>
                <w:rFonts w:ascii="Times New Roman" w:hAnsi="Times New Roman" w:cs="Times New Roman"/>
                <w:bCs/>
                <w:sz w:val="24"/>
                <w:szCs w:val="24"/>
              </w:rPr>
              <w:t>, &gt; 1 race, or unknown</w:t>
            </w:r>
          </w:p>
        </w:tc>
        <w:tc>
          <w:tcPr>
            <w:tcW w:w="2970" w:type="dxa"/>
            <w:vAlign w:val="center"/>
          </w:tcPr>
          <w:p w14:paraId="04EE01C6"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19 (15.6%)</w:t>
            </w:r>
          </w:p>
        </w:tc>
        <w:tc>
          <w:tcPr>
            <w:tcW w:w="2875" w:type="dxa"/>
            <w:vAlign w:val="center"/>
          </w:tcPr>
          <w:p w14:paraId="39C6C7A5"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8 (7.1%)</w:t>
            </w:r>
          </w:p>
        </w:tc>
      </w:tr>
      <w:tr w:rsidR="00ED2044" w14:paraId="2F4FF541" w14:textId="77777777" w:rsidTr="00C91744">
        <w:tc>
          <w:tcPr>
            <w:tcW w:w="3505" w:type="dxa"/>
            <w:vAlign w:val="center"/>
          </w:tcPr>
          <w:p w14:paraId="22D14E22" w14:textId="77777777" w:rsidR="00ED2044" w:rsidRPr="0023049C" w:rsidRDefault="00ED2044" w:rsidP="00C91744">
            <w:pPr>
              <w:jc w:val="center"/>
              <w:rPr>
                <w:rFonts w:ascii="Times New Roman" w:hAnsi="Times New Roman" w:cs="Times New Roman"/>
                <w:b/>
                <w:sz w:val="24"/>
                <w:szCs w:val="24"/>
              </w:rPr>
            </w:pPr>
            <w:r w:rsidRPr="0023049C">
              <w:rPr>
                <w:rFonts w:ascii="Times New Roman" w:hAnsi="Times New Roman" w:cs="Times New Roman"/>
                <w:b/>
                <w:sz w:val="24"/>
                <w:szCs w:val="24"/>
              </w:rPr>
              <w:t>Hispanic Ethnicity- n (%)</w:t>
            </w:r>
          </w:p>
        </w:tc>
        <w:tc>
          <w:tcPr>
            <w:tcW w:w="2970" w:type="dxa"/>
            <w:vAlign w:val="center"/>
          </w:tcPr>
          <w:p w14:paraId="52AF280C"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17 (13.9%)</w:t>
            </w:r>
          </w:p>
        </w:tc>
        <w:tc>
          <w:tcPr>
            <w:tcW w:w="2875" w:type="dxa"/>
            <w:vAlign w:val="center"/>
          </w:tcPr>
          <w:p w14:paraId="24A028F5" w14:textId="77777777" w:rsidR="00ED2044" w:rsidRPr="007E4D52" w:rsidRDefault="00ED2044" w:rsidP="00C91744">
            <w:pPr>
              <w:jc w:val="center"/>
              <w:rPr>
                <w:rFonts w:ascii="Times New Roman" w:hAnsi="Times New Roman" w:cs="Times New Roman"/>
                <w:bCs/>
                <w:sz w:val="24"/>
                <w:szCs w:val="24"/>
              </w:rPr>
            </w:pPr>
            <w:r>
              <w:rPr>
                <w:rFonts w:ascii="Times New Roman" w:hAnsi="Times New Roman" w:cs="Times New Roman"/>
                <w:bCs/>
                <w:sz w:val="24"/>
                <w:szCs w:val="24"/>
              </w:rPr>
              <w:t>9 (7.9%)</w:t>
            </w:r>
          </w:p>
        </w:tc>
      </w:tr>
    </w:tbl>
    <w:p w14:paraId="29808592" w14:textId="77777777" w:rsidR="00ED2044" w:rsidRPr="00171E26" w:rsidRDefault="00ED2044" w:rsidP="00ED2044">
      <w:pPr>
        <w:rPr>
          <w:rFonts w:ascii="Times New Roman" w:hAnsi="Times New Roman" w:cs="Times New Roman"/>
          <w:b/>
          <w:sz w:val="24"/>
          <w:szCs w:val="24"/>
        </w:rPr>
      </w:pPr>
    </w:p>
    <w:p w14:paraId="00F372DB" w14:textId="77777777" w:rsidR="009850A5" w:rsidRPr="00B96D91" w:rsidRDefault="009850A5" w:rsidP="00C90052">
      <w:pPr>
        <w:suppressLineNumbers/>
        <w:spacing w:line="480" w:lineRule="auto"/>
        <w:jc w:val="both"/>
        <w:rPr>
          <w:rFonts w:ascii="Times New Roman" w:hAnsi="Times New Roman" w:cs="Times New Roman"/>
          <w:color w:val="000000" w:themeColor="text1"/>
          <w:sz w:val="24"/>
          <w:szCs w:val="24"/>
        </w:rPr>
      </w:pPr>
    </w:p>
    <w:sectPr w:rsidR="009850A5" w:rsidRPr="00B96D91" w:rsidSect="00AD7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5732" w14:textId="77777777" w:rsidR="00617EBB" w:rsidRDefault="00617EBB" w:rsidP="00B90668">
      <w:pPr>
        <w:spacing w:after="0" w:line="240" w:lineRule="auto"/>
      </w:pPr>
      <w:r>
        <w:separator/>
      </w:r>
    </w:p>
  </w:endnote>
  <w:endnote w:type="continuationSeparator" w:id="0">
    <w:p w14:paraId="51A9BB6A" w14:textId="77777777" w:rsidR="00617EBB" w:rsidRDefault="00617EBB" w:rsidP="00B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B096" w14:textId="77777777" w:rsidR="00617EBB" w:rsidRDefault="00617EBB" w:rsidP="00B90668">
      <w:pPr>
        <w:spacing w:after="0" w:line="240" w:lineRule="auto"/>
      </w:pPr>
      <w:r>
        <w:separator/>
      </w:r>
    </w:p>
  </w:footnote>
  <w:footnote w:type="continuationSeparator" w:id="0">
    <w:p w14:paraId="21BD5848" w14:textId="77777777" w:rsidR="00617EBB" w:rsidRDefault="00617EBB" w:rsidP="00B9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571934"/>
      <w:docPartObj>
        <w:docPartGallery w:val="Page Numbers (Top of Page)"/>
        <w:docPartUnique/>
      </w:docPartObj>
    </w:sdtPr>
    <w:sdtEndPr>
      <w:rPr>
        <w:noProof/>
      </w:rPr>
    </w:sdtEndPr>
    <w:sdtContent>
      <w:p w14:paraId="232F6F40" w14:textId="3B0FC39D" w:rsidR="00B90668" w:rsidRDefault="00B90668">
        <w:pPr>
          <w:pStyle w:val="Header"/>
          <w:jc w:val="right"/>
        </w:pPr>
        <w:r>
          <w:t xml:space="preserve">Abhishek G. Sathe </w:t>
        </w:r>
        <w:r>
          <w:fldChar w:fldCharType="begin"/>
        </w:r>
        <w:r>
          <w:instrText xml:space="preserve"> PAGE   \* MERGEFORMAT </w:instrText>
        </w:r>
        <w:r>
          <w:fldChar w:fldCharType="separate"/>
        </w:r>
        <w:r>
          <w:rPr>
            <w:noProof/>
          </w:rPr>
          <w:t>2</w:t>
        </w:r>
        <w:r>
          <w:rPr>
            <w:noProof/>
          </w:rPr>
          <w:fldChar w:fldCharType="end"/>
        </w:r>
      </w:p>
    </w:sdtContent>
  </w:sdt>
  <w:p w14:paraId="7085DC22" w14:textId="77777777" w:rsidR="00B90668" w:rsidRDefault="00B9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3FDA"/>
    <w:multiLevelType w:val="hybridMultilevel"/>
    <w:tmpl w:val="C4E8B018"/>
    <w:lvl w:ilvl="0" w:tplc="F962C0CC">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F0351"/>
    <w:multiLevelType w:val="hybridMultilevel"/>
    <w:tmpl w:val="247E4EAA"/>
    <w:lvl w:ilvl="0" w:tplc="61D0DF8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91802"/>
    <w:multiLevelType w:val="multilevel"/>
    <w:tmpl w:val="7BB65186"/>
    <w:lvl w:ilvl="0">
      <w:numFmt w:val="decimal"/>
      <w:lvlText w:val="%1"/>
      <w:lvlJc w:val="left"/>
      <w:pPr>
        <w:ind w:left="420" w:hanging="420"/>
      </w:pPr>
      <w:rPr>
        <w:rFonts w:hint="default"/>
      </w:rPr>
    </w:lvl>
    <w:lvl w:ilvl="1">
      <w:start w:val="8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D242D4"/>
    <w:multiLevelType w:val="hybridMultilevel"/>
    <w:tmpl w:val="7E90E422"/>
    <w:lvl w:ilvl="0" w:tplc="CC8813B6">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665B4B"/>
    <w:multiLevelType w:val="hybridMultilevel"/>
    <w:tmpl w:val="49441CD8"/>
    <w:lvl w:ilvl="0" w:tplc="080295A6">
      <w:start w:val="1"/>
      <w:numFmt w:val="bullet"/>
      <w:lvlText w:val="•"/>
      <w:lvlJc w:val="left"/>
      <w:pPr>
        <w:tabs>
          <w:tab w:val="num" w:pos="720"/>
        </w:tabs>
        <w:ind w:left="720" w:hanging="360"/>
      </w:pPr>
      <w:rPr>
        <w:rFonts w:ascii="Arial" w:hAnsi="Arial" w:hint="default"/>
      </w:rPr>
    </w:lvl>
    <w:lvl w:ilvl="1" w:tplc="7C52EC56" w:tentative="1">
      <w:start w:val="1"/>
      <w:numFmt w:val="bullet"/>
      <w:lvlText w:val="•"/>
      <w:lvlJc w:val="left"/>
      <w:pPr>
        <w:tabs>
          <w:tab w:val="num" w:pos="1440"/>
        </w:tabs>
        <w:ind w:left="1440" w:hanging="360"/>
      </w:pPr>
      <w:rPr>
        <w:rFonts w:ascii="Arial" w:hAnsi="Arial" w:hint="default"/>
      </w:rPr>
    </w:lvl>
    <w:lvl w:ilvl="2" w:tplc="1D58253A" w:tentative="1">
      <w:start w:val="1"/>
      <w:numFmt w:val="bullet"/>
      <w:lvlText w:val="•"/>
      <w:lvlJc w:val="left"/>
      <w:pPr>
        <w:tabs>
          <w:tab w:val="num" w:pos="2160"/>
        </w:tabs>
        <w:ind w:left="2160" w:hanging="360"/>
      </w:pPr>
      <w:rPr>
        <w:rFonts w:ascii="Arial" w:hAnsi="Arial" w:hint="default"/>
      </w:rPr>
    </w:lvl>
    <w:lvl w:ilvl="3" w:tplc="9B104B76" w:tentative="1">
      <w:start w:val="1"/>
      <w:numFmt w:val="bullet"/>
      <w:lvlText w:val="•"/>
      <w:lvlJc w:val="left"/>
      <w:pPr>
        <w:tabs>
          <w:tab w:val="num" w:pos="2880"/>
        </w:tabs>
        <w:ind w:left="2880" w:hanging="360"/>
      </w:pPr>
      <w:rPr>
        <w:rFonts w:ascii="Arial" w:hAnsi="Arial" w:hint="default"/>
      </w:rPr>
    </w:lvl>
    <w:lvl w:ilvl="4" w:tplc="64B85AC8" w:tentative="1">
      <w:start w:val="1"/>
      <w:numFmt w:val="bullet"/>
      <w:lvlText w:val="•"/>
      <w:lvlJc w:val="left"/>
      <w:pPr>
        <w:tabs>
          <w:tab w:val="num" w:pos="3600"/>
        </w:tabs>
        <w:ind w:left="3600" w:hanging="360"/>
      </w:pPr>
      <w:rPr>
        <w:rFonts w:ascii="Arial" w:hAnsi="Arial" w:hint="default"/>
      </w:rPr>
    </w:lvl>
    <w:lvl w:ilvl="5" w:tplc="444EB6DC" w:tentative="1">
      <w:start w:val="1"/>
      <w:numFmt w:val="bullet"/>
      <w:lvlText w:val="•"/>
      <w:lvlJc w:val="left"/>
      <w:pPr>
        <w:tabs>
          <w:tab w:val="num" w:pos="4320"/>
        </w:tabs>
        <w:ind w:left="4320" w:hanging="360"/>
      </w:pPr>
      <w:rPr>
        <w:rFonts w:ascii="Arial" w:hAnsi="Arial" w:hint="default"/>
      </w:rPr>
    </w:lvl>
    <w:lvl w:ilvl="6" w:tplc="A950FF34" w:tentative="1">
      <w:start w:val="1"/>
      <w:numFmt w:val="bullet"/>
      <w:lvlText w:val="•"/>
      <w:lvlJc w:val="left"/>
      <w:pPr>
        <w:tabs>
          <w:tab w:val="num" w:pos="5040"/>
        </w:tabs>
        <w:ind w:left="5040" w:hanging="360"/>
      </w:pPr>
      <w:rPr>
        <w:rFonts w:ascii="Arial" w:hAnsi="Arial" w:hint="default"/>
      </w:rPr>
    </w:lvl>
    <w:lvl w:ilvl="7" w:tplc="2ED4048A" w:tentative="1">
      <w:start w:val="1"/>
      <w:numFmt w:val="bullet"/>
      <w:lvlText w:val="•"/>
      <w:lvlJc w:val="left"/>
      <w:pPr>
        <w:tabs>
          <w:tab w:val="num" w:pos="5760"/>
        </w:tabs>
        <w:ind w:left="5760" w:hanging="360"/>
      </w:pPr>
      <w:rPr>
        <w:rFonts w:ascii="Arial" w:hAnsi="Arial" w:hint="default"/>
      </w:rPr>
    </w:lvl>
    <w:lvl w:ilvl="8" w:tplc="7AA228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34684A"/>
    <w:multiLevelType w:val="hybridMultilevel"/>
    <w:tmpl w:val="B1D4C268"/>
    <w:lvl w:ilvl="0" w:tplc="7966D7E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05891"/>
    <w:multiLevelType w:val="hybridMultilevel"/>
    <w:tmpl w:val="01CAFF46"/>
    <w:lvl w:ilvl="0" w:tplc="BA748DD6">
      <w:start w:val="1"/>
      <w:numFmt w:val="bullet"/>
      <w:lvlText w:val="•"/>
      <w:lvlJc w:val="left"/>
      <w:pPr>
        <w:tabs>
          <w:tab w:val="num" w:pos="720"/>
        </w:tabs>
        <w:ind w:left="720" w:hanging="360"/>
      </w:pPr>
      <w:rPr>
        <w:rFonts w:ascii="Arial" w:hAnsi="Arial" w:hint="default"/>
      </w:rPr>
    </w:lvl>
    <w:lvl w:ilvl="1" w:tplc="D256ECC2" w:tentative="1">
      <w:start w:val="1"/>
      <w:numFmt w:val="bullet"/>
      <w:lvlText w:val="•"/>
      <w:lvlJc w:val="left"/>
      <w:pPr>
        <w:tabs>
          <w:tab w:val="num" w:pos="1440"/>
        </w:tabs>
        <w:ind w:left="1440" w:hanging="360"/>
      </w:pPr>
      <w:rPr>
        <w:rFonts w:ascii="Arial" w:hAnsi="Arial" w:hint="default"/>
      </w:rPr>
    </w:lvl>
    <w:lvl w:ilvl="2" w:tplc="6780FE14" w:tentative="1">
      <w:start w:val="1"/>
      <w:numFmt w:val="bullet"/>
      <w:lvlText w:val="•"/>
      <w:lvlJc w:val="left"/>
      <w:pPr>
        <w:tabs>
          <w:tab w:val="num" w:pos="2160"/>
        </w:tabs>
        <w:ind w:left="2160" w:hanging="360"/>
      </w:pPr>
      <w:rPr>
        <w:rFonts w:ascii="Arial" w:hAnsi="Arial" w:hint="default"/>
      </w:rPr>
    </w:lvl>
    <w:lvl w:ilvl="3" w:tplc="E5F6CC28" w:tentative="1">
      <w:start w:val="1"/>
      <w:numFmt w:val="bullet"/>
      <w:lvlText w:val="•"/>
      <w:lvlJc w:val="left"/>
      <w:pPr>
        <w:tabs>
          <w:tab w:val="num" w:pos="2880"/>
        </w:tabs>
        <w:ind w:left="2880" w:hanging="360"/>
      </w:pPr>
      <w:rPr>
        <w:rFonts w:ascii="Arial" w:hAnsi="Arial" w:hint="default"/>
      </w:rPr>
    </w:lvl>
    <w:lvl w:ilvl="4" w:tplc="AD24E310" w:tentative="1">
      <w:start w:val="1"/>
      <w:numFmt w:val="bullet"/>
      <w:lvlText w:val="•"/>
      <w:lvlJc w:val="left"/>
      <w:pPr>
        <w:tabs>
          <w:tab w:val="num" w:pos="3600"/>
        </w:tabs>
        <w:ind w:left="3600" w:hanging="360"/>
      </w:pPr>
      <w:rPr>
        <w:rFonts w:ascii="Arial" w:hAnsi="Arial" w:hint="default"/>
      </w:rPr>
    </w:lvl>
    <w:lvl w:ilvl="5" w:tplc="67E8A0C8" w:tentative="1">
      <w:start w:val="1"/>
      <w:numFmt w:val="bullet"/>
      <w:lvlText w:val="•"/>
      <w:lvlJc w:val="left"/>
      <w:pPr>
        <w:tabs>
          <w:tab w:val="num" w:pos="4320"/>
        </w:tabs>
        <w:ind w:left="4320" w:hanging="360"/>
      </w:pPr>
      <w:rPr>
        <w:rFonts w:ascii="Arial" w:hAnsi="Arial" w:hint="default"/>
      </w:rPr>
    </w:lvl>
    <w:lvl w:ilvl="6" w:tplc="BBFC41E4" w:tentative="1">
      <w:start w:val="1"/>
      <w:numFmt w:val="bullet"/>
      <w:lvlText w:val="•"/>
      <w:lvlJc w:val="left"/>
      <w:pPr>
        <w:tabs>
          <w:tab w:val="num" w:pos="5040"/>
        </w:tabs>
        <w:ind w:left="5040" w:hanging="360"/>
      </w:pPr>
      <w:rPr>
        <w:rFonts w:ascii="Arial" w:hAnsi="Arial" w:hint="default"/>
      </w:rPr>
    </w:lvl>
    <w:lvl w:ilvl="7" w:tplc="3E5A684A" w:tentative="1">
      <w:start w:val="1"/>
      <w:numFmt w:val="bullet"/>
      <w:lvlText w:val="•"/>
      <w:lvlJc w:val="left"/>
      <w:pPr>
        <w:tabs>
          <w:tab w:val="num" w:pos="5760"/>
        </w:tabs>
        <w:ind w:left="5760" w:hanging="360"/>
      </w:pPr>
      <w:rPr>
        <w:rFonts w:ascii="Arial" w:hAnsi="Arial" w:hint="default"/>
      </w:rPr>
    </w:lvl>
    <w:lvl w:ilvl="8" w:tplc="6A4C4B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2618F4"/>
    <w:multiLevelType w:val="hybridMultilevel"/>
    <w:tmpl w:val="550C074C"/>
    <w:lvl w:ilvl="0" w:tplc="940650F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A696D"/>
    <w:multiLevelType w:val="hybridMultilevel"/>
    <w:tmpl w:val="AFF0240A"/>
    <w:lvl w:ilvl="0" w:tplc="E9FCEBAC">
      <w:start w:val="1"/>
      <w:numFmt w:val="bullet"/>
      <w:lvlText w:val="•"/>
      <w:lvlJc w:val="left"/>
      <w:pPr>
        <w:tabs>
          <w:tab w:val="num" w:pos="720"/>
        </w:tabs>
        <w:ind w:left="720" w:hanging="360"/>
      </w:pPr>
      <w:rPr>
        <w:rFonts w:ascii="Arial" w:hAnsi="Arial" w:hint="default"/>
      </w:rPr>
    </w:lvl>
    <w:lvl w:ilvl="1" w:tplc="DFA43A54" w:tentative="1">
      <w:start w:val="1"/>
      <w:numFmt w:val="bullet"/>
      <w:lvlText w:val="•"/>
      <w:lvlJc w:val="left"/>
      <w:pPr>
        <w:tabs>
          <w:tab w:val="num" w:pos="1440"/>
        </w:tabs>
        <w:ind w:left="1440" w:hanging="360"/>
      </w:pPr>
      <w:rPr>
        <w:rFonts w:ascii="Arial" w:hAnsi="Arial" w:hint="default"/>
      </w:rPr>
    </w:lvl>
    <w:lvl w:ilvl="2" w:tplc="36AA63F8" w:tentative="1">
      <w:start w:val="1"/>
      <w:numFmt w:val="bullet"/>
      <w:lvlText w:val="•"/>
      <w:lvlJc w:val="left"/>
      <w:pPr>
        <w:tabs>
          <w:tab w:val="num" w:pos="2160"/>
        </w:tabs>
        <w:ind w:left="2160" w:hanging="360"/>
      </w:pPr>
      <w:rPr>
        <w:rFonts w:ascii="Arial" w:hAnsi="Arial" w:hint="default"/>
      </w:rPr>
    </w:lvl>
    <w:lvl w:ilvl="3" w:tplc="88EC4C92" w:tentative="1">
      <w:start w:val="1"/>
      <w:numFmt w:val="bullet"/>
      <w:lvlText w:val="•"/>
      <w:lvlJc w:val="left"/>
      <w:pPr>
        <w:tabs>
          <w:tab w:val="num" w:pos="2880"/>
        </w:tabs>
        <w:ind w:left="2880" w:hanging="360"/>
      </w:pPr>
      <w:rPr>
        <w:rFonts w:ascii="Arial" w:hAnsi="Arial" w:hint="default"/>
      </w:rPr>
    </w:lvl>
    <w:lvl w:ilvl="4" w:tplc="067E5378" w:tentative="1">
      <w:start w:val="1"/>
      <w:numFmt w:val="bullet"/>
      <w:lvlText w:val="•"/>
      <w:lvlJc w:val="left"/>
      <w:pPr>
        <w:tabs>
          <w:tab w:val="num" w:pos="3600"/>
        </w:tabs>
        <w:ind w:left="3600" w:hanging="360"/>
      </w:pPr>
      <w:rPr>
        <w:rFonts w:ascii="Arial" w:hAnsi="Arial" w:hint="default"/>
      </w:rPr>
    </w:lvl>
    <w:lvl w:ilvl="5" w:tplc="8B8E3ECE" w:tentative="1">
      <w:start w:val="1"/>
      <w:numFmt w:val="bullet"/>
      <w:lvlText w:val="•"/>
      <w:lvlJc w:val="left"/>
      <w:pPr>
        <w:tabs>
          <w:tab w:val="num" w:pos="4320"/>
        </w:tabs>
        <w:ind w:left="4320" w:hanging="360"/>
      </w:pPr>
      <w:rPr>
        <w:rFonts w:ascii="Arial" w:hAnsi="Arial" w:hint="default"/>
      </w:rPr>
    </w:lvl>
    <w:lvl w:ilvl="6" w:tplc="D362EC2E" w:tentative="1">
      <w:start w:val="1"/>
      <w:numFmt w:val="bullet"/>
      <w:lvlText w:val="•"/>
      <w:lvlJc w:val="left"/>
      <w:pPr>
        <w:tabs>
          <w:tab w:val="num" w:pos="5040"/>
        </w:tabs>
        <w:ind w:left="5040" w:hanging="360"/>
      </w:pPr>
      <w:rPr>
        <w:rFonts w:ascii="Arial" w:hAnsi="Arial" w:hint="default"/>
      </w:rPr>
    </w:lvl>
    <w:lvl w:ilvl="7" w:tplc="5EE4CCF6" w:tentative="1">
      <w:start w:val="1"/>
      <w:numFmt w:val="bullet"/>
      <w:lvlText w:val="•"/>
      <w:lvlJc w:val="left"/>
      <w:pPr>
        <w:tabs>
          <w:tab w:val="num" w:pos="5760"/>
        </w:tabs>
        <w:ind w:left="5760" w:hanging="360"/>
      </w:pPr>
      <w:rPr>
        <w:rFonts w:ascii="Arial" w:hAnsi="Arial" w:hint="default"/>
      </w:rPr>
    </w:lvl>
    <w:lvl w:ilvl="8" w:tplc="7E2E08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DB5B49"/>
    <w:multiLevelType w:val="hybridMultilevel"/>
    <w:tmpl w:val="A5EA78D0"/>
    <w:lvl w:ilvl="0" w:tplc="5C9E84B6">
      <w:start w:val="1"/>
      <w:numFmt w:val="bullet"/>
      <w:lvlText w:val="•"/>
      <w:lvlJc w:val="left"/>
      <w:pPr>
        <w:tabs>
          <w:tab w:val="num" w:pos="720"/>
        </w:tabs>
        <w:ind w:left="720" w:hanging="360"/>
      </w:pPr>
      <w:rPr>
        <w:rFonts w:ascii="Arial" w:hAnsi="Arial" w:hint="default"/>
      </w:rPr>
    </w:lvl>
    <w:lvl w:ilvl="1" w:tplc="9D06A016">
      <w:start w:val="16725"/>
      <w:numFmt w:val="bullet"/>
      <w:lvlText w:val="•"/>
      <w:lvlJc w:val="left"/>
      <w:pPr>
        <w:tabs>
          <w:tab w:val="num" w:pos="1440"/>
        </w:tabs>
        <w:ind w:left="1440" w:hanging="360"/>
      </w:pPr>
      <w:rPr>
        <w:rFonts w:ascii="Arial" w:hAnsi="Arial" w:hint="default"/>
      </w:rPr>
    </w:lvl>
    <w:lvl w:ilvl="2" w:tplc="D35AACFA" w:tentative="1">
      <w:start w:val="1"/>
      <w:numFmt w:val="bullet"/>
      <w:lvlText w:val="•"/>
      <w:lvlJc w:val="left"/>
      <w:pPr>
        <w:tabs>
          <w:tab w:val="num" w:pos="2160"/>
        </w:tabs>
        <w:ind w:left="2160" w:hanging="360"/>
      </w:pPr>
      <w:rPr>
        <w:rFonts w:ascii="Arial" w:hAnsi="Arial" w:hint="default"/>
      </w:rPr>
    </w:lvl>
    <w:lvl w:ilvl="3" w:tplc="996646D2" w:tentative="1">
      <w:start w:val="1"/>
      <w:numFmt w:val="bullet"/>
      <w:lvlText w:val="•"/>
      <w:lvlJc w:val="left"/>
      <w:pPr>
        <w:tabs>
          <w:tab w:val="num" w:pos="2880"/>
        </w:tabs>
        <w:ind w:left="2880" w:hanging="360"/>
      </w:pPr>
      <w:rPr>
        <w:rFonts w:ascii="Arial" w:hAnsi="Arial" w:hint="default"/>
      </w:rPr>
    </w:lvl>
    <w:lvl w:ilvl="4" w:tplc="77F42610" w:tentative="1">
      <w:start w:val="1"/>
      <w:numFmt w:val="bullet"/>
      <w:lvlText w:val="•"/>
      <w:lvlJc w:val="left"/>
      <w:pPr>
        <w:tabs>
          <w:tab w:val="num" w:pos="3600"/>
        </w:tabs>
        <w:ind w:left="3600" w:hanging="360"/>
      </w:pPr>
      <w:rPr>
        <w:rFonts w:ascii="Arial" w:hAnsi="Arial" w:hint="default"/>
      </w:rPr>
    </w:lvl>
    <w:lvl w:ilvl="5" w:tplc="A3E290BE" w:tentative="1">
      <w:start w:val="1"/>
      <w:numFmt w:val="bullet"/>
      <w:lvlText w:val="•"/>
      <w:lvlJc w:val="left"/>
      <w:pPr>
        <w:tabs>
          <w:tab w:val="num" w:pos="4320"/>
        </w:tabs>
        <w:ind w:left="4320" w:hanging="360"/>
      </w:pPr>
      <w:rPr>
        <w:rFonts w:ascii="Arial" w:hAnsi="Arial" w:hint="default"/>
      </w:rPr>
    </w:lvl>
    <w:lvl w:ilvl="6" w:tplc="7520EC22" w:tentative="1">
      <w:start w:val="1"/>
      <w:numFmt w:val="bullet"/>
      <w:lvlText w:val="•"/>
      <w:lvlJc w:val="left"/>
      <w:pPr>
        <w:tabs>
          <w:tab w:val="num" w:pos="5040"/>
        </w:tabs>
        <w:ind w:left="5040" w:hanging="360"/>
      </w:pPr>
      <w:rPr>
        <w:rFonts w:ascii="Arial" w:hAnsi="Arial" w:hint="default"/>
      </w:rPr>
    </w:lvl>
    <w:lvl w:ilvl="7" w:tplc="520E6F5C" w:tentative="1">
      <w:start w:val="1"/>
      <w:numFmt w:val="bullet"/>
      <w:lvlText w:val="•"/>
      <w:lvlJc w:val="left"/>
      <w:pPr>
        <w:tabs>
          <w:tab w:val="num" w:pos="5760"/>
        </w:tabs>
        <w:ind w:left="5760" w:hanging="360"/>
      </w:pPr>
      <w:rPr>
        <w:rFonts w:ascii="Arial" w:hAnsi="Arial" w:hint="default"/>
      </w:rPr>
    </w:lvl>
    <w:lvl w:ilvl="8" w:tplc="90105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657B4E"/>
    <w:multiLevelType w:val="hybridMultilevel"/>
    <w:tmpl w:val="81FA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8244E"/>
    <w:multiLevelType w:val="hybridMultilevel"/>
    <w:tmpl w:val="34145B12"/>
    <w:lvl w:ilvl="0" w:tplc="C3AC186C">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232DF"/>
    <w:multiLevelType w:val="hybridMultilevel"/>
    <w:tmpl w:val="8EC2349C"/>
    <w:lvl w:ilvl="0" w:tplc="B15A40FA">
      <w:start w:val="1"/>
      <w:numFmt w:val="bullet"/>
      <w:lvlText w:val="•"/>
      <w:lvlJc w:val="left"/>
      <w:pPr>
        <w:tabs>
          <w:tab w:val="num" w:pos="720"/>
        </w:tabs>
        <w:ind w:left="720" w:hanging="360"/>
      </w:pPr>
      <w:rPr>
        <w:rFonts w:ascii="Arial" w:hAnsi="Arial" w:hint="default"/>
      </w:rPr>
    </w:lvl>
    <w:lvl w:ilvl="1" w:tplc="1A7095FE" w:tentative="1">
      <w:start w:val="1"/>
      <w:numFmt w:val="bullet"/>
      <w:lvlText w:val="•"/>
      <w:lvlJc w:val="left"/>
      <w:pPr>
        <w:tabs>
          <w:tab w:val="num" w:pos="1440"/>
        </w:tabs>
        <w:ind w:left="1440" w:hanging="360"/>
      </w:pPr>
      <w:rPr>
        <w:rFonts w:ascii="Arial" w:hAnsi="Arial" w:hint="default"/>
      </w:rPr>
    </w:lvl>
    <w:lvl w:ilvl="2" w:tplc="BDD8922E" w:tentative="1">
      <w:start w:val="1"/>
      <w:numFmt w:val="bullet"/>
      <w:lvlText w:val="•"/>
      <w:lvlJc w:val="left"/>
      <w:pPr>
        <w:tabs>
          <w:tab w:val="num" w:pos="2160"/>
        </w:tabs>
        <w:ind w:left="2160" w:hanging="360"/>
      </w:pPr>
      <w:rPr>
        <w:rFonts w:ascii="Arial" w:hAnsi="Arial" w:hint="default"/>
      </w:rPr>
    </w:lvl>
    <w:lvl w:ilvl="3" w:tplc="7C847C06" w:tentative="1">
      <w:start w:val="1"/>
      <w:numFmt w:val="bullet"/>
      <w:lvlText w:val="•"/>
      <w:lvlJc w:val="left"/>
      <w:pPr>
        <w:tabs>
          <w:tab w:val="num" w:pos="2880"/>
        </w:tabs>
        <w:ind w:left="2880" w:hanging="360"/>
      </w:pPr>
      <w:rPr>
        <w:rFonts w:ascii="Arial" w:hAnsi="Arial" w:hint="default"/>
      </w:rPr>
    </w:lvl>
    <w:lvl w:ilvl="4" w:tplc="509AA79C" w:tentative="1">
      <w:start w:val="1"/>
      <w:numFmt w:val="bullet"/>
      <w:lvlText w:val="•"/>
      <w:lvlJc w:val="left"/>
      <w:pPr>
        <w:tabs>
          <w:tab w:val="num" w:pos="3600"/>
        </w:tabs>
        <w:ind w:left="3600" w:hanging="360"/>
      </w:pPr>
      <w:rPr>
        <w:rFonts w:ascii="Arial" w:hAnsi="Arial" w:hint="default"/>
      </w:rPr>
    </w:lvl>
    <w:lvl w:ilvl="5" w:tplc="A224A628" w:tentative="1">
      <w:start w:val="1"/>
      <w:numFmt w:val="bullet"/>
      <w:lvlText w:val="•"/>
      <w:lvlJc w:val="left"/>
      <w:pPr>
        <w:tabs>
          <w:tab w:val="num" w:pos="4320"/>
        </w:tabs>
        <w:ind w:left="4320" w:hanging="360"/>
      </w:pPr>
      <w:rPr>
        <w:rFonts w:ascii="Arial" w:hAnsi="Arial" w:hint="default"/>
      </w:rPr>
    </w:lvl>
    <w:lvl w:ilvl="6" w:tplc="EADEF9AA" w:tentative="1">
      <w:start w:val="1"/>
      <w:numFmt w:val="bullet"/>
      <w:lvlText w:val="•"/>
      <w:lvlJc w:val="left"/>
      <w:pPr>
        <w:tabs>
          <w:tab w:val="num" w:pos="5040"/>
        </w:tabs>
        <w:ind w:left="5040" w:hanging="360"/>
      </w:pPr>
      <w:rPr>
        <w:rFonts w:ascii="Arial" w:hAnsi="Arial" w:hint="default"/>
      </w:rPr>
    </w:lvl>
    <w:lvl w:ilvl="7" w:tplc="8A60F5AA" w:tentative="1">
      <w:start w:val="1"/>
      <w:numFmt w:val="bullet"/>
      <w:lvlText w:val="•"/>
      <w:lvlJc w:val="left"/>
      <w:pPr>
        <w:tabs>
          <w:tab w:val="num" w:pos="5760"/>
        </w:tabs>
        <w:ind w:left="5760" w:hanging="360"/>
      </w:pPr>
      <w:rPr>
        <w:rFonts w:ascii="Arial" w:hAnsi="Arial" w:hint="default"/>
      </w:rPr>
    </w:lvl>
    <w:lvl w:ilvl="8" w:tplc="0DAAA9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824CCD"/>
    <w:multiLevelType w:val="hybridMultilevel"/>
    <w:tmpl w:val="40462A38"/>
    <w:lvl w:ilvl="0" w:tplc="F8E4F606">
      <w:start w:val="1"/>
      <w:numFmt w:val="bullet"/>
      <w:lvlText w:val="•"/>
      <w:lvlJc w:val="left"/>
      <w:pPr>
        <w:tabs>
          <w:tab w:val="num" w:pos="720"/>
        </w:tabs>
        <w:ind w:left="720" w:hanging="360"/>
      </w:pPr>
      <w:rPr>
        <w:rFonts w:ascii="Arial" w:hAnsi="Arial" w:hint="default"/>
      </w:rPr>
    </w:lvl>
    <w:lvl w:ilvl="1" w:tplc="D652A01C" w:tentative="1">
      <w:start w:val="1"/>
      <w:numFmt w:val="bullet"/>
      <w:lvlText w:val="•"/>
      <w:lvlJc w:val="left"/>
      <w:pPr>
        <w:tabs>
          <w:tab w:val="num" w:pos="1440"/>
        </w:tabs>
        <w:ind w:left="1440" w:hanging="360"/>
      </w:pPr>
      <w:rPr>
        <w:rFonts w:ascii="Arial" w:hAnsi="Arial" w:hint="default"/>
      </w:rPr>
    </w:lvl>
    <w:lvl w:ilvl="2" w:tplc="D15C7338" w:tentative="1">
      <w:start w:val="1"/>
      <w:numFmt w:val="bullet"/>
      <w:lvlText w:val="•"/>
      <w:lvlJc w:val="left"/>
      <w:pPr>
        <w:tabs>
          <w:tab w:val="num" w:pos="2160"/>
        </w:tabs>
        <w:ind w:left="2160" w:hanging="360"/>
      </w:pPr>
      <w:rPr>
        <w:rFonts w:ascii="Arial" w:hAnsi="Arial" w:hint="default"/>
      </w:rPr>
    </w:lvl>
    <w:lvl w:ilvl="3" w:tplc="CC94EE86" w:tentative="1">
      <w:start w:val="1"/>
      <w:numFmt w:val="bullet"/>
      <w:lvlText w:val="•"/>
      <w:lvlJc w:val="left"/>
      <w:pPr>
        <w:tabs>
          <w:tab w:val="num" w:pos="2880"/>
        </w:tabs>
        <w:ind w:left="2880" w:hanging="360"/>
      </w:pPr>
      <w:rPr>
        <w:rFonts w:ascii="Arial" w:hAnsi="Arial" w:hint="default"/>
      </w:rPr>
    </w:lvl>
    <w:lvl w:ilvl="4" w:tplc="4ADAE0C4" w:tentative="1">
      <w:start w:val="1"/>
      <w:numFmt w:val="bullet"/>
      <w:lvlText w:val="•"/>
      <w:lvlJc w:val="left"/>
      <w:pPr>
        <w:tabs>
          <w:tab w:val="num" w:pos="3600"/>
        </w:tabs>
        <w:ind w:left="3600" w:hanging="360"/>
      </w:pPr>
      <w:rPr>
        <w:rFonts w:ascii="Arial" w:hAnsi="Arial" w:hint="default"/>
      </w:rPr>
    </w:lvl>
    <w:lvl w:ilvl="5" w:tplc="63623766" w:tentative="1">
      <w:start w:val="1"/>
      <w:numFmt w:val="bullet"/>
      <w:lvlText w:val="•"/>
      <w:lvlJc w:val="left"/>
      <w:pPr>
        <w:tabs>
          <w:tab w:val="num" w:pos="4320"/>
        </w:tabs>
        <w:ind w:left="4320" w:hanging="360"/>
      </w:pPr>
      <w:rPr>
        <w:rFonts w:ascii="Arial" w:hAnsi="Arial" w:hint="default"/>
      </w:rPr>
    </w:lvl>
    <w:lvl w:ilvl="6" w:tplc="9AB2123C" w:tentative="1">
      <w:start w:val="1"/>
      <w:numFmt w:val="bullet"/>
      <w:lvlText w:val="•"/>
      <w:lvlJc w:val="left"/>
      <w:pPr>
        <w:tabs>
          <w:tab w:val="num" w:pos="5040"/>
        </w:tabs>
        <w:ind w:left="5040" w:hanging="360"/>
      </w:pPr>
      <w:rPr>
        <w:rFonts w:ascii="Arial" w:hAnsi="Arial" w:hint="default"/>
      </w:rPr>
    </w:lvl>
    <w:lvl w:ilvl="7" w:tplc="C4626D00" w:tentative="1">
      <w:start w:val="1"/>
      <w:numFmt w:val="bullet"/>
      <w:lvlText w:val="•"/>
      <w:lvlJc w:val="left"/>
      <w:pPr>
        <w:tabs>
          <w:tab w:val="num" w:pos="5760"/>
        </w:tabs>
        <w:ind w:left="5760" w:hanging="360"/>
      </w:pPr>
      <w:rPr>
        <w:rFonts w:ascii="Arial" w:hAnsi="Arial" w:hint="default"/>
      </w:rPr>
    </w:lvl>
    <w:lvl w:ilvl="8" w:tplc="F85C9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652F48"/>
    <w:multiLevelType w:val="hybridMultilevel"/>
    <w:tmpl w:val="A43E69AE"/>
    <w:lvl w:ilvl="0" w:tplc="EFAAF32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F6B8E"/>
    <w:multiLevelType w:val="hybridMultilevel"/>
    <w:tmpl w:val="0F300C4E"/>
    <w:lvl w:ilvl="0" w:tplc="22543AE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4"/>
  </w:num>
  <w:num w:numId="6">
    <w:abstractNumId w:val="12"/>
  </w:num>
  <w:num w:numId="7">
    <w:abstractNumId w:val="10"/>
  </w:num>
  <w:num w:numId="8">
    <w:abstractNumId w:val="14"/>
  </w:num>
  <w:num w:numId="9">
    <w:abstractNumId w:val="7"/>
  </w:num>
  <w:num w:numId="10">
    <w:abstractNumId w:val="2"/>
  </w:num>
  <w:num w:numId="11">
    <w:abstractNumId w:val="1"/>
  </w:num>
  <w:num w:numId="12">
    <w:abstractNumId w:val="0"/>
  </w:num>
  <w:num w:numId="13">
    <w:abstractNumId w:val="3"/>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D3"/>
    <w:rsid w:val="00002AB8"/>
    <w:rsid w:val="00004F44"/>
    <w:rsid w:val="00005AE8"/>
    <w:rsid w:val="000125F1"/>
    <w:rsid w:val="0001566D"/>
    <w:rsid w:val="000156E5"/>
    <w:rsid w:val="00030A06"/>
    <w:rsid w:val="00041D66"/>
    <w:rsid w:val="00044050"/>
    <w:rsid w:val="000443B9"/>
    <w:rsid w:val="00057CF8"/>
    <w:rsid w:val="00061B70"/>
    <w:rsid w:val="000638B0"/>
    <w:rsid w:val="00064BAF"/>
    <w:rsid w:val="00066B7E"/>
    <w:rsid w:val="0007271E"/>
    <w:rsid w:val="000744E7"/>
    <w:rsid w:val="000B5790"/>
    <w:rsid w:val="000B6A9D"/>
    <w:rsid w:val="000C0A20"/>
    <w:rsid w:val="000E06C7"/>
    <w:rsid w:val="000E4633"/>
    <w:rsid w:val="000E7BD3"/>
    <w:rsid w:val="00100F77"/>
    <w:rsid w:val="00115592"/>
    <w:rsid w:val="00116E14"/>
    <w:rsid w:val="001174B9"/>
    <w:rsid w:val="00132BCE"/>
    <w:rsid w:val="00134C1C"/>
    <w:rsid w:val="00143125"/>
    <w:rsid w:val="00143923"/>
    <w:rsid w:val="00143D17"/>
    <w:rsid w:val="00143F46"/>
    <w:rsid w:val="00143F6E"/>
    <w:rsid w:val="0015136A"/>
    <w:rsid w:val="00156353"/>
    <w:rsid w:val="001626C1"/>
    <w:rsid w:val="001705C5"/>
    <w:rsid w:val="00171E26"/>
    <w:rsid w:val="0017761F"/>
    <w:rsid w:val="001916AB"/>
    <w:rsid w:val="001939B7"/>
    <w:rsid w:val="001963DE"/>
    <w:rsid w:val="00196D24"/>
    <w:rsid w:val="00197AC7"/>
    <w:rsid w:val="001A1524"/>
    <w:rsid w:val="001A2861"/>
    <w:rsid w:val="001A2AAC"/>
    <w:rsid w:val="001A2F7A"/>
    <w:rsid w:val="001C0357"/>
    <w:rsid w:val="001C6217"/>
    <w:rsid w:val="001D53BD"/>
    <w:rsid w:val="001D7474"/>
    <w:rsid w:val="001E2F9A"/>
    <w:rsid w:val="001E3551"/>
    <w:rsid w:val="001F1E9A"/>
    <w:rsid w:val="001F22BF"/>
    <w:rsid w:val="0020316B"/>
    <w:rsid w:val="002076B6"/>
    <w:rsid w:val="00210E42"/>
    <w:rsid w:val="00224ACC"/>
    <w:rsid w:val="0023049C"/>
    <w:rsid w:val="0023192B"/>
    <w:rsid w:val="00231CAA"/>
    <w:rsid w:val="00232219"/>
    <w:rsid w:val="002325CC"/>
    <w:rsid w:val="002372C2"/>
    <w:rsid w:val="00237903"/>
    <w:rsid w:val="00241087"/>
    <w:rsid w:val="00242A29"/>
    <w:rsid w:val="00246D98"/>
    <w:rsid w:val="002505B7"/>
    <w:rsid w:val="0025106C"/>
    <w:rsid w:val="002630FA"/>
    <w:rsid w:val="002734D9"/>
    <w:rsid w:val="00274A3E"/>
    <w:rsid w:val="002815E8"/>
    <w:rsid w:val="00286D69"/>
    <w:rsid w:val="00286F47"/>
    <w:rsid w:val="00293472"/>
    <w:rsid w:val="002A3B5A"/>
    <w:rsid w:val="002A77EF"/>
    <w:rsid w:val="002C09B9"/>
    <w:rsid w:val="002C0C24"/>
    <w:rsid w:val="002D05FF"/>
    <w:rsid w:val="002E4C60"/>
    <w:rsid w:val="002E582D"/>
    <w:rsid w:val="002E6846"/>
    <w:rsid w:val="002F1F98"/>
    <w:rsid w:val="002F54FB"/>
    <w:rsid w:val="003036AE"/>
    <w:rsid w:val="00307081"/>
    <w:rsid w:val="00311A42"/>
    <w:rsid w:val="00312BCC"/>
    <w:rsid w:val="00317C0F"/>
    <w:rsid w:val="0032008A"/>
    <w:rsid w:val="00327F12"/>
    <w:rsid w:val="003311E5"/>
    <w:rsid w:val="00335804"/>
    <w:rsid w:val="00335F8C"/>
    <w:rsid w:val="00336313"/>
    <w:rsid w:val="003436ED"/>
    <w:rsid w:val="0034461D"/>
    <w:rsid w:val="00346A5F"/>
    <w:rsid w:val="003572D3"/>
    <w:rsid w:val="003653FF"/>
    <w:rsid w:val="0037459D"/>
    <w:rsid w:val="00376B92"/>
    <w:rsid w:val="00377C7A"/>
    <w:rsid w:val="00381C34"/>
    <w:rsid w:val="003832BC"/>
    <w:rsid w:val="00391C90"/>
    <w:rsid w:val="00392E48"/>
    <w:rsid w:val="003A19F8"/>
    <w:rsid w:val="003A31C5"/>
    <w:rsid w:val="003A3A80"/>
    <w:rsid w:val="003A5EA1"/>
    <w:rsid w:val="003C604A"/>
    <w:rsid w:val="003D06F1"/>
    <w:rsid w:val="003E36FD"/>
    <w:rsid w:val="003F1DAC"/>
    <w:rsid w:val="003F2A75"/>
    <w:rsid w:val="004048E9"/>
    <w:rsid w:val="00411D56"/>
    <w:rsid w:val="00414466"/>
    <w:rsid w:val="004227AB"/>
    <w:rsid w:val="00434CE9"/>
    <w:rsid w:val="004405FB"/>
    <w:rsid w:val="004422C3"/>
    <w:rsid w:val="00442964"/>
    <w:rsid w:val="00454E09"/>
    <w:rsid w:val="00462307"/>
    <w:rsid w:val="004626C0"/>
    <w:rsid w:val="00462E44"/>
    <w:rsid w:val="00464FE7"/>
    <w:rsid w:val="004665B7"/>
    <w:rsid w:val="00477A6D"/>
    <w:rsid w:val="00477AA0"/>
    <w:rsid w:val="00482B1F"/>
    <w:rsid w:val="004A01F3"/>
    <w:rsid w:val="004A3FCA"/>
    <w:rsid w:val="004A58AD"/>
    <w:rsid w:val="004A622D"/>
    <w:rsid w:val="004B1C89"/>
    <w:rsid w:val="004B6757"/>
    <w:rsid w:val="004C07A5"/>
    <w:rsid w:val="004D144F"/>
    <w:rsid w:val="004D409A"/>
    <w:rsid w:val="004D6473"/>
    <w:rsid w:val="004E0A78"/>
    <w:rsid w:val="004E45BE"/>
    <w:rsid w:val="00502C61"/>
    <w:rsid w:val="005100A5"/>
    <w:rsid w:val="00511EBB"/>
    <w:rsid w:val="0051753A"/>
    <w:rsid w:val="005253C6"/>
    <w:rsid w:val="0052687C"/>
    <w:rsid w:val="00541A2B"/>
    <w:rsid w:val="00543446"/>
    <w:rsid w:val="005479C4"/>
    <w:rsid w:val="00553EAA"/>
    <w:rsid w:val="005627C7"/>
    <w:rsid w:val="00572205"/>
    <w:rsid w:val="00572F95"/>
    <w:rsid w:val="00574277"/>
    <w:rsid w:val="00576CA1"/>
    <w:rsid w:val="00581E18"/>
    <w:rsid w:val="00585C62"/>
    <w:rsid w:val="005870DD"/>
    <w:rsid w:val="005B3F2B"/>
    <w:rsid w:val="005C182E"/>
    <w:rsid w:val="005C6649"/>
    <w:rsid w:val="005D3B74"/>
    <w:rsid w:val="005F163E"/>
    <w:rsid w:val="005F2FEF"/>
    <w:rsid w:val="00606A01"/>
    <w:rsid w:val="00617698"/>
    <w:rsid w:val="00617EBB"/>
    <w:rsid w:val="0062200E"/>
    <w:rsid w:val="00627F04"/>
    <w:rsid w:val="006301E3"/>
    <w:rsid w:val="0063054C"/>
    <w:rsid w:val="0063062F"/>
    <w:rsid w:val="006365EF"/>
    <w:rsid w:val="00637EB7"/>
    <w:rsid w:val="006415D0"/>
    <w:rsid w:val="00642810"/>
    <w:rsid w:val="00643543"/>
    <w:rsid w:val="0064475F"/>
    <w:rsid w:val="006463C6"/>
    <w:rsid w:val="00651275"/>
    <w:rsid w:val="006512ED"/>
    <w:rsid w:val="00651F63"/>
    <w:rsid w:val="0065295E"/>
    <w:rsid w:val="00652BCF"/>
    <w:rsid w:val="0065427D"/>
    <w:rsid w:val="00655E8E"/>
    <w:rsid w:val="00672E12"/>
    <w:rsid w:val="00674CA2"/>
    <w:rsid w:val="006837BC"/>
    <w:rsid w:val="00683C9B"/>
    <w:rsid w:val="00687B96"/>
    <w:rsid w:val="0069437D"/>
    <w:rsid w:val="006A5463"/>
    <w:rsid w:val="006A6AF2"/>
    <w:rsid w:val="006A7781"/>
    <w:rsid w:val="006A7940"/>
    <w:rsid w:val="006B434E"/>
    <w:rsid w:val="006B5EA0"/>
    <w:rsid w:val="006C3A30"/>
    <w:rsid w:val="006C548A"/>
    <w:rsid w:val="006E6930"/>
    <w:rsid w:val="006E7CF7"/>
    <w:rsid w:val="006F1C74"/>
    <w:rsid w:val="006F53EC"/>
    <w:rsid w:val="006F7F51"/>
    <w:rsid w:val="007048F6"/>
    <w:rsid w:val="00704A22"/>
    <w:rsid w:val="007103B1"/>
    <w:rsid w:val="007175FF"/>
    <w:rsid w:val="00722627"/>
    <w:rsid w:val="00725D5B"/>
    <w:rsid w:val="00742AF9"/>
    <w:rsid w:val="00747E4A"/>
    <w:rsid w:val="007519EF"/>
    <w:rsid w:val="00751CB5"/>
    <w:rsid w:val="007575BE"/>
    <w:rsid w:val="00770048"/>
    <w:rsid w:val="00771118"/>
    <w:rsid w:val="0077306D"/>
    <w:rsid w:val="00776DBA"/>
    <w:rsid w:val="0079424C"/>
    <w:rsid w:val="00796715"/>
    <w:rsid w:val="00797631"/>
    <w:rsid w:val="007A35FB"/>
    <w:rsid w:val="007A68EF"/>
    <w:rsid w:val="007C6325"/>
    <w:rsid w:val="007D10AB"/>
    <w:rsid w:val="007D1C36"/>
    <w:rsid w:val="007E4D52"/>
    <w:rsid w:val="007F108C"/>
    <w:rsid w:val="007F1EC5"/>
    <w:rsid w:val="007F5C0F"/>
    <w:rsid w:val="00801256"/>
    <w:rsid w:val="00804123"/>
    <w:rsid w:val="00810609"/>
    <w:rsid w:val="00813A14"/>
    <w:rsid w:val="0081680B"/>
    <w:rsid w:val="008238EB"/>
    <w:rsid w:val="00825FB6"/>
    <w:rsid w:val="00833023"/>
    <w:rsid w:val="008357B5"/>
    <w:rsid w:val="00842A74"/>
    <w:rsid w:val="00853C97"/>
    <w:rsid w:val="0085425C"/>
    <w:rsid w:val="008546CB"/>
    <w:rsid w:val="00865588"/>
    <w:rsid w:val="00875C73"/>
    <w:rsid w:val="00882A48"/>
    <w:rsid w:val="008853F0"/>
    <w:rsid w:val="00893B7B"/>
    <w:rsid w:val="00895354"/>
    <w:rsid w:val="008A25A4"/>
    <w:rsid w:val="008A7EA3"/>
    <w:rsid w:val="008B20CC"/>
    <w:rsid w:val="008D3E39"/>
    <w:rsid w:val="008D418C"/>
    <w:rsid w:val="008D4291"/>
    <w:rsid w:val="008E055A"/>
    <w:rsid w:val="008E292E"/>
    <w:rsid w:val="0091107A"/>
    <w:rsid w:val="009137CD"/>
    <w:rsid w:val="0091705D"/>
    <w:rsid w:val="00924F01"/>
    <w:rsid w:val="009253FD"/>
    <w:rsid w:val="009256BF"/>
    <w:rsid w:val="00934537"/>
    <w:rsid w:val="00941B82"/>
    <w:rsid w:val="00943641"/>
    <w:rsid w:val="00970BB1"/>
    <w:rsid w:val="00984D8C"/>
    <w:rsid w:val="009850A5"/>
    <w:rsid w:val="0099015C"/>
    <w:rsid w:val="0099402F"/>
    <w:rsid w:val="009A40D1"/>
    <w:rsid w:val="009A4491"/>
    <w:rsid w:val="009A4B12"/>
    <w:rsid w:val="009B2310"/>
    <w:rsid w:val="009B291C"/>
    <w:rsid w:val="009C313A"/>
    <w:rsid w:val="009C6E42"/>
    <w:rsid w:val="009D259E"/>
    <w:rsid w:val="009F102D"/>
    <w:rsid w:val="009F11B0"/>
    <w:rsid w:val="009F259C"/>
    <w:rsid w:val="009F7100"/>
    <w:rsid w:val="00A019B6"/>
    <w:rsid w:val="00A03216"/>
    <w:rsid w:val="00A13386"/>
    <w:rsid w:val="00A14F50"/>
    <w:rsid w:val="00A50FD6"/>
    <w:rsid w:val="00A63B05"/>
    <w:rsid w:val="00A64960"/>
    <w:rsid w:val="00A663C2"/>
    <w:rsid w:val="00A7040F"/>
    <w:rsid w:val="00A77029"/>
    <w:rsid w:val="00A94410"/>
    <w:rsid w:val="00A944CF"/>
    <w:rsid w:val="00AA0993"/>
    <w:rsid w:val="00AB2BD4"/>
    <w:rsid w:val="00AB42DB"/>
    <w:rsid w:val="00AC019A"/>
    <w:rsid w:val="00AC51D4"/>
    <w:rsid w:val="00AC6793"/>
    <w:rsid w:val="00AD251A"/>
    <w:rsid w:val="00AD57FB"/>
    <w:rsid w:val="00AD7258"/>
    <w:rsid w:val="00AE4745"/>
    <w:rsid w:val="00AF037B"/>
    <w:rsid w:val="00AF08E4"/>
    <w:rsid w:val="00AF094A"/>
    <w:rsid w:val="00AF1413"/>
    <w:rsid w:val="00AF6231"/>
    <w:rsid w:val="00B01317"/>
    <w:rsid w:val="00B04C36"/>
    <w:rsid w:val="00B16294"/>
    <w:rsid w:val="00B440E4"/>
    <w:rsid w:val="00B442AE"/>
    <w:rsid w:val="00B47DD5"/>
    <w:rsid w:val="00B54626"/>
    <w:rsid w:val="00B6309F"/>
    <w:rsid w:val="00B64758"/>
    <w:rsid w:val="00B81C82"/>
    <w:rsid w:val="00B870CD"/>
    <w:rsid w:val="00B905EC"/>
    <w:rsid w:val="00B90668"/>
    <w:rsid w:val="00B912B0"/>
    <w:rsid w:val="00B9210E"/>
    <w:rsid w:val="00B934FF"/>
    <w:rsid w:val="00B96D91"/>
    <w:rsid w:val="00BA57DA"/>
    <w:rsid w:val="00BA5C40"/>
    <w:rsid w:val="00BA5F73"/>
    <w:rsid w:val="00BC48DE"/>
    <w:rsid w:val="00BE053A"/>
    <w:rsid w:val="00BE256E"/>
    <w:rsid w:val="00BE39F7"/>
    <w:rsid w:val="00BE3C36"/>
    <w:rsid w:val="00BF08B5"/>
    <w:rsid w:val="00BF1C45"/>
    <w:rsid w:val="00BF2A50"/>
    <w:rsid w:val="00BF3644"/>
    <w:rsid w:val="00BF39D7"/>
    <w:rsid w:val="00BF4203"/>
    <w:rsid w:val="00BF6AC7"/>
    <w:rsid w:val="00C01192"/>
    <w:rsid w:val="00C02D5A"/>
    <w:rsid w:val="00C12644"/>
    <w:rsid w:val="00C26F7C"/>
    <w:rsid w:val="00C400D2"/>
    <w:rsid w:val="00C417E9"/>
    <w:rsid w:val="00C4239C"/>
    <w:rsid w:val="00C46CF9"/>
    <w:rsid w:val="00C54761"/>
    <w:rsid w:val="00C73349"/>
    <w:rsid w:val="00C80B07"/>
    <w:rsid w:val="00C82CB6"/>
    <w:rsid w:val="00C82D0C"/>
    <w:rsid w:val="00C90052"/>
    <w:rsid w:val="00CA00A8"/>
    <w:rsid w:val="00CA305F"/>
    <w:rsid w:val="00CA7EC1"/>
    <w:rsid w:val="00CB4DB4"/>
    <w:rsid w:val="00CB5054"/>
    <w:rsid w:val="00CB7812"/>
    <w:rsid w:val="00CC622C"/>
    <w:rsid w:val="00CD2235"/>
    <w:rsid w:val="00CD5429"/>
    <w:rsid w:val="00CE798C"/>
    <w:rsid w:val="00CF5BF9"/>
    <w:rsid w:val="00D0537F"/>
    <w:rsid w:val="00D0702D"/>
    <w:rsid w:val="00D16075"/>
    <w:rsid w:val="00D1672A"/>
    <w:rsid w:val="00D24253"/>
    <w:rsid w:val="00D24BFC"/>
    <w:rsid w:val="00D305F5"/>
    <w:rsid w:val="00D30721"/>
    <w:rsid w:val="00D32071"/>
    <w:rsid w:val="00D37FCB"/>
    <w:rsid w:val="00D515D3"/>
    <w:rsid w:val="00D52A3B"/>
    <w:rsid w:val="00D540E1"/>
    <w:rsid w:val="00D54A95"/>
    <w:rsid w:val="00D62309"/>
    <w:rsid w:val="00D64E99"/>
    <w:rsid w:val="00D71A79"/>
    <w:rsid w:val="00D73601"/>
    <w:rsid w:val="00D832C2"/>
    <w:rsid w:val="00D83E6D"/>
    <w:rsid w:val="00D865DD"/>
    <w:rsid w:val="00D92A6F"/>
    <w:rsid w:val="00D97D9A"/>
    <w:rsid w:val="00DA386C"/>
    <w:rsid w:val="00DA4E76"/>
    <w:rsid w:val="00DB3EF0"/>
    <w:rsid w:val="00DC3B68"/>
    <w:rsid w:val="00DC41DB"/>
    <w:rsid w:val="00DD5F37"/>
    <w:rsid w:val="00DF0A6F"/>
    <w:rsid w:val="00DF3188"/>
    <w:rsid w:val="00DF706F"/>
    <w:rsid w:val="00E002AF"/>
    <w:rsid w:val="00E00CC2"/>
    <w:rsid w:val="00E01BCC"/>
    <w:rsid w:val="00E03BB9"/>
    <w:rsid w:val="00E07D81"/>
    <w:rsid w:val="00E3388E"/>
    <w:rsid w:val="00E34ED0"/>
    <w:rsid w:val="00E35E6C"/>
    <w:rsid w:val="00E42A97"/>
    <w:rsid w:val="00E500E5"/>
    <w:rsid w:val="00E51674"/>
    <w:rsid w:val="00E54B42"/>
    <w:rsid w:val="00E560D9"/>
    <w:rsid w:val="00E622C8"/>
    <w:rsid w:val="00E66585"/>
    <w:rsid w:val="00E71D54"/>
    <w:rsid w:val="00E74E03"/>
    <w:rsid w:val="00E8024A"/>
    <w:rsid w:val="00E83471"/>
    <w:rsid w:val="00E931E3"/>
    <w:rsid w:val="00E93B92"/>
    <w:rsid w:val="00E9532B"/>
    <w:rsid w:val="00E9753A"/>
    <w:rsid w:val="00EA6405"/>
    <w:rsid w:val="00EB38AB"/>
    <w:rsid w:val="00EB5108"/>
    <w:rsid w:val="00EC2C1F"/>
    <w:rsid w:val="00EC4AFA"/>
    <w:rsid w:val="00EC5055"/>
    <w:rsid w:val="00ED2044"/>
    <w:rsid w:val="00ED5FF4"/>
    <w:rsid w:val="00EE43DE"/>
    <w:rsid w:val="00EE4D81"/>
    <w:rsid w:val="00EE6E83"/>
    <w:rsid w:val="00EF2DFF"/>
    <w:rsid w:val="00EF32A6"/>
    <w:rsid w:val="00EF6B9E"/>
    <w:rsid w:val="00F06815"/>
    <w:rsid w:val="00F07317"/>
    <w:rsid w:val="00F11A9B"/>
    <w:rsid w:val="00F16F38"/>
    <w:rsid w:val="00F267CB"/>
    <w:rsid w:val="00F41BFD"/>
    <w:rsid w:val="00F454C5"/>
    <w:rsid w:val="00F60A21"/>
    <w:rsid w:val="00F70D35"/>
    <w:rsid w:val="00F74280"/>
    <w:rsid w:val="00F74A74"/>
    <w:rsid w:val="00F75C06"/>
    <w:rsid w:val="00F75C33"/>
    <w:rsid w:val="00F760D6"/>
    <w:rsid w:val="00F84F12"/>
    <w:rsid w:val="00FA1A45"/>
    <w:rsid w:val="00FB22BC"/>
    <w:rsid w:val="00FD2EF8"/>
    <w:rsid w:val="00FD30A6"/>
    <w:rsid w:val="00FD7110"/>
    <w:rsid w:val="00FE054F"/>
    <w:rsid w:val="00FE0BDD"/>
    <w:rsid w:val="00FE6BAC"/>
    <w:rsid w:val="00FE7B8E"/>
    <w:rsid w:val="00FF02C8"/>
    <w:rsid w:val="00FF06D9"/>
    <w:rsid w:val="00FF1915"/>
    <w:rsid w:val="00FF6A20"/>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BEA4"/>
  <w15:docId w15:val="{F9279BC8-7667-4782-9D5E-038A3419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A0"/>
    <w:rPr>
      <w:rFonts w:ascii="Segoe UI" w:hAnsi="Segoe UI" w:cs="Segoe UI"/>
      <w:sz w:val="18"/>
      <w:szCs w:val="18"/>
    </w:rPr>
  </w:style>
  <w:style w:type="paragraph" w:styleId="ListParagraph">
    <w:name w:val="List Paragraph"/>
    <w:basedOn w:val="Normal"/>
    <w:uiPriority w:val="34"/>
    <w:qFormat/>
    <w:rsid w:val="00875C73"/>
    <w:pPr>
      <w:ind w:left="720"/>
      <w:contextualSpacing/>
    </w:pPr>
  </w:style>
  <w:style w:type="character" w:styleId="CommentReference">
    <w:name w:val="annotation reference"/>
    <w:basedOn w:val="DefaultParagraphFont"/>
    <w:uiPriority w:val="99"/>
    <w:semiHidden/>
    <w:unhideWhenUsed/>
    <w:rsid w:val="00D0702D"/>
    <w:rPr>
      <w:sz w:val="16"/>
      <w:szCs w:val="16"/>
    </w:rPr>
  </w:style>
  <w:style w:type="paragraph" w:styleId="CommentText">
    <w:name w:val="annotation text"/>
    <w:basedOn w:val="Normal"/>
    <w:link w:val="CommentTextChar"/>
    <w:uiPriority w:val="99"/>
    <w:semiHidden/>
    <w:unhideWhenUsed/>
    <w:rsid w:val="00D0702D"/>
    <w:pPr>
      <w:spacing w:line="240" w:lineRule="auto"/>
    </w:pPr>
    <w:rPr>
      <w:sz w:val="20"/>
      <w:szCs w:val="20"/>
    </w:rPr>
  </w:style>
  <w:style w:type="character" w:customStyle="1" w:styleId="CommentTextChar">
    <w:name w:val="Comment Text Char"/>
    <w:basedOn w:val="DefaultParagraphFont"/>
    <w:link w:val="CommentText"/>
    <w:uiPriority w:val="99"/>
    <w:semiHidden/>
    <w:rsid w:val="00D0702D"/>
    <w:rPr>
      <w:sz w:val="20"/>
      <w:szCs w:val="20"/>
    </w:rPr>
  </w:style>
  <w:style w:type="paragraph" w:styleId="CommentSubject">
    <w:name w:val="annotation subject"/>
    <w:basedOn w:val="CommentText"/>
    <w:next w:val="CommentText"/>
    <w:link w:val="CommentSubjectChar"/>
    <w:uiPriority w:val="99"/>
    <w:semiHidden/>
    <w:unhideWhenUsed/>
    <w:rsid w:val="00D0702D"/>
    <w:rPr>
      <w:b/>
      <w:bCs/>
    </w:rPr>
  </w:style>
  <w:style w:type="character" w:customStyle="1" w:styleId="CommentSubjectChar">
    <w:name w:val="Comment Subject Char"/>
    <w:basedOn w:val="CommentTextChar"/>
    <w:link w:val="CommentSubject"/>
    <w:uiPriority w:val="99"/>
    <w:semiHidden/>
    <w:rsid w:val="00D0702D"/>
    <w:rPr>
      <w:b/>
      <w:bCs/>
      <w:sz w:val="20"/>
      <w:szCs w:val="20"/>
    </w:rPr>
  </w:style>
  <w:style w:type="paragraph" w:styleId="Header">
    <w:name w:val="header"/>
    <w:basedOn w:val="Normal"/>
    <w:link w:val="HeaderChar"/>
    <w:uiPriority w:val="99"/>
    <w:unhideWhenUsed/>
    <w:rsid w:val="00B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68"/>
  </w:style>
  <w:style w:type="paragraph" w:styleId="Footer">
    <w:name w:val="footer"/>
    <w:basedOn w:val="Normal"/>
    <w:link w:val="FooterChar"/>
    <w:uiPriority w:val="99"/>
    <w:unhideWhenUsed/>
    <w:rsid w:val="00B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68"/>
  </w:style>
  <w:style w:type="character" w:customStyle="1" w:styleId="orcid-id-https">
    <w:name w:val="orcid-id-https"/>
    <w:basedOn w:val="DefaultParagraphFont"/>
    <w:rsid w:val="002325CC"/>
  </w:style>
  <w:style w:type="character" w:styleId="Hyperlink">
    <w:name w:val="Hyperlink"/>
    <w:basedOn w:val="DefaultParagraphFont"/>
    <w:uiPriority w:val="99"/>
    <w:unhideWhenUsed/>
    <w:rsid w:val="002325CC"/>
    <w:rPr>
      <w:color w:val="0563C1" w:themeColor="hyperlink"/>
      <w:u w:val="single"/>
    </w:rPr>
  </w:style>
  <w:style w:type="character" w:styleId="UnresolvedMention">
    <w:name w:val="Unresolved Mention"/>
    <w:basedOn w:val="DefaultParagraphFont"/>
    <w:uiPriority w:val="99"/>
    <w:semiHidden/>
    <w:unhideWhenUsed/>
    <w:rsid w:val="002325CC"/>
    <w:rPr>
      <w:color w:val="605E5C"/>
      <w:shd w:val="clear" w:color="auto" w:fill="E1DFDD"/>
    </w:rPr>
  </w:style>
  <w:style w:type="character" w:styleId="LineNumber">
    <w:name w:val="line number"/>
    <w:basedOn w:val="DefaultParagraphFont"/>
    <w:uiPriority w:val="99"/>
    <w:semiHidden/>
    <w:unhideWhenUsed/>
    <w:rsid w:val="003A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6296">
      <w:bodyDiv w:val="1"/>
      <w:marLeft w:val="0"/>
      <w:marRight w:val="0"/>
      <w:marTop w:val="0"/>
      <w:marBottom w:val="0"/>
      <w:divBdr>
        <w:top w:val="none" w:sz="0" w:space="0" w:color="auto"/>
        <w:left w:val="none" w:sz="0" w:space="0" w:color="auto"/>
        <w:bottom w:val="none" w:sz="0" w:space="0" w:color="auto"/>
        <w:right w:val="none" w:sz="0" w:space="0" w:color="auto"/>
      </w:divBdr>
      <w:divsChild>
        <w:div w:id="28838870">
          <w:marLeft w:val="806"/>
          <w:marRight w:val="0"/>
          <w:marTop w:val="0"/>
          <w:marBottom w:val="0"/>
          <w:divBdr>
            <w:top w:val="none" w:sz="0" w:space="0" w:color="auto"/>
            <w:left w:val="none" w:sz="0" w:space="0" w:color="auto"/>
            <w:bottom w:val="none" w:sz="0" w:space="0" w:color="auto"/>
            <w:right w:val="none" w:sz="0" w:space="0" w:color="auto"/>
          </w:divBdr>
        </w:div>
        <w:div w:id="1987583698">
          <w:marLeft w:val="806"/>
          <w:marRight w:val="0"/>
          <w:marTop w:val="0"/>
          <w:marBottom w:val="0"/>
          <w:divBdr>
            <w:top w:val="none" w:sz="0" w:space="0" w:color="auto"/>
            <w:left w:val="none" w:sz="0" w:space="0" w:color="auto"/>
            <w:bottom w:val="none" w:sz="0" w:space="0" w:color="auto"/>
            <w:right w:val="none" w:sz="0" w:space="0" w:color="auto"/>
          </w:divBdr>
        </w:div>
        <w:div w:id="1352032250">
          <w:marLeft w:val="806"/>
          <w:marRight w:val="0"/>
          <w:marTop w:val="0"/>
          <w:marBottom w:val="0"/>
          <w:divBdr>
            <w:top w:val="none" w:sz="0" w:space="0" w:color="auto"/>
            <w:left w:val="none" w:sz="0" w:space="0" w:color="auto"/>
            <w:bottom w:val="none" w:sz="0" w:space="0" w:color="auto"/>
            <w:right w:val="none" w:sz="0" w:space="0" w:color="auto"/>
          </w:divBdr>
        </w:div>
      </w:divsChild>
    </w:div>
    <w:div w:id="552425520">
      <w:bodyDiv w:val="1"/>
      <w:marLeft w:val="0"/>
      <w:marRight w:val="0"/>
      <w:marTop w:val="0"/>
      <w:marBottom w:val="0"/>
      <w:divBdr>
        <w:top w:val="none" w:sz="0" w:space="0" w:color="auto"/>
        <w:left w:val="none" w:sz="0" w:space="0" w:color="auto"/>
        <w:bottom w:val="none" w:sz="0" w:space="0" w:color="auto"/>
        <w:right w:val="none" w:sz="0" w:space="0" w:color="auto"/>
      </w:divBdr>
    </w:div>
    <w:div w:id="1593854488">
      <w:bodyDiv w:val="1"/>
      <w:marLeft w:val="0"/>
      <w:marRight w:val="0"/>
      <w:marTop w:val="0"/>
      <w:marBottom w:val="0"/>
      <w:divBdr>
        <w:top w:val="none" w:sz="0" w:space="0" w:color="auto"/>
        <w:left w:val="none" w:sz="0" w:space="0" w:color="auto"/>
        <w:bottom w:val="none" w:sz="0" w:space="0" w:color="auto"/>
        <w:right w:val="none" w:sz="0" w:space="0" w:color="auto"/>
      </w:divBdr>
      <w:divsChild>
        <w:div w:id="905411295">
          <w:marLeft w:val="446"/>
          <w:marRight w:val="0"/>
          <w:marTop w:val="0"/>
          <w:marBottom w:val="0"/>
          <w:divBdr>
            <w:top w:val="none" w:sz="0" w:space="0" w:color="auto"/>
            <w:left w:val="none" w:sz="0" w:space="0" w:color="auto"/>
            <w:bottom w:val="none" w:sz="0" w:space="0" w:color="auto"/>
            <w:right w:val="none" w:sz="0" w:space="0" w:color="auto"/>
          </w:divBdr>
        </w:div>
      </w:divsChild>
    </w:div>
    <w:div w:id="1711416867">
      <w:bodyDiv w:val="1"/>
      <w:marLeft w:val="0"/>
      <w:marRight w:val="0"/>
      <w:marTop w:val="0"/>
      <w:marBottom w:val="0"/>
      <w:divBdr>
        <w:top w:val="none" w:sz="0" w:space="0" w:color="auto"/>
        <w:left w:val="none" w:sz="0" w:space="0" w:color="auto"/>
        <w:bottom w:val="none" w:sz="0" w:space="0" w:color="auto"/>
        <w:right w:val="none" w:sz="0" w:space="0" w:color="auto"/>
      </w:divBdr>
    </w:div>
    <w:div w:id="1846243090">
      <w:bodyDiv w:val="1"/>
      <w:marLeft w:val="0"/>
      <w:marRight w:val="0"/>
      <w:marTop w:val="0"/>
      <w:marBottom w:val="0"/>
      <w:divBdr>
        <w:top w:val="none" w:sz="0" w:space="0" w:color="auto"/>
        <w:left w:val="none" w:sz="0" w:space="0" w:color="auto"/>
        <w:bottom w:val="none" w:sz="0" w:space="0" w:color="auto"/>
        <w:right w:val="none" w:sz="0" w:space="0" w:color="auto"/>
      </w:divBdr>
      <w:divsChild>
        <w:div w:id="1802386156">
          <w:marLeft w:val="475"/>
          <w:marRight w:val="0"/>
          <w:marTop w:val="120"/>
          <w:marBottom w:val="0"/>
          <w:divBdr>
            <w:top w:val="none" w:sz="0" w:space="0" w:color="auto"/>
            <w:left w:val="none" w:sz="0" w:space="0" w:color="auto"/>
            <w:bottom w:val="none" w:sz="0" w:space="0" w:color="auto"/>
            <w:right w:val="none" w:sz="0" w:space="0" w:color="auto"/>
          </w:divBdr>
        </w:div>
        <w:div w:id="1875728911">
          <w:marLeft w:val="475"/>
          <w:marRight w:val="0"/>
          <w:marTop w:val="0"/>
          <w:marBottom w:val="0"/>
          <w:divBdr>
            <w:top w:val="none" w:sz="0" w:space="0" w:color="auto"/>
            <w:left w:val="none" w:sz="0" w:space="0" w:color="auto"/>
            <w:bottom w:val="none" w:sz="0" w:space="0" w:color="auto"/>
            <w:right w:val="none" w:sz="0" w:space="0" w:color="auto"/>
          </w:divBdr>
        </w:div>
        <w:div w:id="1583100263">
          <w:marLeft w:val="475"/>
          <w:marRight w:val="0"/>
          <w:marTop w:val="0"/>
          <w:marBottom w:val="0"/>
          <w:divBdr>
            <w:top w:val="none" w:sz="0" w:space="0" w:color="auto"/>
            <w:left w:val="none" w:sz="0" w:space="0" w:color="auto"/>
            <w:bottom w:val="none" w:sz="0" w:space="0" w:color="auto"/>
            <w:right w:val="none" w:sz="0" w:space="0" w:color="auto"/>
          </w:divBdr>
        </w:div>
        <w:div w:id="370376421">
          <w:marLeft w:val="475"/>
          <w:marRight w:val="0"/>
          <w:marTop w:val="0"/>
          <w:marBottom w:val="0"/>
          <w:divBdr>
            <w:top w:val="none" w:sz="0" w:space="0" w:color="auto"/>
            <w:left w:val="none" w:sz="0" w:space="0" w:color="auto"/>
            <w:bottom w:val="none" w:sz="0" w:space="0" w:color="auto"/>
            <w:right w:val="none" w:sz="0" w:space="0" w:color="auto"/>
          </w:divBdr>
        </w:div>
        <w:div w:id="1706176822">
          <w:marLeft w:val="475"/>
          <w:marRight w:val="0"/>
          <w:marTop w:val="0"/>
          <w:marBottom w:val="0"/>
          <w:divBdr>
            <w:top w:val="none" w:sz="0" w:space="0" w:color="auto"/>
            <w:left w:val="none" w:sz="0" w:space="0" w:color="auto"/>
            <w:bottom w:val="none" w:sz="0" w:space="0" w:color="auto"/>
            <w:right w:val="none" w:sz="0" w:space="0" w:color="auto"/>
          </w:divBdr>
        </w:div>
      </w:divsChild>
    </w:div>
    <w:div w:id="1847206675">
      <w:bodyDiv w:val="1"/>
      <w:marLeft w:val="0"/>
      <w:marRight w:val="0"/>
      <w:marTop w:val="0"/>
      <w:marBottom w:val="0"/>
      <w:divBdr>
        <w:top w:val="none" w:sz="0" w:space="0" w:color="auto"/>
        <w:left w:val="none" w:sz="0" w:space="0" w:color="auto"/>
        <w:bottom w:val="none" w:sz="0" w:space="0" w:color="auto"/>
        <w:right w:val="none" w:sz="0" w:space="0" w:color="auto"/>
      </w:divBdr>
      <w:divsChild>
        <w:div w:id="1656953701">
          <w:marLeft w:val="461"/>
          <w:marRight w:val="0"/>
          <w:marTop w:val="120"/>
          <w:marBottom w:val="32"/>
          <w:divBdr>
            <w:top w:val="none" w:sz="0" w:space="0" w:color="auto"/>
            <w:left w:val="none" w:sz="0" w:space="0" w:color="auto"/>
            <w:bottom w:val="none" w:sz="0" w:space="0" w:color="auto"/>
            <w:right w:val="none" w:sz="0" w:space="0" w:color="auto"/>
          </w:divBdr>
        </w:div>
        <w:div w:id="272832957">
          <w:marLeft w:val="461"/>
          <w:marRight w:val="0"/>
          <w:marTop w:val="32"/>
          <w:marBottom w:val="32"/>
          <w:divBdr>
            <w:top w:val="none" w:sz="0" w:space="0" w:color="auto"/>
            <w:left w:val="none" w:sz="0" w:space="0" w:color="auto"/>
            <w:bottom w:val="none" w:sz="0" w:space="0" w:color="auto"/>
            <w:right w:val="none" w:sz="0" w:space="0" w:color="auto"/>
          </w:divBdr>
        </w:div>
        <w:div w:id="1167593361">
          <w:marLeft w:val="461"/>
          <w:marRight w:val="0"/>
          <w:marTop w:val="32"/>
          <w:marBottom w:val="32"/>
          <w:divBdr>
            <w:top w:val="none" w:sz="0" w:space="0" w:color="auto"/>
            <w:left w:val="none" w:sz="0" w:space="0" w:color="auto"/>
            <w:bottom w:val="none" w:sz="0" w:space="0" w:color="auto"/>
            <w:right w:val="none" w:sz="0" w:space="0" w:color="auto"/>
          </w:divBdr>
        </w:div>
        <w:div w:id="1641808013">
          <w:marLeft w:val="461"/>
          <w:marRight w:val="0"/>
          <w:marTop w:val="32"/>
          <w:marBottom w:val="32"/>
          <w:divBdr>
            <w:top w:val="none" w:sz="0" w:space="0" w:color="auto"/>
            <w:left w:val="none" w:sz="0" w:space="0" w:color="auto"/>
            <w:bottom w:val="none" w:sz="0" w:space="0" w:color="auto"/>
            <w:right w:val="none" w:sz="0" w:space="0" w:color="auto"/>
          </w:divBdr>
        </w:div>
        <w:div w:id="1600795087">
          <w:marLeft w:val="1627"/>
          <w:marRight w:val="0"/>
          <w:marTop w:val="32"/>
          <w:marBottom w:val="32"/>
          <w:divBdr>
            <w:top w:val="none" w:sz="0" w:space="0" w:color="auto"/>
            <w:left w:val="none" w:sz="0" w:space="0" w:color="auto"/>
            <w:bottom w:val="none" w:sz="0" w:space="0" w:color="auto"/>
            <w:right w:val="none" w:sz="0" w:space="0" w:color="auto"/>
          </w:divBdr>
        </w:div>
        <w:div w:id="964583487">
          <w:marLeft w:val="1627"/>
          <w:marRight w:val="0"/>
          <w:marTop w:val="32"/>
          <w:marBottom w:val="32"/>
          <w:divBdr>
            <w:top w:val="none" w:sz="0" w:space="0" w:color="auto"/>
            <w:left w:val="none" w:sz="0" w:space="0" w:color="auto"/>
            <w:bottom w:val="none" w:sz="0" w:space="0" w:color="auto"/>
            <w:right w:val="none" w:sz="0" w:space="0" w:color="auto"/>
          </w:divBdr>
        </w:div>
      </w:divsChild>
    </w:div>
    <w:div w:id="1963266604">
      <w:bodyDiv w:val="1"/>
      <w:marLeft w:val="0"/>
      <w:marRight w:val="0"/>
      <w:marTop w:val="0"/>
      <w:marBottom w:val="0"/>
      <w:divBdr>
        <w:top w:val="none" w:sz="0" w:space="0" w:color="auto"/>
        <w:left w:val="none" w:sz="0" w:space="0" w:color="auto"/>
        <w:bottom w:val="none" w:sz="0" w:space="0" w:color="auto"/>
        <w:right w:val="none" w:sz="0" w:space="0" w:color="auto"/>
      </w:divBdr>
      <w:divsChild>
        <w:div w:id="495994404">
          <w:marLeft w:val="475"/>
          <w:marRight w:val="0"/>
          <w:marTop w:val="120"/>
          <w:marBottom w:val="0"/>
          <w:divBdr>
            <w:top w:val="none" w:sz="0" w:space="0" w:color="auto"/>
            <w:left w:val="none" w:sz="0" w:space="0" w:color="auto"/>
            <w:bottom w:val="none" w:sz="0" w:space="0" w:color="auto"/>
            <w:right w:val="none" w:sz="0" w:space="0" w:color="auto"/>
          </w:divBdr>
        </w:div>
        <w:div w:id="773743749">
          <w:marLeft w:val="475"/>
          <w:marRight w:val="0"/>
          <w:marTop w:val="0"/>
          <w:marBottom w:val="0"/>
          <w:divBdr>
            <w:top w:val="none" w:sz="0" w:space="0" w:color="auto"/>
            <w:left w:val="none" w:sz="0" w:space="0" w:color="auto"/>
            <w:bottom w:val="none" w:sz="0" w:space="0" w:color="auto"/>
            <w:right w:val="none" w:sz="0" w:space="0" w:color="auto"/>
          </w:divBdr>
        </w:div>
        <w:div w:id="1298608774">
          <w:marLeft w:val="475"/>
          <w:marRight w:val="0"/>
          <w:marTop w:val="0"/>
          <w:marBottom w:val="0"/>
          <w:divBdr>
            <w:top w:val="none" w:sz="0" w:space="0" w:color="auto"/>
            <w:left w:val="none" w:sz="0" w:space="0" w:color="auto"/>
            <w:bottom w:val="none" w:sz="0" w:space="0" w:color="auto"/>
            <w:right w:val="none" w:sz="0" w:space="0" w:color="auto"/>
          </w:divBdr>
        </w:div>
        <w:div w:id="1296528552">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5656-0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608-1352" TargetMode="External"/><Relationship Id="rId5" Type="http://schemas.openxmlformats.org/officeDocument/2006/relationships/webSettings" Target="webSettings.xml"/><Relationship Id="rId10" Type="http://schemas.openxmlformats.org/officeDocument/2006/relationships/hyperlink" Target="https://orcid.org/0000-0002-3607-6619" TargetMode="External"/><Relationship Id="rId4" Type="http://schemas.openxmlformats.org/officeDocument/2006/relationships/settings" Target="settings.xml"/><Relationship Id="rId9" Type="http://schemas.openxmlformats.org/officeDocument/2006/relationships/hyperlink" Target="https://orcid.org/0000-0002-7348-42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CB56-21AB-4F07-A266-8614441D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8034</Words>
  <Characters>45796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sathe</dc:creator>
  <cp:lastModifiedBy>Hannah Co_ck</cp:lastModifiedBy>
  <cp:revision>9</cp:revision>
  <dcterms:created xsi:type="dcterms:W3CDTF">2020-04-16T14:10:00Z</dcterms:created>
  <dcterms:modified xsi:type="dcterms:W3CDTF">2020-04-22T10:46:00Z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http://www.zotero.org/styles/epilepsia</vt:lpwstr>
  </property>
  <property fmtid="{D5CDD505-2E9C-101B-9397-08002B2CF9AE}" pid="11" name="Mendeley Recent Style Name 4_1">
    <vt:lpwstr>Epilepsia</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http://www.zotero.org/styles/journal-of-pharmaceutical-sciences</vt:lpwstr>
  </property>
  <property fmtid="{D5CDD505-2E9C-101B-9397-08002B2CF9AE}" pid="15" name="Mendeley Recent Style Name 6_1">
    <vt:lpwstr>Journal of Pharmaceutical Sciences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1bd324ce-6d16-3267-945c-c8d5b1c54d5d</vt:lpwstr>
  </property>
  <property fmtid="{D5CDD505-2E9C-101B-9397-08002B2CF9AE}" pid="24" name="Mendeley Citation Style_1">
    <vt:lpwstr>http://www.zotero.org/styles/epilepsia</vt:lpwstr>
  </property>
</Properties>
</file>