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699D" w14:textId="35DDC4BB" w:rsidR="00DF3A93" w:rsidRDefault="00FA4899">
      <w:r>
        <w:t>Draft for BSR abstract 2019</w:t>
      </w:r>
    </w:p>
    <w:p w14:paraId="17D10251" w14:textId="4852A2BC" w:rsidR="00C15ACA" w:rsidRDefault="00C15ACA"/>
    <w:p w14:paraId="62E80DB6" w14:textId="5A628C37" w:rsidR="00990D47" w:rsidRDefault="00990D47">
      <w:pPr>
        <w:rPr>
          <w:u w:val="single"/>
        </w:rPr>
      </w:pPr>
      <w:r>
        <w:rPr>
          <w:u w:val="single"/>
        </w:rPr>
        <w:t xml:space="preserve">Developing a pathway for tocilizumab treatment in </w:t>
      </w:r>
      <w:r w:rsidR="00C15ACA" w:rsidRPr="00C15ACA">
        <w:rPr>
          <w:u w:val="single"/>
        </w:rPr>
        <w:t>giant cell art</w:t>
      </w:r>
      <w:r w:rsidR="004663A9">
        <w:rPr>
          <w:u w:val="single"/>
        </w:rPr>
        <w:t>eritis</w:t>
      </w:r>
      <w:r>
        <w:rPr>
          <w:u w:val="single"/>
        </w:rPr>
        <w:t xml:space="preserve">: </w:t>
      </w:r>
      <w:proofErr w:type="gramStart"/>
      <w:r w:rsidR="00406A63">
        <w:rPr>
          <w:u w:val="single"/>
        </w:rPr>
        <w:t>a</w:t>
      </w:r>
      <w:proofErr w:type="gramEnd"/>
      <w:r>
        <w:rPr>
          <w:u w:val="single"/>
        </w:rPr>
        <w:t xml:space="preserve"> South London </w:t>
      </w:r>
      <w:r w:rsidR="00406A63">
        <w:rPr>
          <w:u w:val="single"/>
        </w:rPr>
        <w:t xml:space="preserve">regional </w:t>
      </w:r>
      <w:r>
        <w:rPr>
          <w:u w:val="single"/>
        </w:rPr>
        <w:t>experience</w:t>
      </w:r>
    </w:p>
    <w:p w14:paraId="7B62F8B9" w14:textId="2058F788" w:rsidR="00990D47" w:rsidRPr="0094553C" w:rsidRDefault="00990D47">
      <w:r w:rsidRPr="0094553C">
        <w:t xml:space="preserve">Authors: </w:t>
      </w:r>
      <w:proofErr w:type="spellStart"/>
      <w:r w:rsidRPr="0094553C">
        <w:t>Pratyasha</w:t>
      </w:r>
      <w:proofErr w:type="spellEnd"/>
      <w:r w:rsidRPr="0094553C">
        <w:t xml:space="preserve"> </w:t>
      </w:r>
      <w:proofErr w:type="spellStart"/>
      <w:r w:rsidRPr="0094553C">
        <w:t>Saha</w:t>
      </w:r>
      <w:proofErr w:type="spellEnd"/>
      <w:r w:rsidRPr="0094553C">
        <w:t xml:space="preserve">, Virinderjit Sandhu, Helena Robinson, Amara Ezeonyeji, </w:t>
      </w:r>
      <w:proofErr w:type="spellStart"/>
      <w:r w:rsidRPr="0094553C">
        <w:t>Israa</w:t>
      </w:r>
      <w:proofErr w:type="spellEnd"/>
      <w:r w:rsidRPr="0094553C">
        <w:t xml:space="preserve"> Al-</w:t>
      </w:r>
      <w:proofErr w:type="spellStart"/>
      <w:r w:rsidRPr="0094553C">
        <w:t>Shakarchi</w:t>
      </w:r>
      <w:proofErr w:type="spellEnd"/>
      <w:r w:rsidRPr="0094553C">
        <w:t xml:space="preserve">, </w:t>
      </w:r>
      <w:r w:rsidR="006A6B21">
        <w:t xml:space="preserve">Sumeet </w:t>
      </w:r>
      <w:proofErr w:type="spellStart"/>
      <w:r w:rsidR="006A6B21">
        <w:t>Chander</w:t>
      </w:r>
      <w:proofErr w:type="spellEnd"/>
      <w:r w:rsidR="006A6B21">
        <w:t xml:space="preserve">, </w:t>
      </w:r>
      <w:proofErr w:type="spellStart"/>
      <w:r w:rsidR="006A6B21">
        <w:t>Resmy</w:t>
      </w:r>
      <w:proofErr w:type="spellEnd"/>
      <w:r w:rsidR="006A6B21">
        <w:t xml:space="preserve"> Suresh,</w:t>
      </w:r>
      <w:r w:rsidR="00E42676">
        <w:t xml:space="preserve"> Arvind Kaul,</w:t>
      </w:r>
      <w:r w:rsidR="006A6B21">
        <w:t xml:space="preserve"> </w:t>
      </w:r>
      <w:r w:rsidRPr="0094553C">
        <w:t>Nidhi</w:t>
      </w:r>
      <w:r w:rsidR="007D1379" w:rsidRPr="0094553C">
        <w:t xml:space="preserve"> Sofat</w:t>
      </w:r>
    </w:p>
    <w:p w14:paraId="2C0055B0" w14:textId="77777777" w:rsidR="00FA4899" w:rsidRDefault="00FA4899" w:rsidP="00FA4899"/>
    <w:p w14:paraId="3AC61C61" w14:textId="7A193D1C" w:rsidR="00990D47" w:rsidRDefault="00990D47" w:rsidP="00FA4899">
      <w:r>
        <w:t xml:space="preserve">Background: Tocilizumab is now approved by </w:t>
      </w:r>
      <w:r w:rsidR="006D0D2D">
        <w:t xml:space="preserve">the National Institute of Health and Care Excellence (NICE) </w:t>
      </w:r>
      <w:r>
        <w:t xml:space="preserve">for up to a year </w:t>
      </w:r>
      <w:r w:rsidR="006D0D2D">
        <w:t xml:space="preserve">in </w:t>
      </w:r>
      <w:r>
        <w:t>relapsing or re</w:t>
      </w:r>
      <w:r w:rsidR="006D0D2D">
        <w:t>fractory g</w:t>
      </w:r>
      <w:r w:rsidR="004663A9">
        <w:t>iant cell art</w:t>
      </w:r>
      <w:r>
        <w:t>eritis</w:t>
      </w:r>
      <w:r w:rsidR="006D0D2D">
        <w:t xml:space="preserve"> (GCA)</w:t>
      </w:r>
      <w:r>
        <w:t xml:space="preserve">. The practicalities of developing a pathway </w:t>
      </w:r>
      <w:r w:rsidR="007D1379">
        <w:t>for referral</w:t>
      </w:r>
      <w:r>
        <w:t xml:space="preserve"> </w:t>
      </w:r>
      <w:r w:rsidR="006D0D2D">
        <w:t xml:space="preserve">using a </w:t>
      </w:r>
      <w:r>
        <w:t xml:space="preserve">hub </w:t>
      </w:r>
      <w:r w:rsidR="006D0D2D">
        <w:t>and spoke model were previously unknown. Here we discuss our novel experiences utilising tocilizumab for GCA in its first year of licensing, after the introduction of a new regional multi-disciplinary t</w:t>
      </w:r>
      <w:r w:rsidR="007D1379">
        <w:t>eam</w:t>
      </w:r>
      <w:r w:rsidR="006D0D2D">
        <w:t xml:space="preserve"> referral pathway.</w:t>
      </w:r>
    </w:p>
    <w:p w14:paraId="4EB39D8B" w14:textId="77777777" w:rsidR="00990D47" w:rsidRDefault="00990D47" w:rsidP="00FA4899"/>
    <w:p w14:paraId="1712BFB0" w14:textId="5F2A8A7E" w:rsidR="006D0D2D" w:rsidRDefault="00990D47" w:rsidP="00FA4899">
      <w:r>
        <w:t xml:space="preserve">Methods: </w:t>
      </w:r>
      <w:r w:rsidR="00A34BE9">
        <w:t xml:space="preserve">We assessed all </w:t>
      </w:r>
      <w:r>
        <w:t xml:space="preserve">patients </w:t>
      </w:r>
      <w:r w:rsidR="00A34BE9">
        <w:t xml:space="preserve">started on tocilizumab for GCA </w:t>
      </w:r>
      <w:r w:rsidR="006D0D2D">
        <w:t xml:space="preserve">between </w:t>
      </w:r>
      <w:r w:rsidR="00FA4899">
        <w:t>August 2018-May 2019</w:t>
      </w:r>
      <w:r w:rsidR="006D0D2D">
        <w:t>. The central assessing hub is</w:t>
      </w:r>
      <w:r w:rsidR="00FA4899">
        <w:t xml:space="preserve"> St George’s University Hospitals NHS Foundation Trust</w:t>
      </w:r>
      <w:r w:rsidR="006D0D2D">
        <w:t>,</w:t>
      </w:r>
      <w:r w:rsidR="00FA4899">
        <w:t xml:space="preserve"> a large tertiary rheumatology </w:t>
      </w:r>
      <w:r w:rsidR="00030CA1">
        <w:t>departmen</w:t>
      </w:r>
      <w:r w:rsidR="00FA4899">
        <w:t xml:space="preserve">t in the South of England, serving a population of 1.3 million. </w:t>
      </w:r>
    </w:p>
    <w:p w14:paraId="3A31F9D0" w14:textId="77777777" w:rsidR="006D0D2D" w:rsidRDefault="006D0D2D" w:rsidP="00FA4899"/>
    <w:p w14:paraId="2A49608E" w14:textId="7E3F3764" w:rsidR="006D0D2D" w:rsidRDefault="006D0D2D" w:rsidP="006D0D2D">
      <w:r>
        <w:t xml:space="preserve">Results: A total of 9 patients were </w:t>
      </w:r>
      <w:r w:rsidR="00A34BE9">
        <w:t>identified</w:t>
      </w:r>
      <w:r>
        <w:t xml:space="preserve">; 6 female and 3 </w:t>
      </w:r>
      <w:proofErr w:type="gramStart"/>
      <w:r>
        <w:t>male</w:t>
      </w:r>
      <w:proofErr w:type="gramEnd"/>
      <w:r>
        <w:t xml:space="preserve">, with an average age of 74.2 (range 63-80). 5 patients </w:t>
      </w:r>
      <w:r w:rsidR="00B454F4">
        <w:t xml:space="preserve">were </w:t>
      </w:r>
      <w:r>
        <w:t xml:space="preserve">referred internally from clinicians at St George’s Hospital, with the remainder from local district general hospitals. </w:t>
      </w:r>
    </w:p>
    <w:p w14:paraId="5C09DFB5" w14:textId="77777777" w:rsidR="006D0D2D" w:rsidRDefault="006D0D2D" w:rsidP="006D0D2D"/>
    <w:p w14:paraId="01D7FE78" w14:textId="26C4ADBF" w:rsidR="006D0D2D" w:rsidRDefault="006D0D2D" w:rsidP="006D0D2D">
      <w:r>
        <w:t>Steroid protocols between patients were varied, and two</w:t>
      </w:r>
      <w:r w:rsidR="00A34BE9">
        <w:t>-</w:t>
      </w:r>
      <w:r>
        <w:t>thirds required a 3-day IV methylprednisolone</w:t>
      </w:r>
      <w:r w:rsidR="00A34BE9">
        <w:t xml:space="preserve"> course</w:t>
      </w:r>
      <w:r>
        <w:t xml:space="preserve">, including all 4 patients </w:t>
      </w:r>
      <w:r w:rsidR="0094553C">
        <w:t>with</w:t>
      </w:r>
      <w:r>
        <w:t xml:space="preserve"> visual symptoms.</w:t>
      </w:r>
      <w:r w:rsidR="009C3500">
        <w:t xml:space="preserve"> </w:t>
      </w:r>
      <w:r w:rsidR="00092CB6">
        <w:t xml:space="preserve">A third of patients were on concurrent </w:t>
      </w:r>
      <w:r w:rsidR="0087045F">
        <w:t xml:space="preserve">methotrexate, a </w:t>
      </w:r>
      <w:r w:rsidR="00092CB6">
        <w:t>disease-modifying antirheumatic drug.</w:t>
      </w:r>
      <w:r>
        <w:t xml:space="preserve"> 8 of 9 patients were on alendronate, vitamin D/calcium, and a gastroprotective agent, and 7 </w:t>
      </w:r>
      <w:r w:rsidR="0094553C">
        <w:t xml:space="preserve">were </w:t>
      </w:r>
      <w:r>
        <w:t>on aspirin. Reported side effects from steroids were common, with weight gain, increased appetite and osteoporosis noted.</w:t>
      </w:r>
    </w:p>
    <w:p w14:paraId="564A01A8" w14:textId="77777777" w:rsidR="006D0D2D" w:rsidRDefault="006D0D2D" w:rsidP="006D0D2D"/>
    <w:p w14:paraId="702E6F7C" w14:textId="1A18CB57" w:rsidR="006D0D2D" w:rsidRDefault="006D0D2D" w:rsidP="006D0D2D">
      <w:r>
        <w:t xml:space="preserve">All of our 9 patients continue their tocilizumab injections, with one individual having a 3-month break </w:t>
      </w:r>
      <w:r w:rsidR="00B454F4">
        <w:t>for</w:t>
      </w:r>
      <w:r>
        <w:t xml:space="preserve"> a routine hip operation, and another a 1-month </w:t>
      </w:r>
      <w:r w:rsidR="007D1379">
        <w:t>hiatus</w:t>
      </w:r>
      <w:r>
        <w:t xml:space="preserve"> due to temporary</w:t>
      </w:r>
      <w:r w:rsidR="0094553C">
        <w:t xml:space="preserve"> derangement</w:t>
      </w:r>
      <w:r>
        <w:t xml:space="preserve"> </w:t>
      </w:r>
      <w:r w:rsidR="0094553C">
        <w:t xml:space="preserve">in </w:t>
      </w:r>
      <w:r>
        <w:t>liver function test</w:t>
      </w:r>
      <w:r w:rsidR="0094553C">
        <w:t>s</w:t>
      </w:r>
      <w:r>
        <w:t xml:space="preserve">. Tocilizumab proffered improved disease control and few side effects were noted. </w:t>
      </w:r>
      <w:r w:rsidR="0087045F">
        <w:t>3 patients have now been on tocilizumab for 12 months</w:t>
      </w:r>
      <w:r w:rsidR="0094553C">
        <w:t xml:space="preserve"> </w:t>
      </w:r>
      <w:r w:rsidR="0087045F">
        <w:t>and raise interesting discussions about ongoing funding and treatment efficacy</w:t>
      </w:r>
      <w:r w:rsidR="007D1379">
        <w:t>.</w:t>
      </w:r>
    </w:p>
    <w:p w14:paraId="4077D6A4" w14:textId="77777777" w:rsidR="006D0D2D" w:rsidRDefault="006D0D2D" w:rsidP="006D0D2D"/>
    <w:p w14:paraId="50722F50" w14:textId="77777777" w:rsidR="006D0D2D" w:rsidRDefault="006D0D2D" w:rsidP="00FA4899"/>
    <w:tbl>
      <w:tblPr>
        <w:tblW w:w="104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377"/>
      </w:tblGrid>
      <w:tr w:rsidR="00B454F4" w:rsidRPr="00166DF5" w14:paraId="06BB673D" w14:textId="77777777" w:rsidTr="004B135E">
        <w:trPr>
          <w:gridAfter w:val="1"/>
          <w:wAfter w:w="377" w:type="dxa"/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B5A1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C6DE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Patient number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0345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58FE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C377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991B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515D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2B3D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7D74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B11F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ADE7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B454F4" w:rsidRPr="00166DF5" w14:paraId="2A2D6A3A" w14:textId="77777777" w:rsidTr="004B135E">
        <w:trPr>
          <w:gridAfter w:val="1"/>
          <w:wAfter w:w="377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4D59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4665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5C38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ADC7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988A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B987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5041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89C8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9206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DE3F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10A4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63</w:t>
            </w:r>
          </w:p>
        </w:tc>
      </w:tr>
      <w:tr w:rsidR="00B454F4" w:rsidRPr="00166DF5" w14:paraId="7E919E9D" w14:textId="77777777" w:rsidTr="004B135E">
        <w:trPr>
          <w:gridAfter w:val="1"/>
          <w:wAfter w:w="377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F648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FF5F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Sex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C9D6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E6EB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867C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16F8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EC5A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24BE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642B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829D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9554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</w:t>
            </w:r>
          </w:p>
        </w:tc>
      </w:tr>
      <w:tr w:rsidR="00B454F4" w:rsidRPr="00166DF5" w14:paraId="48C7B1C2" w14:textId="77777777" w:rsidTr="004B135E">
        <w:trPr>
          <w:gridAfter w:val="1"/>
          <w:wAfter w:w="377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EAD7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130C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Duration of GCA disease (months)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7E23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E931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ECE4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DCD6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012B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992D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22ED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8DD3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CC8B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171</w:t>
            </w:r>
          </w:p>
        </w:tc>
      </w:tr>
      <w:tr w:rsidR="00B454F4" w:rsidRPr="00166DF5" w14:paraId="17883916" w14:textId="77777777" w:rsidTr="004B135E">
        <w:trPr>
          <w:gridAfter w:val="1"/>
          <w:wAfter w:w="377" w:type="dxa"/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FFB4156" w14:textId="77777777" w:rsidR="00B454F4" w:rsidRPr="00166DF5" w:rsidRDefault="00B454F4" w:rsidP="004B13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Medication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3C42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Steroid dose at start of TOC (mg)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9CC5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27E0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B563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57EE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0B72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E0EA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5C4F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FA60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E6C8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B454F4" w:rsidRPr="00166DF5" w14:paraId="2945D96D" w14:textId="77777777" w:rsidTr="004B135E">
        <w:trPr>
          <w:gridAfter w:val="1"/>
          <w:wAfter w:w="377" w:type="dxa"/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BDD5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8119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Most recent steroid dose (mg) and date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8B6E" w14:textId="77777777" w:rsidR="00B454F4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20mg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  <w:p w14:paraId="4E63AB4A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May 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15CA" w14:textId="77777777" w:rsidR="00B454F4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20mg,</w:t>
            </w:r>
          </w:p>
          <w:p w14:paraId="37E3D367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Jun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FB46" w14:textId="77777777" w:rsidR="00B454F4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17.5mg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  <w:p w14:paraId="2A8172A4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Sep</w:t>
            </w: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B89F" w14:textId="77777777" w:rsidR="00B454F4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6mg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  <w:p w14:paraId="00128AB3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Jun</w:t>
            </w: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ADD2" w14:textId="77777777" w:rsidR="00B454F4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6mg, </w:t>
            </w:r>
          </w:p>
          <w:p w14:paraId="0B9C455C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Aug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8309" w14:textId="77777777" w:rsidR="00B454F4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4mg,</w:t>
            </w:r>
          </w:p>
          <w:p w14:paraId="5838B4FA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Oct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CA51" w14:textId="77777777" w:rsidR="00B454F4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7mg,</w:t>
            </w:r>
          </w:p>
          <w:p w14:paraId="64F543B0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Jul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B4F8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5581" w14:textId="77777777" w:rsidR="00B454F4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5mg, </w:t>
            </w:r>
          </w:p>
          <w:p w14:paraId="78BDED4F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Jul</w:t>
            </w: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2019</w:t>
            </w:r>
          </w:p>
        </w:tc>
      </w:tr>
      <w:tr w:rsidR="00B454F4" w:rsidRPr="00166DF5" w14:paraId="4B6B0646" w14:textId="77777777" w:rsidTr="004B135E">
        <w:trPr>
          <w:gridAfter w:val="1"/>
          <w:wAfter w:w="377" w:type="dxa"/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E976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3CEB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Months on TOC (as of Oct 2019)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D052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C888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F514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DAC7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EE51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7418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67F5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CE11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0E29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B454F4" w:rsidRPr="00166DF5" w14:paraId="259835DA" w14:textId="77777777" w:rsidTr="004B135E">
        <w:trPr>
          <w:gridAfter w:val="1"/>
          <w:wAfter w:w="377" w:type="dxa"/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7AED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CB96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Concurrent DMARDs and dose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0C23" w14:textId="77777777" w:rsidR="00B454F4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MTX </w:t>
            </w:r>
          </w:p>
          <w:p w14:paraId="5E5581F7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10mg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qw</w:t>
            </w:r>
            <w:proofErr w:type="spellEnd"/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C61D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F0CB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86AA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MTX 15mg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qw</w:t>
            </w:r>
            <w:proofErr w:type="spellEnd"/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2FAD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ECDE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E581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4C12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2FF3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MTX 25mg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qw</w:t>
            </w:r>
            <w:proofErr w:type="spellEnd"/>
          </w:p>
        </w:tc>
      </w:tr>
      <w:tr w:rsidR="00B454F4" w:rsidRPr="00166DF5" w14:paraId="05EA38BD" w14:textId="77777777" w:rsidTr="004B135E">
        <w:trPr>
          <w:gridAfter w:val="1"/>
          <w:wAfter w:w="377" w:type="dxa"/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56A4FD" w14:textId="77777777" w:rsidR="00B454F4" w:rsidRPr="00166DF5" w:rsidRDefault="00B454F4" w:rsidP="004B13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Blood results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71FA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ESR at presentation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4529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F85B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9951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A598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AB03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500E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0B3F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216B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BBD2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B454F4" w:rsidRPr="00166DF5" w14:paraId="3A1E924D" w14:textId="77777777" w:rsidTr="004B135E">
        <w:trPr>
          <w:gridAfter w:val="1"/>
          <w:wAfter w:w="377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6F26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B907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ESR before start of TOC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3289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8850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3708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232B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0CBA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08D2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448A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63AF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0CA9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B454F4" w:rsidRPr="00166DF5" w14:paraId="5C73DBB5" w14:textId="77777777" w:rsidTr="004B135E">
        <w:trPr>
          <w:gridAfter w:val="1"/>
          <w:wAfter w:w="377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64D2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A5C1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ESR after start of TOC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B24E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4854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6B13B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01CB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AF06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50C5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7C5E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0415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5C9D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B454F4" w:rsidRPr="00166DF5" w14:paraId="1F1A0882" w14:textId="77777777" w:rsidTr="004B135E">
        <w:trPr>
          <w:gridAfter w:val="1"/>
          <w:wAfter w:w="377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A583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8EF8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CRP at presentation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AE03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94E9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972C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355F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54CD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2DC4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8442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9977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3AA1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B454F4" w:rsidRPr="00166DF5" w14:paraId="78575864" w14:textId="77777777" w:rsidTr="004B135E">
        <w:trPr>
          <w:gridAfter w:val="1"/>
          <w:wAfter w:w="377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2AC8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72667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CRP before start of TOC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1EE6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4375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BA8B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&lt;1.0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3493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A939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&lt;1.0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9D91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7D72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59F9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A44F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B454F4" w:rsidRPr="00166DF5" w14:paraId="44B5A6AA" w14:textId="77777777" w:rsidTr="004B135E">
        <w:trPr>
          <w:gridAfter w:val="1"/>
          <w:wAfter w:w="377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F188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DC54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CRP after start of TOC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47E6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&lt;1.0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240A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532B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&lt;1.0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9A05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A656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CFA9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7CDC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D512" w14:textId="77777777" w:rsidR="00B454F4" w:rsidRPr="00166DF5" w:rsidRDefault="00B454F4" w:rsidP="004B135E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E283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B454F4" w:rsidRPr="00166DF5" w14:paraId="670CDC15" w14:textId="77777777" w:rsidTr="004B135E">
        <w:trPr>
          <w:gridAfter w:val="1"/>
          <w:wAfter w:w="377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90E4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3919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Temporal artery biopsy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2562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Negative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0E5E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Positive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83052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Positive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A383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Negative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BDBE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Positive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041C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E0B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Incon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  <w:r w:rsidRPr="005E0B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clusive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50BB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E0B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Incon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  <w:r w:rsidRPr="005E0B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clusive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F65E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Positive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5C3A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B454F4" w:rsidRPr="00166DF5" w14:paraId="10EE4A7B" w14:textId="77777777" w:rsidTr="004B135E">
        <w:trPr>
          <w:gridAfter w:val="1"/>
          <w:wAfter w:w="377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089D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59F5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Comorbidities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EDA3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53B0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PMR, asthma, </w:t>
            </w:r>
            <w:r w:rsidRPr="00796BC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IHD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8018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0DE9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PMR, Hypothyroidism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5A6B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PMR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8C3E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PMR, HTN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0A67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F035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CC1D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Takayasu's arteritis</w:t>
            </w:r>
          </w:p>
        </w:tc>
      </w:tr>
      <w:tr w:rsidR="00B454F4" w:rsidRPr="00166DF5" w14:paraId="16BD9E96" w14:textId="77777777" w:rsidTr="004B135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1146" w14:textId="77777777" w:rsidR="00B454F4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14:paraId="041F73F0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F78EE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F2BE2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36CBE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FA7BE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2DB19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C14F6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D1B21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67AE8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5FFC8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6BE8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6B5C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454F4" w:rsidRPr="00166DF5" w14:paraId="6CC38505" w14:textId="77777777" w:rsidTr="004B135E">
        <w:trPr>
          <w:gridAfter w:val="1"/>
          <w:wAfter w:w="377" w:type="dxa"/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A535" w14:textId="77777777" w:rsidR="00B454F4" w:rsidRPr="00166DF5" w:rsidRDefault="00B454F4" w:rsidP="004B13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6D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Index: </w:t>
            </w: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GCA = giant cell arteritis, TOC = tocilizumab, DMARDs = disease modifying antirheumatic drugs, MTX = methotrexate,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= once weekly, </w:t>
            </w: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ESR = erythrocyte sedimentation ratio, CRP = c-reactive protein, PMR = polymyalgia rheumatica,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IHD = ischaemic heart disease, </w:t>
            </w:r>
            <w:r w:rsidRPr="00166D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RA = rheumatoid arthritis, HTN = hypertension, CVA = cerebrovascular accident</w:t>
            </w:r>
          </w:p>
        </w:tc>
      </w:tr>
    </w:tbl>
    <w:p w14:paraId="23D2F572" w14:textId="77777777" w:rsidR="00B454F4" w:rsidRPr="00166DF5" w:rsidRDefault="00B454F4" w:rsidP="00B454F4">
      <w:pPr>
        <w:rPr>
          <w:sz w:val="16"/>
          <w:szCs w:val="16"/>
        </w:rPr>
      </w:pPr>
    </w:p>
    <w:p w14:paraId="17B0A4A7" w14:textId="77777777" w:rsidR="00F84857" w:rsidRDefault="00F84857" w:rsidP="00FA4899">
      <w:pPr>
        <w:pBdr>
          <w:bottom w:val="single" w:sz="12" w:space="1" w:color="auto"/>
        </w:pBdr>
      </w:pPr>
    </w:p>
    <w:p w14:paraId="6EA96A8A" w14:textId="69381828" w:rsidR="00F84857" w:rsidRDefault="00F84857" w:rsidP="00FA4899">
      <w:r>
        <w:t xml:space="preserve">Table 1: </w:t>
      </w:r>
      <w:r w:rsidR="00B454F4">
        <w:t>Data collected from 9 patients with giant cell arteritis on tocilizumab treatment</w:t>
      </w:r>
    </w:p>
    <w:p w14:paraId="7C4816A4" w14:textId="77777777" w:rsidR="00133F0C" w:rsidRDefault="00133F0C" w:rsidP="00FA4899"/>
    <w:p w14:paraId="42778BC1" w14:textId="75C84549" w:rsidR="00FA4899" w:rsidRDefault="00990D47" w:rsidP="00FA4899">
      <w:r>
        <w:t xml:space="preserve">Conclusion: </w:t>
      </w:r>
      <w:r w:rsidR="006D0D2D">
        <w:t xml:space="preserve">Our case series shows the development and delivery of an effective hub and spoke referral pathway for tocilizumab treatment in GCA. </w:t>
      </w:r>
      <w:r w:rsidR="00406A63">
        <w:t>We show that steroid dosing could be reduced with tocilizumab,</w:t>
      </w:r>
      <w:r w:rsidR="0094553C">
        <w:t xml:space="preserve"> and that</w:t>
      </w:r>
      <w:r w:rsidR="00406A63">
        <w:t xml:space="preserve"> all subjects received full funding for treatment. </w:t>
      </w:r>
      <w:r w:rsidR="00191F67">
        <w:t xml:space="preserve">Our referral pathway has encouraged the uptake of the </w:t>
      </w:r>
      <w:r w:rsidR="00406A63">
        <w:t xml:space="preserve">IL-6 </w:t>
      </w:r>
      <w:r w:rsidR="00191F67">
        <w:t xml:space="preserve">monoclonal antibody </w:t>
      </w:r>
      <w:r w:rsidR="00406A63">
        <w:t xml:space="preserve">treatment for GCA </w:t>
      </w:r>
      <w:r w:rsidR="00191F67">
        <w:t xml:space="preserve">and </w:t>
      </w:r>
      <w:r w:rsidR="00F31000">
        <w:t>compliance with NICE guidelines.</w:t>
      </w:r>
    </w:p>
    <w:p w14:paraId="7F394DA4" w14:textId="77777777" w:rsidR="00FA4899" w:rsidRDefault="00FA4899" w:rsidP="00FA4899"/>
    <w:p w14:paraId="4549122D" w14:textId="55F926BE" w:rsidR="00FA4899" w:rsidRDefault="00FA4899">
      <w:bookmarkStart w:id="0" w:name="_GoBack"/>
      <w:bookmarkEnd w:id="0"/>
    </w:p>
    <w:p w14:paraId="07BF4049" w14:textId="77777777" w:rsidR="00133F0C" w:rsidRDefault="00133F0C"/>
    <w:sectPr w:rsidR="00133F0C" w:rsidSect="006D45C3">
      <w:pgSz w:w="11900" w:h="16840"/>
      <w:pgMar w:top="1440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143B3"/>
    <w:multiLevelType w:val="hybridMultilevel"/>
    <w:tmpl w:val="2D580010"/>
    <w:lvl w:ilvl="0" w:tplc="3D84576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274DF"/>
    <w:multiLevelType w:val="hybridMultilevel"/>
    <w:tmpl w:val="DC22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99"/>
    <w:rsid w:val="00030CA1"/>
    <w:rsid w:val="00092CB6"/>
    <w:rsid w:val="000E1231"/>
    <w:rsid w:val="000E4A33"/>
    <w:rsid w:val="00133F0C"/>
    <w:rsid w:val="00191F67"/>
    <w:rsid w:val="001E080B"/>
    <w:rsid w:val="002D4296"/>
    <w:rsid w:val="00406A63"/>
    <w:rsid w:val="004663A9"/>
    <w:rsid w:val="006A6B21"/>
    <w:rsid w:val="006D0D2D"/>
    <w:rsid w:val="006D45C3"/>
    <w:rsid w:val="007B2B32"/>
    <w:rsid w:val="007D1379"/>
    <w:rsid w:val="00805CB6"/>
    <w:rsid w:val="00814F17"/>
    <w:rsid w:val="0087045F"/>
    <w:rsid w:val="009270AB"/>
    <w:rsid w:val="0094553C"/>
    <w:rsid w:val="009661BF"/>
    <w:rsid w:val="00990D47"/>
    <w:rsid w:val="009C3500"/>
    <w:rsid w:val="00A34BE9"/>
    <w:rsid w:val="00AC7005"/>
    <w:rsid w:val="00B454F4"/>
    <w:rsid w:val="00B50D92"/>
    <w:rsid w:val="00BC6029"/>
    <w:rsid w:val="00C15ACA"/>
    <w:rsid w:val="00D46287"/>
    <w:rsid w:val="00D8784A"/>
    <w:rsid w:val="00DF3A93"/>
    <w:rsid w:val="00E42676"/>
    <w:rsid w:val="00F31000"/>
    <w:rsid w:val="00F84857"/>
    <w:rsid w:val="00FA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A055"/>
  <w15:docId w15:val="{B982581C-D3BE-4502-B9E1-54AE9736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0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D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54F4"/>
  </w:style>
  <w:style w:type="paragraph" w:styleId="ListParagraph">
    <w:name w:val="List Paragraph"/>
    <w:basedOn w:val="Normal"/>
    <w:uiPriority w:val="34"/>
    <w:qFormat/>
    <w:rsid w:val="0094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Pratyasha Saha</dc:creator>
  <cp:lastModifiedBy>Nidhi Sofat</cp:lastModifiedBy>
  <cp:revision>2</cp:revision>
  <dcterms:created xsi:type="dcterms:W3CDTF">2020-04-20T16:07:00Z</dcterms:created>
  <dcterms:modified xsi:type="dcterms:W3CDTF">2020-04-20T16:07:00Z</dcterms:modified>
</cp:coreProperties>
</file>