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B20" w:rsidRPr="008A1884" w:rsidRDefault="00263B20" w:rsidP="00ED2803">
      <w:pPr>
        <w:jc w:val="center"/>
        <w:rPr>
          <w:b/>
          <w:sz w:val="28"/>
          <w:szCs w:val="28"/>
          <w:shd w:val="clear" w:color="auto" w:fill="FFFFFF"/>
        </w:rPr>
      </w:pPr>
      <w:r w:rsidRPr="008A1884">
        <w:rPr>
          <w:b/>
          <w:sz w:val="28"/>
          <w:szCs w:val="28"/>
          <w:shd w:val="clear" w:color="auto" w:fill="FFFFFF"/>
        </w:rPr>
        <w:t xml:space="preserve">Development of a minigenome cassette for </w:t>
      </w:r>
      <w:r w:rsidRPr="008A1884">
        <w:rPr>
          <w:b/>
          <w:iCs/>
          <w:sz w:val="28"/>
          <w:szCs w:val="28"/>
          <w:shd w:val="clear" w:color="auto" w:fill="FFFFFF"/>
        </w:rPr>
        <w:t xml:space="preserve">Lettuce </w:t>
      </w:r>
      <w:r w:rsidR="00DB0ECD" w:rsidRPr="008A1884">
        <w:rPr>
          <w:b/>
          <w:iCs/>
          <w:sz w:val="28"/>
          <w:szCs w:val="28"/>
          <w:shd w:val="clear" w:color="auto" w:fill="FFFFFF"/>
        </w:rPr>
        <w:t>n</w:t>
      </w:r>
      <w:r w:rsidRPr="008A1884">
        <w:rPr>
          <w:b/>
          <w:iCs/>
          <w:sz w:val="28"/>
          <w:szCs w:val="28"/>
          <w:shd w:val="clear" w:color="auto" w:fill="FFFFFF"/>
        </w:rPr>
        <w:t xml:space="preserve">ecrotic </w:t>
      </w:r>
      <w:r w:rsidR="00DB0ECD" w:rsidRPr="008A1884">
        <w:rPr>
          <w:b/>
          <w:iCs/>
          <w:sz w:val="28"/>
          <w:szCs w:val="28"/>
          <w:shd w:val="clear" w:color="auto" w:fill="FFFFFF"/>
        </w:rPr>
        <w:t>y</w:t>
      </w:r>
      <w:r w:rsidRPr="008A1884">
        <w:rPr>
          <w:b/>
          <w:iCs/>
          <w:sz w:val="28"/>
          <w:szCs w:val="28"/>
          <w:shd w:val="clear" w:color="auto" w:fill="FFFFFF"/>
        </w:rPr>
        <w:t xml:space="preserve">ellows </w:t>
      </w:r>
      <w:r w:rsidR="00DB0ECD" w:rsidRPr="008A1884">
        <w:rPr>
          <w:b/>
          <w:iCs/>
          <w:sz w:val="28"/>
          <w:szCs w:val="28"/>
          <w:shd w:val="clear" w:color="auto" w:fill="FFFFFF"/>
        </w:rPr>
        <w:t>v</w:t>
      </w:r>
      <w:r w:rsidRPr="008A1884">
        <w:rPr>
          <w:b/>
          <w:iCs/>
          <w:sz w:val="28"/>
          <w:szCs w:val="28"/>
          <w:shd w:val="clear" w:color="auto" w:fill="FFFFFF"/>
        </w:rPr>
        <w:t>irus:</w:t>
      </w:r>
      <w:r w:rsidRPr="008A1884">
        <w:rPr>
          <w:b/>
          <w:i/>
          <w:sz w:val="28"/>
          <w:szCs w:val="28"/>
          <w:shd w:val="clear" w:color="auto" w:fill="FFFFFF"/>
        </w:rPr>
        <w:t xml:space="preserve"> </w:t>
      </w:r>
      <w:r w:rsidRPr="008A1884">
        <w:rPr>
          <w:b/>
          <w:iCs/>
          <w:sz w:val="28"/>
          <w:szCs w:val="28"/>
          <w:shd w:val="clear" w:color="auto" w:fill="FFFFFF"/>
        </w:rPr>
        <w:t>a</w:t>
      </w:r>
      <w:r w:rsidRPr="008A1884">
        <w:rPr>
          <w:b/>
          <w:i/>
          <w:sz w:val="28"/>
          <w:szCs w:val="28"/>
          <w:shd w:val="clear" w:color="auto" w:fill="FFFFFF"/>
        </w:rPr>
        <w:t xml:space="preserve"> </w:t>
      </w:r>
      <w:r w:rsidRPr="008A1884">
        <w:rPr>
          <w:b/>
          <w:iCs/>
          <w:sz w:val="28"/>
          <w:szCs w:val="28"/>
          <w:shd w:val="clear" w:color="auto" w:fill="FFFFFF"/>
        </w:rPr>
        <w:t xml:space="preserve">first step in rescuing a plant </w:t>
      </w:r>
      <w:proofErr w:type="spellStart"/>
      <w:r w:rsidRPr="008A1884">
        <w:rPr>
          <w:b/>
          <w:iCs/>
          <w:sz w:val="28"/>
          <w:szCs w:val="28"/>
          <w:shd w:val="clear" w:color="auto" w:fill="FFFFFF"/>
        </w:rPr>
        <w:t>cytorhabdovirus</w:t>
      </w:r>
      <w:proofErr w:type="spellEnd"/>
      <w:r w:rsidRPr="008A1884">
        <w:rPr>
          <w:b/>
          <w:iCs/>
          <w:sz w:val="28"/>
          <w:szCs w:val="28"/>
          <w:shd w:val="clear" w:color="auto" w:fill="FFFFFF"/>
        </w:rPr>
        <w:t xml:space="preserve"> </w:t>
      </w:r>
    </w:p>
    <w:p w:rsidR="00263B20" w:rsidRPr="008A1884" w:rsidRDefault="00263B20" w:rsidP="00ED2803">
      <w:pPr>
        <w:rPr>
          <w:b/>
          <w:sz w:val="28"/>
          <w:szCs w:val="28"/>
          <w:shd w:val="clear" w:color="auto" w:fill="FFFFFF"/>
        </w:rPr>
      </w:pPr>
    </w:p>
    <w:p w:rsidR="00263B20" w:rsidRPr="008A1884" w:rsidRDefault="00263B20" w:rsidP="00ED2803">
      <w:pPr>
        <w:rPr>
          <w:b/>
          <w:sz w:val="28"/>
          <w:szCs w:val="28"/>
          <w:shd w:val="clear" w:color="auto" w:fill="FFFFFF"/>
        </w:rPr>
      </w:pPr>
    </w:p>
    <w:p w:rsidR="00263B20" w:rsidRPr="008A1884" w:rsidRDefault="00263B20" w:rsidP="00ED2803">
      <w:pPr>
        <w:rPr>
          <w:szCs w:val="28"/>
          <w:shd w:val="clear" w:color="auto" w:fill="FFFFFF"/>
        </w:rPr>
      </w:pPr>
      <w:r w:rsidRPr="008A1884">
        <w:rPr>
          <w:szCs w:val="28"/>
          <w:shd w:val="clear" w:color="auto" w:fill="FFFFFF"/>
        </w:rPr>
        <w:t>Ahmad E. C. Ibrahim</w:t>
      </w:r>
      <w:r w:rsidRPr="008A1884">
        <w:rPr>
          <w:szCs w:val="28"/>
          <w:shd w:val="clear" w:color="auto" w:fill="FFFFFF"/>
          <w:vertAlign w:val="superscript"/>
        </w:rPr>
        <w:t>1</w:t>
      </w:r>
      <w:r w:rsidRPr="008A1884">
        <w:rPr>
          <w:szCs w:val="28"/>
          <w:shd w:val="clear" w:color="auto" w:fill="FFFFFF"/>
        </w:rPr>
        <w:t>, Craig J. van Dolleweerd</w:t>
      </w:r>
      <w:r w:rsidRPr="008A1884">
        <w:rPr>
          <w:szCs w:val="28"/>
          <w:shd w:val="clear" w:color="auto" w:fill="FFFFFF"/>
          <w:vertAlign w:val="superscript"/>
        </w:rPr>
        <w:t>1</w:t>
      </w:r>
      <w:r w:rsidRPr="008A1884">
        <w:rPr>
          <w:szCs w:val="28"/>
          <w:shd w:val="clear" w:color="auto" w:fill="FFFFFF"/>
        </w:rPr>
        <w:t>, Pascal M.W. Drake</w:t>
      </w:r>
      <w:r w:rsidRPr="008A1884">
        <w:rPr>
          <w:szCs w:val="28"/>
          <w:shd w:val="clear" w:color="auto" w:fill="FFFFFF"/>
          <w:vertAlign w:val="superscript"/>
        </w:rPr>
        <w:t>1+</w:t>
      </w:r>
      <w:r w:rsidRPr="008A1884">
        <w:rPr>
          <w:szCs w:val="28"/>
          <w:shd w:val="clear" w:color="auto" w:fill="FFFFFF"/>
        </w:rPr>
        <w:t>, and Julian K-C. Ma</w:t>
      </w:r>
      <w:r w:rsidRPr="008A1884">
        <w:rPr>
          <w:szCs w:val="28"/>
          <w:shd w:val="clear" w:color="auto" w:fill="FFFFFF"/>
          <w:vertAlign w:val="superscript"/>
        </w:rPr>
        <w:t>1+</w:t>
      </w:r>
    </w:p>
    <w:p w:rsidR="00263B20" w:rsidRPr="008A1884" w:rsidRDefault="00263B20" w:rsidP="00ED2803">
      <w:pPr>
        <w:rPr>
          <w:szCs w:val="28"/>
          <w:shd w:val="clear" w:color="auto" w:fill="FFFFFF"/>
        </w:rPr>
      </w:pPr>
    </w:p>
    <w:p w:rsidR="00263B20" w:rsidRPr="008A1884" w:rsidRDefault="00263B20" w:rsidP="00ED2803">
      <w:pPr>
        <w:rPr>
          <w:szCs w:val="28"/>
          <w:shd w:val="clear" w:color="auto" w:fill="FFFFFF"/>
        </w:rPr>
      </w:pPr>
      <w:r w:rsidRPr="008A1884">
        <w:rPr>
          <w:szCs w:val="28"/>
          <w:shd w:val="clear" w:color="auto" w:fill="FFFFFF"/>
          <w:vertAlign w:val="superscript"/>
        </w:rPr>
        <w:t>1</w:t>
      </w:r>
      <w:r w:rsidRPr="008A1884">
        <w:rPr>
          <w:szCs w:val="28"/>
          <w:shd w:val="clear" w:color="auto" w:fill="FFFFFF"/>
        </w:rPr>
        <w:t>St. George’s University of London, Institute for Infection and Immunity, London, SW17 0RE, United Kingdom</w:t>
      </w:r>
    </w:p>
    <w:p w:rsidR="00263B20" w:rsidRPr="008A1884" w:rsidRDefault="00263B20" w:rsidP="00ED2803">
      <w:pPr>
        <w:rPr>
          <w:szCs w:val="28"/>
          <w:shd w:val="clear" w:color="auto" w:fill="FFFFFF"/>
        </w:rPr>
      </w:pPr>
      <w:r w:rsidRPr="008A1884">
        <w:rPr>
          <w:szCs w:val="28"/>
          <w:shd w:val="clear" w:color="auto" w:fill="FFFFFF"/>
          <w:vertAlign w:val="superscript"/>
        </w:rPr>
        <w:t>*</w:t>
      </w:r>
      <w:r w:rsidRPr="008A1884">
        <w:rPr>
          <w:szCs w:val="28"/>
          <w:shd w:val="clear" w:color="auto" w:fill="FFFFFF"/>
        </w:rPr>
        <w:t xml:space="preserve"> pdrake@sgul.ac.uk</w:t>
      </w:r>
    </w:p>
    <w:p w:rsidR="00263B20" w:rsidRPr="008A1884" w:rsidRDefault="00263B20" w:rsidP="00ED2803">
      <w:pPr>
        <w:rPr>
          <w:szCs w:val="28"/>
          <w:shd w:val="clear" w:color="auto" w:fill="FFFFFF"/>
        </w:rPr>
      </w:pPr>
      <w:r w:rsidRPr="008A1884">
        <w:rPr>
          <w:szCs w:val="28"/>
          <w:shd w:val="clear" w:color="auto" w:fill="FFFFFF"/>
          <w:vertAlign w:val="superscript"/>
        </w:rPr>
        <w:t>+</w:t>
      </w:r>
      <w:r w:rsidRPr="008A1884">
        <w:rPr>
          <w:szCs w:val="28"/>
          <w:shd w:val="clear" w:color="auto" w:fill="FFFFFF"/>
        </w:rPr>
        <w:t xml:space="preserve"> these authors contributed equally to this work </w:t>
      </w:r>
    </w:p>
    <w:p w:rsidR="00263B20" w:rsidRPr="008A1884" w:rsidRDefault="00263B20" w:rsidP="00ED2803">
      <w:pPr>
        <w:rPr>
          <w:b/>
          <w:sz w:val="28"/>
          <w:szCs w:val="28"/>
          <w:shd w:val="clear" w:color="auto" w:fill="FFFFFF"/>
        </w:rPr>
      </w:pPr>
    </w:p>
    <w:p w:rsidR="00263B20" w:rsidRPr="008A1884" w:rsidRDefault="00263B20" w:rsidP="00ED2803">
      <w:pPr>
        <w:rPr>
          <w:b/>
          <w:sz w:val="28"/>
          <w:szCs w:val="28"/>
          <w:shd w:val="clear" w:color="auto" w:fill="FFFFFF"/>
        </w:rPr>
        <w:sectPr w:rsidR="00263B20" w:rsidRPr="008A1884" w:rsidSect="00ED2803">
          <w:footerReference w:type="even" r:id="rId7"/>
          <w:footerReference w:type="default" r:id="rId8"/>
          <w:pgSz w:w="11900" w:h="16840"/>
          <w:pgMar w:top="1440" w:right="1440" w:bottom="1440" w:left="1440" w:header="708" w:footer="708" w:gutter="0"/>
          <w:cols w:space="708"/>
          <w:docGrid w:linePitch="360"/>
        </w:sectPr>
      </w:pPr>
    </w:p>
    <w:p w:rsidR="00263B20" w:rsidRPr="008A1884" w:rsidRDefault="00263B20" w:rsidP="00ED2803">
      <w:pPr>
        <w:pStyle w:val="Heading1"/>
      </w:pPr>
      <w:r w:rsidRPr="008A1884">
        <w:lastRenderedPageBreak/>
        <w:t>Abstract</w:t>
      </w:r>
    </w:p>
    <w:p w:rsidR="00263B20" w:rsidRPr="008A1884" w:rsidRDefault="00263B20" w:rsidP="00ED2803">
      <w:pPr>
        <w:rPr>
          <w:rFonts w:eastAsia="Times New Roman" w:cs="Times New Roman"/>
        </w:rPr>
      </w:pPr>
      <w:r w:rsidRPr="008A1884">
        <w:rPr>
          <w:rFonts w:eastAsia="Times New Roman" w:cs="Times New Roman"/>
        </w:rPr>
        <w:t xml:space="preserve">Rhabdoviruses are enveloped negative-sense RNA viruses that have numerous biotechnological applications. However, recovering plant rhabdoviruses from cDNA remains difficult due to technical difficulties such as the need for concurrent </w:t>
      </w:r>
      <w:r w:rsidRPr="008A1884">
        <w:rPr>
          <w:rFonts w:eastAsia="Times New Roman" w:cs="Times New Roman"/>
          <w:i/>
        </w:rPr>
        <w:t>in planta</w:t>
      </w:r>
      <w:r w:rsidRPr="008A1884">
        <w:rPr>
          <w:rFonts w:eastAsia="Times New Roman" w:cs="Times New Roman"/>
        </w:rPr>
        <w:t xml:space="preserve"> expression of the viral genome together with the viral nucleoprotein (N), phosphoprotein (P) and RNA-dependent RNA polymerase (L) and viral genome instability in </w:t>
      </w:r>
      <w:r w:rsidRPr="008A1884">
        <w:rPr>
          <w:rFonts w:eastAsia="Times New Roman" w:cs="Times New Roman"/>
          <w:i/>
        </w:rPr>
        <w:t>E. coli</w:t>
      </w:r>
      <w:r w:rsidRPr="008A1884">
        <w:rPr>
          <w:rFonts w:eastAsia="Times New Roman" w:cs="Times New Roman"/>
        </w:rPr>
        <w:t xml:space="preserve">. Here, we developed a negative-sense minigenome cassette for </w:t>
      </w:r>
      <w:r w:rsidRPr="008A1884">
        <w:rPr>
          <w:rFonts w:eastAsia="Times New Roman" w:cs="Times New Roman"/>
          <w:iCs/>
        </w:rPr>
        <w:t xml:space="preserve">Lettuce </w:t>
      </w:r>
      <w:r w:rsidR="006A5E9C" w:rsidRPr="008A1884">
        <w:rPr>
          <w:rFonts w:eastAsia="Times New Roman" w:cs="Times New Roman"/>
          <w:iCs/>
        </w:rPr>
        <w:t>n</w:t>
      </w:r>
      <w:r w:rsidRPr="008A1884">
        <w:rPr>
          <w:rFonts w:eastAsia="Times New Roman" w:cs="Times New Roman"/>
          <w:iCs/>
        </w:rPr>
        <w:t xml:space="preserve">ecrotic </w:t>
      </w:r>
      <w:r w:rsidR="006A5E9C" w:rsidRPr="008A1884">
        <w:rPr>
          <w:rFonts w:eastAsia="Times New Roman" w:cs="Times New Roman"/>
          <w:iCs/>
        </w:rPr>
        <w:t>y</w:t>
      </w:r>
      <w:r w:rsidRPr="008A1884">
        <w:rPr>
          <w:rFonts w:eastAsia="Times New Roman" w:cs="Times New Roman"/>
          <w:iCs/>
        </w:rPr>
        <w:t xml:space="preserve">ellows </w:t>
      </w:r>
      <w:r w:rsidR="006A5E9C" w:rsidRPr="008A1884">
        <w:rPr>
          <w:rFonts w:eastAsia="Times New Roman" w:cs="Times New Roman"/>
          <w:iCs/>
        </w:rPr>
        <w:t>v</w:t>
      </w:r>
      <w:r w:rsidRPr="008A1884">
        <w:rPr>
          <w:rFonts w:eastAsia="Times New Roman" w:cs="Times New Roman"/>
          <w:iCs/>
        </w:rPr>
        <w:t>irus</w:t>
      </w:r>
      <w:r w:rsidRPr="008A1884">
        <w:rPr>
          <w:rFonts w:eastAsia="Times New Roman" w:cs="Times New Roman"/>
        </w:rPr>
        <w:t xml:space="preserve"> (LNYV). We introduced introns into the unstable viral ORF and employed </w:t>
      </w:r>
      <w:r w:rsidRPr="008A1884">
        <w:rPr>
          <w:rFonts w:eastAsia="Times New Roman" w:cs="Times New Roman"/>
          <w:i/>
        </w:rPr>
        <w:t>Agrobacterium tumefaciens</w:t>
      </w:r>
      <w:r w:rsidRPr="008A1884">
        <w:rPr>
          <w:rFonts w:eastAsia="Times New Roman" w:cs="Times New Roman"/>
        </w:rPr>
        <w:t xml:space="preserve"> to co-infiltrate </w:t>
      </w:r>
      <w:r w:rsidRPr="008A1884">
        <w:rPr>
          <w:rFonts w:eastAsia="Times New Roman" w:cs="Times New Roman"/>
          <w:i/>
        </w:rPr>
        <w:t xml:space="preserve">Nicotiana </w:t>
      </w:r>
      <w:r w:rsidRPr="008A1884">
        <w:rPr>
          <w:rFonts w:eastAsia="Times New Roman" w:cs="Times New Roman"/>
          <w:iCs/>
        </w:rPr>
        <w:t xml:space="preserve">with the genes for </w:t>
      </w:r>
      <w:r w:rsidRPr="008A1884">
        <w:rPr>
          <w:rFonts w:eastAsia="Times New Roman" w:cs="Times New Roman"/>
        </w:rPr>
        <w:t xml:space="preserve">the N, P, and L proteins together with the minigenome cassette. The minigenome cassette included the </w:t>
      </w:r>
      <w:proofErr w:type="spellStart"/>
      <w:r w:rsidRPr="008A1884">
        <w:rPr>
          <w:rFonts w:eastAsia="Times New Roman" w:cs="Times New Roman"/>
          <w:i/>
        </w:rPr>
        <w:t>Discosoma</w:t>
      </w:r>
      <w:proofErr w:type="spellEnd"/>
      <w:r w:rsidRPr="008A1884">
        <w:rPr>
          <w:rFonts w:eastAsia="Times New Roman" w:cs="Times New Roman"/>
        </w:rPr>
        <w:t xml:space="preserve"> sp. red fluorescent protein gene (</w:t>
      </w:r>
      <w:proofErr w:type="spellStart"/>
      <w:r w:rsidRPr="008A1884">
        <w:rPr>
          <w:rFonts w:eastAsia="Times New Roman" w:cs="Times New Roman"/>
        </w:rPr>
        <w:t>DsRed</w:t>
      </w:r>
      <w:proofErr w:type="spellEnd"/>
      <w:r w:rsidRPr="008A1884">
        <w:rPr>
          <w:rFonts w:eastAsia="Times New Roman" w:cs="Times New Roman"/>
        </w:rPr>
        <w:t xml:space="preserve">) cloned in the negative-sense between the viral </w:t>
      </w:r>
      <w:r w:rsidRPr="008A1884">
        <w:rPr>
          <w:rFonts w:eastAsia="Times New Roman" w:cs="Times New Roman"/>
          <w:i/>
        </w:rPr>
        <w:t>trailer</w:t>
      </w:r>
      <w:r w:rsidRPr="008A1884">
        <w:rPr>
          <w:rFonts w:eastAsia="Times New Roman" w:cs="Times New Roman"/>
        </w:rPr>
        <w:t xml:space="preserve"> and </w:t>
      </w:r>
      <w:r w:rsidRPr="008A1884">
        <w:rPr>
          <w:rFonts w:eastAsia="Times New Roman" w:cs="Times New Roman"/>
          <w:i/>
        </w:rPr>
        <w:t>leader</w:t>
      </w:r>
      <w:r w:rsidRPr="008A1884">
        <w:rPr>
          <w:rFonts w:eastAsia="Times New Roman" w:cs="Times New Roman"/>
        </w:rPr>
        <w:t xml:space="preserve"> sequences which were placed between hammerhead and hepatitis delta ribozymes. </w:t>
      </w:r>
      <w:r w:rsidRPr="008A1884">
        <w:rPr>
          <w:rFonts w:eastAsia="Times New Roman" w:cs="Times New Roman"/>
          <w:i/>
        </w:rPr>
        <w:t>In planta</w:t>
      </w:r>
      <w:r w:rsidRPr="008A1884">
        <w:rPr>
          <w:rFonts w:eastAsia="Times New Roman" w:cs="Times New Roman"/>
        </w:rPr>
        <w:t xml:space="preserve"> </w:t>
      </w:r>
      <w:proofErr w:type="spellStart"/>
      <w:r w:rsidRPr="008A1884">
        <w:rPr>
          <w:rFonts w:eastAsia="Times New Roman" w:cs="Times New Roman"/>
        </w:rPr>
        <w:t>DsRed</w:t>
      </w:r>
      <w:proofErr w:type="spellEnd"/>
      <w:r w:rsidRPr="008A1884">
        <w:rPr>
          <w:rFonts w:eastAsia="Times New Roman" w:cs="Times New Roman"/>
        </w:rPr>
        <w:t xml:space="preserve"> expression was demonstrated by western blotting while the appropriate splicing of introduced introns was confirmed by sequencing of RT-PCR product.  </w:t>
      </w:r>
    </w:p>
    <w:p w:rsidR="00263B20" w:rsidRPr="008A1884" w:rsidRDefault="00263B20">
      <w:pPr>
        <w:spacing w:line="240" w:lineRule="auto"/>
        <w:jc w:val="left"/>
        <w:rPr>
          <w:rFonts w:eastAsia="Times New Roman" w:cs="Times New Roman"/>
        </w:rPr>
      </w:pPr>
      <w:r w:rsidRPr="008A1884">
        <w:rPr>
          <w:rFonts w:eastAsia="Times New Roman" w:cs="Times New Roman"/>
        </w:rPr>
        <w:br w:type="page"/>
      </w:r>
    </w:p>
    <w:p w:rsidR="00263B20" w:rsidRPr="008A1884" w:rsidRDefault="00263B20" w:rsidP="00ED2803">
      <w:pPr>
        <w:pStyle w:val="Heading1"/>
      </w:pPr>
      <w:r w:rsidRPr="008A1884">
        <w:lastRenderedPageBreak/>
        <w:t>Introduction</w:t>
      </w:r>
    </w:p>
    <w:p w:rsidR="00263B20" w:rsidRPr="008A1884" w:rsidRDefault="00263B20" w:rsidP="00ED2803">
      <w:pPr>
        <w:rPr>
          <w:rFonts w:eastAsia="Times New Roman" w:cs="Times New Roman"/>
        </w:rPr>
      </w:pPr>
      <w:r w:rsidRPr="008A1884">
        <w:rPr>
          <w:rFonts w:eastAsia="Times New Roman" w:cs="Times New Roman"/>
          <w:iCs/>
        </w:rPr>
        <w:t xml:space="preserve">Lettuce </w:t>
      </w:r>
      <w:r w:rsidR="00654C79" w:rsidRPr="008A1884">
        <w:rPr>
          <w:rFonts w:eastAsia="Times New Roman" w:cs="Times New Roman"/>
          <w:iCs/>
        </w:rPr>
        <w:t>n</w:t>
      </w:r>
      <w:r w:rsidRPr="008A1884">
        <w:rPr>
          <w:rFonts w:eastAsia="Times New Roman" w:cs="Times New Roman"/>
          <w:iCs/>
        </w:rPr>
        <w:t xml:space="preserve">ecrotic </w:t>
      </w:r>
      <w:r w:rsidR="00654C79" w:rsidRPr="008A1884">
        <w:rPr>
          <w:rFonts w:eastAsia="Times New Roman" w:cs="Times New Roman"/>
          <w:iCs/>
        </w:rPr>
        <w:t>y</w:t>
      </w:r>
      <w:r w:rsidRPr="008A1884">
        <w:rPr>
          <w:rFonts w:eastAsia="Times New Roman" w:cs="Times New Roman"/>
          <w:iCs/>
        </w:rPr>
        <w:t xml:space="preserve">ellows </w:t>
      </w:r>
      <w:r w:rsidR="00654C79" w:rsidRPr="008A1884">
        <w:rPr>
          <w:rFonts w:eastAsia="Times New Roman" w:cs="Times New Roman"/>
          <w:iCs/>
        </w:rPr>
        <w:t>v</w:t>
      </w:r>
      <w:r w:rsidRPr="008A1884">
        <w:rPr>
          <w:rFonts w:eastAsia="Times New Roman" w:cs="Times New Roman"/>
          <w:iCs/>
        </w:rPr>
        <w:t>irus</w:t>
      </w:r>
      <w:r w:rsidRPr="008A1884">
        <w:rPr>
          <w:rFonts w:eastAsia="Times New Roman" w:cs="Times New Roman"/>
        </w:rPr>
        <w:t xml:space="preserve"> (LNYV) is a plant </w:t>
      </w:r>
      <w:proofErr w:type="spellStart"/>
      <w:r w:rsidRPr="008A1884">
        <w:rPr>
          <w:rFonts w:eastAsia="Times New Roman" w:cs="Times New Roman"/>
        </w:rPr>
        <w:t>cytorhabdovirus</w:t>
      </w:r>
      <w:proofErr w:type="spellEnd"/>
      <w:r w:rsidRPr="008A1884">
        <w:rPr>
          <w:rFonts w:eastAsia="Times New Roman" w:cs="Times New Roman"/>
        </w:rPr>
        <w:t xml:space="preserve"> with a negative-sense, single-stranded, RNA genome that infects lettuce and garlic </w:t>
      </w:r>
      <w:r w:rsidRPr="008A1884">
        <w:rPr>
          <w:rFonts w:eastAsia="Times New Roman" w:cs="Times New Roman"/>
          <w:noProof/>
        </w:rPr>
        <w:t>(1, 2)</w:t>
      </w:r>
      <w:r w:rsidRPr="008A1884">
        <w:rPr>
          <w:rFonts w:eastAsia="Times New Roman" w:cs="Times New Roman"/>
        </w:rPr>
        <w:t xml:space="preserve">. </w:t>
      </w:r>
      <w:r w:rsidRPr="008A1884">
        <w:rPr>
          <w:rFonts w:eastAsia="Times New Roman" w:cs="Times New Roman"/>
          <w:i/>
          <w:iCs/>
        </w:rPr>
        <w:t>In planta</w:t>
      </w:r>
      <w:r w:rsidRPr="008A1884">
        <w:rPr>
          <w:rFonts w:eastAsia="Times New Roman" w:cs="Times New Roman"/>
        </w:rPr>
        <w:t xml:space="preserve">, the virus replicates within the cytoplasm accumulating in membrane-bound </w:t>
      </w:r>
      <w:proofErr w:type="spellStart"/>
      <w:r w:rsidRPr="008A1884">
        <w:rPr>
          <w:rFonts w:eastAsia="Times New Roman" w:cs="Times New Roman"/>
        </w:rPr>
        <w:t>viroplasms</w:t>
      </w:r>
      <w:proofErr w:type="spellEnd"/>
      <w:r w:rsidRPr="008A1884">
        <w:rPr>
          <w:rFonts w:eastAsia="Times New Roman" w:cs="Times New Roman"/>
        </w:rPr>
        <w:t xml:space="preserve"> </w:t>
      </w:r>
      <w:r w:rsidRPr="008A1884">
        <w:rPr>
          <w:rFonts w:eastAsia="Times New Roman" w:cs="Times New Roman"/>
          <w:noProof/>
        </w:rPr>
        <w:t>(3, 4)</w:t>
      </w:r>
      <w:r w:rsidRPr="008A1884">
        <w:rPr>
          <w:rFonts w:eastAsia="Times New Roman" w:cs="Times New Roman"/>
        </w:rPr>
        <w:t xml:space="preserve">. LNYV genomic RNA (gRNA) encodes six </w:t>
      </w:r>
      <w:proofErr w:type="spellStart"/>
      <w:r w:rsidRPr="008A1884">
        <w:rPr>
          <w:rFonts w:eastAsia="Times New Roman" w:cs="Times New Roman"/>
        </w:rPr>
        <w:t>monocistronic</w:t>
      </w:r>
      <w:proofErr w:type="spellEnd"/>
      <w:r w:rsidRPr="008A1884">
        <w:rPr>
          <w:rFonts w:eastAsia="Times New Roman" w:cs="Times New Roman"/>
        </w:rPr>
        <w:t xml:space="preserve"> genes: Nucleoprotein (N), Phosphoprotein (P), cell-to-cell movement protein (4b), Matrix protein (M), Glycoprotein (G), and Large Polymerase (L), flanked by the untranslated 3’ </w:t>
      </w:r>
      <w:r w:rsidRPr="008A1884">
        <w:rPr>
          <w:rFonts w:eastAsia="Times New Roman" w:cs="Times New Roman"/>
          <w:i/>
        </w:rPr>
        <w:t>leader</w:t>
      </w:r>
      <w:r w:rsidRPr="008A1884">
        <w:rPr>
          <w:rFonts w:eastAsia="Times New Roman" w:cs="Times New Roman"/>
        </w:rPr>
        <w:t xml:space="preserve"> and 5’ </w:t>
      </w:r>
      <w:r w:rsidRPr="008A1884">
        <w:rPr>
          <w:rFonts w:eastAsia="Times New Roman" w:cs="Times New Roman"/>
          <w:i/>
        </w:rPr>
        <w:t>trailer</w:t>
      </w:r>
      <w:r w:rsidRPr="008A1884">
        <w:rPr>
          <w:rFonts w:eastAsia="Times New Roman" w:cs="Times New Roman"/>
        </w:rPr>
        <w:t xml:space="preserve"> regions </w:t>
      </w:r>
      <w:r w:rsidRPr="008A1884">
        <w:rPr>
          <w:rFonts w:eastAsia="Times New Roman" w:cs="Times New Roman"/>
          <w:noProof/>
        </w:rPr>
        <w:t>(5)</w:t>
      </w:r>
      <w:r w:rsidRPr="008A1884">
        <w:rPr>
          <w:rFonts w:eastAsia="Times New Roman" w:cs="Times New Roman"/>
        </w:rPr>
        <w:t xml:space="preserve">. As with other members of the </w:t>
      </w:r>
      <w:proofErr w:type="spellStart"/>
      <w:r w:rsidRPr="008A1884">
        <w:rPr>
          <w:rFonts w:eastAsia="Times New Roman" w:cs="Times New Roman"/>
          <w:i/>
        </w:rPr>
        <w:t>Rhabdoviridae</w:t>
      </w:r>
      <w:proofErr w:type="spellEnd"/>
      <w:r w:rsidRPr="008A1884">
        <w:rPr>
          <w:rFonts w:eastAsia="Times New Roman" w:cs="Times New Roman"/>
        </w:rPr>
        <w:t xml:space="preserve"> family, gRNA coiled with N protein acts as the template for </w:t>
      </w:r>
      <w:r w:rsidRPr="008A1884">
        <w:rPr>
          <w:rFonts w:eastAsia="Times New Roman" w:cs="Times New Roman"/>
          <w:i/>
        </w:rPr>
        <w:t>de novo</w:t>
      </w:r>
      <w:r w:rsidRPr="008A1884">
        <w:rPr>
          <w:rFonts w:eastAsia="Times New Roman" w:cs="Times New Roman"/>
        </w:rPr>
        <w:t xml:space="preserve"> mRNA synthesis by the viral RNA-dependent RNA polymerase </w:t>
      </w:r>
      <w:r w:rsidRPr="008A1884">
        <w:rPr>
          <w:rFonts w:eastAsia="Times New Roman" w:cs="Times New Roman"/>
          <w:noProof/>
        </w:rPr>
        <w:t>(6)</w:t>
      </w:r>
      <w:r w:rsidRPr="008A1884">
        <w:rPr>
          <w:rFonts w:eastAsia="Times New Roman" w:cs="Times New Roman"/>
        </w:rPr>
        <w:t xml:space="preserve">. The viral transcription and replication processes are controlled by </w:t>
      </w:r>
      <w:r w:rsidRPr="008A1884">
        <w:rPr>
          <w:rFonts w:eastAsia="Times New Roman" w:cs="Times New Roman"/>
          <w:i/>
        </w:rPr>
        <w:t>cis</w:t>
      </w:r>
      <w:r w:rsidRPr="008A1884">
        <w:rPr>
          <w:rFonts w:eastAsia="Times New Roman" w:cs="Times New Roman"/>
        </w:rPr>
        <w:t xml:space="preserve">-acting sequences in the </w:t>
      </w:r>
      <w:r w:rsidRPr="008A1884">
        <w:rPr>
          <w:rFonts w:eastAsia="Times New Roman" w:cs="Times New Roman"/>
          <w:i/>
        </w:rPr>
        <w:t>leader</w:t>
      </w:r>
      <w:r w:rsidRPr="008A1884">
        <w:rPr>
          <w:rFonts w:eastAsia="Times New Roman" w:cs="Times New Roman"/>
        </w:rPr>
        <w:t xml:space="preserve"> (</w:t>
      </w:r>
      <w:r w:rsidRPr="008A1884">
        <w:rPr>
          <w:rFonts w:eastAsia="Times New Roman" w:cs="Times New Roman"/>
          <w:i/>
        </w:rPr>
        <w:t>le</w:t>
      </w:r>
      <w:r w:rsidRPr="008A1884">
        <w:rPr>
          <w:rFonts w:eastAsia="Times New Roman" w:cs="Times New Roman"/>
        </w:rPr>
        <w:t xml:space="preserve">) and </w:t>
      </w:r>
      <w:r w:rsidRPr="008A1884">
        <w:rPr>
          <w:rFonts w:eastAsia="Times New Roman" w:cs="Times New Roman"/>
          <w:i/>
        </w:rPr>
        <w:t>trailer</w:t>
      </w:r>
      <w:r w:rsidRPr="008A1884">
        <w:rPr>
          <w:rFonts w:eastAsia="Times New Roman" w:cs="Times New Roman"/>
        </w:rPr>
        <w:t xml:space="preserve"> (</w:t>
      </w:r>
      <w:r w:rsidRPr="008A1884">
        <w:rPr>
          <w:rFonts w:eastAsia="Times New Roman" w:cs="Times New Roman"/>
          <w:i/>
        </w:rPr>
        <w:t>tr</w:t>
      </w:r>
      <w:r w:rsidRPr="008A1884">
        <w:rPr>
          <w:rFonts w:eastAsia="Times New Roman" w:cs="Times New Roman"/>
        </w:rPr>
        <w:t xml:space="preserve">) regions </w:t>
      </w:r>
      <w:r w:rsidRPr="008A1884">
        <w:rPr>
          <w:rFonts w:eastAsia="Times New Roman" w:cs="Times New Roman"/>
          <w:noProof/>
        </w:rPr>
        <w:t>(7-9)</w:t>
      </w:r>
      <w:r w:rsidRPr="008A1884">
        <w:rPr>
          <w:rFonts w:eastAsia="Times New Roman" w:cs="Times New Roman"/>
        </w:rPr>
        <w:t xml:space="preserve">.   </w:t>
      </w:r>
    </w:p>
    <w:p w:rsidR="00263B20" w:rsidRPr="008A1884" w:rsidRDefault="00263B20" w:rsidP="00ED2803">
      <w:pPr>
        <w:rPr>
          <w:rFonts w:eastAsia="Times New Roman" w:cs="Times New Roman"/>
        </w:rPr>
      </w:pPr>
      <w:r w:rsidRPr="008A1884">
        <w:rPr>
          <w:rFonts w:eastAsia="Times New Roman" w:cs="Times New Roman"/>
        </w:rPr>
        <w:t xml:space="preserve">The inherent characteristics of rhabdoviruses, such as having well-defined transcription start/stop signals </w:t>
      </w:r>
      <w:r w:rsidRPr="008A1884">
        <w:rPr>
          <w:rFonts w:eastAsia="Times New Roman" w:cs="Times New Roman"/>
          <w:noProof/>
        </w:rPr>
        <w:t>(10)</w:t>
      </w:r>
      <w:r w:rsidRPr="008A1884">
        <w:rPr>
          <w:rFonts w:eastAsia="Times New Roman" w:cs="Times New Roman"/>
        </w:rPr>
        <w:t xml:space="preserve"> and the ability to incorporate recombinant glycoprotein into their envelope </w:t>
      </w:r>
      <w:r w:rsidRPr="008A1884">
        <w:rPr>
          <w:rFonts w:eastAsia="Times New Roman" w:cs="Times New Roman"/>
          <w:noProof/>
        </w:rPr>
        <w:t>(11)</w:t>
      </w:r>
      <w:r w:rsidR="003A4CBC" w:rsidRPr="008A1884">
        <w:rPr>
          <w:rFonts w:eastAsia="Times New Roman" w:cs="Times New Roman"/>
          <w:noProof/>
        </w:rPr>
        <w:t>,</w:t>
      </w:r>
      <w:r w:rsidRPr="008A1884">
        <w:rPr>
          <w:rFonts w:eastAsia="Times New Roman" w:cs="Times New Roman"/>
        </w:rPr>
        <w:t xml:space="preserve"> make them attractive candidates for various biomedical applications. For example, established reverse genetic systems for animal rhabdoviruses </w:t>
      </w:r>
      <w:r w:rsidRPr="008A1884">
        <w:rPr>
          <w:rFonts w:eastAsia="Times New Roman" w:cs="Times New Roman"/>
          <w:noProof/>
        </w:rPr>
        <w:t>(12, 13)</w:t>
      </w:r>
      <w:r w:rsidRPr="008A1884">
        <w:rPr>
          <w:rFonts w:eastAsia="Times New Roman" w:cs="Times New Roman"/>
        </w:rPr>
        <w:t xml:space="preserve"> enabled rescue of vesicular stomatitis virus (VSV) as recombinant viral vaccine </w:t>
      </w:r>
      <w:r w:rsidRPr="008A1884">
        <w:rPr>
          <w:rFonts w:eastAsia="Times New Roman" w:cs="Times New Roman"/>
          <w:noProof/>
        </w:rPr>
        <w:t>(14, 15)</w:t>
      </w:r>
      <w:r w:rsidRPr="008A1884">
        <w:rPr>
          <w:rFonts w:eastAsia="Times New Roman" w:cs="Times New Roman"/>
        </w:rPr>
        <w:t>. In such systems, cells are transfected with plasmid</w:t>
      </w:r>
      <w:r w:rsidR="00A14D7D" w:rsidRPr="008A1884">
        <w:rPr>
          <w:rFonts w:eastAsia="Times New Roman" w:cs="Times New Roman"/>
        </w:rPr>
        <w:t>s</w:t>
      </w:r>
      <w:r w:rsidRPr="008A1884">
        <w:rPr>
          <w:rFonts w:eastAsia="Times New Roman" w:cs="Times New Roman"/>
        </w:rPr>
        <w:t xml:space="preserve"> encoding the viral genome together with the N, P, and L proteins (helper proteins) </w:t>
      </w:r>
      <w:r w:rsidRPr="008A1884">
        <w:rPr>
          <w:rFonts w:eastAsia="Times New Roman" w:cs="Times New Roman"/>
          <w:noProof/>
        </w:rPr>
        <w:t>(16)</w:t>
      </w:r>
      <w:r w:rsidRPr="008A1884">
        <w:rPr>
          <w:rFonts w:eastAsia="Times New Roman" w:cs="Times New Roman"/>
        </w:rPr>
        <w:t xml:space="preserve">. The viral genome is provided in the positive (antigenomic) sense </w:t>
      </w:r>
      <w:r w:rsidRPr="008A1884">
        <w:rPr>
          <w:rFonts w:eastAsia="Times New Roman" w:cs="Times New Roman"/>
          <w:noProof/>
        </w:rPr>
        <w:t>(17)</w:t>
      </w:r>
      <w:r w:rsidRPr="008A1884">
        <w:rPr>
          <w:rFonts w:eastAsia="Times New Roman" w:cs="Times New Roman"/>
        </w:rPr>
        <w:t xml:space="preserve"> and </w:t>
      </w:r>
      <w:r w:rsidRPr="008A1884">
        <w:t xml:space="preserve">auto-cleaving ribozymes such as hammerhead </w:t>
      </w:r>
      <w:r w:rsidRPr="008A1884">
        <w:rPr>
          <w:noProof/>
        </w:rPr>
        <w:t>(18)</w:t>
      </w:r>
      <w:r w:rsidRPr="008A1884">
        <w:t xml:space="preserve"> and hepatitis delta </w:t>
      </w:r>
      <w:r w:rsidRPr="008A1884">
        <w:rPr>
          <w:noProof/>
        </w:rPr>
        <w:t>(19)</w:t>
      </w:r>
      <w:r w:rsidRPr="008A1884">
        <w:t xml:space="preserve"> are used to increase yield by generating the exact termini of the </w:t>
      </w:r>
      <w:r w:rsidRPr="008A1884">
        <w:rPr>
          <w:i/>
        </w:rPr>
        <w:t>de novo</w:t>
      </w:r>
      <w:r w:rsidRPr="008A1884">
        <w:t xml:space="preserve"> transcribed viral RNA.</w:t>
      </w:r>
      <w:r w:rsidRPr="008A1884">
        <w:rPr>
          <w:rFonts w:eastAsia="Times New Roman" w:cs="Times New Roman"/>
        </w:rPr>
        <w:t xml:space="preserve">  Recently, this system was adapted for the plant </w:t>
      </w:r>
      <w:proofErr w:type="spellStart"/>
      <w:r w:rsidRPr="008A1884">
        <w:rPr>
          <w:rFonts w:eastAsia="Times New Roman" w:cs="Times New Roman"/>
        </w:rPr>
        <w:t>nucleorhabdovirus</w:t>
      </w:r>
      <w:proofErr w:type="spellEnd"/>
      <w:r w:rsidRPr="008A1884">
        <w:rPr>
          <w:rFonts w:eastAsia="Times New Roman" w:cs="Times New Roman"/>
        </w:rPr>
        <w:t xml:space="preserve">, </w:t>
      </w:r>
      <w:proofErr w:type="spellStart"/>
      <w:r w:rsidRPr="008A1884">
        <w:rPr>
          <w:rFonts w:eastAsia="Times New Roman" w:cs="Times New Roman"/>
          <w:iCs/>
        </w:rPr>
        <w:t>Sonchus</w:t>
      </w:r>
      <w:proofErr w:type="spellEnd"/>
      <w:r w:rsidRPr="008A1884">
        <w:rPr>
          <w:rFonts w:eastAsia="Times New Roman" w:cs="Times New Roman"/>
          <w:i/>
        </w:rPr>
        <w:t xml:space="preserve"> </w:t>
      </w:r>
      <w:r w:rsidR="00CC2DCC" w:rsidRPr="008A1884">
        <w:rPr>
          <w:rFonts w:eastAsia="Times New Roman" w:cs="Times New Roman"/>
          <w:iCs/>
        </w:rPr>
        <w:t>y</w:t>
      </w:r>
      <w:r w:rsidRPr="008A1884">
        <w:rPr>
          <w:rFonts w:eastAsia="Times New Roman" w:cs="Times New Roman"/>
          <w:iCs/>
        </w:rPr>
        <w:t>ellow</w:t>
      </w:r>
      <w:r w:rsidRPr="008A1884">
        <w:rPr>
          <w:rFonts w:eastAsia="Times New Roman" w:cs="Times New Roman"/>
          <w:i/>
        </w:rPr>
        <w:t xml:space="preserve"> </w:t>
      </w:r>
      <w:r w:rsidR="00CC2DCC" w:rsidRPr="008A1884">
        <w:rPr>
          <w:rFonts w:eastAsia="Times New Roman" w:cs="Times New Roman"/>
          <w:iCs/>
        </w:rPr>
        <w:t>n</w:t>
      </w:r>
      <w:r w:rsidRPr="008A1884">
        <w:rPr>
          <w:rFonts w:eastAsia="Times New Roman" w:cs="Times New Roman"/>
          <w:iCs/>
        </w:rPr>
        <w:t>et</w:t>
      </w:r>
      <w:r w:rsidRPr="008A1884">
        <w:rPr>
          <w:rFonts w:eastAsia="Times New Roman" w:cs="Times New Roman"/>
          <w:i/>
        </w:rPr>
        <w:t xml:space="preserve"> </w:t>
      </w:r>
      <w:r w:rsidR="00CC2DCC" w:rsidRPr="008A1884">
        <w:rPr>
          <w:rFonts w:eastAsia="Times New Roman" w:cs="Times New Roman"/>
          <w:iCs/>
        </w:rPr>
        <w:t>r</w:t>
      </w:r>
      <w:r w:rsidRPr="008A1884">
        <w:rPr>
          <w:rFonts w:eastAsia="Times New Roman" w:cs="Times New Roman"/>
          <w:iCs/>
        </w:rPr>
        <w:t>habdovirus</w:t>
      </w:r>
      <w:r w:rsidRPr="008A1884">
        <w:rPr>
          <w:rFonts w:eastAsia="Times New Roman" w:cs="Times New Roman"/>
        </w:rPr>
        <w:t xml:space="preserve"> (SYNV), where </w:t>
      </w:r>
      <w:r w:rsidRPr="008A1884">
        <w:rPr>
          <w:i/>
        </w:rPr>
        <w:t>Agrobacterium</w:t>
      </w:r>
      <w:r w:rsidRPr="008A1884">
        <w:t xml:space="preserve"> </w:t>
      </w:r>
      <w:r w:rsidRPr="008A1884">
        <w:rPr>
          <w:rFonts w:eastAsia="Times New Roman" w:cs="Times New Roman"/>
          <w:i/>
        </w:rPr>
        <w:t>tumefaciens</w:t>
      </w:r>
      <w:r w:rsidRPr="008A1884">
        <w:rPr>
          <w:rFonts w:eastAsia="Times New Roman" w:cs="Times New Roman"/>
        </w:rPr>
        <w:t xml:space="preserve"> </w:t>
      </w:r>
      <w:r w:rsidRPr="008A1884">
        <w:t xml:space="preserve">was used to deliver plasmids encoding the antigenomic-sense of the viral genome together with the N, P, and L proteins </w:t>
      </w:r>
      <w:r w:rsidRPr="008A1884">
        <w:rPr>
          <w:noProof/>
        </w:rPr>
        <w:t>(20)</w:t>
      </w:r>
      <w:r w:rsidRPr="008A1884">
        <w:t>.</w:t>
      </w:r>
    </w:p>
    <w:p w:rsidR="00263B20" w:rsidRPr="008A1884" w:rsidRDefault="00263B20" w:rsidP="00ED2803">
      <w:r w:rsidRPr="008A1884">
        <w:t xml:space="preserve">Here we attempted to adopt such a system to rescue LNYV. We employed </w:t>
      </w:r>
      <w:r w:rsidRPr="008A1884">
        <w:rPr>
          <w:rFonts w:eastAsia="Times New Roman" w:cs="Times New Roman"/>
        </w:rPr>
        <w:t xml:space="preserve">a minigenome (MG) system </w:t>
      </w:r>
      <w:r w:rsidRPr="008A1884">
        <w:rPr>
          <w:rFonts w:eastAsia="Times New Roman" w:cs="Times New Roman"/>
          <w:noProof/>
        </w:rPr>
        <w:t>(21, 22)</w:t>
      </w:r>
      <w:r w:rsidRPr="008A1884">
        <w:rPr>
          <w:rFonts w:eastAsia="Times New Roman" w:cs="Times New Roman"/>
        </w:rPr>
        <w:t xml:space="preserve">, in which the full-length viral cDNA was substituted by that of a reporter gene </w:t>
      </w:r>
      <w:r w:rsidRPr="008A1884">
        <w:rPr>
          <w:rFonts w:eastAsia="Times New Roman" w:cs="Times New Roman"/>
        </w:rPr>
        <w:lastRenderedPageBreak/>
        <w:t xml:space="preserve">cloned between the viral le and tr sequences. </w:t>
      </w:r>
      <w:r w:rsidRPr="008A1884">
        <w:t xml:space="preserve">Minigenome-based systems are a rapid and simple approach for proof-of-concept studies. </w:t>
      </w:r>
      <w:r w:rsidRPr="008A1884">
        <w:rPr>
          <w:rFonts w:eastAsia="Times New Roman" w:cs="Times New Roman"/>
        </w:rPr>
        <w:t xml:space="preserve">As with full-virus RNA transcripts, the MG-derived reporter gene RNA transcripts undergo transcription and replication by the helper proteins. Detection of the reporter protein demonstrates the productive interaction between the viral </w:t>
      </w:r>
      <w:r w:rsidRPr="008A1884">
        <w:rPr>
          <w:rFonts w:eastAsia="Times New Roman" w:cs="Times New Roman"/>
          <w:i/>
        </w:rPr>
        <w:t>cis</w:t>
      </w:r>
      <w:r w:rsidRPr="008A1884">
        <w:rPr>
          <w:rFonts w:eastAsia="Times New Roman" w:cs="Times New Roman"/>
        </w:rPr>
        <w:t xml:space="preserve">- and </w:t>
      </w:r>
      <w:r w:rsidRPr="008A1884">
        <w:rPr>
          <w:rFonts w:eastAsia="Times New Roman" w:cs="Times New Roman"/>
          <w:i/>
        </w:rPr>
        <w:t>trans</w:t>
      </w:r>
      <w:r w:rsidRPr="008A1884">
        <w:rPr>
          <w:rFonts w:eastAsia="Times New Roman" w:cs="Times New Roman"/>
        </w:rPr>
        <w:t xml:space="preserve">- acting elements. We assembled LNYV negative-sense MG cassette with </w:t>
      </w:r>
      <w:proofErr w:type="spellStart"/>
      <w:r w:rsidRPr="008A1884">
        <w:rPr>
          <w:rFonts w:eastAsia="Times New Roman" w:cs="Times New Roman"/>
          <w:i/>
        </w:rPr>
        <w:t>Discosoma</w:t>
      </w:r>
      <w:proofErr w:type="spellEnd"/>
      <w:r w:rsidRPr="008A1884">
        <w:rPr>
          <w:rFonts w:eastAsia="Times New Roman" w:cs="Times New Roman"/>
        </w:rPr>
        <w:t xml:space="preserve"> sp. red fluorescent protein gene (</w:t>
      </w:r>
      <w:proofErr w:type="spellStart"/>
      <w:r w:rsidRPr="008A1884">
        <w:rPr>
          <w:rFonts w:eastAsia="Times New Roman" w:cs="Times New Roman"/>
        </w:rPr>
        <w:t>DsRed</w:t>
      </w:r>
      <w:proofErr w:type="spellEnd"/>
      <w:r w:rsidRPr="008A1884">
        <w:rPr>
          <w:rFonts w:eastAsia="Times New Roman" w:cs="Times New Roman"/>
        </w:rPr>
        <w:t xml:space="preserve">) cloned in the negative-sense between LNYV </w:t>
      </w:r>
      <w:r w:rsidRPr="008A1884">
        <w:rPr>
          <w:rFonts w:eastAsia="Times New Roman" w:cs="Times New Roman"/>
          <w:iCs/>
        </w:rPr>
        <w:t>le</w:t>
      </w:r>
      <w:r w:rsidRPr="008A1884">
        <w:rPr>
          <w:rFonts w:eastAsia="Times New Roman" w:cs="Times New Roman"/>
        </w:rPr>
        <w:t xml:space="preserve"> and </w:t>
      </w:r>
      <w:r w:rsidRPr="008A1884">
        <w:rPr>
          <w:rFonts w:eastAsia="Times New Roman" w:cs="Times New Roman"/>
          <w:iCs/>
        </w:rPr>
        <w:t>tr</w:t>
      </w:r>
      <w:r w:rsidRPr="008A1884">
        <w:rPr>
          <w:rFonts w:eastAsia="Times New Roman" w:cs="Times New Roman"/>
        </w:rPr>
        <w:t xml:space="preserve"> sequences and hammerhead (</w:t>
      </w:r>
      <w:proofErr w:type="spellStart"/>
      <w:r w:rsidRPr="008A1884">
        <w:rPr>
          <w:rFonts w:eastAsia="Times New Roman" w:cs="Times New Roman"/>
        </w:rPr>
        <w:t>HHz</w:t>
      </w:r>
      <w:proofErr w:type="spellEnd"/>
      <w:r w:rsidRPr="008A1884">
        <w:rPr>
          <w:rFonts w:eastAsia="Times New Roman" w:cs="Times New Roman"/>
        </w:rPr>
        <w:t>) and hepatitis delta virus (</w:t>
      </w:r>
      <w:proofErr w:type="spellStart"/>
      <w:r w:rsidRPr="008A1884">
        <w:rPr>
          <w:rFonts w:eastAsia="Times New Roman" w:cs="Times New Roman"/>
        </w:rPr>
        <w:t>HDz</w:t>
      </w:r>
      <w:proofErr w:type="spellEnd"/>
      <w:r w:rsidRPr="008A1884">
        <w:rPr>
          <w:rFonts w:eastAsia="Times New Roman" w:cs="Times New Roman"/>
        </w:rPr>
        <w:t xml:space="preserve">) ribozymes at the 5’ and 3’ termini respectively, in the plant expression vector pTRAk.2 </w:t>
      </w:r>
      <w:r w:rsidRPr="008A1884">
        <w:rPr>
          <w:rFonts w:eastAsia="Times New Roman" w:cs="Times New Roman"/>
          <w:noProof/>
        </w:rPr>
        <w:t>(23)</w:t>
      </w:r>
      <w:r w:rsidRPr="008A1884">
        <w:rPr>
          <w:rFonts w:eastAsia="Times New Roman" w:cs="Times New Roman"/>
        </w:rPr>
        <w:t>. Similarly, we cloned the N and P genes open reading frame(s) (ORF) into pTRAk.2.</w:t>
      </w:r>
    </w:p>
    <w:p w:rsidR="00263B20" w:rsidRPr="008A1884" w:rsidRDefault="00263B20" w:rsidP="00ED2803">
      <w:pPr>
        <w:rPr>
          <w:rFonts w:eastAsia="Times New Roman" w:cs="Times New Roman"/>
        </w:rPr>
      </w:pPr>
      <w:r w:rsidRPr="008A1884">
        <w:t xml:space="preserve">However, our initial attempts to clone the L gene ORF into pTRAk.2 were hampered due to </w:t>
      </w:r>
      <w:r w:rsidRPr="008A1884">
        <w:rPr>
          <w:rFonts w:eastAsia="Times New Roman" w:cs="Times New Roman"/>
        </w:rPr>
        <w:t xml:space="preserve">its </w:t>
      </w:r>
      <w:r w:rsidRPr="008A1884">
        <w:t xml:space="preserve">instability in </w:t>
      </w:r>
      <w:r w:rsidRPr="008A1884">
        <w:rPr>
          <w:i/>
          <w:iCs/>
        </w:rPr>
        <w:t>E. coli</w:t>
      </w:r>
      <w:r w:rsidRPr="008A1884">
        <w:t xml:space="preserve">. </w:t>
      </w:r>
      <w:r w:rsidRPr="008A1884">
        <w:rPr>
          <w:rFonts w:eastAsia="Times New Roman" w:cs="Times New Roman"/>
        </w:rPr>
        <w:t xml:space="preserve">Viral sequence instability in </w:t>
      </w:r>
      <w:r w:rsidRPr="008A1884">
        <w:rPr>
          <w:rFonts w:eastAsia="Times New Roman" w:cs="Times New Roman"/>
          <w:i/>
        </w:rPr>
        <w:t>E. coli</w:t>
      </w:r>
      <w:r w:rsidRPr="008A1884">
        <w:rPr>
          <w:rFonts w:eastAsia="Times New Roman" w:cs="Times New Roman"/>
          <w:iCs/>
        </w:rPr>
        <w:t xml:space="preserve"> has been observed previously</w:t>
      </w:r>
      <w:r w:rsidRPr="008A1884">
        <w:rPr>
          <w:rFonts w:eastAsia="Times New Roman" w:cs="Times New Roman"/>
        </w:rPr>
        <w:t xml:space="preserve"> </w:t>
      </w:r>
      <w:r w:rsidRPr="008A1884">
        <w:rPr>
          <w:rFonts w:eastAsia="Times New Roman" w:cs="Times New Roman"/>
          <w:iCs/>
        </w:rPr>
        <w:t>where bacteria</w:t>
      </w:r>
      <w:r w:rsidRPr="008A1884">
        <w:rPr>
          <w:rFonts w:eastAsia="Times New Roman" w:cs="Times New Roman"/>
        </w:rPr>
        <w:t xml:space="preserve"> harbouring plasmids with viral sequences fail to grow or yield plasmids with nucleotide mutations. The reason for this instability remains unknown but different strategies such as cell-free cloning </w:t>
      </w:r>
      <w:r w:rsidRPr="008A1884">
        <w:rPr>
          <w:rFonts w:eastAsia="Times New Roman" w:cs="Times New Roman"/>
          <w:noProof/>
        </w:rPr>
        <w:t>(24)</w:t>
      </w:r>
      <w:r w:rsidRPr="008A1884">
        <w:rPr>
          <w:rFonts w:eastAsia="Times New Roman" w:cs="Times New Roman"/>
        </w:rPr>
        <w:t xml:space="preserve"> or intron introduction </w:t>
      </w:r>
      <w:r w:rsidRPr="008A1884">
        <w:rPr>
          <w:rFonts w:eastAsia="Times New Roman" w:cs="Times New Roman"/>
          <w:noProof/>
        </w:rPr>
        <w:t>(25, 26)</w:t>
      </w:r>
      <w:r w:rsidRPr="008A1884">
        <w:rPr>
          <w:rFonts w:eastAsia="Times New Roman" w:cs="Times New Roman"/>
        </w:rPr>
        <w:t xml:space="preserve"> have been employed to circumvent this problem. In the present study, we overcame L gene instability by introducing three introns and using an </w:t>
      </w:r>
      <w:r w:rsidRPr="008A1884">
        <w:rPr>
          <w:rFonts w:eastAsia="Times New Roman" w:cs="Times New Roman"/>
          <w:i/>
        </w:rPr>
        <w:t>E. coli</w:t>
      </w:r>
      <w:r w:rsidRPr="008A1884">
        <w:rPr>
          <w:rFonts w:eastAsia="Times New Roman" w:cs="Times New Roman"/>
        </w:rPr>
        <w:t xml:space="preserve"> strain that enable</w:t>
      </w:r>
      <w:r w:rsidR="00D26F63" w:rsidRPr="008A1884">
        <w:rPr>
          <w:rFonts w:eastAsia="Times New Roman" w:cs="Times New Roman"/>
        </w:rPr>
        <w:t>d</w:t>
      </w:r>
      <w:r w:rsidRPr="008A1884">
        <w:rPr>
          <w:rFonts w:eastAsia="Times New Roman" w:cs="Times New Roman"/>
        </w:rPr>
        <w:t xml:space="preserve"> downregulation of plasmid copy-number. </w:t>
      </w:r>
    </w:p>
    <w:p w:rsidR="00263B20" w:rsidRPr="008A1884" w:rsidRDefault="00263B20" w:rsidP="00ED2803">
      <w:pPr>
        <w:rPr>
          <w:rFonts w:eastAsia="Times New Roman" w:cs="Times New Roman"/>
        </w:rPr>
      </w:pPr>
      <w:r w:rsidRPr="008A1884">
        <w:rPr>
          <w:rFonts w:eastAsia="Times New Roman" w:cs="Times New Roman"/>
        </w:rPr>
        <w:t xml:space="preserve">Following successful molecular cloning of all four constructs, we used </w:t>
      </w:r>
      <w:r w:rsidRPr="008A1884">
        <w:rPr>
          <w:rFonts w:eastAsia="Times New Roman" w:cs="Times New Roman"/>
          <w:i/>
        </w:rPr>
        <w:t>A. tumefaciens</w:t>
      </w:r>
      <w:r w:rsidRPr="008A1884">
        <w:rPr>
          <w:rFonts w:eastAsia="Times New Roman" w:cs="Times New Roman"/>
        </w:rPr>
        <w:t xml:space="preserve"> to co-deliver the plasmids into </w:t>
      </w:r>
      <w:r w:rsidRPr="008A1884">
        <w:rPr>
          <w:rFonts w:eastAsia="Times New Roman" w:cs="Times New Roman"/>
          <w:i/>
        </w:rPr>
        <w:t xml:space="preserve">Nicotiana </w:t>
      </w:r>
      <w:proofErr w:type="spellStart"/>
      <w:r w:rsidRPr="008A1884">
        <w:rPr>
          <w:rFonts w:eastAsia="Times New Roman" w:cs="Times New Roman"/>
          <w:i/>
        </w:rPr>
        <w:t>glutinosa</w:t>
      </w:r>
      <w:proofErr w:type="spellEnd"/>
      <w:r w:rsidRPr="008A1884">
        <w:rPr>
          <w:rFonts w:eastAsia="Times New Roman" w:cs="Times New Roman"/>
        </w:rPr>
        <w:t xml:space="preserve"> and </w:t>
      </w:r>
      <w:r w:rsidRPr="008A1884">
        <w:rPr>
          <w:rFonts w:eastAsia="Times New Roman" w:cs="Times New Roman"/>
          <w:i/>
        </w:rPr>
        <w:t xml:space="preserve">Nicotiana </w:t>
      </w:r>
      <w:proofErr w:type="spellStart"/>
      <w:r w:rsidRPr="008A1884">
        <w:rPr>
          <w:rFonts w:eastAsia="Times New Roman" w:cs="Times New Roman"/>
          <w:i/>
        </w:rPr>
        <w:t>benthamiana</w:t>
      </w:r>
      <w:proofErr w:type="spellEnd"/>
      <w:r w:rsidRPr="008A1884">
        <w:rPr>
          <w:rFonts w:eastAsia="Times New Roman" w:cs="Times New Roman"/>
        </w:rPr>
        <w:t xml:space="preserve">. The former is known to be susceptible to LNYV infection and has been the plant of choice for studying </w:t>
      </w:r>
      <w:r w:rsidR="00876A43" w:rsidRPr="008A1884">
        <w:rPr>
          <w:rFonts w:eastAsia="Times New Roman" w:cs="Times New Roman"/>
        </w:rPr>
        <w:t xml:space="preserve">this </w:t>
      </w:r>
      <w:r w:rsidRPr="008A1884">
        <w:rPr>
          <w:rFonts w:eastAsia="Times New Roman" w:cs="Times New Roman"/>
        </w:rPr>
        <w:t xml:space="preserve">virus biology and pathogenesis while the latter is the species of choice for production of recombinant proteins in plants using </w:t>
      </w:r>
      <w:r w:rsidRPr="008A1884">
        <w:rPr>
          <w:rFonts w:eastAsia="Times New Roman" w:cs="Times New Roman"/>
          <w:i/>
        </w:rPr>
        <w:t>Agrobacterium</w:t>
      </w:r>
      <w:r w:rsidRPr="008A1884">
        <w:rPr>
          <w:rFonts w:eastAsia="Times New Roman" w:cs="Times New Roman"/>
        </w:rPr>
        <w:t xml:space="preserve">-mediated transient expression </w:t>
      </w:r>
      <w:r w:rsidRPr="008A1884">
        <w:rPr>
          <w:rFonts w:eastAsia="Times New Roman" w:cs="Times New Roman"/>
          <w:noProof/>
        </w:rPr>
        <w:t>(27, 28)</w:t>
      </w:r>
      <w:r w:rsidRPr="008A1884">
        <w:rPr>
          <w:rFonts w:eastAsia="Times New Roman" w:cs="Times New Roman"/>
        </w:rPr>
        <w:t>.</w:t>
      </w:r>
    </w:p>
    <w:p w:rsidR="00263B20" w:rsidRPr="008A1884" w:rsidRDefault="00263B20" w:rsidP="00ED2803">
      <w:pPr>
        <w:pStyle w:val="Heading1"/>
      </w:pPr>
      <w:r w:rsidRPr="008A1884">
        <w:t xml:space="preserve">Materials and methods </w:t>
      </w:r>
    </w:p>
    <w:p w:rsidR="00263B20" w:rsidRPr="008A1884" w:rsidRDefault="00263B20" w:rsidP="00ED2803">
      <w:pPr>
        <w:pStyle w:val="Heading2"/>
        <w:rPr>
          <w:rStyle w:val="Strong"/>
          <w:b/>
          <w:bCs w:val="0"/>
        </w:rPr>
      </w:pPr>
      <w:r w:rsidRPr="008A1884">
        <w:rPr>
          <w:rStyle w:val="Strong"/>
          <w:b/>
          <w:bCs w:val="0"/>
        </w:rPr>
        <w:t xml:space="preserve">Bacterial strains </w:t>
      </w:r>
    </w:p>
    <w:p w:rsidR="00263B20" w:rsidRPr="008A1884" w:rsidRDefault="00263B20" w:rsidP="00ED2803">
      <w:r w:rsidRPr="008A1884">
        <w:rPr>
          <w:i/>
        </w:rPr>
        <w:lastRenderedPageBreak/>
        <w:t>E. coli</w:t>
      </w:r>
      <w:r w:rsidRPr="008A1884">
        <w:t xml:space="preserve"> strain MAX Efficiency® DH10B</w:t>
      </w:r>
      <w:r w:rsidRPr="008A1884">
        <w:rPr>
          <w:vertAlign w:val="superscript"/>
        </w:rPr>
        <w:t>TM</w:t>
      </w:r>
      <w:r w:rsidRPr="008A1884">
        <w:t xml:space="preserve"> (Thermo Fisher Scientific, UK) and </w:t>
      </w:r>
      <w:r w:rsidRPr="008A1884">
        <w:rPr>
          <w:i/>
        </w:rPr>
        <w:t>E. coli</w:t>
      </w:r>
      <w:r w:rsidRPr="008A1884">
        <w:t xml:space="preserve"> strain </w:t>
      </w:r>
      <w:proofErr w:type="spellStart"/>
      <w:r w:rsidRPr="008A1884">
        <w:t>CopyCutter</w:t>
      </w:r>
      <w:r w:rsidRPr="008A1884">
        <w:rPr>
          <w:vertAlign w:val="superscript"/>
        </w:rPr>
        <w:t>TM</w:t>
      </w:r>
      <w:proofErr w:type="spellEnd"/>
      <w:r w:rsidRPr="008A1884">
        <w:t xml:space="preserve"> EPI400</w:t>
      </w:r>
      <w:r w:rsidRPr="008A1884">
        <w:rPr>
          <w:vertAlign w:val="superscript"/>
        </w:rPr>
        <w:t>TM</w:t>
      </w:r>
      <w:r w:rsidRPr="008A1884">
        <w:t xml:space="preserve"> (Epicentre,</w:t>
      </w:r>
      <w:r w:rsidRPr="008A1884">
        <w:rPr>
          <w:rFonts w:ascii="Arial" w:eastAsia="Times New Roman" w:hAnsi="Arial" w:cs="Arial"/>
          <w:color w:val="777777"/>
          <w:sz w:val="20"/>
          <w:shd w:val="clear" w:color="auto" w:fill="FFFFFF"/>
        </w:rPr>
        <w:t xml:space="preserve"> </w:t>
      </w:r>
      <w:r w:rsidRPr="008A1884">
        <w:t xml:space="preserve">US) were used for molecular cloning. For plant infiltrations, </w:t>
      </w:r>
      <w:r w:rsidRPr="008A1884">
        <w:rPr>
          <w:i/>
        </w:rPr>
        <w:t>A. tumefaciens</w:t>
      </w:r>
      <w:r w:rsidRPr="008A1884">
        <w:t xml:space="preserve"> strain GV</w:t>
      </w:r>
      <w:proofErr w:type="gramStart"/>
      <w:r w:rsidRPr="008A1884">
        <w:t>3101::</w:t>
      </w:r>
      <w:proofErr w:type="gramEnd"/>
      <w:r w:rsidRPr="008A1884">
        <w:t xml:space="preserve">pMP90RK (German Collection of Microorganisms and Cell Cultures (DSMZ), Leibniz Institute, Germany) was employed. </w:t>
      </w:r>
    </w:p>
    <w:p w:rsidR="00263B20" w:rsidRPr="008A1884" w:rsidRDefault="00263B20" w:rsidP="00ED2803">
      <w:pPr>
        <w:pStyle w:val="Heading2"/>
      </w:pPr>
      <w:r w:rsidRPr="008A1884">
        <w:rPr>
          <w:rStyle w:val="Strong"/>
          <w:b/>
          <w:bCs w:val="0"/>
        </w:rPr>
        <w:t>Molecular Biology</w:t>
      </w:r>
      <w:r w:rsidRPr="008A1884">
        <w:t xml:space="preserve"> </w:t>
      </w:r>
    </w:p>
    <w:p w:rsidR="00263B20" w:rsidRPr="008A1884" w:rsidRDefault="00263B20" w:rsidP="00ED2803">
      <w:r w:rsidRPr="008A1884">
        <w:t xml:space="preserve">Plasmid DNA extraction was undertaken using the </w:t>
      </w:r>
      <w:proofErr w:type="spellStart"/>
      <w:r w:rsidRPr="008A1884">
        <w:t>QIAprep</w:t>
      </w:r>
      <w:proofErr w:type="spellEnd"/>
      <w:r w:rsidRPr="008A1884">
        <w:t xml:space="preserve"> Spin Miniprep (Qiagen, Manchester, UK). DNA restriction endonucleases and ligase were purchased from New England Biolabs (NEB) (Hitchin, UK). Chemicals were purchased from Sigma Aldrich (Dorset, UK) or Thermo Fisher Scientific (Dartford, UK). PCR amplifications were completed using Phusion® High-Fidelity PCR Master Mix with HF Buffer or with Q5 Master Mix (NEB). </w:t>
      </w:r>
    </w:p>
    <w:p w:rsidR="00263B20" w:rsidRPr="008A1884" w:rsidRDefault="00263B20" w:rsidP="00ED2803">
      <w:pPr>
        <w:pStyle w:val="Heading2"/>
      </w:pPr>
      <w:r w:rsidRPr="008A1884">
        <w:t xml:space="preserve">Gene constructs </w:t>
      </w:r>
    </w:p>
    <w:p w:rsidR="00263B20" w:rsidRPr="008A1884" w:rsidRDefault="00263B20" w:rsidP="00ED2803">
      <w:pPr>
        <w:spacing w:after="0"/>
      </w:pPr>
      <w:r w:rsidRPr="008A1884">
        <w:t xml:space="preserve">LNYV cDNA was synthesized by </w:t>
      </w:r>
      <w:proofErr w:type="spellStart"/>
      <w:r w:rsidRPr="008A1884">
        <w:t>GeneArt</w:t>
      </w:r>
      <w:proofErr w:type="spellEnd"/>
      <w:r w:rsidRPr="008A1884">
        <w:t xml:space="preserve"> Gene Synthesis (Regensburg, Germany) as separate constructs with sequences cloned in the opposite sense to the antibiotic resistance gene in the plasmid. Constructs for MG cassettes, N, and P genes were generated using PCR with appropriate DNA oligonucleotides and cloned into the pTRAk.2 plasmid using compatible restriction endonuclease sites.  Similarly, the L gene with three introduced introns was synthesized by </w:t>
      </w:r>
      <w:proofErr w:type="spellStart"/>
      <w:r w:rsidRPr="008A1884">
        <w:t>Genscript</w:t>
      </w:r>
      <w:proofErr w:type="spellEnd"/>
      <w:r w:rsidRPr="008A1884">
        <w:t xml:space="preserve"> (New Jersey, USA) and cloned into the pTRAk.2 plasmid. The pTRAk.2 plant transformation vector includes (i) Cauliflower mosaic virus (</w:t>
      </w:r>
      <w:proofErr w:type="spellStart"/>
      <w:r w:rsidRPr="008A1884">
        <w:t>CaMV</w:t>
      </w:r>
      <w:proofErr w:type="spellEnd"/>
      <w:r w:rsidRPr="008A1884">
        <w:t xml:space="preserve">) promoter with duplicated transcriptional enhancer and (ii) CaMV-35S transcription polyadenylation signals for </w:t>
      </w:r>
      <w:r w:rsidRPr="008A1884">
        <w:rPr>
          <w:i/>
        </w:rPr>
        <w:t>in planta</w:t>
      </w:r>
      <w:r w:rsidRPr="008A1884">
        <w:t xml:space="preserve"> expression </w:t>
      </w:r>
      <w:r w:rsidRPr="008A1884">
        <w:rPr>
          <w:noProof/>
        </w:rPr>
        <w:t>(23)</w:t>
      </w:r>
      <w:r w:rsidRPr="008A1884">
        <w:t xml:space="preserve">. The gene for </w:t>
      </w:r>
      <w:proofErr w:type="spellStart"/>
      <w:r w:rsidRPr="008A1884">
        <w:t>DsRed</w:t>
      </w:r>
      <w:proofErr w:type="spellEnd"/>
      <w:r w:rsidRPr="008A1884">
        <w:t xml:space="preserve"> protein with transit peptide sequence at its N - terminus was PCR-amplified from pTRAp-2G12-Ds plasmid with appropriate DNA oligonucleotides and cloned into assembled </w:t>
      </w:r>
      <w:r w:rsidRPr="008A1884">
        <w:rPr>
          <w:i/>
        </w:rPr>
        <w:t>in vitro</w:t>
      </w:r>
      <w:r w:rsidRPr="008A1884">
        <w:t xml:space="preserve"> MG LNYV construct using compatible restriction endonuclease sites. The </w:t>
      </w:r>
      <w:proofErr w:type="spellStart"/>
      <w:r w:rsidRPr="008A1884">
        <w:t>DsRed</w:t>
      </w:r>
      <w:proofErr w:type="spellEnd"/>
      <w:r w:rsidRPr="008A1884">
        <w:t xml:space="preserve"> gene used was that of </w:t>
      </w:r>
      <w:proofErr w:type="spellStart"/>
      <w:r w:rsidRPr="008A1884">
        <w:rPr>
          <w:i/>
        </w:rPr>
        <w:t>Discosoma</w:t>
      </w:r>
      <w:proofErr w:type="spellEnd"/>
      <w:r w:rsidRPr="008A1884">
        <w:t xml:space="preserve"> sp. red fluorescent </w:t>
      </w:r>
      <w:r w:rsidRPr="008A1884">
        <w:lastRenderedPageBreak/>
        <w:t xml:space="preserve">protein (R2G mutant) ORF with </w:t>
      </w:r>
      <w:r w:rsidRPr="008A1884">
        <w:rPr>
          <w:i/>
        </w:rPr>
        <w:t>H. vulgare</w:t>
      </w:r>
      <w:r w:rsidRPr="008A1884">
        <w:t xml:space="preserve"> granule-bound starch synthase I transit peptide sequence at its N – terminus. </w:t>
      </w:r>
    </w:p>
    <w:p w:rsidR="00263B20" w:rsidRPr="008A1884" w:rsidRDefault="00263B20" w:rsidP="00ED2803">
      <w:pPr>
        <w:pStyle w:val="Heading2"/>
      </w:pPr>
      <w:r w:rsidRPr="008A1884">
        <w:rPr>
          <w:rStyle w:val="Strong"/>
          <w:b/>
          <w:bCs w:val="0"/>
        </w:rPr>
        <w:t>In vitro transcription</w:t>
      </w:r>
      <w:r w:rsidRPr="008A1884">
        <w:t xml:space="preserve"> </w:t>
      </w:r>
    </w:p>
    <w:p w:rsidR="00263B20" w:rsidRPr="008A1884" w:rsidRDefault="00263B20" w:rsidP="00ED2803">
      <w:pPr>
        <w:rPr>
          <w:rFonts w:eastAsia="Times New Roman" w:cs="Times New Roman"/>
          <w:sz w:val="20"/>
          <w:szCs w:val="20"/>
        </w:rPr>
      </w:pPr>
      <w:r w:rsidRPr="008A1884">
        <w:t xml:space="preserve">For </w:t>
      </w:r>
      <w:r w:rsidRPr="008A1884">
        <w:rPr>
          <w:i/>
        </w:rPr>
        <w:t xml:space="preserve">in vitro </w:t>
      </w:r>
      <w:r w:rsidRPr="008A1884">
        <w:t xml:space="preserve">assessments, a DNA fragment containing the minigenome cassette was amplified by PCR using </w:t>
      </w:r>
      <w:proofErr w:type="spellStart"/>
      <w:r w:rsidRPr="008A1884">
        <w:t>priV</w:t>
      </w:r>
      <w:proofErr w:type="spellEnd"/>
      <w:r w:rsidRPr="008A1884">
        <w:t xml:space="preserve"> set of primers (Supplementary Table S1) from an assembled construct covering (i) the T7 promoter, (ii) the hammerhead ribozyme, (iii) the LNYV </w:t>
      </w:r>
      <w:r w:rsidR="008F4A91" w:rsidRPr="008A1884">
        <w:rPr>
          <w:iCs/>
        </w:rPr>
        <w:t>tr</w:t>
      </w:r>
      <w:r w:rsidRPr="008A1884">
        <w:t xml:space="preserve">, (iv) the multiple cloning site, (v) the LNYV </w:t>
      </w:r>
      <w:r w:rsidR="008F4A91" w:rsidRPr="008A1884">
        <w:rPr>
          <w:iCs/>
        </w:rPr>
        <w:t>le</w:t>
      </w:r>
      <w:r w:rsidRPr="008A1884">
        <w:t xml:space="preserve">, (vi) hepatitis delta ribozyme, and (vii) T7 terminator. The PCR amplicon was used as a template for </w:t>
      </w:r>
      <w:r w:rsidRPr="008A1884">
        <w:rPr>
          <w:i/>
        </w:rPr>
        <w:t>in vitro</w:t>
      </w:r>
      <w:r w:rsidRPr="008A1884">
        <w:t xml:space="preserve"> transcription using the </w:t>
      </w:r>
      <w:proofErr w:type="spellStart"/>
      <w:r w:rsidRPr="008A1884">
        <w:t>TranscriptAid</w:t>
      </w:r>
      <w:proofErr w:type="spellEnd"/>
      <w:r w:rsidRPr="008A1884">
        <w:t xml:space="preserve"> T7 High Yield Transcription Kit (Thermo Fischer Scientific) which was incubated at 25°C in the presence of 11 mM MgCl</w:t>
      </w:r>
      <w:r w:rsidRPr="008A1884">
        <w:rPr>
          <w:vertAlign w:val="subscript"/>
        </w:rPr>
        <w:t>2</w:t>
      </w:r>
      <w:r w:rsidRPr="008A1884">
        <w:t xml:space="preserve"> for two hours to allow ribozyme activity as described previously </w:t>
      </w:r>
      <w:r w:rsidRPr="008A1884">
        <w:rPr>
          <w:noProof/>
        </w:rPr>
        <w:t>(22, 29)</w:t>
      </w:r>
      <w:r w:rsidRPr="008A1884">
        <w:t xml:space="preserve">. </w:t>
      </w:r>
    </w:p>
    <w:p w:rsidR="00263B20" w:rsidRPr="008A1884" w:rsidRDefault="00263B20" w:rsidP="00ED2803">
      <w:pPr>
        <w:pStyle w:val="Heading2"/>
      </w:pPr>
      <w:bookmarkStart w:id="0" w:name="_Toc356499932"/>
      <w:r w:rsidRPr="008A1884">
        <w:rPr>
          <w:rStyle w:val="Strong"/>
          <w:b/>
          <w:bCs w:val="0"/>
        </w:rPr>
        <w:t>Plant agroinfiltration</w:t>
      </w:r>
      <w:bookmarkEnd w:id="0"/>
      <w:r w:rsidRPr="008A1884">
        <w:t xml:space="preserve">  </w:t>
      </w:r>
    </w:p>
    <w:p w:rsidR="00263B20" w:rsidRPr="008A1884" w:rsidRDefault="00263B20" w:rsidP="00ED2803">
      <w:r w:rsidRPr="008A1884">
        <w:rPr>
          <w:i/>
        </w:rPr>
        <w:t xml:space="preserve">N. </w:t>
      </w:r>
      <w:proofErr w:type="spellStart"/>
      <w:r w:rsidRPr="008A1884">
        <w:rPr>
          <w:i/>
        </w:rPr>
        <w:t>glutinosa</w:t>
      </w:r>
      <w:proofErr w:type="spellEnd"/>
      <w:r w:rsidRPr="008A1884">
        <w:t xml:space="preserve"> and </w:t>
      </w:r>
      <w:r w:rsidRPr="008A1884">
        <w:rPr>
          <w:i/>
        </w:rPr>
        <w:t xml:space="preserve">N. </w:t>
      </w:r>
      <w:proofErr w:type="spellStart"/>
      <w:r w:rsidRPr="008A1884">
        <w:rPr>
          <w:i/>
        </w:rPr>
        <w:t>benthamiana</w:t>
      </w:r>
      <w:proofErr w:type="spellEnd"/>
      <w:r w:rsidRPr="008A1884">
        <w:rPr>
          <w:b/>
        </w:rPr>
        <w:t xml:space="preserve"> </w:t>
      </w:r>
      <w:r w:rsidRPr="008A1884">
        <w:t xml:space="preserve">plants were grown at 23°C ± 2°C in a 16/8 h light and dark cycle and </w:t>
      </w:r>
      <w:proofErr w:type="spellStart"/>
      <w:r w:rsidRPr="008A1884">
        <w:t>agro</w:t>
      </w:r>
      <w:proofErr w:type="spellEnd"/>
      <w:r w:rsidRPr="008A1884">
        <w:t xml:space="preserve">-infiltrated using </w:t>
      </w:r>
      <w:r w:rsidRPr="008A1884">
        <w:rPr>
          <w:i/>
        </w:rPr>
        <w:t>A. tumefaciens</w:t>
      </w:r>
      <w:r w:rsidRPr="008A1884">
        <w:t xml:space="preserve"> strain GV</w:t>
      </w:r>
      <w:proofErr w:type="gramStart"/>
      <w:r w:rsidRPr="008A1884">
        <w:t>3101::</w:t>
      </w:r>
      <w:proofErr w:type="gramEnd"/>
      <w:r w:rsidRPr="008A1884">
        <w:t xml:space="preserve">pMP90RK as described previously </w:t>
      </w:r>
      <w:r w:rsidRPr="008A1884">
        <w:rPr>
          <w:noProof/>
        </w:rPr>
        <w:t>(30)</w:t>
      </w:r>
      <w:r w:rsidRPr="008A1884">
        <w:t xml:space="preserve">. </w:t>
      </w:r>
    </w:p>
    <w:p w:rsidR="00263B20" w:rsidRPr="008A1884" w:rsidRDefault="00263B20" w:rsidP="00ED2803">
      <w:pPr>
        <w:pStyle w:val="Heading2"/>
      </w:pPr>
      <w:bookmarkStart w:id="1" w:name="_Toc356499933"/>
      <w:r w:rsidRPr="008A1884">
        <w:rPr>
          <w:rStyle w:val="Strong"/>
          <w:b/>
          <w:bCs w:val="0"/>
        </w:rPr>
        <w:t>Total RNA extraction and RT-PCR</w:t>
      </w:r>
      <w:bookmarkEnd w:id="1"/>
      <w:r w:rsidRPr="008A1884">
        <w:rPr>
          <w:rStyle w:val="Strong"/>
          <w:b/>
          <w:bCs w:val="0"/>
        </w:rPr>
        <w:t xml:space="preserve"> analysis</w:t>
      </w:r>
      <w:r w:rsidRPr="008A1884">
        <w:t xml:space="preserve"> </w:t>
      </w:r>
    </w:p>
    <w:p w:rsidR="00263B20" w:rsidRPr="008A1884" w:rsidRDefault="00263B20" w:rsidP="00ED2803">
      <w:r w:rsidRPr="008A1884">
        <w:t>Total RNA was extracted from leaf tissue 7 days post infiltration using TRI Reagent® Solution (Applied Biosystems,</w:t>
      </w:r>
      <w:r w:rsidRPr="008A1884">
        <w:rPr>
          <w:rFonts w:ascii="Arial" w:eastAsia="Times New Roman" w:hAnsi="Arial" w:cs="Arial"/>
          <w:color w:val="545454"/>
          <w:shd w:val="clear" w:color="auto" w:fill="FFFFFF"/>
        </w:rPr>
        <w:t xml:space="preserve"> </w:t>
      </w:r>
      <w:r w:rsidRPr="008A1884">
        <w:t xml:space="preserve">UK). Extracted RNA was treated with </w:t>
      </w:r>
      <w:proofErr w:type="spellStart"/>
      <w:r w:rsidRPr="008A1884">
        <w:t>r</w:t>
      </w:r>
      <w:r w:rsidRPr="008A1884">
        <w:rPr>
          <w:i/>
        </w:rPr>
        <w:t>DNase</w:t>
      </w:r>
      <w:r w:rsidRPr="008A1884">
        <w:t>I</w:t>
      </w:r>
      <w:proofErr w:type="spellEnd"/>
      <w:r w:rsidRPr="008A1884">
        <w:t xml:space="preserve"> using </w:t>
      </w:r>
      <w:proofErr w:type="spellStart"/>
      <w:r w:rsidRPr="008A1884">
        <w:t>Ambion</w:t>
      </w:r>
      <w:proofErr w:type="spellEnd"/>
      <w:r w:rsidRPr="008A1884">
        <w:t>® DNA-</w:t>
      </w:r>
      <w:proofErr w:type="spellStart"/>
      <w:r w:rsidRPr="008A1884">
        <w:rPr>
          <w:i/>
        </w:rPr>
        <w:t>free</w:t>
      </w:r>
      <w:r w:rsidRPr="008A1884">
        <w:rPr>
          <w:vertAlign w:val="superscript"/>
        </w:rPr>
        <w:t>TM</w:t>
      </w:r>
      <w:proofErr w:type="spellEnd"/>
      <w:r w:rsidRPr="008A1884">
        <w:t xml:space="preserve"> Kit (Thermo Fischer Scientific). RT-PCR amplifications were performed using Access RT-PCR System from Promega (Southampton, UK) according to the manufacturer’s protocol. RT-PCR transcribed cDNA was sequenced (</w:t>
      </w:r>
      <w:proofErr w:type="spellStart"/>
      <w:r w:rsidRPr="008A1884">
        <w:t>Genewiz</w:t>
      </w:r>
      <w:proofErr w:type="spellEnd"/>
      <w:r w:rsidRPr="008A1884">
        <w:t>, Bishop's Stortford, UK).</w:t>
      </w:r>
    </w:p>
    <w:p w:rsidR="00263B20" w:rsidRPr="008A1884" w:rsidRDefault="00263B20" w:rsidP="00ED2803">
      <w:pPr>
        <w:pStyle w:val="Heading2"/>
      </w:pPr>
      <w:r w:rsidRPr="008A1884">
        <w:rPr>
          <w:rStyle w:val="Strong"/>
          <w:b/>
          <w:bCs w:val="0"/>
        </w:rPr>
        <w:t>Western blot analysis</w:t>
      </w:r>
      <w:r w:rsidRPr="008A1884">
        <w:t xml:space="preserve"> </w:t>
      </w:r>
    </w:p>
    <w:p w:rsidR="00263B20" w:rsidRPr="008A1884" w:rsidRDefault="00263B20" w:rsidP="00ED2803">
      <w:r w:rsidRPr="008A1884">
        <w:lastRenderedPageBreak/>
        <w:t xml:space="preserve">Infiltrated and non-infiltrated plant leaf samples (100 mg) were frozen in liquid nitrogen, homogenized on ice with plastic pestles in PBS pH 7.4 buffer. Crude protein samples were heated in </w:t>
      </w:r>
      <w:proofErr w:type="spellStart"/>
      <w:r w:rsidRPr="008A1884">
        <w:t>NuPAGE</w:t>
      </w:r>
      <w:proofErr w:type="spellEnd"/>
      <w:r w:rsidRPr="008A1884">
        <w:t xml:space="preserve">® LDS Sample Buffer with 500 mM dithiothreitol (DTT) (Thermo Fischer Scientific) at 70°C for 10 minutes and loaded onto an </w:t>
      </w:r>
      <w:proofErr w:type="spellStart"/>
      <w:r w:rsidRPr="008A1884">
        <w:t>Invitrogen</w:t>
      </w:r>
      <w:r w:rsidRPr="008A1884">
        <w:rPr>
          <w:vertAlign w:val="superscript"/>
        </w:rPr>
        <w:t>TM</w:t>
      </w:r>
      <w:proofErr w:type="spellEnd"/>
      <w:r w:rsidRPr="008A1884">
        <w:t xml:space="preserve"> </w:t>
      </w:r>
      <w:proofErr w:type="spellStart"/>
      <w:r w:rsidRPr="008A1884">
        <w:t>NuPAGE</w:t>
      </w:r>
      <w:proofErr w:type="spellEnd"/>
      <w:r w:rsidRPr="008A1884">
        <w:t xml:space="preserve">® </w:t>
      </w:r>
      <w:proofErr w:type="spellStart"/>
      <w:r w:rsidRPr="008A1884">
        <w:t>Novex</w:t>
      </w:r>
      <w:proofErr w:type="spellEnd"/>
      <w:r w:rsidRPr="008A1884">
        <w:t xml:space="preserve">® Bis-Tris 4-12% gel (Thermo Fischer Scientific). </w:t>
      </w:r>
    </w:p>
    <w:p w:rsidR="00263B20" w:rsidRPr="008A1884" w:rsidRDefault="00263B20" w:rsidP="00ED2803">
      <w:r w:rsidRPr="008A1884">
        <w:t xml:space="preserve">Separated proteins were then blotted onto Amersham </w:t>
      </w:r>
      <w:proofErr w:type="spellStart"/>
      <w:r w:rsidRPr="008A1884">
        <w:t>Hybond</w:t>
      </w:r>
      <w:proofErr w:type="spellEnd"/>
      <w:r w:rsidRPr="008A1884">
        <w:t xml:space="preserve"> ECL Nitrocellulose Membrane (GE Healthcare, Amersham, UK) using </w:t>
      </w:r>
      <w:proofErr w:type="spellStart"/>
      <w:r w:rsidRPr="008A1884">
        <w:t>Invitrogen</w:t>
      </w:r>
      <w:r w:rsidRPr="008A1884">
        <w:rPr>
          <w:vertAlign w:val="superscript"/>
        </w:rPr>
        <w:t>TM</w:t>
      </w:r>
      <w:proofErr w:type="spellEnd"/>
      <w:r w:rsidRPr="008A1884">
        <w:t xml:space="preserve"> semi-dry transfer system (Thermo Fischer Scientific). To detect </w:t>
      </w:r>
      <w:proofErr w:type="spellStart"/>
      <w:r w:rsidRPr="008A1884">
        <w:t>DsRed</w:t>
      </w:r>
      <w:proofErr w:type="spellEnd"/>
      <w:r w:rsidRPr="008A1884">
        <w:t xml:space="preserve"> protein, the membrane was probed with mouse monoclonal [6G6] anti-red fluorescent proteins (</w:t>
      </w:r>
      <w:proofErr w:type="spellStart"/>
      <w:r w:rsidRPr="008A1884">
        <w:t>ChromoTek</w:t>
      </w:r>
      <w:proofErr w:type="spellEnd"/>
      <w:r w:rsidRPr="008A1884">
        <w:t xml:space="preserve">, GmbH, </w:t>
      </w:r>
      <w:proofErr w:type="spellStart"/>
      <w:r w:rsidRPr="008A1884">
        <w:t>Planegg-Martinsried</w:t>
      </w:r>
      <w:proofErr w:type="spellEnd"/>
      <w:r w:rsidRPr="008A1884">
        <w:t xml:space="preserve">, Germany). Antibody 6G6 has been used previously to detect red fluorescent protein in different plant expression platforms such as </w:t>
      </w:r>
      <w:r w:rsidRPr="008A1884">
        <w:rPr>
          <w:i/>
        </w:rPr>
        <w:t xml:space="preserve">Nicotiana </w:t>
      </w:r>
      <w:proofErr w:type="spellStart"/>
      <w:r w:rsidRPr="008A1884">
        <w:rPr>
          <w:i/>
        </w:rPr>
        <w:t>benthamiana</w:t>
      </w:r>
      <w:proofErr w:type="spellEnd"/>
      <w:r w:rsidRPr="008A1884">
        <w:rPr>
          <w:i/>
        </w:rPr>
        <w:t xml:space="preserve"> </w:t>
      </w:r>
      <w:r w:rsidRPr="008A1884">
        <w:rPr>
          <w:noProof/>
        </w:rPr>
        <w:t>(31)</w:t>
      </w:r>
      <w:r w:rsidRPr="008A1884">
        <w:t xml:space="preserve"> and </w:t>
      </w:r>
      <w:r w:rsidRPr="008A1884">
        <w:rPr>
          <w:i/>
        </w:rPr>
        <w:t xml:space="preserve">Arabidopsis thaliana </w:t>
      </w:r>
      <w:r w:rsidRPr="008A1884">
        <w:rPr>
          <w:noProof/>
        </w:rPr>
        <w:t>(32)</w:t>
      </w:r>
      <w:r w:rsidRPr="008A1884">
        <w:t>.</w:t>
      </w:r>
    </w:p>
    <w:p w:rsidR="00263B20" w:rsidRPr="008A1884" w:rsidRDefault="00263B20" w:rsidP="00ED2803">
      <w:pPr>
        <w:rPr>
          <w:rFonts w:eastAsia="Times New Roman" w:cs="Times New Roman"/>
          <w:b/>
          <w:sz w:val="28"/>
          <w:szCs w:val="28"/>
        </w:rPr>
      </w:pPr>
      <w:r w:rsidRPr="008A1884">
        <w:t>Antibody 6G6 was diluted at 1:2500 in 5% w/v non-fat dried skimmed milk (NFDS) in PBST (0.1% v/v Tween 20 PBS pH 7.4 buffer) and incubated with the nitrocellulose membrane overnight at 4</w:t>
      </w:r>
      <w:r w:rsidRPr="008A1884">
        <w:rPr>
          <w:vertAlign w:val="superscript"/>
        </w:rPr>
        <w:t>o</w:t>
      </w:r>
      <w:r w:rsidRPr="008A1884">
        <w:t xml:space="preserve">C. This was followed by sheep anti-mouse IgG-HRP conjugate (The Binding Site, UK) diluted 1:5000 in 5% w/v NFDS milk in PBST and incubated for 1 hour at room temperature. The membrane was washed three times with in PBST after each step. The membrane was developed by </w:t>
      </w:r>
      <w:proofErr w:type="spellStart"/>
      <w:r w:rsidRPr="008A1884">
        <w:t>Amersham</w:t>
      </w:r>
      <w:r w:rsidRPr="008A1884">
        <w:rPr>
          <w:vertAlign w:val="superscript"/>
        </w:rPr>
        <w:t>TM</w:t>
      </w:r>
      <w:proofErr w:type="spellEnd"/>
      <w:r w:rsidRPr="008A1884">
        <w:t xml:space="preserve"> ECL</w:t>
      </w:r>
      <w:r w:rsidRPr="008A1884">
        <w:rPr>
          <w:vertAlign w:val="superscript"/>
        </w:rPr>
        <w:t>TM</w:t>
      </w:r>
      <w:r w:rsidRPr="008A1884">
        <w:t xml:space="preserve"> Prime Western blotting reagent (GE Healthcare) and visualised using </w:t>
      </w:r>
      <w:proofErr w:type="spellStart"/>
      <w:r w:rsidRPr="008A1884">
        <w:t>SynGene</w:t>
      </w:r>
      <w:proofErr w:type="spellEnd"/>
      <w:r w:rsidRPr="008A1884">
        <w:t xml:space="preserve"> </w:t>
      </w:r>
      <w:proofErr w:type="gramStart"/>
      <w:r w:rsidRPr="008A1884">
        <w:t>G:Box</w:t>
      </w:r>
      <w:proofErr w:type="gramEnd"/>
      <w:r w:rsidRPr="008A1884">
        <w:t xml:space="preserve"> gel imaging technology with </w:t>
      </w:r>
      <w:proofErr w:type="spellStart"/>
      <w:r w:rsidRPr="008A1884">
        <w:t>Genesys</w:t>
      </w:r>
      <w:proofErr w:type="spellEnd"/>
      <w:r w:rsidRPr="008A1884">
        <w:t xml:space="preserve"> software (</w:t>
      </w:r>
      <w:proofErr w:type="spellStart"/>
      <w:r w:rsidRPr="008A1884">
        <w:t>Syngene</w:t>
      </w:r>
      <w:proofErr w:type="spellEnd"/>
      <w:r w:rsidRPr="008A1884">
        <w:t>, UK).</w:t>
      </w:r>
    </w:p>
    <w:p w:rsidR="00263B20" w:rsidRPr="008A1884" w:rsidRDefault="00263B20" w:rsidP="00ED2803">
      <w:pPr>
        <w:pStyle w:val="Heading1"/>
      </w:pPr>
      <w:r w:rsidRPr="008A1884">
        <w:t>Results</w:t>
      </w:r>
    </w:p>
    <w:p w:rsidR="00263B20" w:rsidRPr="008A1884" w:rsidRDefault="00263B20" w:rsidP="00ED2803">
      <w:pPr>
        <w:pStyle w:val="Heading2"/>
      </w:pPr>
      <w:r w:rsidRPr="008A1884">
        <w:rPr>
          <w:rStyle w:val="Strong"/>
          <w:b/>
          <w:bCs w:val="0"/>
        </w:rPr>
        <w:t>Introns stabilise L gene ORF in E. coli and are correctly spliced in planta</w:t>
      </w:r>
      <w:r w:rsidRPr="008A1884">
        <w:t xml:space="preserve"> </w:t>
      </w:r>
    </w:p>
    <w:p w:rsidR="00263B20" w:rsidRPr="008A1884" w:rsidRDefault="00263B20" w:rsidP="00ED2803">
      <w:pPr>
        <w:spacing w:after="0"/>
      </w:pPr>
      <w:r w:rsidRPr="008A1884">
        <w:t xml:space="preserve">We previously attempted conventional methods to clone the L gene ORF in </w:t>
      </w:r>
      <w:r w:rsidRPr="008A1884">
        <w:rPr>
          <w:i/>
        </w:rPr>
        <w:t>E. coli</w:t>
      </w:r>
      <w:r w:rsidRPr="008A1884">
        <w:t xml:space="preserve"> but we could not recover the correct construct. Based on the observation that introns stabilise viral genomes </w:t>
      </w:r>
      <w:r w:rsidRPr="008A1884">
        <w:lastRenderedPageBreak/>
        <w:t xml:space="preserve">in </w:t>
      </w:r>
      <w:r w:rsidRPr="008A1884">
        <w:rPr>
          <w:i/>
        </w:rPr>
        <w:t xml:space="preserve">E. coli </w:t>
      </w:r>
      <w:r w:rsidRPr="008A1884">
        <w:rPr>
          <w:iCs/>
          <w:noProof/>
        </w:rPr>
        <w:t>(25)</w:t>
      </w:r>
      <w:r w:rsidRPr="008A1884">
        <w:t xml:space="preserve"> we introduced the second intron of the </w:t>
      </w:r>
      <w:r w:rsidRPr="008A1884">
        <w:rPr>
          <w:i/>
        </w:rPr>
        <w:t xml:space="preserve">Phaseolus </w:t>
      </w:r>
      <w:proofErr w:type="spellStart"/>
      <w:r w:rsidRPr="008A1884">
        <w:rPr>
          <w:i/>
        </w:rPr>
        <w:t>vulgari</w:t>
      </w:r>
      <w:proofErr w:type="spellEnd"/>
      <w:r w:rsidRPr="008A1884">
        <w:t xml:space="preserve"> nitrite reductase (NIR) gene </w:t>
      </w:r>
      <w:r w:rsidRPr="008A1884">
        <w:rPr>
          <w:noProof/>
        </w:rPr>
        <w:t xml:space="preserve">(33), </w:t>
      </w:r>
      <w:r w:rsidRPr="008A1884">
        <w:t xml:space="preserve">the second intron of the </w:t>
      </w:r>
      <w:r w:rsidRPr="008A1884">
        <w:rPr>
          <w:i/>
        </w:rPr>
        <w:t>Solanum tuberosum</w:t>
      </w:r>
      <w:r w:rsidRPr="008A1884">
        <w:t xml:space="preserve"> light-inducible tissue-specific ST-LS1 gene </w:t>
      </w:r>
      <w:r w:rsidRPr="008A1884">
        <w:rPr>
          <w:noProof/>
        </w:rPr>
        <w:t>(34)</w:t>
      </w:r>
      <w:r w:rsidRPr="008A1884">
        <w:t xml:space="preserve">, and finally the first intron of </w:t>
      </w:r>
      <w:r w:rsidRPr="008A1884">
        <w:rPr>
          <w:i/>
        </w:rPr>
        <w:t>Nicotiana tabacum</w:t>
      </w:r>
      <w:r w:rsidRPr="008A1884">
        <w:t xml:space="preserve"> ribulose 1,5-bisphosphate carboxylase small subunit (</w:t>
      </w:r>
      <w:proofErr w:type="spellStart"/>
      <w:r w:rsidRPr="008A1884">
        <w:t>NtRbcS</w:t>
      </w:r>
      <w:proofErr w:type="spellEnd"/>
      <w:r w:rsidRPr="008A1884">
        <w:t xml:space="preserve">) gene </w:t>
      </w:r>
      <w:r w:rsidRPr="008A1884">
        <w:rPr>
          <w:noProof/>
        </w:rPr>
        <w:t>(35)</w:t>
      </w:r>
      <w:r w:rsidRPr="008A1884">
        <w:t xml:space="preserve"> into the L gene ORF (Fig. 1A).  Furthermore, the </w:t>
      </w:r>
      <w:r w:rsidRPr="008A1884">
        <w:rPr>
          <w:i/>
        </w:rPr>
        <w:t>E. coli</w:t>
      </w:r>
      <w:r w:rsidRPr="008A1884">
        <w:t xml:space="preserve"> strain </w:t>
      </w:r>
      <w:proofErr w:type="spellStart"/>
      <w:r w:rsidRPr="008A1884">
        <w:t>CopyCutter</w:t>
      </w:r>
      <w:r w:rsidRPr="008A1884">
        <w:rPr>
          <w:vertAlign w:val="superscript"/>
        </w:rPr>
        <w:t>TM</w:t>
      </w:r>
      <w:proofErr w:type="spellEnd"/>
      <w:r w:rsidRPr="008A1884">
        <w:t xml:space="preserve"> EPI400</w:t>
      </w:r>
      <w:r w:rsidRPr="008A1884">
        <w:rPr>
          <w:vertAlign w:val="superscript"/>
        </w:rPr>
        <w:t>TM</w:t>
      </w:r>
      <w:r w:rsidRPr="008A1884">
        <w:t xml:space="preserve"> was employed to maintain low construct copy numbers. The L gene (with introns) was successfully cloned into the plant expression plasmid pTRAk.2 (int-</w:t>
      </w:r>
      <w:proofErr w:type="gramStart"/>
      <w:r w:rsidRPr="008A1884">
        <w:t>L.pTRAk</w:t>
      </w:r>
      <w:proofErr w:type="gramEnd"/>
      <w:r w:rsidRPr="008A1884">
        <w:t xml:space="preserve">.2) using this strategy (confirmed by Sanger sequencing). </w:t>
      </w:r>
    </w:p>
    <w:p w:rsidR="00263B20" w:rsidRPr="008A1884" w:rsidRDefault="00263B20" w:rsidP="00ED2803">
      <w:pPr>
        <w:spacing w:after="0"/>
      </w:pPr>
      <w:r w:rsidRPr="008A1884">
        <w:rPr>
          <w:rStyle w:val="Strong"/>
          <w:b w:val="0"/>
        </w:rPr>
        <w:t xml:space="preserve">The fidelity of intron splicing was subsequently tested </w:t>
      </w:r>
      <w:r w:rsidRPr="008A1884">
        <w:rPr>
          <w:rStyle w:val="Strong"/>
          <w:b w:val="0"/>
          <w:i/>
          <w:iCs/>
        </w:rPr>
        <w:t>in planta</w:t>
      </w:r>
      <w:r w:rsidRPr="008A1884">
        <w:rPr>
          <w:rStyle w:val="Strong"/>
          <w:b w:val="0"/>
        </w:rPr>
        <w:t xml:space="preserve">. Total RNA was extracted from </w:t>
      </w:r>
      <w:r w:rsidRPr="008A1884">
        <w:rPr>
          <w:rStyle w:val="Strong"/>
          <w:b w:val="0"/>
          <w:i/>
          <w:iCs/>
        </w:rPr>
        <w:t xml:space="preserve">N. </w:t>
      </w:r>
      <w:proofErr w:type="spellStart"/>
      <w:r w:rsidRPr="008A1884">
        <w:rPr>
          <w:rStyle w:val="Strong"/>
          <w:b w:val="0"/>
          <w:i/>
          <w:iCs/>
        </w:rPr>
        <w:t>glutinosa</w:t>
      </w:r>
      <w:proofErr w:type="spellEnd"/>
      <w:r w:rsidRPr="008A1884">
        <w:rPr>
          <w:rStyle w:val="Strong"/>
          <w:b w:val="0"/>
        </w:rPr>
        <w:t xml:space="preserve"> infiltrated with int-</w:t>
      </w:r>
      <w:proofErr w:type="gramStart"/>
      <w:r w:rsidRPr="008A1884">
        <w:rPr>
          <w:rStyle w:val="Strong"/>
          <w:b w:val="0"/>
        </w:rPr>
        <w:t>L.pTRAk</w:t>
      </w:r>
      <w:proofErr w:type="gramEnd"/>
      <w:r w:rsidRPr="008A1884">
        <w:rPr>
          <w:rStyle w:val="Strong"/>
          <w:b w:val="0"/>
        </w:rPr>
        <w:t xml:space="preserve">.2 </w:t>
      </w:r>
      <w:r w:rsidRPr="008A1884">
        <w:t xml:space="preserve">and used as a template for RT-PCR using prin1, prin2, and prin3 set of primers (Supplementary Table S1). The primers were designed to amplify three segments spanning introns I, II, and III respectively. The expected cDNA size of each segment with introduced introns was 500 bp, while 279, 312, and 407 bp respectively if introns were spliced out (Fig. 1A). As shown in Fig. 1B, all three introns were removed giving bands of the expected size. Furthermore, the correct splice-site sequence was confirmed by Sanger sequencing. </w:t>
      </w:r>
    </w:p>
    <w:p w:rsidR="00263B20" w:rsidRPr="008A1884" w:rsidRDefault="00263B20" w:rsidP="00ED2803">
      <w:pPr>
        <w:pStyle w:val="Caption"/>
        <w:spacing w:after="360" w:line="480" w:lineRule="auto"/>
      </w:pPr>
      <w:r w:rsidRPr="008A1884">
        <w:rPr>
          <w:b/>
          <w:bCs w:val="0"/>
        </w:rPr>
        <w:t xml:space="preserve">Fig </w:t>
      </w:r>
      <w:r w:rsidRPr="008A1884">
        <w:rPr>
          <w:b/>
          <w:bCs w:val="0"/>
          <w:noProof/>
        </w:rPr>
        <w:fldChar w:fldCharType="begin"/>
      </w:r>
      <w:r w:rsidRPr="008A1884">
        <w:rPr>
          <w:b/>
          <w:bCs w:val="0"/>
          <w:noProof/>
        </w:rPr>
        <w:instrText xml:space="preserve"> SEQ Figure \* ARABIC </w:instrText>
      </w:r>
      <w:r w:rsidRPr="008A1884">
        <w:rPr>
          <w:b/>
          <w:bCs w:val="0"/>
          <w:noProof/>
        </w:rPr>
        <w:fldChar w:fldCharType="separate"/>
      </w:r>
      <w:r w:rsidRPr="008A1884">
        <w:rPr>
          <w:b/>
          <w:bCs w:val="0"/>
          <w:noProof/>
        </w:rPr>
        <w:t>1</w:t>
      </w:r>
      <w:r w:rsidRPr="008A1884">
        <w:rPr>
          <w:b/>
          <w:bCs w:val="0"/>
          <w:noProof/>
        </w:rPr>
        <w:fldChar w:fldCharType="end"/>
      </w:r>
      <w:r w:rsidRPr="008A1884">
        <w:rPr>
          <w:b/>
          <w:bCs w:val="0"/>
        </w:rPr>
        <w:t>. Genome organization of LNYV L gene with or without introduced introns.</w:t>
      </w:r>
      <w:r w:rsidRPr="008A1884">
        <w:t xml:space="preserve"> (</w:t>
      </w:r>
      <w:r w:rsidRPr="008A1884">
        <w:rPr>
          <w:b/>
          <w:bCs w:val="0"/>
        </w:rPr>
        <w:t>A</w:t>
      </w:r>
      <w:r w:rsidRPr="008A1884">
        <w:t xml:space="preserve">) Diagram showing the expected size for RT-PCR amplicons from int-L gene pre- and mature mRNA using </w:t>
      </w:r>
      <w:proofErr w:type="spellStart"/>
      <w:r w:rsidRPr="008A1884">
        <w:t>prA</w:t>
      </w:r>
      <w:proofErr w:type="spellEnd"/>
      <w:r w:rsidRPr="008A1884">
        <w:t xml:space="preserve">, </w:t>
      </w:r>
      <w:proofErr w:type="spellStart"/>
      <w:r w:rsidRPr="008A1884">
        <w:t>prB</w:t>
      </w:r>
      <w:proofErr w:type="spellEnd"/>
      <w:r w:rsidRPr="008A1884">
        <w:t xml:space="preserve">, and </w:t>
      </w:r>
      <w:proofErr w:type="spellStart"/>
      <w:r w:rsidRPr="008A1884">
        <w:t>prC</w:t>
      </w:r>
      <w:proofErr w:type="spellEnd"/>
      <w:r w:rsidRPr="008A1884">
        <w:t xml:space="preserve"> primers. (</w:t>
      </w:r>
      <w:r w:rsidRPr="008A1884">
        <w:rPr>
          <w:b/>
          <w:bCs w:val="0"/>
        </w:rPr>
        <w:t>B</w:t>
      </w:r>
      <w:r w:rsidRPr="008A1884">
        <w:t xml:space="preserve">) Agarose gels int1, int2, and int3 showing mRNA amplicons detected by RT-PCR compared to PCR of the int-L gene for second intron of the </w:t>
      </w:r>
      <w:r w:rsidRPr="008A1884">
        <w:rPr>
          <w:i/>
        </w:rPr>
        <w:t xml:space="preserve">Phaseolus </w:t>
      </w:r>
      <w:proofErr w:type="spellStart"/>
      <w:r w:rsidRPr="008A1884">
        <w:rPr>
          <w:i/>
        </w:rPr>
        <w:t>vulgari</w:t>
      </w:r>
      <w:proofErr w:type="spellEnd"/>
      <w:r w:rsidRPr="008A1884">
        <w:t xml:space="preserve"> nitrite reductase (NIR) gene, the second intron of the </w:t>
      </w:r>
      <w:r w:rsidRPr="008A1884">
        <w:rPr>
          <w:i/>
        </w:rPr>
        <w:t>Solanum tuberosum</w:t>
      </w:r>
      <w:r w:rsidRPr="008A1884">
        <w:t xml:space="preserve"> light-inducible tissue-specific ST-LS1 gene, and the first intron of </w:t>
      </w:r>
      <w:r w:rsidRPr="008A1884">
        <w:rPr>
          <w:i/>
        </w:rPr>
        <w:t>Nicotiana tabacum</w:t>
      </w:r>
      <w:r w:rsidRPr="008A1884">
        <w:t xml:space="preserve"> ribulose 1, 5-bisphosphate carboxylase small subunit (</w:t>
      </w:r>
      <w:proofErr w:type="spellStart"/>
      <w:r w:rsidRPr="008A1884">
        <w:t>NtRbcS</w:t>
      </w:r>
      <w:proofErr w:type="spellEnd"/>
      <w:r w:rsidRPr="008A1884">
        <w:t>) gene respectively. A RT-PCR without addition of reverse transcriptase enzyme was used as a negative control.</w:t>
      </w:r>
    </w:p>
    <w:p w:rsidR="00263B20" w:rsidRPr="008A1884" w:rsidRDefault="00263B20" w:rsidP="00ED2803">
      <w:pPr>
        <w:pStyle w:val="Heading2"/>
        <w:rPr>
          <w:lang w:val="en-US"/>
        </w:rPr>
      </w:pPr>
      <w:r w:rsidRPr="008A1884">
        <w:rPr>
          <w:lang w:val="en-US"/>
        </w:rPr>
        <w:t xml:space="preserve">A minigenome system for LNYV </w:t>
      </w:r>
    </w:p>
    <w:p w:rsidR="00263B20" w:rsidRPr="008A1884" w:rsidRDefault="00263B20" w:rsidP="00547A4B">
      <w:pPr>
        <w:spacing w:after="0"/>
        <w:rPr>
          <w:rFonts w:eastAsia="Times New Roman" w:cs="Times New Roman"/>
          <w:lang w:val="en-US"/>
        </w:rPr>
      </w:pPr>
      <w:r w:rsidRPr="008A1884">
        <w:rPr>
          <w:rFonts w:eastAsia="Times New Roman" w:cs="Times New Roman"/>
          <w:bCs/>
          <w:lang w:val="en-US"/>
        </w:rPr>
        <w:lastRenderedPageBreak/>
        <w:t>Initially, we assembled</w:t>
      </w:r>
      <w:r w:rsidRPr="008A1884">
        <w:rPr>
          <w:rFonts w:eastAsia="Times New Roman" w:cs="Times New Roman"/>
          <w:lang w:val="en-US"/>
        </w:rPr>
        <w:t xml:space="preserve"> LNYV</w:t>
      </w:r>
      <w:r w:rsidRPr="008A1884">
        <w:rPr>
          <w:rFonts w:eastAsia="Times New Roman" w:cs="Times New Roman"/>
          <w:bCs/>
          <w:lang w:val="en-US"/>
        </w:rPr>
        <w:t xml:space="preserve"> </w:t>
      </w:r>
      <w:r w:rsidRPr="008A1884">
        <w:rPr>
          <w:rFonts w:eastAsia="Times New Roman" w:cs="Times New Roman"/>
          <w:bCs/>
          <w:i/>
          <w:lang w:val="en-US"/>
        </w:rPr>
        <w:t>in vitro</w:t>
      </w:r>
      <w:r w:rsidRPr="008A1884">
        <w:rPr>
          <w:rFonts w:eastAsia="Times New Roman" w:cs="Times New Roman"/>
          <w:bCs/>
          <w:lang w:val="en-US"/>
        </w:rPr>
        <w:t xml:space="preserve"> </w:t>
      </w:r>
      <w:r w:rsidRPr="008A1884">
        <w:rPr>
          <w:rFonts w:eastAsia="Times New Roman" w:cs="Times New Roman"/>
          <w:lang w:val="en-US"/>
        </w:rPr>
        <w:t xml:space="preserve">MG cassettes to assess ribozyme auto-cleavage in an </w:t>
      </w:r>
      <w:r w:rsidRPr="008A1884">
        <w:rPr>
          <w:rFonts w:eastAsia="Times New Roman" w:cs="Times New Roman"/>
          <w:i/>
          <w:lang w:val="en-US"/>
        </w:rPr>
        <w:t>in vitro</w:t>
      </w:r>
      <w:r w:rsidRPr="008A1884">
        <w:rPr>
          <w:rFonts w:eastAsia="Times New Roman" w:cs="Times New Roman"/>
          <w:lang w:val="en-US"/>
        </w:rPr>
        <w:t xml:space="preserve"> transcription assay. The MG cassette consisted of tr – multiple cloning site (MCS) – </w:t>
      </w:r>
      <w:r w:rsidRPr="008A1884">
        <w:rPr>
          <w:rFonts w:eastAsia="Times New Roman" w:cs="Times New Roman"/>
          <w:iCs/>
          <w:lang w:val="en-US"/>
        </w:rPr>
        <w:t>le</w:t>
      </w:r>
      <w:r w:rsidRPr="008A1884">
        <w:rPr>
          <w:rFonts w:eastAsia="Times New Roman" w:cs="Times New Roman"/>
          <w:lang w:val="en-US"/>
        </w:rPr>
        <w:t xml:space="preserve"> cloned between hammerhead and hepatitis delta and under the control of T7 promoter (Fig. 2A). </w:t>
      </w:r>
      <w:r w:rsidR="00547A4B" w:rsidRPr="008A1884">
        <w:rPr>
          <w:rFonts w:eastAsia="Times New Roman" w:cs="Times New Roman"/>
          <w:lang w:val="en-US"/>
        </w:rPr>
        <w:t xml:space="preserve">We also changed the </w:t>
      </w:r>
      <w:r w:rsidR="00547A4B" w:rsidRPr="008A1884">
        <w:rPr>
          <w:rFonts w:eastAsia="Times New Roman" w:cs="Times New Roman"/>
        </w:rPr>
        <w:t xml:space="preserve">first 8 nucleotides of </w:t>
      </w:r>
      <w:proofErr w:type="spellStart"/>
      <w:r w:rsidR="00547A4B" w:rsidRPr="008A1884">
        <w:rPr>
          <w:rFonts w:eastAsia="Times New Roman" w:cs="Times New Roman"/>
        </w:rPr>
        <w:t>HHz</w:t>
      </w:r>
      <w:proofErr w:type="spellEnd"/>
      <w:r w:rsidR="00547A4B" w:rsidRPr="008A1884">
        <w:rPr>
          <w:rFonts w:eastAsia="Times New Roman" w:cs="Times New Roman"/>
        </w:rPr>
        <w:t xml:space="preserve"> (accession number </w:t>
      </w:r>
      <w:r w:rsidR="00547A4B" w:rsidRPr="008A1884">
        <w:t xml:space="preserve">GU299211) </w:t>
      </w:r>
      <w:r w:rsidR="00547A4B" w:rsidRPr="008A1884">
        <w:rPr>
          <w:rFonts w:eastAsia="Times New Roman" w:cs="Times New Roman"/>
        </w:rPr>
        <w:t>to 5’</w:t>
      </w:r>
      <w:r w:rsidR="00547A4B" w:rsidRPr="008A1884">
        <w:rPr>
          <w:rFonts w:eastAsia="Times New Roman" w:cs="Times New Roman"/>
        </w:rPr>
        <w:noBreakHyphen/>
        <w:t>UCGUCCGU-3’, to allow base-pairing with the first 8 nucleotides of the LNYV tr (5’</w:t>
      </w:r>
      <w:r w:rsidR="00547A4B" w:rsidRPr="008A1884">
        <w:rPr>
          <w:rFonts w:eastAsia="Times New Roman" w:cs="Times New Roman"/>
        </w:rPr>
        <w:noBreakHyphen/>
        <w:t xml:space="preserve">ACGGACGA-3’) as </w:t>
      </w:r>
      <w:r w:rsidR="00241D1F">
        <w:rPr>
          <w:rFonts w:eastAsia="Times New Roman" w:cs="Times New Roman"/>
        </w:rPr>
        <w:t>indicated in a previous study</w:t>
      </w:r>
      <w:r w:rsidR="00547A4B" w:rsidRPr="008A1884">
        <w:rPr>
          <w:rFonts w:eastAsia="Times New Roman" w:cs="Times New Roman"/>
        </w:rPr>
        <w:t xml:space="preserve"> (18).</w:t>
      </w:r>
    </w:p>
    <w:p w:rsidR="00263B20" w:rsidRPr="008A1884" w:rsidRDefault="00263B20" w:rsidP="00ED2803">
      <w:pPr>
        <w:spacing w:after="0"/>
        <w:rPr>
          <w:rFonts w:eastAsia="Times New Roman" w:cs="Times New Roman"/>
          <w:lang w:val="en-US"/>
        </w:rPr>
      </w:pPr>
      <w:r w:rsidRPr="008A1884">
        <w:rPr>
          <w:rFonts w:eastAsia="Times New Roman" w:cs="Times New Roman"/>
          <w:lang w:val="en-US"/>
        </w:rPr>
        <w:t xml:space="preserve">As shown in (Fig. 2B), gel </w:t>
      </w:r>
      <w:r w:rsidRPr="008A1884">
        <w:t xml:space="preserve">electrophoresis of the transcribed </w:t>
      </w:r>
      <w:r w:rsidRPr="008A1884">
        <w:rPr>
          <w:rFonts w:eastAsia="Times New Roman" w:cs="Times New Roman"/>
          <w:lang w:val="en-US"/>
        </w:rPr>
        <w:t>products yielded a fragment of expected size for the</w:t>
      </w:r>
      <w:r w:rsidRPr="008A1884">
        <w:t xml:space="preserve"> </w:t>
      </w:r>
      <w:r w:rsidRPr="008A1884">
        <w:rPr>
          <w:iCs/>
        </w:rPr>
        <w:t>t</w:t>
      </w:r>
      <w:r w:rsidR="006A5E9C" w:rsidRPr="008A1884">
        <w:rPr>
          <w:iCs/>
        </w:rPr>
        <w:t>r</w:t>
      </w:r>
      <w:r w:rsidRPr="008A1884">
        <w:t xml:space="preserve"> – MCS – </w:t>
      </w:r>
      <w:r w:rsidRPr="008A1884">
        <w:rPr>
          <w:iCs/>
        </w:rPr>
        <w:t>le</w:t>
      </w:r>
      <w:r w:rsidRPr="008A1884">
        <w:t xml:space="preserve"> sequence</w:t>
      </w:r>
      <w:r w:rsidRPr="008A1884">
        <w:rPr>
          <w:rFonts w:eastAsia="Times New Roman" w:cs="Times New Roman"/>
          <w:lang w:val="en-US"/>
        </w:rPr>
        <w:t xml:space="preserve"> (358nt) </w:t>
      </w:r>
      <w:r w:rsidR="000F44B1" w:rsidRPr="008A1884">
        <w:rPr>
          <w:rFonts w:eastAsia="Times New Roman" w:cs="Times New Roman"/>
          <w:lang w:val="en-US"/>
        </w:rPr>
        <w:t xml:space="preserve">suggesting </w:t>
      </w:r>
      <w:r w:rsidRPr="008A1884">
        <w:t xml:space="preserve">auto-cleavage by both </w:t>
      </w:r>
      <w:proofErr w:type="spellStart"/>
      <w:r w:rsidRPr="008A1884">
        <w:t>HHz</w:t>
      </w:r>
      <w:proofErr w:type="spellEnd"/>
      <w:r w:rsidRPr="008A1884">
        <w:t xml:space="preserve"> and </w:t>
      </w:r>
      <w:proofErr w:type="spellStart"/>
      <w:r w:rsidRPr="008A1884">
        <w:t>HDz</w:t>
      </w:r>
      <w:proofErr w:type="spellEnd"/>
      <w:r w:rsidRPr="008A1884">
        <w:t xml:space="preserve"> ribozymes. </w:t>
      </w:r>
      <w:r w:rsidR="002E3E37" w:rsidRPr="008A1884">
        <w:t xml:space="preserve">Putative </w:t>
      </w:r>
      <w:r w:rsidRPr="008A1884">
        <w:t xml:space="preserve">bands comprising </w:t>
      </w:r>
      <w:proofErr w:type="spellStart"/>
      <w:r w:rsidRPr="008A1884">
        <w:t>HHz</w:t>
      </w:r>
      <w:proofErr w:type="spellEnd"/>
      <w:r w:rsidRPr="008A1884">
        <w:t xml:space="preserve"> – </w:t>
      </w:r>
      <w:r w:rsidR="00ED4762" w:rsidRPr="008A1884">
        <w:rPr>
          <w:iCs/>
        </w:rPr>
        <w:t>tr</w:t>
      </w:r>
      <w:r w:rsidR="00ED4762" w:rsidRPr="008A1884">
        <w:t xml:space="preserve"> </w:t>
      </w:r>
      <w:r w:rsidRPr="008A1884">
        <w:t xml:space="preserve">– MCS – </w:t>
      </w:r>
      <w:r w:rsidR="00ED4762" w:rsidRPr="008A1884">
        <w:rPr>
          <w:iCs/>
        </w:rPr>
        <w:t>le</w:t>
      </w:r>
      <w:r w:rsidR="00ED4762" w:rsidRPr="008A1884">
        <w:t xml:space="preserve"> </w:t>
      </w:r>
      <w:r w:rsidRPr="008A1884">
        <w:t xml:space="preserve">(412nt) and </w:t>
      </w:r>
      <w:proofErr w:type="spellStart"/>
      <w:r w:rsidRPr="008A1884">
        <w:t>HDz</w:t>
      </w:r>
      <w:proofErr w:type="spellEnd"/>
      <w:r w:rsidRPr="008A1884">
        <w:t xml:space="preserve"> – T7 (233nt) terminator were also seen.</w:t>
      </w:r>
    </w:p>
    <w:p w:rsidR="00263B20" w:rsidRPr="008A1884" w:rsidRDefault="00263B20" w:rsidP="00ED2803">
      <w:pPr>
        <w:pStyle w:val="Caption"/>
        <w:spacing w:after="360" w:line="480" w:lineRule="auto"/>
        <w:rPr>
          <w:rFonts w:eastAsia="Times New Roman"/>
        </w:rPr>
      </w:pPr>
      <w:r w:rsidRPr="008A1884">
        <w:rPr>
          <w:b/>
          <w:bCs w:val="0"/>
        </w:rPr>
        <w:t xml:space="preserve">Fig </w:t>
      </w:r>
      <w:r w:rsidRPr="008A1884">
        <w:rPr>
          <w:b/>
          <w:bCs w:val="0"/>
          <w:noProof/>
        </w:rPr>
        <w:fldChar w:fldCharType="begin"/>
      </w:r>
      <w:r w:rsidRPr="008A1884">
        <w:rPr>
          <w:b/>
          <w:bCs w:val="0"/>
          <w:noProof/>
        </w:rPr>
        <w:instrText xml:space="preserve"> SEQ Figure \* ARABIC </w:instrText>
      </w:r>
      <w:r w:rsidRPr="008A1884">
        <w:rPr>
          <w:b/>
          <w:bCs w:val="0"/>
          <w:noProof/>
        </w:rPr>
        <w:fldChar w:fldCharType="separate"/>
      </w:r>
      <w:r w:rsidRPr="008A1884">
        <w:rPr>
          <w:b/>
          <w:bCs w:val="0"/>
          <w:noProof/>
        </w:rPr>
        <w:t>2</w:t>
      </w:r>
      <w:r w:rsidRPr="008A1884">
        <w:rPr>
          <w:b/>
          <w:bCs w:val="0"/>
          <w:noProof/>
        </w:rPr>
        <w:fldChar w:fldCharType="end"/>
      </w:r>
      <w:r w:rsidRPr="008A1884">
        <w:rPr>
          <w:b/>
          <w:bCs w:val="0"/>
        </w:rPr>
        <w:t>. Testing ribozyme auto-cleavage in the LNYV minigenome cassette.</w:t>
      </w:r>
      <w:r w:rsidRPr="008A1884">
        <w:t xml:space="preserve"> (</w:t>
      </w:r>
      <w:r w:rsidRPr="008A1884">
        <w:rPr>
          <w:b/>
          <w:bCs w:val="0"/>
        </w:rPr>
        <w:t>A</w:t>
      </w:r>
      <w:r w:rsidRPr="008A1884">
        <w:t xml:space="preserve">) Diagram of construct used in T7 </w:t>
      </w:r>
      <w:r w:rsidRPr="008A1884">
        <w:rPr>
          <w:i/>
        </w:rPr>
        <w:t>in vitro</w:t>
      </w:r>
      <w:r w:rsidRPr="008A1884">
        <w:t xml:space="preserve"> RNA transcription showing the LNYV minigenome cassette t</w:t>
      </w:r>
      <w:r w:rsidR="00745A67" w:rsidRPr="008A1884">
        <w:t>r</w:t>
      </w:r>
      <w:r w:rsidRPr="008A1884">
        <w:rPr>
          <w:i/>
        </w:rPr>
        <w:t xml:space="preserve"> </w:t>
      </w:r>
      <w:r w:rsidRPr="008A1884">
        <w:t xml:space="preserve">– MSC - </w:t>
      </w:r>
      <w:r w:rsidR="00745A67" w:rsidRPr="008A1884">
        <w:rPr>
          <w:iCs/>
        </w:rPr>
        <w:t>l</w:t>
      </w:r>
      <w:r w:rsidRPr="008A1884">
        <w:rPr>
          <w:iCs/>
        </w:rPr>
        <w:t>e</w:t>
      </w:r>
      <w:r w:rsidRPr="008A1884">
        <w:rPr>
          <w:i/>
        </w:rPr>
        <w:t xml:space="preserve"> </w:t>
      </w:r>
      <w:r w:rsidRPr="008A1884">
        <w:t xml:space="preserve">flanked by hammerhead and hepatitis delta ribozymes for generating exact viral termini by auto-cleavage. The minigenome cassette is flanked by the T7 promoter and terminator for </w:t>
      </w:r>
      <w:r w:rsidRPr="008A1884">
        <w:rPr>
          <w:i/>
        </w:rPr>
        <w:t>in vitro</w:t>
      </w:r>
      <w:r w:rsidRPr="008A1884">
        <w:t xml:space="preserve"> transcription. (</w:t>
      </w:r>
      <w:r w:rsidRPr="008A1884">
        <w:rPr>
          <w:b/>
          <w:bCs w:val="0"/>
        </w:rPr>
        <w:t>B</w:t>
      </w:r>
      <w:r w:rsidRPr="008A1884">
        <w:t xml:space="preserve">) </w:t>
      </w:r>
      <w:r w:rsidR="00A615DE" w:rsidRPr="008A1884">
        <w:t xml:space="preserve">RNA sequence of </w:t>
      </w:r>
      <w:proofErr w:type="spellStart"/>
      <w:r w:rsidR="00A615DE" w:rsidRPr="008A1884">
        <w:t>HHz</w:t>
      </w:r>
      <w:proofErr w:type="spellEnd"/>
      <w:r w:rsidR="00A615DE" w:rsidRPr="008A1884">
        <w:t xml:space="preserve"> and the 5’ end of tr used in </w:t>
      </w:r>
      <w:r w:rsidR="00454AA1" w:rsidRPr="008A1884">
        <w:t xml:space="preserve">the </w:t>
      </w:r>
      <w:r w:rsidR="00A615DE" w:rsidRPr="008A1884">
        <w:t>minigenome cassette.</w:t>
      </w:r>
      <w:r w:rsidR="00497975" w:rsidRPr="008A1884">
        <w:t xml:space="preserve"> The first 8 nucleotides of </w:t>
      </w:r>
      <w:proofErr w:type="spellStart"/>
      <w:r w:rsidR="00497975" w:rsidRPr="008A1884">
        <w:t>HHz</w:t>
      </w:r>
      <w:proofErr w:type="spellEnd"/>
      <w:r w:rsidR="00497975" w:rsidRPr="008A1884">
        <w:t xml:space="preserve"> were </w:t>
      </w:r>
      <w:r w:rsidR="00ED2803" w:rsidRPr="008A1884">
        <w:t>changed</w:t>
      </w:r>
      <w:r w:rsidR="00497975" w:rsidRPr="008A1884">
        <w:t xml:space="preserve"> to </w:t>
      </w:r>
      <w:r w:rsidR="00ED2803" w:rsidRPr="008A1884">
        <w:t>allow base-pairing with</w:t>
      </w:r>
      <w:r w:rsidR="00497975" w:rsidRPr="008A1884">
        <w:t xml:space="preserve"> the first 8 nucleotides of the tr sequence. </w:t>
      </w:r>
      <w:r w:rsidR="00A615DE" w:rsidRPr="008A1884">
        <w:t xml:space="preserve"> (</w:t>
      </w:r>
      <w:r w:rsidR="00A615DE" w:rsidRPr="008A1884">
        <w:rPr>
          <w:b/>
          <w:bCs w:val="0"/>
        </w:rPr>
        <w:t>C</w:t>
      </w:r>
      <w:r w:rsidR="00A615DE" w:rsidRPr="008A1884">
        <w:t xml:space="preserve">) </w:t>
      </w:r>
      <w:r w:rsidRPr="008A1884">
        <w:t xml:space="preserve">Agarose gel showing </w:t>
      </w:r>
      <w:r w:rsidR="00A615DE" w:rsidRPr="008A1884">
        <w:t xml:space="preserve">putative bands of </w:t>
      </w:r>
      <w:r w:rsidRPr="008A1884">
        <w:t>tr</w:t>
      </w:r>
      <w:r w:rsidRPr="008A1884">
        <w:rPr>
          <w:i/>
        </w:rPr>
        <w:t xml:space="preserve"> </w:t>
      </w:r>
      <w:r w:rsidRPr="008A1884">
        <w:t>– MCS - le</w:t>
      </w:r>
      <w:r w:rsidRPr="008A1884">
        <w:rPr>
          <w:i/>
        </w:rPr>
        <w:t xml:space="preserve"> </w:t>
      </w:r>
      <w:r w:rsidRPr="008A1884">
        <w:t xml:space="preserve">fragment </w:t>
      </w:r>
      <w:r w:rsidR="00A615DE" w:rsidRPr="008A1884">
        <w:t>(3</w:t>
      </w:r>
      <w:r w:rsidR="00181AB1">
        <w:t>58</w:t>
      </w:r>
      <w:bookmarkStart w:id="2" w:name="_GoBack"/>
      <w:bookmarkEnd w:id="2"/>
      <w:r w:rsidR="00A615DE" w:rsidRPr="008A1884">
        <w:t xml:space="preserve"> </w:t>
      </w:r>
      <w:proofErr w:type="spellStart"/>
      <w:r w:rsidR="00A615DE" w:rsidRPr="008A1884">
        <w:t>nt</w:t>
      </w:r>
      <w:proofErr w:type="spellEnd"/>
      <w:r w:rsidR="00A615DE" w:rsidRPr="008A1884">
        <w:t xml:space="preserve">), </w:t>
      </w:r>
      <w:proofErr w:type="spellStart"/>
      <w:r w:rsidRPr="008A1884">
        <w:t>HHz</w:t>
      </w:r>
      <w:proofErr w:type="spellEnd"/>
      <w:r w:rsidRPr="008A1884">
        <w:t xml:space="preserve"> - </w:t>
      </w:r>
      <w:r w:rsidRPr="008A1884">
        <w:rPr>
          <w:iCs/>
        </w:rPr>
        <w:t>tr</w:t>
      </w:r>
      <w:r w:rsidRPr="008A1884">
        <w:t xml:space="preserve"> – MCS - </w:t>
      </w:r>
      <w:r w:rsidRPr="008A1884">
        <w:rPr>
          <w:iCs/>
        </w:rPr>
        <w:t>le</w:t>
      </w:r>
      <w:r w:rsidRPr="008A1884">
        <w:t xml:space="preserve"> </w:t>
      </w:r>
      <w:r w:rsidR="00A615DE" w:rsidRPr="008A1884">
        <w:t xml:space="preserve">(412 </w:t>
      </w:r>
      <w:proofErr w:type="spellStart"/>
      <w:r w:rsidR="00A615DE" w:rsidRPr="008A1884">
        <w:t>nt</w:t>
      </w:r>
      <w:proofErr w:type="spellEnd"/>
      <w:r w:rsidR="00A615DE" w:rsidRPr="008A1884">
        <w:t xml:space="preserve">), </w:t>
      </w:r>
      <w:r w:rsidRPr="008A1884">
        <w:t xml:space="preserve">and </w:t>
      </w:r>
      <w:proofErr w:type="spellStart"/>
      <w:r w:rsidRPr="008A1884">
        <w:t>HDz</w:t>
      </w:r>
      <w:proofErr w:type="spellEnd"/>
      <w:r w:rsidRPr="008A1884">
        <w:t xml:space="preserve"> - T7T</w:t>
      </w:r>
      <w:r w:rsidR="00A615DE" w:rsidRPr="008A1884">
        <w:t xml:space="preserve"> (233 </w:t>
      </w:r>
      <w:proofErr w:type="spellStart"/>
      <w:r w:rsidR="00A615DE" w:rsidRPr="008A1884">
        <w:t>nt</w:t>
      </w:r>
      <w:proofErr w:type="spellEnd"/>
      <w:r w:rsidR="00A615DE" w:rsidRPr="008A1884">
        <w:t>)</w:t>
      </w:r>
      <w:r w:rsidRPr="008A1884">
        <w:t xml:space="preserve">. </w:t>
      </w:r>
      <w:r w:rsidR="00497975" w:rsidRPr="008A1884">
        <w:t>(</w:t>
      </w:r>
      <w:r w:rsidR="00497975" w:rsidRPr="008A1884">
        <w:rPr>
          <w:b/>
          <w:bCs w:val="0"/>
        </w:rPr>
        <w:t>D</w:t>
      </w:r>
      <w:r w:rsidR="00497975" w:rsidRPr="008A1884">
        <w:t xml:space="preserve">) </w:t>
      </w:r>
      <w:r w:rsidR="00F229E4" w:rsidRPr="008A1884">
        <w:t xml:space="preserve">The expected secondary structure of the </w:t>
      </w:r>
      <w:proofErr w:type="spellStart"/>
      <w:r w:rsidR="00F229E4" w:rsidRPr="008A1884">
        <w:t>HHz</w:t>
      </w:r>
      <w:proofErr w:type="spellEnd"/>
      <w:r w:rsidR="00F229E4" w:rsidRPr="008A1884">
        <w:t xml:space="preserve"> with its first 8 nucleotides complimenting those of the tr sequence </w:t>
      </w:r>
      <w:r w:rsidR="00ED2803" w:rsidRPr="008A1884">
        <w:t>plus</w:t>
      </w:r>
      <w:r w:rsidR="00F229E4" w:rsidRPr="008A1884">
        <w:t xml:space="preserve"> the putative cleavage site (18). </w:t>
      </w:r>
    </w:p>
    <w:p w:rsidR="00263B20" w:rsidRPr="008A1884" w:rsidRDefault="00263B20" w:rsidP="00ED2803">
      <w:pPr>
        <w:spacing w:after="0"/>
        <w:rPr>
          <w:rFonts w:eastAsia="Times New Roman" w:cs="Times New Roman"/>
          <w:lang w:val="en-US"/>
        </w:rPr>
      </w:pPr>
      <w:r w:rsidRPr="008A1884">
        <w:rPr>
          <w:rFonts w:eastAsia="Times New Roman" w:cs="Times New Roman"/>
          <w:lang w:val="en-US"/>
        </w:rPr>
        <w:t xml:space="preserve">We next sought to test the LNYV MG cassette </w:t>
      </w:r>
      <w:r w:rsidRPr="008A1884">
        <w:rPr>
          <w:rFonts w:eastAsia="Times New Roman" w:cs="Times New Roman"/>
          <w:i/>
          <w:lang w:val="en-US"/>
        </w:rPr>
        <w:t>in planta</w:t>
      </w:r>
      <w:r w:rsidRPr="008A1884">
        <w:rPr>
          <w:rFonts w:eastAsia="Times New Roman" w:cs="Times New Roman"/>
          <w:lang w:val="en-US"/>
        </w:rPr>
        <w:t xml:space="preserve"> to assess the interaction between LNYV </w:t>
      </w:r>
      <w:r w:rsidRPr="008A1884">
        <w:rPr>
          <w:rFonts w:eastAsia="Times New Roman" w:cs="Times New Roman"/>
          <w:i/>
          <w:lang w:val="en-US"/>
        </w:rPr>
        <w:t>cis</w:t>
      </w:r>
      <w:r w:rsidRPr="008A1884">
        <w:rPr>
          <w:rFonts w:eastAsia="Times New Roman" w:cs="Times New Roman"/>
          <w:lang w:val="en-US"/>
        </w:rPr>
        <w:t xml:space="preserve">- and </w:t>
      </w:r>
      <w:r w:rsidRPr="008A1884">
        <w:rPr>
          <w:rFonts w:eastAsia="Times New Roman" w:cs="Times New Roman"/>
          <w:i/>
          <w:lang w:val="en-US"/>
        </w:rPr>
        <w:t>trans</w:t>
      </w:r>
      <w:r w:rsidRPr="008A1884">
        <w:rPr>
          <w:rFonts w:eastAsia="Times New Roman" w:cs="Times New Roman"/>
          <w:lang w:val="en-US"/>
        </w:rPr>
        <w:t>- acting elements</w:t>
      </w:r>
      <w:r w:rsidRPr="008A1884">
        <w:rPr>
          <w:rFonts w:eastAsia="Times New Roman" w:cs="Times New Roman"/>
          <w:i/>
          <w:lang w:val="en-US"/>
        </w:rPr>
        <w:t>.</w:t>
      </w:r>
      <w:r w:rsidRPr="008A1884">
        <w:rPr>
          <w:rFonts w:eastAsia="Times New Roman" w:cs="Times New Roman"/>
          <w:lang w:val="en-US"/>
        </w:rPr>
        <w:t xml:space="preserve"> We substituted the MG MCS with the </w:t>
      </w:r>
      <w:proofErr w:type="spellStart"/>
      <w:r w:rsidRPr="008A1884">
        <w:rPr>
          <w:rFonts w:eastAsia="Times New Roman" w:cs="Times New Roman"/>
          <w:lang w:val="en-US"/>
        </w:rPr>
        <w:t>DsRed</w:t>
      </w:r>
      <w:proofErr w:type="spellEnd"/>
      <w:r w:rsidRPr="008A1884">
        <w:rPr>
          <w:rFonts w:eastAsia="Times New Roman" w:cs="Times New Roman"/>
          <w:lang w:val="en-US"/>
        </w:rPr>
        <w:t xml:space="preserve"> gene ORF, cloned in the negative-sense with a plastid targeting sequence at the N – terminus. </w:t>
      </w:r>
      <w:r w:rsidRPr="008A1884">
        <w:t xml:space="preserve">The plastid targeting sequence was employed to minimize metabolic burden on the endoplasmic reticulum </w:t>
      </w:r>
      <w:r w:rsidRPr="008A1884">
        <w:rPr>
          <w:noProof/>
        </w:rPr>
        <w:t>(36)</w:t>
      </w:r>
      <w:r w:rsidRPr="008A1884">
        <w:t>.</w:t>
      </w:r>
      <w:r w:rsidRPr="008A1884">
        <w:rPr>
          <w:rFonts w:eastAsia="Times New Roman" w:cs="Times New Roman"/>
          <w:lang w:val="en-US"/>
        </w:rPr>
        <w:t xml:space="preserve"> The coding region was cloned between </w:t>
      </w:r>
      <w:r w:rsidR="007524BF" w:rsidRPr="008A1884">
        <w:rPr>
          <w:rFonts w:eastAsia="Times New Roman" w:cs="Times New Roman"/>
          <w:lang w:val="en-US"/>
        </w:rPr>
        <w:t xml:space="preserve">LNYV L gene </w:t>
      </w:r>
      <w:r w:rsidRPr="008A1884">
        <w:rPr>
          <w:rFonts w:eastAsia="Times New Roman" w:cs="Times New Roman"/>
          <w:lang w:val="en-US"/>
        </w:rPr>
        <w:t xml:space="preserve">3’ </w:t>
      </w:r>
      <w:r w:rsidR="007524BF" w:rsidRPr="008A1884">
        <w:rPr>
          <w:rFonts w:eastAsia="Times New Roman" w:cs="Times New Roman"/>
          <w:lang w:val="en-US"/>
        </w:rPr>
        <w:t xml:space="preserve">UTR (extending between 12,564 </w:t>
      </w:r>
      <w:r w:rsidR="007524BF" w:rsidRPr="008A1884">
        <w:rPr>
          <w:rFonts w:eastAsia="Times New Roman" w:cs="Times New Roman"/>
          <w:lang w:val="en-US"/>
        </w:rPr>
        <w:lastRenderedPageBreak/>
        <w:t xml:space="preserve">and 12,613nt of LNYV genome accession number AJ867584) </w:t>
      </w:r>
      <w:r w:rsidRPr="008A1884">
        <w:rPr>
          <w:rFonts w:eastAsia="Times New Roman" w:cs="Times New Roman"/>
          <w:lang w:val="en-US"/>
        </w:rPr>
        <w:t xml:space="preserve">and </w:t>
      </w:r>
      <w:r w:rsidR="007524BF" w:rsidRPr="008A1884">
        <w:rPr>
          <w:rFonts w:eastAsia="Times New Roman" w:cs="Times New Roman"/>
          <w:lang w:val="en-US"/>
        </w:rPr>
        <w:t xml:space="preserve">N gene </w:t>
      </w:r>
      <w:r w:rsidRPr="008A1884">
        <w:rPr>
          <w:rFonts w:eastAsia="Times New Roman" w:cs="Times New Roman"/>
          <w:lang w:val="en-US"/>
        </w:rPr>
        <w:t xml:space="preserve">5’ UTRs </w:t>
      </w:r>
      <w:r w:rsidR="007524BF" w:rsidRPr="008A1884">
        <w:rPr>
          <w:rFonts w:eastAsia="Times New Roman" w:cs="Times New Roman"/>
          <w:lang w:val="en-US"/>
        </w:rPr>
        <w:t>(extending between 92 and 168nt)</w:t>
      </w:r>
      <w:r w:rsidRPr="008A1884">
        <w:rPr>
          <w:rFonts w:eastAsia="Times New Roman" w:cs="Times New Roman"/>
          <w:lang w:val="en-US"/>
        </w:rPr>
        <w:t xml:space="preserve">. The construct was cloned into the pTRAk.2 plant expression plasmid (Fig. 3A) under the control of the cauliflower mosaic virus 35S double promoter </w:t>
      </w:r>
      <w:r w:rsidRPr="008A1884">
        <w:t xml:space="preserve">for transient expression in </w:t>
      </w:r>
      <w:r w:rsidRPr="008A1884">
        <w:rPr>
          <w:i/>
        </w:rPr>
        <w:t xml:space="preserve">Nicotiana </w:t>
      </w:r>
      <w:r w:rsidRPr="008A1884">
        <w:rPr>
          <w:noProof/>
        </w:rPr>
        <w:t>(37)</w:t>
      </w:r>
      <w:r w:rsidRPr="008A1884">
        <w:rPr>
          <w:rFonts w:eastAsia="Times New Roman" w:cs="Times New Roman"/>
          <w:lang w:val="en-US"/>
        </w:rPr>
        <w:t xml:space="preserve">.  N, P and int-L genes were cloned in separate plasmids. </w:t>
      </w:r>
    </w:p>
    <w:p w:rsidR="00263B20" w:rsidRPr="008A1884" w:rsidRDefault="00263B20" w:rsidP="00ED2803">
      <w:pPr>
        <w:spacing w:after="0"/>
      </w:pPr>
      <w:r w:rsidRPr="008A1884">
        <w:rPr>
          <w:i/>
        </w:rPr>
        <w:t xml:space="preserve">N. </w:t>
      </w:r>
      <w:proofErr w:type="spellStart"/>
      <w:r w:rsidRPr="008A1884">
        <w:rPr>
          <w:i/>
        </w:rPr>
        <w:t>glutinosa</w:t>
      </w:r>
      <w:proofErr w:type="spellEnd"/>
      <w:r w:rsidRPr="008A1884">
        <w:t xml:space="preserve"> leaves were co-infiltrated with the MG cassette, N, P and int-L. 7 days post-infiltration, total RNA was extracted from co-infiltrated leaf samples and used as a template for RT-PCR using N, P, int-L, and </w:t>
      </w:r>
      <w:proofErr w:type="spellStart"/>
      <w:r w:rsidRPr="008A1884">
        <w:t>DsRed</w:t>
      </w:r>
      <w:proofErr w:type="spellEnd"/>
      <w:r w:rsidRPr="008A1884">
        <w:t xml:space="preserve"> gene-specific primers (sets </w:t>
      </w:r>
      <w:proofErr w:type="spellStart"/>
      <w:r w:rsidRPr="008A1884">
        <w:t>prRN</w:t>
      </w:r>
      <w:proofErr w:type="spellEnd"/>
      <w:r w:rsidRPr="008A1884">
        <w:t xml:space="preserve">, </w:t>
      </w:r>
      <w:proofErr w:type="spellStart"/>
      <w:r w:rsidRPr="008A1884">
        <w:t>prRP</w:t>
      </w:r>
      <w:proofErr w:type="spellEnd"/>
      <w:r w:rsidRPr="008A1884">
        <w:t xml:space="preserve">, </w:t>
      </w:r>
      <w:proofErr w:type="spellStart"/>
      <w:r w:rsidRPr="008A1884">
        <w:t>prRint</w:t>
      </w:r>
      <w:proofErr w:type="spellEnd"/>
      <w:r w:rsidRPr="008A1884">
        <w:t xml:space="preserve">-L and </w:t>
      </w:r>
      <w:proofErr w:type="spellStart"/>
      <w:r w:rsidRPr="008A1884">
        <w:t>prRR</w:t>
      </w:r>
      <w:proofErr w:type="spellEnd"/>
      <w:r w:rsidRPr="008A1884">
        <w:t xml:space="preserve"> respectively).  Transcription of </w:t>
      </w:r>
      <w:proofErr w:type="spellStart"/>
      <w:r w:rsidRPr="008A1884">
        <w:t>DsRed</w:t>
      </w:r>
      <w:proofErr w:type="spellEnd"/>
      <w:r w:rsidRPr="008A1884">
        <w:t>, N, P and L genes was confirmed by detection of bands of expected size (Fig. 3B). Two bands were detected for the int-L gene mRNA (lane int-L). The smaller-sized band is consistent with int-L mRNA having all introns spliced out (expected size 1,955 bp) whilst the larger band is consistent with the int-L gene pre-mRNA containing introns I and II (expected size 2,365 bp).</w:t>
      </w:r>
    </w:p>
    <w:p w:rsidR="00263B20" w:rsidRPr="008A1884" w:rsidRDefault="00263B20" w:rsidP="00ED2803">
      <w:pPr>
        <w:pStyle w:val="Caption"/>
        <w:spacing w:line="480" w:lineRule="auto"/>
      </w:pPr>
      <w:r w:rsidRPr="008A1884">
        <w:rPr>
          <w:b/>
          <w:bCs w:val="0"/>
        </w:rPr>
        <w:t xml:space="preserve">Fig </w:t>
      </w:r>
      <w:r w:rsidRPr="008A1884">
        <w:rPr>
          <w:b/>
          <w:bCs w:val="0"/>
          <w:noProof/>
        </w:rPr>
        <w:fldChar w:fldCharType="begin"/>
      </w:r>
      <w:r w:rsidRPr="008A1884">
        <w:rPr>
          <w:b/>
          <w:bCs w:val="0"/>
          <w:noProof/>
        </w:rPr>
        <w:instrText xml:space="preserve"> SEQ Figure \* ARABIC </w:instrText>
      </w:r>
      <w:r w:rsidRPr="008A1884">
        <w:rPr>
          <w:b/>
          <w:bCs w:val="0"/>
          <w:noProof/>
        </w:rPr>
        <w:fldChar w:fldCharType="separate"/>
      </w:r>
      <w:r w:rsidRPr="008A1884">
        <w:rPr>
          <w:b/>
          <w:bCs w:val="0"/>
          <w:noProof/>
        </w:rPr>
        <w:t>3</w:t>
      </w:r>
      <w:r w:rsidRPr="008A1884">
        <w:rPr>
          <w:b/>
          <w:bCs w:val="0"/>
          <w:noProof/>
        </w:rPr>
        <w:fldChar w:fldCharType="end"/>
      </w:r>
      <w:r w:rsidRPr="008A1884">
        <w:rPr>
          <w:b/>
          <w:bCs w:val="0"/>
        </w:rPr>
        <w:t xml:space="preserve">. Genome organization of LNYV minigenome cassette together with the N, P, and int-L gene used to develop reverse genetics for LNYV in </w:t>
      </w:r>
      <w:r w:rsidRPr="008A1884">
        <w:rPr>
          <w:b/>
          <w:bCs w:val="0"/>
          <w:i/>
        </w:rPr>
        <w:t>Nicotiana</w:t>
      </w:r>
      <w:r w:rsidRPr="008A1884">
        <w:rPr>
          <w:b/>
          <w:bCs w:val="0"/>
        </w:rPr>
        <w:t>.</w:t>
      </w:r>
      <w:r w:rsidRPr="008A1884">
        <w:t xml:space="preserve"> (</w:t>
      </w:r>
      <w:r w:rsidRPr="008A1884">
        <w:rPr>
          <w:b/>
          <w:bCs w:val="0"/>
        </w:rPr>
        <w:t>A</w:t>
      </w:r>
      <w:r w:rsidRPr="008A1884">
        <w:t xml:space="preserve">) Diagram of LNYV minigenome construct used </w:t>
      </w:r>
      <w:r w:rsidRPr="008A1884">
        <w:rPr>
          <w:i/>
        </w:rPr>
        <w:t>in planta</w:t>
      </w:r>
      <w:r w:rsidRPr="008A1884">
        <w:t xml:space="preserve"> together with the N, P, and int-L genes. All genes were flanked by cauliflower mosaic virus 35S double promoter and transcription polyadenylation signal (35SP and 35ST respectively) for in planta expression. The minigenome cassette constituted of (tr): LNYV trailer, 3'UTR: LNYV L gene 3' untranslated region, </w:t>
      </w:r>
      <w:proofErr w:type="spellStart"/>
      <w:r w:rsidRPr="008A1884">
        <w:t>DsRed</w:t>
      </w:r>
      <w:proofErr w:type="spellEnd"/>
      <w:r w:rsidRPr="008A1884">
        <w:t xml:space="preserve">: </w:t>
      </w:r>
      <w:proofErr w:type="spellStart"/>
      <w:r w:rsidRPr="008A1884">
        <w:t>DsRed</w:t>
      </w:r>
      <w:proofErr w:type="spellEnd"/>
      <w:r w:rsidRPr="008A1884">
        <w:t xml:space="preserve"> gene ORF with plastid targeting signal (PTS) at N-terminus, 5'UTR: LNYV N gene 5’ untranslated region cloned between hammerhead and hepatitis delta ribozymes (</w:t>
      </w:r>
      <w:proofErr w:type="spellStart"/>
      <w:r w:rsidRPr="008A1884">
        <w:t>HHz</w:t>
      </w:r>
      <w:proofErr w:type="spellEnd"/>
      <w:r w:rsidRPr="008A1884">
        <w:t xml:space="preserve"> and </w:t>
      </w:r>
      <w:proofErr w:type="spellStart"/>
      <w:r w:rsidRPr="008A1884">
        <w:t>HDz</w:t>
      </w:r>
      <w:proofErr w:type="spellEnd"/>
      <w:r w:rsidRPr="008A1884">
        <w:t xml:space="preserve"> respectively). (</w:t>
      </w:r>
      <w:r w:rsidRPr="008A1884">
        <w:rPr>
          <w:b/>
          <w:bCs w:val="0"/>
        </w:rPr>
        <w:t>B</w:t>
      </w:r>
      <w:r w:rsidRPr="008A1884">
        <w:t>) Agarose gels ag-N, ag-P, ag-</w:t>
      </w:r>
      <w:proofErr w:type="spellStart"/>
      <w:r w:rsidRPr="008A1884">
        <w:t>MGdsRed</w:t>
      </w:r>
      <w:proofErr w:type="spellEnd"/>
      <w:r w:rsidRPr="008A1884">
        <w:t xml:space="preserve">, and ag-int-L showing the expected RT-PCR bands for N gene (889 bp), P gene (1,319 bp), </w:t>
      </w:r>
      <w:proofErr w:type="spellStart"/>
      <w:r w:rsidRPr="008A1884">
        <w:t>DsRed</w:t>
      </w:r>
      <w:proofErr w:type="spellEnd"/>
      <w:r w:rsidRPr="008A1884">
        <w:t xml:space="preserve"> (761 bp), and int-L genes (1,955 bp) respectively. </w:t>
      </w:r>
    </w:p>
    <w:p w:rsidR="00263B20" w:rsidRPr="008A1884" w:rsidRDefault="00263B20" w:rsidP="00ED2803">
      <w:r w:rsidRPr="008A1884">
        <w:t xml:space="preserve">Plant samples were subsequently assayed for </w:t>
      </w:r>
      <w:proofErr w:type="spellStart"/>
      <w:r w:rsidRPr="008A1884">
        <w:t>DsRed</w:t>
      </w:r>
      <w:proofErr w:type="spellEnd"/>
      <w:r w:rsidRPr="008A1884">
        <w:t xml:space="preserve"> expression. Chlorophyll autofluorescence complicated detection of </w:t>
      </w:r>
      <w:proofErr w:type="spellStart"/>
      <w:r w:rsidRPr="008A1884">
        <w:t>DsRed</w:t>
      </w:r>
      <w:proofErr w:type="spellEnd"/>
      <w:r w:rsidRPr="008A1884">
        <w:t xml:space="preserve"> fluorescence, so western blotting with specific antiserum was used to confirm the expression of </w:t>
      </w:r>
      <w:proofErr w:type="spellStart"/>
      <w:r w:rsidRPr="008A1884">
        <w:t>DsRed</w:t>
      </w:r>
      <w:proofErr w:type="spellEnd"/>
      <w:r w:rsidRPr="008A1884">
        <w:t xml:space="preserve"> protein (33.5 </w:t>
      </w:r>
      <w:proofErr w:type="spellStart"/>
      <w:r w:rsidRPr="008A1884">
        <w:t>kDa</w:t>
      </w:r>
      <w:proofErr w:type="spellEnd"/>
      <w:r w:rsidRPr="008A1884">
        <w:t xml:space="preserve">, Fig. 4A).  This was observed in </w:t>
      </w:r>
      <w:r w:rsidRPr="008A1884">
        <w:rPr>
          <w:i/>
        </w:rPr>
        <w:t xml:space="preserve">N. </w:t>
      </w:r>
      <w:proofErr w:type="spellStart"/>
      <w:r w:rsidRPr="008A1884">
        <w:rPr>
          <w:i/>
        </w:rPr>
        <w:lastRenderedPageBreak/>
        <w:t>glutinosa</w:t>
      </w:r>
      <w:proofErr w:type="spellEnd"/>
      <w:r w:rsidRPr="008A1884">
        <w:t xml:space="preserve"> infiltrated with MG cassette, N, P and int-L plasmids (lane </w:t>
      </w:r>
      <w:proofErr w:type="spellStart"/>
      <w:r w:rsidRPr="008A1884">
        <w:t>MG+NPint-L</w:t>
      </w:r>
      <w:proofErr w:type="spellEnd"/>
      <w:r w:rsidRPr="008A1884">
        <w:t xml:space="preserve">) only.  As shown in Fig. 4A, no bands of </w:t>
      </w:r>
      <w:proofErr w:type="spellStart"/>
      <w:r w:rsidRPr="008A1884">
        <w:t>DsRed</w:t>
      </w:r>
      <w:proofErr w:type="spellEnd"/>
      <w:r w:rsidRPr="008A1884">
        <w:t xml:space="preserve"> protein could be seen in </w:t>
      </w:r>
      <w:r w:rsidRPr="008A1884">
        <w:rPr>
          <w:i/>
        </w:rPr>
        <w:t xml:space="preserve">N. </w:t>
      </w:r>
      <w:proofErr w:type="spellStart"/>
      <w:r w:rsidRPr="008A1884">
        <w:rPr>
          <w:i/>
        </w:rPr>
        <w:t>glutinosa</w:t>
      </w:r>
      <w:proofErr w:type="spellEnd"/>
      <w:r w:rsidRPr="008A1884">
        <w:t xml:space="preserve"> sample infiltrated with the MG cassette without helper plasmids (lane MG), samples infiltrated with individual helper plasmids without the MG cassette (lanes N, P, and int-L respectively) or in non-infiltrated </w:t>
      </w:r>
      <w:r w:rsidRPr="008A1884">
        <w:rPr>
          <w:i/>
        </w:rPr>
        <w:t xml:space="preserve">N. </w:t>
      </w:r>
      <w:proofErr w:type="spellStart"/>
      <w:r w:rsidRPr="008A1884">
        <w:rPr>
          <w:i/>
        </w:rPr>
        <w:t>glutinosa</w:t>
      </w:r>
      <w:proofErr w:type="spellEnd"/>
      <w:r w:rsidRPr="008A1884">
        <w:t xml:space="preserve"> sample (lane WT). Furthermore, </w:t>
      </w:r>
      <w:proofErr w:type="spellStart"/>
      <w:r w:rsidRPr="008A1884">
        <w:t>DsRed</w:t>
      </w:r>
      <w:proofErr w:type="spellEnd"/>
      <w:r w:rsidRPr="008A1884">
        <w:t xml:space="preserve"> protein band was observed in </w:t>
      </w:r>
      <w:r w:rsidRPr="008A1884">
        <w:rPr>
          <w:i/>
        </w:rPr>
        <w:t xml:space="preserve">N. </w:t>
      </w:r>
      <w:proofErr w:type="spellStart"/>
      <w:r w:rsidRPr="008A1884">
        <w:rPr>
          <w:i/>
        </w:rPr>
        <w:t>glutinosa</w:t>
      </w:r>
      <w:proofErr w:type="spellEnd"/>
      <w:r w:rsidRPr="008A1884">
        <w:t xml:space="preserve"> infiltrated with positive control construct (harbouring </w:t>
      </w:r>
      <w:proofErr w:type="spellStart"/>
      <w:r w:rsidRPr="008A1884">
        <w:t>DsRed</w:t>
      </w:r>
      <w:proofErr w:type="spellEnd"/>
      <w:r w:rsidRPr="008A1884">
        <w:t xml:space="preserve"> gene cloned in the positive-sense downstream CaMV35S promoter) (lane R) equivalent to that seen in lane (</w:t>
      </w:r>
      <w:proofErr w:type="spellStart"/>
      <w:r w:rsidRPr="008A1884">
        <w:t>MG+NPint-L</w:t>
      </w:r>
      <w:proofErr w:type="spellEnd"/>
      <w:r w:rsidRPr="008A1884">
        <w:t>).</w:t>
      </w:r>
    </w:p>
    <w:p w:rsidR="00263B20" w:rsidRPr="008A1884" w:rsidRDefault="00263B20" w:rsidP="00ED2803">
      <w:pPr>
        <w:pStyle w:val="Caption"/>
        <w:spacing w:line="480" w:lineRule="auto"/>
      </w:pPr>
      <w:r w:rsidRPr="008A1884">
        <w:rPr>
          <w:b/>
          <w:bCs w:val="0"/>
        </w:rPr>
        <w:t xml:space="preserve">Fig 4. Detection of </w:t>
      </w:r>
      <w:proofErr w:type="spellStart"/>
      <w:r w:rsidRPr="008A1884">
        <w:rPr>
          <w:b/>
          <w:bCs w:val="0"/>
        </w:rPr>
        <w:t>DsRed</w:t>
      </w:r>
      <w:proofErr w:type="spellEnd"/>
      <w:r w:rsidRPr="008A1884">
        <w:rPr>
          <w:b/>
          <w:bCs w:val="0"/>
        </w:rPr>
        <w:t xml:space="preserve"> in agroinfiltrated </w:t>
      </w:r>
      <w:r w:rsidRPr="008A1884">
        <w:rPr>
          <w:b/>
          <w:bCs w:val="0"/>
          <w:i/>
        </w:rPr>
        <w:t>Nicotiana.</w:t>
      </w:r>
      <w:r w:rsidRPr="008A1884">
        <w:t xml:space="preserve">  (</w:t>
      </w:r>
      <w:r w:rsidRPr="008A1884">
        <w:rPr>
          <w:b/>
          <w:bCs w:val="0"/>
        </w:rPr>
        <w:t>A</w:t>
      </w:r>
      <w:r w:rsidRPr="008A1884">
        <w:t xml:space="preserve">) </w:t>
      </w:r>
      <w:proofErr w:type="spellStart"/>
      <w:r w:rsidRPr="008A1884">
        <w:t>DsRed</w:t>
      </w:r>
      <w:proofErr w:type="spellEnd"/>
      <w:r w:rsidRPr="008A1884">
        <w:t xml:space="preserve"> protein detection using western blot in </w:t>
      </w:r>
      <w:proofErr w:type="spellStart"/>
      <w:r w:rsidRPr="008A1884">
        <w:t>agro</w:t>
      </w:r>
      <w:proofErr w:type="spellEnd"/>
      <w:r w:rsidRPr="008A1884">
        <w:t xml:space="preserve">-infiltrated </w:t>
      </w:r>
      <w:r w:rsidRPr="008A1884">
        <w:rPr>
          <w:i/>
          <w:iCs/>
        </w:rPr>
        <w:t xml:space="preserve">N. </w:t>
      </w:r>
      <w:proofErr w:type="spellStart"/>
      <w:r w:rsidRPr="008A1884">
        <w:rPr>
          <w:i/>
          <w:iCs/>
        </w:rPr>
        <w:t>glutinosa</w:t>
      </w:r>
      <w:proofErr w:type="spellEnd"/>
      <w:r w:rsidRPr="008A1884">
        <w:t>. Infiltration was with MG cassette plus helper proteins (</w:t>
      </w:r>
      <w:proofErr w:type="spellStart"/>
      <w:r w:rsidRPr="008A1884">
        <w:t>MG+NPint-L</w:t>
      </w:r>
      <w:proofErr w:type="spellEnd"/>
      <w:r w:rsidRPr="008A1884">
        <w:t xml:space="preserve">), MG alone (MG), helper proteins alone (N), (P), (int-L) and the positive control (R). WT is wild type non-infiltrated </w:t>
      </w:r>
      <w:r w:rsidRPr="008A1884">
        <w:rPr>
          <w:i/>
          <w:iCs/>
        </w:rPr>
        <w:t xml:space="preserve">N. </w:t>
      </w:r>
      <w:proofErr w:type="spellStart"/>
      <w:r w:rsidRPr="008A1884">
        <w:rPr>
          <w:i/>
          <w:iCs/>
        </w:rPr>
        <w:t>glutinosa</w:t>
      </w:r>
      <w:proofErr w:type="spellEnd"/>
      <w:r w:rsidRPr="008A1884">
        <w:t>. Bands were detected in samples infiltrated with MG cassette plus helper proteins (</w:t>
      </w:r>
      <w:proofErr w:type="spellStart"/>
      <w:r w:rsidRPr="008A1884">
        <w:t>MG+NPint-L</w:t>
      </w:r>
      <w:proofErr w:type="spellEnd"/>
      <w:r w:rsidRPr="008A1884">
        <w:t>) and in positive control (R). (</w:t>
      </w:r>
      <w:r w:rsidRPr="008A1884">
        <w:rPr>
          <w:b/>
          <w:bCs w:val="0"/>
        </w:rPr>
        <w:t>B</w:t>
      </w:r>
      <w:r w:rsidRPr="008A1884">
        <w:t xml:space="preserve">) </w:t>
      </w:r>
      <w:proofErr w:type="spellStart"/>
      <w:r w:rsidRPr="008A1884">
        <w:t>DsRed</w:t>
      </w:r>
      <w:proofErr w:type="spellEnd"/>
      <w:r w:rsidRPr="008A1884">
        <w:t xml:space="preserve"> protein detection using western blot in </w:t>
      </w:r>
      <w:proofErr w:type="spellStart"/>
      <w:r w:rsidRPr="008A1884">
        <w:t>agro</w:t>
      </w:r>
      <w:proofErr w:type="spellEnd"/>
      <w:r w:rsidRPr="008A1884">
        <w:t xml:space="preserve">-infiltrated </w:t>
      </w:r>
      <w:r w:rsidRPr="008A1884">
        <w:rPr>
          <w:i/>
        </w:rPr>
        <w:t xml:space="preserve">N. </w:t>
      </w:r>
      <w:proofErr w:type="spellStart"/>
      <w:r w:rsidRPr="008A1884">
        <w:rPr>
          <w:i/>
        </w:rPr>
        <w:t>benthamiana</w:t>
      </w:r>
      <w:proofErr w:type="spellEnd"/>
      <w:r w:rsidRPr="008A1884">
        <w:t>, samples are as in (</w:t>
      </w:r>
      <w:r w:rsidRPr="008A1884">
        <w:rPr>
          <w:b/>
          <w:bCs w:val="0"/>
        </w:rPr>
        <w:t>A</w:t>
      </w:r>
      <w:r w:rsidRPr="008A1884">
        <w:t>) but with an additional negative control (</w:t>
      </w:r>
      <w:proofErr w:type="spellStart"/>
      <w:r w:rsidRPr="008A1884">
        <w:t>NPintL</w:t>
      </w:r>
      <w:proofErr w:type="spellEnd"/>
      <w:r w:rsidRPr="008A1884">
        <w:t xml:space="preserve">) consisting of infiltration of all helper proteins. </w:t>
      </w:r>
    </w:p>
    <w:p w:rsidR="00263B20" w:rsidRPr="008A1884" w:rsidRDefault="00263B20" w:rsidP="00ED2803">
      <w:pPr>
        <w:spacing w:after="0"/>
      </w:pPr>
      <w:r w:rsidRPr="008A1884">
        <w:t xml:space="preserve">Similarly, western blotting of crude </w:t>
      </w:r>
      <w:r w:rsidRPr="008A1884">
        <w:rPr>
          <w:i/>
        </w:rPr>
        <w:t xml:space="preserve">N. </w:t>
      </w:r>
      <w:proofErr w:type="spellStart"/>
      <w:r w:rsidRPr="008A1884">
        <w:rPr>
          <w:i/>
        </w:rPr>
        <w:t>benthamiana</w:t>
      </w:r>
      <w:proofErr w:type="spellEnd"/>
      <w:r w:rsidRPr="008A1884">
        <w:t xml:space="preserve"> extract samples confirmed the presence of </w:t>
      </w:r>
      <w:proofErr w:type="spellStart"/>
      <w:r w:rsidRPr="008A1884">
        <w:t>DsRed</w:t>
      </w:r>
      <w:proofErr w:type="spellEnd"/>
      <w:r w:rsidRPr="008A1884">
        <w:t xml:space="preserve"> protein in samples infiltrated with MG cassette, N, P and int-L plasmids</w:t>
      </w:r>
      <w:r w:rsidRPr="008A1884" w:rsidDel="00802496">
        <w:t xml:space="preserve"> </w:t>
      </w:r>
      <w:r w:rsidRPr="008A1884">
        <w:t xml:space="preserve">(Fig. 4B, lane </w:t>
      </w:r>
      <w:proofErr w:type="spellStart"/>
      <w:r w:rsidRPr="008A1884">
        <w:t>mrR+NPint-L</w:t>
      </w:r>
      <w:proofErr w:type="spellEnd"/>
      <w:r w:rsidRPr="008A1884">
        <w:t xml:space="preserve">) and in the positive control (lane R). No bands were seen in </w:t>
      </w:r>
      <w:r w:rsidRPr="008A1884">
        <w:rPr>
          <w:i/>
        </w:rPr>
        <w:t xml:space="preserve">N. </w:t>
      </w:r>
      <w:proofErr w:type="spellStart"/>
      <w:r w:rsidRPr="008A1884">
        <w:rPr>
          <w:i/>
        </w:rPr>
        <w:t>benthamiana</w:t>
      </w:r>
      <w:proofErr w:type="spellEnd"/>
      <w:r w:rsidRPr="008A1884">
        <w:t xml:space="preserve"> infiltrated with MG cassette only (lane MG), or in samples infiltrated with individual helper plasmids (lanes MG, N, P, and int-L respectively) or in non-infiltrated sample (lane WT). A further negative control consisting of sample infiltrated with all three helper plasmids but without MG was included here and did not produce </w:t>
      </w:r>
      <w:proofErr w:type="spellStart"/>
      <w:r w:rsidRPr="008A1884">
        <w:t>DsRed</w:t>
      </w:r>
      <w:proofErr w:type="spellEnd"/>
      <w:r w:rsidRPr="008A1884">
        <w:t xml:space="preserve"> expression (lanes </w:t>
      </w:r>
      <w:proofErr w:type="spellStart"/>
      <w:r w:rsidRPr="008A1884">
        <w:t>NPint</w:t>
      </w:r>
      <w:proofErr w:type="spellEnd"/>
      <w:r w:rsidRPr="008A1884">
        <w:t xml:space="preserve">-L). </w:t>
      </w:r>
    </w:p>
    <w:p w:rsidR="00263B20" w:rsidRPr="008A1884" w:rsidRDefault="00263B20" w:rsidP="00ED2803">
      <w:pPr>
        <w:pStyle w:val="Heading1"/>
      </w:pPr>
      <w:r w:rsidRPr="008A1884">
        <w:t>Discussion</w:t>
      </w:r>
    </w:p>
    <w:p w:rsidR="00263B20" w:rsidRPr="008A1884" w:rsidRDefault="00263B20" w:rsidP="00ED2803">
      <w:r w:rsidRPr="008A1884">
        <w:lastRenderedPageBreak/>
        <w:t xml:space="preserve">In the present study, we have investigated the feasibility of a reverse genetic system for LNYV based on a negative-sense MG cassette. The MG-derived </w:t>
      </w:r>
      <w:proofErr w:type="spellStart"/>
      <w:r w:rsidRPr="008A1884">
        <w:t>DsRed</w:t>
      </w:r>
      <w:proofErr w:type="spellEnd"/>
      <w:r w:rsidRPr="008A1884">
        <w:t xml:space="preserve"> RNA-transcripts underwent transcription and expression in plant cells co-expressing N, P, and L proteins. Reverse genetic systems based on positive-sense constructs have been long established for animal and plant rhabdoviruses </w:t>
      </w:r>
      <w:r w:rsidRPr="008A1884">
        <w:rPr>
          <w:noProof/>
        </w:rPr>
        <w:t>(12, 13, 22)</w:t>
      </w:r>
      <w:r w:rsidRPr="008A1884">
        <w:t>. However, to the best of our knowledge, only two negative-sense RNA viruses have been rescued from negative-sense constructs</w:t>
      </w:r>
      <w:r w:rsidR="00D26F63" w:rsidRPr="008A1884">
        <w:t>, these are</w:t>
      </w:r>
      <w:r w:rsidRPr="008A1884">
        <w:t xml:space="preserve"> rabies and </w:t>
      </w:r>
      <w:r w:rsidRPr="008A1884">
        <w:rPr>
          <w:lang w:val="en-US"/>
        </w:rPr>
        <w:t>Sendai virus</w:t>
      </w:r>
      <w:r w:rsidRPr="008A1884">
        <w:t xml:space="preserve"> </w:t>
      </w:r>
      <w:r w:rsidRPr="008A1884">
        <w:rPr>
          <w:noProof/>
        </w:rPr>
        <w:t>(17, 38)</w:t>
      </w:r>
      <w:r w:rsidRPr="008A1884">
        <w:t xml:space="preserve">. The advantage of reverse genetic systems based on negative-sense constructs is that it excludes any possibility of MG cassette basal expression independent of the N, P, and L proteins. </w:t>
      </w:r>
    </w:p>
    <w:p w:rsidR="00263B20" w:rsidRPr="008A1884" w:rsidRDefault="00263B20" w:rsidP="00ED2803">
      <w:pPr>
        <w:spacing w:after="0"/>
      </w:pPr>
      <w:r w:rsidRPr="008A1884">
        <w:t xml:space="preserve">The MG cassette together with the genes of the three helper proteins N, P, and L were independently cloned into pTRAk.2 vector and were </w:t>
      </w:r>
      <w:proofErr w:type="spellStart"/>
      <w:r w:rsidRPr="008A1884">
        <w:t>agro</w:t>
      </w:r>
      <w:proofErr w:type="spellEnd"/>
      <w:r w:rsidRPr="008A1884">
        <w:t xml:space="preserve">-infiltrated into </w:t>
      </w:r>
      <w:r w:rsidRPr="008A1884">
        <w:rPr>
          <w:i/>
        </w:rPr>
        <w:t xml:space="preserve">N. </w:t>
      </w:r>
      <w:proofErr w:type="spellStart"/>
      <w:r w:rsidRPr="008A1884">
        <w:rPr>
          <w:i/>
        </w:rPr>
        <w:t>glutinosa</w:t>
      </w:r>
      <w:proofErr w:type="spellEnd"/>
      <w:r w:rsidRPr="008A1884">
        <w:t xml:space="preserve"> and </w:t>
      </w:r>
      <w:r w:rsidRPr="008A1884">
        <w:rPr>
          <w:i/>
        </w:rPr>
        <w:t xml:space="preserve">N. </w:t>
      </w:r>
      <w:proofErr w:type="spellStart"/>
      <w:r w:rsidRPr="008A1884">
        <w:rPr>
          <w:i/>
        </w:rPr>
        <w:t>benthamiana</w:t>
      </w:r>
      <w:proofErr w:type="spellEnd"/>
      <w:r w:rsidRPr="008A1884">
        <w:t xml:space="preserve"> using </w:t>
      </w:r>
      <w:r w:rsidRPr="008A1884">
        <w:rPr>
          <w:i/>
        </w:rPr>
        <w:t>A. tumefaciens</w:t>
      </w:r>
      <w:r w:rsidRPr="008A1884">
        <w:t xml:space="preserve">. Cloning the L gene in </w:t>
      </w:r>
      <w:r w:rsidRPr="008A1884">
        <w:rPr>
          <w:i/>
        </w:rPr>
        <w:t>E. coli</w:t>
      </w:r>
      <w:r w:rsidRPr="008A1884">
        <w:t xml:space="preserve"> was initially problematic. Difficulty in cloning RNA virus genomes or viral genes in </w:t>
      </w:r>
      <w:r w:rsidRPr="008A1884">
        <w:rPr>
          <w:i/>
        </w:rPr>
        <w:t>E. coli</w:t>
      </w:r>
      <w:r w:rsidRPr="008A1884">
        <w:t xml:space="preserve"> is common among the RNA viruses </w:t>
      </w:r>
      <w:r w:rsidRPr="008A1884">
        <w:rPr>
          <w:noProof/>
        </w:rPr>
        <w:t>(24, 39-41)</w:t>
      </w:r>
      <w:r w:rsidRPr="008A1884">
        <w:t xml:space="preserve">. The presence of prokaryotic promoters in viral sequences and spurious activity of eukaryotic promoters are found to be contributing factors for the observed instability </w:t>
      </w:r>
      <w:r w:rsidRPr="008A1884">
        <w:rPr>
          <w:noProof/>
        </w:rPr>
        <w:t>(42, 43)</w:t>
      </w:r>
      <w:r w:rsidRPr="008A1884">
        <w:t xml:space="preserve">. Strategies including the use of single point mutations, insertion of introns, and use of low-copy plasmid have been used to overcome these problems </w:t>
      </w:r>
      <w:r w:rsidRPr="008A1884">
        <w:rPr>
          <w:noProof/>
        </w:rPr>
        <w:t>(26, 44, 45)</w:t>
      </w:r>
      <w:r w:rsidRPr="008A1884">
        <w:t xml:space="preserve">.  Nevertheless, success is predominantly a matter of trial and error as demonstrated by attempts to clone dengue virus type 1 (DV1) where a low-copy plasmid approach was suitable for cloning a DV1 replicon, but failed to produce the full-genome DV1 cDNA </w:t>
      </w:r>
      <w:r w:rsidRPr="008A1884">
        <w:rPr>
          <w:noProof/>
        </w:rPr>
        <w:t>(46)</w:t>
      </w:r>
      <w:r w:rsidRPr="008A1884">
        <w:t xml:space="preserve">. Ultimately, we succeeded in cloning the full-length L gene by incorporating three different introns into the 5’ half of the gene and using an </w:t>
      </w:r>
      <w:r w:rsidRPr="008A1884">
        <w:rPr>
          <w:i/>
        </w:rPr>
        <w:t>E. coli</w:t>
      </w:r>
      <w:r w:rsidRPr="008A1884">
        <w:t xml:space="preserve"> strain with modified </w:t>
      </w:r>
      <w:proofErr w:type="spellStart"/>
      <w:r w:rsidRPr="008A1884">
        <w:rPr>
          <w:i/>
        </w:rPr>
        <w:t>pcnB</w:t>
      </w:r>
      <w:proofErr w:type="spellEnd"/>
      <w:r w:rsidRPr="008A1884">
        <w:t xml:space="preserve"> gene for reduction of plasmid copy number </w:t>
      </w:r>
      <w:r w:rsidRPr="008A1884">
        <w:rPr>
          <w:noProof/>
        </w:rPr>
        <w:t>(47)</w:t>
      </w:r>
      <w:r w:rsidRPr="008A1884">
        <w:t xml:space="preserve">. While all three chosen introns have previously been demonstrated to be correctly spliced in their plant of origin </w:t>
      </w:r>
      <w:r w:rsidRPr="008A1884">
        <w:rPr>
          <w:noProof/>
        </w:rPr>
        <w:t>(33-35)</w:t>
      </w:r>
      <w:r w:rsidRPr="008A1884">
        <w:t xml:space="preserve">, none have previously been tested as part of a </w:t>
      </w:r>
      <w:proofErr w:type="spellStart"/>
      <w:r w:rsidRPr="008A1884">
        <w:t>cytorhabdovirus</w:t>
      </w:r>
      <w:proofErr w:type="spellEnd"/>
      <w:r w:rsidRPr="008A1884">
        <w:t xml:space="preserve"> genome or in </w:t>
      </w:r>
      <w:r w:rsidRPr="008A1884">
        <w:rPr>
          <w:i/>
        </w:rPr>
        <w:t xml:space="preserve">N. </w:t>
      </w:r>
      <w:proofErr w:type="spellStart"/>
      <w:r w:rsidRPr="008A1884">
        <w:rPr>
          <w:i/>
        </w:rPr>
        <w:t>glutinosa</w:t>
      </w:r>
      <w:proofErr w:type="spellEnd"/>
      <w:r w:rsidRPr="008A1884">
        <w:t xml:space="preserve">. Insertion sites for introns were chosen between thymine and guanine nucleotides of ATG as described previously </w:t>
      </w:r>
      <w:r w:rsidRPr="008A1884">
        <w:rPr>
          <w:noProof/>
        </w:rPr>
        <w:t>(25)</w:t>
      </w:r>
      <w:r w:rsidRPr="008A1884">
        <w:t xml:space="preserve">. Introns were inserted at the 5’ end of </w:t>
      </w:r>
      <w:r w:rsidRPr="008A1884">
        <w:lastRenderedPageBreak/>
        <w:t xml:space="preserve">the gene to further enhance </w:t>
      </w:r>
      <w:r w:rsidRPr="008A1884">
        <w:rPr>
          <w:i/>
        </w:rPr>
        <w:t>in planta</w:t>
      </w:r>
      <w:r w:rsidRPr="008A1884">
        <w:t xml:space="preserve"> mRNA translation </w:t>
      </w:r>
      <w:r w:rsidRPr="008A1884">
        <w:rPr>
          <w:noProof/>
        </w:rPr>
        <w:t>(48)</w:t>
      </w:r>
      <w:r w:rsidRPr="008A1884">
        <w:t>. Attempts to clone the full-length L gene using an intron-only approach (i.e., without plasmid copy number reduction), or solely by plasmid copy number reduction (i.e., without incorporation of introns) were unsuccessful</w:t>
      </w:r>
      <w:r w:rsidR="00493B14" w:rsidRPr="008A1884">
        <w:t xml:space="preserve"> (transformed </w:t>
      </w:r>
      <w:r w:rsidR="00493B14" w:rsidRPr="008A1884">
        <w:rPr>
          <w:i/>
          <w:iCs/>
        </w:rPr>
        <w:t>E. coli</w:t>
      </w:r>
      <w:r w:rsidR="00493B14" w:rsidRPr="008A1884">
        <w:t xml:space="preserve"> either did not grow or yielded plasmids with large deleted sequences, although a number of strains were used </w:t>
      </w:r>
      <w:r w:rsidR="00241D1F">
        <w:t>with</w:t>
      </w:r>
      <w:r w:rsidR="00493B14" w:rsidRPr="008A1884">
        <w:t xml:space="preserve"> different growth conditions)</w:t>
      </w:r>
      <w:r w:rsidRPr="008A1884">
        <w:t xml:space="preserve">. A possible explanation is that disruption of cryptic sequences by introns and low template number (plasmid copy number) minimized inadvertent transcription </w:t>
      </w:r>
      <w:r w:rsidRPr="008A1884">
        <w:rPr>
          <w:noProof/>
        </w:rPr>
        <w:t>(49)</w:t>
      </w:r>
      <w:r w:rsidRPr="008A1884">
        <w:t xml:space="preserve">. Post-agroinfiltration, RT-PCR assessment performed on total RNA revealed the correct splicing of all three introns to yield mature mRNA, which was further confirmed by cDNA sequencing. </w:t>
      </w:r>
    </w:p>
    <w:p w:rsidR="00263B20" w:rsidRPr="008A1884" w:rsidRDefault="00263B20" w:rsidP="00ED2803">
      <w:r w:rsidRPr="008A1884">
        <w:t xml:space="preserve">The first assessment undertaken with the assembled MG cassette was to confirm ribozyme auto-cleavage. The generation of exact 5′ and 3’ termini of </w:t>
      </w:r>
      <w:proofErr w:type="spellStart"/>
      <w:r w:rsidRPr="008A1884">
        <w:t>vRNA</w:t>
      </w:r>
      <w:proofErr w:type="spellEnd"/>
      <w:r w:rsidRPr="008A1884">
        <w:t xml:space="preserve"> </w:t>
      </w:r>
      <w:r w:rsidR="009850E8" w:rsidRPr="008A1884">
        <w:t>enhances</w:t>
      </w:r>
      <w:r w:rsidRPr="008A1884">
        <w:t xml:space="preserve"> transcription and replication efficacy </w:t>
      </w:r>
      <w:r w:rsidRPr="008A1884">
        <w:rPr>
          <w:noProof/>
        </w:rPr>
        <w:t>(50, 51)</w:t>
      </w:r>
      <w:r w:rsidRPr="008A1884">
        <w:t xml:space="preserve">. Gel electrophoresis of MG RNA transcribed </w:t>
      </w:r>
      <w:r w:rsidRPr="008A1884">
        <w:rPr>
          <w:i/>
        </w:rPr>
        <w:t>in vitro</w:t>
      </w:r>
      <w:r w:rsidRPr="008A1884">
        <w:t xml:space="preserve"> at 25°C </w:t>
      </w:r>
      <w:r w:rsidR="009850E8" w:rsidRPr="008A1884">
        <w:t>suggested</w:t>
      </w:r>
      <w:r w:rsidRPr="008A1884">
        <w:t xml:space="preserve"> ribozyme auto-cleavage at both termini</w:t>
      </w:r>
      <w:r w:rsidR="009850E8" w:rsidRPr="008A1884">
        <w:t xml:space="preserve"> </w:t>
      </w:r>
      <w:r w:rsidR="000A5866" w:rsidRPr="008A1884">
        <w:t>with the putative</w:t>
      </w:r>
      <w:r w:rsidR="009850E8" w:rsidRPr="008A1884">
        <w:t xml:space="preserve"> </w:t>
      </w:r>
      <w:proofErr w:type="spellStart"/>
      <w:r w:rsidRPr="008A1884">
        <w:t>HDz</w:t>
      </w:r>
      <w:proofErr w:type="spellEnd"/>
      <w:r w:rsidRPr="008A1884">
        <w:t xml:space="preserve"> auto-cleavage </w:t>
      </w:r>
      <w:r w:rsidR="000A5866" w:rsidRPr="008A1884">
        <w:t xml:space="preserve">being </w:t>
      </w:r>
      <w:r w:rsidRPr="008A1884">
        <w:t xml:space="preserve">more rapid than that of the </w:t>
      </w:r>
      <w:proofErr w:type="spellStart"/>
      <w:r w:rsidRPr="008A1884">
        <w:t>HHz</w:t>
      </w:r>
      <w:proofErr w:type="spellEnd"/>
      <w:r w:rsidR="000A5866" w:rsidRPr="008A1884">
        <w:t xml:space="preserve"> </w:t>
      </w:r>
      <w:r w:rsidR="00CE0C6B" w:rsidRPr="008A1884">
        <w:t>(</w:t>
      </w:r>
      <w:r w:rsidR="000A5866" w:rsidRPr="008A1884">
        <w:t xml:space="preserve">which </w:t>
      </w:r>
      <w:r w:rsidRPr="008A1884">
        <w:t>contradict</w:t>
      </w:r>
      <w:r w:rsidR="000A5866" w:rsidRPr="008A1884">
        <w:t>s</w:t>
      </w:r>
      <w:r w:rsidRPr="008A1884">
        <w:t xml:space="preserve"> the results of previous studies </w:t>
      </w:r>
      <w:r w:rsidRPr="008A1884">
        <w:rPr>
          <w:noProof/>
        </w:rPr>
        <w:t>(22)</w:t>
      </w:r>
      <w:r w:rsidR="00CE0C6B" w:rsidRPr="008A1884">
        <w:rPr>
          <w:noProof/>
        </w:rPr>
        <w:t>)</w:t>
      </w:r>
      <w:r w:rsidR="00CE0C6B" w:rsidRPr="008A1884">
        <w:t xml:space="preserve">. </w:t>
      </w:r>
      <w:r w:rsidR="00241D1F">
        <w:t>V</w:t>
      </w:r>
      <w:r w:rsidRPr="008A1884">
        <w:t xml:space="preserve">ariation in ribozyme efficacy could have occurred due to differences in incubation temperature </w:t>
      </w:r>
      <w:r w:rsidRPr="008A1884">
        <w:rPr>
          <w:noProof/>
        </w:rPr>
        <w:t>(52</w:t>
      </w:r>
      <w:r w:rsidR="00CE0C6B" w:rsidRPr="008A1884">
        <w:rPr>
          <w:noProof/>
        </w:rPr>
        <w:t>),</w:t>
      </w:r>
      <w:r w:rsidR="000A5866" w:rsidRPr="008A1884">
        <w:rPr>
          <w:noProof/>
        </w:rPr>
        <w:t xml:space="preserve"> </w:t>
      </w:r>
      <w:r w:rsidR="00241D1F">
        <w:rPr>
          <w:noProof/>
        </w:rPr>
        <w:t>and in future</w:t>
      </w:r>
      <w:r w:rsidR="00CE0C6B" w:rsidRPr="008A1884">
        <w:rPr>
          <w:noProof/>
        </w:rPr>
        <w:t xml:space="preserve"> </w:t>
      </w:r>
      <w:r w:rsidR="00241D1F">
        <w:rPr>
          <w:noProof/>
        </w:rPr>
        <w:t>studies northern blotting with specific probes should be used to better identify the bands</w:t>
      </w:r>
      <w:r w:rsidRPr="008A1884">
        <w:t xml:space="preserve">. From these </w:t>
      </w:r>
      <w:r w:rsidRPr="008A1884">
        <w:rPr>
          <w:i/>
        </w:rPr>
        <w:t>in vitro</w:t>
      </w:r>
      <w:r w:rsidRPr="008A1884">
        <w:t xml:space="preserve"> results we expected ribozyme auto-cleavage and the production of MG precise ends to be replicated </w:t>
      </w:r>
      <w:r w:rsidRPr="008A1884">
        <w:rPr>
          <w:i/>
        </w:rPr>
        <w:t>in planta</w:t>
      </w:r>
      <w:r w:rsidRPr="008A1884">
        <w:t xml:space="preserve"> at 25°C. Indeed, in previous studies, both ribozymes have demonstrated successful </w:t>
      </w:r>
      <w:r w:rsidRPr="008A1884">
        <w:rPr>
          <w:i/>
        </w:rPr>
        <w:t>in vivo</w:t>
      </w:r>
      <w:r w:rsidRPr="008A1884">
        <w:t xml:space="preserve"> auto-cleavage in both cytoplasm and nuclei </w:t>
      </w:r>
      <w:r w:rsidRPr="008A1884">
        <w:rPr>
          <w:noProof/>
        </w:rPr>
        <w:t>(53-55)</w:t>
      </w:r>
      <w:r w:rsidRPr="008A1884">
        <w:t xml:space="preserve">. </w:t>
      </w:r>
    </w:p>
    <w:p w:rsidR="00263B20" w:rsidRPr="008A1884" w:rsidRDefault="00263B20" w:rsidP="00ED2803">
      <w:pPr>
        <w:spacing w:after="0"/>
      </w:pPr>
      <w:r w:rsidRPr="008A1884">
        <w:t xml:space="preserve">The first </w:t>
      </w:r>
      <w:r w:rsidRPr="008A1884">
        <w:rPr>
          <w:i/>
        </w:rPr>
        <w:t>in planta</w:t>
      </w:r>
      <w:r w:rsidRPr="008A1884">
        <w:t xml:space="preserve"> assessment of the LNYV MG strategy was to investigate the transcription of the infiltrated MG </w:t>
      </w:r>
      <w:r w:rsidRPr="008A1884">
        <w:rPr>
          <w:i/>
        </w:rPr>
        <w:t xml:space="preserve">in planta </w:t>
      </w:r>
      <w:r w:rsidRPr="008A1884">
        <w:t xml:space="preserve">cassette (harbouring the </w:t>
      </w:r>
      <w:proofErr w:type="spellStart"/>
      <w:r w:rsidRPr="008A1884">
        <w:t>DsRed</w:t>
      </w:r>
      <w:proofErr w:type="spellEnd"/>
      <w:r w:rsidRPr="008A1884">
        <w:t xml:space="preserve"> ORF), N, P, and int-L genes. RT-PCR confirmed the presence of their respective mRNAs in samples co-infiltrated with MG, N, P, and int-L plasmids. Interestingly, int-L gene cDNA bands revealed the presence of mature and pre-mRNA. The presence of pre-mRNA may be due to intron-induced increase in transcription levels or an increase in mRNA stability </w:t>
      </w:r>
      <w:r w:rsidRPr="008A1884">
        <w:rPr>
          <w:noProof/>
        </w:rPr>
        <w:t>(56, 57)</w:t>
      </w:r>
      <w:r w:rsidRPr="008A1884">
        <w:t xml:space="preserve">. Further RT-PCR assessments and cDNA sequencing </w:t>
      </w:r>
      <w:r w:rsidRPr="008A1884">
        <w:lastRenderedPageBreak/>
        <w:t xml:space="preserve">confirmed the correct splicing of all three introns. Any error in the intron splicing process would cause non-sense mediated mRNA decay or reading frame disruptions </w:t>
      </w:r>
      <w:r w:rsidRPr="008A1884">
        <w:rPr>
          <w:noProof/>
        </w:rPr>
        <w:t>(58-60)</w:t>
      </w:r>
      <w:r w:rsidRPr="008A1884">
        <w:t xml:space="preserve"> and such mechanisms would have caused absence or loss-of-function of the product L protein. However, expression of the </w:t>
      </w:r>
      <w:proofErr w:type="spellStart"/>
      <w:r w:rsidRPr="008A1884">
        <w:t>DsRed</w:t>
      </w:r>
      <w:proofErr w:type="spellEnd"/>
      <w:r w:rsidRPr="008A1884">
        <w:t xml:space="preserve"> protein (discussed below) demonstrated the biological function of the L protein.</w:t>
      </w:r>
    </w:p>
    <w:p w:rsidR="00263B20" w:rsidRPr="008A1884" w:rsidRDefault="00263B20" w:rsidP="00ED2803">
      <w:r w:rsidRPr="008A1884">
        <w:t xml:space="preserve">The success of the MG strategy was subsequently confirmed by detection of </w:t>
      </w:r>
      <w:proofErr w:type="spellStart"/>
      <w:r w:rsidRPr="008A1884">
        <w:t>DsRed</w:t>
      </w:r>
      <w:proofErr w:type="spellEnd"/>
      <w:r w:rsidRPr="008A1884">
        <w:t xml:space="preserve"> protein.  </w:t>
      </w:r>
      <w:r w:rsidRPr="008A1884">
        <w:rPr>
          <w:color w:val="000000" w:themeColor="text1"/>
        </w:rPr>
        <w:t xml:space="preserve">Red fluorescence in leaf sections was observed using confocal microscopy (not shown), but significant background fluorescence, presumably from chlorophyll </w:t>
      </w:r>
      <w:r w:rsidRPr="008A1884">
        <w:rPr>
          <w:noProof/>
          <w:color w:val="000000" w:themeColor="text1"/>
        </w:rPr>
        <w:t>(61)</w:t>
      </w:r>
      <w:r w:rsidRPr="008A1884">
        <w:rPr>
          <w:color w:val="000000" w:themeColor="text1"/>
        </w:rPr>
        <w:t xml:space="preserve">, prevented us from definitively confirming </w:t>
      </w:r>
      <w:proofErr w:type="spellStart"/>
      <w:r w:rsidRPr="008A1884">
        <w:rPr>
          <w:color w:val="000000" w:themeColor="text1"/>
        </w:rPr>
        <w:t>DsRed</w:t>
      </w:r>
      <w:proofErr w:type="spellEnd"/>
      <w:r w:rsidRPr="008A1884">
        <w:rPr>
          <w:color w:val="000000" w:themeColor="text1"/>
        </w:rPr>
        <w:t xml:space="preserve"> visualisation. In addition, as the MG cassette, N, P and int-L plasmids must all be in the same cell for </w:t>
      </w:r>
      <w:proofErr w:type="spellStart"/>
      <w:r w:rsidRPr="008A1884">
        <w:rPr>
          <w:color w:val="000000" w:themeColor="text1"/>
        </w:rPr>
        <w:t>DsRed</w:t>
      </w:r>
      <w:proofErr w:type="spellEnd"/>
      <w:r w:rsidRPr="008A1884">
        <w:rPr>
          <w:color w:val="000000" w:themeColor="text1"/>
        </w:rPr>
        <w:t xml:space="preserve"> to be produced, the concentration present may only have generated low levels of fluorescence.</w:t>
      </w:r>
      <w:r w:rsidRPr="008A1884">
        <w:t xml:space="preserve"> However, subsequent western blotting </w:t>
      </w:r>
      <w:r w:rsidRPr="008A1884">
        <w:rPr>
          <w:color w:val="000000" w:themeColor="text1"/>
        </w:rPr>
        <w:t>unequivocally</w:t>
      </w:r>
      <w:r w:rsidRPr="008A1884">
        <w:t xml:space="preserve"> demonstrated </w:t>
      </w:r>
      <w:proofErr w:type="spellStart"/>
      <w:r w:rsidRPr="008A1884">
        <w:t>DsRed</w:t>
      </w:r>
      <w:proofErr w:type="spellEnd"/>
      <w:r w:rsidRPr="008A1884">
        <w:t xml:space="preserve"> expression in agroinfiltrated </w:t>
      </w:r>
      <w:r w:rsidRPr="008A1884">
        <w:rPr>
          <w:i/>
        </w:rPr>
        <w:t xml:space="preserve">N. </w:t>
      </w:r>
      <w:proofErr w:type="spellStart"/>
      <w:r w:rsidRPr="008A1884">
        <w:rPr>
          <w:i/>
        </w:rPr>
        <w:t>glutinosa</w:t>
      </w:r>
      <w:proofErr w:type="spellEnd"/>
      <w:r w:rsidRPr="008A1884">
        <w:t xml:space="preserve"> and </w:t>
      </w:r>
      <w:r w:rsidRPr="008A1884">
        <w:rPr>
          <w:i/>
        </w:rPr>
        <w:t xml:space="preserve">N. </w:t>
      </w:r>
      <w:proofErr w:type="spellStart"/>
      <w:r w:rsidRPr="008A1884">
        <w:rPr>
          <w:i/>
        </w:rPr>
        <w:t>benthamiana</w:t>
      </w:r>
      <w:proofErr w:type="spellEnd"/>
      <w:r w:rsidRPr="008A1884">
        <w:t xml:space="preserve">, generating bands of equivalent immunoreactivity to the positive control (Fig 4). These assessments revealed the presence of </w:t>
      </w:r>
      <w:proofErr w:type="spellStart"/>
      <w:r w:rsidRPr="008A1884">
        <w:t>DsRed</w:t>
      </w:r>
      <w:proofErr w:type="spellEnd"/>
      <w:r w:rsidRPr="008A1884">
        <w:t xml:space="preserve"> protein in samples co-infiltrated with four constructs encoding the MG cassette and the helper proteins but not in plant samples infiltrated with the MG cassette alone or with any the helper plasmids without the MG cassette. Independent expression of the </w:t>
      </w:r>
      <w:proofErr w:type="spellStart"/>
      <w:r w:rsidRPr="008A1884">
        <w:t>DsRed</w:t>
      </w:r>
      <w:proofErr w:type="spellEnd"/>
      <w:r w:rsidRPr="008A1884">
        <w:t xml:space="preserve"> protein from the MG construct should not be possible as the primary RNA transcripts are in the negative-sense. It is only through the biological interaction between the helper proteins and the </w:t>
      </w:r>
      <w:r w:rsidRPr="008A1884">
        <w:rPr>
          <w:i/>
        </w:rPr>
        <w:t>cis-</w:t>
      </w:r>
      <w:r w:rsidRPr="008A1884">
        <w:t xml:space="preserve"> signals of the primary RNA transcript that the latter could be transcribed into positive-sense RNA, capped, polyadenylated and then translated into </w:t>
      </w:r>
      <w:proofErr w:type="spellStart"/>
      <w:r w:rsidRPr="008A1884">
        <w:t>DsRed</w:t>
      </w:r>
      <w:proofErr w:type="spellEnd"/>
      <w:r w:rsidRPr="008A1884">
        <w:t xml:space="preserve"> protein. The absence of </w:t>
      </w:r>
      <w:proofErr w:type="spellStart"/>
      <w:r w:rsidRPr="008A1884">
        <w:t>DsRed</w:t>
      </w:r>
      <w:proofErr w:type="spellEnd"/>
      <w:r w:rsidRPr="008A1884">
        <w:t xml:space="preserve"> protein in </w:t>
      </w:r>
      <w:r w:rsidRPr="008A1884">
        <w:rPr>
          <w:i/>
        </w:rPr>
        <w:t xml:space="preserve">N. </w:t>
      </w:r>
      <w:proofErr w:type="spellStart"/>
      <w:r w:rsidRPr="008A1884">
        <w:rPr>
          <w:i/>
        </w:rPr>
        <w:t>glutinosa</w:t>
      </w:r>
      <w:proofErr w:type="spellEnd"/>
      <w:r w:rsidRPr="008A1884">
        <w:t xml:space="preserve"> or </w:t>
      </w:r>
      <w:r w:rsidRPr="008A1884">
        <w:rPr>
          <w:i/>
        </w:rPr>
        <w:t xml:space="preserve">N. </w:t>
      </w:r>
      <w:proofErr w:type="spellStart"/>
      <w:r w:rsidRPr="008A1884">
        <w:rPr>
          <w:i/>
        </w:rPr>
        <w:t>benthamiana</w:t>
      </w:r>
      <w:proofErr w:type="spellEnd"/>
      <w:r w:rsidRPr="008A1884">
        <w:t xml:space="preserve"> infiltrated with the MG cassette alone provided further confirmation of the necessity for the biological interaction between LNYV </w:t>
      </w:r>
      <w:r w:rsidRPr="008A1884">
        <w:rPr>
          <w:i/>
        </w:rPr>
        <w:t>cis-</w:t>
      </w:r>
      <w:r w:rsidRPr="008A1884">
        <w:t xml:space="preserve"> and </w:t>
      </w:r>
      <w:r w:rsidRPr="008A1884">
        <w:rPr>
          <w:i/>
        </w:rPr>
        <w:t xml:space="preserve">trans- </w:t>
      </w:r>
      <w:r w:rsidRPr="008A1884">
        <w:t xml:space="preserve">acting elements. </w:t>
      </w:r>
    </w:p>
    <w:p w:rsidR="00263B20" w:rsidRPr="008A1884" w:rsidRDefault="00263B20" w:rsidP="00ED2803">
      <w:pPr>
        <w:spacing w:after="0"/>
      </w:pPr>
      <w:r w:rsidRPr="008A1884">
        <w:t xml:space="preserve">In conclusion, we have utilised introns to stabilise viral genomic sequence in </w:t>
      </w:r>
      <w:r w:rsidRPr="008A1884">
        <w:rPr>
          <w:i/>
        </w:rPr>
        <w:t>E. coli</w:t>
      </w:r>
      <w:r w:rsidRPr="008A1884">
        <w:t xml:space="preserve"> and established a genomic-sense MG cassette system for a plant </w:t>
      </w:r>
      <w:proofErr w:type="spellStart"/>
      <w:r w:rsidRPr="008A1884">
        <w:t>cytorhabdovirus</w:t>
      </w:r>
      <w:proofErr w:type="spellEnd"/>
      <w:r w:rsidRPr="008A1884">
        <w:t xml:space="preserve">, which will be a powerful tool for investigating virus replication and pathogenesis. Our work provides a platform </w:t>
      </w:r>
      <w:r w:rsidRPr="008A1884">
        <w:lastRenderedPageBreak/>
        <w:t xml:space="preserve">for mutagenesis studies and functional analysis of the N, P, and L proteins and the </w:t>
      </w:r>
      <w:r w:rsidRPr="008A1884">
        <w:rPr>
          <w:i/>
        </w:rPr>
        <w:t>cis</w:t>
      </w:r>
      <w:r w:rsidRPr="008A1884">
        <w:t xml:space="preserve">-acting sequences of the virus genome. Furthermore, it is a successful proof-of-principle study that comprises the first step in the rescue of LNYV virus from cDNA. </w:t>
      </w:r>
    </w:p>
    <w:p w:rsidR="00CB7759" w:rsidRPr="008A1884" w:rsidRDefault="00CB7759" w:rsidP="002B2BAA">
      <w:pPr>
        <w:pStyle w:val="Heading1"/>
        <w:rPr>
          <w:rStyle w:val="Strong"/>
          <w:b/>
          <w:bCs w:val="0"/>
        </w:rPr>
      </w:pPr>
      <w:r w:rsidRPr="008A1884">
        <w:rPr>
          <w:rStyle w:val="Strong"/>
          <w:b/>
          <w:bCs w:val="0"/>
        </w:rPr>
        <w:t>Acknowledgments</w:t>
      </w:r>
    </w:p>
    <w:p w:rsidR="00263B20" w:rsidRPr="008A1884" w:rsidRDefault="00CB7759" w:rsidP="00ED2803">
      <w:pPr>
        <w:rPr>
          <w:rStyle w:val="Strong"/>
          <w:b w:val="0"/>
          <w:bCs w:val="0"/>
        </w:rPr>
      </w:pPr>
      <w:r w:rsidRPr="008A1884">
        <w:t xml:space="preserve">We are indebted to Dr Lorenzo Frigerio from the University of Warwick for his help with detection of </w:t>
      </w:r>
      <w:proofErr w:type="spellStart"/>
      <w:r w:rsidRPr="008A1884">
        <w:t>DsRed</w:t>
      </w:r>
      <w:proofErr w:type="spellEnd"/>
      <w:r w:rsidRPr="008A1884">
        <w:t xml:space="preserve"> protein. We are also grateful to Dr Thomas Rademacher and Dr Eva </w:t>
      </w:r>
      <w:proofErr w:type="spellStart"/>
      <w:r w:rsidRPr="008A1884">
        <w:t>Stoeger</w:t>
      </w:r>
      <w:proofErr w:type="spellEnd"/>
      <w:r w:rsidRPr="008A1884">
        <w:t xml:space="preserve"> from Fraunhofer, IME who provided the transient expression vector with </w:t>
      </w:r>
      <w:proofErr w:type="spellStart"/>
      <w:r w:rsidRPr="008A1884">
        <w:rPr>
          <w:i/>
        </w:rPr>
        <w:t>Discosoma</w:t>
      </w:r>
      <w:proofErr w:type="spellEnd"/>
      <w:r w:rsidRPr="008A1884">
        <w:t xml:space="preserve"> sp. red fluorescent protein gene pTRAp-2G12-Ds. </w:t>
      </w:r>
    </w:p>
    <w:p w:rsidR="00263B20" w:rsidRPr="008A1884" w:rsidRDefault="00263B20" w:rsidP="00ED2803"/>
    <w:p w:rsidR="00263B20" w:rsidRPr="008A1884" w:rsidRDefault="00263B20" w:rsidP="00ED2803">
      <w:pPr>
        <w:sectPr w:rsidR="00263B20" w:rsidRPr="008A1884" w:rsidSect="00ED2803">
          <w:pgSz w:w="11900" w:h="16840"/>
          <w:pgMar w:top="1440" w:right="1797" w:bottom="1440" w:left="1797" w:header="709" w:footer="709" w:gutter="0"/>
          <w:lnNumType w:countBy="1" w:restart="continuous"/>
          <w:cols w:space="708"/>
          <w:docGrid w:linePitch="360"/>
        </w:sectPr>
      </w:pPr>
    </w:p>
    <w:p w:rsidR="00263B20" w:rsidRPr="008A1884" w:rsidRDefault="00263B20" w:rsidP="002B2BAA">
      <w:pPr>
        <w:pStyle w:val="Heading1"/>
        <w:rPr>
          <w:rFonts w:eastAsia="Times New Roman"/>
        </w:rPr>
      </w:pPr>
      <w:r w:rsidRPr="008A1884">
        <w:rPr>
          <w:rFonts w:eastAsia="Times New Roman"/>
        </w:rPr>
        <w:lastRenderedPageBreak/>
        <w:t>References</w:t>
      </w:r>
    </w:p>
    <w:p w:rsidR="00263B20" w:rsidRPr="008A1884" w:rsidRDefault="00263B20" w:rsidP="00ED2803">
      <w:pPr>
        <w:pStyle w:val="EndNoteBibliography"/>
        <w:spacing w:after="0"/>
        <w:rPr>
          <w:noProof/>
        </w:rPr>
      </w:pPr>
      <w:r w:rsidRPr="008A1884">
        <w:rPr>
          <w:noProof/>
        </w:rPr>
        <w:t>1.</w:t>
      </w:r>
      <w:r w:rsidRPr="008A1884">
        <w:rPr>
          <w:noProof/>
        </w:rPr>
        <w:tab/>
        <w:t>Sward R. Lettuce necrotic yellows rhabdovirus and other viruses infecting garlic. Australasian Plant Pathology. 1990;19(2):46-51.</w:t>
      </w:r>
    </w:p>
    <w:p w:rsidR="00263B20" w:rsidRPr="008A1884" w:rsidRDefault="00263B20" w:rsidP="00ED2803">
      <w:pPr>
        <w:pStyle w:val="EndNoteBibliography"/>
        <w:spacing w:after="0"/>
        <w:rPr>
          <w:noProof/>
        </w:rPr>
      </w:pPr>
      <w:r w:rsidRPr="008A1884">
        <w:rPr>
          <w:noProof/>
        </w:rPr>
        <w:t>2.</w:t>
      </w:r>
      <w:r w:rsidRPr="008A1884">
        <w:rPr>
          <w:noProof/>
        </w:rPr>
        <w:tab/>
        <w:t>Stubbs L, Grogan R. Necrotic yellows: a newly recognized virus disease of lettuce. Crop and Pasture Science. 1963;14(4):439-59.</w:t>
      </w:r>
    </w:p>
    <w:p w:rsidR="00263B20" w:rsidRPr="008A1884" w:rsidRDefault="00263B20" w:rsidP="00ED2803">
      <w:pPr>
        <w:pStyle w:val="EndNoteBibliography"/>
        <w:spacing w:after="0"/>
        <w:rPr>
          <w:noProof/>
        </w:rPr>
      </w:pPr>
      <w:r w:rsidRPr="008A1884">
        <w:rPr>
          <w:noProof/>
        </w:rPr>
        <w:t>3.</w:t>
      </w:r>
      <w:r w:rsidRPr="008A1884">
        <w:rPr>
          <w:noProof/>
        </w:rPr>
        <w:tab/>
        <w:t>Wolanski B, Chambers TC. The multiplication of lettuce necrotic yellows virus. Virology. 1971;44(3):582-91.</w:t>
      </w:r>
    </w:p>
    <w:p w:rsidR="00263B20" w:rsidRPr="008A1884" w:rsidRDefault="00263B20" w:rsidP="00ED2803">
      <w:pPr>
        <w:pStyle w:val="EndNoteBibliography"/>
        <w:spacing w:after="0"/>
        <w:rPr>
          <w:noProof/>
        </w:rPr>
      </w:pPr>
      <w:r w:rsidRPr="008A1884">
        <w:rPr>
          <w:noProof/>
        </w:rPr>
        <w:t>4.</w:t>
      </w:r>
      <w:r w:rsidRPr="008A1884">
        <w:rPr>
          <w:noProof/>
        </w:rPr>
        <w:tab/>
        <w:t>Chambers T, Crowley N, Francki R. Localization of lettuce necrotic yellows virus in host leaf tissue. Virology. 1965;27(3):320-8.</w:t>
      </w:r>
    </w:p>
    <w:p w:rsidR="00263B20" w:rsidRPr="008A1884" w:rsidRDefault="00263B20" w:rsidP="00ED2803">
      <w:pPr>
        <w:pStyle w:val="EndNoteBibliography"/>
        <w:spacing w:after="0"/>
        <w:rPr>
          <w:noProof/>
        </w:rPr>
      </w:pPr>
      <w:r w:rsidRPr="008A1884">
        <w:rPr>
          <w:noProof/>
        </w:rPr>
        <w:t>5.</w:t>
      </w:r>
      <w:r w:rsidRPr="008A1884">
        <w:rPr>
          <w:noProof/>
        </w:rPr>
        <w:tab/>
        <w:t>Dietzgen RG, Callaghan B, Campbell PR. Biology and genomics of lettuce necrotic yellows virus. Plant Viruses. 2007;1(1):85-92.</w:t>
      </w:r>
    </w:p>
    <w:p w:rsidR="00263B20" w:rsidRPr="008A1884" w:rsidRDefault="00263B20" w:rsidP="00ED2803">
      <w:pPr>
        <w:pStyle w:val="EndNoteBibliography"/>
        <w:spacing w:after="0"/>
        <w:rPr>
          <w:noProof/>
        </w:rPr>
      </w:pPr>
      <w:r w:rsidRPr="008A1884">
        <w:rPr>
          <w:noProof/>
        </w:rPr>
        <w:t>6.</w:t>
      </w:r>
      <w:r w:rsidRPr="008A1884">
        <w:rPr>
          <w:noProof/>
        </w:rPr>
        <w:tab/>
        <w:t>Jackson AO, Dietzgen RG, Goodin MM, Bragg JN, Deng M. Biology of Plant Rhabdoviruses*. Annu Rev Phytopathol. 2005;43:623-60.</w:t>
      </w:r>
    </w:p>
    <w:p w:rsidR="00263B20" w:rsidRPr="008A1884" w:rsidRDefault="00263B20" w:rsidP="00ED2803">
      <w:pPr>
        <w:pStyle w:val="EndNoteBibliography"/>
        <w:spacing w:after="0"/>
        <w:rPr>
          <w:noProof/>
        </w:rPr>
      </w:pPr>
      <w:r w:rsidRPr="008A1884">
        <w:rPr>
          <w:noProof/>
        </w:rPr>
        <w:t>7.</w:t>
      </w:r>
      <w:r w:rsidRPr="008A1884">
        <w:rPr>
          <w:noProof/>
        </w:rPr>
        <w:tab/>
        <w:t>Keene JD, Thornton BJ, Emerson SU. Sequence-specific contacts between the RNA polymerase of vesicular stomatitis virus and the leader RNA gene. Proceedings of the National Academy of Sciences. 1981;78(10):6191-5.</w:t>
      </w:r>
    </w:p>
    <w:p w:rsidR="00263B20" w:rsidRPr="008A1884" w:rsidRDefault="00263B20" w:rsidP="00ED2803">
      <w:pPr>
        <w:pStyle w:val="EndNoteBibliography"/>
        <w:spacing w:after="0"/>
        <w:rPr>
          <w:noProof/>
        </w:rPr>
      </w:pPr>
      <w:r w:rsidRPr="008A1884">
        <w:rPr>
          <w:noProof/>
        </w:rPr>
        <w:t>8.</w:t>
      </w:r>
      <w:r w:rsidRPr="008A1884">
        <w:rPr>
          <w:noProof/>
        </w:rPr>
        <w:tab/>
        <w:t>Wetzel T, Dietzgen R, Dale J. Genomic organization of lettuce necrotic yellows rhabdovirus. Virology. 1994;200(2):401-12.</w:t>
      </w:r>
    </w:p>
    <w:p w:rsidR="00263B20" w:rsidRPr="008A1884" w:rsidRDefault="00263B20" w:rsidP="00ED2803">
      <w:pPr>
        <w:pStyle w:val="EndNoteBibliography"/>
        <w:spacing w:after="0"/>
        <w:rPr>
          <w:noProof/>
        </w:rPr>
      </w:pPr>
      <w:r w:rsidRPr="008A1884">
        <w:rPr>
          <w:noProof/>
        </w:rPr>
        <w:t>9.</w:t>
      </w:r>
      <w:r w:rsidRPr="008A1884">
        <w:rPr>
          <w:noProof/>
        </w:rPr>
        <w:tab/>
        <w:t>Whelan SP, Wertz GW. Regulation of RNA synthesis by the genomic termini of vesicular stomatitis virus: identification of distinct sequences essential for transcription but not replication. Journal of virology. 1999;73(1):297-306.</w:t>
      </w:r>
    </w:p>
    <w:p w:rsidR="00263B20" w:rsidRPr="008A1884" w:rsidRDefault="00263B20" w:rsidP="00ED2803">
      <w:pPr>
        <w:pStyle w:val="EndNoteBibliography"/>
        <w:spacing w:after="0"/>
        <w:rPr>
          <w:noProof/>
        </w:rPr>
      </w:pPr>
      <w:r w:rsidRPr="008A1884">
        <w:rPr>
          <w:noProof/>
        </w:rPr>
        <w:t>10.</w:t>
      </w:r>
      <w:r w:rsidRPr="008A1884">
        <w:rPr>
          <w:noProof/>
        </w:rPr>
        <w:tab/>
        <w:t>Stillman EA, Whitt MAJJov. Mutational analyses of the intergenic dinucleotide and the transcriptional start sequence of vesicular stomatitis virus (VSV) define sequences required for efficient termination and initiation of VSV transcripts. 1997;71(3):2127-37.</w:t>
      </w:r>
    </w:p>
    <w:p w:rsidR="00263B20" w:rsidRPr="008A1884" w:rsidRDefault="00263B20" w:rsidP="00ED2803">
      <w:pPr>
        <w:pStyle w:val="EndNoteBibliography"/>
        <w:spacing w:after="0"/>
        <w:rPr>
          <w:noProof/>
        </w:rPr>
      </w:pPr>
      <w:r w:rsidRPr="008A1884">
        <w:rPr>
          <w:noProof/>
        </w:rPr>
        <w:t>11.</w:t>
      </w:r>
      <w:r w:rsidRPr="008A1884">
        <w:rPr>
          <w:noProof/>
        </w:rPr>
        <w:tab/>
        <w:t>Schnell MJ, Buonocore L, Kretzschmar E, Johnson E, Rose JK. Foreign glycoproteins expressed from recombinant vesicular stomatitis viruses are incorporated efficiently into virus particles. Proceedings of the National Academy of Sciences. 1996;93(21):11359-65.</w:t>
      </w:r>
    </w:p>
    <w:p w:rsidR="00263B20" w:rsidRPr="008A1884" w:rsidRDefault="00263B20" w:rsidP="00ED2803">
      <w:pPr>
        <w:pStyle w:val="EndNoteBibliography"/>
        <w:spacing w:after="0"/>
        <w:rPr>
          <w:noProof/>
        </w:rPr>
      </w:pPr>
      <w:r w:rsidRPr="008A1884">
        <w:rPr>
          <w:noProof/>
        </w:rPr>
        <w:t>12.</w:t>
      </w:r>
      <w:r w:rsidRPr="008A1884">
        <w:rPr>
          <w:noProof/>
        </w:rPr>
        <w:tab/>
        <w:t>Whelan S, Ball LA, Barr JN, Wertz G. Efficient recovery of infectious vesicular stomatitis virus entirely from cDNA clones. Proceedings of the National Academy of Sciences. 1995;92(18):8388-92.</w:t>
      </w:r>
    </w:p>
    <w:p w:rsidR="00263B20" w:rsidRPr="008A1884" w:rsidRDefault="00263B20" w:rsidP="00ED2803">
      <w:pPr>
        <w:pStyle w:val="EndNoteBibliography"/>
        <w:spacing w:after="0"/>
        <w:rPr>
          <w:noProof/>
        </w:rPr>
      </w:pPr>
      <w:r w:rsidRPr="008A1884">
        <w:rPr>
          <w:noProof/>
        </w:rPr>
        <w:t>13.</w:t>
      </w:r>
      <w:r w:rsidRPr="008A1884">
        <w:rPr>
          <w:noProof/>
        </w:rPr>
        <w:tab/>
        <w:t>Schnell MJ, Mebatsion T, Conzelmann K-K. Infectious rabies viruses from cloned cDNA. The EMBO journal. 1994;13(18):4195.</w:t>
      </w:r>
    </w:p>
    <w:p w:rsidR="00263B20" w:rsidRPr="008A1884" w:rsidRDefault="00263B20" w:rsidP="00ED2803">
      <w:pPr>
        <w:pStyle w:val="EndNoteBibliography"/>
        <w:spacing w:after="0"/>
        <w:rPr>
          <w:noProof/>
        </w:rPr>
      </w:pPr>
      <w:r w:rsidRPr="008A1884">
        <w:rPr>
          <w:noProof/>
        </w:rPr>
        <w:t>14.</w:t>
      </w:r>
      <w:r w:rsidRPr="008A1884">
        <w:rPr>
          <w:noProof/>
        </w:rPr>
        <w:tab/>
        <w:t>Safronetz D, Mire C, Rosenke K, Feldmann F, Haddock E, Geisbert T, et al. A recombinant vesicular stomatitis virus-based Lassa fever vaccine protects guinea pigs and macaques against challenge with geographically and genetically distinct Lassa viruses. PLoS Negl Trop Dis. 2015;9(4):e0003736.</w:t>
      </w:r>
    </w:p>
    <w:p w:rsidR="00263B20" w:rsidRPr="008A1884" w:rsidRDefault="00263B20" w:rsidP="00ED2803">
      <w:pPr>
        <w:pStyle w:val="EndNoteBibliography"/>
        <w:spacing w:after="0"/>
        <w:rPr>
          <w:noProof/>
        </w:rPr>
      </w:pPr>
      <w:r w:rsidRPr="008A1884">
        <w:rPr>
          <w:noProof/>
        </w:rPr>
        <w:t>15.</w:t>
      </w:r>
      <w:r w:rsidRPr="008A1884">
        <w:rPr>
          <w:noProof/>
        </w:rPr>
        <w:tab/>
        <w:t xml:space="preserve">Lauretti F, Chattopadhyay A, de Oliveira Franca RF, Castro-Jorge L, Rose J, Fonseca BA. Recombinant vesicular stomatitis virus-based dengue-2 vaccine candidate </w:t>
      </w:r>
      <w:r w:rsidRPr="008A1884">
        <w:rPr>
          <w:noProof/>
        </w:rPr>
        <w:lastRenderedPageBreak/>
        <w:t>induces humoral response and protects mice against lethal infection. Hum Vaccin Immunother. 2016;12(9):2327-33.</w:t>
      </w:r>
    </w:p>
    <w:p w:rsidR="00263B20" w:rsidRPr="008A1884" w:rsidRDefault="00263B20" w:rsidP="00ED2803">
      <w:pPr>
        <w:pStyle w:val="EndNoteBibliography"/>
        <w:spacing w:after="0"/>
        <w:rPr>
          <w:noProof/>
        </w:rPr>
      </w:pPr>
      <w:r w:rsidRPr="008A1884">
        <w:rPr>
          <w:noProof/>
        </w:rPr>
        <w:t>16.</w:t>
      </w:r>
      <w:r w:rsidRPr="008A1884">
        <w:rPr>
          <w:noProof/>
        </w:rPr>
        <w:tab/>
        <w:t>Pfaller CK, Cattaneo R, Schnell MJ. Reverse genetics of Mononegavirales: How they work, new vaccines, and new cancer therapeutics. Virology. 2015;479:331-44.</w:t>
      </w:r>
    </w:p>
    <w:p w:rsidR="00263B20" w:rsidRPr="008A1884" w:rsidRDefault="00263B20" w:rsidP="00ED2803">
      <w:pPr>
        <w:pStyle w:val="EndNoteBibliography"/>
        <w:spacing w:after="0"/>
        <w:rPr>
          <w:noProof/>
        </w:rPr>
      </w:pPr>
      <w:r w:rsidRPr="008A1884">
        <w:rPr>
          <w:noProof/>
        </w:rPr>
        <w:t>17.</w:t>
      </w:r>
      <w:r w:rsidRPr="008A1884">
        <w:rPr>
          <w:noProof/>
        </w:rPr>
        <w:tab/>
        <w:t>Kato A, Sakai Y, Shioda T, Kondo T, Nakanishi M, Nagai Y. Initiation of Sendai virus multiplication from transfected cDNA or RNA with negative or positive sense. Genes to Cells. 1996;1(6):569-79.</w:t>
      </w:r>
    </w:p>
    <w:p w:rsidR="00263B20" w:rsidRPr="008A1884" w:rsidRDefault="00263B20" w:rsidP="00ED2803">
      <w:pPr>
        <w:pStyle w:val="EndNoteBibliography"/>
        <w:spacing w:after="0"/>
        <w:rPr>
          <w:noProof/>
        </w:rPr>
      </w:pPr>
      <w:r w:rsidRPr="008A1884">
        <w:rPr>
          <w:noProof/>
        </w:rPr>
        <w:t>18.</w:t>
      </w:r>
      <w:r w:rsidRPr="008A1884">
        <w:rPr>
          <w:noProof/>
        </w:rPr>
        <w:tab/>
        <w:t>Le Mercier P, Jacob Y, Tanner K, Tordo N. A novel expression cassette of lyssavirus shows that the distantly related Mokola virus can rescue a defective rabies virus genome. Journal of virology. 2002;76(4):2024-7.</w:t>
      </w:r>
    </w:p>
    <w:p w:rsidR="00263B20" w:rsidRPr="008A1884" w:rsidRDefault="00263B20" w:rsidP="00ED2803">
      <w:pPr>
        <w:pStyle w:val="EndNoteBibliography"/>
        <w:spacing w:after="0"/>
        <w:rPr>
          <w:noProof/>
        </w:rPr>
      </w:pPr>
      <w:r w:rsidRPr="008A1884">
        <w:rPr>
          <w:noProof/>
        </w:rPr>
        <w:t>19.</w:t>
      </w:r>
      <w:r w:rsidRPr="008A1884">
        <w:rPr>
          <w:noProof/>
        </w:rPr>
        <w:tab/>
        <w:t>Pattnaik AK, Ball LA, LeGrone AW, Wertz GW. Infectious defective interfering particles of VSV from transcripts of a cDNA clone. Cell. 1992;69(6):1011-20.</w:t>
      </w:r>
    </w:p>
    <w:p w:rsidR="00263B20" w:rsidRPr="008A1884" w:rsidRDefault="00263B20" w:rsidP="00ED2803">
      <w:pPr>
        <w:pStyle w:val="EndNoteBibliography"/>
        <w:spacing w:after="0"/>
        <w:rPr>
          <w:noProof/>
        </w:rPr>
      </w:pPr>
      <w:r w:rsidRPr="008A1884">
        <w:rPr>
          <w:noProof/>
        </w:rPr>
        <w:t>20.</w:t>
      </w:r>
      <w:r w:rsidRPr="008A1884">
        <w:rPr>
          <w:noProof/>
        </w:rPr>
        <w:tab/>
        <w:t>Wang Q, Ma X, Qian S, Zhou X, Sun K, Chen X, et al. Rescue of a plant negative-strand RNA virus from cloned cDNA: insights into enveloped plant virus movement and morphogenesis. PLoS Pathog. 2015;11(10):e1005223.</w:t>
      </w:r>
    </w:p>
    <w:p w:rsidR="00263B20" w:rsidRPr="008A1884" w:rsidRDefault="00263B20" w:rsidP="00ED2803">
      <w:pPr>
        <w:pStyle w:val="EndNoteBibliography"/>
        <w:spacing w:after="0"/>
        <w:rPr>
          <w:noProof/>
        </w:rPr>
      </w:pPr>
      <w:r w:rsidRPr="008A1884">
        <w:rPr>
          <w:noProof/>
        </w:rPr>
        <w:t>21.</w:t>
      </w:r>
      <w:r w:rsidRPr="008A1884">
        <w:rPr>
          <w:noProof/>
        </w:rPr>
        <w:tab/>
        <w:t>Neumann G, Whitt MA, Kawaoka Y. A decade after the generation of a negative-sense RNA virus from cloned cDNA–what have we learned? Journal of General Virology. 2002;83(11):2635-62.</w:t>
      </w:r>
    </w:p>
    <w:p w:rsidR="00263B20" w:rsidRPr="008A1884" w:rsidRDefault="00263B20" w:rsidP="00ED2803">
      <w:pPr>
        <w:pStyle w:val="EndNoteBibliography"/>
        <w:spacing w:after="0"/>
        <w:rPr>
          <w:noProof/>
        </w:rPr>
      </w:pPr>
      <w:r w:rsidRPr="008A1884">
        <w:rPr>
          <w:noProof/>
        </w:rPr>
        <w:t>22.</w:t>
      </w:r>
      <w:r w:rsidRPr="008A1884">
        <w:rPr>
          <w:noProof/>
        </w:rPr>
        <w:tab/>
        <w:t>Ganesan U, Bragg JN, Deng M, Marr S, Lee MY, Qian S, et al. Construction of a Sonchus Yellow Net Virus Minireplicon: a Step toward Reverse Genetic Analysis of Plant Negative-Strand RNA Viruses. Journal of virology. 2013;87(19):10598-611.</w:t>
      </w:r>
    </w:p>
    <w:p w:rsidR="00263B20" w:rsidRPr="008A1884" w:rsidRDefault="00263B20" w:rsidP="00ED2803">
      <w:pPr>
        <w:pStyle w:val="EndNoteBibliography"/>
        <w:spacing w:after="0"/>
        <w:rPr>
          <w:noProof/>
        </w:rPr>
      </w:pPr>
      <w:r w:rsidRPr="008A1884">
        <w:rPr>
          <w:noProof/>
        </w:rPr>
        <w:t>23.</w:t>
      </w:r>
      <w:r w:rsidRPr="008A1884">
        <w:rPr>
          <w:noProof/>
        </w:rPr>
        <w:tab/>
        <w:t>van Dolleweerd CJ, Teh AY, Banyard AC, Both L, Lotter-Stark HC, Tsekoa T, et al. Engineering, expression in transgenic plants and characterisation of E559, a rabies virus-neutralising monoclonal antibody. The Journal of infectious diseases. 2014;210(2):200-8.</w:t>
      </w:r>
    </w:p>
    <w:p w:rsidR="00263B20" w:rsidRPr="008A1884" w:rsidRDefault="00263B20" w:rsidP="00ED2803">
      <w:pPr>
        <w:pStyle w:val="EndNoteBibliography"/>
        <w:spacing w:after="0"/>
        <w:rPr>
          <w:noProof/>
        </w:rPr>
      </w:pPr>
      <w:r w:rsidRPr="008A1884">
        <w:rPr>
          <w:noProof/>
        </w:rPr>
        <w:t>24.</w:t>
      </w:r>
      <w:r w:rsidRPr="008A1884">
        <w:rPr>
          <w:noProof/>
        </w:rPr>
        <w:tab/>
        <w:t>Fakhfakh H, Vilaine F, Makni M, Robaglia C. Cell-free cloning and biolistic inoculation of an infectious cDNA of potato virus Y. Journal of general virology. 1996;77(3):519-23.</w:t>
      </w:r>
    </w:p>
    <w:p w:rsidR="00263B20" w:rsidRPr="008A1884" w:rsidRDefault="00263B20" w:rsidP="00ED2803">
      <w:pPr>
        <w:pStyle w:val="EndNoteBibliography"/>
        <w:spacing w:after="0"/>
        <w:rPr>
          <w:noProof/>
        </w:rPr>
      </w:pPr>
      <w:r w:rsidRPr="008A1884">
        <w:rPr>
          <w:noProof/>
        </w:rPr>
        <w:t>25.</w:t>
      </w:r>
      <w:r w:rsidRPr="008A1884">
        <w:rPr>
          <w:noProof/>
        </w:rPr>
        <w:tab/>
        <w:t>Johansen IE. Intron insertion facilitates amplification of cloned virus cDNA in Escherichia coli while biological activity is reestablished after transcription in vivo. Proceedings of the National Academy of Sciences. 1996;93(22):12400-5.</w:t>
      </w:r>
    </w:p>
    <w:p w:rsidR="00263B20" w:rsidRPr="008A1884" w:rsidRDefault="00263B20" w:rsidP="00ED2803">
      <w:pPr>
        <w:pStyle w:val="EndNoteBibliography"/>
        <w:spacing w:after="0"/>
        <w:rPr>
          <w:noProof/>
        </w:rPr>
      </w:pPr>
      <w:r w:rsidRPr="008A1884">
        <w:rPr>
          <w:noProof/>
        </w:rPr>
        <w:t>26.</w:t>
      </w:r>
      <w:r w:rsidRPr="008A1884">
        <w:rPr>
          <w:noProof/>
        </w:rPr>
        <w:tab/>
        <w:t>Yang S, Revers F, Souche S, Lot H, Le Gall O, Candresse T, et al. Construction of full-length cDNA clones of lettuce mosaic virus (LMV) and the effects of intron-insertion on their viability in Escherichia coli and on their infectivity to plants. Archives of virology. 1998;143(12):2443-51.</w:t>
      </w:r>
    </w:p>
    <w:p w:rsidR="00263B20" w:rsidRPr="008A1884" w:rsidRDefault="00263B20" w:rsidP="00ED2803">
      <w:pPr>
        <w:pStyle w:val="EndNoteBibliography"/>
        <w:spacing w:after="0"/>
        <w:rPr>
          <w:noProof/>
        </w:rPr>
      </w:pPr>
      <w:r w:rsidRPr="008A1884">
        <w:rPr>
          <w:noProof/>
        </w:rPr>
        <w:t>27.</w:t>
      </w:r>
      <w:r w:rsidRPr="008A1884">
        <w:rPr>
          <w:noProof/>
        </w:rPr>
        <w:tab/>
        <w:t>Andrews LB, Curtis WR. Comparison of transient protein expression in tobacco leaves and plant suspension culture. Biotechnology progress. 2005;21(3):946-52.</w:t>
      </w:r>
    </w:p>
    <w:p w:rsidR="00263B20" w:rsidRPr="008A1884" w:rsidRDefault="00263B20" w:rsidP="00ED2803">
      <w:pPr>
        <w:pStyle w:val="EndNoteBibliography"/>
        <w:spacing w:after="0"/>
        <w:rPr>
          <w:noProof/>
        </w:rPr>
      </w:pPr>
      <w:r w:rsidRPr="008A1884">
        <w:rPr>
          <w:noProof/>
        </w:rPr>
        <w:t>28.</w:t>
      </w:r>
      <w:r w:rsidRPr="008A1884">
        <w:rPr>
          <w:noProof/>
        </w:rPr>
        <w:tab/>
        <w:t>Crowley N. Factors affecting the local lesion response of Nicotiana glutinosa to lettuce necrotic yellows virus. Virology. 1967;31(1):107-13.</w:t>
      </w:r>
    </w:p>
    <w:p w:rsidR="00263B20" w:rsidRPr="008A1884" w:rsidRDefault="00263B20" w:rsidP="00ED2803">
      <w:pPr>
        <w:pStyle w:val="EndNoteBibliography"/>
        <w:spacing w:after="0"/>
        <w:rPr>
          <w:noProof/>
        </w:rPr>
      </w:pPr>
      <w:r w:rsidRPr="008A1884">
        <w:rPr>
          <w:noProof/>
        </w:rPr>
        <w:t>29.</w:t>
      </w:r>
      <w:r w:rsidRPr="008A1884">
        <w:rPr>
          <w:noProof/>
        </w:rPr>
        <w:tab/>
        <w:t>Perrotta AT, Been MD. The self-cleaving domain from the genomic RNA of hepatitis delta virus: sequence requirements and the effects of denaturant. Nucleic acids research. 1990;18(23):6821-7.</w:t>
      </w:r>
    </w:p>
    <w:p w:rsidR="00263B20" w:rsidRPr="008A1884" w:rsidRDefault="00263B20" w:rsidP="00ED2803">
      <w:pPr>
        <w:pStyle w:val="EndNoteBibliography"/>
        <w:spacing w:after="0"/>
        <w:rPr>
          <w:noProof/>
        </w:rPr>
      </w:pPr>
      <w:r w:rsidRPr="008A1884">
        <w:rPr>
          <w:noProof/>
        </w:rPr>
        <w:lastRenderedPageBreak/>
        <w:t>30.</w:t>
      </w:r>
      <w:r w:rsidRPr="008A1884">
        <w:rPr>
          <w:noProof/>
        </w:rPr>
        <w:tab/>
        <w:t>Paul M, Reljic R, Klein K, Drake PM, van Dolleweerd C, Pabst M, et al. Characterization of a plant-produced recombinant human secretory IgA with broad neutralizing activity against HIV. mAbs. 2014;6(6):1585-97.</w:t>
      </w:r>
    </w:p>
    <w:p w:rsidR="00263B20" w:rsidRPr="008A1884" w:rsidRDefault="00263B20" w:rsidP="00ED2803">
      <w:pPr>
        <w:pStyle w:val="EndNoteBibliography"/>
        <w:spacing w:after="0"/>
        <w:rPr>
          <w:noProof/>
        </w:rPr>
      </w:pPr>
      <w:r w:rsidRPr="008A1884">
        <w:rPr>
          <w:noProof/>
        </w:rPr>
        <w:t>31.</w:t>
      </w:r>
      <w:r w:rsidRPr="008A1884">
        <w:rPr>
          <w:noProof/>
        </w:rPr>
        <w:tab/>
        <w:t>Borniego MB, Karlin D, Peña EJ, Luna GR, García ML. Bioinformatic and mutational analysis of ophiovirus movement proteins, belonging to the 30K superfamily. Virology. 2016;498:172-80.</w:t>
      </w:r>
    </w:p>
    <w:p w:rsidR="00263B20" w:rsidRPr="008A1884" w:rsidRDefault="00263B20" w:rsidP="00ED2803">
      <w:pPr>
        <w:pStyle w:val="EndNoteBibliography"/>
        <w:spacing w:after="0"/>
        <w:rPr>
          <w:noProof/>
        </w:rPr>
      </w:pPr>
      <w:r w:rsidRPr="008A1884">
        <w:rPr>
          <w:noProof/>
        </w:rPr>
        <w:t>32.</w:t>
      </w:r>
      <w:r w:rsidRPr="008A1884">
        <w:rPr>
          <w:noProof/>
        </w:rPr>
        <w:tab/>
        <w:t>Pineau E, Xu L, Renault H, Trolet A, Navrot N, Ullmann P, et al. Arabidopsis thali</w:t>
      </w:r>
      <w:r w:rsidRPr="008A1884">
        <w:rPr>
          <w:rFonts w:hint="eastAsia"/>
          <w:noProof/>
        </w:rPr>
        <w:t>ana EPOXIDE HYDROLASE1 (AtEH1) is a cytosolic epoxide hydrolase involved in the synthesis of poly‐hydroxylated cutin monomers. New Phytologist. 2017;215(1):173-86.</w:t>
      </w:r>
    </w:p>
    <w:p w:rsidR="00263B20" w:rsidRPr="008A1884" w:rsidRDefault="00263B20" w:rsidP="00ED2803">
      <w:pPr>
        <w:pStyle w:val="EndNoteBibliography"/>
        <w:spacing w:after="0"/>
        <w:rPr>
          <w:noProof/>
        </w:rPr>
      </w:pPr>
      <w:r w:rsidRPr="008A1884">
        <w:rPr>
          <w:noProof/>
        </w:rPr>
        <w:t>33.</w:t>
      </w:r>
      <w:r w:rsidRPr="008A1884">
        <w:rPr>
          <w:noProof/>
        </w:rPr>
        <w:tab/>
        <w:t>Sander L, Jensen PE, Back LF, Stummann BM, Henningsen KW. Structure and expression of a nitrite reductase gene from bean (Phaseolus vulgaris) and promoter analysis in transgenic tobacco. Plant molecular biology. 1995;27(1):165-77.</w:t>
      </w:r>
    </w:p>
    <w:p w:rsidR="00263B20" w:rsidRPr="008A1884" w:rsidRDefault="00263B20" w:rsidP="00ED2803">
      <w:pPr>
        <w:pStyle w:val="EndNoteBibliography"/>
        <w:spacing w:after="0"/>
        <w:rPr>
          <w:noProof/>
        </w:rPr>
      </w:pPr>
      <w:r w:rsidRPr="008A1884">
        <w:rPr>
          <w:noProof/>
        </w:rPr>
        <w:t>34.</w:t>
      </w:r>
      <w:r w:rsidRPr="008A1884">
        <w:rPr>
          <w:noProof/>
        </w:rPr>
        <w:tab/>
        <w:t>Eckes P, Rosahl S, Schell J, Willmitzer L. Isolation and characterization of a light-inducible, organ-specific gene from potato and analysis of its expression after tagging and transfer into tobacco and potato shoots. Molecular and General Genetics MGG. 1986;205(1):14-22.</w:t>
      </w:r>
    </w:p>
    <w:p w:rsidR="00263B20" w:rsidRPr="008A1884" w:rsidRDefault="00263B20" w:rsidP="00ED2803">
      <w:pPr>
        <w:pStyle w:val="EndNoteBibliography"/>
        <w:spacing w:after="0"/>
        <w:rPr>
          <w:noProof/>
        </w:rPr>
      </w:pPr>
      <w:r w:rsidRPr="008A1884">
        <w:rPr>
          <w:rFonts w:hint="eastAsia"/>
          <w:noProof/>
        </w:rPr>
        <w:t>35.</w:t>
      </w:r>
      <w:r w:rsidRPr="008A1884">
        <w:rPr>
          <w:rFonts w:hint="eastAsia"/>
          <w:noProof/>
        </w:rPr>
        <w:tab/>
        <w:t>Dadami E, Moser M, Zwiebel M, Krczal G, Wassenegger M, Dalakouras A. An endogene‐rese</w:t>
      </w:r>
      <w:r w:rsidRPr="008A1884">
        <w:rPr>
          <w:noProof/>
        </w:rPr>
        <w:t>mbling transgene delays the onset of silencing and limits siRNA accumulation. FEBS letters. 2013;587(6):706-10.</w:t>
      </w:r>
    </w:p>
    <w:p w:rsidR="00263B20" w:rsidRPr="008A1884" w:rsidRDefault="00263B20" w:rsidP="00ED2803">
      <w:pPr>
        <w:pStyle w:val="EndNoteBibliography"/>
        <w:spacing w:after="0"/>
        <w:rPr>
          <w:noProof/>
        </w:rPr>
      </w:pPr>
      <w:r w:rsidRPr="008A1884">
        <w:rPr>
          <w:noProof/>
        </w:rPr>
        <w:t>36.</w:t>
      </w:r>
      <w:r w:rsidRPr="008A1884">
        <w:rPr>
          <w:noProof/>
        </w:rPr>
        <w:tab/>
        <w:t>Sack M, Rademacher T, Spiegel H, Boes A, Hellwig S, Drossard J, et al. From gene to harvest: insights into upstream process development for the GMP production of a monoclonal antibody in transgenic tobacco plants. Plant biotechnology journal. 2015;13(8):1094-105.</w:t>
      </w:r>
    </w:p>
    <w:p w:rsidR="00263B20" w:rsidRPr="008A1884" w:rsidRDefault="00263B20" w:rsidP="00ED2803">
      <w:pPr>
        <w:pStyle w:val="EndNoteBibliography"/>
        <w:spacing w:after="0"/>
        <w:rPr>
          <w:noProof/>
        </w:rPr>
      </w:pPr>
      <w:r w:rsidRPr="008A1884">
        <w:rPr>
          <w:noProof/>
        </w:rPr>
        <w:t>37.</w:t>
      </w:r>
      <w:r w:rsidRPr="008A1884">
        <w:rPr>
          <w:noProof/>
        </w:rPr>
        <w:tab/>
        <w:t>Schoberer J, Vavra U, Stadlmann J, Hawes C, Mach L, Steinkellner H, et al. Arginine/lysine residues in the cytoplasmic tail promote ER export of plant glycosylation enzymes. Traffic. 2009;10(1):101-15.</w:t>
      </w:r>
    </w:p>
    <w:p w:rsidR="00263B20" w:rsidRPr="008A1884" w:rsidRDefault="00263B20" w:rsidP="00ED2803">
      <w:pPr>
        <w:pStyle w:val="EndNoteBibliography"/>
        <w:spacing w:after="0"/>
        <w:rPr>
          <w:noProof/>
        </w:rPr>
      </w:pPr>
      <w:r w:rsidRPr="008A1884">
        <w:rPr>
          <w:noProof/>
        </w:rPr>
        <w:t>38.</w:t>
      </w:r>
      <w:r w:rsidRPr="008A1884">
        <w:rPr>
          <w:noProof/>
        </w:rPr>
        <w:tab/>
        <w:t>Conzelmann K-K, Schnell M. Rescue of synthetic genomic RNA analogs of rabies virus by plasmid-encoded proteins. Journal of virology. 1994;68(2):713-9.</w:t>
      </w:r>
    </w:p>
    <w:p w:rsidR="00263B20" w:rsidRPr="008A1884" w:rsidRDefault="00263B20" w:rsidP="00ED2803">
      <w:pPr>
        <w:pStyle w:val="EndNoteBibliography"/>
        <w:spacing w:after="0"/>
        <w:rPr>
          <w:noProof/>
        </w:rPr>
      </w:pPr>
      <w:r w:rsidRPr="008A1884">
        <w:rPr>
          <w:noProof/>
        </w:rPr>
        <w:t>39.</w:t>
      </w:r>
      <w:r w:rsidRPr="008A1884">
        <w:rPr>
          <w:noProof/>
        </w:rPr>
        <w:tab/>
        <w:t>Polo S, Ketner G, Levis R, Falgout B. Infectious RNA transcripts from full-length dengue virus type 2 cDNA clones made in yeast. Journal of virology. 1997;71(7):5366-74.</w:t>
      </w:r>
    </w:p>
    <w:p w:rsidR="00263B20" w:rsidRPr="008A1884" w:rsidRDefault="00263B20" w:rsidP="00ED2803">
      <w:pPr>
        <w:pStyle w:val="EndNoteBibliography"/>
        <w:spacing w:after="0"/>
        <w:rPr>
          <w:noProof/>
        </w:rPr>
      </w:pPr>
      <w:r w:rsidRPr="008A1884">
        <w:rPr>
          <w:noProof/>
        </w:rPr>
        <w:t>40.</w:t>
      </w:r>
      <w:r w:rsidRPr="008A1884">
        <w:rPr>
          <w:noProof/>
        </w:rPr>
        <w:tab/>
        <w:t>Yamshchikov V, Mishin V, Cominelli F. A new strategy in design of (+) RNA virus infectious clones enabling their stable propagation in E. coli. Virology. 2001;281(2):272-80.</w:t>
      </w:r>
    </w:p>
    <w:p w:rsidR="00263B20" w:rsidRPr="008A1884" w:rsidRDefault="00263B20" w:rsidP="00ED2803">
      <w:pPr>
        <w:pStyle w:val="EndNoteBibliography"/>
        <w:spacing w:after="0"/>
        <w:rPr>
          <w:noProof/>
        </w:rPr>
      </w:pPr>
      <w:r w:rsidRPr="008A1884">
        <w:rPr>
          <w:noProof/>
        </w:rPr>
        <w:t>41.</w:t>
      </w:r>
      <w:r w:rsidRPr="008A1884">
        <w:rPr>
          <w:noProof/>
        </w:rPr>
        <w:tab/>
        <w:t>Cunningham TP, Montelaro RC, Rushlow KE. Lentivirus envelope sequences and pro viral genomes are stabilized in Escherichia coli when cloned in low-copy-number plasmid vectors. Gene. 1993;124(1):93-8.</w:t>
      </w:r>
    </w:p>
    <w:p w:rsidR="00263B20" w:rsidRPr="008A1884" w:rsidRDefault="00263B20" w:rsidP="00ED2803">
      <w:pPr>
        <w:pStyle w:val="EndNoteBibliography"/>
        <w:spacing w:after="0"/>
        <w:rPr>
          <w:noProof/>
        </w:rPr>
      </w:pPr>
      <w:r w:rsidRPr="008A1884">
        <w:rPr>
          <w:noProof/>
        </w:rPr>
        <w:t>42.</w:t>
      </w:r>
      <w:r w:rsidRPr="008A1884">
        <w:rPr>
          <w:noProof/>
        </w:rPr>
        <w:tab/>
        <w:t>Mishin VP, Cominelli F, Yamshchikov VF. A ‘minimal’approach in design of flavivirus infectious DNA. Virus research. 2001;81(1):113-23.</w:t>
      </w:r>
    </w:p>
    <w:p w:rsidR="00263B20" w:rsidRPr="008A1884" w:rsidRDefault="00263B20" w:rsidP="00ED2803">
      <w:pPr>
        <w:pStyle w:val="EndNoteBibliography"/>
        <w:spacing w:after="0"/>
        <w:rPr>
          <w:noProof/>
        </w:rPr>
      </w:pPr>
      <w:r w:rsidRPr="008A1884">
        <w:rPr>
          <w:noProof/>
        </w:rPr>
        <w:t>43.</w:t>
      </w:r>
      <w:r w:rsidRPr="008A1884">
        <w:rPr>
          <w:noProof/>
        </w:rPr>
        <w:tab/>
        <w:t xml:space="preserve">Li D, Aaskov J, Lott WB. Identification of a cryptic prokaryotic promoter within the cDNA </w:t>
      </w:r>
      <w:r w:rsidRPr="008A1884">
        <w:rPr>
          <w:rFonts w:hint="eastAsia"/>
          <w:noProof/>
        </w:rPr>
        <w:t>encoding the 5′ end of dengue virus RNA genome. PloS one. 2011;6(3):e18197.</w:t>
      </w:r>
    </w:p>
    <w:p w:rsidR="00263B20" w:rsidRPr="008A1884" w:rsidRDefault="00263B20" w:rsidP="00ED2803">
      <w:pPr>
        <w:pStyle w:val="EndNoteBibliography"/>
        <w:spacing w:after="0"/>
        <w:rPr>
          <w:noProof/>
        </w:rPr>
      </w:pPr>
      <w:r w:rsidRPr="008A1884">
        <w:rPr>
          <w:noProof/>
        </w:rPr>
        <w:lastRenderedPageBreak/>
        <w:t>44.</w:t>
      </w:r>
      <w:r w:rsidRPr="008A1884">
        <w:rPr>
          <w:noProof/>
        </w:rPr>
        <w:tab/>
        <w:t>Pu S-Y, Wu R-H, Yang C-C, Jao T-M, Tsai M-H, Wang J-C, et al. Successful propagation of flavivirus infectious cDNAs by a novel method to reduce the cryptic bacterial promoter activity of virus genomes. Journal of virology. 2011;85(6):2927-41.</w:t>
      </w:r>
    </w:p>
    <w:p w:rsidR="00263B20" w:rsidRPr="008A1884" w:rsidRDefault="00263B20" w:rsidP="00ED2803">
      <w:pPr>
        <w:pStyle w:val="EndNoteBibliography"/>
        <w:spacing w:after="0"/>
        <w:rPr>
          <w:noProof/>
        </w:rPr>
      </w:pPr>
      <w:r w:rsidRPr="008A1884">
        <w:rPr>
          <w:noProof/>
        </w:rPr>
        <w:t>45.</w:t>
      </w:r>
      <w:r w:rsidRPr="008A1884">
        <w:rPr>
          <w:noProof/>
        </w:rPr>
        <w:tab/>
        <w:t>Rossi SL, Zhao Q, O'Donnell VK, Mason PW. Adaptation of West Nile virus replicons to cells in culture and use of replicon-bearing cells to probe antiviral action. Virology. 2005;331(2):457-70.</w:t>
      </w:r>
    </w:p>
    <w:p w:rsidR="00263B20" w:rsidRPr="008A1884" w:rsidRDefault="00263B20" w:rsidP="00ED2803">
      <w:pPr>
        <w:pStyle w:val="EndNoteBibliography"/>
        <w:spacing w:after="0"/>
        <w:rPr>
          <w:noProof/>
        </w:rPr>
      </w:pPr>
      <w:r w:rsidRPr="008A1884">
        <w:rPr>
          <w:noProof/>
        </w:rPr>
        <w:t>46.</w:t>
      </w:r>
      <w:r w:rsidRPr="008A1884">
        <w:rPr>
          <w:noProof/>
        </w:rPr>
        <w:tab/>
        <w:t>Suzuki R, de Borba L, dos Santos CND, Mason PW. Construction of an infectious cDNA clone for a Brazilian prototype strain of dengue virus type 1: characterization of a temperature-sensitive mutation in NS1. Virology. 2007;362(2):374-83.</w:t>
      </w:r>
    </w:p>
    <w:p w:rsidR="00263B20" w:rsidRPr="008A1884" w:rsidRDefault="00263B20" w:rsidP="00ED2803">
      <w:pPr>
        <w:pStyle w:val="EndNoteBibliography"/>
        <w:spacing w:after="0"/>
        <w:rPr>
          <w:noProof/>
        </w:rPr>
      </w:pPr>
      <w:r w:rsidRPr="008A1884">
        <w:rPr>
          <w:noProof/>
        </w:rPr>
        <w:t>47.</w:t>
      </w:r>
      <w:r w:rsidRPr="008A1884">
        <w:rPr>
          <w:noProof/>
        </w:rPr>
        <w:tab/>
        <w:t>Lopilato J, Bortner S, Beckwith J. Mutations in a new chromosomal gene of Escherichia coli K-12, pcnB, reduce plasmid copy number of pBR322 and its derivatives. Molecular and General Genetics MGG. 1986;205(2):285-90.</w:t>
      </w:r>
    </w:p>
    <w:p w:rsidR="00263B20" w:rsidRPr="008A1884" w:rsidRDefault="00263B20" w:rsidP="00ED2803">
      <w:pPr>
        <w:pStyle w:val="EndNoteBibliography"/>
        <w:spacing w:after="0"/>
        <w:rPr>
          <w:noProof/>
        </w:rPr>
      </w:pPr>
      <w:r w:rsidRPr="008A1884">
        <w:rPr>
          <w:noProof/>
        </w:rPr>
        <w:t>48.</w:t>
      </w:r>
      <w:r w:rsidRPr="008A1884">
        <w:rPr>
          <w:noProof/>
        </w:rPr>
        <w:tab/>
        <w:t xml:space="preserve">Matsumoto K, Wassarman KM, Wolffe </w:t>
      </w:r>
      <w:r w:rsidRPr="008A1884">
        <w:rPr>
          <w:rFonts w:hint="eastAsia"/>
          <w:noProof/>
        </w:rPr>
        <w:t>AP. Nuclear history of a pre‐mRNA determines the translational activity of cytoplasmic mRNA. The EMBO Journal. 1998;17(7):2107-21.</w:t>
      </w:r>
    </w:p>
    <w:p w:rsidR="00263B20" w:rsidRPr="008A1884" w:rsidRDefault="00263B20" w:rsidP="00ED2803">
      <w:pPr>
        <w:pStyle w:val="EndNoteBibliography"/>
        <w:spacing w:after="0"/>
        <w:rPr>
          <w:noProof/>
        </w:rPr>
      </w:pPr>
      <w:r w:rsidRPr="008A1884">
        <w:rPr>
          <w:noProof/>
        </w:rPr>
        <w:t>49.</w:t>
      </w:r>
      <w:r w:rsidRPr="008A1884">
        <w:rPr>
          <w:noProof/>
        </w:rPr>
        <w:tab/>
        <w:t>Rosano GL, Ceccarelli EA. Recombinant protein expression in Escherichia coli: advances and challenges. Recombinant protein expression in microbial systems. 2014:7.</w:t>
      </w:r>
    </w:p>
    <w:p w:rsidR="00263B20" w:rsidRPr="008A1884" w:rsidRDefault="00263B20" w:rsidP="00ED2803">
      <w:pPr>
        <w:pStyle w:val="EndNoteBibliography"/>
        <w:spacing w:after="0"/>
        <w:rPr>
          <w:noProof/>
        </w:rPr>
      </w:pPr>
      <w:r w:rsidRPr="008A1884">
        <w:rPr>
          <w:noProof/>
        </w:rPr>
        <w:t>50.</w:t>
      </w:r>
      <w:r w:rsidRPr="008A1884">
        <w:rPr>
          <w:noProof/>
        </w:rPr>
        <w:tab/>
        <w:t>Ghanem A, Kern A, Conzelmann K-K. Significantly improved rescue of rabies virus from cDNA plasmids. European journal of cell biology. 2012;91(1):10-6.</w:t>
      </w:r>
    </w:p>
    <w:p w:rsidR="00263B20" w:rsidRPr="008A1884" w:rsidRDefault="00263B20" w:rsidP="00ED2803">
      <w:pPr>
        <w:pStyle w:val="EndNoteBibliography"/>
        <w:spacing w:after="0"/>
        <w:rPr>
          <w:noProof/>
        </w:rPr>
      </w:pPr>
      <w:r w:rsidRPr="008A1884">
        <w:rPr>
          <w:noProof/>
        </w:rPr>
        <w:t>51.</w:t>
      </w:r>
      <w:r w:rsidRPr="008A1884">
        <w:rPr>
          <w:noProof/>
        </w:rPr>
        <w:tab/>
        <w:t>Yun T, Park A, Hill TE, Pernet O, Beaty SM, Juelich TL, et al. Efficient reverse genetics reveals genetic determinants of budding and fusogenic differences between Nipah and Hendra viruses and enables real-time monitoring of viral spread in small animal models of henipavirus infection. Journal of virology. 2015;89(2):1242-53.</w:t>
      </w:r>
    </w:p>
    <w:p w:rsidR="00263B20" w:rsidRPr="008A1884" w:rsidRDefault="00263B20" w:rsidP="00ED2803">
      <w:pPr>
        <w:pStyle w:val="EndNoteBibliography"/>
        <w:spacing w:after="0"/>
        <w:rPr>
          <w:noProof/>
        </w:rPr>
      </w:pPr>
      <w:r w:rsidRPr="008A1884">
        <w:rPr>
          <w:noProof/>
        </w:rPr>
        <w:t>52.</w:t>
      </w:r>
      <w:r w:rsidRPr="008A1884">
        <w:rPr>
          <w:noProof/>
        </w:rPr>
        <w:tab/>
        <w:t>Li XJ, Kuang ES, Dai W, Yang FH, Wang M, Wang HS, et al. [Investigation on activities of hammerhead ribozyme embedded in genomic RNA of hepatitis delta virus]. Zhonghua shi yan he lin chuang bing du xue za zhi = Zhonghua shiyan he linchuang bingduxue zazhi = Chinese journal of experimental and clinical virology. 2005;19(1):12-5.</w:t>
      </w:r>
    </w:p>
    <w:p w:rsidR="00263B20" w:rsidRPr="008A1884" w:rsidRDefault="00263B20" w:rsidP="00ED2803">
      <w:pPr>
        <w:pStyle w:val="EndNoteBibliography"/>
        <w:spacing w:after="0"/>
        <w:rPr>
          <w:noProof/>
        </w:rPr>
      </w:pPr>
      <w:r w:rsidRPr="008A1884">
        <w:rPr>
          <w:noProof/>
        </w:rPr>
        <w:t>53.</w:t>
      </w:r>
      <w:r w:rsidRPr="008A1884">
        <w:rPr>
          <w:noProof/>
        </w:rPr>
        <w:tab/>
        <w:t>Kato Y, Kuwabara T, Warashina M, Toda H, Taira K. Relationships between the activities in vitro and in vivo of various kinds of ribozyme and their intracellular localization in mammalian cells. Journal of Biological Chemistry. 2001;276(18):15378-85.</w:t>
      </w:r>
    </w:p>
    <w:p w:rsidR="00263B20" w:rsidRPr="008A1884" w:rsidRDefault="00263B20" w:rsidP="00ED2803">
      <w:pPr>
        <w:pStyle w:val="EndNoteBibliography"/>
        <w:spacing w:after="0"/>
        <w:rPr>
          <w:noProof/>
        </w:rPr>
      </w:pPr>
      <w:r w:rsidRPr="008A1884">
        <w:rPr>
          <w:noProof/>
        </w:rPr>
        <w:t>54.</w:t>
      </w:r>
      <w:r w:rsidRPr="008A1884">
        <w:rPr>
          <w:noProof/>
        </w:rPr>
        <w:tab/>
        <w:t>Eckner R, Ellmeier W, Birnstiel M. Mature mRNA 3'end formation stimulates RNA export from the nucleus. The EMBO journal. 1991;10(11):3513.</w:t>
      </w:r>
    </w:p>
    <w:p w:rsidR="00263B20" w:rsidRPr="008A1884" w:rsidRDefault="00263B20" w:rsidP="00ED2803">
      <w:pPr>
        <w:pStyle w:val="EndNoteBibliography"/>
        <w:spacing w:after="0"/>
        <w:rPr>
          <w:noProof/>
        </w:rPr>
      </w:pPr>
      <w:r w:rsidRPr="008A1884">
        <w:rPr>
          <w:noProof/>
        </w:rPr>
        <w:t>55.</w:t>
      </w:r>
      <w:r w:rsidRPr="008A1884">
        <w:rPr>
          <w:noProof/>
        </w:rPr>
        <w:tab/>
        <w:t>Turpen TH, Turpen AM, Weinzettl N, Kumagai MH, Dawson WO. Transfection of whole plants from wounds inoculated with Agrobacterium tumefaciens containing cDNA of tobacco mosaic virus. Journal of virological methods. 1993;42(2-3):227-39.</w:t>
      </w:r>
    </w:p>
    <w:p w:rsidR="00263B20" w:rsidRPr="008A1884" w:rsidRDefault="00263B20" w:rsidP="00ED2803">
      <w:pPr>
        <w:pStyle w:val="EndNoteBibliography"/>
        <w:spacing w:after="0"/>
        <w:rPr>
          <w:noProof/>
        </w:rPr>
      </w:pPr>
      <w:r w:rsidRPr="008A1884">
        <w:rPr>
          <w:noProof/>
        </w:rPr>
        <w:t>56.</w:t>
      </w:r>
      <w:r w:rsidRPr="008A1884">
        <w:rPr>
          <w:noProof/>
        </w:rPr>
        <w:tab/>
        <w:t>Wang H-F, Feng L, Niu D-K. Relationship between mRNA stability and intron presence. Biochemical and biophysical research communications. 2007;354(1):203-8.</w:t>
      </w:r>
    </w:p>
    <w:p w:rsidR="00263B20" w:rsidRPr="008A1884" w:rsidRDefault="00263B20" w:rsidP="00ED2803">
      <w:pPr>
        <w:pStyle w:val="EndNoteBibliography"/>
        <w:spacing w:after="0"/>
        <w:rPr>
          <w:noProof/>
        </w:rPr>
      </w:pPr>
      <w:r w:rsidRPr="008A1884">
        <w:rPr>
          <w:noProof/>
        </w:rPr>
        <w:lastRenderedPageBreak/>
        <w:t>57.</w:t>
      </w:r>
      <w:r w:rsidRPr="008A1884">
        <w:rPr>
          <w:noProof/>
        </w:rPr>
        <w:tab/>
        <w:t>Brinster RL, Allen JM, Behringer RR, Gelinas RE, Palmiter RD. Introns increase transcriptional efficiency in transgenic mice. Proceedings of the National Academy of Sciences. 1988;85(3):836-40.</w:t>
      </w:r>
    </w:p>
    <w:p w:rsidR="00263B20" w:rsidRPr="008A1884" w:rsidRDefault="00263B20" w:rsidP="00ED2803">
      <w:pPr>
        <w:pStyle w:val="EndNoteBibliography"/>
        <w:spacing w:after="0"/>
        <w:rPr>
          <w:noProof/>
        </w:rPr>
      </w:pPr>
      <w:r w:rsidRPr="008A1884">
        <w:rPr>
          <w:noProof/>
        </w:rPr>
        <w:t>58.</w:t>
      </w:r>
      <w:r w:rsidRPr="008A1884">
        <w:rPr>
          <w:noProof/>
        </w:rPr>
        <w:tab/>
        <w:t>Gillman JD, Tetlow A, Lee J-D, Shannon JG, Bilyeu K. Loss-of-function mutations affecting a specific Glycine max R2R3 MYB transcription factor result in brown hilum and brown seed coats. BMC plant biology. 2011;11(1):155.</w:t>
      </w:r>
    </w:p>
    <w:p w:rsidR="00263B20" w:rsidRPr="008A1884" w:rsidRDefault="00263B20" w:rsidP="00ED2803">
      <w:pPr>
        <w:pStyle w:val="EndNoteBibliography"/>
        <w:spacing w:after="0"/>
        <w:rPr>
          <w:noProof/>
        </w:rPr>
      </w:pPr>
      <w:r w:rsidRPr="008A1884">
        <w:rPr>
          <w:noProof/>
        </w:rPr>
        <w:t>59.</w:t>
      </w:r>
      <w:r w:rsidRPr="008A1884">
        <w:rPr>
          <w:noProof/>
        </w:rPr>
        <w:tab/>
        <w:t>Kerstetter RA, Laudencia-Chingcuanco D, Smith LG, Hake S. Loss-of-function mutations in the maize homeobox gene, knotted1, are defective in shoot meristem maintenance. Development. 1997;124(16):3045-54.</w:t>
      </w:r>
    </w:p>
    <w:p w:rsidR="00263B20" w:rsidRPr="008A1884" w:rsidRDefault="00263B20" w:rsidP="00ED2803">
      <w:pPr>
        <w:pStyle w:val="EndNoteBibliography"/>
        <w:spacing w:after="0"/>
        <w:rPr>
          <w:noProof/>
        </w:rPr>
      </w:pPr>
      <w:r w:rsidRPr="008A1884">
        <w:rPr>
          <w:noProof/>
        </w:rPr>
        <w:t>60.</w:t>
      </w:r>
      <w:r w:rsidRPr="008A1884">
        <w:rPr>
          <w:noProof/>
        </w:rPr>
        <w:tab/>
        <w:t>Rayson S, Arciga-Reyes L, Wootton L, Zabala MDT, Truman W, Graham N, et al. A role for nonsense-mediated mRNA decay in plants: pathogen responses are induced in Arabidopsis thaliana NMD mutants. PloS one. 2012;7(2):e31917.</w:t>
      </w:r>
    </w:p>
    <w:p w:rsidR="00263B20" w:rsidRPr="008A1884" w:rsidRDefault="00263B20" w:rsidP="00ED2803">
      <w:pPr>
        <w:pStyle w:val="EndNoteBibliography"/>
        <w:rPr>
          <w:noProof/>
        </w:rPr>
      </w:pPr>
      <w:r w:rsidRPr="008A1884">
        <w:rPr>
          <w:noProof/>
        </w:rPr>
        <w:t>61.</w:t>
      </w:r>
      <w:r w:rsidRPr="008A1884">
        <w:rPr>
          <w:noProof/>
        </w:rPr>
        <w:tab/>
        <w:t>Buschmann C, Langsdorf G, Lichtenthaler H. Imaging of the blue, green, and red fluorescence emission of plants: an overview. Photosynthetica. 2000;38(4):483-91.</w:t>
      </w:r>
    </w:p>
    <w:p w:rsidR="00263B20" w:rsidRPr="008A1884" w:rsidRDefault="00263B20">
      <w:pPr>
        <w:sectPr w:rsidR="00263B20" w:rsidRPr="008A1884" w:rsidSect="00ED2803">
          <w:pgSz w:w="11900" w:h="16840"/>
          <w:pgMar w:top="1440" w:right="1797" w:bottom="1440" w:left="1797" w:header="709" w:footer="709" w:gutter="0"/>
          <w:cols w:space="708"/>
          <w:docGrid w:linePitch="360"/>
        </w:sectPr>
      </w:pPr>
    </w:p>
    <w:p w:rsidR="00263B20" w:rsidRPr="008A1884" w:rsidRDefault="00263B20" w:rsidP="002B2BAA">
      <w:pPr>
        <w:pStyle w:val="Heading1"/>
        <w:rPr>
          <w:rStyle w:val="Strong"/>
          <w:b/>
          <w:bCs w:val="0"/>
        </w:rPr>
      </w:pPr>
      <w:r w:rsidRPr="008A1884">
        <w:rPr>
          <w:rStyle w:val="Strong"/>
          <w:b/>
          <w:bCs w:val="0"/>
        </w:rPr>
        <w:lastRenderedPageBreak/>
        <w:t>Supplementary information</w:t>
      </w:r>
    </w:p>
    <w:p w:rsidR="00262AEC" w:rsidRPr="00D10462" w:rsidRDefault="00262AEC" w:rsidP="00262AEC">
      <w:pPr>
        <w:rPr>
          <w:rStyle w:val="Strong"/>
          <w:b w:val="0"/>
          <w:bCs w:val="0"/>
          <w:sz w:val="28"/>
        </w:rPr>
      </w:pPr>
      <w:r w:rsidRPr="008A1884">
        <w:rPr>
          <w:b/>
          <w:bCs/>
        </w:rPr>
        <w:t>S1</w:t>
      </w:r>
      <w:r w:rsidR="00D10462" w:rsidRPr="008A1884">
        <w:rPr>
          <w:b/>
          <w:bCs/>
        </w:rPr>
        <w:t xml:space="preserve"> Table</w:t>
      </w:r>
      <w:r w:rsidRPr="008A1884">
        <w:rPr>
          <w:b/>
          <w:bCs/>
        </w:rPr>
        <w:t>. List and description of primers used.</w:t>
      </w:r>
      <w:r w:rsidR="00D10462" w:rsidRPr="008A1884">
        <w:rPr>
          <w:b/>
          <w:bCs/>
        </w:rPr>
        <w:t xml:space="preserve"> </w:t>
      </w:r>
      <w:r w:rsidR="00D10462" w:rsidRPr="008A1884">
        <w:t xml:space="preserve">Primers were used for PCR amplification for </w:t>
      </w:r>
      <w:r w:rsidR="00D10462" w:rsidRPr="008A1884">
        <w:rPr>
          <w:i/>
          <w:iCs/>
        </w:rPr>
        <w:t>in vitro</w:t>
      </w:r>
      <w:r w:rsidR="00D10462" w:rsidRPr="008A1884">
        <w:t xml:space="preserve"> RNA transcription, cloning, and RT-PCR screening.</w:t>
      </w:r>
    </w:p>
    <w:p w:rsidR="00262AEC" w:rsidRPr="00262AEC" w:rsidRDefault="00262AEC" w:rsidP="00262AEC">
      <w:pPr>
        <w:jc w:val="left"/>
        <w:sectPr w:rsidR="00262AEC" w:rsidRPr="00262AEC" w:rsidSect="00ED2803">
          <w:pgSz w:w="11900" w:h="16840"/>
          <w:pgMar w:top="1440" w:right="1797" w:bottom="1440" w:left="1797" w:header="709" w:footer="709" w:gutter="0"/>
          <w:cols w:space="708"/>
          <w:docGrid w:linePitch="360"/>
        </w:sectPr>
      </w:pPr>
    </w:p>
    <w:p w:rsidR="00ED2803" w:rsidRDefault="00ED2803"/>
    <w:sectPr w:rsidR="00ED2803" w:rsidSect="00ED2803">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CA0" w:rsidRDefault="00520CA0">
      <w:pPr>
        <w:spacing w:before="0" w:after="0" w:line="240" w:lineRule="auto"/>
      </w:pPr>
      <w:r>
        <w:separator/>
      </w:r>
    </w:p>
  </w:endnote>
  <w:endnote w:type="continuationSeparator" w:id="0">
    <w:p w:rsidR="00520CA0" w:rsidRDefault="00520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3" w:rsidRDefault="00ED2803" w:rsidP="00ED2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803" w:rsidRDefault="00ED2803" w:rsidP="00ED28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3" w:rsidRDefault="00ED2803" w:rsidP="00ED2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ED2803" w:rsidRDefault="00ED2803" w:rsidP="00ED28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CA0" w:rsidRDefault="00520CA0">
      <w:pPr>
        <w:spacing w:before="0" w:after="0" w:line="240" w:lineRule="auto"/>
      </w:pPr>
      <w:r>
        <w:separator/>
      </w:r>
    </w:p>
  </w:footnote>
  <w:footnote w:type="continuationSeparator" w:id="0">
    <w:p w:rsidR="00520CA0" w:rsidRDefault="00520CA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5FB9"/>
    <w:multiLevelType w:val="multilevel"/>
    <w:tmpl w:val="720226B6"/>
    <w:lvl w:ilvl="0">
      <w:start w:val="1"/>
      <w:numFmt w:val="upperRoman"/>
      <w:lvlText w:val="Chapter %1:"/>
      <w:lvlJc w:val="left"/>
      <w:pPr>
        <w:ind w:left="576" w:firstLine="0"/>
      </w:pPr>
      <w:rPr>
        <w:rFonts w:hint="default"/>
      </w:rPr>
    </w:lvl>
    <w:lvl w:ilvl="1">
      <w:start w:val="1"/>
      <w:numFmt w:val="upperRoman"/>
      <w:lvlText w:val="%1.%2"/>
      <w:lvlJc w:val="left"/>
      <w:pPr>
        <w:ind w:left="576" w:firstLine="0"/>
      </w:pPr>
      <w:rPr>
        <w:rFonts w:hint="default"/>
      </w:rPr>
    </w:lvl>
    <w:lvl w:ilvl="2">
      <w:start w:val="1"/>
      <w:numFmt w:val="decimal"/>
      <w:lvlText w:val="%2.%3"/>
      <w:lvlJc w:val="left"/>
      <w:pPr>
        <w:ind w:left="1296" w:hanging="323"/>
      </w:pPr>
      <w:rPr>
        <w:rFonts w:hint="default"/>
      </w:rPr>
    </w:lvl>
    <w:lvl w:ilvl="3">
      <w:start w:val="1"/>
      <w:numFmt w:val="lowerRoman"/>
      <w:lvlText w:val="(%4)"/>
      <w:lvlJc w:val="right"/>
      <w:pPr>
        <w:ind w:left="1440" w:hanging="144"/>
      </w:pPr>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584" w:hanging="432"/>
      </w:pPr>
      <w:rPr>
        <w:rFonts w:hint="default"/>
      </w:rPr>
    </w:lvl>
    <w:lvl w:ilvl="5">
      <w:start w:val="1"/>
      <w:numFmt w:val="lowerLetter"/>
      <w:lvlText w:val="%6)"/>
      <w:lvlJc w:val="left"/>
      <w:pPr>
        <w:ind w:left="1728" w:hanging="432"/>
      </w:pPr>
      <w:rPr>
        <w:rFonts w:hint="default"/>
      </w:rPr>
    </w:lvl>
    <w:lvl w:ilvl="6">
      <w:start w:val="1"/>
      <w:numFmt w:val="lowerRoman"/>
      <w:lvlText w:val="%7)"/>
      <w:lvlJc w:val="right"/>
      <w:pPr>
        <w:ind w:left="1872" w:hanging="288"/>
      </w:pPr>
      <w:rPr>
        <w:rFonts w:hint="default"/>
      </w:rPr>
    </w:lvl>
    <w:lvl w:ilvl="7">
      <w:start w:val="1"/>
      <w:numFmt w:val="lowerLetter"/>
      <w:lvlText w:val="%8."/>
      <w:lvlJc w:val="left"/>
      <w:pPr>
        <w:ind w:left="2016" w:hanging="432"/>
      </w:pPr>
      <w:rPr>
        <w:rFonts w:hint="default"/>
      </w:rPr>
    </w:lvl>
    <w:lvl w:ilvl="8">
      <w:start w:val="1"/>
      <w:numFmt w:val="lowerRoman"/>
      <w:lvlText w:val="%9."/>
      <w:lvlJc w:val="right"/>
      <w:pPr>
        <w:ind w:left="2160"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63B20"/>
    <w:rsid w:val="00003C61"/>
    <w:rsid w:val="00032A09"/>
    <w:rsid w:val="00063FC6"/>
    <w:rsid w:val="00087D21"/>
    <w:rsid w:val="000945CC"/>
    <w:rsid w:val="000A5866"/>
    <w:rsid w:val="000C052A"/>
    <w:rsid w:val="000C1095"/>
    <w:rsid w:val="000D1E73"/>
    <w:rsid w:val="000F44B1"/>
    <w:rsid w:val="00110F71"/>
    <w:rsid w:val="00117541"/>
    <w:rsid w:val="00127795"/>
    <w:rsid w:val="00127C5E"/>
    <w:rsid w:val="00127D36"/>
    <w:rsid w:val="001377FC"/>
    <w:rsid w:val="00152CCC"/>
    <w:rsid w:val="00181AB1"/>
    <w:rsid w:val="0018703E"/>
    <w:rsid w:val="001B569A"/>
    <w:rsid w:val="001F0450"/>
    <w:rsid w:val="00207A5B"/>
    <w:rsid w:val="00221DFC"/>
    <w:rsid w:val="002409FC"/>
    <w:rsid w:val="00241D1F"/>
    <w:rsid w:val="002628C3"/>
    <w:rsid w:val="00262AEC"/>
    <w:rsid w:val="00263026"/>
    <w:rsid w:val="00263B20"/>
    <w:rsid w:val="002945A8"/>
    <w:rsid w:val="002B2BAA"/>
    <w:rsid w:val="002D043B"/>
    <w:rsid w:val="002D4AF6"/>
    <w:rsid w:val="002E3E37"/>
    <w:rsid w:val="002F206D"/>
    <w:rsid w:val="002F3BF0"/>
    <w:rsid w:val="00301F17"/>
    <w:rsid w:val="00302F0A"/>
    <w:rsid w:val="00305DBB"/>
    <w:rsid w:val="00315A45"/>
    <w:rsid w:val="00315D72"/>
    <w:rsid w:val="00344067"/>
    <w:rsid w:val="00376EBE"/>
    <w:rsid w:val="00381FED"/>
    <w:rsid w:val="00387479"/>
    <w:rsid w:val="003A4CBC"/>
    <w:rsid w:val="003D2933"/>
    <w:rsid w:val="003E20A7"/>
    <w:rsid w:val="003F2FEA"/>
    <w:rsid w:val="00420D69"/>
    <w:rsid w:val="00422283"/>
    <w:rsid w:val="00425634"/>
    <w:rsid w:val="00454AA1"/>
    <w:rsid w:val="004746C3"/>
    <w:rsid w:val="00493B14"/>
    <w:rsid w:val="00497975"/>
    <w:rsid w:val="004A07D8"/>
    <w:rsid w:val="004A73E0"/>
    <w:rsid w:val="004B3DB5"/>
    <w:rsid w:val="004B5609"/>
    <w:rsid w:val="004B6B7B"/>
    <w:rsid w:val="004B73FB"/>
    <w:rsid w:val="004D2191"/>
    <w:rsid w:val="004D56B1"/>
    <w:rsid w:val="004E15D0"/>
    <w:rsid w:val="004F7F37"/>
    <w:rsid w:val="00510290"/>
    <w:rsid w:val="00520CA0"/>
    <w:rsid w:val="005236CE"/>
    <w:rsid w:val="0052705D"/>
    <w:rsid w:val="00527239"/>
    <w:rsid w:val="0053383D"/>
    <w:rsid w:val="00544440"/>
    <w:rsid w:val="00547A4B"/>
    <w:rsid w:val="00573AE7"/>
    <w:rsid w:val="00583F7E"/>
    <w:rsid w:val="005922A7"/>
    <w:rsid w:val="00592BE3"/>
    <w:rsid w:val="00595B7A"/>
    <w:rsid w:val="00597DC2"/>
    <w:rsid w:val="005A3FAC"/>
    <w:rsid w:val="005B1477"/>
    <w:rsid w:val="005D40AD"/>
    <w:rsid w:val="005E053A"/>
    <w:rsid w:val="005E479B"/>
    <w:rsid w:val="0061356B"/>
    <w:rsid w:val="00614850"/>
    <w:rsid w:val="00632EEE"/>
    <w:rsid w:val="00644B6A"/>
    <w:rsid w:val="00650584"/>
    <w:rsid w:val="006530EC"/>
    <w:rsid w:val="00654C79"/>
    <w:rsid w:val="00685656"/>
    <w:rsid w:val="006911B1"/>
    <w:rsid w:val="00691522"/>
    <w:rsid w:val="006972B4"/>
    <w:rsid w:val="006A5E9C"/>
    <w:rsid w:val="006C4076"/>
    <w:rsid w:val="006C750B"/>
    <w:rsid w:val="006E48C3"/>
    <w:rsid w:val="006F6DFD"/>
    <w:rsid w:val="00745A67"/>
    <w:rsid w:val="007524BF"/>
    <w:rsid w:val="00760966"/>
    <w:rsid w:val="00763C13"/>
    <w:rsid w:val="007915BE"/>
    <w:rsid w:val="00796450"/>
    <w:rsid w:val="007A0DBB"/>
    <w:rsid w:val="007A2770"/>
    <w:rsid w:val="007B736B"/>
    <w:rsid w:val="007B7640"/>
    <w:rsid w:val="007C7BD4"/>
    <w:rsid w:val="007E1D39"/>
    <w:rsid w:val="00802196"/>
    <w:rsid w:val="0086251F"/>
    <w:rsid w:val="00864BA5"/>
    <w:rsid w:val="00876A43"/>
    <w:rsid w:val="008922E6"/>
    <w:rsid w:val="008A0479"/>
    <w:rsid w:val="008A0573"/>
    <w:rsid w:val="008A1884"/>
    <w:rsid w:val="008E45C9"/>
    <w:rsid w:val="008F4A91"/>
    <w:rsid w:val="00960D3C"/>
    <w:rsid w:val="00984911"/>
    <w:rsid w:val="009850E8"/>
    <w:rsid w:val="00993647"/>
    <w:rsid w:val="0099472F"/>
    <w:rsid w:val="009A7462"/>
    <w:rsid w:val="009D145D"/>
    <w:rsid w:val="009E4DD0"/>
    <w:rsid w:val="00A14D7D"/>
    <w:rsid w:val="00A1534C"/>
    <w:rsid w:val="00A42D54"/>
    <w:rsid w:val="00A471C8"/>
    <w:rsid w:val="00A615DE"/>
    <w:rsid w:val="00A87B73"/>
    <w:rsid w:val="00AE2B52"/>
    <w:rsid w:val="00AF133A"/>
    <w:rsid w:val="00AF3754"/>
    <w:rsid w:val="00B4037A"/>
    <w:rsid w:val="00B45FF9"/>
    <w:rsid w:val="00B71466"/>
    <w:rsid w:val="00B82861"/>
    <w:rsid w:val="00B91823"/>
    <w:rsid w:val="00BA7DC1"/>
    <w:rsid w:val="00BC19ED"/>
    <w:rsid w:val="00BF5D16"/>
    <w:rsid w:val="00C30082"/>
    <w:rsid w:val="00C46FED"/>
    <w:rsid w:val="00C524BD"/>
    <w:rsid w:val="00C77354"/>
    <w:rsid w:val="00CB0134"/>
    <w:rsid w:val="00CB7759"/>
    <w:rsid w:val="00CC05BF"/>
    <w:rsid w:val="00CC2DCC"/>
    <w:rsid w:val="00CD303A"/>
    <w:rsid w:val="00CE0C6B"/>
    <w:rsid w:val="00CF6094"/>
    <w:rsid w:val="00D10462"/>
    <w:rsid w:val="00D15AD6"/>
    <w:rsid w:val="00D17385"/>
    <w:rsid w:val="00D222D6"/>
    <w:rsid w:val="00D26F63"/>
    <w:rsid w:val="00D320AC"/>
    <w:rsid w:val="00D33B67"/>
    <w:rsid w:val="00D33FC3"/>
    <w:rsid w:val="00D35898"/>
    <w:rsid w:val="00D4580B"/>
    <w:rsid w:val="00D54819"/>
    <w:rsid w:val="00D70841"/>
    <w:rsid w:val="00D9058D"/>
    <w:rsid w:val="00D948DA"/>
    <w:rsid w:val="00DB0ECD"/>
    <w:rsid w:val="00DC2FFA"/>
    <w:rsid w:val="00DC483B"/>
    <w:rsid w:val="00DD1146"/>
    <w:rsid w:val="00DE2A48"/>
    <w:rsid w:val="00DF04CB"/>
    <w:rsid w:val="00E0550A"/>
    <w:rsid w:val="00E53526"/>
    <w:rsid w:val="00E60A10"/>
    <w:rsid w:val="00E60A4E"/>
    <w:rsid w:val="00E700E4"/>
    <w:rsid w:val="00E8224A"/>
    <w:rsid w:val="00EA1959"/>
    <w:rsid w:val="00EA4BA4"/>
    <w:rsid w:val="00EB7A70"/>
    <w:rsid w:val="00EC3A3D"/>
    <w:rsid w:val="00ED2803"/>
    <w:rsid w:val="00ED4762"/>
    <w:rsid w:val="00F229E4"/>
    <w:rsid w:val="00F31FED"/>
    <w:rsid w:val="00F7422B"/>
    <w:rsid w:val="00F8480E"/>
    <w:rsid w:val="00FE324D"/>
    <w:rsid w:val="00FF3F0F"/>
    <w:rsid w:val="00FF59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2C6B"/>
  <w15:chartTrackingRefBased/>
  <w15:docId w15:val="{5C08EB9F-1D84-B64B-8981-74BA58DC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B20"/>
    <w:pPr>
      <w:spacing w:before="120" w:after="120" w:line="480" w:lineRule="auto"/>
      <w:jc w:val="both"/>
    </w:pPr>
    <w:rPr>
      <w:rFonts w:asciiTheme="majorHAnsi" w:eastAsiaTheme="minorEastAsia" w:hAnsiTheme="majorHAnsi"/>
      <w:sz w:val="22"/>
    </w:rPr>
  </w:style>
  <w:style w:type="paragraph" w:styleId="Heading1">
    <w:name w:val="heading 1"/>
    <w:basedOn w:val="Normal"/>
    <w:next w:val="Normal"/>
    <w:link w:val="Heading1Char"/>
    <w:uiPriority w:val="9"/>
    <w:qFormat/>
    <w:rsid w:val="00263B20"/>
    <w:pPr>
      <w:outlineLvl w:val="0"/>
    </w:pPr>
    <w:rPr>
      <w:b/>
      <w:sz w:val="36"/>
      <w:szCs w:val="36"/>
      <w:shd w:val="clear" w:color="auto" w:fill="FFFFFF"/>
    </w:rPr>
  </w:style>
  <w:style w:type="paragraph" w:styleId="Heading2">
    <w:name w:val="heading 2"/>
    <w:basedOn w:val="Normal"/>
    <w:next w:val="Normal"/>
    <w:link w:val="Heading2Char"/>
    <w:uiPriority w:val="9"/>
    <w:unhideWhenUsed/>
    <w:qFormat/>
    <w:rsid w:val="00263B20"/>
    <w:pPr>
      <w:outlineLvl w:val="1"/>
    </w:pPr>
    <w:rPr>
      <w:b/>
      <w:sz w:val="32"/>
      <w:szCs w:val="32"/>
    </w:rPr>
  </w:style>
  <w:style w:type="paragraph" w:styleId="Heading3">
    <w:name w:val="heading 3"/>
    <w:basedOn w:val="Normal"/>
    <w:next w:val="Normal"/>
    <w:link w:val="Heading3Char"/>
    <w:uiPriority w:val="9"/>
    <w:unhideWhenUsed/>
    <w:qFormat/>
    <w:rsid w:val="00263B20"/>
    <w:pPr>
      <w:keepNext/>
      <w:keepLines/>
      <w:spacing w:before="40" w:after="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semiHidden/>
    <w:unhideWhenUsed/>
    <w:qFormat/>
    <w:rsid w:val="00263B20"/>
    <w:pPr>
      <w:keepNext/>
      <w:keepLines/>
      <w:spacing w:before="200" w:after="0"/>
      <w:outlineLvl w:val="3"/>
    </w:pPr>
    <w:rPr>
      <w:rFonts w:eastAsiaTheme="majorEastAsia"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B20"/>
    <w:rPr>
      <w:rFonts w:asciiTheme="majorHAnsi" w:eastAsiaTheme="minorEastAsia" w:hAnsiTheme="majorHAnsi"/>
      <w:b/>
      <w:sz w:val="36"/>
      <w:szCs w:val="36"/>
    </w:rPr>
  </w:style>
  <w:style w:type="character" w:customStyle="1" w:styleId="Heading2Char">
    <w:name w:val="Heading 2 Char"/>
    <w:basedOn w:val="DefaultParagraphFont"/>
    <w:link w:val="Heading2"/>
    <w:uiPriority w:val="9"/>
    <w:rsid w:val="00263B20"/>
    <w:rPr>
      <w:rFonts w:asciiTheme="majorHAnsi" w:eastAsiaTheme="minorEastAsia" w:hAnsiTheme="majorHAnsi"/>
      <w:b/>
      <w:sz w:val="32"/>
      <w:szCs w:val="32"/>
    </w:rPr>
  </w:style>
  <w:style w:type="character" w:customStyle="1" w:styleId="Heading3Char">
    <w:name w:val="Heading 3 Char"/>
    <w:basedOn w:val="DefaultParagraphFont"/>
    <w:link w:val="Heading3"/>
    <w:uiPriority w:val="9"/>
    <w:rsid w:val="00263B2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63B20"/>
    <w:rPr>
      <w:rFonts w:asciiTheme="majorHAnsi" w:eastAsiaTheme="majorEastAsia" w:hAnsiTheme="majorHAnsi" w:cstheme="majorBidi"/>
      <w:b/>
      <w:bCs/>
      <w:i/>
      <w:iCs/>
      <w:color w:val="4472C4" w:themeColor="accent1"/>
      <w:sz w:val="22"/>
    </w:rPr>
  </w:style>
  <w:style w:type="paragraph" w:customStyle="1" w:styleId="EndNoteBibliographyTitle">
    <w:name w:val="EndNote Bibliography Title"/>
    <w:basedOn w:val="Normal"/>
    <w:rsid w:val="00263B20"/>
    <w:pPr>
      <w:jc w:val="center"/>
    </w:pPr>
    <w:rPr>
      <w:rFonts w:ascii="Times New Roman" w:hAnsi="Times New Roman" w:cs="Times New Roman"/>
      <w:sz w:val="24"/>
      <w:lang w:val="en-US"/>
    </w:rPr>
  </w:style>
  <w:style w:type="paragraph" w:customStyle="1" w:styleId="EndNoteBibliography">
    <w:name w:val="EndNote Bibliography"/>
    <w:basedOn w:val="Normal"/>
    <w:rsid w:val="00263B20"/>
    <w:pPr>
      <w:spacing w:line="240" w:lineRule="auto"/>
    </w:pPr>
    <w:rPr>
      <w:rFonts w:ascii="Times New Roman" w:hAnsi="Times New Roman" w:cs="Times New Roman"/>
      <w:sz w:val="24"/>
      <w:lang w:val="en-US"/>
    </w:rPr>
  </w:style>
  <w:style w:type="character" w:styleId="Strong">
    <w:name w:val="Strong"/>
    <w:basedOn w:val="DefaultParagraphFont"/>
    <w:qFormat/>
    <w:rsid w:val="00263B20"/>
    <w:rPr>
      <w:b/>
      <w:bCs/>
    </w:rPr>
  </w:style>
  <w:style w:type="paragraph" w:styleId="Caption">
    <w:name w:val="caption"/>
    <w:basedOn w:val="Normal"/>
    <w:next w:val="Normal"/>
    <w:link w:val="CaptionChar"/>
    <w:uiPriority w:val="35"/>
    <w:qFormat/>
    <w:rsid w:val="00263B20"/>
    <w:pPr>
      <w:spacing w:before="0" w:after="0" w:line="360" w:lineRule="auto"/>
      <w:ind w:left="227" w:right="227"/>
    </w:pPr>
    <w:rPr>
      <w:rFonts w:eastAsiaTheme="minorHAnsi" w:cs="Times New Roman"/>
      <w:bCs/>
      <w:szCs w:val="20"/>
      <w:lang w:val="en-US"/>
    </w:rPr>
  </w:style>
  <w:style w:type="character" w:customStyle="1" w:styleId="CaptionChar">
    <w:name w:val="Caption Char"/>
    <w:basedOn w:val="DefaultParagraphFont"/>
    <w:link w:val="Caption"/>
    <w:uiPriority w:val="35"/>
    <w:rsid w:val="00263B20"/>
    <w:rPr>
      <w:rFonts w:asciiTheme="majorHAnsi" w:hAnsiTheme="majorHAnsi" w:cs="Times New Roman"/>
      <w:bCs/>
      <w:sz w:val="22"/>
      <w:szCs w:val="20"/>
      <w:lang w:val="en-US"/>
    </w:rPr>
  </w:style>
  <w:style w:type="table" w:styleId="TableGrid">
    <w:name w:val="Table Grid"/>
    <w:basedOn w:val="TableNormal"/>
    <w:uiPriority w:val="59"/>
    <w:rsid w:val="00263B2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2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B20"/>
    <w:rPr>
      <w:rFonts w:ascii="Lucida Grande" w:eastAsiaTheme="minorEastAsia" w:hAnsi="Lucida Grande" w:cs="Lucida Grande"/>
      <w:sz w:val="18"/>
      <w:szCs w:val="18"/>
    </w:rPr>
  </w:style>
  <w:style w:type="paragraph" w:styleId="Footer">
    <w:name w:val="footer"/>
    <w:basedOn w:val="Normal"/>
    <w:link w:val="FooterChar"/>
    <w:uiPriority w:val="99"/>
    <w:unhideWhenUsed/>
    <w:rsid w:val="00263B2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63B20"/>
    <w:rPr>
      <w:rFonts w:asciiTheme="majorHAnsi" w:eastAsiaTheme="minorEastAsia" w:hAnsiTheme="majorHAnsi"/>
      <w:sz w:val="22"/>
    </w:rPr>
  </w:style>
  <w:style w:type="character" w:styleId="PageNumber">
    <w:name w:val="page number"/>
    <w:basedOn w:val="DefaultParagraphFont"/>
    <w:uiPriority w:val="99"/>
    <w:semiHidden/>
    <w:unhideWhenUsed/>
    <w:rsid w:val="00263B20"/>
  </w:style>
  <w:style w:type="paragraph" w:customStyle="1" w:styleId="SupplementaryTableNormal">
    <w:name w:val="Supplementary Table Normal"/>
    <w:basedOn w:val="Normal"/>
    <w:qFormat/>
    <w:rsid w:val="00263B20"/>
    <w:pPr>
      <w:spacing w:before="0" w:after="0"/>
    </w:pPr>
    <w:rPr>
      <w:lang w:val="en-US"/>
    </w:rPr>
  </w:style>
  <w:style w:type="character" w:styleId="CommentReference">
    <w:name w:val="annotation reference"/>
    <w:basedOn w:val="DefaultParagraphFont"/>
    <w:uiPriority w:val="99"/>
    <w:semiHidden/>
    <w:unhideWhenUsed/>
    <w:rsid w:val="00263B20"/>
    <w:rPr>
      <w:sz w:val="16"/>
      <w:szCs w:val="16"/>
    </w:rPr>
  </w:style>
  <w:style w:type="paragraph" w:styleId="CommentText">
    <w:name w:val="annotation text"/>
    <w:basedOn w:val="Normal"/>
    <w:link w:val="CommentTextChar"/>
    <w:uiPriority w:val="99"/>
    <w:semiHidden/>
    <w:unhideWhenUsed/>
    <w:rsid w:val="00263B20"/>
    <w:pPr>
      <w:spacing w:line="240" w:lineRule="auto"/>
    </w:pPr>
    <w:rPr>
      <w:sz w:val="20"/>
      <w:szCs w:val="20"/>
    </w:rPr>
  </w:style>
  <w:style w:type="character" w:customStyle="1" w:styleId="CommentTextChar">
    <w:name w:val="Comment Text Char"/>
    <w:basedOn w:val="DefaultParagraphFont"/>
    <w:link w:val="CommentText"/>
    <w:uiPriority w:val="99"/>
    <w:semiHidden/>
    <w:rsid w:val="00263B20"/>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263B20"/>
    <w:rPr>
      <w:b/>
      <w:bCs/>
    </w:rPr>
  </w:style>
  <w:style w:type="character" w:customStyle="1" w:styleId="CommentSubjectChar">
    <w:name w:val="Comment Subject Char"/>
    <w:basedOn w:val="CommentTextChar"/>
    <w:link w:val="CommentSubject"/>
    <w:uiPriority w:val="99"/>
    <w:semiHidden/>
    <w:rsid w:val="00263B20"/>
    <w:rPr>
      <w:rFonts w:asciiTheme="majorHAnsi" w:eastAsiaTheme="minorEastAsia" w:hAnsiTheme="majorHAnsi"/>
      <w:b/>
      <w:bCs/>
      <w:sz w:val="20"/>
      <w:szCs w:val="20"/>
    </w:rPr>
  </w:style>
  <w:style w:type="paragraph" w:styleId="Revision">
    <w:name w:val="Revision"/>
    <w:hidden/>
    <w:uiPriority w:val="99"/>
    <w:semiHidden/>
    <w:rsid w:val="00263B20"/>
    <w:rPr>
      <w:rFonts w:ascii="Times New Roman" w:eastAsiaTheme="minorEastAsia" w:hAnsi="Times New Roman"/>
    </w:rPr>
  </w:style>
  <w:style w:type="character" w:styleId="LineNumber">
    <w:name w:val="line number"/>
    <w:basedOn w:val="DefaultParagraphFont"/>
    <w:uiPriority w:val="99"/>
    <w:semiHidden/>
    <w:unhideWhenUsed/>
    <w:rsid w:val="00263B20"/>
  </w:style>
  <w:style w:type="paragraph" w:styleId="ListParagraph">
    <w:name w:val="List Paragraph"/>
    <w:basedOn w:val="Normal"/>
    <w:uiPriority w:val="34"/>
    <w:qFormat/>
    <w:rsid w:val="00263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5845</Words>
  <Characters>33317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Pascal Drake</cp:lastModifiedBy>
  <cp:revision>5</cp:revision>
  <dcterms:created xsi:type="dcterms:W3CDTF">2019-12-22T17:27:00Z</dcterms:created>
  <dcterms:modified xsi:type="dcterms:W3CDTF">2019-12-23T12:42:00Z</dcterms:modified>
</cp:coreProperties>
</file>