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C2153" w14:textId="7ABD28C7" w:rsidR="00615E8C" w:rsidRPr="00BE0F67" w:rsidRDefault="00643180" w:rsidP="006C2D3A">
      <w:pPr>
        <w:pStyle w:val="Title"/>
        <w:spacing w:line="480" w:lineRule="auto"/>
        <w:rPr>
          <w:sz w:val="36"/>
        </w:rPr>
      </w:pPr>
      <w:r>
        <w:rPr>
          <w:sz w:val="36"/>
        </w:rPr>
        <w:t>Invasive meningococcal disease: timing and cause of death</w:t>
      </w:r>
      <w:r w:rsidR="008546AB">
        <w:rPr>
          <w:sz w:val="36"/>
        </w:rPr>
        <w:t xml:space="preserve"> in</w:t>
      </w:r>
      <w:r>
        <w:rPr>
          <w:sz w:val="36"/>
        </w:rPr>
        <w:t xml:space="preserve"> England, </w:t>
      </w:r>
      <w:r w:rsidR="00E728A8" w:rsidRPr="00C45451">
        <w:rPr>
          <w:sz w:val="36"/>
        </w:rPr>
        <w:t>2008-2015</w:t>
      </w:r>
    </w:p>
    <w:p w14:paraId="38C3C96B" w14:textId="77777777" w:rsidR="00D76A49" w:rsidRDefault="00D76A49" w:rsidP="006C2D3A">
      <w:pPr>
        <w:pStyle w:val="Heading1"/>
        <w:spacing w:line="480" w:lineRule="auto"/>
        <w:rPr>
          <w:rFonts w:eastAsiaTheme="minorEastAsia"/>
          <w:b w:val="0"/>
          <w:bCs w:val="0"/>
          <w:i/>
          <w:iCs/>
          <w:color w:val="auto"/>
          <w:sz w:val="22"/>
          <w:szCs w:val="22"/>
        </w:rPr>
      </w:pPr>
    </w:p>
    <w:p w14:paraId="6B22F8CC" w14:textId="57E51D65" w:rsidR="00EA01CD" w:rsidRDefault="00D76A49" w:rsidP="006C2D3A">
      <w:pPr>
        <w:pStyle w:val="Heading1"/>
        <w:spacing w:line="480" w:lineRule="auto"/>
        <w:rPr>
          <w:rFonts w:eastAsiaTheme="minorEastAsia"/>
          <w:b w:val="0"/>
          <w:bCs w:val="0"/>
          <w:color w:val="auto"/>
          <w:sz w:val="22"/>
          <w:szCs w:val="22"/>
        </w:rPr>
      </w:pPr>
      <w:r>
        <w:rPr>
          <w:rFonts w:eastAsiaTheme="minorEastAsia"/>
          <w:b w:val="0"/>
          <w:bCs w:val="0"/>
          <w:color w:val="auto"/>
          <w:sz w:val="22"/>
          <w:szCs w:val="22"/>
        </w:rPr>
        <w:t>Kazim Beebeejaun,</w:t>
      </w:r>
      <w:r w:rsidRPr="00D76A49">
        <w:rPr>
          <w:rFonts w:eastAsiaTheme="minorEastAsia"/>
          <w:b w:val="0"/>
          <w:bCs w:val="0"/>
          <w:color w:val="auto"/>
          <w:sz w:val="22"/>
          <w:szCs w:val="22"/>
          <w:vertAlign w:val="superscript"/>
        </w:rPr>
        <w:t>1</w:t>
      </w:r>
      <w:r>
        <w:rPr>
          <w:rFonts w:eastAsiaTheme="minorEastAsia"/>
          <w:b w:val="0"/>
          <w:bCs w:val="0"/>
          <w:color w:val="auto"/>
          <w:sz w:val="22"/>
          <w:szCs w:val="22"/>
        </w:rPr>
        <w:t xml:space="preserve"> </w:t>
      </w:r>
      <w:proofErr w:type="spellStart"/>
      <w:r>
        <w:rPr>
          <w:rFonts w:eastAsiaTheme="minorEastAsia"/>
          <w:b w:val="0"/>
          <w:bCs w:val="0"/>
          <w:color w:val="auto"/>
          <w:sz w:val="22"/>
          <w:szCs w:val="22"/>
        </w:rPr>
        <w:t>Sydel</w:t>
      </w:r>
      <w:proofErr w:type="spellEnd"/>
      <w:r>
        <w:rPr>
          <w:rFonts w:eastAsiaTheme="minorEastAsia"/>
          <w:b w:val="0"/>
          <w:bCs w:val="0"/>
          <w:color w:val="auto"/>
          <w:sz w:val="22"/>
          <w:szCs w:val="22"/>
        </w:rPr>
        <w:t xml:space="preserve"> R Parikh,</w:t>
      </w:r>
      <w:r w:rsidRPr="00D76A49">
        <w:rPr>
          <w:rFonts w:eastAsiaTheme="minorEastAsia"/>
          <w:b w:val="0"/>
          <w:bCs w:val="0"/>
          <w:color w:val="auto"/>
          <w:sz w:val="22"/>
          <w:szCs w:val="22"/>
          <w:vertAlign w:val="superscript"/>
        </w:rPr>
        <w:t>1</w:t>
      </w:r>
      <w:r>
        <w:rPr>
          <w:rFonts w:eastAsiaTheme="minorEastAsia"/>
          <w:b w:val="0"/>
          <w:bCs w:val="0"/>
          <w:color w:val="auto"/>
          <w:sz w:val="22"/>
          <w:szCs w:val="22"/>
        </w:rPr>
        <w:t xml:space="preserve"> Helen Campbell,</w:t>
      </w:r>
      <w:r>
        <w:rPr>
          <w:rFonts w:eastAsiaTheme="minorEastAsia"/>
          <w:b w:val="0"/>
          <w:bCs w:val="0"/>
          <w:color w:val="auto"/>
          <w:sz w:val="22"/>
          <w:szCs w:val="22"/>
          <w:vertAlign w:val="superscript"/>
        </w:rPr>
        <w:t>1</w:t>
      </w:r>
      <w:r>
        <w:rPr>
          <w:rFonts w:eastAsiaTheme="minorEastAsia"/>
          <w:b w:val="0"/>
          <w:bCs w:val="0"/>
          <w:color w:val="auto"/>
          <w:sz w:val="22"/>
          <w:szCs w:val="22"/>
        </w:rPr>
        <w:t xml:space="preserve"> Steve Gray,</w:t>
      </w:r>
      <w:r w:rsidRPr="00D76A49">
        <w:rPr>
          <w:rFonts w:eastAsiaTheme="minorEastAsia"/>
          <w:b w:val="0"/>
          <w:bCs w:val="0"/>
          <w:color w:val="auto"/>
          <w:sz w:val="22"/>
          <w:szCs w:val="22"/>
          <w:vertAlign w:val="superscript"/>
        </w:rPr>
        <w:t>2</w:t>
      </w:r>
      <w:r>
        <w:rPr>
          <w:rFonts w:eastAsiaTheme="minorEastAsia"/>
          <w:b w:val="0"/>
          <w:bCs w:val="0"/>
          <w:color w:val="auto"/>
          <w:sz w:val="22"/>
          <w:szCs w:val="22"/>
        </w:rPr>
        <w:t xml:space="preserve"> Ray Borrow,</w:t>
      </w:r>
      <w:r w:rsidRPr="00D76A49">
        <w:rPr>
          <w:rFonts w:eastAsiaTheme="minorEastAsia"/>
          <w:b w:val="0"/>
          <w:bCs w:val="0"/>
          <w:color w:val="auto"/>
          <w:sz w:val="22"/>
          <w:szCs w:val="22"/>
          <w:vertAlign w:val="superscript"/>
        </w:rPr>
        <w:t>2</w:t>
      </w:r>
      <w:r>
        <w:rPr>
          <w:rFonts w:eastAsiaTheme="minorEastAsia"/>
          <w:b w:val="0"/>
          <w:bCs w:val="0"/>
          <w:color w:val="auto"/>
          <w:sz w:val="22"/>
          <w:szCs w:val="22"/>
        </w:rPr>
        <w:t xml:space="preserve"> Mary E Ramsay,</w:t>
      </w:r>
      <w:r w:rsidRPr="00D76A49">
        <w:rPr>
          <w:rFonts w:eastAsiaTheme="minorEastAsia"/>
          <w:b w:val="0"/>
          <w:bCs w:val="0"/>
          <w:color w:val="auto"/>
          <w:sz w:val="22"/>
          <w:szCs w:val="22"/>
          <w:vertAlign w:val="superscript"/>
        </w:rPr>
        <w:t>1</w:t>
      </w:r>
      <w:r>
        <w:rPr>
          <w:rFonts w:eastAsiaTheme="minorEastAsia"/>
          <w:b w:val="0"/>
          <w:bCs w:val="0"/>
          <w:color w:val="auto"/>
          <w:sz w:val="22"/>
          <w:szCs w:val="22"/>
        </w:rPr>
        <w:t xml:space="preserve"> </w:t>
      </w:r>
      <w:proofErr w:type="spellStart"/>
      <w:r>
        <w:rPr>
          <w:rFonts w:eastAsiaTheme="minorEastAsia"/>
          <w:b w:val="0"/>
          <w:bCs w:val="0"/>
          <w:color w:val="auto"/>
          <w:sz w:val="22"/>
          <w:szCs w:val="22"/>
        </w:rPr>
        <w:t>Shamez</w:t>
      </w:r>
      <w:proofErr w:type="spellEnd"/>
      <w:r>
        <w:rPr>
          <w:rFonts w:eastAsiaTheme="minorEastAsia"/>
          <w:b w:val="0"/>
          <w:bCs w:val="0"/>
          <w:color w:val="auto"/>
          <w:sz w:val="22"/>
          <w:szCs w:val="22"/>
        </w:rPr>
        <w:t xml:space="preserve"> N Ladhani.</w:t>
      </w:r>
      <w:r w:rsidRPr="00D76A49">
        <w:rPr>
          <w:rFonts w:eastAsiaTheme="minorEastAsia"/>
          <w:b w:val="0"/>
          <w:bCs w:val="0"/>
          <w:color w:val="auto"/>
          <w:sz w:val="22"/>
          <w:szCs w:val="22"/>
          <w:vertAlign w:val="superscript"/>
        </w:rPr>
        <w:t>1,3</w:t>
      </w:r>
    </w:p>
    <w:p w14:paraId="0BA59D36" w14:textId="64B04E43" w:rsidR="007A2EB9" w:rsidRDefault="007A2EB9" w:rsidP="006C2D3A">
      <w:pPr>
        <w:spacing w:line="480" w:lineRule="auto"/>
      </w:pPr>
    </w:p>
    <w:p w14:paraId="5AB753CE" w14:textId="1CB156C8" w:rsidR="007A2EB9" w:rsidRDefault="007A2EB9" w:rsidP="006C2D3A">
      <w:pPr>
        <w:spacing w:line="480" w:lineRule="auto"/>
      </w:pPr>
      <w:r w:rsidRPr="007A2EB9">
        <w:rPr>
          <w:vertAlign w:val="superscript"/>
        </w:rPr>
        <w:t>1</w:t>
      </w:r>
      <w:r>
        <w:t xml:space="preserve"> Immunisation and Countermeasures Division, Public Health England, 61 Colindale Avenue, London NW9 5EQ, UK</w:t>
      </w:r>
    </w:p>
    <w:p w14:paraId="0E21BE2C" w14:textId="55513575" w:rsidR="00BE0F67" w:rsidRDefault="00BE0F67" w:rsidP="006C2D3A">
      <w:pPr>
        <w:spacing w:line="480" w:lineRule="auto"/>
      </w:pPr>
      <w:r>
        <w:rPr>
          <w:vertAlign w:val="superscript"/>
        </w:rPr>
        <w:t>2</w:t>
      </w:r>
      <w:r>
        <w:t xml:space="preserve"> </w:t>
      </w:r>
      <w:r w:rsidRPr="000D110B">
        <w:t xml:space="preserve">Meningococcal Reference Unit, Public Health England, </w:t>
      </w:r>
      <w:r>
        <w:t xml:space="preserve">Manchester Royal Infirmary, </w:t>
      </w:r>
      <w:r w:rsidRPr="000D110B">
        <w:t>Manchester, United Kingdom</w:t>
      </w:r>
    </w:p>
    <w:p w14:paraId="23A35DF3" w14:textId="50F110CB" w:rsidR="007A2EB9" w:rsidRDefault="00BE0F67" w:rsidP="006C2D3A">
      <w:pPr>
        <w:spacing w:line="480" w:lineRule="auto"/>
      </w:pPr>
      <w:r>
        <w:rPr>
          <w:vertAlign w:val="superscript"/>
        </w:rPr>
        <w:t>3</w:t>
      </w:r>
      <w:r w:rsidRPr="008967A1">
        <w:rPr>
          <w:vertAlign w:val="superscript"/>
        </w:rPr>
        <w:t xml:space="preserve"> </w:t>
      </w:r>
      <w:r>
        <w:t>Paediatric Infectious Diseases Research Group (PIDRG), St. George’s University of London, Cranmer Terrace, London SW17 0RE, UK.</w:t>
      </w:r>
    </w:p>
    <w:p w14:paraId="23CF5FA6" w14:textId="77777777" w:rsidR="007B4D65" w:rsidRDefault="007B4D65" w:rsidP="006C2D3A">
      <w:pPr>
        <w:spacing w:line="480" w:lineRule="auto"/>
      </w:pPr>
    </w:p>
    <w:p w14:paraId="5621F1CC" w14:textId="47F36DAC" w:rsidR="007C2EEC" w:rsidRPr="007C2EEC" w:rsidRDefault="007C2EEC" w:rsidP="006C2D3A">
      <w:pPr>
        <w:spacing w:line="480" w:lineRule="auto"/>
      </w:pPr>
      <w:r w:rsidRPr="00D5450C">
        <w:rPr>
          <w:b/>
          <w:bCs/>
        </w:rPr>
        <w:t>Running title:</w:t>
      </w:r>
      <w:r w:rsidRPr="007C2EEC">
        <w:t xml:space="preserve"> Deaths due to meningococcal disease</w:t>
      </w:r>
    </w:p>
    <w:p w14:paraId="6A99E8DF" w14:textId="33E509F3" w:rsidR="007C2EEC" w:rsidRPr="007C2EEC" w:rsidRDefault="007C2EEC" w:rsidP="006C2D3A">
      <w:pPr>
        <w:spacing w:line="480" w:lineRule="auto"/>
      </w:pPr>
      <w:r w:rsidRPr="00D5450C">
        <w:rPr>
          <w:b/>
          <w:bCs/>
        </w:rPr>
        <w:t>Keywords:</w:t>
      </w:r>
      <w:r>
        <w:t xml:space="preserve"> meningococcal disease, case fatality rate, death, cause, </w:t>
      </w:r>
      <w:proofErr w:type="spellStart"/>
      <w:r>
        <w:t>serogoup</w:t>
      </w:r>
      <w:proofErr w:type="spellEnd"/>
    </w:p>
    <w:p w14:paraId="6F4604A2" w14:textId="77777777" w:rsidR="007C2EEC" w:rsidRPr="007C2EEC" w:rsidRDefault="007C2EEC" w:rsidP="006C2D3A">
      <w:pPr>
        <w:pStyle w:val="Body"/>
        <w:spacing w:line="480" w:lineRule="auto"/>
        <w:rPr>
          <w:rFonts w:ascii="Arial" w:eastAsiaTheme="minorEastAsia" w:hAnsi="Arial" w:cs="Arial"/>
          <w:color w:val="auto"/>
          <w:bdr w:val="none" w:sz="0" w:space="0" w:color="auto"/>
          <w:lang w:val="en-GB" w:eastAsia="en-US"/>
        </w:rPr>
      </w:pPr>
    </w:p>
    <w:p w14:paraId="6C2CBFC6" w14:textId="73C2FFEB" w:rsidR="007C2EEC" w:rsidRPr="007C2EEC" w:rsidRDefault="007C2EEC" w:rsidP="006C2D3A">
      <w:pPr>
        <w:pStyle w:val="Body"/>
        <w:spacing w:line="480" w:lineRule="auto"/>
        <w:rPr>
          <w:rFonts w:ascii="Arial" w:eastAsiaTheme="minorEastAsia" w:hAnsi="Arial" w:cs="Arial"/>
          <w:color w:val="auto"/>
          <w:bdr w:val="none" w:sz="0" w:space="0" w:color="auto"/>
          <w:lang w:val="en-GB" w:eastAsia="en-US"/>
        </w:rPr>
      </w:pPr>
      <w:r w:rsidRPr="00230000">
        <w:rPr>
          <w:rFonts w:ascii="Arial" w:eastAsiaTheme="minorEastAsia" w:hAnsi="Arial" w:cs="Arial"/>
          <w:b/>
          <w:bCs/>
          <w:color w:val="auto"/>
          <w:bdr w:val="none" w:sz="0" w:space="0" w:color="auto"/>
          <w:lang w:val="en-GB" w:eastAsia="en-US"/>
        </w:rPr>
        <w:t>Corresponding author:</w:t>
      </w:r>
      <w:r w:rsidRPr="007C2EEC">
        <w:rPr>
          <w:rFonts w:ascii="Arial" w:eastAsiaTheme="minorEastAsia" w:hAnsi="Arial" w:cs="Arial"/>
          <w:color w:val="auto"/>
          <w:bdr w:val="none" w:sz="0" w:space="0" w:color="auto"/>
          <w:lang w:val="en-GB" w:eastAsia="en-US"/>
        </w:rPr>
        <w:t xml:space="preserve"> Dr </w:t>
      </w:r>
      <w:proofErr w:type="spellStart"/>
      <w:r w:rsidRPr="007C2EEC">
        <w:rPr>
          <w:rFonts w:ascii="Arial" w:eastAsiaTheme="minorEastAsia" w:hAnsi="Arial" w:cs="Arial"/>
          <w:color w:val="auto"/>
          <w:bdr w:val="none" w:sz="0" w:space="0" w:color="auto"/>
          <w:lang w:val="en-GB" w:eastAsia="en-US"/>
        </w:rPr>
        <w:t>Shamez</w:t>
      </w:r>
      <w:proofErr w:type="spellEnd"/>
      <w:r w:rsidRPr="007C2EEC">
        <w:rPr>
          <w:rFonts w:ascii="Arial" w:eastAsiaTheme="minorEastAsia" w:hAnsi="Arial" w:cs="Arial"/>
          <w:color w:val="auto"/>
          <w:bdr w:val="none" w:sz="0" w:space="0" w:color="auto"/>
          <w:lang w:val="en-GB" w:eastAsia="en-US"/>
        </w:rPr>
        <w:t xml:space="preserve"> </w:t>
      </w:r>
      <w:proofErr w:type="spellStart"/>
      <w:r w:rsidRPr="007C2EEC">
        <w:rPr>
          <w:rFonts w:ascii="Arial" w:eastAsiaTheme="minorEastAsia" w:hAnsi="Arial" w:cs="Arial"/>
          <w:color w:val="auto"/>
          <w:bdr w:val="none" w:sz="0" w:space="0" w:color="auto"/>
          <w:lang w:val="en-GB" w:eastAsia="en-US"/>
        </w:rPr>
        <w:t>Ladhani</w:t>
      </w:r>
      <w:proofErr w:type="spellEnd"/>
      <w:r w:rsidRPr="007C2EEC">
        <w:rPr>
          <w:rFonts w:ascii="Arial" w:eastAsiaTheme="minorEastAsia" w:hAnsi="Arial" w:cs="Arial"/>
          <w:color w:val="auto"/>
          <w:bdr w:val="none" w:sz="0" w:space="0" w:color="auto"/>
          <w:lang w:val="en-GB" w:eastAsia="en-US"/>
        </w:rPr>
        <w:t xml:space="preserve">, Public Health England, Immunisation and Countermeasures Division, 61 Colindale Avenue, London NW9 5EQ. Email: </w:t>
      </w:r>
      <w:hyperlink r:id="rId8" w:history="1">
        <w:r w:rsidRPr="007C2EEC">
          <w:rPr>
            <w:rFonts w:ascii="Arial" w:eastAsiaTheme="minorEastAsia" w:hAnsi="Arial" w:cs="Arial"/>
            <w:color w:val="auto"/>
            <w:bdr w:val="none" w:sz="0" w:space="0" w:color="auto"/>
            <w:lang w:val="en-GB" w:eastAsia="en-US"/>
          </w:rPr>
          <w:t>shamez.ladhani@phe.gov.uk</w:t>
        </w:r>
      </w:hyperlink>
      <w:r>
        <w:rPr>
          <w:rFonts w:ascii="Arial" w:eastAsiaTheme="minorEastAsia" w:hAnsi="Arial" w:cs="Arial"/>
          <w:color w:val="auto"/>
          <w:bdr w:val="none" w:sz="0" w:space="0" w:color="auto"/>
          <w:lang w:val="en-GB" w:eastAsia="en-US"/>
        </w:rPr>
        <w:t xml:space="preserve"> </w:t>
      </w:r>
      <w:r w:rsidRPr="007C2EEC">
        <w:rPr>
          <w:rFonts w:ascii="Arial" w:eastAsiaTheme="minorEastAsia" w:hAnsi="Arial" w:cs="Arial"/>
          <w:color w:val="auto"/>
          <w:bdr w:val="none" w:sz="0" w:space="0" w:color="auto"/>
          <w:lang w:val="en-GB" w:eastAsia="en-US"/>
        </w:rPr>
        <w:t xml:space="preserve"> </w:t>
      </w:r>
    </w:p>
    <w:p w14:paraId="249DD5DB" w14:textId="7287B6ED" w:rsidR="007C2EEC" w:rsidRDefault="007C2EEC" w:rsidP="006C2D3A">
      <w:pPr>
        <w:spacing w:line="480" w:lineRule="auto"/>
      </w:pPr>
    </w:p>
    <w:p w14:paraId="2F82055E" w14:textId="7FB67A7C" w:rsidR="00EA01CD" w:rsidRDefault="00EA01CD" w:rsidP="006C2D3A">
      <w:pPr>
        <w:pStyle w:val="Heading1"/>
        <w:spacing w:line="480" w:lineRule="auto"/>
      </w:pPr>
      <w:r>
        <w:lastRenderedPageBreak/>
        <w:t>Abstract</w:t>
      </w:r>
    </w:p>
    <w:p w14:paraId="527D4B1B" w14:textId="77777777" w:rsidR="00EA01CD" w:rsidRPr="000C2E16" w:rsidRDefault="00EA01CD" w:rsidP="006C2D3A">
      <w:pPr>
        <w:pStyle w:val="Heading1"/>
        <w:spacing w:line="480" w:lineRule="auto"/>
        <w:rPr>
          <w:rFonts w:eastAsiaTheme="minorEastAsia"/>
          <w:color w:val="auto"/>
          <w:sz w:val="22"/>
          <w:szCs w:val="22"/>
        </w:rPr>
      </w:pPr>
      <w:r w:rsidRPr="000C2E16">
        <w:rPr>
          <w:rFonts w:eastAsiaTheme="minorEastAsia"/>
          <w:color w:val="auto"/>
          <w:sz w:val="22"/>
          <w:szCs w:val="22"/>
        </w:rPr>
        <w:t>Background</w:t>
      </w:r>
    </w:p>
    <w:p w14:paraId="62F3B9C0" w14:textId="0F1F26B3" w:rsidR="00643180" w:rsidRDefault="00EA01CD" w:rsidP="006C2D3A">
      <w:pPr>
        <w:pStyle w:val="Heading1"/>
        <w:spacing w:line="480" w:lineRule="auto"/>
        <w:rPr>
          <w:rFonts w:eastAsiaTheme="minorEastAsia"/>
          <w:b w:val="0"/>
          <w:bCs w:val="0"/>
          <w:color w:val="auto"/>
          <w:sz w:val="22"/>
          <w:szCs w:val="22"/>
        </w:rPr>
      </w:pPr>
      <w:r w:rsidRPr="000C2E16">
        <w:rPr>
          <w:rFonts w:eastAsiaTheme="minorEastAsia"/>
          <w:b w:val="0"/>
          <w:bCs w:val="0"/>
          <w:i/>
          <w:iCs/>
          <w:color w:val="auto"/>
          <w:sz w:val="22"/>
          <w:szCs w:val="22"/>
        </w:rPr>
        <w:t>Neisseria meningitidis</w:t>
      </w:r>
      <w:r w:rsidRPr="00EA01CD">
        <w:rPr>
          <w:rFonts w:eastAsiaTheme="minorEastAsia"/>
          <w:b w:val="0"/>
          <w:bCs w:val="0"/>
          <w:color w:val="auto"/>
          <w:sz w:val="22"/>
          <w:szCs w:val="22"/>
        </w:rPr>
        <w:t xml:space="preserve"> is </w:t>
      </w:r>
      <w:r w:rsidR="00B32B21">
        <w:rPr>
          <w:rFonts w:eastAsiaTheme="minorEastAsia"/>
          <w:b w:val="0"/>
          <w:bCs w:val="0"/>
          <w:color w:val="auto"/>
          <w:sz w:val="22"/>
          <w:szCs w:val="22"/>
        </w:rPr>
        <w:t xml:space="preserve">a major cause of </w:t>
      </w:r>
      <w:r w:rsidRPr="00EA01CD">
        <w:rPr>
          <w:rFonts w:eastAsiaTheme="minorEastAsia"/>
          <w:b w:val="0"/>
          <w:bCs w:val="0"/>
          <w:color w:val="auto"/>
          <w:sz w:val="22"/>
          <w:szCs w:val="22"/>
        </w:rPr>
        <w:t>bacterial meningitis and septicaemia</w:t>
      </w:r>
      <w:r w:rsidR="000C2E16">
        <w:rPr>
          <w:rFonts w:eastAsiaTheme="minorEastAsia"/>
          <w:b w:val="0"/>
          <w:bCs w:val="0"/>
          <w:color w:val="auto"/>
          <w:sz w:val="22"/>
          <w:szCs w:val="22"/>
        </w:rPr>
        <w:t xml:space="preserve">, with death often occurring </w:t>
      </w:r>
      <w:r w:rsidR="00B32B21">
        <w:rPr>
          <w:rFonts w:eastAsiaTheme="minorEastAsia"/>
          <w:b w:val="0"/>
          <w:bCs w:val="0"/>
          <w:color w:val="auto"/>
          <w:sz w:val="22"/>
          <w:szCs w:val="22"/>
        </w:rPr>
        <w:t>rapidly after</w:t>
      </w:r>
      <w:r w:rsidR="000C2E16">
        <w:rPr>
          <w:rFonts w:eastAsiaTheme="minorEastAsia"/>
          <w:b w:val="0"/>
          <w:bCs w:val="0"/>
          <w:color w:val="auto"/>
          <w:sz w:val="22"/>
          <w:szCs w:val="22"/>
        </w:rPr>
        <w:t xml:space="preserve"> onset of the first symptoms. </w:t>
      </w:r>
      <w:r w:rsidR="00B32B21">
        <w:rPr>
          <w:rFonts w:eastAsiaTheme="minorEastAsia"/>
          <w:b w:val="0"/>
          <w:bCs w:val="0"/>
          <w:color w:val="auto"/>
          <w:sz w:val="22"/>
          <w:szCs w:val="22"/>
        </w:rPr>
        <w:t>Later d</w:t>
      </w:r>
      <w:r w:rsidR="002044DC">
        <w:rPr>
          <w:rFonts w:eastAsiaTheme="minorEastAsia"/>
          <w:b w:val="0"/>
          <w:bCs w:val="0"/>
          <w:color w:val="auto"/>
          <w:sz w:val="22"/>
          <w:szCs w:val="22"/>
        </w:rPr>
        <w:t xml:space="preserve">eath can also occur later, but may be due to other causes, </w:t>
      </w:r>
      <w:r w:rsidR="00B32B21">
        <w:rPr>
          <w:rFonts w:eastAsiaTheme="minorEastAsia"/>
          <w:b w:val="0"/>
          <w:bCs w:val="0"/>
          <w:color w:val="auto"/>
          <w:sz w:val="22"/>
          <w:szCs w:val="22"/>
        </w:rPr>
        <w:t>such as</w:t>
      </w:r>
      <w:r w:rsidR="002044DC">
        <w:rPr>
          <w:rFonts w:eastAsiaTheme="minorEastAsia"/>
          <w:b w:val="0"/>
          <w:bCs w:val="0"/>
          <w:color w:val="auto"/>
          <w:sz w:val="22"/>
          <w:szCs w:val="22"/>
        </w:rPr>
        <w:t xml:space="preserve"> underlying comorbidities. The study aimed to assess the timing and cause of death in patients with </w:t>
      </w:r>
      <w:r w:rsidR="00B32B21">
        <w:rPr>
          <w:rFonts w:eastAsiaTheme="minorEastAsia"/>
          <w:b w:val="0"/>
          <w:bCs w:val="0"/>
          <w:color w:val="auto"/>
          <w:sz w:val="22"/>
          <w:szCs w:val="22"/>
        </w:rPr>
        <w:t>invasive meningococcal disease (</w:t>
      </w:r>
      <w:r w:rsidR="002044DC">
        <w:rPr>
          <w:rFonts w:eastAsiaTheme="minorEastAsia"/>
          <w:b w:val="0"/>
          <w:bCs w:val="0"/>
          <w:color w:val="auto"/>
          <w:sz w:val="22"/>
          <w:szCs w:val="22"/>
        </w:rPr>
        <w:t>IMD</w:t>
      </w:r>
      <w:r w:rsidR="00B32B21">
        <w:rPr>
          <w:rFonts w:eastAsiaTheme="minorEastAsia"/>
          <w:b w:val="0"/>
          <w:bCs w:val="0"/>
          <w:color w:val="auto"/>
          <w:sz w:val="22"/>
          <w:szCs w:val="22"/>
        </w:rPr>
        <w:t>)</w:t>
      </w:r>
      <w:r w:rsidR="002044DC">
        <w:rPr>
          <w:rFonts w:eastAsiaTheme="minorEastAsia"/>
          <w:b w:val="0"/>
          <w:bCs w:val="0"/>
          <w:color w:val="auto"/>
          <w:sz w:val="22"/>
          <w:szCs w:val="22"/>
        </w:rPr>
        <w:t xml:space="preserve"> prior to the introduction of two new meningococcal immunisation programmes in England </w:t>
      </w:r>
    </w:p>
    <w:p w14:paraId="2BEEC703" w14:textId="1DF3AC36" w:rsidR="00EA01CD" w:rsidRPr="004B1E2C" w:rsidRDefault="00EA01CD" w:rsidP="006C2D3A">
      <w:pPr>
        <w:spacing w:line="480" w:lineRule="auto"/>
        <w:rPr>
          <w:b/>
          <w:bCs/>
        </w:rPr>
      </w:pPr>
      <w:r w:rsidRPr="004B1E2C">
        <w:rPr>
          <w:b/>
          <w:bCs/>
        </w:rPr>
        <w:t>Methods</w:t>
      </w:r>
    </w:p>
    <w:p w14:paraId="2822593A" w14:textId="67D800AE" w:rsidR="00EA01CD" w:rsidRDefault="003D16DD" w:rsidP="006C2D3A">
      <w:pPr>
        <w:spacing w:line="480" w:lineRule="auto"/>
      </w:pPr>
      <w:r>
        <w:t xml:space="preserve">Public Health England (PHE) conducts IMD surveillance in England through its national meningococcal </w:t>
      </w:r>
      <w:r w:rsidR="000B3A72">
        <w:t>reference unit</w:t>
      </w:r>
      <w:r w:rsidR="00D44010">
        <w:t>. Laboratory-confirmed IMD cases diagnosed during 20</w:t>
      </w:r>
      <w:r w:rsidR="0014709F">
        <w:t>0</w:t>
      </w:r>
      <w:r w:rsidR="00D44010">
        <w:t xml:space="preserve">8-2015 </w:t>
      </w:r>
      <w:r w:rsidR="00552D1D">
        <w:t xml:space="preserve">were linked </w:t>
      </w:r>
      <w:r w:rsidR="00E73D34">
        <w:t>to</w:t>
      </w:r>
      <w:r w:rsidR="00552D1D">
        <w:t xml:space="preserve"> weekly and annual electronic death registration records as well as the </w:t>
      </w:r>
      <w:r w:rsidR="0014709F">
        <w:t xml:space="preserve">online </w:t>
      </w:r>
      <w:r w:rsidR="00552D1D">
        <w:t xml:space="preserve">Patient Demographic Service (PDS). </w:t>
      </w:r>
    </w:p>
    <w:p w14:paraId="56548E77" w14:textId="42304689" w:rsidR="00EA01CD" w:rsidRPr="00006960" w:rsidRDefault="00EA01CD" w:rsidP="006C2D3A">
      <w:pPr>
        <w:spacing w:line="480" w:lineRule="auto"/>
        <w:rPr>
          <w:b/>
          <w:bCs/>
        </w:rPr>
      </w:pPr>
      <w:r w:rsidRPr="004B1E2C">
        <w:rPr>
          <w:b/>
          <w:bCs/>
        </w:rPr>
        <w:t xml:space="preserve">Results </w:t>
      </w:r>
    </w:p>
    <w:p w14:paraId="62D0FE79" w14:textId="41B4E240" w:rsidR="00263B94" w:rsidRPr="00B32B21" w:rsidRDefault="00E73D34" w:rsidP="006C2D3A">
      <w:pPr>
        <w:spacing w:line="480" w:lineRule="auto"/>
      </w:pPr>
      <w:r>
        <w:t>Overall,</w:t>
      </w:r>
      <w:r w:rsidR="002A4D40">
        <w:t xml:space="preserve"> 6,734 </w:t>
      </w:r>
      <w:r>
        <w:t xml:space="preserve">of 6,808 </w:t>
      </w:r>
      <w:r w:rsidR="002A4D40">
        <w:t xml:space="preserve">(99%) </w:t>
      </w:r>
      <w:r>
        <w:t xml:space="preserve">laboratory-confirmed IMD </w:t>
      </w:r>
      <w:r w:rsidR="002A4D40">
        <w:t>cases matched to</w:t>
      </w:r>
      <w:r>
        <w:t xml:space="preserve"> </w:t>
      </w:r>
      <w:r w:rsidR="002A4D40">
        <w:t>PDS</w:t>
      </w:r>
      <w:r w:rsidR="0014709F">
        <w:t xml:space="preserve">, including 668 </w:t>
      </w:r>
      <w:r>
        <w:t xml:space="preserve">fatalities. Of these, </w:t>
      </w:r>
      <w:r w:rsidR="002A4D40">
        <w:t xml:space="preserve">667 linked to an </w:t>
      </w:r>
      <w:r>
        <w:t>a</w:t>
      </w:r>
      <w:r w:rsidR="002A4D40">
        <w:t>nnual</w:t>
      </w:r>
      <w:r>
        <w:t xml:space="preserve"> death registrations</w:t>
      </w:r>
      <w:r w:rsidR="002A4D40">
        <w:t xml:space="preserve"> </w:t>
      </w:r>
      <w:r w:rsidR="0014709F">
        <w:t>compared to</w:t>
      </w:r>
      <w:r w:rsidR="002A4D40">
        <w:t xml:space="preserve"> 405 </w:t>
      </w:r>
      <w:r>
        <w:t>to w</w:t>
      </w:r>
      <w:r w:rsidR="002A4D40">
        <w:t>eekly</w:t>
      </w:r>
      <w:r>
        <w:t xml:space="preserve"> registrations</w:t>
      </w:r>
      <w:r w:rsidR="002A4D40">
        <w:t>.</w:t>
      </w:r>
      <w:r w:rsidR="00EB5E8E">
        <w:t xml:space="preserve"> </w:t>
      </w:r>
      <w:r>
        <w:t>In total,</w:t>
      </w:r>
      <w:r w:rsidR="002A4D40">
        <w:t xml:space="preserve"> </w:t>
      </w:r>
      <w:r w:rsidR="002A4D40" w:rsidRPr="0033768D">
        <w:t xml:space="preserve">429/667 </w:t>
      </w:r>
      <w:r w:rsidR="002A4D40" w:rsidRPr="00B01E5E">
        <w:t xml:space="preserve">(64.3%) </w:t>
      </w:r>
      <w:r w:rsidR="002A4D40" w:rsidRPr="0033768D">
        <w:t xml:space="preserve">of all </w:t>
      </w:r>
      <w:r w:rsidR="002A4D40" w:rsidRPr="00B01E5E">
        <w:t>deaths</w:t>
      </w:r>
      <w:r w:rsidR="002A4D40" w:rsidRPr="0033768D">
        <w:t xml:space="preserve"> and 428/502 </w:t>
      </w:r>
      <w:r w:rsidR="002A4D40" w:rsidRPr="00B01E5E">
        <w:t xml:space="preserve">(85.3%) of </w:t>
      </w:r>
      <w:r w:rsidR="002A4D40" w:rsidRPr="0033768D">
        <w:t xml:space="preserve">IMD-related deaths occurred within </w:t>
      </w:r>
      <w:r w:rsidR="00EB5E8E">
        <w:t>one</w:t>
      </w:r>
      <w:r w:rsidR="002A4D40" w:rsidRPr="0033768D">
        <w:t xml:space="preserve"> day of diagnosis</w:t>
      </w:r>
      <w:r w:rsidR="002A4D40" w:rsidRPr="00B01E5E">
        <w:t>. At 30 days after IMD diagnosis</w:t>
      </w:r>
      <w:r w:rsidR="002A4D40" w:rsidRPr="0033768D">
        <w:t xml:space="preserve">, </w:t>
      </w:r>
      <w:r w:rsidR="0014709F">
        <w:t>498/667 (74.7%) had died and 98.4% (490/498) were IMD-related</w:t>
      </w:r>
      <w:r>
        <w:t xml:space="preserve">. </w:t>
      </w:r>
      <w:r w:rsidR="000815C1">
        <w:t xml:space="preserve">Serogroup </w:t>
      </w:r>
      <w:r w:rsidR="002A4D40">
        <w:t xml:space="preserve">B contributed to 64% (323/502) of IMD-related deaths, followed by </w:t>
      </w:r>
      <w:r w:rsidR="000815C1">
        <w:t xml:space="preserve">serogroup </w:t>
      </w:r>
      <w:r w:rsidR="002A4D40">
        <w:t xml:space="preserve">W </w:t>
      </w:r>
      <w:r w:rsidR="00EB5E8E">
        <w:t xml:space="preserve">(84/502, 17%) </w:t>
      </w:r>
      <w:r w:rsidR="002A4D40">
        <w:t xml:space="preserve">and </w:t>
      </w:r>
      <w:r w:rsidR="000815C1">
        <w:t xml:space="preserve">serogroup </w:t>
      </w:r>
      <w:r w:rsidR="002A4D40">
        <w:t xml:space="preserve">Y </w:t>
      </w:r>
      <w:r w:rsidR="00EB5E8E">
        <w:t xml:space="preserve">(70/502, 14%). </w:t>
      </w:r>
      <w:r w:rsidR="0014709F">
        <w:t>Deaths occurring</w:t>
      </w:r>
      <w:r w:rsidR="002A4D40">
        <w:t xml:space="preserve"> after 30 days were less likely to be IMD-related</w:t>
      </w:r>
      <w:r w:rsidR="00EB5E8E">
        <w:t xml:space="preserve">, </w:t>
      </w:r>
      <w:r w:rsidR="0014709F">
        <w:t xml:space="preserve">mainly </w:t>
      </w:r>
      <w:r w:rsidR="002A4D40">
        <w:t>among ≥65 year-olds</w:t>
      </w:r>
      <w:r w:rsidR="00EB5E8E">
        <w:t>, with</w:t>
      </w:r>
      <w:r w:rsidR="002A4D40">
        <w:t xml:space="preserve"> malignancy, chronic respiratory and cardiac conditions</w:t>
      </w:r>
      <w:r w:rsidR="00EB5E8E">
        <w:t xml:space="preserve"> predominating.</w:t>
      </w:r>
    </w:p>
    <w:p w14:paraId="299F5E44" w14:textId="29454E13" w:rsidR="00EA01CD" w:rsidRPr="00E03F4A" w:rsidRDefault="00EA01CD" w:rsidP="006C2D3A">
      <w:pPr>
        <w:spacing w:line="480" w:lineRule="auto"/>
        <w:rPr>
          <w:b/>
          <w:bCs/>
        </w:rPr>
      </w:pPr>
      <w:r w:rsidRPr="00E03F4A">
        <w:rPr>
          <w:b/>
          <w:bCs/>
        </w:rPr>
        <w:t>Conclusions</w:t>
      </w:r>
    </w:p>
    <w:p w14:paraId="5F887929" w14:textId="0097EF1F" w:rsidR="00B32B21" w:rsidRDefault="00B32B21" w:rsidP="006C2D3A">
      <w:pPr>
        <w:spacing w:line="480" w:lineRule="auto"/>
        <w:sectPr w:rsidR="00B32B21" w:rsidSect="0098551B">
          <w:footerReference w:type="default" r:id="rId9"/>
          <w:pgSz w:w="11906" w:h="16838"/>
          <w:pgMar w:top="1440" w:right="1440" w:bottom="1440" w:left="1440" w:header="426" w:footer="0" w:gutter="0"/>
          <w:lnNumType w:countBy="1" w:restart="continuous"/>
          <w:cols w:space="708"/>
          <w:docGrid w:linePitch="360"/>
        </w:sectPr>
      </w:pPr>
      <w:r>
        <w:lastRenderedPageBreak/>
        <w:t>Most IMD-related deaths occurred within a day of diagnosis and nearly all IMD-related deaths occurred within 30 days of diagnosis. The rapidity of death highlights the importance of prevention through vaccination.</w:t>
      </w:r>
    </w:p>
    <w:p w14:paraId="5617323C" w14:textId="06BF646B" w:rsidR="00E728A8" w:rsidRDefault="00643180" w:rsidP="006C2D3A">
      <w:pPr>
        <w:pStyle w:val="Heading1"/>
        <w:spacing w:line="480" w:lineRule="auto"/>
      </w:pPr>
      <w:r>
        <w:lastRenderedPageBreak/>
        <w:t>Introduction</w:t>
      </w:r>
    </w:p>
    <w:p w14:paraId="731853B6" w14:textId="6BBBA83A" w:rsidR="00F21666" w:rsidRDefault="00E728A8" w:rsidP="006C2D3A">
      <w:pPr>
        <w:spacing w:line="480" w:lineRule="auto"/>
      </w:pPr>
      <w:r w:rsidRPr="00083CC2">
        <w:rPr>
          <w:i/>
        </w:rPr>
        <w:t>Neisseria meningitidis</w:t>
      </w:r>
      <w:r w:rsidRPr="00C45451">
        <w:t xml:space="preserve"> is one of the leading cause</w:t>
      </w:r>
      <w:r w:rsidR="00643180">
        <w:t>s</w:t>
      </w:r>
      <w:r w:rsidRPr="00C45451">
        <w:t xml:space="preserve"> of bacterial meningitis and septicaemia worldwide and </w:t>
      </w:r>
      <w:r w:rsidR="00643180">
        <w:t>is associated with significant morbidity and mortality</w:t>
      </w:r>
      <w:r w:rsidR="00DC0A34">
        <w:t xml:space="preserve"> </w:t>
      </w:r>
      <w:r w:rsidR="00DC0A34">
        <w:fldChar w:fldCharType="begin">
          <w:fldData xml:space="preserve">PEVuZE5vdGU+PENpdGU+PEF1dGhvcj5IYWxwZXJpbjwvQXV0aG9yPjxZZWFyPjIwMTI8L1llYXI+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</w:fldData>
        </w:fldChar>
      </w:r>
      <w:r w:rsidR="00DC0A34">
        <w:instrText xml:space="preserve"> ADDIN EN.CITE </w:instrText>
      </w:r>
      <w:r w:rsidR="00DC0A34">
        <w:fldChar w:fldCharType="begin">
          <w:fldData xml:space="preserve">PEVuZE5vdGU+PENpdGU+PEF1dGhvcj5IYWxwZXJpbjwvQXV0aG9yPjxZZWFyPjIwMTI8L1llYXI+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</w:fldData>
        </w:fldChar>
      </w:r>
      <w:r w:rsidR="00DC0A34">
        <w:instrText xml:space="preserve"> ADDIN EN.CITE.DATA </w:instrText>
      </w:r>
      <w:r w:rsidR="00DC0A34">
        <w:fldChar w:fldCharType="end"/>
      </w:r>
      <w:r w:rsidR="00DC0A34">
        <w:fldChar w:fldCharType="separate"/>
      </w:r>
      <w:r w:rsidR="00DC0A34">
        <w:rPr>
          <w:noProof/>
        </w:rPr>
        <w:t>(1)</w:t>
      </w:r>
      <w:r w:rsidR="00DC0A34">
        <w:fldChar w:fldCharType="end"/>
      </w:r>
      <w:r w:rsidRPr="00C45451">
        <w:fldChar w:fldCharType="begin"/>
      </w:r>
      <w:r w:rsidRPr="00C45451">
        <w:fldChar w:fldCharType="separate"/>
      </w:r>
      <w:r w:rsidRPr="00C45451">
        <w:t>{Jafri, 2013 #6048}</w:t>
      </w:r>
      <w:r w:rsidRPr="00C45451">
        <w:fldChar w:fldCharType="end"/>
      </w:r>
      <w:r w:rsidRPr="00C45451">
        <w:t xml:space="preserve">. </w:t>
      </w:r>
      <w:r w:rsidR="00643180">
        <w:t>Disease onset is often sudden with non-specific illness but progression can be very rapid, with death often occurring with hours of the first symptoms</w:t>
      </w:r>
      <w:r w:rsidR="008A0707">
        <w:t xml:space="preserve"> </w:t>
      </w:r>
      <w:r w:rsidR="008A0707">
        <w:fldChar w:fldCharType="begin"/>
      </w:r>
      <w:r w:rsidR="008A0707">
        <w:instrText xml:space="preserve"> ADDIN EN.CITE &lt;EndNote&gt;&lt;Cite&gt;&lt;Author&gt;Thompson&lt;/Author&gt;&lt;Year&gt;2006&lt;/Year&gt;&lt;RecNum&gt;1426&lt;/RecNum&gt;&lt;DisplayText&gt;(2)&lt;/DisplayText&gt;&lt;record&gt;&lt;rec-number&gt;1426&lt;/rec-number&gt;&lt;foreign-keys&gt;&lt;key app="EN" db-id="faswaa0rdvpwzqed0xmvpw0s2fz5tpdt0a0x" timestamp="1574962871"&gt;1426&lt;/key&gt;&lt;/foreign-keys&gt;&lt;ref-type name="Journal Article"&gt;17&lt;/ref-type&gt;&lt;contributors&gt;&lt;authors&gt;&lt;author&gt;Thompson, M. J.&lt;/author&gt;&lt;author&gt;Ninis, N.&lt;/author&gt;&lt;author&gt;Perera, R.&lt;/author&gt;&lt;author&gt;Mayon-White, R.&lt;/author&gt;&lt;author&gt;Phillips, C.&lt;/author&gt;&lt;author&gt;Bailey, L.&lt;/author&gt;&lt;author&gt;Harnden, A.&lt;/author&gt;&lt;author&gt;Mant, D.&lt;/author&gt;&lt;author&gt;Levin, M.&lt;/author&gt;&lt;/authors&gt;&lt;/contributors&gt;&lt;auth-address&gt;Department of Primary Health Care, Old Road Campus, University of Oxford, Oxford, UK.&lt;/auth-address&gt;&lt;titles&gt;&lt;title&gt;Clinical recognition of meningococcal disease in children and adolescents&lt;/title&gt;&lt;secondary-title&gt;Lancet&lt;/secondary-title&gt;&lt;/titles&gt;&lt;periodical&gt;&lt;full-title&gt;Lancet&lt;/full-title&gt;&lt;abbr-1&gt;Lancet (London, England)&lt;/abbr-1&gt;&lt;/periodical&gt;&lt;pages&gt;397-403&lt;/pages&gt;&lt;volume&gt;367&lt;/volume&gt;&lt;number&gt;9508&lt;/number&gt;&lt;keywords&gt;&lt;keyword&gt;Adolescent&lt;/keyword&gt;&lt;keyword&gt;Child&lt;/keyword&gt;&lt;keyword&gt;Child, Preschool&lt;/keyword&gt;&lt;keyword&gt;Hospitalization&lt;/keyword&gt;&lt;keyword&gt;Humans&lt;/keyword&gt;&lt;keyword&gt;Infant&lt;/keyword&gt;&lt;keyword&gt;Meningococcal Infections/diagnosis/mortality/*physiopathology&lt;/keyword&gt;&lt;keyword&gt;Time Factors&lt;/keyword&gt;&lt;/keywords&gt;&lt;dates&gt;&lt;year&gt;2006&lt;/year&gt;&lt;pub-dates&gt;&lt;date&gt;Feb 4&lt;/date&gt;&lt;/pub-dates&gt;&lt;/dates&gt;&lt;isbn&gt;1474-547X (Electronic)&amp;#xD;0140-6736 (Linking)&lt;/isbn&gt;&lt;accession-num&gt;16458763&lt;/accession-num&gt;&lt;urls&gt;&lt;related-urls&gt;&lt;url&gt;https://www.ncbi.nlm.nih.gov/pubmed/16458763&lt;/url&gt;&lt;/related-urls&gt;&lt;/urls&gt;&lt;electronic-resource-num&gt;10.1016/S0140-6736(06)67932-4&lt;/electronic-resource-num&gt;&lt;/record&gt;&lt;/Cite&gt;&lt;/EndNote&gt;</w:instrText>
      </w:r>
      <w:r w:rsidR="008A0707">
        <w:fldChar w:fldCharType="separate"/>
      </w:r>
      <w:r w:rsidR="008A0707">
        <w:rPr>
          <w:noProof/>
        </w:rPr>
        <w:t>(2)</w:t>
      </w:r>
      <w:r w:rsidR="008A0707">
        <w:fldChar w:fldCharType="end"/>
      </w:r>
      <w:r w:rsidR="00643180">
        <w:t>. Twelve different meningococcal serogroups are identified based on their unique polysaccharide capsule, which is known to be a major virulent factor. In Europe, four serogroups (B, C, W and Y) are responsible for nearly all cases of invasive meningococcal disease (IMD)</w:t>
      </w:r>
      <w:r w:rsidR="00DC0A34">
        <w:t xml:space="preserve"> </w:t>
      </w:r>
      <w:r w:rsidR="00DC0A34">
        <w:fldChar w:fldCharType="begin">
          <w:fldData xml:space="preserve">PEVuZE5vdGU+PENpdGU+PEF1dGhvcj5IYWxwZXJpbjwvQXV0aG9yPjxZZWFyPjIwMTI8L1llYXI+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</w:fldData>
        </w:fldChar>
      </w:r>
      <w:r w:rsidR="00DC0A34">
        <w:instrText xml:space="preserve"> ADDIN EN.CITE </w:instrText>
      </w:r>
      <w:r w:rsidR="00DC0A34">
        <w:fldChar w:fldCharType="begin">
          <w:fldData xml:space="preserve">PEVuZE5vdGU+PENpdGU+PEF1dGhvcj5IYWxwZXJpbjwvQXV0aG9yPjxZZWFyPjIwMTI8L1llYXI+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</w:fldData>
        </w:fldChar>
      </w:r>
      <w:r w:rsidR="00DC0A34">
        <w:instrText xml:space="preserve"> ADDIN EN.CITE.DATA </w:instrText>
      </w:r>
      <w:r w:rsidR="00DC0A34">
        <w:fldChar w:fldCharType="end"/>
      </w:r>
      <w:r w:rsidR="00DC0A34">
        <w:fldChar w:fldCharType="separate"/>
      </w:r>
      <w:r w:rsidR="00DC0A34">
        <w:rPr>
          <w:noProof/>
        </w:rPr>
        <w:t>(1)</w:t>
      </w:r>
      <w:r w:rsidR="00DC0A34">
        <w:fldChar w:fldCharType="end"/>
      </w:r>
      <w:r w:rsidR="00643180">
        <w:t xml:space="preserve">. </w:t>
      </w:r>
      <w:r w:rsidR="00385C87">
        <w:t>The different serogroups have different propensities for causing invasive disease and fatal outcomes in different age groups, especially among those with underlying co-morbidities</w:t>
      </w:r>
      <w:r w:rsidR="000F0BB8">
        <w:t>.</w:t>
      </w:r>
      <w:r w:rsidR="00385C87">
        <w:t xml:space="preserve"> </w:t>
      </w:r>
    </w:p>
    <w:p w14:paraId="2C98D9CE" w14:textId="12F700AE" w:rsidR="00164318" w:rsidRDefault="001911CF" w:rsidP="006C2D3A">
      <w:pPr>
        <w:spacing w:line="480" w:lineRule="auto"/>
      </w:pPr>
      <w:r>
        <w:t xml:space="preserve">In the UK, </w:t>
      </w:r>
      <w:proofErr w:type="spellStart"/>
      <w:r>
        <w:t>MenC</w:t>
      </w:r>
      <w:proofErr w:type="spellEnd"/>
      <w:r>
        <w:t xml:space="preserve">, which was associated with high case fatality rates (CFR) especially in teenagers, is now rare because of the success of the </w:t>
      </w:r>
      <w:proofErr w:type="spellStart"/>
      <w:r>
        <w:t>MenC</w:t>
      </w:r>
      <w:proofErr w:type="spellEnd"/>
      <w:r>
        <w:t xml:space="preserve"> immunisation programme that was implemented two decades ago</w:t>
      </w:r>
      <w:r w:rsidR="00DC0A34">
        <w:t xml:space="preserve"> </w:t>
      </w:r>
      <w:r w:rsidR="00DC0A34">
        <w:fldChar w:fldCharType="begin">
          <w:fldData xml:space="preserve">PEVuZE5vdGU+PENpdGU+PEF1dGhvcj5DYW1wYmVsbDwvQXV0aG9yPjxZZWFyPjIwMTA8L1llYXI+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</w:fldData>
        </w:fldChar>
      </w:r>
      <w:r w:rsidR="008A0707">
        <w:instrText xml:space="preserve"> ADDIN EN.CITE </w:instrText>
      </w:r>
      <w:r w:rsidR="008A0707">
        <w:fldChar w:fldCharType="begin">
          <w:fldData xml:space="preserve">PEVuZE5vdGU+PENpdGU+PEF1dGhvcj5DYW1wYmVsbDwvQXV0aG9yPjxZZWFyPjIwMTA8L1llYXI+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</w:fldData>
        </w:fldChar>
      </w:r>
      <w:r w:rsidR="008A0707">
        <w:instrText xml:space="preserve"> ADDIN EN.CITE.DATA </w:instrText>
      </w:r>
      <w:r w:rsidR="008A0707">
        <w:fldChar w:fldCharType="end"/>
      </w:r>
      <w:r w:rsidR="00DC0A34">
        <w:fldChar w:fldCharType="separate"/>
      </w:r>
      <w:r w:rsidR="008A0707">
        <w:rPr>
          <w:noProof/>
        </w:rPr>
        <w:t>(3)</w:t>
      </w:r>
      <w:r w:rsidR="00DC0A34">
        <w:fldChar w:fldCharType="end"/>
      </w:r>
      <w:r w:rsidR="00495F9A">
        <w:t xml:space="preserve">. </w:t>
      </w:r>
      <w:r w:rsidR="00252ADD">
        <w:t>At the same time</w:t>
      </w:r>
      <w:r w:rsidR="00495F9A">
        <w:t xml:space="preserve">, </w:t>
      </w:r>
      <w:proofErr w:type="spellStart"/>
      <w:r w:rsidR="00495F9A">
        <w:t>MenB</w:t>
      </w:r>
      <w:proofErr w:type="spellEnd"/>
      <w:r w:rsidR="00495F9A">
        <w:t xml:space="preserve"> cases </w:t>
      </w:r>
      <w:r w:rsidR="000372D7">
        <w:t xml:space="preserve">in the UK and across the UK </w:t>
      </w:r>
      <w:r w:rsidR="00495F9A">
        <w:t xml:space="preserve">have been declining </w:t>
      </w:r>
      <w:r w:rsidR="000372D7">
        <w:t xml:space="preserve">over the same period </w:t>
      </w:r>
      <w:r w:rsidR="00495F9A">
        <w:t>most likely to secular t</w:t>
      </w:r>
      <w:r w:rsidR="00252ADD">
        <w:t>r</w:t>
      </w:r>
      <w:r w:rsidR="00495F9A">
        <w:t>ends</w:t>
      </w:r>
      <w:r w:rsidR="00252ADD">
        <w:t>.</w:t>
      </w:r>
      <w:r w:rsidR="000372D7">
        <w:t xml:space="preserve"> </w:t>
      </w:r>
      <w:r w:rsidR="00164318">
        <w:t>From</w:t>
      </w:r>
      <w:r w:rsidR="008A0E21">
        <w:t xml:space="preserve"> 2009, however, England </w:t>
      </w:r>
      <w:r w:rsidR="00164318">
        <w:t>experienced</w:t>
      </w:r>
      <w:r w:rsidR="008A0E21">
        <w:t xml:space="preserve"> a national outbreak of group W meningococcal (</w:t>
      </w:r>
      <w:proofErr w:type="spellStart"/>
      <w:r w:rsidR="008A0E21">
        <w:t>MenW</w:t>
      </w:r>
      <w:proofErr w:type="spellEnd"/>
      <w:r w:rsidR="008A0E21">
        <w:t>) disease caused by a single hypervirulent strain belong</w:t>
      </w:r>
      <w:r w:rsidR="00CD055C">
        <w:t>ing to the ST-11 clonal complex</w:t>
      </w:r>
      <w:r w:rsidR="00164318">
        <w:t xml:space="preserve">, which was associated with high morbidity and mortality across all age groups </w:t>
      </w:r>
      <w:r w:rsidR="00DC0A34">
        <w:fldChar w:fldCharType="begin">
          <w:fldData xml:space="preserve">PEVuZE5vdGU+PENpdGU+PEF1dGhvcj5MYWRoYW5pPC9BdXRob3I+PFllYXI+MjAxNTwvWWVhcj48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</w:fldData>
        </w:fldChar>
      </w:r>
      <w:r w:rsidR="008A0707">
        <w:instrText xml:space="preserve"> ADDIN EN.CITE </w:instrText>
      </w:r>
      <w:r w:rsidR="008A0707">
        <w:fldChar w:fldCharType="begin">
          <w:fldData xml:space="preserve">PEVuZE5vdGU+PENpdGU+PEF1dGhvcj5MYWRoYW5pPC9BdXRob3I+PFllYXI+MjAxNTwvWWVhcj48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</w:fldData>
        </w:fldChar>
      </w:r>
      <w:r w:rsidR="008A0707">
        <w:instrText xml:space="preserve"> ADDIN EN.CITE.DATA </w:instrText>
      </w:r>
      <w:r w:rsidR="008A0707">
        <w:fldChar w:fldCharType="end"/>
      </w:r>
      <w:r w:rsidR="00DC0A34">
        <w:fldChar w:fldCharType="separate"/>
      </w:r>
      <w:r w:rsidR="008A0707">
        <w:rPr>
          <w:noProof/>
        </w:rPr>
        <w:t>(4)</w:t>
      </w:r>
      <w:r w:rsidR="00DC0A34">
        <w:fldChar w:fldCharType="end"/>
      </w:r>
      <w:r w:rsidR="00164318">
        <w:t>.</w:t>
      </w:r>
      <w:r w:rsidR="00CD055C">
        <w:t xml:space="preserve"> </w:t>
      </w:r>
      <w:r w:rsidR="00164318">
        <w:t>Th</w:t>
      </w:r>
      <w:r w:rsidR="00DC0A34">
        <w:t>i</w:t>
      </w:r>
      <w:r w:rsidR="00164318">
        <w:t>s led to the implementation of an emergency meningococcal ACWY (</w:t>
      </w:r>
      <w:proofErr w:type="spellStart"/>
      <w:r w:rsidR="00164318">
        <w:t>MenACWY</w:t>
      </w:r>
      <w:proofErr w:type="spellEnd"/>
      <w:r w:rsidR="00164318">
        <w:t>) conjugate vaccine programme for teenagers as a national outbreak response in August 2015</w:t>
      </w:r>
      <w:r w:rsidR="00DC0A34">
        <w:t xml:space="preserve"> </w:t>
      </w:r>
      <w:r w:rsidR="00DC0A34">
        <w:fldChar w:fldCharType="begin">
          <w:fldData xml:space="preserve">PEVuZE5vdGU+PENpdGU+PEF1dGhvcj5DYW1wYmVsbDwvQXV0aG9yPjxZZWFyPjIwMTc8L1llYXI+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</w:fldData>
        </w:fldChar>
      </w:r>
      <w:r w:rsidR="008A0707">
        <w:instrText xml:space="preserve"> ADDIN EN.CITE </w:instrText>
      </w:r>
      <w:r w:rsidR="008A0707">
        <w:fldChar w:fldCharType="begin">
          <w:fldData xml:space="preserve">PEVuZE5vdGU+PENpdGU+PEF1dGhvcj5DYW1wYmVsbDwvQXV0aG9yPjxZZWFyPjIwMTc8L1llYXI+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</w:fldData>
        </w:fldChar>
      </w:r>
      <w:r w:rsidR="008A0707">
        <w:instrText xml:space="preserve"> ADDIN EN.CITE.DATA </w:instrText>
      </w:r>
      <w:r w:rsidR="008A0707">
        <w:fldChar w:fldCharType="end"/>
      </w:r>
      <w:r w:rsidR="00DC0A34">
        <w:fldChar w:fldCharType="separate"/>
      </w:r>
      <w:r w:rsidR="008A0707">
        <w:rPr>
          <w:noProof/>
        </w:rPr>
        <w:t>(5)</w:t>
      </w:r>
      <w:r w:rsidR="00DC0A34">
        <w:fldChar w:fldCharType="end"/>
      </w:r>
      <w:r w:rsidR="00164318">
        <w:t>. At the same time, the United Kingdom also became the first country to offer the novel, protein-based, multi-</w:t>
      </w:r>
      <w:r w:rsidR="00164318" w:rsidRPr="00164318">
        <w:t xml:space="preserve"> </w:t>
      </w:r>
      <w:r w:rsidR="00164318">
        <w:t xml:space="preserve">component </w:t>
      </w:r>
      <w:proofErr w:type="spellStart"/>
      <w:r w:rsidR="00164318">
        <w:t>MenB</w:t>
      </w:r>
      <w:proofErr w:type="spellEnd"/>
      <w:r w:rsidR="00164318">
        <w:t xml:space="preserve"> vaccine (4CMenB) to all infants as part of a free national childhood immunisation programme</w:t>
      </w:r>
      <w:r w:rsidR="0091353C">
        <w:t xml:space="preserve"> </w:t>
      </w:r>
      <w:r w:rsidR="00DC0A34">
        <w:fldChar w:fldCharType="begin">
          <w:fldData xml:space="preserve">PEVuZE5vdGU+PENpdGU+PEF1dGhvcj5MYWRoYW5pPC9BdXRob3I+PFllYXI+MjAxNjwvWWVhcj48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</w:fldData>
        </w:fldChar>
      </w:r>
      <w:r w:rsidR="008A0707">
        <w:instrText xml:space="preserve"> ADDIN EN.CITE </w:instrText>
      </w:r>
      <w:r w:rsidR="008A0707">
        <w:fldChar w:fldCharType="begin">
          <w:fldData xml:space="preserve">PEVuZE5vdGU+PENpdGU+PEF1dGhvcj5MYWRoYW5pPC9BdXRob3I+PFllYXI+MjAxNjwvWWVhcj48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</w:fldData>
        </w:fldChar>
      </w:r>
      <w:r w:rsidR="008A0707">
        <w:instrText xml:space="preserve"> ADDIN EN.CITE.DATA </w:instrText>
      </w:r>
      <w:r w:rsidR="008A0707">
        <w:fldChar w:fldCharType="end"/>
      </w:r>
      <w:r w:rsidR="00DC0A34">
        <w:fldChar w:fldCharType="separate"/>
      </w:r>
      <w:r w:rsidR="008A0707">
        <w:rPr>
          <w:noProof/>
        </w:rPr>
        <w:t>(6)</w:t>
      </w:r>
      <w:r w:rsidR="00DC0A34">
        <w:fldChar w:fldCharType="end"/>
      </w:r>
      <w:r w:rsidR="00DC0A34">
        <w:t>.</w:t>
      </w:r>
    </w:p>
    <w:p w14:paraId="1108D112" w14:textId="7AC66E1B" w:rsidR="008A0E21" w:rsidRDefault="00EA2B42" w:rsidP="006C2D3A">
      <w:pPr>
        <w:spacing w:line="480" w:lineRule="auto"/>
      </w:pPr>
      <w:r>
        <w:t xml:space="preserve">In </w:t>
      </w:r>
      <w:r w:rsidR="006C659B">
        <w:t xml:space="preserve">England, Public Health England (PHE) has been conducting </w:t>
      </w:r>
      <w:r w:rsidR="00A96466">
        <w:t>IMD surveillance for several decades</w:t>
      </w:r>
      <w:r w:rsidR="000B6273">
        <w:t xml:space="preserve"> </w:t>
      </w:r>
      <w:r w:rsidR="000B6273">
        <w:fldChar w:fldCharType="begin">
          <w:fldData xml:space="preserve">PEVuZE5vdGU+PENpdGU+PEF1dGhvcj5QYXJpa2g8L0F1dGhvcj48WWVhcj4yMDE4PC9ZZWFyPjxS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</w:fldData>
        </w:fldChar>
      </w:r>
      <w:r w:rsidR="000B6273">
        <w:instrText xml:space="preserve"> ADDIN EN.CITE </w:instrText>
      </w:r>
      <w:r w:rsidR="000B6273">
        <w:fldChar w:fldCharType="begin">
          <w:fldData xml:space="preserve">PEVuZE5vdGU+PENpdGU+PEF1dGhvcj5QYXJpa2g8L0F1dGhvcj48WWVhcj4yMDE4PC9ZZWFyPjxS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</w:fldData>
        </w:fldChar>
      </w:r>
      <w:r w:rsidR="000B6273">
        <w:instrText xml:space="preserve"> ADDIN EN.CITE.DATA </w:instrText>
      </w:r>
      <w:r w:rsidR="000B6273">
        <w:fldChar w:fldCharType="end"/>
      </w:r>
      <w:r w:rsidR="000B6273">
        <w:fldChar w:fldCharType="separate"/>
      </w:r>
      <w:r w:rsidR="000B6273">
        <w:rPr>
          <w:noProof/>
        </w:rPr>
        <w:t>(7)</w:t>
      </w:r>
      <w:r w:rsidR="000B6273">
        <w:fldChar w:fldCharType="end"/>
      </w:r>
      <w:r w:rsidR="00A96466">
        <w:t xml:space="preserve">. </w:t>
      </w:r>
      <w:r w:rsidR="001F076D">
        <w:t xml:space="preserve">Confirmed cases are identified through the national </w:t>
      </w:r>
      <w:r w:rsidR="00464E11">
        <w:t xml:space="preserve">Meningococcal Reference Unit and linked with </w:t>
      </w:r>
      <w:r w:rsidRPr="00C45451">
        <w:t xml:space="preserve">weekly reports </w:t>
      </w:r>
      <w:r w:rsidR="00464E11" w:rsidRPr="00C45451">
        <w:t>of IMD</w:t>
      </w:r>
      <w:r w:rsidR="00464E11">
        <w:t xml:space="preserve">-related </w:t>
      </w:r>
      <w:r>
        <w:t xml:space="preserve">death registration records </w:t>
      </w:r>
      <w:r w:rsidR="00464E11">
        <w:t xml:space="preserve">provided </w:t>
      </w:r>
      <w:r>
        <w:t xml:space="preserve">by </w:t>
      </w:r>
      <w:r w:rsidRPr="00C45451">
        <w:t>the Office for National Statistics (ONS)</w:t>
      </w:r>
      <w:r w:rsidR="00464E11">
        <w:t xml:space="preserve"> using pre-specified </w:t>
      </w:r>
      <w:r w:rsidR="00334929">
        <w:t>ICD-10 codes</w:t>
      </w:r>
      <w:r w:rsidRPr="00C45451">
        <w:t xml:space="preserve">.  </w:t>
      </w:r>
      <w:r>
        <w:t xml:space="preserve">This linkage is usually </w:t>
      </w:r>
      <w:r>
        <w:lastRenderedPageBreak/>
        <w:t xml:space="preserve">performed retrospectively, is time-consuming, and requires the </w:t>
      </w:r>
      <w:r w:rsidR="00BB48AF">
        <w:t>recording of IMD on the death certificate which may not happen for</w:t>
      </w:r>
      <w:r>
        <w:t xml:space="preserve"> rapidly fatal cases, unusual clinical presentations or atypical age groups, such as older adults.</w:t>
      </w:r>
      <w:r w:rsidR="00BB48AF">
        <w:t xml:space="preserve"> </w:t>
      </w:r>
      <w:r w:rsidR="00B7119A">
        <w:t>Given all the changes in the epidemiology of IMD, it was important to optimise the surveillance of IMD-related deaths in order to</w:t>
      </w:r>
      <w:r w:rsidR="00263B94">
        <w:t xml:space="preserve"> rapidly</w:t>
      </w:r>
      <w:r w:rsidR="00B7119A">
        <w:t xml:space="preserve"> monitor outcomes in addition to </w:t>
      </w:r>
      <w:r w:rsidR="00263B94">
        <w:t xml:space="preserve">the number of </w:t>
      </w:r>
      <w:r w:rsidR="00B7119A">
        <w:t>laboratory-confirmed cases nationally</w:t>
      </w:r>
      <w:r w:rsidR="00D72A0E">
        <w:t xml:space="preserve">. </w:t>
      </w:r>
      <w:r>
        <w:t xml:space="preserve">Linkage with other available national surveillance databases could facilitate linkage and accelerate reporting of IMD-related deaths in a regular and timely manner. Here, we aimed to </w:t>
      </w:r>
      <w:r w:rsidRPr="00C45451">
        <w:t xml:space="preserve">evaluate existing </w:t>
      </w:r>
      <w:r>
        <w:t xml:space="preserve">and new </w:t>
      </w:r>
      <w:r w:rsidRPr="00C45451">
        <w:t xml:space="preserve">models of estimating </w:t>
      </w:r>
      <w:r>
        <w:t xml:space="preserve">IMD-related </w:t>
      </w:r>
      <w:r w:rsidRPr="00C45451">
        <w:t>deaths and its implications for future surveillance strategies.</w:t>
      </w:r>
    </w:p>
    <w:p w14:paraId="4A5E142B" w14:textId="77777777" w:rsidR="00E728A8" w:rsidRPr="0092462D" w:rsidRDefault="00615E8C" w:rsidP="006C2D3A">
      <w:pPr>
        <w:pStyle w:val="Heading1"/>
        <w:spacing w:line="480" w:lineRule="auto"/>
      </w:pPr>
      <w:r w:rsidRPr="0092462D">
        <w:t>Methods</w:t>
      </w:r>
    </w:p>
    <w:p w14:paraId="16388F03" w14:textId="77777777" w:rsidR="005160FD" w:rsidRPr="0092462D" w:rsidRDefault="005160FD" w:rsidP="006C2D3A">
      <w:pPr>
        <w:pStyle w:val="Heading2"/>
        <w:spacing w:line="480" w:lineRule="auto"/>
      </w:pPr>
      <w:r w:rsidRPr="0092462D">
        <w:t>Surveillance</w:t>
      </w:r>
    </w:p>
    <w:p w14:paraId="12D33451" w14:textId="1319BFB2" w:rsidR="005160FD" w:rsidRPr="0092462D" w:rsidRDefault="005160FD" w:rsidP="006C2D3A">
      <w:pPr>
        <w:spacing w:line="480" w:lineRule="auto"/>
      </w:pPr>
      <w:r w:rsidRPr="0092462D">
        <w:t xml:space="preserve">Public Health England routinely conducts enhanced national surveillance of invasive meningococcal disease in England using both clinical and laboratory reporting mechanisms </w:t>
      </w:r>
      <w:r w:rsidR="000B6273">
        <w:fldChar w:fldCharType="begin">
          <w:fldData xml:space="preserve">PEVuZE5vdGU+PENpdGU+PEF1dGhvcj5QYXJpa2g8L0F1dGhvcj48WWVhcj4yMDE4PC9ZZWFyPjxS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</w:fldData>
        </w:fldChar>
      </w:r>
      <w:r w:rsidR="000B6273">
        <w:instrText xml:space="preserve"> ADDIN EN.CITE </w:instrText>
      </w:r>
      <w:r w:rsidR="000B6273">
        <w:fldChar w:fldCharType="begin">
          <w:fldData xml:space="preserve">PEVuZE5vdGU+PENpdGU+PEF1dGhvcj5QYXJpa2g8L0F1dGhvcj48WWVhcj4yMDE4PC9ZZWFyPjxS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</w:fldData>
        </w:fldChar>
      </w:r>
      <w:r w:rsidR="000B6273">
        <w:instrText xml:space="preserve"> ADDIN EN.CITE.DATA </w:instrText>
      </w:r>
      <w:r w:rsidR="000B6273">
        <w:fldChar w:fldCharType="end"/>
      </w:r>
      <w:r w:rsidR="000B6273">
        <w:fldChar w:fldCharType="separate"/>
      </w:r>
      <w:r w:rsidR="000B6273">
        <w:rPr>
          <w:noProof/>
        </w:rPr>
        <w:t>(7)</w:t>
      </w:r>
      <w:r w:rsidR="000B6273">
        <w:fldChar w:fldCharType="end"/>
      </w:r>
      <w:r w:rsidR="000B6273">
        <w:t xml:space="preserve">. </w:t>
      </w:r>
      <w:r w:rsidRPr="0092462D">
        <w:t xml:space="preserve">The MRU provides species confirmation, grouping, typing and subtyping for all invasive </w:t>
      </w:r>
      <w:r w:rsidRPr="0092462D">
        <w:rPr>
          <w:i/>
        </w:rPr>
        <w:t xml:space="preserve">Neisseria meningitidis </w:t>
      </w:r>
      <w:r w:rsidRPr="0092462D">
        <w:t>isolates. The MRU also provides non</w:t>
      </w:r>
      <w:r w:rsidR="00151FA3">
        <w:t>-</w:t>
      </w:r>
      <w:r w:rsidRPr="0092462D">
        <w:t xml:space="preserve">culture polymerase chain reaction (PCR) confirmation of meningococcal diagnosis (including genogroup and </w:t>
      </w:r>
      <w:proofErr w:type="spellStart"/>
      <w:r w:rsidRPr="0092462D">
        <w:t>geno</w:t>
      </w:r>
      <w:proofErr w:type="spellEnd"/>
      <w:r w:rsidR="007C655B">
        <w:t>-</w:t>
      </w:r>
      <w:r w:rsidRPr="0092462D">
        <w:t xml:space="preserve">subtype analysis) for </w:t>
      </w:r>
      <w:r w:rsidR="000A573C">
        <w:t xml:space="preserve">&gt;10,000 </w:t>
      </w:r>
      <w:r w:rsidRPr="0092462D">
        <w:t>clinical specimens that are routinely submitted</w:t>
      </w:r>
      <w:r w:rsidR="000A573C">
        <w:t xml:space="preserve"> every year</w:t>
      </w:r>
      <w:r w:rsidRPr="0092462D">
        <w:t xml:space="preserve"> by National Health Service (NHS) hospitals</w:t>
      </w:r>
      <w:r w:rsidR="000A573C">
        <w:t xml:space="preserve"> across England</w:t>
      </w:r>
      <w:r w:rsidRPr="0092462D">
        <w:t>.</w:t>
      </w:r>
    </w:p>
    <w:p w14:paraId="4B8AD32E" w14:textId="0B60D08A" w:rsidR="005160FD" w:rsidRPr="0092462D" w:rsidRDefault="00E77F18" w:rsidP="006C2D3A">
      <w:pPr>
        <w:pStyle w:val="Heading2"/>
        <w:spacing w:line="480" w:lineRule="auto"/>
      </w:pPr>
      <w:r w:rsidRPr="0092462D">
        <w:t>Sources of death</w:t>
      </w:r>
      <w:r w:rsidR="00B927B6">
        <w:t xml:space="preserve"> notification</w:t>
      </w:r>
    </w:p>
    <w:p w14:paraId="15CA8EB1" w14:textId="5166498F" w:rsidR="00CE5B09" w:rsidRPr="00CE5B09" w:rsidRDefault="00717C4A" w:rsidP="006C2D3A">
      <w:pPr>
        <w:spacing w:line="480" w:lineRule="auto"/>
      </w:pPr>
      <w:r>
        <w:t xml:space="preserve">For this analysis, all confirmed IMD cases diagnosed </w:t>
      </w:r>
      <w:r w:rsidR="00F11EE3">
        <w:t xml:space="preserve">in England </w:t>
      </w:r>
      <w:r>
        <w:t xml:space="preserve">during 2008-2015 </w:t>
      </w:r>
      <w:r w:rsidR="00FE0AE5">
        <w:t xml:space="preserve">were included. We excluded subsequent surveillance years to avoid any confounding due to implementation of the infant </w:t>
      </w:r>
      <w:proofErr w:type="spellStart"/>
      <w:r w:rsidR="00FE0AE5">
        <w:t>MenB</w:t>
      </w:r>
      <w:proofErr w:type="spellEnd"/>
      <w:r w:rsidR="00FE0AE5">
        <w:t xml:space="preserve"> in September 2015 and the adolescent </w:t>
      </w:r>
      <w:proofErr w:type="spellStart"/>
      <w:r w:rsidR="00FE0AE5">
        <w:t>MenACWY</w:t>
      </w:r>
      <w:proofErr w:type="spellEnd"/>
      <w:r w:rsidR="00FE0AE5">
        <w:t xml:space="preserve"> immunisation programmes in August 2015 in the UK</w:t>
      </w:r>
      <w:r w:rsidR="00747645">
        <w:t xml:space="preserve">. </w:t>
      </w:r>
      <w:r w:rsidR="005160FD" w:rsidRPr="0092462D">
        <w:t xml:space="preserve">Data </w:t>
      </w:r>
      <w:r w:rsidR="00747645">
        <w:t xml:space="preserve">on deaths up to a year after IMD diagnosis </w:t>
      </w:r>
      <w:r w:rsidR="005160FD" w:rsidRPr="0092462D">
        <w:t>were obtained from 3 sources; weekly Office for National Statistics death registration (W</w:t>
      </w:r>
      <w:r w:rsidR="00EE2C1B" w:rsidRPr="0092462D">
        <w:t>-ONS</w:t>
      </w:r>
      <w:r w:rsidR="005160FD" w:rsidRPr="0092462D">
        <w:t>) extracts of IMD</w:t>
      </w:r>
      <w:r w:rsidR="00B927B6">
        <w:t>-</w:t>
      </w:r>
      <w:r w:rsidR="005160FD" w:rsidRPr="0092462D">
        <w:t>related ICD-10 codes</w:t>
      </w:r>
      <w:r w:rsidR="00B927B6">
        <w:t xml:space="preserve"> </w:t>
      </w:r>
      <w:r w:rsidR="00B927B6" w:rsidRPr="0092462D">
        <w:t>(A39.0</w:t>
      </w:r>
      <w:r w:rsidR="00B927B6">
        <w:t>-</w:t>
      </w:r>
      <w:r w:rsidR="00B927B6" w:rsidRPr="0092462D">
        <w:t>A39.9)</w:t>
      </w:r>
      <w:r w:rsidR="005160FD" w:rsidRPr="0092462D">
        <w:t xml:space="preserve">, annual national </w:t>
      </w:r>
      <w:r w:rsidR="005160FD" w:rsidRPr="0092462D">
        <w:lastRenderedPageBreak/>
        <w:t>ONS death certificate records (A</w:t>
      </w:r>
      <w:r w:rsidR="00EE2C1B" w:rsidRPr="0092462D">
        <w:t>-ONS</w:t>
      </w:r>
      <w:r w:rsidR="005160FD" w:rsidRPr="0092462D">
        <w:t>)</w:t>
      </w:r>
      <w:r w:rsidR="00CE5B09">
        <w:t xml:space="preserve"> the </w:t>
      </w:r>
      <w:r w:rsidR="00CE5B09" w:rsidRPr="0092462D">
        <w:t>NHS patient demographic system (PDS</w:t>
      </w:r>
      <w:r w:rsidR="00CE5B09">
        <w:t xml:space="preserve">), </w:t>
      </w:r>
      <w:r w:rsidR="00CE5B09">
        <w:rPr>
          <w:rFonts w:eastAsia="Times New Roman"/>
          <w:color w:val="222222"/>
          <w:sz w:val="24"/>
          <w:szCs w:val="24"/>
          <w:shd w:val="clear" w:color="auto" w:fill="FFFFFF"/>
          <w:lang w:eastAsia="en-GB"/>
        </w:rPr>
        <w:t>a</w:t>
      </w:r>
      <w:r w:rsidR="00CE5B09" w:rsidRPr="00CE5B09">
        <w:rPr>
          <w:rFonts w:eastAsia="Times New Roman"/>
          <w:color w:val="222222"/>
          <w:sz w:val="24"/>
          <w:szCs w:val="24"/>
          <w:shd w:val="clear" w:color="auto" w:fill="FFFFFF"/>
          <w:lang w:eastAsia="en-GB"/>
        </w:rPr>
        <w:t xml:space="preserve"> national electronic database </w:t>
      </w:r>
      <w:r w:rsidR="00CE5B09">
        <w:rPr>
          <w:rFonts w:eastAsia="Times New Roman"/>
          <w:color w:val="222222"/>
          <w:sz w:val="24"/>
          <w:szCs w:val="24"/>
          <w:shd w:val="clear" w:color="auto" w:fill="FFFFFF"/>
          <w:lang w:eastAsia="en-GB"/>
        </w:rPr>
        <w:t>containing full dem</w:t>
      </w:r>
      <w:r w:rsidR="006C4650">
        <w:rPr>
          <w:rFonts w:eastAsia="Times New Roman"/>
          <w:color w:val="222222"/>
          <w:sz w:val="24"/>
          <w:szCs w:val="24"/>
          <w:shd w:val="clear" w:color="auto" w:fill="FFFFFF"/>
          <w:lang w:eastAsia="en-GB"/>
        </w:rPr>
        <w:t>o</w:t>
      </w:r>
      <w:r w:rsidR="00CE5B09">
        <w:rPr>
          <w:rFonts w:eastAsia="Times New Roman"/>
          <w:color w:val="222222"/>
          <w:sz w:val="24"/>
          <w:szCs w:val="24"/>
          <w:shd w:val="clear" w:color="auto" w:fill="FFFFFF"/>
          <w:lang w:eastAsia="en-GB"/>
        </w:rPr>
        <w:t xml:space="preserve">graphic details of all patients registered with the </w:t>
      </w:r>
      <w:r w:rsidR="00CE5B09" w:rsidRPr="00CE5B09">
        <w:rPr>
          <w:rFonts w:eastAsia="Times New Roman"/>
          <w:color w:val="222222"/>
          <w:sz w:val="24"/>
          <w:szCs w:val="24"/>
          <w:shd w:val="clear" w:color="auto" w:fill="FFFFFF"/>
          <w:lang w:eastAsia="en-GB"/>
        </w:rPr>
        <w:t>N</w:t>
      </w:r>
      <w:r w:rsidR="00CE5B09">
        <w:rPr>
          <w:rFonts w:eastAsia="Times New Roman"/>
          <w:color w:val="222222"/>
          <w:sz w:val="24"/>
          <w:szCs w:val="24"/>
          <w:shd w:val="clear" w:color="auto" w:fill="FFFFFF"/>
          <w:lang w:eastAsia="en-GB"/>
        </w:rPr>
        <w:t xml:space="preserve">ational </w:t>
      </w:r>
      <w:r w:rsidR="00CE5B09" w:rsidRPr="00CE5B09">
        <w:rPr>
          <w:rFonts w:eastAsia="Times New Roman"/>
          <w:color w:val="222222"/>
          <w:sz w:val="24"/>
          <w:szCs w:val="24"/>
          <w:shd w:val="clear" w:color="auto" w:fill="FFFFFF"/>
          <w:lang w:eastAsia="en-GB"/>
        </w:rPr>
        <w:t>H</w:t>
      </w:r>
      <w:r w:rsidR="00CE5B09">
        <w:rPr>
          <w:rFonts w:eastAsia="Times New Roman"/>
          <w:color w:val="222222"/>
          <w:sz w:val="24"/>
          <w:szCs w:val="24"/>
          <w:shd w:val="clear" w:color="auto" w:fill="FFFFFF"/>
          <w:lang w:eastAsia="en-GB"/>
        </w:rPr>
        <w:t xml:space="preserve">ealth </w:t>
      </w:r>
      <w:r w:rsidR="00CE5B09" w:rsidRPr="00CE5B09">
        <w:rPr>
          <w:rFonts w:eastAsia="Times New Roman"/>
          <w:color w:val="222222"/>
          <w:sz w:val="24"/>
          <w:szCs w:val="24"/>
          <w:shd w:val="clear" w:color="auto" w:fill="FFFFFF"/>
          <w:lang w:eastAsia="en-GB"/>
        </w:rPr>
        <w:t>S</w:t>
      </w:r>
      <w:r w:rsidR="00CE5B09">
        <w:rPr>
          <w:rFonts w:eastAsia="Times New Roman"/>
          <w:color w:val="222222"/>
          <w:sz w:val="24"/>
          <w:szCs w:val="24"/>
          <w:shd w:val="clear" w:color="auto" w:fill="FFFFFF"/>
          <w:lang w:eastAsia="en-GB"/>
        </w:rPr>
        <w:t>ervice (NHS).</w:t>
      </w:r>
    </w:p>
    <w:p w14:paraId="009C624B" w14:textId="5FA5F0FB" w:rsidR="00FF2FCB" w:rsidRDefault="003E5D15" w:rsidP="006C2D3A">
      <w:pPr>
        <w:spacing w:line="480" w:lineRule="auto"/>
      </w:pPr>
      <w:r w:rsidRPr="0092462D">
        <w:t xml:space="preserve">Annual-ONS </w:t>
      </w:r>
      <w:r>
        <w:t xml:space="preserve">data are </w:t>
      </w:r>
      <w:r w:rsidRPr="0092462D">
        <w:t xml:space="preserve">obtained 6 months after the end of each year and provides </w:t>
      </w:r>
      <w:r w:rsidR="006732F2">
        <w:t xml:space="preserve">records of </w:t>
      </w:r>
      <w:r w:rsidRPr="0092462D">
        <w:t>all certified deaths across England</w:t>
      </w:r>
      <w:r w:rsidR="00717C4A">
        <w:t>, including the date and cause of death</w:t>
      </w:r>
      <w:r w:rsidRPr="0092462D">
        <w:t>.</w:t>
      </w:r>
      <w:r w:rsidR="00717C4A">
        <w:t xml:space="preserve"> Confirmed IMD cases were also linked </w:t>
      </w:r>
      <w:r w:rsidR="00956F3A">
        <w:t>to the</w:t>
      </w:r>
      <w:r w:rsidRPr="0092462D">
        <w:t xml:space="preserve"> Annual-ONS</w:t>
      </w:r>
      <w:r w:rsidRPr="0092462D" w:rsidDel="00FA59F7">
        <w:t xml:space="preserve"> </w:t>
      </w:r>
      <w:r w:rsidR="00956F3A">
        <w:t xml:space="preserve">records and </w:t>
      </w:r>
      <w:r w:rsidRPr="0092462D">
        <w:t>as IMD</w:t>
      </w:r>
      <w:r w:rsidR="00956F3A">
        <w:t>-related</w:t>
      </w:r>
      <w:r w:rsidRPr="0092462D">
        <w:t xml:space="preserve"> or not IMD</w:t>
      </w:r>
      <w:r w:rsidR="00956F3A">
        <w:t>-</w:t>
      </w:r>
      <w:r w:rsidRPr="0092462D">
        <w:t xml:space="preserve">related </w:t>
      </w:r>
      <w:r w:rsidR="00956F3A">
        <w:t>based on the</w:t>
      </w:r>
      <w:r w:rsidRPr="0092462D">
        <w:t xml:space="preserve"> </w:t>
      </w:r>
      <w:r w:rsidR="00956F3A">
        <w:t xml:space="preserve">recorded </w:t>
      </w:r>
      <w:r w:rsidRPr="0092462D">
        <w:t xml:space="preserve">ICD-10 code and </w:t>
      </w:r>
      <w:r w:rsidR="00956F3A">
        <w:t>free-</w:t>
      </w:r>
      <w:r w:rsidRPr="0092462D">
        <w:t xml:space="preserve">text searches </w:t>
      </w:r>
      <w:r w:rsidR="00956F3A">
        <w:t>for serious infections (</w:t>
      </w:r>
      <w:r w:rsidRPr="0092462D">
        <w:t xml:space="preserve">meningitis, </w:t>
      </w:r>
      <w:r w:rsidRPr="00745E7C">
        <w:t xml:space="preserve">septicaemia, </w:t>
      </w:r>
      <w:r w:rsidR="00956F3A" w:rsidRPr="00745E7C">
        <w:t>pneumonia, sepsis</w:t>
      </w:r>
      <w:r w:rsidRPr="00745E7C">
        <w:t xml:space="preserve">) in </w:t>
      </w:r>
      <w:r w:rsidR="00956F3A" w:rsidRPr="00745E7C">
        <w:t xml:space="preserve">the </w:t>
      </w:r>
      <w:r w:rsidRPr="00745E7C">
        <w:t>text field</w:t>
      </w:r>
      <w:r w:rsidR="00956F3A" w:rsidRPr="00745E7C">
        <w:t>s of the death registration records</w:t>
      </w:r>
      <w:r w:rsidR="007B0C0A" w:rsidRPr="00745E7C">
        <w:t xml:space="preserve">. </w:t>
      </w:r>
      <w:r w:rsidR="007806B2" w:rsidRPr="00745E7C">
        <w:t>PDS</w:t>
      </w:r>
      <w:r w:rsidR="00CE5B09">
        <w:t xml:space="preserve"> </w:t>
      </w:r>
      <w:r w:rsidR="007806B2" w:rsidRPr="0092462D">
        <w:t>provides up</w:t>
      </w:r>
      <w:r w:rsidR="00CD53B1">
        <w:t>-</w:t>
      </w:r>
      <w:r w:rsidR="007806B2" w:rsidRPr="0092462D">
        <w:t>to</w:t>
      </w:r>
      <w:r w:rsidR="00CD53B1">
        <w:t>-</w:t>
      </w:r>
      <w:r w:rsidR="007806B2" w:rsidRPr="0092462D">
        <w:t xml:space="preserve">date </w:t>
      </w:r>
      <w:r w:rsidR="00CD53B1">
        <w:t xml:space="preserve">status for all patients registered within the NHS, including death status and date of death, </w:t>
      </w:r>
      <w:r w:rsidR="009E34BC" w:rsidRPr="0092462D">
        <w:t>but</w:t>
      </w:r>
      <w:r w:rsidR="00CD53B1">
        <w:t xml:space="preserve"> not the </w:t>
      </w:r>
      <w:r w:rsidR="009E34BC" w:rsidRPr="0092462D">
        <w:t>cause of death</w:t>
      </w:r>
      <w:r w:rsidR="00CE5B09" w:rsidRPr="0092462D">
        <w:t xml:space="preserve">. </w:t>
      </w:r>
      <w:r w:rsidR="00CE5B09">
        <w:t xml:space="preserve">The different datasets were linked to using any combination of full </w:t>
      </w:r>
      <w:r w:rsidR="00CE5B09" w:rsidRPr="0092462D">
        <w:t>name, date of birth</w:t>
      </w:r>
      <w:r w:rsidR="00CE5B09">
        <w:t xml:space="preserve"> and</w:t>
      </w:r>
      <w:r w:rsidR="00CE5B09" w:rsidRPr="0092462D">
        <w:t xml:space="preserve"> </w:t>
      </w:r>
      <w:r w:rsidR="00CE5B09">
        <w:t xml:space="preserve">individual </w:t>
      </w:r>
      <w:r w:rsidR="00CE5B09" w:rsidRPr="0092462D">
        <w:t>NHS number</w:t>
      </w:r>
      <w:r w:rsidR="00CE5B09">
        <w:t xml:space="preserve">. </w:t>
      </w:r>
      <w:r w:rsidR="007B0C0A">
        <w:t xml:space="preserve">All datasets were combined into a single dataset for analysis. Data are mainly descriptive and analysed by age group and serogroups for the combined </w:t>
      </w:r>
      <w:r w:rsidR="00A84FF5">
        <w:t xml:space="preserve">8-year </w:t>
      </w:r>
      <w:r w:rsidR="007B0C0A">
        <w:t>surveillance period</w:t>
      </w:r>
      <w:r w:rsidR="00A84FF5">
        <w:t xml:space="preserve"> of 2008-2015 inclusive</w:t>
      </w:r>
      <w:r w:rsidR="009825FB">
        <w:t>.</w:t>
      </w:r>
    </w:p>
    <w:p w14:paraId="0AC66D9A" w14:textId="77777777" w:rsidR="00FF2FCB" w:rsidRDefault="00FF2FCB" w:rsidP="006C2D3A">
      <w:pPr>
        <w:spacing w:line="480" w:lineRule="auto"/>
      </w:pPr>
    </w:p>
    <w:p w14:paraId="7F7B4E8B" w14:textId="25A1FC21" w:rsidR="00615E8C" w:rsidRDefault="005160FD" w:rsidP="006C2D3A">
      <w:pPr>
        <w:pStyle w:val="Heading1"/>
        <w:tabs>
          <w:tab w:val="left" w:pos="8197"/>
        </w:tabs>
        <w:spacing w:line="480" w:lineRule="auto"/>
      </w:pPr>
      <w:r>
        <w:t>Results</w:t>
      </w:r>
      <w:r w:rsidR="00A66571">
        <w:tab/>
      </w:r>
    </w:p>
    <w:p w14:paraId="6B0F93CC" w14:textId="3C850879" w:rsidR="00EF6E40" w:rsidRDefault="00D35E34" w:rsidP="006C2D3A">
      <w:pPr>
        <w:spacing w:line="480" w:lineRule="auto"/>
      </w:pPr>
      <w:r>
        <w:t xml:space="preserve">There were </w:t>
      </w:r>
      <w:r w:rsidR="005160FD">
        <w:t>6</w:t>
      </w:r>
      <w:r>
        <w:t>,</w:t>
      </w:r>
      <w:r w:rsidR="005160FD">
        <w:t xml:space="preserve">808 </w:t>
      </w:r>
      <w:r>
        <w:t xml:space="preserve">IMD </w:t>
      </w:r>
      <w:r w:rsidR="005160FD">
        <w:t xml:space="preserve">cases </w:t>
      </w:r>
      <w:r w:rsidR="00D83881">
        <w:t xml:space="preserve">reported </w:t>
      </w:r>
      <w:r>
        <w:t xml:space="preserve">in England during the </w:t>
      </w:r>
      <w:r w:rsidR="007743CD">
        <w:t>eight</w:t>
      </w:r>
      <w:r w:rsidR="00BD535B">
        <w:t>-y</w:t>
      </w:r>
      <w:r>
        <w:t xml:space="preserve">ear </w:t>
      </w:r>
      <w:r w:rsidR="00D83881">
        <w:t xml:space="preserve">surveillance </w:t>
      </w:r>
      <w:r>
        <w:t>period</w:t>
      </w:r>
      <w:r w:rsidR="00A66571">
        <w:t xml:space="preserve"> (2008-2015)</w:t>
      </w:r>
      <w:r w:rsidR="009D1FE1">
        <w:t xml:space="preserve">.  Overall, </w:t>
      </w:r>
      <w:r w:rsidR="005160FD">
        <w:t xml:space="preserve">cases declined </w:t>
      </w:r>
      <w:r w:rsidR="00705BD0">
        <w:t>across all age</w:t>
      </w:r>
      <w:r w:rsidR="00EF6E40">
        <w:t xml:space="preserve"> </w:t>
      </w:r>
      <w:r w:rsidR="00705BD0">
        <w:t xml:space="preserve">groups </w:t>
      </w:r>
      <w:r w:rsidR="005160FD">
        <w:t xml:space="preserve">by </w:t>
      </w:r>
      <w:r>
        <w:t xml:space="preserve">more than </w:t>
      </w:r>
      <w:r w:rsidR="005160FD">
        <w:t>30% from 1</w:t>
      </w:r>
      <w:r>
        <w:t>,</w:t>
      </w:r>
      <w:r w:rsidR="005160FD">
        <w:t>171 in 2008 to 797 in 2015.</w:t>
      </w:r>
      <w:r w:rsidR="0070502E">
        <w:t xml:space="preserve"> </w:t>
      </w:r>
      <w:r>
        <w:t>Children aged &lt;5 years were responsible for nearly half the cases</w:t>
      </w:r>
      <w:r w:rsidR="00EF6E40">
        <w:t xml:space="preserve"> </w:t>
      </w:r>
      <w:r w:rsidR="0070502E">
        <w:t>(n=3</w:t>
      </w:r>
      <w:r w:rsidR="00A44640">
        <w:t>,</w:t>
      </w:r>
      <w:r w:rsidR="0070502E">
        <w:t xml:space="preserve">352) </w:t>
      </w:r>
      <w:r w:rsidR="009D1FE1">
        <w:t>(</w:t>
      </w:r>
      <w:r w:rsidR="00A44640" w:rsidRPr="00BD535B">
        <w:rPr>
          <w:b/>
          <w:bCs/>
          <w:color w:val="FF0000"/>
        </w:rPr>
        <w:t>F</w:t>
      </w:r>
      <w:r w:rsidR="009D1FE1" w:rsidRPr="00BD535B">
        <w:rPr>
          <w:b/>
          <w:bCs/>
          <w:color w:val="FF0000"/>
        </w:rPr>
        <w:t xml:space="preserve">igure </w:t>
      </w:r>
      <w:r w:rsidR="007743CD" w:rsidRPr="00BD535B">
        <w:rPr>
          <w:b/>
          <w:bCs/>
          <w:color w:val="FF0000"/>
        </w:rPr>
        <w:t>1</w:t>
      </w:r>
      <w:r w:rsidR="009D1FE1">
        <w:t xml:space="preserve">). </w:t>
      </w:r>
      <w:r w:rsidR="001B069E">
        <w:t xml:space="preserve">Most </w:t>
      </w:r>
      <w:r w:rsidR="00760649">
        <w:t xml:space="preserve">cases were caused by </w:t>
      </w:r>
      <w:proofErr w:type="spellStart"/>
      <w:r w:rsidR="00760649">
        <w:t>MenB</w:t>
      </w:r>
      <w:proofErr w:type="spellEnd"/>
      <w:r w:rsidR="00760649">
        <w:t xml:space="preserve"> (79%) followed by </w:t>
      </w:r>
      <w:proofErr w:type="spellStart"/>
      <w:r w:rsidR="00FA59F7">
        <w:t>MenW</w:t>
      </w:r>
      <w:proofErr w:type="spellEnd"/>
      <w:r w:rsidR="00FA59F7">
        <w:t xml:space="preserve"> (8%), </w:t>
      </w:r>
      <w:proofErr w:type="spellStart"/>
      <w:r w:rsidR="00760649">
        <w:t>MenY</w:t>
      </w:r>
      <w:proofErr w:type="spellEnd"/>
      <w:r w:rsidR="00760649">
        <w:t xml:space="preserve"> (8%) and </w:t>
      </w:r>
      <w:proofErr w:type="spellStart"/>
      <w:r w:rsidR="00760649">
        <w:t>MenC</w:t>
      </w:r>
      <w:proofErr w:type="spellEnd"/>
      <w:r w:rsidR="00760649">
        <w:t xml:space="preserve"> (3%). The proportion of cases caused by </w:t>
      </w:r>
      <w:proofErr w:type="spellStart"/>
      <w:r w:rsidR="00760649">
        <w:t>MenB</w:t>
      </w:r>
      <w:proofErr w:type="spellEnd"/>
      <w:r w:rsidR="00760649">
        <w:t xml:space="preserve"> declined from 90% (1</w:t>
      </w:r>
      <w:r w:rsidR="00A270E2">
        <w:t>,</w:t>
      </w:r>
      <w:r w:rsidR="00CE01A4">
        <w:t>051/1</w:t>
      </w:r>
      <w:r w:rsidR="00A270E2">
        <w:t>,</w:t>
      </w:r>
      <w:r w:rsidR="00CE01A4">
        <w:t>171) in 2008 to 56% (450/797)</w:t>
      </w:r>
      <w:r w:rsidR="00760649">
        <w:t xml:space="preserve"> in 2015</w:t>
      </w:r>
      <w:r w:rsidR="00A270E2">
        <w:t>.</w:t>
      </w:r>
      <w:r w:rsidR="00760649">
        <w:t xml:space="preserve"> </w:t>
      </w:r>
      <w:r w:rsidR="00F43683">
        <w:t>Over the same period, t</w:t>
      </w:r>
      <w:r w:rsidR="00A270E2">
        <w:t xml:space="preserve">he proportion of </w:t>
      </w:r>
      <w:proofErr w:type="spellStart"/>
      <w:r w:rsidR="00760649">
        <w:t>Me</w:t>
      </w:r>
      <w:r w:rsidR="00876120">
        <w:t>nW</w:t>
      </w:r>
      <w:proofErr w:type="spellEnd"/>
      <w:r w:rsidR="00760649">
        <w:t xml:space="preserve"> </w:t>
      </w:r>
      <w:r w:rsidR="00FA59F7">
        <w:t xml:space="preserve">cases </w:t>
      </w:r>
      <w:r w:rsidR="00760649">
        <w:t xml:space="preserve">increased from 1% to 25% and </w:t>
      </w:r>
      <w:proofErr w:type="spellStart"/>
      <w:r w:rsidR="00760649">
        <w:t>MenY</w:t>
      </w:r>
      <w:proofErr w:type="spellEnd"/>
      <w:r w:rsidR="00760649">
        <w:t xml:space="preserve"> from 3</w:t>
      </w:r>
      <w:r w:rsidR="00A270E2">
        <w:t>%</w:t>
      </w:r>
      <w:r w:rsidR="00760649">
        <w:t xml:space="preserve"> to 13%. </w:t>
      </w:r>
      <w:r w:rsidR="00485983">
        <w:t xml:space="preserve">The contribution of </w:t>
      </w:r>
      <w:proofErr w:type="spellStart"/>
      <w:r w:rsidR="00760649">
        <w:t>MenC</w:t>
      </w:r>
      <w:proofErr w:type="spellEnd"/>
      <w:r w:rsidR="00760649">
        <w:t xml:space="preserve"> </w:t>
      </w:r>
      <w:r w:rsidR="0069562A">
        <w:t xml:space="preserve">cases </w:t>
      </w:r>
      <w:r w:rsidR="00760649">
        <w:t>remained between 2-4%</w:t>
      </w:r>
      <w:r w:rsidR="002F0DB4">
        <w:t>, while</w:t>
      </w:r>
      <w:r w:rsidR="00760649">
        <w:t xml:space="preserve"> other capsular groups were rare (1-4%).</w:t>
      </w:r>
    </w:p>
    <w:p w14:paraId="4FA5DD83" w14:textId="512812B9" w:rsidR="006749A5" w:rsidRDefault="005C5954" w:rsidP="006C2D3A">
      <w:pPr>
        <w:pStyle w:val="Heading2"/>
        <w:spacing w:line="480" w:lineRule="auto"/>
      </w:pPr>
      <w:r>
        <w:t>Deaths following IMD</w:t>
      </w:r>
    </w:p>
    <w:p w14:paraId="64A6961C" w14:textId="7537C1AD" w:rsidR="009A3EC3" w:rsidRPr="00291FF8" w:rsidRDefault="00606E16" w:rsidP="006C2D3A">
      <w:pPr>
        <w:spacing w:line="480" w:lineRule="auto"/>
      </w:pPr>
      <w:r>
        <w:lastRenderedPageBreak/>
        <w:t>Of the 6</w:t>
      </w:r>
      <w:r w:rsidR="001B069E">
        <w:t>,</w:t>
      </w:r>
      <w:r>
        <w:t xml:space="preserve">808 </w:t>
      </w:r>
      <w:r w:rsidR="003C04EA">
        <w:t xml:space="preserve">laboratory-confirmed </w:t>
      </w:r>
      <w:r w:rsidR="001B069E">
        <w:t xml:space="preserve">IMD </w:t>
      </w:r>
      <w:r>
        <w:t xml:space="preserve">cases, </w:t>
      </w:r>
      <w:r w:rsidR="006B11BF">
        <w:t>6</w:t>
      </w:r>
      <w:r w:rsidR="001B069E">
        <w:t>,</w:t>
      </w:r>
      <w:r w:rsidR="006B11BF">
        <w:t>734 (99%)</w:t>
      </w:r>
      <w:r w:rsidR="00337505">
        <w:t xml:space="preserve"> </w:t>
      </w:r>
      <w:r w:rsidR="00CB735A">
        <w:t xml:space="preserve">cases </w:t>
      </w:r>
      <w:r w:rsidR="00DA103C">
        <w:t>m</w:t>
      </w:r>
      <w:r w:rsidR="000E7E0A">
        <w:t xml:space="preserve">atched to </w:t>
      </w:r>
      <w:r w:rsidR="0092156C">
        <w:t xml:space="preserve">a </w:t>
      </w:r>
      <w:r w:rsidR="00876120">
        <w:t xml:space="preserve">PDS </w:t>
      </w:r>
      <w:r w:rsidR="00337505">
        <w:t>record</w:t>
      </w:r>
      <w:r w:rsidR="00FA59F7">
        <w:t xml:space="preserve"> and </w:t>
      </w:r>
      <w:r w:rsidR="0092156C">
        <w:t>668</w:t>
      </w:r>
      <w:r w:rsidR="00004662">
        <w:t xml:space="preserve"> </w:t>
      </w:r>
      <w:r w:rsidR="003C04EA">
        <w:t xml:space="preserve">were identified to have died; of these 668 deaths, </w:t>
      </w:r>
      <w:r w:rsidR="00593875">
        <w:t xml:space="preserve">667 </w:t>
      </w:r>
      <w:r w:rsidR="003C04EA">
        <w:t>linked to an</w:t>
      </w:r>
      <w:r w:rsidR="00593875">
        <w:t xml:space="preserve"> A</w:t>
      </w:r>
      <w:r w:rsidR="00FA59F7">
        <w:t>nnual</w:t>
      </w:r>
      <w:r w:rsidR="00EE2C1B">
        <w:t>-</w:t>
      </w:r>
      <w:r w:rsidR="00593875">
        <w:t>O</w:t>
      </w:r>
      <w:r w:rsidR="00EE2C1B">
        <w:t>NS</w:t>
      </w:r>
      <w:r w:rsidR="00593875">
        <w:t xml:space="preserve"> </w:t>
      </w:r>
      <w:r w:rsidR="003C04EA">
        <w:t xml:space="preserve">record </w:t>
      </w:r>
      <w:r w:rsidR="00593875">
        <w:t xml:space="preserve">and 405 </w:t>
      </w:r>
      <w:r w:rsidR="003C04EA">
        <w:t>to the</w:t>
      </w:r>
      <w:r w:rsidR="00593875">
        <w:t xml:space="preserve"> W</w:t>
      </w:r>
      <w:r w:rsidR="00FA59F7">
        <w:t>eekly</w:t>
      </w:r>
      <w:r w:rsidR="00EE2C1B">
        <w:t>-ONS</w:t>
      </w:r>
      <w:r w:rsidR="003C04EA">
        <w:t xml:space="preserve"> record</w:t>
      </w:r>
      <w:r w:rsidR="00593875">
        <w:t xml:space="preserve">.  </w:t>
      </w:r>
      <w:r w:rsidR="00694BDF" w:rsidRPr="00833AF9">
        <w:t>N</w:t>
      </w:r>
      <w:r w:rsidR="00F433D8" w:rsidRPr="00833AF9">
        <w:t xml:space="preserve">early all deaths reported through </w:t>
      </w:r>
      <w:r w:rsidR="005C5954" w:rsidRPr="00833AF9">
        <w:t xml:space="preserve">the </w:t>
      </w:r>
      <w:r w:rsidR="00EE2C1B" w:rsidRPr="00833AF9">
        <w:t>W</w:t>
      </w:r>
      <w:r w:rsidR="00FA59F7" w:rsidRPr="00833AF9">
        <w:t>eekly</w:t>
      </w:r>
      <w:r w:rsidR="00EE2C1B" w:rsidRPr="00833AF9">
        <w:t xml:space="preserve">-ONS </w:t>
      </w:r>
      <w:r w:rsidR="00593875" w:rsidRPr="00833AF9">
        <w:t>deaths</w:t>
      </w:r>
      <w:r w:rsidR="00F433D8" w:rsidRPr="00833AF9">
        <w:t xml:space="preserve"> (396/405, 96%) </w:t>
      </w:r>
      <w:r w:rsidR="00694BDF" w:rsidRPr="00833AF9">
        <w:t xml:space="preserve">occurred </w:t>
      </w:r>
      <w:r w:rsidR="00F433D8" w:rsidRPr="00833AF9">
        <w:t xml:space="preserve">within </w:t>
      </w:r>
      <w:r w:rsidR="00593875" w:rsidRPr="00833AF9">
        <w:t>30 days</w:t>
      </w:r>
      <w:r w:rsidR="00EE2C1B" w:rsidRPr="00833AF9">
        <w:t xml:space="preserve"> of </w:t>
      </w:r>
      <w:r w:rsidR="00F433D8" w:rsidRPr="00833AF9">
        <w:t>IMD diagnosis</w:t>
      </w:r>
      <w:r w:rsidR="005C5954" w:rsidRPr="00833AF9">
        <w:t>,</w:t>
      </w:r>
      <w:r w:rsidR="00F433D8" w:rsidRPr="00833AF9">
        <w:t xml:space="preserve"> with</w:t>
      </w:r>
      <w:r w:rsidR="00EE2C1B" w:rsidRPr="00833AF9">
        <w:t xml:space="preserve"> only </w:t>
      </w:r>
      <w:r w:rsidR="00593875" w:rsidRPr="00833AF9">
        <w:t xml:space="preserve">9 </w:t>
      </w:r>
      <w:r w:rsidR="00F433D8" w:rsidRPr="00833AF9">
        <w:t xml:space="preserve">occurring </w:t>
      </w:r>
      <w:r w:rsidR="005C5954" w:rsidRPr="00833AF9">
        <w:t>after this period</w:t>
      </w:r>
      <w:r w:rsidR="00991E24" w:rsidRPr="00833AF9">
        <w:t xml:space="preserve"> (Table 1)</w:t>
      </w:r>
      <w:r w:rsidR="00593875" w:rsidRPr="00833AF9">
        <w:t>.</w:t>
      </w:r>
      <w:r w:rsidR="00F433D8">
        <w:t xml:space="preserve"> </w:t>
      </w:r>
      <w:r w:rsidR="003A64B3">
        <w:t>Annual-ONS death certificate recor</w:t>
      </w:r>
      <w:r w:rsidR="00176F4B">
        <w:t>ds</w:t>
      </w:r>
      <w:r w:rsidR="003A64B3">
        <w:t xml:space="preserve"> identified an additional 262 deaths compared to the Weekly-ONS</w:t>
      </w:r>
      <w:r w:rsidR="00B002D9">
        <w:t xml:space="preserve"> </w:t>
      </w:r>
      <w:r w:rsidR="00176F4B">
        <w:t>and</w:t>
      </w:r>
      <w:r w:rsidR="00B002D9">
        <w:t xml:space="preserve"> only one </w:t>
      </w:r>
      <w:r w:rsidR="00176F4B">
        <w:t>less than PDS</w:t>
      </w:r>
      <w:r w:rsidR="00A66AB6">
        <w:t xml:space="preserve">. Annual-ONS identified </w:t>
      </w:r>
      <w:r w:rsidR="009A6CF6" w:rsidRPr="00291FF8">
        <w:t xml:space="preserve">22-25% </w:t>
      </w:r>
      <w:r w:rsidR="00A66AB6" w:rsidRPr="00291FF8">
        <w:t xml:space="preserve">more deaths and IMD-related deaths than Weekly-ONS </w:t>
      </w:r>
      <w:r w:rsidR="00D46202" w:rsidRPr="00291FF8">
        <w:t>at all time-points</w:t>
      </w:r>
      <w:r w:rsidR="000B5443" w:rsidRPr="00291FF8">
        <w:t xml:space="preserve"> between </w:t>
      </w:r>
      <w:r w:rsidR="00D46202" w:rsidRPr="00291FF8">
        <w:t>1 day to 180 days</w:t>
      </w:r>
      <w:r w:rsidR="003C04EA" w:rsidRPr="00291FF8">
        <w:t xml:space="preserve"> after IMD diagnosis</w:t>
      </w:r>
      <w:r w:rsidR="00C77DA5" w:rsidRPr="00291FF8">
        <w:t xml:space="preserve">. </w:t>
      </w:r>
    </w:p>
    <w:p w14:paraId="7106A9F9" w14:textId="77777777" w:rsidR="00B01E5E" w:rsidRPr="00291FF8" w:rsidRDefault="00B01E5E" w:rsidP="006C2D3A">
      <w:pPr>
        <w:spacing w:line="480" w:lineRule="auto"/>
      </w:pPr>
    </w:p>
    <w:p w14:paraId="3516E7C1" w14:textId="1E652337" w:rsidR="004B5FA3" w:rsidRPr="00291FF8" w:rsidRDefault="00A36488" w:rsidP="006C2D3A">
      <w:pPr>
        <w:pStyle w:val="Heading2"/>
        <w:spacing w:line="480" w:lineRule="auto"/>
      </w:pPr>
      <w:r w:rsidRPr="00291FF8">
        <w:t>Timing of death and Association with age</w:t>
      </w:r>
    </w:p>
    <w:p w14:paraId="50E535F3" w14:textId="3592E718" w:rsidR="0025732E" w:rsidRPr="00291FF8" w:rsidRDefault="00A36488" w:rsidP="006C2D3A">
      <w:pPr>
        <w:spacing w:line="480" w:lineRule="auto"/>
      </w:pPr>
      <w:r w:rsidRPr="00291FF8">
        <w:t xml:space="preserve">Annual-ONS </w:t>
      </w:r>
      <w:r w:rsidR="0055199E" w:rsidRPr="00291FF8">
        <w:t xml:space="preserve">records were used </w:t>
      </w:r>
      <w:r w:rsidRPr="00291FF8">
        <w:t>as the most complete data source for the number</w:t>
      </w:r>
      <w:r w:rsidR="00C74D10" w:rsidRPr="00291FF8">
        <w:t xml:space="preserve"> </w:t>
      </w:r>
      <w:r w:rsidRPr="00291FF8">
        <w:t xml:space="preserve">and cause of death among </w:t>
      </w:r>
      <w:r w:rsidR="00B01E5E" w:rsidRPr="00291FF8">
        <w:t xml:space="preserve">laboratory-confirmed </w:t>
      </w:r>
      <w:r w:rsidRPr="00291FF8">
        <w:t>IMD cases</w:t>
      </w:r>
      <w:r w:rsidR="00991E24" w:rsidRPr="00291FF8">
        <w:t xml:space="preserve"> (Table 1)</w:t>
      </w:r>
      <w:r w:rsidR="0055199E" w:rsidRPr="00291FF8">
        <w:t xml:space="preserve">. Most IMD-related deaths occurred rapidly after disease onset. Overall, </w:t>
      </w:r>
      <w:r w:rsidR="00C74D10" w:rsidRPr="00291FF8">
        <w:t>429/667 (64.3%) of all deaths and 428/502 (85.3%) of all IMD-related deaths</w:t>
      </w:r>
      <w:r w:rsidR="005D3886" w:rsidRPr="00291FF8">
        <w:t xml:space="preserve"> (as recorded on the death certificate)</w:t>
      </w:r>
      <w:r w:rsidR="00C74D10" w:rsidRPr="00291FF8">
        <w:t xml:space="preserve"> occurred within </w:t>
      </w:r>
      <w:r w:rsidR="00513E40" w:rsidRPr="00291FF8">
        <w:t>one</w:t>
      </w:r>
      <w:r w:rsidR="00C74D10" w:rsidRPr="00291FF8">
        <w:t xml:space="preserve"> day of diagnosis. At 30 days after IMD diagnosis,</w:t>
      </w:r>
      <w:r w:rsidR="005D3886" w:rsidRPr="00291FF8">
        <w:t xml:space="preserve"> these proportions were 74.7% (498/667) and 98.4% (490/498)</w:t>
      </w:r>
      <w:r w:rsidR="00B10E31" w:rsidRPr="00291FF8">
        <w:t>, respectively</w:t>
      </w:r>
      <w:r w:rsidR="00255709" w:rsidRPr="00291FF8">
        <w:t xml:space="preserve">; there were only additional 12 IMD-related deaths recorded (12/502, 2.4%) after this time. </w:t>
      </w:r>
      <w:r w:rsidR="00DE7E92" w:rsidRPr="00291FF8">
        <w:t>The CFR at 30 days correlated well with overall IMD-related deaths (Figure 2)</w:t>
      </w:r>
      <w:r w:rsidR="003420C4" w:rsidRPr="00291FF8">
        <w:t xml:space="preserve">. </w:t>
      </w:r>
      <w:r w:rsidR="0025732E" w:rsidRPr="00291FF8">
        <w:t>After 180 days, there were 43 additional deaths in this cohort and 9</w:t>
      </w:r>
      <w:r w:rsidR="00302598" w:rsidRPr="00291FF8">
        <w:t>2.8</w:t>
      </w:r>
      <w:r w:rsidR="0025732E" w:rsidRPr="00291FF8">
        <w:t>% (502/541) were IMD-related according to the Annual-ONS death registration record.</w:t>
      </w:r>
    </w:p>
    <w:p w14:paraId="41099444" w14:textId="06650C66" w:rsidR="000736AF" w:rsidRPr="00291FF8" w:rsidRDefault="00553CD6" w:rsidP="006C2D3A">
      <w:pPr>
        <w:spacing w:line="480" w:lineRule="auto"/>
      </w:pPr>
      <w:r w:rsidRPr="00291FF8">
        <w:t xml:space="preserve">In children (&lt;15 year-olds), </w:t>
      </w:r>
      <w:r w:rsidR="00470865" w:rsidRPr="00291FF8">
        <w:t xml:space="preserve">88.7% </w:t>
      </w:r>
      <w:r w:rsidRPr="00291FF8">
        <w:t>(</w:t>
      </w:r>
      <w:r w:rsidR="003C14A3" w:rsidRPr="00291FF8">
        <w:t>173</w:t>
      </w:r>
      <w:r w:rsidR="00470865" w:rsidRPr="00291FF8">
        <w:t>/195</w:t>
      </w:r>
      <w:r w:rsidR="003C14A3" w:rsidRPr="00291FF8">
        <w:t>)</w:t>
      </w:r>
      <w:r w:rsidR="00A976FA" w:rsidRPr="00291FF8">
        <w:t xml:space="preserve"> of </w:t>
      </w:r>
      <w:r w:rsidR="003C14A3" w:rsidRPr="00291FF8">
        <w:t xml:space="preserve">deaths occurred within a day of diagnosis, </w:t>
      </w:r>
      <w:r w:rsidR="00470865" w:rsidRPr="00291FF8">
        <w:t xml:space="preserve">93.8% </w:t>
      </w:r>
      <w:r w:rsidR="00A976FA" w:rsidRPr="00291FF8">
        <w:t>(183</w:t>
      </w:r>
      <w:r w:rsidR="00470865" w:rsidRPr="00291FF8">
        <w:t>/195</w:t>
      </w:r>
      <w:r w:rsidR="00A976FA" w:rsidRPr="00291FF8">
        <w:t xml:space="preserve">) </w:t>
      </w:r>
      <w:r w:rsidR="003C14A3" w:rsidRPr="00291FF8">
        <w:t>with</w:t>
      </w:r>
      <w:r w:rsidR="00A976FA" w:rsidRPr="00291FF8">
        <w:t>in 7 days,</w:t>
      </w:r>
      <w:r w:rsidR="003C14A3" w:rsidRPr="00291FF8">
        <w:t xml:space="preserve"> </w:t>
      </w:r>
      <w:r w:rsidR="00470865" w:rsidRPr="00291FF8">
        <w:t xml:space="preserve">and 94.7% </w:t>
      </w:r>
      <w:r w:rsidR="003C14A3" w:rsidRPr="00291FF8">
        <w:t>(190</w:t>
      </w:r>
      <w:r w:rsidR="00470865" w:rsidRPr="00291FF8">
        <w:t>/195</w:t>
      </w:r>
      <w:r w:rsidR="003C14A3" w:rsidRPr="00291FF8">
        <w:t xml:space="preserve">) </w:t>
      </w:r>
      <w:r w:rsidR="00A976FA" w:rsidRPr="00291FF8">
        <w:t>within</w:t>
      </w:r>
      <w:r w:rsidR="003C14A3" w:rsidRPr="00291FF8">
        <w:t xml:space="preserve"> 30 days after </w:t>
      </w:r>
      <w:r w:rsidR="00F07C49" w:rsidRPr="00291FF8">
        <w:t xml:space="preserve">IMD </w:t>
      </w:r>
      <w:r w:rsidR="003C14A3" w:rsidRPr="00291FF8">
        <w:t>diagnosis</w:t>
      </w:r>
      <w:r w:rsidR="00470865" w:rsidRPr="00291FF8">
        <w:t>; a</w:t>
      </w:r>
      <w:r w:rsidR="00A976FA" w:rsidRPr="00291FF8">
        <w:t xml:space="preserve">ll but two </w:t>
      </w:r>
      <w:r w:rsidR="00470865" w:rsidRPr="00291FF8">
        <w:t>deaths (193/195</w:t>
      </w:r>
      <w:r w:rsidR="00861063" w:rsidRPr="00291FF8">
        <w:t>, 99.0%</w:t>
      </w:r>
      <w:r w:rsidR="00470865" w:rsidRPr="00291FF8">
        <w:t xml:space="preserve">) in children </w:t>
      </w:r>
      <w:r w:rsidR="00A976FA" w:rsidRPr="00291FF8">
        <w:t>were IMD-related.</w:t>
      </w:r>
      <w:r w:rsidR="0073349E" w:rsidRPr="00291FF8">
        <w:t xml:space="preserve"> </w:t>
      </w:r>
      <w:r w:rsidR="00A976FA" w:rsidRPr="00291FF8">
        <w:t>In adults (</w:t>
      </w:r>
      <w:r w:rsidR="004F14D6" w:rsidRPr="00291FF8">
        <w:t>1</w:t>
      </w:r>
      <w:r w:rsidR="00A976FA" w:rsidRPr="00291FF8">
        <w:t>5-64 year-olds),</w:t>
      </w:r>
      <w:r w:rsidR="0073349E" w:rsidRPr="00291FF8">
        <w:t xml:space="preserve"> </w:t>
      </w:r>
      <w:r w:rsidR="00D437C5" w:rsidRPr="00291FF8">
        <w:t xml:space="preserve">71.7% </w:t>
      </w:r>
      <w:r w:rsidR="00A976FA" w:rsidRPr="00291FF8">
        <w:t>(66+26+</w:t>
      </w:r>
      <w:r w:rsidR="00470865" w:rsidRPr="00291FF8">
        <w:t>50=142/198</w:t>
      </w:r>
      <w:r w:rsidR="00A976FA" w:rsidRPr="00291FF8">
        <w:t xml:space="preserve">) deaths </w:t>
      </w:r>
      <w:r w:rsidR="00470865" w:rsidRPr="00291FF8">
        <w:t xml:space="preserve">and </w:t>
      </w:r>
      <w:r w:rsidR="00D437C5" w:rsidRPr="00291FF8">
        <w:t xml:space="preserve">90.4% </w:t>
      </w:r>
      <w:r w:rsidR="00470865" w:rsidRPr="00291FF8">
        <w:t xml:space="preserve">(141/156; i.e. </w:t>
      </w:r>
      <w:r w:rsidR="00A976FA" w:rsidRPr="00291FF8">
        <w:t xml:space="preserve">all but 1 IMD-related) </w:t>
      </w:r>
      <w:r w:rsidR="00A131D3" w:rsidRPr="00291FF8">
        <w:t xml:space="preserve">occurred within a day of diagnosis, </w:t>
      </w:r>
      <w:r w:rsidR="005406EB" w:rsidRPr="00291FF8">
        <w:t xml:space="preserve">compared to 74.7% </w:t>
      </w:r>
      <w:r w:rsidR="00A131D3" w:rsidRPr="00291FF8">
        <w:t>(</w:t>
      </w:r>
      <w:r w:rsidR="00470865" w:rsidRPr="00291FF8">
        <w:t>148/198</w:t>
      </w:r>
      <w:r w:rsidR="00A131D3" w:rsidRPr="00291FF8">
        <w:t xml:space="preserve">) </w:t>
      </w:r>
      <w:r w:rsidR="00470865" w:rsidRPr="00291FF8">
        <w:t xml:space="preserve">and </w:t>
      </w:r>
      <w:r w:rsidR="005406EB" w:rsidRPr="00291FF8">
        <w:t xml:space="preserve">94.2% </w:t>
      </w:r>
      <w:r w:rsidR="00470865" w:rsidRPr="00291FF8">
        <w:t xml:space="preserve">(147/156; again all but 1 IMD-related) </w:t>
      </w:r>
      <w:r w:rsidR="00A131D3" w:rsidRPr="00291FF8">
        <w:t>within 7 days</w:t>
      </w:r>
      <w:r w:rsidR="005406EB" w:rsidRPr="00291FF8">
        <w:t>,</w:t>
      </w:r>
      <w:r w:rsidR="00A131D3" w:rsidRPr="00291FF8">
        <w:t xml:space="preserve"> and </w:t>
      </w:r>
      <w:r w:rsidR="005406EB" w:rsidRPr="00291FF8">
        <w:t xml:space="preserve">78.8% </w:t>
      </w:r>
      <w:r w:rsidR="00A131D3" w:rsidRPr="00291FF8">
        <w:t>(</w:t>
      </w:r>
      <w:r w:rsidR="00470865" w:rsidRPr="00291FF8">
        <w:t>156/198</w:t>
      </w:r>
      <w:r w:rsidR="00A131D3" w:rsidRPr="00291FF8">
        <w:t xml:space="preserve">) </w:t>
      </w:r>
      <w:r w:rsidR="00470865" w:rsidRPr="00291FF8">
        <w:t xml:space="preserve">and </w:t>
      </w:r>
      <w:r w:rsidR="005406EB" w:rsidRPr="00291FF8">
        <w:t xml:space="preserve">98.7% </w:t>
      </w:r>
      <w:r w:rsidR="00470865" w:rsidRPr="00291FF8">
        <w:t>(154/156, all but 2 IMD-related)</w:t>
      </w:r>
      <w:r w:rsidR="005406EB" w:rsidRPr="00291FF8">
        <w:t xml:space="preserve">, </w:t>
      </w:r>
      <w:r w:rsidR="005406EB" w:rsidRPr="00291FF8">
        <w:lastRenderedPageBreak/>
        <w:t>respectively</w:t>
      </w:r>
      <w:r w:rsidR="00470865" w:rsidRPr="00291FF8">
        <w:t xml:space="preserve"> </w:t>
      </w:r>
      <w:r w:rsidR="00A131D3" w:rsidRPr="00291FF8">
        <w:t>within 30 days</w:t>
      </w:r>
      <w:r w:rsidR="00470865" w:rsidRPr="00291FF8">
        <w:t>.</w:t>
      </w:r>
      <w:r w:rsidR="00DF0D1F" w:rsidRPr="00291FF8">
        <w:t xml:space="preserve"> </w:t>
      </w:r>
      <w:r w:rsidR="004F14D6" w:rsidRPr="00291FF8">
        <w:t xml:space="preserve">In adults, </w:t>
      </w:r>
      <w:r w:rsidR="00DA60C8" w:rsidRPr="00291FF8">
        <w:t>38</w:t>
      </w:r>
      <w:r w:rsidR="00D31584" w:rsidRPr="00291FF8">
        <w:t xml:space="preserve"> of the </w:t>
      </w:r>
      <w:r w:rsidR="00DA60C8" w:rsidRPr="00291FF8">
        <w:t>42</w:t>
      </w:r>
      <w:r w:rsidR="00D31584" w:rsidRPr="00291FF8">
        <w:t xml:space="preserve"> </w:t>
      </w:r>
      <w:r w:rsidR="00470865" w:rsidRPr="00291FF8">
        <w:t xml:space="preserve">deaths </w:t>
      </w:r>
      <w:r w:rsidR="005406EB" w:rsidRPr="00291FF8">
        <w:t>(90.5%)</w:t>
      </w:r>
      <w:r w:rsidR="006D49CC" w:rsidRPr="00291FF8">
        <w:t xml:space="preserve"> </w:t>
      </w:r>
      <w:r w:rsidR="008F27C6" w:rsidRPr="00291FF8">
        <w:t xml:space="preserve">that were not IMD-related were </w:t>
      </w:r>
      <w:r w:rsidR="000E70E9" w:rsidRPr="00291FF8">
        <w:t>among</w:t>
      </w:r>
      <w:r w:rsidR="008F27C6" w:rsidRPr="00291FF8">
        <w:t xml:space="preserve"> 45-64 year-olds</w:t>
      </w:r>
      <w:r w:rsidR="000736AF" w:rsidRPr="00291FF8">
        <w:t>.</w:t>
      </w:r>
    </w:p>
    <w:p w14:paraId="0FEF96CF" w14:textId="6F02FA39" w:rsidR="00470865" w:rsidRPr="00291FF8" w:rsidRDefault="00F12F3C" w:rsidP="006C2D3A">
      <w:pPr>
        <w:spacing w:line="480" w:lineRule="auto"/>
      </w:pPr>
      <w:r w:rsidRPr="00291FF8">
        <w:t>In older adults aged</w:t>
      </w:r>
      <w:r w:rsidR="00115204" w:rsidRPr="00291FF8">
        <w:t xml:space="preserve"> </w:t>
      </w:r>
      <w:r w:rsidR="00752231" w:rsidRPr="00291FF8">
        <w:t>≥</w:t>
      </w:r>
      <w:r w:rsidR="00115204" w:rsidRPr="00291FF8">
        <w:t>65 year,</w:t>
      </w:r>
      <w:r w:rsidR="007D19BD" w:rsidRPr="00291FF8">
        <w:t xml:space="preserve"> a</w:t>
      </w:r>
      <w:r w:rsidR="00470865" w:rsidRPr="00291FF8">
        <w:t xml:space="preserve">ll </w:t>
      </w:r>
      <w:r w:rsidR="00880DEA" w:rsidRPr="00291FF8">
        <w:t xml:space="preserve">114 and 134 </w:t>
      </w:r>
      <w:r w:rsidR="00470865" w:rsidRPr="00291FF8">
        <w:t xml:space="preserve">deaths within </w:t>
      </w:r>
      <w:r w:rsidR="00DF0D1F" w:rsidRPr="00291FF8">
        <w:t>one</w:t>
      </w:r>
      <w:r w:rsidR="00880DEA" w:rsidRPr="00291FF8">
        <w:t xml:space="preserve"> and </w:t>
      </w:r>
      <w:r w:rsidR="00DF0D1F" w:rsidRPr="00291FF8">
        <w:t>seven</w:t>
      </w:r>
      <w:r w:rsidR="00470865" w:rsidRPr="00291FF8">
        <w:t xml:space="preserve"> days </w:t>
      </w:r>
      <w:r w:rsidR="00DF0D1F" w:rsidRPr="00291FF8">
        <w:t xml:space="preserve">after diagnosis </w:t>
      </w:r>
      <w:r w:rsidR="00470865" w:rsidRPr="00291FF8">
        <w:t>were IMD</w:t>
      </w:r>
      <w:r w:rsidR="00880DEA" w:rsidRPr="00291FF8">
        <w:t>-</w:t>
      </w:r>
      <w:r w:rsidR="00470865" w:rsidRPr="00291FF8">
        <w:t>related</w:t>
      </w:r>
      <w:r w:rsidR="00DF0D1F" w:rsidRPr="00291FF8">
        <w:t>,</w:t>
      </w:r>
      <w:r w:rsidR="00470865" w:rsidRPr="00291FF8">
        <w:t xml:space="preserve"> </w:t>
      </w:r>
      <w:r w:rsidR="007D19BD" w:rsidRPr="00291FF8">
        <w:t>as were 96.1% (</w:t>
      </w:r>
      <w:r w:rsidR="00742AA9" w:rsidRPr="00291FF8">
        <w:t>146/152</w:t>
      </w:r>
      <w:r w:rsidR="007D19BD" w:rsidRPr="00291FF8">
        <w:t>)</w:t>
      </w:r>
      <w:r w:rsidR="00742AA9" w:rsidRPr="00291FF8">
        <w:t xml:space="preserve"> </w:t>
      </w:r>
      <w:r w:rsidR="007D19BD" w:rsidRPr="00291FF8">
        <w:t xml:space="preserve">of the deaths </w:t>
      </w:r>
      <w:r w:rsidR="00DF0D1F" w:rsidRPr="00291FF8">
        <w:t xml:space="preserve">within </w:t>
      </w:r>
      <w:r w:rsidR="00742AA9" w:rsidRPr="00291FF8">
        <w:t>30 days</w:t>
      </w:r>
      <w:r w:rsidR="00DF0D1F" w:rsidRPr="00291FF8">
        <w:t xml:space="preserve"> of diagnosis</w:t>
      </w:r>
      <w:r w:rsidR="007D19BD" w:rsidRPr="00291FF8">
        <w:t>. There were</w:t>
      </w:r>
      <w:r w:rsidR="00752231" w:rsidRPr="00291FF8">
        <w:t xml:space="preserve"> </w:t>
      </w:r>
      <w:r w:rsidR="007D19BD" w:rsidRPr="00291FF8">
        <w:t xml:space="preserve">only </w:t>
      </w:r>
      <w:r w:rsidR="00742AA9" w:rsidRPr="00291FF8">
        <w:t xml:space="preserve">7 </w:t>
      </w:r>
      <w:r w:rsidR="007D19BD" w:rsidRPr="00291FF8">
        <w:t xml:space="preserve">additional </w:t>
      </w:r>
      <w:r w:rsidR="00742AA9" w:rsidRPr="00291FF8">
        <w:t>IMD-related death</w:t>
      </w:r>
      <w:r w:rsidR="007D19BD" w:rsidRPr="00291FF8">
        <w:t>s (7/153, 4.6%)</w:t>
      </w:r>
      <w:r w:rsidR="00742AA9" w:rsidRPr="00291FF8">
        <w:t xml:space="preserve"> occurring </w:t>
      </w:r>
      <w:r w:rsidR="00707F95" w:rsidRPr="00291FF8">
        <w:t>more than 30 days after IMD diagnosis</w:t>
      </w:r>
      <w:r w:rsidR="009D5DE1" w:rsidRPr="00291FF8">
        <w:t xml:space="preserve"> </w:t>
      </w:r>
      <w:r w:rsidR="00752231" w:rsidRPr="00291FF8">
        <w:t xml:space="preserve">among ≥65 year-olds </w:t>
      </w:r>
      <w:r w:rsidR="009D5DE1" w:rsidRPr="00291FF8">
        <w:t>comp</w:t>
      </w:r>
      <w:r w:rsidR="00752231" w:rsidRPr="00291FF8">
        <w:t>a</w:t>
      </w:r>
      <w:r w:rsidR="009D5DE1" w:rsidRPr="00291FF8">
        <w:t>red to 1</w:t>
      </w:r>
      <w:r w:rsidRPr="00291FF8">
        <w:t>15</w:t>
      </w:r>
      <w:r w:rsidR="009D5DE1" w:rsidRPr="00291FF8">
        <w:t xml:space="preserve"> </w:t>
      </w:r>
      <w:r w:rsidR="004C4F33" w:rsidRPr="00291FF8">
        <w:t xml:space="preserve">additional </w:t>
      </w:r>
      <w:r w:rsidRPr="00291FF8">
        <w:t>that were not IMD-related</w:t>
      </w:r>
      <w:r w:rsidR="00991E24" w:rsidRPr="00291FF8">
        <w:t>.</w:t>
      </w:r>
    </w:p>
    <w:p w14:paraId="4AC5B67F" w14:textId="2E38EC46" w:rsidR="00E01936" w:rsidRPr="00291FF8" w:rsidRDefault="00E01936" w:rsidP="006C2D3A">
      <w:pPr>
        <w:spacing w:line="480" w:lineRule="auto"/>
      </w:pPr>
    </w:p>
    <w:p w14:paraId="1DF708BF" w14:textId="77777777" w:rsidR="002028C1" w:rsidRPr="00291FF8" w:rsidRDefault="00FA720E" w:rsidP="006C2D3A">
      <w:pPr>
        <w:pStyle w:val="Heading2"/>
        <w:spacing w:line="480" w:lineRule="auto"/>
      </w:pPr>
      <w:r w:rsidRPr="00291FF8">
        <w:t xml:space="preserve">Analysis </w:t>
      </w:r>
      <w:r w:rsidR="00312A4F" w:rsidRPr="00291FF8">
        <w:t>by capsular group</w:t>
      </w:r>
    </w:p>
    <w:p w14:paraId="5F36C960" w14:textId="788FE435" w:rsidR="006E3173" w:rsidRPr="00291FF8" w:rsidRDefault="00706B5C" w:rsidP="006C2D3A">
      <w:pPr>
        <w:spacing w:line="480" w:lineRule="auto"/>
      </w:pPr>
      <w:r w:rsidRPr="00291FF8">
        <w:t>W</w:t>
      </w:r>
      <w:r w:rsidR="00997B2F" w:rsidRPr="00291FF8">
        <w:t xml:space="preserve">here serogroup was known, </w:t>
      </w:r>
      <w:proofErr w:type="spellStart"/>
      <w:r w:rsidR="00997B2F" w:rsidRPr="00291FF8">
        <w:t>MenB</w:t>
      </w:r>
      <w:proofErr w:type="spellEnd"/>
      <w:r w:rsidR="00997B2F" w:rsidRPr="00291FF8">
        <w:t xml:space="preserve"> contributed to 64% (323/502) of IMD-related deaths, followed by </w:t>
      </w:r>
      <w:proofErr w:type="spellStart"/>
      <w:r w:rsidR="00997B2F" w:rsidRPr="00291FF8">
        <w:t>MenW</w:t>
      </w:r>
      <w:proofErr w:type="spellEnd"/>
      <w:r w:rsidR="00997B2F" w:rsidRPr="00291FF8">
        <w:t xml:space="preserve"> </w:t>
      </w:r>
      <w:r w:rsidR="006D2718" w:rsidRPr="00291FF8">
        <w:t xml:space="preserve">(84/502, 17%) </w:t>
      </w:r>
      <w:r w:rsidR="00997B2F" w:rsidRPr="00291FF8">
        <w:t xml:space="preserve">and </w:t>
      </w:r>
      <w:proofErr w:type="spellStart"/>
      <w:r w:rsidR="00997B2F" w:rsidRPr="00291FF8">
        <w:t>MenY</w:t>
      </w:r>
      <w:proofErr w:type="spellEnd"/>
      <w:r w:rsidR="00997B2F" w:rsidRPr="00291FF8">
        <w:t xml:space="preserve"> (70/502</w:t>
      </w:r>
      <w:r w:rsidR="006D2718" w:rsidRPr="00291FF8">
        <w:t>, 14%</w:t>
      </w:r>
      <w:r w:rsidR="00997B2F" w:rsidRPr="00291FF8">
        <w:t>).</w:t>
      </w:r>
      <w:r w:rsidR="004F770B" w:rsidRPr="00291FF8">
        <w:t xml:space="preserve"> </w:t>
      </w:r>
      <w:r w:rsidR="006D2718" w:rsidRPr="00291FF8">
        <w:t>IMD-related d</w:t>
      </w:r>
      <w:r w:rsidR="003749C6" w:rsidRPr="00291FF8">
        <w:t>eath</w:t>
      </w:r>
      <w:r w:rsidR="00997B2F" w:rsidRPr="00291FF8">
        <w:t>s</w:t>
      </w:r>
      <w:r w:rsidR="003749C6" w:rsidRPr="00291FF8">
        <w:t xml:space="preserve"> associated with </w:t>
      </w:r>
      <w:proofErr w:type="spellStart"/>
      <w:r w:rsidR="003749C6" w:rsidRPr="00291FF8">
        <w:t>MenB</w:t>
      </w:r>
      <w:proofErr w:type="spellEnd"/>
      <w:r w:rsidR="003749C6" w:rsidRPr="00291FF8">
        <w:t xml:space="preserve"> occurred across all ages and especially among infants aged &lt;1 year (72 deaths)</w:t>
      </w:r>
      <w:r w:rsidR="006E3173" w:rsidRPr="00291FF8">
        <w:t xml:space="preserve"> and</w:t>
      </w:r>
      <w:r w:rsidR="003749C6" w:rsidRPr="00291FF8">
        <w:t xml:space="preserve"> toddlers aged 1-4 years (84 deaths)</w:t>
      </w:r>
      <w:r w:rsidR="00991E24" w:rsidRPr="00291FF8">
        <w:t xml:space="preserve"> (</w:t>
      </w:r>
      <w:r w:rsidR="00991E24" w:rsidRPr="00291FF8">
        <w:rPr>
          <w:b/>
          <w:bCs/>
          <w:color w:val="FF0000"/>
        </w:rPr>
        <w:t>Supplement Tables</w:t>
      </w:r>
      <w:r w:rsidR="00991E24" w:rsidRPr="00291FF8">
        <w:t>)</w:t>
      </w:r>
      <w:r w:rsidR="00997B2F" w:rsidRPr="00291FF8">
        <w:t xml:space="preserve">. </w:t>
      </w:r>
      <w:r w:rsidR="006E3173" w:rsidRPr="00291FF8">
        <w:t>Notably, a</w:t>
      </w:r>
      <w:r w:rsidR="00397B28" w:rsidRPr="00291FF8">
        <w:t xml:space="preserve">ll </w:t>
      </w:r>
      <w:proofErr w:type="spellStart"/>
      <w:r w:rsidR="00397B28" w:rsidRPr="00291FF8">
        <w:rPr>
          <w:bCs/>
        </w:rPr>
        <w:t>MenC</w:t>
      </w:r>
      <w:proofErr w:type="spellEnd"/>
      <w:r w:rsidR="00397B28" w:rsidRPr="00291FF8">
        <w:rPr>
          <w:bCs/>
        </w:rPr>
        <w:t xml:space="preserve"> and </w:t>
      </w:r>
      <w:proofErr w:type="spellStart"/>
      <w:r w:rsidR="00397B28" w:rsidRPr="00291FF8">
        <w:rPr>
          <w:bCs/>
        </w:rPr>
        <w:t>MenW</w:t>
      </w:r>
      <w:proofErr w:type="spellEnd"/>
      <w:r w:rsidR="00397B28" w:rsidRPr="00291FF8">
        <w:rPr>
          <w:bCs/>
        </w:rPr>
        <w:t xml:space="preserve"> fatalities </w:t>
      </w:r>
      <w:r w:rsidR="00397B28" w:rsidRPr="00291FF8">
        <w:t>in children and young adults (&lt;25 year</w:t>
      </w:r>
      <w:r w:rsidR="006E3173" w:rsidRPr="00291FF8">
        <w:t>-old</w:t>
      </w:r>
      <w:r w:rsidR="00397B28" w:rsidRPr="00291FF8">
        <w:t xml:space="preserve">s) occurred within 1 day of diagnosis and all were IMD-related. </w:t>
      </w:r>
      <w:proofErr w:type="spellStart"/>
      <w:r w:rsidR="006E3173" w:rsidRPr="00291FF8">
        <w:t>MenC</w:t>
      </w:r>
      <w:proofErr w:type="spellEnd"/>
      <w:r w:rsidR="006E3173" w:rsidRPr="00291FF8">
        <w:t xml:space="preserve"> fatalities occurred across all age groups, including older adults, </w:t>
      </w:r>
      <w:r w:rsidR="0044573A" w:rsidRPr="00291FF8">
        <w:t xml:space="preserve">except </w:t>
      </w:r>
      <w:r w:rsidR="006E3173" w:rsidRPr="00291FF8">
        <w:t>infants</w:t>
      </w:r>
      <w:r w:rsidR="00D376C5" w:rsidRPr="00291FF8">
        <w:t xml:space="preserve">. </w:t>
      </w:r>
      <w:r w:rsidR="007003B3" w:rsidRPr="00291FF8">
        <w:t xml:space="preserve">More than half of the IMD-related fatalities among </w:t>
      </w:r>
      <w:proofErr w:type="spellStart"/>
      <w:r w:rsidR="007003B3" w:rsidRPr="00291FF8">
        <w:t>MenW</w:t>
      </w:r>
      <w:proofErr w:type="spellEnd"/>
      <w:r w:rsidR="007003B3" w:rsidRPr="00291FF8">
        <w:t xml:space="preserve"> cases (44/84, 52.4%) were in older adults aged ≥65 years. </w:t>
      </w:r>
      <w:r w:rsidR="00D376C5" w:rsidRPr="00291FF8">
        <w:t xml:space="preserve">There were no </w:t>
      </w:r>
      <w:proofErr w:type="spellStart"/>
      <w:r w:rsidR="00397B28" w:rsidRPr="00291FF8">
        <w:t>MenY</w:t>
      </w:r>
      <w:proofErr w:type="spellEnd"/>
      <w:r w:rsidR="00397B28" w:rsidRPr="00291FF8">
        <w:t xml:space="preserve"> fatalities</w:t>
      </w:r>
      <w:r w:rsidR="00D376C5" w:rsidRPr="00291FF8">
        <w:t xml:space="preserve"> </w:t>
      </w:r>
      <w:r w:rsidR="00397B28" w:rsidRPr="00291FF8">
        <w:t>in children aged &lt;5 years</w:t>
      </w:r>
      <w:r w:rsidR="00D376C5" w:rsidRPr="00291FF8">
        <w:t>, and</w:t>
      </w:r>
      <w:r w:rsidR="00397B28" w:rsidRPr="00291FF8">
        <w:t xml:space="preserve"> 4</w:t>
      </w:r>
      <w:r w:rsidR="006D2718" w:rsidRPr="00291FF8">
        <w:t>7</w:t>
      </w:r>
      <w:r w:rsidR="00397B28" w:rsidRPr="00291FF8">
        <w:t>/</w:t>
      </w:r>
      <w:r w:rsidR="006D2718" w:rsidRPr="00291FF8">
        <w:t>70</w:t>
      </w:r>
      <w:r w:rsidR="00397B28" w:rsidRPr="00291FF8">
        <w:t xml:space="preserve"> </w:t>
      </w:r>
      <w:r w:rsidR="006E3173" w:rsidRPr="00291FF8">
        <w:t>(67</w:t>
      </w:r>
      <w:r w:rsidR="006D2718" w:rsidRPr="00291FF8">
        <w:t>.1</w:t>
      </w:r>
      <w:r w:rsidR="006E3173" w:rsidRPr="00291FF8">
        <w:t xml:space="preserve">%) of the </w:t>
      </w:r>
      <w:r w:rsidR="006D2718" w:rsidRPr="00291FF8">
        <w:t xml:space="preserve">IMD-related fatalities among </w:t>
      </w:r>
      <w:proofErr w:type="spellStart"/>
      <w:r w:rsidR="006E3173" w:rsidRPr="00291FF8">
        <w:t>MenY</w:t>
      </w:r>
      <w:proofErr w:type="spellEnd"/>
      <w:r w:rsidR="006E3173" w:rsidRPr="00291FF8">
        <w:t xml:space="preserve"> </w:t>
      </w:r>
      <w:r w:rsidR="006D2718" w:rsidRPr="00291FF8">
        <w:t>cases</w:t>
      </w:r>
      <w:r w:rsidR="00397B28" w:rsidRPr="00291FF8">
        <w:t xml:space="preserve"> were in </w:t>
      </w:r>
      <w:r w:rsidR="006E3173" w:rsidRPr="00291FF8">
        <w:t>≥</w:t>
      </w:r>
      <w:r w:rsidR="00397B28" w:rsidRPr="00291FF8">
        <w:t>65 year-olds</w:t>
      </w:r>
      <w:r w:rsidR="00D376C5" w:rsidRPr="00291FF8">
        <w:t xml:space="preserve">. </w:t>
      </w:r>
    </w:p>
    <w:p w14:paraId="3EFA2E23" w14:textId="0EE1DED7" w:rsidR="00C170C8" w:rsidRPr="00291FF8" w:rsidRDefault="00696AAD" w:rsidP="006C2D3A">
      <w:pPr>
        <w:spacing w:line="480" w:lineRule="auto"/>
      </w:pPr>
      <w:r w:rsidRPr="00291FF8">
        <w:t>Whilst nearly all deaths within 30 days were IMD-related, those that occurred after 30 days and, especially after 180 days, were less likely to be IMD-related,</w:t>
      </w:r>
      <w:r w:rsidR="005C2412" w:rsidRPr="00291FF8">
        <w:t xml:space="preserve"> particularly for </w:t>
      </w:r>
      <w:proofErr w:type="spellStart"/>
      <w:r w:rsidR="005C2412" w:rsidRPr="00291FF8">
        <w:t>MenY</w:t>
      </w:r>
      <w:proofErr w:type="spellEnd"/>
      <w:r w:rsidR="005C2412" w:rsidRPr="00291FF8">
        <w:t xml:space="preserve"> (70/131 </w:t>
      </w:r>
      <w:r w:rsidRPr="00291FF8">
        <w:t xml:space="preserve">[53.4%] were </w:t>
      </w:r>
      <w:r w:rsidR="005C2412" w:rsidRPr="00291FF8">
        <w:t xml:space="preserve">IMD-related), followed by </w:t>
      </w:r>
      <w:proofErr w:type="spellStart"/>
      <w:r w:rsidR="005C2412" w:rsidRPr="00291FF8">
        <w:t>MenC</w:t>
      </w:r>
      <w:proofErr w:type="spellEnd"/>
      <w:r w:rsidR="005C2412" w:rsidRPr="00291FF8">
        <w:t xml:space="preserve"> (23/30, </w:t>
      </w:r>
      <w:r w:rsidRPr="00291FF8">
        <w:t>76.7%</w:t>
      </w:r>
      <w:r w:rsidR="005C2412" w:rsidRPr="00291FF8">
        <w:t xml:space="preserve">), </w:t>
      </w:r>
      <w:proofErr w:type="spellStart"/>
      <w:r w:rsidR="005C2412" w:rsidRPr="00291FF8">
        <w:t>MenW</w:t>
      </w:r>
      <w:proofErr w:type="spellEnd"/>
      <w:r w:rsidR="005C2412" w:rsidRPr="00291FF8">
        <w:t xml:space="preserve"> (84/106, </w:t>
      </w:r>
      <w:r w:rsidRPr="00291FF8">
        <w:t>79.2</w:t>
      </w:r>
      <w:r w:rsidR="005C2412" w:rsidRPr="00291FF8">
        <w:t xml:space="preserve">%) and </w:t>
      </w:r>
      <w:proofErr w:type="spellStart"/>
      <w:r w:rsidR="005C2412" w:rsidRPr="00291FF8">
        <w:t>MenB</w:t>
      </w:r>
      <w:proofErr w:type="spellEnd"/>
      <w:r w:rsidR="005C2412" w:rsidRPr="00291FF8">
        <w:t xml:space="preserve"> (323/395, </w:t>
      </w:r>
      <w:r w:rsidRPr="00291FF8">
        <w:t>81.8</w:t>
      </w:r>
      <w:r w:rsidR="005C2412" w:rsidRPr="00291FF8">
        <w:t xml:space="preserve">%). </w:t>
      </w:r>
      <w:r w:rsidR="005829CE" w:rsidRPr="00291FF8">
        <w:t xml:space="preserve">More detailed serogroup-specific analysis by age-group and </w:t>
      </w:r>
      <w:r w:rsidR="00817E6D" w:rsidRPr="00291FF8">
        <w:t>time since IMD diagnosis</w:t>
      </w:r>
      <w:r w:rsidR="009679AA" w:rsidRPr="00291FF8">
        <w:t xml:space="preserve"> </w:t>
      </w:r>
      <w:r w:rsidR="0045695E" w:rsidRPr="00291FF8">
        <w:t xml:space="preserve">identified </w:t>
      </w:r>
      <w:r w:rsidR="007C10DF" w:rsidRPr="00291FF8">
        <w:t>that</w:t>
      </w:r>
      <w:r w:rsidRPr="00291FF8">
        <w:t>, in addition to the interval between diagnosis and death, those that were not related to IMD</w:t>
      </w:r>
      <w:r w:rsidR="007C10DF" w:rsidRPr="00291FF8">
        <w:t xml:space="preserve"> </w:t>
      </w:r>
      <w:r w:rsidRPr="00291FF8">
        <w:t>invariably occurred</w:t>
      </w:r>
      <w:r w:rsidR="007C10DF" w:rsidRPr="00291FF8">
        <w:t xml:space="preserve"> among </w:t>
      </w:r>
      <w:r w:rsidRPr="00291FF8">
        <w:t>≥</w:t>
      </w:r>
      <w:r w:rsidR="007C10DF" w:rsidRPr="00291FF8">
        <w:t xml:space="preserve">65 </w:t>
      </w:r>
      <w:r w:rsidR="007C10DF" w:rsidRPr="00291FF8">
        <w:lastRenderedPageBreak/>
        <w:t>year-olds</w:t>
      </w:r>
      <w:r w:rsidRPr="00291FF8">
        <w:t>,</w:t>
      </w:r>
      <w:r w:rsidR="007C10DF" w:rsidRPr="00291FF8">
        <w:t xml:space="preserve"> followed by 45-64 year-olds</w:t>
      </w:r>
      <w:r w:rsidR="0045695E" w:rsidRPr="00291FF8">
        <w:t xml:space="preserve"> (</w:t>
      </w:r>
      <w:r w:rsidR="0045695E" w:rsidRPr="00291FF8">
        <w:rPr>
          <w:b/>
          <w:bCs/>
          <w:color w:val="FF0000"/>
        </w:rPr>
        <w:t>Supplement Table</w:t>
      </w:r>
      <w:r w:rsidR="000410F1" w:rsidRPr="00291FF8">
        <w:rPr>
          <w:b/>
          <w:bCs/>
          <w:color w:val="FF0000"/>
        </w:rPr>
        <w:t>s</w:t>
      </w:r>
      <w:r w:rsidR="0045695E" w:rsidRPr="00291FF8">
        <w:t>)</w:t>
      </w:r>
      <w:r w:rsidRPr="00291FF8">
        <w:t>, particularly for</w:t>
      </w:r>
      <w:r w:rsidR="007B2987" w:rsidRPr="00291FF8">
        <w:t xml:space="preserve"> </w:t>
      </w:r>
      <w:proofErr w:type="spellStart"/>
      <w:r w:rsidR="007B2987" w:rsidRPr="00291FF8">
        <w:t>Men</w:t>
      </w:r>
      <w:r w:rsidRPr="00291FF8">
        <w:t>Y</w:t>
      </w:r>
      <w:proofErr w:type="spellEnd"/>
      <w:r w:rsidR="007B2987" w:rsidRPr="00291FF8">
        <w:t xml:space="preserve"> and </w:t>
      </w:r>
      <w:proofErr w:type="spellStart"/>
      <w:r w:rsidR="007B2987" w:rsidRPr="00291FF8">
        <w:t>Men</w:t>
      </w:r>
      <w:r w:rsidRPr="00291FF8">
        <w:t>B</w:t>
      </w:r>
      <w:proofErr w:type="spellEnd"/>
      <w:r w:rsidR="007B2987" w:rsidRPr="00291FF8">
        <w:t xml:space="preserve">, and to a lesser extent, </w:t>
      </w:r>
      <w:proofErr w:type="spellStart"/>
      <w:r w:rsidR="007B2987" w:rsidRPr="00291FF8">
        <w:t>MenW</w:t>
      </w:r>
      <w:proofErr w:type="spellEnd"/>
      <w:r w:rsidR="007B2987" w:rsidRPr="00291FF8">
        <w:t>.</w:t>
      </w:r>
      <w:r w:rsidR="002B56E9" w:rsidRPr="00291FF8">
        <w:t xml:space="preserve"> </w:t>
      </w:r>
      <w:r w:rsidR="004A7937" w:rsidRPr="00291FF8">
        <w:t xml:space="preserve">Fatalities among </w:t>
      </w:r>
      <w:proofErr w:type="spellStart"/>
      <w:r w:rsidR="004A7937" w:rsidRPr="00291FF8">
        <w:t>MenC</w:t>
      </w:r>
      <w:proofErr w:type="spellEnd"/>
      <w:r w:rsidR="004A7937" w:rsidRPr="00291FF8">
        <w:t xml:space="preserve"> cases</w:t>
      </w:r>
      <w:r w:rsidR="00B41317" w:rsidRPr="00291FF8">
        <w:t xml:space="preserve"> up to 90 days after diagnosis</w:t>
      </w:r>
      <w:r w:rsidR="004A7937" w:rsidRPr="00291FF8">
        <w:t xml:space="preserve">, on the other hand, were </w:t>
      </w:r>
      <w:r w:rsidR="00B41317" w:rsidRPr="00291FF8">
        <w:t>all</w:t>
      </w:r>
      <w:r w:rsidR="004A7937" w:rsidRPr="00291FF8">
        <w:t xml:space="preserve"> due to </w:t>
      </w:r>
      <w:r w:rsidRPr="00291FF8">
        <w:t>IMD</w:t>
      </w:r>
      <w:r w:rsidR="006B48EA" w:rsidRPr="00291FF8">
        <w:t>.</w:t>
      </w:r>
      <w:r w:rsidR="00B97B77" w:rsidRPr="00291FF8">
        <w:t xml:space="preserve"> The </w:t>
      </w:r>
      <w:r w:rsidR="00B41317" w:rsidRPr="00291FF8">
        <w:t xml:space="preserve">main causes of death that were not IMD-related </w:t>
      </w:r>
      <w:r w:rsidR="00B97B77" w:rsidRPr="00291FF8">
        <w:t>were malignancy, followed b</w:t>
      </w:r>
      <w:r w:rsidR="00F56CD2" w:rsidRPr="00291FF8">
        <w:t>y chronic respiratory and cardiac conditions</w:t>
      </w:r>
      <w:r w:rsidR="003F1190" w:rsidRPr="00291FF8">
        <w:t xml:space="preserve"> (Table </w:t>
      </w:r>
      <w:r w:rsidR="00991E24" w:rsidRPr="00291FF8">
        <w:t>2</w:t>
      </w:r>
      <w:r w:rsidR="003F1190" w:rsidRPr="00291FF8">
        <w:t>)</w:t>
      </w:r>
      <w:r w:rsidR="00F56CD2" w:rsidRPr="00291FF8">
        <w:t>.</w:t>
      </w:r>
    </w:p>
    <w:p w14:paraId="59F39EF8" w14:textId="77777777" w:rsidR="00A06C9A" w:rsidRPr="00291FF8" w:rsidRDefault="00A06C9A" w:rsidP="006C2D3A">
      <w:pPr>
        <w:spacing w:line="480" w:lineRule="auto"/>
      </w:pPr>
    </w:p>
    <w:p w14:paraId="61FE88B8" w14:textId="1B42A4A0" w:rsidR="005C2A2E" w:rsidRPr="00291FF8" w:rsidRDefault="00C170C8" w:rsidP="006C2D3A">
      <w:pPr>
        <w:pStyle w:val="Heading1"/>
        <w:spacing w:line="480" w:lineRule="auto"/>
      </w:pPr>
      <w:r w:rsidRPr="00291FF8">
        <w:t>D</w:t>
      </w:r>
      <w:r w:rsidR="005C2A2E" w:rsidRPr="00291FF8">
        <w:t>iscussion</w:t>
      </w:r>
    </w:p>
    <w:p w14:paraId="0339C89A" w14:textId="6ECD3A3E" w:rsidR="00DA3264" w:rsidRPr="00291FF8" w:rsidRDefault="005C2A2E" w:rsidP="006C2D3A">
      <w:pPr>
        <w:spacing w:line="480" w:lineRule="auto"/>
      </w:pPr>
      <w:r w:rsidRPr="00291FF8">
        <w:t xml:space="preserve">We undertook a detailed review of deaths in </w:t>
      </w:r>
      <w:r w:rsidR="00677769" w:rsidRPr="00291FF8">
        <w:t xml:space="preserve">patients </w:t>
      </w:r>
      <w:r w:rsidRPr="00291FF8">
        <w:t>with laboratory</w:t>
      </w:r>
      <w:r w:rsidR="007857D1" w:rsidRPr="00291FF8">
        <w:t>-</w:t>
      </w:r>
      <w:r w:rsidRPr="00291FF8">
        <w:t>confirmed IMD over an 8</w:t>
      </w:r>
      <w:r w:rsidR="007857D1" w:rsidRPr="00291FF8">
        <w:t>-</w:t>
      </w:r>
      <w:r w:rsidRPr="00291FF8">
        <w:t>year period</w:t>
      </w:r>
      <w:r w:rsidR="00677769" w:rsidRPr="00291FF8">
        <w:t xml:space="preserve"> in England using multiple data sources</w:t>
      </w:r>
      <w:r w:rsidR="002626AD" w:rsidRPr="00291FF8">
        <w:t xml:space="preserve"> with the aim of </w:t>
      </w:r>
      <w:r w:rsidR="00677769" w:rsidRPr="00291FF8">
        <w:t>identif</w:t>
      </w:r>
      <w:r w:rsidR="002626AD" w:rsidRPr="00291FF8">
        <w:t>ying</w:t>
      </w:r>
      <w:r w:rsidR="00677769" w:rsidRPr="00291FF8">
        <w:t xml:space="preserve"> an optimal method for </w:t>
      </w:r>
      <w:r w:rsidR="00AB02C6" w:rsidRPr="00291FF8">
        <w:t>rapidl</w:t>
      </w:r>
      <w:r w:rsidR="00A264C1" w:rsidRPr="00291FF8">
        <w:t xml:space="preserve">y </w:t>
      </w:r>
      <w:r w:rsidR="00677769" w:rsidRPr="00291FF8">
        <w:t xml:space="preserve">reporting IMD case fatality rates as part of national surveillance. This was important because of the emergence of a highly virulent MenW:cc11 </w:t>
      </w:r>
      <w:r w:rsidR="00001833" w:rsidRPr="00291FF8">
        <w:t>clone</w:t>
      </w:r>
      <w:r w:rsidR="00677769" w:rsidRPr="00291FF8">
        <w:t xml:space="preserve"> </w:t>
      </w:r>
      <w:r w:rsidR="00001833" w:rsidRPr="00291FF8">
        <w:t xml:space="preserve">since 2009/10 </w:t>
      </w:r>
      <w:r w:rsidR="00677769" w:rsidRPr="00291FF8">
        <w:t>that was associated with high morbidity and m</w:t>
      </w:r>
      <w:r w:rsidR="000B6273" w:rsidRPr="00291FF8">
        <w:t xml:space="preserve">ortality across all age groups </w:t>
      </w:r>
      <w:r w:rsidR="000B6273" w:rsidRPr="00291FF8">
        <w:fldChar w:fldCharType="begin">
          <w:fldData xml:space="preserve">PEVuZE5vdGU+PENpdGU+PEF1dGhvcj5MYWRoYW5pPC9BdXRob3I+PFllYXI+MjAxNTwvWWVhcj48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</w:fldData>
        </w:fldChar>
      </w:r>
      <w:r w:rsidR="000B6273" w:rsidRPr="00291FF8">
        <w:instrText xml:space="preserve"> ADDIN EN.CITE </w:instrText>
      </w:r>
      <w:r w:rsidR="000B6273" w:rsidRPr="00291FF8">
        <w:fldChar w:fldCharType="begin">
          <w:fldData xml:space="preserve">PEVuZE5vdGU+PENpdGU+PEF1dGhvcj5MYWRoYW5pPC9BdXRob3I+PFllYXI+MjAxNTwvWWVhcj48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</w:fldData>
        </w:fldChar>
      </w:r>
      <w:r w:rsidR="000B6273" w:rsidRPr="00291FF8">
        <w:instrText xml:space="preserve"> ADDIN EN.CITE.DATA </w:instrText>
      </w:r>
      <w:r w:rsidR="000B6273" w:rsidRPr="00291FF8">
        <w:fldChar w:fldCharType="end"/>
      </w:r>
      <w:r w:rsidR="000B6273" w:rsidRPr="00291FF8">
        <w:fldChar w:fldCharType="separate"/>
      </w:r>
      <w:r w:rsidR="000B6273" w:rsidRPr="00291FF8">
        <w:rPr>
          <w:noProof/>
        </w:rPr>
        <w:t>(4)</w:t>
      </w:r>
      <w:r w:rsidR="000B6273" w:rsidRPr="00291FF8">
        <w:fldChar w:fldCharType="end"/>
      </w:r>
      <w:r w:rsidR="00677769" w:rsidRPr="00291FF8">
        <w:t xml:space="preserve"> and </w:t>
      </w:r>
      <w:r w:rsidR="002C3283" w:rsidRPr="00291FF8">
        <w:t xml:space="preserve">the implementation of two new meningococcal </w:t>
      </w:r>
      <w:r w:rsidR="00591C56" w:rsidRPr="00291FF8">
        <w:t>vaccines</w:t>
      </w:r>
      <w:r w:rsidR="002C3283" w:rsidRPr="00291FF8">
        <w:t xml:space="preserve"> into the UK national immunisation programme </w:t>
      </w:r>
      <w:r w:rsidR="00001833" w:rsidRPr="00291FF8">
        <w:t xml:space="preserve">in 2015 </w:t>
      </w:r>
      <w:r w:rsidR="000B6273" w:rsidRPr="00291FF8">
        <w:fldChar w:fldCharType="begin">
          <w:fldData xml:space="preserve">PEVuZE5vdGU+PENpdGU+PEF1dGhvcj5MYWRoYW5pPC9BdXRob3I+PFllYXI+MjAxNjwvWWVhcj48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</w:fldData>
        </w:fldChar>
      </w:r>
      <w:r w:rsidR="000B6273" w:rsidRPr="00291FF8">
        <w:instrText xml:space="preserve"> ADDIN EN.CITE </w:instrText>
      </w:r>
      <w:r w:rsidR="000B6273" w:rsidRPr="00291FF8">
        <w:fldChar w:fldCharType="begin">
          <w:fldData xml:space="preserve">PEVuZE5vdGU+PENpdGU+PEF1dGhvcj5MYWRoYW5pPC9BdXRob3I+PFllYXI+MjAxNjwvWWVhcj48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</w:fldData>
        </w:fldChar>
      </w:r>
      <w:r w:rsidR="000B6273" w:rsidRPr="00291FF8">
        <w:instrText xml:space="preserve"> ADDIN EN.CITE.DATA </w:instrText>
      </w:r>
      <w:r w:rsidR="000B6273" w:rsidRPr="00291FF8">
        <w:fldChar w:fldCharType="end"/>
      </w:r>
      <w:r w:rsidR="000B6273" w:rsidRPr="00291FF8">
        <w:fldChar w:fldCharType="separate"/>
      </w:r>
      <w:r w:rsidR="000B6273" w:rsidRPr="00291FF8">
        <w:rPr>
          <w:noProof/>
        </w:rPr>
        <w:t>(6)</w:t>
      </w:r>
      <w:r w:rsidR="000B6273" w:rsidRPr="00291FF8">
        <w:fldChar w:fldCharType="end"/>
      </w:r>
      <w:r w:rsidR="00694273" w:rsidRPr="00291FF8">
        <w:t>.</w:t>
      </w:r>
      <w:r w:rsidR="003A1148" w:rsidRPr="00291FF8">
        <w:t xml:space="preserve"> We found that the </w:t>
      </w:r>
      <w:r w:rsidR="00F531C0" w:rsidRPr="00291FF8">
        <w:t>W</w:t>
      </w:r>
      <w:r w:rsidR="003A1148" w:rsidRPr="00291FF8">
        <w:t>eekly</w:t>
      </w:r>
      <w:r w:rsidR="00F531C0" w:rsidRPr="00291FF8">
        <w:t>-</w:t>
      </w:r>
      <w:r w:rsidR="003A1148" w:rsidRPr="00291FF8">
        <w:t>ONS reports w</w:t>
      </w:r>
      <w:r w:rsidR="00F531C0" w:rsidRPr="00291FF8">
        <w:t>ere</w:t>
      </w:r>
      <w:r w:rsidR="003A1148" w:rsidRPr="00291FF8">
        <w:t xml:space="preserve"> poor at capturing fatalities among IMD cases</w:t>
      </w:r>
      <w:r w:rsidR="00C62A47" w:rsidRPr="00291FF8">
        <w:t xml:space="preserve"> when compared to both PDS and Annual-ONS</w:t>
      </w:r>
      <w:r w:rsidR="005354F7" w:rsidRPr="00291FF8">
        <w:t xml:space="preserve">, even those that occurred within 30 days of IMD diagnosis. </w:t>
      </w:r>
      <w:r w:rsidR="003A1148" w:rsidRPr="00291FF8">
        <w:t>PDS</w:t>
      </w:r>
      <w:r w:rsidR="005354F7" w:rsidRPr="00291FF8">
        <w:t>, on the other hand,</w:t>
      </w:r>
      <w:r w:rsidR="003A1148" w:rsidRPr="00291FF8">
        <w:t xml:space="preserve"> provided </w:t>
      </w:r>
      <w:r w:rsidR="00012DD0" w:rsidRPr="00291FF8">
        <w:t>accurate and timely death status for IMD patients</w:t>
      </w:r>
      <w:r w:rsidR="00F531C0" w:rsidRPr="00291FF8">
        <w:t>. More importantly</w:t>
      </w:r>
      <w:r w:rsidR="00C62A47" w:rsidRPr="00291FF8">
        <w:t xml:space="preserve">, linkage </w:t>
      </w:r>
      <w:r w:rsidR="00012DD0" w:rsidRPr="00291FF8">
        <w:t xml:space="preserve">with </w:t>
      </w:r>
      <w:r w:rsidR="00626F6A" w:rsidRPr="00291FF8">
        <w:t>Annual-ONS</w:t>
      </w:r>
      <w:r w:rsidR="00012DD0" w:rsidRPr="00291FF8">
        <w:t xml:space="preserve"> </w:t>
      </w:r>
      <w:r w:rsidR="00B11A1B" w:rsidRPr="00291FF8">
        <w:t xml:space="preserve">data </w:t>
      </w:r>
      <w:r w:rsidR="00012DD0" w:rsidRPr="00291FF8">
        <w:t>confirmed that</w:t>
      </w:r>
      <w:r w:rsidR="001303E5" w:rsidRPr="00291FF8">
        <w:t xml:space="preserve"> </w:t>
      </w:r>
      <w:r w:rsidR="00012DD0" w:rsidRPr="00291FF8">
        <w:t>fatal cases</w:t>
      </w:r>
      <w:r w:rsidR="001303E5" w:rsidRPr="00291FF8">
        <w:t xml:space="preserve"> </w:t>
      </w:r>
      <w:r w:rsidR="00E9254A" w:rsidRPr="00291FF8">
        <w:t xml:space="preserve">within 30 days of IMD diagnosis </w:t>
      </w:r>
      <w:r w:rsidR="00012DD0" w:rsidRPr="00291FF8">
        <w:t xml:space="preserve">were </w:t>
      </w:r>
      <w:r w:rsidR="00D56CE0" w:rsidRPr="00291FF8">
        <w:t>almost all</w:t>
      </w:r>
      <w:r w:rsidR="0041532A" w:rsidRPr="00291FF8">
        <w:t xml:space="preserve"> </w:t>
      </w:r>
      <w:r w:rsidR="00012DD0" w:rsidRPr="00291FF8">
        <w:t>due to IM</w:t>
      </w:r>
      <w:r w:rsidR="00CE7AF8" w:rsidRPr="00291FF8">
        <w:t>D across all age</w:t>
      </w:r>
      <w:r w:rsidR="00D56CE0" w:rsidRPr="00291FF8">
        <w:t>-</w:t>
      </w:r>
      <w:r w:rsidR="00CE7AF8" w:rsidRPr="00291FF8">
        <w:t>groups</w:t>
      </w:r>
      <w:r w:rsidR="00012DD0" w:rsidRPr="00291FF8">
        <w:t xml:space="preserve">. </w:t>
      </w:r>
      <w:r w:rsidR="00E9254A" w:rsidRPr="00291FF8">
        <w:t xml:space="preserve">Notably, </w:t>
      </w:r>
      <w:r w:rsidR="001303E5" w:rsidRPr="00291FF8">
        <w:t>all deaths</w:t>
      </w:r>
      <w:r w:rsidR="00E9254A" w:rsidRPr="00291FF8">
        <w:t xml:space="preserve"> among IMD cases aged</w:t>
      </w:r>
      <w:r w:rsidR="001303E5" w:rsidRPr="00291FF8">
        <w:t xml:space="preserve"> &lt;45 years occurred within 30 days of diagnosis</w:t>
      </w:r>
      <w:r w:rsidR="00DA3264" w:rsidRPr="00291FF8">
        <w:t xml:space="preserve">. </w:t>
      </w:r>
      <w:r w:rsidR="00AA67C1" w:rsidRPr="00291FF8">
        <w:t>Among older adults aged ≥65 years and, to a lesser extent 45-64 year-olds, deaths continued to occur across the surveillance period but were increasingly less likely to be IMD-related</w:t>
      </w:r>
      <w:r w:rsidR="00EF67E5" w:rsidRPr="00291FF8">
        <w:t>.</w:t>
      </w:r>
      <w:r w:rsidR="00DA3264" w:rsidRPr="00291FF8">
        <w:t xml:space="preserve"> </w:t>
      </w:r>
      <w:r w:rsidR="00E81C47" w:rsidRPr="00291FF8">
        <w:t xml:space="preserve">A number of the late deaths in older adults were due to pneumonia (Table 3), highlighting the importance other preventive interventions such as influenza and pneumococcal vaccination in this vulnerable population. </w:t>
      </w:r>
      <w:r w:rsidR="00162ADE" w:rsidRPr="00291FF8">
        <w:t>O</w:t>
      </w:r>
      <w:r w:rsidR="00EF67E5" w:rsidRPr="00291FF8">
        <w:t>verall, o</w:t>
      </w:r>
      <w:r w:rsidR="00162ADE" w:rsidRPr="00291FF8">
        <w:t>ur results confirm low CFR</w:t>
      </w:r>
      <w:r w:rsidR="00012DD0" w:rsidRPr="00291FF8">
        <w:t xml:space="preserve"> </w:t>
      </w:r>
      <w:r w:rsidR="00162ADE" w:rsidRPr="00291FF8">
        <w:t>associated with IMD across all age groups except older adults</w:t>
      </w:r>
      <w:r w:rsidR="00EF67E5" w:rsidRPr="00291FF8">
        <w:t xml:space="preserve"> and that </w:t>
      </w:r>
      <w:r w:rsidR="00162ADE" w:rsidRPr="00291FF8">
        <w:t xml:space="preserve">nearly all </w:t>
      </w:r>
      <w:r w:rsidR="000D3C11" w:rsidRPr="00291FF8">
        <w:t xml:space="preserve">IMD-related </w:t>
      </w:r>
      <w:r w:rsidR="00162ADE" w:rsidRPr="00291FF8">
        <w:t>deaths occurring very rapidly after diagnosis.</w:t>
      </w:r>
    </w:p>
    <w:p w14:paraId="7CCFF858" w14:textId="27A51595" w:rsidR="00012DD0" w:rsidRPr="00291FF8" w:rsidRDefault="00162ADE" w:rsidP="006C2D3A">
      <w:pPr>
        <w:spacing w:line="480" w:lineRule="auto"/>
      </w:pPr>
      <w:r w:rsidRPr="00291FF8">
        <w:lastRenderedPageBreak/>
        <w:t xml:space="preserve"> </w:t>
      </w:r>
    </w:p>
    <w:p w14:paraId="6985A161" w14:textId="77777777" w:rsidR="00D71977" w:rsidRPr="00265C05" w:rsidRDefault="00D71977" w:rsidP="006C2D3A">
      <w:pPr>
        <w:spacing w:line="480" w:lineRule="auto"/>
        <w:rPr>
          <w:b/>
        </w:rPr>
      </w:pPr>
      <w:r w:rsidRPr="00265C05">
        <w:rPr>
          <w:b/>
        </w:rPr>
        <w:t>CFR for meningococcal disease</w:t>
      </w:r>
    </w:p>
    <w:p w14:paraId="0DCECB8E" w14:textId="5C4620F0" w:rsidR="00164318" w:rsidRPr="00291FF8" w:rsidRDefault="00170C2C" w:rsidP="006C2D3A">
      <w:pPr>
        <w:spacing w:line="480" w:lineRule="auto"/>
      </w:pPr>
      <w:r w:rsidRPr="00291FF8">
        <w:t>The use of multiple independent national data sources</w:t>
      </w:r>
      <w:r w:rsidR="00164318" w:rsidRPr="00291FF8">
        <w:t xml:space="preserve"> </w:t>
      </w:r>
      <w:r w:rsidRPr="00291FF8">
        <w:t>provide</w:t>
      </w:r>
      <w:r w:rsidR="000D3C11" w:rsidRPr="00291FF8">
        <w:t>s</w:t>
      </w:r>
      <w:r w:rsidRPr="00291FF8">
        <w:t xml:space="preserve"> a more accurate estimate of </w:t>
      </w:r>
      <w:r w:rsidR="00164318" w:rsidRPr="00291FF8">
        <w:t xml:space="preserve">overall and </w:t>
      </w:r>
      <w:r w:rsidRPr="00291FF8">
        <w:t>IMD-related deaths in England, by age group and meningococcal capsular group.</w:t>
      </w:r>
      <w:r w:rsidR="00164318" w:rsidRPr="00291FF8">
        <w:t xml:space="preserve"> Nearly all IMD-related deaths </w:t>
      </w:r>
      <w:r w:rsidR="00F531C0" w:rsidRPr="00291FF8">
        <w:t xml:space="preserve">(85.3%) </w:t>
      </w:r>
      <w:r w:rsidR="00164318" w:rsidRPr="00291FF8">
        <w:t>occurred within a day of diagnosis and, in some cases, the diagnosis may</w:t>
      </w:r>
      <w:r w:rsidR="000B6273" w:rsidRPr="00291FF8">
        <w:t xml:space="preserve"> only be confirmed post-mortem </w:t>
      </w:r>
      <w:r w:rsidR="00581626" w:rsidRPr="00291FF8">
        <w:fldChar w:fldCharType="begin"/>
      </w:r>
      <w:r w:rsidR="00581626" w:rsidRPr="00291FF8">
        <w:instrText xml:space="preserve"> ADDIN EN.CITE &lt;EndNote&gt;&lt;Cite&gt;&lt;Author&gt;Campbell&lt;/Author&gt;&lt;Year&gt;2019&lt;/Year&gt;&lt;RecNum&gt;1000&lt;/RecNum&gt;&lt;DisplayText&gt;(8)&lt;/DisplayText&gt;&lt;record&gt;&lt;rec-number&gt;1000&lt;/rec-number&gt;&lt;foreign-keys&gt;&lt;key app="EN" db-id="faswaa0rdvpwzqed0xmvpw0s2fz5tpdt0a0x" timestamp="1561984771"&gt;1000&lt;/key&gt;&lt;/foreign-keys&gt;&lt;ref-type name="Journal Article"&gt;17&lt;/ref-type&gt;&lt;contributors&gt;&lt;authors&gt;&lt;author&gt;Campbell, H.&lt;/author&gt;&lt;author&gt;Borrow, R.&lt;/author&gt;&lt;author&gt;Arumugam, C.&lt;/author&gt;&lt;author&gt;Ramsay, M.&lt;/author&gt;&lt;author&gt;Ladhani, S. N.&lt;/author&gt;&lt;/authors&gt;&lt;/contributors&gt;&lt;auth-address&gt;Public Health England, Immunisation and Countermeasures Division, 61 Colindale Avenue, London NW9 5EQ, UK. Electronic address: helen.campbell@phe.gov.uk.&amp;#xD;Public Health England Meningococcal Reference Unit, Manchester Royal Infirmary, Oxford Road, Manchester, UK. Electronic address: ray.borrow@phe.gov.uk.&amp;#xD;Public Health England South West, 2 Rivergate Temple Quay, Bristol, UK. Electronic address: chitra.arumugam@phe.gov.uk.&amp;#xD;Public Health England, Immunisation and Countermeasures Division, 61 Colindale Avenue, London NW9 5EQ, UK. Electronic address: mary.ramsay@phe.gov.uk.&amp;#xD;Public Health England, Immunisation and Countermeasures Division, 61 Colindale Avenue, London NW9 5EQ, UK. Electronic address: shamez.ladhani@phe.gov.uk.&lt;/auth-address&gt;&lt;titles&gt;&lt;title&gt;Invasive meningococcal disease as a cause of sudden and unexpected death in a teenager: The public health importance of confirming the diagnosis&lt;/title&gt;&lt;secondary-title&gt;J Infect&lt;/secondary-title&gt;&lt;/titles&gt;&lt;periodical&gt;&lt;full-title&gt;J Infect&lt;/full-title&gt;&lt;abbr-1&gt;The Journal of infection&lt;/abbr-1&gt;&lt;/periodical&gt;&lt;pages&gt;323-337&lt;/pages&gt;&lt;volume&gt;78&lt;/volume&gt;&lt;number&gt;4&lt;/number&gt;&lt;dates&gt;&lt;year&gt;2019&lt;/year&gt;&lt;pub-dates&gt;&lt;date&gt;Apr&lt;/date&gt;&lt;/pub-dates&gt;&lt;/dates&gt;&lt;isbn&gt;1532-2742 (Electronic)&amp;#xD;0163-4453 (Linking)&lt;/isbn&gt;&lt;accession-num&gt;30476492&lt;/accession-num&gt;&lt;urls&gt;&lt;related-urls&gt;&lt;url&gt;https://www.ncbi.nlm.nih.gov/pubmed/30476492&lt;/url&gt;&lt;/related-urls&gt;&lt;/urls&gt;&lt;electronic-resource-num&gt;10.1016/j.jinf.2018.11.004&lt;/electronic-resource-num&gt;&lt;/record&gt;&lt;/Cite&gt;&lt;/EndNote&gt;</w:instrText>
      </w:r>
      <w:r w:rsidR="00581626" w:rsidRPr="00291FF8">
        <w:fldChar w:fldCharType="separate"/>
      </w:r>
      <w:r w:rsidR="00581626" w:rsidRPr="00291FF8">
        <w:rPr>
          <w:noProof/>
        </w:rPr>
        <w:t>(8)</w:t>
      </w:r>
      <w:r w:rsidR="00581626" w:rsidRPr="00291FF8">
        <w:fldChar w:fldCharType="end"/>
      </w:r>
      <w:r w:rsidR="00164318" w:rsidRPr="00291FF8">
        <w:t xml:space="preserve">. </w:t>
      </w:r>
      <w:r w:rsidR="00F531C0" w:rsidRPr="00291FF8">
        <w:t xml:space="preserve">The rapid progression </w:t>
      </w:r>
      <w:r w:rsidR="00A75DE3" w:rsidRPr="00291FF8">
        <w:t xml:space="preserve">of IMD from first symptoms </w:t>
      </w:r>
      <w:r w:rsidR="00F531C0" w:rsidRPr="00291FF8">
        <w:t>to death is well-described, especially in children</w:t>
      </w:r>
      <w:r w:rsidR="00581626" w:rsidRPr="00291FF8">
        <w:t xml:space="preserve"> </w:t>
      </w:r>
      <w:r w:rsidR="00581626" w:rsidRPr="00291FF8">
        <w:fldChar w:fldCharType="begin"/>
      </w:r>
      <w:r w:rsidR="00581626" w:rsidRPr="00291FF8">
        <w:instrText xml:space="preserve"> ADDIN EN.CITE &lt;EndNote&gt;&lt;Cite&gt;&lt;Author&gt;Thompson&lt;/Author&gt;&lt;Year&gt;2006&lt;/Year&gt;&lt;RecNum&gt;1426&lt;/RecNum&gt;&lt;DisplayText&gt;(2)&lt;/DisplayText&gt;&lt;record&gt;&lt;rec-number&gt;1426&lt;/rec-number&gt;&lt;foreign-keys&gt;&lt;key app="EN" db-id="faswaa0rdvpwzqed0xmvpw0s2fz5tpdt0a0x" timestamp="1574962871"&gt;1426&lt;/key&gt;&lt;/foreign-keys&gt;&lt;ref-type name="Journal Article"&gt;17&lt;/ref-type&gt;&lt;contributors&gt;&lt;authors&gt;&lt;author&gt;Thompson, M. J.&lt;/author&gt;&lt;author&gt;Ninis, N.&lt;/author&gt;&lt;author&gt;Perera, R.&lt;/author&gt;&lt;author&gt;Mayon-White, R.&lt;/author&gt;&lt;author&gt;Phillips, C.&lt;/author&gt;&lt;author&gt;Bailey, L.&lt;/author&gt;&lt;author&gt;Harnden, A.&lt;/author&gt;&lt;author&gt;Mant, D.&lt;/author&gt;&lt;author&gt;Levin, M.&lt;/author&gt;&lt;/authors&gt;&lt;/contributors&gt;&lt;auth-address&gt;Department of Primary Health Care, Old Road Campus, University of Oxford, Oxford, UK.&lt;/auth-address&gt;&lt;titles&gt;&lt;title&gt;Clinical recognition of meningococcal disease in children and adolescents&lt;/title&gt;&lt;secondary-title&gt;Lancet&lt;/secondary-title&gt;&lt;/titles&gt;&lt;periodical&gt;&lt;full-title&gt;Lancet&lt;/full-title&gt;&lt;abbr-1&gt;Lancet (London, England)&lt;/abbr-1&gt;&lt;/periodical&gt;&lt;pages&gt;397-403&lt;/pages&gt;&lt;volume&gt;367&lt;/volume&gt;&lt;number&gt;9508&lt;/number&gt;&lt;keywords&gt;&lt;keyword&gt;Adolescent&lt;/keyword&gt;&lt;keyword&gt;Child&lt;/keyword&gt;&lt;keyword&gt;Child, Preschool&lt;/keyword&gt;&lt;keyword&gt;Hospitalization&lt;/keyword&gt;&lt;keyword&gt;Humans&lt;/keyword&gt;&lt;keyword&gt;Infant&lt;/keyword&gt;&lt;keyword&gt;Meningococcal Infections/diagnosis/mortality/*physiopathology&lt;/keyword&gt;&lt;keyword&gt;Time Factors&lt;/keyword&gt;&lt;/keywords&gt;&lt;dates&gt;&lt;year&gt;2006&lt;/year&gt;&lt;pub-dates&gt;&lt;date&gt;Feb 4&lt;/date&gt;&lt;/pub-dates&gt;&lt;/dates&gt;&lt;isbn&gt;1474-547X (Electronic)&amp;#xD;0140-6736 (Linking)&lt;/isbn&gt;&lt;accession-num&gt;16458763&lt;/accession-num&gt;&lt;urls&gt;&lt;related-urls&gt;&lt;url&gt;https://www.ncbi.nlm.nih.gov/pubmed/16458763&lt;/url&gt;&lt;/related-urls&gt;&lt;/urls&gt;&lt;electronic-resource-num&gt;10.1016/S0140-6736(06)67932-4&lt;/electronic-resource-num&gt;&lt;/record&gt;&lt;/Cite&gt;&lt;/EndNote&gt;</w:instrText>
      </w:r>
      <w:r w:rsidR="00581626" w:rsidRPr="00291FF8">
        <w:fldChar w:fldCharType="separate"/>
      </w:r>
      <w:r w:rsidR="00581626" w:rsidRPr="00291FF8">
        <w:rPr>
          <w:noProof/>
        </w:rPr>
        <w:t>(2)</w:t>
      </w:r>
      <w:r w:rsidR="00581626" w:rsidRPr="00291FF8">
        <w:fldChar w:fldCharType="end"/>
      </w:r>
      <w:r w:rsidR="00313E2E" w:rsidRPr="00291FF8">
        <w:t xml:space="preserve">; in our cohort, nearly 90% of all deaths in children and more than 90% of all deaths in 15-24 year-olds with IMD occurred within a day of diagnosis, </w:t>
      </w:r>
      <w:r w:rsidR="006E4186" w:rsidRPr="00291FF8">
        <w:t>highligh</w:t>
      </w:r>
      <w:r w:rsidR="00313E2E" w:rsidRPr="00291FF8">
        <w:t>ting</w:t>
      </w:r>
      <w:r w:rsidR="006E4186" w:rsidRPr="00291FF8">
        <w:t xml:space="preserve"> the</w:t>
      </w:r>
      <w:r w:rsidR="00B60BE9" w:rsidRPr="00291FF8">
        <w:t xml:space="preserve"> critical value of prevent</w:t>
      </w:r>
      <w:r w:rsidR="00074577" w:rsidRPr="00291FF8">
        <w:t xml:space="preserve">ion </w:t>
      </w:r>
      <w:r w:rsidR="00B60BE9" w:rsidRPr="00291FF8">
        <w:t xml:space="preserve">through vaccination. </w:t>
      </w:r>
      <w:r w:rsidR="00DC6ED5" w:rsidRPr="00291FF8">
        <w:t xml:space="preserve">In keeping with the literature, too, we have previously reported that only 18 of 3,411 (0.5%) of IMD cases had underlying risk factors for IMD </w:t>
      </w:r>
      <w:r w:rsidR="00581626" w:rsidRPr="00291FF8">
        <w:fldChar w:fldCharType="begin">
          <w:fldData xml:space="preserve">PEVuZE5vdGU+PENpdGU+PEF1dGhvcj5QYXJpa2g8L0F1dGhvcj48WWVhcj4yMDE4PC9ZZWFyPjxS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</w:fldData>
        </w:fldChar>
      </w:r>
      <w:r w:rsidR="00581626" w:rsidRPr="00291FF8">
        <w:instrText xml:space="preserve"> ADDIN EN.CITE </w:instrText>
      </w:r>
      <w:r w:rsidR="00581626" w:rsidRPr="00291FF8">
        <w:fldChar w:fldCharType="begin">
          <w:fldData xml:space="preserve">PEVuZE5vdGU+PENpdGU+PEF1dGhvcj5QYXJpa2g8L0F1dGhvcj48WWVhcj4yMDE4PC9ZZWFyPjxS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</w:fldData>
        </w:fldChar>
      </w:r>
      <w:r w:rsidR="00581626" w:rsidRPr="00291FF8">
        <w:instrText xml:space="preserve"> ADDIN EN.CITE.DATA </w:instrText>
      </w:r>
      <w:r w:rsidR="00581626" w:rsidRPr="00291FF8">
        <w:fldChar w:fldCharType="end"/>
      </w:r>
      <w:r w:rsidR="00581626" w:rsidRPr="00291FF8">
        <w:fldChar w:fldCharType="separate"/>
      </w:r>
      <w:r w:rsidR="00581626" w:rsidRPr="00291FF8">
        <w:rPr>
          <w:noProof/>
        </w:rPr>
        <w:t>(7)</w:t>
      </w:r>
      <w:r w:rsidR="00581626" w:rsidRPr="00291FF8">
        <w:fldChar w:fldCharType="end"/>
      </w:r>
      <w:r w:rsidR="00DC6ED5" w:rsidRPr="00291FF8">
        <w:t xml:space="preserve"> and, therefore, it is not surprising that </w:t>
      </w:r>
      <w:r w:rsidR="0043235C" w:rsidRPr="00291FF8">
        <w:t xml:space="preserve">97.6% (490/502) </w:t>
      </w:r>
      <w:r w:rsidR="006E4186" w:rsidRPr="00291FF8">
        <w:t>deaths within 30 days of diagnosis were IMD-related</w:t>
      </w:r>
      <w:r w:rsidR="0043235C" w:rsidRPr="00291FF8">
        <w:t>, with very few (n=12) IMD-related deaths occurring after this period. For clinicians and the families of patients with IMD, these results provide reassurance that the risk of death decreases rapidly after the first few days of the illness and that, in previously healthy patients of any age, late deaths due to any cause are rare</w:t>
      </w:r>
      <w:r w:rsidR="0010221A" w:rsidRPr="00291FF8">
        <w:t>. Deaths occurring more than 30 days after diagnosis</w:t>
      </w:r>
      <w:r w:rsidR="008C42F1" w:rsidRPr="00291FF8">
        <w:t xml:space="preserve"> were nearly all in ≥65 year-olds, followed by among 45-64 year-olds, mainly in those with </w:t>
      </w:r>
      <w:proofErr w:type="spellStart"/>
      <w:r w:rsidR="008C42F1" w:rsidRPr="00291FF8">
        <w:t>MenB</w:t>
      </w:r>
      <w:proofErr w:type="spellEnd"/>
      <w:r w:rsidR="008C42F1" w:rsidRPr="00291FF8">
        <w:t xml:space="preserve"> and </w:t>
      </w:r>
      <w:proofErr w:type="spellStart"/>
      <w:r w:rsidR="008C42F1" w:rsidRPr="00291FF8">
        <w:t>MenW</w:t>
      </w:r>
      <w:proofErr w:type="spellEnd"/>
      <w:r w:rsidR="008C42F1" w:rsidRPr="00291FF8">
        <w:t xml:space="preserve">, and nearly always due to </w:t>
      </w:r>
      <w:r w:rsidR="000610A4" w:rsidRPr="00291FF8">
        <w:t xml:space="preserve">a </w:t>
      </w:r>
      <w:r w:rsidR="008C42F1" w:rsidRPr="00291FF8">
        <w:t>serious underlying comorbidity that would have been present at the time of IMD, especially malignancy</w:t>
      </w:r>
      <w:r w:rsidR="000610A4" w:rsidRPr="00291FF8">
        <w:t>, or due to old age (Table 3)</w:t>
      </w:r>
      <w:r w:rsidR="008C42F1" w:rsidRPr="00291FF8">
        <w:t>.</w:t>
      </w:r>
    </w:p>
    <w:p w14:paraId="4623AB0A" w14:textId="77777777" w:rsidR="00407E85" w:rsidRPr="00291FF8" w:rsidRDefault="00407E85" w:rsidP="006C2D3A">
      <w:pPr>
        <w:spacing w:line="480" w:lineRule="auto"/>
      </w:pPr>
    </w:p>
    <w:p w14:paraId="3A10ADF9" w14:textId="77777777" w:rsidR="005C2A2E" w:rsidRPr="00291FF8" w:rsidRDefault="005C2A2E" w:rsidP="006C2D3A">
      <w:pPr>
        <w:pStyle w:val="Heading2"/>
        <w:spacing w:line="480" w:lineRule="auto"/>
      </w:pPr>
      <w:r w:rsidRPr="00291FF8">
        <w:t>Surveillance</w:t>
      </w:r>
    </w:p>
    <w:p w14:paraId="44D781D3" w14:textId="5051647B" w:rsidR="00F4662E" w:rsidRPr="00291FF8" w:rsidRDefault="0031422D" w:rsidP="006C2D3A">
      <w:pPr>
        <w:spacing w:line="480" w:lineRule="auto"/>
      </w:pPr>
      <w:r w:rsidRPr="00291FF8">
        <w:t xml:space="preserve">In terms of surveillance, </w:t>
      </w:r>
      <w:r w:rsidR="0043235C" w:rsidRPr="00291FF8">
        <w:t xml:space="preserve">the </w:t>
      </w:r>
      <w:r w:rsidRPr="00291FF8">
        <w:t xml:space="preserve">weekly-ONS </w:t>
      </w:r>
      <w:r w:rsidR="0043235C" w:rsidRPr="00291FF8">
        <w:t>data were</w:t>
      </w:r>
      <w:r w:rsidRPr="00291FF8">
        <w:t xml:space="preserve"> used to rapidly monitor IMD-related deaths during the national </w:t>
      </w:r>
      <w:proofErr w:type="spellStart"/>
      <w:r w:rsidRPr="00291FF8">
        <w:t>MenC</w:t>
      </w:r>
      <w:proofErr w:type="spellEnd"/>
      <w:r w:rsidRPr="00291FF8">
        <w:t xml:space="preserve"> outbreak in the UK that started in the mid-1990s </w:t>
      </w:r>
      <w:r w:rsidR="00581626" w:rsidRPr="00291FF8">
        <w:fldChar w:fldCharType="begin">
          <w:fldData xml:space="preserve">PEVuZE5vdGU+PENpdGU+PEF1dGhvcj5DYW1wYmVsbDwvQXV0aG9yPjxZZWFyPjIwMTA8L1llYXI+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</w:fldData>
        </w:fldChar>
      </w:r>
      <w:r w:rsidR="00581626" w:rsidRPr="00291FF8">
        <w:instrText xml:space="preserve"> ADDIN EN.CITE </w:instrText>
      </w:r>
      <w:r w:rsidR="00581626" w:rsidRPr="00291FF8">
        <w:fldChar w:fldCharType="begin">
          <w:fldData xml:space="preserve">PEVuZE5vdGU+PENpdGU+PEF1dGhvcj5DYW1wYmVsbDwvQXV0aG9yPjxZZWFyPjIwMTA8L1llYXI+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</w:fldData>
        </w:fldChar>
      </w:r>
      <w:r w:rsidR="00581626" w:rsidRPr="00291FF8">
        <w:instrText xml:space="preserve"> ADDIN EN.CITE.DATA </w:instrText>
      </w:r>
      <w:r w:rsidR="00581626" w:rsidRPr="00291FF8">
        <w:fldChar w:fldCharType="end"/>
      </w:r>
      <w:r w:rsidR="00581626" w:rsidRPr="00291FF8">
        <w:fldChar w:fldCharType="separate"/>
      </w:r>
      <w:r w:rsidR="00581626" w:rsidRPr="00291FF8">
        <w:rPr>
          <w:noProof/>
        </w:rPr>
        <w:t>(3)</w:t>
      </w:r>
      <w:r w:rsidR="00581626" w:rsidRPr="00291FF8">
        <w:fldChar w:fldCharType="end"/>
      </w:r>
      <w:r w:rsidRPr="00291FF8">
        <w:t xml:space="preserve">. </w:t>
      </w:r>
      <w:r w:rsidR="0043235C" w:rsidRPr="00291FF8">
        <w:t>At th</w:t>
      </w:r>
      <w:r w:rsidR="00876215" w:rsidRPr="00291FF8">
        <w:t>at</w:t>
      </w:r>
      <w:r w:rsidR="0043235C" w:rsidRPr="00291FF8">
        <w:t xml:space="preserve"> time, this was the quickest data source for rapidly monitoring fatalities during a national </w:t>
      </w:r>
      <w:r w:rsidR="0043235C" w:rsidRPr="00291FF8">
        <w:lastRenderedPageBreak/>
        <w:t>outbreak associated with high morbidity and mortality. Since then, however, real-time a</w:t>
      </w:r>
      <w:r w:rsidRPr="00291FF8">
        <w:t xml:space="preserve">ccess to PDS had vastly improved national surveillance because of access to accurate patient demographics, the general practice they are registered with </w:t>
      </w:r>
      <w:r w:rsidR="00313095" w:rsidRPr="00291FF8">
        <w:t>(</w:t>
      </w:r>
      <w:r w:rsidRPr="00291FF8">
        <w:t>for completion of surveillance questionnaires</w:t>
      </w:r>
      <w:r w:rsidR="00313095" w:rsidRPr="00291FF8">
        <w:t>)</w:t>
      </w:r>
      <w:r w:rsidRPr="00291FF8">
        <w:t xml:space="preserve"> and, if died, their date of death</w:t>
      </w:r>
      <w:r w:rsidR="00313095" w:rsidRPr="00291FF8">
        <w:t xml:space="preserve">. </w:t>
      </w:r>
    </w:p>
    <w:p w14:paraId="481BEC96" w14:textId="6CB59D5E" w:rsidR="00412995" w:rsidRPr="00291FF8" w:rsidRDefault="00412995" w:rsidP="006C2D3A">
      <w:pPr>
        <w:spacing w:line="480" w:lineRule="auto"/>
      </w:pPr>
      <w:r w:rsidRPr="00291FF8">
        <w:t xml:space="preserve">Annual-ONS data provided more information relating to both the date and the cause of death, which could be attributed to infection in nearly all cases. </w:t>
      </w:r>
      <w:r w:rsidR="00876215" w:rsidRPr="00291FF8">
        <w:t>A major disadvantage of Annual-ONS data is that the information only become available in the second half of the following year and, as such, in only useful for retrospective confirmation of deaths and cause of death in patients with laboratory-confirmed IMD identified through national surveillance.</w:t>
      </w:r>
      <w:r w:rsidR="005F0449" w:rsidRPr="00291FF8">
        <w:t xml:space="preserve"> </w:t>
      </w:r>
      <w:r w:rsidR="00876215" w:rsidRPr="00291FF8">
        <w:t>Access to PDS</w:t>
      </w:r>
      <w:r w:rsidR="005F0449" w:rsidRPr="00291FF8">
        <w:t>, however,</w:t>
      </w:r>
      <w:r w:rsidR="00876215" w:rsidRPr="00291FF8">
        <w:t xml:space="preserve"> and our demonstration that nearly all deaths </w:t>
      </w:r>
      <w:r w:rsidR="00607BDD" w:rsidRPr="00291FF8">
        <w:t>within 30 days a</w:t>
      </w:r>
      <w:r w:rsidR="00876215" w:rsidRPr="00291FF8">
        <w:t>re IMD</w:t>
      </w:r>
      <w:r w:rsidR="00607BDD" w:rsidRPr="00291FF8">
        <w:t>-related</w:t>
      </w:r>
      <w:r w:rsidR="00876215" w:rsidRPr="00291FF8">
        <w:t xml:space="preserve"> now allows us to report CFR </w:t>
      </w:r>
      <w:r w:rsidR="005F0449" w:rsidRPr="00291FF8">
        <w:t>and</w:t>
      </w:r>
      <w:r w:rsidR="00CA0189" w:rsidRPr="00291FF8">
        <w:t xml:space="preserve"> </w:t>
      </w:r>
      <w:r w:rsidR="002352F1" w:rsidRPr="00291FF8">
        <w:t>monitor</w:t>
      </w:r>
      <w:r w:rsidR="00CA0189" w:rsidRPr="00291FF8">
        <w:t xml:space="preserve"> outcomes </w:t>
      </w:r>
      <w:r w:rsidR="002352F1" w:rsidRPr="00291FF8">
        <w:t>across age-groups, serogroups and time</w:t>
      </w:r>
      <w:r w:rsidR="00CA0189" w:rsidRPr="00291FF8">
        <w:t xml:space="preserve"> in near real-time</w:t>
      </w:r>
      <w:r w:rsidR="001B36AA" w:rsidRPr="00291FF8">
        <w:t>.</w:t>
      </w:r>
      <w:r w:rsidR="00EB69D4" w:rsidRPr="00291FF8">
        <w:t xml:space="preserve"> </w:t>
      </w:r>
    </w:p>
    <w:p w14:paraId="0E631670" w14:textId="77777777" w:rsidR="006D7DA7" w:rsidRPr="00291FF8" w:rsidRDefault="006D7DA7" w:rsidP="006C2D3A">
      <w:pPr>
        <w:spacing w:line="480" w:lineRule="auto"/>
      </w:pPr>
    </w:p>
    <w:p w14:paraId="7FA4ECE4" w14:textId="1F7BC4A8" w:rsidR="00A8040D" w:rsidRPr="00291FF8" w:rsidRDefault="006D7DA7" w:rsidP="006C2D3A">
      <w:pPr>
        <w:spacing w:line="480" w:lineRule="auto"/>
        <w:rPr>
          <w:b/>
          <w:bCs/>
        </w:rPr>
      </w:pPr>
      <w:r w:rsidRPr="00291FF8">
        <w:rPr>
          <w:b/>
          <w:bCs/>
        </w:rPr>
        <w:t>Strengths and Limitations</w:t>
      </w:r>
    </w:p>
    <w:p w14:paraId="30384A3D" w14:textId="1AC808D4" w:rsidR="00F26A0E" w:rsidRPr="00291FF8" w:rsidRDefault="00593F48" w:rsidP="006C2D3A">
      <w:pPr>
        <w:spacing w:line="480" w:lineRule="auto"/>
      </w:pPr>
      <w:r w:rsidRPr="00291FF8">
        <w:t>The strength of this analysis is the availability of multiple national datasets with reliable identifiers to link across the datasets. We were able to link 8 years’ worth of data during a national outbreak of MenW:cc11 disease and prior to the introduction of two new meningococcal immunisation programmes in England.</w:t>
      </w:r>
      <w:r w:rsidR="00F63304" w:rsidRPr="00291FF8">
        <w:t xml:space="preserve"> </w:t>
      </w:r>
      <w:r w:rsidR="00760C87" w:rsidRPr="00291FF8">
        <w:t xml:space="preserve">The </w:t>
      </w:r>
      <w:r w:rsidR="00065DBA" w:rsidRPr="00291FF8">
        <w:t xml:space="preserve">paucity </w:t>
      </w:r>
      <w:r w:rsidR="00760C87" w:rsidRPr="00291FF8">
        <w:t xml:space="preserve">clinical information </w:t>
      </w:r>
      <w:r w:rsidR="00E26C47" w:rsidRPr="00291FF8">
        <w:t xml:space="preserve">within </w:t>
      </w:r>
      <w:r w:rsidRPr="00291FF8">
        <w:t>t</w:t>
      </w:r>
      <w:r w:rsidR="00E26C47" w:rsidRPr="00291FF8">
        <w:t>he analysed databases</w:t>
      </w:r>
      <w:r w:rsidR="00F63304" w:rsidRPr="00291FF8">
        <w:t>, however,</w:t>
      </w:r>
      <w:r w:rsidR="00E26C47" w:rsidRPr="00291FF8">
        <w:t xml:space="preserve"> is an important a limitation of the study, especially because the information recorded on death registrations is known to be limited </w:t>
      </w:r>
      <w:r w:rsidR="00581626" w:rsidRPr="00291FF8">
        <w:fldChar w:fldCharType="begin">
          <w:fldData xml:space="preserve">PEVuZE5vdGU+PENpdGU+PEF1dGhvcj5MYWRoYW5pPC9BdXRob3I+PFllYXI+MjAxMDwvWWVhcj48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</w:fldData>
        </w:fldChar>
      </w:r>
      <w:r w:rsidR="00581626" w:rsidRPr="00291FF8">
        <w:instrText xml:space="preserve"> ADDIN EN.CITE </w:instrText>
      </w:r>
      <w:r w:rsidR="00581626" w:rsidRPr="00291FF8">
        <w:fldChar w:fldCharType="begin">
          <w:fldData xml:space="preserve">PEVuZE5vdGU+PENpdGU+PEF1dGhvcj5MYWRoYW5pPC9BdXRob3I+PFllYXI+MjAxMDwvWWVhcj48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</w:fldData>
        </w:fldChar>
      </w:r>
      <w:r w:rsidR="00581626" w:rsidRPr="00291FF8">
        <w:instrText xml:space="preserve"> ADDIN EN.CITE.DATA </w:instrText>
      </w:r>
      <w:r w:rsidR="00581626" w:rsidRPr="00291FF8">
        <w:fldChar w:fldCharType="end"/>
      </w:r>
      <w:r w:rsidR="00581626" w:rsidRPr="00291FF8">
        <w:fldChar w:fldCharType="separate"/>
      </w:r>
      <w:r w:rsidR="00581626" w:rsidRPr="00291FF8">
        <w:rPr>
          <w:noProof/>
        </w:rPr>
        <w:t>(9)</w:t>
      </w:r>
      <w:r w:rsidR="00581626" w:rsidRPr="00291FF8">
        <w:fldChar w:fldCharType="end"/>
      </w:r>
      <w:r w:rsidR="00E26C47" w:rsidRPr="00291FF8">
        <w:t xml:space="preserve">. </w:t>
      </w:r>
      <w:r w:rsidR="00E81C47" w:rsidRPr="00291FF8">
        <w:t xml:space="preserve">Underlying comorbidities, for example, may be less well documented on the death certificate, although it is very likely that significant underlying illnesses such as malignancy and chronic diseases would be recorded. At the same time, most IMD cases occur in previously healthy individuals, unlike many other infectious diseases. </w:t>
      </w:r>
      <w:r w:rsidR="00F63304" w:rsidRPr="00291FF8">
        <w:t>On the other hand, our primary data source was</w:t>
      </w:r>
      <w:r w:rsidR="00E26C47" w:rsidRPr="00291FF8">
        <w:t xml:space="preserve"> laboratory-confirmed IMD cases</w:t>
      </w:r>
      <w:r w:rsidR="00F63304" w:rsidRPr="00291FF8">
        <w:t>, which we linked to the</w:t>
      </w:r>
      <w:r w:rsidR="00E26C47" w:rsidRPr="00291FF8">
        <w:t xml:space="preserve"> </w:t>
      </w:r>
      <w:r w:rsidR="00F63304" w:rsidRPr="00291FF8">
        <w:t xml:space="preserve">weekly and </w:t>
      </w:r>
      <w:r w:rsidR="00F63304" w:rsidRPr="00291FF8">
        <w:lastRenderedPageBreak/>
        <w:t xml:space="preserve">annual </w:t>
      </w:r>
      <w:r w:rsidR="00E26C47" w:rsidRPr="00291FF8">
        <w:t>death registration</w:t>
      </w:r>
      <w:r w:rsidR="00F63304" w:rsidRPr="00291FF8">
        <w:t xml:space="preserve"> records</w:t>
      </w:r>
      <w:r w:rsidR="00F26A0E" w:rsidRPr="00291FF8">
        <w:t xml:space="preserve">. We were, therefore, certain of the diagnosis </w:t>
      </w:r>
      <w:r w:rsidR="00E26C47" w:rsidRPr="00291FF8">
        <w:t xml:space="preserve">and aetiology of the infection-related deaths. </w:t>
      </w:r>
      <w:r w:rsidR="006D7DA7" w:rsidRPr="00291FF8">
        <w:t>More detailed clinical information for cases would have allowed for more detailed ascertainment of the cause of death, such as duration of illness, presenting symptoms, laboratory investigations, time to treatment, transfer to intensive care, management of organ failure, and so on. Another important limitation was the lack of information on sequelae, which can be severe and long-term, including epilepsy, blindness</w:t>
      </w:r>
      <w:r w:rsidR="00581626" w:rsidRPr="00291FF8">
        <w:t xml:space="preserve"> deafness and limb amputations </w:t>
      </w:r>
      <w:r w:rsidR="00581626" w:rsidRPr="00291FF8">
        <w:fldChar w:fldCharType="begin">
          <w:fldData xml:space="preserve">PEVuZE5vdGU+PENpdGU+PEF1dGhvcj5WaW5lcjwvQXV0aG9yPjxZZWFyPjIwMTI8L1llYXI+PFJl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</w:fldData>
        </w:fldChar>
      </w:r>
      <w:r w:rsidR="00581626" w:rsidRPr="00291FF8">
        <w:instrText xml:space="preserve"> ADDIN EN.CITE </w:instrText>
      </w:r>
      <w:r w:rsidR="00581626" w:rsidRPr="00291FF8">
        <w:fldChar w:fldCharType="begin">
          <w:fldData xml:space="preserve">PEVuZE5vdGU+PENpdGU+PEF1dGhvcj5WaW5lcjwvQXV0aG9yPjxZZWFyPjIwMTI8L1llYXI+PFJl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</w:fldData>
        </w:fldChar>
      </w:r>
      <w:r w:rsidR="00581626" w:rsidRPr="00291FF8">
        <w:instrText xml:space="preserve"> ADDIN EN.CITE.DATA </w:instrText>
      </w:r>
      <w:r w:rsidR="00581626" w:rsidRPr="00291FF8">
        <w:fldChar w:fldCharType="end"/>
      </w:r>
      <w:r w:rsidR="00581626" w:rsidRPr="00291FF8">
        <w:fldChar w:fldCharType="separate"/>
      </w:r>
      <w:r w:rsidR="00581626" w:rsidRPr="00291FF8">
        <w:rPr>
          <w:noProof/>
        </w:rPr>
        <w:t>(10)</w:t>
      </w:r>
      <w:r w:rsidR="00581626" w:rsidRPr="00291FF8">
        <w:fldChar w:fldCharType="end"/>
      </w:r>
      <w:r w:rsidR="006D7DA7" w:rsidRPr="00291FF8">
        <w:t>.</w:t>
      </w:r>
    </w:p>
    <w:p w14:paraId="7BC8F975" w14:textId="77777777" w:rsidR="006D7DA7" w:rsidRPr="00291FF8" w:rsidRDefault="006D7DA7" w:rsidP="006C2D3A">
      <w:pPr>
        <w:spacing w:line="480" w:lineRule="auto"/>
      </w:pPr>
    </w:p>
    <w:p w14:paraId="4C8C8069" w14:textId="7AF0F9DB" w:rsidR="00D71977" w:rsidRPr="006D7DA7" w:rsidRDefault="006D7DA7" w:rsidP="006C2D3A">
      <w:pPr>
        <w:spacing w:line="480" w:lineRule="auto"/>
        <w:rPr>
          <w:b/>
        </w:rPr>
      </w:pPr>
      <w:r w:rsidRPr="00291FF8">
        <w:rPr>
          <w:b/>
        </w:rPr>
        <w:t>Conclusions</w:t>
      </w:r>
    </w:p>
    <w:p w14:paraId="452711CA" w14:textId="0AF2A9EB" w:rsidR="00D71977" w:rsidRDefault="00D71977" w:rsidP="006C2D3A">
      <w:pPr>
        <w:spacing w:line="480" w:lineRule="auto"/>
      </w:pPr>
      <w:r>
        <w:t>Our analysis provides a detailed assessment of deaths in patients with confirmed IM</w:t>
      </w:r>
      <w:r w:rsidR="00FF1388">
        <w:t>D</w:t>
      </w:r>
      <w:r>
        <w:t xml:space="preserve"> </w:t>
      </w:r>
      <w:r w:rsidR="006D7DA7">
        <w:t xml:space="preserve">during a national outbreak due to MenW:cc11 and </w:t>
      </w:r>
      <w:r>
        <w:t>prior to the introduction of two new national meningococcal immunisation programmes in 2015. We found that most IM</w:t>
      </w:r>
      <w:r w:rsidR="00FF1388">
        <w:t>D</w:t>
      </w:r>
      <w:r>
        <w:t>-related deaths occurred within a day of diagnosis and that nearly all IMD-related deaths were captured within 30 days of diagnosis, making this interval ideal for timely surveillance of IM</w:t>
      </w:r>
      <w:r w:rsidR="008C3E8D">
        <w:t>D</w:t>
      </w:r>
      <w:r>
        <w:t>-related deaths nationally. The rapidity of death in patients with confirmed IMD highlights the importance of prevention through vaccination.</w:t>
      </w:r>
    </w:p>
    <w:p w14:paraId="06E23D77" w14:textId="1AA02224" w:rsidR="0091258A" w:rsidRDefault="0091258A" w:rsidP="006C2D3A">
      <w:pPr>
        <w:spacing w:line="480" w:lineRule="auto"/>
        <w:rPr>
          <w:noProof/>
          <w:lang w:eastAsia="en-GB"/>
        </w:rPr>
      </w:pPr>
    </w:p>
    <w:p w14:paraId="0C4A87B0" w14:textId="23C329DA" w:rsidR="00461F32" w:rsidRDefault="00461F32" w:rsidP="006C2D3A">
      <w:pPr>
        <w:spacing w:line="480" w:lineRule="auto"/>
        <w:rPr>
          <w:noProof/>
          <w:lang w:eastAsia="en-GB"/>
        </w:rPr>
      </w:pPr>
    </w:p>
    <w:p w14:paraId="11295821" w14:textId="536D582B" w:rsidR="00461F32" w:rsidRDefault="00461F32" w:rsidP="006C2D3A">
      <w:pPr>
        <w:spacing w:line="480" w:lineRule="auto"/>
        <w:rPr>
          <w:noProof/>
          <w:lang w:eastAsia="en-GB"/>
        </w:rPr>
      </w:pPr>
    </w:p>
    <w:p w14:paraId="2921C66D" w14:textId="77777777" w:rsidR="000E6C53" w:rsidRDefault="000E6C53" w:rsidP="006C2D3A">
      <w:pPr>
        <w:spacing w:line="480" w:lineRule="auto"/>
        <w:rPr>
          <w:b/>
        </w:rPr>
      </w:pPr>
      <w:r>
        <w:rPr>
          <w:b/>
        </w:rPr>
        <w:br w:type="page"/>
      </w:r>
    </w:p>
    <w:p w14:paraId="663FC6F9" w14:textId="739B553C" w:rsidR="00461F32" w:rsidRPr="00461F32" w:rsidRDefault="00461F32" w:rsidP="006C2D3A">
      <w:pPr>
        <w:spacing w:line="360" w:lineRule="auto"/>
        <w:rPr>
          <w:b/>
        </w:rPr>
      </w:pPr>
      <w:r w:rsidRPr="00461F32">
        <w:rPr>
          <w:b/>
        </w:rPr>
        <w:lastRenderedPageBreak/>
        <w:t>REFERENCES</w:t>
      </w:r>
    </w:p>
    <w:p w14:paraId="37C13AD7" w14:textId="77777777" w:rsidR="00461F32" w:rsidRPr="00581626" w:rsidRDefault="00461F32" w:rsidP="006C2D3A">
      <w:pPr>
        <w:pStyle w:val="EndNoteBibliography"/>
        <w:spacing w:after="0" w:line="360" w:lineRule="auto"/>
      </w:pPr>
      <w:r>
        <w:fldChar w:fldCharType="begin"/>
      </w:r>
      <w:r>
        <w:instrText xml:space="preserve"> ADDIN EN.REFLIST </w:instrText>
      </w:r>
      <w:r>
        <w:fldChar w:fldCharType="separate"/>
      </w:r>
      <w:r w:rsidRPr="00581626">
        <w:t>1.</w:t>
      </w:r>
      <w:r w:rsidRPr="00581626">
        <w:tab/>
        <w:t>Halperin SA, Bettinger JA, Greenwood B, Harrison LH, Jelfs J, Ladhani SN, et al. The changing and dynamic epidemiology of meningococcal disease. Vaccine. 2012;30 Suppl 2:B26-36.</w:t>
      </w:r>
    </w:p>
    <w:p w14:paraId="0AFB11AA" w14:textId="77777777" w:rsidR="00461F32" w:rsidRPr="00581626" w:rsidRDefault="00461F32" w:rsidP="006C2D3A">
      <w:pPr>
        <w:pStyle w:val="EndNoteBibliography"/>
        <w:spacing w:after="0" w:line="360" w:lineRule="auto"/>
      </w:pPr>
      <w:r w:rsidRPr="00581626">
        <w:t>2.</w:t>
      </w:r>
      <w:r w:rsidRPr="00581626">
        <w:tab/>
        <w:t>Thompson MJ, Ninis N, Perera R, Mayon-White R, Phillips C, Bailey L, et al. Clinical recognition of meningococcal disease in children and adolescents. Lancet (London, England). 2006;367(9508):397-403.</w:t>
      </w:r>
    </w:p>
    <w:p w14:paraId="5CE16C24" w14:textId="77777777" w:rsidR="00461F32" w:rsidRPr="00581626" w:rsidRDefault="00461F32" w:rsidP="006C2D3A">
      <w:pPr>
        <w:pStyle w:val="EndNoteBibliography"/>
        <w:spacing w:after="0" w:line="360" w:lineRule="auto"/>
      </w:pPr>
      <w:r w:rsidRPr="00581626">
        <w:t>3.</w:t>
      </w:r>
      <w:r w:rsidRPr="00581626">
        <w:tab/>
        <w:t>Campbell H, Andrews N, Borrow R, Trotter C, Miller E. Updated postlicensure surveillance of the meningococcal C conjugate vaccine in England and Wales: effectiveness, validation of serological correlates of protection, and modeling predictions of the duration of herd immunity. Clinical and vaccine immunology : CVI. 2010;17(5):840-7.</w:t>
      </w:r>
    </w:p>
    <w:p w14:paraId="4EFE828F" w14:textId="77777777" w:rsidR="00461F32" w:rsidRPr="00581626" w:rsidRDefault="00461F32" w:rsidP="006C2D3A">
      <w:pPr>
        <w:pStyle w:val="EndNoteBibliography"/>
        <w:spacing w:after="0" w:line="360" w:lineRule="auto"/>
      </w:pPr>
      <w:r w:rsidRPr="00581626">
        <w:t>4.</w:t>
      </w:r>
      <w:r w:rsidRPr="00581626">
        <w:tab/>
        <w:t>Ladhani SN, Beebeejaun K, Lucidarme J, Campbell H, Gray S, Kaczmarski E, et al. Increase in endemic Neisseria meningitidis capsular group W sequence type 11 complex associated with severe invasive disease in England and Wales. Clinical infectious diseases : an official publication of the Infectious Diseases Society of America. 2015;60(4):578-85.</w:t>
      </w:r>
    </w:p>
    <w:p w14:paraId="14E38DDB" w14:textId="77777777" w:rsidR="00461F32" w:rsidRPr="00581626" w:rsidRDefault="00461F32" w:rsidP="006C2D3A">
      <w:pPr>
        <w:pStyle w:val="EndNoteBibliography"/>
        <w:spacing w:after="0" w:line="360" w:lineRule="auto"/>
      </w:pPr>
      <w:r w:rsidRPr="00581626">
        <w:t>5.</w:t>
      </w:r>
      <w:r w:rsidRPr="00581626">
        <w:tab/>
        <w:t>Campbell H, Edelstein M, Andrews N, Borrow R, Ramsay M, Ladhani S. Emergency Meningococcal ACWY Vaccination Program for Teenagers to Control Group W Meningococcal Disease, England, 2015-2016. Emerging infectious diseases. 2017;23(7):1184-7.</w:t>
      </w:r>
    </w:p>
    <w:p w14:paraId="78C5BF3B" w14:textId="77777777" w:rsidR="00461F32" w:rsidRPr="00581626" w:rsidRDefault="00461F32" w:rsidP="006C2D3A">
      <w:pPr>
        <w:pStyle w:val="EndNoteBibliography"/>
        <w:spacing w:after="0" w:line="360" w:lineRule="auto"/>
      </w:pPr>
      <w:r w:rsidRPr="00581626">
        <w:t>6.</w:t>
      </w:r>
      <w:r w:rsidRPr="00581626">
        <w:tab/>
        <w:t>Ladhani SN, Ramsay M, Borrow R, Riordan A, Watson JM, Pollard AJ. Enter B and W: two new meningococcal vaccine programmes launched. Archives of disease in childhood. 2016;101(1):91-5.</w:t>
      </w:r>
    </w:p>
    <w:p w14:paraId="55462EDF" w14:textId="77777777" w:rsidR="00461F32" w:rsidRPr="00581626" w:rsidRDefault="00461F32" w:rsidP="006C2D3A">
      <w:pPr>
        <w:pStyle w:val="EndNoteBibliography"/>
        <w:spacing w:after="0" w:line="360" w:lineRule="auto"/>
      </w:pPr>
      <w:r w:rsidRPr="00581626">
        <w:t>7.</w:t>
      </w:r>
      <w:r w:rsidRPr="00581626">
        <w:tab/>
        <w:t>Parikh SR, Campbell H, Gray SJ, Beebeejaun K, Ribeiro S, Borrow R, et al. Epidemiology, clinical presentation, risk factors, intensive care admission and outcomes of invasive meningococcal disease in England, 2010-2015. Vaccine. 2018;36(26):3876-81.</w:t>
      </w:r>
    </w:p>
    <w:p w14:paraId="00810558" w14:textId="77777777" w:rsidR="00461F32" w:rsidRPr="00581626" w:rsidRDefault="00461F32" w:rsidP="006C2D3A">
      <w:pPr>
        <w:pStyle w:val="EndNoteBibliography"/>
        <w:spacing w:after="0" w:line="360" w:lineRule="auto"/>
      </w:pPr>
      <w:r w:rsidRPr="00581626">
        <w:t>8.</w:t>
      </w:r>
      <w:r w:rsidRPr="00581626">
        <w:tab/>
        <w:t>Campbell H, Borrow R, Arumugam C, Ramsay M, Ladhani SN. Invasive meningococcal disease as a cause of sudden and unexpected death in a teenager: The public health importance of confirming the diagnosis. The Journal of infection. 2019;78(4):323-37.</w:t>
      </w:r>
    </w:p>
    <w:p w14:paraId="70B6BCC2" w14:textId="77777777" w:rsidR="00461F32" w:rsidRPr="00581626" w:rsidRDefault="00461F32" w:rsidP="006C2D3A">
      <w:pPr>
        <w:pStyle w:val="EndNoteBibliography"/>
        <w:spacing w:after="0" w:line="360" w:lineRule="auto"/>
      </w:pPr>
      <w:r w:rsidRPr="00581626">
        <w:t>9.</w:t>
      </w:r>
      <w:r w:rsidRPr="00581626">
        <w:tab/>
        <w:t>Ladhani S, Pebody RG, Ramsay ME, Lamagni TL, Johnson AP, Sharland M. Continuing impact of infectious diseases on childhood deaths in England and Wales, 2003-2005. The Pediatric infectious disease journal. 2010;29(4):310-3.</w:t>
      </w:r>
    </w:p>
    <w:p w14:paraId="2D745CBC" w14:textId="77777777" w:rsidR="00461F32" w:rsidRPr="00581626" w:rsidRDefault="00461F32" w:rsidP="006C2D3A">
      <w:pPr>
        <w:pStyle w:val="EndNoteBibliography"/>
        <w:spacing w:line="360" w:lineRule="auto"/>
      </w:pPr>
      <w:r w:rsidRPr="00581626">
        <w:t>10.</w:t>
      </w:r>
      <w:r w:rsidRPr="00581626">
        <w:tab/>
        <w:t>Viner RM, Booy R, Johnson H, Edmunds WJ, Hudson L, Bedford H, et al. Outcomes of invasive meningococcal serogroup B disease in children and adolescents (MOSAIC): a case-control study. The Lancet Neurology. 2012;11(9):774-83.</w:t>
      </w:r>
    </w:p>
    <w:p w14:paraId="24DC4496" w14:textId="3D44DDFA" w:rsidR="00A33E7B" w:rsidRDefault="00461F32" w:rsidP="002D60D3">
      <w:pPr>
        <w:spacing w:line="360" w:lineRule="auto"/>
      </w:pPr>
      <w:r>
        <w:fldChar w:fldCharType="end"/>
      </w:r>
    </w:p>
    <w:p w14:paraId="73337D4A" w14:textId="5DBD2F1A" w:rsidR="00461F32" w:rsidRDefault="00A33E7B" w:rsidP="009F7D0E">
      <w:pPr>
        <w:spacing w:line="480" w:lineRule="auto"/>
        <w:rPr>
          <w:noProof/>
          <w:lang w:eastAsia="en-GB"/>
        </w:rPr>
      </w:pPr>
      <w:r w:rsidRPr="0032279C">
        <w:rPr>
          <w:b/>
          <w:bCs/>
          <w:noProof/>
          <w:lang w:eastAsia="en-GB"/>
        </w:rPr>
        <w:lastRenderedPageBreak/>
        <w:t>Figure 1</w:t>
      </w:r>
      <w:r w:rsidR="00DB399C" w:rsidRPr="0032279C">
        <w:rPr>
          <w:b/>
          <w:bCs/>
          <w:noProof/>
          <w:lang w:eastAsia="en-GB"/>
        </w:rPr>
        <w:t>.</w:t>
      </w:r>
      <w:r w:rsidR="00DB399C">
        <w:rPr>
          <w:noProof/>
          <w:lang w:eastAsia="en-GB"/>
        </w:rPr>
        <w:t xml:space="preserve"> Number of cases of laboratory-confirmed invasive meningococcal disease (IMD) by calendar year and capsular group in England, 2008-2015</w:t>
      </w:r>
    </w:p>
    <w:p w14:paraId="3DC4CE2A" w14:textId="10218544" w:rsidR="00DB399C" w:rsidRDefault="00DB399C" w:rsidP="009F7D0E">
      <w:pPr>
        <w:spacing w:line="480" w:lineRule="auto"/>
        <w:rPr>
          <w:i/>
          <w:iCs/>
          <w:noProof/>
          <w:lang w:eastAsia="en-GB"/>
        </w:rPr>
      </w:pPr>
      <w:r w:rsidRPr="00DB399C">
        <w:rPr>
          <w:i/>
          <w:iCs/>
          <w:noProof/>
          <w:lang w:eastAsia="en-GB"/>
        </w:rPr>
        <w:t>NK=not known</w:t>
      </w:r>
    </w:p>
    <w:p w14:paraId="71023121" w14:textId="77777777" w:rsidR="004D7D88" w:rsidRPr="00DB399C" w:rsidRDefault="004D7D88" w:rsidP="009F7D0E">
      <w:pPr>
        <w:spacing w:line="480" w:lineRule="auto"/>
        <w:rPr>
          <w:i/>
          <w:iCs/>
          <w:noProof/>
          <w:lang w:eastAsia="en-GB"/>
        </w:rPr>
      </w:pPr>
    </w:p>
    <w:p w14:paraId="7BCEB7E9" w14:textId="631C1D74" w:rsidR="00A33E7B" w:rsidRDefault="00B77BE4" w:rsidP="009F7D0E">
      <w:pPr>
        <w:spacing w:line="480" w:lineRule="auto"/>
        <w:rPr>
          <w:noProof/>
          <w:lang w:eastAsia="en-GB"/>
        </w:rPr>
      </w:pPr>
      <w:r>
        <w:rPr>
          <w:noProof/>
        </w:rPr>
        <w:drawing>
          <wp:inline distT="0" distB="0" distL="0" distR="0" wp14:anchorId="48A2DE3B" wp14:editId="2B345746">
            <wp:extent cx="5226050" cy="3313113"/>
            <wp:effectExtent l="0" t="0" r="6350" b="14605"/>
            <wp:docPr id="1" name="Chart 1">
              <a:extLst xmlns:a="http://schemas.openxmlformats.org/drawingml/2006/main">
                <a:ext uri="{FF2B5EF4-FFF2-40B4-BE49-F238E27FC236}">
                  <a16:creationId xmlns:a16="http://schemas.microsoft.com/office/drawing/2014/main" id="{6E04734F-FCE4-46DB-A92A-6ED1245132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F3F3E4" w14:textId="009536D5" w:rsidR="00B77BE4" w:rsidRDefault="00B77BE4">
      <w:pPr>
        <w:spacing w:line="276" w:lineRule="auto"/>
        <w:rPr>
          <w:noProof/>
          <w:lang w:eastAsia="en-GB"/>
        </w:rPr>
      </w:pPr>
      <w:r>
        <w:rPr>
          <w:noProof/>
          <w:lang w:eastAsia="en-GB"/>
        </w:rPr>
        <w:br w:type="page"/>
      </w:r>
    </w:p>
    <w:p w14:paraId="77653DE7" w14:textId="180FF44E" w:rsidR="00A33E7B" w:rsidRDefault="00DB399C" w:rsidP="009F7D0E">
      <w:pPr>
        <w:spacing w:line="480" w:lineRule="auto"/>
        <w:rPr>
          <w:noProof/>
          <w:lang w:eastAsia="en-GB"/>
        </w:rPr>
      </w:pPr>
      <w:r w:rsidRPr="003107DB">
        <w:rPr>
          <w:b/>
          <w:bCs/>
          <w:noProof/>
          <w:lang w:eastAsia="en-GB"/>
        </w:rPr>
        <w:lastRenderedPageBreak/>
        <w:t>Figure 2.</w:t>
      </w:r>
      <w:r>
        <w:rPr>
          <w:noProof/>
          <w:lang w:eastAsia="en-GB"/>
        </w:rPr>
        <w:t xml:space="preserve"> </w:t>
      </w:r>
      <w:r w:rsidR="004D7D88">
        <w:rPr>
          <w:noProof/>
          <w:lang w:eastAsia="en-GB"/>
        </w:rPr>
        <w:t>Number of cases of laboratory-confirmed invasive meningococcal disease (IMD) by age group with outcomes and case fatality ratest (CFR) at 1 day, 30 days, 180 days and any time after IMD diagnosis in England, 2008-2015</w:t>
      </w:r>
    </w:p>
    <w:p w14:paraId="7C1B0658" w14:textId="77777777" w:rsidR="004D7D88" w:rsidRDefault="004D7D88" w:rsidP="009F7D0E">
      <w:pPr>
        <w:spacing w:line="480" w:lineRule="auto"/>
        <w:rPr>
          <w:noProof/>
          <w:lang w:eastAsia="en-GB"/>
        </w:rPr>
      </w:pPr>
    </w:p>
    <w:p w14:paraId="621F9656" w14:textId="4D3FB0DD" w:rsidR="00A33E7B" w:rsidRDefault="00B77BE4" w:rsidP="009F7D0E">
      <w:pPr>
        <w:spacing w:line="480" w:lineRule="auto"/>
        <w:rPr>
          <w:noProof/>
          <w:lang w:eastAsia="en-GB"/>
        </w:rPr>
      </w:pPr>
      <w:r>
        <w:rPr>
          <w:noProof/>
        </w:rPr>
        <w:drawing>
          <wp:inline distT="0" distB="0" distL="0" distR="0" wp14:anchorId="1F70E428" wp14:editId="62E514CA">
            <wp:extent cx="5731510" cy="4621877"/>
            <wp:effectExtent l="0" t="0" r="8890" b="13970"/>
            <wp:docPr id="4" name="Chart 4">
              <a:extLst xmlns:a="http://schemas.openxmlformats.org/drawingml/2006/main">
                <a:ext uri="{FF2B5EF4-FFF2-40B4-BE49-F238E27FC236}">
                  <a16:creationId xmlns:a16="http://schemas.microsoft.com/office/drawing/2014/main" id="{0E1E5B34-C601-614F-9C56-AD2BFF15E1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47FC14" w14:textId="6EFC0B04" w:rsidR="00A33E7B" w:rsidRDefault="00A33E7B" w:rsidP="009F7D0E">
      <w:pPr>
        <w:spacing w:line="480" w:lineRule="auto"/>
        <w:rPr>
          <w:noProof/>
          <w:lang w:eastAsia="en-GB"/>
        </w:rPr>
      </w:pPr>
    </w:p>
    <w:p w14:paraId="547B790F" w14:textId="33FC3EA5" w:rsidR="006F28E4" w:rsidRDefault="006F28E4" w:rsidP="009F7D0E">
      <w:pPr>
        <w:spacing w:line="480" w:lineRule="auto"/>
        <w:rPr>
          <w:noProof/>
          <w:lang w:eastAsia="en-GB"/>
        </w:rPr>
        <w:sectPr w:rsidR="006F28E4" w:rsidSect="003C249F">
          <w:footerReference w:type="default" r:id="rId12"/>
          <w:pgSz w:w="11906" w:h="16838"/>
          <w:pgMar w:top="1440" w:right="1440" w:bottom="1440" w:left="1440" w:header="426" w:footer="0" w:gutter="0"/>
          <w:lnNumType w:countBy="1" w:restart="continuous"/>
          <w:cols w:space="708"/>
          <w:docGrid w:linePitch="360"/>
        </w:sectPr>
      </w:pPr>
    </w:p>
    <w:tbl>
      <w:tblPr>
        <w:tblStyle w:val="TableGrid"/>
        <w:tblpPr w:leftFromText="180" w:rightFromText="180" w:vertAnchor="text" w:horzAnchor="margin" w:tblpY="101"/>
        <w:tblW w:w="14678" w:type="dxa"/>
        <w:tblLook w:val="04A0" w:firstRow="1" w:lastRow="0" w:firstColumn="1" w:lastColumn="0" w:noHBand="0" w:noVBand="1"/>
      </w:tblPr>
      <w:tblGrid>
        <w:gridCol w:w="995"/>
        <w:gridCol w:w="4385"/>
        <w:gridCol w:w="1275"/>
        <w:gridCol w:w="1261"/>
        <w:gridCol w:w="1327"/>
        <w:gridCol w:w="1327"/>
        <w:gridCol w:w="1327"/>
        <w:gridCol w:w="1327"/>
        <w:gridCol w:w="1454"/>
      </w:tblGrid>
      <w:tr w:rsidR="000F5D43" w:rsidRPr="009125D2" w14:paraId="5F626C7E" w14:textId="77777777" w:rsidTr="000F5D43">
        <w:trPr>
          <w:trHeight w:val="300"/>
        </w:trPr>
        <w:tc>
          <w:tcPr>
            <w:tcW w:w="995" w:type="dxa"/>
            <w:shd w:val="clear" w:color="auto" w:fill="D9D9D9" w:themeFill="background1" w:themeFillShade="D9"/>
            <w:vAlign w:val="center"/>
            <w:hideMark/>
          </w:tcPr>
          <w:p w14:paraId="34A5303B" w14:textId="77777777" w:rsidR="000F5D43" w:rsidRPr="00576EFD" w:rsidRDefault="000F5D43" w:rsidP="000F5D43">
            <w:pPr>
              <w:rPr>
                <w:b/>
                <w:bCs/>
                <w:sz w:val="14"/>
              </w:rPr>
            </w:pPr>
            <w:r w:rsidRPr="00576EFD">
              <w:rPr>
                <w:b/>
                <w:bCs/>
                <w:sz w:val="14"/>
              </w:rPr>
              <w:lastRenderedPageBreak/>
              <w:t>Age</w:t>
            </w:r>
          </w:p>
        </w:tc>
        <w:tc>
          <w:tcPr>
            <w:tcW w:w="4385" w:type="dxa"/>
            <w:shd w:val="clear" w:color="auto" w:fill="D9D9D9" w:themeFill="background1" w:themeFillShade="D9"/>
          </w:tcPr>
          <w:p w14:paraId="403818BB" w14:textId="77777777" w:rsidR="000F5D43" w:rsidRPr="009125D2" w:rsidRDefault="000F5D43" w:rsidP="000F5D43">
            <w:pPr>
              <w:rPr>
                <w:b/>
                <w:bCs/>
                <w:sz w:val="14"/>
              </w:rPr>
            </w:pPr>
          </w:p>
        </w:tc>
        <w:tc>
          <w:tcPr>
            <w:tcW w:w="1275" w:type="dxa"/>
            <w:shd w:val="clear" w:color="auto" w:fill="D9D9D9" w:themeFill="background1" w:themeFillShade="D9"/>
            <w:vAlign w:val="center"/>
            <w:hideMark/>
          </w:tcPr>
          <w:p w14:paraId="43199AD8" w14:textId="77777777" w:rsidR="000F5D43" w:rsidRPr="009125D2" w:rsidRDefault="000F5D43" w:rsidP="000F5D43">
            <w:pPr>
              <w:rPr>
                <w:b/>
                <w:bCs/>
                <w:sz w:val="14"/>
              </w:rPr>
            </w:pPr>
            <w:r w:rsidRPr="009125D2">
              <w:rPr>
                <w:b/>
                <w:bCs/>
                <w:sz w:val="14"/>
              </w:rPr>
              <w:t>1 day</w:t>
            </w:r>
          </w:p>
        </w:tc>
        <w:tc>
          <w:tcPr>
            <w:tcW w:w="1261" w:type="dxa"/>
            <w:shd w:val="clear" w:color="auto" w:fill="D9D9D9" w:themeFill="background1" w:themeFillShade="D9"/>
            <w:vAlign w:val="center"/>
            <w:hideMark/>
          </w:tcPr>
          <w:p w14:paraId="4856334D" w14:textId="77777777" w:rsidR="000F5D43" w:rsidRPr="00613C59" w:rsidRDefault="000F5D43" w:rsidP="000F5D43">
            <w:pPr>
              <w:rPr>
                <w:b/>
                <w:bCs/>
                <w:color w:val="000000" w:themeColor="text1"/>
                <w:sz w:val="14"/>
              </w:rPr>
            </w:pPr>
            <w:r w:rsidRPr="00613C59">
              <w:rPr>
                <w:b/>
                <w:bCs/>
                <w:color w:val="000000" w:themeColor="text1"/>
                <w:sz w:val="14"/>
              </w:rPr>
              <w:t>7 days</w:t>
            </w:r>
          </w:p>
        </w:tc>
        <w:tc>
          <w:tcPr>
            <w:tcW w:w="1327" w:type="dxa"/>
            <w:shd w:val="clear" w:color="auto" w:fill="D9D9D9" w:themeFill="background1" w:themeFillShade="D9"/>
            <w:vAlign w:val="center"/>
            <w:hideMark/>
          </w:tcPr>
          <w:p w14:paraId="2DFADADA" w14:textId="77777777" w:rsidR="000F5D43" w:rsidRPr="009125D2" w:rsidRDefault="000F5D43" w:rsidP="000F5D43">
            <w:pPr>
              <w:rPr>
                <w:b/>
                <w:bCs/>
                <w:sz w:val="14"/>
              </w:rPr>
            </w:pPr>
            <w:r w:rsidRPr="009125D2">
              <w:rPr>
                <w:b/>
                <w:bCs/>
                <w:sz w:val="14"/>
              </w:rPr>
              <w:t>14 days</w:t>
            </w:r>
          </w:p>
        </w:tc>
        <w:tc>
          <w:tcPr>
            <w:tcW w:w="1327" w:type="dxa"/>
            <w:tcBorders>
              <w:bottom w:val="single" w:sz="4" w:space="0" w:color="auto"/>
            </w:tcBorders>
            <w:shd w:val="clear" w:color="auto" w:fill="D9D9D9" w:themeFill="background1" w:themeFillShade="D9"/>
            <w:vAlign w:val="center"/>
            <w:hideMark/>
          </w:tcPr>
          <w:p w14:paraId="0BAABAC9" w14:textId="77777777" w:rsidR="000F5D43" w:rsidRPr="009125D2" w:rsidRDefault="000F5D43" w:rsidP="000F5D43">
            <w:pPr>
              <w:rPr>
                <w:b/>
                <w:bCs/>
                <w:sz w:val="14"/>
              </w:rPr>
            </w:pPr>
            <w:r w:rsidRPr="009125D2">
              <w:rPr>
                <w:b/>
                <w:bCs/>
                <w:sz w:val="14"/>
              </w:rPr>
              <w:t>30 days</w:t>
            </w:r>
          </w:p>
        </w:tc>
        <w:tc>
          <w:tcPr>
            <w:tcW w:w="1327" w:type="dxa"/>
            <w:shd w:val="clear" w:color="auto" w:fill="D9D9D9" w:themeFill="background1" w:themeFillShade="D9"/>
            <w:vAlign w:val="center"/>
            <w:hideMark/>
          </w:tcPr>
          <w:p w14:paraId="2FCC5F7A" w14:textId="77777777" w:rsidR="000F5D43" w:rsidRPr="009125D2" w:rsidRDefault="000F5D43" w:rsidP="000F5D43">
            <w:pPr>
              <w:rPr>
                <w:b/>
                <w:bCs/>
                <w:sz w:val="14"/>
              </w:rPr>
            </w:pPr>
            <w:r w:rsidRPr="009125D2">
              <w:rPr>
                <w:b/>
                <w:bCs/>
                <w:sz w:val="14"/>
              </w:rPr>
              <w:t>90 days</w:t>
            </w:r>
          </w:p>
        </w:tc>
        <w:tc>
          <w:tcPr>
            <w:tcW w:w="1327" w:type="dxa"/>
            <w:shd w:val="clear" w:color="auto" w:fill="D9D9D9" w:themeFill="background1" w:themeFillShade="D9"/>
            <w:vAlign w:val="center"/>
            <w:hideMark/>
          </w:tcPr>
          <w:p w14:paraId="4E779679" w14:textId="77777777" w:rsidR="000F5D43" w:rsidRPr="009125D2" w:rsidRDefault="000F5D43" w:rsidP="000F5D43">
            <w:pPr>
              <w:rPr>
                <w:b/>
                <w:bCs/>
                <w:sz w:val="14"/>
              </w:rPr>
            </w:pPr>
            <w:r w:rsidRPr="009125D2">
              <w:rPr>
                <w:b/>
                <w:bCs/>
                <w:sz w:val="14"/>
              </w:rPr>
              <w:t>180 days</w:t>
            </w:r>
          </w:p>
        </w:tc>
        <w:tc>
          <w:tcPr>
            <w:tcW w:w="1454" w:type="dxa"/>
            <w:tcBorders>
              <w:bottom w:val="single" w:sz="4" w:space="0" w:color="auto"/>
            </w:tcBorders>
            <w:shd w:val="clear" w:color="auto" w:fill="D9D9D9" w:themeFill="background1" w:themeFillShade="D9"/>
            <w:vAlign w:val="center"/>
            <w:hideMark/>
          </w:tcPr>
          <w:p w14:paraId="5CD480EA" w14:textId="77777777" w:rsidR="000F5D43" w:rsidRPr="009125D2" w:rsidRDefault="000F5D43" w:rsidP="000F5D43">
            <w:pPr>
              <w:rPr>
                <w:b/>
                <w:bCs/>
                <w:sz w:val="14"/>
              </w:rPr>
            </w:pPr>
            <w:r w:rsidRPr="009125D2">
              <w:rPr>
                <w:b/>
                <w:bCs/>
                <w:sz w:val="14"/>
              </w:rPr>
              <w:t>Death at any time</w:t>
            </w:r>
          </w:p>
        </w:tc>
      </w:tr>
      <w:tr w:rsidR="000F5D43" w:rsidRPr="009125D2" w14:paraId="6C25F8DB" w14:textId="77777777" w:rsidTr="000F5D43">
        <w:trPr>
          <w:trHeight w:val="824"/>
        </w:trPr>
        <w:tc>
          <w:tcPr>
            <w:tcW w:w="995" w:type="dxa"/>
            <w:noWrap/>
            <w:vAlign w:val="center"/>
            <w:hideMark/>
          </w:tcPr>
          <w:p w14:paraId="5DE915A8" w14:textId="77777777" w:rsidR="000F5D43" w:rsidRPr="00576EFD" w:rsidRDefault="000F5D43" w:rsidP="000F5D43">
            <w:pPr>
              <w:rPr>
                <w:b/>
                <w:sz w:val="14"/>
              </w:rPr>
            </w:pPr>
            <w:r w:rsidRPr="00576EFD">
              <w:rPr>
                <w:b/>
                <w:sz w:val="14"/>
              </w:rPr>
              <w:t>&lt;1y</w:t>
            </w:r>
          </w:p>
          <w:p w14:paraId="51F0BFD9" w14:textId="77777777" w:rsidR="000F5D43" w:rsidRPr="00576EFD" w:rsidRDefault="000F5D43" w:rsidP="000F5D43">
            <w:pPr>
              <w:rPr>
                <w:b/>
                <w:sz w:val="14"/>
              </w:rPr>
            </w:pPr>
          </w:p>
          <w:p w14:paraId="1BFCBE4D" w14:textId="77777777" w:rsidR="000F5D43" w:rsidRPr="00576EFD" w:rsidRDefault="000F5D43" w:rsidP="000F5D43">
            <w:pPr>
              <w:rPr>
                <w:b/>
                <w:sz w:val="14"/>
              </w:rPr>
            </w:pPr>
            <w:r w:rsidRPr="00576EFD">
              <w:rPr>
                <w:b/>
                <w:sz w:val="14"/>
              </w:rPr>
              <w:t>N=1501</w:t>
            </w:r>
          </w:p>
        </w:tc>
        <w:tc>
          <w:tcPr>
            <w:tcW w:w="4385" w:type="dxa"/>
          </w:tcPr>
          <w:p w14:paraId="4A1D5AFA" w14:textId="77777777" w:rsidR="000F5D43" w:rsidRDefault="000F5D43" w:rsidP="000F5D43">
            <w:pPr>
              <w:rPr>
                <w:i/>
                <w:sz w:val="14"/>
              </w:rPr>
            </w:pPr>
            <w:r w:rsidRPr="009125D2">
              <w:rPr>
                <w:i/>
                <w:sz w:val="14"/>
              </w:rPr>
              <w:t>W</w:t>
            </w:r>
            <w:r>
              <w:rPr>
                <w:i/>
                <w:sz w:val="14"/>
              </w:rPr>
              <w:t>eekly-ONS (% of Weekly-ONS deaths in this age-group)</w:t>
            </w:r>
          </w:p>
          <w:p w14:paraId="6337FBD7" w14:textId="77777777" w:rsidR="000F5D43" w:rsidRDefault="000F5D43" w:rsidP="000F5D43">
            <w:pPr>
              <w:rPr>
                <w:i/>
                <w:sz w:val="14"/>
              </w:rPr>
            </w:pPr>
            <w:r>
              <w:rPr>
                <w:i/>
                <w:sz w:val="14"/>
              </w:rPr>
              <w:t>Annual ONS (% of all Annual-ONS deaths in this age-group)</w:t>
            </w:r>
          </w:p>
          <w:p w14:paraId="75C54AD5" w14:textId="77777777" w:rsidR="000F5D43" w:rsidRDefault="000F5D43" w:rsidP="000F5D43">
            <w:pPr>
              <w:rPr>
                <w:i/>
                <w:sz w:val="14"/>
              </w:rPr>
            </w:pPr>
            <w:r>
              <w:rPr>
                <w:i/>
                <w:sz w:val="14"/>
              </w:rPr>
              <w:t>IMD-related deaths (% of all IMD-related deaths in this age-group)</w:t>
            </w:r>
          </w:p>
          <w:p w14:paraId="2CD4C484" w14:textId="77777777" w:rsidR="000F5D43" w:rsidRPr="009125D2" w:rsidRDefault="000F5D43" w:rsidP="000F5D43">
            <w:pPr>
              <w:rPr>
                <w:i/>
                <w:sz w:val="14"/>
              </w:rPr>
            </w:pPr>
            <w:r>
              <w:rPr>
                <w:i/>
                <w:sz w:val="14"/>
              </w:rPr>
              <w:t>Overall CFR / IMD-related CFR in this age-group</w:t>
            </w:r>
          </w:p>
        </w:tc>
        <w:tc>
          <w:tcPr>
            <w:tcW w:w="1275" w:type="dxa"/>
            <w:vAlign w:val="center"/>
            <w:hideMark/>
          </w:tcPr>
          <w:p w14:paraId="7983CE99" w14:textId="77777777" w:rsidR="000F5D43" w:rsidRPr="009B367F" w:rsidRDefault="000F5D43" w:rsidP="000F5D43">
            <w:pPr>
              <w:rPr>
                <w:iCs/>
                <w:sz w:val="14"/>
              </w:rPr>
            </w:pPr>
            <w:r w:rsidRPr="009B367F">
              <w:rPr>
                <w:iCs/>
                <w:sz w:val="14"/>
              </w:rPr>
              <w:t>63/69 (</w:t>
            </w:r>
            <w:r>
              <w:rPr>
                <w:iCs/>
                <w:sz w:val="14"/>
              </w:rPr>
              <w:t>91.3%)</w:t>
            </w:r>
          </w:p>
          <w:p w14:paraId="5099AAD5" w14:textId="77777777" w:rsidR="000F5D43" w:rsidRDefault="000F5D43" w:rsidP="000F5D43">
            <w:pPr>
              <w:rPr>
                <w:sz w:val="14"/>
              </w:rPr>
            </w:pPr>
            <w:r w:rsidRPr="009125D2">
              <w:rPr>
                <w:sz w:val="14"/>
              </w:rPr>
              <w:t>68</w:t>
            </w:r>
            <w:r>
              <w:rPr>
                <w:sz w:val="14"/>
              </w:rPr>
              <w:t>/76</w:t>
            </w:r>
            <w:r w:rsidRPr="009125D2">
              <w:rPr>
                <w:sz w:val="14"/>
              </w:rPr>
              <w:t xml:space="preserve"> (89</w:t>
            </w:r>
            <w:r>
              <w:rPr>
                <w:sz w:val="14"/>
              </w:rPr>
              <w:t>.5</w:t>
            </w:r>
            <w:r w:rsidRPr="009125D2">
              <w:rPr>
                <w:sz w:val="14"/>
              </w:rPr>
              <w:t>%)</w:t>
            </w:r>
          </w:p>
          <w:p w14:paraId="323B92E8" w14:textId="77777777" w:rsidR="000F5D43" w:rsidRDefault="000F5D43" w:rsidP="000F5D43">
            <w:pPr>
              <w:rPr>
                <w:sz w:val="14"/>
              </w:rPr>
            </w:pPr>
            <w:r w:rsidRPr="009125D2">
              <w:rPr>
                <w:sz w:val="14"/>
              </w:rPr>
              <w:t>68</w:t>
            </w:r>
            <w:r>
              <w:rPr>
                <w:sz w:val="14"/>
              </w:rPr>
              <w:t>/74</w:t>
            </w:r>
            <w:r w:rsidRPr="009125D2">
              <w:rPr>
                <w:sz w:val="14"/>
              </w:rPr>
              <w:t xml:space="preserve"> (</w:t>
            </w:r>
            <w:r>
              <w:rPr>
                <w:sz w:val="14"/>
              </w:rPr>
              <w:t>91.9</w:t>
            </w:r>
            <w:r w:rsidRPr="009125D2">
              <w:rPr>
                <w:sz w:val="14"/>
              </w:rPr>
              <w:t>%)</w:t>
            </w:r>
          </w:p>
          <w:p w14:paraId="327FACD8" w14:textId="77777777" w:rsidR="000F5D43" w:rsidRPr="009125D2" w:rsidRDefault="000F5D43" w:rsidP="000F5D43">
            <w:pPr>
              <w:rPr>
                <w:sz w:val="14"/>
              </w:rPr>
            </w:pPr>
            <w:r w:rsidRPr="009125D2">
              <w:rPr>
                <w:sz w:val="14"/>
              </w:rPr>
              <w:t>4.5%</w:t>
            </w:r>
            <w:r>
              <w:rPr>
                <w:sz w:val="14"/>
              </w:rPr>
              <w:t xml:space="preserve"> / 4.5%</w:t>
            </w:r>
          </w:p>
        </w:tc>
        <w:tc>
          <w:tcPr>
            <w:tcW w:w="1261" w:type="dxa"/>
            <w:vAlign w:val="center"/>
            <w:hideMark/>
          </w:tcPr>
          <w:p w14:paraId="671696C9" w14:textId="77777777" w:rsidR="000F5D43" w:rsidRPr="00613C59" w:rsidRDefault="000F5D43" w:rsidP="000F5D43">
            <w:pPr>
              <w:rPr>
                <w:color w:val="000000" w:themeColor="text1"/>
                <w:sz w:val="14"/>
              </w:rPr>
            </w:pPr>
            <w:r w:rsidRPr="00613C59">
              <w:rPr>
                <w:color w:val="000000" w:themeColor="text1"/>
                <w:sz w:val="14"/>
              </w:rPr>
              <w:t>67/69 (97.1%)</w:t>
            </w:r>
          </w:p>
          <w:p w14:paraId="68A37F53" w14:textId="77777777" w:rsidR="000F5D43" w:rsidRPr="00613C59" w:rsidRDefault="000F5D43" w:rsidP="000F5D43">
            <w:pPr>
              <w:rPr>
                <w:color w:val="000000" w:themeColor="text1"/>
                <w:sz w:val="14"/>
              </w:rPr>
            </w:pPr>
            <w:r w:rsidRPr="00613C59">
              <w:rPr>
                <w:color w:val="000000" w:themeColor="text1"/>
                <w:sz w:val="14"/>
              </w:rPr>
              <w:t>72/76 (94.7%)</w:t>
            </w:r>
          </w:p>
          <w:p w14:paraId="635878FA" w14:textId="77777777" w:rsidR="000F5D43" w:rsidRPr="00613C59" w:rsidRDefault="000F5D43" w:rsidP="000F5D43">
            <w:pPr>
              <w:rPr>
                <w:color w:val="000000" w:themeColor="text1"/>
                <w:sz w:val="14"/>
              </w:rPr>
            </w:pPr>
            <w:r w:rsidRPr="00613C59">
              <w:rPr>
                <w:color w:val="000000" w:themeColor="text1"/>
                <w:sz w:val="14"/>
              </w:rPr>
              <w:t>72/74 (97.3%)</w:t>
            </w:r>
          </w:p>
          <w:p w14:paraId="54260941" w14:textId="77777777" w:rsidR="000F5D43" w:rsidRPr="00613C59" w:rsidRDefault="000F5D43" w:rsidP="000F5D43">
            <w:pPr>
              <w:rPr>
                <w:color w:val="000000" w:themeColor="text1"/>
                <w:sz w:val="14"/>
              </w:rPr>
            </w:pPr>
            <w:r w:rsidRPr="00613C59">
              <w:rPr>
                <w:color w:val="000000" w:themeColor="text1"/>
                <w:sz w:val="14"/>
              </w:rPr>
              <w:t>4.8% / 4.8%</w:t>
            </w:r>
          </w:p>
        </w:tc>
        <w:tc>
          <w:tcPr>
            <w:tcW w:w="1327" w:type="dxa"/>
            <w:vAlign w:val="center"/>
            <w:hideMark/>
          </w:tcPr>
          <w:p w14:paraId="523DD4CF" w14:textId="77777777" w:rsidR="000F5D43" w:rsidRPr="009125D2" w:rsidRDefault="000F5D43" w:rsidP="000F5D43">
            <w:pPr>
              <w:rPr>
                <w:sz w:val="14"/>
              </w:rPr>
            </w:pPr>
            <w:r w:rsidRPr="009125D2">
              <w:rPr>
                <w:sz w:val="14"/>
              </w:rPr>
              <w:t>69</w:t>
            </w:r>
          </w:p>
          <w:p w14:paraId="2919ED01" w14:textId="77777777" w:rsidR="000F5D43" w:rsidRDefault="000F5D43" w:rsidP="000F5D43">
            <w:pPr>
              <w:rPr>
                <w:sz w:val="14"/>
              </w:rPr>
            </w:pPr>
            <w:r w:rsidRPr="009125D2">
              <w:rPr>
                <w:sz w:val="14"/>
              </w:rPr>
              <w:t>74</w:t>
            </w:r>
            <w:r>
              <w:rPr>
                <w:sz w:val="14"/>
              </w:rPr>
              <w:t>/76</w:t>
            </w:r>
            <w:r w:rsidRPr="009125D2">
              <w:rPr>
                <w:sz w:val="14"/>
              </w:rPr>
              <w:t xml:space="preserve"> (97</w:t>
            </w:r>
            <w:r>
              <w:rPr>
                <w:sz w:val="14"/>
              </w:rPr>
              <w:t>.4</w:t>
            </w:r>
            <w:r w:rsidRPr="009125D2">
              <w:rPr>
                <w:sz w:val="14"/>
              </w:rPr>
              <w:t>%)</w:t>
            </w:r>
          </w:p>
          <w:p w14:paraId="62A6171A" w14:textId="77777777" w:rsidR="000F5D43" w:rsidRDefault="000F5D43" w:rsidP="000F5D43">
            <w:pPr>
              <w:rPr>
                <w:sz w:val="14"/>
              </w:rPr>
            </w:pPr>
            <w:r w:rsidRPr="009125D2">
              <w:rPr>
                <w:sz w:val="14"/>
              </w:rPr>
              <w:t>7</w:t>
            </w:r>
            <w:r>
              <w:rPr>
                <w:sz w:val="14"/>
              </w:rPr>
              <w:t>4</w:t>
            </w:r>
          </w:p>
          <w:p w14:paraId="18D13530" w14:textId="77777777" w:rsidR="000F5D43" w:rsidRPr="009125D2" w:rsidRDefault="000F5D43" w:rsidP="000F5D43">
            <w:pPr>
              <w:rPr>
                <w:sz w:val="14"/>
              </w:rPr>
            </w:pPr>
            <w:r w:rsidRPr="009125D2">
              <w:rPr>
                <w:sz w:val="14"/>
              </w:rPr>
              <w:t>4.9%</w:t>
            </w:r>
            <w:r>
              <w:rPr>
                <w:sz w:val="14"/>
              </w:rPr>
              <w:t xml:space="preserve"> / 4.9%</w:t>
            </w:r>
          </w:p>
        </w:tc>
        <w:tc>
          <w:tcPr>
            <w:tcW w:w="1327" w:type="dxa"/>
            <w:shd w:val="clear" w:color="auto" w:fill="D9D9D9" w:themeFill="background1" w:themeFillShade="D9"/>
            <w:vAlign w:val="center"/>
            <w:hideMark/>
          </w:tcPr>
          <w:p w14:paraId="2CF225C4" w14:textId="77777777" w:rsidR="000F5D43" w:rsidRPr="009125D2" w:rsidRDefault="000F5D43" w:rsidP="000F5D43">
            <w:pPr>
              <w:rPr>
                <w:sz w:val="14"/>
              </w:rPr>
            </w:pPr>
            <w:r w:rsidRPr="009125D2">
              <w:rPr>
                <w:sz w:val="14"/>
              </w:rPr>
              <w:t>69</w:t>
            </w:r>
          </w:p>
          <w:p w14:paraId="609F93F0" w14:textId="77777777" w:rsidR="000F5D43" w:rsidRDefault="000F5D43" w:rsidP="000F5D43">
            <w:pPr>
              <w:rPr>
                <w:sz w:val="14"/>
              </w:rPr>
            </w:pPr>
            <w:r w:rsidRPr="009125D2">
              <w:rPr>
                <w:sz w:val="14"/>
              </w:rPr>
              <w:t>74</w:t>
            </w:r>
            <w:r>
              <w:rPr>
                <w:sz w:val="14"/>
              </w:rPr>
              <w:t>/76</w:t>
            </w:r>
            <w:r w:rsidRPr="009125D2">
              <w:rPr>
                <w:sz w:val="14"/>
              </w:rPr>
              <w:t xml:space="preserve"> (97</w:t>
            </w:r>
            <w:r>
              <w:rPr>
                <w:sz w:val="14"/>
              </w:rPr>
              <w:t>.4</w:t>
            </w:r>
            <w:r w:rsidRPr="009125D2">
              <w:rPr>
                <w:sz w:val="14"/>
              </w:rPr>
              <w:t>%)</w:t>
            </w:r>
          </w:p>
          <w:p w14:paraId="64FB3FD1" w14:textId="77777777" w:rsidR="000F5D43" w:rsidRDefault="000F5D43" w:rsidP="000F5D43">
            <w:pPr>
              <w:rPr>
                <w:sz w:val="14"/>
              </w:rPr>
            </w:pPr>
            <w:r w:rsidRPr="009125D2">
              <w:rPr>
                <w:sz w:val="14"/>
              </w:rPr>
              <w:t>74</w:t>
            </w:r>
          </w:p>
          <w:p w14:paraId="15CC28C5" w14:textId="77777777" w:rsidR="000F5D43" w:rsidRPr="009125D2" w:rsidRDefault="000F5D43" w:rsidP="000F5D43">
            <w:pPr>
              <w:rPr>
                <w:sz w:val="14"/>
              </w:rPr>
            </w:pPr>
            <w:r w:rsidRPr="009125D2">
              <w:rPr>
                <w:sz w:val="14"/>
              </w:rPr>
              <w:t>4.9%</w:t>
            </w:r>
            <w:r>
              <w:rPr>
                <w:sz w:val="14"/>
              </w:rPr>
              <w:t xml:space="preserve"> / 4.9%</w:t>
            </w:r>
          </w:p>
        </w:tc>
        <w:tc>
          <w:tcPr>
            <w:tcW w:w="1327" w:type="dxa"/>
            <w:vAlign w:val="center"/>
            <w:hideMark/>
          </w:tcPr>
          <w:p w14:paraId="5444B9FF" w14:textId="77777777" w:rsidR="000F5D43" w:rsidRPr="009125D2" w:rsidRDefault="000F5D43" w:rsidP="000F5D43">
            <w:pPr>
              <w:rPr>
                <w:sz w:val="14"/>
              </w:rPr>
            </w:pPr>
            <w:r w:rsidRPr="009125D2">
              <w:rPr>
                <w:sz w:val="14"/>
              </w:rPr>
              <w:t>69</w:t>
            </w:r>
          </w:p>
          <w:p w14:paraId="6BA060D2" w14:textId="77777777" w:rsidR="000F5D43" w:rsidRDefault="000F5D43" w:rsidP="000F5D43">
            <w:pPr>
              <w:rPr>
                <w:sz w:val="14"/>
              </w:rPr>
            </w:pPr>
            <w:r w:rsidRPr="009125D2">
              <w:rPr>
                <w:sz w:val="14"/>
              </w:rPr>
              <w:t>74</w:t>
            </w:r>
            <w:r>
              <w:rPr>
                <w:sz w:val="14"/>
              </w:rPr>
              <w:t>/76</w:t>
            </w:r>
            <w:r w:rsidRPr="009125D2">
              <w:rPr>
                <w:sz w:val="14"/>
              </w:rPr>
              <w:t xml:space="preserve"> (97</w:t>
            </w:r>
            <w:r>
              <w:rPr>
                <w:sz w:val="14"/>
              </w:rPr>
              <w:t>.4</w:t>
            </w:r>
            <w:r w:rsidRPr="009125D2">
              <w:rPr>
                <w:sz w:val="14"/>
              </w:rPr>
              <w:t>%)</w:t>
            </w:r>
          </w:p>
          <w:p w14:paraId="02AF5BCB" w14:textId="77777777" w:rsidR="000F5D43" w:rsidRDefault="000F5D43" w:rsidP="000F5D43">
            <w:pPr>
              <w:rPr>
                <w:sz w:val="14"/>
              </w:rPr>
            </w:pPr>
            <w:r w:rsidRPr="009125D2">
              <w:rPr>
                <w:sz w:val="14"/>
              </w:rPr>
              <w:t>74</w:t>
            </w:r>
          </w:p>
          <w:p w14:paraId="1C6125D5" w14:textId="77777777" w:rsidR="000F5D43" w:rsidRPr="009125D2" w:rsidRDefault="000F5D43" w:rsidP="000F5D43">
            <w:pPr>
              <w:rPr>
                <w:sz w:val="14"/>
              </w:rPr>
            </w:pPr>
            <w:r w:rsidRPr="009125D2">
              <w:rPr>
                <w:sz w:val="14"/>
              </w:rPr>
              <w:t>4.9%</w:t>
            </w:r>
            <w:r>
              <w:rPr>
                <w:sz w:val="14"/>
              </w:rPr>
              <w:t xml:space="preserve"> / 4.9%</w:t>
            </w:r>
          </w:p>
        </w:tc>
        <w:tc>
          <w:tcPr>
            <w:tcW w:w="1327" w:type="dxa"/>
            <w:vAlign w:val="center"/>
            <w:hideMark/>
          </w:tcPr>
          <w:p w14:paraId="55F520DD" w14:textId="77777777" w:rsidR="000F5D43" w:rsidRPr="009125D2" w:rsidRDefault="000F5D43" w:rsidP="000F5D43">
            <w:pPr>
              <w:rPr>
                <w:sz w:val="14"/>
              </w:rPr>
            </w:pPr>
            <w:r w:rsidRPr="009125D2">
              <w:rPr>
                <w:sz w:val="14"/>
              </w:rPr>
              <w:t>69</w:t>
            </w:r>
          </w:p>
          <w:p w14:paraId="37FAAFE1" w14:textId="77777777" w:rsidR="000F5D43" w:rsidRDefault="000F5D43" w:rsidP="000F5D43">
            <w:pPr>
              <w:rPr>
                <w:sz w:val="14"/>
              </w:rPr>
            </w:pPr>
            <w:r w:rsidRPr="009125D2">
              <w:rPr>
                <w:sz w:val="14"/>
              </w:rPr>
              <w:t>75</w:t>
            </w:r>
            <w:r>
              <w:rPr>
                <w:sz w:val="14"/>
              </w:rPr>
              <w:t>/76</w:t>
            </w:r>
            <w:r w:rsidRPr="009125D2">
              <w:rPr>
                <w:sz w:val="14"/>
              </w:rPr>
              <w:t xml:space="preserve"> (9</w:t>
            </w:r>
            <w:r>
              <w:rPr>
                <w:sz w:val="14"/>
              </w:rPr>
              <w:t>8.7</w:t>
            </w:r>
            <w:r w:rsidRPr="009125D2">
              <w:rPr>
                <w:sz w:val="14"/>
              </w:rPr>
              <w:t>%)</w:t>
            </w:r>
          </w:p>
          <w:p w14:paraId="273A0C4D" w14:textId="77777777" w:rsidR="000F5D43" w:rsidRDefault="000F5D43" w:rsidP="000F5D43">
            <w:pPr>
              <w:rPr>
                <w:sz w:val="14"/>
              </w:rPr>
            </w:pPr>
            <w:r w:rsidRPr="009125D2">
              <w:rPr>
                <w:sz w:val="14"/>
              </w:rPr>
              <w:t>74</w:t>
            </w:r>
          </w:p>
          <w:p w14:paraId="78F6BD56" w14:textId="77777777" w:rsidR="000F5D43" w:rsidRPr="009125D2" w:rsidRDefault="000F5D43" w:rsidP="000F5D43">
            <w:pPr>
              <w:rPr>
                <w:sz w:val="14"/>
              </w:rPr>
            </w:pPr>
            <w:r>
              <w:rPr>
                <w:sz w:val="14"/>
              </w:rPr>
              <w:t xml:space="preserve">5.0% / </w:t>
            </w:r>
            <w:r w:rsidRPr="009125D2">
              <w:rPr>
                <w:sz w:val="14"/>
              </w:rPr>
              <w:t>4.9%</w:t>
            </w:r>
          </w:p>
        </w:tc>
        <w:tc>
          <w:tcPr>
            <w:tcW w:w="1454" w:type="dxa"/>
            <w:shd w:val="clear" w:color="auto" w:fill="D9D9D9" w:themeFill="background1" w:themeFillShade="D9"/>
            <w:vAlign w:val="center"/>
            <w:hideMark/>
          </w:tcPr>
          <w:p w14:paraId="2CCA8481" w14:textId="77777777" w:rsidR="000F5D43" w:rsidRPr="009125D2" w:rsidRDefault="000F5D43" w:rsidP="000F5D43">
            <w:pPr>
              <w:rPr>
                <w:sz w:val="14"/>
              </w:rPr>
            </w:pPr>
            <w:r w:rsidRPr="009125D2">
              <w:rPr>
                <w:sz w:val="14"/>
              </w:rPr>
              <w:t>69</w:t>
            </w:r>
          </w:p>
          <w:p w14:paraId="704A10DE" w14:textId="77777777" w:rsidR="000F5D43" w:rsidRDefault="000F5D43" w:rsidP="000F5D43">
            <w:pPr>
              <w:rPr>
                <w:sz w:val="14"/>
              </w:rPr>
            </w:pPr>
            <w:r w:rsidRPr="009125D2">
              <w:rPr>
                <w:sz w:val="14"/>
              </w:rPr>
              <w:t>76</w:t>
            </w:r>
          </w:p>
          <w:p w14:paraId="647603D7" w14:textId="77777777" w:rsidR="000F5D43" w:rsidRDefault="000F5D43" w:rsidP="000F5D43">
            <w:pPr>
              <w:rPr>
                <w:sz w:val="14"/>
              </w:rPr>
            </w:pPr>
            <w:r w:rsidRPr="009125D2">
              <w:rPr>
                <w:sz w:val="14"/>
              </w:rPr>
              <w:t xml:space="preserve">74 </w:t>
            </w:r>
          </w:p>
          <w:p w14:paraId="1E7E3E3A" w14:textId="77777777" w:rsidR="000F5D43" w:rsidRPr="009125D2" w:rsidRDefault="000F5D43" w:rsidP="000F5D43">
            <w:pPr>
              <w:rPr>
                <w:sz w:val="14"/>
              </w:rPr>
            </w:pPr>
            <w:r>
              <w:rPr>
                <w:sz w:val="14"/>
              </w:rPr>
              <w:t xml:space="preserve">5.1% / </w:t>
            </w:r>
            <w:r w:rsidRPr="009125D2">
              <w:rPr>
                <w:sz w:val="14"/>
              </w:rPr>
              <w:t>4.9%</w:t>
            </w:r>
          </w:p>
        </w:tc>
      </w:tr>
      <w:tr w:rsidR="000F5D43" w:rsidRPr="009125D2" w14:paraId="5390BD8C" w14:textId="77777777" w:rsidTr="000F5D43">
        <w:trPr>
          <w:trHeight w:val="824"/>
        </w:trPr>
        <w:tc>
          <w:tcPr>
            <w:tcW w:w="995" w:type="dxa"/>
            <w:noWrap/>
            <w:vAlign w:val="center"/>
            <w:hideMark/>
          </w:tcPr>
          <w:p w14:paraId="07C8D5D5" w14:textId="77777777" w:rsidR="000F5D43" w:rsidRPr="00576EFD" w:rsidRDefault="000F5D43" w:rsidP="000F5D43">
            <w:pPr>
              <w:rPr>
                <w:b/>
                <w:sz w:val="14"/>
              </w:rPr>
            </w:pPr>
            <w:r w:rsidRPr="00576EFD">
              <w:rPr>
                <w:b/>
                <w:sz w:val="14"/>
              </w:rPr>
              <w:t>1-4y</w:t>
            </w:r>
          </w:p>
          <w:p w14:paraId="3EC011FD" w14:textId="77777777" w:rsidR="000F5D43" w:rsidRPr="00576EFD" w:rsidRDefault="000F5D43" w:rsidP="000F5D43">
            <w:pPr>
              <w:rPr>
                <w:b/>
                <w:sz w:val="14"/>
              </w:rPr>
            </w:pPr>
            <w:r w:rsidRPr="00576EFD">
              <w:rPr>
                <w:b/>
                <w:sz w:val="14"/>
              </w:rPr>
              <w:t>N=1850</w:t>
            </w:r>
          </w:p>
        </w:tc>
        <w:tc>
          <w:tcPr>
            <w:tcW w:w="4385" w:type="dxa"/>
          </w:tcPr>
          <w:p w14:paraId="697EE6EE" w14:textId="77777777" w:rsidR="000F5D43" w:rsidRDefault="000F5D43" w:rsidP="000F5D43">
            <w:pPr>
              <w:rPr>
                <w:i/>
                <w:sz w:val="14"/>
              </w:rPr>
            </w:pPr>
            <w:r w:rsidRPr="009125D2">
              <w:rPr>
                <w:i/>
                <w:sz w:val="14"/>
              </w:rPr>
              <w:t>W</w:t>
            </w:r>
            <w:r>
              <w:rPr>
                <w:i/>
                <w:sz w:val="14"/>
              </w:rPr>
              <w:t>eekly-ONS (% of Weekly-ONS deaths in this age-group)</w:t>
            </w:r>
          </w:p>
          <w:p w14:paraId="446E385D" w14:textId="77777777" w:rsidR="000F5D43" w:rsidRDefault="000F5D43" w:rsidP="000F5D43">
            <w:pPr>
              <w:rPr>
                <w:i/>
                <w:sz w:val="14"/>
              </w:rPr>
            </w:pPr>
            <w:r>
              <w:rPr>
                <w:i/>
                <w:sz w:val="14"/>
              </w:rPr>
              <w:t>Annual ONS (% of all Annual-ONS deaths in this age-group)</w:t>
            </w:r>
          </w:p>
          <w:p w14:paraId="537523F2" w14:textId="77777777" w:rsidR="000F5D43" w:rsidRDefault="000F5D43" w:rsidP="000F5D43">
            <w:pPr>
              <w:rPr>
                <w:i/>
                <w:sz w:val="14"/>
              </w:rPr>
            </w:pPr>
            <w:r>
              <w:rPr>
                <w:i/>
                <w:sz w:val="14"/>
              </w:rPr>
              <w:t>IMD-related deaths (% of all IMD-related deaths in this age-group)</w:t>
            </w:r>
          </w:p>
          <w:p w14:paraId="4FF0E4C9" w14:textId="77777777" w:rsidR="000F5D43" w:rsidRPr="009125D2" w:rsidRDefault="000F5D43" w:rsidP="000F5D43">
            <w:pPr>
              <w:rPr>
                <w:i/>
                <w:sz w:val="14"/>
              </w:rPr>
            </w:pPr>
            <w:r>
              <w:rPr>
                <w:i/>
                <w:sz w:val="14"/>
              </w:rPr>
              <w:t>Overall CFR / IMD-related CFR in this age-group</w:t>
            </w:r>
          </w:p>
        </w:tc>
        <w:tc>
          <w:tcPr>
            <w:tcW w:w="1275" w:type="dxa"/>
            <w:vAlign w:val="center"/>
            <w:hideMark/>
          </w:tcPr>
          <w:p w14:paraId="6785E61B" w14:textId="77777777" w:rsidR="000F5D43" w:rsidRPr="009125D2" w:rsidRDefault="000F5D43" w:rsidP="000F5D43">
            <w:pPr>
              <w:rPr>
                <w:sz w:val="14"/>
              </w:rPr>
            </w:pPr>
            <w:r w:rsidRPr="009125D2">
              <w:rPr>
                <w:sz w:val="14"/>
              </w:rPr>
              <w:t>72</w:t>
            </w:r>
            <w:r>
              <w:rPr>
                <w:sz w:val="14"/>
              </w:rPr>
              <w:t>/84 (85.7%)</w:t>
            </w:r>
          </w:p>
          <w:p w14:paraId="16D99A04" w14:textId="77777777" w:rsidR="000F5D43" w:rsidRDefault="000F5D43" w:rsidP="000F5D43">
            <w:pPr>
              <w:rPr>
                <w:sz w:val="14"/>
              </w:rPr>
            </w:pPr>
            <w:r w:rsidRPr="009125D2">
              <w:rPr>
                <w:sz w:val="14"/>
              </w:rPr>
              <w:t>76</w:t>
            </w:r>
            <w:r>
              <w:rPr>
                <w:sz w:val="14"/>
              </w:rPr>
              <w:t>/88</w:t>
            </w:r>
            <w:r w:rsidRPr="009125D2">
              <w:rPr>
                <w:sz w:val="14"/>
              </w:rPr>
              <w:t xml:space="preserve"> (86</w:t>
            </w:r>
            <w:r>
              <w:rPr>
                <w:sz w:val="14"/>
              </w:rPr>
              <w:t>.4</w:t>
            </w:r>
            <w:r w:rsidRPr="009125D2">
              <w:rPr>
                <w:sz w:val="14"/>
              </w:rPr>
              <w:t>%)</w:t>
            </w:r>
          </w:p>
          <w:p w14:paraId="34F636C3" w14:textId="77777777" w:rsidR="000F5D43" w:rsidRDefault="000F5D43" w:rsidP="000F5D43">
            <w:pPr>
              <w:rPr>
                <w:sz w:val="14"/>
              </w:rPr>
            </w:pPr>
            <w:r w:rsidRPr="009125D2">
              <w:rPr>
                <w:sz w:val="14"/>
              </w:rPr>
              <w:t>76</w:t>
            </w:r>
            <w:r>
              <w:rPr>
                <w:sz w:val="14"/>
              </w:rPr>
              <w:t>/88</w:t>
            </w:r>
            <w:r w:rsidRPr="009125D2">
              <w:rPr>
                <w:sz w:val="14"/>
              </w:rPr>
              <w:t xml:space="preserve"> (</w:t>
            </w:r>
            <w:r>
              <w:rPr>
                <w:sz w:val="14"/>
              </w:rPr>
              <w:t>86.4</w:t>
            </w:r>
            <w:r w:rsidRPr="009125D2">
              <w:rPr>
                <w:sz w:val="14"/>
              </w:rPr>
              <w:t>%)</w:t>
            </w:r>
          </w:p>
          <w:p w14:paraId="649FB03A" w14:textId="77777777" w:rsidR="000F5D43" w:rsidRPr="009125D2" w:rsidRDefault="000F5D43" w:rsidP="000F5D43">
            <w:pPr>
              <w:rPr>
                <w:sz w:val="14"/>
              </w:rPr>
            </w:pPr>
            <w:r w:rsidRPr="009125D2">
              <w:rPr>
                <w:sz w:val="14"/>
              </w:rPr>
              <w:t>4.1%</w:t>
            </w:r>
            <w:r>
              <w:rPr>
                <w:sz w:val="14"/>
              </w:rPr>
              <w:t xml:space="preserve"> / 4.1%</w:t>
            </w:r>
          </w:p>
        </w:tc>
        <w:tc>
          <w:tcPr>
            <w:tcW w:w="1261" w:type="dxa"/>
            <w:vAlign w:val="center"/>
            <w:hideMark/>
          </w:tcPr>
          <w:p w14:paraId="5D3895A8" w14:textId="77777777" w:rsidR="000F5D43" w:rsidRPr="00613C59" w:rsidRDefault="000F5D43" w:rsidP="000F5D43">
            <w:pPr>
              <w:rPr>
                <w:color w:val="000000" w:themeColor="text1"/>
                <w:sz w:val="14"/>
              </w:rPr>
            </w:pPr>
            <w:r w:rsidRPr="00613C59">
              <w:rPr>
                <w:color w:val="000000" w:themeColor="text1"/>
                <w:sz w:val="14"/>
              </w:rPr>
              <w:t>78</w:t>
            </w:r>
            <w:r>
              <w:rPr>
                <w:color w:val="000000" w:themeColor="text1"/>
                <w:sz w:val="14"/>
              </w:rPr>
              <w:t>/84 (92.9%)</w:t>
            </w:r>
          </w:p>
          <w:p w14:paraId="5ED24025" w14:textId="77777777" w:rsidR="000F5D43" w:rsidRPr="00613C59" w:rsidRDefault="000F5D43" w:rsidP="000F5D43">
            <w:pPr>
              <w:rPr>
                <w:color w:val="000000" w:themeColor="text1"/>
                <w:sz w:val="14"/>
              </w:rPr>
            </w:pPr>
            <w:r w:rsidRPr="00613C59">
              <w:rPr>
                <w:color w:val="000000" w:themeColor="text1"/>
                <w:sz w:val="14"/>
              </w:rPr>
              <w:t xml:space="preserve">82/88 (93.2%)                   </w:t>
            </w:r>
          </w:p>
          <w:p w14:paraId="42F3BDC8" w14:textId="77777777" w:rsidR="000F5D43" w:rsidRPr="00613C59" w:rsidRDefault="000F5D43" w:rsidP="000F5D43">
            <w:pPr>
              <w:rPr>
                <w:color w:val="000000" w:themeColor="text1"/>
                <w:sz w:val="14"/>
              </w:rPr>
            </w:pPr>
            <w:r w:rsidRPr="00613C59">
              <w:rPr>
                <w:color w:val="000000" w:themeColor="text1"/>
                <w:sz w:val="14"/>
              </w:rPr>
              <w:t>82/88 (93.2%)</w:t>
            </w:r>
          </w:p>
          <w:p w14:paraId="1BC4828B" w14:textId="77777777" w:rsidR="000F5D43" w:rsidRPr="00613C59" w:rsidRDefault="000F5D43" w:rsidP="000F5D43">
            <w:pPr>
              <w:rPr>
                <w:color w:val="000000" w:themeColor="text1"/>
                <w:sz w:val="14"/>
              </w:rPr>
            </w:pPr>
            <w:r w:rsidRPr="00613C59">
              <w:rPr>
                <w:color w:val="000000" w:themeColor="text1"/>
                <w:sz w:val="14"/>
              </w:rPr>
              <w:t>4.4% / 4.4%</w:t>
            </w:r>
          </w:p>
        </w:tc>
        <w:tc>
          <w:tcPr>
            <w:tcW w:w="1327" w:type="dxa"/>
            <w:vAlign w:val="center"/>
            <w:hideMark/>
          </w:tcPr>
          <w:p w14:paraId="5CD0BCA7" w14:textId="77777777" w:rsidR="000F5D43" w:rsidRPr="009125D2" w:rsidRDefault="000F5D43" w:rsidP="000F5D43">
            <w:pPr>
              <w:rPr>
                <w:sz w:val="14"/>
              </w:rPr>
            </w:pPr>
            <w:r w:rsidRPr="009125D2">
              <w:rPr>
                <w:sz w:val="14"/>
              </w:rPr>
              <w:t>81</w:t>
            </w:r>
            <w:r>
              <w:rPr>
                <w:sz w:val="14"/>
              </w:rPr>
              <w:t>/84 (96.4%)</w:t>
            </w:r>
          </w:p>
          <w:p w14:paraId="4EE2284F" w14:textId="77777777" w:rsidR="000F5D43" w:rsidRDefault="000F5D43" w:rsidP="000F5D43">
            <w:pPr>
              <w:rPr>
                <w:sz w:val="14"/>
              </w:rPr>
            </w:pPr>
            <w:r w:rsidRPr="009125D2">
              <w:rPr>
                <w:sz w:val="14"/>
              </w:rPr>
              <w:t>85</w:t>
            </w:r>
            <w:r>
              <w:rPr>
                <w:sz w:val="14"/>
              </w:rPr>
              <w:t>/88</w:t>
            </w:r>
            <w:r w:rsidRPr="009125D2">
              <w:rPr>
                <w:sz w:val="14"/>
              </w:rPr>
              <w:t xml:space="preserve"> (9</w:t>
            </w:r>
            <w:r>
              <w:rPr>
                <w:sz w:val="14"/>
              </w:rPr>
              <w:t>6.6</w:t>
            </w:r>
            <w:r w:rsidRPr="009125D2">
              <w:rPr>
                <w:sz w:val="14"/>
              </w:rPr>
              <w:t>%)</w:t>
            </w:r>
          </w:p>
          <w:p w14:paraId="55315024" w14:textId="77777777" w:rsidR="000F5D43" w:rsidRDefault="000F5D43" w:rsidP="000F5D43">
            <w:pPr>
              <w:rPr>
                <w:sz w:val="14"/>
              </w:rPr>
            </w:pPr>
            <w:r w:rsidRPr="009125D2">
              <w:rPr>
                <w:sz w:val="14"/>
              </w:rPr>
              <w:t>85</w:t>
            </w:r>
            <w:r>
              <w:rPr>
                <w:sz w:val="14"/>
              </w:rPr>
              <w:t>/88</w:t>
            </w:r>
            <w:r w:rsidRPr="009125D2">
              <w:rPr>
                <w:sz w:val="14"/>
              </w:rPr>
              <w:t xml:space="preserve"> (</w:t>
            </w:r>
            <w:r>
              <w:rPr>
                <w:sz w:val="14"/>
              </w:rPr>
              <w:t>96.6</w:t>
            </w:r>
            <w:r w:rsidRPr="009125D2">
              <w:rPr>
                <w:sz w:val="14"/>
              </w:rPr>
              <w:t>%)</w:t>
            </w:r>
          </w:p>
          <w:p w14:paraId="5FDC4F11" w14:textId="77777777" w:rsidR="000F5D43" w:rsidRPr="009125D2" w:rsidRDefault="000F5D43" w:rsidP="000F5D43">
            <w:pPr>
              <w:rPr>
                <w:sz w:val="14"/>
              </w:rPr>
            </w:pPr>
            <w:r w:rsidRPr="009125D2">
              <w:rPr>
                <w:sz w:val="14"/>
              </w:rPr>
              <w:t>4.6%</w:t>
            </w:r>
            <w:r>
              <w:rPr>
                <w:sz w:val="14"/>
              </w:rPr>
              <w:t xml:space="preserve"> / 4.6%</w:t>
            </w:r>
          </w:p>
        </w:tc>
        <w:tc>
          <w:tcPr>
            <w:tcW w:w="1327" w:type="dxa"/>
            <w:shd w:val="clear" w:color="auto" w:fill="D9D9D9" w:themeFill="background1" w:themeFillShade="D9"/>
            <w:vAlign w:val="center"/>
            <w:hideMark/>
          </w:tcPr>
          <w:p w14:paraId="21D21EC9" w14:textId="77777777" w:rsidR="000F5D43" w:rsidRPr="009125D2" w:rsidRDefault="000F5D43" w:rsidP="000F5D43">
            <w:pPr>
              <w:rPr>
                <w:sz w:val="14"/>
              </w:rPr>
            </w:pPr>
            <w:r w:rsidRPr="009125D2">
              <w:rPr>
                <w:sz w:val="14"/>
              </w:rPr>
              <w:t>82</w:t>
            </w:r>
            <w:r>
              <w:rPr>
                <w:sz w:val="14"/>
              </w:rPr>
              <w:t>/84 (97.6%)</w:t>
            </w:r>
          </w:p>
          <w:p w14:paraId="14F3D62B" w14:textId="77777777" w:rsidR="000F5D43" w:rsidRDefault="000F5D43" w:rsidP="000F5D43">
            <w:pPr>
              <w:rPr>
                <w:sz w:val="14"/>
              </w:rPr>
            </w:pPr>
            <w:r w:rsidRPr="009125D2">
              <w:rPr>
                <w:sz w:val="14"/>
              </w:rPr>
              <w:t>86</w:t>
            </w:r>
            <w:r>
              <w:rPr>
                <w:sz w:val="14"/>
              </w:rPr>
              <w:t>/88</w:t>
            </w:r>
            <w:r w:rsidRPr="009125D2">
              <w:rPr>
                <w:sz w:val="14"/>
              </w:rPr>
              <w:t xml:space="preserve"> (9</w:t>
            </w:r>
            <w:r>
              <w:rPr>
                <w:sz w:val="14"/>
              </w:rPr>
              <w:t>7.7</w:t>
            </w:r>
            <w:r w:rsidRPr="009125D2">
              <w:rPr>
                <w:sz w:val="14"/>
              </w:rPr>
              <w:t>%)</w:t>
            </w:r>
          </w:p>
          <w:p w14:paraId="696BFE98" w14:textId="77777777" w:rsidR="000F5D43" w:rsidRDefault="000F5D43" w:rsidP="000F5D43">
            <w:pPr>
              <w:rPr>
                <w:sz w:val="14"/>
              </w:rPr>
            </w:pPr>
            <w:r w:rsidRPr="009125D2">
              <w:rPr>
                <w:sz w:val="14"/>
              </w:rPr>
              <w:t>86</w:t>
            </w:r>
            <w:r>
              <w:rPr>
                <w:sz w:val="14"/>
              </w:rPr>
              <w:t>/88</w:t>
            </w:r>
            <w:r w:rsidRPr="009125D2">
              <w:rPr>
                <w:sz w:val="14"/>
              </w:rPr>
              <w:t xml:space="preserve"> (9</w:t>
            </w:r>
            <w:r>
              <w:rPr>
                <w:sz w:val="14"/>
              </w:rPr>
              <w:t>7.7</w:t>
            </w:r>
            <w:r w:rsidRPr="009125D2">
              <w:rPr>
                <w:sz w:val="14"/>
              </w:rPr>
              <w:t>%)</w:t>
            </w:r>
          </w:p>
          <w:p w14:paraId="6F12F84A" w14:textId="77777777" w:rsidR="000F5D43" w:rsidRPr="009125D2" w:rsidRDefault="000F5D43" w:rsidP="000F5D43">
            <w:pPr>
              <w:rPr>
                <w:sz w:val="14"/>
              </w:rPr>
            </w:pPr>
            <w:r w:rsidRPr="009125D2">
              <w:rPr>
                <w:sz w:val="14"/>
              </w:rPr>
              <w:t>4.6%</w:t>
            </w:r>
            <w:r>
              <w:rPr>
                <w:sz w:val="14"/>
              </w:rPr>
              <w:t xml:space="preserve"> / 4.6%</w:t>
            </w:r>
          </w:p>
        </w:tc>
        <w:tc>
          <w:tcPr>
            <w:tcW w:w="1327" w:type="dxa"/>
            <w:vAlign w:val="center"/>
            <w:hideMark/>
          </w:tcPr>
          <w:p w14:paraId="45CC1E60" w14:textId="77777777" w:rsidR="000F5D43" w:rsidRPr="009125D2" w:rsidRDefault="000F5D43" w:rsidP="000F5D43">
            <w:pPr>
              <w:rPr>
                <w:sz w:val="14"/>
              </w:rPr>
            </w:pPr>
            <w:r w:rsidRPr="009125D2">
              <w:rPr>
                <w:sz w:val="14"/>
              </w:rPr>
              <w:t>84</w:t>
            </w:r>
          </w:p>
          <w:p w14:paraId="42B62D81" w14:textId="77777777" w:rsidR="000F5D43" w:rsidRDefault="000F5D43" w:rsidP="000F5D43">
            <w:pPr>
              <w:rPr>
                <w:sz w:val="14"/>
              </w:rPr>
            </w:pPr>
            <w:r w:rsidRPr="009125D2">
              <w:rPr>
                <w:sz w:val="14"/>
              </w:rPr>
              <w:t>88</w:t>
            </w:r>
          </w:p>
          <w:p w14:paraId="61FC8587" w14:textId="77777777" w:rsidR="000F5D43" w:rsidRDefault="000F5D43" w:rsidP="000F5D43">
            <w:pPr>
              <w:rPr>
                <w:sz w:val="14"/>
              </w:rPr>
            </w:pPr>
            <w:r w:rsidRPr="009125D2">
              <w:rPr>
                <w:sz w:val="14"/>
              </w:rPr>
              <w:t>88</w:t>
            </w:r>
          </w:p>
          <w:p w14:paraId="2F9B79D0" w14:textId="77777777" w:rsidR="000F5D43" w:rsidRPr="009125D2" w:rsidRDefault="000F5D43" w:rsidP="000F5D43">
            <w:pPr>
              <w:rPr>
                <w:sz w:val="14"/>
              </w:rPr>
            </w:pPr>
            <w:r w:rsidRPr="009125D2">
              <w:rPr>
                <w:sz w:val="14"/>
              </w:rPr>
              <w:t>4.8%</w:t>
            </w:r>
            <w:r>
              <w:rPr>
                <w:sz w:val="14"/>
              </w:rPr>
              <w:t xml:space="preserve"> / 4.8%</w:t>
            </w:r>
          </w:p>
        </w:tc>
        <w:tc>
          <w:tcPr>
            <w:tcW w:w="1327" w:type="dxa"/>
            <w:vAlign w:val="center"/>
            <w:hideMark/>
          </w:tcPr>
          <w:p w14:paraId="7A9CFE5F" w14:textId="77777777" w:rsidR="000F5D43" w:rsidRPr="009125D2" w:rsidRDefault="000F5D43" w:rsidP="000F5D43">
            <w:pPr>
              <w:rPr>
                <w:sz w:val="14"/>
              </w:rPr>
            </w:pPr>
            <w:r w:rsidRPr="009125D2">
              <w:rPr>
                <w:sz w:val="14"/>
              </w:rPr>
              <w:t>84</w:t>
            </w:r>
          </w:p>
          <w:p w14:paraId="73D76C3C" w14:textId="77777777" w:rsidR="000F5D43" w:rsidRDefault="000F5D43" w:rsidP="000F5D43">
            <w:pPr>
              <w:rPr>
                <w:sz w:val="14"/>
              </w:rPr>
            </w:pPr>
            <w:r w:rsidRPr="009125D2">
              <w:rPr>
                <w:sz w:val="14"/>
              </w:rPr>
              <w:t>88</w:t>
            </w:r>
          </w:p>
          <w:p w14:paraId="2A601F07" w14:textId="77777777" w:rsidR="000F5D43" w:rsidRDefault="000F5D43" w:rsidP="000F5D43">
            <w:pPr>
              <w:rPr>
                <w:sz w:val="14"/>
              </w:rPr>
            </w:pPr>
            <w:r w:rsidRPr="009125D2">
              <w:rPr>
                <w:sz w:val="14"/>
              </w:rPr>
              <w:t>88</w:t>
            </w:r>
          </w:p>
          <w:p w14:paraId="4493124E" w14:textId="77777777" w:rsidR="000F5D43" w:rsidRPr="009125D2" w:rsidRDefault="000F5D43" w:rsidP="000F5D43">
            <w:pPr>
              <w:rPr>
                <w:sz w:val="14"/>
              </w:rPr>
            </w:pPr>
            <w:r w:rsidRPr="009125D2">
              <w:rPr>
                <w:sz w:val="14"/>
              </w:rPr>
              <w:t>4.8%</w:t>
            </w:r>
            <w:r>
              <w:rPr>
                <w:sz w:val="14"/>
              </w:rPr>
              <w:t xml:space="preserve"> / 4.8%</w:t>
            </w:r>
          </w:p>
        </w:tc>
        <w:tc>
          <w:tcPr>
            <w:tcW w:w="1454" w:type="dxa"/>
            <w:shd w:val="clear" w:color="auto" w:fill="D9D9D9" w:themeFill="background1" w:themeFillShade="D9"/>
            <w:vAlign w:val="center"/>
            <w:hideMark/>
          </w:tcPr>
          <w:p w14:paraId="59320E1B" w14:textId="77777777" w:rsidR="000F5D43" w:rsidRPr="009125D2" w:rsidRDefault="000F5D43" w:rsidP="000F5D43">
            <w:pPr>
              <w:rPr>
                <w:sz w:val="14"/>
              </w:rPr>
            </w:pPr>
            <w:r w:rsidRPr="009125D2">
              <w:rPr>
                <w:sz w:val="14"/>
              </w:rPr>
              <w:t>84</w:t>
            </w:r>
          </w:p>
          <w:p w14:paraId="7053FE7E" w14:textId="77777777" w:rsidR="000F5D43" w:rsidRDefault="000F5D43" w:rsidP="000F5D43">
            <w:pPr>
              <w:rPr>
                <w:sz w:val="14"/>
              </w:rPr>
            </w:pPr>
            <w:r w:rsidRPr="009125D2">
              <w:rPr>
                <w:sz w:val="14"/>
              </w:rPr>
              <w:t>88</w:t>
            </w:r>
          </w:p>
          <w:p w14:paraId="61571C0F" w14:textId="77777777" w:rsidR="000F5D43" w:rsidRDefault="000F5D43" w:rsidP="000F5D43">
            <w:pPr>
              <w:rPr>
                <w:sz w:val="14"/>
              </w:rPr>
            </w:pPr>
            <w:r>
              <w:rPr>
                <w:sz w:val="14"/>
              </w:rPr>
              <w:t>88</w:t>
            </w:r>
          </w:p>
          <w:p w14:paraId="65DC680E" w14:textId="77777777" w:rsidR="000F5D43" w:rsidRPr="009125D2" w:rsidRDefault="000F5D43" w:rsidP="000F5D43">
            <w:pPr>
              <w:rPr>
                <w:sz w:val="14"/>
              </w:rPr>
            </w:pPr>
            <w:r w:rsidRPr="009125D2">
              <w:rPr>
                <w:sz w:val="14"/>
              </w:rPr>
              <w:t>4.8%</w:t>
            </w:r>
            <w:r>
              <w:rPr>
                <w:sz w:val="14"/>
              </w:rPr>
              <w:t xml:space="preserve"> / 4.8%</w:t>
            </w:r>
          </w:p>
        </w:tc>
      </w:tr>
      <w:tr w:rsidR="000F5D43" w:rsidRPr="009125D2" w14:paraId="492EB599" w14:textId="77777777" w:rsidTr="000F5D43">
        <w:trPr>
          <w:trHeight w:val="824"/>
        </w:trPr>
        <w:tc>
          <w:tcPr>
            <w:tcW w:w="995" w:type="dxa"/>
            <w:noWrap/>
            <w:vAlign w:val="center"/>
            <w:hideMark/>
          </w:tcPr>
          <w:p w14:paraId="72C4833E" w14:textId="77777777" w:rsidR="000F5D43" w:rsidRPr="00576EFD" w:rsidRDefault="000F5D43" w:rsidP="000F5D43">
            <w:pPr>
              <w:rPr>
                <w:b/>
                <w:sz w:val="14"/>
              </w:rPr>
            </w:pPr>
            <w:r w:rsidRPr="00576EFD">
              <w:rPr>
                <w:b/>
                <w:sz w:val="14"/>
              </w:rPr>
              <w:t>5-14y</w:t>
            </w:r>
          </w:p>
          <w:p w14:paraId="77EBC420" w14:textId="77777777" w:rsidR="000F5D43" w:rsidRPr="00576EFD" w:rsidRDefault="000F5D43" w:rsidP="000F5D43">
            <w:pPr>
              <w:rPr>
                <w:b/>
                <w:sz w:val="14"/>
              </w:rPr>
            </w:pPr>
            <w:r w:rsidRPr="00576EFD">
              <w:rPr>
                <w:b/>
                <w:sz w:val="14"/>
              </w:rPr>
              <w:t>N=659</w:t>
            </w:r>
          </w:p>
        </w:tc>
        <w:tc>
          <w:tcPr>
            <w:tcW w:w="4385" w:type="dxa"/>
          </w:tcPr>
          <w:p w14:paraId="2AD00154" w14:textId="77777777" w:rsidR="000F5D43" w:rsidRDefault="000F5D43" w:rsidP="000F5D43">
            <w:pPr>
              <w:rPr>
                <w:i/>
                <w:sz w:val="14"/>
              </w:rPr>
            </w:pPr>
            <w:r w:rsidRPr="009125D2">
              <w:rPr>
                <w:i/>
                <w:sz w:val="14"/>
              </w:rPr>
              <w:t>W</w:t>
            </w:r>
            <w:r>
              <w:rPr>
                <w:i/>
                <w:sz w:val="14"/>
              </w:rPr>
              <w:t>eekly-ONS (% of Weekly-ONS deaths in this age-group)</w:t>
            </w:r>
          </w:p>
          <w:p w14:paraId="08CFB72E" w14:textId="77777777" w:rsidR="000F5D43" w:rsidRDefault="000F5D43" w:rsidP="000F5D43">
            <w:pPr>
              <w:rPr>
                <w:i/>
                <w:sz w:val="14"/>
              </w:rPr>
            </w:pPr>
            <w:r>
              <w:rPr>
                <w:i/>
                <w:sz w:val="14"/>
              </w:rPr>
              <w:t>Annual ONS (% of all Annual-ONS deaths in this age-group)</w:t>
            </w:r>
          </w:p>
          <w:p w14:paraId="23B31403" w14:textId="77777777" w:rsidR="000F5D43" w:rsidRDefault="000F5D43" w:rsidP="000F5D43">
            <w:pPr>
              <w:rPr>
                <w:i/>
                <w:sz w:val="14"/>
              </w:rPr>
            </w:pPr>
            <w:r>
              <w:rPr>
                <w:i/>
                <w:sz w:val="14"/>
              </w:rPr>
              <w:t>IMD-related deaths (% of all IMD-related deaths in this age-group)</w:t>
            </w:r>
          </w:p>
          <w:p w14:paraId="281388B0" w14:textId="77777777" w:rsidR="000F5D43" w:rsidRPr="009125D2" w:rsidRDefault="000F5D43" w:rsidP="000F5D43">
            <w:pPr>
              <w:rPr>
                <w:i/>
                <w:sz w:val="14"/>
              </w:rPr>
            </w:pPr>
            <w:r>
              <w:rPr>
                <w:i/>
                <w:sz w:val="14"/>
              </w:rPr>
              <w:t>Overall CFR / IMD-related CFR in this age-group</w:t>
            </w:r>
          </w:p>
        </w:tc>
        <w:tc>
          <w:tcPr>
            <w:tcW w:w="1275" w:type="dxa"/>
            <w:vAlign w:val="center"/>
            <w:hideMark/>
          </w:tcPr>
          <w:p w14:paraId="106F9A5D" w14:textId="77777777" w:rsidR="000F5D43" w:rsidRPr="009125D2" w:rsidRDefault="000F5D43" w:rsidP="000F5D43">
            <w:pPr>
              <w:rPr>
                <w:sz w:val="14"/>
              </w:rPr>
            </w:pPr>
            <w:r w:rsidRPr="009125D2">
              <w:rPr>
                <w:sz w:val="14"/>
              </w:rPr>
              <w:t>29</w:t>
            </w:r>
            <w:r>
              <w:rPr>
                <w:sz w:val="14"/>
              </w:rPr>
              <w:t>/31 (93.5%)</w:t>
            </w:r>
          </w:p>
          <w:p w14:paraId="24818DC5" w14:textId="77777777" w:rsidR="000F5D43" w:rsidRDefault="000F5D43" w:rsidP="000F5D43">
            <w:pPr>
              <w:rPr>
                <w:sz w:val="14"/>
              </w:rPr>
            </w:pPr>
            <w:r w:rsidRPr="009125D2">
              <w:rPr>
                <w:sz w:val="14"/>
              </w:rPr>
              <w:t>29</w:t>
            </w:r>
            <w:r>
              <w:rPr>
                <w:sz w:val="14"/>
              </w:rPr>
              <w:t>/31</w:t>
            </w:r>
            <w:r w:rsidRPr="009125D2">
              <w:rPr>
                <w:sz w:val="14"/>
              </w:rPr>
              <w:t xml:space="preserve"> (9</w:t>
            </w:r>
            <w:r>
              <w:rPr>
                <w:sz w:val="14"/>
              </w:rPr>
              <w:t>3.5</w:t>
            </w:r>
            <w:r w:rsidRPr="009125D2">
              <w:rPr>
                <w:sz w:val="14"/>
              </w:rPr>
              <w:t>%)</w:t>
            </w:r>
          </w:p>
          <w:p w14:paraId="192889F2" w14:textId="77777777" w:rsidR="000F5D43" w:rsidRDefault="000F5D43" w:rsidP="000F5D43">
            <w:pPr>
              <w:rPr>
                <w:sz w:val="14"/>
              </w:rPr>
            </w:pPr>
            <w:r w:rsidRPr="009125D2">
              <w:rPr>
                <w:sz w:val="14"/>
              </w:rPr>
              <w:t>29</w:t>
            </w:r>
            <w:r>
              <w:rPr>
                <w:sz w:val="14"/>
              </w:rPr>
              <w:t>/31</w:t>
            </w:r>
            <w:r w:rsidRPr="009125D2">
              <w:rPr>
                <w:sz w:val="14"/>
              </w:rPr>
              <w:t xml:space="preserve"> (9</w:t>
            </w:r>
            <w:r>
              <w:rPr>
                <w:sz w:val="14"/>
              </w:rPr>
              <w:t>3.5</w:t>
            </w:r>
            <w:r w:rsidRPr="009125D2">
              <w:rPr>
                <w:sz w:val="14"/>
              </w:rPr>
              <w:t>%)</w:t>
            </w:r>
          </w:p>
          <w:p w14:paraId="4340D86A" w14:textId="77777777" w:rsidR="000F5D43" w:rsidRPr="009125D2" w:rsidRDefault="000F5D43" w:rsidP="000F5D43">
            <w:pPr>
              <w:rPr>
                <w:sz w:val="14"/>
              </w:rPr>
            </w:pPr>
            <w:r w:rsidRPr="009125D2">
              <w:rPr>
                <w:sz w:val="14"/>
              </w:rPr>
              <w:t>4.4%</w:t>
            </w:r>
            <w:r>
              <w:rPr>
                <w:sz w:val="14"/>
              </w:rPr>
              <w:t xml:space="preserve"> / 4.4%</w:t>
            </w:r>
          </w:p>
        </w:tc>
        <w:tc>
          <w:tcPr>
            <w:tcW w:w="1261" w:type="dxa"/>
            <w:vAlign w:val="center"/>
            <w:hideMark/>
          </w:tcPr>
          <w:p w14:paraId="29BB29A2" w14:textId="77777777" w:rsidR="000F5D43" w:rsidRPr="00613C59" w:rsidRDefault="000F5D43" w:rsidP="000F5D43">
            <w:pPr>
              <w:rPr>
                <w:color w:val="000000" w:themeColor="text1"/>
                <w:sz w:val="14"/>
              </w:rPr>
            </w:pPr>
            <w:r w:rsidRPr="00613C59">
              <w:rPr>
                <w:color w:val="000000" w:themeColor="text1"/>
                <w:sz w:val="14"/>
              </w:rPr>
              <w:t>29</w:t>
            </w:r>
            <w:r>
              <w:rPr>
                <w:color w:val="000000" w:themeColor="text1"/>
                <w:sz w:val="14"/>
              </w:rPr>
              <w:t>/31 (93.5%)</w:t>
            </w:r>
          </w:p>
          <w:p w14:paraId="0C38FE80" w14:textId="77777777" w:rsidR="000F5D43" w:rsidRPr="00613C59" w:rsidRDefault="000F5D43" w:rsidP="000F5D43">
            <w:pPr>
              <w:rPr>
                <w:color w:val="000000" w:themeColor="text1"/>
                <w:sz w:val="14"/>
              </w:rPr>
            </w:pPr>
            <w:r w:rsidRPr="00613C59">
              <w:rPr>
                <w:color w:val="000000" w:themeColor="text1"/>
                <w:sz w:val="14"/>
              </w:rPr>
              <w:t>29/31 (93.5%)</w:t>
            </w:r>
          </w:p>
          <w:p w14:paraId="01883564" w14:textId="77777777" w:rsidR="000F5D43" w:rsidRPr="00613C59" w:rsidRDefault="000F5D43" w:rsidP="000F5D43">
            <w:pPr>
              <w:rPr>
                <w:color w:val="000000" w:themeColor="text1"/>
                <w:sz w:val="14"/>
              </w:rPr>
            </w:pPr>
            <w:r w:rsidRPr="00613C59">
              <w:rPr>
                <w:color w:val="000000" w:themeColor="text1"/>
                <w:sz w:val="14"/>
              </w:rPr>
              <w:t>29/31 (93.5%)</w:t>
            </w:r>
          </w:p>
          <w:p w14:paraId="6174FC57" w14:textId="77777777" w:rsidR="000F5D43" w:rsidRPr="00613C59" w:rsidRDefault="000F5D43" w:rsidP="000F5D43">
            <w:pPr>
              <w:rPr>
                <w:color w:val="000000" w:themeColor="text1"/>
                <w:sz w:val="14"/>
              </w:rPr>
            </w:pPr>
            <w:r w:rsidRPr="00613C59">
              <w:rPr>
                <w:color w:val="000000" w:themeColor="text1"/>
                <w:sz w:val="14"/>
              </w:rPr>
              <w:t>4.4% / 4.4%</w:t>
            </w:r>
          </w:p>
        </w:tc>
        <w:tc>
          <w:tcPr>
            <w:tcW w:w="1327" w:type="dxa"/>
            <w:vAlign w:val="center"/>
            <w:hideMark/>
          </w:tcPr>
          <w:p w14:paraId="60018C97" w14:textId="77777777" w:rsidR="000F5D43" w:rsidRPr="009125D2" w:rsidRDefault="000F5D43" w:rsidP="000F5D43">
            <w:pPr>
              <w:rPr>
                <w:sz w:val="14"/>
              </w:rPr>
            </w:pPr>
            <w:r w:rsidRPr="009125D2">
              <w:rPr>
                <w:sz w:val="14"/>
              </w:rPr>
              <w:t>30</w:t>
            </w:r>
            <w:r>
              <w:rPr>
                <w:sz w:val="14"/>
              </w:rPr>
              <w:t>/31 (96.8%)</w:t>
            </w:r>
          </w:p>
          <w:p w14:paraId="367B733E" w14:textId="77777777" w:rsidR="000F5D43" w:rsidRDefault="000F5D43" w:rsidP="000F5D43">
            <w:pPr>
              <w:rPr>
                <w:sz w:val="14"/>
              </w:rPr>
            </w:pPr>
            <w:r w:rsidRPr="009125D2">
              <w:rPr>
                <w:sz w:val="14"/>
              </w:rPr>
              <w:t>30</w:t>
            </w:r>
            <w:r>
              <w:rPr>
                <w:sz w:val="14"/>
              </w:rPr>
              <w:t>/31</w:t>
            </w:r>
            <w:r w:rsidRPr="009125D2">
              <w:rPr>
                <w:sz w:val="14"/>
              </w:rPr>
              <w:t xml:space="preserve"> (9</w:t>
            </w:r>
            <w:r>
              <w:rPr>
                <w:sz w:val="14"/>
              </w:rPr>
              <w:t>6.8</w:t>
            </w:r>
            <w:r w:rsidRPr="009125D2">
              <w:rPr>
                <w:sz w:val="14"/>
              </w:rPr>
              <w:t>%)</w:t>
            </w:r>
          </w:p>
          <w:p w14:paraId="3900EB10" w14:textId="77777777" w:rsidR="000F5D43" w:rsidRDefault="000F5D43" w:rsidP="000F5D43">
            <w:pPr>
              <w:rPr>
                <w:sz w:val="14"/>
              </w:rPr>
            </w:pPr>
            <w:r w:rsidRPr="009125D2">
              <w:rPr>
                <w:sz w:val="14"/>
              </w:rPr>
              <w:t>30</w:t>
            </w:r>
            <w:r>
              <w:rPr>
                <w:sz w:val="14"/>
              </w:rPr>
              <w:t>/31</w:t>
            </w:r>
            <w:r w:rsidRPr="009125D2">
              <w:rPr>
                <w:sz w:val="14"/>
              </w:rPr>
              <w:t xml:space="preserve"> (</w:t>
            </w:r>
            <w:r>
              <w:rPr>
                <w:sz w:val="14"/>
              </w:rPr>
              <w:t>96.8</w:t>
            </w:r>
            <w:r w:rsidRPr="009125D2">
              <w:rPr>
                <w:sz w:val="14"/>
              </w:rPr>
              <w:t>%)</w:t>
            </w:r>
          </w:p>
          <w:p w14:paraId="7346A0F9" w14:textId="77777777" w:rsidR="000F5D43" w:rsidRPr="009125D2" w:rsidRDefault="000F5D43" w:rsidP="000F5D43">
            <w:pPr>
              <w:rPr>
                <w:sz w:val="14"/>
              </w:rPr>
            </w:pPr>
            <w:r w:rsidRPr="009125D2">
              <w:rPr>
                <w:sz w:val="14"/>
              </w:rPr>
              <w:t>4.6%</w:t>
            </w:r>
            <w:r>
              <w:rPr>
                <w:sz w:val="14"/>
              </w:rPr>
              <w:t xml:space="preserve"> / 4/6%</w:t>
            </w:r>
          </w:p>
        </w:tc>
        <w:tc>
          <w:tcPr>
            <w:tcW w:w="1327" w:type="dxa"/>
            <w:shd w:val="clear" w:color="auto" w:fill="D9D9D9" w:themeFill="background1" w:themeFillShade="D9"/>
            <w:vAlign w:val="center"/>
            <w:hideMark/>
          </w:tcPr>
          <w:p w14:paraId="779A5A54" w14:textId="77777777" w:rsidR="000F5D43" w:rsidRPr="009125D2" w:rsidRDefault="000F5D43" w:rsidP="000F5D43">
            <w:pPr>
              <w:rPr>
                <w:sz w:val="14"/>
              </w:rPr>
            </w:pPr>
            <w:r w:rsidRPr="009125D2">
              <w:rPr>
                <w:sz w:val="14"/>
              </w:rPr>
              <w:t>30</w:t>
            </w:r>
            <w:r>
              <w:rPr>
                <w:sz w:val="14"/>
              </w:rPr>
              <w:t xml:space="preserve">/31 (96.8%) </w:t>
            </w:r>
          </w:p>
          <w:p w14:paraId="77883BAD" w14:textId="77777777" w:rsidR="000F5D43" w:rsidRDefault="000F5D43" w:rsidP="000F5D43">
            <w:pPr>
              <w:rPr>
                <w:sz w:val="14"/>
              </w:rPr>
            </w:pPr>
            <w:r w:rsidRPr="009125D2">
              <w:rPr>
                <w:sz w:val="14"/>
              </w:rPr>
              <w:t>30</w:t>
            </w:r>
            <w:r>
              <w:rPr>
                <w:sz w:val="14"/>
              </w:rPr>
              <w:t>/31</w:t>
            </w:r>
            <w:r w:rsidRPr="009125D2">
              <w:rPr>
                <w:sz w:val="14"/>
              </w:rPr>
              <w:t xml:space="preserve"> (9</w:t>
            </w:r>
            <w:r>
              <w:rPr>
                <w:sz w:val="14"/>
              </w:rPr>
              <w:t>6.8</w:t>
            </w:r>
            <w:r w:rsidRPr="009125D2">
              <w:rPr>
                <w:sz w:val="14"/>
              </w:rPr>
              <w:t>%)</w:t>
            </w:r>
          </w:p>
          <w:p w14:paraId="40666318" w14:textId="77777777" w:rsidR="000F5D43" w:rsidRDefault="000F5D43" w:rsidP="000F5D43">
            <w:pPr>
              <w:rPr>
                <w:sz w:val="14"/>
              </w:rPr>
            </w:pPr>
            <w:r w:rsidRPr="009125D2">
              <w:rPr>
                <w:sz w:val="14"/>
              </w:rPr>
              <w:t>30</w:t>
            </w:r>
            <w:r>
              <w:rPr>
                <w:sz w:val="14"/>
              </w:rPr>
              <w:t>/31</w:t>
            </w:r>
            <w:r w:rsidRPr="009125D2">
              <w:rPr>
                <w:sz w:val="14"/>
              </w:rPr>
              <w:t xml:space="preserve"> (9</w:t>
            </w:r>
            <w:r>
              <w:rPr>
                <w:sz w:val="14"/>
              </w:rPr>
              <w:t>6.8</w:t>
            </w:r>
            <w:r w:rsidRPr="009125D2">
              <w:rPr>
                <w:sz w:val="14"/>
              </w:rPr>
              <w:t>%)</w:t>
            </w:r>
          </w:p>
          <w:p w14:paraId="32F46450" w14:textId="77777777" w:rsidR="000F5D43" w:rsidRPr="009125D2" w:rsidRDefault="000F5D43" w:rsidP="000F5D43">
            <w:pPr>
              <w:rPr>
                <w:sz w:val="14"/>
              </w:rPr>
            </w:pPr>
            <w:r w:rsidRPr="009125D2">
              <w:rPr>
                <w:sz w:val="14"/>
              </w:rPr>
              <w:t>4.6%</w:t>
            </w:r>
            <w:r>
              <w:rPr>
                <w:sz w:val="14"/>
              </w:rPr>
              <w:t xml:space="preserve"> / 4.6%</w:t>
            </w:r>
          </w:p>
        </w:tc>
        <w:tc>
          <w:tcPr>
            <w:tcW w:w="1327" w:type="dxa"/>
            <w:vAlign w:val="center"/>
            <w:hideMark/>
          </w:tcPr>
          <w:p w14:paraId="64B92DAC" w14:textId="77777777" w:rsidR="000F5D43" w:rsidRPr="009125D2" w:rsidRDefault="000F5D43" w:rsidP="000F5D43">
            <w:pPr>
              <w:rPr>
                <w:sz w:val="14"/>
              </w:rPr>
            </w:pPr>
            <w:r w:rsidRPr="009125D2">
              <w:rPr>
                <w:sz w:val="14"/>
              </w:rPr>
              <w:t>31</w:t>
            </w:r>
          </w:p>
          <w:p w14:paraId="2F1A0CCE" w14:textId="77777777" w:rsidR="000F5D43" w:rsidRDefault="000F5D43" w:rsidP="000F5D43">
            <w:pPr>
              <w:rPr>
                <w:sz w:val="14"/>
              </w:rPr>
            </w:pPr>
            <w:r w:rsidRPr="009125D2">
              <w:rPr>
                <w:sz w:val="14"/>
              </w:rPr>
              <w:t>31</w:t>
            </w:r>
          </w:p>
          <w:p w14:paraId="156A1534" w14:textId="77777777" w:rsidR="000F5D43" w:rsidRDefault="000F5D43" w:rsidP="000F5D43">
            <w:pPr>
              <w:rPr>
                <w:sz w:val="14"/>
              </w:rPr>
            </w:pPr>
            <w:r w:rsidRPr="009125D2">
              <w:rPr>
                <w:sz w:val="14"/>
              </w:rPr>
              <w:t>31</w:t>
            </w:r>
          </w:p>
          <w:p w14:paraId="21BC219E" w14:textId="77777777" w:rsidR="000F5D43" w:rsidRPr="009125D2" w:rsidRDefault="000F5D43" w:rsidP="000F5D43">
            <w:pPr>
              <w:rPr>
                <w:sz w:val="14"/>
              </w:rPr>
            </w:pPr>
            <w:r w:rsidRPr="009125D2">
              <w:rPr>
                <w:sz w:val="14"/>
              </w:rPr>
              <w:t>4.7%</w:t>
            </w:r>
            <w:r>
              <w:rPr>
                <w:sz w:val="14"/>
              </w:rPr>
              <w:t xml:space="preserve"> / 4.7%</w:t>
            </w:r>
          </w:p>
        </w:tc>
        <w:tc>
          <w:tcPr>
            <w:tcW w:w="1327" w:type="dxa"/>
            <w:vAlign w:val="center"/>
            <w:hideMark/>
          </w:tcPr>
          <w:p w14:paraId="496266F1" w14:textId="77777777" w:rsidR="000F5D43" w:rsidRPr="009125D2" w:rsidRDefault="000F5D43" w:rsidP="000F5D43">
            <w:pPr>
              <w:rPr>
                <w:sz w:val="14"/>
              </w:rPr>
            </w:pPr>
            <w:r w:rsidRPr="009125D2">
              <w:rPr>
                <w:sz w:val="14"/>
              </w:rPr>
              <w:t>31</w:t>
            </w:r>
          </w:p>
          <w:p w14:paraId="5F13FC66" w14:textId="77777777" w:rsidR="000F5D43" w:rsidRDefault="000F5D43" w:rsidP="000F5D43">
            <w:pPr>
              <w:rPr>
                <w:sz w:val="14"/>
              </w:rPr>
            </w:pPr>
            <w:r w:rsidRPr="009125D2">
              <w:rPr>
                <w:sz w:val="14"/>
              </w:rPr>
              <w:t>31</w:t>
            </w:r>
          </w:p>
          <w:p w14:paraId="1CC6AE86" w14:textId="77777777" w:rsidR="000F5D43" w:rsidRDefault="000F5D43" w:rsidP="000F5D43">
            <w:pPr>
              <w:rPr>
                <w:sz w:val="14"/>
              </w:rPr>
            </w:pPr>
            <w:r w:rsidRPr="009125D2">
              <w:rPr>
                <w:sz w:val="14"/>
              </w:rPr>
              <w:t>31</w:t>
            </w:r>
          </w:p>
          <w:p w14:paraId="0D21F983" w14:textId="77777777" w:rsidR="000F5D43" w:rsidRPr="009125D2" w:rsidRDefault="000F5D43" w:rsidP="000F5D43">
            <w:pPr>
              <w:rPr>
                <w:sz w:val="14"/>
              </w:rPr>
            </w:pPr>
            <w:r w:rsidRPr="009125D2">
              <w:rPr>
                <w:sz w:val="14"/>
              </w:rPr>
              <w:t>4.7%</w:t>
            </w:r>
            <w:r>
              <w:rPr>
                <w:sz w:val="14"/>
              </w:rPr>
              <w:t xml:space="preserve"> / 4.7%</w:t>
            </w:r>
          </w:p>
        </w:tc>
        <w:tc>
          <w:tcPr>
            <w:tcW w:w="1454" w:type="dxa"/>
            <w:shd w:val="clear" w:color="auto" w:fill="D9D9D9" w:themeFill="background1" w:themeFillShade="D9"/>
            <w:vAlign w:val="center"/>
            <w:hideMark/>
          </w:tcPr>
          <w:p w14:paraId="6B6DDE38" w14:textId="77777777" w:rsidR="000F5D43" w:rsidRPr="009125D2" w:rsidRDefault="000F5D43" w:rsidP="000F5D43">
            <w:pPr>
              <w:rPr>
                <w:sz w:val="14"/>
              </w:rPr>
            </w:pPr>
            <w:r w:rsidRPr="009125D2">
              <w:rPr>
                <w:sz w:val="14"/>
              </w:rPr>
              <w:t>31</w:t>
            </w:r>
          </w:p>
          <w:p w14:paraId="70F2FD0E" w14:textId="77777777" w:rsidR="000F5D43" w:rsidRDefault="000F5D43" w:rsidP="000F5D43">
            <w:pPr>
              <w:rPr>
                <w:sz w:val="14"/>
              </w:rPr>
            </w:pPr>
            <w:r w:rsidRPr="009125D2">
              <w:rPr>
                <w:sz w:val="14"/>
              </w:rPr>
              <w:t>31</w:t>
            </w:r>
          </w:p>
          <w:p w14:paraId="34E305E3" w14:textId="77777777" w:rsidR="000F5D43" w:rsidRDefault="000F5D43" w:rsidP="000F5D43">
            <w:pPr>
              <w:rPr>
                <w:sz w:val="14"/>
              </w:rPr>
            </w:pPr>
            <w:r w:rsidRPr="009125D2">
              <w:rPr>
                <w:sz w:val="14"/>
              </w:rPr>
              <w:t>31</w:t>
            </w:r>
          </w:p>
          <w:p w14:paraId="04659C6D" w14:textId="77777777" w:rsidR="000F5D43" w:rsidRPr="009125D2" w:rsidRDefault="000F5D43" w:rsidP="000F5D43">
            <w:pPr>
              <w:rPr>
                <w:sz w:val="14"/>
              </w:rPr>
            </w:pPr>
            <w:r w:rsidRPr="009125D2">
              <w:rPr>
                <w:sz w:val="14"/>
              </w:rPr>
              <w:t>4.7%</w:t>
            </w:r>
            <w:r>
              <w:rPr>
                <w:sz w:val="14"/>
              </w:rPr>
              <w:t xml:space="preserve"> / 4.7%</w:t>
            </w:r>
          </w:p>
        </w:tc>
      </w:tr>
      <w:tr w:rsidR="000F5D43" w:rsidRPr="009125D2" w14:paraId="7F54D112" w14:textId="77777777" w:rsidTr="000F5D43">
        <w:trPr>
          <w:trHeight w:val="824"/>
        </w:trPr>
        <w:tc>
          <w:tcPr>
            <w:tcW w:w="995" w:type="dxa"/>
            <w:noWrap/>
            <w:vAlign w:val="center"/>
            <w:hideMark/>
          </w:tcPr>
          <w:p w14:paraId="1FF98AAC" w14:textId="77777777" w:rsidR="000F5D43" w:rsidRPr="00576EFD" w:rsidRDefault="000F5D43" w:rsidP="000F5D43">
            <w:pPr>
              <w:rPr>
                <w:b/>
                <w:sz w:val="14"/>
              </w:rPr>
            </w:pPr>
            <w:r w:rsidRPr="00576EFD">
              <w:rPr>
                <w:b/>
                <w:sz w:val="14"/>
              </w:rPr>
              <w:t>15-24y</w:t>
            </w:r>
          </w:p>
          <w:p w14:paraId="4349A507" w14:textId="77777777" w:rsidR="000F5D43" w:rsidRPr="00576EFD" w:rsidRDefault="000F5D43" w:rsidP="000F5D43">
            <w:pPr>
              <w:rPr>
                <w:b/>
                <w:sz w:val="14"/>
              </w:rPr>
            </w:pPr>
            <w:r w:rsidRPr="00576EFD">
              <w:rPr>
                <w:b/>
                <w:sz w:val="14"/>
              </w:rPr>
              <w:t>N=1,019</w:t>
            </w:r>
          </w:p>
        </w:tc>
        <w:tc>
          <w:tcPr>
            <w:tcW w:w="4385" w:type="dxa"/>
          </w:tcPr>
          <w:p w14:paraId="7B4CCE63" w14:textId="77777777" w:rsidR="000F5D43" w:rsidRDefault="000F5D43" w:rsidP="000F5D43">
            <w:pPr>
              <w:rPr>
                <w:i/>
                <w:sz w:val="14"/>
              </w:rPr>
            </w:pPr>
            <w:r w:rsidRPr="009125D2">
              <w:rPr>
                <w:i/>
                <w:sz w:val="14"/>
              </w:rPr>
              <w:t>W</w:t>
            </w:r>
            <w:r>
              <w:rPr>
                <w:i/>
                <w:sz w:val="14"/>
              </w:rPr>
              <w:t>eekly-ONS (% of Weekly-ONS deaths in this age-group)</w:t>
            </w:r>
          </w:p>
          <w:p w14:paraId="4C96ABCB" w14:textId="77777777" w:rsidR="000F5D43" w:rsidRDefault="000F5D43" w:rsidP="000F5D43">
            <w:pPr>
              <w:rPr>
                <w:i/>
                <w:sz w:val="14"/>
              </w:rPr>
            </w:pPr>
            <w:r>
              <w:rPr>
                <w:i/>
                <w:sz w:val="14"/>
              </w:rPr>
              <w:t>Annual ONS (% of all Annual-ONS deaths in this age-group)</w:t>
            </w:r>
          </w:p>
          <w:p w14:paraId="4B496017" w14:textId="77777777" w:rsidR="000F5D43" w:rsidRDefault="000F5D43" w:rsidP="000F5D43">
            <w:pPr>
              <w:rPr>
                <w:i/>
                <w:sz w:val="14"/>
              </w:rPr>
            </w:pPr>
            <w:r>
              <w:rPr>
                <w:i/>
                <w:sz w:val="14"/>
              </w:rPr>
              <w:t>IMD-related deaths (% of all IMD-related deaths in this age-group)</w:t>
            </w:r>
          </w:p>
          <w:p w14:paraId="58F827EC" w14:textId="77777777" w:rsidR="000F5D43" w:rsidRPr="009125D2" w:rsidRDefault="000F5D43" w:rsidP="000F5D43">
            <w:pPr>
              <w:rPr>
                <w:sz w:val="14"/>
              </w:rPr>
            </w:pPr>
            <w:r>
              <w:rPr>
                <w:i/>
                <w:sz w:val="14"/>
              </w:rPr>
              <w:t>Overall CFR / IMD-related CFR in this age-group</w:t>
            </w:r>
          </w:p>
        </w:tc>
        <w:tc>
          <w:tcPr>
            <w:tcW w:w="1275" w:type="dxa"/>
            <w:vAlign w:val="center"/>
            <w:hideMark/>
          </w:tcPr>
          <w:p w14:paraId="43207335" w14:textId="77777777" w:rsidR="000F5D43" w:rsidRPr="009125D2" w:rsidRDefault="000F5D43" w:rsidP="000F5D43">
            <w:pPr>
              <w:rPr>
                <w:sz w:val="14"/>
              </w:rPr>
            </w:pPr>
            <w:r w:rsidRPr="009125D2">
              <w:rPr>
                <w:sz w:val="14"/>
              </w:rPr>
              <w:t>59</w:t>
            </w:r>
            <w:r>
              <w:rPr>
                <w:sz w:val="14"/>
              </w:rPr>
              <w:t>/63 (93.7%)</w:t>
            </w:r>
          </w:p>
          <w:p w14:paraId="4EF0965D" w14:textId="77777777" w:rsidR="000F5D43" w:rsidRDefault="000F5D43" w:rsidP="000F5D43">
            <w:pPr>
              <w:rPr>
                <w:sz w:val="14"/>
              </w:rPr>
            </w:pPr>
            <w:r w:rsidRPr="009125D2">
              <w:rPr>
                <w:sz w:val="14"/>
              </w:rPr>
              <w:t>66</w:t>
            </w:r>
            <w:r>
              <w:rPr>
                <w:sz w:val="14"/>
              </w:rPr>
              <w:t>/72</w:t>
            </w:r>
            <w:r w:rsidRPr="009125D2">
              <w:rPr>
                <w:sz w:val="14"/>
              </w:rPr>
              <w:t xml:space="preserve"> (9</w:t>
            </w:r>
            <w:r>
              <w:rPr>
                <w:sz w:val="14"/>
              </w:rPr>
              <w:t>1.7</w:t>
            </w:r>
            <w:r w:rsidRPr="009125D2">
              <w:rPr>
                <w:sz w:val="14"/>
              </w:rPr>
              <w:t>%)</w:t>
            </w:r>
          </w:p>
          <w:p w14:paraId="7EC54D04" w14:textId="77777777" w:rsidR="000F5D43" w:rsidRDefault="000F5D43" w:rsidP="000F5D43">
            <w:pPr>
              <w:rPr>
                <w:sz w:val="14"/>
              </w:rPr>
            </w:pPr>
            <w:r w:rsidRPr="009125D2">
              <w:rPr>
                <w:sz w:val="14"/>
              </w:rPr>
              <w:t>66</w:t>
            </w:r>
            <w:r>
              <w:rPr>
                <w:sz w:val="14"/>
              </w:rPr>
              <w:t>/69</w:t>
            </w:r>
            <w:r w:rsidRPr="009125D2">
              <w:rPr>
                <w:sz w:val="14"/>
              </w:rPr>
              <w:t xml:space="preserve"> (</w:t>
            </w:r>
            <w:r>
              <w:rPr>
                <w:sz w:val="14"/>
              </w:rPr>
              <w:t>95.7</w:t>
            </w:r>
            <w:r w:rsidRPr="009125D2">
              <w:rPr>
                <w:sz w:val="14"/>
              </w:rPr>
              <w:t>%)</w:t>
            </w:r>
          </w:p>
          <w:p w14:paraId="72288D7C" w14:textId="77777777" w:rsidR="000F5D43" w:rsidRPr="009125D2" w:rsidRDefault="000F5D43" w:rsidP="000F5D43">
            <w:pPr>
              <w:rPr>
                <w:sz w:val="14"/>
              </w:rPr>
            </w:pPr>
            <w:r w:rsidRPr="009125D2">
              <w:rPr>
                <w:sz w:val="14"/>
              </w:rPr>
              <w:t>6.5%</w:t>
            </w:r>
            <w:r>
              <w:rPr>
                <w:sz w:val="14"/>
              </w:rPr>
              <w:t xml:space="preserve"> / 6.5%</w:t>
            </w:r>
          </w:p>
        </w:tc>
        <w:tc>
          <w:tcPr>
            <w:tcW w:w="1261" w:type="dxa"/>
            <w:vAlign w:val="center"/>
            <w:hideMark/>
          </w:tcPr>
          <w:p w14:paraId="18C8B1C7" w14:textId="77777777" w:rsidR="000F5D43" w:rsidRPr="00613C59" w:rsidRDefault="000F5D43" w:rsidP="000F5D43">
            <w:pPr>
              <w:rPr>
                <w:color w:val="000000" w:themeColor="text1"/>
                <w:sz w:val="14"/>
              </w:rPr>
            </w:pPr>
            <w:r w:rsidRPr="00613C59">
              <w:rPr>
                <w:color w:val="000000" w:themeColor="text1"/>
                <w:sz w:val="14"/>
              </w:rPr>
              <w:t>63</w:t>
            </w:r>
          </w:p>
          <w:p w14:paraId="6658F023" w14:textId="77777777" w:rsidR="000F5D43" w:rsidRPr="00613C59" w:rsidRDefault="000F5D43" w:rsidP="000F5D43">
            <w:pPr>
              <w:rPr>
                <w:color w:val="000000" w:themeColor="text1"/>
                <w:sz w:val="14"/>
              </w:rPr>
            </w:pPr>
            <w:r w:rsidRPr="00613C59">
              <w:rPr>
                <w:color w:val="000000" w:themeColor="text1"/>
                <w:sz w:val="14"/>
              </w:rPr>
              <w:t>69/72 (95.8%)</w:t>
            </w:r>
          </w:p>
          <w:p w14:paraId="7D016E8A" w14:textId="77777777" w:rsidR="000F5D43" w:rsidRPr="00613C59" w:rsidRDefault="000F5D43" w:rsidP="000F5D43">
            <w:pPr>
              <w:rPr>
                <w:color w:val="000000" w:themeColor="text1"/>
                <w:sz w:val="14"/>
              </w:rPr>
            </w:pPr>
            <w:r w:rsidRPr="00613C59">
              <w:rPr>
                <w:color w:val="000000" w:themeColor="text1"/>
                <w:sz w:val="14"/>
              </w:rPr>
              <w:t>69</w:t>
            </w:r>
          </w:p>
          <w:p w14:paraId="3AFA9FB1" w14:textId="77777777" w:rsidR="000F5D43" w:rsidRPr="00613C59" w:rsidRDefault="000F5D43" w:rsidP="000F5D43">
            <w:pPr>
              <w:rPr>
                <w:color w:val="000000" w:themeColor="text1"/>
                <w:sz w:val="14"/>
              </w:rPr>
            </w:pPr>
            <w:r w:rsidRPr="00613C59">
              <w:rPr>
                <w:color w:val="000000" w:themeColor="text1"/>
                <w:sz w:val="14"/>
              </w:rPr>
              <w:t>6.8% / 6.8%</w:t>
            </w:r>
          </w:p>
        </w:tc>
        <w:tc>
          <w:tcPr>
            <w:tcW w:w="1327" w:type="dxa"/>
            <w:vAlign w:val="center"/>
            <w:hideMark/>
          </w:tcPr>
          <w:p w14:paraId="3BCD1102" w14:textId="77777777" w:rsidR="000F5D43" w:rsidRPr="009125D2" w:rsidRDefault="000F5D43" w:rsidP="000F5D43">
            <w:pPr>
              <w:rPr>
                <w:sz w:val="14"/>
              </w:rPr>
            </w:pPr>
            <w:r w:rsidRPr="009125D2">
              <w:rPr>
                <w:sz w:val="14"/>
              </w:rPr>
              <w:t>63</w:t>
            </w:r>
          </w:p>
          <w:p w14:paraId="45124D0C" w14:textId="77777777" w:rsidR="000F5D43" w:rsidRDefault="000F5D43" w:rsidP="000F5D43">
            <w:pPr>
              <w:rPr>
                <w:sz w:val="14"/>
              </w:rPr>
            </w:pPr>
            <w:r w:rsidRPr="009125D2">
              <w:rPr>
                <w:sz w:val="14"/>
              </w:rPr>
              <w:t>69</w:t>
            </w:r>
            <w:r>
              <w:rPr>
                <w:sz w:val="14"/>
              </w:rPr>
              <w:t>/72</w:t>
            </w:r>
            <w:r w:rsidRPr="009125D2">
              <w:rPr>
                <w:sz w:val="14"/>
              </w:rPr>
              <w:t xml:space="preserve"> (</w:t>
            </w:r>
            <w:r>
              <w:rPr>
                <w:sz w:val="14"/>
              </w:rPr>
              <w:t>95.8</w:t>
            </w:r>
            <w:r w:rsidRPr="009125D2">
              <w:rPr>
                <w:sz w:val="14"/>
              </w:rPr>
              <w:t>%)</w:t>
            </w:r>
          </w:p>
          <w:p w14:paraId="6A229E99" w14:textId="77777777" w:rsidR="000F5D43" w:rsidRDefault="000F5D43" w:rsidP="000F5D43">
            <w:pPr>
              <w:rPr>
                <w:sz w:val="14"/>
              </w:rPr>
            </w:pPr>
            <w:r w:rsidRPr="009125D2">
              <w:rPr>
                <w:sz w:val="14"/>
              </w:rPr>
              <w:t>69</w:t>
            </w:r>
          </w:p>
          <w:p w14:paraId="4D2B3A3C" w14:textId="77777777" w:rsidR="000F5D43" w:rsidRPr="009125D2" w:rsidRDefault="000F5D43" w:rsidP="000F5D43">
            <w:pPr>
              <w:rPr>
                <w:sz w:val="14"/>
              </w:rPr>
            </w:pPr>
            <w:r w:rsidRPr="009125D2">
              <w:rPr>
                <w:sz w:val="14"/>
              </w:rPr>
              <w:t>6.8%</w:t>
            </w:r>
            <w:r>
              <w:rPr>
                <w:sz w:val="14"/>
              </w:rPr>
              <w:t xml:space="preserve"> / 6.9%</w:t>
            </w:r>
          </w:p>
        </w:tc>
        <w:tc>
          <w:tcPr>
            <w:tcW w:w="1327" w:type="dxa"/>
            <w:shd w:val="clear" w:color="auto" w:fill="D9D9D9" w:themeFill="background1" w:themeFillShade="D9"/>
            <w:vAlign w:val="center"/>
            <w:hideMark/>
          </w:tcPr>
          <w:p w14:paraId="0E65E3CB" w14:textId="77777777" w:rsidR="000F5D43" w:rsidRPr="009125D2" w:rsidRDefault="000F5D43" w:rsidP="000F5D43">
            <w:pPr>
              <w:rPr>
                <w:sz w:val="14"/>
              </w:rPr>
            </w:pPr>
            <w:r w:rsidRPr="009125D2">
              <w:rPr>
                <w:sz w:val="14"/>
              </w:rPr>
              <w:t>63</w:t>
            </w:r>
          </w:p>
          <w:p w14:paraId="75E0ADF9" w14:textId="77777777" w:rsidR="000F5D43" w:rsidRDefault="000F5D43" w:rsidP="000F5D43">
            <w:pPr>
              <w:rPr>
                <w:sz w:val="14"/>
              </w:rPr>
            </w:pPr>
            <w:r w:rsidRPr="009125D2">
              <w:rPr>
                <w:sz w:val="14"/>
              </w:rPr>
              <w:t>69</w:t>
            </w:r>
            <w:r>
              <w:rPr>
                <w:sz w:val="14"/>
              </w:rPr>
              <w:t>/71</w:t>
            </w:r>
            <w:r w:rsidRPr="009125D2">
              <w:rPr>
                <w:sz w:val="14"/>
              </w:rPr>
              <w:t xml:space="preserve"> (</w:t>
            </w:r>
            <w:r>
              <w:rPr>
                <w:sz w:val="14"/>
              </w:rPr>
              <w:t>95.8</w:t>
            </w:r>
            <w:r w:rsidRPr="009125D2">
              <w:rPr>
                <w:sz w:val="14"/>
              </w:rPr>
              <w:t>%)</w:t>
            </w:r>
          </w:p>
          <w:p w14:paraId="477F1162" w14:textId="77777777" w:rsidR="000F5D43" w:rsidRDefault="000F5D43" w:rsidP="000F5D43">
            <w:pPr>
              <w:rPr>
                <w:sz w:val="14"/>
              </w:rPr>
            </w:pPr>
            <w:r w:rsidRPr="009125D2">
              <w:rPr>
                <w:sz w:val="14"/>
              </w:rPr>
              <w:t>69</w:t>
            </w:r>
          </w:p>
          <w:p w14:paraId="70CAB40A" w14:textId="77777777" w:rsidR="000F5D43" w:rsidRPr="009125D2" w:rsidRDefault="000F5D43" w:rsidP="000F5D43">
            <w:pPr>
              <w:rPr>
                <w:sz w:val="14"/>
              </w:rPr>
            </w:pPr>
            <w:r w:rsidRPr="009125D2">
              <w:rPr>
                <w:sz w:val="14"/>
              </w:rPr>
              <w:t>6.8%</w:t>
            </w:r>
            <w:r>
              <w:rPr>
                <w:sz w:val="14"/>
              </w:rPr>
              <w:t xml:space="preserve"> / 6.8%</w:t>
            </w:r>
          </w:p>
        </w:tc>
        <w:tc>
          <w:tcPr>
            <w:tcW w:w="1327" w:type="dxa"/>
            <w:vAlign w:val="center"/>
            <w:hideMark/>
          </w:tcPr>
          <w:p w14:paraId="2B69E2DD" w14:textId="77777777" w:rsidR="000F5D43" w:rsidRPr="009125D2" w:rsidRDefault="000F5D43" w:rsidP="000F5D43">
            <w:pPr>
              <w:rPr>
                <w:sz w:val="14"/>
              </w:rPr>
            </w:pPr>
            <w:r w:rsidRPr="009125D2">
              <w:rPr>
                <w:sz w:val="14"/>
              </w:rPr>
              <w:t>63</w:t>
            </w:r>
          </w:p>
          <w:p w14:paraId="1830FC3F" w14:textId="77777777" w:rsidR="000F5D43" w:rsidRDefault="000F5D43" w:rsidP="000F5D43">
            <w:pPr>
              <w:rPr>
                <w:sz w:val="14"/>
              </w:rPr>
            </w:pPr>
            <w:r w:rsidRPr="009125D2">
              <w:rPr>
                <w:sz w:val="14"/>
              </w:rPr>
              <w:t>71</w:t>
            </w:r>
            <w:r>
              <w:rPr>
                <w:sz w:val="14"/>
              </w:rPr>
              <w:t>/72</w:t>
            </w:r>
            <w:r w:rsidRPr="009125D2">
              <w:rPr>
                <w:sz w:val="14"/>
              </w:rPr>
              <w:t xml:space="preserve"> (</w:t>
            </w:r>
            <w:r>
              <w:rPr>
                <w:sz w:val="14"/>
              </w:rPr>
              <w:t>98.6</w:t>
            </w:r>
            <w:r w:rsidRPr="009125D2">
              <w:rPr>
                <w:sz w:val="14"/>
              </w:rPr>
              <w:t>%)</w:t>
            </w:r>
          </w:p>
          <w:p w14:paraId="2A49CD10" w14:textId="77777777" w:rsidR="000F5D43" w:rsidRDefault="000F5D43" w:rsidP="000F5D43">
            <w:pPr>
              <w:rPr>
                <w:sz w:val="14"/>
              </w:rPr>
            </w:pPr>
            <w:r w:rsidRPr="009125D2">
              <w:rPr>
                <w:sz w:val="14"/>
              </w:rPr>
              <w:t>69</w:t>
            </w:r>
          </w:p>
          <w:p w14:paraId="6C4C9FEC" w14:textId="77777777" w:rsidR="000F5D43" w:rsidRPr="009125D2" w:rsidRDefault="000F5D43" w:rsidP="000F5D43">
            <w:pPr>
              <w:rPr>
                <w:sz w:val="14"/>
              </w:rPr>
            </w:pPr>
            <w:r>
              <w:rPr>
                <w:sz w:val="14"/>
              </w:rPr>
              <w:t xml:space="preserve">7.0% / </w:t>
            </w:r>
            <w:r w:rsidRPr="009125D2">
              <w:rPr>
                <w:sz w:val="14"/>
              </w:rPr>
              <w:t>6.8%</w:t>
            </w:r>
          </w:p>
        </w:tc>
        <w:tc>
          <w:tcPr>
            <w:tcW w:w="1327" w:type="dxa"/>
            <w:vAlign w:val="center"/>
            <w:hideMark/>
          </w:tcPr>
          <w:p w14:paraId="52A01B04" w14:textId="77777777" w:rsidR="000F5D43" w:rsidRPr="009125D2" w:rsidRDefault="000F5D43" w:rsidP="000F5D43">
            <w:pPr>
              <w:rPr>
                <w:sz w:val="14"/>
              </w:rPr>
            </w:pPr>
            <w:r w:rsidRPr="009125D2">
              <w:rPr>
                <w:sz w:val="14"/>
              </w:rPr>
              <w:t>63</w:t>
            </w:r>
          </w:p>
          <w:p w14:paraId="63395313" w14:textId="77777777" w:rsidR="000F5D43" w:rsidRDefault="000F5D43" w:rsidP="000F5D43">
            <w:pPr>
              <w:rPr>
                <w:sz w:val="14"/>
              </w:rPr>
            </w:pPr>
            <w:r w:rsidRPr="009125D2">
              <w:rPr>
                <w:sz w:val="14"/>
              </w:rPr>
              <w:t>71</w:t>
            </w:r>
            <w:r>
              <w:rPr>
                <w:sz w:val="14"/>
              </w:rPr>
              <w:t>/72 (98.6%)</w:t>
            </w:r>
          </w:p>
          <w:p w14:paraId="2934EBF3" w14:textId="77777777" w:rsidR="000F5D43" w:rsidRDefault="000F5D43" w:rsidP="000F5D43">
            <w:pPr>
              <w:rPr>
                <w:sz w:val="14"/>
              </w:rPr>
            </w:pPr>
            <w:r w:rsidRPr="009125D2">
              <w:rPr>
                <w:sz w:val="14"/>
              </w:rPr>
              <w:t>69</w:t>
            </w:r>
          </w:p>
          <w:p w14:paraId="6E4CA044" w14:textId="77777777" w:rsidR="000F5D43" w:rsidRPr="009125D2" w:rsidRDefault="000F5D43" w:rsidP="000F5D43">
            <w:pPr>
              <w:rPr>
                <w:sz w:val="14"/>
              </w:rPr>
            </w:pPr>
            <w:r>
              <w:rPr>
                <w:sz w:val="14"/>
              </w:rPr>
              <w:t xml:space="preserve">7.0% / </w:t>
            </w:r>
            <w:r w:rsidRPr="009125D2">
              <w:rPr>
                <w:sz w:val="14"/>
              </w:rPr>
              <w:t>6.8%</w:t>
            </w:r>
          </w:p>
        </w:tc>
        <w:tc>
          <w:tcPr>
            <w:tcW w:w="1454" w:type="dxa"/>
            <w:shd w:val="clear" w:color="auto" w:fill="D9D9D9" w:themeFill="background1" w:themeFillShade="D9"/>
            <w:vAlign w:val="center"/>
            <w:hideMark/>
          </w:tcPr>
          <w:p w14:paraId="0CAD4C7D" w14:textId="77777777" w:rsidR="000F5D43" w:rsidRPr="009125D2" w:rsidRDefault="000F5D43" w:rsidP="000F5D43">
            <w:pPr>
              <w:rPr>
                <w:sz w:val="14"/>
              </w:rPr>
            </w:pPr>
            <w:r w:rsidRPr="009125D2">
              <w:rPr>
                <w:sz w:val="14"/>
              </w:rPr>
              <w:t>63</w:t>
            </w:r>
          </w:p>
          <w:p w14:paraId="6F5C0D95" w14:textId="77777777" w:rsidR="000F5D43" w:rsidRDefault="000F5D43" w:rsidP="000F5D43">
            <w:pPr>
              <w:rPr>
                <w:sz w:val="14"/>
              </w:rPr>
            </w:pPr>
            <w:r w:rsidRPr="009125D2">
              <w:rPr>
                <w:sz w:val="14"/>
              </w:rPr>
              <w:t>72</w:t>
            </w:r>
          </w:p>
          <w:p w14:paraId="3981F37B" w14:textId="77777777" w:rsidR="000F5D43" w:rsidRDefault="000F5D43" w:rsidP="000F5D43">
            <w:pPr>
              <w:rPr>
                <w:sz w:val="14"/>
              </w:rPr>
            </w:pPr>
            <w:r w:rsidRPr="009125D2">
              <w:rPr>
                <w:sz w:val="14"/>
              </w:rPr>
              <w:t>69</w:t>
            </w:r>
          </w:p>
          <w:p w14:paraId="49669451" w14:textId="77777777" w:rsidR="000F5D43" w:rsidRPr="009125D2" w:rsidRDefault="000F5D43" w:rsidP="000F5D43">
            <w:pPr>
              <w:rPr>
                <w:sz w:val="14"/>
              </w:rPr>
            </w:pPr>
            <w:r>
              <w:rPr>
                <w:sz w:val="14"/>
              </w:rPr>
              <w:t xml:space="preserve">7.1% / </w:t>
            </w:r>
            <w:r w:rsidRPr="009125D2">
              <w:rPr>
                <w:sz w:val="14"/>
              </w:rPr>
              <w:t>6.8%</w:t>
            </w:r>
            <w:r>
              <w:rPr>
                <w:sz w:val="14"/>
              </w:rPr>
              <w:t xml:space="preserve"> </w:t>
            </w:r>
          </w:p>
        </w:tc>
      </w:tr>
      <w:tr w:rsidR="000F5D43" w:rsidRPr="009125D2" w14:paraId="620671C4" w14:textId="77777777" w:rsidTr="000F5D43">
        <w:trPr>
          <w:trHeight w:val="824"/>
        </w:trPr>
        <w:tc>
          <w:tcPr>
            <w:tcW w:w="995" w:type="dxa"/>
            <w:noWrap/>
            <w:vAlign w:val="center"/>
            <w:hideMark/>
          </w:tcPr>
          <w:p w14:paraId="73E5A416" w14:textId="77777777" w:rsidR="000F5D43" w:rsidRPr="00576EFD" w:rsidRDefault="000F5D43" w:rsidP="000F5D43">
            <w:pPr>
              <w:rPr>
                <w:b/>
                <w:sz w:val="14"/>
              </w:rPr>
            </w:pPr>
            <w:r w:rsidRPr="00576EFD">
              <w:rPr>
                <w:b/>
                <w:sz w:val="14"/>
              </w:rPr>
              <w:t>25-44y</w:t>
            </w:r>
          </w:p>
          <w:p w14:paraId="4BD4C645" w14:textId="77777777" w:rsidR="000F5D43" w:rsidRPr="00576EFD" w:rsidRDefault="000F5D43" w:rsidP="000F5D43">
            <w:pPr>
              <w:rPr>
                <w:b/>
                <w:sz w:val="14"/>
              </w:rPr>
            </w:pPr>
            <w:r w:rsidRPr="00576EFD">
              <w:rPr>
                <w:b/>
                <w:sz w:val="14"/>
              </w:rPr>
              <w:t>N=438</w:t>
            </w:r>
          </w:p>
        </w:tc>
        <w:tc>
          <w:tcPr>
            <w:tcW w:w="4385" w:type="dxa"/>
          </w:tcPr>
          <w:p w14:paraId="3CC71CA8" w14:textId="77777777" w:rsidR="000F5D43" w:rsidRDefault="000F5D43" w:rsidP="000F5D43">
            <w:pPr>
              <w:rPr>
                <w:i/>
                <w:sz w:val="14"/>
              </w:rPr>
            </w:pPr>
            <w:r w:rsidRPr="009125D2">
              <w:rPr>
                <w:i/>
                <w:sz w:val="14"/>
              </w:rPr>
              <w:t>W</w:t>
            </w:r>
            <w:r>
              <w:rPr>
                <w:i/>
                <w:sz w:val="14"/>
              </w:rPr>
              <w:t>eekly-ONS (% of Weekly-ONS deaths in this age-group)</w:t>
            </w:r>
          </w:p>
          <w:p w14:paraId="3DA33FD5" w14:textId="77777777" w:rsidR="000F5D43" w:rsidRDefault="000F5D43" w:rsidP="000F5D43">
            <w:pPr>
              <w:rPr>
                <w:i/>
                <w:sz w:val="14"/>
              </w:rPr>
            </w:pPr>
            <w:r>
              <w:rPr>
                <w:i/>
                <w:sz w:val="14"/>
              </w:rPr>
              <w:t>Annual ONS (% of all Annual-ONS deaths in this age-group)</w:t>
            </w:r>
          </w:p>
          <w:p w14:paraId="3AD4B050" w14:textId="77777777" w:rsidR="000F5D43" w:rsidRDefault="000F5D43" w:rsidP="000F5D43">
            <w:pPr>
              <w:rPr>
                <w:i/>
                <w:sz w:val="14"/>
              </w:rPr>
            </w:pPr>
            <w:r>
              <w:rPr>
                <w:i/>
                <w:sz w:val="14"/>
              </w:rPr>
              <w:t>IMD-related deaths (% of all IMD-related deaths in this age-group)</w:t>
            </w:r>
          </w:p>
          <w:p w14:paraId="0C7CB00D" w14:textId="77777777" w:rsidR="000F5D43" w:rsidRPr="009125D2" w:rsidRDefault="000F5D43" w:rsidP="000F5D43">
            <w:pPr>
              <w:rPr>
                <w:sz w:val="14"/>
              </w:rPr>
            </w:pPr>
            <w:r>
              <w:rPr>
                <w:i/>
                <w:sz w:val="14"/>
              </w:rPr>
              <w:t>Overall CFR / IMD-related CFR in this age-group</w:t>
            </w:r>
          </w:p>
        </w:tc>
        <w:tc>
          <w:tcPr>
            <w:tcW w:w="1275" w:type="dxa"/>
            <w:vAlign w:val="center"/>
            <w:hideMark/>
          </w:tcPr>
          <w:p w14:paraId="267AA509" w14:textId="77777777" w:rsidR="000F5D43" w:rsidRPr="009125D2" w:rsidRDefault="000F5D43" w:rsidP="000F5D43">
            <w:pPr>
              <w:rPr>
                <w:sz w:val="14"/>
              </w:rPr>
            </w:pPr>
            <w:r w:rsidRPr="009125D2">
              <w:rPr>
                <w:sz w:val="14"/>
              </w:rPr>
              <w:t>23</w:t>
            </w:r>
            <w:r>
              <w:rPr>
                <w:sz w:val="14"/>
              </w:rPr>
              <w:t>/28 (82.1%)</w:t>
            </w:r>
          </w:p>
          <w:p w14:paraId="4A1A1A98" w14:textId="77777777" w:rsidR="000F5D43" w:rsidRDefault="000F5D43" w:rsidP="000F5D43">
            <w:pPr>
              <w:rPr>
                <w:sz w:val="14"/>
              </w:rPr>
            </w:pPr>
            <w:r w:rsidRPr="009125D2">
              <w:rPr>
                <w:sz w:val="14"/>
              </w:rPr>
              <w:t>26</w:t>
            </w:r>
            <w:r>
              <w:rPr>
                <w:sz w:val="14"/>
              </w:rPr>
              <w:t>/32</w:t>
            </w:r>
            <w:r w:rsidRPr="009125D2">
              <w:rPr>
                <w:sz w:val="14"/>
              </w:rPr>
              <w:t xml:space="preserve"> </w:t>
            </w:r>
            <w:r>
              <w:rPr>
                <w:sz w:val="14"/>
              </w:rPr>
              <w:t>(81.3</w:t>
            </w:r>
            <w:r w:rsidRPr="009125D2">
              <w:rPr>
                <w:sz w:val="14"/>
              </w:rPr>
              <w:t>%)</w:t>
            </w:r>
          </w:p>
          <w:p w14:paraId="667B0844" w14:textId="77777777" w:rsidR="000F5D43" w:rsidRDefault="000F5D43" w:rsidP="000F5D43">
            <w:pPr>
              <w:rPr>
                <w:sz w:val="14"/>
              </w:rPr>
            </w:pPr>
            <w:r w:rsidRPr="009125D2">
              <w:rPr>
                <w:sz w:val="14"/>
              </w:rPr>
              <w:t>2</w:t>
            </w:r>
            <w:r>
              <w:rPr>
                <w:sz w:val="14"/>
              </w:rPr>
              <w:t>6/31</w:t>
            </w:r>
            <w:r w:rsidRPr="009125D2">
              <w:rPr>
                <w:sz w:val="14"/>
              </w:rPr>
              <w:t xml:space="preserve"> (8</w:t>
            </w:r>
            <w:r>
              <w:rPr>
                <w:sz w:val="14"/>
              </w:rPr>
              <w:t>3.9</w:t>
            </w:r>
            <w:r w:rsidRPr="009125D2">
              <w:rPr>
                <w:sz w:val="14"/>
              </w:rPr>
              <w:t>%)</w:t>
            </w:r>
          </w:p>
          <w:p w14:paraId="18F90ABF" w14:textId="77777777" w:rsidR="000F5D43" w:rsidRPr="009125D2" w:rsidRDefault="000F5D43" w:rsidP="000F5D43">
            <w:pPr>
              <w:rPr>
                <w:sz w:val="14"/>
              </w:rPr>
            </w:pPr>
            <w:r w:rsidRPr="009125D2">
              <w:rPr>
                <w:sz w:val="14"/>
              </w:rPr>
              <w:t>5.9%</w:t>
            </w:r>
            <w:r>
              <w:rPr>
                <w:sz w:val="14"/>
              </w:rPr>
              <w:t xml:space="preserve"> / 5.9%</w:t>
            </w:r>
          </w:p>
        </w:tc>
        <w:tc>
          <w:tcPr>
            <w:tcW w:w="1261" w:type="dxa"/>
            <w:vAlign w:val="center"/>
            <w:hideMark/>
          </w:tcPr>
          <w:p w14:paraId="251E0666" w14:textId="77777777" w:rsidR="000F5D43" w:rsidRPr="00613C59" w:rsidRDefault="000F5D43" w:rsidP="000F5D43">
            <w:pPr>
              <w:rPr>
                <w:color w:val="000000" w:themeColor="text1"/>
                <w:sz w:val="14"/>
              </w:rPr>
            </w:pPr>
            <w:r w:rsidRPr="00613C59">
              <w:rPr>
                <w:color w:val="000000" w:themeColor="text1"/>
                <w:sz w:val="14"/>
              </w:rPr>
              <w:t>24</w:t>
            </w:r>
            <w:r>
              <w:rPr>
                <w:color w:val="000000" w:themeColor="text1"/>
                <w:sz w:val="14"/>
              </w:rPr>
              <w:t>/28 (85.7%)</w:t>
            </w:r>
          </w:p>
          <w:p w14:paraId="0BE835B3" w14:textId="77777777" w:rsidR="000F5D43" w:rsidRPr="00613C59" w:rsidRDefault="000F5D43" w:rsidP="000F5D43">
            <w:pPr>
              <w:rPr>
                <w:color w:val="000000" w:themeColor="text1"/>
                <w:sz w:val="14"/>
              </w:rPr>
            </w:pPr>
            <w:r w:rsidRPr="00613C59">
              <w:rPr>
                <w:color w:val="000000" w:themeColor="text1"/>
                <w:sz w:val="14"/>
              </w:rPr>
              <w:t>27/32 (84.4%)</w:t>
            </w:r>
          </w:p>
          <w:p w14:paraId="6660C1CE" w14:textId="77777777" w:rsidR="000F5D43" w:rsidRPr="00613C59" w:rsidRDefault="000F5D43" w:rsidP="000F5D43">
            <w:pPr>
              <w:rPr>
                <w:color w:val="000000" w:themeColor="text1"/>
                <w:sz w:val="14"/>
              </w:rPr>
            </w:pPr>
            <w:r w:rsidRPr="00613C59">
              <w:rPr>
                <w:color w:val="000000" w:themeColor="text1"/>
                <w:sz w:val="14"/>
              </w:rPr>
              <w:t>27/31 (87.1%)</w:t>
            </w:r>
          </w:p>
          <w:p w14:paraId="28F7FB5E" w14:textId="77777777" w:rsidR="000F5D43" w:rsidRPr="00613C59" w:rsidRDefault="000F5D43" w:rsidP="000F5D43">
            <w:pPr>
              <w:rPr>
                <w:color w:val="000000" w:themeColor="text1"/>
                <w:sz w:val="14"/>
              </w:rPr>
            </w:pPr>
            <w:r w:rsidRPr="00613C59">
              <w:rPr>
                <w:color w:val="000000" w:themeColor="text1"/>
                <w:sz w:val="14"/>
              </w:rPr>
              <w:t>6.2% / 6.2%</w:t>
            </w:r>
          </w:p>
        </w:tc>
        <w:tc>
          <w:tcPr>
            <w:tcW w:w="1327" w:type="dxa"/>
            <w:vAlign w:val="center"/>
            <w:hideMark/>
          </w:tcPr>
          <w:p w14:paraId="4C72FE78" w14:textId="77777777" w:rsidR="000F5D43" w:rsidRPr="009125D2" w:rsidRDefault="000F5D43" w:rsidP="000F5D43">
            <w:pPr>
              <w:rPr>
                <w:sz w:val="14"/>
              </w:rPr>
            </w:pPr>
            <w:r w:rsidRPr="009125D2">
              <w:rPr>
                <w:sz w:val="14"/>
              </w:rPr>
              <w:t>26</w:t>
            </w:r>
            <w:r>
              <w:rPr>
                <w:sz w:val="14"/>
              </w:rPr>
              <w:t>/28 (92.9%)</w:t>
            </w:r>
          </w:p>
          <w:p w14:paraId="729919B5" w14:textId="77777777" w:rsidR="000F5D43" w:rsidRDefault="000F5D43" w:rsidP="000F5D43">
            <w:pPr>
              <w:rPr>
                <w:sz w:val="14"/>
              </w:rPr>
            </w:pPr>
            <w:r w:rsidRPr="009125D2">
              <w:rPr>
                <w:sz w:val="14"/>
              </w:rPr>
              <w:t>29</w:t>
            </w:r>
            <w:r>
              <w:rPr>
                <w:sz w:val="14"/>
              </w:rPr>
              <w:t>/32</w:t>
            </w:r>
            <w:r w:rsidRPr="009125D2">
              <w:rPr>
                <w:sz w:val="14"/>
              </w:rPr>
              <w:t xml:space="preserve"> (</w:t>
            </w:r>
            <w:r>
              <w:rPr>
                <w:sz w:val="14"/>
              </w:rPr>
              <w:t>90.6</w:t>
            </w:r>
            <w:r w:rsidRPr="009125D2">
              <w:rPr>
                <w:sz w:val="14"/>
              </w:rPr>
              <w:t>%)</w:t>
            </w:r>
          </w:p>
          <w:p w14:paraId="767C25F8" w14:textId="77777777" w:rsidR="000F5D43" w:rsidRDefault="000F5D43" w:rsidP="000F5D43">
            <w:pPr>
              <w:rPr>
                <w:sz w:val="14"/>
              </w:rPr>
            </w:pPr>
            <w:r w:rsidRPr="009125D2">
              <w:rPr>
                <w:sz w:val="14"/>
              </w:rPr>
              <w:t>29</w:t>
            </w:r>
            <w:r>
              <w:rPr>
                <w:sz w:val="14"/>
              </w:rPr>
              <w:t>/31</w:t>
            </w:r>
            <w:r w:rsidRPr="009125D2">
              <w:rPr>
                <w:sz w:val="14"/>
              </w:rPr>
              <w:t xml:space="preserve"> (9</w:t>
            </w:r>
            <w:r>
              <w:rPr>
                <w:sz w:val="14"/>
              </w:rPr>
              <w:t>3.5</w:t>
            </w:r>
            <w:r w:rsidRPr="009125D2">
              <w:rPr>
                <w:sz w:val="14"/>
              </w:rPr>
              <w:t>%)</w:t>
            </w:r>
          </w:p>
          <w:p w14:paraId="13C9869E" w14:textId="77777777" w:rsidR="000F5D43" w:rsidRPr="009125D2" w:rsidRDefault="000F5D43" w:rsidP="000F5D43">
            <w:pPr>
              <w:rPr>
                <w:sz w:val="14"/>
              </w:rPr>
            </w:pPr>
            <w:r w:rsidRPr="009125D2">
              <w:rPr>
                <w:sz w:val="14"/>
              </w:rPr>
              <w:t>6.6%</w:t>
            </w:r>
            <w:r>
              <w:rPr>
                <w:sz w:val="14"/>
              </w:rPr>
              <w:t xml:space="preserve"> / 6.6%</w:t>
            </w:r>
          </w:p>
        </w:tc>
        <w:tc>
          <w:tcPr>
            <w:tcW w:w="1327" w:type="dxa"/>
            <w:shd w:val="clear" w:color="auto" w:fill="D9D9D9" w:themeFill="background1" w:themeFillShade="D9"/>
            <w:vAlign w:val="center"/>
            <w:hideMark/>
          </w:tcPr>
          <w:p w14:paraId="353E280D" w14:textId="77777777" w:rsidR="000F5D43" w:rsidRPr="009125D2" w:rsidRDefault="000F5D43" w:rsidP="000F5D43">
            <w:pPr>
              <w:rPr>
                <w:sz w:val="14"/>
              </w:rPr>
            </w:pPr>
            <w:r w:rsidRPr="009125D2">
              <w:rPr>
                <w:sz w:val="14"/>
              </w:rPr>
              <w:t>27</w:t>
            </w:r>
            <w:r>
              <w:rPr>
                <w:sz w:val="14"/>
              </w:rPr>
              <w:t>/28 (96.4%)</w:t>
            </w:r>
          </w:p>
          <w:p w14:paraId="2C934D98" w14:textId="77777777" w:rsidR="000F5D43" w:rsidRDefault="000F5D43" w:rsidP="000F5D43">
            <w:pPr>
              <w:rPr>
                <w:sz w:val="14"/>
              </w:rPr>
            </w:pPr>
            <w:r w:rsidRPr="009125D2">
              <w:rPr>
                <w:sz w:val="14"/>
              </w:rPr>
              <w:t>31</w:t>
            </w:r>
            <w:r>
              <w:rPr>
                <w:sz w:val="14"/>
              </w:rPr>
              <w:t>/32</w:t>
            </w:r>
            <w:r w:rsidRPr="009125D2">
              <w:rPr>
                <w:sz w:val="14"/>
              </w:rPr>
              <w:t xml:space="preserve"> (</w:t>
            </w:r>
            <w:r>
              <w:rPr>
                <w:sz w:val="14"/>
              </w:rPr>
              <w:t>96.9</w:t>
            </w:r>
            <w:r w:rsidRPr="009125D2">
              <w:rPr>
                <w:sz w:val="14"/>
              </w:rPr>
              <w:t>%)</w:t>
            </w:r>
          </w:p>
          <w:p w14:paraId="2A149603" w14:textId="77777777" w:rsidR="000F5D43" w:rsidRDefault="000F5D43" w:rsidP="000F5D43">
            <w:pPr>
              <w:rPr>
                <w:sz w:val="14"/>
              </w:rPr>
            </w:pPr>
            <w:r w:rsidRPr="009125D2">
              <w:rPr>
                <w:sz w:val="14"/>
              </w:rPr>
              <w:t>31</w:t>
            </w:r>
          </w:p>
          <w:p w14:paraId="72CBCA1A" w14:textId="77777777" w:rsidR="000F5D43" w:rsidRPr="009125D2" w:rsidRDefault="000F5D43" w:rsidP="000F5D43">
            <w:pPr>
              <w:rPr>
                <w:sz w:val="14"/>
              </w:rPr>
            </w:pPr>
            <w:r w:rsidRPr="009125D2">
              <w:rPr>
                <w:sz w:val="14"/>
              </w:rPr>
              <w:t>7.1%</w:t>
            </w:r>
            <w:r>
              <w:rPr>
                <w:sz w:val="14"/>
              </w:rPr>
              <w:t xml:space="preserve"> / 7.1%</w:t>
            </w:r>
          </w:p>
        </w:tc>
        <w:tc>
          <w:tcPr>
            <w:tcW w:w="1327" w:type="dxa"/>
            <w:vAlign w:val="center"/>
            <w:hideMark/>
          </w:tcPr>
          <w:p w14:paraId="0F153F8F" w14:textId="77777777" w:rsidR="000F5D43" w:rsidRPr="009125D2" w:rsidRDefault="000F5D43" w:rsidP="000F5D43">
            <w:pPr>
              <w:rPr>
                <w:sz w:val="14"/>
              </w:rPr>
            </w:pPr>
            <w:r w:rsidRPr="009125D2">
              <w:rPr>
                <w:sz w:val="14"/>
              </w:rPr>
              <w:t>27</w:t>
            </w:r>
            <w:r>
              <w:rPr>
                <w:sz w:val="14"/>
              </w:rPr>
              <w:t>/28 (96.4%)</w:t>
            </w:r>
          </w:p>
          <w:p w14:paraId="3D340B05" w14:textId="77777777" w:rsidR="000F5D43" w:rsidRDefault="000F5D43" w:rsidP="000F5D43">
            <w:pPr>
              <w:rPr>
                <w:sz w:val="14"/>
              </w:rPr>
            </w:pPr>
            <w:r w:rsidRPr="009125D2">
              <w:rPr>
                <w:sz w:val="14"/>
              </w:rPr>
              <w:t>31</w:t>
            </w:r>
            <w:r>
              <w:rPr>
                <w:sz w:val="14"/>
              </w:rPr>
              <w:t>/32</w:t>
            </w:r>
            <w:r w:rsidRPr="009125D2">
              <w:rPr>
                <w:sz w:val="14"/>
              </w:rPr>
              <w:t xml:space="preserve"> (</w:t>
            </w:r>
            <w:r>
              <w:rPr>
                <w:sz w:val="14"/>
              </w:rPr>
              <w:t>96.9</w:t>
            </w:r>
            <w:r w:rsidRPr="009125D2">
              <w:rPr>
                <w:sz w:val="14"/>
              </w:rPr>
              <w:t>%)</w:t>
            </w:r>
          </w:p>
          <w:p w14:paraId="10978FE4" w14:textId="77777777" w:rsidR="000F5D43" w:rsidRDefault="000F5D43" w:rsidP="000F5D43">
            <w:pPr>
              <w:rPr>
                <w:sz w:val="14"/>
              </w:rPr>
            </w:pPr>
            <w:r>
              <w:rPr>
                <w:sz w:val="14"/>
              </w:rPr>
              <w:t>31</w:t>
            </w:r>
          </w:p>
          <w:p w14:paraId="2177E5D6" w14:textId="77777777" w:rsidR="000F5D43" w:rsidRPr="009125D2" w:rsidRDefault="000F5D43" w:rsidP="000F5D43">
            <w:pPr>
              <w:rPr>
                <w:sz w:val="14"/>
              </w:rPr>
            </w:pPr>
            <w:r w:rsidRPr="009125D2">
              <w:rPr>
                <w:sz w:val="14"/>
              </w:rPr>
              <w:t>7.1%</w:t>
            </w:r>
            <w:r>
              <w:rPr>
                <w:sz w:val="14"/>
              </w:rPr>
              <w:t xml:space="preserve"> / 7.1%</w:t>
            </w:r>
          </w:p>
        </w:tc>
        <w:tc>
          <w:tcPr>
            <w:tcW w:w="1327" w:type="dxa"/>
            <w:vAlign w:val="center"/>
            <w:hideMark/>
          </w:tcPr>
          <w:p w14:paraId="0FB90B93" w14:textId="77777777" w:rsidR="000F5D43" w:rsidRPr="009125D2" w:rsidRDefault="000F5D43" w:rsidP="000F5D43">
            <w:pPr>
              <w:rPr>
                <w:sz w:val="14"/>
              </w:rPr>
            </w:pPr>
            <w:r w:rsidRPr="009125D2">
              <w:rPr>
                <w:sz w:val="14"/>
              </w:rPr>
              <w:t>27</w:t>
            </w:r>
            <w:r>
              <w:rPr>
                <w:sz w:val="14"/>
              </w:rPr>
              <w:t>/28 (96.4%)</w:t>
            </w:r>
          </w:p>
          <w:p w14:paraId="48FDCF28" w14:textId="77777777" w:rsidR="000F5D43" w:rsidRDefault="000F5D43" w:rsidP="000F5D43">
            <w:pPr>
              <w:rPr>
                <w:sz w:val="14"/>
              </w:rPr>
            </w:pPr>
            <w:r w:rsidRPr="009125D2">
              <w:rPr>
                <w:sz w:val="14"/>
              </w:rPr>
              <w:t>31</w:t>
            </w:r>
            <w:r>
              <w:rPr>
                <w:sz w:val="14"/>
              </w:rPr>
              <w:t>/32 (96.9%)</w:t>
            </w:r>
          </w:p>
          <w:p w14:paraId="4C0119AE" w14:textId="77777777" w:rsidR="000F5D43" w:rsidRDefault="000F5D43" w:rsidP="000F5D43">
            <w:pPr>
              <w:rPr>
                <w:sz w:val="14"/>
              </w:rPr>
            </w:pPr>
            <w:r w:rsidRPr="009125D2">
              <w:rPr>
                <w:sz w:val="14"/>
              </w:rPr>
              <w:t>31</w:t>
            </w:r>
          </w:p>
          <w:p w14:paraId="6143147B" w14:textId="77777777" w:rsidR="000F5D43" w:rsidRPr="009125D2" w:rsidRDefault="000F5D43" w:rsidP="000F5D43">
            <w:pPr>
              <w:rPr>
                <w:sz w:val="14"/>
              </w:rPr>
            </w:pPr>
            <w:r w:rsidRPr="009125D2">
              <w:rPr>
                <w:sz w:val="14"/>
              </w:rPr>
              <w:t>7.1%</w:t>
            </w:r>
            <w:r>
              <w:rPr>
                <w:sz w:val="14"/>
              </w:rPr>
              <w:t xml:space="preserve"> / 7.1%</w:t>
            </w:r>
          </w:p>
        </w:tc>
        <w:tc>
          <w:tcPr>
            <w:tcW w:w="1454" w:type="dxa"/>
            <w:shd w:val="clear" w:color="auto" w:fill="D9D9D9" w:themeFill="background1" w:themeFillShade="D9"/>
            <w:vAlign w:val="center"/>
            <w:hideMark/>
          </w:tcPr>
          <w:p w14:paraId="65759E94" w14:textId="77777777" w:rsidR="000F5D43" w:rsidRPr="009125D2" w:rsidRDefault="000F5D43" w:rsidP="000F5D43">
            <w:pPr>
              <w:rPr>
                <w:sz w:val="14"/>
              </w:rPr>
            </w:pPr>
            <w:r w:rsidRPr="009125D2">
              <w:rPr>
                <w:sz w:val="14"/>
              </w:rPr>
              <w:t>28</w:t>
            </w:r>
          </w:p>
          <w:p w14:paraId="6C51832E" w14:textId="77777777" w:rsidR="000F5D43" w:rsidRDefault="000F5D43" w:rsidP="000F5D43">
            <w:pPr>
              <w:rPr>
                <w:sz w:val="14"/>
              </w:rPr>
            </w:pPr>
            <w:r w:rsidRPr="009125D2">
              <w:rPr>
                <w:sz w:val="14"/>
              </w:rPr>
              <w:t>32</w:t>
            </w:r>
          </w:p>
          <w:p w14:paraId="0E227FBD" w14:textId="77777777" w:rsidR="000F5D43" w:rsidRDefault="000F5D43" w:rsidP="000F5D43">
            <w:pPr>
              <w:rPr>
                <w:sz w:val="14"/>
              </w:rPr>
            </w:pPr>
            <w:r w:rsidRPr="009125D2">
              <w:rPr>
                <w:sz w:val="14"/>
              </w:rPr>
              <w:t>31</w:t>
            </w:r>
          </w:p>
          <w:p w14:paraId="5C8B2B3C" w14:textId="77777777" w:rsidR="000F5D43" w:rsidRPr="009125D2" w:rsidRDefault="000F5D43" w:rsidP="000F5D43">
            <w:pPr>
              <w:rPr>
                <w:sz w:val="14"/>
              </w:rPr>
            </w:pPr>
            <w:r>
              <w:rPr>
                <w:sz w:val="14"/>
              </w:rPr>
              <w:t xml:space="preserve">7.3% / </w:t>
            </w:r>
            <w:r w:rsidRPr="009125D2">
              <w:rPr>
                <w:sz w:val="14"/>
              </w:rPr>
              <w:t>7.1%</w:t>
            </w:r>
          </w:p>
        </w:tc>
      </w:tr>
      <w:tr w:rsidR="000F5D43" w:rsidRPr="009125D2" w14:paraId="64F9E159" w14:textId="77777777" w:rsidTr="000F5D43">
        <w:trPr>
          <w:trHeight w:val="824"/>
        </w:trPr>
        <w:tc>
          <w:tcPr>
            <w:tcW w:w="995" w:type="dxa"/>
            <w:noWrap/>
            <w:vAlign w:val="center"/>
            <w:hideMark/>
          </w:tcPr>
          <w:p w14:paraId="2C47454B" w14:textId="77777777" w:rsidR="000F5D43" w:rsidRPr="00576EFD" w:rsidRDefault="000F5D43" w:rsidP="000F5D43">
            <w:pPr>
              <w:rPr>
                <w:b/>
                <w:sz w:val="14"/>
              </w:rPr>
            </w:pPr>
            <w:r w:rsidRPr="00576EFD">
              <w:rPr>
                <w:b/>
                <w:sz w:val="14"/>
              </w:rPr>
              <w:t>45-64y</w:t>
            </w:r>
          </w:p>
          <w:p w14:paraId="453A26F6" w14:textId="77777777" w:rsidR="000F5D43" w:rsidRPr="00576EFD" w:rsidRDefault="000F5D43" w:rsidP="000F5D43">
            <w:pPr>
              <w:rPr>
                <w:b/>
                <w:sz w:val="14"/>
              </w:rPr>
            </w:pPr>
            <w:r w:rsidRPr="00576EFD">
              <w:rPr>
                <w:b/>
                <w:sz w:val="14"/>
              </w:rPr>
              <w:t>N=661</w:t>
            </w:r>
          </w:p>
        </w:tc>
        <w:tc>
          <w:tcPr>
            <w:tcW w:w="4385" w:type="dxa"/>
          </w:tcPr>
          <w:p w14:paraId="62F5879A" w14:textId="77777777" w:rsidR="000F5D43" w:rsidRDefault="000F5D43" w:rsidP="000F5D43">
            <w:pPr>
              <w:rPr>
                <w:i/>
                <w:sz w:val="14"/>
              </w:rPr>
            </w:pPr>
            <w:r w:rsidRPr="009125D2">
              <w:rPr>
                <w:i/>
                <w:sz w:val="14"/>
              </w:rPr>
              <w:t>W</w:t>
            </w:r>
            <w:r>
              <w:rPr>
                <w:i/>
                <w:sz w:val="14"/>
              </w:rPr>
              <w:t>eekly-ONS (% of Weekly-ONS deaths in this age-group)</w:t>
            </w:r>
          </w:p>
          <w:p w14:paraId="00600FCB" w14:textId="77777777" w:rsidR="000F5D43" w:rsidRDefault="000F5D43" w:rsidP="000F5D43">
            <w:pPr>
              <w:rPr>
                <w:i/>
                <w:sz w:val="14"/>
              </w:rPr>
            </w:pPr>
            <w:r>
              <w:rPr>
                <w:i/>
                <w:sz w:val="14"/>
              </w:rPr>
              <w:t>Annual ONS (% of all Annual-ONS deaths in this age-group)</w:t>
            </w:r>
          </w:p>
          <w:p w14:paraId="004A80FE" w14:textId="77777777" w:rsidR="000F5D43" w:rsidRDefault="000F5D43" w:rsidP="000F5D43">
            <w:pPr>
              <w:rPr>
                <w:i/>
                <w:sz w:val="14"/>
              </w:rPr>
            </w:pPr>
            <w:r>
              <w:rPr>
                <w:i/>
                <w:sz w:val="14"/>
              </w:rPr>
              <w:t>IMD-related deaths (% of all IMD-related deaths in this age-group)</w:t>
            </w:r>
          </w:p>
          <w:p w14:paraId="45434420" w14:textId="77777777" w:rsidR="000F5D43" w:rsidRPr="009125D2" w:rsidRDefault="000F5D43" w:rsidP="000F5D43">
            <w:pPr>
              <w:rPr>
                <w:sz w:val="14"/>
              </w:rPr>
            </w:pPr>
            <w:r>
              <w:rPr>
                <w:i/>
                <w:sz w:val="14"/>
              </w:rPr>
              <w:t>Overall CFR / IMD-related CFR in this age-group</w:t>
            </w:r>
          </w:p>
        </w:tc>
        <w:tc>
          <w:tcPr>
            <w:tcW w:w="1275" w:type="dxa"/>
            <w:vAlign w:val="center"/>
            <w:hideMark/>
          </w:tcPr>
          <w:p w14:paraId="40995C26" w14:textId="77777777" w:rsidR="000F5D43" w:rsidRPr="009125D2" w:rsidRDefault="000F5D43" w:rsidP="000F5D43">
            <w:pPr>
              <w:rPr>
                <w:sz w:val="14"/>
              </w:rPr>
            </w:pPr>
            <w:r w:rsidRPr="009125D2">
              <w:rPr>
                <w:sz w:val="14"/>
              </w:rPr>
              <w:t>41</w:t>
            </w:r>
            <w:r>
              <w:rPr>
                <w:sz w:val="14"/>
              </w:rPr>
              <w:t>/46 (89.1%)</w:t>
            </w:r>
          </w:p>
          <w:p w14:paraId="5670FE89" w14:textId="77777777" w:rsidR="000F5D43" w:rsidRDefault="000F5D43" w:rsidP="000F5D43">
            <w:pPr>
              <w:rPr>
                <w:sz w:val="14"/>
              </w:rPr>
            </w:pPr>
            <w:r w:rsidRPr="009125D2">
              <w:rPr>
                <w:sz w:val="14"/>
              </w:rPr>
              <w:t>50</w:t>
            </w:r>
            <w:r>
              <w:rPr>
                <w:sz w:val="14"/>
              </w:rPr>
              <w:t>/94</w:t>
            </w:r>
            <w:r w:rsidRPr="009125D2">
              <w:rPr>
                <w:sz w:val="14"/>
              </w:rPr>
              <w:t xml:space="preserve"> (53</w:t>
            </w:r>
            <w:r>
              <w:rPr>
                <w:sz w:val="14"/>
              </w:rPr>
              <w:t>.2</w:t>
            </w:r>
            <w:r w:rsidRPr="009125D2">
              <w:rPr>
                <w:sz w:val="14"/>
              </w:rPr>
              <w:t>%)</w:t>
            </w:r>
          </w:p>
          <w:p w14:paraId="47E1BAB7" w14:textId="77777777" w:rsidR="000F5D43" w:rsidRDefault="000F5D43" w:rsidP="000F5D43">
            <w:pPr>
              <w:rPr>
                <w:sz w:val="14"/>
              </w:rPr>
            </w:pPr>
            <w:r w:rsidRPr="009125D2">
              <w:rPr>
                <w:sz w:val="14"/>
              </w:rPr>
              <w:t>49</w:t>
            </w:r>
            <w:r>
              <w:rPr>
                <w:sz w:val="14"/>
              </w:rPr>
              <w:t>/56</w:t>
            </w:r>
            <w:r w:rsidRPr="009125D2">
              <w:rPr>
                <w:sz w:val="14"/>
              </w:rPr>
              <w:t xml:space="preserve"> (</w:t>
            </w:r>
            <w:r>
              <w:rPr>
                <w:sz w:val="14"/>
              </w:rPr>
              <w:t>87.5</w:t>
            </w:r>
            <w:r w:rsidRPr="009125D2">
              <w:rPr>
                <w:sz w:val="14"/>
              </w:rPr>
              <w:t>%)</w:t>
            </w:r>
          </w:p>
          <w:p w14:paraId="39C4DC5E" w14:textId="77777777" w:rsidR="000F5D43" w:rsidRPr="009125D2" w:rsidRDefault="000F5D43" w:rsidP="000F5D43">
            <w:pPr>
              <w:rPr>
                <w:sz w:val="14"/>
              </w:rPr>
            </w:pPr>
            <w:r w:rsidRPr="009125D2">
              <w:rPr>
                <w:sz w:val="14"/>
              </w:rPr>
              <w:t>7.</w:t>
            </w:r>
            <w:r>
              <w:rPr>
                <w:sz w:val="14"/>
              </w:rPr>
              <w:t>6</w:t>
            </w:r>
            <w:r w:rsidRPr="009125D2">
              <w:rPr>
                <w:sz w:val="14"/>
              </w:rPr>
              <w:t>%</w:t>
            </w:r>
            <w:r>
              <w:rPr>
                <w:sz w:val="14"/>
              </w:rPr>
              <w:t xml:space="preserve"> / 7.4%</w:t>
            </w:r>
          </w:p>
        </w:tc>
        <w:tc>
          <w:tcPr>
            <w:tcW w:w="1261" w:type="dxa"/>
            <w:vAlign w:val="center"/>
            <w:hideMark/>
          </w:tcPr>
          <w:p w14:paraId="5046CC7A" w14:textId="77777777" w:rsidR="000F5D43" w:rsidRPr="00613C59" w:rsidRDefault="000F5D43" w:rsidP="000F5D43">
            <w:pPr>
              <w:rPr>
                <w:color w:val="000000" w:themeColor="text1"/>
                <w:sz w:val="14"/>
              </w:rPr>
            </w:pPr>
            <w:r w:rsidRPr="00613C59">
              <w:rPr>
                <w:color w:val="000000" w:themeColor="text1"/>
                <w:sz w:val="14"/>
              </w:rPr>
              <w:t>43</w:t>
            </w:r>
            <w:r>
              <w:rPr>
                <w:color w:val="000000" w:themeColor="text1"/>
                <w:sz w:val="14"/>
              </w:rPr>
              <w:t>/46 (93.5%)</w:t>
            </w:r>
          </w:p>
          <w:p w14:paraId="471F455A" w14:textId="77777777" w:rsidR="000F5D43" w:rsidRPr="00613C59" w:rsidRDefault="000F5D43" w:rsidP="000F5D43">
            <w:pPr>
              <w:rPr>
                <w:color w:val="000000" w:themeColor="text1"/>
                <w:sz w:val="14"/>
              </w:rPr>
            </w:pPr>
            <w:r w:rsidRPr="00613C59">
              <w:rPr>
                <w:color w:val="000000" w:themeColor="text1"/>
                <w:sz w:val="14"/>
              </w:rPr>
              <w:t xml:space="preserve">52/94 (55.3%)                   </w:t>
            </w:r>
          </w:p>
          <w:p w14:paraId="15B47027" w14:textId="77777777" w:rsidR="000F5D43" w:rsidRPr="00613C59" w:rsidRDefault="000F5D43" w:rsidP="000F5D43">
            <w:pPr>
              <w:rPr>
                <w:color w:val="000000" w:themeColor="text1"/>
                <w:sz w:val="14"/>
              </w:rPr>
            </w:pPr>
            <w:r w:rsidRPr="00613C59">
              <w:rPr>
                <w:color w:val="000000" w:themeColor="text1"/>
                <w:sz w:val="14"/>
              </w:rPr>
              <w:t>51/56 (91.1%)</w:t>
            </w:r>
          </w:p>
          <w:p w14:paraId="463F5592" w14:textId="77777777" w:rsidR="000F5D43" w:rsidRPr="00613C59" w:rsidRDefault="000F5D43" w:rsidP="000F5D43">
            <w:pPr>
              <w:rPr>
                <w:color w:val="000000" w:themeColor="text1"/>
                <w:sz w:val="14"/>
              </w:rPr>
            </w:pPr>
            <w:r w:rsidRPr="00613C59">
              <w:rPr>
                <w:color w:val="000000" w:themeColor="text1"/>
                <w:sz w:val="14"/>
              </w:rPr>
              <w:t xml:space="preserve">7.9% / 7.7% </w:t>
            </w:r>
          </w:p>
        </w:tc>
        <w:tc>
          <w:tcPr>
            <w:tcW w:w="1327" w:type="dxa"/>
            <w:vAlign w:val="center"/>
            <w:hideMark/>
          </w:tcPr>
          <w:p w14:paraId="06C28DDF" w14:textId="77777777" w:rsidR="000F5D43" w:rsidRPr="009125D2" w:rsidRDefault="000F5D43" w:rsidP="000F5D43">
            <w:pPr>
              <w:rPr>
                <w:sz w:val="14"/>
              </w:rPr>
            </w:pPr>
            <w:r w:rsidRPr="009125D2">
              <w:rPr>
                <w:sz w:val="14"/>
              </w:rPr>
              <w:t>44</w:t>
            </w:r>
            <w:r>
              <w:rPr>
                <w:sz w:val="14"/>
              </w:rPr>
              <w:t>/46 (95.7%)</w:t>
            </w:r>
          </w:p>
          <w:p w14:paraId="70C95097" w14:textId="77777777" w:rsidR="000F5D43" w:rsidRDefault="000F5D43" w:rsidP="000F5D43">
            <w:pPr>
              <w:rPr>
                <w:sz w:val="14"/>
              </w:rPr>
            </w:pPr>
            <w:r w:rsidRPr="009125D2">
              <w:rPr>
                <w:sz w:val="14"/>
              </w:rPr>
              <w:t>55</w:t>
            </w:r>
            <w:r>
              <w:rPr>
                <w:sz w:val="14"/>
              </w:rPr>
              <w:t>/94</w:t>
            </w:r>
            <w:r w:rsidRPr="009125D2">
              <w:rPr>
                <w:sz w:val="14"/>
              </w:rPr>
              <w:t xml:space="preserve"> (</w:t>
            </w:r>
            <w:r>
              <w:rPr>
                <w:sz w:val="14"/>
              </w:rPr>
              <w:t>58.5</w:t>
            </w:r>
            <w:r w:rsidRPr="009125D2">
              <w:rPr>
                <w:sz w:val="14"/>
              </w:rPr>
              <w:t>%)</w:t>
            </w:r>
          </w:p>
          <w:p w14:paraId="7625B3FA" w14:textId="77777777" w:rsidR="000F5D43" w:rsidRDefault="000F5D43" w:rsidP="000F5D43">
            <w:pPr>
              <w:rPr>
                <w:sz w:val="14"/>
              </w:rPr>
            </w:pPr>
            <w:r w:rsidRPr="009125D2">
              <w:rPr>
                <w:sz w:val="14"/>
              </w:rPr>
              <w:t>53</w:t>
            </w:r>
            <w:r>
              <w:rPr>
                <w:sz w:val="14"/>
              </w:rPr>
              <w:t>/56</w:t>
            </w:r>
            <w:r w:rsidRPr="009125D2">
              <w:rPr>
                <w:sz w:val="14"/>
              </w:rPr>
              <w:t xml:space="preserve"> (9</w:t>
            </w:r>
            <w:r>
              <w:rPr>
                <w:sz w:val="14"/>
              </w:rPr>
              <w:t>4.</w:t>
            </w:r>
            <w:r w:rsidRPr="009125D2">
              <w:rPr>
                <w:sz w:val="14"/>
              </w:rPr>
              <w:t>6%)</w:t>
            </w:r>
          </w:p>
          <w:p w14:paraId="1F76793B" w14:textId="77777777" w:rsidR="000F5D43" w:rsidRPr="009125D2" w:rsidRDefault="000F5D43" w:rsidP="000F5D43">
            <w:pPr>
              <w:rPr>
                <w:sz w:val="14"/>
              </w:rPr>
            </w:pPr>
            <w:r w:rsidRPr="009125D2">
              <w:rPr>
                <w:sz w:val="14"/>
              </w:rPr>
              <w:t>8</w:t>
            </w:r>
            <w:r>
              <w:rPr>
                <w:sz w:val="14"/>
              </w:rPr>
              <w:t>.3</w:t>
            </w:r>
            <w:r w:rsidRPr="009125D2">
              <w:rPr>
                <w:sz w:val="14"/>
              </w:rPr>
              <w:t>%</w:t>
            </w:r>
            <w:r>
              <w:rPr>
                <w:sz w:val="14"/>
              </w:rPr>
              <w:t xml:space="preserve"> / 8.0% </w:t>
            </w:r>
          </w:p>
        </w:tc>
        <w:tc>
          <w:tcPr>
            <w:tcW w:w="1327" w:type="dxa"/>
            <w:shd w:val="clear" w:color="auto" w:fill="D9D9D9" w:themeFill="background1" w:themeFillShade="D9"/>
            <w:vAlign w:val="center"/>
            <w:hideMark/>
          </w:tcPr>
          <w:p w14:paraId="1F158635" w14:textId="77777777" w:rsidR="000F5D43" w:rsidRPr="009125D2" w:rsidRDefault="000F5D43" w:rsidP="000F5D43">
            <w:pPr>
              <w:rPr>
                <w:sz w:val="14"/>
              </w:rPr>
            </w:pPr>
            <w:r w:rsidRPr="009125D2">
              <w:rPr>
                <w:sz w:val="14"/>
              </w:rPr>
              <w:t>45</w:t>
            </w:r>
            <w:r>
              <w:rPr>
                <w:sz w:val="14"/>
              </w:rPr>
              <w:t>/46 (97.8%)</w:t>
            </w:r>
          </w:p>
          <w:p w14:paraId="17CA5475" w14:textId="77777777" w:rsidR="000F5D43" w:rsidRDefault="000F5D43" w:rsidP="000F5D43">
            <w:pPr>
              <w:rPr>
                <w:sz w:val="14"/>
              </w:rPr>
            </w:pPr>
            <w:r w:rsidRPr="009125D2">
              <w:rPr>
                <w:sz w:val="14"/>
              </w:rPr>
              <w:t>56</w:t>
            </w:r>
            <w:r>
              <w:rPr>
                <w:sz w:val="14"/>
              </w:rPr>
              <w:t>/94</w:t>
            </w:r>
            <w:r w:rsidRPr="009125D2">
              <w:rPr>
                <w:sz w:val="14"/>
              </w:rPr>
              <w:t xml:space="preserve"> (</w:t>
            </w:r>
            <w:r>
              <w:rPr>
                <w:sz w:val="14"/>
              </w:rPr>
              <w:t>59.6</w:t>
            </w:r>
            <w:r w:rsidRPr="009125D2">
              <w:rPr>
                <w:sz w:val="14"/>
              </w:rPr>
              <w:t>%)</w:t>
            </w:r>
          </w:p>
          <w:p w14:paraId="4816BEA1" w14:textId="77777777" w:rsidR="000F5D43" w:rsidRDefault="000F5D43" w:rsidP="000F5D43">
            <w:pPr>
              <w:rPr>
                <w:sz w:val="14"/>
              </w:rPr>
            </w:pPr>
            <w:r w:rsidRPr="009125D2">
              <w:rPr>
                <w:sz w:val="14"/>
              </w:rPr>
              <w:t>54</w:t>
            </w:r>
            <w:r>
              <w:rPr>
                <w:sz w:val="14"/>
              </w:rPr>
              <w:t>/56</w:t>
            </w:r>
            <w:r w:rsidRPr="009125D2">
              <w:rPr>
                <w:sz w:val="14"/>
              </w:rPr>
              <w:t xml:space="preserve"> (96</w:t>
            </w:r>
            <w:r>
              <w:rPr>
                <w:sz w:val="14"/>
              </w:rPr>
              <w:t>.4</w:t>
            </w:r>
            <w:r w:rsidRPr="009125D2">
              <w:rPr>
                <w:sz w:val="14"/>
              </w:rPr>
              <w:t>%)</w:t>
            </w:r>
          </w:p>
          <w:p w14:paraId="2B9C142F" w14:textId="77777777" w:rsidR="000F5D43" w:rsidRPr="009125D2" w:rsidRDefault="000F5D43" w:rsidP="000F5D43">
            <w:pPr>
              <w:rPr>
                <w:sz w:val="14"/>
              </w:rPr>
            </w:pPr>
            <w:r w:rsidRPr="009125D2">
              <w:rPr>
                <w:sz w:val="14"/>
              </w:rPr>
              <w:t>8.</w:t>
            </w:r>
            <w:r>
              <w:rPr>
                <w:sz w:val="14"/>
              </w:rPr>
              <w:t>5</w:t>
            </w:r>
            <w:r w:rsidRPr="009125D2">
              <w:rPr>
                <w:sz w:val="14"/>
              </w:rPr>
              <w:t>%</w:t>
            </w:r>
            <w:r>
              <w:rPr>
                <w:sz w:val="14"/>
              </w:rPr>
              <w:t xml:space="preserve"> / 8.2% </w:t>
            </w:r>
          </w:p>
        </w:tc>
        <w:tc>
          <w:tcPr>
            <w:tcW w:w="1327" w:type="dxa"/>
            <w:vAlign w:val="center"/>
            <w:hideMark/>
          </w:tcPr>
          <w:p w14:paraId="1DBF25EB" w14:textId="77777777" w:rsidR="000F5D43" w:rsidRPr="009125D2" w:rsidRDefault="000F5D43" w:rsidP="000F5D43">
            <w:pPr>
              <w:rPr>
                <w:sz w:val="14"/>
              </w:rPr>
            </w:pPr>
            <w:r w:rsidRPr="009125D2">
              <w:rPr>
                <w:sz w:val="14"/>
              </w:rPr>
              <w:t>46</w:t>
            </w:r>
          </w:p>
          <w:p w14:paraId="491E6FDA" w14:textId="77777777" w:rsidR="000F5D43" w:rsidRDefault="000F5D43" w:rsidP="000F5D43">
            <w:pPr>
              <w:rPr>
                <w:sz w:val="14"/>
              </w:rPr>
            </w:pPr>
            <w:r w:rsidRPr="009125D2">
              <w:rPr>
                <w:sz w:val="14"/>
              </w:rPr>
              <w:t>59</w:t>
            </w:r>
            <w:r>
              <w:rPr>
                <w:sz w:val="14"/>
              </w:rPr>
              <w:t>/94</w:t>
            </w:r>
            <w:r w:rsidRPr="009125D2">
              <w:rPr>
                <w:sz w:val="14"/>
              </w:rPr>
              <w:t xml:space="preserve"> (6</w:t>
            </w:r>
            <w:r>
              <w:rPr>
                <w:sz w:val="14"/>
              </w:rPr>
              <w:t>2.8</w:t>
            </w:r>
            <w:r w:rsidRPr="009125D2">
              <w:rPr>
                <w:sz w:val="14"/>
              </w:rPr>
              <w:t>%)</w:t>
            </w:r>
          </w:p>
          <w:p w14:paraId="2FB5E2FA" w14:textId="77777777" w:rsidR="000F5D43" w:rsidRDefault="000F5D43" w:rsidP="000F5D43">
            <w:pPr>
              <w:rPr>
                <w:sz w:val="14"/>
              </w:rPr>
            </w:pPr>
            <w:r>
              <w:rPr>
                <w:sz w:val="14"/>
              </w:rPr>
              <w:t>5</w:t>
            </w:r>
            <w:r w:rsidRPr="009125D2">
              <w:rPr>
                <w:sz w:val="14"/>
              </w:rPr>
              <w:t>6</w:t>
            </w:r>
          </w:p>
          <w:p w14:paraId="6FD1500F" w14:textId="77777777" w:rsidR="000F5D43" w:rsidRPr="009125D2" w:rsidRDefault="000F5D43" w:rsidP="000F5D43">
            <w:pPr>
              <w:rPr>
                <w:sz w:val="14"/>
              </w:rPr>
            </w:pPr>
            <w:r w:rsidRPr="009125D2">
              <w:rPr>
                <w:sz w:val="14"/>
              </w:rPr>
              <w:t>8.</w:t>
            </w:r>
            <w:r>
              <w:rPr>
                <w:sz w:val="14"/>
              </w:rPr>
              <w:t>9</w:t>
            </w:r>
            <w:r w:rsidRPr="009125D2">
              <w:rPr>
                <w:sz w:val="14"/>
              </w:rPr>
              <w:t>%</w:t>
            </w:r>
            <w:r>
              <w:rPr>
                <w:sz w:val="14"/>
              </w:rPr>
              <w:t xml:space="preserve"> / 8.5%</w:t>
            </w:r>
          </w:p>
        </w:tc>
        <w:tc>
          <w:tcPr>
            <w:tcW w:w="1327" w:type="dxa"/>
            <w:vAlign w:val="center"/>
            <w:hideMark/>
          </w:tcPr>
          <w:p w14:paraId="4BF934FA" w14:textId="77777777" w:rsidR="000F5D43" w:rsidRPr="009125D2" w:rsidRDefault="000F5D43" w:rsidP="000F5D43">
            <w:pPr>
              <w:rPr>
                <w:sz w:val="14"/>
              </w:rPr>
            </w:pPr>
            <w:r w:rsidRPr="009125D2">
              <w:rPr>
                <w:sz w:val="14"/>
              </w:rPr>
              <w:t>46</w:t>
            </w:r>
          </w:p>
          <w:p w14:paraId="32723975" w14:textId="77777777" w:rsidR="000F5D43" w:rsidRDefault="000F5D43" w:rsidP="000F5D43">
            <w:pPr>
              <w:rPr>
                <w:sz w:val="14"/>
              </w:rPr>
            </w:pPr>
            <w:r w:rsidRPr="009125D2">
              <w:rPr>
                <w:sz w:val="14"/>
              </w:rPr>
              <w:t>63</w:t>
            </w:r>
            <w:r>
              <w:rPr>
                <w:sz w:val="14"/>
              </w:rPr>
              <w:t>/94</w:t>
            </w:r>
            <w:r w:rsidRPr="009125D2">
              <w:rPr>
                <w:sz w:val="14"/>
              </w:rPr>
              <w:t xml:space="preserve"> (</w:t>
            </w:r>
            <w:r>
              <w:rPr>
                <w:sz w:val="14"/>
              </w:rPr>
              <w:t>67.0</w:t>
            </w:r>
            <w:r w:rsidRPr="009125D2">
              <w:rPr>
                <w:sz w:val="14"/>
              </w:rPr>
              <w:t>%)</w:t>
            </w:r>
          </w:p>
          <w:p w14:paraId="631300CA" w14:textId="77777777" w:rsidR="000F5D43" w:rsidRDefault="000F5D43" w:rsidP="000F5D43">
            <w:pPr>
              <w:rPr>
                <w:sz w:val="14"/>
              </w:rPr>
            </w:pPr>
            <w:r w:rsidRPr="009125D2">
              <w:rPr>
                <w:sz w:val="14"/>
              </w:rPr>
              <w:t>56</w:t>
            </w:r>
          </w:p>
          <w:p w14:paraId="6B122391" w14:textId="77777777" w:rsidR="000F5D43" w:rsidRPr="009125D2" w:rsidRDefault="000F5D43" w:rsidP="000F5D43">
            <w:pPr>
              <w:rPr>
                <w:sz w:val="14"/>
              </w:rPr>
            </w:pPr>
            <w:r>
              <w:rPr>
                <w:sz w:val="14"/>
              </w:rPr>
              <w:t xml:space="preserve">9.5% / </w:t>
            </w:r>
            <w:r w:rsidRPr="009125D2">
              <w:rPr>
                <w:sz w:val="14"/>
              </w:rPr>
              <w:t>8.5%</w:t>
            </w:r>
          </w:p>
        </w:tc>
        <w:tc>
          <w:tcPr>
            <w:tcW w:w="1454" w:type="dxa"/>
            <w:shd w:val="clear" w:color="auto" w:fill="D9D9D9" w:themeFill="background1" w:themeFillShade="D9"/>
            <w:vAlign w:val="center"/>
            <w:hideMark/>
          </w:tcPr>
          <w:p w14:paraId="31EB57E1" w14:textId="77777777" w:rsidR="000F5D43" w:rsidRPr="009125D2" w:rsidRDefault="000F5D43" w:rsidP="000F5D43">
            <w:pPr>
              <w:rPr>
                <w:sz w:val="14"/>
              </w:rPr>
            </w:pPr>
            <w:r w:rsidRPr="009125D2">
              <w:rPr>
                <w:sz w:val="14"/>
              </w:rPr>
              <w:t>46</w:t>
            </w:r>
          </w:p>
          <w:p w14:paraId="2C97234A" w14:textId="77777777" w:rsidR="000F5D43" w:rsidRDefault="000F5D43" w:rsidP="000F5D43">
            <w:pPr>
              <w:rPr>
                <w:sz w:val="14"/>
              </w:rPr>
            </w:pPr>
            <w:r w:rsidRPr="009125D2">
              <w:rPr>
                <w:sz w:val="14"/>
              </w:rPr>
              <w:t>94</w:t>
            </w:r>
          </w:p>
          <w:p w14:paraId="3D318B79" w14:textId="77777777" w:rsidR="000F5D43" w:rsidRDefault="000F5D43" w:rsidP="000F5D43">
            <w:pPr>
              <w:rPr>
                <w:sz w:val="14"/>
              </w:rPr>
            </w:pPr>
            <w:r w:rsidRPr="009125D2">
              <w:rPr>
                <w:sz w:val="14"/>
              </w:rPr>
              <w:t>56</w:t>
            </w:r>
          </w:p>
          <w:p w14:paraId="30C086A3" w14:textId="77777777" w:rsidR="000F5D43" w:rsidRPr="009125D2" w:rsidRDefault="000F5D43" w:rsidP="000F5D43">
            <w:pPr>
              <w:rPr>
                <w:sz w:val="14"/>
              </w:rPr>
            </w:pPr>
            <w:r>
              <w:rPr>
                <w:sz w:val="14"/>
              </w:rPr>
              <w:t xml:space="preserve">14.2% / </w:t>
            </w:r>
            <w:r w:rsidRPr="009125D2">
              <w:rPr>
                <w:sz w:val="14"/>
              </w:rPr>
              <w:t>8.5%</w:t>
            </w:r>
          </w:p>
        </w:tc>
      </w:tr>
      <w:tr w:rsidR="000F5D43" w:rsidRPr="009125D2" w14:paraId="7E7659E6" w14:textId="77777777" w:rsidTr="000F5D43">
        <w:trPr>
          <w:trHeight w:val="824"/>
        </w:trPr>
        <w:tc>
          <w:tcPr>
            <w:tcW w:w="995" w:type="dxa"/>
            <w:noWrap/>
            <w:vAlign w:val="center"/>
            <w:hideMark/>
          </w:tcPr>
          <w:p w14:paraId="6146EDC5" w14:textId="77777777" w:rsidR="000F5D43" w:rsidRPr="00576EFD" w:rsidRDefault="000F5D43" w:rsidP="000F5D43">
            <w:pPr>
              <w:rPr>
                <w:b/>
                <w:sz w:val="14"/>
              </w:rPr>
            </w:pPr>
            <w:r w:rsidRPr="00576EFD">
              <w:rPr>
                <w:b/>
                <w:sz w:val="14"/>
              </w:rPr>
              <w:t>≥65y</w:t>
            </w:r>
          </w:p>
          <w:p w14:paraId="791C819E" w14:textId="77777777" w:rsidR="000F5D43" w:rsidRPr="00576EFD" w:rsidRDefault="000F5D43" w:rsidP="000F5D43">
            <w:pPr>
              <w:rPr>
                <w:b/>
                <w:sz w:val="14"/>
              </w:rPr>
            </w:pPr>
            <w:r w:rsidRPr="00576EFD">
              <w:rPr>
                <w:b/>
                <w:sz w:val="14"/>
              </w:rPr>
              <w:t>N=670</w:t>
            </w:r>
          </w:p>
        </w:tc>
        <w:tc>
          <w:tcPr>
            <w:tcW w:w="4385" w:type="dxa"/>
          </w:tcPr>
          <w:p w14:paraId="55A58F8C" w14:textId="77777777" w:rsidR="000F5D43" w:rsidRDefault="000F5D43" w:rsidP="000F5D43">
            <w:pPr>
              <w:rPr>
                <w:i/>
                <w:sz w:val="14"/>
              </w:rPr>
            </w:pPr>
            <w:r w:rsidRPr="009125D2">
              <w:rPr>
                <w:i/>
                <w:sz w:val="14"/>
              </w:rPr>
              <w:t>W</w:t>
            </w:r>
            <w:r>
              <w:rPr>
                <w:i/>
                <w:sz w:val="14"/>
              </w:rPr>
              <w:t>eekly-ONS (% of Weekly-ONS deaths in this age-group)</w:t>
            </w:r>
          </w:p>
          <w:p w14:paraId="4B80BF28" w14:textId="77777777" w:rsidR="000F5D43" w:rsidRDefault="000F5D43" w:rsidP="000F5D43">
            <w:pPr>
              <w:rPr>
                <w:i/>
                <w:sz w:val="14"/>
              </w:rPr>
            </w:pPr>
            <w:r>
              <w:rPr>
                <w:i/>
                <w:sz w:val="14"/>
              </w:rPr>
              <w:t>Annual ONS (% of all Annual-ONS deaths in this age-group)</w:t>
            </w:r>
          </w:p>
          <w:p w14:paraId="25323E72" w14:textId="77777777" w:rsidR="000F5D43" w:rsidRDefault="000F5D43" w:rsidP="000F5D43">
            <w:pPr>
              <w:rPr>
                <w:i/>
                <w:sz w:val="14"/>
              </w:rPr>
            </w:pPr>
            <w:r>
              <w:rPr>
                <w:i/>
                <w:sz w:val="14"/>
              </w:rPr>
              <w:t>IMD-related deaths (% of all IMD-related deaths in this age-group)</w:t>
            </w:r>
          </w:p>
          <w:p w14:paraId="139257E2" w14:textId="77777777" w:rsidR="000F5D43" w:rsidRPr="009125D2" w:rsidRDefault="000F5D43" w:rsidP="000F5D43">
            <w:pPr>
              <w:rPr>
                <w:sz w:val="14"/>
              </w:rPr>
            </w:pPr>
            <w:r>
              <w:rPr>
                <w:i/>
                <w:sz w:val="14"/>
              </w:rPr>
              <w:t>Overall CFR / IMD-related CFR in this age-group</w:t>
            </w:r>
          </w:p>
        </w:tc>
        <w:tc>
          <w:tcPr>
            <w:tcW w:w="1275" w:type="dxa"/>
            <w:vAlign w:val="center"/>
            <w:hideMark/>
          </w:tcPr>
          <w:p w14:paraId="704242FA" w14:textId="77777777" w:rsidR="000F5D43" w:rsidRPr="009125D2" w:rsidRDefault="000F5D43" w:rsidP="000F5D43">
            <w:pPr>
              <w:rPr>
                <w:sz w:val="14"/>
              </w:rPr>
            </w:pPr>
            <w:r w:rsidRPr="009125D2">
              <w:rPr>
                <w:sz w:val="14"/>
              </w:rPr>
              <w:t>59</w:t>
            </w:r>
            <w:r>
              <w:rPr>
                <w:sz w:val="14"/>
              </w:rPr>
              <w:t>/84 (70.2%)</w:t>
            </w:r>
          </w:p>
          <w:p w14:paraId="391074C5" w14:textId="77777777" w:rsidR="000F5D43" w:rsidRDefault="000F5D43" w:rsidP="000F5D43">
            <w:pPr>
              <w:rPr>
                <w:sz w:val="14"/>
              </w:rPr>
            </w:pPr>
            <w:r w:rsidRPr="009125D2">
              <w:rPr>
                <w:sz w:val="14"/>
              </w:rPr>
              <w:t>114</w:t>
            </w:r>
            <w:r>
              <w:rPr>
                <w:sz w:val="14"/>
              </w:rPr>
              <w:t>/274</w:t>
            </w:r>
            <w:r w:rsidRPr="009125D2">
              <w:rPr>
                <w:sz w:val="14"/>
              </w:rPr>
              <w:t xml:space="preserve"> (4</w:t>
            </w:r>
            <w:r>
              <w:rPr>
                <w:sz w:val="14"/>
              </w:rPr>
              <w:t>1.6</w:t>
            </w:r>
            <w:r w:rsidRPr="009125D2">
              <w:rPr>
                <w:sz w:val="14"/>
              </w:rPr>
              <w:t>%)</w:t>
            </w:r>
          </w:p>
          <w:p w14:paraId="475C7E76" w14:textId="77777777" w:rsidR="000F5D43" w:rsidRDefault="000F5D43" w:rsidP="000F5D43">
            <w:pPr>
              <w:rPr>
                <w:sz w:val="14"/>
              </w:rPr>
            </w:pPr>
            <w:r w:rsidRPr="009125D2">
              <w:rPr>
                <w:sz w:val="14"/>
              </w:rPr>
              <w:t>114</w:t>
            </w:r>
            <w:r>
              <w:rPr>
                <w:sz w:val="14"/>
              </w:rPr>
              <w:t>/153</w:t>
            </w:r>
            <w:r w:rsidRPr="009125D2">
              <w:rPr>
                <w:sz w:val="14"/>
              </w:rPr>
              <w:t xml:space="preserve"> (</w:t>
            </w:r>
            <w:r>
              <w:rPr>
                <w:sz w:val="14"/>
              </w:rPr>
              <w:t>74.5</w:t>
            </w:r>
            <w:r w:rsidRPr="009125D2">
              <w:rPr>
                <w:sz w:val="14"/>
              </w:rPr>
              <w:t>%)</w:t>
            </w:r>
          </w:p>
          <w:p w14:paraId="426C46FD" w14:textId="77777777" w:rsidR="000F5D43" w:rsidRPr="009125D2" w:rsidRDefault="000F5D43" w:rsidP="000F5D43">
            <w:pPr>
              <w:rPr>
                <w:sz w:val="14"/>
              </w:rPr>
            </w:pPr>
            <w:r w:rsidRPr="009125D2">
              <w:rPr>
                <w:sz w:val="14"/>
              </w:rPr>
              <w:t>17.1%</w:t>
            </w:r>
            <w:r>
              <w:rPr>
                <w:sz w:val="14"/>
              </w:rPr>
              <w:t xml:space="preserve"> / 17.1%</w:t>
            </w:r>
          </w:p>
        </w:tc>
        <w:tc>
          <w:tcPr>
            <w:tcW w:w="1261" w:type="dxa"/>
            <w:vAlign w:val="center"/>
            <w:hideMark/>
          </w:tcPr>
          <w:p w14:paraId="4EEC34BF" w14:textId="77777777" w:rsidR="000F5D43" w:rsidRPr="00613C59" w:rsidRDefault="000F5D43" w:rsidP="000F5D43">
            <w:pPr>
              <w:rPr>
                <w:color w:val="000000" w:themeColor="text1"/>
                <w:sz w:val="14"/>
              </w:rPr>
            </w:pPr>
            <w:r w:rsidRPr="00613C59">
              <w:rPr>
                <w:color w:val="000000" w:themeColor="text1"/>
                <w:sz w:val="14"/>
              </w:rPr>
              <w:t>74</w:t>
            </w:r>
            <w:r>
              <w:rPr>
                <w:color w:val="000000" w:themeColor="text1"/>
                <w:sz w:val="14"/>
              </w:rPr>
              <w:t>/84 (88.1%)</w:t>
            </w:r>
          </w:p>
          <w:p w14:paraId="56B05F3F" w14:textId="77777777" w:rsidR="000F5D43" w:rsidRPr="00613C59" w:rsidRDefault="000F5D43" w:rsidP="000F5D43">
            <w:pPr>
              <w:rPr>
                <w:color w:val="000000" w:themeColor="text1"/>
                <w:sz w:val="14"/>
              </w:rPr>
            </w:pPr>
            <w:r w:rsidRPr="00613C59">
              <w:rPr>
                <w:color w:val="000000" w:themeColor="text1"/>
                <w:sz w:val="14"/>
              </w:rPr>
              <w:t>134/274 (48.9%)</w:t>
            </w:r>
          </w:p>
          <w:p w14:paraId="4742E840" w14:textId="77777777" w:rsidR="000F5D43" w:rsidRPr="00613C59" w:rsidRDefault="000F5D43" w:rsidP="000F5D43">
            <w:pPr>
              <w:rPr>
                <w:color w:val="000000" w:themeColor="text1"/>
                <w:sz w:val="14"/>
              </w:rPr>
            </w:pPr>
            <w:r w:rsidRPr="00613C59">
              <w:rPr>
                <w:color w:val="000000" w:themeColor="text1"/>
                <w:sz w:val="14"/>
              </w:rPr>
              <w:t>134/153 (87.6%)</w:t>
            </w:r>
          </w:p>
          <w:p w14:paraId="6CD4BC75" w14:textId="77777777" w:rsidR="000F5D43" w:rsidRPr="00613C59" w:rsidRDefault="000F5D43" w:rsidP="000F5D43">
            <w:pPr>
              <w:rPr>
                <w:color w:val="000000" w:themeColor="text1"/>
                <w:sz w:val="14"/>
              </w:rPr>
            </w:pPr>
            <w:r w:rsidRPr="00613C59">
              <w:rPr>
                <w:color w:val="000000" w:themeColor="text1"/>
                <w:sz w:val="14"/>
              </w:rPr>
              <w:t>20.1% / 20.1%</w:t>
            </w:r>
          </w:p>
        </w:tc>
        <w:tc>
          <w:tcPr>
            <w:tcW w:w="1327" w:type="dxa"/>
            <w:vAlign w:val="center"/>
            <w:hideMark/>
          </w:tcPr>
          <w:p w14:paraId="384ED335" w14:textId="77777777" w:rsidR="000F5D43" w:rsidRPr="009125D2" w:rsidRDefault="000F5D43" w:rsidP="000F5D43">
            <w:pPr>
              <w:rPr>
                <w:sz w:val="14"/>
              </w:rPr>
            </w:pPr>
            <w:r w:rsidRPr="009125D2">
              <w:rPr>
                <w:sz w:val="14"/>
              </w:rPr>
              <w:t>77</w:t>
            </w:r>
            <w:r>
              <w:rPr>
                <w:sz w:val="14"/>
              </w:rPr>
              <w:t>/84 (91.7%)</w:t>
            </w:r>
          </w:p>
          <w:p w14:paraId="43097816" w14:textId="77777777" w:rsidR="000F5D43" w:rsidRDefault="000F5D43" w:rsidP="000F5D43">
            <w:pPr>
              <w:rPr>
                <w:sz w:val="14"/>
              </w:rPr>
            </w:pPr>
            <w:r w:rsidRPr="009125D2">
              <w:rPr>
                <w:sz w:val="14"/>
              </w:rPr>
              <w:t>140</w:t>
            </w:r>
            <w:r>
              <w:rPr>
                <w:sz w:val="14"/>
              </w:rPr>
              <w:t>/274</w:t>
            </w:r>
            <w:r w:rsidRPr="009125D2">
              <w:rPr>
                <w:sz w:val="14"/>
              </w:rPr>
              <w:t xml:space="preserve"> (51</w:t>
            </w:r>
            <w:r>
              <w:rPr>
                <w:sz w:val="14"/>
              </w:rPr>
              <w:t>.1</w:t>
            </w:r>
            <w:r w:rsidRPr="009125D2">
              <w:rPr>
                <w:sz w:val="14"/>
              </w:rPr>
              <w:t>%)</w:t>
            </w:r>
          </w:p>
          <w:p w14:paraId="5D50CA0B" w14:textId="77777777" w:rsidR="000F5D43" w:rsidRDefault="000F5D43" w:rsidP="000F5D43">
            <w:pPr>
              <w:rPr>
                <w:sz w:val="14"/>
              </w:rPr>
            </w:pPr>
            <w:r w:rsidRPr="009125D2">
              <w:rPr>
                <w:sz w:val="14"/>
              </w:rPr>
              <w:t>139</w:t>
            </w:r>
            <w:r>
              <w:rPr>
                <w:sz w:val="14"/>
              </w:rPr>
              <w:t>/153</w:t>
            </w:r>
            <w:r w:rsidRPr="009125D2">
              <w:rPr>
                <w:sz w:val="14"/>
              </w:rPr>
              <w:t xml:space="preserve"> (9</w:t>
            </w:r>
            <w:r>
              <w:rPr>
                <w:sz w:val="14"/>
              </w:rPr>
              <w:t>0.8</w:t>
            </w:r>
            <w:r w:rsidRPr="009125D2">
              <w:rPr>
                <w:sz w:val="14"/>
              </w:rPr>
              <w:t>%)</w:t>
            </w:r>
          </w:p>
          <w:p w14:paraId="7F63F0F8" w14:textId="77777777" w:rsidR="000F5D43" w:rsidRPr="009125D2" w:rsidRDefault="000F5D43" w:rsidP="000F5D43">
            <w:pPr>
              <w:rPr>
                <w:sz w:val="14"/>
              </w:rPr>
            </w:pPr>
            <w:r w:rsidRPr="009125D2">
              <w:rPr>
                <w:sz w:val="14"/>
              </w:rPr>
              <w:t>20.</w:t>
            </w:r>
            <w:r>
              <w:rPr>
                <w:sz w:val="14"/>
              </w:rPr>
              <w:t>9</w:t>
            </w:r>
            <w:r w:rsidRPr="009125D2">
              <w:rPr>
                <w:sz w:val="14"/>
              </w:rPr>
              <w:t>%</w:t>
            </w:r>
            <w:r>
              <w:rPr>
                <w:sz w:val="14"/>
              </w:rPr>
              <w:t xml:space="preserve"> / 20.7% </w:t>
            </w:r>
          </w:p>
        </w:tc>
        <w:tc>
          <w:tcPr>
            <w:tcW w:w="1327" w:type="dxa"/>
            <w:shd w:val="clear" w:color="auto" w:fill="D9D9D9" w:themeFill="background1" w:themeFillShade="D9"/>
            <w:vAlign w:val="center"/>
            <w:hideMark/>
          </w:tcPr>
          <w:p w14:paraId="3820464A" w14:textId="77777777" w:rsidR="000F5D43" w:rsidRPr="009125D2" w:rsidRDefault="000F5D43" w:rsidP="000F5D43">
            <w:pPr>
              <w:rPr>
                <w:sz w:val="14"/>
              </w:rPr>
            </w:pPr>
            <w:r w:rsidRPr="009125D2">
              <w:rPr>
                <w:sz w:val="14"/>
              </w:rPr>
              <w:t>80</w:t>
            </w:r>
            <w:r>
              <w:rPr>
                <w:sz w:val="14"/>
              </w:rPr>
              <w:t>/84 (95.2%)</w:t>
            </w:r>
          </w:p>
          <w:p w14:paraId="493569D0" w14:textId="77777777" w:rsidR="000F5D43" w:rsidRDefault="000F5D43" w:rsidP="000F5D43">
            <w:pPr>
              <w:rPr>
                <w:sz w:val="14"/>
              </w:rPr>
            </w:pPr>
            <w:r w:rsidRPr="009125D2">
              <w:rPr>
                <w:sz w:val="14"/>
              </w:rPr>
              <w:t>152</w:t>
            </w:r>
            <w:r>
              <w:rPr>
                <w:sz w:val="14"/>
              </w:rPr>
              <w:t>/274</w:t>
            </w:r>
            <w:r w:rsidRPr="009125D2">
              <w:rPr>
                <w:sz w:val="14"/>
              </w:rPr>
              <w:t xml:space="preserve"> (55</w:t>
            </w:r>
            <w:r>
              <w:rPr>
                <w:sz w:val="14"/>
              </w:rPr>
              <w:t>.5</w:t>
            </w:r>
            <w:r w:rsidRPr="009125D2">
              <w:rPr>
                <w:sz w:val="14"/>
              </w:rPr>
              <w:t>%)</w:t>
            </w:r>
          </w:p>
          <w:p w14:paraId="21291DBE" w14:textId="77777777" w:rsidR="000F5D43" w:rsidRDefault="000F5D43" w:rsidP="000F5D43">
            <w:pPr>
              <w:rPr>
                <w:sz w:val="14"/>
              </w:rPr>
            </w:pPr>
            <w:r w:rsidRPr="009125D2">
              <w:rPr>
                <w:sz w:val="14"/>
              </w:rPr>
              <w:t>146</w:t>
            </w:r>
            <w:r>
              <w:rPr>
                <w:sz w:val="14"/>
              </w:rPr>
              <w:t>/153</w:t>
            </w:r>
            <w:r w:rsidRPr="009125D2">
              <w:rPr>
                <w:sz w:val="14"/>
              </w:rPr>
              <w:t xml:space="preserve"> (</w:t>
            </w:r>
            <w:r>
              <w:rPr>
                <w:sz w:val="14"/>
              </w:rPr>
              <w:t>95.4</w:t>
            </w:r>
            <w:r w:rsidRPr="009125D2">
              <w:rPr>
                <w:sz w:val="14"/>
              </w:rPr>
              <w:t>%)</w:t>
            </w:r>
          </w:p>
          <w:p w14:paraId="4166B8F2" w14:textId="77777777" w:rsidR="000F5D43" w:rsidRPr="009125D2" w:rsidRDefault="000F5D43" w:rsidP="000F5D43">
            <w:pPr>
              <w:rPr>
                <w:sz w:val="14"/>
              </w:rPr>
            </w:pPr>
            <w:r>
              <w:rPr>
                <w:sz w:val="14"/>
              </w:rPr>
              <w:t xml:space="preserve">22.7% / </w:t>
            </w:r>
            <w:r w:rsidRPr="009125D2">
              <w:rPr>
                <w:sz w:val="14"/>
              </w:rPr>
              <w:t>21.</w:t>
            </w:r>
            <w:r>
              <w:rPr>
                <w:sz w:val="14"/>
              </w:rPr>
              <w:t>8</w:t>
            </w:r>
            <w:r w:rsidRPr="009125D2">
              <w:rPr>
                <w:sz w:val="14"/>
              </w:rPr>
              <w:t>%</w:t>
            </w:r>
          </w:p>
        </w:tc>
        <w:tc>
          <w:tcPr>
            <w:tcW w:w="1327" w:type="dxa"/>
            <w:vAlign w:val="center"/>
            <w:hideMark/>
          </w:tcPr>
          <w:p w14:paraId="1CD1FB3A" w14:textId="77777777" w:rsidR="000F5D43" w:rsidRPr="009125D2" w:rsidRDefault="000F5D43" w:rsidP="000F5D43">
            <w:pPr>
              <w:rPr>
                <w:sz w:val="14"/>
              </w:rPr>
            </w:pPr>
            <w:r w:rsidRPr="009125D2">
              <w:rPr>
                <w:sz w:val="14"/>
              </w:rPr>
              <w:t>84</w:t>
            </w:r>
          </w:p>
          <w:p w14:paraId="3E9F9558" w14:textId="77777777" w:rsidR="000F5D43" w:rsidRDefault="000F5D43" w:rsidP="000F5D43">
            <w:pPr>
              <w:rPr>
                <w:sz w:val="14"/>
              </w:rPr>
            </w:pPr>
            <w:r w:rsidRPr="009125D2">
              <w:rPr>
                <w:sz w:val="14"/>
              </w:rPr>
              <w:t>172</w:t>
            </w:r>
            <w:r>
              <w:rPr>
                <w:sz w:val="14"/>
              </w:rPr>
              <w:t>/274</w:t>
            </w:r>
            <w:r w:rsidRPr="009125D2">
              <w:rPr>
                <w:sz w:val="14"/>
              </w:rPr>
              <w:t xml:space="preserve"> (6</w:t>
            </w:r>
            <w:r>
              <w:rPr>
                <w:sz w:val="14"/>
              </w:rPr>
              <w:t>2.8</w:t>
            </w:r>
            <w:r w:rsidRPr="009125D2">
              <w:rPr>
                <w:sz w:val="14"/>
              </w:rPr>
              <w:t>%)</w:t>
            </w:r>
          </w:p>
          <w:p w14:paraId="0B31306E" w14:textId="77777777" w:rsidR="000F5D43" w:rsidRDefault="000F5D43" w:rsidP="000F5D43">
            <w:pPr>
              <w:rPr>
                <w:sz w:val="14"/>
              </w:rPr>
            </w:pPr>
            <w:r w:rsidRPr="009125D2">
              <w:rPr>
                <w:sz w:val="14"/>
              </w:rPr>
              <w:t>153</w:t>
            </w:r>
          </w:p>
          <w:p w14:paraId="791BAF2B" w14:textId="77777777" w:rsidR="000F5D43" w:rsidRPr="009125D2" w:rsidRDefault="000F5D43" w:rsidP="000F5D43">
            <w:pPr>
              <w:rPr>
                <w:sz w:val="14"/>
              </w:rPr>
            </w:pPr>
            <w:r>
              <w:rPr>
                <w:sz w:val="14"/>
              </w:rPr>
              <w:t xml:space="preserve">25.7% / </w:t>
            </w:r>
            <w:r w:rsidRPr="009125D2">
              <w:rPr>
                <w:sz w:val="14"/>
              </w:rPr>
              <w:t>22.</w:t>
            </w:r>
            <w:r>
              <w:rPr>
                <w:sz w:val="14"/>
              </w:rPr>
              <w:t>8</w:t>
            </w:r>
            <w:r w:rsidRPr="009125D2">
              <w:rPr>
                <w:sz w:val="14"/>
              </w:rPr>
              <w:t>%</w:t>
            </w:r>
          </w:p>
        </w:tc>
        <w:tc>
          <w:tcPr>
            <w:tcW w:w="1327" w:type="dxa"/>
            <w:vAlign w:val="center"/>
            <w:hideMark/>
          </w:tcPr>
          <w:p w14:paraId="361C0234" w14:textId="77777777" w:rsidR="000F5D43" w:rsidRPr="009125D2" w:rsidRDefault="000F5D43" w:rsidP="000F5D43">
            <w:pPr>
              <w:rPr>
                <w:sz w:val="14"/>
              </w:rPr>
            </w:pPr>
            <w:r w:rsidRPr="009125D2">
              <w:rPr>
                <w:sz w:val="14"/>
              </w:rPr>
              <w:t>84</w:t>
            </w:r>
          </w:p>
          <w:p w14:paraId="6B8D48D9" w14:textId="77777777" w:rsidR="000F5D43" w:rsidRDefault="000F5D43" w:rsidP="000F5D43">
            <w:pPr>
              <w:rPr>
                <w:sz w:val="14"/>
              </w:rPr>
            </w:pPr>
            <w:r w:rsidRPr="009125D2">
              <w:rPr>
                <w:sz w:val="14"/>
              </w:rPr>
              <w:t>182</w:t>
            </w:r>
            <w:r>
              <w:rPr>
                <w:sz w:val="14"/>
              </w:rPr>
              <w:t>/274</w:t>
            </w:r>
            <w:r w:rsidRPr="009125D2">
              <w:rPr>
                <w:sz w:val="14"/>
              </w:rPr>
              <w:t xml:space="preserve"> (66</w:t>
            </w:r>
            <w:r>
              <w:rPr>
                <w:sz w:val="14"/>
              </w:rPr>
              <w:t>.4</w:t>
            </w:r>
            <w:r w:rsidRPr="009125D2">
              <w:rPr>
                <w:sz w:val="14"/>
              </w:rPr>
              <w:t>%)</w:t>
            </w:r>
          </w:p>
          <w:p w14:paraId="2630A35F" w14:textId="77777777" w:rsidR="000F5D43" w:rsidRDefault="000F5D43" w:rsidP="000F5D43">
            <w:pPr>
              <w:rPr>
                <w:sz w:val="14"/>
              </w:rPr>
            </w:pPr>
            <w:r w:rsidRPr="009125D2">
              <w:rPr>
                <w:sz w:val="14"/>
              </w:rPr>
              <w:t>153</w:t>
            </w:r>
          </w:p>
          <w:p w14:paraId="32F834C6" w14:textId="77777777" w:rsidR="000F5D43" w:rsidRPr="009125D2" w:rsidRDefault="000F5D43" w:rsidP="000F5D43">
            <w:pPr>
              <w:rPr>
                <w:sz w:val="14"/>
              </w:rPr>
            </w:pPr>
            <w:r>
              <w:rPr>
                <w:sz w:val="14"/>
              </w:rPr>
              <w:t xml:space="preserve">27.1% / </w:t>
            </w:r>
            <w:r w:rsidRPr="009125D2">
              <w:rPr>
                <w:sz w:val="14"/>
              </w:rPr>
              <w:t>22.</w:t>
            </w:r>
            <w:r>
              <w:rPr>
                <w:sz w:val="14"/>
              </w:rPr>
              <w:t>8</w:t>
            </w:r>
            <w:r w:rsidRPr="009125D2">
              <w:rPr>
                <w:sz w:val="14"/>
              </w:rPr>
              <w:t>%</w:t>
            </w:r>
          </w:p>
        </w:tc>
        <w:tc>
          <w:tcPr>
            <w:tcW w:w="1454" w:type="dxa"/>
            <w:shd w:val="clear" w:color="auto" w:fill="D9D9D9" w:themeFill="background1" w:themeFillShade="D9"/>
            <w:vAlign w:val="center"/>
            <w:hideMark/>
          </w:tcPr>
          <w:p w14:paraId="770D71C8" w14:textId="77777777" w:rsidR="000F5D43" w:rsidRPr="009125D2" w:rsidRDefault="000F5D43" w:rsidP="000F5D43">
            <w:pPr>
              <w:rPr>
                <w:sz w:val="14"/>
              </w:rPr>
            </w:pPr>
            <w:r w:rsidRPr="009125D2">
              <w:rPr>
                <w:sz w:val="14"/>
              </w:rPr>
              <w:t>84</w:t>
            </w:r>
          </w:p>
          <w:p w14:paraId="59D30E66" w14:textId="77777777" w:rsidR="000F5D43" w:rsidRDefault="000F5D43" w:rsidP="000F5D43">
            <w:pPr>
              <w:rPr>
                <w:sz w:val="14"/>
              </w:rPr>
            </w:pPr>
            <w:r w:rsidRPr="009125D2">
              <w:rPr>
                <w:sz w:val="14"/>
              </w:rPr>
              <w:t>274</w:t>
            </w:r>
          </w:p>
          <w:p w14:paraId="10DC4BEE" w14:textId="77777777" w:rsidR="000F5D43" w:rsidRDefault="000F5D43" w:rsidP="000F5D43">
            <w:pPr>
              <w:rPr>
                <w:sz w:val="14"/>
              </w:rPr>
            </w:pPr>
            <w:r w:rsidRPr="009125D2">
              <w:rPr>
                <w:sz w:val="14"/>
              </w:rPr>
              <w:t>153</w:t>
            </w:r>
          </w:p>
          <w:p w14:paraId="6E599A03" w14:textId="77777777" w:rsidR="000F5D43" w:rsidRPr="009125D2" w:rsidRDefault="000F5D43" w:rsidP="000F5D43">
            <w:pPr>
              <w:rPr>
                <w:sz w:val="14"/>
              </w:rPr>
            </w:pPr>
            <w:r>
              <w:rPr>
                <w:sz w:val="14"/>
              </w:rPr>
              <w:t xml:space="preserve">40.9% / </w:t>
            </w:r>
            <w:r w:rsidRPr="009125D2">
              <w:rPr>
                <w:sz w:val="14"/>
              </w:rPr>
              <w:t>22.</w:t>
            </w:r>
            <w:r>
              <w:rPr>
                <w:sz w:val="14"/>
              </w:rPr>
              <w:t>8</w:t>
            </w:r>
            <w:r w:rsidRPr="009125D2">
              <w:rPr>
                <w:sz w:val="14"/>
              </w:rPr>
              <w:t>%</w:t>
            </w:r>
          </w:p>
        </w:tc>
      </w:tr>
      <w:tr w:rsidR="000F5D43" w:rsidRPr="009125D2" w14:paraId="632E883B" w14:textId="77777777" w:rsidTr="000F5D43">
        <w:trPr>
          <w:trHeight w:val="300"/>
        </w:trPr>
        <w:tc>
          <w:tcPr>
            <w:tcW w:w="995" w:type="dxa"/>
            <w:noWrap/>
            <w:vAlign w:val="center"/>
            <w:hideMark/>
          </w:tcPr>
          <w:p w14:paraId="1D63D3A7" w14:textId="77777777" w:rsidR="000F5D43" w:rsidRPr="00576EFD" w:rsidRDefault="000F5D43" w:rsidP="000F5D43">
            <w:pPr>
              <w:rPr>
                <w:b/>
                <w:bCs/>
                <w:sz w:val="14"/>
              </w:rPr>
            </w:pPr>
            <w:r w:rsidRPr="00576EFD">
              <w:rPr>
                <w:b/>
                <w:bCs/>
                <w:sz w:val="14"/>
              </w:rPr>
              <w:t>All cases *</w:t>
            </w:r>
          </w:p>
          <w:p w14:paraId="19BB7454" w14:textId="77777777" w:rsidR="000F5D43" w:rsidRPr="00576EFD" w:rsidRDefault="000F5D43" w:rsidP="000F5D43">
            <w:pPr>
              <w:rPr>
                <w:b/>
                <w:bCs/>
                <w:sz w:val="14"/>
              </w:rPr>
            </w:pPr>
            <w:r w:rsidRPr="00576EFD">
              <w:rPr>
                <w:b/>
                <w:bCs/>
                <w:sz w:val="14"/>
              </w:rPr>
              <w:t>N=6,798</w:t>
            </w:r>
          </w:p>
        </w:tc>
        <w:tc>
          <w:tcPr>
            <w:tcW w:w="4385" w:type="dxa"/>
          </w:tcPr>
          <w:p w14:paraId="476A7901" w14:textId="77777777" w:rsidR="000F5D43" w:rsidRDefault="000F5D43" w:rsidP="000F5D43">
            <w:pPr>
              <w:rPr>
                <w:i/>
                <w:sz w:val="14"/>
              </w:rPr>
            </w:pPr>
            <w:r w:rsidRPr="009125D2">
              <w:rPr>
                <w:i/>
                <w:sz w:val="14"/>
              </w:rPr>
              <w:t>W</w:t>
            </w:r>
            <w:r>
              <w:rPr>
                <w:i/>
                <w:sz w:val="14"/>
              </w:rPr>
              <w:t>eekly-ONS (% of Weekly-ONS deaths in this age-group)</w:t>
            </w:r>
          </w:p>
          <w:p w14:paraId="5AB107EF" w14:textId="77777777" w:rsidR="000F5D43" w:rsidRDefault="000F5D43" w:rsidP="000F5D43">
            <w:pPr>
              <w:rPr>
                <w:i/>
                <w:sz w:val="14"/>
              </w:rPr>
            </w:pPr>
            <w:r>
              <w:rPr>
                <w:i/>
                <w:sz w:val="14"/>
              </w:rPr>
              <w:t>Annual ONS (% of all Annual-ONS deaths in this age-group)</w:t>
            </w:r>
          </w:p>
          <w:p w14:paraId="548A3D3B" w14:textId="77777777" w:rsidR="000F5D43" w:rsidRDefault="000F5D43" w:rsidP="000F5D43">
            <w:pPr>
              <w:rPr>
                <w:i/>
                <w:sz w:val="14"/>
              </w:rPr>
            </w:pPr>
            <w:r>
              <w:rPr>
                <w:i/>
                <w:sz w:val="14"/>
              </w:rPr>
              <w:t>IMD-related deaths (% of all IMD-related deaths in this age-group)</w:t>
            </w:r>
          </w:p>
          <w:p w14:paraId="565BDF5E" w14:textId="77777777" w:rsidR="000F5D43" w:rsidRPr="009125D2" w:rsidRDefault="000F5D43" w:rsidP="000F5D43">
            <w:pPr>
              <w:rPr>
                <w:bCs/>
                <w:sz w:val="14"/>
              </w:rPr>
            </w:pPr>
            <w:r>
              <w:rPr>
                <w:i/>
                <w:sz w:val="14"/>
              </w:rPr>
              <w:t>Overall CFR / IMD-related CFR in this age-group</w:t>
            </w:r>
          </w:p>
        </w:tc>
        <w:tc>
          <w:tcPr>
            <w:tcW w:w="1275" w:type="dxa"/>
            <w:vAlign w:val="center"/>
          </w:tcPr>
          <w:p w14:paraId="1D94F84F" w14:textId="77777777" w:rsidR="000F5D43" w:rsidRDefault="000F5D43" w:rsidP="000F5D43">
            <w:pPr>
              <w:rPr>
                <w:bCs/>
                <w:sz w:val="14"/>
              </w:rPr>
            </w:pPr>
            <w:r w:rsidRPr="009125D2">
              <w:rPr>
                <w:bCs/>
                <w:sz w:val="14"/>
              </w:rPr>
              <w:t>346</w:t>
            </w:r>
            <w:r>
              <w:rPr>
                <w:bCs/>
                <w:sz w:val="14"/>
              </w:rPr>
              <w:t>/405 (85.4%)</w:t>
            </w:r>
          </w:p>
          <w:p w14:paraId="7706BC66" w14:textId="77777777" w:rsidR="000F5D43" w:rsidRDefault="000F5D43" w:rsidP="000F5D43">
            <w:pPr>
              <w:rPr>
                <w:bCs/>
                <w:sz w:val="14"/>
              </w:rPr>
            </w:pPr>
            <w:r>
              <w:rPr>
                <w:bCs/>
                <w:sz w:val="14"/>
              </w:rPr>
              <w:t>429/667 (64.3%)</w:t>
            </w:r>
          </w:p>
          <w:p w14:paraId="58767CC1" w14:textId="77777777" w:rsidR="000F5D43" w:rsidRDefault="000F5D43" w:rsidP="000F5D43">
            <w:pPr>
              <w:rPr>
                <w:bCs/>
                <w:sz w:val="14"/>
              </w:rPr>
            </w:pPr>
            <w:r>
              <w:rPr>
                <w:bCs/>
                <w:sz w:val="14"/>
              </w:rPr>
              <w:t>428/502 (85.3%)</w:t>
            </w:r>
          </w:p>
          <w:p w14:paraId="549CE0F0" w14:textId="77777777" w:rsidR="000F5D43" w:rsidRPr="009125D2" w:rsidRDefault="000F5D43" w:rsidP="000F5D43">
            <w:pPr>
              <w:rPr>
                <w:bCs/>
                <w:sz w:val="14"/>
              </w:rPr>
            </w:pPr>
            <w:r>
              <w:rPr>
                <w:bCs/>
                <w:sz w:val="14"/>
              </w:rPr>
              <w:t>6.3% / 6.3%</w:t>
            </w:r>
          </w:p>
        </w:tc>
        <w:tc>
          <w:tcPr>
            <w:tcW w:w="1261" w:type="dxa"/>
            <w:vAlign w:val="center"/>
          </w:tcPr>
          <w:p w14:paraId="216E3573" w14:textId="77777777" w:rsidR="000F5D43" w:rsidRPr="00613C59" w:rsidRDefault="000F5D43" w:rsidP="000F5D43">
            <w:pPr>
              <w:rPr>
                <w:bCs/>
                <w:color w:val="000000" w:themeColor="text1"/>
                <w:sz w:val="14"/>
              </w:rPr>
            </w:pPr>
            <w:r w:rsidRPr="00613C59">
              <w:rPr>
                <w:bCs/>
                <w:color w:val="000000" w:themeColor="text1"/>
                <w:sz w:val="14"/>
              </w:rPr>
              <w:t>378</w:t>
            </w:r>
            <w:r>
              <w:rPr>
                <w:bCs/>
                <w:color w:val="000000" w:themeColor="text1"/>
                <w:sz w:val="14"/>
              </w:rPr>
              <w:t>/405 (93.3%)</w:t>
            </w:r>
          </w:p>
          <w:p w14:paraId="1C054396" w14:textId="77777777" w:rsidR="000F5D43" w:rsidRPr="00613C59" w:rsidRDefault="000F5D43" w:rsidP="000F5D43">
            <w:pPr>
              <w:rPr>
                <w:bCs/>
                <w:color w:val="000000" w:themeColor="text1"/>
                <w:sz w:val="14"/>
              </w:rPr>
            </w:pPr>
            <w:r w:rsidRPr="00613C59">
              <w:rPr>
                <w:bCs/>
                <w:color w:val="000000" w:themeColor="text1"/>
                <w:sz w:val="14"/>
              </w:rPr>
              <w:t>465/667 (69.7%)</w:t>
            </w:r>
          </w:p>
          <w:p w14:paraId="10FE9DEC" w14:textId="77777777" w:rsidR="000F5D43" w:rsidRPr="00613C59" w:rsidRDefault="000F5D43" w:rsidP="000F5D43">
            <w:pPr>
              <w:rPr>
                <w:bCs/>
                <w:color w:val="000000" w:themeColor="text1"/>
                <w:sz w:val="14"/>
              </w:rPr>
            </w:pPr>
            <w:r w:rsidRPr="00613C59">
              <w:rPr>
                <w:bCs/>
                <w:color w:val="000000" w:themeColor="text1"/>
                <w:sz w:val="14"/>
              </w:rPr>
              <w:t>464/502 (92.4%)</w:t>
            </w:r>
          </w:p>
          <w:p w14:paraId="12FD24B4" w14:textId="77777777" w:rsidR="000F5D43" w:rsidRPr="00613C59" w:rsidRDefault="000F5D43" w:rsidP="000F5D43">
            <w:pPr>
              <w:rPr>
                <w:bCs/>
                <w:color w:val="000000" w:themeColor="text1"/>
                <w:sz w:val="14"/>
              </w:rPr>
            </w:pPr>
            <w:r w:rsidRPr="00613C59">
              <w:rPr>
                <w:bCs/>
                <w:color w:val="000000" w:themeColor="text1"/>
                <w:sz w:val="14"/>
              </w:rPr>
              <w:t>6.8% / 6.8%</w:t>
            </w:r>
          </w:p>
        </w:tc>
        <w:tc>
          <w:tcPr>
            <w:tcW w:w="1327" w:type="dxa"/>
            <w:vAlign w:val="center"/>
          </w:tcPr>
          <w:p w14:paraId="1475C930" w14:textId="77777777" w:rsidR="000F5D43" w:rsidRDefault="000F5D43" w:rsidP="000F5D43">
            <w:pPr>
              <w:rPr>
                <w:bCs/>
                <w:sz w:val="14"/>
              </w:rPr>
            </w:pPr>
            <w:r w:rsidRPr="009125D2">
              <w:rPr>
                <w:bCs/>
                <w:sz w:val="14"/>
              </w:rPr>
              <w:t>390</w:t>
            </w:r>
            <w:r>
              <w:rPr>
                <w:bCs/>
                <w:sz w:val="14"/>
              </w:rPr>
              <w:t>/405 (96.3%)</w:t>
            </w:r>
          </w:p>
          <w:p w14:paraId="05B3E7F8" w14:textId="77777777" w:rsidR="000F5D43" w:rsidRDefault="000F5D43" w:rsidP="000F5D43">
            <w:pPr>
              <w:rPr>
                <w:bCs/>
                <w:sz w:val="14"/>
              </w:rPr>
            </w:pPr>
            <w:r>
              <w:rPr>
                <w:bCs/>
                <w:sz w:val="14"/>
              </w:rPr>
              <w:t>482/667 (72.3%)</w:t>
            </w:r>
          </w:p>
          <w:p w14:paraId="61D6CB0A" w14:textId="77777777" w:rsidR="000F5D43" w:rsidRDefault="000F5D43" w:rsidP="000F5D43">
            <w:pPr>
              <w:rPr>
                <w:bCs/>
                <w:sz w:val="14"/>
              </w:rPr>
            </w:pPr>
            <w:r>
              <w:rPr>
                <w:bCs/>
                <w:sz w:val="14"/>
              </w:rPr>
              <w:t>479/502 (95.4%)</w:t>
            </w:r>
          </w:p>
          <w:p w14:paraId="08383672" w14:textId="77777777" w:rsidR="000F5D43" w:rsidRPr="009125D2" w:rsidRDefault="000F5D43" w:rsidP="000F5D43">
            <w:pPr>
              <w:rPr>
                <w:bCs/>
                <w:sz w:val="14"/>
              </w:rPr>
            </w:pPr>
            <w:r>
              <w:rPr>
                <w:bCs/>
                <w:sz w:val="14"/>
              </w:rPr>
              <w:t>7.1% / 7.0%</w:t>
            </w:r>
          </w:p>
        </w:tc>
        <w:tc>
          <w:tcPr>
            <w:tcW w:w="1327" w:type="dxa"/>
            <w:shd w:val="clear" w:color="auto" w:fill="D9D9D9" w:themeFill="background1" w:themeFillShade="D9"/>
            <w:vAlign w:val="center"/>
          </w:tcPr>
          <w:p w14:paraId="6F8D77E5" w14:textId="77777777" w:rsidR="000F5D43" w:rsidRDefault="000F5D43" w:rsidP="000F5D43">
            <w:pPr>
              <w:rPr>
                <w:bCs/>
                <w:sz w:val="14"/>
              </w:rPr>
            </w:pPr>
            <w:r w:rsidRPr="009125D2">
              <w:rPr>
                <w:bCs/>
                <w:sz w:val="14"/>
              </w:rPr>
              <w:t>396</w:t>
            </w:r>
            <w:r>
              <w:rPr>
                <w:bCs/>
                <w:sz w:val="14"/>
              </w:rPr>
              <w:t>/405 (97.8%)</w:t>
            </w:r>
          </w:p>
          <w:p w14:paraId="213D8D25" w14:textId="77777777" w:rsidR="000F5D43" w:rsidRDefault="000F5D43" w:rsidP="000F5D43">
            <w:pPr>
              <w:rPr>
                <w:bCs/>
                <w:sz w:val="14"/>
              </w:rPr>
            </w:pPr>
            <w:r>
              <w:rPr>
                <w:bCs/>
                <w:sz w:val="14"/>
              </w:rPr>
              <w:t>498/667 (74.7%)</w:t>
            </w:r>
          </w:p>
          <w:p w14:paraId="515C8F25" w14:textId="77777777" w:rsidR="000F5D43" w:rsidRDefault="000F5D43" w:rsidP="000F5D43">
            <w:pPr>
              <w:rPr>
                <w:bCs/>
                <w:sz w:val="14"/>
              </w:rPr>
            </w:pPr>
            <w:r>
              <w:rPr>
                <w:bCs/>
                <w:sz w:val="14"/>
              </w:rPr>
              <w:t>490/502 (97.6%)</w:t>
            </w:r>
          </w:p>
          <w:p w14:paraId="66EC5BF3" w14:textId="77777777" w:rsidR="000F5D43" w:rsidRPr="009125D2" w:rsidRDefault="000F5D43" w:rsidP="000F5D43">
            <w:pPr>
              <w:rPr>
                <w:bCs/>
                <w:sz w:val="14"/>
              </w:rPr>
            </w:pPr>
            <w:r>
              <w:rPr>
                <w:bCs/>
                <w:sz w:val="14"/>
              </w:rPr>
              <w:t>7.3% / 7.2%</w:t>
            </w:r>
          </w:p>
        </w:tc>
        <w:tc>
          <w:tcPr>
            <w:tcW w:w="1327" w:type="dxa"/>
            <w:vAlign w:val="center"/>
          </w:tcPr>
          <w:p w14:paraId="14906D7E" w14:textId="77777777" w:rsidR="000F5D43" w:rsidRDefault="000F5D43" w:rsidP="000F5D43">
            <w:pPr>
              <w:rPr>
                <w:bCs/>
                <w:sz w:val="14"/>
              </w:rPr>
            </w:pPr>
            <w:r w:rsidRPr="009125D2">
              <w:rPr>
                <w:bCs/>
                <w:sz w:val="14"/>
              </w:rPr>
              <w:t>404</w:t>
            </w:r>
            <w:r>
              <w:rPr>
                <w:bCs/>
                <w:sz w:val="14"/>
              </w:rPr>
              <w:t>/405 (99.8%)</w:t>
            </w:r>
          </w:p>
          <w:p w14:paraId="03C54A0D" w14:textId="77777777" w:rsidR="000F5D43" w:rsidRDefault="000F5D43" w:rsidP="000F5D43">
            <w:pPr>
              <w:rPr>
                <w:bCs/>
                <w:sz w:val="14"/>
              </w:rPr>
            </w:pPr>
            <w:r>
              <w:rPr>
                <w:bCs/>
                <w:sz w:val="14"/>
              </w:rPr>
              <w:t>526/667 (78.9%)</w:t>
            </w:r>
          </w:p>
          <w:p w14:paraId="42B68EF1" w14:textId="77777777" w:rsidR="000F5D43" w:rsidRDefault="000F5D43" w:rsidP="000F5D43">
            <w:pPr>
              <w:rPr>
                <w:bCs/>
                <w:sz w:val="14"/>
              </w:rPr>
            </w:pPr>
            <w:r>
              <w:rPr>
                <w:bCs/>
                <w:sz w:val="14"/>
              </w:rPr>
              <w:t>502</w:t>
            </w:r>
          </w:p>
          <w:p w14:paraId="7096928F" w14:textId="77777777" w:rsidR="000F5D43" w:rsidRPr="009125D2" w:rsidRDefault="000F5D43" w:rsidP="000F5D43">
            <w:pPr>
              <w:rPr>
                <w:bCs/>
                <w:sz w:val="14"/>
              </w:rPr>
            </w:pPr>
            <w:r>
              <w:rPr>
                <w:bCs/>
                <w:sz w:val="14"/>
              </w:rPr>
              <w:t>7.7% / 7.4%</w:t>
            </w:r>
          </w:p>
        </w:tc>
        <w:tc>
          <w:tcPr>
            <w:tcW w:w="1327" w:type="dxa"/>
            <w:vAlign w:val="center"/>
          </w:tcPr>
          <w:p w14:paraId="5B815E13" w14:textId="77777777" w:rsidR="000F5D43" w:rsidRDefault="000F5D43" w:rsidP="000F5D43">
            <w:pPr>
              <w:rPr>
                <w:bCs/>
                <w:sz w:val="14"/>
              </w:rPr>
            </w:pPr>
            <w:r w:rsidRPr="009125D2">
              <w:rPr>
                <w:bCs/>
                <w:sz w:val="14"/>
              </w:rPr>
              <w:t>404</w:t>
            </w:r>
            <w:r>
              <w:rPr>
                <w:bCs/>
                <w:sz w:val="14"/>
              </w:rPr>
              <w:t>/405 (99.8%)</w:t>
            </w:r>
          </w:p>
          <w:p w14:paraId="0D02EEEC" w14:textId="77777777" w:rsidR="000F5D43" w:rsidRDefault="000F5D43" w:rsidP="000F5D43">
            <w:pPr>
              <w:rPr>
                <w:bCs/>
                <w:sz w:val="14"/>
              </w:rPr>
            </w:pPr>
            <w:r>
              <w:rPr>
                <w:bCs/>
                <w:sz w:val="14"/>
              </w:rPr>
              <w:t>541/667 (81.1%)</w:t>
            </w:r>
          </w:p>
          <w:p w14:paraId="44949C6A" w14:textId="77777777" w:rsidR="000F5D43" w:rsidRDefault="000F5D43" w:rsidP="000F5D43">
            <w:pPr>
              <w:rPr>
                <w:bCs/>
                <w:sz w:val="14"/>
              </w:rPr>
            </w:pPr>
            <w:r>
              <w:rPr>
                <w:bCs/>
                <w:sz w:val="14"/>
              </w:rPr>
              <w:t>502</w:t>
            </w:r>
          </w:p>
          <w:p w14:paraId="14416FB1" w14:textId="77777777" w:rsidR="000F5D43" w:rsidRPr="009125D2" w:rsidRDefault="000F5D43" w:rsidP="000F5D43">
            <w:pPr>
              <w:rPr>
                <w:bCs/>
                <w:sz w:val="14"/>
              </w:rPr>
            </w:pPr>
            <w:r>
              <w:rPr>
                <w:bCs/>
                <w:sz w:val="14"/>
              </w:rPr>
              <w:t>8.0% / 7.4%</w:t>
            </w:r>
          </w:p>
        </w:tc>
        <w:tc>
          <w:tcPr>
            <w:tcW w:w="1454" w:type="dxa"/>
            <w:shd w:val="clear" w:color="auto" w:fill="D9D9D9" w:themeFill="background1" w:themeFillShade="D9"/>
            <w:vAlign w:val="center"/>
          </w:tcPr>
          <w:p w14:paraId="2D66A355" w14:textId="77777777" w:rsidR="000F5D43" w:rsidRDefault="000F5D43" w:rsidP="000F5D43">
            <w:pPr>
              <w:rPr>
                <w:bCs/>
                <w:sz w:val="14"/>
              </w:rPr>
            </w:pPr>
            <w:r w:rsidRPr="009125D2">
              <w:rPr>
                <w:bCs/>
                <w:sz w:val="14"/>
              </w:rPr>
              <w:t>405</w:t>
            </w:r>
          </w:p>
          <w:p w14:paraId="5594B909" w14:textId="77777777" w:rsidR="000F5D43" w:rsidRDefault="000F5D43" w:rsidP="000F5D43">
            <w:pPr>
              <w:rPr>
                <w:bCs/>
                <w:sz w:val="14"/>
              </w:rPr>
            </w:pPr>
            <w:r>
              <w:rPr>
                <w:bCs/>
                <w:sz w:val="14"/>
              </w:rPr>
              <w:t>667</w:t>
            </w:r>
          </w:p>
          <w:p w14:paraId="458B8136" w14:textId="77777777" w:rsidR="000F5D43" w:rsidRDefault="000F5D43" w:rsidP="000F5D43">
            <w:pPr>
              <w:rPr>
                <w:bCs/>
                <w:sz w:val="14"/>
              </w:rPr>
            </w:pPr>
            <w:r>
              <w:rPr>
                <w:bCs/>
                <w:sz w:val="14"/>
              </w:rPr>
              <w:t>502</w:t>
            </w:r>
          </w:p>
          <w:p w14:paraId="13E8C086" w14:textId="77777777" w:rsidR="000F5D43" w:rsidRPr="009125D2" w:rsidRDefault="000F5D43" w:rsidP="000F5D43">
            <w:pPr>
              <w:rPr>
                <w:bCs/>
                <w:sz w:val="14"/>
              </w:rPr>
            </w:pPr>
            <w:r>
              <w:rPr>
                <w:bCs/>
                <w:sz w:val="14"/>
              </w:rPr>
              <w:t>9.8% / 7.4%</w:t>
            </w:r>
          </w:p>
        </w:tc>
      </w:tr>
    </w:tbl>
    <w:p w14:paraId="7A9020E8" w14:textId="77777777" w:rsidR="007D173F" w:rsidRDefault="007D173F" w:rsidP="007D173F">
      <w:pPr>
        <w:pStyle w:val="NoSpacing"/>
      </w:pPr>
    </w:p>
    <w:p w14:paraId="5C01662B" w14:textId="77777777" w:rsidR="000F5D43" w:rsidRDefault="007D173F" w:rsidP="000F5D43">
      <w:pPr>
        <w:pStyle w:val="Figuretitle"/>
        <w:rPr>
          <w:b w:val="0"/>
          <w:bCs/>
          <w:i w:val="0"/>
          <w:iCs/>
          <w:color w:val="000000" w:themeColor="text1"/>
          <w:sz w:val="22"/>
        </w:rPr>
      </w:pPr>
      <w:r w:rsidRPr="0006201E">
        <w:rPr>
          <w:i w:val="0"/>
          <w:iCs/>
          <w:color w:val="000000" w:themeColor="text1"/>
          <w:sz w:val="22"/>
        </w:rPr>
        <w:t xml:space="preserve">Table </w:t>
      </w:r>
      <w:r w:rsidR="00FB62C9" w:rsidRPr="0006201E">
        <w:rPr>
          <w:i w:val="0"/>
          <w:iCs/>
          <w:color w:val="000000" w:themeColor="text1"/>
          <w:sz w:val="22"/>
        </w:rPr>
        <w:t>1</w:t>
      </w:r>
      <w:r w:rsidR="0006201E">
        <w:rPr>
          <w:b w:val="0"/>
          <w:bCs/>
          <w:i w:val="0"/>
          <w:iCs/>
          <w:color w:val="000000" w:themeColor="text1"/>
          <w:sz w:val="22"/>
        </w:rPr>
        <w:t>. Timing and cause of death in patients with laboratory-confirmed invasive meningococcal disease (IMD) in England</w:t>
      </w:r>
      <w:r w:rsidR="000C6447">
        <w:rPr>
          <w:b w:val="0"/>
          <w:bCs/>
          <w:i w:val="0"/>
          <w:iCs/>
          <w:color w:val="000000" w:themeColor="text1"/>
          <w:sz w:val="22"/>
        </w:rPr>
        <w:t xml:space="preserve"> identified through three different sources, with overall and IMD-related case fatality rates (CFR)</w:t>
      </w:r>
      <w:r w:rsidR="00DB169A">
        <w:rPr>
          <w:b w:val="0"/>
          <w:bCs/>
          <w:i w:val="0"/>
          <w:iCs/>
          <w:color w:val="000000" w:themeColor="text1"/>
          <w:sz w:val="22"/>
        </w:rPr>
        <w:t xml:space="preserve"> by age group. </w:t>
      </w:r>
      <w:r w:rsidR="000F5D43">
        <w:rPr>
          <w:b w:val="0"/>
          <w:bCs/>
          <w:i w:val="0"/>
          <w:iCs/>
          <w:color w:val="000000" w:themeColor="text1"/>
          <w:sz w:val="22"/>
        </w:rPr>
        <w:t xml:space="preserve">Weekly-ONS = deaths identified through weekly reports by the Office for National Statistics (ONS) using pre-defined ICD-10 codes; Annual-ONS = deaths identified through annual electronic death registration records provided by the ONS </w:t>
      </w:r>
    </w:p>
    <w:p w14:paraId="6A518107" w14:textId="77777777" w:rsidR="00BF5A18" w:rsidRDefault="006F6815" w:rsidP="000F5D43">
      <w:pPr>
        <w:pStyle w:val="Figuretitle"/>
        <w:rPr>
          <w:color w:val="000000" w:themeColor="text1"/>
        </w:rPr>
        <w:sectPr w:rsidR="00BF5A18" w:rsidSect="003C249F">
          <w:pgSz w:w="16838" w:h="11906" w:orient="landscape"/>
          <w:pgMar w:top="1080" w:right="993" w:bottom="1080" w:left="1135" w:header="426" w:footer="0" w:gutter="0"/>
          <w:lnNumType w:countBy="1" w:restart="continuous"/>
          <w:cols w:space="708"/>
          <w:docGrid w:linePitch="360"/>
        </w:sectPr>
      </w:pPr>
      <w:r w:rsidRPr="000F5D43">
        <w:rPr>
          <w:color w:val="000000" w:themeColor="text1"/>
        </w:rPr>
        <w:t>* Age not known for 1</w:t>
      </w:r>
      <w:r w:rsidR="00E44DE4" w:rsidRPr="000F5D43">
        <w:rPr>
          <w:color w:val="000000" w:themeColor="text1"/>
        </w:rPr>
        <w:t>1</w:t>
      </w:r>
      <w:r w:rsidRPr="000F5D43">
        <w:rPr>
          <w:color w:val="000000" w:themeColor="text1"/>
        </w:rPr>
        <w:t xml:space="preserve"> cases</w:t>
      </w:r>
    </w:p>
    <w:p w14:paraId="121EE00B" w14:textId="031F7ED6" w:rsidR="008F4DF1" w:rsidRPr="000F5D43" w:rsidRDefault="008F4DF1" w:rsidP="000F5D43">
      <w:pPr>
        <w:pStyle w:val="Figuretitle"/>
        <w:rPr>
          <w:b w:val="0"/>
          <w:bCs/>
          <w:i w:val="0"/>
          <w:iCs/>
          <w:color w:val="000000" w:themeColor="text1"/>
          <w:sz w:val="22"/>
        </w:rPr>
      </w:pPr>
    </w:p>
    <w:p w14:paraId="4706CC10" w14:textId="77777777" w:rsidR="008F4DF1" w:rsidRDefault="008F4DF1" w:rsidP="008F4DF1"/>
    <w:tbl>
      <w:tblPr>
        <w:tblStyle w:val="TableGrid1"/>
        <w:tblW w:w="7991" w:type="dxa"/>
        <w:tblLook w:val="04A0" w:firstRow="1" w:lastRow="0" w:firstColumn="1" w:lastColumn="0" w:noHBand="0" w:noVBand="1"/>
      </w:tblPr>
      <w:tblGrid>
        <w:gridCol w:w="2691"/>
        <w:gridCol w:w="1060"/>
        <w:gridCol w:w="1060"/>
        <w:gridCol w:w="1060"/>
        <w:gridCol w:w="1060"/>
        <w:gridCol w:w="1060"/>
      </w:tblGrid>
      <w:tr w:rsidR="0007175F" w:rsidRPr="00342FE1" w14:paraId="761740F5" w14:textId="77777777" w:rsidTr="00342FE1">
        <w:trPr>
          <w:trHeight w:val="300"/>
        </w:trPr>
        <w:tc>
          <w:tcPr>
            <w:tcW w:w="2691" w:type="dxa"/>
            <w:noWrap/>
            <w:hideMark/>
          </w:tcPr>
          <w:p w14:paraId="6ACF598D" w14:textId="5CA17ADA" w:rsidR="0007175F" w:rsidRPr="00342FE1" w:rsidRDefault="0007175F" w:rsidP="005F4B86">
            <w:pPr>
              <w:spacing w:line="240" w:lineRule="auto"/>
              <w:jc w:val="right"/>
              <w:rPr>
                <w:rFonts w:ascii="Calibri" w:eastAsia="Times New Roman" w:hAnsi="Calibri" w:cs="Times New Roman"/>
                <w:b/>
                <w:bCs/>
                <w:color w:val="000000"/>
                <w:lang w:eastAsia="en-GB"/>
              </w:rPr>
            </w:pPr>
            <w:r w:rsidRPr="00342FE1">
              <w:rPr>
                <w:rFonts w:ascii="Calibri" w:eastAsia="Times New Roman" w:hAnsi="Calibri" w:cs="Times New Roman"/>
                <w:b/>
                <w:bCs/>
                <w:color w:val="000000"/>
                <w:lang w:eastAsia="en-GB"/>
              </w:rPr>
              <w:t> </w:t>
            </w:r>
            <w:r w:rsidR="00342FE1" w:rsidRPr="00342FE1">
              <w:rPr>
                <w:rFonts w:ascii="Calibri" w:eastAsia="Times New Roman" w:hAnsi="Calibri" w:cs="Times New Roman"/>
                <w:b/>
                <w:bCs/>
                <w:color w:val="000000"/>
                <w:lang w:eastAsia="en-GB"/>
              </w:rPr>
              <w:t>Meningococcal serogroup</w:t>
            </w:r>
          </w:p>
        </w:tc>
        <w:tc>
          <w:tcPr>
            <w:tcW w:w="1060" w:type="dxa"/>
            <w:noWrap/>
            <w:hideMark/>
          </w:tcPr>
          <w:p w14:paraId="2FAB6AF6" w14:textId="69C044F8" w:rsidR="0007175F" w:rsidRPr="00342FE1" w:rsidRDefault="00342FE1" w:rsidP="005F4B86">
            <w:pPr>
              <w:spacing w:line="240" w:lineRule="auto"/>
              <w:jc w:val="right"/>
              <w:rPr>
                <w:rFonts w:ascii="Calibri" w:eastAsia="Times New Roman" w:hAnsi="Calibri" w:cs="Times New Roman"/>
                <w:b/>
                <w:bCs/>
                <w:color w:val="000000"/>
                <w:lang w:eastAsia="en-GB"/>
              </w:rPr>
            </w:pPr>
            <w:proofErr w:type="spellStart"/>
            <w:r>
              <w:rPr>
                <w:rFonts w:ascii="Calibri" w:eastAsia="Times New Roman" w:hAnsi="Calibri" w:cs="Times New Roman"/>
                <w:b/>
                <w:bCs/>
                <w:color w:val="000000"/>
                <w:lang w:eastAsia="en-GB"/>
              </w:rPr>
              <w:t>Men</w:t>
            </w:r>
            <w:r w:rsidR="0007175F" w:rsidRPr="00342FE1">
              <w:rPr>
                <w:rFonts w:ascii="Calibri" w:eastAsia="Times New Roman" w:hAnsi="Calibri" w:cs="Times New Roman"/>
                <w:b/>
                <w:bCs/>
                <w:color w:val="000000"/>
                <w:lang w:eastAsia="en-GB"/>
              </w:rPr>
              <w:t>B</w:t>
            </w:r>
            <w:proofErr w:type="spellEnd"/>
          </w:p>
        </w:tc>
        <w:tc>
          <w:tcPr>
            <w:tcW w:w="1060" w:type="dxa"/>
            <w:noWrap/>
            <w:hideMark/>
          </w:tcPr>
          <w:p w14:paraId="5E333934" w14:textId="5EA5921F" w:rsidR="0007175F" w:rsidRPr="00342FE1" w:rsidRDefault="00342FE1" w:rsidP="005F4B86">
            <w:pPr>
              <w:spacing w:line="240" w:lineRule="auto"/>
              <w:jc w:val="right"/>
              <w:rPr>
                <w:rFonts w:ascii="Calibri" w:eastAsia="Times New Roman" w:hAnsi="Calibri" w:cs="Times New Roman"/>
                <w:b/>
                <w:bCs/>
                <w:color w:val="000000"/>
                <w:lang w:eastAsia="en-GB"/>
              </w:rPr>
            </w:pPr>
            <w:proofErr w:type="spellStart"/>
            <w:r>
              <w:rPr>
                <w:rFonts w:ascii="Calibri" w:eastAsia="Times New Roman" w:hAnsi="Calibri" w:cs="Times New Roman"/>
                <w:b/>
                <w:bCs/>
                <w:color w:val="000000"/>
                <w:lang w:eastAsia="en-GB"/>
              </w:rPr>
              <w:t>Men</w:t>
            </w:r>
            <w:r w:rsidR="0007175F" w:rsidRPr="00342FE1">
              <w:rPr>
                <w:rFonts w:ascii="Calibri" w:eastAsia="Times New Roman" w:hAnsi="Calibri" w:cs="Times New Roman"/>
                <w:b/>
                <w:bCs/>
                <w:color w:val="000000"/>
                <w:lang w:eastAsia="en-GB"/>
              </w:rPr>
              <w:t>C</w:t>
            </w:r>
            <w:proofErr w:type="spellEnd"/>
          </w:p>
        </w:tc>
        <w:tc>
          <w:tcPr>
            <w:tcW w:w="1060" w:type="dxa"/>
            <w:noWrap/>
            <w:hideMark/>
          </w:tcPr>
          <w:p w14:paraId="6E2677EC" w14:textId="713C7619" w:rsidR="0007175F" w:rsidRPr="00342FE1" w:rsidRDefault="00342FE1" w:rsidP="005F4B86">
            <w:pPr>
              <w:spacing w:line="240" w:lineRule="auto"/>
              <w:jc w:val="right"/>
              <w:rPr>
                <w:rFonts w:ascii="Calibri" w:eastAsia="Times New Roman" w:hAnsi="Calibri" w:cs="Times New Roman"/>
                <w:b/>
                <w:bCs/>
                <w:color w:val="000000"/>
                <w:lang w:eastAsia="en-GB"/>
              </w:rPr>
            </w:pPr>
            <w:proofErr w:type="spellStart"/>
            <w:r>
              <w:rPr>
                <w:rFonts w:ascii="Calibri" w:eastAsia="Times New Roman" w:hAnsi="Calibri" w:cs="Times New Roman"/>
                <w:b/>
                <w:bCs/>
                <w:color w:val="000000"/>
                <w:lang w:eastAsia="en-GB"/>
              </w:rPr>
              <w:t>Men</w:t>
            </w:r>
            <w:r w:rsidR="0007175F" w:rsidRPr="00342FE1">
              <w:rPr>
                <w:rFonts w:ascii="Calibri" w:eastAsia="Times New Roman" w:hAnsi="Calibri" w:cs="Times New Roman"/>
                <w:b/>
                <w:bCs/>
                <w:color w:val="000000"/>
                <w:lang w:eastAsia="en-GB"/>
              </w:rPr>
              <w:t>W</w:t>
            </w:r>
            <w:proofErr w:type="spellEnd"/>
          </w:p>
        </w:tc>
        <w:tc>
          <w:tcPr>
            <w:tcW w:w="1060" w:type="dxa"/>
            <w:noWrap/>
            <w:hideMark/>
          </w:tcPr>
          <w:p w14:paraId="54D3987C" w14:textId="57F19CDF" w:rsidR="0007175F" w:rsidRPr="00342FE1" w:rsidRDefault="00342FE1" w:rsidP="005F4B86">
            <w:pPr>
              <w:spacing w:line="240" w:lineRule="auto"/>
              <w:jc w:val="right"/>
              <w:rPr>
                <w:rFonts w:ascii="Calibri" w:eastAsia="Times New Roman" w:hAnsi="Calibri" w:cs="Times New Roman"/>
                <w:b/>
                <w:bCs/>
                <w:color w:val="000000"/>
                <w:lang w:eastAsia="en-GB"/>
              </w:rPr>
            </w:pPr>
            <w:proofErr w:type="spellStart"/>
            <w:r>
              <w:rPr>
                <w:rFonts w:ascii="Calibri" w:eastAsia="Times New Roman" w:hAnsi="Calibri" w:cs="Times New Roman"/>
                <w:b/>
                <w:bCs/>
                <w:color w:val="000000"/>
                <w:lang w:eastAsia="en-GB"/>
              </w:rPr>
              <w:t>Men</w:t>
            </w:r>
            <w:r w:rsidR="0007175F" w:rsidRPr="00342FE1">
              <w:rPr>
                <w:rFonts w:ascii="Calibri" w:eastAsia="Times New Roman" w:hAnsi="Calibri" w:cs="Times New Roman"/>
                <w:b/>
                <w:bCs/>
                <w:color w:val="000000"/>
                <w:lang w:eastAsia="en-GB"/>
              </w:rPr>
              <w:t>Y</w:t>
            </w:r>
            <w:proofErr w:type="spellEnd"/>
          </w:p>
        </w:tc>
        <w:tc>
          <w:tcPr>
            <w:tcW w:w="1060" w:type="dxa"/>
            <w:noWrap/>
            <w:hideMark/>
          </w:tcPr>
          <w:p w14:paraId="548DC1B6" w14:textId="77777777" w:rsidR="0007175F" w:rsidRPr="00342FE1" w:rsidRDefault="0007175F" w:rsidP="005F4B86">
            <w:pPr>
              <w:spacing w:line="240" w:lineRule="auto"/>
              <w:jc w:val="right"/>
              <w:rPr>
                <w:rFonts w:ascii="Calibri" w:eastAsia="Times New Roman" w:hAnsi="Calibri" w:cs="Times New Roman"/>
                <w:b/>
                <w:bCs/>
                <w:color w:val="000000"/>
                <w:lang w:eastAsia="en-GB"/>
              </w:rPr>
            </w:pPr>
            <w:r w:rsidRPr="00342FE1">
              <w:rPr>
                <w:rFonts w:ascii="Calibri" w:eastAsia="Times New Roman" w:hAnsi="Calibri" w:cs="Times New Roman"/>
                <w:b/>
                <w:bCs/>
                <w:color w:val="000000"/>
                <w:lang w:eastAsia="en-GB"/>
              </w:rPr>
              <w:t>TOTAL</w:t>
            </w:r>
          </w:p>
        </w:tc>
      </w:tr>
      <w:tr w:rsidR="0007175F" w:rsidRPr="00710625" w14:paraId="6834B194" w14:textId="77777777" w:rsidTr="00342FE1">
        <w:trPr>
          <w:trHeight w:val="300"/>
        </w:trPr>
        <w:tc>
          <w:tcPr>
            <w:tcW w:w="2691" w:type="dxa"/>
            <w:noWrap/>
            <w:hideMark/>
          </w:tcPr>
          <w:p w14:paraId="7523FE9F" w14:textId="4791D331" w:rsidR="0007175F" w:rsidRPr="00710625" w:rsidRDefault="00920BA7" w:rsidP="0043235C">
            <w:pPr>
              <w:spacing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Malignancy</w:t>
            </w:r>
          </w:p>
        </w:tc>
        <w:tc>
          <w:tcPr>
            <w:tcW w:w="1060" w:type="dxa"/>
            <w:noWrap/>
            <w:hideMark/>
          </w:tcPr>
          <w:p w14:paraId="00EC1147" w14:textId="77777777" w:rsidR="0007175F" w:rsidRPr="00710625" w:rsidRDefault="0007175F" w:rsidP="004E4732">
            <w:pPr>
              <w:spacing w:line="240" w:lineRule="auto"/>
              <w:jc w:val="right"/>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25</w:t>
            </w:r>
          </w:p>
        </w:tc>
        <w:tc>
          <w:tcPr>
            <w:tcW w:w="1060" w:type="dxa"/>
            <w:noWrap/>
            <w:hideMark/>
          </w:tcPr>
          <w:p w14:paraId="7B5F797A" w14:textId="77777777" w:rsidR="0007175F" w:rsidRPr="00710625" w:rsidRDefault="0007175F" w:rsidP="004E4732">
            <w:pPr>
              <w:spacing w:line="240" w:lineRule="auto"/>
              <w:jc w:val="right"/>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2</w:t>
            </w:r>
          </w:p>
        </w:tc>
        <w:tc>
          <w:tcPr>
            <w:tcW w:w="1060" w:type="dxa"/>
            <w:noWrap/>
            <w:hideMark/>
          </w:tcPr>
          <w:p w14:paraId="18C42F5D" w14:textId="77777777" w:rsidR="0007175F" w:rsidRPr="00710625" w:rsidRDefault="0007175F" w:rsidP="004E4732">
            <w:pPr>
              <w:spacing w:line="240" w:lineRule="auto"/>
              <w:jc w:val="right"/>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12</w:t>
            </w:r>
          </w:p>
        </w:tc>
        <w:tc>
          <w:tcPr>
            <w:tcW w:w="1060" w:type="dxa"/>
            <w:noWrap/>
            <w:hideMark/>
          </w:tcPr>
          <w:p w14:paraId="3959D355" w14:textId="77777777" w:rsidR="0007175F" w:rsidRPr="00710625" w:rsidRDefault="0007175F" w:rsidP="004E4732">
            <w:pPr>
              <w:spacing w:line="240" w:lineRule="auto"/>
              <w:jc w:val="right"/>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26</w:t>
            </w:r>
          </w:p>
        </w:tc>
        <w:tc>
          <w:tcPr>
            <w:tcW w:w="1060" w:type="dxa"/>
            <w:noWrap/>
            <w:hideMark/>
          </w:tcPr>
          <w:p w14:paraId="460D47D5" w14:textId="77777777" w:rsidR="0007175F" w:rsidRPr="00710625" w:rsidRDefault="0007175F" w:rsidP="0043235C">
            <w:pPr>
              <w:spacing w:line="240" w:lineRule="auto"/>
              <w:jc w:val="right"/>
              <w:rPr>
                <w:rFonts w:ascii="Calibri" w:eastAsia="Times New Roman" w:hAnsi="Calibri" w:cs="Times New Roman"/>
                <w:b/>
                <w:bCs/>
                <w:color w:val="000000"/>
                <w:lang w:eastAsia="en-GB"/>
              </w:rPr>
            </w:pPr>
            <w:r w:rsidRPr="00710625">
              <w:rPr>
                <w:rFonts w:ascii="Calibri" w:eastAsia="Times New Roman" w:hAnsi="Calibri" w:cs="Times New Roman"/>
                <w:b/>
                <w:bCs/>
                <w:color w:val="000000"/>
                <w:lang w:eastAsia="en-GB"/>
              </w:rPr>
              <w:t>65</w:t>
            </w:r>
          </w:p>
        </w:tc>
      </w:tr>
      <w:tr w:rsidR="00D96FE9" w:rsidRPr="00710625" w14:paraId="6EF91980" w14:textId="77777777" w:rsidTr="0043235C">
        <w:trPr>
          <w:trHeight w:val="300"/>
        </w:trPr>
        <w:tc>
          <w:tcPr>
            <w:tcW w:w="2691" w:type="dxa"/>
            <w:noWrap/>
            <w:hideMark/>
          </w:tcPr>
          <w:p w14:paraId="6EC09EFD" w14:textId="4B3A3659" w:rsidR="00D96FE9" w:rsidRPr="00710625" w:rsidRDefault="00D96FE9" w:rsidP="0043235C">
            <w:pPr>
              <w:spacing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Respiratory </w:t>
            </w:r>
            <w:r w:rsidR="004B78A6">
              <w:rPr>
                <w:rFonts w:ascii="Calibri" w:eastAsia="Times New Roman" w:hAnsi="Calibri" w:cs="Times New Roman"/>
                <w:color w:val="000000"/>
                <w:lang w:eastAsia="en-GB"/>
              </w:rPr>
              <w:t>disease</w:t>
            </w:r>
            <w:r>
              <w:rPr>
                <w:rFonts w:ascii="Calibri" w:eastAsia="Times New Roman" w:hAnsi="Calibri" w:cs="Times New Roman"/>
                <w:color w:val="000000"/>
                <w:lang w:eastAsia="en-GB"/>
              </w:rPr>
              <w:t>*</w:t>
            </w:r>
          </w:p>
        </w:tc>
        <w:tc>
          <w:tcPr>
            <w:tcW w:w="1060" w:type="dxa"/>
            <w:noWrap/>
            <w:hideMark/>
          </w:tcPr>
          <w:p w14:paraId="6EA0416D" w14:textId="77777777" w:rsidR="00D96FE9" w:rsidRPr="00710625" w:rsidRDefault="00D96FE9" w:rsidP="0043235C">
            <w:pPr>
              <w:spacing w:line="240" w:lineRule="auto"/>
              <w:jc w:val="right"/>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16</w:t>
            </w:r>
          </w:p>
        </w:tc>
        <w:tc>
          <w:tcPr>
            <w:tcW w:w="1060" w:type="dxa"/>
            <w:noWrap/>
            <w:hideMark/>
          </w:tcPr>
          <w:p w14:paraId="14FAD3A2" w14:textId="77777777" w:rsidR="00D96FE9" w:rsidRPr="00710625" w:rsidRDefault="00D96FE9" w:rsidP="0043235C">
            <w:pPr>
              <w:spacing w:line="240" w:lineRule="auto"/>
              <w:jc w:val="right"/>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1</w:t>
            </w:r>
          </w:p>
        </w:tc>
        <w:tc>
          <w:tcPr>
            <w:tcW w:w="1060" w:type="dxa"/>
            <w:noWrap/>
            <w:hideMark/>
          </w:tcPr>
          <w:p w14:paraId="7595AA04" w14:textId="77777777" w:rsidR="00D96FE9" w:rsidRPr="00710625" w:rsidRDefault="00D96FE9" w:rsidP="0043235C">
            <w:pPr>
              <w:spacing w:line="240" w:lineRule="auto"/>
              <w:jc w:val="right"/>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3</w:t>
            </w:r>
          </w:p>
        </w:tc>
        <w:tc>
          <w:tcPr>
            <w:tcW w:w="1060" w:type="dxa"/>
            <w:noWrap/>
            <w:hideMark/>
          </w:tcPr>
          <w:p w14:paraId="09A85630" w14:textId="77777777" w:rsidR="00D96FE9" w:rsidRPr="00710625" w:rsidRDefault="00D96FE9" w:rsidP="0043235C">
            <w:pPr>
              <w:spacing w:line="240" w:lineRule="auto"/>
              <w:jc w:val="right"/>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5</w:t>
            </w:r>
          </w:p>
        </w:tc>
        <w:tc>
          <w:tcPr>
            <w:tcW w:w="1060" w:type="dxa"/>
            <w:noWrap/>
            <w:hideMark/>
          </w:tcPr>
          <w:p w14:paraId="19FF374C" w14:textId="77777777" w:rsidR="00D96FE9" w:rsidRPr="00710625" w:rsidRDefault="00D96FE9" w:rsidP="0043235C">
            <w:pPr>
              <w:spacing w:line="240" w:lineRule="auto"/>
              <w:jc w:val="right"/>
              <w:rPr>
                <w:rFonts w:ascii="Calibri" w:eastAsia="Times New Roman" w:hAnsi="Calibri" w:cs="Times New Roman"/>
                <w:b/>
                <w:bCs/>
                <w:color w:val="000000"/>
                <w:lang w:eastAsia="en-GB"/>
              </w:rPr>
            </w:pPr>
            <w:r w:rsidRPr="00710625">
              <w:rPr>
                <w:rFonts w:ascii="Calibri" w:eastAsia="Times New Roman" w:hAnsi="Calibri" w:cs="Times New Roman"/>
                <w:b/>
                <w:bCs/>
                <w:color w:val="000000"/>
                <w:lang w:eastAsia="en-GB"/>
              </w:rPr>
              <w:t>25</w:t>
            </w:r>
          </w:p>
        </w:tc>
      </w:tr>
      <w:tr w:rsidR="0007175F" w:rsidRPr="00710625" w14:paraId="099C0A82" w14:textId="77777777" w:rsidTr="00342FE1">
        <w:trPr>
          <w:trHeight w:val="300"/>
        </w:trPr>
        <w:tc>
          <w:tcPr>
            <w:tcW w:w="2691" w:type="dxa"/>
            <w:noWrap/>
            <w:hideMark/>
          </w:tcPr>
          <w:p w14:paraId="488D7B91" w14:textId="48CB4AF3" w:rsidR="0007175F" w:rsidRPr="00710625" w:rsidRDefault="00920BA7" w:rsidP="0043235C">
            <w:pPr>
              <w:spacing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Cardiovascular</w:t>
            </w:r>
            <w:r w:rsidR="004B78A6">
              <w:rPr>
                <w:rFonts w:ascii="Calibri" w:eastAsia="Times New Roman" w:hAnsi="Calibri" w:cs="Times New Roman"/>
                <w:color w:val="000000"/>
                <w:lang w:eastAsia="en-GB"/>
              </w:rPr>
              <w:t xml:space="preserve"> disease</w:t>
            </w:r>
          </w:p>
        </w:tc>
        <w:tc>
          <w:tcPr>
            <w:tcW w:w="1060" w:type="dxa"/>
            <w:noWrap/>
            <w:hideMark/>
          </w:tcPr>
          <w:p w14:paraId="76CA4CBA" w14:textId="77777777" w:rsidR="0007175F" w:rsidRPr="00710625" w:rsidRDefault="0007175F" w:rsidP="004E4732">
            <w:pPr>
              <w:spacing w:line="240" w:lineRule="auto"/>
              <w:jc w:val="right"/>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6</w:t>
            </w:r>
          </w:p>
        </w:tc>
        <w:tc>
          <w:tcPr>
            <w:tcW w:w="1060" w:type="dxa"/>
            <w:noWrap/>
            <w:hideMark/>
          </w:tcPr>
          <w:p w14:paraId="49EE80B8" w14:textId="77777777" w:rsidR="0007175F" w:rsidRPr="00710625" w:rsidRDefault="0007175F" w:rsidP="004E4732">
            <w:pPr>
              <w:spacing w:line="240" w:lineRule="auto"/>
              <w:jc w:val="right"/>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1</w:t>
            </w:r>
          </w:p>
        </w:tc>
        <w:tc>
          <w:tcPr>
            <w:tcW w:w="1060" w:type="dxa"/>
            <w:noWrap/>
            <w:hideMark/>
          </w:tcPr>
          <w:p w14:paraId="5DCCE424" w14:textId="77777777" w:rsidR="0007175F" w:rsidRPr="00710625" w:rsidRDefault="0007175F" w:rsidP="004E4732">
            <w:pPr>
              <w:spacing w:line="240" w:lineRule="auto"/>
              <w:jc w:val="right"/>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2</w:t>
            </w:r>
          </w:p>
        </w:tc>
        <w:tc>
          <w:tcPr>
            <w:tcW w:w="1060" w:type="dxa"/>
            <w:noWrap/>
            <w:hideMark/>
          </w:tcPr>
          <w:p w14:paraId="185915FE" w14:textId="77777777" w:rsidR="0007175F" w:rsidRPr="00710625" w:rsidRDefault="0007175F" w:rsidP="004E4732">
            <w:pPr>
              <w:spacing w:line="240" w:lineRule="auto"/>
              <w:jc w:val="right"/>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14</w:t>
            </w:r>
          </w:p>
        </w:tc>
        <w:tc>
          <w:tcPr>
            <w:tcW w:w="1060" w:type="dxa"/>
            <w:noWrap/>
            <w:hideMark/>
          </w:tcPr>
          <w:p w14:paraId="2CAD6DBE" w14:textId="77777777" w:rsidR="0007175F" w:rsidRPr="00710625" w:rsidRDefault="0007175F" w:rsidP="0043235C">
            <w:pPr>
              <w:spacing w:line="240" w:lineRule="auto"/>
              <w:jc w:val="right"/>
              <w:rPr>
                <w:rFonts w:ascii="Calibri" w:eastAsia="Times New Roman" w:hAnsi="Calibri" w:cs="Times New Roman"/>
                <w:b/>
                <w:bCs/>
                <w:color w:val="000000"/>
                <w:lang w:eastAsia="en-GB"/>
              </w:rPr>
            </w:pPr>
            <w:r w:rsidRPr="00710625">
              <w:rPr>
                <w:rFonts w:ascii="Calibri" w:eastAsia="Times New Roman" w:hAnsi="Calibri" w:cs="Times New Roman"/>
                <w:b/>
                <w:bCs/>
                <w:color w:val="000000"/>
                <w:lang w:eastAsia="en-GB"/>
              </w:rPr>
              <w:t>23</w:t>
            </w:r>
          </w:p>
        </w:tc>
      </w:tr>
      <w:tr w:rsidR="00D96FE9" w:rsidRPr="00710625" w14:paraId="3ADDC74D" w14:textId="77777777" w:rsidTr="0043235C">
        <w:trPr>
          <w:trHeight w:val="300"/>
        </w:trPr>
        <w:tc>
          <w:tcPr>
            <w:tcW w:w="2691" w:type="dxa"/>
            <w:noWrap/>
            <w:hideMark/>
          </w:tcPr>
          <w:p w14:paraId="1E4D3AA9" w14:textId="6CFA66CF" w:rsidR="00D96FE9" w:rsidRPr="00710625" w:rsidRDefault="00D96FE9" w:rsidP="0043235C">
            <w:pPr>
              <w:spacing w:line="240" w:lineRule="auto"/>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Neuro</w:t>
            </w:r>
            <w:r>
              <w:rPr>
                <w:rFonts w:ascii="Calibri" w:eastAsia="Times New Roman" w:hAnsi="Calibri" w:cs="Times New Roman"/>
                <w:color w:val="000000"/>
                <w:lang w:eastAsia="en-GB"/>
              </w:rPr>
              <w:t>logical</w:t>
            </w:r>
            <w:r w:rsidR="004B78A6">
              <w:rPr>
                <w:rFonts w:ascii="Calibri" w:eastAsia="Times New Roman" w:hAnsi="Calibri" w:cs="Times New Roman"/>
                <w:color w:val="000000"/>
                <w:lang w:eastAsia="en-GB"/>
              </w:rPr>
              <w:t xml:space="preserve"> disease</w:t>
            </w:r>
          </w:p>
        </w:tc>
        <w:tc>
          <w:tcPr>
            <w:tcW w:w="1060" w:type="dxa"/>
            <w:noWrap/>
            <w:hideMark/>
          </w:tcPr>
          <w:p w14:paraId="13D031D3" w14:textId="77777777" w:rsidR="00D96FE9" w:rsidRPr="00710625" w:rsidRDefault="00D96FE9" w:rsidP="0043235C">
            <w:pPr>
              <w:spacing w:line="240" w:lineRule="auto"/>
              <w:jc w:val="right"/>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5</w:t>
            </w:r>
          </w:p>
        </w:tc>
        <w:tc>
          <w:tcPr>
            <w:tcW w:w="1060" w:type="dxa"/>
            <w:noWrap/>
            <w:hideMark/>
          </w:tcPr>
          <w:p w14:paraId="3514299E" w14:textId="77777777" w:rsidR="00D96FE9" w:rsidRPr="00710625" w:rsidRDefault="00D96FE9" w:rsidP="0043235C">
            <w:pPr>
              <w:spacing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w:t>
            </w:r>
            <w:r w:rsidRPr="00710625">
              <w:rPr>
                <w:rFonts w:ascii="Calibri" w:eastAsia="Times New Roman" w:hAnsi="Calibri" w:cs="Times New Roman"/>
                <w:color w:val="000000"/>
                <w:lang w:eastAsia="en-GB"/>
              </w:rPr>
              <w:t> </w:t>
            </w:r>
          </w:p>
        </w:tc>
        <w:tc>
          <w:tcPr>
            <w:tcW w:w="1060" w:type="dxa"/>
            <w:noWrap/>
            <w:hideMark/>
          </w:tcPr>
          <w:p w14:paraId="618D748E" w14:textId="77777777" w:rsidR="00D96FE9" w:rsidRPr="00710625" w:rsidRDefault="00D96FE9" w:rsidP="0043235C">
            <w:pPr>
              <w:spacing w:line="240" w:lineRule="auto"/>
              <w:jc w:val="right"/>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2</w:t>
            </w:r>
          </w:p>
        </w:tc>
        <w:tc>
          <w:tcPr>
            <w:tcW w:w="1060" w:type="dxa"/>
            <w:noWrap/>
            <w:hideMark/>
          </w:tcPr>
          <w:p w14:paraId="0ABD437B" w14:textId="77777777" w:rsidR="00D96FE9" w:rsidRPr="00710625" w:rsidRDefault="00D96FE9" w:rsidP="0043235C">
            <w:pPr>
              <w:spacing w:line="240" w:lineRule="auto"/>
              <w:jc w:val="right"/>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4</w:t>
            </w:r>
          </w:p>
        </w:tc>
        <w:tc>
          <w:tcPr>
            <w:tcW w:w="1060" w:type="dxa"/>
            <w:noWrap/>
            <w:hideMark/>
          </w:tcPr>
          <w:p w14:paraId="19D27BA2" w14:textId="77777777" w:rsidR="00D96FE9" w:rsidRPr="00710625" w:rsidRDefault="00D96FE9" w:rsidP="0043235C">
            <w:pPr>
              <w:spacing w:line="240" w:lineRule="auto"/>
              <w:jc w:val="right"/>
              <w:rPr>
                <w:rFonts w:ascii="Calibri" w:eastAsia="Times New Roman" w:hAnsi="Calibri" w:cs="Times New Roman"/>
                <w:b/>
                <w:bCs/>
                <w:color w:val="000000"/>
                <w:lang w:eastAsia="en-GB"/>
              </w:rPr>
            </w:pPr>
            <w:r w:rsidRPr="00710625">
              <w:rPr>
                <w:rFonts w:ascii="Calibri" w:eastAsia="Times New Roman" w:hAnsi="Calibri" w:cs="Times New Roman"/>
                <w:b/>
                <w:bCs/>
                <w:color w:val="000000"/>
                <w:lang w:eastAsia="en-GB"/>
              </w:rPr>
              <w:t>11</w:t>
            </w:r>
          </w:p>
        </w:tc>
      </w:tr>
      <w:tr w:rsidR="0007175F" w:rsidRPr="00710625" w14:paraId="1DF8305E" w14:textId="77777777" w:rsidTr="00342FE1">
        <w:trPr>
          <w:trHeight w:val="300"/>
        </w:trPr>
        <w:tc>
          <w:tcPr>
            <w:tcW w:w="2691" w:type="dxa"/>
            <w:noWrap/>
            <w:hideMark/>
          </w:tcPr>
          <w:p w14:paraId="2979E778" w14:textId="259A9EDF" w:rsidR="0007175F" w:rsidRPr="00710625" w:rsidRDefault="00920BA7" w:rsidP="0043235C">
            <w:pPr>
              <w:spacing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Hepatic</w:t>
            </w:r>
            <w:r w:rsidR="004B78A6">
              <w:rPr>
                <w:rFonts w:ascii="Calibri" w:eastAsia="Times New Roman" w:hAnsi="Calibri" w:cs="Times New Roman"/>
                <w:color w:val="000000"/>
                <w:lang w:eastAsia="en-GB"/>
              </w:rPr>
              <w:t xml:space="preserve"> disease</w:t>
            </w:r>
          </w:p>
        </w:tc>
        <w:tc>
          <w:tcPr>
            <w:tcW w:w="1060" w:type="dxa"/>
            <w:noWrap/>
            <w:hideMark/>
          </w:tcPr>
          <w:p w14:paraId="44B1A7A2" w14:textId="77777777" w:rsidR="0007175F" w:rsidRPr="00710625" w:rsidRDefault="0007175F" w:rsidP="004E4732">
            <w:pPr>
              <w:spacing w:line="240" w:lineRule="auto"/>
              <w:jc w:val="right"/>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7</w:t>
            </w:r>
          </w:p>
        </w:tc>
        <w:tc>
          <w:tcPr>
            <w:tcW w:w="1060" w:type="dxa"/>
            <w:noWrap/>
            <w:hideMark/>
          </w:tcPr>
          <w:p w14:paraId="6E78BECD" w14:textId="44D88567" w:rsidR="0007175F" w:rsidRPr="00710625" w:rsidRDefault="00324CAD" w:rsidP="004E4732">
            <w:pPr>
              <w:spacing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w:t>
            </w:r>
            <w:r w:rsidR="0007175F" w:rsidRPr="00710625">
              <w:rPr>
                <w:rFonts w:ascii="Calibri" w:eastAsia="Times New Roman" w:hAnsi="Calibri" w:cs="Times New Roman"/>
                <w:color w:val="000000"/>
                <w:lang w:eastAsia="en-GB"/>
              </w:rPr>
              <w:t> </w:t>
            </w:r>
          </w:p>
        </w:tc>
        <w:tc>
          <w:tcPr>
            <w:tcW w:w="1060" w:type="dxa"/>
            <w:noWrap/>
            <w:hideMark/>
          </w:tcPr>
          <w:p w14:paraId="293CAD38" w14:textId="7784F6D1" w:rsidR="0007175F" w:rsidRPr="00710625" w:rsidRDefault="00324CAD" w:rsidP="004E4732">
            <w:pPr>
              <w:spacing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w:t>
            </w:r>
            <w:r w:rsidR="0007175F" w:rsidRPr="00710625">
              <w:rPr>
                <w:rFonts w:ascii="Calibri" w:eastAsia="Times New Roman" w:hAnsi="Calibri" w:cs="Times New Roman"/>
                <w:color w:val="000000"/>
                <w:lang w:eastAsia="en-GB"/>
              </w:rPr>
              <w:t> </w:t>
            </w:r>
          </w:p>
        </w:tc>
        <w:tc>
          <w:tcPr>
            <w:tcW w:w="1060" w:type="dxa"/>
            <w:noWrap/>
            <w:hideMark/>
          </w:tcPr>
          <w:p w14:paraId="17CE02CE" w14:textId="77777777" w:rsidR="0007175F" w:rsidRPr="00710625" w:rsidRDefault="0007175F" w:rsidP="004E4732">
            <w:pPr>
              <w:spacing w:line="240" w:lineRule="auto"/>
              <w:jc w:val="right"/>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2</w:t>
            </w:r>
          </w:p>
        </w:tc>
        <w:tc>
          <w:tcPr>
            <w:tcW w:w="1060" w:type="dxa"/>
            <w:noWrap/>
            <w:hideMark/>
          </w:tcPr>
          <w:p w14:paraId="554E5AEC" w14:textId="77777777" w:rsidR="0007175F" w:rsidRPr="00710625" w:rsidRDefault="0007175F" w:rsidP="0043235C">
            <w:pPr>
              <w:spacing w:line="240" w:lineRule="auto"/>
              <w:jc w:val="right"/>
              <w:rPr>
                <w:rFonts w:ascii="Calibri" w:eastAsia="Times New Roman" w:hAnsi="Calibri" w:cs="Times New Roman"/>
                <w:b/>
                <w:bCs/>
                <w:color w:val="000000"/>
                <w:lang w:eastAsia="en-GB"/>
              </w:rPr>
            </w:pPr>
            <w:r w:rsidRPr="00710625">
              <w:rPr>
                <w:rFonts w:ascii="Calibri" w:eastAsia="Times New Roman" w:hAnsi="Calibri" w:cs="Times New Roman"/>
                <w:b/>
                <w:bCs/>
                <w:color w:val="000000"/>
                <w:lang w:eastAsia="en-GB"/>
              </w:rPr>
              <w:t>9</w:t>
            </w:r>
          </w:p>
        </w:tc>
      </w:tr>
      <w:tr w:rsidR="0007175F" w:rsidRPr="00710625" w14:paraId="2760A164" w14:textId="77777777" w:rsidTr="00342FE1">
        <w:trPr>
          <w:trHeight w:val="300"/>
        </w:trPr>
        <w:tc>
          <w:tcPr>
            <w:tcW w:w="2691" w:type="dxa"/>
            <w:noWrap/>
            <w:hideMark/>
          </w:tcPr>
          <w:p w14:paraId="6B195BB9" w14:textId="28C798E5" w:rsidR="0007175F" w:rsidRPr="00710625" w:rsidRDefault="00920BA7" w:rsidP="0043235C">
            <w:pPr>
              <w:spacing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Inflammatory dis</w:t>
            </w:r>
            <w:r w:rsidR="00614E30">
              <w:rPr>
                <w:rFonts w:ascii="Calibri" w:eastAsia="Times New Roman" w:hAnsi="Calibri" w:cs="Times New Roman"/>
                <w:color w:val="000000"/>
                <w:lang w:eastAsia="en-GB"/>
              </w:rPr>
              <w:t>ease</w:t>
            </w:r>
          </w:p>
        </w:tc>
        <w:tc>
          <w:tcPr>
            <w:tcW w:w="1060" w:type="dxa"/>
            <w:noWrap/>
            <w:hideMark/>
          </w:tcPr>
          <w:p w14:paraId="46E0C3FD" w14:textId="77777777" w:rsidR="0007175F" w:rsidRPr="00710625" w:rsidRDefault="0007175F" w:rsidP="004E4732">
            <w:pPr>
              <w:spacing w:line="240" w:lineRule="auto"/>
              <w:jc w:val="right"/>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3</w:t>
            </w:r>
          </w:p>
        </w:tc>
        <w:tc>
          <w:tcPr>
            <w:tcW w:w="1060" w:type="dxa"/>
            <w:noWrap/>
            <w:hideMark/>
          </w:tcPr>
          <w:p w14:paraId="37CB9D73" w14:textId="4825C183" w:rsidR="0007175F" w:rsidRPr="00710625" w:rsidRDefault="00324CAD" w:rsidP="004E4732">
            <w:pPr>
              <w:spacing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w:t>
            </w:r>
            <w:r w:rsidR="0007175F" w:rsidRPr="00710625">
              <w:rPr>
                <w:rFonts w:ascii="Calibri" w:eastAsia="Times New Roman" w:hAnsi="Calibri" w:cs="Times New Roman"/>
                <w:color w:val="000000"/>
                <w:lang w:eastAsia="en-GB"/>
              </w:rPr>
              <w:t> </w:t>
            </w:r>
          </w:p>
        </w:tc>
        <w:tc>
          <w:tcPr>
            <w:tcW w:w="1060" w:type="dxa"/>
            <w:noWrap/>
            <w:hideMark/>
          </w:tcPr>
          <w:p w14:paraId="196404C5" w14:textId="139C8AC9" w:rsidR="0007175F" w:rsidRPr="00710625" w:rsidRDefault="00324CAD" w:rsidP="004E4732">
            <w:pPr>
              <w:spacing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w:t>
            </w:r>
            <w:r w:rsidR="0007175F" w:rsidRPr="00710625">
              <w:rPr>
                <w:rFonts w:ascii="Calibri" w:eastAsia="Times New Roman" w:hAnsi="Calibri" w:cs="Times New Roman"/>
                <w:color w:val="000000"/>
                <w:lang w:eastAsia="en-GB"/>
              </w:rPr>
              <w:t> </w:t>
            </w:r>
          </w:p>
        </w:tc>
        <w:tc>
          <w:tcPr>
            <w:tcW w:w="1060" w:type="dxa"/>
            <w:noWrap/>
            <w:hideMark/>
          </w:tcPr>
          <w:p w14:paraId="2D17B1B0" w14:textId="77777777" w:rsidR="0007175F" w:rsidRPr="00710625" w:rsidRDefault="0007175F" w:rsidP="004E4732">
            <w:pPr>
              <w:spacing w:line="240" w:lineRule="auto"/>
              <w:jc w:val="right"/>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1</w:t>
            </w:r>
          </w:p>
        </w:tc>
        <w:tc>
          <w:tcPr>
            <w:tcW w:w="1060" w:type="dxa"/>
            <w:noWrap/>
            <w:hideMark/>
          </w:tcPr>
          <w:p w14:paraId="010888A7" w14:textId="77777777" w:rsidR="0007175F" w:rsidRPr="00710625" w:rsidRDefault="0007175F" w:rsidP="0043235C">
            <w:pPr>
              <w:spacing w:line="240" w:lineRule="auto"/>
              <w:jc w:val="right"/>
              <w:rPr>
                <w:rFonts w:ascii="Calibri" w:eastAsia="Times New Roman" w:hAnsi="Calibri" w:cs="Times New Roman"/>
                <w:b/>
                <w:bCs/>
                <w:color w:val="000000"/>
                <w:lang w:eastAsia="en-GB"/>
              </w:rPr>
            </w:pPr>
            <w:r w:rsidRPr="00710625">
              <w:rPr>
                <w:rFonts w:ascii="Calibri" w:eastAsia="Times New Roman" w:hAnsi="Calibri" w:cs="Times New Roman"/>
                <w:b/>
                <w:bCs/>
                <w:color w:val="000000"/>
                <w:lang w:eastAsia="en-GB"/>
              </w:rPr>
              <w:t>4</w:t>
            </w:r>
          </w:p>
        </w:tc>
      </w:tr>
      <w:tr w:rsidR="0007175F" w:rsidRPr="00710625" w14:paraId="589B81D8" w14:textId="77777777" w:rsidTr="00342FE1">
        <w:trPr>
          <w:trHeight w:val="300"/>
        </w:trPr>
        <w:tc>
          <w:tcPr>
            <w:tcW w:w="2691" w:type="dxa"/>
            <w:noWrap/>
            <w:hideMark/>
          </w:tcPr>
          <w:p w14:paraId="411C3605" w14:textId="5DA20341" w:rsidR="0007175F" w:rsidRPr="00710625" w:rsidRDefault="00920BA7" w:rsidP="0043235C">
            <w:pPr>
              <w:spacing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Renal</w:t>
            </w:r>
            <w:r w:rsidR="004B78A6">
              <w:rPr>
                <w:rFonts w:ascii="Calibri" w:eastAsia="Times New Roman" w:hAnsi="Calibri" w:cs="Times New Roman"/>
                <w:color w:val="000000"/>
                <w:lang w:eastAsia="en-GB"/>
              </w:rPr>
              <w:t xml:space="preserve"> disease</w:t>
            </w:r>
          </w:p>
        </w:tc>
        <w:tc>
          <w:tcPr>
            <w:tcW w:w="1060" w:type="dxa"/>
            <w:noWrap/>
            <w:hideMark/>
          </w:tcPr>
          <w:p w14:paraId="72513C99" w14:textId="77777777" w:rsidR="0007175F" w:rsidRPr="00710625" w:rsidRDefault="0007175F" w:rsidP="004E4732">
            <w:pPr>
              <w:spacing w:line="240" w:lineRule="auto"/>
              <w:jc w:val="right"/>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1</w:t>
            </w:r>
          </w:p>
        </w:tc>
        <w:tc>
          <w:tcPr>
            <w:tcW w:w="1060" w:type="dxa"/>
            <w:noWrap/>
            <w:hideMark/>
          </w:tcPr>
          <w:p w14:paraId="318EB12B" w14:textId="6B7DAA8F" w:rsidR="0007175F" w:rsidRPr="00710625" w:rsidRDefault="00324CAD" w:rsidP="004E4732">
            <w:pPr>
              <w:spacing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w:t>
            </w:r>
            <w:r w:rsidR="0007175F" w:rsidRPr="00710625">
              <w:rPr>
                <w:rFonts w:ascii="Calibri" w:eastAsia="Times New Roman" w:hAnsi="Calibri" w:cs="Times New Roman"/>
                <w:color w:val="000000"/>
                <w:lang w:eastAsia="en-GB"/>
              </w:rPr>
              <w:t> </w:t>
            </w:r>
          </w:p>
        </w:tc>
        <w:tc>
          <w:tcPr>
            <w:tcW w:w="1060" w:type="dxa"/>
            <w:noWrap/>
            <w:hideMark/>
          </w:tcPr>
          <w:p w14:paraId="4A2F9490" w14:textId="4F052656" w:rsidR="0007175F" w:rsidRPr="00710625" w:rsidRDefault="00324CAD" w:rsidP="004E4732">
            <w:pPr>
              <w:spacing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w:t>
            </w:r>
            <w:r w:rsidR="0007175F" w:rsidRPr="00710625">
              <w:rPr>
                <w:rFonts w:ascii="Calibri" w:eastAsia="Times New Roman" w:hAnsi="Calibri" w:cs="Times New Roman"/>
                <w:color w:val="000000"/>
                <w:lang w:eastAsia="en-GB"/>
              </w:rPr>
              <w:t> </w:t>
            </w:r>
          </w:p>
        </w:tc>
        <w:tc>
          <w:tcPr>
            <w:tcW w:w="1060" w:type="dxa"/>
            <w:noWrap/>
            <w:hideMark/>
          </w:tcPr>
          <w:p w14:paraId="1E633F44" w14:textId="77777777" w:rsidR="0007175F" w:rsidRPr="00710625" w:rsidRDefault="0007175F" w:rsidP="004E4732">
            <w:pPr>
              <w:spacing w:line="240" w:lineRule="auto"/>
              <w:jc w:val="right"/>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2</w:t>
            </w:r>
          </w:p>
        </w:tc>
        <w:tc>
          <w:tcPr>
            <w:tcW w:w="1060" w:type="dxa"/>
            <w:noWrap/>
            <w:hideMark/>
          </w:tcPr>
          <w:p w14:paraId="607EDD35" w14:textId="77777777" w:rsidR="0007175F" w:rsidRPr="00710625" w:rsidRDefault="0007175F" w:rsidP="0043235C">
            <w:pPr>
              <w:spacing w:line="240" w:lineRule="auto"/>
              <w:jc w:val="right"/>
              <w:rPr>
                <w:rFonts w:ascii="Calibri" w:eastAsia="Times New Roman" w:hAnsi="Calibri" w:cs="Times New Roman"/>
                <w:b/>
                <w:bCs/>
                <w:color w:val="000000"/>
                <w:lang w:eastAsia="en-GB"/>
              </w:rPr>
            </w:pPr>
            <w:r w:rsidRPr="00710625">
              <w:rPr>
                <w:rFonts w:ascii="Calibri" w:eastAsia="Times New Roman" w:hAnsi="Calibri" w:cs="Times New Roman"/>
                <w:b/>
                <w:bCs/>
                <w:color w:val="000000"/>
                <w:lang w:eastAsia="en-GB"/>
              </w:rPr>
              <w:t>3</w:t>
            </w:r>
          </w:p>
        </w:tc>
      </w:tr>
      <w:tr w:rsidR="0007175F" w:rsidRPr="00710625" w14:paraId="3D0B8B6F" w14:textId="77777777" w:rsidTr="00342FE1">
        <w:trPr>
          <w:trHeight w:val="300"/>
        </w:trPr>
        <w:tc>
          <w:tcPr>
            <w:tcW w:w="2691" w:type="dxa"/>
            <w:noWrap/>
            <w:hideMark/>
          </w:tcPr>
          <w:p w14:paraId="60D12B2F" w14:textId="6E2CB15D" w:rsidR="0007175F" w:rsidRPr="00710625" w:rsidRDefault="0007175F" w:rsidP="0043235C">
            <w:pPr>
              <w:spacing w:line="240" w:lineRule="auto"/>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Other</w:t>
            </w:r>
            <w:r w:rsidR="00920BA7">
              <w:rPr>
                <w:rFonts w:ascii="Calibri" w:eastAsia="Times New Roman" w:hAnsi="Calibri" w:cs="Times New Roman"/>
                <w:color w:val="000000"/>
                <w:lang w:eastAsia="en-GB"/>
              </w:rPr>
              <w:t xml:space="preserve"> causes **</w:t>
            </w:r>
          </w:p>
        </w:tc>
        <w:tc>
          <w:tcPr>
            <w:tcW w:w="1060" w:type="dxa"/>
            <w:noWrap/>
            <w:hideMark/>
          </w:tcPr>
          <w:p w14:paraId="5372A39B" w14:textId="77777777" w:rsidR="0007175F" w:rsidRPr="00710625" w:rsidRDefault="0007175F" w:rsidP="004E4732">
            <w:pPr>
              <w:spacing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1060" w:type="dxa"/>
            <w:noWrap/>
            <w:hideMark/>
          </w:tcPr>
          <w:p w14:paraId="6FFB62F9" w14:textId="77777777" w:rsidR="0007175F" w:rsidRPr="00710625" w:rsidRDefault="0007175F" w:rsidP="004E4732">
            <w:pPr>
              <w:spacing w:line="240" w:lineRule="auto"/>
              <w:jc w:val="right"/>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3</w:t>
            </w:r>
          </w:p>
        </w:tc>
        <w:tc>
          <w:tcPr>
            <w:tcW w:w="1060" w:type="dxa"/>
            <w:noWrap/>
            <w:hideMark/>
          </w:tcPr>
          <w:p w14:paraId="1A10D95B" w14:textId="77777777" w:rsidR="0007175F" w:rsidRPr="00710625" w:rsidRDefault="0007175F" w:rsidP="004E4732">
            <w:pPr>
              <w:spacing w:line="240" w:lineRule="auto"/>
              <w:jc w:val="right"/>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3</w:t>
            </w:r>
          </w:p>
        </w:tc>
        <w:tc>
          <w:tcPr>
            <w:tcW w:w="1060" w:type="dxa"/>
            <w:noWrap/>
            <w:hideMark/>
          </w:tcPr>
          <w:p w14:paraId="136F24F2" w14:textId="77777777" w:rsidR="0007175F" w:rsidRPr="00710625" w:rsidRDefault="0007175F" w:rsidP="004E4732">
            <w:pPr>
              <w:spacing w:line="240" w:lineRule="auto"/>
              <w:jc w:val="right"/>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1060" w:type="dxa"/>
            <w:noWrap/>
            <w:hideMark/>
          </w:tcPr>
          <w:p w14:paraId="29E903D3" w14:textId="77777777" w:rsidR="0007175F" w:rsidRPr="00710625" w:rsidRDefault="0007175F" w:rsidP="0043235C">
            <w:pPr>
              <w:spacing w:line="240" w:lineRule="auto"/>
              <w:jc w:val="right"/>
              <w:rPr>
                <w:rFonts w:ascii="Calibri" w:eastAsia="Times New Roman" w:hAnsi="Calibri" w:cs="Times New Roman"/>
                <w:color w:val="000000"/>
                <w:lang w:eastAsia="en-GB"/>
              </w:rPr>
            </w:pPr>
            <w:r w:rsidRPr="00710625">
              <w:rPr>
                <w:rFonts w:ascii="Calibri" w:eastAsia="Times New Roman" w:hAnsi="Calibri" w:cs="Times New Roman"/>
                <w:color w:val="000000"/>
                <w:lang w:eastAsia="en-GB"/>
              </w:rPr>
              <w:t>22</w:t>
            </w:r>
          </w:p>
        </w:tc>
      </w:tr>
      <w:tr w:rsidR="00EE5483" w:rsidRPr="00EE5483" w14:paraId="27F912FA" w14:textId="77777777" w:rsidTr="00342FE1">
        <w:trPr>
          <w:trHeight w:val="300"/>
        </w:trPr>
        <w:tc>
          <w:tcPr>
            <w:tcW w:w="2691" w:type="dxa"/>
            <w:noWrap/>
          </w:tcPr>
          <w:p w14:paraId="7EF0F012" w14:textId="3EE17D40" w:rsidR="0007175F" w:rsidRPr="00EE5483" w:rsidRDefault="0007175F" w:rsidP="0043235C">
            <w:pPr>
              <w:spacing w:line="240" w:lineRule="auto"/>
              <w:rPr>
                <w:rFonts w:ascii="Calibri" w:eastAsia="Times New Roman" w:hAnsi="Calibri" w:cs="Times New Roman"/>
                <w:b/>
                <w:bCs/>
                <w:color w:val="000000" w:themeColor="text1"/>
                <w:lang w:eastAsia="en-GB"/>
              </w:rPr>
            </w:pPr>
            <w:r w:rsidRPr="00EE5483">
              <w:rPr>
                <w:rFonts w:ascii="Calibri" w:eastAsia="Times New Roman" w:hAnsi="Calibri" w:cs="Times New Roman"/>
                <w:b/>
                <w:bCs/>
                <w:color w:val="000000" w:themeColor="text1"/>
                <w:lang w:eastAsia="en-GB"/>
              </w:rPr>
              <w:t xml:space="preserve">Total </w:t>
            </w:r>
          </w:p>
          <w:p w14:paraId="7C36DF11" w14:textId="77777777" w:rsidR="0007175F" w:rsidRPr="00EE5483" w:rsidRDefault="0007175F" w:rsidP="0043235C">
            <w:pPr>
              <w:spacing w:line="240" w:lineRule="auto"/>
              <w:rPr>
                <w:rFonts w:ascii="Calibri" w:eastAsia="Times New Roman" w:hAnsi="Calibri" w:cs="Times New Roman"/>
                <w:b/>
                <w:bCs/>
                <w:color w:val="000000" w:themeColor="text1"/>
                <w:lang w:eastAsia="en-GB"/>
              </w:rPr>
            </w:pPr>
          </w:p>
        </w:tc>
        <w:tc>
          <w:tcPr>
            <w:tcW w:w="1060" w:type="dxa"/>
            <w:noWrap/>
          </w:tcPr>
          <w:p w14:paraId="60188B2E" w14:textId="77777777" w:rsidR="0007175F" w:rsidRPr="00EE5483" w:rsidRDefault="0007175F" w:rsidP="004E4732">
            <w:pPr>
              <w:spacing w:line="240" w:lineRule="auto"/>
              <w:jc w:val="right"/>
              <w:rPr>
                <w:rFonts w:ascii="Calibri" w:eastAsia="Times New Roman" w:hAnsi="Calibri" w:cs="Times New Roman"/>
                <w:b/>
                <w:bCs/>
                <w:color w:val="000000" w:themeColor="text1"/>
                <w:lang w:eastAsia="en-GB"/>
              </w:rPr>
            </w:pPr>
            <w:r w:rsidRPr="00EE5483">
              <w:rPr>
                <w:rFonts w:ascii="Calibri" w:eastAsia="Times New Roman" w:hAnsi="Calibri" w:cs="Times New Roman"/>
                <w:b/>
                <w:bCs/>
                <w:color w:val="000000" w:themeColor="text1"/>
                <w:lang w:eastAsia="en-GB"/>
              </w:rPr>
              <w:t>72</w:t>
            </w:r>
          </w:p>
        </w:tc>
        <w:tc>
          <w:tcPr>
            <w:tcW w:w="1060" w:type="dxa"/>
            <w:noWrap/>
          </w:tcPr>
          <w:p w14:paraId="28A0553B" w14:textId="77777777" w:rsidR="0007175F" w:rsidRPr="00EE5483" w:rsidRDefault="0007175F" w:rsidP="004E4732">
            <w:pPr>
              <w:spacing w:line="240" w:lineRule="auto"/>
              <w:jc w:val="right"/>
              <w:rPr>
                <w:rFonts w:ascii="Calibri" w:eastAsia="Times New Roman" w:hAnsi="Calibri" w:cs="Times New Roman"/>
                <w:b/>
                <w:bCs/>
                <w:color w:val="000000" w:themeColor="text1"/>
                <w:lang w:eastAsia="en-GB"/>
              </w:rPr>
            </w:pPr>
            <w:r w:rsidRPr="00EE5483">
              <w:rPr>
                <w:rFonts w:ascii="Calibri" w:eastAsia="Times New Roman" w:hAnsi="Calibri" w:cs="Times New Roman"/>
                <w:b/>
                <w:bCs/>
                <w:color w:val="000000" w:themeColor="text1"/>
                <w:lang w:eastAsia="en-GB"/>
              </w:rPr>
              <w:t>7</w:t>
            </w:r>
          </w:p>
        </w:tc>
        <w:tc>
          <w:tcPr>
            <w:tcW w:w="1060" w:type="dxa"/>
            <w:noWrap/>
          </w:tcPr>
          <w:p w14:paraId="29F27307" w14:textId="77777777" w:rsidR="0007175F" w:rsidRPr="00EE5483" w:rsidRDefault="0007175F" w:rsidP="004E4732">
            <w:pPr>
              <w:spacing w:line="240" w:lineRule="auto"/>
              <w:jc w:val="right"/>
              <w:rPr>
                <w:rFonts w:ascii="Calibri" w:eastAsia="Times New Roman" w:hAnsi="Calibri" w:cs="Times New Roman"/>
                <w:b/>
                <w:bCs/>
                <w:color w:val="000000" w:themeColor="text1"/>
                <w:lang w:eastAsia="en-GB"/>
              </w:rPr>
            </w:pPr>
            <w:r w:rsidRPr="00EE5483">
              <w:rPr>
                <w:rFonts w:ascii="Calibri" w:eastAsia="Times New Roman" w:hAnsi="Calibri" w:cs="Times New Roman"/>
                <w:b/>
                <w:bCs/>
                <w:color w:val="000000" w:themeColor="text1"/>
                <w:lang w:eastAsia="en-GB"/>
              </w:rPr>
              <w:t>22</w:t>
            </w:r>
          </w:p>
        </w:tc>
        <w:tc>
          <w:tcPr>
            <w:tcW w:w="1060" w:type="dxa"/>
            <w:noWrap/>
          </w:tcPr>
          <w:p w14:paraId="5533AF08" w14:textId="77777777" w:rsidR="0007175F" w:rsidRPr="00EE5483" w:rsidRDefault="0007175F" w:rsidP="004E4732">
            <w:pPr>
              <w:spacing w:line="240" w:lineRule="auto"/>
              <w:jc w:val="right"/>
              <w:rPr>
                <w:rFonts w:ascii="Calibri" w:eastAsia="Times New Roman" w:hAnsi="Calibri" w:cs="Times New Roman"/>
                <w:b/>
                <w:bCs/>
                <w:color w:val="000000" w:themeColor="text1"/>
                <w:lang w:eastAsia="en-GB"/>
              </w:rPr>
            </w:pPr>
            <w:r w:rsidRPr="00EE5483">
              <w:rPr>
                <w:rFonts w:ascii="Calibri" w:eastAsia="Times New Roman" w:hAnsi="Calibri" w:cs="Times New Roman"/>
                <w:b/>
                <w:bCs/>
                <w:color w:val="000000" w:themeColor="text1"/>
                <w:lang w:eastAsia="en-GB"/>
              </w:rPr>
              <w:t>61</w:t>
            </w:r>
          </w:p>
        </w:tc>
        <w:tc>
          <w:tcPr>
            <w:tcW w:w="1060" w:type="dxa"/>
            <w:noWrap/>
          </w:tcPr>
          <w:p w14:paraId="3ACE976E" w14:textId="00CDB1DA" w:rsidR="0007175F" w:rsidRPr="00EE5483" w:rsidRDefault="0007175F" w:rsidP="0043235C">
            <w:pPr>
              <w:spacing w:line="240" w:lineRule="auto"/>
              <w:jc w:val="right"/>
              <w:rPr>
                <w:rFonts w:ascii="Calibri" w:eastAsia="Times New Roman" w:hAnsi="Calibri" w:cs="Times New Roman"/>
                <w:b/>
                <w:bCs/>
                <w:color w:val="000000" w:themeColor="text1"/>
                <w:lang w:eastAsia="en-GB"/>
              </w:rPr>
            </w:pPr>
            <w:r w:rsidRPr="00EE5483">
              <w:rPr>
                <w:rFonts w:ascii="Calibri" w:eastAsia="Times New Roman" w:hAnsi="Calibri" w:cs="Times New Roman"/>
                <w:b/>
                <w:bCs/>
                <w:color w:val="000000" w:themeColor="text1"/>
                <w:lang w:eastAsia="en-GB"/>
              </w:rPr>
              <w:t>162 *</w:t>
            </w:r>
            <w:r w:rsidR="00920BA7" w:rsidRPr="00EE5483">
              <w:rPr>
                <w:rFonts w:ascii="Calibri" w:eastAsia="Times New Roman" w:hAnsi="Calibri" w:cs="Times New Roman"/>
                <w:b/>
                <w:bCs/>
                <w:color w:val="000000" w:themeColor="text1"/>
                <w:lang w:eastAsia="en-GB"/>
              </w:rPr>
              <w:t>*</w:t>
            </w:r>
            <w:r w:rsidRPr="00EE5483">
              <w:rPr>
                <w:rFonts w:ascii="Calibri" w:eastAsia="Times New Roman" w:hAnsi="Calibri" w:cs="Times New Roman"/>
                <w:b/>
                <w:bCs/>
                <w:color w:val="000000" w:themeColor="text1"/>
                <w:lang w:eastAsia="en-GB"/>
              </w:rPr>
              <w:t xml:space="preserve">* </w:t>
            </w:r>
          </w:p>
        </w:tc>
      </w:tr>
    </w:tbl>
    <w:p w14:paraId="5BAE412A" w14:textId="77777777" w:rsidR="007D173F" w:rsidRDefault="007D173F" w:rsidP="007D173F"/>
    <w:p w14:paraId="364C6F45" w14:textId="20E12FD1" w:rsidR="0091551E" w:rsidRPr="001710D8" w:rsidRDefault="008F4DF1" w:rsidP="003A237E">
      <w:pPr>
        <w:pStyle w:val="NoSpacing"/>
        <w:rPr>
          <w:b/>
          <w:bCs/>
        </w:rPr>
      </w:pPr>
      <w:r w:rsidRPr="001710D8">
        <w:rPr>
          <w:b/>
          <w:bCs/>
        </w:rPr>
        <w:t xml:space="preserve">Table </w:t>
      </w:r>
      <w:r w:rsidR="00FB62C9">
        <w:rPr>
          <w:b/>
          <w:bCs/>
        </w:rPr>
        <w:t>2</w:t>
      </w:r>
      <w:r w:rsidRPr="001710D8">
        <w:rPr>
          <w:b/>
          <w:bCs/>
        </w:rPr>
        <w:t>. Cause of death were recorded in the death certificate to be due to causes other than invasive meningococcal disease (IMD) in patients with laboratory-confirmed IMD in England, 2008-2015</w:t>
      </w:r>
      <w:r w:rsidR="00F70DD0" w:rsidRPr="001710D8">
        <w:rPr>
          <w:b/>
          <w:bCs/>
        </w:rPr>
        <w:t xml:space="preserve">. </w:t>
      </w:r>
    </w:p>
    <w:p w14:paraId="5D81DA42" w14:textId="77777777" w:rsidR="00920BA7" w:rsidRDefault="0091551E" w:rsidP="003A237E">
      <w:pPr>
        <w:pStyle w:val="NoSpacing"/>
      </w:pPr>
      <w:r>
        <w:t>* Eleven of the 25 cases with a respiratory cause of death</w:t>
      </w:r>
      <w:r w:rsidR="0023645A">
        <w:t xml:space="preserve"> were due to pneumonia</w:t>
      </w:r>
      <w:r>
        <w:t xml:space="preserve"> </w:t>
      </w:r>
    </w:p>
    <w:p w14:paraId="29D3777C" w14:textId="041078EC" w:rsidR="0091551E" w:rsidRDefault="00920BA7" w:rsidP="003A237E">
      <w:pPr>
        <w:pStyle w:val="NoSpacing"/>
      </w:pPr>
      <w:r>
        <w:t xml:space="preserve">** Other causes of death </w:t>
      </w:r>
      <w:r w:rsidR="0017797D">
        <w:t>were mainly related to old age, including senility and dementia</w:t>
      </w:r>
    </w:p>
    <w:p w14:paraId="4A0FF154" w14:textId="32323961" w:rsidR="003A237E" w:rsidRDefault="0091551E" w:rsidP="003A237E">
      <w:pPr>
        <w:pStyle w:val="NoSpacing"/>
      </w:pPr>
      <w:r>
        <w:t>*</w:t>
      </w:r>
      <w:r w:rsidR="00F505F5">
        <w:t>*</w:t>
      </w:r>
      <w:r>
        <w:t xml:space="preserve">* </w:t>
      </w:r>
      <w:r w:rsidR="00F70DD0">
        <w:t xml:space="preserve">Three additional cases were due to </w:t>
      </w:r>
      <w:r>
        <w:t>serogroups other than A, B, C, W or Y.</w:t>
      </w:r>
    </w:p>
    <w:p w14:paraId="60A9F93B" w14:textId="77777777" w:rsidR="003A237E" w:rsidRDefault="003A237E" w:rsidP="003A237E">
      <w:pPr>
        <w:pStyle w:val="NoSpacing"/>
      </w:pPr>
      <w:bookmarkStart w:id="0" w:name="_GoBack"/>
      <w:bookmarkEnd w:id="0"/>
    </w:p>
    <w:p w14:paraId="73CB44D7" w14:textId="77777777" w:rsidR="003A237E" w:rsidRDefault="003A237E" w:rsidP="003A237E">
      <w:pPr>
        <w:pStyle w:val="NoSpacing"/>
      </w:pPr>
    </w:p>
    <w:p w14:paraId="5ADE12DF" w14:textId="77777777" w:rsidR="00E96DA7" w:rsidRDefault="00E96DA7" w:rsidP="00E96DA7">
      <w:pPr>
        <w:pStyle w:val="Notes"/>
      </w:pPr>
    </w:p>
    <w:p w14:paraId="13424711" w14:textId="3A118F0D" w:rsidR="008F4DF1" w:rsidRDefault="008F4DF1"/>
    <w:sectPr w:rsidR="008F4DF1" w:rsidSect="003C249F">
      <w:pgSz w:w="11906" w:h="16838"/>
      <w:pgMar w:top="1135" w:right="1080" w:bottom="993" w:left="1080" w:header="426" w:footer="0"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FFEEA" w14:textId="77777777" w:rsidR="000078B3" w:rsidRDefault="000078B3" w:rsidP="00C45451">
      <w:r>
        <w:separator/>
      </w:r>
    </w:p>
    <w:p w14:paraId="6F632D8C" w14:textId="77777777" w:rsidR="000078B3" w:rsidRDefault="000078B3" w:rsidP="00C45451"/>
    <w:p w14:paraId="4AD74C32" w14:textId="77777777" w:rsidR="000078B3" w:rsidRDefault="000078B3" w:rsidP="00C45451"/>
  </w:endnote>
  <w:endnote w:type="continuationSeparator" w:id="0">
    <w:p w14:paraId="5F09AEA8" w14:textId="77777777" w:rsidR="000078B3" w:rsidRDefault="000078B3" w:rsidP="00C45451">
      <w:r>
        <w:continuationSeparator/>
      </w:r>
    </w:p>
    <w:p w14:paraId="117E4E68" w14:textId="77777777" w:rsidR="000078B3" w:rsidRDefault="000078B3" w:rsidP="00C45451"/>
    <w:p w14:paraId="3592AA6C" w14:textId="77777777" w:rsidR="000078B3" w:rsidRDefault="000078B3" w:rsidP="00C45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4D"/>
    <w:family w:val="roman"/>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979869"/>
      <w:docPartObj>
        <w:docPartGallery w:val="Page Numbers (Bottom of Page)"/>
        <w:docPartUnique/>
      </w:docPartObj>
    </w:sdtPr>
    <w:sdtEndPr>
      <w:rPr>
        <w:sz w:val="16"/>
      </w:rPr>
    </w:sdtEndPr>
    <w:sdtContent>
      <w:sdt>
        <w:sdtPr>
          <w:id w:val="-238492119"/>
          <w:docPartObj>
            <w:docPartGallery w:val="Page Numbers (Top of Page)"/>
            <w:docPartUnique/>
          </w:docPartObj>
        </w:sdtPr>
        <w:sdtEndPr>
          <w:rPr>
            <w:sz w:val="16"/>
          </w:rPr>
        </w:sdtEndPr>
        <w:sdtContent>
          <w:p w14:paraId="0E4AFCE1" w14:textId="77777777" w:rsidR="004D4E1C" w:rsidRDefault="004D4E1C" w:rsidP="00C45451">
            <w:pPr>
              <w:pStyle w:val="Footer"/>
            </w:pPr>
          </w:p>
          <w:p w14:paraId="6DD40632" w14:textId="24B42A5E" w:rsidR="004D4E1C" w:rsidRPr="001E50B3" w:rsidRDefault="004D4E1C" w:rsidP="003A5545">
            <w:pPr>
              <w:pStyle w:val="Footer"/>
              <w:jc w:val="right"/>
              <w:rPr>
                <w:sz w:val="16"/>
              </w:rPr>
            </w:pPr>
            <w:r w:rsidRPr="001E50B3">
              <w:rPr>
                <w:sz w:val="16"/>
              </w:rPr>
              <w:fldChar w:fldCharType="begin"/>
            </w:r>
            <w:r w:rsidRPr="001E50B3">
              <w:rPr>
                <w:sz w:val="16"/>
              </w:rPr>
              <w:instrText xml:space="preserve"> PAGE </w:instrText>
            </w:r>
            <w:r w:rsidRPr="001E50B3">
              <w:rPr>
                <w:sz w:val="16"/>
              </w:rPr>
              <w:fldChar w:fldCharType="separate"/>
            </w:r>
            <w:r>
              <w:rPr>
                <w:noProof/>
                <w:sz w:val="16"/>
              </w:rPr>
              <w:t>1</w:t>
            </w:r>
            <w:r w:rsidRPr="001E50B3">
              <w:rPr>
                <w:sz w:val="16"/>
              </w:rPr>
              <w:fldChar w:fldCharType="end"/>
            </w:r>
            <w:r w:rsidRPr="001E50B3">
              <w:rPr>
                <w:sz w:val="16"/>
              </w:rPr>
              <w:t xml:space="preserve"> / </w:t>
            </w:r>
            <w:r w:rsidRPr="001E50B3">
              <w:rPr>
                <w:sz w:val="16"/>
              </w:rPr>
              <w:fldChar w:fldCharType="begin"/>
            </w:r>
            <w:r w:rsidRPr="001E50B3">
              <w:rPr>
                <w:sz w:val="16"/>
              </w:rPr>
              <w:instrText xml:space="preserve"> NUMPAGES  </w:instrText>
            </w:r>
            <w:r w:rsidRPr="001E50B3">
              <w:rPr>
                <w:sz w:val="16"/>
              </w:rPr>
              <w:fldChar w:fldCharType="separate"/>
            </w:r>
            <w:r>
              <w:rPr>
                <w:noProof/>
                <w:sz w:val="16"/>
              </w:rPr>
              <w:t>19</w:t>
            </w:r>
            <w:r w:rsidRPr="001E50B3">
              <w:rPr>
                <w:noProof/>
                <w:sz w:val="16"/>
              </w:rPr>
              <w:fldChar w:fldCharType="end"/>
            </w:r>
          </w:p>
        </w:sdtContent>
      </w:sdt>
    </w:sdtContent>
  </w:sdt>
  <w:p w14:paraId="79FEB0C9" w14:textId="77777777" w:rsidR="004D4E1C" w:rsidRDefault="004D4E1C" w:rsidP="00C45451">
    <w:pPr>
      <w:pStyle w:val="Footer"/>
    </w:pPr>
  </w:p>
  <w:p w14:paraId="3AD0FC57" w14:textId="77777777" w:rsidR="004D4E1C" w:rsidRDefault="004D4E1C" w:rsidP="00C45451"/>
  <w:p w14:paraId="7E6D700A" w14:textId="77777777" w:rsidR="004D4E1C" w:rsidRDefault="004D4E1C" w:rsidP="00C454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981631"/>
      <w:docPartObj>
        <w:docPartGallery w:val="Page Numbers (Bottom of Page)"/>
        <w:docPartUnique/>
      </w:docPartObj>
    </w:sdtPr>
    <w:sdtEndPr>
      <w:rPr>
        <w:sz w:val="16"/>
      </w:rPr>
    </w:sdtEndPr>
    <w:sdtContent>
      <w:sdt>
        <w:sdtPr>
          <w:id w:val="1322769309"/>
          <w:docPartObj>
            <w:docPartGallery w:val="Page Numbers (Top of Page)"/>
            <w:docPartUnique/>
          </w:docPartObj>
        </w:sdtPr>
        <w:sdtEndPr>
          <w:rPr>
            <w:sz w:val="16"/>
          </w:rPr>
        </w:sdtEndPr>
        <w:sdtContent>
          <w:p w14:paraId="22B3E7BE" w14:textId="77777777" w:rsidR="004D4E1C" w:rsidRDefault="004D4E1C" w:rsidP="00C45451">
            <w:pPr>
              <w:pStyle w:val="Footer"/>
            </w:pPr>
          </w:p>
          <w:p w14:paraId="6ACE2EE0" w14:textId="6F34DA10" w:rsidR="004D4E1C" w:rsidRPr="001E50B3" w:rsidRDefault="004D4E1C" w:rsidP="003A5545">
            <w:pPr>
              <w:pStyle w:val="Footer"/>
              <w:jc w:val="right"/>
              <w:rPr>
                <w:sz w:val="16"/>
              </w:rPr>
            </w:pPr>
            <w:r w:rsidRPr="001E50B3">
              <w:rPr>
                <w:sz w:val="16"/>
              </w:rPr>
              <w:fldChar w:fldCharType="begin"/>
            </w:r>
            <w:r w:rsidRPr="001E50B3">
              <w:rPr>
                <w:sz w:val="16"/>
              </w:rPr>
              <w:instrText xml:space="preserve"> PAGE </w:instrText>
            </w:r>
            <w:r w:rsidRPr="001E50B3">
              <w:rPr>
                <w:sz w:val="16"/>
              </w:rPr>
              <w:fldChar w:fldCharType="separate"/>
            </w:r>
            <w:r>
              <w:rPr>
                <w:noProof/>
                <w:sz w:val="16"/>
              </w:rPr>
              <w:t>19</w:t>
            </w:r>
            <w:r w:rsidRPr="001E50B3">
              <w:rPr>
                <w:sz w:val="16"/>
              </w:rPr>
              <w:fldChar w:fldCharType="end"/>
            </w:r>
            <w:r w:rsidRPr="001E50B3">
              <w:rPr>
                <w:sz w:val="16"/>
              </w:rPr>
              <w:t xml:space="preserve"> / </w:t>
            </w:r>
            <w:r w:rsidRPr="001E50B3">
              <w:rPr>
                <w:sz w:val="16"/>
              </w:rPr>
              <w:fldChar w:fldCharType="begin"/>
            </w:r>
            <w:r w:rsidRPr="001E50B3">
              <w:rPr>
                <w:sz w:val="16"/>
              </w:rPr>
              <w:instrText xml:space="preserve"> NUMPAGES  </w:instrText>
            </w:r>
            <w:r w:rsidRPr="001E50B3">
              <w:rPr>
                <w:sz w:val="16"/>
              </w:rPr>
              <w:fldChar w:fldCharType="separate"/>
            </w:r>
            <w:r>
              <w:rPr>
                <w:noProof/>
                <w:sz w:val="16"/>
              </w:rPr>
              <w:t>19</w:t>
            </w:r>
            <w:r w:rsidRPr="001E50B3">
              <w:rPr>
                <w:noProof/>
                <w:sz w:val="16"/>
              </w:rPr>
              <w:fldChar w:fldCharType="end"/>
            </w:r>
          </w:p>
        </w:sdtContent>
      </w:sdt>
    </w:sdtContent>
  </w:sdt>
  <w:p w14:paraId="02E932D4" w14:textId="77777777" w:rsidR="004D4E1C" w:rsidRDefault="004D4E1C" w:rsidP="00C45451">
    <w:pPr>
      <w:pStyle w:val="Footer"/>
    </w:pPr>
  </w:p>
  <w:p w14:paraId="474F8E69" w14:textId="77777777" w:rsidR="004D4E1C" w:rsidRDefault="004D4E1C" w:rsidP="00C45451"/>
  <w:p w14:paraId="5217301B" w14:textId="77777777" w:rsidR="004D4E1C" w:rsidRDefault="004D4E1C" w:rsidP="00C454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A46C3" w14:textId="77777777" w:rsidR="000078B3" w:rsidRDefault="000078B3" w:rsidP="00C45451">
      <w:r>
        <w:separator/>
      </w:r>
    </w:p>
    <w:p w14:paraId="65898B2B" w14:textId="77777777" w:rsidR="000078B3" w:rsidRDefault="000078B3" w:rsidP="00C45451"/>
    <w:p w14:paraId="68ACD2C6" w14:textId="77777777" w:rsidR="000078B3" w:rsidRDefault="000078B3" w:rsidP="00C45451"/>
  </w:footnote>
  <w:footnote w:type="continuationSeparator" w:id="0">
    <w:p w14:paraId="438A8B63" w14:textId="77777777" w:rsidR="000078B3" w:rsidRDefault="000078B3" w:rsidP="00C45451">
      <w:r>
        <w:continuationSeparator/>
      </w:r>
    </w:p>
    <w:p w14:paraId="3512266A" w14:textId="77777777" w:rsidR="000078B3" w:rsidRDefault="000078B3" w:rsidP="00C45451"/>
    <w:p w14:paraId="145874FF" w14:textId="77777777" w:rsidR="000078B3" w:rsidRDefault="000078B3" w:rsidP="00C454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C4C4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30C6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BCBB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181A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02DB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61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46F2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761D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34C0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7ABE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7275C3"/>
    <w:multiLevelType w:val="hybridMultilevel"/>
    <w:tmpl w:val="80D6F514"/>
    <w:lvl w:ilvl="0" w:tplc="949A3DD4">
      <w:numFmt w:val="bullet"/>
      <w:lvlText w:val="-"/>
      <w:lvlJc w:val="left"/>
      <w:pPr>
        <w:ind w:left="405" w:hanging="360"/>
      </w:pPr>
      <w:rPr>
        <w:rFonts w:ascii="Calibri Light" w:eastAsiaTheme="minorEastAsia" w:hAnsi="Calibri Light"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3A5352E2"/>
    <w:multiLevelType w:val="hybridMultilevel"/>
    <w:tmpl w:val="AC4455B4"/>
    <w:lvl w:ilvl="0" w:tplc="5E2669EA">
      <w:numFmt w:val="bullet"/>
      <w:lvlText w:val="-"/>
      <w:lvlJc w:val="left"/>
      <w:pPr>
        <w:ind w:left="405" w:hanging="360"/>
      </w:pPr>
      <w:rPr>
        <w:rFonts w:ascii="Calibri" w:eastAsiaTheme="minorEastAsia"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2" w15:restartNumberingAfterBreak="0">
    <w:nsid w:val="403E3B68"/>
    <w:multiLevelType w:val="hybridMultilevel"/>
    <w:tmpl w:val="760C19F4"/>
    <w:lvl w:ilvl="0" w:tplc="49FE2720">
      <w:start w:val="50"/>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3" w15:restartNumberingAfterBreak="0">
    <w:nsid w:val="43D923C8"/>
    <w:multiLevelType w:val="hybridMultilevel"/>
    <w:tmpl w:val="ECD65E72"/>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4" w15:restartNumberingAfterBreak="0">
    <w:nsid w:val="4A2E0E62"/>
    <w:multiLevelType w:val="hybridMultilevel"/>
    <w:tmpl w:val="51A45906"/>
    <w:lvl w:ilvl="0" w:tplc="0B88A848">
      <w:numFmt w:val="bullet"/>
      <w:lvlText w:val="-"/>
      <w:lvlJc w:val="left"/>
      <w:pPr>
        <w:ind w:left="405" w:hanging="360"/>
      </w:pPr>
      <w:rPr>
        <w:rFonts w:ascii="Calibri Light" w:eastAsiaTheme="minorEastAsia" w:hAnsi="Calibri Light"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5" w15:restartNumberingAfterBreak="0">
    <w:nsid w:val="58016458"/>
    <w:multiLevelType w:val="hybridMultilevel"/>
    <w:tmpl w:val="F72E2C30"/>
    <w:lvl w:ilvl="0" w:tplc="7138CFF8">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15:restartNumberingAfterBreak="0">
    <w:nsid w:val="6C1533A2"/>
    <w:multiLevelType w:val="hybridMultilevel"/>
    <w:tmpl w:val="9DE01342"/>
    <w:lvl w:ilvl="0" w:tplc="8AC4EF72">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F82188"/>
    <w:multiLevelType w:val="hybridMultilevel"/>
    <w:tmpl w:val="33FCBBDC"/>
    <w:lvl w:ilvl="0" w:tplc="B4BC0236">
      <w:numFmt w:val="bullet"/>
      <w:lvlText w:val="-"/>
      <w:lvlJc w:val="left"/>
      <w:pPr>
        <w:ind w:left="405" w:hanging="360"/>
      </w:pPr>
      <w:rPr>
        <w:rFonts w:ascii="Calibri" w:eastAsiaTheme="minorEastAsia"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8" w15:restartNumberingAfterBreak="0">
    <w:nsid w:val="7172648A"/>
    <w:multiLevelType w:val="hybridMultilevel"/>
    <w:tmpl w:val="C9149C04"/>
    <w:lvl w:ilvl="0" w:tplc="AE405F3A">
      <w:start w:val="50"/>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7D2E1A6E"/>
    <w:multiLevelType w:val="hybridMultilevel"/>
    <w:tmpl w:val="DE74BBBC"/>
    <w:lvl w:ilvl="0" w:tplc="9CDE85AE">
      <w:start w:val="1"/>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3"/>
  </w:num>
  <w:num w:numId="15">
    <w:abstractNumId w:val="16"/>
  </w:num>
  <w:num w:numId="16">
    <w:abstractNumId w:val="17"/>
  </w:num>
  <w:num w:numId="17">
    <w:abstractNumId w:val="19"/>
  </w:num>
  <w:num w:numId="18">
    <w:abstractNumId w:val="18"/>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aswaa0rdvpwzqed0xmvpw0s2fz5tpdt0a0x&quot;&gt;meningo&lt;record-ids&gt;&lt;item&gt;255&lt;/item&gt;&lt;item&gt;279&lt;/item&gt;&lt;item&gt;307&lt;/item&gt;&lt;item&gt;329&lt;/item&gt;&lt;item&gt;370&lt;/item&gt;&lt;item&gt;387&lt;/item&gt;&lt;item&gt;772&lt;/item&gt;&lt;item&gt;842&lt;/item&gt;&lt;item&gt;1000&lt;/item&gt;&lt;item&gt;1426&lt;/item&gt;&lt;item&gt;1430&lt;/item&gt;&lt;/record-ids&gt;&lt;/item&gt;&lt;/Libraries&gt;"/>
  </w:docVars>
  <w:rsids>
    <w:rsidRoot w:val="00A31603"/>
    <w:rsid w:val="00000330"/>
    <w:rsid w:val="00001833"/>
    <w:rsid w:val="000019FB"/>
    <w:rsid w:val="000038FD"/>
    <w:rsid w:val="00004662"/>
    <w:rsid w:val="00004848"/>
    <w:rsid w:val="00005FC9"/>
    <w:rsid w:val="00006960"/>
    <w:rsid w:val="000078B3"/>
    <w:rsid w:val="00010334"/>
    <w:rsid w:val="00010859"/>
    <w:rsid w:val="00012657"/>
    <w:rsid w:val="00012DD0"/>
    <w:rsid w:val="000173A1"/>
    <w:rsid w:val="000179F7"/>
    <w:rsid w:val="00023DBA"/>
    <w:rsid w:val="00026893"/>
    <w:rsid w:val="00026DFD"/>
    <w:rsid w:val="0003075C"/>
    <w:rsid w:val="0003658F"/>
    <w:rsid w:val="0003691D"/>
    <w:rsid w:val="00036BF7"/>
    <w:rsid w:val="000371AD"/>
    <w:rsid w:val="000372D7"/>
    <w:rsid w:val="00037778"/>
    <w:rsid w:val="0004045A"/>
    <w:rsid w:val="000410F1"/>
    <w:rsid w:val="00042A5A"/>
    <w:rsid w:val="00045C80"/>
    <w:rsid w:val="0004760B"/>
    <w:rsid w:val="00052D70"/>
    <w:rsid w:val="000547E1"/>
    <w:rsid w:val="00060DC5"/>
    <w:rsid w:val="000610A4"/>
    <w:rsid w:val="0006201E"/>
    <w:rsid w:val="0006244D"/>
    <w:rsid w:val="00063F74"/>
    <w:rsid w:val="0006593F"/>
    <w:rsid w:val="00065A37"/>
    <w:rsid w:val="00065DBA"/>
    <w:rsid w:val="000660C4"/>
    <w:rsid w:val="0007175F"/>
    <w:rsid w:val="0007248F"/>
    <w:rsid w:val="00072594"/>
    <w:rsid w:val="00072F17"/>
    <w:rsid w:val="000736AF"/>
    <w:rsid w:val="00074577"/>
    <w:rsid w:val="00074A49"/>
    <w:rsid w:val="00077CDD"/>
    <w:rsid w:val="000809FF"/>
    <w:rsid w:val="000815C1"/>
    <w:rsid w:val="00083CC2"/>
    <w:rsid w:val="00084FB5"/>
    <w:rsid w:val="0008530C"/>
    <w:rsid w:val="00086F4F"/>
    <w:rsid w:val="00090726"/>
    <w:rsid w:val="00094A13"/>
    <w:rsid w:val="000970F1"/>
    <w:rsid w:val="0009770A"/>
    <w:rsid w:val="000A1BB2"/>
    <w:rsid w:val="000A3CA9"/>
    <w:rsid w:val="000A3E40"/>
    <w:rsid w:val="000A573C"/>
    <w:rsid w:val="000A711F"/>
    <w:rsid w:val="000A7257"/>
    <w:rsid w:val="000B0077"/>
    <w:rsid w:val="000B2C23"/>
    <w:rsid w:val="000B2E19"/>
    <w:rsid w:val="000B3774"/>
    <w:rsid w:val="000B3A72"/>
    <w:rsid w:val="000B5443"/>
    <w:rsid w:val="000B6273"/>
    <w:rsid w:val="000B6CD3"/>
    <w:rsid w:val="000B77D8"/>
    <w:rsid w:val="000C0BA4"/>
    <w:rsid w:val="000C1AD2"/>
    <w:rsid w:val="000C2E16"/>
    <w:rsid w:val="000C563B"/>
    <w:rsid w:val="000C6447"/>
    <w:rsid w:val="000D10AF"/>
    <w:rsid w:val="000D28E1"/>
    <w:rsid w:val="000D3B38"/>
    <w:rsid w:val="000D3C11"/>
    <w:rsid w:val="000D3ECB"/>
    <w:rsid w:val="000D7BA3"/>
    <w:rsid w:val="000E08C7"/>
    <w:rsid w:val="000E1264"/>
    <w:rsid w:val="000E1A24"/>
    <w:rsid w:val="000E3F2C"/>
    <w:rsid w:val="000E4A04"/>
    <w:rsid w:val="000E4FB5"/>
    <w:rsid w:val="000E5CD0"/>
    <w:rsid w:val="000E6C53"/>
    <w:rsid w:val="000E70E9"/>
    <w:rsid w:val="000E7857"/>
    <w:rsid w:val="000E7E0A"/>
    <w:rsid w:val="000F0BB8"/>
    <w:rsid w:val="000F1274"/>
    <w:rsid w:val="000F5D43"/>
    <w:rsid w:val="0010221A"/>
    <w:rsid w:val="0010435E"/>
    <w:rsid w:val="00104D65"/>
    <w:rsid w:val="00105124"/>
    <w:rsid w:val="001054D7"/>
    <w:rsid w:val="0011055E"/>
    <w:rsid w:val="0011072B"/>
    <w:rsid w:val="00110F5D"/>
    <w:rsid w:val="00111A86"/>
    <w:rsid w:val="00111E4F"/>
    <w:rsid w:val="00112B4C"/>
    <w:rsid w:val="00114567"/>
    <w:rsid w:val="00115204"/>
    <w:rsid w:val="001157B2"/>
    <w:rsid w:val="00120407"/>
    <w:rsid w:val="001220BC"/>
    <w:rsid w:val="00122759"/>
    <w:rsid w:val="001228C1"/>
    <w:rsid w:val="0012395D"/>
    <w:rsid w:val="001239B4"/>
    <w:rsid w:val="001262DC"/>
    <w:rsid w:val="001303E5"/>
    <w:rsid w:val="00136CA5"/>
    <w:rsid w:val="00140CD7"/>
    <w:rsid w:val="00140EA5"/>
    <w:rsid w:val="001436A7"/>
    <w:rsid w:val="00143B2D"/>
    <w:rsid w:val="00144394"/>
    <w:rsid w:val="0014465F"/>
    <w:rsid w:val="0014709F"/>
    <w:rsid w:val="00150BA5"/>
    <w:rsid w:val="00151BA0"/>
    <w:rsid w:val="00151FA3"/>
    <w:rsid w:val="00152254"/>
    <w:rsid w:val="00152EB4"/>
    <w:rsid w:val="00153BB3"/>
    <w:rsid w:val="0015584C"/>
    <w:rsid w:val="00157AB4"/>
    <w:rsid w:val="00161C2C"/>
    <w:rsid w:val="001623FB"/>
    <w:rsid w:val="00162530"/>
    <w:rsid w:val="00162ADE"/>
    <w:rsid w:val="00164318"/>
    <w:rsid w:val="0016499C"/>
    <w:rsid w:val="00167B3E"/>
    <w:rsid w:val="00170C2C"/>
    <w:rsid w:val="001710D8"/>
    <w:rsid w:val="00171785"/>
    <w:rsid w:val="0017606A"/>
    <w:rsid w:val="00176A4D"/>
    <w:rsid w:val="00176F4B"/>
    <w:rsid w:val="0017797D"/>
    <w:rsid w:val="00182195"/>
    <w:rsid w:val="00182549"/>
    <w:rsid w:val="001832D9"/>
    <w:rsid w:val="00183E7D"/>
    <w:rsid w:val="00184BFF"/>
    <w:rsid w:val="00184D39"/>
    <w:rsid w:val="00185617"/>
    <w:rsid w:val="001911CF"/>
    <w:rsid w:val="00193B42"/>
    <w:rsid w:val="001958C9"/>
    <w:rsid w:val="00195ED1"/>
    <w:rsid w:val="001A1697"/>
    <w:rsid w:val="001A2BD0"/>
    <w:rsid w:val="001A3048"/>
    <w:rsid w:val="001A6267"/>
    <w:rsid w:val="001B069E"/>
    <w:rsid w:val="001B0C8C"/>
    <w:rsid w:val="001B275D"/>
    <w:rsid w:val="001B36AA"/>
    <w:rsid w:val="001B393F"/>
    <w:rsid w:val="001B5E3F"/>
    <w:rsid w:val="001B6907"/>
    <w:rsid w:val="001C2E33"/>
    <w:rsid w:val="001C3192"/>
    <w:rsid w:val="001C35D1"/>
    <w:rsid w:val="001C3F37"/>
    <w:rsid w:val="001C687D"/>
    <w:rsid w:val="001C758A"/>
    <w:rsid w:val="001C7DB3"/>
    <w:rsid w:val="001D244D"/>
    <w:rsid w:val="001D6C5A"/>
    <w:rsid w:val="001D74CF"/>
    <w:rsid w:val="001D7E58"/>
    <w:rsid w:val="001E1F50"/>
    <w:rsid w:val="001E20D1"/>
    <w:rsid w:val="001E256E"/>
    <w:rsid w:val="001E26C7"/>
    <w:rsid w:val="001E44B4"/>
    <w:rsid w:val="001E50B3"/>
    <w:rsid w:val="001E79EF"/>
    <w:rsid w:val="001F076D"/>
    <w:rsid w:val="001F1546"/>
    <w:rsid w:val="001F24EA"/>
    <w:rsid w:val="001F2635"/>
    <w:rsid w:val="001F5A47"/>
    <w:rsid w:val="00200F49"/>
    <w:rsid w:val="002028C1"/>
    <w:rsid w:val="002044DC"/>
    <w:rsid w:val="00204F74"/>
    <w:rsid w:val="002050EE"/>
    <w:rsid w:val="00206435"/>
    <w:rsid w:val="002105BA"/>
    <w:rsid w:val="00210783"/>
    <w:rsid w:val="0021095D"/>
    <w:rsid w:val="00210F20"/>
    <w:rsid w:val="0021567C"/>
    <w:rsid w:val="00216B3A"/>
    <w:rsid w:val="00222941"/>
    <w:rsid w:val="00230000"/>
    <w:rsid w:val="00231041"/>
    <w:rsid w:val="00231806"/>
    <w:rsid w:val="002352F1"/>
    <w:rsid w:val="00235A9B"/>
    <w:rsid w:val="0023645A"/>
    <w:rsid w:val="00240FC4"/>
    <w:rsid w:val="002416DB"/>
    <w:rsid w:val="00241911"/>
    <w:rsid w:val="00243C55"/>
    <w:rsid w:val="00243C99"/>
    <w:rsid w:val="00251779"/>
    <w:rsid w:val="00252ADD"/>
    <w:rsid w:val="0025519E"/>
    <w:rsid w:val="00255709"/>
    <w:rsid w:val="002562B7"/>
    <w:rsid w:val="00256D7D"/>
    <w:rsid w:val="0025732E"/>
    <w:rsid w:val="00257A70"/>
    <w:rsid w:val="00260B80"/>
    <w:rsid w:val="002626AD"/>
    <w:rsid w:val="00263B94"/>
    <w:rsid w:val="002643A4"/>
    <w:rsid w:val="00264533"/>
    <w:rsid w:val="00265166"/>
    <w:rsid w:val="00265C05"/>
    <w:rsid w:val="00265C3A"/>
    <w:rsid w:val="00267E86"/>
    <w:rsid w:val="00271EED"/>
    <w:rsid w:val="002734FD"/>
    <w:rsid w:val="00274EFB"/>
    <w:rsid w:val="00280D54"/>
    <w:rsid w:val="002829DA"/>
    <w:rsid w:val="00284976"/>
    <w:rsid w:val="002862AF"/>
    <w:rsid w:val="00290631"/>
    <w:rsid w:val="0029083A"/>
    <w:rsid w:val="00291FF8"/>
    <w:rsid w:val="00294808"/>
    <w:rsid w:val="00294B16"/>
    <w:rsid w:val="00295C4C"/>
    <w:rsid w:val="00296AC5"/>
    <w:rsid w:val="002973B4"/>
    <w:rsid w:val="002A138F"/>
    <w:rsid w:val="002A2D1D"/>
    <w:rsid w:val="002A39A6"/>
    <w:rsid w:val="002A4840"/>
    <w:rsid w:val="002A4D40"/>
    <w:rsid w:val="002A7055"/>
    <w:rsid w:val="002A7674"/>
    <w:rsid w:val="002A7ACD"/>
    <w:rsid w:val="002B19BD"/>
    <w:rsid w:val="002B56E9"/>
    <w:rsid w:val="002B6B48"/>
    <w:rsid w:val="002B7EF2"/>
    <w:rsid w:val="002C3283"/>
    <w:rsid w:val="002C5C41"/>
    <w:rsid w:val="002D13CD"/>
    <w:rsid w:val="002D18E8"/>
    <w:rsid w:val="002D2898"/>
    <w:rsid w:val="002D32FC"/>
    <w:rsid w:val="002D35DD"/>
    <w:rsid w:val="002D3AF3"/>
    <w:rsid w:val="002D4542"/>
    <w:rsid w:val="002D60D3"/>
    <w:rsid w:val="002D7E94"/>
    <w:rsid w:val="002E0E95"/>
    <w:rsid w:val="002E329E"/>
    <w:rsid w:val="002E3A9D"/>
    <w:rsid w:val="002F00FE"/>
    <w:rsid w:val="002F0DB4"/>
    <w:rsid w:val="002F19F9"/>
    <w:rsid w:val="002F1F84"/>
    <w:rsid w:val="002F307A"/>
    <w:rsid w:val="002F608E"/>
    <w:rsid w:val="002F7B4A"/>
    <w:rsid w:val="00301444"/>
    <w:rsid w:val="00301F74"/>
    <w:rsid w:val="00302598"/>
    <w:rsid w:val="00303467"/>
    <w:rsid w:val="003037E7"/>
    <w:rsid w:val="0030384E"/>
    <w:rsid w:val="00304457"/>
    <w:rsid w:val="00304CBE"/>
    <w:rsid w:val="00305709"/>
    <w:rsid w:val="00310301"/>
    <w:rsid w:val="003107DB"/>
    <w:rsid w:val="00311790"/>
    <w:rsid w:val="003123FD"/>
    <w:rsid w:val="00312A4F"/>
    <w:rsid w:val="00313095"/>
    <w:rsid w:val="00313E2E"/>
    <w:rsid w:val="0031422D"/>
    <w:rsid w:val="0031549C"/>
    <w:rsid w:val="0032279C"/>
    <w:rsid w:val="003227E6"/>
    <w:rsid w:val="00324CAD"/>
    <w:rsid w:val="00325023"/>
    <w:rsid w:val="0032594F"/>
    <w:rsid w:val="00325CFB"/>
    <w:rsid w:val="003336C1"/>
    <w:rsid w:val="00334929"/>
    <w:rsid w:val="00335DDA"/>
    <w:rsid w:val="003364EA"/>
    <w:rsid w:val="003369DC"/>
    <w:rsid w:val="00337505"/>
    <w:rsid w:val="0033768D"/>
    <w:rsid w:val="00340224"/>
    <w:rsid w:val="003420C4"/>
    <w:rsid w:val="003425E4"/>
    <w:rsid w:val="00342D7B"/>
    <w:rsid w:val="00342FE1"/>
    <w:rsid w:val="00350DB8"/>
    <w:rsid w:val="00350FA2"/>
    <w:rsid w:val="003606CF"/>
    <w:rsid w:val="0036211A"/>
    <w:rsid w:val="00363273"/>
    <w:rsid w:val="00367EC5"/>
    <w:rsid w:val="00371051"/>
    <w:rsid w:val="00371274"/>
    <w:rsid w:val="003745A6"/>
    <w:rsid w:val="003749C6"/>
    <w:rsid w:val="00374EC9"/>
    <w:rsid w:val="00376FF4"/>
    <w:rsid w:val="003774C3"/>
    <w:rsid w:val="00377A68"/>
    <w:rsid w:val="00377EA5"/>
    <w:rsid w:val="0038072C"/>
    <w:rsid w:val="00380AD5"/>
    <w:rsid w:val="00381AA8"/>
    <w:rsid w:val="003825F4"/>
    <w:rsid w:val="00383578"/>
    <w:rsid w:val="00385C87"/>
    <w:rsid w:val="00391316"/>
    <w:rsid w:val="00391C5A"/>
    <w:rsid w:val="00391D97"/>
    <w:rsid w:val="0039297E"/>
    <w:rsid w:val="003936E4"/>
    <w:rsid w:val="003950E5"/>
    <w:rsid w:val="00395B93"/>
    <w:rsid w:val="00397B28"/>
    <w:rsid w:val="00397FDD"/>
    <w:rsid w:val="003A05FE"/>
    <w:rsid w:val="003A1148"/>
    <w:rsid w:val="003A1D6D"/>
    <w:rsid w:val="003A237E"/>
    <w:rsid w:val="003A33D6"/>
    <w:rsid w:val="003A5545"/>
    <w:rsid w:val="003A64B3"/>
    <w:rsid w:val="003A6F03"/>
    <w:rsid w:val="003B028F"/>
    <w:rsid w:val="003B1ECB"/>
    <w:rsid w:val="003B2364"/>
    <w:rsid w:val="003B23E9"/>
    <w:rsid w:val="003B4CB4"/>
    <w:rsid w:val="003B7A58"/>
    <w:rsid w:val="003C04EA"/>
    <w:rsid w:val="003C14A3"/>
    <w:rsid w:val="003C1E4C"/>
    <w:rsid w:val="003C249F"/>
    <w:rsid w:val="003C466E"/>
    <w:rsid w:val="003C6813"/>
    <w:rsid w:val="003C7036"/>
    <w:rsid w:val="003D083B"/>
    <w:rsid w:val="003D16DD"/>
    <w:rsid w:val="003D1B07"/>
    <w:rsid w:val="003D4404"/>
    <w:rsid w:val="003D4663"/>
    <w:rsid w:val="003D4D75"/>
    <w:rsid w:val="003D705C"/>
    <w:rsid w:val="003D7CC4"/>
    <w:rsid w:val="003E1983"/>
    <w:rsid w:val="003E1AF5"/>
    <w:rsid w:val="003E1E80"/>
    <w:rsid w:val="003E5D15"/>
    <w:rsid w:val="003E7B59"/>
    <w:rsid w:val="003F0259"/>
    <w:rsid w:val="003F1190"/>
    <w:rsid w:val="003F17C7"/>
    <w:rsid w:val="003F2B52"/>
    <w:rsid w:val="003F2E12"/>
    <w:rsid w:val="003F5748"/>
    <w:rsid w:val="003F6162"/>
    <w:rsid w:val="003F7145"/>
    <w:rsid w:val="003F723E"/>
    <w:rsid w:val="003F7CB9"/>
    <w:rsid w:val="004007A4"/>
    <w:rsid w:val="00400C2C"/>
    <w:rsid w:val="004045B1"/>
    <w:rsid w:val="00404654"/>
    <w:rsid w:val="004058E4"/>
    <w:rsid w:val="00407311"/>
    <w:rsid w:val="00407E73"/>
    <w:rsid w:val="00407E85"/>
    <w:rsid w:val="00410A38"/>
    <w:rsid w:val="00411B13"/>
    <w:rsid w:val="00411D3C"/>
    <w:rsid w:val="00412995"/>
    <w:rsid w:val="00413835"/>
    <w:rsid w:val="00414302"/>
    <w:rsid w:val="0041532A"/>
    <w:rsid w:val="00416D96"/>
    <w:rsid w:val="00420293"/>
    <w:rsid w:val="00424FCA"/>
    <w:rsid w:val="004271BD"/>
    <w:rsid w:val="0042786E"/>
    <w:rsid w:val="0043235C"/>
    <w:rsid w:val="00433719"/>
    <w:rsid w:val="00433EB7"/>
    <w:rsid w:val="004350E1"/>
    <w:rsid w:val="00436A80"/>
    <w:rsid w:val="00437D3B"/>
    <w:rsid w:val="00440DF5"/>
    <w:rsid w:val="00441065"/>
    <w:rsid w:val="00441D60"/>
    <w:rsid w:val="00442F48"/>
    <w:rsid w:val="00443379"/>
    <w:rsid w:val="00443A0E"/>
    <w:rsid w:val="0044573A"/>
    <w:rsid w:val="004461AF"/>
    <w:rsid w:val="004461EE"/>
    <w:rsid w:val="00446DAB"/>
    <w:rsid w:val="00452C05"/>
    <w:rsid w:val="0045325C"/>
    <w:rsid w:val="0045544A"/>
    <w:rsid w:val="0045695E"/>
    <w:rsid w:val="004569EB"/>
    <w:rsid w:val="004579DE"/>
    <w:rsid w:val="00457A0C"/>
    <w:rsid w:val="00461F32"/>
    <w:rsid w:val="0046226C"/>
    <w:rsid w:val="00462F79"/>
    <w:rsid w:val="00463EAF"/>
    <w:rsid w:val="00464D9F"/>
    <w:rsid w:val="00464E11"/>
    <w:rsid w:val="00464F93"/>
    <w:rsid w:val="0046538E"/>
    <w:rsid w:val="00465925"/>
    <w:rsid w:val="00466AD0"/>
    <w:rsid w:val="00470051"/>
    <w:rsid w:val="00470865"/>
    <w:rsid w:val="004731AB"/>
    <w:rsid w:val="0047452F"/>
    <w:rsid w:val="00475075"/>
    <w:rsid w:val="0047540A"/>
    <w:rsid w:val="00480796"/>
    <w:rsid w:val="00481A9A"/>
    <w:rsid w:val="0048236E"/>
    <w:rsid w:val="00485983"/>
    <w:rsid w:val="00485BCA"/>
    <w:rsid w:val="004909A3"/>
    <w:rsid w:val="00491D69"/>
    <w:rsid w:val="00495F9A"/>
    <w:rsid w:val="00497E9A"/>
    <w:rsid w:val="004A3AE9"/>
    <w:rsid w:val="004A488B"/>
    <w:rsid w:val="004A7937"/>
    <w:rsid w:val="004B0BE3"/>
    <w:rsid w:val="004B0EEC"/>
    <w:rsid w:val="004B1E2C"/>
    <w:rsid w:val="004B3E40"/>
    <w:rsid w:val="004B441B"/>
    <w:rsid w:val="004B46A9"/>
    <w:rsid w:val="004B5861"/>
    <w:rsid w:val="004B5A62"/>
    <w:rsid w:val="004B5B64"/>
    <w:rsid w:val="004B5FA3"/>
    <w:rsid w:val="004B78A6"/>
    <w:rsid w:val="004B7B93"/>
    <w:rsid w:val="004C05A0"/>
    <w:rsid w:val="004C10C9"/>
    <w:rsid w:val="004C37BD"/>
    <w:rsid w:val="004C4F33"/>
    <w:rsid w:val="004C5364"/>
    <w:rsid w:val="004C6DCB"/>
    <w:rsid w:val="004C7571"/>
    <w:rsid w:val="004D0C28"/>
    <w:rsid w:val="004D103C"/>
    <w:rsid w:val="004D4A29"/>
    <w:rsid w:val="004D4E1C"/>
    <w:rsid w:val="004D5E82"/>
    <w:rsid w:val="004D616A"/>
    <w:rsid w:val="004D665C"/>
    <w:rsid w:val="004D7C84"/>
    <w:rsid w:val="004D7D88"/>
    <w:rsid w:val="004E23E8"/>
    <w:rsid w:val="004E32F0"/>
    <w:rsid w:val="004E4732"/>
    <w:rsid w:val="004E5CC4"/>
    <w:rsid w:val="004E7DFD"/>
    <w:rsid w:val="004F1297"/>
    <w:rsid w:val="004F14D6"/>
    <w:rsid w:val="004F211E"/>
    <w:rsid w:val="004F345A"/>
    <w:rsid w:val="004F3FBB"/>
    <w:rsid w:val="004F770B"/>
    <w:rsid w:val="004F7B19"/>
    <w:rsid w:val="004F7F83"/>
    <w:rsid w:val="00505A6D"/>
    <w:rsid w:val="00506242"/>
    <w:rsid w:val="00511FE9"/>
    <w:rsid w:val="00512BA4"/>
    <w:rsid w:val="00513E40"/>
    <w:rsid w:val="005146FD"/>
    <w:rsid w:val="00515B8A"/>
    <w:rsid w:val="005160FD"/>
    <w:rsid w:val="005177AB"/>
    <w:rsid w:val="00520353"/>
    <w:rsid w:val="0052123D"/>
    <w:rsid w:val="00522983"/>
    <w:rsid w:val="0052362D"/>
    <w:rsid w:val="00525760"/>
    <w:rsid w:val="00526D67"/>
    <w:rsid w:val="00531845"/>
    <w:rsid w:val="00531D74"/>
    <w:rsid w:val="00532BD2"/>
    <w:rsid w:val="00533B69"/>
    <w:rsid w:val="005349D2"/>
    <w:rsid w:val="005354F7"/>
    <w:rsid w:val="00537980"/>
    <w:rsid w:val="005406EB"/>
    <w:rsid w:val="00540A5D"/>
    <w:rsid w:val="005419E0"/>
    <w:rsid w:val="0054394D"/>
    <w:rsid w:val="0054477B"/>
    <w:rsid w:val="00550C63"/>
    <w:rsid w:val="0055199E"/>
    <w:rsid w:val="00552D1D"/>
    <w:rsid w:val="00553B1A"/>
    <w:rsid w:val="00553CD6"/>
    <w:rsid w:val="0055419A"/>
    <w:rsid w:val="005556AC"/>
    <w:rsid w:val="00555E77"/>
    <w:rsid w:val="0055613D"/>
    <w:rsid w:val="005608D1"/>
    <w:rsid w:val="00562DFF"/>
    <w:rsid w:val="00564698"/>
    <w:rsid w:val="00570CB5"/>
    <w:rsid w:val="00570F9B"/>
    <w:rsid w:val="00571096"/>
    <w:rsid w:val="005752DA"/>
    <w:rsid w:val="005756D0"/>
    <w:rsid w:val="00576EFD"/>
    <w:rsid w:val="005802AE"/>
    <w:rsid w:val="00581626"/>
    <w:rsid w:val="0058281C"/>
    <w:rsid w:val="005829CE"/>
    <w:rsid w:val="00582E04"/>
    <w:rsid w:val="00584465"/>
    <w:rsid w:val="00584FC6"/>
    <w:rsid w:val="00586447"/>
    <w:rsid w:val="0058677D"/>
    <w:rsid w:val="00587704"/>
    <w:rsid w:val="00590BE8"/>
    <w:rsid w:val="00591C56"/>
    <w:rsid w:val="00592F66"/>
    <w:rsid w:val="00593875"/>
    <w:rsid w:val="0059398C"/>
    <w:rsid w:val="00593F48"/>
    <w:rsid w:val="0059405F"/>
    <w:rsid w:val="0059493E"/>
    <w:rsid w:val="00594947"/>
    <w:rsid w:val="005950D9"/>
    <w:rsid w:val="00596FD4"/>
    <w:rsid w:val="00597010"/>
    <w:rsid w:val="0059740D"/>
    <w:rsid w:val="00597537"/>
    <w:rsid w:val="005A3686"/>
    <w:rsid w:val="005A4EAB"/>
    <w:rsid w:val="005B05C9"/>
    <w:rsid w:val="005B0F64"/>
    <w:rsid w:val="005B0F98"/>
    <w:rsid w:val="005B21F4"/>
    <w:rsid w:val="005B36BE"/>
    <w:rsid w:val="005B392D"/>
    <w:rsid w:val="005B3DA7"/>
    <w:rsid w:val="005B3FE7"/>
    <w:rsid w:val="005B43F5"/>
    <w:rsid w:val="005B6BAD"/>
    <w:rsid w:val="005B7ACB"/>
    <w:rsid w:val="005C06C5"/>
    <w:rsid w:val="005C073F"/>
    <w:rsid w:val="005C0B1A"/>
    <w:rsid w:val="005C1A85"/>
    <w:rsid w:val="005C1EF0"/>
    <w:rsid w:val="005C2412"/>
    <w:rsid w:val="005C2A2E"/>
    <w:rsid w:val="005C497F"/>
    <w:rsid w:val="005C5954"/>
    <w:rsid w:val="005C5D41"/>
    <w:rsid w:val="005D1AA6"/>
    <w:rsid w:val="005D3886"/>
    <w:rsid w:val="005D3D6C"/>
    <w:rsid w:val="005D5DA8"/>
    <w:rsid w:val="005D64F6"/>
    <w:rsid w:val="005D7595"/>
    <w:rsid w:val="005E098B"/>
    <w:rsid w:val="005E2189"/>
    <w:rsid w:val="005E30D8"/>
    <w:rsid w:val="005E53B9"/>
    <w:rsid w:val="005E65A2"/>
    <w:rsid w:val="005F0449"/>
    <w:rsid w:val="005F06AC"/>
    <w:rsid w:val="005F08E3"/>
    <w:rsid w:val="005F0BED"/>
    <w:rsid w:val="005F12DC"/>
    <w:rsid w:val="005F15B2"/>
    <w:rsid w:val="005F41D5"/>
    <w:rsid w:val="005F4B86"/>
    <w:rsid w:val="005F60B9"/>
    <w:rsid w:val="005F64B7"/>
    <w:rsid w:val="0060084F"/>
    <w:rsid w:val="00600AF0"/>
    <w:rsid w:val="00603697"/>
    <w:rsid w:val="00604439"/>
    <w:rsid w:val="00606E16"/>
    <w:rsid w:val="00607BDD"/>
    <w:rsid w:val="00613C59"/>
    <w:rsid w:val="006141A7"/>
    <w:rsid w:val="00614C22"/>
    <w:rsid w:val="00614E30"/>
    <w:rsid w:val="00615E8C"/>
    <w:rsid w:val="00617392"/>
    <w:rsid w:val="00621322"/>
    <w:rsid w:val="00621B58"/>
    <w:rsid w:val="00622D5D"/>
    <w:rsid w:val="00624E3E"/>
    <w:rsid w:val="00624FAA"/>
    <w:rsid w:val="00625BC6"/>
    <w:rsid w:val="00626F6A"/>
    <w:rsid w:val="0062768B"/>
    <w:rsid w:val="00631FD8"/>
    <w:rsid w:val="006322D0"/>
    <w:rsid w:val="00632D36"/>
    <w:rsid w:val="0063361F"/>
    <w:rsid w:val="0063440C"/>
    <w:rsid w:val="00636461"/>
    <w:rsid w:val="00637FD7"/>
    <w:rsid w:val="0064027D"/>
    <w:rsid w:val="00640E41"/>
    <w:rsid w:val="006419C1"/>
    <w:rsid w:val="00641C72"/>
    <w:rsid w:val="00643180"/>
    <w:rsid w:val="00644215"/>
    <w:rsid w:val="00644620"/>
    <w:rsid w:val="00644CA0"/>
    <w:rsid w:val="00646065"/>
    <w:rsid w:val="006468BC"/>
    <w:rsid w:val="00651460"/>
    <w:rsid w:val="00651CE2"/>
    <w:rsid w:val="006567D3"/>
    <w:rsid w:val="0065721D"/>
    <w:rsid w:val="00662ACF"/>
    <w:rsid w:val="00663116"/>
    <w:rsid w:val="0066595B"/>
    <w:rsid w:val="00665C45"/>
    <w:rsid w:val="0067016A"/>
    <w:rsid w:val="00671438"/>
    <w:rsid w:val="006732F2"/>
    <w:rsid w:val="006749A5"/>
    <w:rsid w:val="00674D8F"/>
    <w:rsid w:val="00677769"/>
    <w:rsid w:val="006808D5"/>
    <w:rsid w:val="00680CBB"/>
    <w:rsid w:val="006820EF"/>
    <w:rsid w:val="00684DF4"/>
    <w:rsid w:val="00690CED"/>
    <w:rsid w:val="00691AD2"/>
    <w:rsid w:val="00692C6B"/>
    <w:rsid w:val="006934C2"/>
    <w:rsid w:val="00694273"/>
    <w:rsid w:val="00694907"/>
    <w:rsid w:val="00694BDF"/>
    <w:rsid w:val="00694E85"/>
    <w:rsid w:val="00695364"/>
    <w:rsid w:val="0069562A"/>
    <w:rsid w:val="00695DB7"/>
    <w:rsid w:val="00696AAD"/>
    <w:rsid w:val="006A3631"/>
    <w:rsid w:val="006A5264"/>
    <w:rsid w:val="006B02C5"/>
    <w:rsid w:val="006B077A"/>
    <w:rsid w:val="006B11BF"/>
    <w:rsid w:val="006B12A8"/>
    <w:rsid w:val="006B38F7"/>
    <w:rsid w:val="006B4472"/>
    <w:rsid w:val="006B48EA"/>
    <w:rsid w:val="006B6609"/>
    <w:rsid w:val="006C0FE9"/>
    <w:rsid w:val="006C2935"/>
    <w:rsid w:val="006C2A80"/>
    <w:rsid w:val="006C2C3F"/>
    <w:rsid w:val="006C2D3A"/>
    <w:rsid w:val="006C4650"/>
    <w:rsid w:val="006C5017"/>
    <w:rsid w:val="006C5418"/>
    <w:rsid w:val="006C659B"/>
    <w:rsid w:val="006C67E3"/>
    <w:rsid w:val="006C6B73"/>
    <w:rsid w:val="006D1229"/>
    <w:rsid w:val="006D2718"/>
    <w:rsid w:val="006D2871"/>
    <w:rsid w:val="006D3364"/>
    <w:rsid w:val="006D4679"/>
    <w:rsid w:val="006D49CC"/>
    <w:rsid w:val="006D7DA7"/>
    <w:rsid w:val="006E3173"/>
    <w:rsid w:val="006E4186"/>
    <w:rsid w:val="006E583E"/>
    <w:rsid w:val="006F15CD"/>
    <w:rsid w:val="006F28E4"/>
    <w:rsid w:val="006F2C5C"/>
    <w:rsid w:val="006F35CF"/>
    <w:rsid w:val="006F6815"/>
    <w:rsid w:val="007003B3"/>
    <w:rsid w:val="0070502E"/>
    <w:rsid w:val="00705BD0"/>
    <w:rsid w:val="00706B5C"/>
    <w:rsid w:val="00707524"/>
    <w:rsid w:val="00707F95"/>
    <w:rsid w:val="00710524"/>
    <w:rsid w:val="00710625"/>
    <w:rsid w:val="00711669"/>
    <w:rsid w:val="00711791"/>
    <w:rsid w:val="00711EEA"/>
    <w:rsid w:val="00712D6E"/>
    <w:rsid w:val="00717C4A"/>
    <w:rsid w:val="00717C90"/>
    <w:rsid w:val="007240B0"/>
    <w:rsid w:val="00724A6D"/>
    <w:rsid w:val="00725D43"/>
    <w:rsid w:val="0072631D"/>
    <w:rsid w:val="00731102"/>
    <w:rsid w:val="0073227E"/>
    <w:rsid w:val="00733282"/>
    <w:rsid w:val="0073349E"/>
    <w:rsid w:val="00735858"/>
    <w:rsid w:val="00735AEF"/>
    <w:rsid w:val="00736B64"/>
    <w:rsid w:val="00740167"/>
    <w:rsid w:val="00742AA9"/>
    <w:rsid w:val="007433EF"/>
    <w:rsid w:val="007444EE"/>
    <w:rsid w:val="007445C9"/>
    <w:rsid w:val="00744F6C"/>
    <w:rsid w:val="00745E7C"/>
    <w:rsid w:val="00746742"/>
    <w:rsid w:val="00747169"/>
    <w:rsid w:val="00747645"/>
    <w:rsid w:val="00752231"/>
    <w:rsid w:val="00752643"/>
    <w:rsid w:val="00752DA4"/>
    <w:rsid w:val="007530C7"/>
    <w:rsid w:val="007567B5"/>
    <w:rsid w:val="00760649"/>
    <w:rsid w:val="00760C87"/>
    <w:rsid w:val="00765B4B"/>
    <w:rsid w:val="00766BD6"/>
    <w:rsid w:val="007743CD"/>
    <w:rsid w:val="0077583C"/>
    <w:rsid w:val="00775BF5"/>
    <w:rsid w:val="0077623E"/>
    <w:rsid w:val="007806B2"/>
    <w:rsid w:val="00780EB4"/>
    <w:rsid w:val="00782B2D"/>
    <w:rsid w:val="007857D1"/>
    <w:rsid w:val="007876F7"/>
    <w:rsid w:val="00787768"/>
    <w:rsid w:val="00790FAA"/>
    <w:rsid w:val="00791617"/>
    <w:rsid w:val="007952C0"/>
    <w:rsid w:val="007957E5"/>
    <w:rsid w:val="00795D34"/>
    <w:rsid w:val="007976B1"/>
    <w:rsid w:val="007A2EB9"/>
    <w:rsid w:val="007A2FBE"/>
    <w:rsid w:val="007A352D"/>
    <w:rsid w:val="007A3807"/>
    <w:rsid w:val="007A3BCA"/>
    <w:rsid w:val="007A3D95"/>
    <w:rsid w:val="007A63F7"/>
    <w:rsid w:val="007A67E4"/>
    <w:rsid w:val="007A6B97"/>
    <w:rsid w:val="007A7DDA"/>
    <w:rsid w:val="007B0B0B"/>
    <w:rsid w:val="007B0BD5"/>
    <w:rsid w:val="007B0C0A"/>
    <w:rsid w:val="007B1E76"/>
    <w:rsid w:val="007B2987"/>
    <w:rsid w:val="007B3860"/>
    <w:rsid w:val="007B4D65"/>
    <w:rsid w:val="007B6DE0"/>
    <w:rsid w:val="007C10DF"/>
    <w:rsid w:val="007C1226"/>
    <w:rsid w:val="007C2EEC"/>
    <w:rsid w:val="007C47AD"/>
    <w:rsid w:val="007C655B"/>
    <w:rsid w:val="007D10DA"/>
    <w:rsid w:val="007D1469"/>
    <w:rsid w:val="007D173F"/>
    <w:rsid w:val="007D19BD"/>
    <w:rsid w:val="007D4D32"/>
    <w:rsid w:val="007D51BB"/>
    <w:rsid w:val="007D5752"/>
    <w:rsid w:val="007D5DDC"/>
    <w:rsid w:val="007E1524"/>
    <w:rsid w:val="007E45AC"/>
    <w:rsid w:val="007E4637"/>
    <w:rsid w:val="007E7A67"/>
    <w:rsid w:val="007F023F"/>
    <w:rsid w:val="007F0EBC"/>
    <w:rsid w:val="007F4D41"/>
    <w:rsid w:val="007F51A3"/>
    <w:rsid w:val="007F7585"/>
    <w:rsid w:val="00804597"/>
    <w:rsid w:val="0080563C"/>
    <w:rsid w:val="008061D1"/>
    <w:rsid w:val="00806783"/>
    <w:rsid w:val="00807823"/>
    <w:rsid w:val="00811E7E"/>
    <w:rsid w:val="008122A3"/>
    <w:rsid w:val="008147A2"/>
    <w:rsid w:val="00816B39"/>
    <w:rsid w:val="0081774D"/>
    <w:rsid w:val="00817E6D"/>
    <w:rsid w:val="008209C0"/>
    <w:rsid w:val="0082305B"/>
    <w:rsid w:val="008249FC"/>
    <w:rsid w:val="0082627D"/>
    <w:rsid w:val="008267F0"/>
    <w:rsid w:val="008269A2"/>
    <w:rsid w:val="008277FA"/>
    <w:rsid w:val="00831F50"/>
    <w:rsid w:val="00832A34"/>
    <w:rsid w:val="00833AF9"/>
    <w:rsid w:val="008406FB"/>
    <w:rsid w:val="0084284E"/>
    <w:rsid w:val="00847893"/>
    <w:rsid w:val="00847E5F"/>
    <w:rsid w:val="008506DD"/>
    <w:rsid w:val="00850DFD"/>
    <w:rsid w:val="00852243"/>
    <w:rsid w:val="0085467D"/>
    <w:rsid w:val="008546AB"/>
    <w:rsid w:val="008553C8"/>
    <w:rsid w:val="00861063"/>
    <w:rsid w:val="008634EF"/>
    <w:rsid w:val="008642EE"/>
    <w:rsid w:val="00871B65"/>
    <w:rsid w:val="00871DFD"/>
    <w:rsid w:val="008748C9"/>
    <w:rsid w:val="008750C2"/>
    <w:rsid w:val="00875DA9"/>
    <w:rsid w:val="00875FB9"/>
    <w:rsid w:val="00876120"/>
    <w:rsid w:val="00876215"/>
    <w:rsid w:val="008805CE"/>
    <w:rsid w:val="00880DEA"/>
    <w:rsid w:val="00880E99"/>
    <w:rsid w:val="00885027"/>
    <w:rsid w:val="00885842"/>
    <w:rsid w:val="00887DE9"/>
    <w:rsid w:val="00890E90"/>
    <w:rsid w:val="008920C6"/>
    <w:rsid w:val="008949DB"/>
    <w:rsid w:val="00896C0A"/>
    <w:rsid w:val="008978E8"/>
    <w:rsid w:val="008A0707"/>
    <w:rsid w:val="008A0E21"/>
    <w:rsid w:val="008A2136"/>
    <w:rsid w:val="008A31EC"/>
    <w:rsid w:val="008A3347"/>
    <w:rsid w:val="008A3775"/>
    <w:rsid w:val="008A47C0"/>
    <w:rsid w:val="008A563A"/>
    <w:rsid w:val="008B0134"/>
    <w:rsid w:val="008B0911"/>
    <w:rsid w:val="008B0D28"/>
    <w:rsid w:val="008B1336"/>
    <w:rsid w:val="008B16D1"/>
    <w:rsid w:val="008B2BE6"/>
    <w:rsid w:val="008B7ABF"/>
    <w:rsid w:val="008C1504"/>
    <w:rsid w:val="008C3E8D"/>
    <w:rsid w:val="008C42F1"/>
    <w:rsid w:val="008C6BBC"/>
    <w:rsid w:val="008C6D3C"/>
    <w:rsid w:val="008D2C34"/>
    <w:rsid w:val="008D7291"/>
    <w:rsid w:val="008E7A61"/>
    <w:rsid w:val="008F13BE"/>
    <w:rsid w:val="008F27C6"/>
    <w:rsid w:val="008F294D"/>
    <w:rsid w:val="008F373E"/>
    <w:rsid w:val="008F4BD8"/>
    <w:rsid w:val="008F4DF1"/>
    <w:rsid w:val="008F5087"/>
    <w:rsid w:val="008F6FC4"/>
    <w:rsid w:val="0090094A"/>
    <w:rsid w:val="00905DA9"/>
    <w:rsid w:val="00906509"/>
    <w:rsid w:val="00906E1D"/>
    <w:rsid w:val="009079C7"/>
    <w:rsid w:val="009107A2"/>
    <w:rsid w:val="0091112E"/>
    <w:rsid w:val="009114FD"/>
    <w:rsid w:val="0091258A"/>
    <w:rsid w:val="009125D2"/>
    <w:rsid w:val="00912C93"/>
    <w:rsid w:val="0091353C"/>
    <w:rsid w:val="00915064"/>
    <w:rsid w:val="0091551E"/>
    <w:rsid w:val="00916539"/>
    <w:rsid w:val="00920BA7"/>
    <w:rsid w:val="0092156C"/>
    <w:rsid w:val="0092357B"/>
    <w:rsid w:val="009237C1"/>
    <w:rsid w:val="0092393C"/>
    <w:rsid w:val="0092462D"/>
    <w:rsid w:val="00924ECA"/>
    <w:rsid w:val="009274E5"/>
    <w:rsid w:val="009275A4"/>
    <w:rsid w:val="0093099B"/>
    <w:rsid w:val="00930F72"/>
    <w:rsid w:val="009348AC"/>
    <w:rsid w:val="00935549"/>
    <w:rsid w:val="00935A42"/>
    <w:rsid w:val="00944955"/>
    <w:rsid w:val="00945943"/>
    <w:rsid w:val="009474FF"/>
    <w:rsid w:val="0095041C"/>
    <w:rsid w:val="00951295"/>
    <w:rsid w:val="00953BE0"/>
    <w:rsid w:val="00956F3A"/>
    <w:rsid w:val="0095724E"/>
    <w:rsid w:val="00961B0D"/>
    <w:rsid w:val="00964B89"/>
    <w:rsid w:val="00966D0A"/>
    <w:rsid w:val="00967368"/>
    <w:rsid w:val="009679AA"/>
    <w:rsid w:val="00971A62"/>
    <w:rsid w:val="00971BE4"/>
    <w:rsid w:val="00973A2F"/>
    <w:rsid w:val="00973BE7"/>
    <w:rsid w:val="009741FB"/>
    <w:rsid w:val="00975450"/>
    <w:rsid w:val="009768ED"/>
    <w:rsid w:val="0098070B"/>
    <w:rsid w:val="00980758"/>
    <w:rsid w:val="009825FB"/>
    <w:rsid w:val="0098544B"/>
    <w:rsid w:val="0098551B"/>
    <w:rsid w:val="00985CAC"/>
    <w:rsid w:val="00986ED6"/>
    <w:rsid w:val="00987CB7"/>
    <w:rsid w:val="00991E24"/>
    <w:rsid w:val="00995564"/>
    <w:rsid w:val="00997B2F"/>
    <w:rsid w:val="009A3EC3"/>
    <w:rsid w:val="009A4663"/>
    <w:rsid w:val="009A6CF6"/>
    <w:rsid w:val="009B367F"/>
    <w:rsid w:val="009B3953"/>
    <w:rsid w:val="009B4BF9"/>
    <w:rsid w:val="009B5427"/>
    <w:rsid w:val="009B577A"/>
    <w:rsid w:val="009B6453"/>
    <w:rsid w:val="009B6AFB"/>
    <w:rsid w:val="009B7A2C"/>
    <w:rsid w:val="009C148F"/>
    <w:rsid w:val="009C259A"/>
    <w:rsid w:val="009C4C5D"/>
    <w:rsid w:val="009D0ABE"/>
    <w:rsid w:val="009D136E"/>
    <w:rsid w:val="009D1FE1"/>
    <w:rsid w:val="009D5B98"/>
    <w:rsid w:val="009D5DE1"/>
    <w:rsid w:val="009E1B3B"/>
    <w:rsid w:val="009E2F4A"/>
    <w:rsid w:val="009E34BC"/>
    <w:rsid w:val="009E3B91"/>
    <w:rsid w:val="009E59AC"/>
    <w:rsid w:val="009E6800"/>
    <w:rsid w:val="009F175F"/>
    <w:rsid w:val="009F20EB"/>
    <w:rsid w:val="009F39BA"/>
    <w:rsid w:val="009F7D0E"/>
    <w:rsid w:val="00A014B4"/>
    <w:rsid w:val="00A01AFE"/>
    <w:rsid w:val="00A03191"/>
    <w:rsid w:val="00A06C9A"/>
    <w:rsid w:val="00A07346"/>
    <w:rsid w:val="00A07560"/>
    <w:rsid w:val="00A101B9"/>
    <w:rsid w:val="00A103A4"/>
    <w:rsid w:val="00A131D3"/>
    <w:rsid w:val="00A13D9D"/>
    <w:rsid w:val="00A13F39"/>
    <w:rsid w:val="00A16470"/>
    <w:rsid w:val="00A16E32"/>
    <w:rsid w:val="00A20BE9"/>
    <w:rsid w:val="00A23968"/>
    <w:rsid w:val="00A23A1F"/>
    <w:rsid w:val="00A23E09"/>
    <w:rsid w:val="00A25982"/>
    <w:rsid w:val="00A264C1"/>
    <w:rsid w:val="00A26BA1"/>
    <w:rsid w:val="00A270E2"/>
    <w:rsid w:val="00A302B2"/>
    <w:rsid w:val="00A30F7C"/>
    <w:rsid w:val="00A314DE"/>
    <w:rsid w:val="00A31603"/>
    <w:rsid w:val="00A32359"/>
    <w:rsid w:val="00A33E7B"/>
    <w:rsid w:val="00A34A8A"/>
    <w:rsid w:val="00A3542E"/>
    <w:rsid w:val="00A35F6C"/>
    <w:rsid w:val="00A36488"/>
    <w:rsid w:val="00A377C1"/>
    <w:rsid w:val="00A4037E"/>
    <w:rsid w:val="00A403B6"/>
    <w:rsid w:val="00A41A8A"/>
    <w:rsid w:val="00A41B68"/>
    <w:rsid w:val="00A42327"/>
    <w:rsid w:val="00A443E4"/>
    <w:rsid w:val="00A44640"/>
    <w:rsid w:val="00A44E46"/>
    <w:rsid w:val="00A453EE"/>
    <w:rsid w:val="00A45565"/>
    <w:rsid w:val="00A50C04"/>
    <w:rsid w:val="00A51926"/>
    <w:rsid w:val="00A5284B"/>
    <w:rsid w:val="00A54C08"/>
    <w:rsid w:val="00A553CD"/>
    <w:rsid w:val="00A6024F"/>
    <w:rsid w:val="00A617CA"/>
    <w:rsid w:val="00A66571"/>
    <w:rsid w:val="00A66AB6"/>
    <w:rsid w:val="00A66F88"/>
    <w:rsid w:val="00A67940"/>
    <w:rsid w:val="00A67A8D"/>
    <w:rsid w:val="00A67B18"/>
    <w:rsid w:val="00A67B52"/>
    <w:rsid w:val="00A704EB"/>
    <w:rsid w:val="00A7168E"/>
    <w:rsid w:val="00A71A26"/>
    <w:rsid w:val="00A75DE3"/>
    <w:rsid w:val="00A7614D"/>
    <w:rsid w:val="00A772D3"/>
    <w:rsid w:val="00A777D5"/>
    <w:rsid w:val="00A8040D"/>
    <w:rsid w:val="00A83726"/>
    <w:rsid w:val="00A84FF5"/>
    <w:rsid w:val="00A85383"/>
    <w:rsid w:val="00A86654"/>
    <w:rsid w:val="00A86FE5"/>
    <w:rsid w:val="00A8738B"/>
    <w:rsid w:val="00A87F33"/>
    <w:rsid w:val="00A91294"/>
    <w:rsid w:val="00A96466"/>
    <w:rsid w:val="00A96C90"/>
    <w:rsid w:val="00A97088"/>
    <w:rsid w:val="00A976FA"/>
    <w:rsid w:val="00AA10B1"/>
    <w:rsid w:val="00AA2D29"/>
    <w:rsid w:val="00AA5816"/>
    <w:rsid w:val="00AA67C1"/>
    <w:rsid w:val="00AA7DE8"/>
    <w:rsid w:val="00AB02C6"/>
    <w:rsid w:val="00AB122F"/>
    <w:rsid w:val="00AB4AB4"/>
    <w:rsid w:val="00AB59E3"/>
    <w:rsid w:val="00AB7B43"/>
    <w:rsid w:val="00AB7D80"/>
    <w:rsid w:val="00AC05BA"/>
    <w:rsid w:val="00AC0C0A"/>
    <w:rsid w:val="00AC2188"/>
    <w:rsid w:val="00AC34C0"/>
    <w:rsid w:val="00AC48D6"/>
    <w:rsid w:val="00AC7D14"/>
    <w:rsid w:val="00AD0007"/>
    <w:rsid w:val="00AD216F"/>
    <w:rsid w:val="00AD2C7A"/>
    <w:rsid w:val="00AD3EA2"/>
    <w:rsid w:val="00AD404C"/>
    <w:rsid w:val="00AD4579"/>
    <w:rsid w:val="00AD64A3"/>
    <w:rsid w:val="00AD7693"/>
    <w:rsid w:val="00AD76B6"/>
    <w:rsid w:val="00AD7896"/>
    <w:rsid w:val="00AE0128"/>
    <w:rsid w:val="00AE33B2"/>
    <w:rsid w:val="00AF128F"/>
    <w:rsid w:val="00AF1700"/>
    <w:rsid w:val="00AF4681"/>
    <w:rsid w:val="00B002D9"/>
    <w:rsid w:val="00B017F9"/>
    <w:rsid w:val="00B01E5E"/>
    <w:rsid w:val="00B0306B"/>
    <w:rsid w:val="00B038BF"/>
    <w:rsid w:val="00B05B30"/>
    <w:rsid w:val="00B07336"/>
    <w:rsid w:val="00B10E31"/>
    <w:rsid w:val="00B11428"/>
    <w:rsid w:val="00B115F1"/>
    <w:rsid w:val="00B11A1B"/>
    <w:rsid w:val="00B12041"/>
    <w:rsid w:val="00B12C2C"/>
    <w:rsid w:val="00B153BB"/>
    <w:rsid w:val="00B1579B"/>
    <w:rsid w:val="00B16542"/>
    <w:rsid w:val="00B167BD"/>
    <w:rsid w:val="00B202B1"/>
    <w:rsid w:val="00B208B9"/>
    <w:rsid w:val="00B223AC"/>
    <w:rsid w:val="00B24E37"/>
    <w:rsid w:val="00B24FDA"/>
    <w:rsid w:val="00B26641"/>
    <w:rsid w:val="00B2684B"/>
    <w:rsid w:val="00B27C31"/>
    <w:rsid w:val="00B31BB4"/>
    <w:rsid w:val="00B32B21"/>
    <w:rsid w:val="00B34455"/>
    <w:rsid w:val="00B34EEE"/>
    <w:rsid w:val="00B35ED9"/>
    <w:rsid w:val="00B406DE"/>
    <w:rsid w:val="00B41317"/>
    <w:rsid w:val="00B41370"/>
    <w:rsid w:val="00B426A0"/>
    <w:rsid w:val="00B428CB"/>
    <w:rsid w:val="00B42B40"/>
    <w:rsid w:val="00B42B9F"/>
    <w:rsid w:val="00B43347"/>
    <w:rsid w:val="00B438C8"/>
    <w:rsid w:val="00B43EF2"/>
    <w:rsid w:val="00B455A7"/>
    <w:rsid w:val="00B46769"/>
    <w:rsid w:val="00B467DE"/>
    <w:rsid w:val="00B50827"/>
    <w:rsid w:val="00B51658"/>
    <w:rsid w:val="00B542E0"/>
    <w:rsid w:val="00B55203"/>
    <w:rsid w:val="00B5654C"/>
    <w:rsid w:val="00B60BE9"/>
    <w:rsid w:val="00B628B6"/>
    <w:rsid w:val="00B645F5"/>
    <w:rsid w:val="00B64640"/>
    <w:rsid w:val="00B7119A"/>
    <w:rsid w:val="00B71BFD"/>
    <w:rsid w:val="00B763B2"/>
    <w:rsid w:val="00B77BE4"/>
    <w:rsid w:val="00B820E0"/>
    <w:rsid w:val="00B83FC2"/>
    <w:rsid w:val="00B904C4"/>
    <w:rsid w:val="00B927B6"/>
    <w:rsid w:val="00B93AA3"/>
    <w:rsid w:val="00B959B7"/>
    <w:rsid w:val="00B96672"/>
    <w:rsid w:val="00B96988"/>
    <w:rsid w:val="00B97B77"/>
    <w:rsid w:val="00BA2210"/>
    <w:rsid w:val="00BA2BC3"/>
    <w:rsid w:val="00BA4100"/>
    <w:rsid w:val="00BA4E41"/>
    <w:rsid w:val="00BA57F9"/>
    <w:rsid w:val="00BA6351"/>
    <w:rsid w:val="00BA6658"/>
    <w:rsid w:val="00BB045C"/>
    <w:rsid w:val="00BB1D5B"/>
    <w:rsid w:val="00BB48AF"/>
    <w:rsid w:val="00BB52BE"/>
    <w:rsid w:val="00BC1A5B"/>
    <w:rsid w:val="00BC1B3E"/>
    <w:rsid w:val="00BC5E79"/>
    <w:rsid w:val="00BD020A"/>
    <w:rsid w:val="00BD0B76"/>
    <w:rsid w:val="00BD13C7"/>
    <w:rsid w:val="00BD1B85"/>
    <w:rsid w:val="00BD2CC7"/>
    <w:rsid w:val="00BD329F"/>
    <w:rsid w:val="00BD3B17"/>
    <w:rsid w:val="00BD4AB0"/>
    <w:rsid w:val="00BD51A7"/>
    <w:rsid w:val="00BD52E5"/>
    <w:rsid w:val="00BD535B"/>
    <w:rsid w:val="00BD70CF"/>
    <w:rsid w:val="00BD7D38"/>
    <w:rsid w:val="00BE04E2"/>
    <w:rsid w:val="00BE0F67"/>
    <w:rsid w:val="00BE11CA"/>
    <w:rsid w:val="00BE669D"/>
    <w:rsid w:val="00BE7A9E"/>
    <w:rsid w:val="00BF076E"/>
    <w:rsid w:val="00BF26D3"/>
    <w:rsid w:val="00BF2CDB"/>
    <w:rsid w:val="00BF313B"/>
    <w:rsid w:val="00BF4224"/>
    <w:rsid w:val="00BF487D"/>
    <w:rsid w:val="00BF4D5B"/>
    <w:rsid w:val="00BF4F9E"/>
    <w:rsid w:val="00BF5A18"/>
    <w:rsid w:val="00BF7E89"/>
    <w:rsid w:val="00C0070B"/>
    <w:rsid w:val="00C0243C"/>
    <w:rsid w:val="00C049EB"/>
    <w:rsid w:val="00C05EC0"/>
    <w:rsid w:val="00C06B73"/>
    <w:rsid w:val="00C07824"/>
    <w:rsid w:val="00C1108E"/>
    <w:rsid w:val="00C1202E"/>
    <w:rsid w:val="00C13FB7"/>
    <w:rsid w:val="00C15DE8"/>
    <w:rsid w:val="00C170C8"/>
    <w:rsid w:val="00C17448"/>
    <w:rsid w:val="00C20309"/>
    <w:rsid w:val="00C204B6"/>
    <w:rsid w:val="00C21BBF"/>
    <w:rsid w:val="00C22ACC"/>
    <w:rsid w:val="00C24140"/>
    <w:rsid w:val="00C24F78"/>
    <w:rsid w:val="00C31422"/>
    <w:rsid w:val="00C31DCE"/>
    <w:rsid w:val="00C33C17"/>
    <w:rsid w:val="00C3583A"/>
    <w:rsid w:val="00C41FAD"/>
    <w:rsid w:val="00C43317"/>
    <w:rsid w:val="00C4360F"/>
    <w:rsid w:val="00C44CD5"/>
    <w:rsid w:val="00C45451"/>
    <w:rsid w:val="00C461F8"/>
    <w:rsid w:val="00C462EF"/>
    <w:rsid w:val="00C46437"/>
    <w:rsid w:val="00C476B1"/>
    <w:rsid w:val="00C47720"/>
    <w:rsid w:val="00C54207"/>
    <w:rsid w:val="00C54FB8"/>
    <w:rsid w:val="00C5500C"/>
    <w:rsid w:val="00C55E7B"/>
    <w:rsid w:val="00C579E9"/>
    <w:rsid w:val="00C62A47"/>
    <w:rsid w:val="00C63E1F"/>
    <w:rsid w:val="00C64E96"/>
    <w:rsid w:val="00C6501C"/>
    <w:rsid w:val="00C65E66"/>
    <w:rsid w:val="00C74A63"/>
    <w:rsid w:val="00C74D10"/>
    <w:rsid w:val="00C77DA5"/>
    <w:rsid w:val="00C829F3"/>
    <w:rsid w:val="00C84A4B"/>
    <w:rsid w:val="00C8502C"/>
    <w:rsid w:val="00C86876"/>
    <w:rsid w:val="00C9004F"/>
    <w:rsid w:val="00C912F6"/>
    <w:rsid w:val="00C92258"/>
    <w:rsid w:val="00C93571"/>
    <w:rsid w:val="00C935FC"/>
    <w:rsid w:val="00C938CE"/>
    <w:rsid w:val="00C96EC9"/>
    <w:rsid w:val="00CA0189"/>
    <w:rsid w:val="00CA2C50"/>
    <w:rsid w:val="00CA64A9"/>
    <w:rsid w:val="00CA65DE"/>
    <w:rsid w:val="00CA6B8C"/>
    <w:rsid w:val="00CA75FD"/>
    <w:rsid w:val="00CB1BF6"/>
    <w:rsid w:val="00CB390C"/>
    <w:rsid w:val="00CB3C33"/>
    <w:rsid w:val="00CB4504"/>
    <w:rsid w:val="00CB52DF"/>
    <w:rsid w:val="00CB5C64"/>
    <w:rsid w:val="00CB735A"/>
    <w:rsid w:val="00CB7B21"/>
    <w:rsid w:val="00CC00F9"/>
    <w:rsid w:val="00CC0315"/>
    <w:rsid w:val="00CC198B"/>
    <w:rsid w:val="00CC1D74"/>
    <w:rsid w:val="00CC2AB8"/>
    <w:rsid w:val="00CC426E"/>
    <w:rsid w:val="00CC46DD"/>
    <w:rsid w:val="00CC5D41"/>
    <w:rsid w:val="00CC6029"/>
    <w:rsid w:val="00CC65B9"/>
    <w:rsid w:val="00CC7A63"/>
    <w:rsid w:val="00CD055C"/>
    <w:rsid w:val="00CD2F20"/>
    <w:rsid w:val="00CD53B1"/>
    <w:rsid w:val="00CD634E"/>
    <w:rsid w:val="00CD7217"/>
    <w:rsid w:val="00CD72CD"/>
    <w:rsid w:val="00CE01A4"/>
    <w:rsid w:val="00CE048D"/>
    <w:rsid w:val="00CE0902"/>
    <w:rsid w:val="00CE1123"/>
    <w:rsid w:val="00CE14B3"/>
    <w:rsid w:val="00CE2079"/>
    <w:rsid w:val="00CE4781"/>
    <w:rsid w:val="00CE50E5"/>
    <w:rsid w:val="00CE545C"/>
    <w:rsid w:val="00CE5B09"/>
    <w:rsid w:val="00CE65E3"/>
    <w:rsid w:val="00CE6FBA"/>
    <w:rsid w:val="00CE74CA"/>
    <w:rsid w:val="00CE7AF8"/>
    <w:rsid w:val="00CF0C05"/>
    <w:rsid w:val="00CF325E"/>
    <w:rsid w:val="00CF4BAD"/>
    <w:rsid w:val="00CF4E19"/>
    <w:rsid w:val="00CF55F3"/>
    <w:rsid w:val="00CF6DB8"/>
    <w:rsid w:val="00CF7393"/>
    <w:rsid w:val="00CF7520"/>
    <w:rsid w:val="00CF7DC5"/>
    <w:rsid w:val="00CF7EC6"/>
    <w:rsid w:val="00D0187E"/>
    <w:rsid w:val="00D01AA4"/>
    <w:rsid w:val="00D03E83"/>
    <w:rsid w:val="00D05442"/>
    <w:rsid w:val="00D06E03"/>
    <w:rsid w:val="00D0746D"/>
    <w:rsid w:val="00D0773E"/>
    <w:rsid w:val="00D10871"/>
    <w:rsid w:val="00D1135A"/>
    <w:rsid w:val="00D11E7A"/>
    <w:rsid w:val="00D1211E"/>
    <w:rsid w:val="00D12980"/>
    <w:rsid w:val="00D14370"/>
    <w:rsid w:val="00D21300"/>
    <w:rsid w:val="00D237AD"/>
    <w:rsid w:val="00D23DDE"/>
    <w:rsid w:val="00D24C3D"/>
    <w:rsid w:val="00D3069D"/>
    <w:rsid w:val="00D30D1A"/>
    <w:rsid w:val="00D31584"/>
    <w:rsid w:val="00D34D8A"/>
    <w:rsid w:val="00D35818"/>
    <w:rsid w:val="00D35E34"/>
    <w:rsid w:val="00D376C5"/>
    <w:rsid w:val="00D416E0"/>
    <w:rsid w:val="00D419A2"/>
    <w:rsid w:val="00D426E3"/>
    <w:rsid w:val="00D42974"/>
    <w:rsid w:val="00D42D76"/>
    <w:rsid w:val="00D437C5"/>
    <w:rsid w:val="00D44010"/>
    <w:rsid w:val="00D46202"/>
    <w:rsid w:val="00D46EC9"/>
    <w:rsid w:val="00D50269"/>
    <w:rsid w:val="00D5282E"/>
    <w:rsid w:val="00D52B76"/>
    <w:rsid w:val="00D53622"/>
    <w:rsid w:val="00D5450C"/>
    <w:rsid w:val="00D5618D"/>
    <w:rsid w:val="00D56CE0"/>
    <w:rsid w:val="00D57914"/>
    <w:rsid w:val="00D601CC"/>
    <w:rsid w:val="00D609BE"/>
    <w:rsid w:val="00D64F19"/>
    <w:rsid w:val="00D65592"/>
    <w:rsid w:val="00D65F20"/>
    <w:rsid w:val="00D6610B"/>
    <w:rsid w:val="00D66133"/>
    <w:rsid w:val="00D66358"/>
    <w:rsid w:val="00D66D04"/>
    <w:rsid w:val="00D66F3E"/>
    <w:rsid w:val="00D71977"/>
    <w:rsid w:val="00D72A0E"/>
    <w:rsid w:val="00D76A49"/>
    <w:rsid w:val="00D81B4F"/>
    <w:rsid w:val="00D82502"/>
    <w:rsid w:val="00D83881"/>
    <w:rsid w:val="00D84357"/>
    <w:rsid w:val="00D85C39"/>
    <w:rsid w:val="00D85F7C"/>
    <w:rsid w:val="00D87596"/>
    <w:rsid w:val="00D8783E"/>
    <w:rsid w:val="00D90CD4"/>
    <w:rsid w:val="00D93216"/>
    <w:rsid w:val="00D94EB0"/>
    <w:rsid w:val="00D96420"/>
    <w:rsid w:val="00D96D7B"/>
    <w:rsid w:val="00D96FE9"/>
    <w:rsid w:val="00DA0908"/>
    <w:rsid w:val="00DA103C"/>
    <w:rsid w:val="00DA2455"/>
    <w:rsid w:val="00DA3264"/>
    <w:rsid w:val="00DA5BBD"/>
    <w:rsid w:val="00DA60C8"/>
    <w:rsid w:val="00DB165D"/>
    <w:rsid w:val="00DB169A"/>
    <w:rsid w:val="00DB2567"/>
    <w:rsid w:val="00DB2E81"/>
    <w:rsid w:val="00DB399C"/>
    <w:rsid w:val="00DB4376"/>
    <w:rsid w:val="00DB4CFF"/>
    <w:rsid w:val="00DB56EE"/>
    <w:rsid w:val="00DB6B16"/>
    <w:rsid w:val="00DC0572"/>
    <w:rsid w:val="00DC0A34"/>
    <w:rsid w:val="00DC3BB3"/>
    <w:rsid w:val="00DC4520"/>
    <w:rsid w:val="00DC62E4"/>
    <w:rsid w:val="00DC69AD"/>
    <w:rsid w:val="00DC6ED5"/>
    <w:rsid w:val="00DD3D1A"/>
    <w:rsid w:val="00DD5157"/>
    <w:rsid w:val="00DD7C97"/>
    <w:rsid w:val="00DE0635"/>
    <w:rsid w:val="00DE0B3C"/>
    <w:rsid w:val="00DE17F5"/>
    <w:rsid w:val="00DE35C7"/>
    <w:rsid w:val="00DE3C24"/>
    <w:rsid w:val="00DE3EE8"/>
    <w:rsid w:val="00DE4454"/>
    <w:rsid w:val="00DE480A"/>
    <w:rsid w:val="00DE4CBB"/>
    <w:rsid w:val="00DE6C2A"/>
    <w:rsid w:val="00DE7E92"/>
    <w:rsid w:val="00DF05F8"/>
    <w:rsid w:val="00DF0629"/>
    <w:rsid w:val="00DF0D1F"/>
    <w:rsid w:val="00DF3CAE"/>
    <w:rsid w:val="00DF519F"/>
    <w:rsid w:val="00DF569E"/>
    <w:rsid w:val="00DF6414"/>
    <w:rsid w:val="00DF7750"/>
    <w:rsid w:val="00DF7AFF"/>
    <w:rsid w:val="00E01936"/>
    <w:rsid w:val="00E02C44"/>
    <w:rsid w:val="00E03F4A"/>
    <w:rsid w:val="00E0587C"/>
    <w:rsid w:val="00E062BF"/>
    <w:rsid w:val="00E06762"/>
    <w:rsid w:val="00E07811"/>
    <w:rsid w:val="00E11CFD"/>
    <w:rsid w:val="00E11E09"/>
    <w:rsid w:val="00E13B5F"/>
    <w:rsid w:val="00E158B4"/>
    <w:rsid w:val="00E2135E"/>
    <w:rsid w:val="00E231A7"/>
    <w:rsid w:val="00E2535E"/>
    <w:rsid w:val="00E2669A"/>
    <w:rsid w:val="00E26A20"/>
    <w:rsid w:val="00E26C47"/>
    <w:rsid w:val="00E32C4C"/>
    <w:rsid w:val="00E348B6"/>
    <w:rsid w:val="00E34D05"/>
    <w:rsid w:val="00E367C5"/>
    <w:rsid w:val="00E4013A"/>
    <w:rsid w:val="00E40CAF"/>
    <w:rsid w:val="00E4359D"/>
    <w:rsid w:val="00E44BF2"/>
    <w:rsid w:val="00E44DE4"/>
    <w:rsid w:val="00E456B8"/>
    <w:rsid w:val="00E51AC5"/>
    <w:rsid w:val="00E53159"/>
    <w:rsid w:val="00E544F9"/>
    <w:rsid w:val="00E55F28"/>
    <w:rsid w:val="00E5621A"/>
    <w:rsid w:val="00E57613"/>
    <w:rsid w:val="00E579C0"/>
    <w:rsid w:val="00E6262D"/>
    <w:rsid w:val="00E64307"/>
    <w:rsid w:val="00E653EC"/>
    <w:rsid w:val="00E71D85"/>
    <w:rsid w:val="00E728A8"/>
    <w:rsid w:val="00E73196"/>
    <w:rsid w:val="00E73D34"/>
    <w:rsid w:val="00E73E71"/>
    <w:rsid w:val="00E75625"/>
    <w:rsid w:val="00E77208"/>
    <w:rsid w:val="00E77F18"/>
    <w:rsid w:val="00E801BF"/>
    <w:rsid w:val="00E81C47"/>
    <w:rsid w:val="00E82CF8"/>
    <w:rsid w:val="00E84FEC"/>
    <w:rsid w:val="00E87217"/>
    <w:rsid w:val="00E9254A"/>
    <w:rsid w:val="00E9290C"/>
    <w:rsid w:val="00E94988"/>
    <w:rsid w:val="00E968BA"/>
    <w:rsid w:val="00E96DA7"/>
    <w:rsid w:val="00E97381"/>
    <w:rsid w:val="00E97600"/>
    <w:rsid w:val="00EA01CD"/>
    <w:rsid w:val="00EA2090"/>
    <w:rsid w:val="00EA2821"/>
    <w:rsid w:val="00EA2B42"/>
    <w:rsid w:val="00EA2E84"/>
    <w:rsid w:val="00EA33F8"/>
    <w:rsid w:val="00EA5259"/>
    <w:rsid w:val="00EB21AF"/>
    <w:rsid w:val="00EB5E8E"/>
    <w:rsid w:val="00EB6048"/>
    <w:rsid w:val="00EB648C"/>
    <w:rsid w:val="00EB69D4"/>
    <w:rsid w:val="00EC0375"/>
    <w:rsid w:val="00EC1434"/>
    <w:rsid w:val="00EC1C1F"/>
    <w:rsid w:val="00EC33A6"/>
    <w:rsid w:val="00EC34D5"/>
    <w:rsid w:val="00EC355B"/>
    <w:rsid w:val="00EC7BD3"/>
    <w:rsid w:val="00ED6F7B"/>
    <w:rsid w:val="00EE16F8"/>
    <w:rsid w:val="00EE1D91"/>
    <w:rsid w:val="00EE2155"/>
    <w:rsid w:val="00EE2BEE"/>
    <w:rsid w:val="00EE2C1B"/>
    <w:rsid w:val="00EE3A82"/>
    <w:rsid w:val="00EE40DB"/>
    <w:rsid w:val="00EE45F6"/>
    <w:rsid w:val="00EE5483"/>
    <w:rsid w:val="00EE58BE"/>
    <w:rsid w:val="00EE6195"/>
    <w:rsid w:val="00EE75AB"/>
    <w:rsid w:val="00EE7B0D"/>
    <w:rsid w:val="00EE7BD3"/>
    <w:rsid w:val="00EF1477"/>
    <w:rsid w:val="00EF16F5"/>
    <w:rsid w:val="00EF1EFD"/>
    <w:rsid w:val="00EF2C44"/>
    <w:rsid w:val="00EF3B68"/>
    <w:rsid w:val="00EF5B54"/>
    <w:rsid w:val="00EF6131"/>
    <w:rsid w:val="00EF67E5"/>
    <w:rsid w:val="00EF6E40"/>
    <w:rsid w:val="00EF7EEB"/>
    <w:rsid w:val="00EF7F11"/>
    <w:rsid w:val="00F0098D"/>
    <w:rsid w:val="00F012BB"/>
    <w:rsid w:val="00F0146C"/>
    <w:rsid w:val="00F0195B"/>
    <w:rsid w:val="00F01BBB"/>
    <w:rsid w:val="00F02D19"/>
    <w:rsid w:val="00F04AB8"/>
    <w:rsid w:val="00F05C8F"/>
    <w:rsid w:val="00F07C49"/>
    <w:rsid w:val="00F11A8B"/>
    <w:rsid w:val="00F11EE3"/>
    <w:rsid w:val="00F12C10"/>
    <w:rsid w:val="00F12E32"/>
    <w:rsid w:val="00F12F3C"/>
    <w:rsid w:val="00F13392"/>
    <w:rsid w:val="00F16AF8"/>
    <w:rsid w:val="00F17837"/>
    <w:rsid w:val="00F20A3E"/>
    <w:rsid w:val="00F20CC0"/>
    <w:rsid w:val="00F21443"/>
    <w:rsid w:val="00F21666"/>
    <w:rsid w:val="00F21A25"/>
    <w:rsid w:val="00F2360F"/>
    <w:rsid w:val="00F24422"/>
    <w:rsid w:val="00F248BA"/>
    <w:rsid w:val="00F26A0E"/>
    <w:rsid w:val="00F32A7D"/>
    <w:rsid w:val="00F33CB6"/>
    <w:rsid w:val="00F351B3"/>
    <w:rsid w:val="00F376B0"/>
    <w:rsid w:val="00F433D8"/>
    <w:rsid w:val="00F43683"/>
    <w:rsid w:val="00F43A49"/>
    <w:rsid w:val="00F44648"/>
    <w:rsid w:val="00F4662E"/>
    <w:rsid w:val="00F466E2"/>
    <w:rsid w:val="00F4717F"/>
    <w:rsid w:val="00F505F5"/>
    <w:rsid w:val="00F525A5"/>
    <w:rsid w:val="00F531C0"/>
    <w:rsid w:val="00F53ED1"/>
    <w:rsid w:val="00F55999"/>
    <w:rsid w:val="00F56641"/>
    <w:rsid w:val="00F56CD2"/>
    <w:rsid w:val="00F56D35"/>
    <w:rsid w:val="00F56D64"/>
    <w:rsid w:val="00F60537"/>
    <w:rsid w:val="00F60FAB"/>
    <w:rsid w:val="00F63304"/>
    <w:rsid w:val="00F65579"/>
    <w:rsid w:val="00F70DD0"/>
    <w:rsid w:val="00F72080"/>
    <w:rsid w:val="00F7279B"/>
    <w:rsid w:val="00F72BE5"/>
    <w:rsid w:val="00F73980"/>
    <w:rsid w:val="00F754D6"/>
    <w:rsid w:val="00F77662"/>
    <w:rsid w:val="00F808EF"/>
    <w:rsid w:val="00F83AE2"/>
    <w:rsid w:val="00F84E78"/>
    <w:rsid w:val="00F858A5"/>
    <w:rsid w:val="00F87151"/>
    <w:rsid w:val="00F87F1C"/>
    <w:rsid w:val="00F92502"/>
    <w:rsid w:val="00F957CB"/>
    <w:rsid w:val="00FA067A"/>
    <w:rsid w:val="00FA0E25"/>
    <w:rsid w:val="00FA143E"/>
    <w:rsid w:val="00FA39F1"/>
    <w:rsid w:val="00FA3E3F"/>
    <w:rsid w:val="00FA487C"/>
    <w:rsid w:val="00FA59F7"/>
    <w:rsid w:val="00FA68B2"/>
    <w:rsid w:val="00FA720E"/>
    <w:rsid w:val="00FA78CD"/>
    <w:rsid w:val="00FA7996"/>
    <w:rsid w:val="00FB44C2"/>
    <w:rsid w:val="00FB62C9"/>
    <w:rsid w:val="00FB673A"/>
    <w:rsid w:val="00FB77B2"/>
    <w:rsid w:val="00FC21B6"/>
    <w:rsid w:val="00FD2335"/>
    <w:rsid w:val="00FD39A6"/>
    <w:rsid w:val="00FD3FAF"/>
    <w:rsid w:val="00FD4137"/>
    <w:rsid w:val="00FE0223"/>
    <w:rsid w:val="00FE0AE5"/>
    <w:rsid w:val="00FE37AB"/>
    <w:rsid w:val="00FE37B3"/>
    <w:rsid w:val="00FE3A13"/>
    <w:rsid w:val="00FE6E7E"/>
    <w:rsid w:val="00FF0F1A"/>
    <w:rsid w:val="00FF1388"/>
    <w:rsid w:val="00FF18BD"/>
    <w:rsid w:val="00FF2C25"/>
    <w:rsid w:val="00FF2FCB"/>
    <w:rsid w:val="00FF367F"/>
    <w:rsid w:val="00FF3BE6"/>
    <w:rsid w:val="00FF7030"/>
    <w:rsid w:val="00FF7A05"/>
    <w:rsid w:val="00FF7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954544"/>
  <w15:docId w15:val="{6147FEAD-FF68-4015-8F90-3ACB5C03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5451"/>
    <w:pPr>
      <w:spacing w:line="312" w:lineRule="auto"/>
    </w:pPr>
    <w:rPr>
      <w:rFonts w:ascii="Arial" w:hAnsi="Arial" w:cs="Arial"/>
    </w:rPr>
  </w:style>
  <w:style w:type="paragraph" w:styleId="Heading1">
    <w:name w:val="heading 1"/>
    <w:basedOn w:val="Normal"/>
    <w:next w:val="Normal"/>
    <w:link w:val="Heading1Char"/>
    <w:uiPriority w:val="9"/>
    <w:qFormat/>
    <w:rsid w:val="00CE4781"/>
    <w:pPr>
      <w:keepNext/>
      <w:keepLines/>
      <w:spacing w:before="240" w:after="120"/>
      <w:outlineLvl w:val="0"/>
    </w:pPr>
    <w:rPr>
      <w:rFonts w:eastAsiaTheme="majorEastAsia"/>
      <w:b/>
      <w:bCs/>
      <w:color w:val="98002E" w:themeColor="accent1"/>
      <w:sz w:val="24"/>
      <w:szCs w:val="24"/>
    </w:rPr>
  </w:style>
  <w:style w:type="paragraph" w:styleId="Heading2">
    <w:name w:val="heading 2"/>
    <w:basedOn w:val="Normal"/>
    <w:next w:val="Normal"/>
    <w:link w:val="Heading2Char"/>
    <w:uiPriority w:val="9"/>
    <w:unhideWhenUsed/>
    <w:qFormat/>
    <w:rsid w:val="00A23968"/>
    <w:pPr>
      <w:outlineLvl w:val="1"/>
    </w:pPr>
    <w:rPr>
      <w:b/>
    </w:rPr>
  </w:style>
  <w:style w:type="paragraph" w:styleId="Heading3">
    <w:name w:val="heading 3"/>
    <w:basedOn w:val="Normal"/>
    <w:next w:val="Normal"/>
    <w:link w:val="Heading3Char"/>
    <w:uiPriority w:val="9"/>
    <w:unhideWhenUsed/>
    <w:qFormat/>
    <w:rsid w:val="00A31603"/>
    <w:pPr>
      <w:keepNext/>
      <w:keepLines/>
      <w:spacing w:before="200" w:after="0"/>
      <w:outlineLvl w:val="2"/>
    </w:pPr>
    <w:rPr>
      <w:rFonts w:asciiTheme="majorHAnsi" w:eastAsiaTheme="majorEastAsia" w:hAnsiTheme="majorHAnsi" w:cstheme="majorBidi"/>
      <w:b/>
      <w:bCs/>
      <w:color w:val="98002E" w:themeColor="accent1"/>
    </w:rPr>
  </w:style>
  <w:style w:type="paragraph" w:styleId="Heading4">
    <w:name w:val="heading 4"/>
    <w:basedOn w:val="Normal"/>
    <w:next w:val="Normal"/>
    <w:link w:val="Heading4Char"/>
    <w:uiPriority w:val="9"/>
    <w:semiHidden/>
    <w:unhideWhenUsed/>
    <w:qFormat/>
    <w:rsid w:val="00A31603"/>
    <w:pPr>
      <w:keepNext/>
      <w:keepLines/>
      <w:spacing w:before="200" w:after="0"/>
      <w:outlineLvl w:val="3"/>
    </w:pPr>
    <w:rPr>
      <w:rFonts w:asciiTheme="majorHAnsi" w:eastAsiaTheme="majorEastAsia" w:hAnsiTheme="majorHAnsi" w:cstheme="majorBidi"/>
      <w:b/>
      <w:bCs/>
      <w:i/>
      <w:iCs/>
      <w:color w:val="98002E" w:themeColor="accent1"/>
    </w:rPr>
  </w:style>
  <w:style w:type="paragraph" w:styleId="Heading5">
    <w:name w:val="heading 5"/>
    <w:basedOn w:val="Normal"/>
    <w:next w:val="Normal"/>
    <w:link w:val="Heading5Char"/>
    <w:uiPriority w:val="9"/>
    <w:semiHidden/>
    <w:unhideWhenUsed/>
    <w:qFormat/>
    <w:rsid w:val="00A31603"/>
    <w:pPr>
      <w:keepNext/>
      <w:keepLines/>
      <w:spacing w:before="200" w:after="0"/>
      <w:outlineLvl w:val="4"/>
    </w:pPr>
    <w:rPr>
      <w:rFonts w:asciiTheme="majorHAnsi" w:eastAsiaTheme="majorEastAsia" w:hAnsiTheme="majorHAnsi" w:cstheme="majorBidi"/>
      <w:color w:val="4B0016" w:themeColor="accent1" w:themeShade="7F"/>
    </w:rPr>
  </w:style>
  <w:style w:type="paragraph" w:styleId="Heading6">
    <w:name w:val="heading 6"/>
    <w:basedOn w:val="Normal"/>
    <w:next w:val="Normal"/>
    <w:link w:val="Heading6Char"/>
    <w:uiPriority w:val="9"/>
    <w:semiHidden/>
    <w:unhideWhenUsed/>
    <w:qFormat/>
    <w:rsid w:val="00A31603"/>
    <w:pPr>
      <w:keepNext/>
      <w:keepLines/>
      <w:spacing w:before="200" w:after="0"/>
      <w:outlineLvl w:val="5"/>
    </w:pPr>
    <w:rPr>
      <w:rFonts w:asciiTheme="majorHAnsi" w:eastAsiaTheme="majorEastAsia" w:hAnsiTheme="majorHAnsi" w:cstheme="majorBidi"/>
      <w:i/>
      <w:iCs/>
      <w:color w:val="4B0016" w:themeColor="accent1" w:themeShade="7F"/>
    </w:rPr>
  </w:style>
  <w:style w:type="paragraph" w:styleId="Heading7">
    <w:name w:val="heading 7"/>
    <w:basedOn w:val="Normal"/>
    <w:next w:val="Normal"/>
    <w:link w:val="Heading7Char"/>
    <w:uiPriority w:val="9"/>
    <w:semiHidden/>
    <w:unhideWhenUsed/>
    <w:qFormat/>
    <w:rsid w:val="00A3160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1603"/>
    <w:pPr>
      <w:keepNext/>
      <w:keepLines/>
      <w:spacing w:before="200" w:after="0"/>
      <w:outlineLvl w:val="7"/>
    </w:pPr>
    <w:rPr>
      <w:rFonts w:asciiTheme="majorHAnsi" w:eastAsiaTheme="majorEastAsia" w:hAnsiTheme="majorHAnsi" w:cstheme="majorBidi"/>
      <w:color w:val="98002E" w:themeColor="accent1"/>
      <w:sz w:val="20"/>
      <w:szCs w:val="20"/>
    </w:rPr>
  </w:style>
  <w:style w:type="paragraph" w:styleId="Heading9">
    <w:name w:val="heading 9"/>
    <w:basedOn w:val="Normal"/>
    <w:next w:val="Normal"/>
    <w:link w:val="Heading9Char"/>
    <w:uiPriority w:val="9"/>
    <w:semiHidden/>
    <w:unhideWhenUsed/>
    <w:qFormat/>
    <w:rsid w:val="00A3160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781"/>
    <w:rPr>
      <w:rFonts w:ascii="Arial" w:eastAsiaTheme="majorEastAsia" w:hAnsi="Arial" w:cs="Arial"/>
      <w:b/>
      <w:bCs/>
      <w:color w:val="98002E" w:themeColor="accent1"/>
      <w:sz w:val="24"/>
      <w:szCs w:val="24"/>
    </w:rPr>
  </w:style>
  <w:style w:type="character" w:customStyle="1" w:styleId="Heading2Char">
    <w:name w:val="Heading 2 Char"/>
    <w:basedOn w:val="DefaultParagraphFont"/>
    <w:link w:val="Heading2"/>
    <w:uiPriority w:val="9"/>
    <w:rsid w:val="00A23968"/>
    <w:rPr>
      <w:rFonts w:ascii="Arial" w:hAnsi="Arial" w:cs="Arial"/>
      <w:b/>
    </w:rPr>
  </w:style>
  <w:style w:type="character" w:customStyle="1" w:styleId="Heading3Char">
    <w:name w:val="Heading 3 Char"/>
    <w:basedOn w:val="DefaultParagraphFont"/>
    <w:link w:val="Heading3"/>
    <w:uiPriority w:val="9"/>
    <w:rsid w:val="00A31603"/>
    <w:rPr>
      <w:rFonts w:asciiTheme="majorHAnsi" w:eastAsiaTheme="majorEastAsia" w:hAnsiTheme="majorHAnsi" w:cstheme="majorBidi"/>
      <w:b/>
      <w:bCs/>
      <w:color w:val="98002E" w:themeColor="accent1"/>
    </w:rPr>
  </w:style>
  <w:style w:type="character" w:customStyle="1" w:styleId="Heading4Char">
    <w:name w:val="Heading 4 Char"/>
    <w:basedOn w:val="DefaultParagraphFont"/>
    <w:link w:val="Heading4"/>
    <w:uiPriority w:val="9"/>
    <w:semiHidden/>
    <w:rsid w:val="00A31603"/>
    <w:rPr>
      <w:rFonts w:asciiTheme="majorHAnsi" w:eastAsiaTheme="majorEastAsia" w:hAnsiTheme="majorHAnsi" w:cstheme="majorBidi"/>
      <w:b/>
      <w:bCs/>
      <w:i/>
      <w:iCs/>
      <w:color w:val="98002E" w:themeColor="accent1"/>
    </w:rPr>
  </w:style>
  <w:style w:type="character" w:customStyle="1" w:styleId="Heading5Char">
    <w:name w:val="Heading 5 Char"/>
    <w:basedOn w:val="DefaultParagraphFont"/>
    <w:link w:val="Heading5"/>
    <w:uiPriority w:val="9"/>
    <w:semiHidden/>
    <w:rsid w:val="00A31603"/>
    <w:rPr>
      <w:rFonts w:asciiTheme="majorHAnsi" w:eastAsiaTheme="majorEastAsia" w:hAnsiTheme="majorHAnsi" w:cstheme="majorBidi"/>
      <w:color w:val="4B0016" w:themeColor="accent1" w:themeShade="7F"/>
    </w:rPr>
  </w:style>
  <w:style w:type="character" w:customStyle="1" w:styleId="Heading6Char">
    <w:name w:val="Heading 6 Char"/>
    <w:basedOn w:val="DefaultParagraphFont"/>
    <w:link w:val="Heading6"/>
    <w:uiPriority w:val="9"/>
    <w:semiHidden/>
    <w:rsid w:val="00A31603"/>
    <w:rPr>
      <w:rFonts w:asciiTheme="majorHAnsi" w:eastAsiaTheme="majorEastAsia" w:hAnsiTheme="majorHAnsi" w:cstheme="majorBidi"/>
      <w:i/>
      <w:iCs/>
      <w:color w:val="4B0016" w:themeColor="accent1" w:themeShade="7F"/>
    </w:rPr>
  </w:style>
  <w:style w:type="character" w:customStyle="1" w:styleId="Heading7Char">
    <w:name w:val="Heading 7 Char"/>
    <w:basedOn w:val="DefaultParagraphFont"/>
    <w:link w:val="Heading7"/>
    <w:uiPriority w:val="9"/>
    <w:semiHidden/>
    <w:rsid w:val="00A316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31603"/>
    <w:rPr>
      <w:rFonts w:asciiTheme="majorHAnsi" w:eastAsiaTheme="majorEastAsia" w:hAnsiTheme="majorHAnsi" w:cstheme="majorBidi"/>
      <w:color w:val="98002E" w:themeColor="accent1"/>
      <w:sz w:val="20"/>
      <w:szCs w:val="20"/>
    </w:rPr>
  </w:style>
  <w:style w:type="character" w:customStyle="1" w:styleId="Heading9Char">
    <w:name w:val="Heading 9 Char"/>
    <w:basedOn w:val="DefaultParagraphFont"/>
    <w:link w:val="Heading9"/>
    <w:uiPriority w:val="9"/>
    <w:semiHidden/>
    <w:rsid w:val="00A3160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31603"/>
    <w:pPr>
      <w:spacing w:line="240" w:lineRule="auto"/>
    </w:pPr>
    <w:rPr>
      <w:b/>
      <w:bCs/>
      <w:color w:val="98002E" w:themeColor="accent1"/>
      <w:sz w:val="18"/>
      <w:szCs w:val="18"/>
    </w:rPr>
  </w:style>
  <w:style w:type="paragraph" w:styleId="Title">
    <w:name w:val="Title"/>
    <w:basedOn w:val="Heading1"/>
    <w:next w:val="Normal"/>
    <w:link w:val="TitleChar"/>
    <w:uiPriority w:val="10"/>
    <w:qFormat/>
    <w:rsid w:val="00E728A8"/>
    <w:rPr>
      <w:color w:val="auto"/>
      <w:sz w:val="32"/>
    </w:rPr>
  </w:style>
  <w:style w:type="character" w:customStyle="1" w:styleId="TitleChar">
    <w:name w:val="Title Char"/>
    <w:basedOn w:val="DefaultParagraphFont"/>
    <w:link w:val="Title"/>
    <w:uiPriority w:val="10"/>
    <w:rsid w:val="00E728A8"/>
    <w:rPr>
      <w:rFonts w:ascii="Arial" w:eastAsiaTheme="majorEastAsia" w:hAnsi="Arial" w:cs="Arial"/>
      <w:b/>
      <w:bCs/>
      <w:sz w:val="32"/>
      <w:szCs w:val="24"/>
    </w:rPr>
  </w:style>
  <w:style w:type="paragraph" w:styleId="Subtitle">
    <w:name w:val="Subtitle"/>
    <w:basedOn w:val="Normal"/>
    <w:next w:val="Normal"/>
    <w:link w:val="SubtitleChar"/>
    <w:uiPriority w:val="11"/>
    <w:qFormat/>
    <w:rsid w:val="00A31603"/>
    <w:pPr>
      <w:numPr>
        <w:ilvl w:val="1"/>
      </w:numPr>
    </w:pPr>
    <w:rPr>
      <w:rFonts w:asciiTheme="majorHAnsi" w:eastAsiaTheme="majorEastAsia" w:hAnsiTheme="majorHAnsi" w:cstheme="majorBidi"/>
      <w:i/>
      <w:iCs/>
      <w:color w:val="98002E" w:themeColor="accent1"/>
      <w:spacing w:val="15"/>
      <w:sz w:val="24"/>
      <w:szCs w:val="24"/>
    </w:rPr>
  </w:style>
  <w:style w:type="character" w:customStyle="1" w:styleId="SubtitleChar">
    <w:name w:val="Subtitle Char"/>
    <w:basedOn w:val="DefaultParagraphFont"/>
    <w:link w:val="Subtitle"/>
    <w:uiPriority w:val="11"/>
    <w:rsid w:val="00A31603"/>
    <w:rPr>
      <w:rFonts w:asciiTheme="majorHAnsi" w:eastAsiaTheme="majorEastAsia" w:hAnsiTheme="majorHAnsi" w:cstheme="majorBidi"/>
      <w:i/>
      <w:iCs/>
      <w:color w:val="98002E" w:themeColor="accent1"/>
      <w:spacing w:val="15"/>
      <w:sz w:val="24"/>
      <w:szCs w:val="24"/>
    </w:rPr>
  </w:style>
  <w:style w:type="character" w:styleId="Strong">
    <w:name w:val="Strong"/>
    <w:basedOn w:val="DefaultParagraphFont"/>
    <w:uiPriority w:val="22"/>
    <w:qFormat/>
    <w:rsid w:val="00A31603"/>
    <w:rPr>
      <w:b/>
      <w:bCs/>
    </w:rPr>
  </w:style>
  <w:style w:type="character" w:styleId="Emphasis">
    <w:name w:val="Emphasis"/>
    <w:basedOn w:val="DefaultParagraphFont"/>
    <w:uiPriority w:val="20"/>
    <w:qFormat/>
    <w:rsid w:val="00A31603"/>
    <w:rPr>
      <w:i/>
      <w:iCs/>
    </w:rPr>
  </w:style>
  <w:style w:type="paragraph" w:styleId="NoSpacing">
    <w:name w:val="No Spacing"/>
    <w:uiPriority w:val="1"/>
    <w:qFormat/>
    <w:rsid w:val="00A31603"/>
    <w:pPr>
      <w:spacing w:after="0" w:line="240" w:lineRule="auto"/>
    </w:pPr>
  </w:style>
  <w:style w:type="paragraph" w:styleId="ListParagraph">
    <w:name w:val="List Paragraph"/>
    <w:basedOn w:val="Normal"/>
    <w:uiPriority w:val="34"/>
    <w:qFormat/>
    <w:rsid w:val="00A31603"/>
    <w:pPr>
      <w:ind w:left="720"/>
      <w:contextualSpacing/>
    </w:pPr>
  </w:style>
  <w:style w:type="paragraph" w:styleId="Quote">
    <w:name w:val="Quote"/>
    <w:basedOn w:val="Normal"/>
    <w:next w:val="Normal"/>
    <w:link w:val="QuoteChar"/>
    <w:uiPriority w:val="29"/>
    <w:qFormat/>
    <w:rsid w:val="00A31603"/>
    <w:rPr>
      <w:i/>
      <w:iCs/>
      <w:color w:val="000000" w:themeColor="text1"/>
    </w:rPr>
  </w:style>
  <w:style w:type="character" w:customStyle="1" w:styleId="QuoteChar">
    <w:name w:val="Quote Char"/>
    <w:basedOn w:val="DefaultParagraphFont"/>
    <w:link w:val="Quote"/>
    <w:uiPriority w:val="29"/>
    <w:rsid w:val="00A31603"/>
    <w:rPr>
      <w:i/>
      <w:iCs/>
      <w:color w:val="000000" w:themeColor="text1"/>
    </w:rPr>
  </w:style>
  <w:style w:type="paragraph" w:styleId="IntenseQuote">
    <w:name w:val="Intense Quote"/>
    <w:basedOn w:val="Normal"/>
    <w:next w:val="Normal"/>
    <w:link w:val="IntenseQuoteChar"/>
    <w:uiPriority w:val="30"/>
    <w:qFormat/>
    <w:rsid w:val="00A31603"/>
    <w:pPr>
      <w:pBdr>
        <w:bottom w:val="single" w:sz="4" w:space="4" w:color="98002E" w:themeColor="accent1"/>
      </w:pBdr>
      <w:spacing w:before="200" w:after="280"/>
      <w:ind w:left="936" w:right="936"/>
    </w:pPr>
    <w:rPr>
      <w:b/>
      <w:bCs/>
      <w:i/>
      <w:iCs/>
      <w:color w:val="98002E" w:themeColor="accent1"/>
    </w:rPr>
  </w:style>
  <w:style w:type="character" w:customStyle="1" w:styleId="IntenseQuoteChar">
    <w:name w:val="Intense Quote Char"/>
    <w:basedOn w:val="DefaultParagraphFont"/>
    <w:link w:val="IntenseQuote"/>
    <w:uiPriority w:val="30"/>
    <w:rsid w:val="00A31603"/>
    <w:rPr>
      <w:b/>
      <w:bCs/>
      <w:i/>
      <w:iCs/>
      <w:color w:val="98002E" w:themeColor="accent1"/>
    </w:rPr>
  </w:style>
  <w:style w:type="character" w:styleId="SubtleEmphasis">
    <w:name w:val="Subtle Emphasis"/>
    <w:basedOn w:val="DefaultParagraphFont"/>
    <w:uiPriority w:val="19"/>
    <w:qFormat/>
    <w:rsid w:val="00A31603"/>
    <w:rPr>
      <w:i/>
      <w:iCs/>
      <w:color w:val="808080" w:themeColor="text1" w:themeTint="7F"/>
    </w:rPr>
  </w:style>
  <w:style w:type="character" w:styleId="IntenseEmphasis">
    <w:name w:val="Intense Emphasis"/>
    <w:basedOn w:val="DefaultParagraphFont"/>
    <w:uiPriority w:val="21"/>
    <w:qFormat/>
    <w:rsid w:val="00A31603"/>
    <w:rPr>
      <w:b/>
      <w:bCs/>
      <w:i/>
      <w:iCs/>
      <w:color w:val="98002E" w:themeColor="accent1"/>
    </w:rPr>
  </w:style>
  <w:style w:type="character" w:styleId="SubtleReference">
    <w:name w:val="Subtle Reference"/>
    <w:basedOn w:val="DefaultParagraphFont"/>
    <w:uiPriority w:val="31"/>
    <w:qFormat/>
    <w:rsid w:val="00A31603"/>
    <w:rPr>
      <w:smallCaps/>
      <w:color w:val="00AE9E" w:themeColor="accent2"/>
      <w:u w:val="single"/>
    </w:rPr>
  </w:style>
  <w:style w:type="character" w:styleId="IntenseReference">
    <w:name w:val="Intense Reference"/>
    <w:basedOn w:val="DefaultParagraphFont"/>
    <w:uiPriority w:val="32"/>
    <w:qFormat/>
    <w:rsid w:val="00A31603"/>
    <w:rPr>
      <w:b/>
      <w:bCs/>
      <w:smallCaps/>
      <w:color w:val="00AE9E" w:themeColor="accent2"/>
      <w:spacing w:val="5"/>
      <w:u w:val="single"/>
    </w:rPr>
  </w:style>
  <w:style w:type="character" w:styleId="BookTitle">
    <w:name w:val="Book Title"/>
    <w:basedOn w:val="DefaultParagraphFont"/>
    <w:uiPriority w:val="33"/>
    <w:qFormat/>
    <w:rsid w:val="00A31603"/>
    <w:rPr>
      <w:b/>
      <w:bCs/>
      <w:smallCaps/>
      <w:spacing w:val="5"/>
    </w:rPr>
  </w:style>
  <w:style w:type="paragraph" w:styleId="TOCHeading">
    <w:name w:val="TOC Heading"/>
    <w:basedOn w:val="Heading1"/>
    <w:next w:val="Normal"/>
    <w:uiPriority w:val="39"/>
    <w:semiHidden/>
    <w:unhideWhenUsed/>
    <w:qFormat/>
    <w:rsid w:val="00A31603"/>
    <w:pPr>
      <w:outlineLvl w:val="9"/>
    </w:pPr>
  </w:style>
  <w:style w:type="character" w:styleId="CommentReference">
    <w:name w:val="annotation reference"/>
    <w:basedOn w:val="DefaultParagraphFont"/>
    <w:uiPriority w:val="99"/>
    <w:semiHidden/>
    <w:unhideWhenUsed/>
    <w:rsid w:val="008A47C0"/>
    <w:rPr>
      <w:sz w:val="16"/>
      <w:szCs w:val="16"/>
    </w:rPr>
  </w:style>
  <w:style w:type="paragraph" w:styleId="CommentText">
    <w:name w:val="annotation text"/>
    <w:basedOn w:val="Normal"/>
    <w:link w:val="CommentTextChar"/>
    <w:uiPriority w:val="99"/>
    <w:unhideWhenUsed/>
    <w:rsid w:val="008A47C0"/>
    <w:pPr>
      <w:spacing w:line="240" w:lineRule="auto"/>
    </w:pPr>
    <w:rPr>
      <w:sz w:val="20"/>
      <w:szCs w:val="20"/>
    </w:rPr>
  </w:style>
  <w:style w:type="character" w:customStyle="1" w:styleId="CommentTextChar">
    <w:name w:val="Comment Text Char"/>
    <w:basedOn w:val="DefaultParagraphFont"/>
    <w:link w:val="CommentText"/>
    <w:uiPriority w:val="99"/>
    <w:rsid w:val="008A47C0"/>
    <w:rPr>
      <w:sz w:val="20"/>
      <w:szCs w:val="20"/>
    </w:rPr>
  </w:style>
  <w:style w:type="paragraph" w:styleId="CommentSubject">
    <w:name w:val="annotation subject"/>
    <w:basedOn w:val="CommentText"/>
    <w:next w:val="CommentText"/>
    <w:link w:val="CommentSubjectChar"/>
    <w:uiPriority w:val="99"/>
    <w:semiHidden/>
    <w:unhideWhenUsed/>
    <w:rsid w:val="008A47C0"/>
    <w:rPr>
      <w:b/>
      <w:bCs/>
    </w:rPr>
  </w:style>
  <w:style w:type="character" w:customStyle="1" w:styleId="CommentSubjectChar">
    <w:name w:val="Comment Subject Char"/>
    <w:basedOn w:val="CommentTextChar"/>
    <w:link w:val="CommentSubject"/>
    <w:uiPriority w:val="99"/>
    <w:semiHidden/>
    <w:rsid w:val="008A47C0"/>
    <w:rPr>
      <w:b/>
      <w:bCs/>
      <w:sz w:val="20"/>
      <w:szCs w:val="20"/>
    </w:rPr>
  </w:style>
  <w:style w:type="paragraph" w:styleId="Revision">
    <w:name w:val="Revision"/>
    <w:hidden/>
    <w:uiPriority w:val="99"/>
    <w:semiHidden/>
    <w:rsid w:val="008A47C0"/>
    <w:pPr>
      <w:spacing w:after="0" w:line="240" w:lineRule="auto"/>
    </w:pPr>
  </w:style>
  <w:style w:type="paragraph" w:styleId="BalloonText">
    <w:name w:val="Balloon Text"/>
    <w:basedOn w:val="Normal"/>
    <w:link w:val="BalloonTextChar"/>
    <w:uiPriority w:val="99"/>
    <w:semiHidden/>
    <w:unhideWhenUsed/>
    <w:rsid w:val="008A4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7C0"/>
    <w:rPr>
      <w:rFonts w:ascii="Tahoma" w:hAnsi="Tahoma" w:cs="Tahoma"/>
      <w:sz w:val="16"/>
      <w:szCs w:val="16"/>
    </w:rPr>
  </w:style>
  <w:style w:type="paragraph" w:customStyle="1" w:styleId="Notes">
    <w:name w:val="Notes"/>
    <w:basedOn w:val="Normal"/>
    <w:link w:val="NotesChar"/>
    <w:qFormat/>
    <w:rsid w:val="00C24F78"/>
    <w:pPr>
      <w:spacing w:after="0" w:line="240" w:lineRule="auto"/>
    </w:pPr>
    <w:rPr>
      <w:rFonts w:ascii="Calibri Light" w:hAnsi="Calibri Light"/>
      <w:i/>
      <w:color w:val="808080" w:themeColor="background1" w:themeShade="80"/>
      <w:sz w:val="20"/>
    </w:rPr>
  </w:style>
  <w:style w:type="character" w:styleId="LineNumber">
    <w:name w:val="line number"/>
    <w:basedOn w:val="DefaultParagraphFont"/>
    <w:uiPriority w:val="99"/>
    <w:semiHidden/>
    <w:unhideWhenUsed/>
    <w:rsid w:val="004D616A"/>
    <w:rPr>
      <w:rFonts w:ascii="Calibri Light" w:hAnsi="Calibri Light"/>
      <w:color w:val="BFBFBF" w:themeColor="background1" w:themeShade="BF"/>
      <w:sz w:val="14"/>
    </w:rPr>
  </w:style>
  <w:style w:type="character" w:customStyle="1" w:styleId="NotesChar">
    <w:name w:val="Notes Char"/>
    <w:basedOn w:val="DefaultParagraphFont"/>
    <w:link w:val="Notes"/>
    <w:rsid w:val="00C24F78"/>
    <w:rPr>
      <w:rFonts w:ascii="Calibri Light" w:hAnsi="Calibri Light"/>
      <w:i/>
      <w:color w:val="808080" w:themeColor="background1" w:themeShade="80"/>
      <w:sz w:val="20"/>
    </w:rPr>
  </w:style>
  <w:style w:type="paragraph" w:styleId="Header">
    <w:name w:val="header"/>
    <w:basedOn w:val="Normal"/>
    <w:link w:val="HeaderChar"/>
    <w:uiPriority w:val="99"/>
    <w:unhideWhenUsed/>
    <w:rsid w:val="00F52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5A5"/>
  </w:style>
  <w:style w:type="paragraph" w:styleId="Footer">
    <w:name w:val="footer"/>
    <w:basedOn w:val="Normal"/>
    <w:link w:val="FooterChar"/>
    <w:uiPriority w:val="99"/>
    <w:unhideWhenUsed/>
    <w:rsid w:val="00F52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5A5"/>
  </w:style>
  <w:style w:type="character" w:styleId="PageNumber">
    <w:name w:val="page number"/>
    <w:basedOn w:val="DefaultParagraphFont"/>
    <w:uiPriority w:val="99"/>
    <w:semiHidden/>
    <w:unhideWhenUsed/>
    <w:rsid w:val="00F525A5"/>
    <w:rPr>
      <w:rFonts w:ascii="Baskerville Old Face" w:hAnsi="Baskerville Old Face"/>
      <w:color w:val="A6A6A6" w:themeColor="background1" w:themeShade="A6"/>
      <w:sz w:val="16"/>
    </w:rPr>
  </w:style>
  <w:style w:type="paragraph" w:customStyle="1" w:styleId="EndNoteBibliographyTitle">
    <w:name w:val="EndNote Bibliography Title"/>
    <w:basedOn w:val="Normal"/>
    <w:link w:val="EndNoteBibliographyTitleChar"/>
    <w:rsid w:val="00B4676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46769"/>
    <w:rPr>
      <w:rFonts w:ascii="Calibri" w:hAnsi="Calibri" w:cs="Calibri"/>
      <w:noProof/>
      <w:lang w:val="en-US"/>
    </w:rPr>
  </w:style>
  <w:style w:type="paragraph" w:customStyle="1" w:styleId="EndNoteBibliography">
    <w:name w:val="EndNote Bibliography"/>
    <w:basedOn w:val="Normal"/>
    <w:link w:val="EndNoteBibliographyChar"/>
    <w:rsid w:val="00B4676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46769"/>
    <w:rPr>
      <w:rFonts w:ascii="Calibri" w:hAnsi="Calibri" w:cs="Calibri"/>
      <w:noProof/>
      <w:lang w:val="en-US"/>
    </w:rPr>
  </w:style>
  <w:style w:type="character" w:styleId="Hyperlink">
    <w:name w:val="Hyperlink"/>
    <w:basedOn w:val="DefaultParagraphFont"/>
    <w:uiPriority w:val="99"/>
    <w:unhideWhenUsed/>
    <w:rsid w:val="00B46769"/>
    <w:rPr>
      <w:color w:val="0000FF" w:themeColor="hyperlink"/>
      <w:u w:val="single"/>
    </w:rPr>
  </w:style>
  <w:style w:type="paragraph" w:customStyle="1" w:styleId="Figuretitle">
    <w:name w:val="Figure title"/>
    <w:basedOn w:val="Normal"/>
    <w:link w:val="FiguretitleChar"/>
    <w:qFormat/>
    <w:rsid w:val="0012395D"/>
    <w:rPr>
      <w:rFonts w:ascii="Calibri" w:hAnsi="Calibri"/>
      <w:b/>
      <w:i/>
      <w:color w:val="1F497D" w:themeColor="text2"/>
      <w:sz w:val="20"/>
    </w:rPr>
  </w:style>
  <w:style w:type="character" w:customStyle="1" w:styleId="FiguretitleChar">
    <w:name w:val="Figure title Char"/>
    <w:basedOn w:val="DefaultParagraphFont"/>
    <w:link w:val="Figuretitle"/>
    <w:rsid w:val="0012395D"/>
    <w:rPr>
      <w:rFonts w:ascii="Calibri" w:hAnsi="Calibri"/>
      <w:b/>
      <w:i/>
      <w:color w:val="1F497D" w:themeColor="text2"/>
      <w:sz w:val="20"/>
    </w:rPr>
  </w:style>
  <w:style w:type="paragraph" w:customStyle="1" w:styleId="References">
    <w:name w:val="References"/>
    <w:basedOn w:val="EndNoteBibliography"/>
    <w:link w:val="ReferencesChar"/>
    <w:qFormat/>
    <w:rsid w:val="00CB7B21"/>
    <w:pPr>
      <w:spacing w:after="0"/>
    </w:pPr>
    <w:rPr>
      <w:sz w:val="20"/>
    </w:rPr>
  </w:style>
  <w:style w:type="character" w:customStyle="1" w:styleId="ReferencesChar">
    <w:name w:val="References Char"/>
    <w:basedOn w:val="EndNoteBibliographyChar"/>
    <w:link w:val="References"/>
    <w:rsid w:val="00CB7B21"/>
    <w:rPr>
      <w:rFonts w:ascii="Calibri" w:hAnsi="Calibri" w:cs="Arial"/>
      <w:noProof/>
      <w:sz w:val="20"/>
      <w:lang w:val="en-US"/>
    </w:rPr>
  </w:style>
  <w:style w:type="table" w:styleId="TableGrid">
    <w:name w:val="Table Grid"/>
    <w:basedOn w:val="TableNormal"/>
    <w:uiPriority w:val="59"/>
    <w:rsid w:val="00594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96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E5B09"/>
  </w:style>
  <w:style w:type="paragraph" w:customStyle="1" w:styleId="Body">
    <w:name w:val="Body"/>
    <w:link w:val="BodyChar"/>
    <w:rsid w:val="007C2EE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character" w:customStyle="1" w:styleId="BodyChar">
    <w:name w:val="Body Char"/>
    <w:basedOn w:val="DefaultParagraphFont"/>
    <w:link w:val="Body"/>
    <w:rsid w:val="007C2EEC"/>
    <w:rPr>
      <w:rFonts w:ascii="Helvetica Neue" w:eastAsia="Arial Unicode MS" w:hAnsi="Helvetica Neue" w:cs="Arial Unicode MS"/>
      <w:color w:val="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4949">
      <w:bodyDiv w:val="1"/>
      <w:marLeft w:val="0"/>
      <w:marRight w:val="0"/>
      <w:marTop w:val="0"/>
      <w:marBottom w:val="0"/>
      <w:divBdr>
        <w:top w:val="none" w:sz="0" w:space="0" w:color="auto"/>
        <w:left w:val="none" w:sz="0" w:space="0" w:color="auto"/>
        <w:bottom w:val="none" w:sz="0" w:space="0" w:color="auto"/>
        <w:right w:val="none" w:sz="0" w:space="0" w:color="auto"/>
      </w:divBdr>
    </w:div>
    <w:div w:id="23597119">
      <w:bodyDiv w:val="1"/>
      <w:marLeft w:val="0"/>
      <w:marRight w:val="0"/>
      <w:marTop w:val="0"/>
      <w:marBottom w:val="0"/>
      <w:divBdr>
        <w:top w:val="none" w:sz="0" w:space="0" w:color="auto"/>
        <w:left w:val="none" w:sz="0" w:space="0" w:color="auto"/>
        <w:bottom w:val="none" w:sz="0" w:space="0" w:color="auto"/>
        <w:right w:val="none" w:sz="0" w:space="0" w:color="auto"/>
      </w:divBdr>
    </w:div>
    <w:div w:id="118377526">
      <w:bodyDiv w:val="1"/>
      <w:marLeft w:val="0"/>
      <w:marRight w:val="0"/>
      <w:marTop w:val="0"/>
      <w:marBottom w:val="0"/>
      <w:divBdr>
        <w:top w:val="none" w:sz="0" w:space="0" w:color="auto"/>
        <w:left w:val="none" w:sz="0" w:space="0" w:color="auto"/>
        <w:bottom w:val="none" w:sz="0" w:space="0" w:color="auto"/>
        <w:right w:val="none" w:sz="0" w:space="0" w:color="auto"/>
      </w:divBdr>
    </w:div>
    <w:div w:id="226376360">
      <w:bodyDiv w:val="1"/>
      <w:marLeft w:val="0"/>
      <w:marRight w:val="0"/>
      <w:marTop w:val="0"/>
      <w:marBottom w:val="0"/>
      <w:divBdr>
        <w:top w:val="none" w:sz="0" w:space="0" w:color="auto"/>
        <w:left w:val="none" w:sz="0" w:space="0" w:color="auto"/>
        <w:bottom w:val="none" w:sz="0" w:space="0" w:color="auto"/>
        <w:right w:val="none" w:sz="0" w:space="0" w:color="auto"/>
      </w:divBdr>
    </w:div>
    <w:div w:id="333841712">
      <w:bodyDiv w:val="1"/>
      <w:marLeft w:val="0"/>
      <w:marRight w:val="0"/>
      <w:marTop w:val="0"/>
      <w:marBottom w:val="0"/>
      <w:divBdr>
        <w:top w:val="none" w:sz="0" w:space="0" w:color="auto"/>
        <w:left w:val="none" w:sz="0" w:space="0" w:color="auto"/>
        <w:bottom w:val="none" w:sz="0" w:space="0" w:color="auto"/>
        <w:right w:val="none" w:sz="0" w:space="0" w:color="auto"/>
      </w:divBdr>
    </w:div>
    <w:div w:id="362902522">
      <w:bodyDiv w:val="1"/>
      <w:marLeft w:val="0"/>
      <w:marRight w:val="0"/>
      <w:marTop w:val="0"/>
      <w:marBottom w:val="0"/>
      <w:divBdr>
        <w:top w:val="none" w:sz="0" w:space="0" w:color="auto"/>
        <w:left w:val="none" w:sz="0" w:space="0" w:color="auto"/>
        <w:bottom w:val="none" w:sz="0" w:space="0" w:color="auto"/>
        <w:right w:val="none" w:sz="0" w:space="0" w:color="auto"/>
      </w:divBdr>
    </w:div>
    <w:div w:id="409471418">
      <w:bodyDiv w:val="1"/>
      <w:marLeft w:val="0"/>
      <w:marRight w:val="0"/>
      <w:marTop w:val="0"/>
      <w:marBottom w:val="0"/>
      <w:divBdr>
        <w:top w:val="none" w:sz="0" w:space="0" w:color="auto"/>
        <w:left w:val="none" w:sz="0" w:space="0" w:color="auto"/>
        <w:bottom w:val="none" w:sz="0" w:space="0" w:color="auto"/>
        <w:right w:val="none" w:sz="0" w:space="0" w:color="auto"/>
      </w:divBdr>
    </w:div>
    <w:div w:id="444424506">
      <w:bodyDiv w:val="1"/>
      <w:marLeft w:val="0"/>
      <w:marRight w:val="0"/>
      <w:marTop w:val="0"/>
      <w:marBottom w:val="0"/>
      <w:divBdr>
        <w:top w:val="none" w:sz="0" w:space="0" w:color="auto"/>
        <w:left w:val="none" w:sz="0" w:space="0" w:color="auto"/>
        <w:bottom w:val="none" w:sz="0" w:space="0" w:color="auto"/>
        <w:right w:val="none" w:sz="0" w:space="0" w:color="auto"/>
      </w:divBdr>
    </w:div>
    <w:div w:id="530925441">
      <w:bodyDiv w:val="1"/>
      <w:marLeft w:val="0"/>
      <w:marRight w:val="0"/>
      <w:marTop w:val="0"/>
      <w:marBottom w:val="0"/>
      <w:divBdr>
        <w:top w:val="none" w:sz="0" w:space="0" w:color="auto"/>
        <w:left w:val="none" w:sz="0" w:space="0" w:color="auto"/>
        <w:bottom w:val="none" w:sz="0" w:space="0" w:color="auto"/>
        <w:right w:val="none" w:sz="0" w:space="0" w:color="auto"/>
      </w:divBdr>
    </w:div>
    <w:div w:id="894895114">
      <w:bodyDiv w:val="1"/>
      <w:marLeft w:val="0"/>
      <w:marRight w:val="0"/>
      <w:marTop w:val="0"/>
      <w:marBottom w:val="0"/>
      <w:divBdr>
        <w:top w:val="none" w:sz="0" w:space="0" w:color="auto"/>
        <w:left w:val="none" w:sz="0" w:space="0" w:color="auto"/>
        <w:bottom w:val="none" w:sz="0" w:space="0" w:color="auto"/>
        <w:right w:val="none" w:sz="0" w:space="0" w:color="auto"/>
      </w:divBdr>
    </w:div>
    <w:div w:id="1031614310">
      <w:bodyDiv w:val="1"/>
      <w:marLeft w:val="0"/>
      <w:marRight w:val="0"/>
      <w:marTop w:val="0"/>
      <w:marBottom w:val="0"/>
      <w:divBdr>
        <w:top w:val="none" w:sz="0" w:space="0" w:color="auto"/>
        <w:left w:val="none" w:sz="0" w:space="0" w:color="auto"/>
        <w:bottom w:val="none" w:sz="0" w:space="0" w:color="auto"/>
        <w:right w:val="none" w:sz="0" w:space="0" w:color="auto"/>
      </w:divBdr>
    </w:div>
    <w:div w:id="1034188468">
      <w:bodyDiv w:val="1"/>
      <w:marLeft w:val="0"/>
      <w:marRight w:val="0"/>
      <w:marTop w:val="0"/>
      <w:marBottom w:val="0"/>
      <w:divBdr>
        <w:top w:val="none" w:sz="0" w:space="0" w:color="auto"/>
        <w:left w:val="none" w:sz="0" w:space="0" w:color="auto"/>
        <w:bottom w:val="none" w:sz="0" w:space="0" w:color="auto"/>
        <w:right w:val="none" w:sz="0" w:space="0" w:color="auto"/>
      </w:divBdr>
    </w:div>
    <w:div w:id="1112093715">
      <w:bodyDiv w:val="1"/>
      <w:marLeft w:val="0"/>
      <w:marRight w:val="0"/>
      <w:marTop w:val="0"/>
      <w:marBottom w:val="0"/>
      <w:divBdr>
        <w:top w:val="none" w:sz="0" w:space="0" w:color="auto"/>
        <w:left w:val="none" w:sz="0" w:space="0" w:color="auto"/>
        <w:bottom w:val="none" w:sz="0" w:space="0" w:color="auto"/>
        <w:right w:val="none" w:sz="0" w:space="0" w:color="auto"/>
      </w:divBdr>
    </w:div>
    <w:div w:id="1143617252">
      <w:bodyDiv w:val="1"/>
      <w:marLeft w:val="0"/>
      <w:marRight w:val="0"/>
      <w:marTop w:val="0"/>
      <w:marBottom w:val="0"/>
      <w:divBdr>
        <w:top w:val="none" w:sz="0" w:space="0" w:color="auto"/>
        <w:left w:val="none" w:sz="0" w:space="0" w:color="auto"/>
        <w:bottom w:val="none" w:sz="0" w:space="0" w:color="auto"/>
        <w:right w:val="none" w:sz="0" w:space="0" w:color="auto"/>
      </w:divBdr>
    </w:div>
    <w:div w:id="1219514983">
      <w:bodyDiv w:val="1"/>
      <w:marLeft w:val="0"/>
      <w:marRight w:val="0"/>
      <w:marTop w:val="0"/>
      <w:marBottom w:val="0"/>
      <w:divBdr>
        <w:top w:val="none" w:sz="0" w:space="0" w:color="auto"/>
        <w:left w:val="none" w:sz="0" w:space="0" w:color="auto"/>
        <w:bottom w:val="none" w:sz="0" w:space="0" w:color="auto"/>
        <w:right w:val="none" w:sz="0" w:space="0" w:color="auto"/>
      </w:divBdr>
    </w:div>
    <w:div w:id="1367220303">
      <w:bodyDiv w:val="1"/>
      <w:marLeft w:val="0"/>
      <w:marRight w:val="0"/>
      <w:marTop w:val="0"/>
      <w:marBottom w:val="0"/>
      <w:divBdr>
        <w:top w:val="none" w:sz="0" w:space="0" w:color="auto"/>
        <w:left w:val="none" w:sz="0" w:space="0" w:color="auto"/>
        <w:bottom w:val="none" w:sz="0" w:space="0" w:color="auto"/>
        <w:right w:val="none" w:sz="0" w:space="0" w:color="auto"/>
      </w:divBdr>
    </w:div>
    <w:div w:id="1593274745">
      <w:bodyDiv w:val="1"/>
      <w:marLeft w:val="0"/>
      <w:marRight w:val="0"/>
      <w:marTop w:val="0"/>
      <w:marBottom w:val="0"/>
      <w:divBdr>
        <w:top w:val="none" w:sz="0" w:space="0" w:color="auto"/>
        <w:left w:val="none" w:sz="0" w:space="0" w:color="auto"/>
        <w:bottom w:val="none" w:sz="0" w:space="0" w:color="auto"/>
        <w:right w:val="none" w:sz="0" w:space="0" w:color="auto"/>
      </w:divBdr>
    </w:div>
    <w:div w:id="1714959822">
      <w:bodyDiv w:val="1"/>
      <w:marLeft w:val="0"/>
      <w:marRight w:val="0"/>
      <w:marTop w:val="0"/>
      <w:marBottom w:val="0"/>
      <w:divBdr>
        <w:top w:val="none" w:sz="0" w:space="0" w:color="auto"/>
        <w:left w:val="none" w:sz="0" w:space="0" w:color="auto"/>
        <w:bottom w:val="none" w:sz="0" w:space="0" w:color="auto"/>
        <w:right w:val="none" w:sz="0" w:space="0" w:color="auto"/>
      </w:divBdr>
    </w:div>
    <w:div w:id="1726029322">
      <w:bodyDiv w:val="1"/>
      <w:marLeft w:val="0"/>
      <w:marRight w:val="0"/>
      <w:marTop w:val="0"/>
      <w:marBottom w:val="0"/>
      <w:divBdr>
        <w:top w:val="none" w:sz="0" w:space="0" w:color="auto"/>
        <w:left w:val="none" w:sz="0" w:space="0" w:color="auto"/>
        <w:bottom w:val="none" w:sz="0" w:space="0" w:color="auto"/>
        <w:right w:val="none" w:sz="0" w:space="0" w:color="auto"/>
      </w:divBdr>
    </w:div>
    <w:div w:id="1776562190">
      <w:bodyDiv w:val="1"/>
      <w:marLeft w:val="0"/>
      <w:marRight w:val="0"/>
      <w:marTop w:val="0"/>
      <w:marBottom w:val="0"/>
      <w:divBdr>
        <w:top w:val="none" w:sz="0" w:space="0" w:color="auto"/>
        <w:left w:val="none" w:sz="0" w:space="0" w:color="auto"/>
        <w:bottom w:val="none" w:sz="0" w:space="0" w:color="auto"/>
        <w:right w:val="none" w:sz="0" w:space="0" w:color="auto"/>
      </w:divBdr>
    </w:div>
    <w:div w:id="1798796926">
      <w:bodyDiv w:val="1"/>
      <w:marLeft w:val="0"/>
      <w:marRight w:val="0"/>
      <w:marTop w:val="0"/>
      <w:marBottom w:val="0"/>
      <w:divBdr>
        <w:top w:val="none" w:sz="0" w:space="0" w:color="auto"/>
        <w:left w:val="none" w:sz="0" w:space="0" w:color="auto"/>
        <w:bottom w:val="none" w:sz="0" w:space="0" w:color="auto"/>
        <w:right w:val="none" w:sz="0" w:space="0" w:color="auto"/>
      </w:divBdr>
    </w:div>
    <w:div w:id="1910071827">
      <w:bodyDiv w:val="1"/>
      <w:marLeft w:val="0"/>
      <w:marRight w:val="0"/>
      <w:marTop w:val="0"/>
      <w:marBottom w:val="0"/>
      <w:divBdr>
        <w:top w:val="none" w:sz="0" w:space="0" w:color="auto"/>
        <w:left w:val="none" w:sz="0" w:space="0" w:color="auto"/>
        <w:bottom w:val="none" w:sz="0" w:space="0" w:color="auto"/>
        <w:right w:val="none" w:sz="0" w:space="0" w:color="auto"/>
      </w:divBdr>
    </w:div>
    <w:div w:id="1914197817">
      <w:bodyDiv w:val="1"/>
      <w:marLeft w:val="0"/>
      <w:marRight w:val="0"/>
      <w:marTop w:val="0"/>
      <w:marBottom w:val="0"/>
      <w:divBdr>
        <w:top w:val="none" w:sz="0" w:space="0" w:color="auto"/>
        <w:left w:val="none" w:sz="0" w:space="0" w:color="auto"/>
        <w:bottom w:val="none" w:sz="0" w:space="0" w:color="auto"/>
        <w:right w:val="none" w:sz="0" w:space="0" w:color="auto"/>
      </w:divBdr>
    </w:div>
    <w:div w:id="209820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ez.ladhani@phe.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shamezladhani/Documents/USBsynch/MENINGO/Bimplementation2015/Deaths_Kazim/Deaths_Fig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Users/shamezladhani/Documents/USBsynch/MENINGO/Bimplementation2015/Deaths_Kazim/Deaths_Fig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36635700002871"/>
          <c:y val="0.10654752795935424"/>
          <c:w val="0.84107825221725774"/>
          <c:h val="0.740334845204495"/>
        </c:manualLayout>
      </c:layout>
      <c:barChart>
        <c:barDir val="col"/>
        <c:grouping val="stacked"/>
        <c:varyColors val="0"/>
        <c:ser>
          <c:idx val="0"/>
          <c:order val="0"/>
          <c:tx>
            <c:strRef>
              <c:f>'Figure 1 cases by year'!$D$17</c:f>
              <c:strCache>
                <c:ptCount val="1"/>
                <c:pt idx="0">
                  <c:v>MenB</c:v>
                </c:pt>
              </c:strCache>
            </c:strRef>
          </c:tx>
          <c:spPr>
            <a:solidFill>
              <a:schemeClr val="accent1"/>
            </a:solidFill>
            <a:ln>
              <a:noFill/>
            </a:ln>
            <a:effectLst/>
          </c:spPr>
          <c:invertIfNegative val="0"/>
          <c:cat>
            <c:numRef>
              <c:f>'Figure 1 cases by year'!$E$16:$L$16</c:f>
              <c:numCache>
                <c:formatCode>General</c:formatCode>
                <c:ptCount val="8"/>
                <c:pt idx="0">
                  <c:v>2008</c:v>
                </c:pt>
                <c:pt idx="1">
                  <c:v>2009</c:v>
                </c:pt>
                <c:pt idx="2">
                  <c:v>2010</c:v>
                </c:pt>
                <c:pt idx="3">
                  <c:v>2011</c:v>
                </c:pt>
                <c:pt idx="4">
                  <c:v>2012</c:v>
                </c:pt>
                <c:pt idx="5">
                  <c:v>2013</c:v>
                </c:pt>
                <c:pt idx="6">
                  <c:v>2014</c:v>
                </c:pt>
                <c:pt idx="7">
                  <c:v>2015</c:v>
                </c:pt>
              </c:numCache>
            </c:numRef>
          </c:cat>
          <c:val>
            <c:numRef>
              <c:f>'Figure 1 cases by year'!$E$17:$L$17</c:f>
              <c:numCache>
                <c:formatCode>General</c:formatCode>
                <c:ptCount val="8"/>
                <c:pt idx="0">
                  <c:v>1051</c:v>
                </c:pt>
                <c:pt idx="1">
                  <c:v>867</c:v>
                </c:pt>
                <c:pt idx="2">
                  <c:v>763</c:v>
                </c:pt>
                <c:pt idx="3">
                  <c:v>727</c:v>
                </c:pt>
                <c:pt idx="4">
                  <c:v>583</c:v>
                </c:pt>
                <c:pt idx="5">
                  <c:v>535</c:v>
                </c:pt>
                <c:pt idx="6">
                  <c:v>400</c:v>
                </c:pt>
                <c:pt idx="7">
                  <c:v>451</c:v>
                </c:pt>
              </c:numCache>
            </c:numRef>
          </c:val>
          <c:extLst>
            <c:ext xmlns:c16="http://schemas.microsoft.com/office/drawing/2014/chart" uri="{C3380CC4-5D6E-409C-BE32-E72D297353CC}">
              <c16:uniqueId val="{00000000-5D22-524D-AF2D-FA6B60446B8B}"/>
            </c:ext>
          </c:extLst>
        </c:ser>
        <c:ser>
          <c:idx val="1"/>
          <c:order val="1"/>
          <c:tx>
            <c:strRef>
              <c:f>'Figure 1 cases by year'!$D$18</c:f>
              <c:strCache>
                <c:ptCount val="1"/>
                <c:pt idx="0">
                  <c:v>MenC</c:v>
                </c:pt>
              </c:strCache>
            </c:strRef>
          </c:tx>
          <c:spPr>
            <a:solidFill>
              <a:schemeClr val="accent2"/>
            </a:solidFill>
            <a:ln>
              <a:noFill/>
            </a:ln>
            <a:effectLst/>
          </c:spPr>
          <c:invertIfNegative val="0"/>
          <c:cat>
            <c:numRef>
              <c:f>'Figure 1 cases by year'!$E$16:$L$16</c:f>
              <c:numCache>
                <c:formatCode>General</c:formatCode>
                <c:ptCount val="8"/>
                <c:pt idx="0">
                  <c:v>2008</c:v>
                </c:pt>
                <c:pt idx="1">
                  <c:v>2009</c:v>
                </c:pt>
                <c:pt idx="2">
                  <c:v>2010</c:v>
                </c:pt>
                <c:pt idx="3">
                  <c:v>2011</c:v>
                </c:pt>
                <c:pt idx="4">
                  <c:v>2012</c:v>
                </c:pt>
                <c:pt idx="5">
                  <c:v>2013</c:v>
                </c:pt>
                <c:pt idx="6">
                  <c:v>2014</c:v>
                </c:pt>
                <c:pt idx="7">
                  <c:v>2015</c:v>
                </c:pt>
              </c:numCache>
            </c:numRef>
          </c:cat>
          <c:val>
            <c:numRef>
              <c:f>'Figure 1 cases by year'!$E$18:$L$18</c:f>
              <c:numCache>
                <c:formatCode>General</c:formatCode>
                <c:ptCount val="8"/>
                <c:pt idx="0">
                  <c:v>22</c:v>
                </c:pt>
                <c:pt idx="1">
                  <c:v>10</c:v>
                </c:pt>
                <c:pt idx="2">
                  <c:v>20</c:v>
                </c:pt>
                <c:pt idx="3">
                  <c:v>26</c:v>
                </c:pt>
                <c:pt idx="4">
                  <c:v>29</c:v>
                </c:pt>
                <c:pt idx="5">
                  <c:v>29</c:v>
                </c:pt>
                <c:pt idx="6">
                  <c:v>33</c:v>
                </c:pt>
                <c:pt idx="7">
                  <c:v>29</c:v>
                </c:pt>
              </c:numCache>
            </c:numRef>
          </c:val>
          <c:extLst>
            <c:ext xmlns:c16="http://schemas.microsoft.com/office/drawing/2014/chart" uri="{C3380CC4-5D6E-409C-BE32-E72D297353CC}">
              <c16:uniqueId val="{00000001-5D22-524D-AF2D-FA6B60446B8B}"/>
            </c:ext>
          </c:extLst>
        </c:ser>
        <c:ser>
          <c:idx val="2"/>
          <c:order val="2"/>
          <c:tx>
            <c:strRef>
              <c:f>'Figure 1 cases by year'!$D$19</c:f>
              <c:strCache>
                <c:ptCount val="1"/>
                <c:pt idx="0">
                  <c:v>MenW</c:v>
                </c:pt>
              </c:strCache>
            </c:strRef>
          </c:tx>
          <c:spPr>
            <a:solidFill>
              <a:schemeClr val="accent3"/>
            </a:solidFill>
            <a:ln>
              <a:noFill/>
            </a:ln>
            <a:effectLst/>
          </c:spPr>
          <c:invertIfNegative val="0"/>
          <c:cat>
            <c:numRef>
              <c:f>'Figure 1 cases by year'!$E$16:$L$16</c:f>
              <c:numCache>
                <c:formatCode>General</c:formatCode>
                <c:ptCount val="8"/>
                <c:pt idx="0">
                  <c:v>2008</c:v>
                </c:pt>
                <c:pt idx="1">
                  <c:v>2009</c:v>
                </c:pt>
                <c:pt idx="2">
                  <c:v>2010</c:v>
                </c:pt>
                <c:pt idx="3">
                  <c:v>2011</c:v>
                </c:pt>
                <c:pt idx="4">
                  <c:v>2012</c:v>
                </c:pt>
                <c:pt idx="5">
                  <c:v>2013</c:v>
                </c:pt>
                <c:pt idx="6">
                  <c:v>2014</c:v>
                </c:pt>
                <c:pt idx="7">
                  <c:v>2015</c:v>
                </c:pt>
              </c:numCache>
            </c:numRef>
          </c:cat>
          <c:val>
            <c:numRef>
              <c:f>'Figure 1 cases by year'!$E$19:$L$19</c:f>
              <c:numCache>
                <c:formatCode>General</c:formatCode>
                <c:ptCount val="8"/>
                <c:pt idx="0">
                  <c:v>16</c:v>
                </c:pt>
                <c:pt idx="1">
                  <c:v>22</c:v>
                </c:pt>
                <c:pt idx="2">
                  <c:v>27</c:v>
                </c:pt>
                <c:pt idx="3">
                  <c:v>30</c:v>
                </c:pt>
                <c:pt idx="4">
                  <c:v>42</c:v>
                </c:pt>
                <c:pt idx="5">
                  <c:v>76</c:v>
                </c:pt>
                <c:pt idx="6">
                  <c:v>117</c:v>
                </c:pt>
                <c:pt idx="7">
                  <c:v>201</c:v>
                </c:pt>
              </c:numCache>
            </c:numRef>
          </c:val>
          <c:extLst>
            <c:ext xmlns:c16="http://schemas.microsoft.com/office/drawing/2014/chart" uri="{C3380CC4-5D6E-409C-BE32-E72D297353CC}">
              <c16:uniqueId val="{00000002-5D22-524D-AF2D-FA6B60446B8B}"/>
            </c:ext>
          </c:extLst>
        </c:ser>
        <c:ser>
          <c:idx val="3"/>
          <c:order val="3"/>
          <c:tx>
            <c:strRef>
              <c:f>'Figure 1 cases by year'!$D$20</c:f>
              <c:strCache>
                <c:ptCount val="1"/>
                <c:pt idx="0">
                  <c:v>MenY</c:v>
                </c:pt>
              </c:strCache>
            </c:strRef>
          </c:tx>
          <c:spPr>
            <a:solidFill>
              <a:schemeClr val="accent4"/>
            </a:solidFill>
            <a:ln>
              <a:noFill/>
            </a:ln>
            <a:effectLst/>
          </c:spPr>
          <c:invertIfNegative val="0"/>
          <c:cat>
            <c:numRef>
              <c:f>'Figure 1 cases by year'!$E$16:$L$16</c:f>
              <c:numCache>
                <c:formatCode>General</c:formatCode>
                <c:ptCount val="8"/>
                <c:pt idx="0">
                  <c:v>2008</c:v>
                </c:pt>
                <c:pt idx="1">
                  <c:v>2009</c:v>
                </c:pt>
                <c:pt idx="2">
                  <c:v>2010</c:v>
                </c:pt>
                <c:pt idx="3">
                  <c:v>2011</c:v>
                </c:pt>
                <c:pt idx="4">
                  <c:v>2012</c:v>
                </c:pt>
                <c:pt idx="5">
                  <c:v>2013</c:v>
                </c:pt>
                <c:pt idx="6">
                  <c:v>2014</c:v>
                </c:pt>
                <c:pt idx="7">
                  <c:v>2015</c:v>
                </c:pt>
              </c:numCache>
            </c:numRef>
          </c:cat>
          <c:val>
            <c:numRef>
              <c:f>'Figure 1 cases by year'!$E$20:$L$20</c:f>
              <c:numCache>
                <c:formatCode>General</c:formatCode>
                <c:ptCount val="8"/>
                <c:pt idx="0">
                  <c:v>40</c:v>
                </c:pt>
                <c:pt idx="1">
                  <c:v>56</c:v>
                </c:pt>
                <c:pt idx="2">
                  <c:v>65</c:v>
                </c:pt>
                <c:pt idx="3">
                  <c:v>85</c:v>
                </c:pt>
                <c:pt idx="4">
                  <c:v>78</c:v>
                </c:pt>
                <c:pt idx="5">
                  <c:v>77</c:v>
                </c:pt>
                <c:pt idx="6">
                  <c:v>69</c:v>
                </c:pt>
                <c:pt idx="7">
                  <c:v>106</c:v>
                </c:pt>
              </c:numCache>
            </c:numRef>
          </c:val>
          <c:extLst>
            <c:ext xmlns:c16="http://schemas.microsoft.com/office/drawing/2014/chart" uri="{C3380CC4-5D6E-409C-BE32-E72D297353CC}">
              <c16:uniqueId val="{00000003-5D22-524D-AF2D-FA6B60446B8B}"/>
            </c:ext>
          </c:extLst>
        </c:ser>
        <c:ser>
          <c:idx val="4"/>
          <c:order val="4"/>
          <c:tx>
            <c:strRef>
              <c:f>'Figure 1 cases by year'!$D$21</c:f>
              <c:strCache>
                <c:ptCount val="1"/>
                <c:pt idx="0">
                  <c:v>Other/NK</c:v>
                </c:pt>
              </c:strCache>
            </c:strRef>
          </c:tx>
          <c:spPr>
            <a:solidFill>
              <a:schemeClr val="accent5"/>
            </a:solidFill>
            <a:ln>
              <a:noFill/>
            </a:ln>
            <a:effectLst/>
          </c:spPr>
          <c:invertIfNegative val="0"/>
          <c:cat>
            <c:numRef>
              <c:f>'Figure 1 cases by year'!$E$16:$L$16</c:f>
              <c:numCache>
                <c:formatCode>General</c:formatCode>
                <c:ptCount val="8"/>
                <c:pt idx="0">
                  <c:v>2008</c:v>
                </c:pt>
                <c:pt idx="1">
                  <c:v>2009</c:v>
                </c:pt>
                <c:pt idx="2">
                  <c:v>2010</c:v>
                </c:pt>
                <c:pt idx="3">
                  <c:v>2011</c:v>
                </c:pt>
                <c:pt idx="4">
                  <c:v>2012</c:v>
                </c:pt>
                <c:pt idx="5">
                  <c:v>2013</c:v>
                </c:pt>
                <c:pt idx="6">
                  <c:v>2014</c:v>
                </c:pt>
                <c:pt idx="7">
                  <c:v>2015</c:v>
                </c:pt>
              </c:numCache>
            </c:numRef>
          </c:cat>
          <c:val>
            <c:numRef>
              <c:f>'Figure 1 cases by year'!$E$21:$L$21</c:f>
              <c:numCache>
                <c:formatCode>General</c:formatCode>
                <c:ptCount val="8"/>
                <c:pt idx="0">
                  <c:v>42</c:v>
                </c:pt>
                <c:pt idx="1">
                  <c:v>18</c:v>
                </c:pt>
                <c:pt idx="2">
                  <c:v>11</c:v>
                </c:pt>
                <c:pt idx="3">
                  <c:v>18</c:v>
                </c:pt>
                <c:pt idx="4">
                  <c:v>9</c:v>
                </c:pt>
                <c:pt idx="5">
                  <c:v>9</c:v>
                </c:pt>
                <c:pt idx="6">
                  <c:v>9</c:v>
                </c:pt>
                <c:pt idx="7">
                  <c:v>11</c:v>
                </c:pt>
              </c:numCache>
            </c:numRef>
          </c:val>
          <c:extLst>
            <c:ext xmlns:c16="http://schemas.microsoft.com/office/drawing/2014/chart" uri="{C3380CC4-5D6E-409C-BE32-E72D297353CC}">
              <c16:uniqueId val="{00000004-5D22-524D-AF2D-FA6B60446B8B}"/>
            </c:ext>
          </c:extLst>
        </c:ser>
        <c:dLbls>
          <c:showLegendKey val="0"/>
          <c:showVal val="0"/>
          <c:showCatName val="0"/>
          <c:showSerName val="0"/>
          <c:showPercent val="0"/>
          <c:showBubbleSize val="0"/>
        </c:dLbls>
        <c:gapWidth val="150"/>
        <c:overlap val="100"/>
        <c:axId val="235472040"/>
        <c:axId val="235473680"/>
      </c:barChart>
      <c:catAx>
        <c:axId val="23547204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35473680"/>
        <c:crosses val="autoZero"/>
        <c:auto val="1"/>
        <c:lblAlgn val="ctr"/>
        <c:lblOffset val="100"/>
        <c:noMultiLvlLbl val="0"/>
      </c:catAx>
      <c:valAx>
        <c:axId val="235473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a:t>Number of Cases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35472040"/>
        <c:crosses val="autoZero"/>
        <c:crossBetween val="between"/>
      </c:valAx>
      <c:spPr>
        <a:noFill/>
        <a:ln>
          <a:noFill/>
        </a:ln>
        <a:effectLst/>
      </c:spPr>
    </c:plotArea>
    <c:legend>
      <c:legendPos val="b"/>
      <c:layout>
        <c:manualLayout>
          <c:xMode val="edge"/>
          <c:yMode val="edge"/>
          <c:x val="0.23812229121420575"/>
          <c:y val="9.9042501719681764E-2"/>
          <c:w val="0.63973325934501191"/>
          <c:h val="0.1317911583456404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12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234224488834529"/>
          <c:y val="0.10027306553942451"/>
          <c:w val="0.72200135740843152"/>
          <c:h val="0.62860909606557203"/>
        </c:manualLayout>
      </c:layout>
      <c:barChart>
        <c:barDir val="col"/>
        <c:grouping val="stacked"/>
        <c:varyColors val="0"/>
        <c:ser>
          <c:idx val="5"/>
          <c:order val="0"/>
          <c:tx>
            <c:v>IMD Deaths</c:v>
          </c:tx>
          <c:spPr>
            <a:solidFill>
              <a:schemeClr val="tx1"/>
            </a:solidFill>
            <a:ln>
              <a:noFill/>
            </a:ln>
            <a:effectLst/>
          </c:spPr>
          <c:invertIfNegative val="0"/>
          <c:cat>
            <c:strRef>
              <c:f>'cases by age'!$D$35:$D$41</c:f>
              <c:strCache>
                <c:ptCount val="7"/>
                <c:pt idx="0">
                  <c:v>&lt;1y</c:v>
                </c:pt>
                <c:pt idx="1">
                  <c:v>1-4y</c:v>
                </c:pt>
                <c:pt idx="2">
                  <c:v>5-14y</c:v>
                </c:pt>
                <c:pt idx="3">
                  <c:v>15-24y</c:v>
                </c:pt>
                <c:pt idx="4">
                  <c:v>25-44y</c:v>
                </c:pt>
                <c:pt idx="5">
                  <c:v>45-64y</c:v>
                </c:pt>
                <c:pt idx="6">
                  <c:v>≥65y</c:v>
                </c:pt>
              </c:strCache>
            </c:strRef>
          </c:cat>
          <c:val>
            <c:numRef>
              <c:f>'cases by age'!$F$35:$F$41</c:f>
              <c:numCache>
                <c:formatCode>General</c:formatCode>
                <c:ptCount val="7"/>
                <c:pt idx="0">
                  <c:v>74</c:v>
                </c:pt>
                <c:pt idx="1">
                  <c:v>88</c:v>
                </c:pt>
                <c:pt idx="2">
                  <c:v>31</c:v>
                </c:pt>
                <c:pt idx="3">
                  <c:v>69</c:v>
                </c:pt>
                <c:pt idx="4">
                  <c:v>31</c:v>
                </c:pt>
                <c:pt idx="5">
                  <c:v>56</c:v>
                </c:pt>
                <c:pt idx="6">
                  <c:v>153</c:v>
                </c:pt>
              </c:numCache>
            </c:numRef>
          </c:val>
          <c:extLst>
            <c:ext xmlns:c16="http://schemas.microsoft.com/office/drawing/2014/chart" uri="{C3380CC4-5D6E-409C-BE32-E72D297353CC}">
              <c16:uniqueId val="{00000000-6A42-414E-8104-F449BF48E89B}"/>
            </c:ext>
          </c:extLst>
        </c:ser>
        <c:ser>
          <c:idx val="4"/>
          <c:order val="1"/>
          <c:tx>
            <c:v>All deaths</c:v>
          </c:tx>
          <c:spPr>
            <a:solidFill>
              <a:schemeClr val="bg2">
                <a:lumMod val="50000"/>
              </a:schemeClr>
            </a:solidFill>
            <a:ln>
              <a:noFill/>
            </a:ln>
            <a:effectLst/>
          </c:spPr>
          <c:invertIfNegative val="0"/>
          <c:cat>
            <c:strRef>
              <c:f>'cases by age'!$D$35:$D$41</c:f>
              <c:strCache>
                <c:ptCount val="7"/>
                <c:pt idx="0">
                  <c:v>&lt;1y</c:v>
                </c:pt>
                <c:pt idx="1">
                  <c:v>1-4y</c:v>
                </c:pt>
                <c:pt idx="2">
                  <c:v>5-14y</c:v>
                </c:pt>
                <c:pt idx="3">
                  <c:v>15-24y</c:v>
                </c:pt>
                <c:pt idx="4">
                  <c:v>25-44y</c:v>
                </c:pt>
                <c:pt idx="5">
                  <c:v>45-64y</c:v>
                </c:pt>
                <c:pt idx="6">
                  <c:v>≥65y</c:v>
                </c:pt>
              </c:strCache>
            </c:strRef>
          </c:cat>
          <c:val>
            <c:numRef>
              <c:f>'cases by age'!$G$35:$G$41</c:f>
              <c:numCache>
                <c:formatCode>General</c:formatCode>
                <c:ptCount val="7"/>
                <c:pt idx="0">
                  <c:v>2</c:v>
                </c:pt>
                <c:pt idx="1">
                  <c:v>0</c:v>
                </c:pt>
                <c:pt idx="2">
                  <c:v>0</c:v>
                </c:pt>
                <c:pt idx="3">
                  <c:v>3</c:v>
                </c:pt>
                <c:pt idx="4">
                  <c:v>1</c:v>
                </c:pt>
                <c:pt idx="5">
                  <c:v>38</c:v>
                </c:pt>
                <c:pt idx="6">
                  <c:v>121</c:v>
                </c:pt>
              </c:numCache>
            </c:numRef>
          </c:val>
          <c:extLst>
            <c:ext xmlns:c16="http://schemas.microsoft.com/office/drawing/2014/chart" uri="{C3380CC4-5D6E-409C-BE32-E72D297353CC}">
              <c16:uniqueId val="{00000001-6A42-414E-8104-F449BF48E89B}"/>
            </c:ext>
          </c:extLst>
        </c:ser>
        <c:ser>
          <c:idx val="0"/>
          <c:order val="2"/>
          <c:tx>
            <c:v>Alive</c:v>
          </c:tx>
          <c:spPr>
            <a:solidFill>
              <a:schemeClr val="bg2">
                <a:lumMod val="90000"/>
              </a:schemeClr>
            </a:solidFill>
            <a:ln>
              <a:noFill/>
            </a:ln>
            <a:effectLst/>
          </c:spPr>
          <c:invertIfNegative val="0"/>
          <c:cat>
            <c:strRef>
              <c:f>'cases by age'!$D$35:$D$41</c:f>
              <c:strCache>
                <c:ptCount val="7"/>
                <c:pt idx="0">
                  <c:v>&lt;1y</c:v>
                </c:pt>
                <c:pt idx="1">
                  <c:v>1-4y</c:v>
                </c:pt>
                <c:pt idx="2">
                  <c:v>5-14y</c:v>
                </c:pt>
                <c:pt idx="3">
                  <c:v>15-24y</c:v>
                </c:pt>
                <c:pt idx="4">
                  <c:v>25-44y</c:v>
                </c:pt>
                <c:pt idx="5">
                  <c:v>45-64y</c:v>
                </c:pt>
                <c:pt idx="6">
                  <c:v>≥65y</c:v>
                </c:pt>
              </c:strCache>
            </c:strRef>
          </c:cat>
          <c:val>
            <c:numRef>
              <c:f>'cases by age'!$H$35:$H$41</c:f>
              <c:numCache>
                <c:formatCode>0</c:formatCode>
                <c:ptCount val="7"/>
                <c:pt idx="0">
                  <c:v>1425</c:v>
                </c:pt>
                <c:pt idx="1">
                  <c:v>1762</c:v>
                </c:pt>
                <c:pt idx="2">
                  <c:v>628</c:v>
                </c:pt>
                <c:pt idx="3">
                  <c:v>947</c:v>
                </c:pt>
                <c:pt idx="4">
                  <c:v>406</c:v>
                </c:pt>
                <c:pt idx="5">
                  <c:v>567</c:v>
                </c:pt>
                <c:pt idx="6">
                  <c:v>396</c:v>
                </c:pt>
              </c:numCache>
            </c:numRef>
          </c:val>
          <c:extLst>
            <c:ext xmlns:c16="http://schemas.microsoft.com/office/drawing/2014/chart" uri="{C3380CC4-5D6E-409C-BE32-E72D297353CC}">
              <c16:uniqueId val="{00000002-6A42-414E-8104-F449BF48E89B}"/>
            </c:ext>
          </c:extLst>
        </c:ser>
        <c:dLbls>
          <c:showLegendKey val="0"/>
          <c:showVal val="0"/>
          <c:showCatName val="0"/>
          <c:showSerName val="0"/>
          <c:showPercent val="0"/>
          <c:showBubbleSize val="0"/>
        </c:dLbls>
        <c:gapWidth val="50"/>
        <c:overlap val="100"/>
        <c:axId val="1747553439"/>
        <c:axId val="1739446063"/>
      </c:barChart>
      <c:lineChart>
        <c:grouping val="standard"/>
        <c:varyColors val="0"/>
        <c:ser>
          <c:idx val="1"/>
          <c:order val="3"/>
          <c:tx>
            <c:v>'CFR at 30d</c:v>
          </c:tx>
          <c:spPr>
            <a:ln w="28575" cap="rnd">
              <a:solidFill>
                <a:schemeClr val="accent1">
                  <a:lumMod val="75000"/>
                </a:schemeClr>
              </a:solidFill>
              <a:round/>
            </a:ln>
            <a:effectLst/>
          </c:spPr>
          <c:marker>
            <c:symbol val="circle"/>
            <c:size val="5"/>
            <c:spPr>
              <a:solidFill>
                <a:schemeClr val="accent1">
                  <a:lumMod val="50000"/>
                </a:schemeClr>
              </a:solidFill>
              <a:ln w="9525">
                <a:solidFill>
                  <a:schemeClr val="accent1">
                    <a:lumMod val="50000"/>
                  </a:schemeClr>
                </a:solidFill>
              </a:ln>
              <a:effectLst/>
            </c:spPr>
          </c:marker>
          <c:cat>
            <c:strRef>
              <c:f>'cases by age'!$D$35:$D$41</c:f>
              <c:strCache>
                <c:ptCount val="7"/>
                <c:pt idx="0">
                  <c:v>&lt;1y</c:v>
                </c:pt>
                <c:pt idx="1">
                  <c:v>1-4y</c:v>
                </c:pt>
                <c:pt idx="2">
                  <c:v>5-14y</c:v>
                </c:pt>
                <c:pt idx="3">
                  <c:v>15-24y</c:v>
                </c:pt>
                <c:pt idx="4">
                  <c:v>25-44y</c:v>
                </c:pt>
                <c:pt idx="5">
                  <c:v>45-64y</c:v>
                </c:pt>
                <c:pt idx="6">
                  <c:v>≥65y</c:v>
                </c:pt>
              </c:strCache>
            </c:strRef>
          </c:cat>
          <c:val>
            <c:numRef>
              <c:f>'cases by age'!$L$35:$L$41</c:f>
              <c:numCache>
                <c:formatCode>0.0</c:formatCode>
                <c:ptCount val="7"/>
                <c:pt idx="0">
                  <c:v>4.9300466355762822</c:v>
                </c:pt>
                <c:pt idx="1">
                  <c:v>4.6486486486486482</c:v>
                </c:pt>
                <c:pt idx="2">
                  <c:v>4.5523520485584221</c:v>
                </c:pt>
                <c:pt idx="3">
                  <c:v>6.7713444553483804</c:v>
                </c:pt>
                <c:pt idx="4">
                  <c:v>7.0776255707762559</c:v>
                </c:pt>
                <c:pt idx="5">
                  <c:v>8.1694402420574885</c:v>
                </c:pt>
                <c:pt idx="6">
                  <c:v>21.791044776119403</c:v>
                </c:pt>
              </c:numCache>
            </c:numRef>
          </c:val>
          <c:smooth val="0"/>
          <c:extLst>
            <c:ext xmlns:c16="http://schemas.microsoft.com/office/drawing/2014/chart" uri="{C3380CC4-5D6E-409C-BE32-E72D297353CC}">
              <c16:uniqueId val="{00000003-6A42-414E-8104-F449BF48E89B}"/>
            </c:ext>
          </c:extLst>
        </c:ser>
        <c:ser>
          <c:idx val="2"/>
          <c:order val="4"/>
          <c:tx>
            <c:v>CFR at 1d</c:v>
          </c:tx>
          <c:spPr>
            <a:ln w="28575" cap="rnd">
              <a:solidFill>
                <a:srgbClr val="FF0000"/>
              </a:solidFill>
              <a:round/>
            </a:ln>
            <a:effectLst/>
          </c:spPr>
          <c:marker>
            <c:symbol val="triangle"/>
            <c:size val="5"/>
            <c:spPr>
              <a:solidFill>
                <a:srgbClr val="FF0000"/>
              </a:solidFill>
              <a:ln w="9525">
                <a:solidFill>
                  <a:srgbClr val="FF0000"/>
                </a:solidFill>
              </a:ln>
              <a:effectLst/>
            </c:spPr>
          </c:marker>
          <c:cat>
            <c:strRef>
              <c:f>'cases by age'!$D$35:$D$41</c:f>
              <c:strCache>
                <c:ptCount val="7"/>
                <c:pt idx="0">
                  <c:v>&lt;1y</c:v>
                </c:pt>
                <c:pt idx="1">
                  <c:v>1-4y</c:v>
                </c:pt>
                <c:pt idx="2">
                  <c:v>5-14y</c:v>
                </c:pt>
                <c:pt idx="3">
                  <c:v>15-24y</c:v>
                </c:pt>
                <c:pt idx="4">
                  <c:v>25-44y</c:v>
                </c:pt>
                <c:pt idx="5">
                  <c:v>45-64y</c:v>
                </c:pt>
                <c:pt idx="6">
                  <c:v>≥65y</c:v>
                </c:pt>
              </c:strCache>
            </c:strRef>
          </c:cat>
          <c:val>
            <c:numRef>
              <c:f>'cases by age'!$I$35:$I$41</c:f>
              <c:numCache>
                <c:formatCode>0.0</c:formatCode>
                <c:ptCount val="7"/>
                <c:pt idx="0">
                  <c:v>4.5303131245836106</c:v>
                </c:pt>
                <c:pt idx="1">
                  <c:v>4.1081081081081079</c:v>
                </c:pt>
                <c:pt idx="2">
                  <c:v>4.4006069802731416</c:v>
                </c:pt>
                <c:pt idx="3">
                  <c:v>6.4769381746810595</c:v>
                </c:pt>
                <c:pt idx="4">
                  <c:v>5.9360730593607309</c:v>
                </c:pt>
                <c:pt idx="5">
                  <c:v>7.4130105900151282</c:v>
                </c:pt>
                <c:pt idx="6">
                  <c:v>17.014925373134329</c:v>
                </c:pt>
              </c:numCache>
            </c:numRef>
          </c:val>
          <c:smooth val="0"/>
          <c:extLst>
            <c:ext xmlns:c16="http://schemas.microsoft.com/office/drawing/2014/chart" uri="{C3380CC4-5D6E-409C-BE32-E72D297353CC}">
              <c16:uniqueId val="{00000004-6A42-414E-8104-F449BF48E89B}"/>
            </c:ext>
          </c:extLst>
        </c:ser>
        <c:ser>
          <c:idx val="3"/>
          <c:order val="5"/>
          <c:tx>
            <c:v>CFR at 180d</c:v>
          </c:tx>
          <c:spPr>
            <a:ln w="28575" cap="rnd">
              <a:solidFill>
                <a:schemeClr val="accent2"/>
              </a:solidFill>
              <a:round/>
            </a:ln>
            <a:effectLst/>
          </c:spPr>
          <c:marker>
            <c:symbol val="square"/>
            <c:size val="5"/>
            <c:spPr>
              <a:solidFill>
                <a:schemeClr val="accent2"/>
              </a:solidFill>
              <a:ln w="9525">
                <a:solidFill>
                  <a:schemeClr val="accent2"/>
                </a:solidFill>
              </a:ln>
              <a:effectLst/>
            </c:spPr>
          </c:marker>
          <c:cat>
            <c:strRef>
              <c:f>'cases by age'!$D$35:$D$41</c:f>
              <c:strCache>
                <c:ptCount val="7"/>
                <c:pt idx="0">
                  <c:v>&lt;1y</c:v>
                </c:pt>
                <c:pt idx="1">
                  <c:v>1-4y</c:v>
                </c:pt>
                <c:pt idx="2">
                  <c:v>5-14y</c:v>
                </c:pt>
                <c:pt idx="3">
                  <c:v>15-24y</c:v>
                </c:pt>
                <c:pt idx="4">
                  <c:v>25-44y</c:v>
                </c:pt>
                <c:pt idx="5">
                  <c:v>45-64y</c:v>
                </c:pt>
                <c:pt idx="6">
                  <c:v>≥65y</c:v>
                </c:pt>
              </c:strCache>
            </c:strRef>
          </c:cat>
          <c:val>
            <c:numRef>
              <c:f>'cases by age'!$N$35:$N$41</c:f>
              <c:numCache>
                <c:formatCode>0.0</c:formatCode>
                <c:ptCount val="7"/>
                <c:pt idx="0">
                  <c:v>4.9300466355762822</c:v>
                </c:pt>
                <c:pt idx="1">
                  <c:v>4.756756756756757</c:v>
                </c:pt>
                <c:pt idx="2">
                  <c:v>4.7040971168437027</c:v>
                </c:pt>
                <c:pt idx="3">
                  <c:v>6.7713444553483804</c:v>
                </c:pt>
                <c:pt idx="4">
                  <c:v>7.0776255707762559</c:v>
                </c:pt>
                <c:pt idx="5">
                  <c:v>8.472012102874432</c:v>
                </c:pt>
                <c:pt idx="6">
                  <c:v>22.835820895522389</c:v>
                </c:pt>
              </c:numCache>
            </c:numRef>
          </c:val>
          <c:smooth val="0"/>
          <c:extLst>
            <c:ext xmlns:c16="http://schemas.microsoft.com/office/drawing/2014/chart" uri="{C3380CC4-5D6E-409C-BE32-E72D297353CC}">
              <c16:uniqueId val="{00000005-6A42-414E-8104-F449BF48E89B}"/>
            </c:ext>
          </c:extLst>
        </c:ser>
        <c:ser>
          <c:idx val="6"/>
          <c:order val="6"/>
          <c:tx>
            <c:v>CFR at anytime</c:v>
          </c:tx>
          <c:spPr>
            <a:ln w="28575" cap="rnd">
              <a:solidFill>
                <a:schemeClr val="accent1">
                  <a:lumMod val="60000"/>
                </a:schemeClr>
              </a:solidFill>
              <a:prstDash val="dash"/>
              <a:round/>
            </a:ln>
            <a:effectLst/>
          </c:spPr>
          <c:marker>
            <c:symbol val="none"/>
          </c:marker>
          <c:cat>
            <c:strRef>
              <c:f>'cases by age'!$D$35:$D$41</c:f>
              <c:strCache>
                <c:ptCount val="7"/>
                <c:pt idx="0">
                  <c:v>&lt;1y</c:v>
                </c:pt>
                <c:pt idx="1">
                  <c:v>1-4y</c:v>
                </c:pt>
                <c:pt idx="2">
                  <c:v>5-14y</c:v>
                </c:pt>
                <c:pt idx="3">
                  <c:v>15-24y</c:v>
                </c:pt>
                <c:pt idx="4">
                  <c:v>25-44y</c:v>
                </c:pt>
                <c:pt idx="5">
                  <c:v>45-64y</c:v>
                </c:pt>
                <c:pt idx="6">
                  <c:v>≥65y</c:v>
                </c:pt>
              </c:strCache>
            </c:strRef>
          </c:cat>
          <c:val>
            <c:numRef>
              <c:f>'cases by age'!$P$35:$P$41</c:f>
              <c:numCache>
                <c:formatCode>0.0</c:formatCode>
                <c:ptCount val="7"/>
                <c:pt idx="0">
                  <c:v>5.0632911392405067</c:v>
                </c:pt>
                <c:pt idx="1">
                  <c:v>4.756756756756757</c:v>
                </c:pt>
                <c:pt idx="2">
                  <c:v>4.7040971168437027</c:v>
                </c:pt>
                <c:pt idx="3">
                  <c:v>7.0657507360157012</c:v>
                </c:pt>
                <c:pt idx="4">
                  <c:v>7.3059360730593603</c:v>
                </c:pt>
                <c:pt idx="5">
                  <c:v>14.22087745839637</c:v>
                </c:pt>
                <c:pt idx="6">
                  <c:v>40.895522388059703</c:v>
                </c:pt>
              </c:numCache>
            </c:numRef>
          </c:val>
          <c:smooth val="0"/>
          <c:extLst>
            <c:ext xmlns:c16="http://schemas.microsoft.com/office/drawing/2014/chart" uri="{C3380CC4-5D6E-409C-BE32-E72D297353CC}">
              <c16:uniqueId val="{00000006-6A42-414E-8104-F449BF48E89B}"/>
            </c:ext>
          </c:extLst>
        </c:ser>
        <c:dLbls>
          <c:showLegendKey val="0"/>
          <c:showVal val="0"/>
          <c:showCatName val="0"/>
          <c:showSerName val="0"/>
          <c:showPercent val="0"/>
          <c:showBubbleSize val="0"/>
        </c:dLbls>
        <c:marker val="1"/>
        <c:smooth val="0"/>
        <c:axId val="1739397999"/>
        <c:axId val="1750948367"/>
      </c:lineChart>
      <c:catAx>
        <c:axId val="1747553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739446063"/>
        <c:crosses val="autoZero"/>
        <c:auto val="1"/>
        <c:lblAlgn val="ctr"/>
        <c:lblOffset val="100"/>
        <c:noMultiLvlLbl val="0"/>
      </c:catAx>
      <c:valAx>
        <c:axId val="17394460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GB"/>
                  <a:t>Number of Cases</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747553439"/>
        <c:crosses val="autoZero"/>
        <c:crossBetween val="between"/>
        <c:majorUnit val="500"/>
      </c:valAx>
      <c:valAx>
        <c:axId val="1750948367"/>
        <c:scaling>
          <c:orientation val="minMax"/>
        </c:scaling>
        <c:delete val="0"/>
        <c:axPos val="r"/>
        <c:title>
          <c:tx>
            <c:rich>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r>
                  <a:rPr lang="en-GB"/>
                  <a:t>Case Fatality (%)</a:t>
                </a:r>
              </a:p>
            </c:rich>
          </c:tx>
          <c:overlay val="0"/>
          <c:spPr>
            <a:noFill/>
            <a:ln>
              <a:noFill/>
            </a:ln>
            <a:effectLst/>
          </c:spPr>
          <c:txPr>
            <a:bodyPr rot="-54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crossAx val="1739397999"/>
        <c:crosses val="max"/>
        <c:crossBetween val="between"/>
        <c:majorUnit val="10"/>
      </c:valAx>
      <c:catAx>
        <c:axId val="1739397999"/>
        <c:scaling>
          <c:orientation val="minMax"/>
        </c:scaling>
        <c:delete val="1"/>
        <c:axPos val="b"/>
        <c:numFmt formatCode="General" sourceLinked="1"/>
        <c:majorTickMark val="out"/>
        <c:minorTickMark val="none"/>
        <c:tickLblPos val="nextTo"/>
        <c:crossAx val="1750948367"/>
        <c:crosses val="autoZero"/>
        <c:auto val="1"/>
        <c:lblAlgn val="ctr"/>
        <c:lblOffset val="100"/>
        <c:noMultiLvlLbl val="0"/>
      </c:catAx>
      <c:spPr>
        <a:noFill/>
        <a:ln>
          <a:solidFill>
            <a:schemeClr val="tx1"/>
          </a:solidFill>
        </a:ln>
        <a:effectLst/>
      </c:spPr>
    </c:plotArea>
    <c:legend>
      <c:legendPos val="b"/>
      <c:layout>
        <c:manualLayout>
          <c:xMode val="edge"/>
          <c:yMode val="edge"/>
          <c:x val="6.2432413098816891E-2"/>
          <c:y val="0.85425165044461882"/>
          <c:w val="0.89103377643936765"/>
          <c:h val="0.12503511102332096"/>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400"/>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PHE Colours 1">
      <a:dk1>
        <a:sysClr val="windowText" lastClr="000000"/>
      </a:dk1>
      <a:lt1>
        <a:srgbClr val="FFFFFF"/>
      </a:lt1>
      <a:dk2>
        <a:srgbClr val="1F497D"/>
      </a:dk2>
      <a:lt2>
        <a:srgbClr val="D2D1B6"/>
      </a:lt2>
      <a:accent1>
        <a:srgbClr val="98002E"/>
      </a:accent1>
      <a:accent2>
        <a:srgbClr val="00AE9E"/>
      </a:accent2>
      <a:accent3>
        <a:srgbClr val="EEB111"/>
      </a:accent3>
      <a:accent4>
        <a:srgbClr val="11175E"/>
      </a:accent4>
      <a:accent5>
        <a:srgbClr val="A0C4DA"/>
      </a:accent5>
      <a:accent6>
        <a:srgbClr val="F9A25E"/>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B1736-476A-5241-86B6-2538FA7A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17</Pages>
  <Words>5096</Words>
  <Characters>29048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Kazim Beebeejaun</dc:creator>
  <cp:lastModifiedBy>Microsoft Office User</cp:lastModifiedBy>
  <cp:revision>236</cp:revision>
  <cp:lastPrinted>2018-08-07T13:26:00Z</cp:lastPrinted>
  <dcterms:created xsi:type="dcterms:W3CDTF">2019-11-28T17:07:00Z</dcterms:created>
  <dcterms:modified xsi:type="dcterms:W3CDTF">2019-12-06T18:42:00Z</dcterms:modified>
</cp:coreProperties>
</file>