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CB" w:rsidRPr="00306A49" w:rsidRDefault="00C57DCB" w:rsidP="00C57DCB">
      <w:pPr>
        <w:spacing w:line="276" w:lineRule="auto"/>
        <w:rPr>
          <w:b/>
          <w:u w:val="single"/>
        </w:rPr>
      </w:pPr>
      <w:r>
        <w:rPr>
          <w:b/>
          <w:u w:val="single"/>
        </w:rPr>
        <w:t xml:space="preserve">Title: </w:t>
      </w:r>
      <w:r w:rsidRPr="00306A49">
        <w:rPr>
          <w:b/>
          <w:u w:val="single"/>
        </w:rPr>
        <w:t xml:space="preserve">Two </w:t>
      </w:r>
      <w:r>
        <w:rPr>
          <w:b/>
          <w:u w:val="single"/>
        </w:rPr>
        <w:t>un</w:t>
      </w:r>
      <w:r w:rsidR="003E0D7D">
        <w:rPr>
          <w:b/>
          <w:u w:val="single"/>
        </w:rPr>
        <w:t xml:space="preserve">der </w:t>
      </w:r>
      <w:r>
        <w:rPr>
          <w:b/>
          <w:u w:val="single"/>
        </w:rPr>
        <w:t>recognised</w:t>
      </w:r>
      <w:r w:rsidRPr="00306A49">
        <w:rPr>
          <w:b/>
          <w:u w:val="single"/>
        </w:rPr>
        <w:t xml:space="preserve"> limitations of NNT</w:t>
      </w:r>
    </w:p>
    <w:p w:rsidR="00C57DCB" w:rsidRDefault="00C57DCB">
      <w:pPr>
        <w:rPr>
          <w:b/>
          <w:u w:val="single"/>
        </w:rPr>
      </w:pPr>
      <w:r>
        <w:rPr>
          <w:b/>
          <w:u w:val="single"/>
        </w:rPr>
        <w:t>Authors:</w:t>
      </w:r>
    </w:p>
    <w:p w:rsidR="00C57DCB" w:rsidRDefault="00C57DCB">
      <w:r>
        <w:t xml:space="preserve">Professor Sir Nicholas J Wald FRS FRCP </w:t>
      </w:r>
      <w:proofErr w:type="spellStart"/>
      <w:r>
        <w:t>FMedSci</w:t>
      </w:r>
      <w:proofErr w:type="spellEnd"/>
    </w:p>
    <w:p w:rsidR="000F0055" w:rsidRDefault="000F0055" w:rsidP="00C57DCB">
      <w:pPr>
        <w:spacing w:after="0" w:line="240" w:lineRule="auto"/>
      </w:pPr>
      <w:r>
        <w:t>Institute of Health Informatics</w:t>
      </w:r>
    </w:p>
    <w:p w:rsidR="000F0055" w:rsidRDefault="000F0055" w:rsidP="00C57DCB">
      <w:pPr>
        <w:spacing w:after="0" w:line="240" w:lineRule="auto"/>
      </w:pPr>
      <w:r>
        <w:t>University College London</w:t>
      </w:r>
    </w:p>
    <w:p w:rsidR="000F0055" w:rsidRDefault="00380327" w:rsidP="00C57DCB">
      <w:pPr>
        <w:spacing w:after="0" w:line="240" w:lineRule="auto"/>
      </w:pPr>
      <w:hyperlink r:id="rId7" w:history="1">
        <w:r w:rsidR="000F0055" w:rsidRPr="00DB1893">
          <w:rPr>
            <w:rStyle w:val="Hyperlink"/>
          </w:rPr>
          <w:t>n.wald@ucl.ac.uk</w:t>
        </w:r>
      </w:hyperlink>
    </w:p>
    <w:p w:rsidR="00C57DCB" w:rsidRDefault="00C57DCB" w:rsidP="00C57DCB">
      <w:pPr>
        <w:spacing w:after="0" w:line="240" w:lineRule="auto"/>
      </w:pPr>
      <w:r>
        <w:t>Population Health Research Institute</w:t>
      </w:r>
    </w:p>
    <w:p w:rsidR="00C57DCB" w:rsidRDefault="00C57DCB" w:rsidP="00C57DCB">
      <w:pPr>
        <w:spacing w:after="0" w:line="240" w:lineRule="auto"/>
      </w:pPr>
      <w:r>
        <w:t>St George’s University of London</w:t>
      </w:r>
    </w:p>
    <w:p w:rsidR="00C57DCB" w:rsidRDefault="00380327" w:rsidP="00C57DCB">
      <w:pPr>
        <w:spacing w:after="0" w:line="240" w:lineRule="auto"/>
      </w:pPr>
      <w:hyperlink r:id="rId8" w:history="1">
        <w:r w:rsidR="00C57DCB" w:rsidRPr="00695056">
          <w:rPr>
            <w:rStyle w:val="Hyperlink"/>
          </w:rPr>
          <w:t>nwald@sgul.ac.uk</w:t>
        </w:r>
      </w:hyperlink>
    </w:p>
    <w:p w:rsidR="00C57DCB" w:rsidRDefault="00C57DCB"/>
    <w:p w:rsidR="00C57DCB" w:rsidRDefault="00C57DCB">
      <w:r>
        <w:t>Professor Joan K Morris PhD</w:t>
      </w:r>
    </w:p>
    <w:p w:rsidR="00C57DCB" w:rsidRDefault="00C57DCB" w:rsidP="00C57DCB">
      <w:pPr>
        <w:spacing w:after="0" w:line="240" w:lineRule="auto"/>
      </w:pPr>
      <w:r>
        <w:t>Population Health Research Institute</w:t>
      </w:r>
    </w:p>
    <w:p w:rsidR="00C57DCB" w:rsidRDefault="00C57DCB" w:rsidP="00C57DCB">
      <w:pPr>
        <w:spacing w:after="0" w:line="240" w:lineRule="auto"/>
      </w:pPr>
      <w:r>
        <w:t>St George’s University of London</w:t>
      </w:r>
    </w:p>
    <w:p w:rsidR="00C57DCB" w:rsidRDefault="00C57DCB"/>
    <w:p w:rsidR="00A67356" w:rsidRDefault="00A67356">
      <w:r>
        <w:t>Word count: 631</w:t>
      </w:r>
    </w:p>
    <w:p w:rsidR="00A67356" w:rsidRDefault="00A67356"/>
    <w:p w:rsidR="00A67356" w:rsidRDefault="00A67356">
      <w:pPr>
        <w:rPr>
          <w:u w:val="single"/>
        </w:rPr>
      </w:pPr>
      <w:r>
        <w:rPr>
          <w:u w:val="single"/>
        </w:rPr>
        <w:t>Keywords:</w:t>
      </w:r>
    </w:p>
    <w:p w:rsidR="00A67356" w:rsidRDefault="00A67356">
      <w:r>
        <w:t>Limitations of NNT</w:t>
      </w:r>
    </w:p>
    <w:p w:rsidR="00A67356" w:rsidRDefault="00A67356">
      <w:r>
        <w:t>Number-needed-to-treat</w:t>
      </w:r>
    </w:p>
    <w:p w:rsidR="00A67356" w:rsidRDefault="00A67356">
      <w:r>
        <w:t>Estimating treatment effect</w:t>
      </w:r>
    </w:p>
    <w:p w:rsidR="00A67356" w:rsidRPr="00A67356" w:rsidRDefault="00A67356">
      <w:r>
        <w:t>Quantifying health benefits</w:t>
      </w:r>
    </w:p>
    <w:p w:rsidR="00C57DCB" w:rsidRDefault="00C57DCB">
      <w:pPr>
        <w:rPr>
          <w:b/>
          <w:u w:val="single"/>
        </w:rPr>
      </w:pPr>
      <w:r>
        <w:rPr>
          <w:b/>
          <w:u w:val="single"/>
        </w:rPr>
        <w:br w:type="page"/>
      </w:r>
    </w:p>
    <w:p w:rsidR="00306A49" w:rsidRPr="00306A49" w:rsidRDefault="00306A49" w:rsidP="006714E4">
      <w:pPr>
        <w:spacing w:line="276" w:lineRule="auto"/>
        <w:rPr>
          <w:b/>
          <w:u w:val="single"/>
        </w:rPr>
      </w:pPr>
      <w:r w:rsidRPr="00306A49">
        <w:rPr>
          <w:b/>
          <w:u w:val="single"/>
        </w:rPr>
        <w:lastRenderedPageBreak/>
        <w:t xml:space="preserve">Two </w:t>
      </w:r>
      <w:r w:rsidR="007A63DD">
        <w:rPr>
          <w:b/>
          <w:u w:val="single"/>
        </w:rPr>
        <w:t>un</w:t>
      </w:r>
      <w:r w:rsidR="003E0D7D">
        <w:rPr>
          <w:b/>
          <w:u w:val="single"/>
        </w:rPr>
        <w:t xml:space="preserve">der </w:t>
      </w:r>
      <w:r w:rsidR="007A63DD">
        <w:rPr>
          <w:b/>
          <w:u w:val="single"/>
        </w:rPr>
        <w:t>recognised</w:t>
      </w:r>
      <w:r w:rsidRPr="00306A49">
        <w:rPr>
          <w:b/>
          <w:u w:val="single"/>
        </w:rPr>
        <w:t xml:space="preserve"> limitations of NNT</w:t>
      </w:r>
    </w:p>
    <w:p w:rsidR="006714E4" w:rsidRDefault="008234BA" w:rsidP="00A25CEA">
      <w:pPr>
        <w:spacing w:line="480" w:lineRule="auto"/>
      </w:pPr>
      <w:r>
        <w:t>T</w:t>
      </w:r>
      <w:r w:rsidR="000A1B5C">
        <w:t xml:space="preserve">he number-needed-to-treat (NNT) is </w:t>
      </w:r>
      <w:r>
        <w:t>often</w:t>
      </w:r>
      <w:r w:rsidR="000A1B5C">
        <w:t xml:space="preserve"> used </w:t>
      </w:r>
      <w:r>
        <w:t xml:space="preserve">as </w:t>
      </w:r>
      <w:r w:rsidR="000A1B5C">
        <w:t xml:space="preserve">a measure of </w:t>
      </w:r>
      <w:r>
        <w:t xml:space="preserve">treatment </w:t>
      </w:r>
      <w:r w:rsidR="000A1B5C">
        <w:t>benefit</w:t>
      </w:r>
      <w:r>
        <w:t>,</w:t>
      </w:r>
      <w:r w:rsidR="00D645C2">
        <w:t xml:space="preserve"> for example, in the effect of </w:t>
      </w:r>
      <w:proofErr w:type="spellStart"/>
      <w:r w:rsidR="00D645C2">
        <w:t>statins</w:t>
      </w:r>
      <w:proofErr w:type="spellEnd"/>
      <w:r w:rsidR="00D645C2">
        <w:t xml:space="preserve"> in preventing a heart attack in people selected as being at risk</w:t>
      </w:r>
      <w:r w:rsidR="00306A49">
        <w:t>.</w:t>
      </w:r>
      <w:r w:rsidR="00CC7C42">
        <w:t xml:space="preserve"> It is intended to indicate the number of people that need to be treated to prevent one case of a specific disorder. T</w:t>
      </w:r>
      <w:r w:rsidR="00306A49">
        <w:t>he NNT is</w:t>
      </w:r>
      <w:r w:rsidR="00D645C2">
        <w:t xml:space="preserve"> the reciprocal of the </w:t>
      </w:r>
      <w:r w:rsidR="00017CAA">
        <w:t>absolute</w:t>
      </w:r>
      <w:r w:rsidR="00D645C2">
        <w:t xml:space="preserve"> risk reduction between a treated and untreated group. </w:t>
      </w:r>
      <w:r w:rsidR="00934E87">
        <w:t xml:space="preserve">Limitations of the </w:t>
      </w:r>
      <w:r w:rsidR="008E0B11">
        <w:t xml:space="preserve">use of </w:t>
      </w:r>
      <w:r w:rsidR="00934E87">
        <w:t>NNT have been described</w:t>
      </w:r>
      <w:r w:rsidR="00934E87">
        <w:rPr>
          <w:vertAlign w:val="superscript"/>
        </w:rPr>
        <w:t>1</w:t>
      </w:r>
      <w:r w:rsidR="00934E87" w:rsidRPr="00402EDC">
        <w:rPr>
          <w:vertAlign w:val="superscript"/>
        </w:rPr>
        <w:t>,</w:t>
      </w:r>
      <w:r w:rsidR="00934E87">
        <w:rPr>
          <w:vertAlign w:val="superscript"/>
        </w:rPr>
        <w:t>2</w:t>
      </w:r>
      <w:r w:rsidR="00934E87">
        <w:t xml:space="preserve"> but two </w:t>
      </w:r>
      <w:r w:rsidR="008E0B11">
        <w:t xml:space="preserve">important </w:t>
      </w:r>
      <w:r w:rsidR="00934E87">
        <w:t xml:space="preserve">limitations </w:t>
      </w:r>
      <w:r w:rsidR="008E0B11">
        <w:t xml:space="preserve">have not been </w:t>
      </w:r>
      <w:r w:rsidR="00AF07E4">
        <w:t xml:space="preserve">sufficiently </w:t>
      </w:r>
      <w:r w:rsidR="008E0B11">
        <w:t xml:space="preserve">recognised, one because of how </w:t>
      </w:r>
      <w:r w:rsidR="00D645C2">
        <w:t xml:space="preserve">the </w:t>
      </w:r>
      <w:r w:rsidR="00CD137C">
        <w:t>absolute risk reduction</w:t>
      </w:r>
      <w:r w:rsidR="00D645C2">
        <w:t xml:space="preserve"> is estimated</w:t>
      </w:r>
      <w:r w:rsidR="00934E87">
        <w:t xml:space="preserve">, </w:t>
      </w:r>
      <w:r w:rsidR="008E0B11">
        <w:t>and the other because of a false assumption on the application of NNT to the prevention of chronic disease</w:t>
      </w:r>
      <w:r w:rsidR="00934E87">
        <w:t>.</w:t>
      </w:r>
    </w:p>
    <w:p w:rsidR="00402EDC" w:rsidRDefault="006714E4" w:rsidP="00A25CEA">
      <w:pPr>
        <w:spacing w:line="480" w:lineRule="auto"/>
      </w:pPr>
      <w:r>
        <w:t>The first limitation</w:t>
      </w:r>
      <w:r w:rsidR="00B70A2E">
        <w:t>,</w:t>
      </w:r>
      <w:r>
        <w:t xml:space="preserve"> </w:t>
      </w:r>
      <w:r w:rsidR="00B70A2E">
        <w:t xml:space="preserve">which is often ignored, </w:t>
      </w:r>
      <w:r>
        <w:t xml:space="preserve">is that the NNT </w:t>
      </w:r>
      <w:r w:rsidR="00CD137C">
        <w:t>depends on the time interval over</w:t>
      </w:r>
      <w:r w:rsidR="000A1B5C">
        <w:t xml:space="preserve"> which the </w:t>
      </w:r>
      <w:r w:rsidR="00402EDC">
        <w:t>medical event</w:t>
      </w:r>
      <w:r w:rsidR="000A1B5C">
        <w:t xml:space="preserve"> of interest is assessed. For example</w:t>
      </w:r>
      <w:r w:rsidR="00CD137C">
        <w:t>,</w:t>
      </w:r>
      <w:r w:rsidR="000A1B5C">
        <w:t xml:space="preserve"> if</w:t>
      </w:r>
      <w:r w:rsidR="00CD137C">
        <w:t>,</w:t>
      </w:r>
      <w:r w:rsidR="000A1B5C">
        <w:t xml:space="preserve"> over one year</w:t>
      </w:r>
      <w:r w:rsidR="00CD137C">
        <w:t>,</w:t>
      </w:r>
      <w:r w:rsidR="000A1B5C">
        <w:t xml:space="preserve"> the rate of events in a treated and untreated group were 5/100 and 10/100 </w:t>
      </w:r>
      <w:r w:rsidR="00CD137C">
        <w:t xml:space="preserve">respectively </w:t>
      </w:r>
      <w:r w:rsidR="000A1B5C">
        <w:t>the NNT would be</w:t>
      </w:r>
      <w:r w:rsidR="00CD137C">
        <w:t xml:space="preserve"> the reciprocal of 5/100</w:t>
      </w:r>
      <w:r w:rsidR="0005309C">
        <w:t xml:space="preserve"> (10/100 - 5/100)</w:t>
      </w:r>
      <w:r w:rsidR="00CD137C">
        <w:t xml:space="preserve"> </w:t>
      </w:r>
      <w:proofErr w:type="spellStart"/>
      <w:r w:rsidR="00CD137C">
        <w:t>ie</w:t>
      </w:r>
      <w:proofErr w:type="spellEnd"/>
      <w:r w:rsidR="00CD137C">
        <w:t xml:space="preserve"> 20. </w:t>
      </w:r>
      <w:r w:rsidR="000A1B5C">
        <w:t>If the time interval were</w:t>
      </w:r>
      <w:r w:rsidR="00CC7C42">
        <w:t xml:space="preserve"> extended to</w:t>
      </w:r>
      <w:r w:rsidR="000A1B5C">
        <w:t xml:space="preserve"> 5 years, and the corresponding estimates were </w:t>
      </w:r>
      <w:r w:rsidR="00CC7C42">
        <w:t>25</w:t>
      </w:r>
      <w:r w:rsidR="000A1B5C">
        <w:t xml:space="preserve">/100 and </w:t>
      </w:r>
      <w:r w:rsidR="00CC7C42">
        <w:t>5</w:t>
      </w:r>
      <w:r w:rsidR="000A1B5C">
        <w:t>0/100 the NNT would be the reciproca</w:t>
      </w:r>
      <w:r w:rsidR="00CC7C42">
        <w:t>l of 25</w:t>
      </w:r>
      <w:r w:rsidR="00CD137C">
        <w:t xml:space="preserve">/100 </w:t>
      </w:r>
      <w:r w:rsidR="0005309C">
        <w:t xml:space="preserve">(50/100 – 25/100) </w:t>
      </w:r>
      <w:proofErr w:type="spellStart"/>
      <w:r w:rsidR="00CD137C">
        <w:t>ie</w:t>
      </w:r>
      <w:proofErr w:type="spellEnd"/>
      <w:r w:rsidR="00CD137C">
        <w:t xml:space="preserve"> </w:t>
      </w:r>
      <w:r w:rsidR="00CC7C42">
        <w:t>4</w:t>
      </w:r>
      <w:r w:rsidR="00CD137C">
        <w:t xml:space="preserve"> instead of 20</w:t>
      </w:r>
      <w:r w:rsidR="00CC7C42">
        <w:t xml:space="preserve"> with no change in the relative risk reduction </w:t>
      </w:r>
      <w:r w:rsidR="0005309C">
        <w:t>– 50% in both cases (</w:t>
      </w:r>
      <w:r w:rsidR="003A2624">
        <w:t>1-[</w:t>
      </w:r>
      <w:r w:rsidR="0005309C">
        <w:t>5/100 ÷ 10/100 and 25/100 ÷ 50/100</w:t>
      </w:r>
      <w:r w:rsidR="002A6542">
        <w:t>]</w:t>
      </w:r>
      <w:r w:rsidR="0005309C">
        <w:t xml:space="preserve"> respectively</w:t>
      </w:r>
      <w:r w:rsidR="00CC7C42">
        <w:t>)</w:t>
      </w:r>
      <w:r w:rsidR="00CD137C">
        <w:t>.</w:t>
      </w:r>
      <w:r w:rsidR="00402EDC">
        <w:t xml:space="preserve"> </w:t>
      </w:r>
      <w:r w:rsidR="003E0D7D">
        <w:t>A timeframe can be specified, such as, the number of clinical events arising in one year.</w:t>
      </w:r>
      <w:r w:rsidR="003E0D7D" w:rsidRPr="003E0D7D">
        <w:rPr>
          <w:vertAlign w:val="superscript"/>
        </w:rPr>
        <w:t>3</w:t>
      </w:r>
      <w:r w:rsidR="003E0D7D">
        <w:t xml:space="preserve"> However, this </w:t>
      </w:r>
      <w:r w:rsidR="000F0055">
        <w:t xml:space="preserve">estimate </w:t>
      </w:r>
      <w:r w:rsidR="003E0D7D">
        <w:t>will vary as people get older and f</w:t>
      </w:r>
      <w:r w:rsidR="00863B9B">
        <w:t xml:space="preserve">or many interventions treatment is long-term and even lifelong, for example using medicines to lower blood pressure and the use of </w:t>
      </w:r>
      <w:proofErr w:type="spellStart"/>
      <w:r w:rsidR="00863B9B">
        <w:t>statins</w:t>
      </w:r>
      <w:proofErr w:type="spellEnd"/>
      <w:r w:rsidR="00863B9B">
        <w:t xml:space="preserve"> to lower serum cholesterol. In such circumstances what is of interest is the expected lifetime benefit.</w:t>
      </w:r>
    </w:p>
    <w:p w:rsidR="00B2268F" w:rsidRDefault="000A1B5C" w:rsidP="00A30DA2">
      <w:pPr>
        <w:spacing w:line="480" w:lineRule="auto"/>
      </w:pPr>
      <w:r>
        <w:t>The second limitation</w:t>
      </w:r>
      <w:r w:rsidR="00B70A2E">
        <w:t xml:space="preserve">, which is inadequately recognised, </w:t>
      </w:r>
      <w:r>
        <w:t>is that</w:t>
      </w:r>
      <w:r w:rsidR="00CD137C">
        <w:t xml:space="preserve"> </w:t>
      </w:r>
      <w:r w:rsidR="00402EDC">
        <w:t xml:space="preserve">the </w:t>
      </w:r>
      <w:r w:rsidR="00D645C2">
        <w:t>absolute risk reduction</w:t>
      </w:r>
      <w:r w:rsidR="006714E4">
        <w:t>, on which the NNT estimate is based,</w:t>
      </w:r>
      <w:r w:rsidR="00D645C2">
        <w:t xml:space="preserve"> </w:t>
      </w:r>
      <w:r>
        <w:t xml:space="preserve">assumes that the effect </w:t>
      </w:r>
      <w:r w:rsidR="00D645C2">
        <w:t xml:space="preserve">of treatment </w:t>
      </w:r>
      <w:r>
        <w:t xml:space="preserve">is dichotomised into some </w:t>
      </w:r>
      <w:r w:rsidR="0005309C">
        <w:t xml:space="preserve">individuals </w:t>
      </w:r>
      <w:r w:rsidR="00C950A0">
        <w:t xml:space="preserve">benefitting by </w:t>
      </w:r>
      <w:r w:rsidR="0005309C">
        <w:t>not having the</w:t>
      </w:r>
      <w:r w:rsidR="00402EDC">
        <w:t xml:space="preserve"> medical event</w:t>
      </w:r>
      <w:r w:rsidR="0005309C">
        <w:t xml:space="preserve"> </w:t>
      </w:r>
      <w:r w:rsidR="00603C17">
        <w:t xml:space="preserve">which </w:t>
      </w:r>
      <w:r w:rsidR="0005309C">
        <w:t>treatment is designed to prevent</w:t>
      </w:r>
      <w:r w:rsidR="00603C17">
        <w:t xml:space="preserve"> and </w:t>
      </w:r>
      <w:r w:rsidR="00B70A2E">
        <w:t xml:space="preserve">other </w:t>
      </w:r>
      <w:r w:rsidR="00603C17">
        <w:t>individuals having no benefit at all</w:t>
      </w:r>
      <w:r w:rsidR="00CD137C">
        <w:t>. I</w:t>
      </w:r>
      <w:r>
        <w:t xml:space="preserve">n practice </w:t>
      </w:r>
      <w:r w:rsidR="00CD137C">
        <w:t xml:space="preserve">this </w:t>
      </w:r>
      <w:r w:rsidR="00040C60">
        <w:t xml:space="preserve">complete separation </w:t>
      </w:r>
      <w:r w:rsidR="00CD137C">
        <w:t>is</w:t>
      </w:r>
      <w:r w:rsidR="00306A49">
        <w:t xml:space="preserve"> rarely true</w:t>
      </w:r>
      <w:r w:rsidR="00CD137C">
        <w:t>. More often</w:t>
      </w:r>
      <w:r>
        <w:t xml:space="preserve"> all </w:t>
      </w:r>
      <w:r w:rsidR="00D645C2">
        <w:t xml:space="preserve">individuals </w:t>
      </w:r>
      <w:r>
        <w:t xml:space="preserve">treated have </w:t>
      </w:r>
      <w:r w:rsidRPr="00040C60">
        <w:t>some</w:t>
      </w:r>
      <w:r>
        <w:t xml:space="preserve"> benefit but </w:t>
      </w:r>
      <w:r w:rsidR="00CD137C">
        <w:t xml:space="preserve">the benefit </w:t>
      </w:r>
      <w:r w:rsidR="00040C60">
        <w:t xml:space="preserve">means that the </w:t>
      </w:r>
      <w:r w:rsidR="00402EDC">
        <w:t xml:space="preserve">medical event </w:t>
      </w:r>
      <w:r w:rsidR="00040C60">
        <w:t>is delayed</w:t>
      </w:r>
      <w:r w:rsidR="00A30DA2">
        <w:t>,</w:t>
      </w:r>
      <w:r w:rsidR="00603C17">
        <w:t xml:space="preserve"> unless they die from an</w:t>
      </w:r>
      <w:r w:rsidR="00B43143">
        <w:t xml:space="preserve"> </w:t>
      </w:r>
      <w:r w:rsidR="00402EDC">
        <w:t>unrelated cause</w:t>
      </w:r>
      <w:r w:rsidR="00603C17">
        <w:t xml:space="preserve"> of death first.</w:t>
      </w:r>
    </w:p>
    <w:p w:rsidR="00A30DA2" w:rsidRDefault="00A30DA2" w:rsidP="00A30DA2">
      <w:pPr>
        <w:spacing w:line="480" w:lineRule="auto"/>
      </w:pPr>
      <w:r>
        <w:t xml:space="preserve">The figure </w:t>
      </w:r>
      <w:r w:rsidR="00B2268F">
        <w:t xml:space="preserve">compares the health benefits from </w:t>
      </w:r>
      <w:r>
        <w:t>a treatment to prevent myocardial infarction (MI)</w:t>
      </w:r>
      <w:r w:rsidR="00B2268F">
        <w:t xml:space="preserve"> using MI cases avoided (</w:t>
      </w:r>
      <w:r w:rsidR="000251EF">
        <w:t>as</w:t>
      </w:r>
      <w:r w:rsidR="00B2268F">
        <w:t xml:space="preserve"> used to estimate NNT) and the more appropriate method using years of life gained without an MI</w:t>
      </w:r>
      <w:r>
        <w:t xml:space="preserve">. For individual 1 there is no benefit from treatment </w:t>
      </w:r>
      <w:r w:rsidR="00B2268F">
        <w:t xml:space="preserve">whichever method is used </w:t>
      </w:r>
      <w:r>
        <w:t xml:space="preserve">because </w:t>
      </w:r>
      <w:r w:rsidR="00B2268F">
        <w:t xml:space="preserve">a </w:t>
      </w:r>
      <w:r>
        <w:t>non-MI death occurs before the individual would have had a</w:t>
      </w:r>
      <w:r w:rsidR="00B2268F">
        <w:t>n MI</w:t>
      </w:r>
      <w:r>
        <w:t xml:space="preserve"> without treatment. </w:t>
      </w:r>
      <w:r w:rsidR="00B2268F">
        <w:t xml:space="preserve">With </w:t>
      </w:r>
      <w:r>
        <w:t xml:space="preserve">individual 2 </w:t>
      </w:r>
      <w:r w:rsidR="00B2268F">
        <w:t xml:space="preserve">there is </w:t>
      </w:r>
      <w:r>
        <w:t xml:space="preserve">a treatment benefit using years </w:t>
      </w:r>
      <w:r w:rsidR="00B2268F">
        <w:t xml:space="preserve">of life </w:t>
      </w:r>
      <w:r>
        <w:t xml:space="preserve">gained </w:t>
      </w:r>
      <w:r w:rsidR="00B2268F">
        <w:t xml:space="preserve">without an MI </w:t>
      </w:r>
      <w:r>
        <w:t xml:space="preserve">(8 years) but no benefit when counting MI cases. </w:t>
      </w:r>
      <w:r w:rsidR="00B2268F">
        <w:t>With i</w:t>
      </w:r>
      <w:r>
        <w:t xml:space="preserve">ndividual 3 </w:t>
      </w:r>
      <w:r w:rsidR="00B2268F">
        <w:t xml:space="preserve">there is a benefit using </w:t>
      </w:r>
      <w:r w:rsidR="00B2268F">
        <w:lastRenderedPageBreak/>
        <w:t xml:space="preserve">either method but the method </w:t>
      </w:r>
      <w:r>
        <w:t xml:space="preserve">using years </w:t>
      </w:r>
      <w:r w:rsidR="00B2268F">
        <w:t xml:space="preserve">of life </w:t>
      </w:r>
      <w:r>
        <w:t xml:space="preserve">gained </w:t>
      </w:r>
      <w:r w:rsidR="00B2268F">
        <w:t xml:space="preserve">without an MI </w:t>
      </w:r>
      <w:r>
        <w:t xml:space="preserve">(5 years) </w:t>
      </w:r>
      <w:r w:rsidR="00B2268F">
        <w:t xml:space="preserve">quantifies the </w:t>
      </w:r>
      <w:r>
        <w:t>benefit</w:t>
      </w:r>
      <w:r w:rsidR="00B2268F" w:rsidDel="00B2268F">
        <w:t xml:space="preserve"> </w:t>
      </w:r>
      <w:r w:rsidR="003E0D7D">
        <w:t xml:space="preserve">whereas </w:t>
      </w:r>
      <w:r w:rsidR="000251EF">
        <w:t>the other method does not</w:t>
      </w:r>
      <w:r>
        <w:t>.</w:t>
      </w:r>
    </w:p>
    <w:p w:rsidR="000A1B5C" w:rsidRDefault="00863B9B" w:rsidP="00A25CEA">
      <w:pPr>
        <w:spacing w:line="480" w:lineRule="auto"/>
      </w:pPr>
      <w:r>
        <w:t xml:space="preserve">The two limitations can be overcome by estimating </w:t>
      </w:r>
      <w:r w:rsidR="00CD137C">
        <w:t>two measures</w:t>
      </w:r>
      <w:r>
        <w:t xml:space="preserve"> previously </w:t>
      </w:r>
      <w:r w:rsidR="003E0D7D">
        <w:t>described</w:t>
      </w:r>
      <w:r w:rsidR="003E0D7D">
        <w:rPr>
          <w:vertAlign w:val="superscript"/>
        </w:rPr>
        <w:t>4</w:t>
      </w:r>
      <w:r w:rsidR="00B43143">
        <w:t xml:space="preserve">: </w:t>
      </w:r>
      <w:proofErr w:type="spellStart"/>
      <w:r w:rsidR="00B43143">
        <w:t>i</w:t>
      </w:r>
      <w:proofErr w:type="spellEnd"/>
      <w:r w:rsidR="00B43143">
        <w:t xml:space="preserve">) the proportion of people who will benefit </w:t>
      </w:r>
      <w:r w:rsidR="00306A49">
        <w:t xml:space="preserve">to some extent </w:t>
      </w:r>
      <w:r w:rsidR="00B43143">
        <w:t xml:space="preserve">from the intervention </w:t>
      </w:r>
      <w:r w:rsidR="002148DD">
        <w:t xml:space="preserve">over their lifetime </w:t>
      </w:r>
      <w:r w:rsidR="00B43143">
        <w:t xml:space="preserve">and ii) among these </w:t>
      </w:r>
      <w:r>
        <w:t xml:space="preserve">people </w:t>
      </w:r>
      <w:r w:rsidR="00B43143">
        <w:t xml:space="preserve">the average years of life gained without the </w:t>
      </w:r>
      <w:r w:rsidR="003E0D7D">
        <w:t xml:space="preserve">clinical </w:t>
      </w:r>
      <w:r w:rsidR="00B43143">
        <w:t>event that the intervention seeks to prevent.</w:t>
      </w:r>
      <w:r w:rsidR="003E0D7D">
        <w:t xml:space="preserve"> The proportion of people who benefit will be everyone who would have had the clinical event without the intervention. The average years of life gained on treatment which can be estimated using standard life table analysis based on age-specific incidence rates in a given population.</w:t>
      </w:r>
    </w:p>
    <w:p w:rsidR="002148DD" w:rsidRDefault="00934E87" w:rsidP="006714E4">
      <w:pPr>
        <w:spacing w:line="480" w:lineRule="auto"/>
      </w:pPr>
      <w:r>
        <w:t>The</w:t>
      </w:r>
      <w:r w:rsidR="00863B9B">
        <w:t xml:space="preserve"> two limitations described here </w:t>
      </w:r>
      <w:r w:rsidR="00402EDC">
        <w:t>can have a significant impact on judging the value of medical interventions.</w:t>
      </w:r>
      <w:r w:rsidR="00863B9B">
        <w:t xml:space="preserve"> </w:t>
      </w:r>
      <w:r w:rsidR="00A5706C">
        <w:t>F</w:t>
      </w:r>
      <w:r w:rsidR="00863B9B">
        <w:t>ailure to recognise the</w:t>
      </w:r>
      <w:r>
        <w:t>se</w:t>
      </w:r>
      <w:r w:rsidR="00863B9B">
        <w:t xml:space="preserve"> limitations can </w:t>
      </w:r>
      <w:r w:rsidR="002148DD">
        <w:t xml:space="preserve">substantially </w:t>
      </w:r>
      <w:r w:rsidR="00306A49">
        <w:t xml:space="preserve">underestimate </w:t>
      </w:r>
      <w:r w:rsidR="002148DD">
        <w:t>the benefit of preventive treatment</w:t>
      </w:r>
      <w:r w:rsidR="00863B9B">
        <w:t>s</w:t>
      </w:r>
      <w:r w:rsidR="002148DD">
        <w:t>.</w:t>
      </w:r>
    </w:p>
    <w:p w:rsidR="00B37322" w:rsidRDefault="00127710" w:rsidP="00863B9B">
      <w:pPr>
        <w:spacing w:after="0" w:line="240" w:lineRule="auto"/>
      </w:pPr>
      <w:r>
        <w:t xml:space="preserve">Nicholas </w:t>
      </w:r>
      <w:r w:rsidR="00583AD9">
        <w:t xml:space="preserve">J </w:t>
      </w:r>
      <w:r>
        <w:t xml:space="preserve">Wald </w:t>
      </w:r>
      <w:r w:rsidR="001F36C9">
        <w:t>FRS FRCP</w:t>
      </w:r>
      <w:r w:rsidR="000622B8">
        <w:t xml:space="preserve">, </w:t>
      </w:r>
      <w:r>
        <w:t>Joan K Morris</w:t>
      </w:r>
      <w:r w:rsidR="001F36C9">
        <w:t xml:space="preserve"> PhD</w:t>
      </w:r>
    </w:p>
    <w:p w:rsidR="00B37322" w:rsidRDefault="00B37322" w:rsidP="00863B9B">
      <w:pPr>
        <w:spacing w:after="0" w:line="240" w:lineRule="auto"/>
      </w:pPr>
      <w:r>
        <w:t>Population Health Research Institute</w:t>
      </w:r>
    </w:p>
    <w:p w:rsidR="00B37322" w:rsidRDefault="00B37322" w:rsidP="00863B9B">
      <w:pPr>
        <w:spacing w:after="0" w:line="240" w:lineRule="auto"/>
      </w:pPr>
      <w:r>
        <w:t>St George’s University of London</w:t>
      </w:r>
    </w:p>
    <w:p w:rsidR="00B37322" w:rsidRDefault="00380327" w:rsidP="00863B9B">
      <w:pPr>
        <w:spacing w:after="0" w:line="240" w:lineRule="auto"/>
      </w:pPr>
      <w:hyperlink r:id="rId9" w:history="1">
        <w:r w:rsidR="00B37322" w:rsidRPr="00695056">
          <w:rPr>
            <w:rStyle w:val="Hyperlink"/>
          </w:rPr>
          <w:t>nwald@sgul.ac.uk</w:t>
        </w:r>
      </w:hyperlink>
    </w:p>
    <w:p w:rsidR="009B1B4D" w:rsidRDefault="009B1B4D" w:rsidP="00863B9B">
      <w:pPr>
        <w:spacing w:after="0" w:line="240" w:lineRule="auto"/>
      </w:pPr>
      <w:r>
        <w:br w:type="page"/>
      </w:r>
    </w:p>
    <w:p w:rsidR="00CD137C" w:rsidRPr="00CD137C" w:rsidRDefault="00CD137C" w:rsidP="00A25CEA">
      <w:pPr>
        <w:spacing w:line="480" w:lineRule="auto"/>
        <w:rPr>
          <w:b/>
        </w:rPr>
      </w:pPr>
      <w:r>
        <w:rPr>
          <w:b/>
        </w:rPr>
        <w:lastRenderedPageBreak/>
        <w:t>References</w:t>
      </w:r>
    </w:p>
    <w:p w:rsidR="002148DD" w:rsidRDefault="002148DD" w:rsidP="002148DD">
      <w:pPr>
        <w:spacing w:line="240" w:lineRule="auto"/>
        <w:ind w:left="709" w:hanging="709"/>
      </w:pPr>
      <w:r>
        <w:tab/>
      </w:r>
    </w:p>
    <w:p w:rsidR="00B43143" w:rsidRDefault="00934E87" w:rsidP="00B43143">
      <w:pPr>
        <w:spacing w:line="240" w:lineRule="auto"/>
        <w:ind w:left="709" w:hanging="709"/>
      </w:pPr>
      <w:r>
        <w:t>1</w:t>
      </w:r>
      <w:r w:rsidR="002148DD">
        <w:tab/>
      </w:r>
      <w:proofErr w:type="spellStart"/>
      <w:r w:rsidR="002148DD">
        <w:t>Laupacis</w:t>
      </w:r>
      <w:proofErr w:type="spellEnd"/>
      <w:r w:rsidR="002148DD">
        <w:t xml:space="preserve"> A, </w:t>
      </w:r>
      <w:proofErr w:type="spellStart"/>
      <w:r w:rsidR="002148DD">
        <w:t>Sackett</w:t>
      </w:r>
      <w:proofErr w:type="spellEnd"/>
      <w:r w:rsidR="002148DD">
        <w:t xml:space="preserve"> DL, Roberts RS. </w:t>
      </w:r>
      <w:proofErr w:type="gramStart"/>
      <w:r w:rsidR="002148DD">
        <w:t>An assessment of clinically useful measures of the consequences of treatment.</w:t>
      </w:r>
      <w:proofErr w:type="gramEnd"/>
      <w:r w:rsidR="002148DD">
        <w:t xml:space="preserve"> </w:t>
      </w:r>
      <w:r w:rsidR="002148DD">
        <w:rPr>
          <w:i/>
        </w:rPr>
        <w:t xml:space="preserve">N </w:t>
      </w:r>
      <w:proofErr w:type="spellStart"/>
      <w:r w:rsidR="002148DD">
        <w:rPr>
          <w:i/>
        </w:rPr>
        <w:t>Engl</w:t>
      </w:r>
      <w:proofErr w:type="spellEnd"/>
      <w:r w:rsidR="002148DD">
        <w:rPr>
          <w:i/>
        </w:rPr>
        <w:t xml:space="preserve"> J Med</w:t>
      </w:r>
      <w:r w:rsidR="002148DD">
        <w:t xml:space="preserve"> 1988</w:t>
      </w:r>
      <w:proofErr w:type="gramStart"/>
      <w:r w:rsidR="002148DD">
        <w:t>;</w:t>
      </w:r>
      <w:r w:rsidR="003E0D7D" w:rsidRPr="003E0D7D">
        <w:rPr>
          <w:b/>
        </w:rPr>
        <w:t>318</w:t>
      </w:r>
      <w:r w:rsidR="003E0D7D">
        <w:t>:</w:t>
      </w:r>
      <w:r w:rsidR="002148DD">
        <w:t>1728</w:t>
      </w:r>
      <w:proofErr w:type="gramEnd"/>
      <w:r w:rsidR="002148DD">
        <w:t>-33</w:t>
      </w:r>
    </w:p>
    <w:p w:rsidR="002148DD" w:rsidRDefault="00934E87" w:rsidP="00B43143">
      <w:pPr>
        <w:spacing w:line="240" w:lineRule="auto"/>
        <w:ind w:left="709" w:hanging="709"/>
      </w:pPr>
      <w:r>
        <w:t>2</w:t>
      </w:r>
      <w:r w:rsidR="002148DD">
        <w:tab/>
        <w:t xml:space="preserve">Saver JL, Lewis RJ. Number needed to treat: conveying the likelihood of a therapeutic effect. </w:t>
      </w:r>
      <w:r w:rsidR="002148DD" w:rsidRPr="002148DD">
        <w:rPr>
          <w:i/>
        </w:rPr>
        <w:t>JAMA</w:t>
      </w:r>
      <w:r w:rsidR="002148DD">
        <w:t xml:space="preserve"> 2019</w:t>
      </w:r>
      <w:proofErr w:type="gramStart"/>
      <w:r w:rsidR="002148DD">
        <w:t>;</w:t>
      </w:r>
      <w:r w:rsidR="002148DD">
        <w:rPr>
          <w:b/>
        </w:rPr>
        <w:t>321</w:t>
      </w:r>
      <w:r w:rsidR="002148DD">
        <w:t>:798</w:t>
      </w:r>
      <w:proofErr w:type="gramEnd"/>
      <w:r w:rsidR="002148DD">
        <w:t>-9</w:t>
      </w:r>
    </w:p>
    <w:p w:rsidR="003E0D7D" w:rsidRDefault="003E0D7D" w:rsidP="00B43143">
      <w:pPr>
        <w:spacing w:line="240" w:lineRule="auto"/>
        <w:ind w:left="709" w:hanging="709"/>
      </w:pPr>
      <w:r>
        <w:t>3</w:t>
      </w:r>
      <w:r>
        <w:tab/>
      </w:r>
      <w:r w:rsidRPr="00AC6780">
        <w:t xml:space="preserve">Heller RF, Edwards R, </w:t>
      </w:r>
      <w:proofErr w:type="spellStart"/>
      <w:r w:rsidRPr="00AC6780">
        <w:t>McElduff</w:t>
      </w:r>
      <w:proofErr w:type="spellEnd"/>
      <w:r w:rsidRPr="00AC6780">
        <w:t xml:space="preserve"> P. Implementing guidelines in primary care: can population impact measures help? </w:t>
      </w:r>
      <w:proofErr w:type="gramStart"/>
      <w:r w:rsidRPr="003E0D7D">
        <w:rPr>
          <w:i/>
        </w:rPr>
        <w:t>BMC Public Health</w:t>
      </w:r>
      <w:r w:rsidRPr="00AC6780">
        <w:t>.</w:t>
      </w:r>
      <w:proofErr w:type="gramEnd"/>
      <w:r w:rsidRPr="00AC6780">
        <w:t xml:space="preserve"> 2003</w:t>
      </w:r>
      <w:proofErr w:type="gramStart"/>
      <w:r w:rsidRPr="00AC6780">
        <w:t>;</w:t>
      </w:r>
      <w:r w:rsidRPr="003E0D7D">
        <w:rPr>
          <w:b/>
        </w:rPr>
        <w:t>3</w:t>
      </w:r>
      <w:r w:rsidRPr="00AC6780">
        <w:t>:7</w:t>
      </w:r>
      <w:proofErr w:type="gramEnd"/>
    </w:p>
    <w:p w:rsidR="00C1432B" w:rsidRDefault="00DE3FC1" w:rsidP="00934E87">
      <w:pPr>
        <w:spacing w:line="240" w:lineRule="auto"/>
        <w:ind w:left="709" w:hanging="709"/>
      </w:pPr>
      <w:r>
        <w:t>4</w:t>
      </w:r>
      <w:r w:rsidR="00934E87">
        <w:tab/>
        <w:t xml:space="preserve">Wald NJ, Morris JK. </w:t>
      </w:r>
      <w:proofErr w:type="gramStart"/>
      <w:r w:rsidR="00934E87">
        <w:t>Quantifying the health benefits of chronic disease prevention: a fresh approach using cardiovascular disease as an example.</w:t>
      </w:r>
      <w:proofErr w:type="gramEnd"/>
      <w:r w:rsidR="00934E87">
        <w:t xml:space="preserve"> </w:t>
      </w:r>
      <w:proofErr w:type="spellStart"/>
      <w:r w:rsidR="00934E87" w:rsidRPr="00B43143">
        <w:rPr>
          <w:i/>
        </w:rPr>
        <w:t>Eur</w:t>
      </w:r>
      <w:proofErr w:type="spellEnd"/>
      <w:r w:rsidR="00934E87" w:rsidRPr="00B43143">
        <w:rPr>
          <w:i/>
        </w:rPr>
        <w:t xml:space="preserve"> J </w:t>
      </w:r>
      <w:proofErr w:type="spellStart"/>
      <w:r w:rsidR="00934E87" w:rsidRPr="00B43143">
        <w:rPr>
          <w:i/>
        </w:rPr>
        <w:t>Epidemiol</w:t>
      </w:r>
      <w:proofErr w:type="spellEnd"/>
      <w:r w:rsidR="00934E87">
        <w:t xml:space="preserve"> 2014</w:t>
      </w:r>
      <w:proofErr w:type="gramStart"/>
      <w:r w:rsidR="00934E87">
        <w:t>;</w:t>
      </w:r>
      <w:r w:rsidR="00934E87" w:rsidRPr="00B43143">
        <w:rPr>
          <w:b/>
        </w:rPr>
        <w:t>29</w:t>
      </w:r>
      <w:r w:rsidR="00934E87">
        <w:t>:605</w:t>
      </w:r>
      <w:proofErr w:type="gramEnd"/>
      <w:r w:rsidR="00934E87">
        <w:t>-612</w:t>
      </w:r>
    </w:p>
    <w:p w:rsidR="00C1432B" w:rsidRDefault="00C1432B">
      <w:r>
        <w:br w:type="page"/>
      </w:r>
    </w:p>
    <w:p w:rsidR="00934E87" w:rsidRDefault="00934E87" w:rsidP="00934E87">
      <w:pPr>
        <w:spacing w:line="240" w:lineRule="auto"/>
        <w:ind w:left="709" w:hanging="709"/>
      </w:pPr>
      <w:bookmarkStart w:id="0" w:name="_GoBack"/>
      <w:bookmarkEnd w:id="0"/>
    </w:p>
    <w:p w:rsidR="00934E87" w:rsidRDefault="0005639F" w:rsidP="009E4F5E">
      <w:pPr>
        <w:pStyle w:val="Heading4"/>
      </w:pPr>
      <w:r>
        <w:rPr>
          <w:noProof/>
        </w:rPr>
        <w:drawing>
          <wp:inline distT="0" distB="0" distL="0" distR="0">
            <wp:extent cx="6645910" cy="3738245"/>
            <wp:effectExtent l="19050" t="0" r="2540" b="0"/>
            <wp:docPr id="1" name="Picture 0" descr="NNT figure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T figurev2.gif"/>
                    <pic:cNvPicPr/>
                  </pic:nvPicPr>
                  <pic:blipFill>
                    <a:blip r:embed="rId10" cstate="print"/>
                    <a:stretch>
                      <a:fillRect/>
                    </a:stretch>
                  </pic:blipFill>
                  <pic:spPr>
                    <a:xfrm>
                      <a:off x="0" y="0"/>
                      <a:ext cx="6645910" cy="3738245"/>
                    </a:xfrm>
                    <a:prstGeom prst="rect">
                      <a:avLst/>
                    </a:prstGeom>
                  </pic:spPr>
                </pic:pic>
              </a:graphicData>
            </a:graphic>
          </wp:inline>
        </w:drawing>
      </w:r>
    </w:p>
    <w:p w:rsidR="00A72F1A" w:rsidRDefault="000251EF">
      <w:pPr>
        <w:spacing w:line="480" w:lineRule="auto"/>
      </w:pPr>
      <w:r>
        <w:t>Figure: Comparison of two methods of assessing the health benefits of treatment to prevent myocardial infarction in three individuals</w:t>
      </w:r>
    </w:p>
    <w:sectPr w:rsidR="00A72F1A" w:rsidSect="006714E4">
      <w:headerReference w:type="default" r:id="rId11"/>
      <w:pgSz w:w="11906" w:h="16838"/>
      <w:pgMar w:top="720" w:right="720" w:bottom="567"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CF" w:rsidRDefault="002207CF" w:rsidP="008234BA">
      <w:pPr>
        <w:spacing w:after="0" w:line="240" w:lineRule="auto"/>
      </w:pPr>
      <w:r>
        <w:separator/>
      </w:r>
    </w:p>
  </w:endnote>
  <w:endnote w:type="continuationSeparator" w:id="0">
    <w:p w:rsidR="002207CF" w:rsidRDefault="002207CF" w:rsidP="0082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CF" w:rsidRDefault="002207CF" w:rsidP="008234BA">
      <w:pPr>
        <w:spacing w:after="0" w:line="240" w:lineRule="auto"/>
      </w:pPr>
      <w:r>
        <w:separator/>
      </w:r>
    </w:p>
  </w:footnote>
  <w:footnote w:type="continuationSeparator" w:id="0">
    <w:p w:rsidR="002207CF" w:rsidRDefault="002207CF" w:rsidP="00823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BA" w:rsidRDefault="008234BA" w:rsidP="008234BA">
    <w:pPr>
      <w:pStyle w:val="Header"/>
      <w:jc w:val="right"/>
    </w:pPr>
    <w:r>
      <w:t xml:space="preserve">NNT page </w:t>
    </w:r>
    <w:r w:rsidR="00380327">
      <w:fldChar w:fldCharType="begin"/>
    </w:r>
    <w:r w:rsidR="00805472">
      <w:instrText xml:space="preserve"> PAGE   \* MERGEFORMAT </w:instrText>
    </w:r>
    <w:r w:rsidR="00380327">
      <w:fldChar w:fldCharType="separate"/>
    </w:r>
    <w:r w:rsidR="00DE3FC1">
      <w:rPr>
        <w:noProof/>
      </w:rPr>
      <w:t>3</w:t>
    </w:r>
    <w:r w:rsidR="00380327">
      <w:rPr>
        <w:noProof/>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Morris">
    <w15:presenceInfo w15:providerId="AD" w15:userId="S-1-5-21-2835755355-634858697-2241794094-1707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1B5C"/>
    <w:rsid w:val="00017CAA"/>
    <w:rsid w:val="000251EF"/>
    <w:rsid w:val="000304D2"/>
    <w:rsid w:val="00040C60"/>
    <w:rsid w:val="0005309C"/>
    <w:rsid w:val="0005639F"/>
    <w:rsid w:val="000622B8"/>
    <w:rsid w:val="0006447F"/>
    <w:rsid w:val="00080110"/>
    <w:rsid w:val="000930C2"/>
    <w:rsid w:val="000A1B5C"/>
    <w:rsid w:val="000D533F"/>
    <w:rsid w:val="000F0055"/>
    <w:rsid w:val="000F2166"/>
    <w:rsid w:val="00127710"/>
    <w:rsid w:val="001F36C9"/>
    <w:rsid w:val="002148DD"/>
    <w:rsid w:val="002207CF"/>
    <w:rsid w:val="00222CA9"/>
    <w:rsid w:val="002425B3"/>
    <w:rsid w:val="00247036"/>
    <w:rsid w:val="00287167"/>
    <w:rsid w:val="00290DD2"/>
    <w:rsid w:val="002A5C31"/>
    <w:rsid w:val="002A6542"/>
    <w:rsid w:val="002F4657"/>
    <w:rsid w:val="00306A49"/>
    <w:rsid w:val="003105D2"/>
    <w:rsid w:val="0032647D"/>
    <w:rsid w:val="00327D76"/>
    <w:rsid w:val="00354D50"/>
    <w:rsid w:val="00380327"/>
    <w:rsid w:val="003A2624"/>
    <w:rsid w:val="003A4443"/>
    <w:rsid w:val="003D24AD"/>
    <w:rsid w:val="003D527C"/>
    <w:rsid w:val="003E0D7D"/>
    <w:rsid w:val="00402EDC"/>
    <w:rsid w:val="0048032F"/>
    <w:rsid w:val="004A4E09"/>
    <w:rsid w:val="004C4121"/>
    <w:rsid w:val="004D739E"/>
    <w:rsid w:val="004E1193"/>
    <w:rsid w:val="00532959"/>
    <w:rsid w:val="00535C0C"/>
    <w:rsid w:val="005518E7"/>
    <w:rsid w:val="00583AD9"/>
    <w:rsid w:val="005D672F"/>
    <w:rsid w:val="00603C17"/>
    <w:rsid w:val="00667F0D"/>
    <w:rsid w:val="006714E4"/>
    <w:rsid w:val="006D24BD"/>
    <w:rsid w:val="00771F91"/>
    <w:rsid w:val="007A63DD"/>
    <w:rsid w:val="007A6D37"/>
    <w:rsid w:val="007D666A"/>
    <w:rsid w:val="007E3E14"/>
    <w:rsid w:val="00805472"/>
    <w:rsid w:val="008234BA"/>
    <w:rsid w:val="00847B09"/>
    <w:rsid w:val="00863B9B"/>
    <w:rsid w:val="008B47E5"/>
    <w:rsid w:val="008E0B11"/>
    <w:rsid w:val="008E5613"/>
    <w:rsid w:val="0093371A"/>
    <w:rsid w:val="00934E87"/>
    <w:rsid w:val="00962A07"/>
    <w:rsid w:val="009B1B4D"/>
    <w:rsid w:val="009B5D06"/>
    <w:rsid w:val="009E4F5E"/>
    <w:rsid w:val="009E71F9"/>
    <w:rsid w:val="00A25CEA"/>
    <w:rsid w:val="00A30DA2"/>
    <w:rsid w:val="00A45106"/>
    <w:rsid w:val="00A5706C"/>
    <w:rsid w:val="00A67356"/>
    <w:rsid w:val="00A72F1A"/>
    <w:rsid w:val="00AD5CEB"/>
    <w:rsid w:val="00AF07E4"/>
    <w:rsid w:val="00B12593"/>
    <w:rsid w:val="00B1495C"/>
    <w:rsid w:val="00B2268F"/>
    <w:rsid w:val="00B37322"/>
    <w:rsid w:val="00B43143"/>
    <w:rsid w:val="00B4572B"/>
    <w:rsid w:val="00B61303"/>
    <w:rsid w:val="00B70A2E"/>
    <w:rsid w:val="00BA242A"/>
    <w:rsid w:val="00C1432B"/>
    <w:rsid w:val="00C25005"/>
    <w:rsid w:val="00C44544"/>
    <w:rsid w:val="00C46A48"/>
    <w:rsid w:val="00C57DCB"/>
    <w:rsid w:val="00C938A4"/>
    <w:rsid w:val="00C950A0"/>
    <w:rsid w:val="00CC7C42"/>
    <w:rsid w:val="00CD137C"/>
    <w:rsid w:val="00D15F5C"/>
    <w:rsid w:val="00D23B8C"/>
    <w:rsid w:val="00D32427"/>
    <w:rsid w:val="00D4537A"/>
    <w:rsid w:val="00D645C2"/>
    <w:rsid w:val="00D76067"/>
    <w:rsid w:val="00DB2C54"/>
    <w:rsid w:val="00DC4D0D"/>
    <w:rsid w:val="00DE3FC1"/>
    <w:rsid w:val="00DE7252"/>
    <w:rsid w:val="00E53138"/>
    <w:rsid w:val="00E63C9C"/>
    <w:rsid w:val="00E71123"/>
    <w:rsid w:val="00E9617E"/>
    <w:rsid w:val="00ED3190"/>
    <w:rsid w:val="00F628AA"/>
    <w:rsid w:val="00F7367C"/>
    <w:rsid w:val="00F80830"/>
    <w:rsid w:val="00FA5636"/>
    <w:rsid w:val="00FD1F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A4"/>
  </w:style>
  <w:style w:type="paragraph" w:styleId="Heading4">
    <w:name w:val="heading 4"/>
    <w:basedOn w:val="Normal"/>
    <w:link w:val="Heading4Char"/>
    <w:uiPriority w:val="9"/>
    <w:qFormat/>
    <w:rsid w:val="00354D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4D50"/>
    <w:rPr>
      <w:rFonts w:ascii="Times New Roman" w:eastAsia="Times New Roman" w:hAnsi="Times New Roman" w:cs="Times New Roman"/>
      <w:b/>
      <w:bCs/>
      <w:sz w:val="24"/>
      <w:szCs w:val="24"/>
      <w:lang w:eastAsia="en-GB"/>
    </w:rPr>
  </w:style>
  <w:style w:type="paragraph" w:customStyle="1" w:styleId="minuscar">
    <w:name w:val="minus_car"/>
    <w:basedOn w:val="Normal"/>
    <w:rsid w:val="00354D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4D50"/>
    <w:rPr>
      <w:color w:val="0000FF"/>
      <w:u w:val="single"/>
    </w:rPr>
  </w:style>
  <w:style w:type="paragraph" w:styleId="Header">
    <w:name w:val="header"/>
    <w:basedOn w:val="Normal"/>
    <w:link w:val="HeaderChar"/>
    <w:uiPriority w:val="99"/>
    <w:semiHidden/>
    <w:unhideWhenUsed/>
    <w:rsid w:val="008234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4BA"/>
  </w:style>
  <w:style w:type="paragraph" w:styleId="Footer">
    <w:name w:val="footer"/>
    <w:basedOn w:val="Normal"/>
    <w:link w:val="FooterChar"/>
    <w:uiPriority w:val="99"/>
    <w:semiHidden/>
    <w:unhideWhenUsed/>
    <w:rsid w:val="008234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4BA"/>
  </w:style>
  <w:style w:type="character" w:styleId="CommentReference">
    <w:name w:val="annotation reference"/>
    <w:basedOn w:val="DefaultParagraphFont"/>
    <w:uiPriority w:val="99"/>
    <w:semiHidden/>
    <w:unhideWhenUsed/>
    <w:rsid w:val="00934E87"/>
    <w:rPr>
      <w:sz w:val="16"/>
      <w:szCs w:val="16"/>
    </w:rPr>
  </w:style>
  <w:style w:type="paragraph" w:styleId="CommentText">
    <w:name w:val="annotation text"/>
    <w:basedOn w:val="Normal"/>
    <w:link w:val="CommentTextChar"/>
    <w:uiPriority w:val="99"/>
    <w:semiHidden/>
    <w:unhideWhenUsed/>
    <w:rsid w:val="00934E87"/>
    <w:pPr>
      <w:spacing w:line="240" w:lineRule="auto"/>
    </w:pPr>
    <w:rPr>
      <w:sz w:val="20"/>
      <w:szCs w:val="20"/>
    </w:rPr>
  </w:style>
  <w:style w:type="character" w:customStyle="1" w:styleId="CommentTextChar">
    <w:name w:val="Comment Text Char"/>
    <w:basedOn w:val="DefaultParagraphFont"/>
    <w:link w:val="CommentText"/>
    <w:uiPriority w:val="99"/>
    <w:semiHidden/>
    <w:rsid w:val="00934E87"/>
    <w:rPr>
      <w:sz w:val="20"/>
      <w:szCs w:val="20"/>
    </w:rPr>
  </w:style>
  <w:style w:type="paragraph" w:styleId="CommentSubject">
    <w:name w:val="annotation subject"/>
    <w:basedOn w:val="CommentText"/>
    <w:next w:val="CommentText"/>
    <w:link w:val="CommentSubjectChar"/>
    <w:uiPriority w:val="99"/>
    <w:semiHidden/>
    <w:unhideWhenUsed/>
    <w:rsid w:val="00934E87"/>
    <w:rPr>
      <w:b/>
      <w:bCs/>
    </w:rPr>
  </w:style>
  <w:style w:type="character" w:customStyle="1" w:styleId="CommentSubjectChar">
    <w:name w:val="Comment Subject Char"/>
    <w:basedOn w:val="CommentTextChar"/>
    <w:link w:val="CommentSubject"/>
    <w:uiPriority w:val="99"/>
    <w:semiHidden/>
    <w:rsid w:val="00934E87"/>
    <w:rPr>
      <w:b/>
      <w:bCs/>
      <w:sz w:val="20"/>
      <w:szCs w:val="20"/>
    </w:rPr>
  </w:style>
  <w:style w:type="paragraph" w:styleId="BalloonText">
    <w:name w:val="Balloon Text"/>
    <w:basedOn w:val="Normal"/>
    <w:link w:val="BalloonTextChar"/>
    <w:uiPriority w:val="99"/>
    <w:semiHidden/>
    <w:unhideWhenUsed/>
    <w:rsid w:val="0093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87"/>
    <w:rPr>
      <w:rFonts w:ascii="Segoe UI" w:hAnsi="Segoe UI" w:cs="Segoe UI"/>
      <w:sz w:val="18"/>
      <w:szCs w:val="18"/>
    </w:rPr>
  </w:style>
  <w:style w:type="paragraph" w:styleId="Revision">
    <w:name w:val="Revision"/>
    <w:hidden/>
    <w:uiPriority w:val="99"/>
    <w:semiHidden/>
    <w:rsid w:val="008E0B1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893862">
      <w:bodyDiv w:val="1"/>
      <w:marLeft w:val="0"/>
      <w:marRight w:val="0"/>
      <w:marTop w:val="0"/>
      <w:marBottom w:val="0"/>
      <w:divBdr>
        <w:top w:val="none" w:sz="0" w:space="0" w:color="auto"/>
        <w:left w:val="none" w:sz="0" w:space="0" w:color="auto"/>
        <w:bottom w:val="none" w:sz="0" w:space="0" w:color="auto"/>
        <w:right w:val="none" w:sz="0" w:space="0" w:color="auto"/>
      </w:divBdr>
    </w:div>
    <w:div w:id="357777513">
      <w:bodyDiv w:val="1"/>
      <w:marLeft w:val="0"/>
      <w:marRight w:val="0"/>
      <w:marTop w:val="0"/>
      <w:marBottom w:val="0"/>
      <w:divBdr>
        <w:top w:val="none" w:sz="0" w:space="0" w:color="auto"/>
        <w:left w:val="none" w:sz="0" w:space="0" w:color="auto"/>
        <w:bottom w:val="none" w:sz="0" w:space="0" w:color="auto"/>
        <w:right w:val="none" w:sz="0" w:space="0" w:color="auto"/>
      </w:divBdr>
      <w:divsChild>
        <w:div w:id="163533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ld@sgu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wald@ucl.ac.uk"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nwald@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4639-8DF7-4B76-BD7E-51BFF442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 Allen</dc:creator>
  <cp:lastModifiedBy>Dallas</cp:lastModifiedBy>
  <cp:revision>3</cp:revision>
  <cp:lastPrinted>2019-10-16T14:18:00Z</cp:lastPrinted>
  <dcterms:created xsi:type="dcterms:W3CDTF">2019-10-17T10:42:00Z</dcterms:created>
  <dcterms:modified xsi:type="dcterms:W3CDTF">2019-10-17T11:48:00Z</dcterms:modified>
</cp:coreProperties>
</file>