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40" w:rsidRPr="00392CBD" w:rsidRDefault="00193940" w:rsidP="0004128B">
      <w:pPr>
        <w:jc w:val="center"/>
      </w:pPr>
      <w:r w:rsidRPr="00392CBD">
        <w:t xml:space="preserve">Original </w:t>
      </w:r>
      <w:r w:rsidR="003C0E88">
        <w:t>Article</w:t>
      </w:r>
      <w:r w:rsidR="008C6C8B">
        <w:t xml:space="preserve"> (</w:t>
      </w:r>
      <w:r w:rsidR="008C6C8B" w:rsidRPr="008C6C8B">
        <w:t>EHJ-CVP-D-19-00120</w:t>
      </w:r>
      <w:r w:rsidR="008C6C8B">
        <w:t>)</w:t>
      </w:r>
    </w:p>
    <w:p w:rsidR="0083745D" w:rsidRDefault="00193940" w:rsidP="00F66C6A">
      <w:r w:rsidRPr="00392CBD">
        <w:t xml:space="preserve">Title: </w:t>
      </w:r>
      <w:r w:rsidR="004D74CD">
        <w:t>Impact of Vitamin D on C</w:t>
      </w:r>
      <w:r w:rsidR="0083745D">
        <w:t xml:space="preserve">ardiac structure and function in CKD patients with </w:t>
      </w:r>
      <w:proofErr w:type="spellStart"/>
      <w:r w:rsidR="0083745D">
        <w:t>hypovitaminosis</w:t>
      </w:r>
      <w:proofErr w:type="spellEnd"/>
      <w:r w:rsidR="0083745D">
        <w:t xml:space="preserve"> D, a randomised controlled trial and meta-analysis</w:t>
      </w:r>
    </w:p>
    <w:p w:rsidR="00193940" w:rsidRPr="00392CBD" w:rsidRDefault="00193940" w:rsidP="00F66C6A">
      <w:r w:rsidRPr="00392CBD">
        <w:t>Authors: Debasish Banerjee</w:t>
      </w:r>
      <w:r w:rsidR="00881D41">
        <w:t xml:space="preserve"> MD FRCP</w:t>
      </w:r>
      <w:r w:rsidR="00783CDD" w:rsidRPr="00392CBD">
        <w:rPr>
          <w:vertAlign w:val="superscript"/>
        </w:rPr>
        <w:t>1</w:t>
      </w:r>
      <w:proofErr w:type="gramStart"/>
      <w:r w:rsidR="00783CDD" w:rsidRPr="00392CBD">
        <w:rPr>
          <w:vertAlign w:val="superscript"/>
        </w:rPr>
        <w:t>,2</w:t>
      </w:r>
      <w:proofErr w:type="gramEnd"/>
      <w:r w:rsidRPr="00392CBD">
        <w:t>, Nihil Chitalia</w:t>
      </w:r>
      <w:r w:rsidR="00881D41">
        <w:t xml:space="preserve"> MD</w:t>
      </w:r>
      <w:r w:rsidR="00783CDD" w:rsidRPr="00392CBD">
        <w:rPr>
          <w:vertAlign w:val="superscript"/>
        </w:rPr>
        <w:t>2</w:t>
      </w:r>
      <w:r w:rsidR="00BC72D8">
        <w:rPr>
          <w:vertAlign w:val="superscript"/>
        </w:rPr>
        <w:t>,3</w:t>
      </w:r>
      <w:r w:rsidRPr="00392CBD">
        <w:t xml:space="preserve">, </w:t>
      </w:r>
      <w:r w:rsidR="00EA2E95" w:rsidRPr="00392CBD">
        <w:t>Irina Chis Ster</w:t>
      </w:r>
      <w:r w:rsidR="00881D41">
        <w:t xml:space="preserve"> PhD</w:t>
      </w:r>
      <w:r w:rsidR="00BC72D8">
        <w:rPr>
          <w:vertAlign w:val="superscript"/>
        </w:rPr>
        <w:t>4</w:t>
      </w:r>
      <w:r w:rsidR="00EA2E95" w:rsidRPr="00392CBD">
        <w:t xml:space="preserve">, </w:t>
      </w:r>
      <w:r w:rsidRPr="00392CBD">
        <w:t>Evan Appelbaum</w:t>
      </w:r>
      <w:r w:rsidR="00881D41">
        <w:t xml:space="preserve"> MD</w:t>
      </w:r>
      <w:r w:rsidR="00BC72D8">
        <w:rPr>
          <w:vertAlign w:val="superscript"/>
        </w:rPr>
        <w:t>5</w:t>
      </w:r>
      <w:r w:rsidRPr="00392CBD">
        <w:t>, Ravi Thadhani</w:t>
      </w:r>
      <w:r w:rsidR="00881D41">
        <w:t xml:space="preserve"> MD</w:t>
      </w:r>
      <w:r w:rsidR="00BC72D8">
        <w:rPr>
          <w:vertAlign w:val="superscript"/>
        </w:rPr>
        <w:t>6</w:t>
      </w:r>
      <w:r w:rsidRPr="00392CBD">
        <w:t>, Juan Carlos Kaski</w:t>
      </w:r>
      <w:r w:rsidR="00881D41">
        <w:t xml:space="preserve"> MD FRCP</w:t>
      </w:r>
      <w:r w:rsidR="00783CDD" w:rsidRPr="00392CBD">
        <w:rPr>
          <w:vertAlign w:val="superscript"/>
        </w:rPr>
        <w:t>2</w:t>
      </w:r>
      <w:r w:rsidRPr="00392CBD">
        <w:t>, David Goldsmith</w:t>
      </w:r>
      <w:r w:rsidR="00881D41">
        <w:t xml:space="preserve"> MD FRCP</w:t>
      </w:r>
      <w:r w:rsidR="00783CDD" w:rsidRPr="00392CBD">
        <w:rPr>
          <w:vertAlign w:val="superscript"/>
        </w:rPr>
        <w:t>2</w:t>
      </w:r>
    </w:p>
    <w:p w:rsidR="00783CDD" w:rsidRPr="00392CBD" w:rsidRDefault="00193940" w:rsidP="00F66C6A">
      <w:r w:rsidRPr="00392CBD">
        <w:t xml:space="preserve">Institutions: </w:t>
      </w:r>
    </w:p>
    <w:p w:rsidR="00783CDD" w:rsidRDefault="00783CDD" w:rsidP="00783CDD">
      <w:pPr>
        <w:spacing w:after="0"/>
      </w:pPr>
      <w:r w:rsidRPr="00392CBD">
        <w:rPr>
          <w:vertAlign w:val="superscript"/>
        </w:rPr>
        <w:t>1</w:t>
      </w:r>
      <w:r w:rsidRPr="00392CBD">
        <w:t xml:space="preserve">Renal and Transplantation Unit, </w:t>
      </w:r>
      <w:r w:rsidR="00193940" w:rsidRPr="00392CBD">
        <w:t>St George</w:t>
      </w:r>
      <w:r w:rsidR="00A23F97" w:rsidRPr="00392CBD">
        <w:t>’</w:t>
      </w:r>
      <w:r w:rsidR="00193940" w:rsidRPr="00392CBD">
        <w:t xml:space="preserve">s University Hospital NHS Foundation Trust, </w:t>
      </w:r>
      <w:r w:rsidR="00BC72D8">
        <w:t>London, UK</w:t>
      </w:r>
    </w:p>
    <w:p w:rsidR="00BC72D8" w:rsidRDefault="00783CDD" w:rsidP="00BC72D8">
      <w:pPr>
        <w:spacing w:after="0"/>
      </w:pPr>
      <w:r w:rsidRPr="00392CBD">
        <w:rPr>
          <w:vertAlign w:val="superscript"/>
        </w:rPr>
        <w:t>2</w:t>
      </w:r>
      <w:r w:rsidRPr="00392CBD">
        <w:t>Cardiology Clinical Academic Group, Molecular and Clinical Sciences Research Centre, St George</w:t>
      </w:r>
      <w:r w:rsidR="001F6609" w:rsidRPr="00392CBD">
        <w:t>’</w:t>
      </w:r>
      <w:r w:rsidRPr="00392CBD">
        <w:t>s University of London</w:t>
      </w:r>
      <w:r w:rsidR="00BC72D8">
        <w:t>, UK</w:t>
      </w:r>
      <w:r w:rsidR="00BC72D8" w:rsidRPr="00BC72D8">
        <w:t xml:space="preserve"> </w:t>
      </w:r>
    </w:p>
    <w:p w:rsidR="00BC72D8" w:rsidRPr="00392CBD" w:rsidRDefault="00BC72D8" w:rsidP="00BC72D8">
      <w:pPr>
        <w:spacing w:after="0"/>
      </w:pPr>
      <w:r w:rsidRPr="00BC72D8">
        <w:rPr>
          <w:vertAlign w:val="superscript"/>
        </w:rPr>
        <w:t>3</w:t>
      </w:r>
      <w:r>
        <w:t xml:space="preserve">Renal Medicine, </w:t>
      </w:r>
      <w:proofErr w:type="spellStart"/>
      <w:r>
        <w:t>Darent</w:t>
      </w:r>
      <w:proofErr w:type="spellEnd"/>
      <w:r>
        <w:t xml:space="preserve"> Valley Hospital, Dartford, Kent, UK</w:t>
      </w:r>
    </w:p>
    <w:p w:rsidR="00325E2E" w:rsidRPr="00392CBD" w:rsidRDefault="00BC72D8" w:rsidP="00783CDD">
      <w:pPr>
        <w:spacing w:after="0"/>
      </w:pPr>
      <w:proofErr w:type="gramStart"/>
      <w:r w:rsidRPr="00BC72D8">
        <w:rPr>
          <w:vertAlign w:val="superscript"/>
        </w:rPr>
        <w:t>4</w:t>
      </w:r>
      <w:r w:rsidR="00325E2E" w:rsidRPr="00392CBD">
        <w:t>Institute of Infection and Immunity, St George's University of London</w:t>
      </w:r>
      <w:r>
        <w:t>, UK</w:t>
      </w:r>
      <w:r w:rsidR="00325E2E" w:rsidRPr="00392CBD">
        <w:t>.</w:t>
      </w:r>
      <w:proofErr w:type="gramEnd"/>
    </w:p>
    <w:p w:rsidR="00783CDD" w:rsidRPr="00392CBD" w:rsidRDefault="00BC72D8" w:rsidP="00783CDD">
      <w:pPr>
        <w:spacing w:after="0"/>
      </w:pPr>
      <w:r>
        <w:rPr>
          <w:vertAlign w:val="superscript"/>
        </w:rPr>
        <w:t>5</w:t>
      </w:r>
      <w:r w:rsidR="005E11B2" w:rsidRPr="00392CBD">
        <w:t>Beth Israel Deaconess Medical Centre,</w:t>
      </w:r>
      <w:r>
        <w:t xml:space="preserve"> Boston, MA, USA</w:t>
      </w:r>
    </w:p>
    <w:p w:rsidR="00193940" w:rsidRPr="00392CBD" w:rsidRDefault="00BC72D8" w:rsidP="00783CDD">
      <w:pPr>
        <w:spacing w:after="0"/>
      </w:pPr>
      <w:r>
        <w:rPr>
          <w:vertAlign w:val="superscript"/>
        </w:rPr>
        <w:t>6</w:t>
      </w:r>
      <w:r w:rsidR="00783CDD" w:rsidRPr="00392CBD">
        <w:rPr>
          <w:vertAlign w:val="superscript"/>
        </w:rPr>
        <w:t xml:space="preserve"> </w:t>
      </w:r>
      <w:r w:rsidR="00783CDD" w:rsidRPr="00392CBD">
        <w:t>Department</w:t>
      </w:r>
      <w:r w:rsidR="00565910">
        <w:t xml:space="preserve">s of Biomedical Sciences and Medicine, Cedars-Sinai Medical </w:t>
      </w:r>
      <w:proofErr w:type="spellStart"/>
      <w:r w:rsidR="00565910">
        <w:t>Center</w:t>
      </w:r>
      <w:proofErr w:type="spellEnd"/>
      <w:r w:rsidR="00565910">
        <w:t>, Los Angeles CA</w:t>
      </w:r>
      <w:r>
        <w:t>, USA</w:t>
      </w:r>
    </w:p>
    <w:p w:rsidR="005E11B2" w:rsidRPr="00392CBD" w:rsidRDefault="005E11B2" w:rsidP="00F66C6A"/>
    <w:p w:rsidR="00D5571A" w:rsidRDefault="00D5571A" w:rsidP="00F66C6A"/>
    <w:p w:rsidR="0083745D" w:rsidRDefault="005E11B2" w:rsidP="00F66C6A">
      <w:r w:rsidRPr="00392CBD">
        <w:t xml:space="preserve">Running title: </w:t>
      </w:r>
      <w:proofErr w:type="spellStart"/>
      <w:r w:rsidR="004D74CD">
        <w:t>C</w:t>
      </w:r>
      <w:r w:rsidR="0094237B">
        <w:t>holeC</w:t>
      </w:r>
      <w:r w:rsidR="0083745D">
        <w:t>alciferol</w:t>
      </w:r>
      <w:proofErr w:type="spellEnd"/>
      <w:r w:rsidR="0083745D">
        <w:t xml:space="preserve"> </w:t>
      </w:r>
      <w:r w:rsidR="00D5571A">
        <w:t>&amp;</w:t>
      </w:r>
      <w:r w:rsidR="004D74CD">
        <w:t xml:space="preserve"> Cardiac C</w:t>
      </w:r>
      <w:r w:rsidR="0083745D">
        <w:t>hanges in CKD</w:t>
      </w:r>
      <w:r w:rsidR="00D5571A">
        <w:t>; 5C study</w:t>
      </w:r>
    </w:p>
    <w:p w:rsidR="00C90F4B" w:rsidRDefault="005E11B2" w:rsidP="00F66C6A">
      <w:r w:rsidRPr="00392CBD">
        <w:t>Word count</w:t>
      </w:r>
      <w:r w:rsidR="00C261C2">
        <w:t xml:space="preserve">: </w:t>
      </w:r>
      <w:r w:rsidR="00C90F4B" w:rsidRPr="00957CE7">
        <w:t>Abstract 250 words</w:t>
      </w:r>
      <w:r w:rsidR="00C90F4B">
        <w:t xml:space="preserve">, </w:t>
      </w:r>
      <w:r w:rsidR="007D26C9">
        <w:t>4931</w:t>
      </w:r>
      <w:r w:rsidR="00957CE7" w:rsidRPr="00957CE7">
        <w:t xml:space="preserve"> </w:t>
      </w:r>
      <w:r w:rsidR="00C90F4B">
        <w:t xml:space="preserve">with references </w:t>
      </w:r>
      <w:r w:rsidR="00957CE7" w:rsidRPr="00957CE7">
        <w:t xml:space="preserve">acknowledgements, figure legends </w:t>
      </w:r>
      <w:r w:rsidR="00262216">
        <w:t>Tables 5 Figures 4; supplementary file with six tables and 1 figure</w:t>
      </w:r>
    </w:p>
    <w:p w:rsidR="00C90F4B" w:rsidRDefault="00C90F4B" w:rsidP="00F66C6A"/>
    <w:p w:rsidR="005E11B2" w:rsidRPr="00392CBD" w:rsidRDefault="005E11B2" w:rsidP="00F66C6A">
      <w:r w:rsidRPr="00392CBD">
        <w:t>Correspondence</w:t>
      </w:r>
    </w:p>
    <w:p w:rsidR="005E11B2" w:rsidRPr="00392CBD" w:rsidRDefault="005E11B2" w:rsidP="005E11B2">
      <w:pPr>
        <w:spacing w:after="0" w:line="240" w:lineRule="auto"/>
      </w:pPr>
      <w:r w:rsidRPr="00392CBD">
        <w:t>Debasish Banerjee</w:t>
      </w:r>
      <w:r w:rsidR="008D6F78" w:rsidRPr="00392CBD">
        <w:t xml:space="preserve"> MD FRCP </w:t>
      </w:r>
    </w:p>
    <w:p w:rsidR="005E11B2" w:rsidRPr="00392CBD" w:rsidRDefault="005E11B2" w:rsidP="005E11B2">
      <w:pPr>
        <w:spacing w:after="0" w:line="240" w:lineRule="auto"/>
      </w:pPr>
      <w:r w:rsidRPr="00392CBD">
        <w:t>Consultant Nephrologist and Reader</w:t>
      </w:r>
    </w:p>
    <w:p w:rsidR="005E11B2" w:rsidRPr="00392CBD" w:rsidRDefault="00783CDD" w:rsidP="005E11B2">
      <w:pPr>
        <w:spacing w:after="0" w:line="240" w:lineRule="auto"/>
      </w:pPr>
      <w:r w:rsidRPr="00392CBD">
        <w:t xml:space="preserve">Renal and Transplantation Unit, </w:t>
      </w:r>
      <w:r w:rsidR="005E11B2" w:rsidRPr="00392CBD">
        <w:t>St George</w:t>
      </w:r>
      <w:r w:rsidRPr="00392CBD">
        <w:t>’</w:t>
      </w:r>
      <w:r w:rsidR="005E11B2" w:rsidRPr="00392CBD">
        <w:t xml:space="preserve">s University </w:t>
      </w:r>
      <w:r w:rsidR="008D6F78" w:rsidRPr="00392CBD">
        <w:t>H</w:t>
      </w:r>
      <w:r w:rsidR="005E11B2" w:rsidRPr="00392CBD">
        <w:t>ospital NHS Foundation Trust</w:t>
      </w:r>
    </w:p>
    <w:p w:rsidR="001F6609" w:rsidRPr="00392CBD" w:rsidRDefault="00B63EDB" w:rsidP="005E11B2">
      <w:pPr>
        <w:spacing w:after="0" w:line="240" w:lineRule="auto"/>
      </w:pPr>
      <w:r w:rsidRPr="00392CBD">
        <w:t xml:space="preserve">Cardiology Clinical Academic Group, </w:t>
      </w:r>
      <w:r w:rsidR="001F6609" w:rsidRPr="00392CBD">
        <w:t xml:space="preserve">Molecular and Clinical Sciences Research Institute, St George’s, University of London </w:t>
      </w:r>
    </w:p>
    <w:p w:rsidR="005E11B2" w:rsidRPr="00392CBD" w:rsidRDefault="005E11B2" w:rsidP="005E11B2">
      <w:pPr>
        <w:spacing w:after="0" w:line="240" w:lineRule="auto"/>
      </w:pPr>
      <w:r w:rsidRPr="00392CBD">
        <w:t xml:space="preserve">G 2.113, Grosvenor Wing, </w:t>
      </w:r>
      <w:proofErr w:type="spellStart"/>
      <w:r w:rsidRPr="00392CBD">
        <w:t>Blackshaw</w:t>
      </w:r>
      <w:proofErr w:type="spellEnd"/>
      <w:r w:rsidRPr="00392CBD">
        <w:t xml:space="preserve"> Road, Tooting, </w:t>
      </w:r>
    </w:p>
    <w:p w:rsidR="005E11B2" w:rsidRPr="00392CBD" w:rsidRDefault="005E11B2" w:rsidP="005E11B2">
      <w:pPr>
        <w:spacing w:after="0" w:line="240" w:lineRule="auto"/>
      </w:pPr>
      <w:r w:rsidRPr="00392CBD">
        <w:t>London</w:t>
      </w:r>
      <w:r w:rsidR="00865F08" w:rsidRPr="00392CBD">
        <w:t>, UK, SW17 0QT</w:t>
      </w:r>
    </w:p>
    <w:p w:rsidR="005E11B2" w:rsidRPr="00392CBD" w:rsidRDefault="005E11B2" w:rsidP="005E11B2">
      <w:pPr>
        <w:spacing w:after="0" w:line="240" w:lineRule="auto"/>
      </w:pPr>
      <w:r w:rsidRPr="00392CBD">
        <w:t>Tel +44 2087251673, fax +44 2087252068</w:t>
      </w:r>
    </w:p>
    <w:p w:rsidR="00565910" w:rsidRDefault="00865F08" w:rsidP="00BC72D8">
      <w:pPr>
        <w:rPr>
          <w:rStyle w:val="Hyperlink"/>
        </w:rPr>
      </w:pPr>
      <w:r w:rsidRPr="00392CBD">
        <w:t xml:space="preserve">Email: </w:t>
      </w:r>
      <w:hyperlink r:id="rId9" w:history="1">
        <w:r w:rsidR="00565910" w:rsidRPr="000E1459">
          <w:rPr>
            <w:rStyle w:val="Hyperlink"/>
          </w:rPr>
          <w:t>debasish.banerjee@stgeorges.nhs.uk</w:t>
        </w:r>
      </w:hyperlink>
    </w:p>
    <w:p w:rsidR="001F37BA" w:rsidRDefault="001F37BA">
      <w:r>
        <w:br w:type="page"/>
      </w:r>
    </w:p>
    <w:p w:rsidR="00404EAD" w:rsidRPr="00FC46A3" w:rsidRDefault="00404EAD" w:rsidP="00196D9C">
      <w:pPr>
        <w:spacing w:line="480" w:lineRule="auto"/>
        <w:rPr>
          <w:b/>
        </w:rPr>
      </w:pPr>
      <w:r w:rsidRPr="00FC46A3">
        <w:rPr>
          <w:b/>
        </w:rPr>
        <w:lastRenderedPageBreak/>
        <w:t xml:space="preserve">Abstract: </w:t>
      </w:r>
    </w:p>
    <w:p w:rsidR="0043260F" w:rsidRDefault="0043260F" w:rsidP="00196D9C">
      <w:pPr>
        <w:spacing w:line="480" w:lineRule="auto"/>
        <w:jc w:val="both"/>
      </w:pPr>
      <w:r>
        <w:t>Introduction</w:t>
      </w:r>
    </w:p>
    <w:p w:rsidR="0043260F" w:rsidRDefault="00404EAD" w:rsidP="00196D9C">
      <w:pPr>
        <w:spacing w:line="480" w:lineRule="auto"/>
        <w:jc w:val="both"/>
      </w:pPr>
      <w:r>
        <w:t xml:space="preserve">Vitamin D deficiency is associated with cardiovascular events in CKD yet the impact of supplementation is controversial. Previous active vitamin D supplementation studies did not show improvement in cardiac structure or function but the effect of native vitamin D supplementation in CKD patients with low vitamin D levels is unknown.  We have addressed this question via both a </w:t>
      </w:r>
      <w:r w:rsidR="0043260F">
        <w:t xml:space="preserve">randomised </w:t>
      </w:r>
      <w:r>
        <w:t xml:space="preserve">double-blind prospective study and a meta-analysis of three randomised placebo-controlled studies. </w:t>
      </w:r>
    </w:p>
    <w:p w:rsidR="0043260F" w:rsidRDefault="0043260F" w:rsidP="00196D9C">
      <w:pPr>
        <w:spacing w:line="480" w:lineRule="auto"/>
        <w:jc w:val="both"/>
      </w:pPr>
      <w:r>
        <w:t xml:space="preserve">Methods </w:t>
      </w:r>
      <w:r w:rsidR="00196D9C">
        <w:t>and Results</w:t>
      </w:r>
    </w:p>
    <w:p w:rsidR="0043260F" w:rsidRDefault="00404EAD" w:rsidP="00196D9C">
      <w:pPr>
        <w:spacing w:line="480" w:lineRule="auto"/>
        <w:jc w:val="both"/>
      </w:pPr>
      <w:r>
        <w:t xml:space="preserve">We conducted a </w:t>
      </w:r>
      <w:r w:rsidR="0043260F">
        <w:t xml:space="preserve">randomised </w:t>
      </w:r>
      <w:r>
        <w:t xml:space="preserve">double-blind, placebo-controlled trial of vitamin D supplementation in stable, non-diabetic, CKD 3-4 patients with circulating vitamin D &lt;75nmol/L, who were receiving treatment with </w:t>
      </w:r>
      <w:proofErr w:type="spellStart"/>
      <w:r>
        <w:t>ACEi</w:t>
      </w:r>
      <w:proofErr w:type="spellEnd"/>
      <w:r>
        <w:t xml:space="preserve"> or ARB and had high-normal left ventricular (LV) mass. Patients were randomised to receive 6 directly-observed doses of 100,000 IU </w:t>
      </w:r>
      <w:proofErr w:type="spellStart"/>
      <w:r>
        <w:t>cholecalciferol</w:t>
      </w:r>
      <w:proofErr w:type="spellEnd"/>
      <w:r>
        <w:t xml:space="preserve"> (n=25) or matched placebo (n=23). The primary endpoint was change in LV Mass index (LVMI) over 52 weeks, as assessed by cardiac magnetic resonance imaging. Secondary endpoints included changes in LV ejection fraction; left and right ventricular volumes and left and right atrial area. </w:t>
      </w:r>
    </w:p>
    <w:p w:rsidR="0043260F" w:rsidRDefault="00404EAD" w:rsidP="00196D9C">
      <w:pPr>
        <w:spacing w:line="480" w:lineRule="auto"/>
        <w:jc w:val="both"/>
      </w:pPr>
      <w:r>
        <w:t xml:space="preserve">Vitamin D concentration increased with the administration of </w:t>
      </w:r>
      <w:proofErr w:type="spellStart"/>
      <w:r>
        <w:t>cholecalciferol</w:t>
      </w:r>
      <w:proofErr w:type="spellEnd"/>
      <w:r>
        <w:t xml:space="preserve">. The change in LVMI with </w:t>
      </w:r>
      <w:proofErr w:type="spellStart"/>
      <w:r>
        <w:t>cholecalciferol</w:t>
      </w:r>
      <w:proofErr w:type="spellEnd"/>
      <w:r>
        <w:t xml:space="preserve"> (</w:t>
      </w:r>
      <w:proofErr w:type="gramStart"/>
      <w:r>
        <w:t>median[</w:t>
      </w:r>
      <w:proofErr w:type="gramEnd"/>
      <w:r>
        <w:t>interquartile-range], -0.25g[-7.20 to 5.30]) was no different from placebo (-4.30</w:t>
      </w:r>
      <w:r w:rsidR="002D12EF" w:rsidRPr="002D12EF">
        <w:rPr>
          <w:color w:val="0070C0"/>
        </w:rPr>
        <w:t>g</w:t>
      </w:r>
      <w:r>
        <w:t>[9.70 to 2.60]). There was no difference in changes of LV ejection fraction; left and right ventricular volumes and left and right atrial area.  The meta-analysis of three 52-week, randomised placebo-controlled studies using active/native vitamin D supplementation showed no differences in LVMI measurements.</w:t>
      </w:r>
      <w:r w:rsidR="004D74CD">
        <w:t xml:space="preserve"> </w:t>
      </w:r>
    </w:p>
    <w:p w:rsidR="0043260F" w:rsidRDefault="0043260F" w:rsidP="00196D9C">
      <w:pPr>
        <w:spacing w:line="480" w:lineRule="auto"/>
        <w:jc w:val="both"/>
      </w:pPr>
      <w:r>
        <w:t>Conclusion</w:t>
      </w:r>
    </w:p>
    <w:p w:rsidR="00404EAD" w:rsidRDefault="00404EAD" w:rsidP="00196D9C">
      <w:pPr>
        <w:spacing w:line="480" w:lineRule="auto"/>
        <w:jc w:val="both"/>
      </w:pPr>
      <w:r>
        <w:lastRenderedPageBreak/>
        <w:t xml:space="preserve">Vitamin D supplementation does not have beneficial effects on left ventricular mass in CKD patients.  </w:t>
      </w:r>
    </w:p>
    <w:p w:rsidR="00404EAD" w:rsidRDefault="00404EAD" w:rsidP="00196D9C">
      <w:pPr>
        <w:spacing w:line="480" w:lineRule="auto"/>
        <w:jc w:val="both"/>
      </w:pPr>
      <w:r>
        <w:t xml:space="preserve">Key words: Chronic Kidney Disease, </w:t>
      </w:r>
      <w:r w:rsidR="00D5571A">
        <w:t xml:space="preserve">Cardiovascular disease, </w:t>
      </w:r>
      <w:r>
        <w:t xml:space="preserve">Vitamin D, </w:t>
      </w:r>
      <w:proofErr w:type="spellStart"/>
      <w:r>
        <w:t>Cholecalciferol</w:t>
      </w:r>
      <w:proofErr w:type="spellEnd"/>
      <w:r>
        <w:t>, Left Ventricular Mass</w:t>
      </w:r>
    </w:p>
    <w:p w:rsidR="00BC72D8" w:rsidRDefault="00BC72D8" w:rsidP="00A45180">
      <w:pPr>
        <w:jc w:val="center"/>
        <w:rPr>
          <w:b/>
        </w:rPr>
      </w:pPr>
    </w:p>
    <w:p w:rsidR="00404EAD" w:rsidRDefault="00404EAD">
      <w:pPr>
        <w:rPr>
          <w:b/>
        </w:rPr>
      </w:pPr>
      <w:r>
        <w:rPr>
          <w:b/>
        </w:rPr>
        <w:br w:type="page"/>
      </w:r>
    </w:p>
    <w:p w:rsidR="00193940" w:rsidRPr="00392CBD" w:rsidRDefault="00193940" w:rsidP="00196D9C">
      <w:pPr>
        <w:spacing w:line="480" w:lineRule="auto"/>
        <w:jc w:val="center"/>
        <w:rPr>
          <w:b/>
        </w:rPr>
      </w:pPr>
      <w:r w:rsidRPr="00392CBD">
        <w:rPr>
          <w:b/>
        </w:rPr>
        <w:lastRenderedPageBreak/>
        <w:t>Introduction</w:t>
      </w:r>
    </w:p>
    <w:p w:rsidR="00A45180" w:rsidRPr="00392CBD" w:rsidRDefault="00853CA8" w:rsidP="00196D9C">
      <w:pPr>
        <w:spacing w:line="480" w:lineRule="auto"/>
        <w:jc w:val="both"/>
      </w:pPr>
      <w:r w:rsidRPr="00392CBD">
        <w:t>Adverse c</w:t>
      </w:r>
      <w:r w:rsidR="00A45180" w:rsidRPr="00392CBD">
        <w:t>ardiovascular</w:t>
      </w:r>
      <w:r w:rsidR="00C2361B">
        <w:t xml:space="preserve"> (CV)</w:t>
      </w:r>
      <w:r w:rsidR="00A45180" w:rsidRPr="00392CBD">
        <w:t xml:space="preserve"> events are the most common cause of morbidity and mortality in patients with chronic kidney disease (CKD)</w:t>
      </w:r>
      <w:r w:rsidRPr="00392CBD">
        <w:t>. On this basis</w:t>
      </w:r>
      <w:r w:rsidR="00A45180" w:rsidRPr="00392CBD">
        <w:t>,</w:t>
      </w:r>
      <w:r w:rsidRPr="00392CBD">
        <w:t xml:space="preserve"> many</w:t>
      </w:r>
      <w:r w:rsidR="00A45180" w:rsidRPr="00392CBD">
        <w:t xml:space="preserve"> interventions </w:t>
      </w:r>
      <w:r w:rsidRPr="00392CBD">
        <w:t xml:space="preserve">have been deployed </w:t>
      </w:r>
      <w:r w:rsidR="00A45180" w:rsidRPr="00392CBD">
        <w:t xml:space="preserve">to </w:t>
      </w:r>
      <w:r w:rsidRPr="00392CBD">
        <w:t xml:space="preserve">try to </w:t>
      </w:r>
      <w:r w:rsidR="00A45180" w:rsidRPr="00392CBD">
        <w:t xml:space="preserve">improve cardiovascular risk </w:t>
      </w:r>
      <w:r w:rsidRPr="00392CBD">
        <w:t>in CKD, though no clear successes can be reported.</w:t>
      </w:r>
      <w:r w:rsidR="0005360B" w:rsidRPr="0005360B">
        <w:rPr>
          <w:vertAlign w:val="superscript"/>
        </w:rPr>
        <w:t>1</w:t>
      </w:r>
      <w:r w:rsidRPr="00392CBD">
        <w:t xml:space="preserve"> </w:t>
      </w:r>
      <w:r w:rsidR="00A45180" w:rsidRPr="00392CBD">
        <w:t>Vitamin D deficiency is common in CKD</w:t>
      </w:r>
      <w:r w:rsidR="00A01AA7" w:rsidRPr="00392CBD">
        <w:t xml:space="preserve"> and is caused by</w:t>
      </w:r>
      <w:r w:rsidR="00A45180" w:rsidRPr="00392CBD">
        <w:t xml:space="preserve"> deficiency of </w:t>
      </w:r>
      <w:r w:rsidR="00A01AA7" w:rsidRPr="00392CBD">
        <w:t xml:space="preserve">serum </w:t>
      </w:r>
      <w:r w:rsidR="00A45180" w:rsidRPr="00392CBD">
        <w:t xml:space="preserve">25 </w:t>
      </w:r>
      <w:proofErr w:type="spellStart"/>
      <w:r w:rsidR="00A45180" w:rsidRPr="00392CBD">
        <w:t>hydroxy</w:t>
      </w:r>
      <w:proofErr w:type="spellEnd"/>
      <w:r w:rsidR="00A45180" w:rsidRPr="00392CBD">
        <w:t xml:space="preserve"> vitamin D and </w:t>
      </w:r>
      <w:r w:rsidR="00A01AA7" w:rsidRPr="00392CBD">
        <w:t xml:space="preserve">by </w:t>
      </w:r>
      <w:r w:rsidR="00A45180" w:rsidRPr="00392CBD">
        <w:t>decreased</w:t>
      </w:r>
      <w:r w:rsidR="00A01AA7" w:rsidRPr="00392CBD">
        <w:t xml:space="preserve"> </w:t>
      </w:r>
      <w:r w:rsidR="00A45180" w:rsidRPr="00392CBD">
        <w:t>activation</w:t>
      </w:r>
      <w:r w:rsidR="00A01AA7" w:rsidRPr="00392CBD">
        <w:t xml:space="preserve"> of this vitamin D species</w:t>
      </w:r>
      <w:r w:rsidR="00A45180" w:rsidRPr="00392CBD">
        <w:t xml:space="preserve"> to 1,25 </w:t>
      </w:r>
      <w:proofErr w:type="spellStart"/>
      <w:r w:rsidR="00A45180" w:rsidRPr="00392CBD">
        <w:t>dihydroxy</w:t>
      </w:r>
      <w:proofErr w:type="spellEnd"/>
      <w:r w:rsidR="00A01AA7" w:rsidRPr="00392CBD">
        <w:t xml:space="preserve"> </w:t>
      </w:r>
      <w:r w:rsidR="00A45180" w:rsidRPr="00392CBD">
        <w:t xml:space="preserve">vitamin D. Observational studies have suggested </w:t>
      </w:r>
      <w:r w:rsidR="00A01AA7" w:rsidRPr="00392CBD">
        <w:t xml:space="preserve">that </w:t>
      </w:r>
      <w:r w:rsidR="00A45180" w:rsidRPr="00392CBD">
        <w:t xml:space="preserve">cardiovascular </w:t>
      </w:r>
      <w:r w:rsidR="00A01AA7" w:rsidRPr="00392CBD">
        <w:t xml:space="preserve">and renal </w:t>
      </w:r>
      <w:r w:rsidR="00A45180" w:rsidRPr="00392CBD">
        <w:t xml:space="preserve">outcomes in CKD patients </w:t>
      </w:r>
      <w:r w:rsidR="00A01AA7" w:rsidRPr="00392CBD">
        <w:t>are worse in</w:t>
      </w:r>
      <w:r w:rsidR="00A45180" w:rsidRPr="00392CBD">
        <w:t xml:space="preserve"> </w:t>
      </w:r>
      <w:r w:rsidR="00A01AA7" w:rsidRPr="00392CBD">
        <w:t xml:space="preserve">CKD patients with </w:t>
      </w:r>
      <w:r w:rsidR="00A45180" w:rsidRPr="00392CBD">
        <w:t xml:space="preserve">low </w:t>
      </w:r>
      <w:r w:rsidR="00A01AA7" w:rsidRPr="00392CBD">
        <w:t xml:space="preserve">serum </w:t>
      </w:r>
      <w:r w:rsidR="00A45180" w:rsidRPr="00392CBD">
        <w:t xml:space="preserve">vitamin D </w:t>
      </w:r>
      <w:r w:rsidR="00A01AA7" w:rsidRPr="00392CBD">
        <w:t xml:space="preserve">concentrations; while some clinical outcomes </w:t>
      </w:r>
      <w:r w:rsidR="001C4A2F" w:rsidRPr="00392CBD">
        <w:t>may possibly</w:t>
      </w:r>
      <w:r w:rsidR="00A45180" w:rsidRPr="00392CBD">
        <w:t xml:space="preserve"> improve with </w:t>
      </w:r>
      <w:r w:rsidR="001C4A2F" w:rsidRPr="00392CBD">
        <w:t xml:space="preserve">vitamin D </w:t>
      </w:r>
      <w:r w:rsidR="00A45180" w:rsidRPr="00392CBD">
        <w:t>supplementation</w:t>
      </w:r>
      <w:r w:rsidR="002D12EF">
        <w:t>.</w:t>
      </w:r>
      <w:r w:rsidR="0005360B" w:rsidRPr="0005360B">
        <w:rPr>
          <w:vertAlign w:val="superscript"/>
        </w:rPr>
        <w:t>2-5</w:t>
      </w:r>
      <w:r w:rsidR="001B416F" w:rsidRPr="00392CBD">
        <w:t xml:space="preserve"> </w:t>
      </w:r>
      <w:r w:rsidR="00A45180" w:rsidRPr="00392CBD">
        <w:t>Left ventricular hypertrophy (LVH) a significant risk factor for CV events</w:t>
      </w:r>
      <w:r w:rsidR="0004128B" w:rsidRPr="00392CBD">
        <w:t xml:space="preserve">, such as heart failure and sudden cardiac death, is </w:t>
      </w:r>
      <w:r w:rsidR="00A01AA7" w:rsidRPr="00392CBD">
        <w:t xml:space="preserve">also very </w:t>
      </w:r>
      <w:r w:rsidR="0004128B" w:rsidRPr="00392CBD">
        <w:t>common in CKD</w:t>
      </w:r>
      <w:r w:rsidR="00F20EE5" w:rsidRPr="00392CBD">
        <w:t>.</w:t>
      </w:r>
      <w:r w:rsidR="0005360B" w:rsidRPr="0005360B">
        <w:rPr>
          <w:vertAlign w:val="superscript"/>
        </w:rPr>
        <w:t>6</w:t>
      </w:r>
      <w:r w:rsidR="0004128B" w:rsidRPr="00392CBD">
        <w:t xml:space="preserve"> LVH</w:t>
      </w:r>
      <w:r w:rsidR="00A45180" w:rsidRPr="00392CBD">
        <w:t xml:space="preserve"> </w:t>
      </w:r>
      <w:r w:rsidR="00B15810" w:rsidRPr="00392CBD">
        <w:t xml:space="preserve">in animal experiments is associated low vitamin D activity and </w:t>
      </w:r>
      <w:r w:rsidR="00A01AA7" w:rsidRPr="00392CBD">
        <w:t>can be shown to reverse or improve</w:t>
      </w:r>
      <w:r w:rsidR="00B15810" w:rsidRPr="00392CBD">
        <w:t xml:space="preserve"> with supplementation</w:t>
      </w:r>
      <w:r w:rsidR="002D12EF">
        <w:t>.</w:t>
      </w:r>
      <w:r w:rsidR="0005360B" w:rsidRPr="0005360B">
        <w:rPr>
          <w:vertAlign w:val="superscript"/>
        </w:rPr>
        <w:t>7</w:t>
      </w:r>
      <w:r w:rsidR="00B15810" w:rsidRPr="00392CBD">
        <w:t xml:space="preserve"> </w:t>
      </w:r>
      <w:r w:rsidR="00A45180" w:rsidRPr="00392CBD">
        <w:t xml:space="preserve"> </w:t>
      </w:r>
      <w:r w:rsidR="0004128B" w:rsidRPr="00392CBD">
        <w:t>In patients with heart failure</w:t>
      </w:r>
      <w:r w:rsidR="00A01AA7" w:rsidRPr="00392CBD">
        <w:t>,</w:t>
      </w:r>
      <w:r w:rsidR="0004128B" w:rsidRPr="00392CBD">
        <w:t xml:space="preserve"> vitamin D</w:t>
      </w:r>
      <w:r w:rsidR="00A01AA7" w:rsidRPr="00392CBD">
        <w:t xml:space="preserve"> supplementation given as </w:t>
      </w:r>
      <w:proofErr w:type="spellStart"/>
      <w:r w:rsidR="0004128B" w:rsidRPr="00392CBD">
        <w:t>cholecalciferol</w:t>
      </w:r>
      <w:proofErr w:type="spellEnd"/>
      <w:r w:rsidR="0004128B" w:rsidRPr="00392CBD">
        <w:t xml:space="preserve"> </w:t>
      </w:r>
      <w:r w:rsidR="00AA5BFC" w:rsidRPr="00392CBD">
        <w:t xml:space="preserve">4000 </w:t>
      </w:r>
      <w:proofErr w:type="spellStart"/>
      <w:r w:rsidR="00AA5BFC" w:rsidRPr="00392CBD">
        <w:t>iu</w:t>
      </w:r>
      <w:proofErr w:type="spellEnd"/>
      <w:r w:rsidR="00AA5BFC" w:rsidRPr="00392CBD">
        <w:t>/day</w:t>
      </w:r>
      <w:r w:rsidR="0004128B" w:rsidRPr="00392CBD">
        <w:t xml:space="preserve"> is associated with </w:t>
      </w:r>
      <w:r w:rsidR="00AA5BFC" w:rsidRPr="00392CBD">
        <w:t>improvement ejection function and left ventricular volume</w:t>
      </w:r>
      <w:r w:rsidR="00F20EE5" w:rsidRPr="00392CBD">
        <w:t>.</w:t>
      </w:r>
      <w:r w:rsidR="0005360B" w:rsidRPr="0005360B">
        <w:rPr>
          <w:vertAlign w:val="superscript"/>
        </w:rPr>
        <w:t>8</w:t>
      </w:r>
      <w:r w:rsidR="0004128B" w:rsidRPr="00392CBD">
        <w:t xml:space="preserve"> </w:t>
      </w:r>
    </w:p>
    <w:p w:rsidR="00A45180" w:rsidRPr="00EA7557" w:rsidRDefault="001C4A2F" w:rsidP="00196D9C">
      <w:pPr>
        <w:spacing w:line="480" w:lineRule="auto"/>
        <w:jc w:val="both"/>
        <w:rPr>
          <w:color w:val="0070C0"/>
          <w:u w:val="single"/>
        </w:rPr>
      </w:pPr>
      <w:r w:rsidRPr="00392CBD">
        <w:t xml:space="preserve">There are only 2 previous </w:t>
      </w:r>
      <w:r w:rsidR="00565910">
        <w:t>randomi</w:t>
      </w:r>
      <w:r w:rsidR="00C2361B">
        <w:t>s</w:t>
      </w:r>
      <w:r w:rsidR="00565910">
        <w:t xml:space="preserve">ed trials </w:t>
      </w:r>
      <w:r w:rsidRPr="00392CBD">
        <w:t>examining the impact of vitamin D supplementation on LVH in CKD patients. Both of these two previous CKD studies used a</w:t>
      </w:r>
      <w:r w:rsidR="00FE10B0" w:rsidRPr="00392CBD">
        <w:t xml:space="preserve">ctive vitamin D </w:t>
      </w:r>
      <w:r w:rsidRPr="00392CBD">
        <w:t xml:space="preserve">in the form of </w:t>
      </w:r>
      <w:proofErr w:type="spellStart"/>
      <w:proofErr w:type="gramStart"/>
      <w:r w:rsidR="00FE10B0" w:rsidRPr="00392CBD">
        <w:t>Paricalcitol</w:t>
      </w:r>
      <w:proofErr w:type="spellEnd"/>
      <w:r w:rsidR="00FE10B0" w:rsidRPr="00392CBD">
        <w:t xml:space="preserve"> </w:t>
      </w:r>
      <w:r w:rsidR="00AA1AF2" w:rsidRPr="00392CBD">
        <w:t xml:space="preserve"> (</w:t>
      </w:r>
      <w:proofErr w:type="gramEnd"/>
      <w:r w:rsidR="00AA1AF2" w:rsidRPr="00392CBD">
        <w:t>19-nor-1,25-dihydroxy-vitamin D</w:t>
      </w:r>
      <w:r w:rsidR="00AA1AF2" w:rsidRPr="00C2361B">
        <w:rPr>
          <w:vertAlign w:val="subscript"/>
        </w:rPr>
        <w:t>2</w:t>
      </w:r>
      <w:r w:rsidR="00AA1AF2" w:rsidRPr="00392CBD">
        <w:t>)</w:t>
      </w:r>
      <w:r w:rsidRPr="00392CBD">
        <w:t xml:space="preserve"> </w:t>
      </w:r>
      <w:r w:rsidR="00FE10B0" w:rsidRPr="00392CBD">
        <w:t xml:space="preserve">to </w:t>
      </w:r>
      <w:r w:rsidRPr="00392CBD">
        <w:t>try to ameliorate</w:t>
      </w:r>
      <w:r w:rsidR="00FE10B0" w:rsidRPr="00392CBD">
        <w:t xml:space="preserve"> LVH</w:t>
      </w:r>
      <w:r w:rsidR="002D12EF">
        <w:t>.</w:t>
      </w:r>
      <w:r w:rsidR="00CD0326" w:rsidRPr="00CD0326">
        <w:rPr>
          <w:vertAlign w:val="superscript"/>
        </w:rPr>
        <w:t>9</w:t>
      </w:r>
      <w:r w:rsidR="00CD0326">
        <w:rPr>
          <w:vertAlign w:val="superscript"/>
        </w:rPr>
        <w:t>,10</w:t>
      </w:r>
      <w:r w:rsidR="001B416F" w:rsidRPr="00392CBD">
        <w:t xml:space="preserve"> </w:t>
      </w:r>
      <w:r w:rsidRPr="00392CBD">
        <w:t xml:space="preserve">The choice of </w:t>
      </w:r>
      <w:proofErr w:type="spellStart"/>
      <w:r w:rsidRPr="00392CBD">
        <w:t>paricalcitol</w:t>
      </w:r>
      <w:proofErr w:type="spellEnd"/>
      <w:r w:rsidRPr="00392CBD">
        <w:t xml:space="preserve"> was made in part because of a</w:t>
      </w:r>
      <w:r w:rsidR="00FE10B0" w:rsidRPr="00392CBD">
        <w:t xml:space="preserve"> belief that it w</w:t>
      </w:r>
      <w:r w:rsidR="001B416F" w:rsidRPr="00392CBD">
        <w:t>ould</w:t>
      </w:r>
      <w:r w:rsidR="00FE10B0" w:rsidRPr="00392CBD">
        <w:t xml:space="preserve"> be more effective than </w:t>
      </w:r>
      <w:r w:rsidRPr="00392CBD">
        <w:t xml:space="preserve">a native form of vitamin D, </w:t>
      </w:r>
      <w:proofErr w:type="spellStart"/>
      <w:r w:rsidR="00FE10B0" w:rsidRPr="00392CBD">
        <w:t>cholecalciferol</w:t>
      </w:r>
      <w:proofErr w:type="spellEnd"/>
      <w:r w:rsidRPr="00392CBD">
        <w:t>,</w:t>
      </w:r>
      <w:r w:rsidR="00FE10B0" w:rsidRPr="00392CBD">
        <w:t xml:space="preserve"> which requires </w:t>
      </w:r>
      <w:r w:rsidR="009C4246" w:rsidRPr="00392CBD">
        <w:t xml:space="preserve">enzymatic </w:t>
      </w:r>
      <w:r w:rsidR="00FE10B0" w:rsidRPr="00392CBD">
        <w:t xml:space="preserve">activation </w:t>
      </w:r>
      <w:r w:rsidR="009C4246" w:rsidRPr="00392CBD">
        <w:t>in</w:t>
      </w:r>
      <w:r w:rsidR="00FE10B0" w:rsidRPr="00392CBD">
        <w:t xml:space="preserve"> </w:t>
      </w:r>
      <w:r w:rsidRPr="00392CBD">
        <w:t xml:space="preserve">both </w:t>
      </w:r>
      <w:r w:rsidR="00FE10B0" w:rsidRPr="00392CBD">
        <w:t>the</w:t>
      </w:r>
      <w:r w:rsidRPr="00392CBD">
        <w:t xml:space="preserve"> liver and the</w:t>
      </w:r>
      <w:r w:rsidR="00FE10B0" w:rsidRPr="00392CBD">
        <w:t xml:space="preserve"> kidney</w:t>
      </w:r>
      <w:r w:rsidRPr="00392CBD">
        <w:t xml:space="preserve">. The results of the two previous LVH regression studies in CKD were entirely negative, failing to show any benefits in terms of </w:t>
      </w:r>
      <w:r w:rsidR="009C4246" w:rsidRPr="00392CBD">
        <w:t>the chosen</w:t>
      </w:r>
      <w:r w:rsidR="001B416F" w:rsidRPr="00392CBD">
        <w:t xml:space="preserve"> primary</w:t>
      </w:r>
      <w:r w:rsidR="009C4246" w:rsidRPr="00392CBD">
        <w:t xml:space="preserve"> </w:t>
      </w:r>
      <w:r w:rsidRPr="00392CBD">
        <w:t>clinical end-points</w:t>
      </w:r>
      <w:r w:rsidR="009C4246" w:rsidRPr="00392CBD">
        <w:t xml:space="preserve">; moreover, in both studies, significant </w:t>
      </w:r>
      <w:proofErr w:type="spellStart"/>
      <w:r w:rsidR="009C4246" w:rsidRPr="00392CBD">
        <w:t>hypercalcaemia</w:t>
      </w:r>
      <w:proofErr w:type="spellEnd"/>
      <w:r w:rsidR="009C4246" w:rsidRPr="00392CBD">
        <w:t xml:space="preserve"> was induced</w:t>
      </w:r>
      <w:r w:rsidR="001B416F" w:rsidRPr="00392CBD">
        <w:t xml:space="preserve"> when using </w:t>
      </w:r>
      <w:proofErr w:type="spellStart"/>
      <w:r w:rsidR="001B416F" w:rsidRPr="00392CBD">
        <w:t>paricalcitol</w:t>
      </w:r>
      <w:proofErr w:type="spellEnd"/>
      <w:r w:rsidR="001B416F" w:rsidRPr="00392CBD">
        <w:t>, necessitating dose reduction or drug cessation</w:t>
      </w:r>
      <w:r w:rsidRPr="00392CBD">
        <w:t xml:space="preserve">. </w:t>
      </w:r>
      <w:r w:rsidR="009C4246" w:rsidRPr="00392CBD">
        <w:t>What is potentially relevant h</w:t>
      </w:r>
      <w:r w:rsidR="00FE10B0" w:rsidRPr="00392CBD">
        <w:t xml:space="preserve">owever </w:t>
      </w:r>
      <w:r w:rsidR="009C4246" w:rsidRPr="00392CBD">
        <w:t xml:space="preserve">is that native vitamin D as </w:t>
      </w:r>
      <w:proofErr w:type="spellStart"/>
      <w:r w:rsidR="00FE10B0" w:rsidRPr="00392CBD">
        <w:t>choleclaciferol</w:t>
      </w:r>
      <w:proofErr w:type="spellEnd"/>
      <w:r w:rsidR="00FE10B0" w:rsidRPr="00392CBD">
        <w:t xml:space="preserve"> can be activated by one-alpha-hydro</w:t>
      </w:r>
      <w:r w:rsidR="00EB22AB" w:rsidRPr="00392CBD">
        <w:t>xy</w:t>
      </w:r>
      <w:r w:rsidR="00FE10B0" w:rsidRPr="00392CBD">
        <w:t>lase enzyme present in non-renal tissue</w:t>
      </w:r>
      <w:r w:rsidR="00565910">
        <w:t>s</w:t>
      </w:r>
      <w:r w:rsidR="00FE10B0" w:rsidRPr="00392CBD">
        <w:t xml:space="preserve"> including </w:t>
      </w:r>
      <w:r w:rsidR="009C4246" w:rsidRPr="00392CBD">
        <w:t xml:space="preserve">the </w:t>
      </w:r>
      <w:r w:rsidR="00FE10B0" w:rsidRPr="00392CBD">
        <w:t>heart and blood vessel</w:t>
      </w:r>
      <w:r w:rsidR="009C4246" w:rsidRPr="00392CBD">
        <w:t xml:space="preserve">s, and in the experimental animal model setting this treatment can be shown to reduce </w:t>
      </w:r>
      <w:r w:rsidR="00FE10B0" w:rsidRPr="00392CBD">
        <w:t>intra-cardiac inflammation, renin activity and metalloproteinase inhibition</w:t>
      </w:r>
      <w:r w:rsidR="00F20EE5" w:rsidRPr="00392CBD">
        <w:t>.</w:t>
      </w:r>
      <w:r w:rsidR="00CD0326" w:rsidRPr="00CD0326">
        <w:rPr>
          <w:vertAlign w:val="superscript"/>
        </w:rPr>
        <w:t>11-13</w:t>
      </w:r>
      <w:r w:rsidR="00FE10B0" w:rsidRPr="00392CBD">
        <w:t xml:space="preserve"> </w:t>
      </w:r>
      <w:r w:rsidR="003F76E5" w:rsidRPr="00392CBD">
        <w:t xml:space="preserve">We have previously demonstrated </w:t>
      </w:r>
      <w:r w:rsidR="009C4246" w:rsidRPr="00392CBD">
        <w:lastRenderedPageBreak/>
        <w:t xml:space="preserve">clinically-relevant </w:t>
      </w:r>
      <w:r w:rsidR="003F76E5" w:rsidRPr="00392CBD">
        <w:t>benefit</w:t>
      </w:r>
      <w:r w:rsidR="009C4246" w:rsidRPr="00392CBD">
        <w:t>s</w:t>
      </w:r>
      <w:r w:rsidR="003F76E5" w:rsidRPr="00392CBD">
        <w:t xml:space="preserve"> in arterial endothelial function and stiffness </w:t>
      </w:r>
      <w:r w:rsidR="009C4246" w:rsidRPr="00392CBD">
        <w:t>following</w:t>
      </w:r>
      <w:r w:rsidR="003F76E5" w:rsidRPr="00392CBD">
        <w:t xml:space="preserve"> </w:t>
      </w:r>
      <w:r w:rsidR="009C4246" w:rsidRPr="00392CBD">
        <w:t xml:space="preserve">oral </w:t>
      </w:r>
      <w:r w:rsidR="003F76E5" w:rsidRPr="00392CBD">
        <w:t xml:space="preserve">supplementation of </w:t>
      </w:r>
      <w:proofErr w:type="spellStart"/>
      <w:r w:rsidR="003F76E5" w:rsidRPr="00392CBD">
        <w:t>cholecalciferol</w:t>
      </w:r>
      <w:proofErr w:type="spellEnd"/>
      <w:r w:rsidR="003F76E5" w:rsidRPr="00392CBD">
        <w:t xml:space="preserve"> 600,000 units, without </w:t>
      </w:r>
      <w:r w:rsidR="009C4246" w:rsidRPr="00392CBD">
        <w:t xml:space="preserve">any significant </w:t>
      </w:r>
      <w:r w:rsidR="001B416F" w:rsidRPr="00392CBD">
        <w:t>t</w:t>
      </w:r>
      <w:r w:rsidR="009C4246" w:rsidRPr="00392CBD">
        <w:t xml:space="preserve">reatment-related </w:t>
      </w:r>
      <w:proofErr w:type="spellStart"/>
      <w:r w:rsidR="003F76E5" w:rsidRPr="00392CBD">
        <w:t>hypercalcaemia</w:t>
      </w:r>
      <w:proofErr w:type="spellEnd"/>
      <w:r w:rsidR="009C4246" w:rsidRPr="00392CBD">
        <w:t>,</w:t>
      </w:r>
      <w:r w:rsidR="003F76E5" w:rsidRPr="00392CBD">
        <w:t xml:space="preserve"> </w:t>
      </w:r>
      <w:r w:rsidR="009C4246" w:rsidRPr="00392CBD">
        <w:t>in one non-</w:t>
      </w:r>
      <w:r w:rsidR="003F76E5" w:rsidRPr="00392CBD">
        <w:t xml:space="preserve">randomised and </w:t>
      </w:r>
      <w:r w:rsidR="009C4246" w:rsidRPr="00392CBD">
        <w:t>one r</w:t>
      </w:r>
      <w:r w:rsidR="003F76E5" w:rsidRPr="00392CBD">
        <w:t xml:space="preserve">andomised trial of CKD patients with </w:t>
      </w:r>
      <w:proofErr w:type="spellStart"/>
      <w:r w:rsidR="009C4246" w:rsidRPr="00392CBD">
        <w:t>hypovitaminosis</w:t>
      </w:r>
      <w:proofErr w:type="spellEnd"/>
      <w:r w:rsidR="003F76E5" w:rsidRPr="00392CBD">
        <w:t xml:space="preserve"> D</w:t>
      </w:r>
      <w:r w:rsidR="002D12EF">
        <w:t>.</w:t>
      </w:r>
      <w:r w:rsidR="00AA1AF2" w:rsidRPr="00392CBD">
        <w:t xml:space="preserve"> </w:t>
      </w:r>
      <w:r w:rsidR="00CD0326" w:rsidRPr="00CD0326">
        <w:rPr>
          <w:vertAlign w:val="superscript"/>
        </w:rPr>
        <w:t>14</w:t>
      </w:r>
      <w:r w:rsidR="00CD0326">
        <w:rPr>
          <w:vertAlign w:val="superscript"/>
        </w:rPr>
        <w:t>,15</w:t>
      </w:r>
      <w:r w:rsidR="00770217" w:rsidRPr="00392CBD">
        <w:t xml:space="preserve"> </w:t>
      </w:r>
      <w:r w:rsidR="00EA7557" w:rsidRPr="00EA7557">
        <w:rPr>
          <w:color w:val="0070C0"/>
          <w:u w:val="single"/>
        </w:rPr>
        <w:t xml:space="preserve">The novel aspects of the proposed study included not only the therapy with </w:t>
      </w:r>
      <w:proofErr w:type="spellStart"/>
      <w:r w:rsidR="00EA7557" w:rsidRPr="00EA7557">
        <w:rPr>
          <w:color w:val="0070C0"/>
          <w:u w:val="single"/>
        </w:rPr>
        <w:t>cholecalciferol</w:t>
      </w:r>
      <w:proofErr w:type="spellEnd"/>
      <w:r w:rsidR="00EA7557" w:rsidRPr="00EA7557">
        <w:rPr>
          <w:color w:val="0070C0"/>
          <w:u w:val="single"/>
        </w:rPr>
        <w:t>, which was directly observed; but also carefully including patients of mild LVH amenable to change in response to therapy; and excluding patients with diabetes avoiding the confounding ef</w:t>
      </w:r>
      <w:r w:rsidR="00EA7557">
        <w:rPr>
          <w:color w:val="0070C0"/>
          <w:u w:val="single"/>
        </w:rPr>
        <w:t>fects of diabetes on the heart.</w:t>
      </w:r>
    </w:p>
    <w:p w:rsidR="00770217" w:rsidRPr="00392CBD" w:rsidRDefault="00770217" w:rsidP="00196D9C">
      <w:pPr>
        <w:spacing w:line="480" w:lineRule="auto"/>
        <w:jc w:val="both"/>
      </w:pPr>
      <w:r w:rsidRPr="00392CBD">
        <w:t xml:space="preserve">The impact of </w:t>
      </w:r>
      <w:proofErr w:type="spellStart"/>
      <w:r w:rsidRPr="00392CBD">
        <w:t>cholecalciferol</w:t>
      </w:r>
      <w:proofErr w:type="spellEnd"/>
      <w:r w:rsidRPr="00392CBD">
        <w:t xml:space="preserve"> on cardiac structure and function has </w:t>
      </w:r>
      <w:r w:rsidR="00565910">
        <w:t xml:space="preserve">not </w:t>
      </w:r>
      <w:r w:rsidRPr="00392CBD">
        <w:t xml:space="preserve">been investigated </w:t>
      </w:r>
      <w:r w:rsidR="009C4246" w:rsidRPr="00392CBD">
        <w:t xml:space="preserve">in </w:t>
      </w:r>
      <w:r w:rsidR="00A26958" w:rsidRPr="00392CBD">
        <w:t xml:space="preserve">the context of </w:t>
      </w:r>
      <w:r w:rsidR="00223F51" w:rsidRPr="00392CBD">
        <w:t>CKD</w:t>
      </w:r>
      <w:r w:rsidR="00565910">
        <w:t xml:space="preserve"> in detail</w:t>
      </w:r>
      <w:r w:rsidR="002D12EF">
        <w:t>.</w:t>
      </w:r>
      <w:r w:rsidR="00CD0326" w:rsidRPr="00CD0326">
        <w:rPr>
          <w:vertAlign w:val="superscript"/>
        </w:rPr>
        <w:t>16</w:t>
      </w:r>
      <w:r w:rsidRPr="00392CBD">
        <w:t xml:space="preserve"> We studied the effect of </w:t>
      </w:r>
      <w:proofErr w:type="spellStart"/>
      <w:r w:rsidRPr="00392CBD">
        <w:t>cholecalciferol</w:t>
      </w:r>
      <w:proofErr w:type="spellEnd"/>
      <w:r w:rsidRPr="00392CBD">
        <w:t xml:space="preserve"> supplementation on </w:t>
      </w:r>
      <w:r w:rsidR="009C4246" w:rsidRPr="00392CBD">
        <w:t xml:space="preserve">the extent and severity of </w:t>
      </w:r>
      <w:r w:rsidRPr="00392CBD">
        <w:t>LVH</w:t>
      </w:r>
      <w:r w:rsidR="009C4246" w:rsidRPr="00392CBD">
        <w:t>,</w:t>
      </w:r>
      <w:r w:rsidRPr="00392CBD">
        <w:t xml:space="preserve"> and </w:t>
      </w:r>
      <w:r w:rsidR="009C4246" w:rsidRPr="00392CBD">
        <w:t xml:space="preserve">on </w:t>
      </w:r>
      <w:r w:rsidRPr="00392CBD">
        <w:t>left ventricular function</w:t>
      </w:r>
      <w:r w:rsidR="009C4246" w:rsidRPr="00392CBD">
        <w:t>,</w:t>
      </w:r>
      <w:r w:rsidRPr="00392CBD">
        <w:t xml:space="preserve"> </w:t>
      </w:r>
      <w:r w:rsidR="009C4246" w:rsidRPr="00392CBD">
        <w:t xml:space="preserve">using cardiac MRI </w:t>
      </w:r>
      <w:r w:rsidRPr="00392CBD">
        <w:t>in stable mild to moderate, non-diabetic CKD patients with low vitamin D.</w:t>
      </w:r>
      <w:r w:rsidR="00F93FFF" w:rsidRPr="00392CBD">
        <w:t xml:space="preserve"> We also proceeded to perform a meta-analysis of the three vitamin D treatment</w:t>
      </w:r>
      <w:r w:rsidR="00A26958" w:rsidRPr="00392CBD">
        <w:t xml:space="preserve"> trials</w:t>
      </w:r>
      <w:r w:rsidR="00F93FFF" w:rsidRPr="00392CBD">
        <w:t xml:space="preserve"> in CKD to search </w:t>
      </w:r>
      <w:r w:rsidR="00A26958" w:rsidRPr="00392CBD">
        <w:t xml:space="preserve">further </w:t>
      </w:r>
      <w:r w:rsidR="00F93FFF" w:rsidRPr="00392CBD">
        <w:t>for any signal of clinical benefit.</w:t>
      </w:r>
    </w:p>
    <w:p w:rsidR="005A7CB6" w:rsidRPr="00392CBD" w:rsidRDefault="005A7CB6" w:rsidP="00196D9C">
      <w:pPr>
        <w:spacing w:line="480" w:lineRule="auto"/>
        <w:rPr>
          <w:b/>
        </w:rPr>
      </w:pPr>
      <w:r w:rsidRPr="00392CBD">
        <w:rPr>
          <w:b/>
        </w:rPr>
        <w:br w:type="page"/>
      </w:r>
    </w:p>
    <w:p w:rsidR="0043260F" w:rsidRPr="00392CBD" w:rsidRDefault="0043260F" w:rsidP="00196D9C">
      <w:pPr>
        <w:spacing w:line="480" w:lineRule="auto"/>
        <w:jc w:val="center"/>
        <w:rPr>
          <w:b/>
        </w:rPr>
      </w:pPr>
      <w:r w:rsidRPr="00392CBD">
        <w:rPr>
          <w:b/>
        </w:rPr>
        <w:lastRenderedPageBreak/>
        <w:t>Methods</w:t>
      </w:r>
    </w:p>
    <w:p w:rsidR="0043260F" w:rsidRPr="00392CBD" w:rsidRDefault="0043260F" w:rsidP="00196D9C">
      <w:pPr>
        <w:spacing w:line="480" w:lineRule="auto"/>
        <w:jc w:val="both"/>
      </w:pPr>
      <w:r w:rsidRPr="00392CBD">
        <w:t xml:space="preserve">The study was a multicentre, parallel arm, double-blind, placebo-controlled trial with patients recruited from St Georges, Guys, Kingston and Kings College hospitals in London UK. The study was approved by the Surrey Ethics Research Committee (11/H1109/12).  </w:t>
      </w:r>
    </w:p>
    <w:p w:rsidR="0043260F" w:rsidRPr="00392CBD" w:rsidRDefault="0043260F" w:rsidP="00196D9C">
      <w:pPr>
        <w:spacing w:line="480" w:lineRule="auto"/>
        <w:jc w:val="both"/>
      </w:pPr>
      <w:r w:rsidRPr="00392CBD">
        <w:t xml:space="preserve">Study population </w:t>
      </w:r>
    </w:p>
    <w:p w:rsidR="0043260F" w:rsidRPr="00392CBD" w:rsidRDefault="0043260F" w:rsidP="00196D9C">
      <w:pPr>
        <w:spacing w:line="480" w:lineRule="auto"/>
        <w:jc w:val="both"/>
      </w:pPr>
      <w:r w:rsidRPr="00392CBD">
        <w:t xml:space="preserve">Patients were screened if they had stable CKD stage 3 and 4, serum vitamin D concentrations less than 75 </w:t>
      </w:r>
      <w:proofErr w:type="spellStart"/>
      <w:r w:rsidRPr="00392CBD">
        <w:t>nmol</w:t>
      </w:r>
      <w:proofErr w:type="spellEnd"/>
      <w:r w:rsidRPr="00392CBD">
        <w:t xml:space="preserve">/L, serum calcium concentration </w:t>
      </w:r>
      <w:proofErr w:type="gramStart"/>
      <w:r w:rsidRPr="00392CBD">
        <w:t xml:space="preserve">less than 2.5 </w:t>
      </w:r>
      <w:proofErr w:type="spellStart"/>
      <w:r w:rsidRPr="00392CBD">
        <w:t>mmol</w:t>
      </w:r>
      <w:proofErr w:type="spellEnd"/>
      <w:r w:rsidRPr="00392CBD">
        <w:t>/L,</w:t>
      </w:r>
      <w:proofErr w:type="gramEnd"/>
      <w:r w:rsidRPr="00392CBD">
        <w:t xml:space="preserve"> not on vitamin D therapy, and on chronic ACE inhibitor or angiotensin receptor blocker therapy. Patients with known diabetes, congestive heart failure, </w:t>
      </w:r>
      <w:proofErr w:type="spellStart"/>
      <w:r w:rsidRPr="00392CBD">
        <w:t>valvular</w:t>
      </w:r>
      <w:proofErr w:type="spellEnd"/>
      <w:r w:rsidRPr="00392CBD">
        <w:t xml:space="preserve"> heart disease, </w:t>
      </w:r>
      <w:proofErr w:type="spellStart"/>
      <w:r w:rsidRPr="00392CBD">
        <w:t>vasculitis</w:t>
      </w:r>
      <w:proofErr w:type="spellEnd"/>
      <w:r w:rsidRPr="00392CBD">
        <w:t>, cancer, active inflammation, and on any other form of vitamin D supplementation were excluded. A pre-inclusion screening echocardiogram was performed on all potentially suitable subjects (as above), and patients were then considered fully eligible for the trial if their LV mass index was 80-1</w:t>
      </w:r>
      <w:r>
        <w:t>4</w:t>
      </w:r>
      <w:r w:rsidRPr="00392CBD">
        <w:t>0 g/m</w:t>
      </w:r>
      <w:r w:rsidRPr="00392CBD">
        <w:rPr>
          <w:vertAlign w:val="superscript"/>
        </w:rPr>
        <w:t>2</w:t>
      </w:r>
      <w:r w:rsidRPr="00392CBD">
        <w:t xml:space="preserve"> for females and 100-160 g/m</w:t>
      </w:r>
      <w:r w:rsidRPr="00392CBD">
        <w:rPr>
          <w:vertAlign w:val="superscript"/>
        </w:rPr>
        <w:t>2</w:t>
      </w:r>
      <w:r w:rsidRPr="00392CBD">
        <w:t xml:space="preserve"> for males (indicative of the presence of mild LVH). </w:t>
      </w:r>
    </w:p>
    <w:p w:rsidR="0043260F" w:rsidRPr="00392CBD" w:rsidRDefault="0043260F" w:rsidP="00196D9C">
      <w:pPr>
        <w:spacing w:line="480" w:lineRule="auto"/>
        <w:jc w:val="both"/>
      </w:pPr>
      <w:r w:rsidRPr="00392CBD">
        <w:t>Randomisation</w:t>
      </w:r>
    </w:p>
    <w:p w:rsidR="0043260F" w:rsidRPr="00392CBD" w:rsidRDefault="0043260F" w:rsidP="00196D9C">
      <w:pPr>
        <w:spacing w:line="480" w:lineRule="auto"/>
        <w:jc w:val="both"/>
      </w:pPr>
      <w:r w:rsidRPr="00392CBD">
        <w:t xml:space="preserve">Patients were </w:t>
      </w:r>
      <w:r>
        <w:t xml:space="preserve">block </w:t>
      </w:r>
      <w:r w:rsidRPr="00392CBD">
        <w:t xml:space="preserve">randomised in 1:1 ratio by the research pharmacy team, according to a sequence generated by a study statistician.  The research team and patients were unaware of all treatment allocations. The vitamin D and placebo were first stored then dispensed from identical containers throughout the study. </w:t>
      </w:r>
    </w:p>
    <w:p w:rsidR="0043260F" w:rsidRPr="00392CBD" w:rsidRDefault="0043260F" w:rsidP="00196D9C">
      <w:pPr>
        <w:spacing w:line="480" w:lineRule="auto"/>
        <w:jc w:val="both"/>
      </w:pPr>
      <w:r w:rsidRPr="00392CBD">
        <w:t>Study drug administration and follow up</w:t>
      </w:r>
    </w:p>
    <w:p w:rsidR="0043260F" w:rsidRPr="00392CBD" w:rsidRDefault="0043260F" w:rsidP="00196D9C">
      <w:pPr>
        <w:spacing w:line="480" w:lineRule="auto"/>
        <w:jc w:val="both"/>
      </w:pPr>
      <w:r w:rsidRPr="00392CBD">
        <w:t xml:space="preserve">Each patient was followed up for each Vitamin D administration in person. At this visit the patients’ blood pressures were recorded and their medications reviewed. The study drug or placebo was administered by the research nurses as directly-observed 100,000 IU doses (as five capsules of 20,000 IU or 5 capsules of placebo) at the study visits on weeks 0,4,8,12,24 and 42 (making a total of </w:t>
      </w:r>
      <w:r w:rsidRPr="00392CBD">
        <w:lastRenderedPageBreak/>
        <w:t>600,000 IU of Vitamin D or placebo). Relevant blood tests were done at baseline, and at 24 weeks and 52 weeks.</w:t>
      </w:r>
      <w:r>
        <w:t xml:space="preserve"> The MRI scan was done at baseline and 52 weeks. </w:t>
      </w:r>
      <w:r w:rsidRPr="00392CBD">
        <w:t xml:space="preserve"> The participants’ general practitioners were informed that they were participating in a trial, but not what their treatment allocation w</w:t>
      </w:r>
      <w:r>
        <w:t>ere</w:t>
      </w:r>
      <w:r w:rsidRPr="00392CBD">
        <w:t xml:space="preserve">. All trial participants and GPs were strongly advised to avoid starting any vitamin D supplementation while in the trial. The patients continued with their regular visits with own </w:t>
      </w:r>
      <w:proofErr w:type="gramStart"/>
      <w:r w:rsidRPr="00392CBD">
        <w:t>nephrologists for their routine clinical care, and again, no vitamin D based therapy was</w:t>
      </w:r>
      <w:proofErr w:type="gramEnd"/>
      <w:r w:rsidRPr="00392CBD">
        <w:t xml:space="preserve"> permitted.  As the principal trial end-point was any impact of vitamin D on LV mass, cardiac MRI was performed at baseline and then again at 52 weeks.</w:t>
      </w:r>
    </w:p>
    <w:p w:rsidR="0043260F" w:rsidRPr="00392CBD" w:rsidRDefault="0043260F" w:rsidP="00196D9C">
      <w:pPr>
        <w:spacing w:line="480" w:lineRule="auto"/>
        <w:jc w:val="both"/>
      </w:pPr>
      <w:r w:rsidRPr="00392CBD">
        <w:t xml:space="preserve">Patient safety </w:t>
      </w:r>
    </w:p>
    <w:p w:rsidR="0043260F" w:rsidRPr="00392CBD" w:rsidRDefault="0043260F" w:rsidP="00196D9C">
      <w:pPr>
        <w:spacing w:line="480" w:lineRule="auto"/>
        <w:jc w:val="both"/>
      </w:pPr>
      <w:r w:rsidRPr="00392CBD">
        <w:t xml:space="preserve">All patients were seen by research nurses during vitamin D dose administration and all concerns were addressed. The independent data safety monitoring board (DSMB) reviewed interim blood reports and all reported adverse events.  </w:t>
      </w:r>
    </w:p>
    <w:p w:rsidR="0043260F" w:rsidRPr="00392CBD" w:rsidRDefault="0043260F" w:rsidP="00196D9C">
      <w:pPr>
        <w:spacing w:line="480" w:lineRule="auto"/>
        <w:jc w:val="both"/>
      </w:pPr>
      <w:r w:rsidRPr="00392CBD">
        <w:t xml:space="preserve">Cardiac MRI protocol </w:t>
      </w:r>
    </w:p>
    <w:p w:rsidR="0043260F" w:rsidRPr="00392CBD" w:rsidRDefault="0043260F" w:rsidP="00196D9C">
      <w:pPr>
        <w:spacing w:line="480" w:lineRule="auto"/>
        <w:jc w:val="both"/>
      </w:pPr>
      <w:r w:rsidRPr="00392CBD">
        <w:t xml:space="preserve">All patients were imaged on a 1.5T Philips Intra MRI scanner with dedicated 32 channel cardiac coil. The protocol included a plane scan, SENSE reference scan, interactive scan to identify 4 chamber, 2 chamber long axis and short axis geometries of the heart. Breath-holding steady-state free Procession 4 </w:t>
      </w:r>
      <w:r>
        <w:t>c</w:t>
      </w:r>
      <w:r w:rsidRPr="00392CBD">
        <w:t xml:space="preserve">hamber, 2 chamber and short axis stack (1.5mm, 1.5mm, 10mm) cine (30 cardiac phases) were acquired. All images were analysed by single observer blinded to patient treatment allocation on a </w:t>
      </w:r>
      <w:proofErr w:type="spellStart"/>
      <w:r w:rsidRPr="00392CBD">
        <w:t>viewforum</w:t>
      </w:r>
      <w:proofErr w:type="spellEnd"/>
      <w:r w:rsidRPr="00392CBD">
        <w:t xml:space="preserve"> work station. </w:t>
      </w:r>
    </w:p>
    <w:p w:rsidR="0043260F" w:rsidRPr="00392CBD" w:rsidRDefault="0043260F" w:rsidP="00196D9C">
      <w:pPr>
        <w:spacing w:line="480" w:lineRule="auto"/>
        <w:jc w:val="both"/>
      </w:pPr>
      <w:r w:rsidRPr="00392CBD">
        <w:t xml:space="preserve">Sample size determination </w:t>
      </w:r>
    </w:p>
    <w:p w:rsidR="0043260F" w:rsidRPr="003418D6" w:rsidRDefault="00C450CF" w:rsidP="00196D9C">
      <w:pPr>
        <w:spacing w:line="480" w:lineRule="auto"/>
        <w:jc w:val="both"/>
        <w:rPr>
          <w:strike/>
        </w:rPr>
      </w:pPr>
      <w:r w:rsidRPr="00C450CF">
        <w:rPr>
          <w:color w:val="0070C0"/>
          <w:u w:val="single"/>
        </w:rPr>
        <w:t xml:space="preserve">The inter-study variability of LV mass (LVM) on cardiac MRI (CMR) measurement </w:t>
      </w:r>
      <w:r w:rsidR="00660BA4">
        <w:rPr>
          <w:color w:val="0070C0"/>
          <w:u w:val="single"/>
        </w:rPr>
        <w:t xml:space="preserve">in a previous study, </w:t>
      </w:r>
      <w:r w:rsidRPr="00C450CF">
        <w:rPr>
          <w:color w:val="0070C0"/>
          <w:u w:val="single"/>
        </w:rPr>
        <w:t>using a protocol implemented in the present study</w:t>
      </w:r>
      <w:r w:rsidR="00660BA4">
        <w:rPr>
          <w:color w:val="0070C0"/>
          <w:u w:val="single"/>
        </w:rPr>
        <w:t>,</w:t>
      </w:r>
      <w:r w:rsidRPr="00C450CF">
        <w:rPr>
          <w:color w:val="0070C0"/>
          <w:u w:val="single"/>
        </w:rPr>
        <w:t xml:space="preserve"> was 2.8 to 4.8% with a standard deviation of 8.4 g </w:t>
      </w:r>
      <w:r w:rsidR="00CD0326" w:rsidRPr="00CD0326">
        <w:rPr>
          <w:color w:val="0070C0"/>
          <w:vertAlign w:val="superscript"/>
        </w:rPr>
        <w:t>17</w:t>
      </w:r>
      <w:r w:rsidRPr="00C450CF">
        <w:rPr>
          <w:color w:val="0070C0"/>
          <w:u w:val="single"/>
        </w:rPr>
        <w:t xml:space="preserve">. Based on this data we calculated that to demonstrate a LV mass difference of 10 g, with α=0.05 and power 95%, 19 patients were needed in each arm. Previous studies have demonstrated a 10 g </w:t>
      </w:r>
      <w:r w:rsidRPr="00C450CF">
        <w:rPr>
          <w:color w:val="0070C0"/>
          <w:u w:val="single"/>
        </w:rPr>
        <w:lastRenderedPageBreak/>
        <w:t>d</w:t>
      </w:r>
      <w:r w:rsidR="002D12EF">
        <w:rPr>
          <w:color w:val="0070C0"/>
          <w:u w:val="single"/>
        </w:rPr>
        <w:t>i</w:t>
      </w:r>
      <w:r w:rsidRPr="00C450CF">
        <w:rPr>
          <w:color w:val="0070C0"/>
          <w:u w:val="single"/>
        </w:rPr>
        <w:t xml:space="preserve">fference in LVM with </w:t>
      </w:r>
      <w:proofErr w:type="spellStart"/>
      <w:r w:rsidRPr="00C450CF">
        <w:rPr>
          <w:color w:val="0070C0"/>
          <w:u w:val="single"/>
        </w:rPr>
        <w:t>ACEi</w:t>
      </w:r>
      <w:proofErr w:type="spellEnd"/>
      <w:r w:rsidRPr="00C450CF">
        <w:rPr>
          <w:color w:val="0070C0"/>
          <w:u w:val="single"/>
        </w:rPr>
        <w:t>/ARB therapy using CMR with 10-15 patients</w:t>
      </w:r>
      <w:r w:rsidR="002D12EF">
        <w:rPr>
          <w:color w:val="0070C0"/>
          <w:u w:val="single"/>
        </w:rPr>
        <w:t>.</w:t>
      </w:r>
      <w:r w:rsidR="00CD0326" w:rsidRPr="00CD0326">
        <w:rPr>
          <w:color w:val="0070C0"/>
          <w:vertAlign w:val="superscript"/>
        </w:rPr>
        <w:t>18</w:t>
      </w:r>
      <w:proofErr w:type="gramStart"/>
      <w:r w:rsidR="00CD0326">
        <w:rPr>
          <w:color w:val="0070C0"/>
          <w:vertAlign w:val="superscript"/>
        </w:rPr>
        <w:t>,19</w:t>
      </w:r>
      <w:proofErr w:type="gramEnd"/>
      <w:r w:rsidRPr="00C450CF">
        <w:rPr>
          <w:color w:val="0070C0"/>
          <w:u w:val="single"/>
        </w:rPr>
        <w:t xml:space="preserve"> The two previous studies PRIMO and OPERA of vitamin D therapy in CKD patients considered the 10 g difference on CMR to be acceptable</w:t>
      </w:r>
      <w:r w:rsidR="002D12EF">
        <w:rPr>
          <w:color w:val="0070C0"/>
          <w:u w:val="single"/>
        </w:rPr>
        <w:t>.</w:t>
      </w:r>
      <w:r w:rsidR="00CD0326" w:rsidRPr="00CD0326">
        <w:rPr>
          <w:color w:val="0070C0"/>
          <w:vertAlign w:val="superscript"/>
        </w:rPr>
        <w:t>9</w:t>
      </w:r>
      <w:r w:rsidR="00CD0326">
        <w:rPr>
          <w:color w:val="0070C0"/>
          <w:vertAlign w:val="superscript"/>
        </w:rPr>
        <w:t>,10</w:t>
      </w:r>
      <w:r w:rsidRPr="00C450CF">
        <w:rPr>
          <w:color w:val="0070C0"/>
        </w:rPr>
        <w:t xml:space="preserve"> </w:t>
      </w:r>
      <w:r w:rsidR="0043260F" w:rsidRPr="003418D6">
        <w:rPr>
          <w:strike/>
        </w:rPr>
        <w:t xml:space="preserve">The inter-study variability of cardiac MRI (CMR)  for LV mass (LVM) using a protocol similar to the trial protocol described in this report was 2.8 to 4.8% with a standard deviation of 8.4g. </w:t>
      </w:r>
    </w:p>
    <w:p w:rsidR="0043260F" w:rsidRPr="00392CBD" w:rsidRDefault="0043260F" w:rsidP="00196D9C">
      <w:pPr>
        <w:spacing w:line="480" w:lineRule="auto"/>
        <w:jc w:val="both"/>
      </w:pPr>
      <w:r w:rsidRPr="003418D6">
        <w:rPr>
          <w:strike/>
        </w:rPr>
        <w:t>Hence to investigate an LV mass difference of 10g with vitamin D therapy the study needed 19 patients in each arm i.e. 38 patients to complete the study (</w:t>
      </w:r>
      <w:r w:rsidRPr="003418D6">
        <w:rPr>
          <w:rFonts w:cstheme="minorHAnsi"/>
          <w:strike/>
        </w:rPr>
        <w:t>α</w:t>
      </w:r>
      <w:r w:rsidRPr="003418D6">
        <w:rPr>
          <w:strike/>
        </w:rPr>
        <w:t>=0.05 and power 95%).</w:t>
      </w:r>
      <w:r w:rsidRPr="00392CBD">
        <w:t xml:space="preserve"> We expected a dropout rate of 30% and thus we had planned to recruit 25 patients to each group. </w:t>
      </w:r>
    </w:p>
    <w:p w:rsidR="0043260F" w:rsidRPr="00392CBD" w:rsidRDefault="0043260F" w:rsidP="00196D9C">
      <w:pPr>
        <w:spacing w:line="480" w:lineRule="auto"/>
        <w:jc w:val="both"/>
      </w:pPr>
      <w:r w:rsidRPr="00392CBD">
        <w:t xml:space="preserve">To test the variability of CMR measured LVM, five patients at baseline were scanned twice using the same CMR protocol. Patients were made to get up from the CMR scanner and then prepared for scanning again. Scans were acquired 10 minutes apart. The analysis was performed by the same observer twice. This showed the following: LVM measurement </w:t>
      </w:r>
      <w:r>
        <w:t>on first scan was</w:t>
      </w:r>
      <w:r w:rsidRPr="00392CBD">
        <w:t>: 108.52±30.52</w:t>
      </w:r>
      <w:r>
        <w:t>g</w:t>
      </w:r>
      <w:r w:rsidRPr="00392CBD">
        <w:t>, (</w:t>
      </w:r>
      <w:proofErr w:type="spellStart"/>
      <w:r w:rsidRPr="00392CBD">
        <w:t>Mean±SD</w:t>
      </w:r>
      <w:proofErr w:type="spellEnd"/>
      <w:r w:rsidRPr="00392CBD">
        <w:t xml:space="preserve">), LVM measurement </w:t>
      </w:r>
      <w:r w:rsidR="00172518">
        <w:t>on second scan was</w:t>
      </w:r>
      <w:r w:rsidRPr="00392CBD">
        <w:t>:</w:t>
      </w:r>
      <w:r w:rsidR="00172518">
        <w:t xml:space="preserve"> </w:t>
      </w:r>
      <w:r w:rsidRPr="00392CBD">
        <w:t>108.43±31.74</w:t>
      </w:r>
      <w:r>
        <w:t>g</w:t>
      </w:r>
      <w:r w:rsidRPr="00392CBD">
        <w:t>; Difference of mean 0.09</w:t>
      </w:r>
      <w:r>
        <w:t>g</w:t>
      </w:r>
      <w:r w:rsidRPr="00392CBD">
        <w:t>; Standard Deviation of mean difference 1.53</w:t>
      </w:r>
      <w:r>
        <w:t>g</w:t>
      </w:r>
      <w:r w:rsidRPr="00392CBD">
        <w:t>. Thus in our hands, CMR thus was a highly reproducible technique for LV mass measurement and our original sample size calculation based on a SD of 8.4g was sufficient to give us a confirmatory result of a 10g reduction in LV mass with vitamin D administration.</w:t>
      </w:r>
    </w:p>
    <w:p w:rsidR="0043260F" w:rsidRPr="00392CBD" w:rsidRDefault="0043260F" w:rsidP="00196D9C">
      <w:pPr>
        <w:spacing w:line="480" w:lineRule="auto"/>
        <w:jc w:val="both"/>
      </w:pPr>
      <w:r w:rsidRPr="00392CBD">
        <w:t>Statistical Methods</w:t>
      </w:r>
    </w:p>
    <w:p w:rsidR="0043260F" w:rsidRDefault="0043260F" w:rsidP="00196D9C">
      <w:pPr>
        <w:spacing w:line="480" w:lineRule="auto"/>
        <w:jc w:val="both"/>
      </w:pPr>
      <w:r w:rsidRPr="00392CBD">
        <w:t xml:space="preserve">Descriptive statistics and graphics were used to understand the collected variables, their nature and the appropriateness of the subsequent tests and analyses. Continuous variables are summarized by their mean, standard deviations, inter-quartiles, ranges whilst categorical data by proportions. Parametric or non-parametric tests for independent samples have been applied upon normality assumptions of the variables. For the main clinical markers [Left ventricular ejection fraction (LV EF), Left ventricular end diastolic mass (LV ED mass), Left ventricular end systolic mass (LV ES mass) and </w:t>
      </w:r>
      <w:r w:rsidRPr="00392CBD">
        <w:lastRenderedPageBreak/>
        <w:t>Left atrial area (LA area)] further detail analyses are presented using ANCOVA and the analysis of change from the baseline</w:t>
      </w:r>
      <w:r w:rsidR="002D12EF">
        <w:t>.</w:t>
      </w:r>
      <w:r w:rsidR="00CD0326" w:rsidRPr="00CD0326">
        <w:rPr>
          <w:vertAlign w:val="superscript"/>
        </w:rPr>
        <w:t>20</w:t>
      </w:r>
      <w:r w:rsidRPr="00392CBD">
        <w:t xml:space="preserve"> </w:t>
      </w:r>
    </w:p>
    <w:p w:rsidR="00660BA4" w:rsidRPr="00660BA4" w:rsidRDefault="00660BA4" w:rsidP="00660BA4">
      <w:pPr>
        <w:spacing w:line="480" w:lineRule="auto"/>
        <w:jc w:val="both"/>
        <w:rPr>
          <w:color w:val="0070C0"/>
          <w:u w:val="single"/>
        </w:rPr>
      </w:pPr>
      <w:r w:rsidRPr="00660BA4">
        <w:rPr>
          <w:color w:val="0070C0"/>
          <w:u w:val="single"/>
        </w:rPr>
        <w:t>The current analyses are per-protocol or complete data analyses in modern statistical context. The intention to treat analyses or observed data analyses include all participants and are conducted based on missing at random assumption for incomplete observations. Sensitivity analyses are also conducted by setting the missing observations to their minimum/maximum values or carrying the last observation forward. These scenarios are particular single settings and are less than the general analysis above based on missing at random assumption.</w:t>
      </w:r>
    </w:p>
    <w:p w:rsidR="00660BA4" w:rsidRPr="00660BA4" w:rsidRDefault="00660BA4" w:rsidP="00660BA4">
      <w:pPr>
        <w:spacing w:line="480" w:lineRule="auto"/>
        <w:jc w:val="both"/>
        <w:rPr>
          <w:color w:val="0070C0"/>
          <w:u w:val="single"/>
        </w:rPr>
      </w:pPr>
      <w:r w:rsidRPr="00660BA4">
        <w:rPr>
          <w:color w:val="0070C0"/>
          <w:u w:val="single"/>
        </w:rPr>
        <w:t xml:space="preserve"> [See supplementary file text and table </w:t>
      </w:r>
      <w:r w:rsidR="00D370E8">
        <w:rPr>
          <w:color w:val="0070C0"/>
          <w:u w:val="single"/>
        </w:rPr>
        <w:t>S1, S2, S3, S4</w:t>
      </w:r>
      <w:r w:rsidRPr="00660BA4">
        <w:rPr>
          <w:color w:val="0070C0"/>
          <w:u w:val="single"/>
        </w:rPr>
        <w:t>]</w:t>
      </w:r>
    </w:p>
    <w:p w:rsidR="00660BA4" w:rsidRPr="00392CBD" w:rsidRDefault="00660BA4" w:rsidP="00196D9C">
      <w:pPr>
        <w:spacing w:line="480" w:lineRule="auto"/>
        <w:jc w:val="both"/>
      </w:pPr>
    </w:p>
    <w:p w:rsidR="0004358B" w:rsidRPr="0023289F" w:rsidRDefault="0004358B" w:rsidP="00196D9C">
      <w:pPr>
        <w:spacing w:line="480" w:lineRule="auto"/>
      </w:pPr>
      <w:r w:rsidRPr="0023289F">
        <w:t>Method of meta-analysis</w:t>
      </w:r>
    </w:p>
    <w:p w:rsidR="00660BA4" w:rsidRPr="00660BA4" w:rsidRDefault="0004358B" w:rsidP="00660BA4">
      <w:pPr>
        <w:spacing w:line="480" w:lineRule="auto"/>
        <w:jc w:val="both"/>
        <w:rPr>
          <w:color w:val="0070C0"/>
          <w:u w:val="single"/>
        </w:rPr>
      </w:pPr>
      <w:r w:rsidRPr="0004358B">
        <w:t xml:space="preserve">We conducted a </w:t>
      </w:r>
      <w:r w:rsidR="00660BA4" w:rsidRPr="00660BA4">
        <w:rPr>
          <w:color w:val="0070C0"/>
          <w:u w:val="single"/>
        </w:rPr>
        <w:t>random-effects</w:t>
      </w:r>
      <w:r w:rsidR="00660BA4" w:rsidRPr="00660BA4">
        <w:rPr>
          <w:color w:val="0070C0"/>
        </w:rPr>
        <w:t xml:space="preserve"> </w:t>
      </w:r>
      <w:r w:rsidRPr="0004358B">
        <w:t xml:space="preserve">meta-analysis of all available randomised placebo controlled studies which investigate impact of vitamin D (active and nutritional) on left ventricular hypertrophy to test if there is existing evidence for vitamin D therapy to improve LVH in CKD. We conducted </w:t>
      </w:r>
      <w:proofErr w:type="gramStart"/>
      <w:r w:rsidRPr="0004358B">
        <w:t>a</w:t>
      </w:r>
      <w:proofErr w:type="gramEnd"/>
      <w:r w:rsidRPr="0004358B">
        <w:t xml:space="preserve"> Ovid Medline 1946 to 2018; </w:t>
      </w:r>
      <w:proofErr w:type="spellStart"/>
      <w:r w:rsidRPr="0004358B">
        <w:t>Embase</w:t>
      </w:r>
      <w:proofErr w:type="spellEnd"/>
      <w:r w:rsidRPr="0004358B">
        <w:t xml:space="preserve"> 1980 to 2018 search for randomised controlled studies using the following terms: “vitamin D”, “left ventricular hypertrophy”, “kidney disease” or “chronic kidney disease”. We excluded trials on end-stage kidney disease. We searched the articles by cross referencing the identified studies. We found two studies both using </w:t>
      </w:r>
      <w:proofErr w:type="spellStart"/>
      <w:r w:rsidRPr="0004358B">
        <w:t>paricalcitol</w:t>
      </w:r>
      <w:proofErr w:type="spellEnd"/>
      <w:r w:rsidRPr="0004358B">
        <w:t>.</w:t>
      </w:r>
      <w:r w:rsidR="00660BA4">
        <w:t xml:space="preserve"> </w:t>
      </w:r>
      <w:r w:rsidR="00660BA4" w:rsidRPr="00660BA4">
        <w:rPr>
          <w:color w:val="0070C0"/>
          <w:u w:val="single"/>
        </w:rPr>
        <w:t>Contour enhanced funnel plots for publication bias are also displayed (Supplementary Information)</w:t>
      </w:r>
    </w:p>
    <w:p w:rsidR="0043260F" w:rsidRPr="0004358B" w:rsidRDefault="0043260F" w:rsidP="00196D9C">
      <w:pPr>
        <w:spacing w:line="480" w:lineRule="auto"/>
        <w:jc w:val="both"/>
      </w:pPr>
    </w:p>
    <w:p w:rsidR="0043260F" w:rsidRDefault="0043260F" w:rsidP="00196D9C">
      <w:pPr>
        <w:spacing w:line="480" w:lineRule="auto"/>
        <w:rPr>
          <w:b/>
        </w:rPr>
      </w:pPr>
      <w:r>
        <w:rPr>
          <w:b/>
        </w:rPr>
        <w:br w:type="page"/>
      </w:r>
    </w:p>
    <w:p w:rsidR="006B7146" w:rsidRPr="00392CBD" w:rsidRDefault="00D260E8" w:rsidP="00196D9C">
      <w:pPr>
        <w:spacing w:line="480" w:lineRule="auto"/>
        <w:jc w:val="center"/>
        <w:rPr>
          <w:b/>
        </w:rPr>
      </w:pPr>
      <w:r w:rsidRPr="00392CBD">
        <w:rPr>
          <w:b/>
        </w:rPr>
        <w:lastRenderedPageBreak/>
        <w:t>Results</w:t>
      </w:r>
    </w:p>
    <w:p w:rsidR="00B63EDB" w:rsidRPr="00392CBD" w:rsidRDefault="00D260E8" w:rsidP="00196D9C">
      <w:pPr>
        <w:spacing w:line="480" w:lineRule="auto"/>
        <w:jc w:val="both"/>
      </w:pPr>
      <w:r w:rsidRPr="00392CBD">
        <w:t>Study subjects</w:t>
      </w:r>
      <w:r w:rsidR="001534A1" w:rsidRPr="00392CBD">
        <w:t xml:space="preserve">: </w:t>
      </w:r>
    </w:p>
    <w:p w:rsidR="00D260E8" w:rsidRPr="005155E0" w:rsidRDefault="00D260E8" w:rsidP="00196D9C">
      <w:pPr>
        <w:spacing w:line="480" w:lineRule="auto"/>
        <w:jc w:val="both"/>
        <w:rPr>
          <w:color w:val="0070C0"/>
          <w:u w:val="single"/>
        </w:rPr>
      </w:pPr>
      <w:r w:rsidRPr="00392CBD">
        <w:t xml:space="preserve">84 participants underwent a screening echocardiogram. None had significant </w:t>
      </w:r>
      <w:proofErr w:type="spellStart"/>
      <w:r w:rsidRPr="00392CBD">
        <w:t>valvular</w:t>
      </w:r>
      <w:proofErr w:type="spellEnd"/>
      <w:r w:rsidRPr="00392CBD">
        <w:t xml:space="preserve"> heart disease, and only one patient had significant regional wall motion abnormality. 63 patients were suitable for recruitment (by LVM measurements). 49 patients were randomised. 1 patient withdrew from the study. (Figure 1 presents the flow chart of the experiment)</w:t>
      </w:r>
      <w:r w:rsidR="005155E0">
        <w:t>.</w:t>
      </w:r>
      <w:r w:rsidR="005155E0" w:rsidRPr="005155E0">
        <w:t xml:space="preserve"> </w:t>
      </w:r>
      <w:r w:rsidR="005155E0" w:rsidRPr="005155E0">
        <w:rPr>
          <w:color w:val="0070C0"/>
          <w:u w:val="single"/>
        </w:rPr>
        <w:t>Hypertension was commonest cause of CKD, in patients 6 on placebo and 9 on vitamin D. 4 patients suffered polycystic kidney disease in the placebo group and one in the vitamin D group. Glomerulonephritis was the cause of CKD in 5 on placebo and one patient on vitamin D.</w:t>
      </w:r>
    </w:p>
    <w:p w:rsidR="00B63EDB" w:rsidRPr="00392CBD" w:rsidRDefault="001534A1" w:rsidP="00196D9C">
      <w:pPr>
        <w:spacing w:line="480" w:lineRule="auto"/>
        <w:jc w:val="both"/>
      </w:pPr>
      <w:r w:rsidRPr="00392CBD">
        <w:t xml:space="preserve">Cardiac changes: </w:t>
      </w:r>
    </w:p>
    <w:p w:rsidR="00B37A2C" w:rsidRPr="00392CBD" w:rsidRDefault="006B7146" w:rsidP="00196D9C">
      <w:pPr>
        <w:spacing w:line="480" w:lineRule="auto"/>
        <w:jc w:val="both"/>
      </w:pPr>
      <w:r w:rsidRPr="00392CBD">
        <w:t xml:space="preserve">Table 1 presents summary data at both baseline and follow up. The baseline </w:t>
      </w:r>
      <w:r w:rsidR="00572DF2" w:rsidRPr="00392CBD">
        <w:t>comparisons between groups suggest</w:t>
      </w:r>
      <w:r w:rsidRPr="00392CBD">
        <w:t xml:space="preserve"> that the randomisation produce</w:t>
      </w:r>
      <w:r w:rsidR="00C92F8D" w:rsidRPr="00392CBD">
        <w:t>d</w:t>
      </w:r>
      <w:r w:rsidRPr="00392CBD">
        <w:t xml:space="preserve"> well balanced groups. </w:t>
      </w:r>
      <w:r w:rsidR="00B05C02">
        <w:t xml:space="preserve">There were no differences in SBP or DBP at baseline or end of study. </w:t>
      </w:r>
      <w:r w:rsidRPr="00392CBD">
        <w:t>We do not interpret the p-value obtained for the baseline LV EF (p=0.031) as strong evidence against the equality of the means across treatment groups. Preliminary tests for the follow-up values have also been presented and no strong evidence against the null hypothesis of no difference</w:t>
      </w:r>
      <w:r w:rsidR="00572DF2">
        <w:t>s</w:t>
      </w:r>
      <w:r w:rsidRPr="00392CBD">
        <w:t xml:space="preserve"> between the intervention groups </w:t>
      </w:r>
      <w:proofErr w:type="gramStart"/>
      <w:r w:rsidR="00572DF2">
        <w:t>were</w:t>
      </w:r>
      <w:proofErr w:type="gramEnd"/>
      <w:r w:rsidR="00B34F10" w:rsidRPr="00392CBD">
        <w:t xml:space="preserve"> </w:t>
      </w:r>
      <w:r w:rsidRPr="00392CBD">
        <w:t xml:space="preserve">found. </w:t>
      </w:r>
      <w:r w:rsidR="00B87026">
        <w:t xml:space="preserve"> </w:t>
      </w:r>
    </w:p>
    <w:p w:rsidR="006B7146" w:rsidRPr="00392CBD" w:rsidRDefault="006B7146" w:rsidP="00196D9C">
      <w:pPr>
        <w:spacing w:line="480" w:lineRule="auto"/>
        <w:jc w:val="both"/>
      </w:pPr>
      <w:r w:rsidRPr="00392CBD">
        <w:t>However, to understand the full extent of the differences between groups at the follow up and how they changed over the intervention period with regards to the four clinical markers</w:t>
      </w:r>
      <w:r w:rsidR="00B34F10" w:rsidRPr="00392CBD">
        <w:t>,</w:t>
      </w:r>
      <w:r w:rsidRPr="00392CBD">
        <w:t xml:space="preserve"> ANOVA and the analyses of the changes are carried out. Results are presented in </w:t>
      </w:r>
      <w:r w:rsidRPr="00D370E8">
        <w:rPr>
          <w:color w:val="0070C0"/>
          <w:u w:val="single"/>
        </w:rPr>
        <w:t>Table</w:t>
      </w:r>
      <w:r w:rsidR="00D370E8" w:rsidRPr="00D370E8">
        <w:rPr>
          <w:color w:val="0070C0"/>
          <w:u w:val="single"/>
        </w:rPr>
        <w:t xml:space="preserve">s S5, S6, </w:t>
      </w:r>
      <w:r w:rsidR="00D370E8">
        <w:rPr>
          <w:color w:val="0070C0"/>
          <w:u w:val="single"/>
        </w:rPr>
        <w:t>2</w:t>
      </w:r>
      <w:r w:rsidR="00D370E8" w:rsidRPr="00D370E8">
        <w:rPr>
          <w:color w:val="0070C0"/>
          <w:u w:val="single"/>
        </w:rPr>
        <w:t xml:space="preserve"> and </w:t>
      </w:r>
      <w:r w:rsidR="00D370E8">
        <w:rPr>
          <w:color w:val="0070C0"/>
          <w:u w:val="single"/>
        </w:rPr>
        <w:t>3</w:t>
      </w:r>
      <w:r w:rsidRPr="00D370E8">
        <w:rPr>
          <w:color w:val="0070C0"/>
        </w:rPr>
        <w:t xml:space="preserve"> </w:t>
      </w:r>
      <w:r w:rsidRPr="00392CBD">
        <w:t xml:space="preserve">and graphical </w:t>
      </w:r>
      <w:r w:rsidR="00572DF2" w:rsidRPr="00392CBD">
        <w:t>representation of these results is</w:t>
      </w:r>
      <w:r w:rsidRPr="00392CBD">
        <w:t xml:space="preserve"> presented in Figures </w:t>
      </w:r>
      <w:r w:rsidR="00700368" w:rsidRPr="00392CBD">
        <w:t xml:space="preserve">panel </w:t>
      </w:r>
      <w:r w:rsidR="005E61F4" w:rsidRPr="00392CBD">
        <w:t>2</w:t>
      </w:r>
      <w:r w:rsidRPr="00392CBD">
        <w:t>.</w:t>
      </w:r>
    </w:p>
    <w:p w:rsidR="006B7146" w:rsidRPr="00392CBD" w:rsidRDefault="006B7146" w:rsidP="00196D9C">
      <w:pPr>
        <w:spacing w:line="480" w:lineRule="auto"/>
        <w:jc w:val="both"/>
      </w:pPr>
      <w:r w:rsidRPr="00392CBD">
        <w:t>Based on observed data analysis</w:t>
      </w:r>
      <w:r w:rsidR="00772254" w:rsidRPr="00392CBD">
        <w:t>, in essence intention to treat analysis</w:t>
      </w:r>
      <w:r w:rsidRPr="00392CBD">
        <w:t xml:space="preserve"> (using the available information which excludes the loss at the follow up) no difference </w:t>
      </w:r>
      <w:r w:rsidR="0053041F" w:rsidRPr="00392CBD">
        <w:t xml:space="preserve">in LV mass or ejection fraction, </w:t>
      </w:r>
      <w:r w:rsidRPr="00392CBD">
        <w:t xml:space="preserve">between the groups </w:t>
      </w:r>
      <w:r w:rsidR="00B34F10" w:rsidRPr="00392CBD">
        <w:t xml:space="preserve">was </w:t>
      </w:r>
      <w:r w:rsidRPr="00392CBD">
        <w:t>observed</w:t>
      </w:r>
      <w:r w:rsidR="00B34F10" w:rsidRPr="00392CBD">
        <w:t>,</w:t>
      </w:r>
      <w:r w:rsidRPr="00392CBD">
        <w:t xml:space="preserve"> when adjusted for the corresponding baseline measurements </w:t>
      </w:r>
      <w:r w:rsidRPr="00392CBD">
        <w:lastRenderedPageBreak/>
        <w:t>with regards to either follow up or the change</w:t>
      </w:r>
      <w:r w:rsidR="00584F04" w:rsidRPr="00392CBD">
        <w:t xml:space="preserve"> seen in the trial</w:t>
      </w:r>
      <w:r w:rsidRPr="00392CBD">
        <w:t xml:space="preserve">. Specific </w:t>
      </w:r>
      <w:r w:rsidR="00572DF2" w:rsidRPr="00392CBD">
        <w:t>interpretation of the results regarding LV EF is</w:t>
      </w:r>
      <w:r w:rsidRPr="00392CBD">
        <w:t xml:space="preserve"> given below. </w:t>
      </w:r>
    </w:p>
    <w:p w:rsidR="006B7146" w:rsidRPr="00392CBD" w:rsidRDefault="006B7146" w:rsidP="00196D9C">
      <w:pPr>
        <w:spacing w:line="480" w:lineRule="auto"/>
        <w:jc w:val="both"/>
      </w:pPr>
      <w:r w:rsidRPr="00392CBD">
        <w:t>The evidence suggests that the follow-up LVEF</w:t>
      </w:r>
      <w:r w:rsidR="00572DF2">
        <w:t xml:space="preserve"> is linked with the baseline LVEF, namely</w:t>
      </w:r>
      <w:r w:rsidRPr="00392CBD">
        <w:t xml:space="preserve"> </w:t>
      </w:r>
      <w:r w:rsidR="00572DF2">
        <w:t xml:space="preserve">for every one unit increase in baseline LVEF, there is a </w:t>
      </w:r>
      <w:r w:rsidRPr="00392CBD">
        <w:t>0.6</w:t>
      </w:r>
      <w:r w:rsidR="00572DF2">
        <w:t xml:space="preserve"> unit increase in follow up LVEF</w:t>
      </w:r>
      <w:r w:rsidRPr="00392CBD">
        <w:t xml:space="preserve"> (p&lt;0.001) and there is no evidence to support a difference between the two intervention groups (p=0.586</w:t>
      </w:r>
      <w:r w:rsidR="00772254" w:rsidRPr="00392CBD">
        <w:t xml:space="preserve">, Table </w:t>
      </w:r>
      <w:r w:rsidR="00221AC1" w:rsidRPr="00221AC1">
        <w:rPr>
          <w:color w:val="0070C0"/>
          <w:u w:val="single"/>
        </w:rPr>
        <w:t>3</w:t>
      </w:r>
      <w:r w:rsidRPr="00392CBD">
        <w:t>). The constant (65.11) represent</w:t>
      </w:r>
      <w:r w:rsidR="00572DF2">
        <w:t>ed</w:t>
      </w:r>
      <w:r w:rsidRPr="00392CBD">
        <w:t xml:space="preserve"> the estimated mean of the </w:t>
      </w:r>
      <w:r w:rsidR="0085154E" w:rsidRPr="00392CBD">
        <w:t xml:space="preserve">follow-up </w:t>
      </w:r>
      <w:r w:rsidRPr="00392CBD">
        <w:t>LVEF in the Placebo group.</w:t>
      </w:r>
    </w:p>
    <w:p w:rsidR="00700368" w:rsidRPr="00392CBD" w:rsidRDefault="006B7146" w:rsidP="00196D9C">
      <w:pPr>
        <w:spacing w:line="480" w:lineRule="auto"/>
        <w:jc w:val="both"/>
      </w:pPr>
      <w:r w:rsidRPr="00B05C02">
        <w:t>The change in LVEF decreases with increasing baseline LVEF (p=0.002) and there is no evidence to suggest that this is different across intervention groups (p=0.</w:t>
      </w:r>
      <w:r w:rsidR="00772254" w:rsidRPr="00B05C02">
        <w:t>59</w:t>
      </w:r>
      <w:r w:rsidRPr="00B05C02">
        <w:t>).</w:t>
      </w:r>
      <w:r w:rsidR="00EF1932">
        <w:t xml:space="preserve"> </w:t>
      </w:r>
      <w:r w:rsidRPr="00392CBD">
        <w:t>The constant (-0.29) represents the average change in the LVEF in the Placebo group.</w:t>
      </w:r>
    </w:p>
    <w:p w:rsidR="000C5EEE" w:rsidRDefault="0085154E" w:rsidP="00196D9C">
      <w:pPr>
        <w:spacing w:line="480" w:lineRule="auto"/>
        <w:jc w:val="both"/>
      </w:pPr>
      <w:r w:rsidRPr="00392CBD">
        <w:t>Both</w:t>
      </w:r>
      <w:r w:rsidR="000C5EEE" w:rsidRPr="00392CBD">
        <w:t xml:space="preserve"> follow-up and changes in the clinical outcomes of interest are explained by their respective baseline me</w:t>
      </w:r>
      <w:r w:rsidR="00221AC1">
        <w:t xml:space="preserve">asurements, as expected (Table </w:t>
      </w:r>
      <w:r w:rsidR="00221AC1" w:rsidRPr="00221AC1">
        <w:rPr>
          <w:color w:val="0070C0"/>
          <w:u w:val="single"/>
        </w:rPr>
        <w:t>3</w:t>
      </w:r>
      <w:r w:rsidR="000C5EEE" w:rsidRPr="00392CBD">
        <w:t>). However, the adjusted effect of the intervention did not reveal significant differences between the two groups.</w:t>
      </w:r>
      <w:r w:rsidR="00D260E8" w:rsidRPr="00392CBD">
        <w:t xml:space="preserve"> </w:t>
      </w:r>
      <w:r w:rsidR="00591E78" w:rsidRPr="00591E78">
        <w:rPr>
          <w:color w:val="0070C0"/>
          <w:u w:val="single"/>
        </w:rPr>
        <w:t>Intention-to-treat analyses results do not differ from the above; neither in terms of magnitude of the estimates nor in terms of their precision.</w:t>
      </w:r>
      <w:r w:rsidR="00591E78">
        <w:rPr>
          <w:color w:val="0070C0"/>
          <w:u w:val="single"/>
        </w:rPr>
        <w:t xml:space="preserve"> For more information please see supplementary file text and stables A</w:t>
      </w:r>
      <w:proofErr w:type="gramStart"/>
      <w:r w:rsidR="00591E78">
        <w:rPr>
          <w:color w:val="0070C0"/>
          <w:u w:val="single"/>
        </w:rPr>
        <w:t>,B,C</w:t>
      </w:r>
      <w:proofErr w:type="gramEnd"/>
      <w:r w:rsidR="00591E78">
        <w:rPr>
          <w:color w:val="0070C0"/>
          <w:u w:val="single"/>
        </w:rPr>
        <w:t xml:space="preserve"> and D. </w:t>
      </w:r>
      <w:r w:rsidR="00D260E8" w:rsidRPr="00392CBD">
        <w:t xml:space="preserve">Sensitivity analyses to the missing data did not suggest a different assembly picture of the results.  </w:t>
      </w:r>
    </w:p>
    <w:p w:rsidR="00AA0397" w:rsidRPr="00392CBD" w:rsidRDefault="00AA0397" w:rsidP="00F203A2">
      <w:pPr>
        <w:spacing w:line="480" w:lineRule="auto"/>
        <w:jc w:val="both"/>
      </w:pPr>
      <w:r w:rsidRPr="00392CBD">
        <w:t>There was no difference in MRI measured LV and RV volumes and  RV function, left and right atrial areas at the end of the study between active</w:t>
      </w:r>
      <w:r w:rsidR="00221AC1">
        <w:t xml:space="preserve"> and placebo groups (see table </w:t>
      </w:r>
      <w:r w:rsidR="00FC76D0" w:rsidRPr="00D05631">
        <w:rPr>
          <w:color w:val="0070C0"/>
          <w:u w:val="single"/>
        </w:rPr>
        <w:t>S6</w:t>
      </w:r>
      <w:r w:rsidRPr="00392CBD">
        <w:t xml:space="preserve">). </w:t>
      </w:r>
    </w:p>
    <w:p w:rsidR="00B63EDB" w:rsidRPr="00392CBD" w:rsidRDefault="00AA0397" w:rsidP="00F203A2">
      <w:pPr>
        <w:spacing w:line="480" w:lineRule="auto"/>
        <w:jc w:val="both"/>
      </w:pPr>
      <w:r w:rsidRPr="00392CBD">
        <w:t xml:space="preserve">Biochemical parameters: </w:t>
      </w:r>
    </w:p>
    <w:p w:rsidR="00500C30" w:rsidRPr="00392CBD" w:rsidRDefault="00500C30" w:rsidP="00F203A2">
      <w:pPr>
        <w:spacing w:line="480" w:lineRule="auto"/>
        <w:jc w:val="both"/>
      </w:pPr>
      <w:r w:rsidRPr="00392CBD">
        <w:t xml:space="preserve">Analysis of data suggest a quadratic trend with time (p&lt;0.001) for the Vitamin D levels in the two groups. However, this quadratic trend differ amongst the two clinical groups with increasing trend in Vitamin </w:t>
      </w:r>
      <w:r w:rsidR="00B05C02">
        <w:t xml:space="preserve">D </w:t>
      </w:r>
      <w:r w:rsidRPr="00392CBD">
        <w:t xml:space="preserve">group and decreasing levels in Placebo group after 24 weeks (P&lt;0.001) (figure </w:t>
      </w:r>
      <w:r w:rsidR="00450FDD">
        <w:rPr>
          <w:color w:val="0070C0"/>
          <w:u w:val="single"/>
        </w:rPr>
        <w:t>3</w:t>
      </w:r>
      <w:r w:rsidRPr="00392CBD">
        <w:t xml:space="preserve">). The predicted (and observed) levels of Vitamin D as shown in the </w:t>
      </w:r>
      <w:r w:rsidRPr="00FA6C1B">
        <w:rPr>
          <w:strike/>
        </w:rPr>
        <w:t>supplementary</w:t>
      </w:r>
      <w:r w:rsidRPr="00392CBD">
        <w:t xml:space="preserve"> figure correspond to a mixed model which correctly accounts for the longitudinal structure of the data.  </w:t>
      </w:r>
    </w:p>
    <w:p w:rsidR="00AA0397" w:rsidRPr="00B24104" w:rsidRDefault="00B24104" w:rsidP="00F203A2">
      <w:pPr>
        <w:spacing w:line="480" w:lineRule="auto"/>
        <w:jc w:val="both"/>
        <w:rPr>
          <w:strike/>
        </w:rPr>
      </w:pPr>
      <w:r w:rsidRPr="00B24104">
        <w:rPr>
          <w:color w:val="0070C0"/>
          <w:u w:val="single"/>
        </w:rPr>
        <w:lastRenderedPageBreak/>
        <w:t>Systolic blood pressure did not differ in the vitamin D versus the placebo group, at baseline [133.7(14.4) vs. 144(22.8</w:t>
      </w:r>
      <w:proofErr w:type="gramStart"/>
      <w:r w:rsidRPr="00B24104">
        <w:rPr>
          <w:color w:val="0070C0"/>
          <w:u w:val="single"/>
        </w:rPr>
        <w:t>)</w:t>
      </w:r>
      <w:r w:rsidR="00CF2F24">
        <w:rPr>
          <w:color w:val="0070C0"/>
          <w:u w:val="single"/>
        </w:rPr>
        <w:t>mmHg</w:t>
      </w:r>
      <w:proofErr w:type="gramEnd"/>
      <w:r w:rsidRPr="00B24104">
        <w:rPr>
          <w:color w:val="0070C0"/>
          <w:u w:val="single"/>
        </w:rPr>
        <w:t>;</w:t>
      </w:r>
      <w:r w:rsidR="00936362">
        <w:rPr>
          <w:color w:val="0070C0"/>
          <w:u w:val="single"/>
        </w:rPr>
        <w:t xml:space="preserve"> </w:t>
      </w:r>
      <w:r w:rsidRPr="00B24104">
        <w:rPr>
          <w:color w:val="0070C0"/>
          <w:u w:val="single"/>
        </w:rPr>
        <w:t>p=0.09] and end of study [131.4 (16.0) 131.6 (14.4</w:t>
      </w:r>
      <w:r w:rsidR="00FB0C72">
        <w:rPr>
          <w:color w:val="0070C0"/>
          <w:u w:val="single"/>
        </w:rPr>
        <w:t>)</w:t>
      </w:r>
      <w:r w:rsidR="00CF2F24">
        <w:rPr>
          <w:color w:val="0070C0"/>
          <w:u w:val="single"/>
        </w:rPr>
        <w:t>mmHg</w:t>
      </w:r>
      <w:r w:rsidR="00936362">
        <w:rPr>
          <w:color w:val="0070C0"/>
          <w:u w:val="single"/>
        </w:rPr>
        <w:t>;</w:t>
      </w:r>
      <w:r w:rsidRPr="00B24104">
        <w:rPr>
          <w:color w:val="0070C0"/>
          <w:u w:val="single"/>
        </w:rPr>
        <w:t xml:space="preserve"> p=0.82]. </w:t>
      </w:r>
      <w:proofErr w:type="spellStart"/>
      <w:proofErr w:type="gramStart"/>
      <w:r w:rsidRPr="00B24104">
        <w:rPr>
          <w:color w:val="0070C0"/>
          <w:u w:val="single"/>
        </w:rPr>
        <w:t>eGFR</w:t>
      </w:r>
      <w:proofErr w:type="spellEnd"/>
      <w:proofErr w:type="gramEnd"/>
      <w:r w:rsidRPr="00B24104">
        <w:rPr>
          <w:color w:val="0070C0"/>
          <w:u w:val="single"/>
        </w:rPr>
        <w:t xml:space="preserve"> at baseline was not different between the vitamin D and placebo group [34.19(11.25) vs. 35.32(10.92</w:t>
      </w:r>
      <w:r w:rsidR="00CF2F24">
        <w:rPr>
          <w:color w:val="0070C0"/>
          <w:u w:val="single"/>
        </w:rPr>
        <w:t>ml/min/1.73m</w:t>
      </w:r>
      <w:r w:rsidR="00CF2F24" w:rsidRPr="00CF2F24">
        <w:rPr>
          <w:color w:val="0070C0"/>
          <w:u w:val="single"/>
          <w:vertAlign w:val="superscript"/>
        </w:rPr>
        <w:t>2</w:t>
      </w:r>
      <w:r w:rsidRPr="00B24104">
        <w:rPr>
          <w:color w:val="0070C0"/>
          <w:u w:val="single"/>
        </w:rPr>
        <w:t xml:space="preserve">); p=0.75]. There was no difference between Vitamin D and placebo groups in </w:t>
      </w:r>
      <w:proofErr w:type="spellStart"/>
      <w:r w:rsidRPr="00B24104">
        <w:rPr>
          <w:color w:val="0070C0"/>
          <w:u w:val="single"/>
        </w:rPr>
        <w:t>creatinine</w:t>
      </w:r>
      <w:proofErr w:type="spellEnd"/>
      <w:r w:rsidRPr="00B24104">
        <w:rPr>
          <w:color w:val="0070C0"/>
          <w:u w:val="single"/>
        </w:rPr>
        <w:t xml:space="preserve"> </w:t>
      </w:r>
      <w:r w:rsidR="00FB0C72">
        <w:rPr>
          <w:color w:val="0070C0"/>
          <w:u w:val="single"/>
        </w:rPr>
        <w:t>concentrations at baseline [</w:t>
      </w:r>
      <w:r w:rsidR="00CF2F24">
        <w:rPr>
          <w:color w:val="0070C0"/>
          <w:u w:val="single"/>
        </w:rPr>
        <w:t>197(</w:t>
      </w:r>
      <w:r w:rsidRPr="00B24104">
        <w:rPr>
          <w:color w:val="0070C0"/>
          <w:u w:val="single"/>
        </w:rPr>
        <w:t>68</w:t>
      </w:r>
      <w:r w:rsidR="00CF2F24">
        <w:rPr>
          <w:color w:val="0070C0"/>
          <w:u w:val="single"/>
        </w:rPr>
        <w:t xml:space="preserve">) </w:t>
      </w:r>
      <w:proofErr w:type="spellStart"/>
      <w:r w:rsidR="00CF2F24">
        <w:rPr>
          <w:color w:val="0070C0"/>
          <w:u w:val="single"/>
        </w:rPr>
        <w:t>vs</w:t>
      </w:r>
      <w:proofErr w:type="spellEnd"/>
      <w:r w:rsidR="00CF2F24">
        <w:rPr>
          <w:color w:val="0070C0"/>
          <w:u w:val="single"/>
        </w:rPr>
        <w:t xml:space="preserve"> 189(</w:t>
      </w:r>
      <w:r w:rsidRPr="00B24104">
        <w:rPr>
          <w:color w:val="0070C0"/>
          <w:u w:val="single"/>
        </w:rPr>
        <w:t>61</w:t>
      </w:r>
      <w:proofErr w:type="gramStart"/>
      <w:r w:rsidR="00CF2F24">
        <w:rPr>
          <w:color w:val="0070C0"/>
          <w:u w:val="single"/>
        </w:rPr>
        <w:t>)</w:t>
      </w:r>
      <w:r w:rsidR="00FB0C72">
        <w:rPr>
          <w:color w:val="0070C0"/>
          <w:u w:val="single"/>
        </w:rPr>
        <w:t>µ</w:t>
      </w:r>
      <w:proofErr w:type="spellStart"/>
      <w:proofErr w:type="gramEnd"/>
      <w:r w:rsidR="00FB0C72">
        <w:rPr>
          <w:color w:val="0070C0"/>
          <w:u w:val="single"/>
        </w:rPr>
        <w:t>mol</w:t>
      </w:r>
      <w:proofErr w:type="spellEnd"/>
      <w:r w:rsidR="00FB0C72">
        <w:rPr>
          <w:color w:val="0070C0"/>
          <w:u w:val="single"/>
        </w:rPr>
        <w:t>/L; p=0.70], 24 weeks [</w:t>
      </w:r>
      <w:r w:rsidR="009501D1">
        <w:rPr>
          <w:color w:val="0070C0"/>
          <w:u w:val="single"/>
        </w:rPr>
        <w:t>194(</w:t>
      </w:r>
      <w:r w:rsidRPr="00B24104">
        <w:rPr>
          <w:color w:val="0070C0"/>
          <w:u w:val="single"/>
        </w:rPr>
        <w:t>63</w:t>
      </w:r>
      <w:r w:rsidR="009501D1">
        <w:rPr>
          <w:color w:val="0070C0"/>
          <w:u w:val="single"/>
        </w:rPr>
        <w:t xml:space="preserve">) </w:t>
      </w:r>
      <w:proofErr w:type="spellStart"/>
      <w:r w:rsidR="009501D1">
        <w:rPr>
          <w:color w:val="0070C0"/>
          <w:u w:val="single"/>
        </w:rPr>
        <w:t>vs</w:t>
      </w:r>
      <w:proofErr w:type="spellEnd"/>
      <w:r w:rsidR="009501D1">
        <w:rPr>
          <w:color w:val="0070C0"/>
          <w:u w:val="single"/>
        </w:rPr>
        <w:t xml:space="preserve"> 187(</w:t>
      </w:r>
      <w:r w:rsidRPr="00B24104">
        <w:rPr>
          <w:color w:val="0070C0"/>
          <w:u w:val="single"/>
        </w:rPr>
        <w:t>75</w:t>
      </w:r>
      <w:r w:rsidR="009501D1">
        <w:rPr>
          <w:color w:val="0070C0"/>
          <w:u w:val="single"/>
        </w:rPr>
        <w:t>)</w:t>
      </w:r>
      <w:r w:rsidRPr="00B24104">
        <w:rPr>
          <w:color w:val="0070C0"/>
          <w:u w:val="single"/>
        </w:rPr>
        <w:t>µ</w:t>
      </w:r>
      <w:proofErr w:type="spellStart"/>
      <w:r w:rsidRPr="00B24104">
        <w:rPr>
          <w:color w:val="0070C0"/>
          <w:u w:val="single"/>
        </w:rPr>
        <w:t>m</w:t>
      </w:r>
      <w:r w:rsidR="009501D1">
        <w:rPr>
          <w:color w:val="0070C0"/>
          <w:u w:val="single"/>
        </w:rPr>
        <w:t>ol</w:t>
      </w:r>
      <w:proofErr w:type="spellEnd"/>
      <w:r w:rsidR="009501D1">
        <w:rPr>
          <w:color w:val="0070C0"/>
          <w:u w:val="single"/>
        </w:rPr>
        <w:t>/L; p=0.75) and 52 weeks (219(</w:t>
      </w:r>
      <w:r w:rsidRPr="00B24104">
        <w:rPr>
          <w:color w:val="0070C0"/>
          <w:u w:val="single"/>
        </w:rPr>
        <w:t>103</w:t>
      </w:r>
      <w:r w:rsidR="009501D1">
        <w:rPr>
          <w:color w:val="0070C0"/>
          <w:u w:val="single"/>
        </w:rPr>
        <w:t xml:space="preserve">) </w:t>
      </w:r>
      <w:proofErr w:type="spellStart"/>
      <w:r w:rsidR="009501D1">
        <w:rPr>
          <w:color w:val="0070C0"/>
          <w:u w:val="single"/>
        </w:rPr>
        <w:t>vs</w:t>
      </w:r>
      <w:proofErr w:type="spellEnd"/>
      <w:r w:rsidR="009501D1">
        <w:rPr>
          <w:color w:val="0070C0"/>
          <w:u w:val="single"/>
        </w:rPr>
        <w:t xml:space="preserve"> 190(</w:t>
      </w:r>
      <w:r w:rsidRPr="00B24104">
        <w:rPr>
          <w:color w:val="0070C0"/>
          <w:u w:val="single"/>
        </w:rPr>
        <w:t>86</w:t>
      </w:r>
      <w:r w:rsidR="009501D1">
        <w:rPr>
          <w:color w:val="0070C0"/>
          <w:u w:val="single"/>
        </w:rPr>
        <w:t>)</w:t>
      </w:r>
      <w:r w:rsidR="00FB0C72">
        <w:rPr>
          <w:color w:val="0070C0"/>
          <w:u w:val="single"/>
        </w:rPr>
        <w:t>µ</w:t>
      </w:r>
      <w:proofErr w:type="spellStart"/>
      <w:r w:rsidR="00FB0C72">
        <w:rPr>
          <w:color w:val="0070C0"/>
          <w:u w:val="single"/>
        </w:rPr>
        <w:t>mol</w:t>
      </w:r>
      <w:proofErr w:type="spellEnd"/>
      <w:r w:rsidR="00FB0C72">
        <w:rPr>
          <w:color w:val="0070C0"/>
          <w:u w:val="single"/>
        </w:rPr>
        <w:t>/L; p=0.42]</w:t>
      </w:r>
      <w:r w:rsidRPr="00B24104">
        <w:rPr>
          <w:color w:val="0070C0"/>
          <w:u w:val="single"/>
        </w:rPr>
        <w:t xml:space="preserve">. Moreover, there was no difference in </w:t>
      </w:r>
      <w:proofErr w:type="spellStart"/>
      <w:r w:rsidRPr="00B24104">
        <w:rPr>
          <w:color w:val="0070C0"/>
          <w:u w:val="single"/>
        </w:rPr>
        <w:t>creatinine</w:t>
      </w:r>
      <w:proofErr w:type="spellEnd"/>
      <w:r w:rsidRPr="00B24104">
        <w:rPr>
          <w:color w:val="0070C0"/>
          <w:u w:val="single"/>
        </w:rPr>
        <w:t xml:space="preserve"> changes over time within the two groups. There were no differences between Vitamin D or placebo groups at 52 weeks for calcium, phosphate or parathyroid hormone concentrations. None of the patients experienced cardiac events during the study period.</w:t>
      </w:r>
      <w:r w:rsidRPr="00B24104">
        <w:rPr>
          <w:color w:val="0070C0"/>
        </w:rPr>
        <w:t xml:space="preserve">  </w:t>
      </w:r>
      <w:r w:rsidR="00AA0397" w:rsidRPr="00B24104">
        <w:rPr>
          <w:strike/>
        </w:rPr>
        <w:t>The values of other relevant biochemical parameters were no different between placebo and Vitamin D groups at baseline or at 52 weeks.</w:t>
      </w:r>
    </w:p>
    <w:p w:rsidR="00B63EDB" w:rsidRPr="00392CBD" w:rsidRDefault="00C06569" w:rsidP="00196D9C">
      <w:pPr>
        <w:spacing w:line="480" w:lineRule="auto"/>
        <w:jc w:val="both"/>
      </w:pPr>
      <w:r w:rsidRPr="00392CBD">
        <w:t>M</w:t>
      </w:r>
      <w:r w:rsidR="00141479" w:rsidRPr="00392CBD">
        <w:t xml:space="preserve">eta-analysis: </w:t>
      </w:r>
    </w:p>
    <w:p w:rsidR="00AA0397" w:rsidRDefault="00F44400" w:rsidP="00196D9C">
      <w:pPr>
        <w:spacing w:line="480" w:lineRule="auto"/>
        <w:jc w:val="both"/>
      </w:pPr>
      <w:r w:rsidRPr="00392CBD">
        <w:t>Three randomised clinical trials, incl</w:t>
      </w:r>
      <w:r w:rsidR="00D05631">
        <w:t xml:space="preserve">uding the current study (Table </w:t>
      </w:r>
      <w:r w:rsidR="00D05631" w:rsidRPr="00D05631">
        <w:rPr>
          <w:color w:val="0070C0"/>
          <w:u w:val="single"/>
        </w:rPr>
        <w:t>4</w:t>
      </w:r>
      <w:r w:rsidRPr="00392CBD">
        <w:t xml:space="preserve">), which investigated the effect of the intervention on changes in left ventricular mass index have been collated and a random effects meta-analysis has been conducted for to derive a pooled </w:t>
      </w:r>
      <w:r w:rsidR="008B3F5A" w:rsidRPr="00392CBD">
        <w:t xml:space="preserve">group </w:t>
      </w:r>
      <w:r w:rsidRPr="00392CBD">
        <w:t>effect</w:t>
      </w:r>
      <w:r w:rsidR="008B3F5A" w:rsidRPr="00392CBD">
        <w:t>. The studies did not exhibit much heterogeneity (I-squared = 0.0%) and hence the pooled estimate, bas</w:t>
      </w:r>
      <w:r w:rsidR="00450FDD">
        <w:t xml:space="preserve">ed on a larger numbers (Figure </w:t>
      </w:r>
      <w:r w:rsidR="00450FDD" w:rsidRPr="00450FDD">
        <w:rPr>
          <w:color w:val="0070C0"/>
          <w:u w:val="single"/>
        </w:rPr>
        <w:t>4</w:t>
      </w:r>
      <w:r w:rsidR="008B3F5A" w:rsidRPr="00392CBD">
        <w:t xml:space="preserve">) can be interpreted. The analysis suggest that the changes favours placebo, with a standardized mean difference of 0.17 (-0.07, 0.40) but the difference is not statistically significant. The </w:t>
      </w:r>
      <w:r w:rsidR="00EF1932" w:rsidRPr="00392CBD">
        <w:t>result suggests</w:t>
      </w:r>
      <w:r w:rsidR="008B3F5A" w:rsidRPr="00392CBD">
        <w:t xml:space="preserve"> that the data are consistent with no difference in the left ventricular mass index</w:t>
      </w:r>
      <w:r w:rsidR="00D260E8" w:rsidRPr="00392CBD">
        <w:t xml:space="preserve"> between the two treatment groups.</w:t>
      </w:r>
      <w:r w:rsidR="008B3F5A" w:rsidRPr="00392CBD">
        <w:t xml:space="preserve">  </w:t>
      </w:r>
      <w:r w:rsidRPr="00392CBD">
        <w:t xml:space="preserve">   </w:t>
      </w:r>
    </w:p>
    <w:p w:rsidR="00EA7557" w:rsidRPr="00EA7557" w:rsidRDefault="00EA7557" w:rsidP="00196D9C">
      <w:pPr>
        <w:spacing w:line="480" w:lineRule="auto"/>
        <w:jc w:val="both"/>
        <w:rPr>
          <w:color w:val="0070C0"/>
          <w:u w:val="single"/>
        </w:rPr>
      </w:pPr>
      <w:r w:rsidRPr="00EA7557">
        <w:rPr>
          <w:color w:val="0070C0"/>
          <w:u w:val="single"/>
        </w:rPr>
        <w:t>This is a relatively small meta-analysis – perhaps suggesting that more research is needed to understand the true intervention effect. We conducted a fixed effect meta-analysis and there was no difference between fixed effect and random effect meta-analyses. We have decided to conduct a further patient level data meta-analysis with additional clinical outcomes including renal function. The funnel plot is show</w:t>
      </w:r>
      <w:r w:rsidR="00D63EFF">
        <w:rPr>
          <w:color w:val="0070C0"/>
          <w:u w:val="single"/>
        </w:rPr>
        <w:t>n in the supplementary file as Figure S1</w:t>
      </w:r>
      <w:r w:rsidRPr="00EA7557">
        <w:rPr>
          <w:color w:val="0070C0"/>
          <w:u w:val="single"/>
        </w:rPr>
        <w:t>.</w:t>
      </w:r>
    </w:p>
    <w:p w:rsidR="00464CFD" w:rsidRPr="00392CBD" w:rsidRDefault="00464CFD" w:rsidP="00196D9C">
      <w:pPr>
        <w:spacing w:line="480" w:lineRule="auto"/>
        <w:jc w:val="both"/>
      </w:pPr>
      <w:r w:rsidRPr="00392CBD">
        <w:lastRenderedPageBreak/>
        <w:t xml:space="preserve">Adverse Events </w:t>
      </w:r>
      <w:r w:rsidR="00A26958" w:rsidRPr="00392CBD">
        <w:t>and</w:t>
      </w:r>
      <w:r w:rsidR="00584F04" w:rsidRPr="00392CBD">
        <w:t xml:space="preserve"> the</w:t>
      </w:r>
      <w:r w:rsidR="00A26958" w:rsidRPr="00392CBD">
        <w:t xml:space="preserve"> Course of the Study:</w:t>
      </w:r>
    </w:p>
    <w:p w:rsidR="00D31CAD" w:rsidRPr="00B24104" w:rsidRDefault="00A23F97" w:rsidP="00196D9C">
      <w:pPr>
        <w:spacing w:line="480" w:lineRule="auto"/>
        <w:jc w:val="both"/>
        <w:rPr>
          <w:color w:val="0070C0"/>
          <w:u w:val="single"/>
        </w:rPr>
      </w:pPr>
      <w:r w:rsidRPr="00392CBD">
        <w:t>During the trial, o</w:t>
      </w:r>
      <w:r w:rsidR="00D31CAD" w:rsidRPr="00392CBD">
        <w:t>ne patient developed prostate cancer and was withdrawn from study</w:t>
      </w:r>
      <w:r w:rsidRPr="00392CBD">
        <w:t xml:space="preserve"> (this was not considered to be a treatment-emergent event)</w:t>
      </w:r>
      <w:r w:rsidR="00D31CAD" w:rsidRPr="00392CBD">
        <w:t>. One patient suffered rapid progression of kidney disease and ended up on haemodialysis and hence withdrawn from study</w:t>
      </w:r>
      <w:r w:rsidRPr="00392CBD">
        <w:t xml:space="preserve"> (this was not accompanied or caused by </w:t>
      </w:r>
      <w:proofErr w:type="spellStart"/>
      <w:r w:rsidRPr="00392CBD">
        <w:t>hypercalcaemia</w:t>
      </w:r>
      <w:proofErr w:type="spellEnd"/>
      <w:r w:rsidRPr="00392CBD">
        <w:t>)</w:t>
      </w:r>
      <w:r w:rsidR="00D31CAD" w:rsidRPr="00392CBD">
        <w:t xml:space="preserve">. Two patients randomised to vitamin D developed </w:t>
      </w:r>
      <w:r w:rsidRPr="00392CBD">
        <w:t xml:space="preserve">mild biochemical </w:t>
      </w:r>
      <w:proofErr w:type="spellStart"/>
      <w:r w:rsidR="00D31CAD" w:rsidRPr="00392CBD">
        <w:t>hypercalcaemia</w:t>
      </w:r>
      <w:proofErr w:type="spellEnd"/>
      <w:r w:rsidR="00D31CAD" w:rsidRPr="00392CBD">
        <w:t xml:space="preserve"> and the data safety monitoring board requested breaking of randomisation code and for them to be withdrawn from study. </w:t>
      </w:r>
      <w:r w:rsidR="006272D9" w:rsidRPr="00392CBD">
        <w:t>One patient was subsequently diagnosed with</w:t>
      </w:r>
      <w:r w:rsidR="00A52BFB" w:rsidRPr="00392CBD">
        <w:t xml:space="preserve"> granulomatous disease</w:t>
      </w:r>
      <w:r w:rsidR="00B05C02">
        <w:t xml:space="preserve"> and the other developed primary hyperparathyroidism</w:t>
      </w:r>
      <w:r w:rsidR="00A52BFB" w:rsidRPr="00392CBD">
        <w:t xml:space="preserve">. </w:t>
      </w:r>
      <w:r w:rsidR="00154B11" w:rsidRPr="00392CBD">
        <w:t>O</w:t>
      </w:r>
      <w:r w:rsidR="00D31CAD" w:rsidRPr="00392CBD">
        <w:t xml:space="preserve">ne patient failed to attend the study appointments and requested to be withdrawn from the study. </w:t>
      </w:r>
      <w:r w:rsidR="00B24104" w:rsidRPr="00B24104">
        <w:rPr>
          <w:color w:val="0070C0"/>
          <w:u w:val="single"/>
        </w:rPr>
        <w:t>There was no issue reported by patients during directory observed therapy with vitamin D or placebo.</w:t>
      </w:r>
    </w:p>
    <w:p w:rsidR="00257C2D" w:rsidRPr="00392CBD" w:rsidRDefault="00593AC5" w:rsidP="00196D9C">
      <w:pPr>
        <w:spacing w:line="480" w:lineRule="auto"/>
        <w:jc w:val="both"/>
      </w:pPr>
      <w:r w:rsidRPr="00392CBD">
        <w:t xml:space="preserve">Patients who were suitable by echocardiographic criterion for randomisation were not all randomised </w:t>
      </w:r>
      <w:r w:rsidR="00A23F97" w:rsidRPr="00392CBD">
        <w:t xml:space="preserve">to treatment </w:t>
      </w:r>
      <w:r w:rsidRPr="00392CBD">
        <w:t xml:space="preserve">due various reason such as inability to underdo MRI due to claustrophobia and metallic clips (5), rapid progression of kidney disease (1), death due to pulmonary embolism (1), inability to </w:t>
      </w:r>
      <w:r w:rsidR="00584F04" w:rsidRPr="00392CBD">
        <w:t xml:space="preserve">schedule </w:t>
      </w:r>
      <w:r w:rsidRPr="00392CBD">
        <w:t>follow up</w:t>
      </w:r>
      <w:r w:rsidR="00584F04" w:rsidRPr="00392CBD">
        <w:t xml:space="preserve"> visits</w:t>
      </w:r>
      <w:r w:rsidRPr="00392CBD">
        <w:t xml:space="preserve"> (3) </w:t>
      </w:r>
      <w:r w:rsidR="00154B11" w:rsidRPr="00392CBD">
        <w:t>.</w:t>
      </w:r>
    </w:p>
    <w:p w:rsidR="00257C2D" w:rsidRPr="00392CBD" w:rsidRDefault="00141479" w:rsidP="00196D9C">
      <w:pPr>
        <w:spacing w:line="480" w:lineRule="auto"/>
        <w:jc w:val="both"/>
      </w:pPr>
      <w:r w:rsidRPr="00392CBD">
        <w:t>The patient flow is described in figure 1, including screening, randomisation and treatment emergent outcome</w:t>
      </w:r>
      <w:r w:rsidR="00584F04" w:rsidRPr="00392CBD">
        <w:t>s.</w:t>
      </w:r>
    </w:p>
    <w:p w:rsidR="00154B11" w:rsidRPr="00392CBD" w:rsidRDefault="00154B11" w:rsidP="00196D9C">
      <w:pPr>
        <w:spacing w:line="480" w:lineRule="auto"/>
      </w:pPr>
    </w:p>
    <w:p w:rsidR="00C73D93" w:rsidRDefault="00C73D93">
      <w:pPr>
        <w:rPr>
          <w:b/>
        </w:rPr>
      </w:pPr>
      <w:r>
        <w:rPr>
          <w:b/>
        </w:rPr>
        <w:br w:type="page"/>
      </w:r>
    </w:p>
    <w:p w:rsidR="00C362A9" w:rsidRPr="00172518" w:rsidRDefault="00C362A9" w:rsidP="00196D9C">
      <w:pPr>
        <w:spacing w:line="480" w:lineRule="auto"/>
        <w:jc w:val="center"/>
        <w:rPr>
          <w:b/>
        </w:rPr>
      </w:pPr>
      <w:r w:rsidRPr="00172518">
        <w:rPr>
          <w:b/>
        </w:rPr>
        <w:lastRenderedPageBreak/>
        <w:t>Discussion</w:t>
      </w:r>
    </w:p>
    <w:p w:rsidR="00C362A9" w:rsidRDefault="00C362A9" w:rsidP="00196D9C">
      <w:pPr>
        <w:spacing w:line="480" w:lineRule="auto"/>
        <w:jc w:val="both"/>
      </w:pPr>
      <w:r>
        <w:t xml:space="preserve">The present study of stable CKD patients with </w:t>
      </w:r>
      <w:proofErr w:type="spellStart"/>
      <w:r>
        <w:t>hypovitaminosis</w:t>
      </w:r>
      <w:proofErr w:type="spellEnd"/>
      <w:r>
        <w:t xml:space="preserve"> D showed that treatment with 600,000 units of </w:t>
      </w:r>
      <w:proofErr w:type="spellStart"/>
      <w:r>
        <w:t>cholecalciferol</w:t>
      </w:r>
      <w:proofErr w:type="spellEnd"/>
      <w:r>
        <w:t xml:space="preserve"> over a 52 weeks period did not change left ventricular structure or function, compared to placebo, despite biochemical evidence of a significant and sustained rise in serum 25(OH</w:t>
      </w:r>
      <w:proofErr w:type="gramStart"/>
      <w:r>
        <w:t>)D</w:t>
      </w:r>
      <w:proofErr w:type="gramEnd"/>
      <w:r>
        <w:t xml:space="preserve"> concentrations in the active treated group. There was no difference in MRI measured LVM, LV function, right ventricular structure, right ventricular function, right and left atrial area, between subjects randomised to vitamin D repletion, or placebo. </w:t>
      </w:r>
    </w:p>
    <w:p w:rsidR="00C362A9" w:rsidRDefault="00C362A9" w:rsidP="00196D9C">
      <w:pPr>
        <w:spacing w:line="480" w:lineRule="auto"/>
        <w:jc w:val="both"/>
      </w:pPr>
      <w:r>
        <w:t>The results of this study are very similar (i.e. negative) to the previously conducted randomised trials of active vitamin D therapy in CKD patients namely “PRIMO” and “OPERA”</w:t>
      </w:r>
      <w:r w:rsidR="002D12EF">
        <w:t>.</w:t>
      </w:r>
      <w:r w:rsidR="00CD0326" w:rsidRPr="00CD0326">
        <w:rPr>
          <w:vertAlign w:val="superscript"/>
        </w:rPr>
        <w:t>9</w:t>
      </w:r>
      <w:r w:rsidR="00CD0326">
        <w:rPr>
          <w:vertAlign w:val="superscript"/>
        </w:rPr>
        <w:t>,10</w:t>
      </w:r>
      <w:r>
        <w:t xml:space="preserve"> </w:t>
      </w:r>
    </w:p>
    <w:p w:rsidR="00C362A9" w:rsidRDefault="00C362A9" w:rsidP="00196D9C">
      <w:pPr>
        <w:spacing w:line="480" w:lineRule="auto"/>
        <w:jc w:val="both"/>
      </w:pPr>
      <w:r>
        <w:t>It is instructive to compare these three trials which have attempted to use vitamin D therapy to alter cardiac structure and function in CKD patients (these three studies are the only ones to have been conducted in CKD to date). This compariso</w:t>
      </w:r>
      <w:r w:rsidR="00D05631">
        <w:t xml:space="preserve">n can be seen in part in Table </w:t>
      </w:r>
      <w:r w:rsidR="00D05631" w:rsidRPr="00D05631">
        <w:rPr>
          <w:color w:val="0070C0"/>
          <w:u w:val="single"/>
        </w:rPr>
        <w:t>5</w:t>
      </w:r>
      <w:r>
        <w:t>.</w:t>
      </w:r>
    </w:p>
    <w:p w:rsidR="00C362A9" w:rsidRDefault="00C362A9" w:rsidP="00196D9C">
      <w:pPr>
        <w:spacing w:line="480" w:lineRule="auto"/>
        <w:jc w:val="both"/>
      </w:pPr>
      <w:r>
        <w:t>PRIMO</w:t>
      </w:r>
    </w:p>
    <w:p w:rsidR="00C362A9" w:rsidRDefault="00C362A9" w:rsidP="00196D9C">
      <w:pPr>
        <w:spacing w:line="480" w:lineRule="auto"/>
        <w:jc w:val="both"/>
      </w:pPr>
      <w:r>
        <w:t>Participants in PRIMO were randomly assigned to receiv</w:t>
      </w:r>
      <w:r w:rsidR="00FB0C72">
        <w:t xml:space="preserve">e oral </w:t>
      </w:r>
      <w:proofErr w:type="spellStart"/>
      <w:r w:rsidR="00FB0C72">
        <w:t>paricalcitol</w:t>
      </w:r>
      <w:proofErr w:type="spellEnd"/>
      <w:r w:rsidR="00FB0C72">
        <w:t>, or placebo</w:t>
      </w:r>
      <w:r>
        <w:t>. The primary out</w:t>
      </w:r>
      <w:r w:rsidR="00FB0C72">
        <w:t xml:space="preserve">come measure was </w:t>
      </w:r>
      <w:r>
        <w:t xml:space="preserve">the change in LVMI over 48 weeks assessed by CMR. Secondary end points included echocardiographic changes in left ventricular diastolic function. The results showed that treatment with </w:t>
      </w:r>
      <w:proofErr w:type="spellStart"/>
      <w:r>
        <w:t>paricalcitol</w:t>
      </w:r>
      <w:proofErr w:type="spellEnd"/>
      <w:r>
        <w:t xml:space="preserve"> significantly reduced PTH concentration within 4 weeks and maintained this suppression to within the normal range throughout the study duration While at 48 weeks, the change in LVMI did not differ between treatment groups (</w:t>
      </w:r>
      <w:proofErr w:type="spellStart"/>
      <w:r>
        <w:t>paricalcitol</w:t>
      </w:r>
      <w:proofErr w:type="spellEnd"/>
      <w:r>
        <w:t xml:space="preserve"> group, 0.34 g/m</w:t>
      </w:r>
      <w:r>
        <w:rPr>
          <w:vertAlign w:val="superscript"/>
        </w:rPr>
        <w:t xml:space="preserve">2.7 </w:t>
      </w:r>
      <w:r>
        <w:t>[95% CI, −0.14, 0.83 g/m</w:t>
      </w:r>
      <w:r>
        <w:rPr>
          <w:vertAlign w:val="superscript"/>
        </w:rPr>
        <w:t>2.7</w:t>
      </w:r>
      <w:r>
        <w:t xml:space="preserve">] </w:t>
      </w:r>
      <w:proofErr w:type="spellStart"/>
      <w:r>
        <w:t>vs</w:t>
      </w:r>
      <w:proofErr w:type="spellEnd"/>
      <w:r>
        <w:t xml:space="preserve"> placebo group, −0.07 g/m</w:t>
      </w:r>
      <w:r>
        <w:rPr>
          <w:vertAlign w:val="superscript"/>
        </w:rPr>
        <w:t>2.7</w:t>
      </w:r>
      <w:r>
        <w:t xml:space="preserve"> [95% CI, −0.55</w:t>
      </w:r>
      <w:proofErr w:type="gramStart"/>
      <w:r>
        <w:t>,0.42</w:t>
      </w:r>
      <w:proofErr w:type="gramEnd"/>
      <w:r>
        <w:t xml:space="preserve"> g/m</w:t>
      </w:r>
      <w:r>
        <w:rPr>
          <w:vertAlign w:val="superscript"/>
        </w:rPr>
        <w:t>2.7</w:t>
      </w:r>
      <w:r>
        <w:t>]). Doppler measures of diastolic function including peak early diastolic lateral mitral annular tissue velocity (</w:t>
      </w:r>
      <w:proofErr w:type="spellStart"/>
      <w:r>
        <w:t>paricalcitol</w:t>
      </w:r>
      <w:proofErr w:type="spellEnd"/>
      <w:r>
        <w:t xml:space="preserve"> group, −0.01 cm/s [95% CI, −0.63, 0.60 cm/s] </w:t>
      </w:r>
      <w:proofErr w:type="spellStart"/>
      <w:r>
        <w:t>vs</w:t>
      </w:r>
      <w:proofErr w:type="spellEnd"/>
      <w:r>
        <w:t xml:space="preserve"> placebo group, −0.30 cm/s [95% CI, −0.93, 0.34 cm/s]) also did not differ.  More adverse events were judged to be probably or possibly drug related primarily due to </w:t>
      </w:r>
      <w:proofErr w:type="spellStart"/>
      <w:r>
        <w:t>hypercalcaemia</w:t>
      </w:r>
      <w:proofErr w:type="spellEnd"/>
      <w:r>
        <w:t xml:space="preserve"> (</w:t>
      </w:r>
      <w:proofErr w:type="spellStart"/>
      <w:r>
        <w:t>paricalcitol</w:t>
      </w:r>
      <w:proofErr w:type="spellEnd"/>
      <w:r>
        <w:t xml:space="preserve">, 22.6% </w:t>
      </w:r>
      <w:proofErr w:type="spellStart"/>
      <w:r>
        <w:t>vs</w:t>
      </w:r>
      <w:proofErr w:type="spellEnd"/>
      <w:r>
        <w:t xml:space="preserve"> placebo, 0.9%; P&lt;.001).</w:t>
      </w:r>
    </w:p>
    <w:p w:rsidR="00C362A9" w:rsidRDefault="00C362A9" w:rsidP="00196D9C">
      <w:pPr>
        <w:spacing w:after="0" w:line="480" w:lineRule="auto"/>
        <w:jc w:val="both"/>
      </w:pPr>
      <w:r>
        <w:lastRenderedPageBreak/>
        <w:t>OPERA</w:t>
      </w:r>
    </w:p>
    <w:p w:rsidR="00C362A9" w:rsidRDefault="00C362A9" w:rsidP="00196D9C">
      <w:pPr>
        <w:spacing w:after="0" w:line="480" w:lineRule="auto"/>
        <w:jc w:val="both"/>
      </w:pPr>
    </w:p>
    <w:p w:rsidR="00C362A9" w:rsidRDefault="00C362A9" w:rsidP="00196D9C">
      <w:pPr>
        <w:spacing w:after="0" w:line="480" w:lineRule="auto"/>
        <w:jc w:val="both"/>
      </w:pPr>
      <w:r>
        <w:t>The primary end point of this study was change in LV mass indexed by body surface area or height</w:t>
      </w:r>
      <w:r>
        <w:rPr>
          <w:vertAlign w:val="superscript"/>
        </w:rPr>
        <w:t xml:space="preserve">2.7 </w:t>
      </w:r>
      <w:r>
        <w:t xml:space="preserve">after 52 weeks of oral </w:t>
      </w:r>
      <w:proofErr w:type="spellStart"/>
      <w:r>
        <w:t>paricalcitol</w:t>
      </w:r>
      <w:proofErr w:type="spellEnd"/>
      <w:r>
        <w:t xml:space="preserve"> or placebo, which again did not differ between groups at the end of the study period,. Several secondary end points, including change in other </w:t>
      </w:r>
      <w:proofErr w:type="spellStart"/>
      <w:r>
        <w:t>prespecified</w:t>
      </w:r>
      <w:proofErr w:type="spellEnd"/>
      <w:r>
        <w:t xml:space="preserve"> CMR parameters, such as LV volume index, did not differ either; their included LVEF and other echocardiographic parameters, ratio of early to late </w:t>
      </w:r>
      <w:proofErr w:type="spellStart"/>
      <w:r>
        <w:t>transmitral</w:t>
      </w:r>
      <w:proofErr w:type="spellEnd"/>
      <w:r>
        <w:t xml:space="preserve"> inflow velocity (E/A), tissue Doppler-derived measure of E’, late diastolic mitral </w:t>
      </w:r>
      <w:proofErr w:type="spellStart"/>
      <w:r>
        <w:t>annulas</w:t>
      </w:r>
      <w:proofErr w:type="spellEnd"/>
      <w:r>
        <w:t xml:space="preserve"> velocity, systolic mitral annulus velocity, and ratio of E/</w:t>
      </w:r>
      <w:proofErr w:type="spellStart"/>
      <w:r>
        <w:t>E’.The</w:t>
      </w:r>
      <w:proofErr w:type="spellEnd"/>
      <w:r>
        <w:t xml:space="preserve"> most significant side-effect attributable to </w:t>
      </w:r>
      <w:proofErr w:type="spellStart"/>
      <w:r>
        <w:t>paricalcitol</w:t>
      </w:r>
      <w:proofErr w:type="spellEnd"/>
      <w:r>
        <w:t xml:space="preserve"> treatment was </w:t>
      </w:r>
      <w:proofErr w:type="spellStart"/>
      <w:r>
        <w:t>hypercalcaemia</w:t>
      </w:r>
      <w:proofErr w:type="spellEnd"/>
      <w:r>
        <w:t xml:space="preserve">  with significant suppression of PTH </w:t>
      </w:r>
    </w:p>
    <w:p w:rsidR="00C362A9" w:rsidRDefault="00C362A9" w:rsidP="00196D9C">
      <w:pPr>
        <w:spacing w:after="0" w:line="480" w:lineRule="auto"/>
        <w:jc w:val="both"/>
      </w:pPr>
    </w:p>
    <w:p w:rsidR="00C362A9" w:rsidRDefault="00C362A9" w:rsidP="00196D9C">
      <w:pPr>
        <w:spacing w:after="0" w:line="480" w:lineRule="auto"/>
        <w:jc w:val="both"/>
      </w:pPr>
    </w:p>
    <w:p w:rsidR="00C362A9" w:rsidRDefault="00C362A9" w:rsidP="00196D9C">
      <w:pPr>
        <w:spacing w:after="0" w:line="480" w:lineRule="auto"/>
        <w:jc w:val="both"/>
      </w:pPr>
      <w:r>
        <w:t xml:space="preserve">Meta-analysis </w:t>
      </w:r>
    </w:p>
    <w:p w:rsidR="00C362A9" w:rsidRDefault="00C362A9" w:rsidP="00196D9C">
      <w:pPr>
        <w:spacing w:after="0" w:line="480" w:lineRule="auto"/>
        <w:jc w:val="both"/>
      </w:pPr>
    </w:p>
    <w:p w:rsidR="00C362A9" w:rsidRDefault="00C362A9" w:rsidP="00196D9C">
      <w:pPr>
        <w:spacing w:after="0" w:line="480" w:lineRule="auto"/>
        <w:jc w:val="both"/>
      </w:pPr>
      <w:r>
        <w:t xml:space="preserve">We then conducted a meta-analysis of all three studies examining the impact of vitamin D treatment on LV mass in CKD. As stated, our main findings were similar to and confirmatory of the two previous trials of vitamin D in mild-to-moderate LVH in CKD. </w:t>
      </w:r>
    </w:p>
    <w:p w:rsidR="00C362A9" w:rsidRDefault="00C362A9" w:rsidP="00196D9C">
      <w:pPr>
        <w:spacing w:after="0" w:line="480" w:lineRule="auto"/>
        <w:jc w:val="both"/>
      </w:pPr>
    </w:p>
    <w:p w:rsidR="00C362A9" w:rsidRDefault="00C362A9" w:rsidP="00196D9C">
      <w:pPr>
        <w:spacing w:after="0" w:line="480" w:lineRule="auto"/>
        <w:jc w:val="both"/>
      </w:pPr>
      <w:r>
        <w:t xml:space="preserve">Despite the reported outcome similarities (no measurable impact on LV structure or function) there were some potentially important differences between these three studies. One of the key differences was around selection of potential patients for inclusion. </w:t>
      </w:r>
    </w:p>
    <w:p w:rsidR="00C362A9" w:rsidRDefault="00C362A9" w:rsidP="00196D9C">
      <w:pPr>
        <w:spacing w:after="0" w:line="480" w:lineRule="auto"/>
        <w:jc w:val="both"/>
        <w:rPr>
          <w:strike/>
        </w:rPr>
      </w:pPr>
    </w:p>
    <w:p w:rsidR="00C362A9" w:rsidRDefault="00C362A9" w:rsidP="00196D9C">
      <w:pPr>
        <w:spacing w:after="0" w:line="480" w:lineRule="auto"/>
        <w:jc w:val="both"/>
      </w:pPr>
      <w:r>
        <w:t xml:space="preserve">In the PRIMO study </w:t>
      </w:r>
      <w:proofErr w:type="spellStart"/>
      <w:r>
        <w:t>septal</w:t>
      </w:r>
      <w:proofErr w:type="spellEnd"/>
      <w:r>
        <w:t xml:space="preserve"> wall LV thickness alone was used as one of the inclusion criteria, whereas in our “5C” study, and in the OPERA study, patient inclusion was based on standard echocardiographic criteria of LV hypertrophy. The LV mass index of OPERA subjects was at least 70% higher than the LV mass index in the PRIMO study and the 5C study. A major reason suggested for </w:t>
      </w:r>
      <w:r>
        <w:lastRenderedPageBreak/>
        <w:t>the negative findings in the PRIMO study was the low LV mass and absence of marked LV hypertrophy, and this might well have been the case for the 5C study as well. All three studies clearly showed that vitamin D treatment had no demonstrable effect on reducing LV mass over approximately 52 weeks. Furthermore, a large proportion of all three sets of study subjects exhibited diastolic dysfunction at baseline, which again was unaffected by the administration of vitamin D. Another important conceptual difference between our “5C” study and the two previous studies was our screening of potential participants by their serum vitamin D (25(OH</w:t>
      </w:r>
      <w:proofErr w:type="gramStart"/>
      <w:r>
        <w:t>)D</w:t>
      </w:r>
      <w:proofErr w:type="gramEnd"/>
      <w:r>
        <w:t xml:space="preserve">) concentrations, selecting only those subjects with insufficient circulating vitamin D. Thus, we would have avoided treating patients with no measurable vitamin D deficiency. It could be argued that the elevation of serum PTH was a manifestation of functional vitamin D deficiency in both PRIMO and OPERA but we feel that this is a moot point. In our “5C” study we did not choose to randomise potential trial subjects with absolute vitamin D deficiency, feeling that it was ethically preferable to replete such patients with vitamin D. It is certainly true that all three studied patient cohorts had significantly elevated serum PTH concentrations – a functional definition of secondary hyperparathyroidism, and likely largely to be secondary to lack of vitamin D activity, and that these PTH concentrations fell very significantly in the PRIMO and OPERA patient cohorts once subjects were exposed to activated vitamin D in the form of </w:t>
      </w:r>
      <w:proofErr w:type="spellStart"/>
      <w:r>
        <w:t>paricalcitol</w:t>
      </w:r>
      <w:proofErr w:type="spellEnd"/>
      <w:r>
        <w:t xml:space="preserve"> (but at the evident cost of significant biochemical </w:t>
      </w:r>
      <w:proofErr w:type="spellStart"/>
      <w:r>
        <w:t>hypercalcaemia</w:t>
      </w:r>
      <w:proofErr w:type="spellEnd"/>
      <w:r>
        <w:t xml:space="preserve">). </w:t>
      </w:r>
    </w:p>
    <w:p w:rsidR="00C362A9" w:rsidRDefault="00C362A9" w:rsidP="00196D9C">
      <w:pPr>
        <w:spacing w:after="0" w:line="480" w:lineRule="auto"/>
        <w:jc w:val="both"/>
      </w:pPr>
      <w:r>
        <w:t xml:space="preserve"> </w:t>
      </w:r>
    </w:p>
    <w:p w:rsidR="00C362A9" w:rsidRDefault="00C362A9" w:rsidP="00196D9C">
      <w:pPr>
        <w:spacing w:after="0" w:line="480" w:lineRule="auto"/>
        <w:jc w:val="both"/>
      </w:pPr>
      <w:r>
        <w:t xml:space="preserve">In our 5C study, the pre-repletion serum 25(OH)D concentration was 42 </w:t>
      </w:r>
      <w:proofErr w:type="spellStart"/>
      <w:r>
        <w:t>nmol</w:t>
      </w:r>
      <w:proofErr w:type="spellEnd"/>
      <w:r>
        <w:t xml:space="preserve">/L and this rose significantly over the course of the year’s trial duration, but only in those subjects administered vitamin D – from baseline values of 42 </w:t>
      </w:r>
      <w:proofErr w:type="spellStart"/>
      <w:r>
        <w:t>nmol</w:t>
      </w:r>
      <w:proofErr w:type="spellEnd"/>
      <w:r>
        <w:t xml:space="preserve">/L to 79 </w:t>
      </w:r>
      <w:proofErr w:type="spellStart"/>
      <w:r>
        <w:t>nmol</w:t>
      </w:r>
      <w:proofErr w:type="spellEnd"/>
      <w:r>
        <w:t xml:space="preserve">/L (p&lt;0.001). In the “5C” study the impact on serum PTH concentrations was not significant, </w:t>
      </w:r>
      <w:proofErr w:type="gramStart"/>
      <w:r>
        <w:t>which is in marked contrast to what was seen in PRIMO and OPERA.</w:t>
      </w:r>
      <w:proofErr w:type="gramEnd"/>
      <w:r>
        <w:t xml:space="preserve"> Equally, we only saw two cases of </w:t>
      </w:r>
      <w:proofErr w:type="spellStart"/>
      <w:r>
        <w:t>hypercalcaemia</w:t>
      </w:r>
      <w:proofErr w:type="spellEnd"/>
      <w:r>
        <w:t xml:space="preserve">, probably none related to study drug (native vitamin D). This should be contrasted with two recent studies of native vitamin D repletion, one conducted in subjects with heart failure where LV function did improve, and the </w:t>
      </w:r>
      <w:r>
        <w:lastRenderedPageBreak/>
        <w:t>baseline serum 25(OH</w:t>
      </w:r>
      <w:proofErr w:type="gramStart"/>
      <w:r>
        <w:t>)D</w:t>
      </w:r>
      <w:proofErr w:type="gramEnd"/>
      <w:r>
        <w:t xml:space="preserve"> concentrations rose from 30 to 90 </w:t>
      </w:r>
      <w:proofErr w:type="spellStart"/>
      <w:r>
        <w:t>nmol</w:t>
      </w:r>
      <w:proofErr w:type="spellEnd"/>
      <w:r>
        <w:t xml:space="preserve">/L, and  another in CKD patients where vasomotor endothelial function  improved significantly only in the vitamin D treated cohort, whose baseline serum 25(OH)D rose from 30 to 90 </w:t>
      </w:r>
      <w:proofErr w:type="spellStart"/>
      <w:r>
        <w:t>nmol</w:t>
      </w:r>
      <w:proofErr w:type="spellEnd"/>
      <w:r>
        <w:t xml:space="preserve">/L </w:t>
      </w:r>
      <w:r w:rsidR="00CD0326" w:rsidRPr="00CD0326">
        <w:rPr>
          <w:vertAlign w:val="superscript"/>
        </w:rPr>
        <w:t>8</w:t>
      </w:r>
      <w:r w:rsidR="00CD0326">
        <w:rPr>
          <w:vertAlign w:val="superscript"/>
        </w:rPr>
        <w:t>,15</w:t>
      </w:r>
      <w:r>
        <w:t xml:space="preserve">. Interestingly, in these 2 positive studies, both of which were of shorter duration than “5C”, PRIMO or OPERA, there was little to no </w:t>
      </w:r>
      <w:proofErr w:type="spellStart"/>
      <w:r>
        <w:t>hypercalcaemia</w:t>
      </w:r>
      <w:proofErr w:type="spellEnd"/>
      <w:r>
        <w:t xml:space="preserve"> when using native vitamin D (</w:t>
      </w:r>
      <w:proofErr w:type="spellStart"/>
      <w:r>
        <w:t>cholecalciferol</w:t>
      </w:r>
      <w:proofErr w:type="spellEnd"/>
      <w:r>
        <w:t>) as the active intervention.</w:t>
      </w:r>
    </w:p>
    <w:p w:rsidR="00C362A9" w:rsidRDefault="00C362A9" w:rsidP="00196D9C">
      <w:pPr>
        <w:spacing w:after="0" w:line="480" w:lineRule="auto"/>
        <w:jc w:val="both"/>
      </w:pPr>
    </w:p>
    <w:p w:rsidR="00C362A9" w:rsidRDefault="00C362A9" w:rsidP="00196D9C">
      <w:pPr>
        <w:spacing w:after="0" w:line="480" w:lineRule="auto"/>
        <w:jc w:val="both"/>
      </w:pPr>
      <w:r>
        <w:t>Another potential explanation for the negative results in all three trials would be that the treatment duration was too short to modify LV hypertrophy and dysfunction; this can only be proved by attempting a longer duration of study, though this would present significant challenges for activated vitamin D compounds which are now discouraged by the latest version of the KDIGO CKD-MBD guidelines on account of the likely cumulative incidence of hypercalcaemia</w:t>
      </w:r>
      <w:r w:rsidR="002D12EF">
        <w:t>.</w:t>
      </w:r>
      <w:r w:rsidR="006870B7" w:rsidRPr="006870B7">
        <w:rPr>
          <w:vertAlign w:val="superscript"/>
        </w:rPr>
        <w:t>21</w:t>
      </w:r>
      <w:r>
        <w:t xml:space="preserve"> </w:t>
      </w:r>
    </w:p>
    <w:p w:rsidR="00C362A9" w:rsidRDefault="00C362A9" w:rsidP="00196D9C">
      <w:pPr>
        <w:spacing w:after="0" w:line="480" w:lineRule="auto"/>
        <w:jc w:val="both"/>
      </w:pPr>
    </w:p>
    <w:p w:rsidR="00C362A9" w:rsidRDefault="00C362A9" w:rsidP="00196D9C">
      <w:pPr>
        <w:spacing w:after="0" w:line="480" w:lineRule="auto"/>
        <w:jc w:val="both"/>
      </w:pPr>
      <w:r>
        <w:t xml:space="preserve">Another possibility for the negative results may be that, because activated vitamin D acts by repressing the RAS </w:t>
      </w:r>
      <w:proofErr w:type="gramStart"/>
      <w:r>
        <w:t>and  all</w:t>
      </w:r>
      <w:proofErr w:type="gramEnd"/>
      <w:r>
        <w:t xml:space="preserve"> of our (“5C”) patients already received treatment with RAS blockers, the effect of activated D treatment on the myocardium may possibly be attenuated because of concomitant treatment with RAS blockers. This is of course true also of PRIMO and especially OPERA where &gt;80% of subjects were chronically exposed to RAS blockade (as remains guideline-mandated therapy for hypertensive </w:t>
      </w:r>
      <w:proofErr w:type="spellStart"/>
      <w:r>
        <w:t>proteinuric</w:t>
      </w:r>
      <w:proofErr w:type="spellEnd"/>
      <w:r>
        <w:t xml:space="preserve"> CKD patients).  While studying patients who were not treated with RAS blockers would be interesting, it might be unethical. </w:t>
      </w:r>
    </w:p>
    <w:p w:rsidR="00C362A9" w:rsidRDefault="00C362A9" w:rsidP="00196D9C">
      <w:pPr>
        <w:spacing w:after="0" w:line="480" w:lineRule="auto"/>
        <w:jc w:val="both"/>
      </w:pPr>
    </w:p>
    <w:p w:rsidR="00C362A9" w:rsidRDefault="00C362A9" w:rsidP="00CE2C5C">
      <w:pPr>
        <w:spacing w:after="0" w:line="480" w:lineRule="auto"/>
        <w:jc w:val="both"/>
        <w:rPr>
          <w:b/>
        </w:rPr>
      </w:pPr>
      <w:r>
        <w:t xml:space="preserve">In conclusion there have now been 3 separate independent studies of the use of vitamin repletion or treatment to reduce LVM and to improve LV function, and all three were negative trials. Although the total number of subjects in all 3 trials was only 279, there is no suggestion that this approach to target LVH which is so common in CKD is efficacious. Other approaches, such as the use of RAS blockade, and, in dialysis patients, the use of daily augmented-dose dialysis regimens, appear to be more successful in this regard, though to date without compelling evidence of better patient </w:t>
      </w:r>
      <w:r>
        <w:lastRenderedPageBreak/>
        <w:t>survival</w:t>
      </w:r>
      <w:r w:rsidR="00FB0C72">
        <w:t>.</w:t>
      </w:r>
      <w:r w:rsidR="006870B7" w:rsidRPr="006870B7">
        <w:rPr>
          <w:vertAlign w:val="superscript"/>
        </w:rPr>
        <w:t>22</w:t>
      </w:r>
      <w:r>
        <w:t xml:space="preserve"> For the time being therefore, the proper use of vitamin D therapy in CKD appears to be to target serum PTH elevation, i.</w:t>
      </w:r>
      <w:r w:rsidR="007D26C9">
        <w:t>e. using a combined biochemical/</w:t>
      </w:r>
      <w:r>
        <w:t>skeletal target.</w:t>
      </w:r>
    </w:p>
    <w:p w:rsidR="00092C26" w:rsidRDefault="00092C26" w:rsidP="00092C26">
      <w:pPr>
        <w:jc w:val="center"/>
        <w:rPr>
          <w:b/>
        </w:rPr>
      </w:pPr>
    </w:p>
    <w:p w:rsidR="0043260F" w:rsidRDefault="0043260F">
      <w:pPr>
        <w:rPr>
          <w:b/>
        </w:rPr>
      </w:pPr>
    </w:p>
    <w:p w:rsidR="00267BF7" w:rsidRDefault="00267BF7">
      <w:r>
        <w:br w:type="page"/>
      </w:r>
    </w:p>
    <w:p w:rsidR="00D44686" w:rsidRDefault="0043260F" w:rsidP="00D44686">
      <w:pPr>
        <w:spacing w:after="0"/>
      </w:pPr>
      <w:r w:rsidRPr="00392CBD">
        <w:lastRenderedPageBreak/>
        <w:t xml:space="preserve">Acknowledgement: </w:t>
      </w:r>
    </w:p>
    <w:p w:rsidR="0043260F" w:rsidRPr="00392CBD" w:rsidRDefault="0043260F" w:rsidP="00D44686">
      <w:pPr>
        <w:spacing w:after="0"/>
      </w:pPr>
      <w:r w:rsidRPr="00392CBD">
        <w:t xml:space="preserve">This </w:t>
      </w:r>
      <w:r w:rsidR="00B83968">
        <w:t>work was supported by</w:t>
      </w:r>
      <w:r w:rsidRPr="00392CBD">
        <w:t xml:space="preserve"> British Heart Foundation</w:t>
      </w:r>
      <w:r w:rsidR="00CE2C5C">
        <w:t xml:space="preserve"> to DB</w:t>
      </w:r>
      <w:r w:rsidR="00BB11D8">
        <w:t>-[PG</w:t>
      </w:r>
      <w:r w:rsidR="00CE2C5C">
        <w:t>10/71/28462</w:t>
      </w:r>
      <w:r w:rsidR="00B83968">
        <w:t xml:space="preserve">] and </w:t>
      </w:r>
      <w:r w:rsidR="00CE2C5C">
        <w:t xml:space="preserve">partially by </w:t>
      </w:r>
      <w:proofErr w:type="spellStart"/>
      <w:r w:rsidR="00BB11D8">
        <w:t>Wellcome</w:t>
      </w:r>
      <w:proofErr w:type="spellEnd"/>
      <w:r w:rsidR="00BB11D8">
        <w:t>-</w:t>
      </w:r>
      <w:r w:rsidR="00B83968">
        <w:t>ISSF</w:t>
      </w:r>
      <w:r w:rsidR="00CE2C5C">
        <w:t xml:space="preserve"> to DB</w:t>
      </w:r>
      <w:r w:rsidR="00BB11D8">
        <w:t>-</w:t>
      </w:r>
      <w:r w:rsidR="00B83968">
        <w:t>[</w:t>
      </w:r>
      <w:r w:rsidR="005F6275">
        <w:t>204809/Z/16/Z]</w:t>
      </w:r>
    </w:p>
    <w:p w:rsidR="00B83968" w:rsidRDefault="00B83968" w:rsidP="00D44686">
      <w:pPr>
        <w:spacing w:after="0"/>
      </w:pPr>
    </w:p>
    <w:p w:rsidR="0043260F" w:rsidRPr="00392CBD" w:rsidRDefault="0043260F" w:rsidP="00D44686">
      <w:pPr>
        <w:spacing w:after="0"/>
      </w:pPr>
      <w:r w:rsidRPr="00392CBD">
        <w:t xml:space="preserve">Conflicts of interest: The authors have no conflict of interest </w:t>
      </w:r>
    </w:p>
    <w:p w:rsidR="00B83968" w:rsidRDefault="00B83968" w:rsidP="00D44686">
      <w:pPr>
        <w:spacing w:after="0"/>
      </w:pPr>
    </w:p>
    <w:p w:rsidR="0043260F" w:rsidRDefault="0043260F" w:rsidP="00D44686">
      <w:pPr>
        <w:spacing w:after="0"/>
      </w:pPr>
      <w:r>
        <w:t xml:space="preserve">Disclosures:  </w:t>
      </w:r>
    </w:p>
    <w:p w:rsidR="0043260F" w:rsidRPr="00392CBD" w:rsidRDefault="0043260F" w:rsidP="00D44686">
      <w:pPr>
        <w:spacing w:after="0"/>
      </w:pPr>
      <w:r w:rsidRPr="00392CBD">
        <w:t>D</w:t>
      </w:r>
      <w:r w:rsidR="00B83968">
        <w:t>.</w:t>
      </w:r>
      <w:r w:rsidRPr="00392CBD">
        <w:t>G</w:t>
      </w:r>
      <w:r w:rsidR="00B83968">
        <w:t>.</w:t>
      </w:r>
      <w:r w:rsidRPr="00392CBD">
        <w:t xml:space="preserve"> - lecture and advisory board fees from Amgen, </w:t>
      </w:r>
      <w:proofErr w:type="spellStart"/>
      <w:r w:rsidRPr="00392CBD">
        <w:t>Sanofi</w:t>
      </w:r>
      <w:proofErr w:type="spellEnd"/>
      <w:r w:rsidRPr="00392CBD">
        <w:t xml:space="preserve">, </w:t>
      </w:r>
      <w:proofErr w:type="spellStart"/>
      <w:r w:rsidRPr="00392CBD">
        <w:t>Vifor</w:t>
      </w:r>
      <w:proofErr w:type="spellEnd"/>
      <w:r w:rsidRPr="00392CBD">
        <w:t xml:space="preserve"> Fresenius, </w:t>
      </w:r>
    </w:p>
    <w:p w:rsidR="0043260F" w:rsidRDefault="0043260F" w:rsidP="00D44686">
      <w:pPr>
        <w:spacing w:after="0"/>
      </w:pPr>
      <w:r w:rsidRPr="00392CBD">
        <w:t>Dr I</w:t>
      </w:r>
      <w:r w:rsidR="00B83968">
        <w:t>.</w:t>
      </w:r>
      <w:r w:rsidRPr="00392CBD">
        <w:t>C</w:t>
      </w:r>
      <w:r w:rsidR="00B83968">
        <w:t>.</w:t>
      </w:r>
      <w:r w:rsidRPr="00392CBD">
        <w:t>S</w:t>
      </w:r>
      <w:r w:rsidR="00B83968">
        <w:t>.</w:t>
      </w:r>
      <w:r w:rsidRPr="00392CBD">
        <w:t xml:space="preserve"> conducted the statistical strategy of the paper, implemented the analyses, provided their interpretation and contributed to the writing of first draft of the paper</w:t>
      </w:r>
    </w:p>
    <w:p w:rsidR="0043260F" w:rsidRPr="00392CBD" w:rsidRDefault="0043260F" w:rsidP="00D44686">
      <w:pPr>
        <w:spacing w:after="0"/>
      </w:pPr>
      <w:r>
        <w:t>R</w:t>
      </w:r>
      <w:r w:rsidR="00B83968">
        <w:t>.</w:t>
      </w:r>
      <w:r>
        <w:t>T</w:t>
      </w:r>
      <w:r w:rsidR="00B83968">
        <w:t>.</w:t>
      </w:r>
      <w:r>
        <w:t xml:space="preserve"> – consultant for Fresenius Medical Care North America </w:t>
      </w:r>
    </w:p>
    <w:p w:rsidR="00021F89" w:rsidRDefault="0043260F" w:rsidP="00D44686">
      <w:pPr>
        <w:spacing w:after="0" w:line="240" w:lineRule="auto"/>
      </w:pPr>
      <w:r w:rsidRPr="00493151">
        <w:t>D</w:t>
      </w:r>
      <w:r w:rsidR="00B83968">
        <w:t>.</w:t>
      </w:r>
      <w:r w:rsidRPr="00493151">
        <w:t>B</w:t>
      </w:r>
      <w:r w:rsidR="00B83968">
        <w:t>.</w:t>
      </w:r>
      <w:r w:rsidRPr="00493151">
        <w:t xml:space="preserve"> – Speaker fees from AstraZeneca, Pfizer, </w:t>
      </w:r>
      <w:proofErr w:type="spellStart"/>
      <w:proofErr w:type="gramStart"/>
      <w:r w:rsidRPr="00493151">
        <w:t>ViforPharma</w:t>
      </w:r>
      <w:proofErr w:type="spellEnd"/>
      <w:proofErr w:type="gramEnd"/>
    </w:p>
    <w:p w:rsidR="00D44686" w:rsidRDefault="00D44686" w:rsidP="009D5C89">
      <w:pPr>
        <w:spacing w:after="0" w:line="240" w:lineRule="auto"/>
      </w:pPr>
    </w:p>
    <w:p w:rsidR="00267BF7" w:rsidRDefault="00267BF7" w:rsidP="009D5C89">
      <w:pPr>
        <w:spacing w:after="0" w:line="240" w:lineRule="auto"/>
      </w:pPr>
    </w:p>
    <w:p w:rsidR="00267BF7" w:rsidRDefault="00267BF7" w:rsidP="009D5C89">
      <w:pPr>
        <w:spacing w:after="0" w:line="240" w:lineRule="auto"/>
      </w:pPr>
    </w:p>
    <w:p w:rsidR="009373D2" w:rsidRDefault="009373D2" w:rsidP="009D5C89">
      <w:pPr>
        <w:spacing w:after="0" w:line="240" w:lineRule="auto"/>
      </w:pPr>
    </w:p>
    <w:p w:rsidR="009373D2" w:rsidRDefault="009373D2">
      <w:r>
        <w:br w:type="page"/>
      </w:r>
    </w:p>
    <w:p w:rsidR="008C090A" w:rsidRPr="008C090A" w:rsidRDefault="008C090A" w:rsidP="008C090A">
      <w:pPr>
        <w:spacing w:after="0" w:line="240" w:lineRule="auto"/>
        <w:jc w:val="center"/>
        <w:rPr>
          <w:b/>
        </w:rPr>
      </w:pPr>
      <w:r w:rsidRPr="008C090A">
        <w:rPr>
          <w:b/>
        </w:rPr>
        <w:lastRenderedPageBreak/>
        <w:t>References</w:t>
      </w:r>
    </w:p>
    <w:p w:rsidR="008C090A" w:rsidRDefault="008C090A" w:rsidP="008C090A">
      <w:pPr>
        <w:spacing w:line="480" w:lineRule="auto"/>
        <w:jc w:val="both"/>
      </w:pPr>
      <w:r w:rsidRPr="006870B7">
        <w:t>1</w:t>
      </w:r>
      <w:r>
        <w:t xml:space="preserve">. </w:t>
      </w:r>
      <w:proofErr w:type="spellStart"/>
      <w:r>
        <w:t>Sarnak</w:t>
      </w:r>
      <w:proofErr w:type="spellEnd"/>
      <w:r>
        <w:t xml:space="preserve"> MJ, </w:t>
      </w:r>
      <w:proofErr w:type="spellStart"/>
      <w:r>
        <w:t>Levey</w:t>
      </w:r>
      <w:proofErr w:type="spellEnd"/>
      <w:r>
        <w:t xml:space="preserve"> AS, </w:t>
      </w:r>
      <w:proofErr w:type="spellStart"/>
      <w:r>
        <w:t>Schoolwerth</w:t>
      </w:r>
      <w:proofErr w:type="spellEnd"/>
      <w:r>
        <w:t xml:space="preserve"> AC, </w:t>
      </w:r>
      <w:proofErr w:type="spellStart"/>
      <w:r>
        <w:t>Coresh</w:t>
      </w:r>
      <w:proofErr w:type="spellEnd"/>
      <w:r>
        <w:t xml:space="preserve"> J, </w:t>
      </w:r>
      <w:proofErr w:type="spellStart"/>
      <w:r>
        <w:t>Culleton</w:t>
      </w:r>
      <w:proofErr w:type="spellEnd"/>
      <w:r>
        <w:t xml:space="preserve"> B, Hamm LL, McCullough PA, </w:t>
      </w:r>
      <w:proofErr w:type="spellStart"/>
      <w:r>
        <w:t>Kasiske</w:t>
      </w:r>
      <w:proofErr w:type="spellEnd"/>
      <w:r>
        <w:t xml:space="preserve"> BL, </w:t>
      </w:r>
      <w:proofErr w:type="spellStart"/>
      <w:r>
        <w:t>Kelepouris</w:t>
      </w:r>
      <w:proofErr w:type="spellEnd"/>
      <w:r>
        <w:t xml:space="preserve"> E, </w:t>
      </w:r>
      <w:proofErr w:type="spellStart"/>
      <w:r>
        <w:t>Klag</w:t>
      </w:r>
      <w:proofErr w:type="spellEnd"/>
      <w:r>
        <w:t xml:space="preserve"> MJ, </w:t>
      </w:r>
      <w:proofErr w:type="spellStart"/>
      <w:r>
        <w:t>Parfrey</w:t>
      </w:r>
      <w:proofErr w:type="spellEnd"/>
      <w:r>
        <w:t xml:space="preserve"> P, </w:t>
      </w:r>
      <w:proofErr w:type="spellStart"/>
      <w:r>
        <w:t>Pfeffer</w:t>
      </w:r>
      <w:proofErr w:type="spellEnd"/>
      <w:r>
        <w:t xml:space="preserve"> M, </w:t>
      </w:r>
      <w:proofErr w:type="spellStart"/>
      <w:r>
        <w:t>Raij</w:t>
      </w:r>
      <w:proofErr w:type="spellEnd"/>
      <w:r>
        <w:t xml:space="preserve"> L, </w:t>
      </w:r>
      <w:proofErr w:type="spellStart"/>
      <w:r>
        <w:t>Spinosa</w:t>
      </w:r>
      <w:proofErr w:type="spellEnd"/>
      <w:r>
        <w:t xml:space="preserve"> DJ, Wilson PW, American Heart Association Councils on Kidney in Cardiovascular Disease, High Blood Pressure Research, Clinical Cardiology, and Epidemiology and Prevention. Kidney disease as a risk factor for development of cardiovascular disease: a statement from the American Heart Association Councils on Kidney in Cardiovascular Disease, High Blood Pressure Research, Clinical Cardiology, </w:t>
      </w:r>
      <w:r w:rsidR="007D26C9">
        <w:t xml:space="preserve">and </w:t>
      </w:r>
      <w:r>
        <w:t xml:space="preserve">Epidemiology and Prevention. </w:t>
      </w:r>
      <w:r w:rsidRPr="006870B7">
        <w:rPr>
          <w:i/>
        </w:rPr>
        <w:t>Hypertension</w:t>
      </w:r>
      <w:r>
        <w:rPr>
          <w:i/>
        </w:rPr>
        <w:t xml:space="preserve"> </w:t>
      </w:r>
      <w:r w:rsidRPr="006870B7">
        <w:t>2003</w:t>
      </w:r>
      <w:proofErr w:type="gramStart"/>
      <w:r>
        <w:t>;</w:t>
      </w:r>
      <w:r w:rsidRPr="006870B7">
        <w:rPr>
          <w:b/>
        </w:rPr>
        <w:t>42</w:t>
      </w:r>
      <w:r w:rsidRPr="006870B7">
        <w:t>:</w:t>
      </w:r>
      <w:r>
        <w:t>1050</w:t>
      </w:r>
      <w:proofErr w:type="gramEnd"/>
      <w:r>
        <w:t>-1065.</w:t>
      </w:r>
    </w:p>
    <w:p w:rsidR="008C090A" w:rsidRDefault="008C090A" w:rsidP="008C090A">
      <w:pPr>
        <w:spacing w:line="480" w:lineRule="auto"/>
        <w:jc w:val="both"/>
      </w:pPr>
      <w:r>
        <w:t xml:space="preserve">2. </w:t>
      </w:r>
      <w:proofErr w:type="spellStart"/>
      <w:r>
        <w:t>Pilz</w:t>
      </w:r>
      <w:proofErr w:type="spellEnd"/>
      <w:r>
        <w:t xml:space="preserve"> S, </w:t>
      </w:r>
      <w:proofErr w:type="spellStart"/>
      <w:r>
        <w:t>Iodice</w:t>
      </w:r>
      <w:proofErr w:type="spellEnd"/>
      <w:r>
        <w:t xml:space="preserve"> S, </w:t>
      </w:r>
      <w:proofErr w:type="spellStart"/>
      <w:r>
        <w:t>Zittermann</w:t>
      </w:r>
      <w:proofErr w:type="spellEnd"/>
      <w:r>
        <w:t xml:space="preserve"> A, Grant WB, </w:t>
      </w:r>
      <w:proofErr w:type="spellStart"/>
      <w:r>
        <w:t>Gandini</w:t>
      </w:r>
      <w:proofErr w:type="spellEnd"/>
      <w:r>
        <w:t xml:space="preserve"> S. Vitamin D status and mortality risk in CKD: a meta-analysis of prospective studies. </w:t>
      </w:r>
      <w:r w:rsidRPr="006870B7">
        <w:rPr>
          <w:i/>
        </w:rPr>
        <w:t>Am J Kidney Dis</w:t>
      </w:r>
      <w:r>
        <w:rPr>
          <w:i/>
        </w:rPr>
        <w:t xml:space="preserve"> </w:t>
      </w:r>
      <w:r w:rsidRPr="006870B7">
        <w:t>2011</w:t>
      </w:r>
      <w:proofErr w:type="gramStart"/>
      <w:r>
        <w:t>;</w:t>
      </w:r>
      <w:r w:rsidRPr="006870B7">
        <w:rPr>
          <w:b/>
        </w:rPr>
        <w:t>58</w:t>
      </w:r>
      <w:r w:rsidRPr="006870B7">
        <w:t>:</w:t>
      </w:r>
      <w:r>
        <w:t>374</w:t>
      </w:r>
      <w:proofErr w:type="gramEnd"/>
      <w:r>
        <w:t>-382.</w:t>
      </w:r>
    </w:p>
    <w:p w:rsidR="008C090A" w:rsidRDefault="008C090A" w:rsidP="008C090A">
      <w:pPr>
        <w:spacing w:line="480" w:lineRule="auto"/>
        <w:jc w:val="both"/>
      </w:pPr>
      <w:r>
        <w:t xml:space="preserve">3. </w:t>
      </w:r>
      <w:proofErr w:type="spellStart"/>
      <w:r>
        <w:t>Duranton</w:t>
      </w:r>
      <w:proofErr w:type="spellEnd"/>
      <w:r>
        <w:t xml:space="preserve"> F, Rodriguez-Ortiz ME, </w:t>
      </w:r>
      <w:proofErr w:type="spellStart"/>
      <w:r>
        <w:t>Duny</w:t>
      </w:r>
      <w:proofErr w:type="spellEnd"/>
      <w:r>
        <w:t xml:space="preserve"> Y, Rodriguez M, </w:t>
      </w:r>
      <w:proofErr w:type="spellStart"/>
      <w:r>
        <w:t>Daures</w:t>
      </w:r>
      <w:proofErr w:type="spellEnd"/>
      <w:r>
        <w:t xml:space="preserve"> JP, </w:t>
      </w:r>
      <w:proofErr w:type="spellStart"/>
      <w:r>
        <w:t>Argiles</w:t>
      </w:r>
      <w:proofErr w:type="spellEnd"/>
      <w:r>
        <w:t xml:space="preserve"> A. Vitamin D treatment and mortality in chronic kidney disease: a systematic review and meta-analysis. </w:t>
      </w:r>
      <w:r w:rsidRPr="006870B7">
        <w:rPr>
          <w:i/>
        </w:rPr>
        <w:t xml:space="preserve">Am J </w:t>
      </w:r>
      <w:proofErr w:type="spellStart"/>
      <w:r w:rsidRPr="006870B7">
        <w:rPr>
          <w:i/>
        </w:rPr>
        <w:t>Nephrol</w:t>
      </w:r>
      <w:proofErr w:type="spellEnd"/>
      <w:r>
        <w:rPr>
          <w:i/>
        </w:rPr>
        <w:t xml:space="preserve"> </w:t>
      </w:r>
      <w:r w:rsidRPr="006870B7">
        <w:t>2013</w:t>
      </w:r>
      <w:proofErr w:type="gramStart"/>
      <w:r>
        <w:t>;</w:t>
      </w:r>
      <w:r w:rsidRPr="006870B7">
        <w:rPr>
          <w:b/>
        </w:rPr>
        <w:t>37</w:t>
      </w:r>
      <w:r w:rsidRPr="006870B7">
        <w:t>:</w:t>
      </w:r>
      <w:r>
        <w:t>239</w:t>
      </w:r>
      <w:proofErr w:type="gramEnd"/>
      <w:r>
        <w:t>-248.</w:t>
      </w:r>
    </w:p>
    <w:p w:rsidR="008C090A" w:rsidRDefault="008C090A" w:rsidP="008C090A">
      <w:pPr>
        <w:spacing w:line="480" w:lineRule="auto"/>
        <w:jc w:val="both"/>
      </w:pPr>
      <w:r>
        <w:t xml:space="preserve">4. </w:t>
      </w:r>
      <w:proofErr w:type="spellStart"/>
      <w:r>
        <w:t>Jayedi</w:t>
      </w:r>
      <w:proofErr w:type="spellEnd"/>
      <w:r>
        <w:t xml:space="preserve"> A, </w:t>
      </w:r>
      <w:proofErr w:type="spellStart"/>
      <w:r>
        <w:t>Soltani</w:t>
      </w:r>
      <w:proofErr w:type="spellEnd"/>
      <w:r>
        <w:t xml:space="preserve"> S, </w:t>
      </w:r>
      <w:proofErr w:type="spellStart"/>
      <w:r>
        <w:t>Shab-Bidar</w:t>
      </w:r>
      <w:proofErr w:type="spellEnd"/>
      <w:r>
        <w:t xml:space="preserve"> S. Vitamin D status and all-cause mortality in patients with chronic kidney disease: A systematic review and dose-response meta-analysis. </w:t>
      </w:r>
      <w:r w:rsidRPr="006870B7">
        <w:rPr>
          <w:i/>
        </w:rPr>
        <w:t xml:space="preserve">J </w:t>
      </w:r>
      <w:proofErr w:type="spellStart"/>
      <w:r w:rsidRPr="006870B7">
        <w:rPr>
          <w:i/>
        </w:rPr>
        <w:t>Clin</w:t>
      </w:r>
      <w:proofErr w:type="spellEnd"/>
      <w:r w:rsidRPr="006870B7">
        <w:rPr>
          <w:i/>
        </w:rPr>
        <w:t xml:space="preserve"> </w:t>
      </w:r>
      <w:proofErr w:type="spellStart"/>
      <w:r w:rsidRPr="006870B7">
        <w:rPr>
          <w:i/>
        </w:rPr>
        <w:t>Endocrinol</w:t>
      </w:r>
      <w:proofErr w:type="spellEnd"/>
      <w:r w:rsidRPr="006870B7">
        <w:rPr>
          <w:i/>
        </w:rPr>
        <w:t xml:space="preserve"> </w:t>
      </w:r>
      <w:proofErr w:type="spellStart"/>
      <w:r w:rsidRPr="006870B7">
        <w:rPr>
          <w:i/>
        </w:rPr>
        <w:t>Metab</w:t>
      </w:r>
      <w:proofErr w:type="spellEnd"/>
      <w:r>
        <w:rPr>
          <w:i/>
        </w:rPr>
        <w:t xml:space="preserve"> </w:t>
      </w:r>
      <w:r w:rsidRPr="006870B7">
        <w:t>2017</w:t>
      </w:r>
      <w:proofErr w:type="gramStart"/>
      <w:r>
        <w:t>;.</w:t>
      </w:r>
      <w:proofErr w:type="gramEnd"/>
    </w:p>
    <w:p w:rsidR="008C090A" w:rsidRDefault="008C090A" w:rsidP="008C090A">
      <w:pPr>
        <w:spacing w:line="480" w:lineRule="auto"/>
        <w:jc w:val="both"/>
      </w:pPr>
      <w:r>
        <w:t xml:space="preserve">5. </w:t>
      </w:r>
      <w:proofErr w:type="spellStart"/>
      <w:r>
        <w:t>Zheng</w:t>
      </w:r>
      <w:proofErr w:type="spellEnd"/>
      <w:r>
        <w:t xml:space="preserve"> Z, Shi H, </w:t>
      </w:r>
      <w:proofErr w:type="spellStart"/>
      <w:r>
        <w:t>Jia</w:t>
      </w:r>
      <w:proofErr w:type="spellEnd"/>
      <w:r>
        <w:t xml:space="preserve"> J, Li D, Lin S. Vitamin D supplementation and mortality risk in chronic kidney disease: a meta-analysis of 20 observational studies. </w:t>
      </w:r>
      <w:r w:rsidRPr="006870B7">
        <w:rPr>
          <w:i/>
        </w:rPr>
        <w:t xml:space="preserve">BMC </w:t>
      </w:r>
      <w:proofErr w:type="spellStart"/>
      <w:r w:rsidRPr="006870B7">
        <w:rPr>
          <w:i/>
        </w:rPr>
        <w:t>Nephrol</w:t>
      </w:r>
      <w:proofErr w:type="spellEnd"/>
      <w:r>
        <w:rPr>
          <w:i/>
        </w:rPr>
        <w:t xml:space="preserve"> </w:t>
      </w:r>
      <w:r w:rsidRPr="006870B7">
        <w:t>2013</w:t>
      </w:r>
      <w:proofErr w:type="gramStart"/>
      <w:r>
        <w:t>;</w:t>
      </w:r>
      <w:r w:rsidRPr="006870B7">
        <w:rPr>
          <w:b/>
        </w:rPr>
        <w:t>14</w:t>
      </w:r>
      <w:r w:rsidRPr="006870B7">
        <w:t>:</w:t>
      </w:r>
      <w:r>
        <w:t>199</w:t>
      </w:r>
      <w:proofErr w:type="gramEnd"/>
      <w:r>
        <w:t>-2369-14-199.</w:t>
      </w:r>
    </w:p>
    <w:p w:rsidR="008C090A" w:rsidRDefault="008C090A" w:rsidP="008C090A">
      <w:pPr>
        <w:spacing w:line="480" w:lineRule="auto"/>
        <w:jc w:val="both"/>
      </w:pPr>
      <w:r>
        <w:t xml:space="preserve">6. Foley RN, </w:t>
      </w:r>
      <w:proofErr w:type="spellStart"/>
      <w:r>
        <w:t>Parfrey</w:t>
      </w:r>
      <w:proofErr w:type="spellEnd"/>
      <w:r>
        <w:t xml:space="preserve"> PS, </w:t>
      </w:r>
      <w:proofErr w:type="spellStart"/>
      <w:r>
        <w:t>Harnett</w:t>
      </w:r>
      <w:proofErr w:type="spellEnd"/>
      <w:r>
        <w:t xml:space="preserve"> JD, Kent GM, Martin CJ, Murray DC, </w:t>
      </w:r>
      <w:proofErr w:type="spellStart"/>
      <w:r>
        <w:t>Barre</w:t>
      </w:r>
      <w:proofErr w:type="spellEnd"/>
      <w:r>
        <w:t xml:space="preserve"> PE. </w:t>
      </w:r>
      <w:proofErr w:type="gramStart"/>
      <w:r>
        <w:t>Clinical and echocardiographic disease in patients starting end-stage renal disease therapy.</w:t>
      </w:r>
      <w:proofErr w:type="gramEnd"/>
      <w:r>
        <w:t xml:space="preserve"> </w:t>
      </w:r>
      <w:r w:rsidRPr="006870B7">
        <w:rPr>
          <w:i/>
        </w:rPr>
        <w:t xml:space="preserve">Kidney </w:t>
      </w:r>
      <w:proofErr w:type="spellStart"/>
      <w:r w:rsidRPr="006870B7">
        <w:rPr>
          <w:i/>
        </w:rPr>
        <w:t>Int</w:t>
      </w:r>
      <w:proofErr w:type="spellEnd"/>
      <w:r>
        <w:rPr>
          <w:i/>
        </w:rPr>
        <w:t xml:space="preserve"> </w:t>
      </w:r>
      <w:r w:rsidRPr="006870B7">
        <w:t>1995</w:t>
      </w:r>
      <w:proofErr w:type="gramStart"/>
      <w:r>
        <w:t>;</w:t>
      </w:r>
      <w:r w:rsidRPr="006870B7">
        <w:rPr>
          <w:b/>
        </w:rPr>
        <w:t>47</w:t>
      </w:r>
      <w:r w:rsidRPr="006870B7">
        <w:t>:</w:t>
      </w:r>
      <w:r>
        <w:t>186</w:t>
      </w:r>
      <w:proofErr w:type="gramEnd"/>
      <w:r>
        <w:t>-192.</w:t>
      </w:r>
    </w:p>
    <w:p w:rsidR="008C090A" w:rsidRDefault="008C090A" w:rsidP="008C090A">
      <w:pPr>
        <w:spacing w:line="480" w:lineRule="auto"/>
        <w:jc w:val="both"/>
      </w:pPr>
      <w:r>
        <w:t xml:space="preserve">7. </w:t>
      </w:r>
      <w:proofErr w:type="spellStart"/>
      <w:r>
        <w:t>Bodyak</w:t>
      </w:r>
      <w:proofErr w:type="spellEnd"/>
      <w:r>
        <w:t xml:space="preserve"> N, </w:t>
      </w:r>
      <w:proofErr w:type="spellStart"/>
      <w:r>
        <w:t>Ayus</w:t>
      </w:r>
      <w:proofErr w:type="spellEnd"/>
      <w:r>
        <w:t xml:space="preserve"> JC, </w:t>
      </w:r>
      <w:proofErr w:type="spellStart"/>
      <w:r>
        <w:t>Achinger</w:t>
      </w:r>
      <w:proofErr w:type="spellEnd"/>
      <w:r>
        <w:t xml:space="preserve"> S, </w:t>
      </w:r>
      <w:proofErr w:type="spellStart"/>
      <w:r>
        <w:t>Shivalingappa</w:t>
      </w:r>
      <w:proofErr w:type="spellEnd"/>
      <w:r>
        <w:t xml:space="preserve"> V, </w:t>
      </w:r>
      <w:proofErr w:type="spellStart"/>
      <w:r>
        <w:t>Ke</w:t>
      </w:r>
      <w:proofErr w:type="spellEnd"/>
      <w:r>
        <w:t xml:space="preserve"> Q, Chen YS, Rigor DL, </w:t>
      </w:r>
      <w:proofErr w:type="spellStart"/>
      <w:r>
        <w:t>Stillman</w:t>
      </w:r>
      <w:proofErr w:type="spellEnd"/>
      <w:r>
        <w:t xml:space="preserve"> I, </w:t>
      </w:r>
      <w:proofErr w:type="spellStart"/>
      <w:r>
        <w:t>Tamez</w:t>
      </w:r>
      <w:proofErr w:type="spellEnd"/>
      <w:r>
        <w:t xml:space="preserve"> H, </w:t>
      </w:r>
      <w:proofErr w:type="spellStart"/>
      <w:r>
        <w:t>Kroeger</w:t>
      </w:r>
      <w:proofErr w:type="spellEnd"/>
      <w:r>
        <w:t xml:space="preserve"> PE, Wu-Wong RR, </w:t>
      </w:r>
      <w:proofErr w:type="spellStart"/>
      <w:r>
        <w:t>Karumanchi</w:t>
      </w:r>
      <w:proofErr w:type="spellEnd"/>
      <w:r>
        <w:t xml:space="preserve"> SA, Thadhani R, Kang PM. Activated vitamin D attenuates left ventricular abnormalities induced by dietary sodium in Dahl salt-sensitive animals. </w:t>
      </w:r>
      <w:proofErr w:type="spellStart"/>
      <w:r w:rsidRPr="006870B7">
        <w:rPr>
          <w:i/>
        </w:rPr>
        <w:t>Proc</w:t>
      </w:r>
      <w:proofErr w:type="spellEnd"/>
      <w:r w:rsidRPr="006870B7">
        <w:rPr>
          <w:i/>
        </w:rPr>
        <w:t xml:space="preserve"> </w:t>
      </w:r>
      <w:proofErr w:type="spellStart"/>
      <w:r w:rsidRPr="006870B7">
        <w:rPr>
          <w:i/>
        </w:rPr>
        <w:t>Natl</w:t>
      </w:r>
      <w:proofErr w:type="spellEnd"/>
      <w:r w:rsidRPr="006870B7">
        <w:rPr>
          <w:i/>
        </w:rPr>
        <w:t xml:space="preserve"> </w:t>
      </w:r>
      <w:proofErr w:type="spellStart"/>
      <w:r w:rsidRPr="006870B7">
        <w:rPr>
          <w:i/>
        </w:rPr>
        <w:t>Acad</w:t>
      </w:r>
      <w:proofErr w:type="spellEnd"/>
      <w:r w:rsidRPr="006870B7">
        <w:rPr>
          <w:i/>
        </w:rPr>
        <w:t xml:space="preserve"> </w:t>
      </w:r>
      <w:proofErr w:type="spellStart"/>
      <w:r w:rsidRPr="006870B7">
        <w:rPr>
          <w:i/>
        </w:rPr>
        <w:t>Sci</w:t>
      </w:r>
      <w:proofErr w:type="spellEnd"/>
      <w:r w:rsidRPr="006870B7">
        <w:rPr>
          <w:i/>
        </w:rPr>
        <w:t xml:space="preserve"> U S A</w:t>
      </w:r>
      <w:r>
        <w:rPr>
          <w:i/>
        </w:rPr>
        <w:t xml:space="preserve"> </w:t>
      </w:r>
      <w:r w:rsidRPr="006870B7">
        <w:t>2007</w:t>
      </w:r>
      <w:proofErr w:type="gramStart"/>
      <w:r>
        <w:t>;</w:t>
      </w:r>
      <w:r w:rsidRPr="006870B7">
        <w:rPr>
          <w:b/>
        </w:rPr>
        <w:t>104</w:t>
      </w:r>
      <w:r w:rsidRPr="006870B7">
        <w:t>:</w:t>
      </w:r>
      <w:r>
        <w:t>16810</w:t>
      </w:r>
      <w:proofErr w:type="gramEnd"/>
      <w:r>
        <w:t>-16815.</w:t>
      </w:r>
    </w:p>
    <w:p w:rsidR="008C090A" w:rsidRDefault="008C090A" w:rsidP="008C090A">
      <w:pPr>
        <w:spacing w:line="480" w:lineRule="auto"/>
        <w:jc w:val="both"/>
      </w:pPr>
      <w:r>
        <w:lastRenderedPageBreak/>
        <w:t xml:space="preserve">8. Witte KK, </w:t>
      </w:r>
      <w:proofErr w:type="spellStart"/>
      <w:r>
        <w:t>Byrom</w:t>
      </w:r>
      <w:proofErr w:type="spellEnd"/>
      <w:r>
        <w:t xml:space="preserve"> R, </w:t>
      </w:r>
      <w:proofErr w:type="spellStart"/>
      <w:r>
        <w:t>Gierula</w:t>
      </w:r>
      <w:proofErr w:type="spellEnd"/>
      <w:r>
        <w:t xml:space="preserve"> J, Paton MF, </w:t>
      </w:r>
      <w:proofErr w:type="spellStart"/>
      <w:r>
        <w:t>Jamil</w:t>
      </w:r>
      <w:proofErr w:type="spellEnd"/>
      <w:r>
        <w:t xml:space="preserve"> HA, Lowry JE, </w:t>
      </w:r>
      <w:proofErr w:type="spellStart"/>
      <w:r>
        <w:t>Gillott</w:t>
      </w:r>
      <w:proofErr w:type="spellEnd"/>
      <w:r>
        <w:t xml:space="preserve"> RG, Barnes SA, </w:t>
      </w:r>
      <w:proofErr w:type="spellStart"/>
      <w:r>
        <w:t>Chumun</w:t>
      </w:r>
      <w:proofErr w:type="spellEnd"/>
      <w:r>
        <w:t xml:space="preserve"> H, Kearney LC, Greenwood JP, </w:t>
      </w:r>
      <w:proofErr w:type="spellStart"/>
      <w:r>
        <w:t>Plein</w:t>
      </w:r>
      <w:proofErr w:type="spellEnd"/>
      <w:r>
        <w:t xml:space="preserve"> S, Law GR, </w:t>
      </w:r>
      <w:proofErr w:type="spellStart"/>
      <w:r>
        <w:t>Pavitt</w:t>
      </w:r>
      <w:proofErr w:type="spellEnd"/>
      <w:r>
        <w:t xml:space="preserve"> S, Barth JH, </w:t>
      </w:r>
      <w:proofErr w:type="spellStart"/>
      <w:r>
        <w:t>Cubbon</w:t>
      </w:r>
      <w:proofErr w:type="spellEnd"/>
      <w:r>
        <w:t xml:space="preserve"> RM, Kearney MT. Effects of Vitamin D on Cardiac Function in Patients With Chronic HF: The VINDICATE Study. </w:t>
      </w:r>
      <w:r w:rsidRPr="006870B7">
        <w:rPr>
          <w:i/>
        </w:rPr>
        <w:t xml:space="preserve">J Am </w:t>
      </w:r>
      <w:proofErr w:type="spellStart"/>
      <w:r w:rsidRPr="006870B7">
        <w:rPr>
          <w:i/>
        </w:rPr>
        <w:t>Coll</w:t>
      </w:r>
      <w:proofErr w:type="spellEnd"/>
      <w:r w:rsidRPr="006870B7">
        <w:rPr>
          <w:i/>
        </w:rPr>
        <w:t xml:space="preserve"> </w:t>
      </w:r>
      <w:proofErr w:type="spellStart"/>
      <w:r w:rsidRPr="006870B7">
        <w:rPr>
          <w:i/>
        </w:rPr>
        <w:t>Cardiol</w:t>
      </w:r>
      <w:proofErr w:type="spellEnd"/>
      <w:r>
        <w:rPr>
          <w:i/>
        </w:rPr>
        <w:t xml:space="preserve"> </w:t>
      </w:r>
      <w:r w:rsidRPr="006870B7">
        <w:t>2016</w:t>
      </w:r>
      <w:proofErr w:type="gramStart"/>
      <w:r>
        <w:t>;</w:t>
      </w:r>
      <w:r w:rsidRPr="006870B7">
        <w:rPr>
          <w:b/>
        </w:rPr>
        <w:t>67</w:t>
      </w:r>
      <w:r w:rsidRPr="006870B7">
        <w:t>:</w:t>
      </w:r>
      <w:r>
        <w:t>2593</w:t>
      </w:r>
      <w:proofErr w:type="gramEnd"/>
      <w:r>
        <w:t>-2603.</w:t>
      </w:r>
    </w:p>
    <w:p w:rsidR="008C090A" w:rsidRDefault="008C090A" w:rsidP="008C090A">
      <w:pPr>
        <w:spacing w:line="480" w:lineRule="auto"/>
        <w:jc w:val="both"/>
      </w:pPr>
      <w:r>
        <w:t xml:space="preserve">9. Thadhani R, Appelbaum E, Pritchett Y, Chang Y, Wenger J, </w:t>
      </w:r>
      <w:proofErr w:type="spellStart"/>
      <w:r>
        <w:t>Tamez</w:t>
      </w:r>
      <w:proofErr w:type="spellEnd"/>
      <w:r>
        <w:t xml:space="preserve"> H, </w:t>
      </w:r>
      <w:proofErr w:type="spellStart"/>
      <w:r>
        <w:t>Bhan</w:t>
      </w:r>
      <w:proofErr w:type="spellEnd"/>
      <w:r>
        <w:t xml:space="preserve"> I, Agarwal R, </w:t>
      </w:r>
      <w:proofErr w:type="spellStart"/>
      <w:r>
        <w:t>Zoccali</w:t>
      </w:r>
      <w:proofErr w:type="spellEnd"/>
      <w:r>
        <w:t xml:space="preserve"> C, </w:t>
      </w:r>
      <w:proofErr w:type="spellStart"/>
      <w:r>
        <w:t>Wanner</w:t>
      </w:r>
      <w:proofErr w:type="spellEnd"/>
      <w:r>
        <w:t xml:space="preserve"> C, Lloyd-Jones D, </w:t>
      </w:r>
      <w:proofErr w:type="spellStart"/>
      <w:r>
        <w:t>Cannata</w:t>
      </w:r>
      <w:proofErr w:type="spellEnd"/>
      <w:r>
        <w:t xml:space="preserve"> J, Thompson BT, </w:t>
      </w:r>
      <w:proofErr w:type="spellStart"/>
      <w:r>
        <w:t>Andress</w:t>
      </w:r>
      <w:proofErr w:type="spellEnd"/>
      <w:r>
        <w:t xml:space="preserve"> D, Zhang W, </w:t>
      </w:r>
      <w:proofErr w:type="spellStart"/>
      <w:r>
        <w:t>Packham</w:t>
      </w:r>
      <w:proofErr w:type="spellEnd"/>
      <w:r>
        <w:t xml:space="preserve"> D, Singh B, </w:t>
      </w:r>
      <w:proofErr w:type="spellStart"/>
      <w:r>
        <w:t>Zehnder</w:t>
      </w:r>
      <w:proofErr w:type="spellEnd"/>
      <w:r>
        <w:t xml:space="preserve"> D, Shah A, </w:t>
      </w:r>
      <w:proofErr w:type="spellStart"/>
      <w:r>
        <w:t>Pachika</w:t>
      </w:r>
      <w:proofErr w:type="spellEnd"/>
      <w:r>
        <w:t xml:space="preserve"> A, Manning WJ, Solomon SD. Vitamin D therapy and cardiac structure and function in patients with chronic kidney disease: the PRIMO randomized controlled trial. </w:t>
      </w:r>
      <w:r w:rsidRPr="006870B7">
        <w:rPr>
          <w:i/>
        </w:rPr>
        <w:t>JAMA</w:t>
      </w:r>
      <w:r>
        <w:rPr>
          <w:i/>
        </w:rPr>
        <w:t xml:space="preserve"> </w:t>
      </w:r>
      <w:r w:rsidRPr="006870B7">
        <w:t>2012</w:t>
      </w:r>
      <w:proofErr w:type="gramStart"/>
      <w:r>
        <w:t>;</w:t>
      </w:r>
      <w:r w:rsidRPr="006870B7">
        <w:rPr>
          <w:b/>
        </w:rPr>
        <w:t>307</w:t>
      </w:r>
      <w:r w:rsidRPr="006870B7">
        <w:t>:</w:t>
      </w:r>
      <w:r>
        <w:t>674</w:t>
      </w:r>
      <w:proofErr w:type="gramEnd"/>
      <w:r>
        <w:t>-684.</w:t>
      </w:r>
    </w:p>
    <w:p w:rsidR="008C090A" w:rsidRDefault="008C090A" w:rsidP="008C090A">
      <w:pPr>
        <w:spacing w:line="480" w:lineRule="auto"/>
        <w:jc w:val="both"/>
      </w:pPr>
      <w:r>
        <w:t xml:space="preserve">10. Wang AY, Fang F, Chan J, Wen YY, Qing S, Chan IH, Lo G, Lai KN, Lo WK, Lam CW, Yu CM. Effect of </w:t>
      </w:r>
      <w:proofErr w:type="spellStart"/>
      <w:r>
        <w:t>paricalcitol</w:t>
      </w:r>
      <w:proofErr w:type="spellEnd"/>
      <w:r>
        <w:t xml:space="preserve"> on left ventricular mass and function in CKD--the OPERA trial. </w:t>
      </w:r>
      <w:r w:rsidRPr="006870B7">
        <w:rPr>
          <w:i/>
        </w:rPr>
        <w:t xml:space="preserve">J Am </w:t>
      </w:r>
      <w:proofErr w:type="spellStart"/>
      <w:r w:rsidRPr="006870B7">
        <w:rPr>
          <w:i/>
        </w:rPr>
        <w:t>Soc</w:t>
      </w:r>
      <w:proofErr w:type="spellEnd"/>
      <w:r w:rsidRPr="006870B7">
        <w:rPr>
          <w:i/>
        </w:rPr>
        <w:t xml:space="preserve"> </w:t>
      </w:r>
      <w:proofErr w:type="spellStart"/>
      <w:r w:rsidRPr="006870B7">
        <w:rPr>
          <w:i/>
        </w:rPr>
        <w:t>Nephrol</w:t>
      </w:r>
      <w:proofErr w:type="spellEnd"/>
      <w:r>
        <w:rPr>
          <w:i/>
        </w:rPr>
        <w:t xml:space="preserve"> </w:t>
      </w:r>
      <w:r w:rsidRPr="006870B7">
        <w:t>2014</w:t>
      </w:r>
      <w:proofErr w:type="gramStart"/>
      <w:r>
        <w:t>;</w:t>
      </w:r>
      <w:r w:rsidRPr="006870B7">
        <w:rPr>
          <w:b/>
        </w:rPr>
        <w:t>25</w:t>
      </w:r>
      <w:r w:rsidRPr="006870B7">
        <w:t>:</w:t>
      </w:r>
      <w:r>
        <w:t>175</w:t>
      </w:r>
      <w:proofErr w:type="gramEnd"/>
      <w:r>
        <w:t>-186.</w:t>
      </w:r>
    </w:p>
    <w:p w:rsidR="008C090A" w:rsidRDefault="008C090A" w:rsidP="008C090A">
      <w:pPr>
        <w:spacing w:line="480" w:lineRule="auto"/>
        <w:jc w:val="both"/>
      </w:pPr>
      <w:r>
        <w:t xml:space="preserve">11. </w:t>
      </w:r>
      <w:proofErr w:type="spellStart"/>
      <w:r>
        <w:t>Equils</w:t>
      </w:r>
      <w:proofErr w:type="spellEnd"/>
      <w:r>
        <w:t xml:space="preserve"> O, </w:t>
      </w:r>
      <w:proofErr w:type="spellStart"/>
      <w:r>
        <w:t>Naiki</w:t>
      </w:r>
      <w:proofErr w:type="spellEnd"/>
      <w:r>
        <w:t xml:space="preserve"> Y, Shapiro AM, </w:t>
      </w:r>
      <w:proofErr w:type="spellStart"/>
      <w:r>
        <w:t>Michelsen</w:t>
      </w:r>
      <w:proofErr w:type="spellEnd"/>
      <w:r>
        <w:t xml:space="preserve"> K, Lu D, Adams J, Jordan S. 1</w:t>
      </w:r>
      <w:proofErr w:type="gramStart"/>
      <w:r>
        <w:t>,25</w:t>
      </w:r>
      <w:proofErr w:type="gramEnd"/>
      <w:r>
        <w:t xml:space="preserve">-Dihydroxyvitamin D inhibits lipopolysaccharide-induced immune activation in human endothelial cells. </w:t>
      </w:r>
      <w:proofErr w:type="spellStart"/>
      <w:r w:rsidRPr="006870B7">
        <w:rPr>
          <w:i/>
        </w:rPr>
        <w:t>Clin</w:t>
      </w:r>
      <w:proofErr w:type="spellEnd"/>
      <w:r w:rsidRPr="006870B7">
        <w:rPr>
          <w:i/>
        </w:rPr>
        <w:t xml:space="preserve"> </w:t>
      </w:r>
      <w:proofErr w:type="spellStart"/>
      <w:r w:rsidRPr="006870B7">
        <w:rPr>
          <w:i/>
        </w:rPr>
        <w:t>Exp</w:t>
      </w:r>
      <w:proofErr w:type="spellEnd"/>
      <w:r w:rsidRPr="006870B7">
        <w:rPr>
          <w:i/>
        </w:rPr>
        <w:t xml:space="preserve"> </w:t>
      </w:r>
      <w:proofErr w:type="spellStart"/>
      <w:r w:rsidRPr="006870B7">
        <w:rPr>
          <w:i/>
        </w:rPr>
        <w:t>Immunol</w:t>
      </w:r>
      <w:proofErr w:type="spellEnd"/>
      <w:r>
        <w:rPr>
          <w:i/>
        </w:rPr>
        <w:t xml:space="preserve"> </w:t>
      </w:r>
      <w:r w:rsidRPr="006870B7">
        <w:t>2006</w:t>
      </w:r>
      <w:proofErr w:type="gramStart"/>
      <w:r>
        <w:t>;</w:t>
      </w:r>
      <w:r w:rsidRPr="006870B7">
        <w:rPr>
          <w:b/>
        </w:rPr>
        <w:t>143</w:t>
      </w:r>
      <w:r w:rsidRPr="006870B7">
        <w:t>:</w:t>
      </w:r>
      <w:r>
        <w:t>58</w:t>
      </w:r>
      <w:proofErr w:type="gramEnd"/>
      <w:r>
        <w:t>-64.</w:t>
      </w:r>
    </w:p>
    <w:p w:rsidR="008C090A" w:rsidRDefault="008C090A" w:rsidP="008C090A">
      <w:pPr>
        <w:spacing w:line="480" w:lineRule="auto"/>
        <w:jc w:val="both"/>
      </w:pPr>
      <w:r>
        <w:t xml:space="preserve">12. </w:t>
      </w:r>
      <w:proofErr w:type="spellStart"/>
      <w:r>
        <w:t>Talmor</w:t>
      </w:r>
      <w:proofErr w:type="spellEnd"/>
      <w:r>
        <w:t xml:space="preserve"> Y, </w:t>
      </w:r>
      <w:proofErr w:type="spellStart"/>
      <w:r>
        <w:t>Bernheim</w:t>
      </w:r>
      <w:proofErr w:type="spellEnd"/>
      <w:r>
        <w:t xml:space="preserve"> J, Klein O, Green J, </w:t>
      </w:r>
      <w:proofErr w:type="gramStart"/>
      <w:r>
        <w:t>Rashid</w:t>
      </w:r>
      <w:proofErr w:type="gramEnd"/>
      <w:r>
        <w:t xml:space="preserve"> G. </w:t>
      </w:r>
      <w:proofErr w:type="spellStart"/>
      <w:r>
        <w:t>Calcitriol</w:t>
      </w:r>
      <w:proofErr w:type="spellEnd"/>
      <w:r>
        <w:t xml:space="preserve"> blunts pro-atherosclerotic parameters through </w:t>
      </w:r>
      <w:proofErr w:type="spellStart"/>
      <w:r>
        <w:t>NFkappaB</w:t>
      </w:r>
      <w:proofErr w:type="spellEnd"/>
      <w:r>
        <w:t xml:space="preserve"> and p38 in vitro. </w:t>
      </w:r>
      <w:proofErr w:type="spellStart"/>
      <w:r w:rsidRPr="006870B7">
        <w:rPr>
          <w:i/>
        </w:rPr>
        <w:t>Eur</w:t>
      </w:r>
      <w:proofErr w:type="spellEnd"/>
      <w:r w:rsidRPr="006870B7">
        <w:rPr>
          <w:i/>
        </w:rPr>
        <w:t xml:space="preserve"> J </w:t>
      </w:r>
      <w:proofErr w:type="spellStart"/>
      <w:r w:rsidRPr="006870B7">
        <w:rPr>
          <w:i/>
        </w:rPr>
        <w:t>Clin</w:t>
      </w:r>
      <w:proofErr w:type="spellEnd"/>
      <w:r w:rsidRPr="006870B7">
        <w:rPr>
          <w:i/>
        </w:rPr>
        <w:t xml:space="preserve"> Invest</w:t>
      </w:r>
      <w:r>
        <w:rPr>
          <w:i/>
        </w:rPr>
        <w:t xml:space="preserve"> </w:t>
      </w:r>
      <w:r w:rsidRPr="006870B7">
        <w:t>2008</w:t>
      </w:r>
      <w:proofErr w:type="gramStart"/>
      <w:r>
        <w:t>;</w:t>
      </w:r>
      <w:r w:rsidRPr="006870B7">
        <w:rPr>
          <w:b/>
        </w:rPr>
        <w:t>38</w:t>
      </w:r>
      <w:r w:rsidRPr="006870B7">
        <w:t>:</w:t>
      </w:r>
      <w:r>
        <w:t>548</w:t>
      </w:r>
      <w:proofErr w:type="gramEnd"/>
      <w:r>
        <w:t>-554.</w:t>
      </w:r>
    </w:p>
    <w:p w:rsidR="008C090A" w:rsidRDefault="008C090A" w:rsidP="008C090A">
      <w:pPr>
        <w:spacing w:line="480" w:lineRule="auto"/>
        <w:jc w:val="both"/>
      </w:pPr>
      <w:r>
        <w:t xml:space="preserve">13. Walters MR, Wicker DC, </w:t>
      </w:r>
      <w:proofErr w:type="spellStart"/>
      <w:r>
        <w:t>Riggle</w:t>
      </w:r>
      <w:proofErr w:type="spellEnd"/>
      <w:r>
        <w:t xml:space="preserve"> PC. 1</w:t>
      </w:r>
      <w:proofErr w:type="gramStart"/>
      <w:r>
        <w:t>,25</w:t>
      </w:r>
      <w:proofErr w:type="gramEnd"/>
      <w:r>
        <w:t xml:space="preserve">-Dihydroxyvitamin D3 receptors identified in the rat heart. </w:t>
      </w:r>
      <w:r w:rsidRPr="006870B7">
        <w:rPr>
          <w:i/>
        </w:rPr>
        <w:t xml:space="preserve">J </w:t>
      </w:r>
      <w:proofErr w:type="spellStart"/>
      <w:r w:rsidRPr="006870B7">
        <w:rPr>
          <w:i/>
        </w:rPr>
        <w:t>Mol</w:t>
      </w:r>
      <w:proofErr w:type="spellEnd"/>
      <w:r w:rsidRPr="006870B7">
        <w:rPr>
          <w:i/>
        </w:rPr>
        <w:t xml:space="preserve"> Cell </w:t>
      </w:r>
      <w:proofErr w:type="spellStart"/>
      <w:r w:rsidRPr="006870B7">
        <w:rPr>
          <w:i/>
        </w:rPr>
        <w:t>Cardiol</w:t>
      </w:r>
      <w:proofErr w:type="spellEnd"/>
      <w:r>
        <w:rPr>
          <w:i/>
        </w:rPr>
        <w:t xml:space="preserve"> </w:t>
      </w:r>
      <w:r w:rsidRPr="006870B7">
        <w:t>1986</w:t>
      </w:r>
      <w:proofErr w:type="gramStart"/>
      <w:r>
        <w:t>;</w:t>
      </w:r>
      <w:r w:rsidRPr="006870B7">
        <w:rPr>
          <w:b/>
        </w:rPr>
        <w:t>18</w:t>
      </w:r>
      <w:r w:rsidRPr="006870B7">
        <w:t>:</w:t>
      </w:r>
      <w:r>
        <w:t>67</w:t>
      </w:r>
      <w:proofErr w:type="gramEnd"/>
      <w:r>
        <w:t>-72.</w:t>
      </w:r>
    </w:p>
    <w:p w:rsidR="008C090A" w:rsidRDefault="008C090A" w:rsidP="008C090A">
      <w:pPr>
        <w:spacing w:line="480" w:lineRule="auto"/>
        <w:jc w:val="both"/>
      </w:pPr>
      <w:r>
        <w:t xml:space="preserve">14. Chitalia N, Ismail T, Tooth L, Boa F, </w:t>
      </w:r>
      <w:proofErr w:type="spellStart"/>
      <w:r>
        <w:t>Hampson</w:t>
      </w:r>
      <w:proofErr w:type="spellEnd"/>
      <w:r>
        <w:t xml:space="preserve"> G, Goldsmith D, Kaski JC, Banerjee D. Impact of vitamin d supplementation on arterial </w:t>
      </w:r>
      <w:proofErr w:type="spellStart"/>
      <w:r>
        <w:t>vasomotion</w:t>
      </w:r>
      <w:proofErr w:type="spellEnd"/>
      <w:r>
        <w:t xml:space="preserve">, stiffness and endothelial biomarkers in chronic kidney disease patients. </w:t>
      </w:r>
      <w:proofErr w:type="spellStart"/>
      <w:r w:rsidRPr="006870B7">
        <w:rPr>
          <w:i/>
        </w:rPr>
        <w:t>PLoS</w:t>
      </w:r>
      <w:proofErr w:type="spellEnd"/>
      <w:r w:rsidRPr="006870B7">
        <w:rPr>
          <w:i/>
        </w:rPr>
        <w:t xml:space="preserve"> One</w:t>
      </w:r>
      <w:r>
        <w:rPr>
          <w:i/>
        </w:rPr>
        <w:t xml:space="preserve"> </w:t>
      </w:r>
      <w:r w:rsidRPr="006870B7">
        <w:t>2014</w:t>
      </w:r>
      <w:proofErr w:type="gramStart"/>
      <w:r>
        <w:t>;</w:t>
      </w:r>
      <w:r w:rsidRPr="006870B7">
        <w:rPr>
          <w:b/>
        </w:rPr>
        <w:t>9</w:t>
      </w:r>
      <w:r w:rsidRPr="006870B7">
        <w:t>:</w:t>
      </w:r>
      <w:r>
        <w:t>e91363</w:t>
      </w:r>
      <w:proofErr w:type="gramEnd"/>
      <w:r>
        <w:t>.</w:t>
      </w:r>
    </w:p>
    <w:p w:rsidR="008C090A" w:rsidRDefault="008C090A" w:rsidP="008C090A">
      <w:pPr>
        <w:spacing w:line="480" w:lineRule="auto"/>
        <w:jc w:val="both"/>
      </w:pPr>
      <w:r>
        <w:lastRenderedPageBreak/>
        <w:t xml:space="preserve">15. Kumar V, </w:t>
      </w:r>
      <w:proofErr w:type="spellStart"/>
      <w:r>
        <w:t>Yadav</w:t>
      </w:r>
      <w:proofErr w:type="spellEnd"/>
      <w:r>
        <w:t xml:space="preserve"> AK, Lal A, Kumar V, </w:t>
      </w:r>
      <w:proofErr w:type="spellStart"/>
      <w:r>
        <w:t>Singhal</w:t>
      </w:r>
      <w:proofErr w:type="spellEnd"/>
      <w:r>
        <w:t xml:space="preserve"> M, </w:t>
      </w:r>
      <w:proofErr w:type="spellStart"/>
      <w:r>
        <w:t>Billot</w:t>
      </w:r>
      <w:proofErr w:type="spellEnd"/>
      <w:r>
        <w:t xml:space="preserve"> L, Gupta KL, Banerjee D, Jha V. </w:t>
      </w:r>
      <w:proofErr w:type="gramStart"/>
      <w:r>
        <w:t>A Randomized Trial of Vitamin D Supplementation on Vascular Function in CKD.</w:t>
      </w:r>
      <w:proofErr w:type="gramEnd"/>
      <w:r>
        <w:t xml:space="preserve"> </w:t>
      </w:r>
      <w:r w:rsidRPr="006870B7">
        <w:rPr>
          <w:i/>
        </w:rPr>
        <w:t xml:space="preserve">J Am </w:t>
      </w:r>
      <w:proofErr w:type="spellStart"/>
      <w:r w:rsidRPr="006870B7">
        <w:rPr>
          <w:i/>
        </w:rPr>
        <w:t>Soc</w:t>
      </w:r>
      <w:proofErr w:type="spellEnd"/>
      <w:r w:rsidRPr="006870B7">
        <w:rPr>
          <w:i/>
        </w:rPr>
        <w:t xml:space="preserve"> </w:t>
      </w:r>
      <w:proofErr w:type="spellStart"/>
      <w:r w:rsidRPr="006870B7">
        <w:rPr>
          <w:i/>
        </w:rPr>
        <w:t>Nephrol</w:t>
      </w:r>
      <w:proofErr w:type="spellEnd"/>
      <w:r>
        <w:rPr>
          <w:i/>
        </w:rPr>
        <w:t xml:space="preserve"> </w:t>
      </w:r>
      <w:r w:rsidRPr="006870B7">
        <w:t>2017</w:t>
      </w:r>
      <w:proofErr w:type="gramStart"/>
      <w:r>
        <w:t>;.</w:t>
      </w:r>
      <w:proofErr w:type="gramEnd"/>
    </w:p>
    <w:p w:rsidR="008C090A" w:rsidRDefault="008C090A" w:rsidP="008C090A">
      <w:pPr>
        <w:spacing w:line="480" w:lineRule="auto"/>
        <w:jc w:val="both"/>
      </w:pPr>
      <w:r>
        <w:t xml:space="preserve">16. Banerjee D, Jha V. Vitamin D and Cardiovascular Complications of CKD: What's Next? </w:t>
      </w:r>
      <w:proofErr w:type="spellStart"/>
      <w:r w:rsidRPr="006870B7">
        <w:rPr>
          <w:i/>
        </w:rPr>
        <w:t>Clin</w:t>
      </w:r>
      <w:proofErr w:type="spellEnd"/>
      <w:r w:rsidRPr="006870B7">
        <w:rPr>
          <w:i/>
        </w:rPr>
        <w:t xml:space="preserve"> J Am </w:t>
      </w:r>
      <w:proofErr w:type="spellStart"/>
      <w:r w:rsidRPr="006870B7">
        <w:rPr>
          <w:i/>
        </w:rPr>
        <w:t>Soc</w:t>
      </w:r>
      <w:proofErr w:type="spellEnd"/>
      <w:r w:rsidRPr="006870B7">
        <w:rPr>
          <w:i/>
        </w:rPr>
        <w:t xml:space="preserve"> </w:t>
      </w:r>
      <w:proofErr w:type="spellStart"/>
      <w:r w:rsidRPr="006870B7">
        <w:rPr>
          <w:i/>
        </w:rPr>
        <w:t>Nephrol</w:t>
      </w:r>
      <w:proofErr w:type="spellEnd"/>
      <w:r>
        <w:rPr>
          <w:i/>
        </w:rPr>
        <w:t xml:space="preserve"> </w:t>
      </w:r>
      <w:r w:rsidRPr="006870B7">
        <w:t>2019</w:t>
      </w:r>
      <w:proofErr w:type="gramStart"/>
      <w:r>
        <w:t>;</w:t>
      </w:r>
      <w:r w:rsidRPr="006870B7">
        <w:rPr>
          <w:b/>
        </w:rPr>
        <w:t>14</w:t>
      </w:r>
      <w:r w:rsidRPr="006870B7">
        <w:t>:</w:t>
      </w:r>
      <w:r>
        <w:t>932</w:t>
      </w:r>
      <w:proofErr w:type="gramEnd"/>
      <w:r>
        <w:t>-934.</w:t>
      </w:r>
    </w:p>
    <w:p w:rsidR="008C090A" w:rsidRDefault="008C090A" w:rsidP="008C090A">
      <w:pPr>
        <w:spacing w:line="480" w:lineRule="auto"/>
        <w:jc w:val="both"/>
      </w:pPr>
      <w:r>
        <w:t xml:space="preserve">17. </w:t>
      </w:r>
      <w:proofErr w:type="spellStart"/>
      <w:r>
        <w:t>Grothues</w:t>
      </w:r>
      <w:proofErr w:type="spellEnd"/>
      <w:r>
        <w:t xml:space="preserve"> F, Smith GC, Moon JC, </w:t>
      </w:r>
      <w:proofErr w:type="spellStart"/>
      <w:r>
        <w:t>Bellenger</w:t>
      </w:r>
      <w:proofErr w:type="spellEnd"/>
      <w:r>
        <w:t xml:space="preserve"> NG, Collins P, Klein HU, Pennell DJ. </w:t>
      </w:r>
      <w:proofErr w:type="gramStart"/>
      <w:r>
        <w:t xml:space="preserve">Comparison of </w:t>
      </w:r>
      <w:proofErr w:type="spellStart"/>
      <w:r>
        <w:t>interstudy</w:t>
      </w:r>
      <w:proofErr w:type="spellEnd"/>
      <w:r>
        <w:t xml:space="preserve"> reproducibility of cardiovascular magnetic resonance with two-dimensional echocardiography in normal subjects and in patients with heart failure or left ventricular hypertrophy.</w:t>
      </w:r>
      <w:proofErr w:type="gramEnd"/>
      <w:r>
        <w:t xml:space="preserve"> </w:t>
      </w:r>
      <w:r w:rsidRPr="006870B7">
        <w:rPr>
          <w:i/>
        </w:rPr>
        <w:t xml:space="preserve">Am J </w:t>
      </w:r>
      <w:proofErr w:type="spellStart"/>
      <w:r w:rsidRPr="006870B7">
        <w:rPr>
          <w:i/>
        </w:rPr>
        <w:t>Cardiol</w:t>
      </w:r>
      <w:proofErr w:type="spellEnd"/>
      <w:r>
        <w:rPr>
          <w:i/>
        </w:rPr>
        <w:t xml:space="preserve"> </w:t>
      </w:r>
      <w:r w:rsidRPr="006870B7">
        <w:t>2002</w:t>
      </w:r>
      <w:proofErr w:type="gramStart"/>
      <w:r>
        <w:t>;</w:t>
      </w:r>
      <w:r w:rsidRPr="006870B7">
        <w:rPr>
          <w:b/>
        </w:rPr>
        <w:t>90</w:t>
      </w:r>
      <w:r w:rsidRPr="006870B7">
        <w:t>:</w:t>
      </w:r>
      <w:r>
        <w:t>29</w:t>
      </w:r>
      <w:proofErr w:type="gramEnd"/>
      <w:r>
        <w:t>-34.</w:t>
      </w:r>
    </w:p>
    <w:p w:rsidR="008C090A" w:rsidRDefault="008C090A" w:rsidP="008C090A">
      <w:pPr>
        <w:spacing w:line="480" w:lineRule="auto"/>
        <w:jc w:val="both"/>
      </w:pPr>
      <w:r>
        <w:t xml:space="preserve">18. Johnson DB, Foster RE, Barilla F, Blackwell GG, </w:t>
      </w:r>
      <w:proofErr w:type="spellStart"/>
      <w:r>
        <w:t>Roney</w:t>
      </w:r>
      <w:proofErr w:type="spellEnd"/>
      <w:r>
        <w:t xml:space="preserve"> M, Stanley </w:t>
      </w:r>
      <w:proofErr w:type="spellStart"/>
      <w:r>
        <w:t>AW,Jr</w:t>
      </w:r>
      <w:proofErr w:type="spellEnd"/>
      <w:r>
        <w:t xml:space="preserve">, Kirk K, Orr RA, van der </w:t>
      </w:r>
      <w:proofErr w:type="spellStart"/>
      <w:r>
        <w:t>Geest</w:t>
      </w:r>
      <w:proofErr w:type="spellEnd"/>
      <w:r>
        <w:t xml:space="preserve"> RJ, </w:t>
      </w:r>
      <w:proofErr w:type="spellStart"/>
      <w:r>
        <w:t>Reiber</w:t>
      </w:r>
      <w:proofErr w:type="spellEnd"/>
      <w:r>
        <w:t xml:space="preserve"> JH, </w:t>
      </w:r>
      <w:proofErr w:type="spellStart"/>
      <w:r>
        <w:t>Dell'Italia</w:t>
      </w:r>
      <w:proofErr w:type="spellEnd"/>
      <w:r>
        <w:t xml:space="preserve"> LJ. Angiotensin-converting enzyme inhibitor therapy affects left ventricular mass in patients with ejection fraction &gt; 40% after acute myocardial infarction. </w:t>
      </w:r>
      <w:r w:rsidRPr="006870B7">
        <w:rPr>
          <w:i/>
        </w:rPr>
        <w:t xml:space="preserve">J Am </w:t>
      </w:r>
      <w:proofErr w:type="spellStart"/>
      <w:r w:rsidRPr="006870B7">
        <w:rPr>
          <w:i/>
        </w:rPr>
        <w:t>Coll</w:t>
      </w:r>
      <w:proofErr w:type="spellEnd"/>
      <w:r w:rsidRPr="006870B7">
        <w:rPr>
          <w:i/>
        </w:rPr>
        <w:t xml:space="preserve"> </w:t>
      </w:r>
      <w:proofErr w:type="spellStart"/>
      <w:r w:rsidRPr="006870B7">
        <w:rPr>
          <w:i/>
        </w:rPr>
        <w:t>Cardiol</w:t>
      </w:r>
      <w:proofErr w:type="spellEnd"/>
      <w:r>
        <w:rPr>
          <w:i/>
        </w:rPr>
        <w:t xml:space="preserve"> </w:t>
      </w:r>
      <w:r w:rsidRPr="006870B7">
        <w:t>1997</w:t>
      </w:r>
      <w:proofErr w:type="gramStart"/>
      <w:r>
        <w:t>;</w:t>
      </w:r>
      <w:r w:rsidRPr="006870B7">
        <w:rPr>
          <w:b/>
        </w:rPr>
        <w:t>29</w:t>
      </w:r>
      <w:r w:rsidRPr="006870B7">
        <w:t>:</w:t>
      </w:r>
      <w:r>
        <w:t>49</w:t>
      </w:r>
      <w:proofErr w:type="gramEnd"/>
      <w:r>
        <w:t>-54.</w:t>
      </w:r>
    </w:p>
    <w:p w:rsidR="008C090A" w:rsidRDefault="008C090A" w:rsidP="008C090A">
      <w:pPr>
        <w:spacing w:line="480" w:lineRule="auto"/>
        <w:jc w:val="both"/>
      </w:pPr>
      <w:r>
        <w:t xml:space="preserve">19. </w:t>
      </w:r>
      <w:proofErr w:type="spellStart"/>
      <w:r>
        <w:t>Gaudio</w:t>
      </w:r>
      <w:proofErr w:type="spellEnd"/>
      <w:r>
        <w:t xml:space="preserve"> C, </w:t>
      </w:r>
      <w:proofErr w:type="spellStart"/>
      <w:r>
        <w:t>Tanzilli</w:t>
      </w:r>
      <w:proofErr w:type="spellEnd"/>
      <w:r>
        <w:t xml:space="preserve"> G, </w:t>
      </w:r>
      <w:proofErr w:type="spellStart"/>
      <w:r>
        <w:t>Ferri</w:t>
      </w:r>
      <w:proofErr w:type="spellEnd"/>
      <w:r>
        <w:t xml:space="preserve"> FM, </w:t>
      </w:r>
      <w:proofErr w:type="spellStart"/>
      <w:r>
        <w:t>Villatico</w:t>
      </w:r>
      <w:proofErr w:type="spellEnd"/>
      <w:r>
        <w:t xml:space="preserve"> Campbell S, </w:t>
      </w:r>
      <w:proofErr w:type="spellStart"/>
      <w:r>
        <w:t>Bertocchi</w:t>
      </w:r>
      <w:proofErr w:type="spellEnd"/>
      <w:r>
        <w:t xml:space="preserve"> F, </w:t>
      </w:r>
      <w:proofErr w:type="spellStart"/>
      <w:r>
        <w:t>Motolese</w:t>
      </w:r>
      <w:proofErr w:type="spellEnd"/>
      <w:r>
        <w:t xml:space="preserve"> M, </w:t>
      </w:r>
      <w:proofErr w:type="spellStart"/>
      <w:r>
        <w:t>Campa</w:t>
      </w:r>
      <w:proofErr w:type="spellEnd"/>
      <w:r>
        <w:t xml:space="preserve"> PP. Benazepril causes in hypertension a greater reduction in left ventricular mass than </w:t>
      </w:r>
      <w:proofErr w:type="gramStart"/>
      <w:r>
        <w:t>does</w:t>
      </w:r>
      <w:proofErr w:type="gramEnd"/>
      <w:r>
        <w:t xml:space="preserve"> </w:t>
      </w:r>
      <w:proofErr w:type="spellStart"/>
      <w:r>
        <w:t>nitrendipine</w:t>
      </w:r>
      <w:proofErr w:type="spellEnd"/>
      <w:r>
        <w:t xml:space="preserve">: a randomized study using magnetic resonance imaging. </w:t>
      </w:r>
      <w:r w:rsidRPr="006870B7">
        <w:rPr>
          <w:i/>
        </w:rPr>
        <w:t xml:space="preserve">J </w:t>
      </w:r>
      <w:proofErr w:type="spellStart"/>
      <w:r w:rsidRPr="006870B7">
        <w:rPr>
          <w:i/>
        </w:rPr>
        <w:t>Cardiovasc</w:t>
      </w:r>
      <w:proofErr w:type="spellEnd"/>
      <w:r w:rsidRPr="006870B7">
        <w:rPr>
          <w:i/>
        </w:rPr>
        <w:t xml:space="preserve"> </w:t>
      </w:r>
      <w:proofErr w:type="spellStart"/>
      <w:r w:rsidRPr="006870B7">
        <w:rPr>
          <w:i/>
        </w:rPr>
        <w:t>Pharmacol</w:t>
      </w:r>
      <w:proofErr w:type="spellEnd"/>
      <w:r>
        <w:rPr>
          <w:i/>
        </w:rPr>
        <w:t xml:space="preserve"> </w:t>
      </w:r>
      <w:r w:rsidRPr="006870B7">
        <w:t>1998</w:t>
      </w:r>
      <w:proofErr w:type="gramStart"/>
      <w:r>
        <w:t>;</w:t>
      </w:r>
      <w:r w:rsidRPr="006870B7">
        <w:rPr>
          <w:b/>
        </w:rPr>
        <w:t>32</w:t>
      </w:r>
      <w:r w:rsidRPr="006870B7">
        <w:t>:</w:t>
      </w:r>
      <w:r>
        <w:t>760</w:t>
      </w:r>
      <w:proofErr w:type="gramEnd"/>
      <w:r>
        <w:t>-768.</w:t>
      </w:r>
    </w:p>
    <w:p w:rsidR="008C090A" w:rsidRDefault="008C090A" w:rsidP="008C090A">
      <w:pPr>
        <w:spacing w:line="480" w:lineRule="auto"/>
        <w:jc w:val="both"/>
      </w:pPr>
      <w:r>
        <w:t xml:space="preserve">20. </w:t>
      </w:r>
      <w:proofErr w:type="spellStart"/>
      <w:r>
        <w:t>Senn</w:t>
      </w:r>
      <w:proofErr w:type="spellEnd"/>
      <w:r>
        <w:t xml:space="preserve"> S. Change from baseline and analysis of covariance revisited. </w:t>
      </w:r>
      <w:r w:rsidRPr="006870B7">
        <w:rPr>
          <w:i/>
        </w:rPr>
        <w:t>Stat Med</w:t>
      </w:r>
      <w:r>
        <w:rPr>
          <w:i/>
        </w:rPr>
        <w:t xml:space="preserve"> </w:t>
      </w:r>
      <w:r w:rsidRPr="006870B7">
        <w:t>2006</w:t>
      </w:r>
      <w:proofErr w:type="gramStart"/>
      <w:r>
        <w:t>;</w:t>
      </w:r>
      <w:r w:rsidRPr="006870B7">
        <w:rPr>
          <w:b/>
        </w:rPr>
        <w:t>25</w:t>
      </w:r>
      <w:r w:rsidRPr="006870B7">
        <w:t>:</w:t>
      </w:r>
      <w:r>
        <w:t>4334</w:t>
      </w:r>
      <w:proofErr w:type="gramEnd"/>
      <w:r>
        <w:t>-4344.</w:t>
      </w:r>
    </w:p>
    <w:p w:rsidR="008C090A" w:rsidRDefault="008C090A" w:rsidP="008C090A">
      <w:pPr>
        <w:spacing w:line="480" w:lineRule="auto"/>
        <w:jc w:val="both"/>
      </w:pPr>
      <w:r>
        <w:t xml:space="preserve">21. </w:t>
      </w:r>
      <w:proofErr w:type="spellStart"/>
      <w:r>
        <w:t>Ketteler</w:t>
      </w:r>
      <w:proofErr w:type="spellEnd"/>
      <w:r>
        <w:t xml:space="preserve"> M, Block GA, </w:t>
      </w:r>
      <w:proofErr w:type="spellStart"/>
      <w:r>
        <w:t>Evenepoel</w:t>
      </w:r>
      <w:proofErr w:type="spellEnd"/>
      <w:r>
        <w:t xml:space="preserve"> P, </w:t>
      </w:r>
      <w:proofErr w:type="spellStart"/>
      <w:r>
        <w:t>Fukagawa</w:t>
      </w:r>
      <w:proofErr w:type="spellEnd"/>
      <w:r>
        <w:t xml:space="preserve"> M, Herzog CA, McCann L, Moe SM, Shroff R, </w:t>
      </w:r>
      <w:proofErr w:type="spellStart"/>
      <w:r>
        <w:t>Tonelli</w:t>
      </w:r>
      <w:proofErr w:type="spellEnd"/>
      <w:r>
        <w:t xml:space="preserve"> MA, Toussaint ND, </w:t>
      </w:r>
      <w:proofErr w:type="spellStart"/>
      <w:r>
        <w:t>Vervloet</w:t>
      </w:r>
      <w:proofErr w:type="spellEnd"/>
      <w:r>
        <w:t xml:space="preserve"> MG, Leonard MB. Executive summary of the 2017 KDIGO Chronic Kidney Disease-Mineral and Bone Disorder (CKD-MBD) Guideline Update: what's changed and why it matters. </w:t>
      </w:r>
      <w:r w:rsidRPr="006870B7">
        <w:rPr>
          <w:i/>
        </w:rPr>
        <w:t xml:space="preserve">Kidney </w:t>
      </w:r>
      <w:proofErr w:type="spellStart"/>
      <w:r w:rsidRPr="006870B7">
        <w:rPr>
          <w:i/>
        </w:rPr>
        <w:t>Int</w:t>
      </w:r>
      <w:proofErr w:type="spellEnd"/>
      <w:r>
        <w:rPr>
          <w:i/>
        </w:rPr>
        <w:t xml:space="preserve"> </w:t>
      </w:r>
      <w:r w:rsidRPr="006870B7">
        <w:t>2017</w:t>
      </w:r>
      <w:proofErr w:type="gramStart"/>
      <w:r>
        <w:t>;</w:t>
      </w:r>
      <w:r w:rsidRPr="006870B7">
        <w:rPr>
          <w:b/>
        </w:rPr>
        <w:t>92</w:t>
      </w:r>
      <w:r w:rsidRPr="006870B7">
        <w:t>:</w:t>
      </w:r>
      <w:r>
        <w:t>26</w:t>
      </w:r>
      <w:proofErr w:type="gramEnd"/>
      <w:r>
        <w:t>-36.</w:t>
      </w:r>
    </w:p>
    <w:p w:rsidR="008C090A" w:rsidRDefault="008C090A" w:rsidP="008C090A">
      <w:pPr>
        <w:spacing w:line="480" w:lineRule="auto"/>
        <w:jc w:val="both"/>
      </w:pPr>
      <w:r>
        <w:lastRenderedPageBreak/>
        <w:t xml:space="preserve">22. FHN Trial Group, </w:t>
      </w:r>
      <w:proofErr w:type="spellStart"/>
      <w:r>
        <w:t>Chertow</w:t>
      </w:r>
      <w:proofErr w:type="spellEnd"/>
      <w:r>
        <w:t xml:space="preserve"> GM, Levin NW, Beck GJ, </w:t>
      </w:r>
      <w:proofErr w:type="spellStart"/>
      <w:r>
        <w:t>Depner</w:t>
      </w:r>
      <w:proofErr w:type="spellEnd"/>
      <w:r>
        <w:t xml:space="preserve"> TA, Eggers PW, </w:t>
      </w:r>
      <w:proofErr w:type="spellStart"/>
      <w:r>
        <w:t>Gassman</w:t>
      </w:r>
      <w:proofErr w:type="spellEnd"/>
      <w:r>
        <w:t xml:space="preserve"> JJ, </w:t>
      </w:r>
      <w:proofErr w:type="spellStart"/>
      <w:r>
        <w:t>Gorodetskaya</w:t>
      </w:r>
      <w:proofErr w:type="spellEnd"/>
      <w:r>
        <w:t xml:space="preserve"> I, Greene T, James S, </w:t>
      </w:r>
      <w:proofErr w:type="spellStart"/>
      <w:r>
        <w:t>Larive</w:t>
      </w:r>
      <w:proofErr w:type="spellEnd"/>
      <w:r>
        <w:t xml:space="preserve"> B, Lindsay RM, Mehta RL, Miller B, </w:t>
      </w:r>
      <w:proofErr w:type="spellStart"/>
      <w:r>
        <w:t>Ornt</w:t>
      </w:r>
      <w:proofErr w:type="spellEnd"/>
      <w:r>
        <w:t xml:space="preserve"> DB, </w:t>
      </w:r>
      <w:proofErr w:type="spellStart"/>
      <w:r>
        <w:t>Rajagopalan</w:t>
      </w:r>
      <w:proofErr w:type="spellEnd"/>
      <w:r>
        <w:t xml:space="preserve"> S, </w:t>
      </w:r>
      <w:proofErr w:type="spellStart"/>
      <w:r>
        <w:t>Rastogi</w:t>
      </w:r>
      <w:proofErr w:type="spellEnd"/>
      <w:r>
        <w:t xml:space="preserve"> A, Rocco MV, Schiller B, </w:t>
      </w:r>
      <w:proofErr w:type="spellStart"/>
      <w:r>
        <w:t>Sergeyeva</w:t>
      </w:r>
      <w:proofErr w:type="spellEnd"/>
      <w:r>
        <w:t xml:space="preserve"> O, Schulman G, Ting GO, Unruh ML, Star RA, </w:t>
      </w:r>
      <w:proofErr w:type="spellStart"/>
      <w:r>
        <w:t>Kliger</w:t>
      </w:r>
      <w:proofErr w:type="spellEnd"/>
      <w:r>
        <w:t xml:space="preserve"> AS. </w:t>
      </w:r>
      <w:proofErr w:type="gramStart"/>
      <w:r>
        <w:t>In-</w:t>
      </w:r>
      <w:proofErr w:type="spellStart"/>
      <w:r>
        <w:t>center</w:t>
      </w:r>
      <w:proofErr w:type="spellEnd"/>
      <w:r>
        <w:t xml:space="preserve"> </w:t>
      </w:r>
      <w:proofErr w:type="spellStart"/>
      <w:r>
        <w:t>hemodialysis</w:t>
      </w:r>
      <w:proofErr w:type="spellEnd"/>
      <w:r>
        <w:t xml:space="preserve"> six times per week versus three times per week.</w:t>
      </w:r>
      <w:proofErr w:type="gramEnd"/>
      <w:r>
        <w:t xml:space="preserve"> </w:t>
      </w:r>
      <w:r w:rsidRPr="006870B7">
        <w:rPr>
          <w:i/>
        </w:rPr>
        <w:t xml:space="preserve">N </w:t>
      </w:r>
      <w:proofErr w:type="spellStart"/>
      <w:r w:rsidRPr="006870B7">
        <w:rPr>
          <w:i/>
        </w:rPr>
        <w:t>Engl</w:t>
      </w:r>
      <w:proofErr w:type="spellEnd"/>
      <w:r w:rsidRPr="006870B7">
        <w:rPr>
          <w:i/>
        </w:rPr>
        <w:t xml:space="preserve"> J Med</w:t>
      </w:r>
      <w:r>
        <w:rPr>
          <w:i/>
        </w:rPr>
        <w:t xml:space="preserve"> </w:t>
      </w:r>
      <w:r w:rsidRPr="006870B7">
        <w:t>2010</w:t>
      </w:r>
      <w:proofErr w:type="gramStart"/>
      <w:r>
        <w:t>;</w:t>
      </w:r>
      <w:r w:rsidRPr="006870B7">
        <w:rPr>
          <w:b/>
        </w:rPr>
        <w:t>363</w:t>
      </w:r>
      <w:r w:rsidRPr="006870B7">
        <w:t>:</w:t>
      </w:r>
      <w:r>
        <w:t>2287</w:t>
      </w:r>
      <w:proofErr w:type="gramEnd"/>
      <w:r>
        <w:t>-2300.</w:t>
      </w:r>
    </w:p>
    <w:p w:rsidR="008C090A" w:rsidRDefault="008C090A" w:rsidP="009373D2">
      <w:pPr>
        <w:spacing w:after="160" w:line="259" w:lineRule="auto"/>
        <w:jc w:val="center"/>
        <w:rPr>
          <w:rFonts w:ascii="Calibri" w:eastAsia="Calibri" w:hAnsi="Calibri" w:cs="Times New Roman"/>
          <w:b/>
        </w:rPr>
      </w:pPr>
    </w:p>
    <w:p w:rsidR="008C090A" w:rsidRDefault="008C090A">
      <w:pPr>
        <w:rPr>
          <w:rFonts w:ascii="Calibri" w:eastAsia="Calibri" w:hAnsi="Calibri" w:cs="Times New Roman"/>
          <w:b/>
        </w:rPr>
      </w:pPr>
      <w:r>
        <w:rPr>
          <w:rFonts w:ascii="Calibri" w:eastAsia="Calibri" w:hAnsi="Calibri" w:cs="Times New Roman"/>
          <w:b/>
        </w:rPr>
        <w:br w:type="page"/>
      </w:r>
    </w:p>
    <w:p w:rsidR="009373D2" w:rsidRDefault="009373D2" w:rsidP="009373D2">
      <w:pPr>
        <w:spacing w:after="160" w:line="259" w:lineRule="auto"/>
        <w:jc w:val="center"/>
        <w:rPr>
          <w:rFonts w:ascii="Calibri" w:eastAsia="Calibri" w:hAnsi="Calibri" w:cs="Times New Roman"/>
          <w:b/>
        </w:rPr>
      </w:pPr>
      <w:r w:rsidRPr="00052069">
        <w:rPr>
          <w:rFonts w:ascii="Calibri" w:eastAsia="Calibri" w:hAnsi="Calibri" w:cs="Times New Roman"/>
          <w:b/>
        </w:rPr>
        <w:lastRenderedPageBreak/>
        <w:t>Tables</w:t>
      </w:r>
    </w:p>
    <w:p w:rsidR="009373D2" w:rsidRPr="00052069" w:rsidRDefault="009373D2" w:rsidP="009373D2">
      <w:pPr>
        <w:spacing w:after="160" w:line="259" w:lineRule="auto"/>
        <w:jc w:val="center"/>
        <w:rPr>
          <w:rFonts w:ascii="Calibri" w:eastAsia="Calibri" w:hAnsi="Calibri" w:cs="Times New Roman"/>
          <w:b/>
        </w:rPr>
      </w:pPr>
    </w:p>
    <w:p w:rsidR="009373D2" w:rsidRDefault="009373D2" w:rsidP="009373D2">
      <w:pPr>
        <w:spacing w:after="160" w:line="259" w:lineRule="auto"/>
        <w:rPr>
          <w:rFonts w:ascii="Calibri" w:eastAsia="Calibri" w:hAnsi="Calibri" w:cs="Times New Roman"/>
        </w:rPr>
      </w:pPr>
      <w:r>
        <w:rPr>
          <w:rFonts w:ascii="Calibri" w:eastAsia="Calibri" w:hAnsi="Calibri" w:cs="Times New Roman"/>
        </w:rPr>
        <w:t>Table 1:</w:t>
      </w:r>
      <w:r w:rsidRPr="00A65AC8">
        <w:t xml:space="preserve"> </w:t>
      </w:r>
      <w:r w:rsidRPr="00A65AC8">
        <w:rPr>
          <w:rFonts w:ascii="Calibri" w:eastAsia="Calibri" w:hAnsi="Calibri" w:cs="Times New Roman"/>
        </w:rPr>
        <w:t>Summary of the population data: demographics, cardiovascular risks and relevant clinical characteristics</w:t>
      </w:r>
    </w:p>
    <w:tbl>
      <w:tblPr>
        <w:tblStyle w:val="TableGrid"/>
        <w:tblW w:w="9918" w:type="dxa"/>
        <w:jc w:val="center"/>
        <w:tblLayout w:type="fixed"/>
        <w:tblCellMar>
          <w:left w:w="0" w:type="dxa"/>
          <w:right w:w="0" w:type="dxa"/>
        </w:tblCellMar>
        <w:tblLook w:val="04A0" w:firstRow="1" w:lastRow="0" w:firstColumn="1" w:lastColumn="0" w:noHBand="0" w:noVBand="1"/>
      </w:tblPr>
      <w:tblGrid>
        <w:gridCol w:w="2547"/>
        <w:gridCol w:w="1134"/>
        <w:gridCol w:w="1276"/>
        <w:gridCol w:w="860"/>
        <w:gridCol w:w="1124"/>
        <w:gridCol w:w="1559"/>
        <w:gridCol w:w="709"/>
        <w:gridCol w:w="709"/>
      </w:tblGrid>
      <w:tr w:rsidR="009373D2" w:rsidRPr="00A65AC8" w:rsidTr="00B83968">
        <w:trPr>
          <w:trHeight w:val="252"/>
          <w:jc w:val="center"/>
        </w:trPr>
        <w:tc>
          <w:tcPr>
            <w:tcW w:w="2547" w:type="dxa"/>
            <w:shd w:val="clear" w:color="auto" w:fill="8DB3E2" w:themeFill="text2" w:themeFillTint="66"/>
          </w:tcPr>
          <w:p w:rsidR="009373D2" w:rsidRPr="00A65AC8" w:rsidRDefault="009373D2" w:rsidP="00B83968">
            <w:pPr>
              <w:jc w:val="center"/>
              <w:rPr>
                <w:rFonts w:ascii="Calibri" w:eastAsia="Calibri" w:hAnsi="Calibri" w:cs="Arial"/>
                <w:b/>
                <w:sz w:val="18"/>
                <w:szCs w:val="18"/>
              </w:rPr>
            </w:pPr>
          </w:p>
        </w:tc>
        <w:tc>
          <w:tcPr>
            <w:tcW w:w="3270" w:type="dxa"/>
            <w:gridSpan w:val="3"/>
            <w:shd w:val="clear" w:color="auto" w:fill="8DB3E2" w:themeFill="text2" w:themeFillTint="66"/>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 xml:space="preserve">PLACEBO (N=23) </w:t>
            </w:r>
          </w:p>
        </w:tc>
        <w:tc>
          <w:tcPr>
            <w:tcW w:w="3392" w:type="dxa"/>
            <w:gridSpan w:val="3"/>
            <w:shd w:val="clear" w:color="auto" w:fill="8DB3E2" w:themeFill="text2" w:themeFillTint="66"/>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VITAMIN D (N=25)</w:t>
            </w:r>
          </w:p>
        </w:tc>
        <w:tc>
          <w:tcPr>
            <w:tcW w:w="709" w:type="dxa"/>
            <w:shd w:val="clear" w:color="auto" w:fill="8DB3E2" w:themeFill="text2" w:themeFillTint="66"/>
          </w:tcPr>
          <w:p w:rsidR="009373D2" w:rsidRPr="00A65AC8" w:rsidRDefault="009373D2" w:rsidP="00B83968">
            <w:pPr>
              <w:jc w:val="center"/>
              <w:rPr>
                <w:rFonts w:ascii="Calibri" w:eastAsia="Calibri" w:hAnsi="Calibri" w:cs="Arial"/>
                <w:b/>
                <w:sz w:val="16"/>
                <w:szCs w:val="16"/>
              </w:rPr>
            </w:pPr>
          </w:p>
        </w:tc>
      </w:tr>
      <w:tr w:rsidR="009373D2" w:rsidRPr="00A65AC8" w:rsidTr="00B83968">
        <w:trPr>
          <w:trHeight w:val="252"/>
          <w:jc w:val="center"/>
        </w:trPr>
        <w:tc>
          <w:tcPr>
            <w:tcW w:w="2547" w:type="dxa"/>
          </w:tcPr>
          <w:p w:rsidR="009373D2" w:rsidRPr="00A65AC8" w:rsidRDefault="009373D2" w:rsidP="00B83968">
            <w:pPr>
              <w:jc w:val="center"/>
              <w:rPr>
                <w:rFonts w:ascii="Calibri" w:eastAsia="Calibri" w:hAnsi="Calibri" w:cs="Arial"/>
                <w:b/>
                <w:sz w:val="18"/>
                <w:szCs w:val="18"/>
              </w:rPr>
            </w:pPr>
          </w:p>
        </w:tc>
        <w:tc>
          <w:tcPr>
            <w:tcW w:w="1134"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MEAN (SD)</w:t>
            </w:r>
          </w:p>
        </w:tc>
        <w:tc>
          <w:tcPr>
            <w:tcW w:w="1276"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MEDIAN (Q1,Q3)</w:t>
            </w:r>
          </w:p>
        </w:tc>
        <w:tc>
          <w:tcPr>
            <w:tcW w:w="860"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NO</w:t>
            </w:r>
          </w:p>
        </w:tc>
        <w:tc>
          <w:tcPr>
            <w:tcW w:w="1124"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MEAN ( SD)</w:t>
            </w:r>
          </w:p>
        </w:tc>
        <w:tc>
          <w:tcPr>
            <w:tcW w:w="1559"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MEDIAN (Q1,Q3)</w:t>
            </w:r>
          </w:p>
        </w:tc>
        <w:tc>
          <w:tcPr>
            <w:tcW w:w="709"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NO</w:t>
            </w:r>
          </w:p>
        </w:tc>
        <w:tc>
          <w:tcPr>
            <w:tcW w:w="709"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p-VALUE</w:t>
            </w:r>
          </w:p>
        </w:tc>
      </w:tr>
      <w:tr w:rsidR="009373D2" w:rsidRPr="00A65AC8" w:rsidTr="00B83968">
        <w:trPr>
          <w:trHeight w:val="252"/>
          <w:jc w:val="center"/>
        </w:trPr>
        <w:tc>
          <w:tcPr>
            <w:tcW w:w="9918" w:type="dxa"/>
            <w:gridSpan w:val="8"/>
            <w:shd w:val="clear" w:color="auto" w:fill="D9D9D9" w:themeFill="background1" w:themeFillShade="D9"/>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DEMOGRAPHICS</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AGE</w:t>
            </w:r>
          </w:p>
        </w:tc>
        <w:tc>
          <w:tcPr>
            <w:tcW w:w="1134"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52.4(10.9)</w:t>
            </w:r>
          </w:p>
        </w:tc>
        <w:tc>
          <w:tcPr>
            <w:tcW w:w="1276"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51 (45,61)</w:t>
            </w:r>
          </w:p>
        </w:tc>
        <w:tc>
          <w:tcPr>
            <w:tcW w:w="860"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23</w:t>
            </w:r>
          </w:p>
        </w:tc>
        <w:tc>
          <w:tcPr>
            <w:tcW w:w="1124"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52.4(12.5)</w:t>
            </w:r>
          </w:p>
        </w:tc>
        <w:tc>
          <w:tcPr>
            <w:tcW w:w="1559"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52(42,62)</w:t>
            </w:r>
          </w:p>
        </w:tc>
        <w:tc>
          <w:tcPr>
            <w:tcW w:w="709"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25</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0.94</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GENDER  - FEMALE</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9(39%)</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7(28%)</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0.41</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Times New Roman"/>
                <w:b/>
                <w:color w:val="000000"/>
                <w:sz w:val="16"/>
                <w:szCs w:val="16"/>
              </w:rPr>
              <w:t>ETHNICITY – CAUCASIAN</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14 (60.1%)</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12(48%)</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0.46</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BLACK</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6 (26.1%)</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7(28%)</w:t>
            </w:r>
          </w:p>
        </w:tc>
        <w:tc>
          <w:tcPr>
            <w:tcW w:w="709" w:type="dxa"/>
          </w:tcPr>
          <w:p w:rsidR="009373D2" w:rsidRPr="00A65AC8" w:rsidRDefault="009373D2" w:rsidP="00B83968">
            <w:pPr>
              <w:jc w:val="center"/>
              <w:rPr>
                <w:rFonts w:ascii="Calibri" w:eastAsia="Calibri" w:hAnsi="Calibri" w:cs="Arial"/>
                <w:sz w:val="18"/>
                <w:szCs w:val="18"/>
              </w:rPr>
            </w:pP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OTHERS</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 (4.4%)</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4 (16%)</w:t>
            </w:r>
          </w:p>
        </w:tc>
        <w:tc>
          <w:tcPr>
            <w:tcW w:w="709" w:type="dxa"/>
          </w:tcPr>
          <w:p w:rsidR="009373D2" w:rsidRPr="00A65AC8" w:rsidRDefault="009373D2" w:rsidP="00B83968">
            <w:pPr>
              <w:jc w:val="center"/>
              <w:rPr>
                <w:rFonts w:ascii="Calibri" w:eastAsia="Calibri" w:hAnsi="Calibri" w:cs="Arial"/>
                <w:sz w:val="18"/>
                <w:szCs w:val="18"/>
              </w:rPr>
            </w:pP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MISSING</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 (8.7%)</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 (8%)</w:t>
            </w:r>
          </w:p>
        </w:tc>
        <w:tc>
          <w:tcPr>
            <w:tcW w:w="709" w:type="dxa"/>
          </w:tcPr>
          <w:p w:rsidR="009373D2" w:rsidRPr="00A65AC8" w:rsidRDefault="009373D2" w:rsidP="00B83968">
            <w:pPr>
              <w:jc w:val="center"/>
              <w:rPr>
                <w:rFonts w:ascii="Calibri" w:eastAsia="Calibri" w:hAnsi="Calibri" w:cs="Arial"/>
                <w:sz w:val="18"/>
                <w:szCs w:val="18"/>
              </w:rPr>
            </w:pPr>
          </w:p>
        </w:tc>
      </w:tr>
      <w:tr w:rsidR="009373D2" w:rsidRPr="00A65AC8" w:rsidTr="00B83968">
        <w:trPr>
          <w:trHeight w:val="267"/>
          <w:jc w:val="center"/>
        </w:trPr>
        <w:tc>
          <w:tcPr>
            <w:tcW w:w="9918" w:type="dxa"/>
            <w:gridSpan w:val="8"/>
            <w:shd w:val="clear" w:color="auto" w:fill="D9D9D9" w:themeFill="background1" w:themeFillShade="D9"/>
          </w:tcPr>
          <w:p w:rsidR="009373D2" w:rsidRPr="00A65AC8" w:rsidRDefault="009373D2" w:rsidP="00B83968">
            <w:pPr>
              <w:jc w:val="center"/>
              <w:rPr>
                <w:rFonts w:ascii="Calibri" w:eastAsia="Calibri" w:hAnsi="Calibri" w:cs="Arial"/>
                <w:sz w:val="16"/>
                <w:szCs w:val="16"/>
              </w:rPr>
            </w:pPr>
            <w:r w:rsidRPr="00A65AC8">
              <w:rPr>
                <w:rFonts w:ascii="Calibri" w:eastAsia="Calibri" w:hAnsi="Calibri" w:cs="Times New Roman"/>
                <w:b/>
                <w:color w:val="000000"/>
                <w:sz w:val="16"/>
                <w:szCs w:val="16"/>
              </w:rPr>
              <w:t>CARDIOVASCULAR RISK</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HYPERTENTION (YES)</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23(100%)</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 (92%)</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0.49</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SMOKING (NO)</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21 (91%)</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21 (88%)</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0.61</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BMI (kg/m</w:t>
            </w:r>
            <w:r w:rsidRPr="00A65AC8">
              <w:rPr>
                <w:rFonts w:ascii="Calibri" w:eastAsia="Calibri" w:hAnsi="Calibri" w:cs="Times New Roman"/>
                <w:b/>
                <w:color w:val="000000"/>
                <w:sz w:val="16"/>
                <w:szCs w:val="16"/>
                <w:vertAlign w:val="superscript"/>
              </w:rPr>
              <w:t>2</w:t>
            </w:r>
            <w:r w:rsidRPr="00A65AC8">
              <w:rPr>
                <w:rFonts w:ascii="Calibri" w:eastAsia="Calibri" w:hAnsi="Calibri" w:cs="Times New Roman"/>
                <w:b/>
                <w:color w:val="000000"/>
                <w:sz w:val="16"/>
                <w:szCs w:val="16"/>
              </w:rPr>
              <w:t>)</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29(4.7)</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28 (25,33)</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29(4.11)</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29(27,31)</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25</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0.76</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SYSTOLIC BLOOD PRESSURE</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133.7(14.4)</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133(120,139)</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22</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144(22.8)</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140(127,157)</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0.09</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color w:val="000000"/>
                <w:sz w:val="16"/>
                <w:szCs w:val="16"/>
              </w:rPr>
            </w:pPr>
            <w:r w:rsidRPr="00A65AC8">
              <w:rPr>
                <w:rFonts w:ascii="Calibri" w:eastAsia="Calibri" w:hAnsi="Calibri" w:cs="Times New Roman"/>
                <w:b/>
                <w:color w:val="000000"/>
                <w:sz w:val="16"/>
                <w:szCs w:val="16"/>
              </w:rPr>
              <w:t>DIASTOLIC BLOOD PRESSURE</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85.2(11.9)</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82(78,88)</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22</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90.1(13.8)</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89(79,100)</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0.21</w:t>
            </w:r>
          </w:p>
        </w:tc>
      </w:tr>
      <w:tr w:rsidR="009373D2" w:rsidRPr="00A65AC8" w:rsidTr="00B83968">
        <w:trPr>
          <w:trHeight w:val="267"/>
          <w:jc w:val="center"/>
        </w:trPr>
        <w:tc>
          <w:tcPr>
            <w:tcW w:w="9918" w:type="dxa"/>
            <w:gridSpan w:val="8"/>
            <w:shd w:val="clear" w:color="auto" w:fill="D9D9D9" w:themeFill="background1" w:themeFillShade="D9"/>
          </w:tcPr>
          <w:p w:rsidR="009373D2" w:rsidRPr="00A65AC8" w:rsidRDefault="009373D2" w:rsidP="00B83968">
            <w:pPr>
              <w:jc w:val="center"/>
              <w:rPr>
                <w:rFonts w:ascii="Calibri" w:eastAsia="Calibri" w:hAnsi="Calibri" w:cs="Arial"/>
                <w:sz w:val="16"/>
                <w:szCs w:val="16"/>
              </w:rPr>
            </w:pPr>
            <w:r w:rsidRPr="00A65AC8">
              <w:rPr>
                <w:rFonts w:ascii="Calibri" w:eastAsia="Calibri" w:hAnsi="Calibri" w:cs="Times New Roman"/>
                <w:b/>
                <w:color w:val="000000"/>
                <w:sz w:val="16"/>
                <w:szCs w:val="16"/>
              </w:rPr>
              <w:t>LABORATORY VALUES</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CALCIUM (</w:t>
            </w:r>
            <w:proofErr w:type="spellStart"/>
            <w:r w:rsidRPr="00A65AC8">
              <w:rPr>
                <w:rFonts w:ascii="Calibri" w:eastAsia="Calibri" w:hAnsi="Calibri" w:cs="Times New Roman"/>
                <w:b/>
                <w:sz w:val="16"/>
                <w:szCs w:val="16"/>
              </w:rPr>
              <w:t>mmol</w:t>
            </w:r>
            <w:proofErr w:type="spellEnd"/>
            <w:r w:rsidRPr="00A65AC8">
              <w:rPr>
                <w:rFonts w:ascii="Calibri" w:eastAsia="Calibri" w:hAnsi="Calibri" w:cs="Times New Roman"/>
                <w:b/>
                <w:sz w:val="16"/>
                <w:szCs w:val="16"/>
              </w:rPr>
              <w:t>/L)</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2.37(0.11)</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2.35(2.29,2.44)</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22</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2.4(0.11)</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2.38(2.36,2.49)</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20</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0.37</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PHOSPHATE (</w:t>
            </w:r>
            <w:proofErr w:type="spellStart"/>
            <w:r w:rsidRPr="00A65AC8">
              <w:rPr>
                <w:rFonts w:ascii="Calibri" w:eastAsia="Calibri" w:hAnsi="Calibri" w:cs="Times New Roman"/>
                <w:b/>
                <w:sz w:val="16"/>
                <w:szCs w:val="16"/>
              </w:rPr>
              <w:t>mmol</w:t>
            </w:r>
            <w:proofErr w:type="spellEnd"/>
            <w:r w:rsidRPr="00A65AC8">
              <w:rPr>
                <w:rFonts w:ascii="Calibri" w:eastAsia="Calibri" w:hAnsi="Calibri" w:cs="Times New Roman"/>
                <w:b/>
                <w:sz w:val="16"/>
                <w:szCs w:val="16"/>
              </w:rPr>
              <w:t>/L)</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1.07(0.29)</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1.1(1,1.2)</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22</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1.15(0.17)</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1.14(1,1.3)</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20</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0.42</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PARATHYROID HORMONE(</w:t>
            </w:r>
            <w:proofErr w:type="spellStart"/>
            <w:r w:rsidRPr="00A65AC8">
              <w:rPr>
                <w:rFonts w:ascii="Calibri" w:eastAsia="Calibri" w:hAnsi="Calibri" w:cs="Times New Roman"/>
                <w:b/>
                <w:sz w:val="16"/>
                <w:szCs w:val="16"/>
              </w:rPr>
              <w:t>pmol</w:t>
            </w:r>
            <w:proofErr w:type="spellEnd"/>
            <w:r w:rsidRPr="00A65AC8">
              <w:rPr>
                <w:rFonts w:ascii="Calibri" w:eastAsia="Calibri" w:hAnsi="Calibri" w:cs="Times New Roman"/>
                <w:b/>
                <w:sz w:val="16"/>
                <w:szCs w:val="16"/>
              </w:rPr>
              <w:t>/L)</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10.5(6.9)</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9(6.8,11.7)</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20</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12.1(9.4)</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8.9(5.8,14.9)</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16</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0.90</w:t>
            </w:r>
          </w:p>
        </w:tc>
      </w:tr>
      <w:tr w:rsidR="009373D2" w:rsidRPr="00A65AC8" w:rsidTr="00B83968">
        <w:trPr>
          <w:trHeight w:val="267"/>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VITAMIN D SCREENING (</w:t>
            </w:r>
            <w:proofErr w:type="spellStart"/>
            <w:r w:rsidRPr="00A65AC8">
              <w:rPr>
                <w:rFonts w:ascii="Calibri" w:eastAsia="Calibri" w:hAnsi="Calibri" w:cs="Times New Roman"/>
                <w:b/>
                <w:sz w:val="16"/>
                <w:szCs w:val="16"/>
              </w:rPr>
              <w:t>nmol</w:t>
            </w:r>
            <w:proofErr w:type="spellEnd"/>
            <w:r w:rsidRPr="00A65AC8">
              <w:rPr>
                <w:rFonts w:ascii="Calibri" w:eastAsia="Calibri" w:hAnsi="Calibri" w:cs="Times New Roman"/>
                <w:b/>
                <w:sz w:val="16"/>
                <w:szCs w:val="16"/>
              </w:rPr>
              <w:t>/L)</w:t>
            </w:r>
          </w:p>
        </w:tc>
        <w:tc>
          <w:tcPr>
            <w:tcW w:w="1134"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44.5</w:t>
            </w:r>
            <w:r w:rsidRPr="00A65AC8">
              <w:rPr>
                <w:rFonts w:ascii="Calibri" w:eastAsia="Calibri" w:hAnsi="Calibri" w:cs="Times New Roman"/>
                <w:color w:val="000000"/>
                <w:sz w:val="18"/>
                <w:szCs w:val="18"/>
              </w:rPr>
              <w:t>(</w:t>
            </w:r>
            <w:r w:rsidRPr="00A65AC8">
              <w:rPr>
                <w:rFonts w:ascii="Calibri" w:eastAsia="Calibri" w:hAnsi="Calibri" w:cs="Times New Roman"/>
                <w:sz w:val="18"/>
                <w:szCs w:val="18"/>
              </w:rPr>
              <w:t>20.45</w:t>
            </w:r>
            <w:r w:rsidRPr="00A65AC8">
              <w:rPr>
                <w:rFonts w:ascii="Calibri" w:eastAsia="Calibri" w:hAnsi="Calibri" w:cs="Times New Roman"/>
                <w:color w:val="000000"/>
                <w:sz w:val="18"/>
                <w:szCs w:val="18"/>
              </w:rPr>
              <w:t>)</w:t>
            </w:r>
          </w:p>
        </w:tc>
        <w:tc>
          <w:tcPr>
            <w:tcW w:w="1276"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49.5(29,64)</w:t>
            </w:r>
          </w:p>
        </w:tc>
        <w:tc>
          <w:tcPr>
            <w:tcW w:w="860"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18</w:t>
            </w:r>
          </w:p>
        </w:tc>
        <w:tc>
          <w:tcPr>
            <w:tcW w:w="1124"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42.75</w:t>
            </w:r>
            <w:r w:rsidRPr="00A65AC8">
              <w:rPr>
                <w:rFonts w:ascii="Calibri" w:eastAsia="Calibri" w:hAnsi="Calibri" w:cs="Times New Roman"/>
                <w:color w:val="000000"/>
                <w:sz w:val="18"/>
                <w:szCs w:val="18"/>
              </w:rPr>
              <w:t>(</w:t>
            </w:r>
            <w:r w:rsidRPr="00A65AC8">
              <w:rPr>
                <w:rFonts w:ascii="Calibri" w:eastAsia="Calibri" w:hAnsi="Calibri" w:cs="Times New Roman"/>
                <w:sz w:val="18"/>
                <w:szCs w:val="18"/>
              </w:rPr>
              <w:t>17.83</w:t>
            </w:r>
            <w:r w:rsidRPr="00A65AC8">
              <w:rPr>
                <w:rFonts w:ascii="Calibri" w:eastAsia="Calibri" w:hAnsi="Calibri" w:cs="Times New Roman"/>
                <w:color w:val="000000"/>
                <w:sz w:val="18"/>
                <w:szCs w:val="18"/>
              </w:rPr>
              <w:t>)</w:t>
            </w:r>
          </w:p>
        </w:tc>
        <w:tc>
          <w:tcPr>
            <w:tcW w:w="1559"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39.50</w:t>
            </w:r>
            <w:r w:rsidRPr="00A65AC8">
              <w:rPr>
                <w:rFonts w:ascii="Calibri" w:eastAsia="Calibri" w:hAnsi="Calibri" w:cs="Times New Roman"/>
                <w:color w:val="000000"/>
                <w:sz w:val="18"/>
                <w:szCs w:val="18"/>
              </w:rPr>
              <w:t>(</w:t>
            </w:r>
            <w:r w:rsidRPr="00A65AC8">
              <w:rPr>
                <w:rFonts w:ascii="Calibri" w:eastAsia="Calibri" w:hAnsi="Calibri" w:cs="Times New Roman"/>
                <w:sz w:val="18"/>
                <w:szCs w:val="18"/>
              </w:rPr>
              <w:t>28.50,59.50</w:t>
            </w:r>
            <w:r w:rsidRPr="00A65AC8">
              <w:rPr>
                <w:rFonts w:ascii="Calibri" w:eastAsia="Calibri" w:hAnsi="Calibri" w:cs="Times New Roman"/>
                <w:color w:val="000000"/>
                <w:sz w:val="18"/>
                <w:szCs w:val="18"/>
              </w:rPr>
              <w:t>)</w:t>
            </w:r>
          </w:p>
        </w:tc>
        <w:tc>
          <w:tcPr>
            <w:tcW w:w="709" w:type="dxa"/>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sz w:val="18"/>
                <w:szCs w:val="18"/>
              </w:rPr>
              <w:t>20</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0.95</w:t>
            </w:r>
          </w:p>
        </w:tc>
      </w:tr>
      <w:tr w:rsidR="009373D2" w:rsidRPr="00A65AC8" w:rsidTr="00B83968">
        <w:trPr>
          <w:trHeight w:val="156"/>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VITAMIN D BASELINE (</w:t>
            </w:r>
            <w:proofErr w:type="spellStart"/>
            <w:r w:rsidRPr="00A65AC8">
              <w:rPr>
                <w:rFonts w:ascii="Calibri" w:eastAsia="Calibri" w:hAnsi="Calibri" w:cs="Times New Roman"/>
                <w:b/>
                <w:sz w:val="16"/>
                <w:szCs w:val="16"/>
              </w:rPr>
              <w:t>nmol</w:t>
            </w:r>
            <w:proofErr w:type="spellEnd"/>
            <w:r w:rsidRPr="00A65AC8">
              <w:rPr>
                <w:rFonts w:ascii="Calibri" w:eastAsia="Calibri" w:hAnsi="Calibri" w:cs="Times New Roman"/>
                <w:b/>
                <w:sz w:val="16"/>
                <w:szCs w:val="16"/>
              </w:rPr>
              <w:t>/L)</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45.95(26.24)</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49(19.5,64.5)</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20</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36.67(17.41)</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35(22,47)</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15</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0.22</w:t>
            </w:r>
          </w:p>
        </w:tc>
      </w:tr>
      <w:tr w:rsidR="009373D2" w:rsidRPr="00A65AC8" w:rsidTr="00B83968">
        <w:trPr>
          <w:trHeight w:val="252"/>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HAEMOGLOBIN (g/</w:t>
            </w:r>
            <w:proofErr w:type="spellStart"/>
            <w:r w:rsidRPr="00A65AC8">
              <w:rPr>
                <w:rFonts w:ascii="Calibri" w:eastAsia="Calibri" w:hAnsi="Calibri" w:cs="Times New Roman"/>
                <w:b/>
                <w:sz w:val="16"/>
                <w:szCs w:val="16"/>
              </w:rPr>
              <w:t>dL</w:t>
            </w:r>
            <w:proofErr w:type="spellEnd"/>
            <w:r w:rsidRPr="00A65AC8">
              <w:rPr>
                <w:rFonts w:ascii="Calibri" w:eastAsia="Calibri" w:hAnsi="Calibri" w:cs="Times New Roman"/>
                <w:b/>
                <w:sz w:val="16"/>
                <w:szCs w:val="16"/>
              </w:rPr>
              <w:t>)</w:t>
            </w:r>
          </w:p>
        </w:tc>
        <w:tc>
          <w:tcPr>
            <w:tcW w:w="1134"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12.84(1.03)</w:t>
            </w:r>
          </w:p>
        </w:tc>
        <w:tc>
          <w:tcPr>
            <w:tcW w:w="1276"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12.75(12.1,13.8)</w:t>
            </w:r>
          </w:p>
        </w:tc>
        <w:tc>
          <w:tcPr>
            <w:tcW w:w="860"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22</w:t>
            </w:r>
          </w:p>
        </w:tc>
        <w:tc>
          <w:tcPr>
            <w:tcW w:w="1124"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12.89(1.39)</w:t>
            </w:r>
          </w:p>
        </w:tc>
        <w:tc>
          <w:tcPr>
            <w:tcW w:w="1559"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12.8(12.2,13.6)</w:t>
            </w:r>
          </w:p>
        </w:tc>
        <w:tc>
          <w:tcPr>
            <w:tcW w:w="709" w:type="dxa"/>
            <w:vAlign w:val="bottom"/>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Times New Roman"/>
                <w:color w:val="000000"/>
                <w:sz w:val="18"/>
                <w:szCs w:val="18"/>
              </w:rPr>
              <w:t>21</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0.90</w:t>
            </w:r>
          </w:p>
        </w:tc>
      </w:tr>
      <w:tr w:rsidR="009373D2" w:rsidRPr="00A65AC8" w:rsidTr="00B83968">
        <w:trPr>
          <w:trHeight w:val="252"/>
          <w:jc w:val="center"/>
        </w:trPr>
        <w:tc>
          <w:tcPr>
            <w:tcW w:w="2547" w:type="dxa"/>
          </w:tcPr>
          <w:p w:rsidR="009373D2" w:rsidRPr="00A65AC8" w:rsidRDefault="009373D2" w:rsidP="00B83968">
            <w:pPr>
              <w:jc w:val="center"/>
              <w:rPr>
                <w:rFonts w:ascii="Calibri" w:eastAsia="Calibri" w:hAnsi="Calibri" w:cs="Times New Roman"/>
                <w:b/>
                <w:sz w:val="16"/>
                <w:szCs w:val="16"/>
              </w:rPr>
            </w:pPr>
            <w:r w:rsidRPr="00A65AC8">
              <w:rPr>
                <w:rFonts w:ascii="Calibri" w:eastAsia="Calibri" w:hAnsi="Calibri" w:cs="Times New Roman"/>
                <w:b/>
                <w:sz w:val="16"/>
                <w:szCs w:val="16"/>
              </w:rPr>
              <w:t>CREATININE (µ</w:t>
            </w:r>
            <w:proofErr w:type="spellStart"/>
            <w:r w:rsidRPr="00A65AC8">
              <w:rPr>
                <w:rFonts w:ascii="Calibri" w:eastAsia="Calibri" w:hAnsi="Calibri" w:cs="Times New Roman"/>
                <w:b/>
                <w:sz w:val="16"/>
                <w:szCs w:val="16"/>
              </w:rPr>
              <w:t>mol</w:t>
            </w:r>
            <w:proofErr w:type="spellEnd"/>
            <w:r w:rsidRPr="00A65AC8">
              <w:rPr>
                <w:rFonts w:ascii="Calibri" w:eastAsia="Calibri" w:hAnsi="Calibri" w:cs="Times New Roman"/>
                <w:b/>
                <w:sz w:val="16"/>
                <w:szCs w:val="16"/>
              </w:rPr>
              <w:t>/L)</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190.13(72.29)</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169(134,237)</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23</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186.57(51.34)</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173(149,218)</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21</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0.72</w:t>
            </w:r>
          </w:p>
        </w:tc>
      </w:tr>
      <w:tr w:rsidR="009373D2" w:rsidRPr="00A65AC8" w:rsidTr="00B83968">
        <w:trPr>
          <w:trHeight w:val="252"/>
          <w:jc w:val="center"/>
        </w:trPr>
        <w:tc>
          <w:tcPr>
            <w:tcW w:w="2547" w:type="dxa"/>
          </w:tcPr>
          <w:p w:rsidR="009373D2" w:rsidRPr="00A65AC8" w:rsidRDefault="009373D2" w:rsidP="00B83968">
            <w:pPr>
              <w:jc w:val="center"/>
              <w:rPr>
                <w:rFonts w:ascii="Calibri" w:eastAsia="Calibri" w:hAnsi="Calibri" w:cs="Times New Roman"/>
                <w:b/>
                <w:sz w:val="16"/>
                <w:szCs w:val="16"/>
              </w:rPr>
            </w:pPr>
            <w:proofErr w:type="spellStart"/>
            <w:r w:rsidRPr="00A65AC8">
              <w:rPr>
                <w:rFonts w:ascii="Calibri" w:eastAsia="Calibri" w:hAnsi="Calibri" w:cs="Times New Roman"/>
                <w:b/>
                <w:sz w:val="16"/>
                <w:szCs w:val="16"/>
              </w:rPr>
              <w:t>eGFR</w:t>
            </w:r>
            <w:proofErr w:type="spellEnd"/>
            <w:r w:rsidRPr="00A65AC8">
              <w:rPr>
                <w:rFonts w:ascii="Calibri" w:eastAsia="Calibri" w:hAnsi="Calibri" w:cs="Times New Roman"/>
                <w:b/>
                <w:sz w:val="16"/>
                <w:szCs w:val="16"/>
              </w:rPr>
              <w:t xml:space="preserve"> (ml/min/1.73m</w:t>
            </w:r>
            <w:r w:rsidRPr="00A65AC8">
              <w:rPr>
                <w:rFonts w:ascii="Calibri" w:eastAsia="Calibri" w:hAnsi="Calibri" w:cs="Times New Roman"/>
                <w:b/>
                <w:sz w:val="16"/>
                <w:szCs w:val="16"/>
                <w:vertAlign w:val="superscript"/>
              </w:rPr>
              <w:t>2</w:t>
            </w:r>
            <w:r w:rsidRPr="00A65AC8">
              <w:rPr>
                <w:rFonts w:ascii="Calibri" w:eastAsia="Calibri" w:hAnsi="Calibri" w:cs="Times New Roman"/>
                <w:b/>
                <w:sz w:val="16"/>
                <w:szCs w:val="16"/>
              </w:rPr>
              <w:t>)</w:t>
            </w:r>
          </w:p>
        </w:tc>
        <w:tc>
          <w:tcPr>
            <w:tcW w:w="113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34.19(11.25)</w:t>
            </w:r>
          </w:p>
        </w:tc>
        <w:tc>
          <w:tcPr>
            <w:tcW w:w="1276"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36(25,41)</w:t>
            </w:r>
          </w:p>
        </w:tc>
        <w:tc>
          <w:tcPr>
            <w:tcW w:w="860"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21</w:t>
            </w:r>
          </w:p>
        </w:tc>
        <w:tc>
          <w:tcPr>
            <w:tcW w:w="1124"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35.32(10.92)</w:t>
            </w:r>
          </w:p>
        </w:tc>
        <w:tc>
          <w:tcPr>
            <w:tcW w:w="155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36(26,41)</w:t>
            </w:r>
          </w:p>
        </w:tc>
        <w:tc>
          <w:tcPr>
            <w:tcW w:w="709" w:type="dxa"/>
            <w:vAlign w:val="bottom"/>
          </w:tcPr>
          <w:p w:rsidR="009373D2" w:rsidRPr="00A65AC8" w:rsidRDefault="009373D2" w:rsidP="00B83968">
            <w:pPr>
              <w:jc w:val="center"/>
              <w:rPr>
                <w:rFonts w:ascii="Calibri" w:eastAsia="Calibri" w:hAnsi="Calibri" w:cs="Times New Roman"/>
                <w:color w:val="000000"/>
                <w:sz w:val="18"/>
                <w:szCs w:val="18"/>
              </w:rPr>
            </w:pPr>
            <w:r w:rsidRPr="00A65AC8">
              <w:rPr>
                <w:rFonts w:ascii="Calibri" w:eastAsia="Calibri" w:hAnsi="Calibri" w:cs="Times New Roman"/>
                <w:color w:val="000000"/>
                <w:sz w:val="18"/>
                <w:szCs w:val="18"/>
              </w:rPr>
              <w:t>19</w:t>
            </w:r>
          </w:p>
        </w:tc>
        <w:tc>
          <w:tcPr>
            <w:tcW w:w="709"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0.75</w:t>
            </w:r>
          </w:p>
        </w:tc>
      </w:tr>
    </w:tbl>
    <w:p w:rsidR="009373D2" w:rsidRDefault="009373D2" w:rsidP="009373D2">
      <w:pPr>
        <w:spacing w:after="160" w:line="259" w:lineRule="auto"/>
        <w:rPr>
          <w:rFonts w:ascii="Calibri" w:eastAsia="Calibri" w:hAnsi="Calibri" w:cs="Times New Roman"/>
        </w:rPr>
      </w:pPr>
      <w:r>
        <w:rPr>
          <w:rFonts w:ascii="Calibri" w:eastAsia="Calibri" w:hAnsi="Calibri" w:cs="Times New Roman"/>
        </w:rPr>
        <w:t xml:space="preserve">Legend: </w:t>
      </w:r>
      <w:r w:rsidRPr="00A65AC8">
        <w:rPr>
          <w:rFonts w:ascii="Calibri" w:eastAsia="Calibri" w:hAnsi="Calibri" w:cs="Times New Roman"/>
        </w:rPr>
        <w:t xml:space="preserve">The p-values correspond to appropriate two-independent sample tests (chi-squared, t-test or </w:t>
      </w:r>
      <w:proofErr w:type="spellStart"/>
      <w:r w:rsidRPr="00A65AC8">
        <w:rPr>
          <w:rFonts w:ascii="Calibri" w:eastAsia="Calibri" w:hAnsi="Calibri" w:cs="Times New Roman"/>
        </w:rPr>
        <w:t>Kruskal</w:t>
      </w:r>
      <w:proofErr w:type="spellEnd"/>
      <w:r w:rsidRPr="00A65AC8">
        <w:rPr>
          <w:rFonts w:ascii="Calibri" w:eastAsia="Calibri" w:hAnsi="Calibri" w:cs="Times New Roman"/>
        </w:rPr>
        <w:t xml:space="preserve"> Wallis) which evaluated the null hypotheses of no difference between the two treatment groups.</w:t>
      </w:r>
    </w:p>
    <w:p w:rsidR="009373D2" w:rsidRDefault="009373D2" w:rsidP="009373D2">
      <w:pPr>
        <w:spacing w:after="160" w:line="259" w:lineRule="auto"/>
        <w:rPr>
          <w:rFonts w:ascii="Calibri" w:eastAsia="Calibri" w:hAnsi="Calibri" w:cs="Times New Roman"/>
        </w:rPr>
      </w:pPr>
    </w:p>
    <w:p w:rsidR="009373D2" w:rsidRDefault="009373D2" w:rsidP="009373D2">
      <w:pPr>
        <w:spacing w:after="160" w:line="259" w:lineRule="auto"/>
        <w:rPr>
          <w:rFonts w:ascii="Calibri" w:eastAsia="Calibri" w:hAnsi="Calibri" w:cs="Times New Roman"/>
        </w:rPr>
      </w:pPr>
    </w:p>
    <w:p w:rsidR="009373D2" w:rsidRDefault="009373D2" w:rsidP="009373D2">
      <w:pPr>
        <w:spacing w:after="160" w:line="259" w:lineRule="auto"/>
        <w:rPr>
          <w:rFonts w:ascii="Calibri" w:eastAsia="Calibri" w:hAnsi="Calibri" w:cs="Times New Roman"/>
        </w:rPr>
      </w:pPr>
    </w:p>
    <w:p w:rsidR="009373D2" w:rsidRDefault="009373D2" w:rsidP="009373D2">
      <w:pPr>
        <w:spacing w:after="160" w:line="259" w:lineRule="auto"/>
        <w:rPr>
          <w:rFonts w:ascii="Calibri" w:eastAsia="Calibri" w:hAnsi="Calibri" w:cs="Times New Roman"/>
        </w:rPr>
      </w:pPr>
    </w:p>
    <w:p w:rsidR="009373D2" w:rsidRDefault="009373D2" w:rsidP="009373D2">
      <w:pPr>
        <w:rPr>
          <w:rFonts w:ascii="Calibri" w:eastAsia="Calibri" w:hAnsi="Calibri" w:cs="Times New Roman"/>
        </w:rPr>
      </w:pPr>
      <w:r>
        <w:rPr>
          <w:rFonts w:ascii="Calibri" w:eastAsia="Calibri" w:hAnsi="Calibri" w:cs="Times New Roman"/>
        </w:rPr>
        <w:br w:type="page"/>
      </w:r>
    </w:p>
    <w:p w:rsidR="009373D2" w:rsidRPr="00A65AC8" w:rsidRDefault="009373D2" w:rsidP="009373D2">
      <w:pPr>
        <w:spacing w:after="160" w:line="259" w:lineRule="auto"/>
        <w:rPr>
          <w:rFonts w:ascii="Calibri" w:eastAsia="Calibri" w:hAnsi="Calibri" w:cs="Times New Roman"/>
        </w:rPr>
      </w:pPr>
      <w:r w:rsidRPr="00D05631">
        <w:rPr>
          <w:rFonts w:ascii="Calibri" w:eastAsia="Calibri" w:hAnsi="Calibri" w:cs="Times New Roman"/>
          <w:strike/>
        </w:rPr>
        <w:lastRenderedPageBreak/>
        <w:t>Table 2 Baseline raw data summary for clinical outcomes of interest</w:t>
      </w:r>
      <w:r w:rsidR="008E5DBE">
        <w:rPr>
          <w:rFonts w:ascii="Calibri" w:eastAsia="Calibri" w:hAnsi="Calibri" w:cs="Times New Roman"/>
        </w:rPr>
        <w:t xml:space="preserve"> </w:t>
      </w:r>
      <w:r w:rsidR="008E5DBE" w:rsidRPr="008E5DBE">
        <w:rPr>
          <w:rFonts w:ascii="Calibri" w:eastAsia="Calibri" w:hAnsi="Calibri" w:cs="Times New Roman"/>
          <w:color w:val="0070C0"/>
          <w:u w:val="single"/>
        </w:rPr>
        <w:t>(moved to supplementary file)</w:t>
      </w:r>
    </w:p>
    <w:tbl>
      <w:tblPr>
        <w:tblStyle w:val="TableGrid"/>
        <w:tblW w:w="9782" w:type="dxa"/>
        <w:tblInd w:w="-431" w:type="dxa"/>
        <w:tblLayout w:type="fixed"/>
        <w:tblCellMar>
          <w:left w:w="0" w:type="dxa"/>
          <w:right w:w="0" w:type="dxa"/>
        </w:tblCellMar>
        <w:tblLook w:val="04A0" w:firstRow="1" w:lastRow="0" w:firstColumn="1" w:lastColumn="0" w:noHBand="0" w:noVBand="1"/>
      </w:tblPr>
      <w:tblGrid>
        <w:gridCol w:w="1842"/>
        <w:gridCol w:w="1568"/>
        <w:gridCol w:w="1699"/>
        <w:gridCol w:w="708"/>
        <w:gridCol w:w="1275"/>
        <w:gridCol w:w="1699"/>
        <w:gridCol w:w="425"/>
        <w:gridCol w:w="566"/>
      </w:tblGrid>
      <w:tr w:rsidR="009373D2" w:rsidRPr="00D05631" w:rsidTr="00B83968">
        <w:tc>
          <w:tcPr>
            <w:tcW w:w="1842" w:type="dxa"/>
            <w:shd w:val="clear" w:color="auto" w:fill="8DB3E2" w:themeFill="text2" w:themeFillTint="66"/>
          </w:tcPr>
          <w:p w:rsidR="009373D2" w:rsidRPr="00D05631" w:rsidRDefault="009373D2" w:rsidP="00B83968">
            <w:pPr>
              <w:rPr>
                <w:rFonts w:ascii="Calibri" w:eastAsia="Calibri" w:hAnsi="Calibri" w:cs="Times New Roman"/>
                <w:strike/>
                <w:sz w:val="18"/>
                <w:szCs w:val="18"/>
              </w:rPr>
            </w:pPr>
          </w:p>
        </w:tc>
        <w:tc>
          <w:tcPr>
            <w:tcW w:w="3975" w:type="dxa"/>
            <w:gridSpan w:val="3"/>
            <w:shd w:val="clear" w:color="auto" w:fill="8DB3E2" w:themeFill="text2" w:themeFillTint="66"/>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 xml:space="preserve">PLACEBO (N=23) </w:t>
            </w:r>
          </w:p>
        </w:tc>
        <w:tc>
          <w:tcPr>
            <w:tcW w:w="3399" w:type="dxa"/>
            <w:gridSpan w:val="3"/>
            <w:shd w:val="clear" w:color="auto" w:fill="8DB3E2" w:themeFill="text2" w:themeFillTint="66"/>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VITAMIN D (N=25)</w:t>
            </w:r>
          </w:p>
        </w:tc>
        <w:tc>
          <w:tcPr>
            <w:tcW w:w="566" w:type="dxa"/>
            <w:shd w:val="clear" w:color="auto" w:fill="8DB3E2" w:themeFill="text2" w:themeFillTint="66"/>
          </w:tcPr>
          <w:p w:rsidR="009373D2" w:rsidRPr="00D05631" w:rsidRDefault="009373D2" w:rsidP="00B83968">
            <w:pPr>
              <w:rPr>
                <w:rFonts w:ascii="Calibri" w:eastAsia="Calibri" w:hAnsi="Calibri" w:cs="Times New Roman"/>
                <w:strike/>
                <w:sz w:val="18"/>
                <w:szCs w:val="18"/>
              </w:rPr>
            </w:pPr>
          </w:p>
        </w:tc>
      </w:tr>
      <w:tr w:rsidR="009373D2" w:rsidRPr="00D05631" w:rsidTr="00B83968">
        <w:tc>
          <w:tcPr>
            <w:tcW w:w="1842" w:type="dxa"/>
          </w:tcPr>
          <w:p w:rsidR="009373D2" w:rsidRPr="00D05631" w:rsidRDefault="009373D2" w:rsidP="00B83968">
            <w:pPr>
              <w:rPr>
                <w:rFonts w:ascii="Calibri" w:eastAsia="Calibri" w:hAnsi="Calibri" w:cs="Times New Roman"/>
                <w:b/>
                <w:strike/>
                <w:sz w:val="18"/>
                <w:szCs w:val="18"/>
              </w:rPr>
            </w:pPr>
          </w:p>
        </w:tc>
        <w:tc>
          <w:tcPr>
            <w:tcW w:w="1568"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MEAN (SD)</w:t>
            </w:r>
          </w:p>
        </w:tc>
        <w:tc>
          <w:tcPr>
            <w:tcW w:w="1699"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MEDIAN (Q1,Q3)</w:t>
            </w:r>
          </w:p>
        </w:tc>
        <w:tc>
          <w:tcPr>
            <w:tcW w:w="708"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NO</w:t>
            </w:r>
          </w:p>
        </w:tc>
        <w:tc>
          <w:tcPr>
            <w:tcW w:w="1275"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MEAN ( SD)</w:t>
            </w:r>
          </w:p>
        </w:tc>
        <w:tc>
          <w:tcPr>
            <w:tcW w:w="1699"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MEDIAN (Q1,Q3)</w:t>
            </w:r>
          </w:p>
        </w:tc>
        <w:tc>
          <w:tcPr>
            <w:tcW w:w="425"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NO</w:t>
            </w:r>
          </w:p>
        </w:tc>
        <w:tc>
          <w:tcPr>
            <w:tcW w:w="566"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TEST</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LV ED mass (g)</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100.03(29.65)</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93.70(77.70,108.50)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105.31(40.06)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99.05(77.35,114.55)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0.97</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tcPr>
          <w:p w:rsidR="009373D2" w:rsidRPr="00D05631" w:rsidRDefault="009373D2" w:rsidP="00B83968">
            <w:pPr>
              <w:jc w:val="center"/>
              <w:rPr>
                <w:rFonts w:ascii="Calibri" w:eastAsia="Calibri" w:hAnsi="Calibri" w:cs="Times New Roman"/>
                <w:strike/>
                <w:color w:val="000000"/>
                <w:sz w:val="18"/>
                <w:szCs w:val="18"/>
              </w:rPr>
            </w:pPr>
          </w:p>
        </w:tc>
        <w:tc>
          <w:tcPr>
            <w:tcW w:w="1699" w:type="dxa"/>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tcPr>
          <w:p w:rsidR="009373D2" w:rsidRPr="00D05631" w:rsidRDefault="009373D2" w:rsidP="00B83968">
            <w:pPr>
              <w:jc w:val="center"/>
              <w:rPr>
                <w:rFonts w:ascii="Calibri" w:eastAsia="Calibri" w:hAnsi="Calibri" w:cs="Times New Roman"/>
                <w:strike/>
                <w:color w:val="000000"/>
                <w:sz w:val="18"/>
                <w:szCs w:val="18"/>
              </w:rPr>
            </w:pPr>
          </w:p>
        </w:tc>
        <w:tc>
          <w:tcPr>
            <w:tcW w:w="1699" w:type="dxa"/>
          </w:tcPr>
          <w:p w:rsidR="009373D2" w:rsidRPr="00D05631" w:rsidRDefault="009373D2" w:rsidP="00B83968">
            <w:pPr>
              <w:jc w:val="center"/>
              <w:rPr>
                <w:rFonts w:ascii="Calibri" w:eastAsia="Calibri" w:hAnsi="Calibri" w:cs="Times New Roman"/>
                <w:strike/>
                <w:color w:val="000000"/>
                <w:sz w:val="18"/>
                <w:szCs w:val="18"/>
              </w:rPr>
            </w:pPr>
          </w:p>
        </w:tc>
        <w:tc>
          <w:tcPr>
            <w:tcW w:w="425" w:type="dxa"/>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LV ESV (ml)</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51.55(16.66)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52.00(40.10,63.80)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57.27(16.50)</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54.05(46.55,66.05)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0.25</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LV EDV (ml)</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147.80(36.31)</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151.40(129.60,180.80)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149.60(34.06)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146.25(124.15,171.20)</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0.86</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LV EF (%)</w:t>
            </w: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65.37</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5.57</w:t>
            </w:r>
            <w:r w:rsidRPr="00D05631">
              <w:rPr>
                <w:rFonts w:ascii="Calibri" w:eastAsia="Calibri" w:hAnsi="Calibri" w:cs="Times New Roman"/>
                <w:strike/>
                <w:sz w:val="18"/>
                <w:szCs w:val="18"/>
              </w:rPr>
              <w:t>)</w:t>
            </w: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65.2</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62.8,69.3</w:t>
            </w:r>
            <w:r w:rsidRPr="00D05631">
              <w:rPr>
                <w:rFonts w:ascii="Calibri" w:eastAsia="Calibri" w:hAnsi="Calibri" w:cs="Times New Roman"/>
                <w:strike/>
                <w:sz w:val="18"/>
                <w:szCs w:val="18"/>
              </w:rPr>
              <w:t>)</w:t>
            </w: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23</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61.8</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5.43</w:t>
            </w:r>
            <w:r w:rsidRPr="00D05631">
              <w:rPr>
                <w:rFonts w:ascii="Calibri" w:eastAsia="Calibri" w:hAnsi="Calibri" w:cs="Times New Roman"/>
                <w:strike/>
                <w:sz w:val="18"/>
                <w:szCs w:val="18"/>
              </w:rPr>
              <w:t>)</w:t>
            </w: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61.85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57.05,66.1</w:t>
            </w:r>
            <w:r w:rsidRPr="00D05631">
              <w:rPr>
                <w:rFonts w:ascii="Calibri" w:eastAsia="Calibri" w:hAnsi="Calibri" w:cs="Times New Roman"/>
                <w:strike/>
                <w:sz w:val="18"/>
                <w:szCs w:val="18"/>
              </w:rPr>
              <w:t>)</w:t>
            </w: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0.031</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LA area (cm2)</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21.11(3.86)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20.40(19.10,23.80)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22.10(4.74)</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22.50(18.30,25.35)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0.67</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tcPr>
          <w:p w:rsidR="009373D2" w:rsidRPr="00D05631" w:rsidRDefault="009373D2" w:rsidP="00B83968">
            <w:pPr>
              <w:jc w:val="center"/>
              <w:rPr>
                <w:rFonts w:ascii="Calibri" w:eastAsia="Calibri" w:hAnsi="Calibri" w:cs="Times New Roman"/>
                <w:strike/>
                <w:color w:val="000000"/>
                <w:sz w:val="18"/>
                <w:szCs w:val="18"/>
              </w:rPr>
            </w:pPr>
          </w:p>
        </w:tc>
        <w:tc>
          <w:tcPr>
            <w:tcW w:w="1699" w:type="dxa"/>
          </w:tcPr>
          <w:p w:rsidR="009373D2" w:rsidRPr="00D05631" w:rsidRDefault="009373D2" w:rsidP="00B83968">
            <w:pPr>
              <w:jc w:val="center"/>
              <w:rPr>
                <w:rFonts w:ascii="Calibri" w:eastAsia="Calibri" w:hAnsi="Calibri" w:cs="Times New Roman"/>
                <w:strike/>
                <w:color w:val="000000"/>
                <w:sz w:val="18"/>
                <w:szCs w:val="18"/>
              </w:rPr>
            </w:pPr>
          </w:p>
        </w:tc>
        <w:tc>
          <w:tcPr>
            <w:tcW w:w="708" w:type="dxa"/>
          </w:tcPr>
          <w:p w:rsidR="009373D2" w:rsidRPr="00D05631" w:rsidRDefault="009373D2" w:rsidP="00B83968">
            <w:pPr>
              <w:jc w:val="center"/>
              <w:rPr>
                <w:rFonts w:ascii="Calibri" w:eastAsia="Calibri" w:hAnsi="Calibri" w:cs="Times New Roman"/>
                <w:strike/>
                <w:color w:val="000000"/>
                <w:sz w:val="18"/>
                <w:szCs w:val="18"/>
              </w:rPr>
            </w:pPr>
          </w:p>
        </w:tc>
        <w:tc>
          <w:tcPr>
            <w:tcW w:w="1275" w:type="dxa"/>
          </w:tcPr>
          <w:p w:rsidR="009373D2" w:rsidRPr="00D05631" w:rsidRDefault="009373D2" w:rsidP="00B83968">
            <w:pPr>
              <w:jc w:val="center"/>
              <w:rPr>
                <w:rFonts w:ascii="Calibri" w:eastAsia="Calibri" w:hAnsi="Calibri" w:cs="Times New Roman"/>
                <w:strike/>
                <w:color w:val="000000"/>
                <w:sz w:val="18"/>
                <w:szCs w:val="18"/>
              </w:rPr>
            </w:pPr>
          </w:p>
        </w:tc>
        <w:tc>
          <w:tcPr>
            <w:tcW w:w="1699" w:type="dxa"/>
          </w:tcPr>
          <w:p w:rsidR="009373D2" w:rsidRPr="00D05631" w:rsidRDefault="009373D2" w:rsidP="00B83968">
            <w:pPr>
              <w:jc w:val="center"/>
              <w:rPr>
                <w:rFonts w:ascii="Calibri" w:eastAsia="Calibri" w:hAnsi="Calibri" w:cs="Times New Roman"/>
                <w:strike/>
                <w:color w:val="000000"/>
                <w:sz w:val="18"/>
                <w:szCs w:val="18"/>
              </w:rPr>
            </w:pPr>
          </w:p>
        </w:tc>
        <w:tc>
          <w:tcPr>
            <w:tcW w:w="425" w:type="dxa"/>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RV EDV (ml)</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156.65(42.48)</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148.70(124.60,194.50)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158.25(49.51)</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149.05(123.50,176.05)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0.85</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RV ESV (ml)</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67.33(26.49)</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63.40(47.00,78.50)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67.05(35.73)</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56.75(50.55,68.05)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0.55</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RV SV (ml)</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89.30(22.97)</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93.90(71.70,102.30)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91.98(23.36)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91.35(74.10,107.65)</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0.69</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p>
        </w:tc>
        <w:tc>
          <w:tcPr>
            <w:tcW w:w="156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8"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69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42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56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RV EF (%)</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57.54(7.96)</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57.90(52.10,63.90)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59.96(6.20)</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61.50(54.95,64.70)</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0.25</w:t>
            </w:r>
          </w:p>
        </w:tc>
      </w:tr>
      <w:tr w:rsidR="009373D2" w:rsidRPr="00D05631" w:rsidTr="00B83968">
        <w:tc>
          <w:tcPr>
            <w:tcW w:w="1842"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Baseline RA AREA (cm2)</w:t>
            </w:r>
          </w:p>
        </w:tc>
        <w:tc>
          <w:tcPr>
            <w:tcW w:w="156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19.87(5.04)</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20.70(16.90,23.20)</w:t>
            </w:r>
          </w:p>
        </w:tc>
        <w:tc>
          <w:tcPr>
            <w:tcW w:w="708"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23</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19.96(3.24)</w:t>
            </w:r>
          </w:p>
        </w:tc>
        <w:tc>
          <w:tcPr>
            <w:tcW w:w="169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19.80(17.50,22.50)</w:t>
            </w:r>
          </w:p>
        </w:tc>
        <w:tc>
          <w:tcPr>
            <w:tcW w:w="42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24</w:t>
            </w:r>
          </w:p>
        </w:tc>
        <w:tc>
          <w:tcPr>
            <w:tcW w:w="56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0.94</w:t>
            </w:r>
          </w:p>
        </w:tc>
      </w:tr>
    </w:tbl>
    <w:p w:rsidR="009373D2" w:rsidRPr="00D05631" w:rsidRDefault="009373D2" w:rsidP="009373D2">
      <w:pPr>
        <w:spacing w:after="160" w:line="259" w:lineRule="auto"/>
        <w:rPr>
          <w:rFonts w:ascii="Calibri" w:eastAsia="Calibri" w:hAnsi="Calibri" w:cs="Times New Roman"/>
          <w:strike/>
        </w:rPr>
      </w:pPr>
      <w:r w:rsidRPr="00D05631">
        <w:rPr>
          <w:rFonts w:ascii="Calibri" w:eastAsia="Calibri" w:hAnsi="Calibri" w:cs="Times New Roman"/>
          <w:strike/>
        </w:rPr>
        <w:t xml:space="preserve">Legend: The p-values correspond to appropriate two-independent sample tests (t-test or </w:t>
      </w:r>
      <w:proofErr w:type="spellStart"/>
      <w:r w:rsidRPr="00D05631">
        <w:rPr>
          <w:rFonts w:ascii="Calibri" w:eastAsia="Calibri" w:hAnsi="Calibri" w:cs="Times New Roman"/>
          <w:strike/>
        </w:rPr>
        <w:t>Kruskal</w:t>
      </w:r>
      <w:proofErr w:type="spellEnd"/>
      <w:r w:rsidRPr="00D05631">
        <w:rPr>
          <w:rFonts w:ascii="Calibri" w:eastAsia="Calibri" w:hAnsi="Calibri" w:cs="Times New Roman"/>
          <w:strike/>
        </w:rPr>
        <w:t xml:space="preserve"> Wallis after checking the normality assumption) which evaluated the generic null hypotheses of no difference between the samples’ distributions corresponding to the two treatment groups. LV ED=left ventricular end diastolic, ESV= end systolic volume, EF=Ejection fraction, LA=left atrial, RA=right atrial </w:t>
      </w:r>
    </w:p>
    <w:p w:rsidR="009373D2" w:rsidRPr="00A65AC8" w:rsidRDefault="009373D2" w:rsidP="009373D2">
      <w:pPr>
        <w:spacing w:after="160" w:line="259" w:lineRule="auto"/>
        <w:rPr>
          <w:rFonts w:ascii="Calibri" w:eastAsia="Calibri" w:hAnsi="Calibri" w:cs="Times New Roman"/>
        </w:rPr>
      </w:pPr>
    </w:p>
    <w:p w:rsidR="009373D2" w:rsidRDefault="009373D2" w:rsidP="009373D2">
      <w:pPr>
        <w:rPr>
          <w:rFonts w:ascii="Calibri" w:eastAsia="Calibri" w:hAnsi="Calibri" w:cs="Times New Roman"/>
        </w:rPr>
      </w:pPr>
      <w:r>
        <w:rPr>
          <w:rFonts w:ascii="Calibri" w:eastAsia="Calibri" w:hAnsi="Calibri" w:cs="Times New Roman"/>
        </w:rPr>
        <w:br w:type="page"/>
      </w:r>
    </w:p>
    <w:p w:rsidR="009373D2" w:rsidRPr="00A65AC8" w:rsidRDefault="009373D2" w:rsidP="009373D2">
      <w:pPr>
        <w:spacing w:after="160" w:line="259" w:lineRule="auto"/>
        <w:rPr>
          <w:rFonts w:ascii="Calibri" w:eastAsia="Calibri" w:hAnsi="Calibri" w:cs="Times New Roman"/>
        </w:rPr>
      </w:pPr>
      <w:r w:rsidRPr="00D05631">
        <w:rPr>
          <w:rFonts w:ascii="Calibri" w:eastAsia="Calibri" w:hAnsi="Calibri" w:cs="Times New Roman"/>
          <w:strike/>
        </w:rPr>
        <w:lastRenderedPageBreak/>
        <w:t>Table 3 Follow up raw data summary for clinical outcomes of interest</w:t>
      </w:r>
      <w:r w:rsidR="008E5DBE">
        <w:rPr>
          <w:rFonts w:ascii="Calibri" w:eastAsia="Calibri" w:hAnsi="Calibri" w:cs="Times New Roman"/>
        </w:rPr>
        <w:t xml:space="preserve"> </w:t>
      </w:r>
      <w:r w:rsidR="008E5DBE" w:rsidRPr="008E5DBE">
        <w:rPr>
          <w:rFonts w:ascii="Calibri" w:eastAsia="Calibri" w:hAnsi="Calibri" w:cs="Times New Roman"/>
          <w:color w:val="0070C0"/>
          <w:u w:val="single"/>
        </w:rPr>
        <w:t>(moved to supplementary file)</w:t>
      </w:r>
    </w:p>
    <w:tbl>
      <w:tblPr>
        <w:tblStyle w:val="TableGrid"/>
        <w:tblW w:w="10093" w:type="dxa"/>
        <w:tblInd w:w="-742" w:type="dxa"/>
        <w:tblCellMar>
          <w:left w:w="0" w:type="dxa"/>
          <w:right w:w="0" w:type="dxa"/>
        </w:tblCellMar>
        <w:tblLook w:val="04A0" w:firstRow="1" w:lastRow="0" w:firstColumn="1" w:lastColumn="0" w:noHBand="0" w:noVBand="1"/>
      </w:tblPr>
      <w:tblGrid>
        <w:gridCol w:w="1986"/>
        <w:gridCol w:w="1275"/>
        <w:gridCol w:w="1729"/>
        <w:gridCol w:w="709"/>
        <w:gridCol w:w="1275"/>
        <w:gridCol w:w="1701"/>
        <w:gridCol w:w="612"/>
        <w:gridCol w:w="806"/>
      </w:tblGrid>
      <w:tr w:rsidR="009373D2" w:rsidRPr="00D05631" w:rsidTr="00B83968">
        <w:tc>
          <w:tcPr>
            <w:tcW w:w="1986" w:type="dxa"/>
            <w:shd w:val="clear" w:color="auto" w:fill="8DB3E2" w:themeFill="text2" w:themeFillTint="66"/>
          </w:tcPr>
          <w:p w:rsidR="009373D2" w:rsidRPr="00D05631" w:rsidRDefault="009373D2" w:rsidP="00B83968">
            <w:pPr>
              <w:rPr>
                <w:rFonts w:ascii="Calibri" w:eastAsia="Calibri" w:hAnsi="Calibri" w:cs="Times New Roman"/>
                <w:strike/>
              </w:rPr>
            </w:pPr>
          </w:p>
        </w:tc>
        <w:tc>
          <w:tcPr>
            <w:tcW w:w="3713" w:type="dxa"/>
            <w:gridSpan w:val="3"/>
            <w:shd w:val="clear" w:color="auto" w:fill="8DB3E2" w:themeFill="text2" w:themeFillTint="66"/>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 xml:space="preserve">PLACEBO (N=23) </w:t>
            </w:r>
          </w:p>
        </w:tc>
        <w:tc>
          <w:tcPr>
            <w:tcW w:w="3588" w:type="dxa"/>
            <w:gridSpan w:val="3"/>
            <w:shd w:val="clear" w:color="auto" w:fill="8DB3E2" w:themeFill="text2" w:themeFillTint="66"/>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VITAMIN D (N=25)</w:t>
            </w:r>
          </w:p>
        </w:tc>
        <w:tc>
          <w:tcPr>
            <w:tcW w:w="806" w:type="dxa"/>
            <w:shd w:val="clear" w:color="auto" w:fill="8DB3E2" w:themeFill="text2" w:themeFillTint="66"/>
          </w:tcPr>
          <w:p w:rsidR="009373D2" w:rsidRPr="00D05631" w:rsidRDefault="009373D2" w:rsidP="00B83968">
            <w:pPr>
              <w:rPr>
                <w:rFonts w:ascii="Calibri" w:eastAsia="Calibri" w:hAnsi="Calibri" w:cs="Times New Roman"/>
                <w:strike/>
              </w:rPr>
            </w:pPr>
          </w:p>
        </w:tc>
      </w:tr>
      <w:tr w:rsidR="009373D2" w:rsidRPr="00D05631" w:rsidTr="00B83968">
        <w:tc>
          <w:tcPr>
            <w:tcW w:w="1986" w:type="dxa"/>
          </w:tcPr>
          <w:p w:rsidR="009373D2" w:rsidRPr="00D05631" w:rsidRDefault="009373D2" w:rsidP="00B83968">
            <w:pPr>
              <w:rPr>
                <w:rFonts w:ascii="Calibri" w:eastAsia="Calibri" w:hAnsi="Calibri" w:cs="Times New Roman"/>
                <w:strike/>
              </w:rPr>
            </w:pPr>
          </w:p>
        </w:tc>
        <w:tc>
          <w:tcPr>
            <w:tcW w:w="1275"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MEAN (SD)</w:t>
            </w:r>
          </w:p>
        </w:tc>
        <w:tc>
          <w:tcPr>
            <w:tcW w:w="1729"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MEDIAN (Q1,Q3)</w:t>
            </w:r>
          </w:p>
        </w:tc>
        <w:tc>
          <w:tcPr>
            <w:tcW w:w="709"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NO</w:t>
            </w:r>
          </w:p>
        </w:tc>
        <w:tc>
          <w:tcPr>
            <w:tcW w:w="1275"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MEAN ( SD)</w:t>
            </w:r>
          </w:p>
        </w:tc>
        <w:tc>
          <w:tcPr>
            <w:tcW w:w="1701"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MEDIAN (Q1,Q3)</w:t>
            </w:r>
          </w:p>
        </w:tc>
        <w:tc>
          <w:tcPr>
            <w:tcW w:w="612"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NO</w:t>
            </w:r>
          </w:p>
        </w:tc>
        <w:tc>
          <w:tcPr>
            <w:tcW w:w="806" w:type="dxa"/>
          </w:tcPr>
          <w:p w:rsidR="009373D2" w:rsidRPr="00D05631" w:rsidRDefault="009373D2" w:rsidP="00B83968">
            <w:pPr>
              <w:jc w:val="center"/>
              <w:rPr>
                <w:rFonts w:ascii="Calibri" w:eastAsia="Calibri" w:hAnsi="Calibri" w:cs="Arial"/>
                <w:b/>
                <w:strike/>
                <w:sz w:val="16"/>
                <w:szCs w:val="16"/>
              </w:rPr>
            </w:pPr>
            <w:r w:rsidRPr="00D05631">
              <w:rPr>
                <w:rFonts w:ascii="Calibri" w:eastAsia="Calibri" w:hAnsi="Calibri" w:cs="Arial"/>
                <w:b/>
                <w:strike/>
                <w:sz w:val="16"/>
                <w:szCs w:val="16"/>
              </w:rPr>
              <w:t>TEST</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LV ED mass (g)</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95.99(26.84)</w:t>
            </w: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93.65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84.1,105.3</w:t>
            </w:r>
            <w:r w:rsidRPr="00D05631">
              <w:rPr>
                <w:rFonts w:ascii="Calibri" w:eastAsia="Calibri" w:hAnsi="Calibri" w:cs="Times New Roman"/>
                <w:strike/>
                <w:sz w:val="18"/>
                <w:szCs w:val="18"/>
              </w:rPr>
              <w:t>)</w:t>
            </w: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22</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108.54</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38.98</w:t>
            </w:r>
            <w:r w:rsidRPr="00D05631">
              <w:rPr>
                <w:rFonts w:ascii="Calibri" w:eastAsia="Calibri" w:hAnsi="Calibri" w:cs="Times New Roman"/>
                <w:strike/>
                <w:sz w:val="18"/>
                <w:szCs w:val="18"/>
              </w:rPr>
              <w:t>)</w:t>
            </w: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101.4</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76.6,128.4</w:t>
            </w:r>
            <w:r w:rsidRPr="00D05631">
              <w:rPr>
                <w:rFonts w:ascii="Calibri" w:eastAsia="Calibri" w:hAnsi="Calibri" w:cs="Times New Roman"/>
                <w:strike/>
                <w:sz w:val="18"/>
                <w:szCs w:val="18"/>
              </w:rPr>
              <w:t>)</w:t>
            </w: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0.28</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LV ESV (ml)</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52.59(17.84)</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50.95(41.30,60.50)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58.81(15.59)</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56.90(50.10,71.10)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0.25</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LV EDV (ml)</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148.92(35.96)</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151.35(124.30,175.00)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153.75(35.57)</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157.55(129.20,176.10)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0.67</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tcPr>
          <w:p w:rsidR="009373D2" w:rsidRPr="00D05631" w:rsidRDefault="009373D2" w:rsidP="00B83968">
            <w:pPr>
              <w:jc w:val="center"/>
              <w:rPr>
                <w:rFonts w:ascii="Calibri" w:eastAsia="Calibri" w:hAnsi="Calibri" w:cs="Times New Roman"/>
                <w:strike/>
                <w:sz w:val="18"/>
                <w:szCs w:val="18"/>
              </w:rPr>
            </w:pPr>
          </w:p>
        </w:tc>
        <w:tc>
          <w:tcPr>
            <w:tcW w:w="1729" w:type="dxa"/>
          </w:tcPr>
          <w:p w:rsidR="009373D2" w:rsidRPr="00D05631" w:rsidRDefault="009373D2" w:rsidP="00B83968">
            <w:pPr>
              <w:jc w:val="center"/>
              <w:rPr>
                <w:rFonts w:ascii="Calibri" w:eastAsia="Calibri" w:hAnsi="Calibri" w:cs="Times New Roman"/>
                <w:strike/>
                <w:sz w:val="18"/>
                <w:szCs w:val="18"/>
              </w:rPr>
            </w:pPr>
          </w:p>
        </w:tc>
        <w:tc>
          <w:tcPr>
            <w:tcW w:w="709" w:type="dxa"/>
          </w:tcPr>
          <w:p w:rsidR="009373D2" w:rsidRPr="00D05631" w:rsidRDefault="009373D2" w:rsidP="00B83968">
            <w:pPr>
              <w:jc w:val="center"/>
              <w:rPr>
                <w:rFonts w:ascii="Calibri" w:eastAsia="Calibri" w:hAnsi="Calibri" w:cs="Times New Roman"/>
                <w:strike/>
                <w:sz w:val="18"/>
                <w:szCs w:val="18"/>
              </w:rPr>
            </w:pPr>
          </w:p>
        </w:tc>
        <w:tc>
          <w:tcPr>
            <w:tcW w:w="1275" w:type="dxa"/>
          </w:tcPr>
          <w:p w:rsidR="009373D2" w:rsidRPr="00D05631" w:rsidRDefault="009373D2" w:rsidP="00B83968">
            <w:pPr>
              <w:jc w:val="center"/>
              <w:rPr>
                <w:rFonts w:ascii="Calibri" w:eastAsia="Calibri" w:hAnsi="Calibri" w:cs="Times New Roman"/>
                <w:strike/>
                <w:sz w:val="18"/>
                <w:szCs w:val="18"/>
              </w:rPr>
            </w:pPr>
          </w:p>
        </w:tc>
        <w:tc>
          <w:tcPr>
            <w:tcW w:w="1701" w:type="dxa"/>
          </w:tcPr>
          <w:p w:rsidR="009373D2" w:rsidRPr="00D05631" w:rsidRDefault="009373D2" w:rsidP="00B83968">
            <w:pPr>
              <w:jc w:val="center"/>
              <w:rPr>
                <w:rFonts w:ascii="Calibri" w:eastAsia="Calibri" w:hAnsi="Calibri" w:cs="Times New Roman"/>
                <w:strike/>
                <w:sz w:val="18"/>
                <w:szCs w:val="18"/>
              </w:rPr>
            </w:pPr>
          </w:p>
        </w:tc>
        <w:tc>
          <w:tcPr>
            <w:tcW w:w="612" w:type="dxa"/>
          </w:tcPr>
          <w:p w:rsidR="009373D2" w:rsidRPr="00D05631" w:rsidRDefault="009373D2" w:rsidP="00B83968">
            <w:pPr>
              <w:jc w:val="center"/>
              <w:rPr>
                <w:rFonts w:ascii="Calibri" w:eastAsia="Calibri" w:hAnsi="Calibri" w:cs="Times New Roman"/>
                <w:strike/>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LV EF (%)</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65.22</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5.62</w:t>
            </w:r>
            <w:r w:rsidRPr="00D05631">
              <w:rPr>
                <w:rFonts w:ascii="Calibri" w:eastAsia="Calibri" w:hAnsi="Calibri" w:cs="Times New Roman"/>
                <w:strike/>
                <w:sz w:val="18"/>
                <w:szCs w:val="18"/>
              </w:rPr>
              <w:t>)</w:t>
            </w: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64.55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62.2,71</w:t>
            </w:r>
            <w:r w:rsidRPr="00D05631">
              <w:rPr>
                <w:rFonts w:ascii="Calibri" w:eastAsia="Calibri" w:hAnsi="Calibri" w:cs="Times New Roman"/>
                <w:strike/>
                <w:sz w:val="18"/>
                <w:szCs w:val="18"/>
              </w:rPr>
              <w:t>)</w:t>
            </w: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22</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61.79</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4.71</w:t>
            </w:r>
            <w:r w:rsidRPr="00D05631">
              <w:rPr>
                <w:rFonts w:ascii="Calibri" w:eastAsia="Calibri" w:hAnsi="Calibri" w:cs="Times New Roman"/>
                <w:strike/>
                <w:sz w:val="18"/>
                <w:szCs w:val="18"/>
              </w:rPr>
              <w:t>)</w:t>
            </w: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60.75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58,65.3</w:t>
            </w:r>
            <w:r w:rsidRPr="00D05631">
              <w:rPr>
                <w:rFonts w:ascii="Calibri" w:eastAsia="Calibri" w:hAnsi="Calibri" w:cs="Times New Roman"/>
                <w:strike/>
                <w:sz w:val="18"/>
                <w:szCs w:val="18"/>
              </w:rPr>
              <w:t>)</w:t>
            </w: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0.043</w:t>
            </w:r>
          </w:p>
        </w:tc>
      </w:tr>
      <w:tr w:rsidR="009373D2" w:rsidRPr="00D05631" w:rsidTr="00B83968">
        <w:tc>
          <w:tcPr>
            <w:tcW w:w="1986" w:type="dxa"/>
          </w:tcPr>
          <w:p w:rsidR="009373D2" w:rsidRPr="00D05631" w:rsidRDefault="009373D2" w:rsidP="00B83968">
            <w:pPr>
              <w:jc w:val="center"/>
              <w:rPr>
                <w:rFonts w:ascii="Calibri" w:eastAsia="Calibri" w:hAnsi="Calibri" w:cs="Calibri"/>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LA area (cm</w:t>
            </w:r>
            <w:r w:rsidRPr="00D05631">
              <w:rPr>
                <w:rFonts w:ascii="Calibri" w:eastAsia="Calibri" w:hAnsi="Calibri" w:cs="Calibri"/>
                <w:b/>
                <w:strike/>
                <w:sz w:val="18"/>
                <w:szCs w:val="18"/>
                <w:vertAlign w:val="superscript"/>
              </w:rPr>
              <w:t>2</w:t>
            </w:r>
            <w:r w:rsidRPr="00D05631">
              <w:rPr>
                <w:rFonts w:ascii="Calibri" w:eastAsia="Calibri" w:hAnsi="Calibri" w:cs="Calibri"/>
                <w:b/>
                <w:strike/>
                <w:sz w:val="18"/>
                <w:szCs w:val="18"/>
              </w:rPr>
              <w:t>)</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21.77</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3.73</w:t>
            </w:r>
            <w:r w:rsidRPr="00D05631">
              <w:rPr>
                <w:rFonts w:ascii="Calibri" w:eastAsia="Calibri" w:hAnsi="Calibri" w:cs="Times New Roman"/>
                <w:strike/>
                <w:sz w:val="18"/>
                <w:szCs w:val="18"/>
              </w:rPr>
              <w:t>)</w:t>
            </w: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21.5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20.6,24.3</w:t>
            </w:r>
            <w:r w:rsidRPr="00D05631">
              <w:rPr>
                <w:rFonts w:ascii="Calibri" w:eastAsia="Calibri" w:hAnsi="Calibri" w:cs="Times New Roman"/>
                <w:strike/>
                <w:sz w:val="18"/>
                <w:szCs w:val="18"/>
              </w:rPr>
              <w:t>)</w:t>
            </w: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22</w:t>
            </w: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22.36</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3.73</w:t>
            </w:r>
            <w:r w:rsidRPr="00D05631">
              <w:rPr>
                <w:rFonts w:ascii="Calibri" w:eastAsia="Calibri" w:hAnsi="Calibri" w:cs="Times New Roman"/>
                <w:strike/>
                <w:sz w:val="18"/>
                <w:szCs w:val="18"/>
              </w:rPr>
              <w:t>)</w:t>
            </w: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22.05</w:t>
            </w:r>
            <w:r w:rsidRPr="00D05631">
              <w:rPr>
                <w:rFonts w:ascii="Calibri" w:eastAsia="Calibri" w:hAnsi="Calibri" w:cs="Times New Roman"/>
                <w:strike/>
                <w:sz w:val="18"/>
                <w:szCs w:val="18"/>
              </w:rPr>
              <w:t>(</w:t>
            </w:r>
            <w:r w:rsidRPr="00D05631">
              <w:rPr>
                <w:rFonts w:ascii="Calibri" w:eastAsia="Calibri" w:hAnsi="Calibri" w:cs="Times New Roman"/>
                <w:strike/>
                <w:color w:val="000000"/>
                <w:sz w:val="18"/>
                <w:szCs w:val="18"/>
              </w:rPr>
              <w:t>19.5,24.7</w:t>
            </w:r>
            <w:r w:rsidRPr="00D05631">
              <w:rPr>
                <w:rFonts w:ascii="Calibri" w:eastAsia="Calibri" w:hAnsi="Calibri" w:cs="Times New Roman"/>
                <w:strike/>
                <w:sz w:val="18"/>
                <w:szCs w:val="18"/>
              </w:rPr>
              <w:t>)</w:t>
            </w: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color w:val="000000"/>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0.63</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tcPr>
          <w:p w:rsidR="009373D2" w:rsidRPr="00D05631" w:rsidRDefault="009373D2" w:rsidP="00B83968">
            <w:pPr>
              <w:rPr>
                <w:rFonts w:ascii="Calibri" w:eastAsia="Calibri" w:hAnsi="Calibri" w:cs="Times New Roman"/>
                <w:strike/>
              </w:rPr>
            </w:pPr>
          </w:p>
        </w:tc>
        <w:tc>
          <w:tcPr>
            <w:tcW w:w="1729" w:type="dxa"/>
          </w:tcPr>
          <w:p w:rsidR="009373D2" w:rsidRPr="00D05631" w:rsidRDefault="009373D2" w:rsidP="00B83968">
            <w:pPr>
              <w:rPr>
                <w:rFonts w:ascii="Calibri" w:eastAsia="Calibri" w:hAnsi="Calibri" w:cs="Times New Roman"/>
                <w:strike/>
              </w:rPr>
            </w:pPr>
          </w:p>
        </w:tc>
        <w:tc>
          <w:tcPr>
            <w:tcW w:w="709" w:type="dxa"/>
          </w:tcPr>
          <w:p w:rsidR="009373D2" w:rsidRPr="00D05631" w:rsidRDefault="009373D2" w:rsidP="00B83968">
            <w:pPr>
              <w:rPr>
                <w:rFonts w:ascii="Calibri" w:eastAsia="Calibri" w:hAnsi="Calibri" w:cs="Times New Roman"/>
                <w:strike/>
              </w:rPr>
            </w:pPr>
          </w:p>
        </w:tc>
        <w:tc>
          <w:tcPr>
            <w:tcW w:w="1275" w:type="dxa"/>
          </w:tcPr>
          <w:p w:rsidR="009373D2" w:rsidRPr="00D05631" w:rsidRDefault="009373D2" w:rsidP="00B83968">
            <w:pPr>
              <w:rPr>
                <w:rFonts w:ascii="Calibri" w:eastAsia="Calibri" w:hAnsi="Calibri" w:cs="Times New Roman"/>
                <w:strike/>
              </w:rPr>
            </w:pPr>
          </w:p>
        </w:tc>
        <w:tc>
          <w:tcPr>
            <w:tcW w:w="1701" w:type="dxa"/>
          </w:tcPr>
          <w:p w:rsidR="009373D2" w:rsidRPr="00D05631" w:rsidRDefault="009373D2" w:rsidP="00B83968">
            <w:pPr>
              <w:rPr>
                <w:rFonts w:ascii="Calibri" w:eastAsia="Calibri" w:hAnsi="Calibri" w:cs="Times New Roman"/>
                <w:strike/>
              </w:rPr>
            </w:pPr>
          </w:p>
        </w:tc>
        <w:tc>
          <w:tcPr>
            <w:tcW w:w="612" w:type="dxa"/>
          </w:tcPr>
          <w:p w:rsidR="009373D2" w:rsidRPr="00D05631" w:rsidRDefault="009373D2" w:rsidP="00B83968">
            <w:pPr>
              <w:rPr>
                <w:rFonts w:ascii="Calibri" w:eastAsia="Calibri" w:hAnsi="Calibri" w:cs="Times New Roman"/>
                <w:strike/>
              </w:rPr>
            </w:pPr>
          </w:p>
        </w:tc>
        <w:tc>
          <w:tcPr>
            <w:tcW w:w="806" w:type="dxa"/>
          </w:tcPr>
          <w:p w:rsidR="009373D2" w:rsidRPr="00D05631" w:rsidRDefault="009373D2" w:rsidP="00B83968">
            <w:pPr>
              <w:rPr>
                <w:rFonts w:ascii="Calibri" w:eastAsia="Calibri" w:hAnsi="Calibri" w:cs="Times New Roman"/>
                <w:strike/>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RV EDV (ml)</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160.88(42.81)</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153.30(130.60,202.70)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162.12(38.84)</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156.70(137.00,193.30)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0.92</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RV ESV (ml)</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66.40(26.40)</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61.65(45.70,81.60)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63.58(14.97)</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63.45(50.90,75.10)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0.69</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RV SV (ml)</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95.64(24.56)</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95.85(72.80,111.30)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98.51(33.02)</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90.85(72.40,130.20)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0.75</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2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709"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275"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1701"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612" w:type="dxa"/>
            <w:vAlign w:val="bottom"/>
          </w:tcPr>
          <w:p w:rsidR="009373D2" w:rsidRPr="00D05631" w:rsidRDefault="009373D2" w:rsidP="00B83968">
            <w:pPr>
              <w:jc w:val="center"/>
              <w:rPr>
                <w:rFonts w:ascii="Calibri" w:eastAsia="Calibri" w:hAnsi="Calibri" w:cs="Times New Roman"/>
                <w:strike/>
                <w:color w:val="000000"/>
                <w:sz w:val="18"/>
                <w:szCs w:val="18"/>
              </w:rPr>
            </w:pPr>
          </w:p>
        </w:tc>
        <w:tc>
          <w:tcPr>
            <w:tcW w:w="806" w:type="dxa"/>
          </w:tcPr>
          <w:p w:rsidR="009373D2" w:rsidRPr="00D05631" w:rsidRDefault="009373D2" w:rsidP="00B83968">
            <w:pPr>
              <w:jc w:val="center"/>
              <w:rPr>
                <w:rFonts w:ascii="Calibri" w:eastAsia="Calibri" w:hAnsi="Calibri" w:cs="Arial"/>
                <w:strike/>
                <w:sz w:val="18"/>
                <w:szCs w:val="18"/>
              </w:rPr>
            </w:pP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RV EF (%)</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59.94(7.02)</w:t>
            </w:r>
          </w:p>
        </w:tc>
        <w:tc>
          <w:tcPr>
            <w:tcW w:w="172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60.45(55.00,64.50)</w:t>
            </w:r>
          </w:p>
        </w:tc>
        <w:tc>
          <w:tcPr>
            <w:tcW w:w="709"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59.85(8.66)</w:t>
            </w:r>
          </w:p>
        </w:tc>
        <w:tc>
          <w:tcPr>
            <w:tcW w:w="1701"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62.30(53.70,66.90)</w:t>
            </w:r>
          </w:p>
        </w:tc>
        <w:tc>
          <w:tcPr>
            <w:tcW w:w="612" w:type="dxa"/>
          </w:tcPr>
          <w:p w:rsidR="009373D2" w:rsidRPr="00D05631" w:rsidRDefault="009373D2" w:rsidP="00B83968">
            <w:pPr>
              <w:jc w:val="center"/>
              <w:rPr>
                <w:rFonts w:ascii="Calibri" w:eastAsia="Calibri" w:hAnsi="Calibri" w:cs="Times New Roman"/>
                <w:strike/>
                <w:color w:val="000000"/>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0.97</w:t>
            </w:r>
          </w:p>
        </w:tc>
      </w:tr>
      <w:tr w:rsidR="009373D2" w:rsidRPr="00D05631" w:rsidTr="00B83968">
        <w:tc>
          <w:tcPr>
            <w:tcW w:w="1986" w:type="dxa"/>
          </w:tcPr>
          <w:p w:rsidR="009373D2" w:rsidRPr="00D05631" w:rsidRDefault="009373D2" w:rsidP="00B83968">
            <w:pPr>
              <w:jc w:val="center"/>
              <w:rPr>
                <w:rFonts w:ascii="Calibri" w:eastAsia="Calibri" w:hAnsi="Calibri" w:cs="Arial"/>
                <w:b/>
                <w:strike/>
                <w:sz w:val="18"/>
                <w:szCs w:val="18"/>
              </w:rPr>
            </w:pPr>
            <w:r w:rsidRPr="00D05631">
              <w:rPr>
                <w:rFonts w:ascii="Calibri" w:eastAsia="Calibri" w:hAnsi="Calibri" w:cs="Calibri"/>
                <w:b/>
                <w:strike/>
                <w:sz w:val="18"/>
                <w:szCs w:val="18"/>
              </w:rPr>
              <w:t>Follow up RA AREA (cm</w:t>
            </w:r>
            <w:r w:rsidRPr="00D05631">
              <w:rPr>
                <w:rFonts w:ascii="Calibri" w:eastAsia="Calibri" w:hAnsi="Calibri" w:cs="Calibri"/>
                <w:b/>
                <w:strike/>
                <w:sz w:val="18"/>
                <w:szCs w:val="18"/>
                <w:vertAlign w:val="superscript"/>
              </w:rPr>
              <w:t>2</w:t>
            </w:r>
            <w:r w:rsidRPr="00D05631">
              <w:rPr>
                <w:rFonts w:ascii="Calibri" w:eastAsia="Calibri" w:hAnsi="Calibri" w:cs="Calibri"/>
                <w:b/>
                <w:strike/>
                <w:sz w:val="18"/>
                <w:szCs w:val="18"/>
              </w:rPr>
              <w:t>)</w:t>
            </w:r>
          </w:p>
        </w:tc>
        <w:tc>
          <w:tcPr>
            <w:tcW w:w="1275"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19.86(4.84)</w:t>
            </w:r>
          </w:p>
        </w:tc>
        <w:tc>
          <w:tcPr>
            <w:tcW w:w="1729"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20.35(16.30,23.10)</w:t>
            </w:r>
          </w:p>
        </w:tc>
        <w:tc>
          <w:tcPr>
            <w:tcW w:w="709"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22</w:t>
            </w:r>
          </w:p>
        </w:tc>
        <w:tc>
          <w:tcPr>
            <w:tcW w:w="1275"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20.46(4.11)</w:t>
            </w:r>
          </w:p>
        </w:tc>
        <w:tc>
          <w:tcPr>
            <w:tcW w:w="1701"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19.70(17.90,22.80)</w:t>
            </w:r>
          </w:p>
        </w:tc>
        <w:tc>
          <w:tcPr>
            <w:tcW w:w="612" w:type="dxa"/>
          </w:tcPr>
          <w:p w:rsidR="009373D2" w:rsidRPr="00D05631" w:rsidRDefault="009373D2" w:rsidP="00B83968">
            <w:pPr>
              <w:jc w:val="center"/>
              <w:rPr>
                <w:rFonts w:ascii="Calibri" w:eastAsia="Calibri" w:hAnsi="Calibri" w:cs="Times New Roman"/>
                <w:strike/>
                <w:sz w:val="18"/>
                <w:szCs w:val="18"/>
              </w:rPr>
            </w:pPr>
            <w:r w:rsidRPr="00D05631">
              <w:rPr>
                <w:rFonts w:ascii="Calibri" w:eastAsia="Calibri" w:hAnsi="Calibri" w:cs="Times New Roman"/>
                <w:strike/>
                <w:sz w:val="18"/>
                <w:szCs w:val="18"/>
              </w:rPr>
              <w:t>18</w:t>
            </w:r>
          </w:p>
        </w:tc>
        <w:tc>
          <w:tcPr>
            <w:tcW w:w="806" w:type="dxa"/>
          </w:tcPr>
          <w:p w:rsidR="009373D2" w:rsidRPr="00D05631" w:rsidRDefault="009373D2" w:rsidP="00B83968">
            <w:pPr>
              <w:jc w:val="center"/>
              <w:rPr>
                <w:rFonts w:ascii="Calibri" w:eastAsia="Calibri" w:hAnsi="Calibri" w:cs="Arial"/>
                <w:strike/>
                <w:sz w:val="18"/>
                <w:szCs w:val="18"/>
              </w:rPr>
            </w:pPr>
            <w:r w:rsidRPr="00D05631">
              <w:rPr>
                <w:rFonts w:ascii="Calibri" w:eastAsia="Calibri" w:hAnsi="Calibri" w:cs="Arial"/>
                <w:strike/>
                <w:sz w:val="18"/>
                <w:szCs w:val="18"/>
              </w:rPr>
              <w:t>0.68</w:t>
            </w:r>
          </w:p>
        </w:tc>
      </w:tr>
    </w:tbl>
    <w:p w:rsidR="009373D2" w:rsidRPr="00D05631" w:rsidRDefault="009373D2" w:rsidP="009373D2">
      <w:pPr>
        <w:spacing w:after="160" w:line="259" w:lineRule="auto"/>
        <w:rPr>
          <w:rFonts w:ascii="Calibri" w:eastAsia="Calibri" w:hAnsi="Calibri" w:cs="Times New Roman"/>
          <w:strike/>
        </w:rPr>
      </w:pPr>
      <w:r w:rsidRPr="00D05631">
        <w:rPr>
          <w:rFonts w:ascii="Calibri" w:eastAsia="Calibri" w:hAnsi="Calibri" w:cs="Times New Roman"/>
          <w:strike/>
        </w:rPr>
        <w:t xml:space="preserve">Legend: The p-values correspond to appropriate two-independent sample tests (t-test or </w:t>
      </w:r>
      <w:proofErr w:type="spellStart"/>
      <w:r w:rsidRPr="00D05631">
        <w:rPr>
          <w:rFonts w:ascii="Calibri" w:eastAsia="Calibri" w:hAnsi="Calibri" w:cs="Times New Roman"/>
          <w:strike/>
        </w:rPr>
        <w:t>Kruskal</w:t>
      </w:r>
      <w:proofErr w:type="spellEnd"/>
      <w:r w:rsidRPr="00D05631">
        <w:rPr>
          <w:rFonts w:ascii="Calibri" w:eastAsia="Calibri" w:hAnsi="Calibri" w:cs="Times New Roman"/>
          <w:strike/>
        </w:rPr>
        <w:t xml:space="preserve"> Wallis after checking the normality assumption) which evaluated the null hypotheses of no difference between the two treatment groups. . LV ED=left ventricular end diastolic, ESV= end systolic volume, EF=Ejection fraction, LA=left atrial, RA=right atrial</w:t>
      </w:r>
    </w:p>
    <w:p w:rsidR="009373D2" w:rsidRDefault="009373D2" w:rsidP="009373D2">
      <w:pPr>
        <w:rPr>
          <w:rFonts w:ascii="Calibri" w:eastAsia="Calibri" w:hAnsi="Calibri" w:cs="Times New Roman"/>
        </w:rPr>
      </w:pPr>
      <w:r>
        <w:rPr>
          <w:rFonts w:ascii="Calibri" w:eastAsia="Calibri" w:hAnsi="Calibri" w:cs="Times New Roman"/>
        </w:rPr>
        <w:br w:type="page"/>
      </w:r>
    </w:p>
    <w:p w:rsidR="009373D2" w:rsidRPr="00A65AC8" w:rsidRDefault="00D370E8" w:rsidP="009373D2">
      <w:pPr>
        <w:spacing w:after="160" w:line="259" w:lineRule="auto"/>
        <w:rPr>
          <w:rFonts w:ascii="Calibri" w:eastAsia="Calibri" w:hAnsi="Calibri" w:cs="Times New Roman"/>
        </w:rPr>
      </w:pPr>
      <w:r>
        <w:rPr>
          <w:rFonts w:ascii="Calibri" w:eastAsia="Calibri" w:hAnsi="Calibri" w:cs="Times New Roman"/>
        </w:rPr>
        <w:lastRenderedPageBreak/>
        <w:t>Table 2</w:t>
      </w:r>
      <w:r w:rsidR="009373D2">
        <w:rPr>
          <w:rFonts w:ascii="Calibri" w:eastAsia="Calibri" w:hAnsi="Calibri" w:cs="Times New Roman"/>
        </w:rPr>
        <w:t>:</w:t>
      </w:r>
      <w:r w:rsidR="009373D2" w:rsidRPr="00A65AC8">
        <w:rPr>
          <w:rFonts w:ascii="Calibri" w:eastAsia="Calibri" w:hAnsi="Calibri" w:cs="Times New Roman"/>
        </w:rPr>
        <w:t xml:space="preserve"> Change from the baseline raw data summary fo</w:t>
      </w:r>
      <w:r w:rsidR="009373D2">
        <w:rPr>
          <w:rFonts w:ascii="Calibri" w:eastAsia="Calibri" w:hAnsi="Calibri" w:cs="Times New Roman"/>
        </w:rPr>
        <w:t>r clinical outcomes of interest</w:t>
      </w:r>
    </w:p>
    <w:tbl>
      <w:tblPr>
        <w:tblStyle w:val="TableGrid"/>
        <w:tblW w:w="9082" w:type="dxa"/>
        <w:tblInd w:w="-5" w:type="dxa"/>
        <w:tblLayout w:type="fixed"/>
        <w:tblCellMar>
          <w:left w:w="0" w:type="dxa"/>
          <w:right w:w="0" w:type="dxa"/>
        </w:tblCellMar>
        <w:tblLook w:val="04A0" w:firstRow="1" w:lastRow="0" w:firstColumn="1" w:lastColumn="0" w:noHBand="0" w:noVBand="1"/>
      </w:tblPr>
      <w:tblGrid>
        <w:gridCol w:w="1853"/>
        <w:gridCol w:w="1559"/>
        <w:gridCol w:w="1418"/>
        <w:gridCol w:w="567"/>
        <w:gridCol w:w="992"/>
        <w:gridCol w:w="1418"/>
        <w:gridCol w:w="567"/>
        <w:gridCol w:w="708"/>
      </w:tblGrid>
      <w:tr w:rsidR="009373D2" w:rsidRPr="00A65AC8" w:rsidTr="00B83968">
        <w:tc>
          <w:tcPr>
            <w:tcW w:w="1853" w:type="dxa"/>
            <w:shd w:val="clear" w:color="auto" w:fill="8DB3E2" w:themeFill="text2" w:themeFillTint="66"/>
          </w:tcPr>
          <w:p w:rsidR="009373D2" w:rsidRPr="00A65AC8" w:rsidRDefault="009373D2" w:rsidP="00B83968">
            <w:pPr>
              <w:rPr>
                <w:rFonts w:ascii="Calibri" w:eastAsia="Calibri" w:hAnsi="Calibri" w:cs="Times New Roman"/>
                <w:sz w:val="18"/>
                <w:szCs w:val="18"/>
              </w:rPr>
            </w:pPr>
          </w:p>
        </w:tc>
        <w:tc>
          <w:tcPr>
            <w:tcW w:w="3544" w:type="dxa"/>
            <w:gridSpan w:val="3"/>
            <w:shd w:val="clear" w:color="auto" w:fill="8DB3E2" w:themeFill="text2" w:themeFillTint="66"/>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 xml:space="preserve">PLACEBO (N=23) </w:t>
            </w:r>
          </w:p>
        </w:tc>
        <w:tc>
          <w:tcPr>
            <w:tcW w:w="2977" w:type="dxa"/>
            <w:gridSpan w:val="3"/>
            <w:shd w:val="clear" w:color="auto" w:fill="8DB3E2" w:themeFill="text2" w:themeFillTint="66"/>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VITAMIN D (N=25)</w:t>
            </w:r>
          </w:p>
        </w:tc>
        <w:tc>
          <w:tcPr>
            <w:tcW w:w="708" w:type="dxa"/>
            <w:shd w:val="clear" w:color="auto" w:fill="8DB3E2" w:themeFill="text2" w:themeFillTint="66"/>
          </w:tcPr>
          <w:p w:rsidR="009373D2" w:rsidRPr="00A65AC8" w:rsidRDefault="009373D2" w:rsidP="00B83968">
            <w:pPr>
              <w:jc w:val="center"/>
              <w:rPr>
                <w:rFonts w:ascii="Calibri" w:eastAsia="Calibri" w:hAnsi="Calibri" w:cs="Arial"/>
                <w:b/>
                <w:sz w:val="16"/>
                <w:szCs w:val="16"/>
              </w:rPr>
            </w:pPr>
          </w:p>
        </w:tc>
      </w:tr>
      <w:tr w:rsidR="009373D2" w:rsidRPr="00A65AC8" w:rsidTr="00B83968">
        <w:tc>
          <w:tcPr>
            <w:tcW w:w="1853" w:type="dxa"/>
          </w:tcPr>
          <w:p w:rsidR="009373D2" w:rsidRPr="00A65AC8" w:rsidRDefault="009373D2" w:rsidP="00B83968">
            <w:pPr>
              <w:rPr>
                <w:rFonts w:ascii="Calibri" w:eastAsia="Calibri" w:hAnsi="Calibri" w:cs="Times New Roman"/>
                <w:sz w:val="18"/>
                <w:szCs w:val="18"/>
              </w:rPr>
            </w:pPr>
          </w:p>
        </w:tc>
        <w:tc>
          <w:tcPr>
            <w:tcW w:w="1559"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MEAN (SD)</w:t>
            </w:r>
          </w:p>
        </w:tc>
        <w:tc>
          <w:tcPr>
            <w:tcW w:w="1418"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MEDIAN (Q1,Q3)</w:t>
            </w:r>
          </w:p>
        </w:tc>
        <w:tc>
          <w:tcPr>
            <w:tcW w:w="567"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NO</w:t>
            </w:r>
          </w:p>
        </w:tc>
        <w:tc>
          <w:tcPr>
            <w:tcW w:w="992"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MEAN ( SD)</w:t>
            </w:r>
          </w:p>
        </w:tc>
        <w:tc>
          <w:tcPr>
            <w:tcW w:w="1418"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MEDIAN (Q1,Q3)</w:t>
            </w:r>
          </w:p>
        </w:tc>
        <w:tc>
          <w:tcPr>
            <w:tcW w:w="567"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NO</w:t>
            </w:r>
          </w:p>
        </w:tc>
        <w:tc>
          <w:tcPr>
            <w:tcW w:w="708" w:type="dxa"/>
          </w:tcPr>
          <w:p w:rsidR="009373D2" w:rsidRPr="00A65AC8" w:rsidRDefault="009373D2" w:rsidP="00B83968">
            <w:pPr>
              <w:jc w:val="center"/>
              <w:rPr>
                <w:rFonts w:ascii="Calibri" w:eastAsia="Calibri" w:hAnsi="Calibri" w:cs="Arial"/>
                <w:b/>
                <w:sz w:val="16"/>
                <w:szCs w:val="16"/>
              </w:rPr>
            </w:pPr>
            <w:r w:rsidRPr="00A65AC8">
              <w:rPr>
                <w:rFonts w:ascii="Calibri" w:eastAsia="Calibri" w:hAnsi="Calibri" w:cs="Arial"/>
                <w:b/>
                <w:sz w:val="16"/>
                <w:szCs w:val="16"/>
              </w:rPr>
              <w:t>TEST</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LV ED mass (g)</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-4.54(9.75)</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-4.30(-9.70,2.60)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-1.76(14.03)</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-0.25(-7.20,5.30)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0.47</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LV ESV (ml)</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1.60(10.40)</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4.10(-2.80,6.70)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-1.76(8.29)</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-2.95(-5.50,4.00)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0.26</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LV EDV (ml)</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1.77(21.13)</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1.00(-12.20,12.70)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-1.56(14.11)</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-5.85(-10.30,4.80)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0.57</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LV EF (%)</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-0.37(4.88)</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-1.50(-3.60,3.80)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0.61(4.25)</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0.90(-2.00,2.10)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0.51</w:t>
            </w:r>
          </w:p>
        </w:tc>
      </w:tr>
      <w:tr w:rsidR="009373D2" w:rsidRPr="00A65AC8" w:rsidTr="00B83968">
        <w:tc>
          <w:tcPr>
            <w:tcW w:w="1853" w:type="dxa"/>
          </w:tcPr>
          <w:p w:rsidR="009373D2" w:rsidRPr="00A65AC8" w:rsidRDefault="009373D2" w:rsidP="00B83968">
            <w:pPr>
              <w:jc w:val="center"/>
              <w:rPr>
                <w:rFonts w:ascii="Calibri" w:eastAsia="Calibri" w:hAnsi="Calibri" w:cs="Calibri"/>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LA area (cm2)</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0.79(4.79)</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1.05(-1.30,4.20)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0.88(3.36)</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0.20(-1.30,3.60)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0.51</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color w:val="000000"/>
                <w:sz w:val="18"/>
                <w:szCs w:val="18"/>
              </w:rPr>
            </w:pPr>
          </w:p>
        </w:tc>
        <w:tc>
          <w:tcPr>
            <w:tcW w:w="1418" w:type="dxa"/>
          </w:tcPr>
          <w:p w:rsidR="009373D2" w:rsidRPr="00A65AC8" w:rsidRDefault="009373D2" w:rsidP="00B83968">
            <w:pPr>
              <w:jc w:val="center"/>
              <w:rPr>
                <w:rFonts w:ascii="Calibri" w:eastAsia="Calibri" w:hAnsi="Calibri" w:cs="Times New Roman"/>
                <w:color w:val="000000"/>
                <w:sz w:val="18"/>
                <w:szCs w:val="18"/>
              </w:rPr>
            </w:pPr>
          </w:p>
        </w:tc>
        <w:tc>
          <w:tcPr>
            <w:tcW w:w="567" w:type="dxa"/>
          </w:tcPr>
          <w:p w:rsidR="009373D2" w:rsidRPr="00A65AC8" w:rsidRDefault="009373D2" w:rsidP="00B83968">
            <w:pPr>
              <w:jc w:val="center"/>
              <w:rPr>
                <w:rFonts w:ascii="Calibri" w:eastAsia="Calibri" w:hAnsi="Calibri" w:cs="Times New Roman"/>
                <w:color w:val="000000"/>
                <w:sz w:val="18"/>
                <w:szCs w:val="18"/>
              </w:rPr>
            </w:pPr>
          </w:p>
        </w:tc>
        <w:tc>
          <w:tcPr>
            <w:tcW w:w="992" w:type="dxa"/>
          </w:tcPr>
          <w:p w:rsidR="009373D2" w:rsidRPr="00A65AC8" w:rsidRDefault="009373D2" w:rsidP="00B83968">
            <w:pPr>
              <w:jc w:val="center"/>
              <w:rPr>
                <w:rFonts w:ascii="Calibri" w:eastAsia="Calibri" w:hAnsi="Calibri" w:cs="Times New Roman"/>
                <w:color w:val="000000"/>
                <w:sz w:val="18"/>
                <w:szCs w:val="18"/>
              </w:rPr>
            </w:pPr>
          </w:p>
        </w:tc>
        <w:tc>
          <w:tcPr>
            <w:tcW w:w="1418" w:type="dxa"/>
          </w:tcPr>
          <w:p w:rsidR="009373D2" w:rsidRPr="00A65AC8" w:rsidRDefault="009373D2" w:rsidP="00B83968">
            <w:pPr>
              <w:jc w:val="center"/>
              <w:rPr>
                <w:rFonts w:ascii="Calibri" w:eastAsia="Calibri" w:hAnsi="Calibri" w:cs="Times New Roman"/>
                <w:color w:val="000000"/>
                <w:sz w:val="18"/>
                <w:szCs w:val="18"/>
              </w:rPr>
            </w:pPr>
          </w:p>
        </w:tc>
        <w:tc>
          <w:tcPr>
            <w:tcW w:w="567" w:type="dxa"/>
          </w:tcPr>
          <w:p w:rsidR="009373D2" w:rsidRPr="00A65AC8" w:rsidRDefault="009373D2" w:rsidP="00B83968">
            <w:pPr>
              <w:jc w:val="center"/>
              <w:rPr>
                <w:rFonts w:ascii="Calibri" w:eastAsia="Calibri" w:hAnsi="Calibri" w:cs="Times New Roman"/>
                <w:color w:val="000000"/>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RV EDV (ml)</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4.18(23.38)</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2.45(-5.40,17.00)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3.37(36.05)</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0.15(-13.80,14.20)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0.65</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RV ESV (ml)</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-1.30(16.14)</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0.65(-12.80,6.60)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-7.90(36.77)</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1.95(-12.20,6.20)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0.96</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RV SV (ML)</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6.64(16.18)</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5.50(3.70,18.20)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3.46(18.04)</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1.35(-4.80,4.60)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0.09</w:t>
            </w: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RV EF (%)</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2.58(5.96)</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3.70(-3.40,7.20)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0.06(7.34)</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2.25(-6.10,4.10)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0.25</w:t>
            </w:r>
          </w:p>
        </w:tc>
      </w:tr>
      <w:tr w:rsidR="009373D2" w:rsidRPr="00A65AC8" w:rsidTr="00B83968">
        <w:tc>
          <w:tcPr>
            <w:tcW w:w="1853" w:type="dxa"/>
          </w:tcPr>
          <w:p w:rsidR="009373D2" w:rsidRPr="00A65AC8" w:rsidRDefault="009373D2" w:rsidP="00B83968">
            <w:pPr>
              <w:jc w:val="center"/>
              <w:rPr>
                <w:rFonts w:ascii="Calibri" w:eastAsia="Calibri" w:hAnsi="Calibri" w:cs="Calibri"/>
                <w:b/>
                <w:sz w:val="18"/>
                <w:szCs w:val="18"/>
              </w:rPr>
            </w:pPr>
          </w:p>
        </w:tc>
        <w:tc>
          <w:tcPr>
            <w:tcW w:w="1559"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992" w:type="dxa"/>
          </w:tcPr>
          <w:p w:rsidR="009373D2" w:rsidRPr="00A65AC8" w:rsidRDefault="009373D2" w:rsidP="00B83968">
            <w:pPr>
              <w:jc w:val="center"/>
              <w:rPr>
                <w:rFonts w:ascii="Calibri" w:eastAsia="Calibri" w:hAnsi="Calibri" w:cs="Times New Roman"/>
                <w:sz w:val="18"/>
                <w:szCs w:val="18"/>
              </w:rPr>
            </w:pPr>
          </w:p>
        </w:tc>
        <w:tc>
          <w:tcPr>
            <w:tcW w:w="1418" w:type="dxa"/>
          </w:tcPr>
          <w:p w:rsidR="009373D2" w:rsidRPr="00A65AC8" w:rsidRDefault="009373D2" w:rsidP="00B83968">
            <w:pPr>
              <w:jc w:val="center"/>
              <w:rPr>
                <w:rFonts w:ascii="Calibri" w:eastAsia="Calibri" w:hAnsi="Calibri" w:cs="Times New Roman"/>
                <w:sz w:val="18"/>
                <w:szCs w:val="18"/>
              </w:rPr>
            </w:pPr>
          </w:p>
        </w:tc>
        <w:tc>
          <w:tcPr>
            <w:tcW w:w="567" w:type="dxa"/>
          </w:tcPr>
          <w:p w:rsidR="009373D2" w:rsidRPr="00A65AC8" w:rsidRDefault="009373D2" w:rsidP="00B83968">
            <w:pPr>
              <w:jc w:val="center"/>
              <w:rPr>
                <w:rFonts w:ascii="Calibri" w:eastAsia="Calibri" w:hAnsi="Calibri" w:cs="Times New Roman"/>
                <w:sz w:val="18"/>
                <w:szCs w:val="18"/>
              </w:rPr>
            </w:pPr>
          </w:p>
        </w:tc>
        <w:tc>
          <w:tcPr>
            <w:tcW w:w="708" w:type="dxa"/>
          </w:tcPr>
          <w:p w:rsidR="009373D2" w:rsidRPr="00A65AC8" w:rsidRDefault="009373D2" w:rsidP="00B83968">
            <w:pPr>
              <w:jc w:val="center"/>
              <w:rPr>
                <w:rFonts w:ascii="Calibri" w:eastAsia="Calibri" w:hAnsi="Calibri" w:cs="Arial"/>
                <w:sz w:val="18"/>
                <w:szCs w:val="18"/>
              </w:rPr>
            </w:pPr>
          </w:p>
        </w:tc>
      </w:tr>
      <w:tr w:rsidR="009373D2" w:rsidRPr="00A65AC8" w:rsidTr="00B83968">
        <w:tc>
          <w:tcPr>
            <w:tcW w:w="1853" w:type="dxa"/>
          </w:tcPr>
          <w:p w:rsidR="009373D2" w:rsidRPr="00A65AC8" w:rsidRDefault="009373D2" w:rsidP="00B83968">
            <w:pPr>
              <w:jc w:val="center"/>
              <w:rPr>
                <w:rFonts w:ascii="Calibri" w:eastAsia="Calibri" w:hAnsi="Calibri" w:cs="Arial"/>
                <w:b/>
                <w:sz w:val="18"/>
                <w:szCs w:val="18"/>
              </w:rPr>
            </w:pPr>
            <w:r w:rsidRPr="00A65AC8">
              <w:rPr>
                <w:rFonts w:ascii="Calibri" w:eastAsia="Calibri" w:hAnsi="Calibri" w:cs="Calibri"/>
                <w:b/>
                <w:sz w:val="18"/>
                <w:szCs w:val="18"/>
              </w:rPr>
              <w:t>Change RA AREA (cm2)</w:t>
            </w:r>
          </w:p>
        </w:tc>
        <w:tc>
          <w:tcPr>
            <w:tcW w:w="155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-0.05(3.61)</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-0.50(-1.40,2.50)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22</w:t>
            </w:r>
          </w:p>
        </w:tc>
        <w:tc>
          <w:tcPr>
            <w:tcW w:w="992"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1.30(2.92)</w:t>
            </w:r>
          </w:p>
        </w:tc>
        <w:tc>
          <w:tcPr>
            <w:tcW w:w="141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1.45(-1.50,3.00)</w:t>
            </w:r>
          </w:p>
        </w:tc>
        <w:tc>
          <w:tcPr>
            <w:tcW w:w="567"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w:t>
            </w:r>
          </w:p>
        </w:tc>
        <w:tc>
          <w:tcPr>
            <w:tcW w:w="708" w:type="dxa"/>
          </w:tcPr>
          <w:p w:rsidR="009373D2" w:rsidRPr="00A65AC8" w:rsidRDefault="009373D2" w:rsidP="00B83968">
            <w:pPr>
              <w:jc w:val="center"/>
              <w:rPr>
                <w:rFonts w:ascii="Calibri" w:eastAsia="Calibri" w:hAnsi="Calibri" w:cs="Arial"/>
                <w:sz w:val="18"/>
                <w:szCs w:val="18"/>
              </w:rPr>
            </w:pPr>
            <w:r w:rsidRPr="00A65AC8">
              <w:rPr>
                <w:rFonts w:ascii="Calibri" w:eastAsia="Calibri" w:hAnsi="Calibri" w:cs="Arial"/>
                <w:sz w:val="18"/>
                <w:szCs w:val="18"/>
              </w:rPr>
              <w:t>0.21</w:t>
            </w:r>
          </w:p>
        </w:tc>
      </w:tr>
    </w:tbl>
    <w:p w:rsidR="009373D2" w:rsidRPr="00A65AC8" w:rsidRDefault="009373D2" w:rsidP="009373D2">
      <w:pPr>
        <w:spacing w:after="160" w:line="259" w:lineRule="auto"/>
        <w:rPr>
          <w:rFonts w:ascii="Calibri" w:eastAsia="Calibri" w:hAnsi="Calibri" w:cs="Times New Roman"/>
        </w:rPr>
      </w:pPr>
      <w:r>
        <w:rPr>
          <w:rFonts w:ascii="Calibri" w:eastAsia="Calibri" w:hAnsi="Calibri" w:cs="Times New Roman"/>
        </w:rPr>
        <w:t xml:space="preserve">Legend: </w:t>
      </w:r>
      <w:r w:rsidRPr="00A65AC8">
        <w:rPr>
          <w:rFonts w:ascii="Calibri" w:eastAsia="Calibri" w:hAnsi="Calibri" w:cs="Times New Roman"/>
        </w:rPr>
        <w:t xml:space="preserve">The p-values correspond to appropriate two-independent sample tests (t-test or </w:t>
      </w:r>
      <w:proofErr w:type="spellStart"/>
      <w:r w:rsidRPr="00A65AC8">
        <w:rPr>
          <w:rFonts w:ascii="Calibri" w:eastAsia="Calibri" w:hAnsi="Calibri" w:cs="Times New Roman"/>
        </w:rPr>
        <w:t>Kruskal</w:t>
      </w:r>
      <w:proofErr w:type="spellEnd"/>
      <w:r w:rsidRPr="00A65AC8">
        <w:rPr>
          <w:rFonts w:ascii="Calibri" w:eastAsia="Calibri" w:hAnsi="Calibri" w:cs="Times New Roman"/>
        </w:rPr>
        <w:t xml:space="preserve"> Wallis after checking the normality assumption) which evaluated the generic null hypotheses of no difference between the samples’ distributions corresponding to the two treatment groups. LV ED=left ventricular end diastolic, ESV= end systolic volume, EF=Ejection fraction, LA=left atrial, RA=right atrial</w:t>
      </w:r>
    </w:p>
    <w:p w:rsidR="009373D2" w:rsidRDefault="009373D2" w:rsidP="009373D2">
      <w:pPr>
        <w:rPr>
          <w:rFonts w:ascii="Calibri" w:eastAsia="Calibri" w:hAnsi="Calibri" w:cs="Times New Roman"/>
        </w:rPr>
      </w:pPr>
      <w:r>
        <w:rPr>
          <w:rFonts w:ascii="Calibri" w:eastAsia="Calibri" w:hAnsi="Calibri" w:cs="Times New Roman"/>
        </w:rPr>
        <w:br w:type="page"/>
      </w:r>
    </w:p>
    <w:p w:rsidR="009373D2" w:rsidRPr="00A65AC8" w:rsidRDefault="00D370E8" w:rsidP="009373D2">
      <w:pPr>
        <w:spacing w:after="160" w:line="259" w:lineRule="auto"/>
        <w:rPr>
          <w:rFonts w:ascii="Calibri" w:eastAsia="Calibri" w:hAnsi="Calibri" w:cs="Times New Roman"/>
        </w:rPr>
      </w:pPr>
      <w:r>
        <w:rPr>
          <w:rFonts w:ascii="Calibri" w:eastAsia="Calibri" w:hAnsi="Calibri" w:cs="Times New Roman"/>
        </w:rPr>
        <w:lastRenderedPageBreak/>
        <w:t>Table 3:</w:t>
      </w:r>
      <w:r w:rsidR="009373D2" w:rsidRPr="00A65AC8">
        <w:rPr>
          <w:rFonts w:ascii="Calibri" w:eastAsia="Calibri" w:hAnsi="Calibri" w:cs="Times New Roman"/>
        </w:rPr>
        <w:t xml:space="preserve"> Results from ANCOVA and the analysis of the </w:t>
      </w:r>
      <w:r w:rsidR="009373D2">
        <w:rPr>
          <w:rFonts w:ascii="Calibri" w:eastAsia="Calibri" w:hAnsi="Calibri" w:cs="Times New Roman"/>
        </w:rPr>
        <w:t>change from the baseline models</w:t>
      </w:r>
    </w:p>
    <w:tbl>
      <w:tblPr>
        <w:tblStyle w:val="TableGrid"/>
        <w:tblW w:w="11052" w:type="dxa"/>
        <w:jc w:val="center"/>
        <w:tblLayout w:type="fixed"/>
        <w:tblCellMar>
          <w:left w:w="0" w:type="dxa"/>
          <w:right w:w="0" w:type="dxa"/>
        </w:tblCellMar>
        <w:tblLook w:val="04A0" w:firstRow="1" w:lastRow="0" w:firstColumn="1" w:lastColumn="0" w:noHBand="0" w:noVBand="1"/>
      </w:tblPr>
      <w:tblGrid>
        <w:gridCol w:w="2431"/>
        <w:gridCol w:w="1843"/>
        <w:gridCol w:w="850"/>
        <w:gridCol w:w="709"/>
        <w:gridCol w:w="850"/>
        <w:gridCol w:w="709"/>
        <w:gridCol w:w="851"/>
        <w:gridCol w:w="992"/>
        <w:gridCol w:w="709"/>
        <w:gridCol w:w="1108"/>
      </w:tblGrid>
      <w:tr w:rsidR="009373D2" w:rsidRPr="00A65AC8" w:rsidTr="00B83968">
        <w:trPr>
          <w:trHeight w:val="215"/>
          <w:jc w:val="center"/>
        </w:trPr>
        <w:tc>
          <w:tcPr>
            <w:tcW w:w="11052" w:type="dxa"/>
            <w:gridSpan w:val="10"/>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THE ANALYSIS OF THE FOLLOW UP VALUES</w:t>
            </w:r>
          </w:p>
        </w:tc>
      </w:tr>
      <w:tr w:rsidR="009373D2" w:rsidRPr="00A65AC8" w:rsidTr="00B83968">
        <w:trPr>
          <w:trHeight w:val="215"/>
          <w:jc w:val="center"/>
        </w:trPr>
        <w:tc>
          <w:tcPr>
            <w:tcW w:w="2431"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Outcome</w:t>
            </w:r>
          </w:p>
        </w:tc>
        <w:tc>
          <w:tcPr>
            <w:tcW w:w="1843" w:type="dxa"/>
          </w:tcPr>
          <w:p w:rsidR="009373D2" w:rsidRPr="00A65AC8" w:rsidRDefault="009373D2" w:rsidP="00B83968">
            <w:pPr>
              <w:jc w:val="center"/>
              <w:rPr>
                <w:rFonts w:ascii="Calibri" w:eastAsia="Calibri" w:hAnsi="Calibri" w:cs="Times New Roman"/>
                <w:sz w:val="18"/>
                <w:szCs w:val="18"/>
              </w:rPr>
            </w:pPr>
          </w:p>
        </w:tc>
        <w:tc>
          <w:tcPr>
            <w:tcW w:w="850"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Estimate</w:t>
            </w:r>
          </w:p>
        </w:tc>
        <w:tc>
          <w:tcPr>
            <w:tcW w:w="709"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St Error</w:t>
            </w:r>
          </w:p>
        </w:tc>
        <w:tc>
          <w:tcPr>
            <w:tcW w:w="850"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z</w:t>
            </w:r>
          </w:p>
        </w:tc>
        <w:tc>
          <w:tcPr>
            <w:tcW w:w="709"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p-value</w:t>
            </w:r>
          </w:p>
        </w:tc>
        <w:tc>
          <w:tcPr>
            <w:tcW w:w="851"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95%CI low</w:t>
            </w:r>
          </w:p>
        </w:tc>
        <w:tc>
          <w:tcPr>
            <w:tcW w:w="992"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95%CI low</w:t>
            </w:r>
          </w:p>
        </w:tc>
        <w:tc>
          <w:tcPr>
            <w:tcW w:w="709"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 xml:space="preserve">No </w:t>
            </w:r>
            <w:proofErr w:type="spellStart"/>
            <w:r w:rsidRPr="00A65AC8">
              <w:rPr>
                <w:rFonts w:ascii="Calibri" w:eastAsia="Calibri" w:hAnsi="Calibri" w:cs="Times New Roman"/>
                <w:b/>
                <w:sz w:val="18"/>
                <w:szCs w:val="18"/>
              </w:rPr>
              <w:t>obs</w:t>
            </w:r>
            <w:proofErr w:type="spellEnd"/>
          </w:p>
        </w:tc>
        <w:tc>
          <w:tcPr>
            <w:tcW w:w="1108"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Shapiro test</w:t>
            </w:r>
          </w:p>
        </w:tc>
      </w:tr>
      <w:tr w:rsidR="009373D2" w:rsidRPr="00A65AC8" w:rsidTr="00B83968">
        <w:trPr>
          <w:trHeight w:val="230"/>
          <w:jc w:val="center"/>
        </w:trPr>
        <w:tc>
          <w:tcPr>
            <w:tcW w:w="2431"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Follow up LV EF (%)</w:t>
            </w:r>
          </w:p>
        </w:tc>
        <w:tc>
          <w:tcPr>
            <w:tcW w:w="1843"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Baseline LV EF</w:t>
            </w:r>
          </w:p>
        </w:tc>
        <w:tc>
          <w:tcPr>
            <w:tcW w:w="850"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0.6</w:t>
            </w:r>
          </w:p>
        </w:tc>
        <w:tc>
          <w:tcPr>
            <w:tcW w:w="709"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0.12</w:t>
            </w:r>
          </w:p>
        </w:tc>
        <w:tc>
          <w:tcPr>
            <w:tcW w:w="850"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4.94</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0.36</w:t>
            </w:r>
          </w:p>
        </w:tc>
        <w:tc>
          <w:tcPr>
            <w:tcW w:w="992"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0.85</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w:t>
            </w:r>
          </w:p>
        </w:tc>
      </w:tr>
      <w:tr w:rsidR="009373D2" w:rsidRPr="00A65AC8" w:rsidTr="00B83968">
        <w:trPr>
          <w:trHeight w:val="215"/>
          <w:jc w:val="center"/>
        </w:trPr>
        <w:tc>
          <w:tcPr>
            <w:tcW w:w="2431" w:type="dxa"/>
          </w:tcPr>
          <w:p w:rsidR="009373D2" w:rsidRPr="00A65AC8" w:rsidRDefault="009373D2" w:rsidP="00B83968">
            <w:pPr>
              <w:jc w:val="center"/>
              <w:rPr>
                <w:rFonts w:ascii="Calibri" w:eastAsia="Calibri" w:hAnsi="Calibri" w:cs="Times New Roman"/>
                <w:b/>
                <w:sz w:val="18"/>
                <w:szCs w:val="18"/>
              </w:rPr>
            </w:pPr>
          </w:p>
        </w:tc>
        <w:tc>
          <w:tcPr>
            <w:tcW w:w="1843" w:type="dxa"/>
          </w:tcPr>
          <w:p w:rsidR="009373D2" w:rsidRPr="00A65AC8" w:rsidRDefault="009373D2" w:rsidP="00B83968">
            <w:pPr>
              <w:jc w:val="center"/>
              <w:rPr>
                <w:rFonts w:ascii="Calibri" w:eastAsia="Calibri" w:hAnsi="Calibri" w:cs="Times New Roman"/>
                <w:b/>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-0.78</w:t>
            </w:r>
          </w:p>
        </w:tc>
        <w:tc>
          <w:tcPr>
            <w:tcW w:w="709"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1.41</w:t>
            </w:r>
          </w:p>
        </w:tc>
        <w:tc>
          <w:tcPr>
            <w:tcW w:w="850"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-0.55</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0.586</w:t>
            </w:r>
          </w:p>
        </w:tc>
        <w:tc>
          <w:tcPr>
            <w:tcW w:w="851"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-3.64</w:t>
            </w:r>
          </w:p>
        </w:tc>
        <w:tc>
          <w:tcPr>
            <w:tcW w:w="992"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2.09</w:t>
            </w:r>
          </w:p>
        </w:tc>
        <w:tc>
          <w:tcPr>
            <w:tcW w:w="709" w:type="dxa"/>
          </w:tcPr>
          <w:p w:rsidR="009373D2" w:rsidRPr="00A65AC8" w:rsidRDefault="009373D2" w:rsidP="00B83968">
            <w:pPr>
              <w:jc w:val="center"/>
              <w:rPr>
                <w:rFonts w:ascii="Calibri" w:eastAsia="Calibri" w:hAnsi="Calibri" w:cs="Times New Roman"/>
                <w:sz w:val="18"/>
                <w:szCs w:val="18"/>
              </w:rPr>
            </w:pPr>
          </w:p>
        </w:tc>
        <w:tc>
          <w:tcPr>
            <w:tcW w:w="1108" w:type="dxa"/>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tcPr>
          <w:p w:rsidR="009373D2" w:rsidRPr="00A65AC8" w:rsidRDefault="009373D2" w:rsidP="00B83968">
            <w:pPr>
              <w:jc w:val="center"/>
              <w:rPr>
                <w:rFonts w:ascii="Calibri" w:eastAsia="Calibri" w:hAnsi="Calibri" w:cs="Times New Roman"/>
                <w:b/>
                <w:sz w:val="18"/>
                <w:szCs w:val="18"/>
              </w:rPr>
            </w:pPr>
          </w:p>
        </w:tc>
        <w:tc>
          <w:tcPr>
            <w:tcW w:w="1843"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Constant</w:t>
            </w:r>
          </w:p>
        </w:tc>
        <w:tc>
          <w:tcPr>
            <w:tcW w:w="850"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65.11</w:t>
            </w:r>
          </w:p>
        </w:tc>
        <w:tc>
          <w:tcPr>
            <w:tcW w:w="709"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0.88</w:t>
            </w:r>
          </w:p>
        </w:tc>
        <w:tc>
          <w:tcPr>
            <w:tcW w:w="850"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74.14</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63.33</w:t>
            </w:r>
          </w:p>
        </w:tc>
        <w:tc>
          <w:tcPr>
            <w:tcW w:w="992"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66.89</w:t>
            </w:r>
          </w:p>
        </w:tc>
        <w:tc>
          <w:tcPr>
            <w:tcW w:w="709" w:type="dxa"/>
          </w:tcPr>
          <w:p w:rsidR="009373D2" w:rsidRPr="00A65AC8" w:rsidRDefault="009373D2" w:rsidP="00B83968">
            <w:pPr>
              <w:jc w:val="center"/>
              <w:rPr>
                <w:rFonts w:ascii="Calibri" w:eastAsia="Calibri" w:hAnsi="Calibri" w:cs="Times New Roman"/>
                <w:sz w:val="18"/>
                <w:szCs w:val="18"/>
              </w:rPr>
            </w:pPr>
          </w:p>
        </w:tc>
        <w:tc>
          <w:tcPr>
            <w:tcW w:w="1108" w:type="dxa"/>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Follow up LV ED mass (g)</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Baseline LV ED mass</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0.84</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0.05</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18.40</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0.75</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0.93</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0.02</w:t>
            </w:r>
          </w:p>
        </w:tc>
      </w:tr>
      <w:tr w:rsidR="009373D2" w:rsidRPr="00A65AC8" w:rsidTr="00B83968">
        <w:trPr>
          <w:trHeight w:val="230"/>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Vita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4.33</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3.35</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1.29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0.204</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-2.46</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11.12</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30"/>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95.55</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2.23</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42.90</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91.03</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100.06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30"/>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Follow up LV ES mass (g)</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Baseline LV ES mass</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0.9</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0.04</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23.70</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0.82</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0.98</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0.55</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3.3</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3.05</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1.08</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0.285</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-2.87</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9.48</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107.14</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2.03</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52.69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103.02</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111.26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30"/>
          <w:jc w:val="center"/>
        </w:trPr>
        <w:tc>
          <w:tcPr>
            <w:tcW w:w="2431"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Follow up LA area (cm2)</w:t>
            </w:r>
          </w:p>
        </w:tc>
        <w:tc>
          <w:tcPr>
            <w:tcW w:w="1843" w:type="dxa"/>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Baseline LA area</w:t>
            </w:r>
          </w:p>
        </w:tc>
        <w:tc>
          <w:tcPr>
            <w:tcW w:w="850"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0.49</w:t>
            </w:r>
          </w:p>
        </w:tc>
        <w:tc>
          <w:tcPr>
            <w:tcW w:w="709"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0.11</w:t>
            </w:r>
          </w:p>
        </w:tc>
        <w:tc>
          <w:tcPr>
            <w:tcW w:w="850"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4.44</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0.27</w:t>
            </w:r>
          </w:p>
        </w:tc>
        <w:tc>
          <w:tcPr>
            <w:tcW w:w="992"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0.71</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39</w:t>
            </w:r>
          </w:p>
        </w:tc>
        <w:tc>
          <w:tcPr>
            <w:tcW w:w="1108"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0.24</w:t>
            </w:r>
          </w:p>
        </w:tc>
      </w:tr>
      <w:tr w:rsidR="009373D2" w:rsidRPr="00A65AC8" w:rsidTr="00B83968">
        <w:trPr>
          <w:trHeight w:val="215"/>
          <w:jc w:val="center"/>
        </w:trPr>
        <w:tc>
          <w:tcPr>
            <w:tcW w:w="2431" w:type="dxa"/>
          </w:tcPr>
          <w:p w:rsidR="009373D2" w:rsidRPr="00A65AC8" w:rsidRDefault="009373D2" w:rsidP="00B83968">
            <w:pPr>
              <w:jc w:val="center"/>
              <w:rPr>
                <w:rFonts w:ascii="Calibri" w:eastAsia="Calibri" w:hAnsi="Calibri" w:cs="Times New Roman"/>
                <w:b/>
                <w:sz w:val="18"/>
                <w:szCs w:val="18"/>
              </w:rPr>
            </w:pPr>
          </w:p>
        </w:tc>
        <w:tc>
          <w:tcPr>
            <w:tcW w:w="1843" w:type="dxa"/>
          </w:tcPr>
          <w:p w:rsidR="009373D2" w:rsidRPr="00A65AC8" w:rsidRDefault="009373D2" w:rsidP="00B83968">
            <w:pPr>
              <w:jc w:val="center"/>
              <w:rPr>
                <w:rFonts w:ascii="Calibri" w:eastAsia="Calibri" w:hAnsi="Calibri" w:cs="Times New Roman"/>
                <w:b/>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-0.29</w:t>
            </w:r>
          </w:p>
        </w:tc>
        <w:tc>
          <w:tcPr>
            <w:tcW w:w="709"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0.87</w:t>
            </w:r>
          </w:p>
        </w:tc>
        <w:tc>
          <w:tcPr>
            <w:tcW w:w="850"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-0.33</w:t>
            </w:r>
          </w:p>
        </w:tc>
        <w:tc>
          <w:tcPr>
            <w:tcW w:w="709" w:type="dxa"/>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0.742</w:t>
            </w:r>
          </w:p>
        </w:tc>
        <w:tc>
          <w:tcPr>
            <w:tcW w:w="851"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-2.05</w:t>
            </w:r>
          </w:p>
        </w:tc>
        <w:tc>
          <w:tcPr>
            <w:tcW w:w="992" w:type="dxa"/>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1.47</w:t>
            </w:r>
          </w:p>
        </w:tc>
        <w:tc>
          <w:tcPr>
            <w:tcW w:w="709" w:type="dxa"/>
          </w:tcPr>
          <w:p w:rsidR="009373D2" w:rsidRPr="00A65AC8" w:rsidRDefault="009373D2" w:rsidP="00B83968">
            <w:pPr>
              <w:jc w:val="center"/>
              <w:rPr>
                <w:rFonts w:ascii="Calibri" w:eastAsia="Calibri" w:hAnsi="Calibri" w:cs="Times New Roman"/>
                <w:sz w:val="18"/>
                <w:szCs w:val="18"/>
              </w:rPr>
            </w:pPr>
          </w:p>
        </w:tc>
        <w:tc>
          <w:tcPr>
            <w:tcW w:w="1108" w:type="dxa"/>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b/>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22.41</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0.59</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38.09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21.22</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23.6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11052" w:type="dxa"/>
            <w:gridSpan w:val="10"/>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THE ANALYSIS OF THE CHANGE FROM THE BASELINE</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Change in LV EF (%)</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Baseline LV EF</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-0.4</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0.12</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-3.26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0.002</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-0.64</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-0.15</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0.50</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-0.78</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1.41</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-0.55</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0.586</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-3.64</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-0.29</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0.88</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-0.33</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0.740</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-2.07</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Change in LV ED (ml)</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Baseline LV ED mass</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-0.16</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0.05</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-3.46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-0.25</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-0.07</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0.023</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Vita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4.33</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3.35</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1.29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0.204</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-2.46</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11.12</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-4.45</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2.23</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-2.00</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0.053</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-8.97</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Change in LV ES mass (g)</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Baseline LV ES mass</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-0.23</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0.04</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-5.85</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-0.31</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-0.15</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40</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0.72</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6.13</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3.2</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1.92</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0.063</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-0.34</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12.61</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-15.08</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2.13</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-7.07</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-19.4</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-10.76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Change in LA area (cm2)</w:t>
            </w: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Baseline LA area</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-0.51</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0.11</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-4.62</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&lt;0.001</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-0.73</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-0.29</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39</w:t>
            </w: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0.24</w:t>
            </w: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roofErr w:type="spellStart"/>
            <w:r w:rsidRPr="00A65AC8">
              <w:rPr>
                <w:rFonts w:ascii="Calibri" w:eastAsia="Calibri" w:hAnsi="Calibri" w:cs="Times New Roman"/>
                <w:b/>
                <w:sz w:val="18"/>
                <w:szCs w:val="18"/>
              </w:rPr>
              <w:t>Vit</w:t>
            </w:r>
            <w:proofErr w:type="spellEnd"/>
            <w:r w:rsidRPr="00A65AC8">
              <w:rPr>
                <w:rFonts w:ascii="Calibri" w:eastAsia="Calibri" w:hAnsi="Calibri" w:cs="Times New Roman"/>
                <w:b/>
                <w:sz w:val="18"/>
                <w:szCs w:val="18"/>
              </w:rPr>
              <w:t xml:space="preserve"> D vs. Placebo</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-0.29</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0.87</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-0.33</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0.742</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-2.05</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1.47</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r w:rsidR="009373D2" w:rsidRPr="00A65AC8" w:rsidTr="00B83968">
        <w:trPr>
          <w:trHeight w:val="215"/>
          <w:jc w:val="center"/>
        </w:trPr>
        <w:tc>
          <w:tcPr>
            <w:tcW w:w="2431"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843"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b/>
                <w:sz w:val="18"/>
                <w:szCs w:val="18"/>
              </w:rPr>
              <w:t>Constant</w:t>
            </w:r>
          </w:p>
        </w:tc>
        <w:tc>
          <w:tcPr>
            <w:tcW w:w="850"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1.41</w:t>
            </w:r>
          </w:p>
        </w:tc>
        <w:tc>
          <w:tcPr>
            <w:tcW w:w="709"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0.59</w:t>
            </w:r>
          </w:p>
        </w:tc>
        <w:tc>
          <w:tcPr>
            <w:tcW w:w="850"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2.40</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sz w:val="18"/>
                <w:szCs w:val="18"/>
              </w:rPr>
              <w:t>0.022</w:t>
            </w:r>
          </w:p>
        </w:tc>
        <w:tc>
          <w:tcPr>
            <w:tcW w:w="851"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0.22</w:t>
            </w:r>
          </w:p>
        </w:tc>
        <w:tc>
          <w:tcPr>
            <w:tcW w:w="992" w:type="dxa"/>
            <w:shd w:val="clear" w:color="auto" w:fill="DBE5F1" w:themeFill="accent1" w:themeFillTint="33"/>
            <w:vAlign w:val="bottom"/>
          </w:tcPr>
          <w:p w:rsidR="009373D2" w:rsidRPr="00A65AC8" w:rsidRDefault="009373D2" w:rsidP="00B83968">
            <w:pPr>
              <w:jc w:val="center"/>
              <w:rPr>
                <w:rFonts w:ascii="Calibri" w:eastAsia="Calibri" w:hAnsi="Calibri" w:cs="Times New Roman"/>
                <w:sz w:val="18"/>
                <w:szCs w:val="18"/>
              </w:rPr>
            </w:pPr>
            <w:r w:rsidRPr="00A65AC8">
              <w:rPr>
                <w:rFonts w:ascii="Calibri" w:eastAsia="Calibri" w:hAnsi="Calibri" w:cs="Times New Roman"/>
                <w:color w:val="000000"/>
                <w:sz w:val="18"/>
                <w:szCs w:val="18"/>
              </w:rPr>
              <w:t>2.6</w:t>
            </w:r>
          </w:p>
        </w:tc>
        <w:tc>
          <w:tcPr>
            <w:tcW w:w="709"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c>
          <w:tcPr>
            <w:tcW w:w="1108" w:type="dxa"/>
            <w:shd w:val="clear" w:color="auto" w:fill="DBE5F1" w:themeFill="accent1" w:themeFillTint="33"/>
          </w:tcPr>
          <w:p w:rsidR="009373D2" w:rsidRPr="00A65AC8" w:rsidRDefault="009373D2" w:rsidP="00B83968">
            <w:pPr>
              <w:jc w:val="center"/>
              <w:rPr>
                <w:rFonts w:ascii="Calibri" w:eastAsia="Calibri" w:hAnsi="Calibri" w:cs="Times New Roman"/>
                <w:sz w:val="18"/>
                <w:szCs w:val="18"/>
              </w:rPr>
            </w:pPr>
          </w:p>
        </w:tc>
      </w:tr>
    </w:tbl>
    <w:p w:rsidR="009373D2" w:rsidRPr="00A65AC8" w:rsidRDefault="009373D2" w:rsidP="009373D2">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Legend: </w:t>
      </w:r>
      <w:r w:rsidRPr="00A65AC8">
        <w:rPr>
          <w:rFonts w:ascii="Calibri" w:eastAsia="Calibri" w:hAnsi="Calibri" w:cs="Times New Roman"/>
          <w:sz w:val="24"/>
          <w:szCs w:val="24"/>
        </w:rPr>
        <w:t>Shapiro tests are used to assess models’ appropriateness, i.e. normality of the residuals.</w:t>
      </w:r>
      <w:r w:rsidRPr="00A65AC8">
        <w:rPr>
          <w:rFonts w:ascii="Calibri" w:eastAsia="Calibri" w:hAnsi="Calibri" w:cs="Times New Roman"/>
        </w:rPr>
        <w:t xml:space="preserve"> </w:t>
      </w:r>
      <w:r w:rsidRPr="00A65AC8">
        <w:rPr>
          <w:rFonts w:ascii="Calibri" w:eastAsia="Calibri" w:hAnsi="Calibri" w:cs="Times New Roman"/>
          <w:sz w:val="24"/>
          <w:szCs w:val="24"/>
        </w:rPr>
        <w:t>LV ED=left ventricular end diastolic, ESV= end systolic volume, EF=Ejection fraction, LA=left atrial, RA=right atrial</w:t>
      </w:r>
    </w:p>
    <w:p w:rsidR="009373D2" w:rsidRDefault="009373D2" w:rsidP="009373D2">
      <w:pPr>
        <w:rPr>
          <w:rFonts w:ascii="Calibri" w:eastAsia="Calibri" w:hAnsi="Calibri" w:cs="Times New Roman"/>
        </w:rPr>
      </w:pPr>
      <w:r>
        <w:rPr>
          <w:rFonts w:ascii="Calibri" w:eastAsia="Calibri" w:hAnsi="Calibri" w:cs="Times New Roman"/>
        </w:rPr>
        <w:br w:type="page"/>
      </w:r>
    </w:p>
    <w:p w:rsidR="009373D2" w:rsidRPr="00A65AC8" w:rsidRDefault="00D05631" w:rsidP="009373D2">
      <w:pPr>
        <w:spacing w:after="160" w:line="259" w:lineRule="auto"/>
        <w:rPr>
          <w:rFonts w:ascii="Calibri" w:eastAsia="Calibri" w:hAnsi="Calibri" w:cs="Times New Roman"/>
        </w:rPr>
      </w:pPr>
      <w:r w:rsidRPr="00D05631">
        <w:rPr>
          <w:rFonts w:ascii="Calibri" w:eastAsia="Calibri" w:hAnsi="Calibri" w:cs="Times New Roman"/>
          <w:color w:val="0070C0"/>
          <w:u w:val="single"/>
        </w:rPr>
        <w:lastRenderedPageBreak/>
        <w:t>Table 4</w:t>
      </w:r>
      <w:r w:rsidR="009373D2" w:rsidRPr="00A65AC8">
        <w:rPr>
          <w:rFonts w:ascii="Calibri" w:eastAsia="Calibri" w:hAnsi="Calibri" w:cs="Times New Roman"/>
        </w:rPr>
        <w:t>:</w:t>
      </w:r>
      <w:r w:rsidR="009373D2">
        <w:rPr>
          <w:rFonts w:ascii="Calibri" w:eastAsia="Calibri" w:hAnsi="Calibri" w:cs="Times New Roman"/>
        </w:rPr>
        <w:t xml:space="preserve"> Meta-analysis of randomised trials on impact of vitamin D on left ventricular mass in CKD patients</w:t>
      </w:r>
    </w:p>
    <w:tbl>
      <w:tblPr>
        <w:tblW w:w="9782" w:type="dxa"/>
        <w:tblInd w:w="-318" w:type="dxa"/>
        <w:tblLayout w:type="fixed"/>
        <w:tblCellMar>
          <w:left w:w="0" w:type="dxa"/>
          <w:right w:w="0" w:type="dxa"/>
        </w:tblCellMar>
        <w:tblLook w:val="04A0" w:firstRow="1" w:lastRow="0" w:firstColumn="1" w:lastColumn="0" w:noHBand="0" w:noVBand="1"/>
      </w:tblPr>
      <w:tblGrid>
        <w:gridCol w:w="1560"/>
        <w:gridCol w:w="885"/>
        <w:gridCol w:w="1950"/>
        <w:gridCol w:w="1276"/>
        <w:gridCol w:w="992"/>
        <w:gridCol w:w="1843"/>
        <w:gridCol w:w="1276"/>
      </w:tblGrid>
      <w:tr w:rsidR="009373D2" w:rsidRPr="00A65AC8" w:rsidTr="00B83968">
        <w:tc>
          <w:tcPr>
            <w:tcW w:w="156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b/>
              </w:rPr>
            </w:pPr>
            <w:r w:rsidRPr="00A65AC8">
              <w:rPr>
                <w:rFonts w:ascii="Calibri" w:eastAsia="Calibri" w:hAnsi="Calibri" w:cs="Times New Roman"/>
                <w:b/>
              </w:rPr>
              <w:t>Study</w:t>
            </w:r>
          </w:p>
        </w:tc>
        <w:tc>
          <w:tcPr>
            <w:tcW w:w="4111" w:type="dxa"/>
            <w:gridSpan w:val="3"/>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b/>
                <w:bCs/>
              </w:rPr>
            </w:pPr>
            <w:r w:rsidRPr="00A65AC8">
              <w:rPr>
                <w:rFonts w:ascii="Calibri" w:eastAsia="Calibri" w:hAnsi="Calibri" w:cs="Times New Roman"/>
                <w:b/>
                <w:bCs/>
              </w:rPr>
              <w:t>Vitamin D</w:t>
            </w:r>
          </w:p>
        </w:tc>
        <w:tc>
          <w:tcPr>
            <w:tcW w:w="4111" w:type="dxa"/>
            <w:gridSpan w:val="3"/>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b/>
                <w:bCs/>
              </w:rPr>
            </w:pPr>
            <w:r w:rsidRPr="00A65AC8">
              <w:rPr>
                <w:rFonts w:ascii="Calibri" w:eastAsia="Calibri" w:hAnsi="Calibri" w:cs="Times New Roman"/>
                <w:b/>
                <w:bCs/>
              </w:rPr>
              <w:t>Placebo</w:t>
            </w:r>
          </w:p>
        </w:tc>
      </w:tr>
      <w:tr w:rsidR="009373D2" w:rsidRPr="00A65AC8" w:rsidTr="00B83968">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rPr>
            </w:pP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Number</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Mean (LVMI g/m</w:t>
            </w:r>
            <w:r w:rsidRPr="00A65AC8">
              <w:rPr>
                <w:rFonts w:ascii="Calibri" w:eastAsia="Calibri" w:hAnsi="Calibri" w:cs="Times New Roman"/>
                <w:sz w:val="20"/>
                <w:szCs w:val="20"/>
                <w:vertAlign w:val="superscript"/>
              </w:rPr>
              <w:t>2.7</w:t>
            </w:r>
            <w:r w:rsidRPr="00A65AC8">
              <w:rPr>
                <w:rFonts w:ascii="Calibri" w:eastAsia="Calibri" w:hAnsi="Calibri" w:cs="Times New Roman"/>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95% CI</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Number</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Mean (LVMI g/m</w:t>
            </w:r>
            <w:r w:rsidRPr="00A65AC8">
              <w:rPr>
                <w:rFonts w:ascii="Calibri" w:eastAsia="Calibri" w:hAnsi="Calibri" w:cs="Times New Roman"/>
                <w:sz w:val="20"/>
                <w:szCs w:val="20"/>
                <w:vertAlign w:val="superscript"/>
              </w:rPr>
              <w:t>2.7</w:t>
            </w:r>
            <w:r w:rsidRPr="00A65AC8">
              <w:rPr>
                <w:rFonts w:ascii="Calibri" w:eastAsia="Calibri" w:hAnsi="Calibri" w:cs="Times New Roman"/>
                <w:sz w:val="20"/>
                <w:szCs w:val="20"/>
              </w:rPr>
              <w:t>)</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95% CI</w:t>
            </w:r>
          </w:p>
        </w:tc>
      </w:tr>
      <w:tr w:rsidR="009373D2" w:rsidRPr="00A65AC8" w:rsidTr="00B83968">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rPr>
                <w:rFonts w:ascii="Calibri" w:eastAsia="Calibri" w:hAnsi="Calibri" w:cs="Times New Roman"/>
                <w:b/>
                <w:bCs/>
              </w:rPr>
            </w:pPr>
            <w:r w:rsidRPr="00A65AC8">
              <w:rPr>
                <w:rFonts w:ascii="Calibri" w:eastAsia="Calibri" w:hAnsi="Calibri" w:cs="Times New Roman"/>
                <w:b/>
                <w:bCs/>
              </w:rPr>
              <w:t>Thadhani et al</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88</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0.34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-0.15 to 0.83</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91</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-0.07</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-0.56 to 0.42</w:t>
            </w:r>
          </w:p>
        </w:tc>
      </w:tr>
      <w:tr w:rsidR="009373D2" w:rsidRPr="00A65AC8" w:rsidTr="00B83968">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rPr>
                <w:rFonts w:ascii="Calibri" w:eastAsia="Calibri" w:hAnsi="Calibri" w:cs="Times New Roman"/>
                <w:b/>
                <w:bCs/>
              </w:rPr>
            </w:pPr>
            <w:r w:rsidRPr="00A65AC8">
              <w:rPr>
                <w:rFonts w:ascii="Calibri" w:eastAsia="Calibri" w:hAnsi="Calibri" w:cs="Times New Roman"/>
                <w:b/>
                <w:bCs/>
              </w:rPr>
              <w:t>Wong et al</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30</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-1.75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-3.69 to 0.19</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30</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-2.28</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-4.22 to 0.23</w:t>
            </w:r>
          </w:p>
        </w:tc>
      </w:tr>
      <w:tr w:rsidR="009373D2" w:rsidRPr="00A65AC8" w:rsidTr="00B83968">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3D2" w:rsidRPr="00A65AC8" w:rsidRDefault="009373D2" w:rsidP="00B83968">
            <w:pPr>
              <w:spacing w:after="0" w:line="259" w:lineRule="auto"/>
              <w:rPr>
                <w:rFonts w:ascii="Calibri" w:eastAsia="Calibri" w:hAnsi="Calibri" w:cs="Times New Roman"/>
                <w:b/>
                <w:bCs/>
              </w:rPr>
            </w:pPr>
            <w:r w:rsidRPr="00A65AC8">
              <w:rPr>
                <w:rFonts w:ascii="Calibri" w:eastAsia="Calibri" w:hAnsi="Calibri" w:cs="Times New Roman"/>
                <w:b/>
                <w:bCs/>
              </w:rPr>
              <w:t>Banerjee et al</w:t>
            </w:r>
          </w:p>
        </w:tc>
        <w:tc>
          <w:tcPr>
            <w:tcW w:w="885" w:type="dxa"/>
            <w:tcBorders>
              <w:top w:val="nil"/>
              <w:left w:val="nil"/>
              <w:bottom w:val="single" w:sz="8" w:space="0" w:color="auto"/>
              <w:right w:val="single" w:sz="8" w:space="0" w:color="auto"/>
            </w:tcBorders>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22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-0.33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-2.84 to 2.18</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18</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-1.00</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373D2" w:rsidRPr="00A65AC8" w:rsidRDefault="009373D2" w:rsidP="00B83968">
            <w:pPr>
              <w:spacing w:after="0" w:line="259" w:lineRule="auto"/>
              <w:jc w:val="center"/>
              <w:rPr>
                <w:rFonts w:ascii="Calibri" w:eastAsia="Calibri" w:hAnsi="Calibri" w:cs="Times New Roman"/>
                <w:sz w:val="20"/>
                <w:szCs w:val="20"/>
              </w:rPr>
            </w:pPr>
            <w:r w:rsidRPr="00A65AC8">
              <w:rPr>
                <w:rFonts w:ascii="Calibri" w:eastAsia="Calibri" w:hAnsi="Calibri" w:cs="Times New Roman"/>
                <w:sz w:val="20"/>
                <w:szCs w:val="20"/>
              </w:rPr>
              <w:t>-2.62 to 0.62</w:t>
            </w:r>
          </w:p>
        </w:tc>
      </w:tr>
    </w:tbl>
    <w:p w:rsidR="009373D2" w:rsidRDefault="009373D2" w:rsidP="009373D2">
      <w:pPr>
        <w:rPr>
          <w:rFonts w:ascii="Calibri" w:eastAsia="Calibri" w:hAnsi="Calibri" w:cs="Times New Roman"/>
        </w:rPr>
      </w:pPr>
      <w:r w:rsidRPr="00A65AC8">
        <w:rPr>
          <w:rFonts w:ascii="Calibri" w:eastAsia="Calibri" w:hAnsi="Calibri" w:cs="Times New Roman"/>
        </w:rPr>
        <w:t xml:space="preserve"> </w:t>
      </w:r>
      <w:r>
        <w:rPr>
          <w:rFonts w:ascii="Calibri" w:eastAsia="Calibri" w:hAnsi="Calibri" w:cs="Times New Roman"/>
        </w:rPr>
        <w:t>Legend:</w:t>
      </w:r>
      <w:r w:rsidRPr="00A65AC8">
        <w:rPr>
          <w:rFonts w:ascii="Calibri" w:eastAsia="Calibri" w:hAnsi="Calibri" w:cs="Times New Roman"/>
        </w:rPr>
        <w:t xml:space="preserve"> Studies used in meta-analysis - showing the number of patients, mean change in left ventricular mass ind</w:t>
      </w:r>
      <w:r>
        <w:rPr>
          <w:rFonts w:ascii="Calibri" w:eastAsia="Calibri" w:hAnsi="Calibri" w:cs="Times New Roman"/>
        </w:rPr>
        <w:t>ex</w:t>
      </w:r>
    </w:p>
    <w:p w:rsidR="009373D2" w:rsidRDefault="009373D2" w:rsidP="009373D2">
      <w:r>
        <w:br w:type="page"/>
      </w:r>
    </w:p>
    <w:p w:rsidR="009373D2" w:rsidRDefault="00D05631" w:rsidP="009373D2">
      <w:r w:rsidRPr="00D05631">
        <w:rPr>
          <w:color w:val="0070C0"/>
          <w:u w:val="single"/>
        </w:rPr>
        <w:lastRenderedPageBreak/>
        <w:t>Table 5</w:t>
      </w:r>
      <w:r w:rsidR="009373D2" w:rsidRPr="00D05631">
        <w:rPr>
          <w:color w:val="0070C0"/>
          <w:u w:val="single"/>
        </w:rPr>
        <w:t>:</w:t>
      </w:r>
      <w:r w:rsidR="009373D2" w:rsidRPr="00D05631">
        <w:rPr>
          <w:color w:val="0070C0"/>
        </w:rPr>
        <w:t xml:space="preserve"> </w:t>
      </w:r>
      <w:r w:rsidR="009373D2">
        <w:t xml:space="preserve">Comparison of the trials Vitamin D therapy to improve left ventricular mass in CKD patients </w:t>
      </w:r>
    </w:p>
    <w:tbl>
      <w:tblPr>
        <w:tblStyle w:val="TableGrid"/>
        <w:tblW w:w="0" w:type="auto"/>
        <w:tblLook w:val="04A0" w:firstRow="1" w:lastRow="0" w:firstColumn="1" w:lastColumn="0" w:noHBand="0" w:noVBand="1"/>
      </w:tblPr>
      <w:tblGrid>
        <w:gridCol w:w="2254"/>
        <w:gridCol w:w="2254"/>
        <w:gridCol w:w="2254"/>
        <w:gridCol w:w="2254"/>
      </w:tblGrid>
      <w:tr w:rsidR="009373D2" w:rsidTr="00B83968">
        <w:tc>
          <w:tcPr>
            <w:tcW w:w="2254" w:type="dxa"/>
            <w:shd w:val="clear" w:color="auto" w:fill="DAEEF3" w:themeFill="accent5" w:themeFillTint="33"/>
          </w:tcPr>
          <w:p w:rsidR="009373D2" w:rsidRDefault="009373D2" w:rsidP="00B83968"/>
        </w:tc>
        <w:tc>
          <w:tcPr>
            <w:tcW w:w="2254" w:type="dxa"/>
            <w:shd w:val="clear" w:color="auto" w:fill="DAEEF3" w:themeFill="accent5" w:themeFillTint="33"/>
          </w:tcPr>
          <w:p w:rsidR="009373D2" w:rsidRPr="00D10480" w:rsidRDefault="009373D2" w:rsidP="00B83968">
            <w:pPr>
              <w:jc w:val="center"/>
              <w:rPr>
                <w:b/>
                <w:color w:val="0070C0"/>
              </w:rPr>
            </w:pPr>
            <w:r w:rsidRPr="00D10480">
              <w:rPr>
                <w:b/>
                <w:color w:val="0070C0"/>
              </w:rPr>
              <w:t>PRIMO (n=227)</w:t>
            </w:r>
          </w:p>
        </w:tc>
        <w:tc>
          <w:tcPr>
            <w:tcW w:w="2254" w:type="dxa"/>
            <w:shd w:val="clear" w:color="auto" w:fill="DAEEF3" w:themeFill="accent5" w:themeFillTint="33"/>
          </w:tcPr>
          <w:p w:rsidR="009373D2" w:rsidRPr="00D10480" w:rsidRDefault="009373D2" w:rsidP="00B83968">
            <w:pPr>
              <w:jc w:val="center"/>
              <w:rPr>
                <w:b/>
                <w:color w:val="0070C0"/>
              </w:rPr>
            </w:pPr>
            <w:r w:rsidRPr="00D10480">
              <w:rPr>
                <w:b/>
                <w:color w:val="0070C0"/>
              </w:rPr>
              <w:t>OPERA (n=60)</w:t>
            </w:r>
          </w:p>
        </w:tc>
        <w:tc>
          <w:tcPr>
            <w:tcW w:w="2254" w:type="dxa"/>
            <w:shd w:val="clear" w:color="auto" w:fill="DAEEF3" w:themeFill="accent5" w:themeFillTint="33"/>
          </w:tcPr>
          <w:p w:rsidR="009373D2" w:rsidRPr="00D10480" w:rsidRDefault="009373D2" w:rsidP="00B83968">
            <w:pPr>
              <w:jc w:val="center"/>
              <w:rPr>
                <w:b/>
                <w:color w:val="0070C0"/>
              </w:rPr>
            </w:pPr>
            <w:r w:rsidRPr="00D10480">
              <w:rPr>
                <w:b/>
                <w:color w:val="0070C0"/>
              </w:rPr>
              <w:t>5C- study (n=49)</w:t>
            </w:r>
          </w:p>
        </w:tc>
      </w:tr>
      <w:tr w:rsidR="009373D2" w:rsidTr="00B83968">
        <w:tc>
          <w:tcPr>
            <w:tcW w:w="2254" w:type="dxa"/>
            <w:shd w:val="clear" w:color="auto" w:fill="DAEEF3" w:themeFill="accent5" w:themeFillTint="33"/>
          </w:tcPr>
          <w:p w:rsidR="009373D2" w:rsidRPr="00613884" w:rsidRDefault="009373D2" w:rsidP="00B83968">
            <w:pPr>
              <w:rPr>
                <w:b/>
              </w:rPr>
            </w:pPr>
            <w:r w:rsidRPr="00613884">
              <w:rPr>
                <w:b/>
                <w:color w:val="0070C0"/>
              </w:rPr>
              <w:t xml:space="preserve">Baseline characteristics </w:t>
            </w: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r>
      <w:tr w:rsidR="009373D2" w:rsidTr="00B83968">
        <w:tc>
          <w:tcPr>
            <w:tcW w:w="2254" w:type="dxa"/>
          </w:tcPr>
          <w:p w:rsidR="009373D2" w:rsidRDefault="009373D2" w:rsidP="00B83968">
            <w:r>
              <w:t>Population studied</w:t>
            </w:r>
          </w:p>
        </w:tc>
        <w:tc>
          <w:tcPr>
            <w:tcW w:w="2254" w:type="dxa"/>
          </w:tcPr>
          <w:p w:rsidR="009373D2" w:rsidRDefault="009373D2" w:rsidP="00B83968">
            <w:pPr>
              <w:jc w:val="center"/>
            </w:pPr>
            <w:proofErr w:type="spellStart"/>
            <w:r>
              <w:t>Predialysis</w:t>
            </w:r>
            <w:proofErr w:type="spellEnd"/>
            <w:r>
              <w:t xml:space="preserve"> CKD Stage 3,4; Multinational</w:t>
            </w:r>
          </w:p>
        </w:tc>
        <w:tc>
          <w:tcPr>
            <w:tcW w:w="2254" w:type="dxa"/>
          </w:tcPr>
          <w:p w:rsidR="009373D2" w:rsidRDefault="009373D2" w:rsidP="00B83968">
            <w:pPr>
              <w:jc w:val="center"/>
            </w:pPr>
            <w:proofErr w:type="spellStart"/>
            <w:r>
              <w:t>Predialysis</w:t>
            </w:r>
            <w:proofErr w:type="spellEnd"/>
            <w:r>
              <w:t xml:space="preserve"> CKD Stage 3,4,5; Chinese</w:t>
            </w:r>
          </w:p>
        </w:tc>
        <w:tc>
          <w:tcPr>
            <w:tcW w:w="2254" w:type="dxa"/>
          </w:tcPr>
          <w:p w:rsidR="009373D2" w:rsidRDefault="009373D2" w:rsidP="00B83968">
            <w:pPr>
              <w:jc w:val="center"/>
            </w:pPr>
            <w:proofErr w:type="spellStart"/>
            <w:r>
              <w:t>Predialysis</w:t>
            </w:r>
            <w:proofErr w:type="spellEnd"/>
            <w:r>
              <w:t xml:space="preserve"> CKD stages 3,4; Multi-ethnic</w:t>
            </w:r>
          </w:p>
        </w:tc>
      </w:tr>
      <w:tr w:rsidR="009373D2" w:rsidTr="00B83968">
        <w:tc>
          <w:tcPr>
            <w:tcW w:w="2254" w:type="dxa"/>
          </w:tcPr>
          <w:p w:rsidR="009373D2" w:rsidRDefault="009373D2" w:rsidP="00B83968">
            <w:r>
              <w:t xml:space="preserve">LV characteristics </w:t>
            </w:r>
          </w:p>
        </w:tc>
        <w:tc>
          <w:tcPr>
            <w:tcW w:w="2254" w:type="dxa"/>
          </w:tcPr>
          <w:p w:rsidR="009373D2" w:rsidRDefault="009373D2" w:rsidP="00B83968">
            <w:pPr>
              <w:jc w:val="center"/>
            </w:pPr>
            <w:r>
              <w:t>Mild or no LVH</w:t>
            </w:r>
          </w:p>
        </w:tc>
        <w:tc>
          <w:tcPr>
            <w:tcW w:w="2254" w:type="dxa"/>
          </w:tcPr>
          <w:p w:rsidR="009373D2" w:rsidRDefault="009373D2" w:rsidP="00B83968">
            <w:pPr>
              <w:jc w:val="center"/>
            </w:pPr>
            <w:r>
              <w:t>Moderate LVH (LVMI 70% or higher, diastolic stiffness)</w:t>
            </w:r>
          </w:p>
        </w:tc>
        <w:tc>
          <w:tcPr>
            <w:tcW w:w="2254" w:type="dxa"/>
          </w:tcPr>
          <w:p w:rsidR="009373D2" w:rsidRDefault="009373D2" w:rsidP="00B83968">
            <w:pPr>
              <w:jc w:val="center"/>
            </w:pPr>
            <w:r>
              <w:t>Mild LVH (LVMI F 80-140 M 100-160 g/m</w:t>
            </w:r>
            <w:r w:rsidRPr="00A16B3F">
              <w:rPr>
                <w:vertAlign w:val="superscript"/>
              </w:rPr>
              <w:t>2</w:t>
            </w:r>
            <w:r>
              <w:t>)</w:t>
            </w:r>
          </w:p>
        </w:tc>
      </w:tr>
      <w:tr w:rsidR="009373D2" w:rsidTr="00B83968">
        <w:tc>
          <w:tcPr>
            <w:tcW w:w="2254" w:type="dxa"/>
          </w:tcPr>
          <w:p w:rsidR="009373D2" w:rsidRDefault="009373D2" w:rsidP="00B83968">
            <w:proofErr w:type="spellStart"/>
            <w:r>
              <w:t>ACEi</w:t>
            </w:r>
            <w:proofErr w:type="spellEnd"/>
            <w:r>
              <w:t>/ARB</w:t>
            </w:r>
          </w:p>
        </w:tc>
        <w:tc>
          <w:tcPr>
            <w:tcW w:w="2254" w:type="dxa"/>
          </w:tcPr>
          <w:p w:rsidR="009373D2" w:rsidRDefault="009373D2" w:rsidP="00B83968">
            <w:pPr>
              <w:jc w:val="center"/>
            </w:pPr>
            <w:r>
              <w:t>95%</w:t>
            </w:r>
          </w:p>
        </w:tc>
        <w:tc>
          <w:tcPr>
            <w:tcW w:w="2254" w:type="dxa"/>
          </w:tcPr>
          <w:p w:rsidR="009373D2" w:rsidRDefault="009373D2" w:rsidP="00B83968">
            <w:pPr>
              <w:jc w:val="center"/>
            </w:pPr>
            <w:r>
              <w:t>85%</w:t>
            </w:r>
          </w:p>
        </w:tc>
        <w:tc>
          <w:tcPr>
            <w:tcW w:w="2254" w:type="dxa"/>
          </w:tcPr>
          <w:p w:rsidR="009373D2" w:rsidRDefault="009373D2" w:rsidP="00B83968">
            <w:pPr>
              <w:jc w:val="center"/>
            </w:pPr>
            <w:r>
              <w:t>100%</w:t>
            </w:r>
          </w:p>
        </w:tc>
      </w:tr>
      <w:tr w:rsidR="009373D2" w:rsidTr="00B83968">
        <w:tc>
          <w:tcPr>
            <w:tcW w:w="2254" w:type="dxa"/>
          </w:tcPr>
          <w:p w:rsidR="009373D2" w:rsidRDefault="009373D2" w:rsidP="00B83968">
            <w:r>
              <w:t>Diabetes included</w:t>
            </w:r>
          </w:p>
        </w:tc>
        <w:tc>
          <w:tcPr>
            <w:tcW w:w="2254" w:type="dxa"/>
          </w:tcPr>
          <w:p w:rsidR="009373D2" w:rsidRDefault="009373D2" w:rsidP="00B83968">
            <w:pPr>
              <w:jc w:val="center"/>
            </w:pPr>
            <w:r>
              <w:t>Yes</w:t>
            </w:r>
          </w:p>
        </w:tc>
        <w:tc>
          <w:tcPr>
            <w:tcW w:w="2254" w:type="dxa"/>
          </w:tcPr>
          <w:p w:rsidR="009373D2" w:rsidRDefault="009373D2" w:rsidP="00B83968">
            <w:pPr>
              <w:jc w:val="center"/>
            </w:pPr>
            <w:r>
              <w:t>Yes</w:t>
            </w:r>
          </w:p>
        </w:tc>
        <w:tc>
          <w:tcPr>
            <w:tcW w:w="2254" w:type="dxa"/>
          </w:tcPr>
          <w:p w:rsidR="009373D2" w:rsidRDefault="009373D2" w:rsidP="00B83968">
            <w:pPr>
              <w:jc w:val="center"/>
            </w:pPr>
            <w:r>
              <w:t>No</w:t>
            </w:r>
          </w:p>
        </w:tc>
      </w:tr>
      <w:tr w:rsidR="009373D2" w:rsidTr="00B83968">
        <w:tc>
          <w:tcPr>
            <w:tcW w:w="2254" w:type="dxa"/>
          </w:tcPr>
          <w:p w:rsidR="009373D2" w:rsidRDefault="009373D2" w:rsidP="00B83968">
            <w:r>
              <w:t>Vitamin D concentration</w:t>
            </w:r>
          </w:p>
        </w:tc>
        <w:tc>
          <w:tcPr>
            <w:tcW w:w="2254" w:type="dxa"/>
          </w:tcPr>
          <w:p w:rsidR="009373D2" w:rsidRDefault="009373D2" w:rsidP="00B83968">
            <w:pPr>
              <w:jc w:val="center"/>
            </w:pPr>
            <w:r>
              <w:t>Not measure</w:t>
            </w:r>
          </w:p>
        </w:tc>
        <w:tc>
          <w:tcPr>
            <w:tcW w:w="2254" w:type="dxa"/>
          </w:tcPr>
          <w:p w:rsidR="009373D2" w:rsidRDefault="009373D2" w:rsidP="00B83968">
            <w:pPr>
              <w:jc w:val="center"/>
            </w:pPr>
            <w:r>
              <w:t>Not measured</w:t>
            </w:r>
          </w:p>
        </w:tc>
        <w:tc>
          <w:tcPr>
            <w:tcW w:w="2254" w:type="dxa"/>
          </w:tcPr>
          <w:p w:rsidR="009373D2" w:rsidRDefault="009373D2" w:rsidP="00B83968">
            <w:pPr>
              <w:jc w:val="center"/>
            </w:pPr>
            <w:r>
              <w:t xml:space="preserve">43 </w:t>
            </w:r>
            <w:proofErr w:type="spellStart"/>
            <w:r>
              <w:t>nmol</w:t>
            </w:r>
            <w:proofErr w:type="spellEnd"/>
            <w:r>
              <w:t>/L</w:t>
            </w:r>
          </w:p>
        </w:tc>
      </w:tr>
      <w:tr w:rsidR="009373D2" w:rsidTr="00B83968">
        <w:tc>
          <w:tcPr>
            <w:tcW w:w="2254" w:type="dxa"/>
            <w:shd w:val="clear" w:color="auto" w:fill="DAEEF3" w:themeFill="accent5" w:themeFillTint="33"/>
          </w:tcPr>
          <w:p w:rsidR="009373D2" w:rsidRDefault="009373D2" w:rsidP="00B83968">
            <w:pPr>
              <w:rPr>
                <w:b/>
                <w:color w:val="0070C0"/>
              </w:rPr>
            </w:pPr>
            <w:r w:rsidRPr="00D10480">
              <w:rPr>
                <w:b/>
                <w:color w:val="0070C0"/>
              </w:rPr>
              <w:t>Therapy</w:t>
            </w:r>
          </w:p>
          <w:p w:rsidR="009373D2" w:rsidRPr="00D10480" w:rsidRDefault="009373D2" w:rsidP="00B83968">
            <w:pPr>
              <w:rPr>
                <w:b/>
              </w:rPr>
            </w:pP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r>
      <w:tr w:rsidR="009373D2" w:rsidTr="00B83968">
        <w:tc>
          <w:tcPr>
            <w:tcW w:w="2254" w:type="dxa"/>
          </w:tcPr>
          <w:p w:rsidR="009373D2" w:rsidRPr="00D10480" w:rsidRDefault="009373D2" w:rsidP="00B83968">
            <w:r w:rsidRPr="00D10480">
              <w:t>Intervention</w:t>
            </w:r>
          </w:p>
          <w:p w:rsidR="009373D2" w:rsidRPr="00613884" w:rsidRDefault="009373D2" w:rsidP="00B83968">
            <w:pPr>
              <w:rPr>
                <w:b/>
              </w:rPr>
            </w:pPr>
          </w:p>
        </w:tc>
        <w:tc>
          <w:tcPr>
            <w:tcW w:w="2254" w:type="dxa"/>
          </w:tcPr>
          <w:p w:rsidR="009373D2" w:rsidRDefault="009373D2" w:rsidP="00B83968">
            <w:pPr>
              <w:jc w:val="center"/>
            </w:pPr>
            <w:proofErr w:type="spellStart"/>
            <w:r>
              <w:t>Paricalcitol</w:t>
            </w:r>
            <w:proofErr w:type="spellEnd"/>
          </w:p>
        </w:tc>
        <w:tc>
          <w:tcPr>
            <w:tcW w:w="2254" w:type="dxa"/>
          </w:tcPr>
          <w:p w:rsidR="009373D2" w:rsidRDefault="009373D2" w:rsidP="00B83968">
            <w:pPr>
              <w:jc w:val="center"/>
            </w:pPr>
            <w:proofErr w:type="spellStart"/>
            <w:r>
              <w:t>Paricalcitol</w:t>
            </w:r>
            <w:proofErr w:type="spellEnd"/>
          </w:p>
        </w:tc>
        <w:tc>
          <w:tcPr>
            <w:tcW w:w="2254" w:type="dxa"/>
          </w:tcPr>
          <w:p w:rsidR="009373D2" w:rsidRDefault="009373D2" w:rsidP="00B83968">
            <w:pPr>
              <w:jc w:val="center"/>
            </w:pPr>
            <w:proofErr w:type="spellStart"/>
            <w:r>
              <w:t>Cholecalciferol</w:t>
            </w:r>
            <w:proofErr w:type="spellEnd"/>
          </w:p>
        </w:tc>
      </w:tr>
      <w:tr w:rsidR="009373D2" w:rsidTr="00B83968">
        <w:tc>
          <w:tcPr>
            <w:tcW w:w="2254" w:type="dxa"/>
          </w:tcPr>
          <w:p w:rsidR="009373D2" w:rsidRPr="00613884" w:rsidRDefault="009373D2" w:rsidP="00B83968">
            <w:r w:rsidRPr="00613884">
              <w:t xml:space="preserve">Duration of therapy </w:t>
            </w:r>
          </w:p>
        </w:tc>
        <w:tc>
          <w:tcPr>
            <w:tcW w:w="2254" w:type="dxa"/>
          </w:tcPr>
          <w:p w:rsidR="009373D2" w:rsidRDefault="009373D2" w:rsidP="00B83968">
            <w:pPr>
              <w:jc w:val="center"/>
            </w:pPr>
            <w:r>
              <w:t>48 weeks</w:t>
            </w:r>
          </w:p>
        </w:tc>
        <w:tc>
          <w:tcPr>
            <w:tcW w:w="2254" w:type="dxa"/>
          </w:tcPr>
          <w:p w:rsidR="009373D2" w:rsidRDefault="009373D2" w:rsidP="00B83968">
            <w:pPr>
              <w:jc w:val="center"/>
            </w:pPr>
            <w:r>
              <w:t>52 weeks</w:t>
            </w:r>
          </w:p>
        </w:tc>
        <w:tc>
          <w:tcPr>
            <w:tcW w:w="2254" w:type="dxa"/>
          </w:tcPr>
          <w:p w:rsidR="009373D2" w:rsidRDefault="009373D2" w:rsidP="00B83968">
            <w:pPr>
              <w:jc w:val="center"/>
            </w:pPr>
            <w:r>
              <w:t>40 weeks</w:t>
            </w:r>
          </w:p>
        </w:tc>
      </w:tr>
      <w:tr w:rsidR="009373D2" w:rsidTr="00B83968">
        <w:tc>
          <w:tcPr>
            <w:tcW w:w="2254" w:type="dxa"/>
          </w:tcPr>
          <w:p w:rsidR="009373D2" w:rsidRDefault="009373D2" w:rsidP="00B83968">
            <w:r>
              <w:t>Dose of Vitamin D</w:t>
            </w:r>
          </w:p>
        </w:tc>
        <w:tc>
          <w:tcPr>
            <w:tcW w:w="2254" w:type="dxa"/>
          </w:tcPr>
          <w:p w:rsidR="009373D2" w:rsidRDefault="009373D2" w:rsidP="00B83968">
            <w:pPr>
              <w:jc w:val="center"/>
            </w:pPr>
            <w:r>
              <w:t>2 µg/d</w:t>
            </w:r>
          </w:p>
        </w:tc>
        <w:tc>
          <w:tcPr>
            <w:tcW w:w="2254" w:type="dxa"/>
          </w:tcPr>
          <w:p w:rsidR="009373D2" w:rsidRDefault="009373D2" w:rsidP="00B83968">
            <w:pPr>
              <w:jc w:val="center"/>
            </w:pPr>
            <w:r>
              <w:t>1 µg/d</w:t>
            </w:r>
          </w:p>
        </w:tc>
        <w:tc>
          <w:tcPr>
            <w:tcW w:w="2254" w:type="dxa"/>
          </w:tcPr>
          <w:p w:rsidR="009373D2" w:rsidRDefault="009373D2" w:rsidP="00B83968">
            <w:pPr>
              <w:jc w:val="center"/>
            </w:pPr>
            <w:r>
              <w:t>100,000 IU six doses</w:t>
            </w:r>
          </w:p>
        </w:tc>
      </w:tr>
      <w:tr w:rsidR="009373D2" w:rsidTr="00B83968">
        <w:tc>
          <w:tcPr>
            <w:tcW w:w="2254" w:type="dxa"/>
            <w:shd w:val="clear" w:color="auto" w:fill="DAEEF3" w:themeFill="accent5" w:themeFillTint="33"/>
          </w:tcPr>
          <w:p w:rsidR="009373D2" w:rsidRDefault="009373D2" w:rsidP="00B83968">
            <w:pPr>
              <w:rPr>
                <w:b/>
                <w:color w:val="0070C0"/>
              </w:rPr>
            </w:pPr>
            <w:r w:rsidRPr="00613884">
              <w:rPr>
                <w:b/>
                <w:color w:val="0070C0"/>
              </w:rPr>
              <w:t xml:space="preserve">Effects </w:t>
            </w:r>
          </w:p>
          <w:p w:rsidR="009373D2" w:rsidRPr="00613884" w:rsidRDefault="009373D2" w:rsidP="00B83968">
            <w:pPr>
              <w:rPr>
                <w:b/>
              </w:rPr>
            </w:pP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c>
          <w:tcPr>
            <w:tcW w:w="2254" w:type="dxa"/>
            <w:shd w:val="clear" w:color="auto" w:fill="DAEEF3" w:themeFill="accent5" w:themeFillTint="33"/>
          </w:tcPr>
          <w:p w:rsidR="009373D2" w:rsidRDefault="009373D2" w:rsidP="00B83968">
            <w:pPr>
              <w:jc w:val="center"/>
            </w:pPr>
          </w:p>
        </w:tc>
      </w:tr>
      <w:tr w:rsidR="009373D2" w:rsidTr="00B83968">
        <w:tc>
          <w:tcPr>
            <w:tcW w:w="2254" w:type="dxa"/>
          </w:tcPr>
          <w:p w:rsidR="009373D2" w:rsidRDefault="009373D2" w:rsidP="00B83968">
            <w:r>
              <w:t xml:space="preserve">Parathyroid hormone changes </w:t>
            </w:r>
          </w:p>
        </w:tc>
        <w:tc>
          <w:tcPr>
            <w:tcW w:w="2254" w:type="dxa"/>
          </w:tcPr>
          <w:p w:rsidR="009373D2" w:rsidRDefault="009373D2" w:rsidP="00B83968">
            <w:pPr>
              <w:jc w:val="center"/>
            </w:pPr>
            <w:r>
              <w:t>Significant decrease</w:t>
            </w:r>
          </w:p>
        </w:tc>
        <w:tc>
          <w:tcPr>
            <w:tcW w:w="2254" w:type="dxa"/>
          </w:tcPr>
          <w:p w:rsidR="009373D2" w:rsidRDefault="009373D2" w:rsidP="00B83968">
            <w:pPr>
              <w:jc w:val="center"/>
            </w:pPr>
            <w:r>
              <w:t>Significant decrease</w:t>
            </w:r>
          </w:p>
        </w:tc>
        <w:tc>
          <w:tcPr>
            <w:tcW w:w="2254" w:type="dxa"/>
          </w:tcPr>
          <w:p w:rsidR="009373D2" w:rsidRDefault="009373D2" w:rsidP="00B83968">
            <w:pPr>
              <w:jc w:val="center"/>
            </w:pPr>
            <w:r>
              <w:t>Mild decrease</w:t>
            </w:r>
          </w:p>
        </w:tc>
      </w:tr>
      <w:tr w:rsidR="009373D2" w:rsidTr="00B83968">
        <w:tc>
          <w:tcPr>
            <w:tcW w:w="2254" w:type="dxa"/>
          </w:tcPr>
          <w:p w:rsidR="009373D2" w:rsidRDefault="009373D2" w:rsidP="00B83968">
            <w:proofErr w:type="spellStart"/>
            <w:r>
              <w:t>Hypercalcaemia</w:t>
            </w:r>
            <w:proofErr w:type="spellEnd"/>
            <w:r>
              <w:t xml:space="preserve"> (%)</w:t>
            </w:r>
          </w:p>
        </w:tc>
        <w:tc>
          <w:tcPr>
            <w:tcW w:w="2254" w:type="dxa"/>
          </w:tcPr>
          <w:p w:rsidR="009373D2" w:rsidRDefault="009373D2" w:rsidP="00B83968">
            <w:pPr>
              <w:jc w:val="center"/>
            </w:pPr>
            <w:r>
              <w:t>23%</w:t>
            </w:r>
          </w:p>
        </w:tc>
        <w:tc>
          <w:tcPr>
            <w:tcW w:w="2254" w:type="dxa"/>
          </w:tcPr>
          <w:p w:rsidR="009373D2" w:rsidRDefault="009373D2" w:rsidP="00B83968">
            <w:pPr>
              <w:jc w:val="center"/>
            </w:pPr>
            <w:r>
              <w:t>44%</w:t>
            </w:r>
          </w:p>
        </w:tc>
        <w:tc>
          <w:tcPr>
            <w:tcW w:w="2254" w:type="dxa"/>
          </w:tcPr>
          <w:p w:rsidR="009373D2" w:rsidRDefault="009373D2" w:rsidP="00B83968">
            <w:pPr>
              <w:jc w:val="center"/>
            </w:pPr>
            <w:r>
              <w:t>2/49 (4%)</w:t>
            </w:r>
          </w:p>
        </w:tc>
      </w:tr>
      <w:tr w:rsidR="009373D2" w:rsidTr="00B83968">
        <w:tc>
          <w:tcPr>
            <w:tcW w:w="2254" w:type="dxa"/>
          </w:tcPr>
          <w:p w:rsidR="009373D2" w:rsidRDefault="009373D2" w:rsidP="00B83968">
            <w:r>
              <w:t>LVMI</w:t>
            </w:r>
          </w:p>
        </w:tc>
        <w:tc>
          <w:tcPr>
            <w:tcW w:w="2254" w:type="dxa"/>
          </w:tcPr>
          <w:p w:rsidR="009373D2" w:rsidRDefault="009373D2" w:rsidP="00B83968">
            <w:pPr>
              <w:jc w:val="center"/>
            </w:pPr>
            <w:r>
              <w:t>No change</w:t>
            </w:r>
          </w:p>
        </w:tc>
        <w:tc>
          <w:tcPr>
            <w:tcW w:w="2254" w:type="dxa"/>
          </w:tcPr>
          <w:p w:rsidR="009373D2" w:rsidRDefault="009373D2" w:rsidP="00B83968">
            <w:pPr>
              <w:jc w:val="center"/>
            </w:pPr>
            <w:r>
              <w:t>No change</w:t>
            </w:r>
          </w:p>
        </w:tc>
        <w:tc>
          <w:tcPr>
            <w:tcW w:w="2254" w:type="dxa"/>
          </w:tcPr>
          <w:p w:rsidR="009373D2" w:rsidRDefault="009373D2" w:rsidP="00B83968">
            <w:pPr>
              <w:jc w:val="center"/>
            </w:pPr>
            <w:r>
              <w:t>No change</w:t>
            </w:r>
          </w:p>
        </w:tc>
      </w:tr>
      <w:tr w:rsidR="009373D2" w:rsidTr="00B83968">
        <w:tc>
          <w:tcPr>
            <w:tcW w:w="2254" w:type="dxa"/>
          </w:tcPr>
          <w:p w:rsidR="009373D2" w:rsidRDefault="009373D2" w:rsidP="00B83968">
            <w:r>
              <w:t xml:space="preserve">Hospitalisation </w:t>
            </w:r>
          </w:p>
        </w:tc>
        <w:tc>
          <w:tcPr>
            <w:tcW w:w="2254" w:type="dxa"/>
          </w:tcPr>
          <w:p w:rsidR="009373D2" w:rsidRDefault="009373D2" w:rsidP="00B83968">
            <w:pPr>
              <w:jc w:val="center"/>
            </w:pPr>
            <w:r>
              <w:t>Lower hospitalisation*</w:t>
            </w:r>
          </w:p>
        </w:tc>
        <w:tc>
          <w:tcPr>
            <w:tcW w:w="2254" w:type="dxa"/>
          </w:tcPr>
          <w:p w:rsidR="009373D2" w:rsidRDefault="009373D2" w:rsidP="00B83968">
            <w:pPr>
              <w:jc w:val="center"/>
            </w:pPr>
            <w:r w:rsidRPr="00D10480">
              <w:t>Lower hospitalisation</w:t>
            </w:r>
            <w:r>
              <w:t>*</w:t>
            </w:r>
          </w:p>
        </w:tc>
        <w:tc>
          <w:tcPr>
            <w:tcW w:w="2254" w:type="dxa"/>
          </w:tcPr>
          <w:p w:rsidR="009373D2" w:rsidRDefault="009373D2" w:rsidP="00B83968">
            <w:pPr>
              <w:jc w:val="center"/>
            </w:pPr>
            <w:r>
              <w:t>-</w:t>
            </w:r>
          </w:p>
        </w:tc>
      </w:tr>
      <w:tr w:rsidR="009373D2" w:rsidTr="00B83968">
        <w:tc>
          <w:tcPr>
            <w:tcW w:w="2254" w:type="dxa"/>
          </w:tcPr>
          <w:p w:rsidR="009373D2" w:rsidRDefault="009373D2" w:rsidP="00B83968">
            <w:r>
              <w:t xml:space="preserve">Other effects </w:t>
            </w:r>
          </w:p>
        </w:tc>
        <w:tc>
          <w:tcPr>
            <w:tcW w:w="2254" w:type="dxa"/>
          </w:tcPr>
          <w:p w:rsidR="009373D2" w:rsidRDefault="009373D2" w:rsidP="00B83968">
            <w:pPr>
              <w:jc w:val="center"/>
            </w:pPr>
            <w:r>
              <w:t>Low BNP; Low left atrial volume</w:t>
            </w:r>
          </w:p>
        </w:tc>
        <w:tc>
          <w:tcPr>
            <w:tcW w:w="2254" w:type="dxa"/>
          </w:tcPr>
          <w:p w:rsidR="009373D2" w:rsidRDefault="009373D2" w:rsidP="00B83968">
            <w:pPr>
              <w:jc w:val="center"/>
            </w:pPr>
          </w:p>
        </w:tc>
        <w:tc>
          <w:tcPr>
            <w:tcW w:w="2254" w:type="dxa"/>
          </w:tcPr>
          <w:p w:rsidR="009373D2" w:rsidRDefault="009373D2" w:rsidP="00B83968">
            <w:pPr>
              <w:jc w:val="center"/>
            </w:pPr>
          </w:p>
        </w:tc>
      </w:tr>
    </w:tbl>
    <w:p w:rsidR="009373D2" w:rsidRDefault="009373D2" w:rsidP="009373D2">
      <w:r>
        <w:t>Legend *not powered</w:t>
      </w:r>
      <w:r w:rsidR="001813AB">
        <w:t xml:space="preserve"> but </w:t>
      </w:r>
      <w:proofErr w:type="spellStart"/>
      <w:r w:rsidR="001813AB">
        <w:t>prespecified</w:t>
      </w:r>
      <w:proofErr w:type="spellEnd"/>
      <w:r w:rsidR="001813AB">
        <w:t xml:space="preserve"> endpoint </w:t>
      </w:r>
      <w:r>
        <w:t xml:space="preserve"> </w:t>
      </w:r>
    </w:p>
    <w:p w:rsidR="009373D2" w:rsidRDefault="009373D2" w:rsidP="009373D2"/>
    <w:p w:rsidR="009373D2" w:rsidRDefault="009373D2" w:rsidP="009D5C89">
      <w:pPr>
        <w:spacing w:after="0" w:line="240" w:lineRule="auto"/>
      </w:pPr>
    </w:p>
    <w:p w:rsidR="00980FFF" w:rsidRDefault="00980FFF">
      <w:r>
        <w:br w:type="page"/>
      </w:r>
    </w:p>
    <w:p w:rsidR="00980FFF" w:rsidRDefault="00980FFF" w:rsidP="00980FFF">
      <w:pPr>
        <w:spacing w:after="0" w:line="240" w:lineRule="auto"/>
      </w:pPr>
      <w:r>
        <w:lastRenderedPageBreak/>
        <w:t>Figure legends:</w:t>
      </w:r>
    </w:p>
    <w:p w:rsidR="00980FFF" w:rsidRDefault="00980FFF" w:rsidP="00980FFF">
      <w:pPr>
        <w:spacing w:after="0" w:line="240" w:lineRule="auto"/>
      </w:pPr>
      <w:r>
        <w:t>Figure 1: Process of screening, randomisation and treatment</w:t>
      </w:r>
    </w:p>
    <w:p w:rsidR="00980FFF" w:rsidRDefault="00980FFF" w:rsidP="00980FFF">
      <w:pPr>
        <w:spacing w:after="0" w:line="240" w:lineRule="auto"/>
      </w:pPr>
      <w:r>
        <w:t>Figure 2: Raw data representing individual variability for the main cardiac variables. The black thick line joins the raw mean at the baseline with that at the follow up.</w:t>
      </w:r>
    </w:p>
    <w:p w:rsidR="00450FDD" w:rsidRDefault="00450FDD" w:rsidP="00450FDD">
      <w:pPr>
        <w:spacing w:after="0" w:line="240" w:lineRule="auto"/>
      </w:pPr>
      <w:r>
        <w:t xml:space="preserve">Figure </w:t>
      </w:r>
      <w:r w:rsidRPr="00450FDD">
        <w:rPr>
          <w:color w:val="0070C0"/>
          <w:u w:val="single"/>
        </w:rPr>
        <w:t>3</w:t>
      </w:r>
      <w:r>
        <w:t xml:space="preserve">: 25 </w:t>
      </w:r>
      <w:proofErr w:type="spellStart"/>
      <w:r>
        <w:t>hydroxy</w:t>
      </w:r>
      <w:proofErr w:type="spellEnd"/>
      <w:r>
        <w:t xml:space="preserve"> Vitamin D concentration in patients on vitamin D and placebo at baseline, 24 and 52 weeks</w:t>
      </w:r>
    </w:p>
    <w:p w:rsidR="00980FFF" w:rsidRDefault="00450FDD" w:rsidP="00980FFF">
      <w:pPr>
        <w:spacing w:after="0" w:line="240" w:lineRule="auto"/>
      </w:pPr>
      <w:r>
        <w:t xml:space="preserve">Figure </w:t>
      </w:r>
      <w:r w:rsidRPr="00450FDD">
        <w:rPr>
          <w:color w:val="0070C0"/>
        </w:rPr>
        <w:t>4</w:t>
      </w:r>
      <w:r w:rsidR="00980FFF">
        <w:t>: Meta-analysis of studies on impact of Vitamin D on Left Ventricular Mass in CKD patients</w:t>
      </w:r>
    </w:p>
    <w:p w:rsidR="006870B7" w:rsidRDefault="006870B7" w:rsidP="009D5C89">
      <w:pPr>
        <w:spacing w:after="0" w:line="240" w:lineRule="auto"/>
      </w:pPr>
      <w:bookmarkStart w:id="0" w:name="_GoBack"/>
      <w:bookmarkEnd w:id="0"/>
    </w:p>
    <w:p w:rsidR="006870B7" w:rsidRDefault="006870B7" w:rsidP="006870B7">
      <w:pPr>
        <w:spacing w:after="0" w:line="240" w:lineRule="auto"/>
        <w:jc w:val="center"/>
      </w:pPr>
    </w:p>
    <w:p w:rsidR="006870B7" w:rsidRDefault="006870B7" w:rsidP="006870B7">
      <w:pPr>
        <w:spacing w:after="0" w:line="240" w:lineRule="auto"/>
        <w:jc w:val="center"/>
      </w:pPr>
    </w:p>
    <w:p w:rsidR="00267BF7" w:rsidRPr="006870B7" w:rsidRDefault="00267BF7" w:rsidP="006870B7">
      <w:pPr>
        <w:spacing w:after="0" w:line="240" w:lineRule="auto"/>
      </w:pPr>
    </w:p>
    <w:sectPr w:rsidR="00267BF7" w:rsidRPr="006870B7" w:rsidSect="00464C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24" w:rsidRDefault="00CF2F24" w:rsidP="00A94A3F">
      <w:pPr>
        <w:spacing w:after="0" w:line="240" w:lineRule="auto"/>
      </w:pPr>
      <w:r>
        <w:separator/>
      </w:r>
    </w:p>
  </w:endnote>
  <w:endnote w:type="continuationSeparator" w:id="0">
    <w:p w:rsidR="00CF2F24" w:rsidRDefault="00CF2F24" w:rsidP="00A9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84203"/>
      <w:docPartObj>
        <w:docPartGallery w:val="Page Numbers (Bottom of Page)"/>
        <w:docPartUnique/>
      </w:docPartObj>
    </w:sdtPr>
    <w:sdtEndPr>
      <w:rPr>
        <w:noProof/>
      </w:rPr>
    </w:sdtEndPr>
    <w:sdtContent>
      <w:p w:rsidR="00CF2F24" w:rsidRDefault="00C10A83">
        <w:pPr>
          <w:pStyle w:val="Footer"/>
          <w:jc w:val="right"/>
        </w:pPr>
        <w:r>
          <w:fldChar w:fldCharType="begin"/>
        </w:r>
        <w:r w:rsidR="00CF2F24">
          <w:instrText xml:space="preserve"> PAGE   \* MERGEFORMAT </w:instrText>
        </w:r>
        <w:r>
          <w:fldChar w:fldCharType="separate"/>
        </w:r>
        <w:r w:rsidR="00450FDD">
          <w:rPr>
            <w:noProof/>
          </w:rPr>
          <w:t>31</w:t>
        </w:r>
        <w:r>
          <w:rPr>
            <w:noProof/>
          </w:rPr>
          <w:fldChar w:fldCharType="end"/>
        </w:r>
      </w:p>
    </w:sdtContent>
  </w:sdt>
  <w:p w:rsidR="00CF2F24" w:rsidRDefault="00CF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24" w:rsidRDefault="00CF2F24" w:rsidP="00A94A3F">
      <w:pPr>
        <w:spacing w:after="0" w:line="240" w:lineRule="auto"/>
      </w:pPr>
      <w:r>
        <w:separator/>
      </w:r>
    </w:p>
  </w:footnote>
  <w:footnote w:type="continuationSeparator" w:id="0">
    <w:p w:rsidR="00CF2F24" w:rsidRDefault="00CF2F24" w:rsidP="00A9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24" w:rsidRPr="00EB7A83" w:rsidRDefault="00CF2F24">
    <w:pPr>
      <w:pStyle w:val="Header"/>
      <w:rPr>
        <w:color w:val="D9D9D9" w:themeColor="background1" w:themeShade="D9"/>
        <w:sz w:val="16"/>
        <w:szCs w:val="16"/>
      </w:rPr>
    </w:pPr>
    <w:r w:rsidRPr="00EB7A83">
      <w:rPr>
        <w:color w:val="D9D9D9" w:themeColor="background1" w:themeShade="D9"/>
        <w:sz w:val="16"/>
        <w:szCs w:val="16"/>
      </w:rPr>
      <w:t>Version 3.</w:t>
    </w:r>
    <w:r>
      <w:rPr>
        <w:color w:val="D9D9D9" w:themeColor="background1" w:themeShade="D9"/>
        <w:sz w:val="16"/>
        <w:szCs w:val="16"/>
      </w:rPr>
      <w:t>7 30-06-2019</w:t>
    </w:r>
  </w:p>
  <w:p w:rsidR="00CF2F24" w:rsidRDefault="00CF2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258B"/>
    <w:multiLevelType w:val="hybridMultilevel"/>
    <w:tmpl w:val="7B3E6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asish Banerjee">
    <w15:presenceInfo w15:providerId="AD" w15:userId="S-1-5-21-2835755355-634858697-2241794094-43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55425"/>
    <w:rsid w:val="00021F89"/>
    <w:rsid w:val="00032042"/>
    <w:rsid w:val="0004128B"/>
    <w:rsid w:val="0004358B"/>
    <w:rsid w:val="0005360B"/>
    <w:rsid w:val="00055FC4"/>
    <w:rsid w:val="00075FB5"/>
    <w:rsid w:val="00091C70"/>
    <w:rsid w:val="00092C26"/>
    <w:rsid w:val="000936EE"/>
    <w:rsid w:val="000C5EEE"/>
    <w:rsid w:val="000D3304"/>
    <w:rsid w:val="000E5534"/>
    <w:rsid w:val="00111B25"/>
    <w:rsid w:val="00112AAD"/>
    <w:rsid w:val="001302AF"/>
    <w:rsid w:val="00131409"/>
    <w:rsid w:val="00137603"/>
    <w:rsid w:val="00141479"/>
    <w:rsid w:val="001439B9"/>
    <w:rsid w:val="00144E32"/>
    <w:rsid w:val="001534A1"/>
    <w:rsid w:val="00154B11"/>
    <w:rsid w:val="00154CB2"/>
    <w:rsid w:val="00155964"/>
    <w:rsid w:val="00172518"/>
    <w:rsid w:val="001813AB"/>
    <w:rsid w:val="00187E50"/>
    <w:rsid w:val="00191780"/>
    <w:rsid w:val="00193940"/>
    <w:rsid w:val="00196D9C"/>
    <w:rsid w:val="001A61A8"/>
    <w:rsid w:val="001A670F"/>
    <w:rsid w:val="001B416F"/>
    <w:rsid w:val="001C4A2F"/>
    <w:rsid w:val="001E6AB4"/>
    <w:rsid w:val="001F37BA"/>
    <w:rsid w:val="001F6609"/>
    <w:rsid w:val="002201C6"/>
    <w:rsid w:val="00221AC1"/>
    <w:rsid w:val="00223F51"/>
    <w:rsid w:val="00226F0E"/>
    <w:rsid w:val="0023289F"/>
    <w:rsid w:val="00257C2D"/>
    <w:rsid w:val="00261D1B"/>
    <w:rsid w:val="00262216"/>
    <w:rsid w:val="0026244E"/>
    <w:rsid w:val="00262DF9"/>
    <w:rsid w:val="002630D0"/>
    <w:rsid w:val="00267BF7"/>
    <w:rsid w:val="002722BF"/>
    <w:rsid w:val="00284124"/>
    <w:rsid w:val="00294F80"/>
    <w:rsid w:val="002A609D"/>
    <w:rsid w:val="002D12EF"/>
    <w:rsid w:val="002D6547"/>
    <w:rsid w:val="002D7FB6"/>
    <w:rsid w:val="002E4B2B"/>
    <w:rsid w:val="002F048B"/>
    <w:rsid w:val="0030397E"/>
    <w:rsid w:val="00315A67"/>
    <w:rsid w:val="00325E2E"/>
    <w:rsid w:val="00334B88"/>
    <w:rsid w:val="003418D6"/>
    <w:rsid w:val="00345F2D"/>
    <w:rsid w:val="00357628"/>
    <w:rsid w:val="00380477"/>
    <w:rsid w:val="0039276D"/>
    <w:rsid w:val="00392CBD"/>
    <w:rsid w:val="00396215"/>
    <w:rsid w:val="003A7F5D"/>
    <w:rsid w:val="003B5B52"/>
    <w:rsid w:val="003C0E88"/>
    <w:rsid w:val="003D08FF"/>
    <w:rsid w:val="003E539F"/>
    <w:rsid w:val="003F2D60"/>
    <w:rsid w:val="003F6C54"/>
    <w:rsid w:val="003F76E5"/>
    <w:rsid w:val="00404EAD"/>
    <w:rsid w:val="00405B16"/>
    <w:rsid w:val="00416408"/>
    <w:rsid w:val="0042526E"/>
    <w:rsid w:val="00431A0B"/>
    <w:rsid w:val="0043260F"/>
    <w:rsid w:val="00440AF0"/>
    <w:rsid w:val="00450FDD"/>
    <w:rsid w:val="00456A47"/>
    <w:rsid w:val="00464CFD"/>
    <w:rsid w:val="00485D15"/>
    <w:rsid w:val="00493151"/>
    <w:rsid w:val="00495769"/>
    <w:rsid w:val="004A3C45"/>
    <w:rsid w:val="004B2A28"/>
    <w:rsid w:val="004C0A90"/>
    <w:rsid w:val="004C1C31"/>
    <w:rsid w:val="004D000B"/>
    <w:rsid w:val="004D74CD"/>
    <w:rsid w:val="004E2550"/>
    <w:rsid w:val="004F271D"/>
    <w:rsid w:val="00500C30"/>
    <w:rsid w:val="005155E0"/>
    <w:rsid w:val="00530111"/>
    <w:rsid w:val="0053041F"/>
    <w:rsid w:val="005513BC"/>
    <w:rsid w:val="00554741"/>
    <w:rsid w:val="00565910"/>
    <w:rsid w:val="00572DF2"/>
    <w:rsid w:val="00582579"/>
    <w:rsid w:val="00584F04"/>
    <w:rsid w:val="00590F15"/>
    <w:rsid w:val="00591E78"/>
    <w:rsid w:val="00593AC5"/>
    <w:rsid w:val="005A0198"/>
    <w:rsid w:val="005A5DDE"/>
    <w:rsid w:val="005A7CB6"/>
    <w:rsid w:val="005B28C2"/>
    <w:rsid w:val="005C3A72"/>
    <w:rsid w:val="005E11B2"/>
    <w:rsid w:val="005E4266"/>
    <w:rsid w:val="005E5EAD"/>
    <w:rsid w:val="005E61F4"/>
    <w:rsid w:val="005F6275"/>
    <w:rsid w:val="00602B0A"/>
    <w:rsid w:val="006272D9"/>
    <w:rsid w:val="006300B2"/>
    <w:rsid w:val="00647999"/>
    <w:rsid w:val="00653606"/>
    <w:rsid w:val="00655425"/>
    <w:rsid w:val="0066068D"/>
    <w:rsid w:val="00660BA4"/>
    <w:rsid w:val="00661556"/>
    <w:rsid w:val="00672ECD"/>
    <w:rsid w:val="00673DBC"/>
    <w:rsid w:val="00674CEA"/>
    <w:rsid w:val="006870B7"/>
    <w:rsid w:val="006A3DC9"/>
    <w:rsid w:val="006B6628"/>
    <w:rsid w:val="006B7146"/>
    <w:rsid w:val="006C1A5B"/>
    <w:rsid w:val="006D083C"/>
    <w:rsid w:val="006D369F"/>
    <w:rsid w:val="006D746B"/>
    <w:rsid w:val="006E1947"/>
    <w:rsid w:val="00700368"/>
    <w:rsid w:val="00700EEA"/>
    <w:rsid w:val="00703431"/>
    <w:rsid w:val="00717672"/>
    <w:rsid w:val="00731FA6"/>
    <w:rsid w:val="00744407"/>
    <w:rsid w:val="007575B5"/>
    <w:rsid w:val="00770217"/>
    <w:rsid w:val="00772254"/>
    <w:rsid w:val="00783CDD"/>
    <w:rsid w:val="00785CA6"/>
    <w:rsid w:val="007A7311"/>
    <w:rsid w:val="007B4CCB"/>
    <w:rsid w:val="007C0D62"/>
    <w:rsid w:val="007C30FB"/>
    <w:rsid w:val="007C7CA5"/>
    <w:rsid w:val="007D26C9"/>
    <w:rsid w:val="007D7AE1"/>
    <w:rsid w:val="007E2334"/>
    <w:rsid w:val="0083745D"/>
    <w:rsid w:val="00841E98"/>
    <w:rsid w:val="00847B65"/>
    <w:rsid w:val="0085154E"/>
    <w:rsid w:val="00853CA8"/>
    <w:rsid w:val="0085481A"/>
    <w:rsid w:val="00865DD9"/>
    <w:rsid w:val="00865F08"/>
    <w:rsid w:val="008739BF"/>
    <w:rsid w:val="00881D41"/>
    <w:rsid w:val="00884C4F"/>
    <w:rsid w:val="00895092"/>
    <w:rsid w:val="00897F78"/>
    <w:rsid w:val="008B180C"/>
    <w:rsid w:val="008B3F5A"/>
    <w:rsid w:val="008B473A"/>
    <w:rsid w:val="008C090A"/>
    <w:rsid w:val="008C5D59"/>
    <w:rsid w:val="008C6C8B"/>
    <w:rsid w:val="008D6EC8"/>
    <w:rsid w:val="008D6F78"/>
    <w:rsid w:val="008E58D5"/>
    <w:rsid w:val="008E5DBE"/>
    <w:rsid w:val="008F714B"/>
    <w:rsid w:val="00915FA8"/>
    <w:rsid w:val="0092496D"/>
    <w:rsid w:val="00925D61"/>
    <w:rsid w:val="00931D0B"/>
    <w:rsid w:val="00935060"/>
    <w:rsid w:val="009361B5"/>
    <w:rsid w:val="00936362"/>
    <w:rsid w:val="009373D2"/>
    <w:rsid w:val="0094237B"/>
    <w:rsid w:val="009501D1"/>
    <w:rsid w:val="0095088B"/>
    <w:rsid w:val="00957CE7"/>
    <w:rsid w:val="00973B09"/>
    <w:rsid w:val="00980FFF"/>
    <w:rsid w:val="00995352"/>
    <w:rsid w:val="009A3811"/>
    <w:rsid w:val="009A58EA"/>
    <w:rsid w:val="009B7B22"/>
    <w:rsid w:val="009B7F72"/>
    <w:rsid w:val="009C4246"/>
    <w:rsid w:val="009D5BA1"/>
    <w:rsid w:val="009D5C89"/>
    <w:rsid w:val="009D5D56"/>
    <w:rsid w:val="009F7447"/>
    <w:rsid w:val="00A01AA7"/>
    <w:rsid w:val="00A13244"/>
    <w:rsid w:val="00A13532"/>
    <w:rsid w:val="00A23426"/>
    <w:rsid w:val="00A23F97"/>
    <w:rsid w:val="00A26958"/>
    <w:rsid w:val="00A43909"/>
    <w:rsid w:val="00A45180"/>
    <w:rsid w:val="00A52BFB"/>
    <w:rsid w:val="00A66D64"/>
    <w:rsid w:val="00A72D1F"/>
    <w:rsid w:val="00A770B6"/>
    <w:rsid w:val="00A82833"/>
    <w:rsid w:val="00A83C2C"/>
    <w:rsid w:val="00A94A3F"/>
    <w:rsid w:val="00A94BE8"/>
    <w:rsid w:val="00AA0397"/>
    <w:rsid w:val="00AA1AF2"/>
    <w:rsid w:val="00AA5BFC"/>
    <w:rsid w:val="00AB001C"/>
    <w:rsid w:val="00AC691D"/>
    <w:rsid w:val="00AD5EA6"/>
    <w:rsid w:val="00AD7965"/>
    <w:rsid w:val="00AE282A"/>
    <w:rsid w:val="00B04A30"/>
    <w:rsid w:val="00B05C02"/>
    <w:rsid w:val="00B15810"/>
    <w:rsid w:val="00B24104"/>
    <w:rsid w:val="00B34F10"/>
    <w:rsid w:val="00B37A2C"/>
    <w:rsid w:val="00B449EA"/>
    <w:rsid w:val="00B5188A"/>
    <w:rsid w:val="00B63EDB"/>
    <w:rsid w:val="00B66572"/>
    <w:rsid w:val="00B808A6"/>
    <w:rsid w:val="00B83968"/>
    <w:rsid w:val="00B87026"/>
    <w:rsid w:val="00B92CC8"/>
    <w:rsid w:val="00BB11D8"/>
    <w:rsid w:val="00BC72D8"/>
    <w:rsid w:val="00BD1E98"/>
    <w:rsid w:val="00BE15A9"/>
    <w:rsid w:val="00BE682D"/>
    <w:rsid w:val="00BF1AD9"/>
    <w:rsid w:val="00C06569"/>
    <w:rsid w:val="00C10A83"/>
    <w:rsid w:val="00C22A2F"/>
    <w:rsid w:val="00C2361B"/>
    <w:rsid w:val="00C261C2"/>
    <w:rsid w:val="00C362A9"/>
    <w:rsid w:val="00C416A9"/>
    <w:rsid w:val="00C41814"/>
    <w:rsid w:val="00C44945"/>
    <w:rsid w:val="00C450CF"/>
    <w:rsid w:val="00C6371D"/>
    <w:rsid w:val="00C650A6"/>
    <w:rsid w:val="00C73D93"/>
    <w:rsid w:val="00C907D9"/>
    <w:rsid w:val="00C90F4B"/>
    <w:rsid w:val="00C91920"/>
    <w:rsid w:val="00C92F8D"/>
    <w:rsid w:val="00C95164"/>
    <w:rsid w:val="00CA412E"/>
    <w:rsid w:val="00CC21C7"/>
    <w:rsid w:val="00CD0326"/>
    <w:rsid w:val="00CE2C5C"/>
    <w:rsid w:val="00CF0919"/>
    <w:rsid w:val="00CF2F24"/>
    <w:rsid w:val="00D05631"/>
    <w:rsid w:val="00D13EDE"/>
    <w:rsid w:val="00D179B3"/>
    <w:rsid w:val="00D260E8"/>
    <w:rsid w:val="00D31CAD"/>
    <w:rsid w:val="00D3306A"/>
    <w:rsid w:val="00D35800"/>
    <w:rsid w:val="00D370E8"/>
    <w:rsid w:val="00D44686"/>
    <w:rsid w:val="00D450F7"/>
    <w:rsid w:val="00D45B06"/>
    <w:rsid w:val="00D47089"/>
    <w:rsid w:val="00D53884"/>
    <w:rsid w:val="00D5571A"/>
    <w:rsid w:val="00D576BC"/>
    <w:rsid w:val="00D63EFF"/>
    <w:rsid w:val="00D724FA"/>
    <w:rsid w:val="00D85C10"/>
    <w:rsid w:val="00D85D40"/>
    <w:rsid w:val="00D91C73"/>
    <w:rsid w:val="00DB6071"/>
    <w:rsid w:val="00DB7582"/>
    <w:rsid w:val="00DD09FD"/>
    <w:rsid w:val="00DE344A"/>
    <w:rsid w:val="00DF513A"/>
    <w:rsid w:val="00E11B70"/>
    <w:rsid w:val="00E13E82"/>
    <w:rsid w:val="00E17088"/>
    <w:rsid w:val="00E2504E"/>
    <w:rsid w:val="00E36818"/>
    <w:rsid w:val="00E37000"/>
    <w:rsid w:val="00E54879"/>
    <w:rsid w:val="00E55BA6"/>
    <w:rsid w:val="00E5651E"/>
    <w:rsid w:val="00E57BC5"/>
    <w:rsid w:val="00E6070C"/>
    <w:rsid w:val="00E61E09"/>
    <w:rsid w:val="00E62062"/>
    <w:rsid w:val="00E773C2"/>
    <w:rsid w:val="00E875B7"/>
    <w:rsid w:val="00E910E4"/>
    <w:rsid w:val="00EA2E95"/>
    <w:rsid w:val="00EA69A3"/>
    <w:rsid w:val="00EA7557"/>
    <w:rsid w:val="00EB22AB"/>
    <w:rsid w:val="00EB5BE9"/>
    <w:rsid w:val="00EB7A83"/>
    <w:rsid w:val="00EC4D44"/>
    <w:rsid w:val="00ED2EED"/>
    <w:rsid w:val="00EF1932"/>
    <w:rsid w:val="00EF2054"/>
    <w:rsid w:val="00EF3083"/>
    <w:rsid w:val="00EF3365"/>
    <w:rsid w:val="00EF3664"/>
    <w:rsid w:val="00EF3D0A"/>
    <w:rsid w:val="00F02E5B"/>
    <w:rsid w:val="00F17364"/>
    <w:rsid w:val="00F203A2"/>
    <w:rsid w:val="00F20EE5"/>
    <w:rsid w:val="00F219A9"/>
    <w:rsid w:val="00F21CD1"/>
    <w:rsid w:val="00F2773E"/>
    <w:rsid w:val="00F44400"/>
    <w:rsid w:val="00F66C6A"/>
    <w:rsid w:val="00F73C72"/>
    <w:rsid w:val="00F7640C"/>
    <w:rsid w:val="00F766E2"/>
    <w:rsid w:val="00F80E3F"/>
    <w:rsid w:val="00F8604D"/>
    <w:rsid w:val="00F93FFF"/>
    <w:rsid w:val="00F942BB"/>
    <w:rsid w:val="00F95CF2"/>
    <w:rsid w:val="00FA4589"/>
    <w:rsid w:val="00FA6C1B"/>
    <w:rsid w:val="00FB0C72"/>
    <w:rsid w:val="00FB3EF6"/>
    <w:rsid w:val="00FC16F4"/>
    <w:rsid w:val="00FC46A3"/>
    <w:rsid w:val="00FC76D0"/>
    <w:rsid w:val="00FD67B6"/>
    <w:rsid w:val="00FE1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B4"/>
    <w:rPr>
      <w:rFonts w:ascii="Tahoma" w:hAnsi="Tahoma" w:cs="Tahoma"/>
      <w:sz w:val="16"/>
      <w:szCs w:val="16"/>
    </w:rPr>
  </w:style>
  <w:style w:type="paragraph" w:styleId="ListParagraph">
    <w:name w:val="List Paragraph"/>
    <w:basedOn w:val="Normal"/>
    <w:uiPriority w:val="34"/>
    <w:qFormat/>
    <w:rsid w:val="00E875B7"/>
    <w:pPr>
      <w:ind w:left="720"/>
      <w:contextualSpacing/>
    </w:pPr>
  </w:style>
  <w:style w:type="paragraph" w:styleId="Header">
    <w:name w:val="header"/>
    <w:basedOn w:val="Normal"/>
    <w:link w:val="HeaderChar"/>
    <w:uiPriority w:val="99"/>
    <w:unhideWhenUsed/>
    <w:rsid w:val="00A9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3F"/>
  </w:style>
  <w:style w:type="paragraph" w:styleId="Footer">
    <w:name w:val="footer"/>
    <w:basedOn w:val="Normal"/>
    <w:link w:val="FooterChar"/>
    <w:uiPriority w:val="99"/>
    <w:unhideWhenUsed/>
    <w:rsid w:val="00A9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3F"/>
  </w:style>
  <w:style w:type="table" w:styleId="TableGrid">
    <w:name w:val="Table Grid"/>
    <w:basedOn w:val="TableNormal"/>
    <w:uiPriority w:val="39"/>
    <w:rsid w:val="004A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C45"/>
    <w:rPr>
      <w:sz w:val="16"/>
      <w:szCs w:val="16"/>
    </w:rPr>
  </w:style>
  <w:style w:type="paragraph" w:styleId="CommentText">
    <w:name w:val="annotation text"/>
    <w:basedOn w:val="Normal"/>
    <w:link w:val="CommentTextChar"/>
    <w:uiPriority w:val="99"/>
    <w:semiHidden/>
    <w:unhideWhenUsed/>
    <w:rsid w:val="004A3C4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A3C45"/>
    <w:rPr>
      <w:sz w:val="20"/>
      <w:szCs w:val="20"/>
    </w:rPr>
  </w:style>
  <w:style w:type="paragraph" w:styleId="CommentSubject">
    <w:name w:val="annotation subject"/>
    <w:basedOn w:val="CommentText"/>
    <w:next w:val="CommentText"/>
    <w:link w:val="CommentSubjectChar"/>
    <w:uiPriority w:val="99"/>
    <w:semiHidden/>
    <w:unhideWhenUsed/>
    <w:rsid w:val="004A3C45"/>
    <w:rPr>
      <w:b/>
      <w:bCs/>
    </w:rPr>
  </w:style>
  <w:style w:type="character" w:customStyle="1" w:styleId="CommentSubjectChar">
    <w:name w:val="Comment Subject Char"/>
    <w:basedOn w:val="CommentTextChar"/>
    <w:link w:val="CommentSubject"/>
    <w:uiPriority w:val="99"/>
    <w:semiHidden/>
    <w:rsid w:val="004A3C45"/>
    <w:rPr>
      <w:b/>
      <w:bCs/>
      <w:sz w:val="20"/>
      <w:szCs w:val="20"/>
    </w:rPr>
  </w:style>
  <w:style w:type="numbering" w:customStyle="1" w:styleId="NoList1">
    <w:name w:val="No List1"/>
    <w:next w:val="NoList"/>
    <w:uiPriority w:val="99"/>
    <w:semiHidden/>
    <w:unhideWhenUsed/>
    <w:rsid w:val="00E910E4"/>
  </w:style>
  <w:style w:type="table" w:customStyle="1" w:styleId="TableGrid1">
    <w:name w:val="Table Grid1"/>
    <w:basedOn w:val="TableNormal"/>
    <w:next w:val="TableGrid"/>
    <w:uiPriority w:val="39"/>
    <w:rsid w:val="00E9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5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B4"/>
    <w:rPr>
      <w:rFonts w:ascii="Tahoma" w:hAnsi="Tahoma" w:cs="Tahoma"/>
      <w:sz w:val="16"/>
      <w:szCs w:val="16"/>
    </w:rPr>
  </w:style>
  <w:style w:type="paragraph" w:styleId="ListParagraph">
    <w:name w:val="List Paragraph"/>
    <w:basedOn w:val="Normal"/>
    <w:uiPriority w:val="34"/>
    <w:qFormat/>
    <w:rsid w:val="00E875B7"/>
    <w:pPr>
      <w:ind w:left="720"/>
      <w:contextualSpacing/>
    </w:pPr>
  </w:style>
  <w:style w:type="paragraph" w:styleId="Header">
    <w:name w:val="header"/>
    <w:basedOn w:val="Normal"/>
    <w:link w:val="HeaderChar"/>
    <w:uiPriority w:val="99"/>
    <w:unhideWhenUsed/>
    <w:rsid w:val="00A9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3F"/>
  </w:style>
  <w:style w:type="paragraph" w:styleId="Footer">
    <w:name w:val="footer"/>
    <w:basedOn w:val="Normal"/>
    <w:link w:val="FooterChar"/>
    <w:uiPriority w:val="99"/>
    <w:unhideWhenUsed/>
    <w:rsid w:val="00A9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3F"/>
  </w:style>
  <w:style w:type="table" w:styleId="TableGrid">
    <w:name w:val="Table Grid"/>
    <w:basedOn w:val="TableNormal"/>
    <w:uiPriority w:val="39"/>
    <w:rsid w:val="004A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C45"/>
    <w:rPr>
      <w:sz w:val="16"/>
      <w:szCs w:val="16"/>
    </w:rPr>
  </w:style>
  <w:style w:type="paragraph" w:styleId="CommentText">
    <w:name w:val="annotation text"/>
    <w:basedOn w:val="Normal"/>
    <w:link w:val="CommentTextChar"/>
    <w:uiPriority w:val="99"/>
    <w:semiHidden/>
    <w:unhideWhenUsed/>
    <w:rsid w:val="004A3C4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A3C45"/>
    <w:rPr>
      <w:sz w:val="20"/>
      <w:szCs w:val="20"/>
    </w:rPr>
  </w:style>
  <w:style w:type="paragraph" w:styleId="CommentSubject">
    <w:name w:val="annotation subject"/>
    <w:basedOn w:val="CommentText"/>
    <w:next w:val="CommentText"/>
    <w:link w:val="CommentSubjectChar"/>
    <w:uiPriority w:val="99"/>
    <w:semiHidden/>
    <w:unhideWhenUsed/>
    <w:rsid w:val="004A3C45"/>
    <w:rPr>
      <w:b/>
      <w:bCs/>
    </w:rPr>
  </w:style>
  <w:style w:type="character" w:customStyle="1" w:styleId="CommentSubjectChar">
    <w:name w:val="Comment Subject Char"/>
    <w:basedOn w:val="CommentTextChar"/>
    <w:link w:val="CommentSubject"/>
    <w:uiPriority w:val="99"/>
    <w:semiHidden/>
    <w:rsid w:val="004A3C45"/>
    <w:rPr>
      <w:b/>
      <w:bCs/>
      <w:sz w:val="20"/>
      <w:szCs w:val="20"/>
    </w:rPr>
  </w:style>
  <w:style w:type="numbering" w:customStyle="1" w:styleId="NoList1">
    <w:name w:val="No List1"/>
    <w:next w:val="NoList"/>
    <w:uiPriority w:val="99"/>
    <w:semiHidden/>
    <w:unhideWhenUsed/>
    <w:rsid w:val="00E910E4"/>
  </w:style>
  <w:style w:type="table" w:customStyle="1" w:styleId="TableGrid1">
    <w:name w:val="Table Grid1"/>
    <w:basedOn w:val="TableNormal"/>
    <w:next w:val="TableGrid"/>
    <w:uiPriority w:val="39"/>
    <w:rsid w:val="00E9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5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66">
      <w:bodyDiv w:val="1"/>
      <w:marLeft w:val="0"/>
      <w:marRight w:val="0"/>
      <w:marTop w:val="0"/>
      <w:marBottom w:val="0"/>
      <w:divBdr>
        <w:top w:val="none" w:sz="0" w:space="0" w:color="auto"/>
        <w:left w:val="none" w:sz="0" w:space="0" w:color="auto"/>
        <w:bottom w:val="none" w:sz="0" w:space="0" w:color="auto"/>
        <w:right w:val="none" w:sz="0" w:space="0" w:color="auto"/>
      </w:divBdr>
    </w:div>
    <w:div w:id="1508132757">
      <w:bodyDiv w:val="1"/>
      <w:marLeft w:val="0"/>
      <w:marRight w:val="0"/>
      <w:marTop w:val="0"/>
      <w:marBottom w:val="0"/>
      <w:divBdr>
        <w:top w:val="none" w:sz="0" w:space="0" w:color="auto"/>
        <w:left w:val="none" w:sz="0" w:space="0" w:color="auto"/>
        <w:bottom w:val="none" w:sz="0" w:space="0" w:color="auto"/>
        <w:right w:val="none" w:sz="0" w:space="0" w:color="auto"/>
      </w:divBdr>
    </w:div>
    <w:div w:id="16790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basish.banerjee@stgeorges.nhs.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724C-4590-458A-8530-4D486E51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Debasish Banerjee</cp:lastModifiedBy>
  <cp:revision>9</cp:revision>
  <cp:lastPrinted>2018-02-08T09:09:00Z</cp:lastPrinted>
  <dcterms:created xsi:type="dcterms:W3CDTF">2019-11-05T11:11:00Z</dcterms:created>
  <dcterms:modified xsi:type="dcterms:W3CDTF">2019-11-10T21:02:00Z</dcterms:modified>
</cp:coreProperties>
</file>