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4B" w:rsidRPr="00273B6B" w:rsidRDefault="00221F4B" w:rsidP="00221F4B">
      <w:pPr>
        <w:pStyle w:val="paragraph"/>
        <w:spacing w:before="0" w:beforeAutospacing="0" w:after="0" w:afterAutospacing="0"/>
        <w:jc w:val="center"/>
        <w:textAlignment w:val="baseline"/>
        <w:rPr>
          <w:b/>
          <w:bCs/>
          <w:u w:val="single"/>
        </w:rPr>
      </w:pPr>
      <w:r w:rsidRPr="00273B6B">
        <w:rPr>
          <w:rStyle w:val="normaltextrun"/>
          <w:rFonts w:ascii="Calibri" w:hAnsi="Calibri"/>
          <w:b/>
          <w:bCs/>
          <w:u w:val="single"/>
        </w:rPr>
        <w:t>EASD Conference Abstract</w:t>
      </w:r>
    </w:p>
    <w:p w:rsidR="00221F4B" w:rsidRDefault="00221F4B" w:rsidP="00221F4B">
      <w:pPr>
        <w:rPr>
          <w:sz w:val="24"/>
          <w:lang w:val="en-GB"/>
        </w:rPr>
      </w:pPr>
      <w:r>
        <w:rPr>
          <w:sz w:val="24"/>
          <w:lang w:val="en-GB"/>
        </w:rPr>
        <w:t>Title: Associations between m</w:t>
      </w:r>
      <w:r w:rsidRPr="0039735E">
        <w:rPr>
          <w:sz w:val="24"/>
          <w:lang w:val="en-GB"/>
        </w:rPr>
        <w:t>arkers of</w:t>
      </w:r>
      <w:r>
        <w:rPr>
          <w:sz w:val="24"/>
          <w:lang w:val="en-GB"/>
        </w:rPr>
        <w:t xml:space="preserve"> childhood body composition and type 2 diabetes in adulthood</w:t>
      </w:r>
    </w:p>
    <w:p w:rsidR="00221F4B" w:rsidRDefault="00221F4B" w:rsidP="00221F4B">
      <w:pPr>
        <w:rPr>
          <w:sz w:val="24"/>
          <w:lang w:val="en-GB"/>
        </w:rPr>
      </w:pPr>
      <w:r>
        <w:rPr>
          <w:sz w:val="24"/>
          <w:lang w:val="en-GB"/>
        </w:rPr>
        <w:t>Authors: Mohammed T Hudda</w:t>
      </w:r>
      <w:r>
        <w:rPr>
          <w:sz w:val="24"/>
          <w:vertAlign w:val="superscript"/>
          <w:lang w:val="en-GB"/>
        </w:rPr>
        <w:t>1</w:t>
      </w:r>
      <w:r>
        <w:rPr>
          <w:sz w:val="24"/>
          <w:lang w:val="en-GB"/>
        </w:rPr>
        <w:t xml:space="preserve">, </w:t>
      </w:r>
      <w:r w:rsidRPr="004B1CD6">
        <w:rPr>
          <w:sz w:val="24"/>
          <w:lang w:val="en-GB"/>
        </w:rPr>
        <w:t>J</w:t>
      </w:r>
      <w:r>
        <w:rPr>
          <w:sz w:val="24"/>
          <w:lang w:val="en-GB"/>
        </w:rPr>
        <w:t>ulie</w:t>
      </w:r>
      <w:r w:rsidRPr="004B1CD6">
        <w:rPr>
          <w:sz w:val="24"/>
          <w:lang w:val="en-GB"/>
        </w:rPr>
        <w:t xml:space="preserve"> Aarestrup</w:t>
      </w:r>
      <w:r>
        <w:rPr>
          <w:sz w:val="24"/>
          <w:vertAlign w:val="superscript"/>
          <w:lang w:val="en-GB"/>
        </w:rPr>
        <w:t>2</w:t>
      </w:r>
      <w:r>
        <w:rPr>
          <w:sz w:val="24"/>
          <w:lang w:val="en-GB"/>
        </w:rPr>
        <w:t>, Christopher G Owen</w:t>
      </w:r>
      <w:r>
        <w:rPr>
          <w:sz w:val="24"/>
          <w:vertAlign w:val="superscript"/>
          <w:lang w:val="en-GB"/>
        </w:rPr>
        <w:t>1</w:t>
      </w:r>
      <w:r>
        <w:rPr>
          <w:sz w:val="24"/>
          <w:lang w:val="en-GB"/>
        </w:rPr>
        <w:t>, Derek G Cook</w:t>
      </w:r>
      <w:r>
        <w:rPr>
          <w:sz w:val="24"/>
          <w:vertAlign w:val="superscript"/>
          <w:lang w:val="en-GB"/>
        </w:rPr>
        <w:t>1</w:t>
      </w:r>
      <w:r>
        <w:rPr>
          <w:sz w:val="24"/>
          <w:lang w:val="en-GB"/>
        </w:rPr>
        <w:t xml:space="preserve">, </w:t>
      </w:r>
      <w:proofErr w:type="spellStart"/>
      <w:r>
        <w:rPr>
          <w:sz w:val="24"/>
          <w:lang w:val="en-GB"/>
        </w:rPr>
        <w:t>Thorkild</w:t>
      </w:r>
      <w:proofErr w:type="spellEnd"/>
      <w:r>
        <w:rPr>
          <w:sz w:val="24"/>
          <w:lang w:val="en-GB"/>
        </w:rPr>
        <w:t xml:space="preserve"> I </w:t>
      </w:r>
      <w:r w:rsidRPr="004B1CD6">
        <w:rPr>
          <w:sz w:val="24"/>
          <w:lang w:val="en-GB"/>
        </w:rPr>
        <w:t>A Sørensen</w:t>
      </w:r>
      <w:r>
        <w:rPr>
          <w:sz w:val="24"/>
          <w:vertAlign w:val="superscript"/>
          <w:lang w:val="en-GB"/>
        </w:rPr>
        <w:t>3,4</w:t>
      </w:r>
      <w:r>
        <w:rPr>
          <w:sz w:val="24"/>
          <w:lang w:val="en-GB"/>
        </w:rPr>
        <w:t>,</w:t>
      </w:r>
      <w:r w:rsidRPr="004B1CD6">
        <w:rPr>
          <w:sz w:val="24"/>
          <w:lang w:val="en-GB"/>
        </w:rPr>
        <w:t>Alicja R Rudnicka</w:t>
      </w:r>
      <w:r>
        <w:rPr>
          <w:sz w:val="24"/>
          <w:vertAlign w:val="superscript"/>
          <w:lang w:val="en-GB"/>
        </w:rPr>
        <w:t>1</w:t>
      </w:r>
      <w:r>
        <w:rPr>
          <w:sz w:val="24"/>
          <w:lang w:val="en-GB"/>
        </w:rPr>
        <w:t>, Jennifer L Baker</w:t>
      </w:r>
      <w:r>
        <w:rPr>
          <w:sz w:val="24"/>
          <w:vertAlign w:val="superscript"/>
          <w:lang w:val="en-GB"/>
        </w:rPr>
        <w:t>2,4</w:t>
      </w:r>
      <w:r>
        <w:rPr>
          <w:sz w:val="24"/>
          <w:lang w:val="en-GB"/>
        </w:rPr>
        <w:t>, Peter H Whincup</w:t>
      </w:r>
      <w:r>
        <w:rPr>
          <w:sz w:val="24"/>
          <w:vertAlign w:val="superscript"/>
          <w:lang w:val="en-GB"/>
        </w:rPr>
        <w:t>1</w:t>
      </w:r>
      <w:r>
        <w:rPr>
          <w:sz w:val="24"/>
          <w:lang w:val="en-GB"/>
        </w:rPr>
        <w:t xml:space="preserve"> and Claire M Nightingale</w:t>
      </w:r>
      <w:r>
        <w:rPr>
          <w:sz w:val="24"/>
          <w:vertAlign w:val="superscript"/>
          <w:lang w:val="en-GB"/>
        </w:rPr>
        <w:t>1</w:t>
      </w:r>
    </w:p>
    <w:p w:rsidR="00221F4B" w:rsidRPr="001F5C50" w:rsidRDefault="00221F4B" w:rsidP="00221F4B">
      <w:pPr>
        <w:spacing w:after="0"/>
        <w:rPr>
          <w:sz w:val="24"/>
          <w:lang w:val="en-GB"/>
        </w:rPr>
      </w:pPr>
      <w:r w:rsidRPr="001F5C50">
        <w:rPr>
          <w:sz w:val="24"/>
          <w:lang w:val="en-GB"/>
        </w:rPr>
        <w:t>1. Population Health Research Institute, St. George’s University of London, Cranmer Terrace, London, UK, SW17 0RE</w:t>
      </w:r>
    </w:p>
    <w:p w:rsidR="00221F4B" w:rsidRPr="001F5C50" w:rsidRDefault="00221F4B" w:rsidP="00221F4B">
      <w:pPr>
        <w:spacing w:after="0"/>
        <w:rPr>
          <w:sz w:val="24"/>
          <w:lang w:val="en-GB"/>
        </w:rPr>
      </w:pPr>
      <w:r w:rsidRPr="001F5C50">
        <w:rPr>
          <w:sz w:val="24"/>
          <w:lang w:val="en-GB"/>
        </w:rPr>
        <w:t xml:space="preserve">2. Center for Clinical Research and Prevention, </w:t>
      </w:r>
      <w:proofErr w:type="spellStart"/>
      <w:r w:rsidRPr="001F5C50">
        <w:rPr>
          <w:sz w:val="24"/>
          <w:lang w:val="en-GB"/>
        </w:rPr>
        <w:t>Bispebjerg</w:t>
      </w:r>
      <w:proofErr w:type="spellEnd"/>
      <w:r w:rsidRPr="001F5C50">
        <w:rPr>
          <w:sz w:val="24"/>
          <w:lang w:val="en-GB"/>
        </w:rPr>
        <w:t xml:space="preserve"> and Frederiksberg Hospital, </w:t>
      </w:r>
      <w:proofErr w:type="gramStart"/>
      <w:r w:rsidRPr="001F5C50">
        <w:rPr>
          <w:sz w:val="24"/>
          <w:lang w:val="en-GB"/>
        </w:rPr>
        <w:t>The</w:t>
      </w:r>
      <w:proofErr w:type="gramEnd"/>
      <w:r w:rsidRPr="001F5C50">
        <w:rPr>
          <w:sz w:val="24"/>
          <w:lang w:val="en-GB"/>
        </w:rPr>
        <w:t xml:space="preserve"> Capital Region, Denmark</w:t>
      </w:r>
    </w:p>
    <w:p w:rsidR="00221F4B" w:rsidRPr="001F5C50" w:rsidRDefault="00221F4B" w:rsidP="00221F4B">
      <w:pPr>
        <w:spacing w:after="0"/>
        <w:rPr>
          <w:sz w:val="24"/>
          <w:lang w:val="en-GB"/>
        </w:rPr>
      </w:pPr>
      <w:r w:rsidRPr="001F5C50">
        <w:rPr>
          <w:sz w:val="24"/>
          <w:lang w:val="en-GB"/>
        </w:rPr>
        <w:t>3. Department of Public Health, University of Copenhagen, Copenhagen, Denmark</w:t>
      </w:r>
    </w:p>
    <w:p w:rsidR="00221F4B" w:rsidRPr="007C7F4E" w:rsidRDefault="00221F4B" w:rsidP="00221F4B">
      <w:pPr>
        <w:spacing w:after="0"/>
        <w:rPr>
          <w:sz w:val="24"/>
          <w:lang w:val="en-GB"/>
        </w:rPr>
      </w:pPr>
      <w:r w:rsidRPr="001F5C50">
        <w:rPr>
          <w:sz w:val="24"/>
          <w:lang w:val="en-GB"/>
        </w:rPr>
        <w:t>4. Novo Nordisk Foundation Center for Basic Metabolic Research, University of Copenhagen, Copenhagen, Denmark.</w:t>
      </w:r>
    </w:p>
    <w:p w:rsidR="00221F4B" w:rsidRDefault="00221F4B" w:rsidP="00221F4B">
      <w:pPr>
        <w:spacing w:after="0"/>
        <w:rPr>
          <w:sz w:val="24"/>
          <w:lang w:val="en-GB"/>
        </w:rPr>
      </w:pPr>
    </w:p>
    <w:p w:rsidR="00221F4B" w:rsidRDefault="00221F4B" w:rsidP="00221F4B">
      <w:pPr>
        <w:spacing w:after="0"/>
        <w:rPr>
          <w:sz w:val="24"/>
          <w:lang w:val="en-GB"/>
        </w:rPr>
      </w:pPr>
      <w:r>
        <w:rPr>
          <w:sz w:val="24"/>
          <w:lang w:val="en-GB"/>
        </w:rPr>
        <w:t xml:space="preserve">Funding: MTH is supported by a </w:t>
      </w:r>
      <w:r w:rsidRPr="00865887">
        <w:rPr>
          <w:sz w:val="24"/>
          <w:lang w:val="en-GB"/>
        </w:rPr>
        <w:t xml:space="preserve">BHF </w:t>
      </w:r>
      <w:r>
        <w:rPr>
          <w:sz w:val="24"/>
          <w:lang w:val="en-GB"/>
        </w:rPr>
        <w:t xml:space="preserve">PhD </w:t>
      </w:r>
      <w:r w:rsidRPr="00865887">
        <w:rPr>
          <w:sz w:val="24"/>
          <w:lang w:val="en-GB"/>
        </w:rPr>
        <w:t>Studentship</w:t>
      </w:r>
      <w:r>
        <w:rPr>
          <w:sz w:val="24"/>
          <w:lang w:val="en-GB"/>
        </w:rPr>
        <w:t xml:space="preserve"> </w:t>
      </w:r>
      <w:r w:rsidRPr="00865887">
        <w:rPr>
          <w:sz w:val="24"/>
          <w:lang w:val="en-GB"/>
        </w:rPr>
        <w:t>and an EFSD Albert Renold Travel Fellowship</w:t>
      </w:r>
    </w:p>
    <w:p w:rsidR="00221F4B" w:rsidRDefault="00221F4B" w:rsidP="00221F4B">
      <w:pPr>
        <w:spacing w:after="0"/>
        <w:rPr>
          <w:sz w:val="24"/>
          <w:lang w:val="en-GB"/>
        </w:rPr>
      </w:pPr>
      <w:r>
        <w:rPr>
          <w:sz w:val="24"/>
          <w:lang w:val="en-GB"/>
        </w:rPr>
        <w:t xml:space="preserve"> </w:t>
      </w:r>
    </w:p>
    <w:p w:rsidR="00221F4B" w:rsidRPr="00303A97" w:rsidRDefault="00221F4B" w:rsidP="00B132E6">
      <w:pPr>
        <w:pStyle w:val="paragraph"/>
        <w:spacing w:after="0"/>
        <w:jc w:val="both"/>
        <w:textAlignment w:val="baseline"/>
        <w:rPr>
          <w:rStyle w:val="normaltextrun"/>
          <w:rFonts w:ascii="Calibri" w:hAnsi="Calibri"/>
        </w:rPr>
      </w:pPr>
      <w:r w:rsidRPr="00303A97">
        <w:rPr>
          <w:rStyle w:val="normaltextrun"/>
          <w:rFonts w:ascii="Calibri" w:hAnsi="Calibri"/>
        </w:rPr>
        <w:t>Background and aims: Childhood obesity is a major global public health issue. Childhood BMI, the most widely used marker of obesity, is associated with type 2 diabetes (T2D) in adulthood</w:t>
      </w:r>
      <w:r w:rsidR="00B132E6">
        <w:rPr>
          <w:rStyle w:val="normaltextrun"/>
          <w:rFonts w:ascii="Calibri" w:hAnsi="Calibri"/>
        </w:rPr>
        <w:t>,</w:t>
      </w:r>
      <w:r>
        <w:rPr>
          <w:rStyle w:val="normaltextrun"/>
          <w:rFonts w:ascii="Calibri" w:hAnsi="Calibri"/>
        </w:rPr>
        <w:t xml:space="preserve"> but</w:t>
      </w:r>
      <w:r w:rsidRPr="00303A97">
        <w:rPr>
          <w:rStyle w:val="normaltextrun"/>
          <w:rFonts w:ascii="Calibri" w:hAnsi="Calibri"/>
        </w:rPr>
        <w:t xml:space="preserve"> there is limited information on </w:t>
      </w:r>
      <w:r>
        <w:rPr>
          <w:rStyle w:val="normaltextrun"/>
          <w:rFonts w:ascii="Calibri" w:hAnsi="Calibri"/>
        </w:rPr>
        <w:t xml:space="preserve">how </w:t>
      </w:r>
      <w:r w:rsidRPr="00303A97">
        <w:rPr>
          <w:rStyle w:val="normaltextrun"/>
          <w:rFonts w:ascii="Calibri" w:hAnsi="Calibri"/>
        </w:rPr>
        <w:t>more direct measures of childhood body composition, including fat mass (FM) and fat free mass (FFM), are associated with T2D risk. We assess the associations between three height-standardised childhood body composition indices (BMI, fat mass index [FMI] and fat free mass [FFMI]) and T2D in adulthood, usi</w:t>
      </w:r>
      <w:r w:rsidR="00B132E6">
        <w:rPr>
          <w:rStyle w:val="normaltextrun"/>
          <w:rFonts w:ascii="Calibri" w:hAnsi="Calibri"/>
        </w:rPr>
        <w:t>ng recently developed prediction equations</w:t>
      </w:r>
      <w:r w:rsidRPr="00303A97">
        <w:rPr>
          <w:rStyle w:val="normaltextrun"/>
          <w:rFonts w:ascii="Calibri" w:hAnsi="Calibri"/>
        </w:rPr>
        <w:t xml:space="preserve"> to estimate</w:t>
      </w:r>
      <w:r w:rsidR="00B132E6">
        <w:rPr>
          <w:rStyle w:val="normaltextrun"/>
          <w:rFonts w:ascii="Calibri" w:hAnsi="Calibri"/>
        </w:rPr>
        <w:t xml:space="preserve"> FM and FFM from height, weight, sex and age</w:t>
      </w:r>
      <w:r w:rsidRPr="00303A97">
        <w:rPr>
          <w:rStyle w:val="normaltextrun"/>
          <w:rFonts w:ascii="Calibri" w:hAnsi="Calibri"/>
        </w:rPr>
        <w:t>.</w:t>
      </w:r>
      <w:r>
        <w:rPr>
          <w:rStyle w:val="normaltextrun"/>
          <w:rFonts w:ascii="Calibri" w:hAnsi="Calibri"/>
        </w:rPr>
        <w:t xml:space="preserve"> </w:t>
      </w:r>
    </w:p>
    <w:p w:rsidR="00221F4B" w:rsidRPr="00303A97" w:rsidRDefault="00221F4B" w:rsidP="00720770">
      <w:pPr>
        <w:pStyle w:val="paragraph"/>
        <w:spacing w:after="0"/>
        <w:jc w:val="both"/>
        <w:textAlignment w:val="baseline"/>
        <w:rPr>
          <w:rStyle w:val="normaltextrun"/>
          <w:rFonts w:ascii="Calibri" w:hAnsi="Calibri"/>
        </w:rPr>
      </w:pPr>
      <w:r w:rsidRPr="00303A97">
        <w:rPr>
          <w:rStyle w:val="normaltextrun"/>
          <w:rFonts w:ascii="Calibri" w:hAnsi="Calibri"/>
        </w:rPr>
        <w:t xml:space="preserve">Materials and methods: </w:t>
      </w:r>
      <w:r w:rsidR="00B132E6">
        <w:rPr>
          <w:rStyle w:val="normaltextrun"/>
          <w:rFonts w:ascii="Calibri" w:hAnsi="Calibri"/>
        </w:rPr>
        <w:t>Analyses were based on d</w:t>
      </w:r>
      <w:r>
        <w:rPr>
          <w:rStyle w:val="normaltextrun"/>
          <w:rFonts w:ascii="Calibri" w:hAnsi="Calibri"/>
        </w:rPr>
        <w:t>ata from a</w:t>
      </w:r>
      <w:r w:rsidRPr="00303A97">
        <w:rPr>
          <w:rStyle w:val="normaltextrun"/>
          <w:rFonts w:ascii="Calibri" w:hAnsi="Calibri"/>
        </w:rPr>
        <w:t xml:space="preserve"> c</w:t>
      </w:r>
      <w:r>
        <w:rPr>
          <w:rStyle w:val="normaltextrun"/>
          <w:rFonts w:ascii="Calibri" w:hAnsi="Calibri"/>
        </w:rPr>
        <w:t xml:space="preserve">ohort of Danish schoolchildren, born </w:t>
      </w:r>
      <w:r w:rsidRPr="00303A97">
        <w:rPr>
          <w:rStyle w:val="normaltextrun"/>
          <w:rFonts w:ascii="Calibri" w:hAnsi="Calibri"/>
        </w:rPr>
        <w:t xml:space="preserve">1930-85, with available height and weight measurements at 7y, 10y </w:t>
      </w:r>
      <w:r>
        <w:rPr>
          <w:rStyle w:val="normaltextrun"/>
          <w:rFonts w:ascii="Calibri" w:hAnsi="Calibri"/>
        </w:rPr>
        <w:t>or</w:t>
      </w:r>
      <w:r w:rsidRPr="00303A97">
        <w:rPr>
          <w:rStyle w:val="normaltextrun"/>
          <w:rFonts w:ascii="Calibri" w:hAnsi="Calibri"/>
        </w:rPr>
        <w:t xml:space="preserve"> 13y. FM and FFM were estimated </w:t>
      </w:r>
      <w:r w:rsidR="00B132E6">
        <w:rPr>
          <w:rStyle w:val="normaltextrun"/>
          <w:rFonts w:ascii="Calibri" w:hAnsi="Calibri"/>
        </w:rPr>
        <w:t>(</w:t>
      </w:r>
      <w:r>
        <w:rPr>
          <w:rStyle w:val="normaltextrun"/>
          <w:rFonts w:ascii="Calibri" w:hAnsi="Calibri"/>
        </w:rPr>
        <w:t>using equations derived in a separate study of 2</w:t>
      </w:r>
      <w:r w:rsidR="00E34453">
        <w:rPr>
          <w:rStyle w:val="normaltextrun"/>
          <w:rFonts w:ascii="Calibri" w:hAnsi="Calibri"/>
        </w:rPr>
        <w:t>37</w:t>
      </w:r>
      <w:r>
        <w:rPr>
          <w:rStyle w:val="normaltextrun"/>
          <w:rFonts w:ascii="Calibri" w:hAnsi="Calibri"/>
        </w:rPr>
        <w:t>5 children with deuterium dilution measurements</w:t>
      </w:r>
      <w:r w:rsidR="00B132E6">
        <w:rPr>
          <w:rStyle w:val="normaltextrun"/>
          <w:rFonts w:ascii="Calibri" w:hAnsi="Calibri"/>
        </w:rPr>
        <w:t>)</w:t>
      </w:r>
      <w:r>
        <w:rPr>
          <w:rStyle w:val="normaltextrun"/>
          <w:rFonts w:ascii="Calibri" w:hAnsi="Calibri"/>
        </w:rPr>
        <w:t xml:space="preserve"> </w:t>
      </w:r>
      <w:r w:rsidRPr="00303A97">
        <w:rPr>
          <w:rStyle w:val="normaltextrun"/>
          <w:rFonts w:ascii="Calibri" w:hAnsi="Calibri"/>
        </w:rPr>
        <w:t>and standardised for height at each age. T2D diagnoses in adulthood were ascertained by linkage to national registers. Sex-specific Cox</w:t>
      </w:r>
      <w:r w:rsidR="00720770">
        <w:rPr>
          <w:rStyle w:val="normaltextrun"/>
          <w:rFonts w:ascii="Calibri" w:hAnsi="Calibri"/>
        </w:rPr>
        <w:t xml:space="preserve"> regression models were fitted within birth cohort groups</w:t>
      </w:r>
      <w:r w:rsidRPr="00303A97">
        <w:rPr>
          <w:rStyle w:val="normaltextrun"/>
          <w:rFonts w:ascii="Calibri" w:hAnsi="Calibri"/>
        </w:rPr>
        <w:t xml:space="preserve"> and the hazard ratios for the associations between </w:t>
      </w:r>
      <w:r>
        <w:rPr>
          <w:rStyle w:val="normaltextrun"/>
          <w:rFonts w:ascii="Calibri" w:hAnsi="Calibri"/>
        </w:rPr>
        <w:t xml:space="preserve">each of the </w:t>
      </w:r>
      <w:r w:rsidRPr="00303A97">
        <w:rPr>
          <w:rStyle w:val="normaltextrun"/>
          <w:rFonts w:ascii="Calibri" w:hAnsi="Calibri"/>
        </w:rPr>
        <w:t>childhood indices and T2D were ascertained</w:t>
      </w:r>
      <w:r w:rsidR="00720770">
        <w:rPr>
          <w:rStyle w:val="normaltextrun"/>
          <w:rFonts w:ascii="Calibri" w:hAnsi="Calibri"/>
        </w:rPr>
        <w:t xml:space="preserve"> and pooled via random-effects meta-analyses</w:t>
      </w:r>
      <w:r w:rsidRPr="00303A97">
        <w:rPr>
          <w:rStyle w:val="normaltextrun"/>
          <w:rFonts w:ascii="Calibri" w:hAnsi="Calibri"/>
        </w:rPr>
        <w:t>. Model</w:t>
      </w:r>
      <w:r>
        <w:rPr>
          <w:rStyle w:val="normaltextrun"/>
          <w:rFonts w:ascii="Calibri" w:hAnsi="Calibri"/>
        </w:rPr>
        <w:t>s</w:t>
      </w:r>
      <w:r w:rsidRPr="00303A97">
        <w:rPr>
          <w:rStyle w:val="normaltextrun"/>
          <w:rFonts w:ascii="Calibri" w:hAnsi="Calibri"/>
        </w:rPr>
        <w:t xml:space="preserve"> were </w:t>
      </w:r>
      <w:r>
        <w:rPr>
          <w:rStyle w:val="normaltextrun"/>
          <w:rFonts w:ascii="Calibri" w:hAnsi="Calibri"/>
        </w:rPr>
        <w:t xml:space="preserve">fitted separately at BMI values </w:t>
      </w:r>
      <w:r w:rsidRPr="00303A97">
        <w:rPr>
          <w:rStyle w:val="normaltextrun"/>
          <w:rFonts w:ascii="Calibri" w:hAnsi="Calibri"/>
        </w:rPr>
        <w:t xml:space="preserve">above and below </w:t>
      </w:r>
      <w:r>
        <w:rPr>
          <w:rStyle w:val="normaltextrun"/>
          <w:rFonts w:ascii="Calibri" w:hAnsi="Calibri"/>
        </w:rPr>
        <w:t xml:space="preserve">the </w:t>
      </w:r>
      <w:r w:rsidRPr="00303A97">
        <w:rPr>
          <w:rStyle w:val="normaltextrun"/>
          <w:rFonts w:ascii="Calibri" w:hAnsi="Calibri"/>
        </w:rPr>
        <w:t xml:space="preserve">mean </w:t>
      </w:r>
      <w:r>
        <w:rPr>
          <w:rStyle w:val="normaltextrun"/>
          <w:rFonts w:ascii="Calibri" w:hAnsi="Calibri"/>
        </w:rPr>
        <w:t>and</w:t>
      </w:r>
      <w:r w:rsidRPr="00303A97">
        <w:rPr>
          <w:rStyle w:val="normaltextrun"/>
          <w:rFonts w:ascii="Calibri" w:hAnsi="Calibri"/>
        </w:rPr>
        <w:t xml:space="preserve"> by age at diagnosis.</w:t>
      </w:r>
    </w:p>
    <w:p w:rsidR="00221F4B" w:rsidRPr="00303A97" w:rsidRDefault="00221F4B" w:rsidP="003147AD">
      <w:pPr>
        <w:pStyle w:val="paragraph"/>
        <w:spacing w:after="0"/>
        <w:jc w:val="both"/>
        <w:textAlignment w:val="baseline"/>
        <w:rPr>
          <w:rStyle w:val="normaltextrun"/>
          <w:rFonts w:ascii="Calibri" w:hAnsi="Calibri"/>
        </w:rPr>
      </w:pPr>
      <w:r w:rsidRPr="00303A97">
        <w:rPr>
          <w:rStyle w:val="normaltextrun"/>
          <w:rFonts w:ascii="Calibri" w:hAnsi="Calibri"/>
        </w:rPr>
        <w:t xml:space="preserve">Results: </w:t>
      </w:r>
      <w:r w:rsidR="003147AD" w:rsidRPr="003147AD">
        <w:rPr>
          <w:rStyle w:val="normaltextrun"/>
          <w:rFonts w:ascii="Calibri" w:hAnsi="Calibri"/>
        </w:rPr>
        <w:t>Analyses were based on a minimum of 131181 males (13156 T2D cases) and 130334 females (8697 T2D cases). Based on proportional hazards assumption tests, analyses were restricted to those at early T2D risk (before 42y in males &amp; 47y in females). Amongst those with above-average childhood BMI, all three indices had positive associations with early T2D diagnoses, which were stronger amongst females than males (Table 1). The associations between FFMI and T2D in both sexes were systematically stronger than those of FMI and BMI, which showed similar strengths of associations. The strengths of the associations were greater at ages 10y and 13y compared with 7y (Table 1). Among those with below-average childhood BMIs, associations were weaker, but most remained positive.</w:t>
      </w:r>
    </w:p>
    <w:p w:rsidR="00221F4B" w:rsidRDefault="00221F4B" w:rsidP="00221F4B">
      <w:pPr>
        <w:pStyle w:val="paragraph"/>
        <w:spacing w:before="0" w:beforeAutospacing="0" w:after="0" w:afterAutospacing="0"/>
        <w:jc w:val="both"/>
        <w:textAlignment w:val="baseline"/>
        <w:rPr>
          <w:rStyle w:val="normaltextrun"/>
          <w:rFonts w:ascii="Calibri" w:hAnsi="Calibri"/>
        </w:rPr>
      </w:pPr>
      <w:r w:rsidRPr="00303A97">
        <w:rPr>
          <w:rStyle w:val="normaltextrun"/>
          <w:rFonts w:ascii="Calibri" w:hAnsi="Calibri"/>
        </w:rPr>
        <w:t>Conclusion: In this cohort of ch</w:t>
      </w:r>
      <w:r w:rsidR="00B132E6">
        <w:rPr>
          <w:rStyle w:val="normaltextrun"/>
          <w:rFonts w:ascii="Calibri" w:hAnsi="Calibri"/>
        </w:rPr>
        <w:t xml:space="preserve">ildren born up to 1985, </w:t>
      </w:r>
      <w:r w:rsidRPr="00303A97">
        <w:rPr>
          <w:rStyle w:val="normaltextrun"/>
          <w:rFonts w:ascii="Calibri" w:hAnsi="Calibri"/>
        </w:rPr>
        <w:t>the childhood body composition markers, particularly FFMI</w:t>
      </w:r>
      <w:r>
        <w:rPr>
          <w:rStyle w:val="normaltextrun"/>
          <w:rFonts w:ascii="Calibri" w:hAnsi="Calibri"/>
        </w:rPr>
        <w:t>,</w:t>
      </w:r>
      <w:r w:rsidRPr="00303A97">
        <w:rPr>
          <w:rStyle w:val="normaltextrun"/>
          <w:rFonts w:ascii="Calibri" w:hAnsi="Calibri"/>
        </w:rPr>
        <w:t xml:space="preserve"> were positively associated with T2D in adulthood. There was a suggestion that the </w:t>
      </w:r>
      <w:r w:rsidRPr="00303A97">
        <w:rPr>
          <w:rStyle w:val="normaltextrun"/>
          <w:rFonts w:ascii="Calibri" w:hAnsi="Calibri"/>
        </w:rPr>
        <w:lastRenderedPageBreak/>
        <w:t xml:space="preserve">FFMI component of BMI is </w:t>
      </w:r>
      <w:r>
        <w:rPr>
          <w:rStyle w:val="normaltextrun"/>
          <w:rFonts w:ascii="Calibri" w:hAnsi="Calibri"/>
        </w:rPr>
        <w:t xml:space="preserve">more strongly associated with T2D risk </w:t>
      </w:r>
      <w:r w:rsidRPr="00303A97">
        <w:rPr>
          <w:rStyle w:val="normaltextrun"/>
          <w:rFonts w:ascii="Calibri" w:hAnsi="Calibri"/>
        </w:rPr>
        <w:t>than the FMI component. However, further evidence is needed in more contemporary cohorts</w:t>
      </w:r>
      <w:r>
        <w:rPr>
          <w:rStyle w:val="normaltextrun"/>
          <w:rFonts w:ascii="Calibri" w:hAnsi="Calibri"/>
        </w:rPr>
        <w:t xml:space="preserve"> more affected by the recent </w:t>
      </w:r>
      <w:r w:rsidRPr="00303A97">
        <w:rPr>
          <w:rStyle w:val="normaltextrun"/>
          <w:rFonts w:ascii="Calibri" w:hAnsi="Calibri"/>
        </w:rPr>
        <w:t>rise in obesity prevalence, for whom the FM to FFM balance is likely to be different.</w:t>
      </w:r>
    </w:p>
    <w:p w:rsidR="00221F4B" w:rsidRDefault="00221F4B" w:rsidP="00221F4B">
      <w:pPr>
        <w:pStyle w:val="paragraph"/>
        <w:spacing w:before="0" w:beforeAutospacing="0" w:after="0" w:afterAutospacing="0"/>
        <w:jc w:val="both"/>
        <w:textAlignment w:val="baseline"/>
        <w:rPr>
          <w:rStyle w:val="normaltextrun"/>
          <w:rFonts w:ascii="Calibri" w:hAnsi="Calibri"/>
        </w:rPr>
      </w:pPr>
    </w:p>
    <w:p w:rsidR="00221F4B" w:rsidRDefault="00221F4B" w:rsidP="00221F4B">
      <w:pPr>
        <w:rPr>
          <w:sz w:val="20"/>
          <w:szCs w:val="20"/>
          <w:lang w:val="en-GB"/>
        </w:rPr>
      </w:pPr>
      <w:bookmarkStart w:id="0" w:name="_GoBack"/>
      <w:bookmarkEnd w:id="0"/>
    </w:p>
    <w:p w:rsidR="00221F4B" w:rsidRDefault="00221F4B" w:rsidP="00221F4B">
      <w:pPr>
        <w:rPr>
          <w:sz w:val="20"/>
          <w:szCs w:val="20"/>
          <w:lang w:val="en-GB"/>
        </w:rPr>
      </w:pPr>
    </w:p>
    <w:p w:rsidR="00221F4B" w:rsidRPr="00AE3DB4" w:rsidRDefault="00221F4B" w:rsidP="00221F4B">
      <w:pPr>
        <w:rPr>
          <w:lang w:val="en-GB"/>
        </w:rPr>
      </w:pPr>
      <w:r w:rsidRPr="00D40449">
        <w:rPr>
          <w:sz w:val="20"/>
          <w:szCs w:val="20"/>
          <w:lang w:val="en-GB"/>
        </w:rPr>
        <w:t xml:space="preserve">Table 1: </w:t>
      </w:r>
      <w:r>
        <w:rPr>
          <w:sz w:val="20"/>
          <w:szCs w:val="20"/>
          <w:lang w:val="en-GB"/>
        </w:rPr>
        <w:t>Sex-specific hazard ratios (95% confidence i</w:t>
      </w:r>
      <w:r w:rsidRPr="00D40449">
        <w:rPr>
          <w:sz w:val="20"/>
          <w:szCs w:val="20"/>
          <w:lang w:val="en-GB"/>
        </w:rPr>
        <w:t xml:space="preserve">ntervals) for the associations between childhood </w:t>
      </w:r>
      <w:r>
        <w:rPr>
          <w:sz w:val="20"/>
          <w:szCs w:val="20"/>
          <w:lang w:val="en-GB"/>
        </w:rPr>
        <w:t>body composition</w:t>
      </w:r>
      <w:r w:rsidRPr="00D40449">
        <w:rPr>
          <w:sz w:val="20"/>
          <w:szCs w:val="20"/>
          <w:lang w:val="en-GB"/>
        </w:rPr>
        <w:t xml:space="preserve"> markers</w:t>
      </w:r>
      <w:r>
        <w:rPr>
          <w:sz w:val="20"/>
          <w:szCs w:val="20"/>
          <w:lang w:val="en-GB"/>
        </w:rPr>
        <w:t xml:space="preserve"> and early type 2 risk in adulthood</w:t>
      </w:r>
    </w:p>
    <w:p w:rsidR="00221F4B" w:rsidRDefault="003D7B61" w:rsidP="00221F4B">
      <w:pPr>
        <w:rPr>
          <w:lang w:val="en-GB"/>
        </w:rPr>
      </w:pPr>
      <w:r>
        <w:rPr>
          <w:noProof/>
          <w:lang w:val="en-GB" w:eastAsia="en-GB"/>
        </w:rPr>
        <w:drawing>
          <wp:inline distT="0" distB="0" distL="0" distR="0" wp14:anchorId="437D166A">
            <wp:extent cx="5387340" cy="184919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9553" cy="1853386"/>
                    </a:xfrm>
                    <a:prstGeom prst="rect">
                      <a:avLst/>
                    </a:prstGeom>
                    <a:noFill/>
                  </pic:spPr>
                </pic:pic>
              </a:graphicData>
            </a:graphic>
          </wp:inline>
        </w:drawing>
      </w:r>
    </w:p>
    <w:p w:rsidR="00221F4B" w:rsidRDefault="00221F4B" w:rsidP="00221F4B">
      <w:pPr>
        <w:rPr>
          <w:lang w:val="en-GB"/>
        </w:rPr>
      </w:pPr>
    </w:p>
    <w:p w:rsidR="00221F4B" w:rsidRDefault="00221F4B" w:rsidP="00221F4B">
      <w:pPr>
        <w:rPr>
          <w:lang w:val="en-GB"/>
        </w:rPr>
      </w:pPr>
    </w:p>
    <w:p w:rsidR="00221F4B" w:rsidRDefault="00221F4B" w:rsidP="00221F4B">
      <w:pPr>
        <w:rPr>
          <w:lang w:val="en-GB"/>
        </w:rPr>
      </w:pPr>
    </w:p>
    <w:p w:rsidR="00221F4B" w:rsidRDefault="00221F4B" w:rsidP="00221F4B">
      <w:pPr>
        <w:rPr>
          <w:lang w:val="en-GB"/>
        </w:rPr>
      </w:pPr>
    </w:p>
    <w:p w:rsidR="00221F4B" w:rsidRDefault="00221F4B" w:rsidP="00221F4B">
      <w:pPr>
        <w:rPr>
          <w:lang w:val="en-GB"/>
        </w:rPr>
      </w:pPr>
    </w:p>
    <w:p w:rsidR="00221F4B" w:rsidRDefault="00221F4B" w:rsidP="00221F4B">
      <w:pPr>
        <w:rPr>
          <w:lang w:val="en-GB"/>
        </w:rPr>
      </w:pPr>
    </w:p>
    <w:p w:rsidR="00221F4B" w:rsidRDefault="00221F4B" w:rsidP="00221F4B">
      <w:pPr>
        <w:rPr>
          <w:lang w:val="en-GB"/>
        </w:rPr>
      </w:pPr>
    </w:p>
    <w:p w:rsidR="00221F4B" w:rsidRDefault="00221F4B" w:rsidP="00221F4B">
      <w:pPr>
        <w:rPr>
          <w:lang w:val="en-GB"/>
        </w:rPr>
      </w:pPr>
    </w:p>
    <w:p w:rsidR="00221F4B" w:rsidRPr="00450D03" w:rsidRDefault="00221F4B" w:rsidP="00221F4B"/>
    <w:p w:rsidR="005C447D" w:rsidRPr="00221F4B" w:rsidRDefault="005C447D" w:rsidP="00221F4B"/>
    <w:sectPr w:rsidR="005C447D" w:rsidRPr="00221F4B" w:rsidSect="00D404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2E"/>
    <w:rsid w:val="001150D6"/>
    <w:rsid w:val="00221F4B"/>
    <w:rsid w:val="003147AD"/>
    <w:rsid w:val="003D7B61"/>
    <w:rsid w:val="003E0613"/>
    <w:rsid w:val="00552448"/>
    <w:rsid w:val="005C447D"/>
    <w:rsid w:val="00720770"/>
    <w:rsid w:val="00B132E6"/>
    <w:rsid w:val="00DD732E"/>
    <w:rsid w:val="00E34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363E6-67A4-4502-8045-8D3AD767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32E"/>
    <w:pPr>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73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D732E"/>
  </w:style>
  <w:style w:type="character" w:styleId="CommentReference">
    <w:name w:val="annotation reference"/>
    <w:basedOn w:val="DefaultParagraphFont"/>
    <w:uiPriority w:val="99"/>
    <w:semiHidden/>
    <w:unhideWhenUsed/>
    <w:rsid w:val="00DD732E"/>
    <w:rPr>
      <w:sz w:val="16"/>
      <w:szCs w:val="16"/>
    </w:rPr>
  </w:style>
  <w:style w:type="paragraph" w:styleId="CommentText">
    <w:name w:val="annotation text"/>
    <w:basedOn w:val="Normal"/>
    <w:link w:val="CommentTextChar"/>
    <w:uiPriority w:val="99"/>
    <w:semiHidden/>
    <w:unhideWhenUsed/>
    <w:rsid w:val="00DD732E"/>
    <w:pPr>
      <w:spacing w:line="240" w:lineRule="auto"/>
    </w:pPr>
    <w:rPr>
      <w:sz w:val="20"/>
      <w:szCs w:val="20"/>
    </w:rPr>
  </w:style>
  <w:style w:type="character" w:customStyle="1" w:styleId="CommentTextChar">
    <w:name w:val="Comment Text Char"/>
    <w:basedOn w:val="DefaultParagraphFont"/>
    <w:link w:val="CommentText"/>
    <w:uiPriority w:val="99"/>
    <w:semiHidden/>
    <w:rsid w:val="00DD732E"/>
    <w:rPr>
      <w:sz w:val="20"/>
      <w:szCs w:val="20"/>
      <w:lang w:val="en-US"/>
    </w:rPr>
  </w:style>
  <w:style w:type="paragraph" w:styleId="BalloonText">
    <w:name w:val="Balloon Text"/>
    <w:basedOn w:val="Normal"/>
    <w:link w:val="BalloonTextChar"/>
    <w:uiPriority w:val="99"/>
    <w:semiHidden/>
    <w:unhideWhenUsed/>
    <w:rsid w:val="00DD7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32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Hudda</dc:creator>
  <cp:keywords/>
  <dc:description/>
  <cp:lastModifiedBy>Mohammed Hudda</cp:lastModifiedBy>
  <cp:revision>8</cp:revision>
  <cp:lastPrinted>2019-03-28T16:16:00Z</cp:lastPrinted>
  <dcterms:created xsi:type="dcterms:W3CDTF">2019-03-28T11:20:00Z</dcterms:created>
  <dcterms:modified xsi:type="dcterms:W3CDTF">2019-03-29T16:54:00Z</dcterms:modified>
</cp:coreProperties>
</file>