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3" w:rsidRPr="001F5BE0" w:rsidRDefault="008C50C2" w:rsidP="00543D03">
      <w:pPr>
        <w:spacing w:after="0" w:line="480" w:lineRule="auto"/>
        <w:contextualSpacing/>
        <w:rPr>
          <w:rFonts w:cs="Calibri"/>
          <w:i/>
          <w:lang w:val="en-US"/>
        </w:rPr>
      </w:pPr>
      <w:r>
        <w:rPr>
          <w:b/>
          <w:color w:val="1A171C"/>
          <w:lang w:val="en-US"/>
        </w:rPr>
        <w:t xml:space="preserve">Supporting </w:t>
      </w:r>
      <w:r w:rsidR="00543D03" w:rsidRPr="00CB34F8">
        <w:rPr>
          <w:b/>
          <w:color w:val="1A171C"/>
          <w:lang w:val="en-US"/>
        </w:rPr>
        <w:t xml:space="preserve">Table </w:t>
      </w:r>
      <w:r>
        <w:rPr>
          <w:b/>
          <w:color w:val="1A171C"/>
          <w:lang w:val="en-US"/>
        </w:rPr>
        <w:t>4</w:t>
      </w:r>
      <w:r w:rsidR="00543D03">
        <w:rPr>
          <w:rFonts w:cs="Calibri"/>
          <w:color w:val="1A171C"/>
          <w:lang w:val="en-US"/>
        </w:rPr>
        <w:br/>
      </w:r>
      <w:r w:rsidR="00543D03" w:rsidRPr="001F5BE0">
        <w:rPr>
          <w:rFonts w:cs="Calibri"/>
          <w:lang w:val="en-US"/>
        </w:rPr>
        <w:t>Comparative studies of MCG and other diagnostic tests in patients with stable CAD or ACS.</w:t>
      </w:r>
      <w:r w:rsidR="00543D03">
        <w:rPr>
          <w:rFonts w:cs="Calibri"/>
          <w:lang w:val="en-US"/>
        </w:rPr>
        <w:t>*</w:t>
      </w:r>
    </w:p>
    <w:tbl>
      <w:tblPr>
        <w:tblW w:w="14992" w:type="dxa"/>
        <w:tblLayout w:type="fixed"/>
        <w:tblLook w:val="04A0"/>
      </w:tblPr>
      <w:tblGrid>
        <w:gridCol w:w="2834"/>
        <w:gridCol w:w="2835"/>
        <w:gridCol w:w="2661"/>
        <w:gridCol w:w="2410"/>
        <w:gridCol w:w="2268"/>
        <w:gridCol w:w="1984"/>
      </w:tblGrid>
      <w:tr w:rsidR="00543D03" w:rsidRPr="00E4108A" w:rsidTr="00601289">
        <w:trPr>
          <w:tblHeader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D03" w:rsidRPr="00E4108A" w:rsidRDefault="00543D03" w:rsidP="00601289">
            <w:pPr>
              <w:spacing w:after="0" w:line="240" w:lineRule="auto"/>
              <w:rPr>
                <w:rFonts w:cs="Calibri"/>
                <w:b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D03" w:rsidRPr="00E4108A" w:rsidRDefault="00543D03" w:rsidP="00601289">
            <w:pPr>
              <w:spacing w:after="0" w:line="240" w:lineRule="auto"/>
              <w:rPr>
                <w:rFonts w:cs="Calibri"/>
                <w:b/>
                <w:color w:val="000000" w:themeColor="text1"/>
                <w:lang w:val="en-US"/>
              </w:rPr>
            </w:pPr>
          </w:p>
        </w:tc>
        <w:tc>
          <w:tcPr>
            <w:tcW w:w="5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D03" w:rsidRPr="00E4108A" w:rsidRDefault="00543D03" w:rsidP="0060128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E4108A">
              <w:rPr>
                <w:rFonts w:cs="Calibri"/>
                <w:b/>
                <w:color w:val="000000" w:themeColor="text1"/>
                <w:lang w:val="en-US"/>
              </w:rPr>
              <w:t>MCG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D03" w:rsidRPr="00E4108A" w:rsidRDefault="00543D03" w:rsidP="0060128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E4108A">
              <w:rPr>
                <w:rFonts w:cs="Calibri"/>
                <w:b/>
                <w:color w:val="000000" w:themeColor="text1"/>
                <w:lang w:val="en-US"/>
              </w:rPr>
              <w:t>Reference</w:t>
            </w:r>
          </w:p>
        </w:tc>
      </w:tr>
      <w:tr w:rsidR="00543D03" w:rsidRPr="00E4108A" w:rsidTr="00601289">
        <w:trPr>
          <w:tblHeader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D03" w:rsidRPr="00E4108A" w:rsidRDefault="00543D03" w:rsidP="00601289">
            <w:pPr>
              <w:spacing w:after="0" w:line="240" w:lineRule="auto"/>
              <w:rPr>
                <w:rFonts w:cs="Calibri"/>
                <w:b/>
                <w:color w:val="000000" w:themeColor="text1"/>
                <w:lang w:val="en-US"/>
              </w:rPr>
            </w:pPr>
            <w:r w:rsidRPr="00E4108A">
              <w:rPr>
                <w:rFonts w:cs="Calibri"/>
                <w:b/>
                <w:color w:val="000000" w:themeColor="text1"/>
                <w:lang w:val="en-US"/>
              </w:rPr>
              <w:t>Trial/MCG criteria reported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D03" w:rsidRPr="00E4108A" w:rsidRDefault="00543D03" w:rsidP="00601289">
            <w:pPr>
              <w:spacing w:after="0" w:line="240" w:lineRule="auto"/>
              <w:rPr>
                <w:rFonts w:cs="Calibri"/>
                <w:b/>
                <w:color w:val="000000" w:themeColor="text1"/>
                <w:lang w:val="en-US"/>
              </w:rPr>
            </w:pPr>
            <w:r w:rsidRPr="00E4108A">
              <w:rPr>
                <w:rFonts w:cs="Calibri"/>
                <w:b/>
                <w:color w:val="000000" w:themeColor="text1"/>
                <w:lang w:val="en-US"/>
              </w:rPr>
              <w:t>Target indication/</w:t>
            </w:r>
            <w:r w:rsidRPr="00E4108A">
              <w:rPr>
                <w:rFonts w:cs="Calibri"/>
                <w:b/>
                <w:color w:val="000000" w:themeColor="text1"/>
                <w:lang w:val="en-US"/>
              </w:rPr>
              <w:br/>
              <w:t>test population/</w:t>
            </w:r>
            <w:r w:rsidRPr="00E4108A">
              <w:rPr>
                <w:rFonts w:cs="Calibri"/>
                <w:b/>
                <w:i/>
                <w:color w:val="000000" w:themeColor="text1"/>
                <w:lang w:val="en-US"/>
              </w:rPr>
              <w:t>control</w:t>
            </w:r>
            <w:r w:rsidRPr="00E4108A">
              <w:rPr>
                <w:rFonts w:cs="Calibri"/>
                <w:b/>
                <w:color w:val="000000" w:themeColor="text1"/>
                <w:lang w:val="en-US"/>
              </w:rPr>
              <w:t xml:space="preserve"> (n)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D03" w:rsidRPr="00E4108A" w:rsidRDefault="00543D03" w:rsidP="0060128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E4108A">
              <w:rPr>
                <w:rFonts w:cs="Calibri"/>
                <w:b/>
                <w:color w:val="000000" w:themeColor="text1"/>
                <w:lang w:val="en-US"/>
              </w:rPr>
              <w:t xml:space="preserve">Specificity/sensitivity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D03" w:rsidRPr="00E4108A" w:rsidRDefault="00543D03" w:rsidP="0060128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E4108A">
              <w:rPr>
                <w:rFonts w:cs="Calibri"/>
                <w:b/>
                <w:color w:val="000000" w:themeColor="text1"/>
                <w:lang w:val="en-US"/>
              </w:rPr>
              <w:t xml:space="preserve">PPV/NPV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D03" w:rsidRPr="00E4108A" w:rsidRDefault="00543D03" w:rsidP="0060128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E4108A">
              <w:rPr>
                <w:rFonts w:cs="Calibri"/>
                <w:b/>
                <w:color w:val="000000" w:themeColor="text1"/>
                <w:lang w:val="en-US"/>
              </w:rPr>
              <w:t>Specificity/sensitivity</w:t>
            </w:r>
            <w:r>
              <w:rPr>
                <w:rFonts w:cs="Calibri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D03" w:rsidRPr="00E4108A" w:rsidRDefault="00543D03" w:rsidP="0060128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E4108A">
              <w:rPr>
                <w:rFonts w:cs="Calibri"/>
                <w:b/>
                <w:color w:val="000000" w:themeColor="text1"/>
                <w:lang w:val="en-US"/>
              </w:rPr>
              <w:t>PPV/NPV</w:t>
            </w:r>
            <w:r>
              <w:rPr>
                <w:rFonts w:cs="Calibri"/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543D03" w:rsidRPr="001F5BE0" w:rsidTr="00601289">
        <w:tc>
          <w:tcPr>
            <w:tcW w:w="2834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>Park et al. 2004</w:t>
            </w:r>
            <w:r>
              <w:rPr>
                <w:lang w:val="en-US"/>
              </w:rPr>
              <w:t xml:space="preserve"> [</w:t>
            </w:r>
            <w:r w:rsidRPr="00F84485">
              <w:rPr>
                <w:lang w:val="en-US"/>
              </w:rPr>
              <w:t>e73</w:t>
            </w:r>
            <w:r>
              <w:rPr>
                <w:lang w:val="en-US"/>
              </w:rPr>
              <w:t>]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 xml:space="preserve">Unshielded, 9-channel MCG at rest with </w:t>
            </w:r>
            <w:r w:rsidRPr="001F5BE0">
              <w:rPr>
                <w:rFonts w:ascii="Times New Roman" w:hAnsi="Times New Roman" w:cs="Times New Roman"/>
                <w:lang w:val="en-US"/>
              </w:rPr>
              <w:t>≥</w:t>
            </w:r>
            <w:r w:rsidRPr="001F5BE0">
              <w:rPr>
                <w:lang w:val="en-US"/>
              </w:rPr>
              <w:t>1 of the following criteria diagnostic for CHD:</w:t>
            </w:r>
          </w:p>
          <w:p w:rsidR="00543D03" w:rsidRPr="001F5BE0" w:rsidRDefault="00543D03" w:rsidP="00543D0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sz w:val="20"/>
                <w:lang w:val="en-US"/>
              </w:rPr>
            </w:pPr>
            <w:r w:rsidRPr="001F5BE0">
              <w:rPr>
                <w:sz w:val="20"/>
                <w:lang w:val="en-US"/>
              </w:rPr>
              <w:t>Direction of the main vector from the plus to minus pole between –20° and +110°</w:t>
            </w:r>
          </w:p>
          <w:p w:rsidR="00543D03" w:rsidRPr="001F5BE0" w:rsidRDefault="00543D03" w:rsidP="00543D0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sz w:val="20"/>
                <w:lang w:val="en-US"/>
              </w:rPr>
            </w:pPr>
            <w:r w:rsidRPr="001F5BE0">
              <w:rPr>
                <w:sz w:val="20"/>
                <w:lang w:val="en-US"/>
              </w:rPr>
              <w:t xml:space="preserve">Change in the angle of the main vector ≥45° in a time interval of 30 </w:t>
            </w:r>
            <w:proofErr w:type="spellStart"/>
            <w:r w:rsidRPr="001F5BE0">
              <w:rPr>
                <w:sz w:val="20"/>
                <w:lang w:val="en-US"/>
              </w:rPr>
              <w:t>msec</w:t>
            </w:r>
            <w:proofErr w:type="spellEnd"/>
            <w:r w:rsidRPr="001F5BE0">
              <w:rPr>
                <w:sz w:val="20"/>
                <w:lang w:val="en-US"/>
              </w:rPr>
              <w:t xml:space="preserve"> between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max</w:t>
            </w:r>
            <w:proofErr w:type="spellEnd"/>
            <w:r w:rsidRPr="001F5BE0">
              <w:rPr>
                <w:sz w:val="20"/>
                <w:vertAlign w:val="subscript"/>
                <w:lang w:val="en-US"/>
              </w:rPr>
              <w:t>/3</w:t>
            </w:r>
            <w:r w:rsidRPr="001F5BE0">
              <w:rPr>
                <w:sz w:val="20"/>
                <w:lang w:val="en-US"/>
              </w:rPr>
              <w:t xml:space="preserve"> and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max</w:t>
            </w:r>
            <w:proofErr w:type="spellEnd"/>
          </w:p>
          <w:p w:rsidR="00543D03" w:rsidRPr="001F5BE0" w:rsidRDefault="00543D03" w:rsidP="00543D0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sz w:val="20"/>
                <w:lang w:val="en-US"/>
              </w:rPr>
            </w:pPr>
            <w:r w:rsidRPr="001F5BE0">
              <w:rPr>
                <w:sz w:val="20"/>
                <w:lang w:val="en-US"/>
              </w:rPr>
              <w:t xml:space="preserve">Change in the distance separating the plus and minus poles ≥20 mm in a time interval of 30 </w:t>
            </w:r>
            <w:proofErr w:type="spellStart"/>
            <w:r w:rsidRPr="001F5BE0">
              <w:rPr>
                <w:sz w:val="20"/>
                <w:lang w:val="en-US"/>
              </w:rPr>
              <w:t>msec</w:t>
            </w:r>
            <w:proofErr w:type="spellEnd"/>
            <w:r w:rsidRPr="001F5BE0">
              <w:rPr>
                <w:sz w:val="20"/>
                <w:lang w:val="en-US"/>
              </w:rPr>
              <w:t xml:space="preserve"> between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max</w:t>
            </w:r>
            <w:proofErr w:type="spellEnd"/>
            <w:r w:rsidRPr="001F5BE0">
              <w:rPr>
                <w:sz w:val="20"/>
                <w:vertAlign w:val="subscript"/>
                <w:lang w:val="en-US"/>
              </w:rPr>
              <w:t>/3</w:t>
            </w:r>
            <w:r w:rsidRPr="001F5BE0">
              <w:rPr>
                <w:sz w:val="20"/>
                <w:lang w:val="en-US"/>
              </w:rPr>
              <w:t xml:space="preserve"> and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max</w:t>
            </w:r>
            <w:proofErr w:type="spellEnd"/>
          </w:p>
          <w:p w:rsidR="00543D03" w:rsidRPr="001F5BE0" w:rsidRDefault="00543D03" w:rsidP="00543D0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lang w:val="en-US"/>
              </w:rPr>
            </w:pPr>
            <w:r w:rsidRPr="001F5BE0">
              <w:rPr>
                <w:sz w:val="20"/>
                <w:lang w:val="en-US"/>
              </w:rPr>
              <w:t>Change in the ratio of the pole strengths ≥0.3 in a time interval of 30 </w:t>
            </w:r>
            <w:proofErr w:type="spellStart"/>
            <w:r w:rsidRPr="001F5BE0">
              <w:rPr>
                <w:sz w:val="20"/>
                <w:lang w:val="en-US"/>
              </w:rPr>
              <w:t>msec</w:t>
            </w:r>
            <w:proofErr w:type="spellEnd"/>
            <w:r w:rsidRPr="001F5BE0">
              <w:rPr>
                <w:sz w:val="20"/>
                <w:lang w:val="en-US"/>
              </w:rPr>
              <w:t xml:space="preserve"> between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max</w:t>
            </w:r>
            <w:proofErr w:type="spellEnd"/>
            <w:r w:rsidRPr="001F5BE0">
              <w:rPr>
                <w:sz w:val="20"/>
                <w:vertAlign w:val="subscript"/>
                <w:lang w:val="en-US"/>
              </w:rPr>
              <w:t>/3</w:t>
            </w:r>
            <w:r w:rsidRPr="001F5BE0">
              <w:rPr>
                <w:sz w:val="20"/>
                <w:lang w:val="en-US"/>
              </w:rPr>
              <w:t xml:space="preserve"> and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max</w:t>
            </w:r>
            <w:proofErr w:type="spellEnd"/>
            <w:r w:rsidRPr="001F5BE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>Myocardial ischemia in patients with symptoms of unstable angina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 xml:space="preserve">Patients with elevated </w:t>
            </w:r>
            <w:proofErr w:type="spellStart"/>
            <w:r w:rsidRPr="001F5BE0">
              <w:rPr>
                <w:lang w:val="en-US"/>
              </w:rPr>
              <w:t>troponin</w:t>
            </w:r>
            <w:proofErr w:type="spellEnd"/>
            <w:r w:rsidRPr="001F5BE0">
              <w:rPr>
                <w:lang w:val="en-US"/>
              </w:rPr>
              <w:t xml:space="preserve"> and angiographic documentation of CHD (53)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i/>
                <w:lang w:val="en-US"/>
              </w:rPr>
              <w:t xml:space="preserve">Patients with normal </w:t>
            </w:r>
            <w:proofErr w:type="spellStart"/>
            <w:r w:rsidRPr="001F5BE0">
              <w:rPr>
                <w:i/>
                <w:lang w:val="en-US"/>
              </w:rPr>
              <w:t>troponin</w:t>
            </w:r>
            <w:proofErr w:type="spellEnd"/>
            <w:r w:rsidRPr="001F5BE0">
              <w:rPr>
                <w:i/>
                <w:lang w:val="en-US"/>
              </w:rPr>
              <w:t xml:space="preserve"> le</w:t>
            </w:r>
            <w:r>
              <w:rPr>
                <w:i/>
                <w:lang w:val="en-US"/>
              </w:rPr>
              <w:t xml:space="preserve">vels in whom CHD could be ruled </w:t>
            </w:r>
            <w:r w:rsidRPr="001F5BE0">
              <w:rPr>
                <w:i/>
                <w:lang w:val="en-US"/>
              </w:rPr>
              <w:t>out</w:t>
            </w:r>
            <w:r w:rsidRPr="001F5BE0">
              <w:rPr>
                <w:lang w:val="en-US"/>
              </w:rPr>
              <w:t xml:space="preserve"> (33)</w:t>
            </w:r>
          </w:p>
        </w:tc>
        <w:tc>
          <w:tcPr>
            <w:tcW w:w="2661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ind w:left="6"/>
              <w:jc w:val="center"/>
              <w:rPr>
                <w:lang w:val="en-US"/>
              </w:rPr>
            </w:pPr>
            <w:r w:rsidRPr="001F5BE0">
              <w:rPr>
                <w:lang w:val="en-US"/>
              </w:rPr>
              <w:t>93.9%/94.3%</w:t>
            </w:r>
          </w:p>
          <w:p w:rsidR="00543D03" w:rsidRPr="001F5BE0" w:rsidRDefault="00543D03" w:rsidP="00601289">
            <w:pPr>
              <w:spacing w:before="120" w:after="0" w:line="240" w:lineRule="auto"/>
              <w:ind w:left="4"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lang w:val="en-US"/>
              </w:rPr>
              <w:t>91.2%/96.2%</w:t>
            </w:r>
          </w:p>
        </w:tc>
        <w:tc>
          <w:tcPr>
            <w:tcW w:w="2268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lang w:val="en-US"/>
              </w:rPr>
            </w:pPr>
            <w:r w:rsidRPr="001F5BE0">
              <w:rPr>
                <w:lang w:val="en-US"/>
              </w:rPr>
              <w:t xml:space="preserve">93.9%/49% </w:t>
            </w:r>
            <w:r>
              <w:rPr>
                <w:lang w:val="en-US"/>
              </w:rPr>
              <w:br/>
            </w:r>
            <w:r w:rsidRPr="001F5BE0">
              <w:rPr>
                <w:lang w:val="en-US"/>
              </w:rPr>
              <w:t>(12-lead ECG)</w:t>
            </w:r>
          </w:p>
        </w:tc>
        <w:tc>
          <w:tcPr>
            <w:tcW w:w="1984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ind w:left="6"/>
              <w:jc w:val="center"/>
              <w:rPr>
                <w:lang w:val="en-US"/>
              </w:rPr>
            </w:pPr>
            <w:r w:rsidRPr="001F5BE0">
              <w:rPr>
                <w:lang w:val="en-US"/>
              </w:rPr>
              <w:t xml:space="preserve">92.8%/53.4% </w:t>
            </w:r>
            <w:r>
              <w:rPr>
                <w:lang w:val="en-US"/>
              </w:rPr>
              <w:br/>
            </w:r>
            <w:r w:rsidRPr="001F5BE0">
              <w:rPr>
                <w:lang w:val="en-US"/>
              </w:rPr>
              <w:t>(12-lead ECG)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543D03" w:rsidRPr="001F5BE0" w:rsidTr="00601289">
        <w:tc>
          <w:tcPr>
            <w:tcW w:w="2834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>Park et al. 2005</w:t>
            </w:r>
            <w:r>
              <w:rPr>
                <w:lang w:val="en-US"/>
              </w:rPr>
              <w:t xml:space="preserve"> [</w:t>
            </w:r>
            <w:r w:rsidRPr="00F84485">
              <w:rPr>
                <w:lang w:val="en-US"/>
              </w:rPr>
              <w:t>e74</w:t>
            </w:r>
            <w:r>
              <w:rPr>
                <w:lang w:val="en-US"/>
              </w:rPr>
              <w:t>]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 xml:space="preserve">Unshielded, 9-channel MCG with </w:t>
            </w:r>
            <w:r w:rsidRPr="001F5BE0">
              <w:rPr>
                <w:rFonts w:ascii="Times New Roman" w:hAnsi="Times New Roman" w:cs="Times New Roman"/>
                <w:lang w:val="en-US"/>
              </w:rPr>
              <w:t>≥</w:t>
            </w:r>
            <w:r w:rsidRPr="001F5BE0">
              <w:rPr>
                <w:lang w:val="en-US"/>
              </w:rPr>
              <w:t xml:space="preserve">1 of the following </w:t>
            </w:r>
            <w:r w:rsidRPr="001F5BE0">
              <w:rPr>
                <w:lang w:val="en-US"/>
              </w:rPr>
              <w:lastRenderedPageBreak/>
              <w:t>criteria diagnostic for CHD:</w:t>
            </w:r>
          </w:p>
          <w:p w:rsidR="00543D03" w:rsidRPr="001F5BE0" w:rsidRDefault="00543D03" w:rsidP="00543D0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sz w:val="20"/>
                <w:lang w:val="en-US"/>
              </w:rPr>
            </w:pPr>
            <w:r w:rsidRPr="001F5BE0">
              <w:rPr>
                <w:sz w:val="20"/>
                <w:lang w:val="en-US"/>
              </w:rPr>
              <w:t>Direction of the main vector from the plus to minus pole between –20° and +110°</w:t>
            </w:r>
          </w:p>
          <w:p w:rsidR="00543D03" w:rsidRPr="001F5BE0" w:rsidRDefault="00543D03" w:rsidP="00543D0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sz w:val="20"/>
                <w:lang w:val="en-US"/>
              </w:rPr>
            </w:pPr>
            <w:r w:rsidRPr="001F5BE0">
              <w:rPr>
                <w:sz w:val="20"/>
                <w:lang w:val="en-US"/>
              </w:rPr>
              <w:t xml:space="preserve">Change in the angle of the main vector ≥45° in a time interval of 30 </w:t>
            </w:r>
            <w:proofErr w:type="spellStart"/>
            <w:r w:rsidRPr="001F5BE0">
              <w:rPr>
                <w:sz w:val="20"/>
                <w:lang w:val="en-US"/>
              </w:rPr>
              <w:t>msec</w:t>
            </w:r>
            <w:proofErr w:type="spellEnd"/>
            <w:r w:rsidRPr="001F5BE0">
              <w:rPr>
                <w:sz w:val="20"/>
                <w:lang w:val="en-US"/>
              </w:rPr>
              <w:t xml:space="preserve"> between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beg</w:t>
            </w:r>
            <w:proofErr w:type="spellEnd"/>
            <w:r w:rsidRPr="001F5BE0">
              <w:rPr>
                <w:sz w:val="20"/>
                <w:lang w:val="en-US"/>
              </w:rPr>
              <w:t xml:space="preserve"> and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max</w:t>
            </w:r>
            <w:proofErr w:type="spellEnd"/>
          </w:p>
          <w:p w:rsidR="00543D03" w:rsidRPr="001F5BE0" w:rsidRDefault="00543D03" w:rsidP="00543D0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sz w:val="20"/>
                <w:lang w:val="en-US"/>
              </w:rPr>
            </w:pPr>
            <w:r w:rsidRPr="001F5BE0">
              <w:rPr>
                <w:sz w:val="20"/>
                <w:lang w:val="en-US"/>
              </w:rPr>
              <w:t xml:space="preserve">Change in the distance separating the plus and minus poles ≥20 mm in a time interval of 30 </w:t>
            </w:r>
            <w:proofErr w:type="spellStart"/>
            <w:r w:rsidRPr="001F5BE0">
              <w:rPr>
                <w:sz w:val="20"/>
                <w:lang w:val="en-US"/>
              </w:rPr>
              <w:t>msec</w:t>
            </w:r>
            <w:proofErr w:type="spellEnd"/>
            <w:r w:rsidRPr="001F5BE0">
              <w:rPr>
                <w:sz w:val="20"/>
                <w:lang w:val="en-US"/>
              </w:rPr>
              <w:t xml:space="preserve"> between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beg</w:t>
            </w:r>
            <w:proofErr w:type="spellEnd"/>
            <w:r w:rsidRPr="001F5BE0">
              <w:rPr>
                <w:sz w:val="20"/>
                <w:lang w:val="en-US"/>
              </w:rPr>
              <w:t xml:space="preserve"> and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max</w:t>
            </w:r>
            <w:proofErr w:type="spellEnd"/>
          </w:p>
          <w:p w:rsidR="00543D03" w:rsidRPr="001F5BE0" w:rsidRDefault="00543D03" w:rsidP="00543D0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sz w:val="20"/>
                <w:lang w:val="en-US"/>
              </w:rPr>
            </w:pPr>
            <w:r w:rsidRPr="001F5BE0">
              <w:rPr>
                <w:sz w:val="20"/>
                <w:lang w:val="en-US"/>
              </w:rPr>
              <w:t>Change in the ratio of the pole strengths ≥0.3 in a time interval of 30 </w:t>
            </w:r>
            <w:proofErr w:type="spellStart"/>
            <w:r w:rsidRPr="001F5BE0">
              <w:rPr>
                <w:sz w:val="20"/>
                <w:lang w:val="en-US"/>
              </w:rPr>
              <w:t>msec</w:t>
            </w:r>
            <w:proofErr w:type="spellEnd"/>
            <w:r w:rsidRPr="001F5BE0">
              <w:rPr>
                <w:sz w:val="20"/>
                <w:lang w:val="en-US"/>
              </w:rPr>
              <w:t xml:space="preserve"> between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beg</w:t>
            </w:r>
            <w:proofErr w:type="spellEnd"/>
            <w:r w:rsidRPr="001F5BE0">
              <w:rPr>
                <w:sz w:val="20"/>
                <w:lang w:val="en-US"/>
              </w:rPr>
              <w:t xml:space="preserve"> and </w:t>
            </w:r>
            <w:proofErr w:type="spellStart"/>
            <w:r w:rsidRPr="001F5BE0">
              <w:rPr>
                <w:sz w:val="20"/>
                <w:lang w:val="en-US"/>
              </w:rPr>
              <w:t>T</w:t>
            </w:r>
            <w:r w:rsidRPr="001F5BE0">
              <w:rPr>
                <w:sz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lastRenderedPageBreak/>
              <w:t>NSTEMI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 xml:space="preserve">Patients presenting with acute chest pain with </w:t>
            </w:r>
            <w:r w:rsidRPr="001F5BE0">
              <w:rPr>
                <w:lang w:val="en-US"/>
              </w:rPr>
              <w:lastRenderedPageBreak/>
              <w:t>angiographic documentation of CAD without persistent ST segment elevation on ECG (143)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i/>
                <w:lang w:val="en-US"/>
              </w:rPr>
            </w:pPr>
            <w:r w:rsidRPr="001F5BE0">
              <w:rPr>
                <w:i/>
                <w:lang w:val="en-US"/>
              </w:rPr>
              <w:t xml:space="preserve">Subjects presenting with chest pain with normal ECG, </w:t>
            </w:r>
            <w:proofErr w:type="spellStart"/>
            <w:r w:rsidRPr="001F5BE0">
              <w:rPr>
                <w:i/>
                <w:lang w:val="en-US"/>
              </w:rPr>
              <w:t>troponins</w:t>
            </w:r>
            <w:proofErr w:type="spellEnd"/>
            <w:r w:rsidRPr="001F5BE0">
              <w:rPr>
                <w:i/>
                <w:lang w:val="en-US"/>
              </w:rPr>
              <w:t>, or coronary evaluation (42)</w:t>
            </w:r>
          </w:p>
        </w:tc>
        <w:tc>
          <w:tcPr>
            <w:tcW w:w="2661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lang w:val="en-US"/>
              </w:rPr>
            </w:pPr>
            <w:r w:rsidRPr="001F5BE0">
              <w:rPr>
                <w:lang w:val="en-US"/>
              </w:rPr>
              <w:t>92.8%/95.1%</w:t>
            </w:r>
            <w:r w:rsidRPr="001F5BE0">
              <w:rPr>
                <w:lang w:val="en-US"/>
              </w:rPr>
              <w:br/>
              <w:t xml:space="preserve">(visual by experienced </w:t>
            </w:r>
            <w:r w:rsidRPr="001F5BE0">
              <w:rPr>
                <w:lang w:val="en-US"/>
              </w:rPr>
              <w:lastRenderedPageBreak/>
              <w:t>reader)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82.5%/86.4% (automated)</w:t>
            </w:r>
          </w:p>
        </w:tc>
        <w:tc>
          <w:tcPr>
            <w:tcW w:w="2410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lang w:val="en-US"/>
              </w:rPr>
            </w:pPr>
            <w:r w:rsidRPr="001F5BE0">
              <w:rPr>
                <w:lang w:val="en-US"/>
              </w:rPr>
              <w:t>97.8%/84.8%</w:t>
            </w:r>
            <w:r w:rsidRPr="001F5BE0">
              <w:rPr>
                <w:lang w:val="en-US"/>
              </w:rPr>
              <w:br/>
              <w:t xml:space="preserve">(visual by experienced </w:t>
            </w:r>
            <w:r w:rsidRPr="001F5BE0">
              <w:rPr>
                <w:lang w:val="en-US"/>
              </w:rPr>
              <w:lastRenderedPageBreak/>
              <w:t>reader)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lang w:val="en-US"/>
              </w:rPr>
              <w:t xml:space="preserve">94.5%/63.5% </w:t>
            </w:r>
            <w:r w:rsidRPr="001F5BE0">
              <w:rPr>
                <w:lang w:val="en-US"/>
              </w:rPr>
              <w:br/>
              <w:t>(automated)</w:t>
            </w:r>
          </w:p>
        </w:tc>
        <w:tc>
          <w:tcPr>
            <w:tcW w:w="2268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91.1%/33.9%</w:t>
            </w:r>
            <w:r>
              <w:rPr>
                <w:rFonts w:cs="Calibri"/>
                <w:lang w:val="en-US"/>
              </w:rPr>
              <w:br/>
            </w:r>
            <w:r w:rsidRPr="001F5BE0">
              <w:rPr>
                <w:rFonts w:cs="Calibri"/>
                <w:lang w:val="en-US"/>
              </w:rPr>
              <w:t>(12-lead ECG)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lastRenderedPageBreak/>
              <w:t>90.5%/42.7% (</w:t>
            </w:r>
            <w:proofErr w:type="spellStart"/>
            <w:r w:rsidRPr="001F5BE0">
              <w:rPr>
                <w:rFonts w:cs="Calibri"/>
                <w:lang w:val="en-US"/>
              </w:rPr>
              <w:t>troponin</w:t>
            </w:r>
            <w:proofErr w:type="spellEnd"/>
            <w:r w:rsidRPr="001F5BE0">
              <w:rPr>
                <w:rFonts w:cs="Calibri"/>
                <w:lang w:val="en-US"/>
              </w:rPr>
              <w:t xml:space="preserve"> I)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76.2%/51.0% (echocardiography)</w:t>
            </w:r>
          </w:p>
        </w:tc>
        <w:tc>
          <w:tcPr>
            <w:tcW w:w="1984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 xml:space="preserve">93.3%/27.4% </w:t>
            </w:r>
            <w:r>
              <w:rPr>
                <w:rFonts w:cs="Calibri"/>
                <w:lang w:val="en-US"/>
              </w:rPr>
              <w:br/>
            </w:r>
            <w:r w:rsidRPr="001F5BE0">
              <w:rPr>
                <w:rFonts w:cs="Calibri"/>
                <w:lang w:val="en-US"/>
              </w:rPr>
              <w:t>(12-lead ECG)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lastRenderedPageBreak/>
              <w:t>93.8%/31.7% (</w:t>
            </w:r>
            <w:proofErr w:type="spellStart"/>
            <w:r w:rsidRPr="001F5BE0">
              <w:rPr>
                <w:rFonts w:cs="Calibri"/>
                <w:lang w:val="en-US"/>
              </w:rPr>
              <w:t>troponin</w:t>
            </w:r>
            <w:proofErr w:type="spellEnd"/>
            <w:r w:rsidRPr="001F5BE0">
              <w:rPr>
                <w:rFonts w:cs="Calibri"/>
                <w:lang w:val="en-US"/>
              </w:rPr>
              <w:t xml:space="preserve"> I)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87.9%/31.4% (echocardiography)</w:t>
            </w:r>
          </w:p>
        </w:tc>
      </w:tr>
      <w:tr w:rsidR="00543D03" w:rsidRPr="003855DB" w:rsidTr="00601289">
        <w:tc>
          <w:tcPr>
            <w:tcW w:w="2834" w:type="dxa"/>
            <w:shd w:val="clear" w:color="auto" w:fill="auto"/>
          </w:tcPr>
          <w:p w:rsidR="00543D03" w:rsidRPr="00E4108A" w:rsidRDefault="00543D03" w:rsidP="00601289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lastRenderedPageBreak/>
              <w:t>Steinberg et al. 2005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F84485">
              <w:rPr>
                <w:color w:val="000000" w:themeColor="text1"/>
                <w:lang w:val="en-US"/>
              </w:rPr>
              <w:t>[</w:t>
            </w:r>
            <w:r>
              <w:rPr>
                <w:color w:val="000000" w:themeColor="text1"/>
                <w:lang w:val="en-US"/>
              </w:rPr>
              <w:t>e</w:t>
            </w:r>
            <w:r w:rsidRPr="00F84485">
              <w:rPr>
                <w:color w:val="000000" w:themeColor="text1"/>
                <w:lang w:val="en-US"/>
              </w:rPr>
              <w:t>39</w:t>
            </w:r>
            <w:r>
              <w:rPr>
                <w:color w:val="000000" w:themeColor="text1"/>
                <w:lang w:val="en-US"/>
              </w:rPr>
              <w:t>]</w:t>
            </w:r>
          </w:p>
          <w:p w:rsidR="00543D03" w:rsidRDefault="00543D03" w:rsidP="00601289">
            <w:pPr>
              <w:spacing w:before="240" w:after="0" w:line="240" w:lineRule="auto"/>
              <w:rPr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t xml:space="preserve">Unshielded, 9-channel MCG at rest with </w:t>
            </w:r>
            <w:r>
              <w:rPr>
                <w:color w:val="000000" w:themeColor="text1"/>
                <w:lang w:val="en-US"/>
              </w:rPr>
              <w:t>ischemia defined as:</w:t>
            </w:r>
          </w:p>
          <w:p w:rsidR="00543D03" w:rsidRPr="00241D54" w:rsidRDefault="00543D03" w:rsidP="00543D03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rPr>
                <w:color w:val="000000" w:themeColor="text1"/>
                <w:lang w:val="en-US"/>
              </w:rPr>
            </w:pPr>
            <w:r w:rsidRPr="00241D54">
              <w:rPr>
                <w:color w:val="000000" w:themeColor="text1"/>
                <w:sz w:val="20"/>
                <w:lang w:val="en-US"/>
              </w:rPr>
              <w:t xml:space="preserve">Algorithm-generated score &gt;49 (on a scale of 0–100) based on four </w:t>
            </w:r>
            <w:r w:rsidRPr="00241D54">
              <w:rPr>
                <w:rFonts w:cs="Calibri"/>
                <w:color w:val="000000" w:themeColor="text1"/>
                <w:sz w:val="20"/>
                <w:lang w:val="en-US"/>
              </w:rPr>
              <w:t xml:space="preserve">MCG parameters measured during </w:t>
            </w:r>
            <w:proofErr w:type="spellStart"/>
            <w:r w:rsidRPr="00241D54">
              <w:rPr>
                <w:rFonts w:cs="Calibri"/>
                <w:color w:val="000000" w:themeColor="text1"/>
                <w:sz w:val="20"/>
                <w:lang w:val="en-US"/>
              </w:rPr>
              <w:t>T</w:t>
            </w:r>
            <w:r w:rsidRPr="00241D54">
              <w:rPr>
                <w:rFonts w:cs="Calibri"/>
                <w:color w:val="000000" w:themeColor="text1"/>
                <w:sz w:val="20"/>
                <w:vertAlign w:val="subscript"/>
                <w:lang w:val="en-US"/>
              </w:rPr>
              <w:t>max</w:t>
            </w:r>
            <w:proofErr w:type="spellEnd"/>
            <w:r w:rsidRPr="00241D54">
              <w:rPr>
                <w:rFonts w:cs="Calibri"/>
                <w:color w:val="000000" w:themeColor="text1"/>
                <w:sz w:val="20"/>
                <w:vertAlign w:val="subscript"/>
                <w:lang w:val="en-US"/>
              </w:rPr>
              <w:t>/3</w:t>
            </w:r>
            <w:r w:rsidRPr="00241D54">
              <w:rPr>
                <w:rFonts w:cs="Calibri"/>
                <w:color w:val="000000" w:themeColor="text1"/>
                <w:sz w:val="20"/>
                <w:lang w:val="en-US"/>
              </w:rPr>
              <w:t xml:space="preserve"> and </w:t>
            </w:r>
            <w:proofErr w:type="spellStart"/>
            <w:r w:rsidRPr="00241D54">
              <w:rPr>
                <w:rFonts w:cs="Calibri"/>
                <w:color w:val="000000" w:themeColor="text1"/>
                <w:sz w:val="20"/>
                <w:lang w:val="en-US"/>
              </w:rPr>
              <w:t>T</w:t>
            </w:r>
            <w:r w:rsidRPr="00241D54">
              <w:rPr>
                <w:rFonts w:cs="Calibri"/>
                <w:color w:val="000000" w:themeColor="text1"/>
                <w:sz w:val="20"/>
                <w:vertAlign w:val="subscript"/>
                <w:lang w:val="en-US"/>
              </w:rPr>
              <w:t>max</w:t>
            </w:r>
            <w:proofErr w:type="spellEnd"/>
            <w:r w:rsidRPr="00241D54">
              <w:rPr>
                <w:color w:val="000000" w:themeColor="text1"/>
                <w:sz w:val="20"/>
                <w:lang w:val="en-US"/>
              </w:rPr>
              <w:t xml:space="preserve"> (</w:t>
            </w:r>
            <w:r w:rsidRPr="00241D54">
              <w:rPr>
                <w:i/>
                <w:color w:val="000000" w:themeColor="text1"/>
                <w:sz w:val="20"/>
                <w:lang w:val="en-US"/>
              </w:rPr>
              <w:t xml:space="preserve">described </w:t>
            </w:r>
            <w:r w:rsidRPr="00F84485">
              <w:rPr>
                <w:i/>
                <w:color w:val="000000" w:themeColor="text1"/>
                <w:sz w:val="20"/>
                <w:lang w:val="en-US"/>
              </w:rPr>
              <w:t>in Table 1</w:t>
            </w:r>
            <w:r w:rsidRPr="00F84485">
              <w:rPr>
                <w:color w:val="000000" w:themeColor="text1"/>
                <w:sz w:val="20"/>
                <w:lang w:val="en-US"/>
              </w:rPr>
              <w:t>)</w:t>
            </w:r>
            <w:r w:rsidRPr="00241D54">
              <w:rPr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43D03" w:rsidRPr="00E4108A" w:rsidRDefault="00543D03" w:rsidP="00601289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t>Anatomic CAD</w:t>
            </w:r>
          </w:p>
          <w:p w:rsidR="00543D03" w:rsidRPr="00E4108A" w:rsidRDefault="00543D03" w:rsidP="00601289">
            <w:pPr>
              <w:spacing w:before="240" w:after="0" w:line="240" w:lineRule="auto"/>
              <w:rPr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t xml:space="preserve">Patients with suspected CAD and </w:t>
            </w:r>
            <w:proofErr w:type="spellStart"/>
            <w:r w:rsidRPr="00E4108A">
              <w:rPr>
                <w:color w:val="000000" w:themeColor="text1"/>
                <w:lang w:val="en-US"/>
              </w:rPr>
              <w:t>angiographically</w:t>
            </w:r>
            <w:proofErr w:type="spellEnd"/>
            <w:r w:rsidRPr="00E4108A">
              <w:rPr>
                <w:color w:val="000000" w:themeColor="text1"/>
                <w:lang w:val="en-US"/>
              </w:rPr>
              <w:t xml:space="preserve"> proven &gt;50% </w:t>
            </w:r>
            <w:proofErr w:type="spellStart"/>
            <w:r w:rsidRPr="00E4108A">
              <w:rPr>
                <w:color w:val="000000" w:themeColor="text1"/>
                <w:lang w:val="en-US"/>
              </w:rPr>
              <w:t>stenosis</w:t>
            </w:r>
            <w:proofErr w:type="spellEnd"/>
            <w:r w:rsidRPr="00E4108A">
              <w:rPr>
                <w:color w:val="000000" w:themeColor="text1"/>
                <w:lang w:val="en-US"/>
              </w:rPr>
              <w:t xml:space="preserve"> (19)</w:t>
            </w:r>
          </w:p>
          <w:p w:rsidR="00543D03" w:rsidRPr="00E4108A" w:rsidRDefault="00543D03" w:rsidP="00601289">
            <w:pPr>
              <w:spacing w:before="120" w:after="0" w:line="240" w:lineRule="auto"/>
              <w:rPr>
                <w:i/>
                <w:color w:val="000000" w:themeColor="text1"/>
                <w:lang w:val="en-US"/>
              </w:rPr>
            </w:pPr>
            <w:r w:rsidRPr="00E4108A">
              <w:rPr>
                <w:i/>
                <w:color w:val="000000" w:themeColor="text1"/>
                <w:lang w:val="en-US"/>
              </w:rPr>
              <w:t xml:space="preserve">Patients with </w:t>
            </w:r>
            <w:proofErr w:type="spellStart"/>
            <w:r w:rsidRPr="00E4108A">
              <w:rPr>
                <w:i/>
                <w:color w:val="000000" w:themeColor="text1"/>
                <w:lang w:val="en-US"/>
              </w:rPr>
              <w:t>angiographically</w:t>
            </w:r>
            <w:proofErr w:type="spellEnd"/>
            <w:r w:rsidRPr="00E4108A">
              <w:rPr>
                <w:i/>
                <w:color w:val="000000" w:themeColor="text1"/>
                <w:lang w:val="en-US"/>
              </w:rPr>
              <w:t xml:space="preserve"> proven non-obstructive CAD (10)</w:t>
            </w:r>
          </w:p>
        </w:tc>
        <w:tc>
          <w:tcPr>
            <w:tcW w:w="2661" w:type="dxa"/>
            <w:shd w:val="clear" w:color="auto" w:fill="auto"/>
          </w:tcPr>
          <w:p w:rsidR="00543D03" w:rsidRPr="00E4108A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t>40.0%/84.2%</w:t>
            </w:r>
          </w:p>
        </w:tc>
        <w:tc>
          <w:tcPr>
            <w:tcW w:w="2410" w:type="dxa"/>
            <w:shd w:val="clear" w:color="auto" w:fill="auto"/>
          </w:tcPr>
          <w:p w:rsidR="00543D03" w:rsidRPr="00E4108A" w:rsidRDefault="00543D03" w:rsidP="00601289">
            <w:pPr>
              <w:spacing w:before="120" w:after="0" w:line="240" w:lineRule="auto"/>
              <w:ind w:left="6"/>
              <w:jc w:val="center"/>
              <w:rPr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t>72.7%/57.1%</w:t>
            </w:r>
          </w:p>
        </w:tc>
        <w:tc>
          <w:tcPr>
            <w:tcW w:w="2268" w:type="dxa"/>
            <w:shd w:val="clear" w:color="auto" w:fill="auto"/>
          </w:tcPr>
          <w:p w:rsidR="00543D03" w:rsidRPr="00E4108A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t>90.0%/26.3% (ECG)</w:t>
            </w:r>
          </w:p>
        </w:tc>
        <w:tc>
          <w:tcPr>
            <w:tcW w:w="1984" w:type="dxa"/>
            <w:shd w:val="clear" w:color="auto" w:fill="auto"/>
          </w:tcPr>
          <w:p w:rsidR="00543D03" w:rsidRPr="00E4108A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t>83.3%/31.9% (ECG)</w:t>
            </w:r>
          </w:p>
        </w:tc>
      </w:tr>
      <w:tr w:rsidR="00543D03" w:rsidRPr="001F5BE0" w:rsidTr="00601289">
        <w:tc>
          <w:tcPr>
            <w:tcW w:w="2834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rFonts w:cs="Calibri"/>
                <w:lang w:val="en-US"/>
              </w:rPr>
            </w:pPr>
            <w:proofErr w:type="spellStart"/>
            <w:r w:rsidRPr="001F5BE0">
              <w:rPr>
                <w:rFonts w:cs="Calibri"/>
                <w:lang w:val="en-US"/>
              </w:rPr>
              <w:t>Tolstrup</w:t>
            </w:r>
            <w:proofErr w:type="spellEnd"/>
            <w:r w:rsidRPr="001F5BE0">
              <w:rPr>
                <w:rFonts w:cs="Calibri"/>
                <w:lang w:val="en-US"/>
              </w:rPr>
              <w:t xml:space="preserve"> et al. 2006 </w:t>
            </w:r>
            <w:r>
              <w:rPr>
                <w:rFonts w:cs="Calibri"/>
                <w:lang w:val="en-US"/>
              </w:rPr>
              <w:t>[</w:t>
            </w:r>
            <w:r w:rsidRPr="00F84485">
              <w:rPr>
                <w:rFonts w:cs="Calibri"/>
                <w:lang w:val="en-US"/>
              </w:rPr>
              <w:t>e40</w:t>
            </w:r>
            <w:r>
              <w:rPr>
                <w:rFonts w:cs="Calibri"/>
                <w:lang w:val="en-US"/>
              </w:rPr>
              <w:t>]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lastRenderedPageBreak/>
              <w:t>Unshielded, 9- or 36-channel MCG at rest</w:t>
            </w:r>
          </w:p>
        </w:tc>
        <w:tc>
          <w:tcPr>
            <w:tcW w:w="2835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lastRenderedPageBreak/>
              <w:t>Anatomic CAD</w:t>
            </w:r>
          </w:p>
          <w:p w:rsidR="00543D03" w:rsidRPr="001F5BE0" w:rsidRDefault="00543D03" w:rsidP="00601289">
            <w:pPr>
              <w:spacing w:before="240" w:after="0" w:line="240" w:lineRule="auto"/>
              <w:rPr>
                <w:rFonts w:cs="Calibri"/>
                <w:lang w:val="en-US"/>
              </w:rPr>
            </w:pPr>
            <w:r w:rsidRPr="001F5BE0">
              <w:rPr>
                <w:lang w:val="en-US"/>
              </w:rPr>
              <w:lastRenderedPageBreak/>
              <w:t>Patients with stable angina, Class I–II (20) or unstable angina Class III–IV (17) confirmed by SPECT or angiography</w:t>
            </w:r>
          </w:p>
        </w:tc>
        <w:tc>
          <w:tcPr>
            <w:tcW w:w="2661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lastRenderedPageBreak/>
              <w:t>83.3%/80.6% (all)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100%/76.5% (stable)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66.7%/85.7% (unstable)</w:t>
            </w:r>
          </w:p>
        </w:tc>
        <w:tc>
          <w:tcPr>
            <w:tcW w:w="2410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lastRenderedPageBreak/>
              <w:t>96.2%/45.5% (all)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100%/42.9% (stable)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92.3%/50.0% (unstable)</w:t>
            </w:r>
          </w:p>
        </w:tc>
        <w:tc>
          <w:tcPr>
            <w:tcW w:w="2268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lastRenderedPageBreak/>
              <w:t xml:space="preserve">33.3%/94.1% </w:t>
            </w:r>
            <w:r>
              <w:rPr>
                <w:rFonts w:cs="Calibri"/>
                <w:lang w:val="en-US"/>
              </w:rPr>
              <w:br/>
            </w:r>
            <w:r w:rsidRPr="001F5BE0">
              <w:rPr>
                <w:rFonts w:cs="Calibri"/>
                <w:lang w:val="en-US"/>
              </w:rPr>
              <w:t>(all; SPECT)</w:t>
            </w:r>
          </w:p>
        </w:tc>
        <w:tc>
          <w:tcPr>
            <w:tcW w:w="1984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lastRenderedPageBreak/>
              <w:t xml:space="preserve">88.9%/50% </w:t>
            </w:r>
            <w:r>
              <w:rPr>
                <w:rFonts w:cs="Calibri"/>
                <w:lang w:val="en-US"/>
              </w:rPr>
              <w:br/>
            </w:r>
            <w:r w:rsidRPr="001F5BE0">
              <w:rPr>
                <w:rFonts w:cs="Calibri"/>
                <w:lang w:val="en-US"/>
              </w:rPr>
              <w:t>(all; SPECT)</w:t>
            </w:r>
          </w:p>
        </w:tc>
      </w:tr>
      <w:tr w:rsidR="00543D03" w:rsidRPr="001F5BE0" w:rsidTr="00601289"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1F5BE0">
              <w:rPr>
                <w:lang w:val="en-US"/>
              </w:rPr>
              <w:lastRenderedPageBreak/>
              <w:t>Fenici</w:t>
            </w:r>
            <w:proofErr w:type="spellEnd"/>
            <w:r w:rsidRPr="001F5BE0">
              <w:rPr>
                <w:lang w:val="en-US"/>
              </w:rPr>
              <w:t xml:space="preserve"> &amp; </w:t>
            </w:r>
            <w:proofErr w:type="spellStart"/>
            <w:r w:rsidRPr="001F5BE0">
              <w:rPr>
                <w:lang w:val="en-US"/>
              </w:rPr>
              <w:t>Brisinda</w:t>
            </w:r>
            <w:proofErr w:type="spellEnd"/>
            <w:r w:rsidRPr="001F5BE0">
              <w:rPr>
                <w:lang w:val="en-US"/>
              </w:rPr>
              <w:t xml:space="preserve"> 2007</w:t>
            </w:r>
            <w:r>
              <w:rPr>
                <w:lang w:val="en-US"/>
              </w:rPr>
              <w:t xml:space="preserve"> [</w:t>
            </w:r>
            <w:r w:rsidRPr="006724D9">
              <w:rPr>
                <w:lang w:val="en-US"/>
              </w:rPr>
              <w:t>e41</w:t>
            </w:r>
            <w:r>
              <w:rPr>
                <w:lang w:val="en-US"/>
              </w:rPr>
              <w:t>]</w:t>
            </w:r>
          </w:p>
          <w:p w:rsidR="00543D03" w:rsidRPr="001F5BE0" w:rsidRDefault="00543D03" w:rsidP="00601289">
            <w:pPr>
              <w:spacing w:before="24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>Unshielded, 36-channel MCG at rest with best discriminator defined as:</w:t>
            </w:r>
          </w:p>
          <w:p w:rsidR="00543D03" w:rsidRPr="001F5BE0" w:rsidRDefault="00543D03" w:rsidP="00543D03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rPr>
                <w:lang w:val="en-US"/>
              </w:rPr>
            </w:pPr>
            <w:r w:rsidRPr="001F5BE0">
              <w:rPr>
                <w:sz w:val="20"/>
                <w:lang w:val="en-US"/>
              </w:rPr>
              <w:t xml:space="preserve">Machine learning method to calculate the dynamic motion of the effective magnetic vector during the T wave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>Anatomic CAD</w:t>
            </w:r>
          </w:p>
          <w:p w:rsidR="00543D03" w:rsidRPr="001F5BE0" w:rsidRDefault="00543D03" w:rsidP="00601289">
            <w:pPr>
              <w:spacing w:before="24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>Patients with stable angina and CAD (51), of whom 35 had prior MI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i/>
                <w:lang w:val="en-US"/>
              </w:rPr>
            </w:pPr>
            <w:r w:rsidRPr="001F5BE0">
              <w:rPr>
                <w:i/>
                <w:lang w:val="en-US"/>
              </w:rPr>
              <w:t>Healthy subjects (52)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96%/56%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94%/69%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 xml:space="preserve">96%/39% </w:t>
            </w:r>
            <w:r>
              <w:rPr>
                <w:rFonts w:cs="Calibri"/>
                <w:lang w:val="en-US"/>
              </w:rPr>
              <w:br/>
            </w:r>
            <w:r w:rsidRPr="001F5BE0">
              <w:rPr>
                <w:rFonts w:cs="Calibri"/>
                <w:lang w:val="en-US"/>
              </w:rPr>
              <w:t>(1-lead ECG)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 xml:space="preserve">94%/69% </w:t>
            </w:r>
            <w:r>
              <w:rPr>
                <w:rFonts w:cs="Calibri"/>
                <w:lang w:val="en-US"/>
              </w:rPr>
              <w:br/>
            </w:r>
            <w:r w:rsidRPr="001F5BE0">
              <w:rPr>
                <w:rFonts w:cs="Calibri"/>
                <w:lang w:val="en-US"/>
              </w:rPr>
              <w:t>(1-lead ECG)</w:t>
            </w:r>
          </w:p>
        </w:tc>
      </w:tr>
      <w:tr w:rsidR="00543D03" w:rsidRPr="001F5BE0" w:rsidTr="00601289">
        <w:trPr>
          <w:trHeight w:val="1942"/>
        </w:trPr>
        <w:tc>
          <w:tcPr>
            <w:tcW w:w="2834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>Park et al. 2007</w:t>
            </w:r>
            <w:r>
              <w:rPr>
                <w:lang w:val="en-US"/>
              </w:rPr>
              <w:t xml:space="preserve"> </w:t>
            </w:r>
            <w:r w:rsidRPr="006724D9">
              <w:rPr>
                <w:lang w:val="en-US"/>
              </w:rPr>
              <w:t>[e79</w:t>
            </w:r>
            <w:r>
              <w:rPr>
                <w:lang w:val="en-US"/>
              </w:rPr>
              <w:t>]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1F5BE0">
              <w:rPr>
                <w:rFonts w:asciiTheme="minorHAnsi" w:hAnsiTheme="minorHAnsi" w:cstheme="minorHAnsi"/>
                <w:lang w:val="en-US"/>
              </w:rPr>
              <w:t>―</w:t>
            </w:r>
          </w:p>
        </w:tc>
        <w:tc>
          <w:tcPr>
            <w:tcW w:w="2835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>NSTEMI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 xml:space="preserve">Patients with acute chest pain with NSTEMI and with </w:t>
            </w:r>
            <w:proofErr w:type="spellStart"/>
            <w:r w:rsidRPr="001F5BE0">
              <w:rPr>
                <w:lang w:val="en-US"/>
              </w:rPr>
              <w:t>angiographically</w:t>
            </w:r>
            <w:proofErr w:type="spellEnd"/>
            <w:r w:rsidRPr="001F5BE0">
              <w:rPr>
                <w:lang w:val="en-US"/>
              </w:rPr>
              <w:t xml:space="preserve"> proven CAD (264): Subgroup with BBB (56)</w:t>
            </w:r>
          </w:p>
        </w:tc>
        <w:tc>
          <w:tcPr>
            <w:tcW w:w="2661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lang w:val="en-US"/>
              </w:rPr>
            </w:pPr>
            <w:r w:rsidRPr="001F5BE0">
              <w:rPr>
                <w:lang w:val="en-US"/>
              </w:rPr>
              <w:t>93.5%/86.9%</w:t>
            </w:r>
          </w:p>
        </w:tc>
        <w:tc>
          <w:tcPr>
            <w:tcW w:w="2410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lang w:val="en-US"/>
              </w:rPr>
            </w:pPr>
            <w:r w:rsidRPr="001F5BE0">
              <w:rPr>
                <w:lang w:val="en-US"/>
              </w:rPr>
              <w:t>97.6%/71.4%</w:t>
            </w:r>
          </w:p>
        </w:tc>
        <w:tc>
          <w:tcPr>
            <w:tcW w:w="2268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68.8%/34.8% (echocardiography)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56.8%/37.5% (</w:t>
            </w:r>
            <w:proofErr w:type="spellStart"/>
            <w:r w:rsidRPr="001F5BE0">
              <w:rPr>
                <w:rFonts w:cs="Calibri"/>
                <w:lang w:val="en-US"/>
              </w:rPr>
              <w:t>troponin</w:t>
            </w:r>
            <w:proofErr w:type="spellEnd"/>
            <w:r w:rsidRPr="001F5BE0">
              <w:rPr>
                <w:rFonts w:cs="Calibri"/>
                <w:lang w:val="en-US"/>
              </w:rPr>
              <w:t xml:space="preserve"> I)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76.2%/26.8% (echocardiography)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71.4%/33.3% (</w:t>
            </w:r>
            <w:proofErr w:type="spellStart"/>
            <w:r w:rsidRPr="001F5BE0">
              <w:rPr>
                <w:rFonts w:cs="Calibri"/>
                <w:lang w:val="en-US"/>
              </w:rPr>
              <w:t>troponin</w:t>
            </w:r>
            <w:proofErr w:type="spellEnd"/>
            <w:r w:rsidRPr="001F5BE0">
              <w:rPr>
                <w:rFonts w:cs="Calibri"/>
                <w:lang w:val="en-US"/>
              </w:rPr>
              <w:t xml:space="preserve"> I)</w:t>
            </w: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543D03" w:rsidRPr="001F5BE0" w:rsidTr="00601289">
        <w:tc>
          <w:tcPr>
            <w:tcW w:w="2834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Park 2008</w:t>
            </w:r>
            <w:r>
              <w:rPr>
                <w:rFonts w:cs="Calibri"/>
                <w:lang w:val="en-US"/>
              </w:rPr>
              <w:t xml:space="preserve"> [</w:t>
            </w:r>
            <w:r w:rsidRPr="006724D9">
              <w:rPr>
                <w:rFonts w:cs="Calibri"/>
                <w:lang w:val="en-US"/>
              </w:rPr>
              <w:t>e18</w:t>
            </w:r>
            <w:r>
              <w:rPr>
                <w:rFonts w:cs="Calibri"/>
                <w:lang w:val="en-US"/>
              </w:rPr>
              <w:t>]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 xml:space="preserve">Shielded, 55-channel MCG conducted at rest and under </w:t>
            </w:r>
            <w:proofErr w:type="spellStart"/>
            <w:r w:rsidRPr="001F5BE0">
              <w:rPr>
                <w:rFonts w:cs="Calibri"/>
                <w:lang w:val="en-US"/>
              </w:rPr>
              <w:t>dobutamine</w:t>
            </w:r>
            <w:proofErr w:type="spellEnd"/>
            <w:r w:rsidRPr="001F5BE0">
              <w:rPr>
                <w:rFonts w:cs="Calibri"/>
                <w:lang w:val="en-US"/>
              </w:rPr>
              <w:t xml:space="preserve"> stress, with </w:t>
            </w:r>
            <w:r w:rsidRPr="001F5BE0">
              <w:rPr>
                <w:rFonts w:cs="Calibri"/>
                <w:lang w:val="en-US"/>
              </w:rPr>
              <w:lastRenderedPageBreak/>
              <w:t xml:space="preserve">ischemia determined based on the current distribution at </w:t>
            </w:r>
            <w:proofErr w:type="spellStart"/>
            <w:r w:rsidRPr="001F5BE0">
              <w:rPr>
                <w:rFonts w:cs="Calibri"/>
                <w:lang w:val="en-US"/>
              </w:rPr>
              <w:t>QRS</w:t>
            </w:r>
            <w:r w:rsidRPr="001F5BE0">
              <w:rPr>
                <w:rFonts w:cs="Calibri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lastRenderedPageBreak/>
              <w:t>Functional ischemia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t xml:space="preserve">Patients with </w:t>
            </w:r>
            <w:proofErr w:type="spellStart"/>
            <w:r w:rsidRPr="001F5BE0">
              <w:rPr>
                <w:lang w:val="en-US"/>
              </w:rPr>
              <w:t>angiographically</w:t>
            </w:r>
            <w:proofErr w:type="spellEnd"/>
            <w:r w:rsidRPr="001F5BE0">
              <w:rPr>
                <w:lang w:val="en-US"/>
              </w:rPr>
              <w:t xml:space="preserve"> proven obstructive CAD (42)</w:t>
            </w:r>
          </w:p>
          <w:p w:rsidR="00543D03" w:rsidRPr="001F5BE0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1F5BE0">
              <w:rPr>
                <w:lang w:val="en-US"/>
              </w:rPr>
              <w:lastRenderedPageBreak/>
              <w:t xml:space="preserve">Patients with suspected CAD with </w:t>
            </w:r>
            <w:proofErr w:type="spellStart"/>
            <w:r w:rsidRPr="001F5BE0">
              <w:rPr>
                <w:lang w:val="en-US"/>
              </w:rPr>
              <w:t>angiographically</w:t>
            </w:r>
            <w:proofErr w:type="spellEnd"/>
            <w:r w:rsidRPr="001F5BE0">
              <w:rPr>
                <w:lang w:val="en-US"/>
              </w:rPr>
              <w:t xml:space="preserve"> proven non-obstructive CAD (58)</w:t>
            </w:r>
          </w:p>
        </w:tc>
        <w:tc>
          <w:tcPr>
            <w:tcW w:w="2661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82.8%/97.6%</w:t>
            </w:r>
          </w:p>
        </w:tc>
        <w:tc>
          <w:tcPr>
            <w:tcW w:w="2410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>80.4%/98.0%</w:t>
            </w:r>
          </w:p>
        </w:tc>
        <w:tc>
          <w:tcPr>
            <w:tcW w:w="2268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 xml:space="preserve">82.8%/26.0% </w:t>
            </w:r>
            <w:r>
              <w:rPr>
                <w:rFonts w:cs="Calibri"/>
                <w:lang w:val="en-US"/>
              </w:rPr>
              <w:br/>
            </w:r>
            <w:r w:rsidRPr="001F5BE0">
              <w:rPr>
                <w:rFonts w:cs="Calibri"/>
                <w:lang w:val="en-US"/>
              </w:rPr>
              <w:t>(12-lead ECG)</w:t>
            </w:r>
          </w:p>
        </w:tc>
        <w:tc>
          <w:tcPr>
            <w:tcW w:w="1984" w:type="dxa"/>
            <w:shd w:val="clear" w:color="auto" w:fill="auto"/>
          </w:tcPr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1F5BE0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1F5BE0">
              <w:rPr>
                <w:rFonts w:cs="Calibri"/>
                <w:lang w:val="en-US"/>
              </w:rPr>
              <w:t xml:space="preserve">52.4%/60.8% </w:t>
            </w:r>
            <w:r>
              <w:rPr>
                <w:rFonts w:cs="Calibri"/>
                <w:lang w:val="en-US"/>
              </w:rPr>
              <w:br/>
            </w:r>
            <w:r w:rsidRPr="001F5BE0">
              <w:rPr>
                <w:rFonts w:cs="Calibri"/>
                <w:lang w:val="en-US"/>
              </w:rPr>
              <w:t>(12-lead ECG)</w:t>
            </w:r>
          </w:p>
        </w:tc>
      </w:tr>
      <w:tr w:rsidR="00543D03" w:rsidRPr="003855DB" w:rsidTr="00601289">
        <w:tc>
          <w:tcPr>
            <w:tcW w:w="2834" w:type="dxa"/>
            <w:shd w:val="clear" w:color="auto" w:fill="auto"/>
          </w:tcPr>
          <w:p w:rsidR="00543D03" w:rsidRPr="00E4108A" w:rsidRDefault="00543D03" w:rsidP="00601289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proofErr w:type="spellStart"/>
            <w:r w:rsidRPr="00E4108A">
              <w:rPr>
                <w:rFonts w:cs="Calibri"/>
                <w:color w:val="000000" w:themeColor="text1"/>
                <w:lang w:val="en-US"/>
              </w:rPr>
              <w:lastRenderedPageBreak/>
              <w:t>Goernig</w:t>
            </w:r>
            <w:proofErr w:type="spellEnd"/>
            <w:r w:rsidRPr="00E4108A">
              <w:rPr>
                <w:rFonts w:cs="Calibri"/>
                <w:color w:val="000000" w:themeColor="text1"/>
                <w:lang w:val="en-US"/>
              </w:rPr>
              <w:t xml:space="preserve"> et al. 2009</w:t>
            </w:r>
            <w:r>
              <w:rPr>
                <w:rFonts w:cs="Calibri"/>
                <w:color w:val="000000" w:themeColor="text1"/>
                <w:lang w:val="en-US"/>
              </w:rPr>
              <w:t xml:space="preserve"> [</w:t>
            </w:r>
            <w:r w:rsidRPr="006724D9">
              <w:rPr>
                <w:rFonts w:cs="Calibri"/>
                <w:color w:val="000000" w:themeColor="text1"/>
                <w:lang w:val="en-US"/>
              </w:rPr>
              <w:t>e21</w:t>
            </w:r>
            <w:r>
              <w:rPr>
                <w:rFonts w:cs="Calibri"/>
                <w:color w:val="000000" w:themeColor="text1"/>
                <w:lang w:val="en-US"/>
              </w:rPr>
              <w:t>]</w:t>
            </w:r>
          </w:p>
          <w:p w:rsidR="00543D03" w:rsidRPr="00E4108A" w:rsidRDefault="00543D03" w:rsidP="00601289">
            <w:pPr>
              <w:spacing w:before="24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t xml:space="preserve">Shielded, </w:t>
            </w:r>
            <w:r>
              <w:rPr>
                <w:rFonts w:cs="Calibri"/>
                <w:color w:val="000000" w:themeColor="text1"/>
                <w:lang w:val="en-US"/>
              </w:rPr>
              <w:t>31-channel</w:t>
            </w:r>
            <w:r w:rsidRPr="00E4108A">
              <w:rPr>
                <w:rFonts w:cs="Calibri"/>
                <w:color w:val="000000" w:themeColor="text1"/>
                <w:lang w:val="en-US"/>
              </w:rPr>
              <w:t xml:space="preserve"> MCG at rest with </w:t>
            </w:r>
            <w:r>
              <w:rPr>
                <w:color w:val="000000" w:themeColor="text1"/>
                <w:lang w:val="en-US"/>
              </w:rPr>
              <w:t xml:space="preserve">spatiotemporal correlation </w:t>
            </w:r>
            <w:r w:rsidRPr="00E4108A">
              <w:rPr>
                <w:color w:val="000000" w:themeColor="text1"/>
                <w:lang w:val="en-US"/>
              </w:rPr>
              <w:t xml:space="preserve">analysis </w:t>
            </w:r>
            <w:r>
              <w:rPr>
                <w:color w:val="000000" w:themeColor="text1"/>
                <w:lang w:val="en-US"/>
              </w:rPr>
              <w:t xml:space="preserve">combining three MCG parameters </w:t>
            </w:r>
            <w:r w:rsidRPr="00E4108A">
              <w:rPr>
                <w:color w:val="000000" w:themeColor="text1"/>
                <w:lang w:val="en-US"/>
              </w:rPr>
              <w:t>(mean value corr</w:t>
            </w:r>
            <w:r>
              <w:rPr>
                <w:color w:val="000000" w:themeColor="text1"/>
                <w:lang w:val="en-US"/>
              </w:rPr>
              <w:t>elation</w:t>
            </w:r>
            <w:r w:rsidRPr="00E4108A">
              <w:rPr>
                <w:color w:val="000000" w:themeColor="text1"/>
                <w:lang w:val="en-US"/>
              </w:rPr>
              <w:t xml:space="preserve"> QRS at T, STDEV corr</w:t>
            </w:r>
            <w:r>
              <w:rPr>
                <w:color w:val="000000" w:themeColor="text1"/>
                <w:lang w:val="en-US"/>
              </w:rPr>
              <w:t>elation</w:t>
            </w:r>
            <w:r w:rsidRPr="00E4108A">
              <w:rPr>
                <w:color w:val="000000" w:themeColor="text1"/>
                <w:lang w:val="en-US"/>
              </w:rPr>
              <w:t xml:space="preserve"> T at QRS and QRS form)</w:t>
            </w:r>
            <w:r>
              <w:rPr>
                <w:color w:val="000000" w:themeColor="text1"/>
                <w:lang w:val="en-US"/>
              </w:rPr>
              <w:t xml:space="preserve"> determined</w:t>
            </w:r>
            <w:r w:rsidRPr="00E4108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as</w:t>
            </w:r>
            <w:r w:rsidRPr="00E4108A">
              <w:rPr>
                <w:color w:val="000000" w:themeColor="text1"/>
                <w:lang w:val="en-US"/>
              </w:rPr>
              <w:t xml:space="preserve"> best </w:t>
            </w:r>
            <w:proofErr w:type="spellStart"/>
            <w:r w:rsidRPr="00E4108A">
              <w:rPr>
                <w:color w:val="000000" w:themeColor="text1"/>
                <w:lang w:val="en-US"/>
              </w:rPr>
              <w:t>discriminant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43D03" w:rsidRPr="00E4108A" w:rsidRDefault="00543D03" w:rsidP="00601289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t>Anatomic CAD</w:t>
            </w:r>
          </w:p>
          <w:p w:rsidR="00543D03" w:rsidRPr="00E4108A" w:rsidRDefault="00543D03" w:rsidP="00601289">
            <w:pPr>
              <w:spacing w:before="24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t xml:space="preserve">Patients who suffered MI </w:t>
            </w:r>
            <w:r w:rsidRPr="00E4108A">
              <w:rPr>
                <w:color w:val="000000" w:themeColor="text1"/>
                <w:lang w:val="en-US"/>
              </w:rPr>
              <w:br/>
              <w:t xml:space="preserve">16–64 (mean 28 days) earlier with </w:t>
            </w:r>
            <w:proofErr w:type="spellStart"/>
            <w:r w:rsidRPr="00E4108A">
              <w:rPr>
                <w:color w:val="000000" w:themeColor="text1"/>
                <w:lang w:val="en-US"/>
              </w:rPr>
              <w:t>angiographically</w:t>
            </w:r>
            <w:proofErr w:type="spellEnd"/>
            <w:r w:rsidRPr="00E4108A">
              <w:rPr>
                <w:color w:val="000000" w:themeColor="text1"/>
                <w:lang w:val="en-US"/>
              </w:rPr>
              <w:t xml:space="preserve"> proven &gt;70% </w:t>
            </w:r>
            <w:proofErr w:type="spellStart"/>
            <w:r w:rsidRPr="00E4108A">
              <w:rPr>
                <w:color w:val="000000" w:themeColor="text1"/>
                <w:lang w:val="en-US"/>
              </w:rPr>
              <w:t>stenosis</w:t>
            </w:r>
            <w:proofErr w:type="spellEnd"/>
            <w:r w:rsidRPr="00E4108A">
              <w:rPr>
                <w:color w:val="000000" w:themeColor="text1"/>
                <w:lang w:val="en-US"/>
              </w:rPr>
              <w:t xml:space="preserve"> </w:t>
            </w:r>
            <w:r>
              <w:rPr>
                <w:rFonts w:cs="Calibri"/>
                <w:color w:val="000000" w:themeColor="text1"/>
                <w:lang w:val="en-US"/>
              </w:rPr>
              <w:t>(108</w:t>
            </w:r>
            <w:r w:rsidRPr="00E4108A">
              <w:rPr>
                <w:rFonts w:cs="Calibri"/>
                <w:color w:val="000000" w:themeColor="text1"/>
                <w:lang w:val="en-US"/>
              </w:rPr>
              <w:t>)</w:t>
            </w:r>
          </w:p>
          <w:p w:rsidR="00543D03" w:rsidRPr="00E4108A" w:rsidRDefault="00543D03" w:rsidP="00601289">
            <w:pPr>
              <w:spacing w:before="120" w:after="0" w:line="240" w:lineRule="auto"/>
              <w:rPr>
                <w:rFonts w:cs="Calibri"/>
                <w:i/>
                <w:color w:val="000000" w:themeColor="text1"/>
                <w:lang w:val="en-US"/>
              </w:rPr>
            </w:pPr>
            <w:r w:rsidRPr="00E4108A">
              <w:rPr>
                <w:i/>
                <w:color w:val="000000" w:themeColor="text1"/>
                <w:lang w:val="en-US"/>
              </w:rPr>
              <w:t xml:space="preserve">Subjects without known CAD and with </w:t>
            </w:r>
            <w:proofErr w:type="spellStart"/>
            <w:r w:rsidRPr="00E4108A">
              <w:rPr>
                <w:i/>
                <w:color w:val="000000" w:themeColor="text1"/>
                <w:lang w:val="en-US"/>
              </w:rPr>
              <w:t>echocardiographic</w:t>
            </w:r>
            <w:proofErr w:type="spellEnd"/>
            <w:r w:rsidRPr="00E4108A">
              <w:rPr>
                <w:i/>
                <w:color w:val="000000" w:themeColor="text1"/>
                <w:lang w:val="en-US"/>
              </w:rPr>
              <w:t xml:space="preserve"> proven normal LVEF</w:t>
            </w:r>
            <w:r w:rsidRPr="00E4108A">
              <w:rPr>
                <w:color w:val="000000" w:themeColor="text1"/>
                <w:lang w:val="en-US"/>
              </w:rPr>
              <w:t xml:space="preserve"> </w:t>
            </w:r>
            <w:r w:rsidRPr="00E4108A">
              <w:rPr>
                <w:rFonts w:cs="Calibri"/>
                <w:i/>
                <w:color w:val="000000" w:themeColor="text1"/>
                <w:lang w:val="en-US"/>
              </w:rPr>
              <w:t>(7</w:t>
            </w:r>
            <w:r>
              <w:rPr>
                <w:rFonts w:cs="Calibri"/>
                <w:i/>
                <w:color w:val="000000" w:themeColor="text1"/>
                <w:lang w:val="en-US"/>
              </w:rPr>
              <w:t>0</w:t>
            </w:r>
            <w:r w:rsidRPr="00E4108A">
              <w:rPr>
                <w:rFonts w:cs="Calibri"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2661" w:type="dxa"/>
            <w:shd w:val="clear" w:color="auto" w:fill="auto"/>
          </w:tcPr>
          <w:p w:rsidR="00543D03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:rsidR="00543D03" w:rsidRPr="00E4108A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t>64%/72.6%</w:t>
            </w:r>
          </w:p>
        </w:tc>
        <w:tc>
          <w:tcPr>
            <w:tcW w:w="2410" w:type="dxa"/>
            <w:shd w:val="clear" w:color="auto" w:fill="auto"/>
          </w:tcPr>
          <w:p w:rsidR="00543D03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:rsidR="00543D03" w:rsidRPr="00E4108A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t>86.4%/73.4%</w:t>
            </w:r>
          </w:p>
        </w:tc>
        <w:tc>
          <w:tcPr>
            <w:tcW w:w="2268" w:type="dxa"/>
            <w:shd w:val="clear" w:color="auto" w:fill="auto"/>
          </w:tcPr>
          <w:p w:rsidR="00543D03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:rsidR="00543D03" w:rsidRPr="00E4108A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t xml:space="preserve">56%/68.6% </w:t>
            </w:r>
            <w:r>
              <w:rPr>
                <w:rFonts w:cs="Calibri"/>
                <w:color w:val="000000" w:themeColor="text1"/>
                <w:lang w:val="en-US"/>
              </w:rPr>
              <w:br/>
            </w:r>
            <w:r w:rsidRPr="00E4108A">
              <w:rPr>
                <w:rFonts w:cs="Calibri"/>
                <w:color w:val="000000" w:themeColor="text1"/>
                <w:lang w:val="en-US"/>
              </w:rPr>
              <w:t>(</w:t>
            </w:r>
            <w:r>
              <w:rPr>
                <w:rFonts w:cs="Calibri"/>
                <w:color w:val="000000" w:themeColor="text1"/>
                <w:lang w:val="en-US"/>
              </w:rPr>
              <w:t xml:space="preserve">12-lead </w:t>
            </w:r>
            <w:r w:rsidRPr="00E4108A">
              <w:rPr>
                <w:rFonts w:cs="Calibri"/>
                <w:color w:val="000000" w:themeColor="text1"/>
                <w:lang w:val="en-US"/>
              </w:rPr>
              <w:t>ECG)</w:t>
            </w:r>
          </w:p>
        </w:tc>
        <w:tc>
          <w:tcPr>
            <w:tcW w:w="1984" w:type="dxa"/>
            <w:shd w:val="clear" w:color="auto" w:fill="auto"/>
          </w:tcPr>
          <w:p w:rsidR="00543D03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:rsidR="00543D03" w:rsidRPr="00E4108A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t>72.3%/65.3%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>
              <w:rPr>
                <w:rFonts w:cs="Calibri"/>
                <w:color w:val="000000" w:themeColor="text1"/>
                <w:lang w:val="en-US"/>
              </w:rPr>
              <w:br/>
              <w:t>(12-lead ECG)</w:t>
            </w:r>
          </w:p>
        </w:tc>
      </w:tr>
      <w:tr w:rsidR="00543D03" w:rsidRPr="0038189A" w:rsidTr="00601289">
        <w:tc>
          <w:tcPr>
            <w:tcW w:w="2834" w:type="dxa"/>
            <w:shd w:val="clear" w:color="auto" w:fill="auto"/>
          </w:tcPr>
          <w:p w:rsidR="00543D03" w:rsidRPr="0038189A" w:rsidRDefault="00543D03" w:rsidP="00601289">
            <w:pPr>
              <w:spacing w:before="120" w:after="0" w:line="240" w:lineRule="auto"/>
              <w:rPr>
                <w:rFonts w:cs="Calibri"/>
                <w:lang w:val="en-US"/>
              </w:rPr>
            </w:pPr>
            <w:r w:rsidRPr="0038189A">
              <w:rPr>
                <w:rFonts w:cs="Calibri"/>
                <w:lang w:val="en-US"/>
              </w:rPr>
              <w:t>Kwon et al. 2010</w:t>
            </w:r>
            <w:r>
              <w:rPr>
                <w:rFonts w:cs="Calibri"/>
                <w:lang w:val="en-US"/>
              </w:rPr>
              <w:t xml:space="preserve"> [</w:t>
            </w:r>
            <w:r w:rsidRPr="00647DC0">
              <w:rPr>
                <w:rFonts w:cs="Calibri"/>
                <w:lang w:val="en-US"/>
              </w:rPr>
              <w:t>e68</w:t>
            </w:r>
            <w:r>
              <w:rPr>
                <w:rFonts w:cs="Calibri"/>
                <w:lang w:val="en-US"/>
              </w:rPr>
              <w:t>]</w:t>
            </w:r>
          </w:p>
          <w:p w:rsidR="00543D03" w:rsidRPr="0038189A" w:rsidRDefault="00543D03" w:rsidP="00601289">
            <w:pPr>
              <w:spacing w:before="120" w:after="0" w:line="240" w:lineRule="auto"/>
              <w:rPr>
                <w:rFonts w:cs="Calibri"/>
                <w:lang w:val="en-US"/>
              </w:rPr>
            </w:pPr>
            <w:r w:rsidRPr="0038189A">
              <w:rPr>
                <w:rFonts w:cs="Calibri"/>
                <w:lang w:val="en-US"/>
              </w:rPr>
              <w:t xml:space="preserve">Shielded, 64-channel MCG at rest using an algorithm of weighted maximum of posteriori as a function of </w:t>
            </w:r>
            <w:r w:rsidRPr="0038189A">
              <w:rPr>
                <w:rFonts w:cs="Calibri"/>
                <w:lang w:val="en-US"/>
              </w:rPr>
              <w:br/>
              <w:t xml:space="preserve">five </w:t>
            </w:r>
            <w:proofErr w:type="spellStart"/>
            <w:r w:rsidRPr="0038189A">
              <w:rPr>
                <w:rFonts w:cs="Calibri"/>
                <w:lang w:val="en-US"/>
              </w:rPr>
              <w:t>prespecified</w:t>
            </w:r>
            <w:proofErr w:type="spellEnd"/>
            <w:r w:rsidRPr="0038189A">
              <w:rPr>
                <w:rFonts w:cs="Calibri"/>
                <w:lang w:val="en-US"/>
              </w:rPr>
              <w:t xml:space="preserve"> MCG variables T_FMA; T_FMA –R_FMA; </w:t>
            </w:r>
            <w:proofErr w:type="spellStart"/>
            <w:r w:rsidRPr="0038189A">
              <w:rPr>
                <w:rFonts w:cs="Calibri"/>
                <w:lang w:val="en-US"/>
              </w:rPr>
              <w:t>TT_CAMx</w:t>
            </w:r>
            <w:proofErr w:type="spellEnd"/>
            <w:r w:rsidRPr="0038189A">
              <w:rPr>
                <w:rFonts w:cs="Calibri"/>
                <w:lang w:val="en-US"/>
              </w:rPr>
              <w:t xml:space="preserve">; </w:t>
            </w:r>
            <w:proofErr w:type="spellStart"/>
            <w:r w:rsidRPr="0038189A">
              <w:rPr>
                <w:rFonts w:cs="Calibri"/>
                <w:lang w:val="en-US"/>
              </w:rPr>
              <w:t>TT_CAMx</w:t>
            </w:r>
            <w:proofErr w:type="spellEnd"/>
            <w:r w:rsidRPr="0038189A">
              <w:rPr>
                <w:rFonts w:cs="Calibri"/>
                <w:lang w:val="en-US"/>
              </w:rPr>
              <w:t xml:space="preserve"> – R_FMA; and TT_CMD</w:t>
            </w:r>
          </w:p>
          <w:p w:rsidR="00543D03" w:rsidRPr="0038189A" w:rsidRDefault="00543D03" w:rsidP="00601289">
            <w:pPr>
              <w:spacing w:before="120"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543D03" w:rsidRPr="0038189A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38189A">
              <w:rPr>
                <w:lang w:val="en-US"/>
              </w:rPr>
              <w:t>ACS</w:t>
            </w:r>
            <w:r>
              <w:rPr>
                <w:lang w:val="en-US"/>
              </w:rPr>
              <w:t xml:space="preserve"> and non-ACS CAD</w:t>
            </w:r>
          </w:p>
          <w:p w:rsidR="00543D03" w:rsidRPr="0038189A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38189A">
              <w:rPr>
                <w:lang w:val="en-US"/>
              </w:rPr>
              <w:t xml:space="preserve">Patients admitted to hospital with suspected ACS diagnosed as CAD with </w:t>
            </w:r>
            <w:proofErr w:type="spellStart"/>
            <w:r w:rsidRPr="0038189A">
              <w:rPr>
                <w:lang w:val="en-US"/>
              </w:rPr>
              <w:t>angiographically</w:t>
            </w:r>
            <w:proofErr w:type="spellEnd"/>
            <w:r w:rsidRPr="0038189A">
              <w:rPr>
                <w:lang w:val="en-US"/>
              </w:rPr>
              <w:t xml:space="preserve"> proven ≥50% </w:t>
            </w:r>
            <w:proofErr w:type="spellStart"/>
            <w:r w:rsidRPr="0038189A">
              <w:rPr>
                <w:lang w:val="en-US"/>
              </w:rPr>
              <w:t>stenosis</w:t>
            </w:r>
            <w:proofErr w:type="spellEnd"/>
            <w:r w:rsidRPr="0038189A">
              <w:rPr>
                <w:lang w:val="en-US"/>
              </w:rPr>
              <w:t xml:space="preserve"> of a vessel (237)</w:t>
            </w:r>
          </w:p>
          <w:p w:rsidR="00543D03" w:rsidRPr="0038189A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38189A">
              <w:rPr>
                <w:lang w:val="en-US"/>
              </w:rPr>
              <w:t xml:space="preserve">Subgroup of patients with chest pain and </w:t>
            </w:r>
            <w:proofErr w:type="spellStart"/>
            <w:r w:rsidRPr="0038189A">
              <w:rPr>
                <w:lang w:val="en-US"/>
              </w:rPr>
              <w:t>angiographically</w:t>
            </w:r>
            <w:proofErr w:type="spellEnd"/>
            <w:r w:rsidRPr="0038189A">
              <w:rPr>
                <w:lang w:val="en-US"/>
              </w:rPr>
              <w:t xml:space="preserve"> proven CAD, but with no abnormality of ECG or </w:t>
            </w:r>
            <w:proofErr w:type="spellStart"/>
            <w:r w:rsidRPr="0038189A">
              <w:rPr>
                <w:lang w:val="en-US"/>
              </w:rPr>
              <w:t>troponin</w:t>
            </w:r>
            <w:proofErr w:type="spellEnd"/>
            <w:r w:rsidRPr="0038189A">
              <w:rPr>
                <w:lang w:val="en-US"/>
              </w:rPr>
              <w:t xml:space="preserve"> (102)</w:t>
            </w:r>
          </w:p>
          <w:p w:rsidR="00543D03" w:rsidRPr="0038189A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38189A">
              <w:rPr>
                <w:i/>
                <w:lang w:val="en-US"/>
              </w:rPr>
              <w:lastRenderedPageBreak/>
              <w:t xml:space="preserve">Patients with </w:t>
            </w:r>
            <w:proofErr w:type="spellStart"/>
            <w:r w:rsidRPr="0038189A">
              <w:rPr>
                <w:i/>
                <w:lang w:val="en-US"/>
              </w:rPr>
              <w:t>angiographically</w:t>
            </w:r>
            <w:proofErr w:type="spellEnd"/>
            <w:r w:rsidRPr="0038189A">
              <w:rPr>
                <w:i/>
                <w:lang w:val="en-US"/>
              </w:rPr>
              <w:t xml:space="preserve"> proven non-obstructive CAD (127</w:t>
            </w:r>
            <w:r w:rsidRPr="0038189A">
              <w:rPr>
                <w:lang w:val="en-US"/>
              </w:rPr>
              <w:t>)</w:t>
            </w:r>
          </w:p>
          <w:p w:rsidR="00543D03" w:rsidRPr="0038189A" w:rsidRDefault="00543D03" w:rsidP="00601289">
            <w:pPr>
              <w:spacing w:before="120" w:after="0" w:line="240" w:lineRule="auto"/>
              <w:rPr>
                <w:lang w:val="en-US"/>
              </w:rPr>
            </w:pPr>
            <w:r w:rsidRPr="0038189A">
              <w:rPr>
                <w:i/>
                <w:lang w:val="en-US"/>
              </w:rPr>
              <w:t>Healthy subjects (89)</w:t>
            </w:r>
          </w:p>
        </w:tc>
        <w:tc>
          <w:tcPr>
            <w:tcW w:w="2661" w:type="dxa"/>
            <w:shd w:val="clear" w:color="auto" w:fill="auto"/>
          </w:tcPr>
          <w:p w:rsidR="00543D03" w:rsidRPr="0038189A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38189A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38189A">
              <w:rPr>
                <w:rFonts w:cs="Calibri"/>
                <w:lang w:val="en-US"/>
              </w:rPr>
              <w:t>85%/84%</w:t>
            </w:r>
            <w:r w:rsidRPr="0038189A">
              <w:rPr>
                <w:rFonts w:cs="Calibri"/>
                <w:lang w:val="en-US"/>
              </w:rPr>
              <w:br/>
            </w:r>
            <w:r w:rsidRPr="0038189A">
              <w:rPr>
                <w:rFonts w:cs="Calibri"/>
                <w:lang w:val="en-US"/>
              </w:rPr>
              <w:br/>
            </w:r>
            <w:r w:rsidRPr="0038189A">
              <w:rPr>
                <w:rFonts w:cs="Calibri"/>
                <w:lang w:val="en-US"/>
              </w:rPr>
              <w:br/>
            </w:r>
            <w:r w:rsidRPr="0038189A">
              <w:rPr>
                <w:rFonts w:cs="Calibri"/>
                <w:lang w:val="en-US"/>
              </w:rPr>
              <w:br/>
            </w:r>
            <w:r w:rsidRPr="0038189A">
              <w:rPr>
                <w:rFonts w:cs="Calibri"/>
                <w:lang w:val="en-US"/>
              </w:rPr>
              <w:br/>
            </w:r>
          </w:p>
          <w:p w:rsidR="00543D03" w:rsidRPr="0038189A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38189A">
              <w:rPr>
                <w:rFonts w:cs="Calibri"/>
                <w:lang w:val="en-US"/>
              </w:rPr>
              <w:t>82.3%/73.5%</w:t>
            </w:r>
          </w:p>
        </w:tc>
        <w:tc>
          <w:tcPr>
            <w:tcW w:w="2410" w:type="dxa"/>
            <w:shd w:val="clear" w:color="auto" w:fill="auto"/>
          </w:tcPr>
          <w:p w:rsidR="00543D03" w:rsidRPr="0038189A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38189A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38189A">
              <w:rPr>
                <w:rFonts w:cs="Calibri"/>
                <w:lang w:val="en-US"/>
              </w:rPr>
              <w:t>91.3%/74%</w:t>
            </w:r>
            <w:r w:rsidRPr="0038189A">
              <w:rPr>
                <w:rFonts w:cs="Calibri"/>
                <w:lang w:val="en-US"/>
              </w:rPr>
              <w:br/>
            </w:r>
            <w:r w:rsidRPr="0038189A">
              <w:rPr>
                <w:rFonts w:cs="Calibri"/>
                <w:lang w:val="en-US"/>
              </w:rPr>
              <w:br/>
            </w:r>
            <w:r w:rsidRPr="0038189A">
              <w:rPr>
                <w:rFonts w:cs="Calibri"/>
                <w:lang w:val="en-US"/>
              </w:rPr>
              <w:br/>
            </w:r>
            <w:r w:rsidRPr="0038189A">
              <w:rPr>
                <w:rFonts w:cs="Calibri"/>
                <w:lang w:val="en-US"/>
              </w:rPr>
              <w:br/>
            </w:r>
            <w:r w:rsidRPr="0038189A">
              <w:rPr>
                <w:rFonts w:cs="Calibri"/>
                <w:lang w:val="en-US"/>
              </w:rPr>
              <w:br/>
            </w:r>
          </w:p>
          <w:p w:rsidR="00543D03" w:rsidRPr="0038189A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38189A">
              <w:rPr>
                <w:rFonts w:cs="Calibri"/>
                <w:lang w:val="en-US"/>
              </w:rPr>
              <w:t>84.3%/70.7%</w:t>
            </w:r>
          </w:p>
        </w:tc>
        <w:tc>
          <w:tcPr>
            <w:tcW w:w="2268" w:type="dxa"/>
            <w:shd w:val="clear" w:color="auto" w:fill="auto"/>
          </w:tcPr>
          <w:p w:rsidR="00543D03" w:rsidRPr="0038189A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38189A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38189A">
              <w:rPr>
                <w:rFonts w:cs="Calibri"/>
                <w:lang w:val="en-US"/>
              </w:rPr>
              <w:t xml:space="preserve">89.8%/44.7% </w:t>
            </w:r>
            <w:r>
              <w:rPr>
                <w:rFonts w:cs="Calibri"/>
                <w:lang w:val="en-US"/>
              </w:rPr>
              <w:br/>
            </w:r>
            <w:r w:rsidRPr="0038189A">
              <w:rPr>
                <w:rFonts w:cs="Calibri"/>
                <w:lang w:val="en-US"/>
              </w:rPr>
              <w:t>(12-lead ECG)</w:t>
            </w:r>
          </w:p>
        </w:tc>
        <w:tc>
          <w:tcPr>
            <w:tcW w:w="1984" w:type="dxa"/>
            <w:shd w:val="clear" w:color="auto" w:fill="auto"/>
          </w:tcPr>
          <w:p w:rsidR="00543D03" w:rsidRPr="0038189A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</w:p>
          <w:p w:rsidR="00543D03" w:rsidRPr="0038189A" w:rsidRDefault="00543D03" w:rsidP="00601289">
            <w:pPr>
              <w:spacing w:before="120" w:after="0" w:line="240" w:lineRule="auto"/>
              <w:jc w:val="center"/>
              <w:rPr>
                <w:rFonts w:cs="Calibri"/>
                <w:lang w:val="en-US"/>
              </w:rPr>
            </w:pPr>
            <w:r w:rsidRPr="0038189A">
              <w:rPr>
                <w:rFonts w:cs="Calibri"/>
                <w:lang w:val="en-US"/>
              </w:rPr>
              <w:t xml:space="preserve">89.1%/46.5% </w:t>
            </w:r>
            <w:r>
              <w:rPr>
                <w:rFonts w:cs="Calibri"/>
                <w:lang w:val="en-US"/>
              </w:rPr>
              <w:br/>
            </w:r>
            <w:r w:rsidRPr="0038189A">
              <w:rPr>
                <w:rFonts w:cs="Calibri"/>
                <w:lang w:val="en-US"/>
              </w:rPr>
              <w:t>(12-lead ECG)</w:t>
            </w:r>
          </w:p>
        </w:tc>
      </w:tr>
      <w:tr w:rsidR="00543D03" w:rsidRPr="003855DB" w:rsidTr="00601289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543D03" w:rsidRDefault="00543D03" w:rsidP="00601289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lastRenderedPageBreak/>
              <w:t>Lin et al. 2011</w:t>
            </w:r>
            <w:r>
              <w:rPr>
                <w:rFonts w:cs="Calibri"/>
                <w:color w:val="000000" w:themeColor="text1"/>
                <w:lang w:val="en-US"/>
              </w:rPr>
              <w:t xml:space="preserve"> [</w:t>
            </w:r>
            <w:r w:rsidRPr="00647DC0">
              <w:rPr>
                <w:rFonts w:cs="Calibri"/>
                <w:color w:val="000000" w:themeColor="text1"/>
                <w:lang w:val="en-US"/>
              </w:rPr>
              <w:t>e69</w:t>
            </w:r>
            <w:r>
              <w:rPr>
                <w:rFonts w:cs="Calibri"/>
                <w:color w:val="000000" w:themeColor="text1"/>
                <w:lang w:val="en-US"/>
              </w:rPr>
              <w:t>]</w:t>
            </w:r>
          </w:p>
          <w:p w:rsidR="00543D03" w:rsidRPr="00E4108A" w:rsidRDefault="00543D03" w:rsidP="00601289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t xml:space="preserve">Shielded, 9-channel MCG at rest with analysis based on </w:t>
            </w:r>
            <w:r w:rsidRPr="00E4108A">
              <w:rPr>
                <w:rFonts w:cs="Calibri"/>
                <w:color w:val="000000" w:themeColor="text1"/>
                <w:lang w:val="en-US"/>
              </w:rPr>
              <w:br/>
              <w:t xml:space="preserve">three MCG parameters </w:t>
            </w:r>
            <w:r>
              <w:rPr>
                <w:rFonts w:cs="Calibri"/>
                <w:color w:val="000000" w:themeColor="text1"/>
                <w:lang w:val="en-US"/>
              </w:rPr>
              <w:br/>
            </w:r>
            <w:r w:rsidRPr="00E4108A">
              <w:rPr>
                <w:rFonts w:cs="Calibri"/>
                <w:color w:val="000000" w:themeColor="text1"/>
                <w:lang w:val="en-US"/>
              </w:rPr>
              <w:t xml:space="preserve">(pre-peak </w:t>
            </w:r>
            <w:proofErr w:type="spellStart"/>
            <w:r w:rsidRPr="00E4108A">
              <w:rPr>
                <w:rFonts w:cs="Calibri"/>
                <w:color w:val="000000" w:themeColor="text1"/>
                <w:lang w:val="en-US"/>
              </w:rPr>
              <w:t>repolarization</w:t>
            </w:r>
            <w:proofErr w:type="spellEnd"/>
            <w:r w:rsidRPr="00E4108A">
              <w:rPr>
                <w:rFonts w:cs="Calibri"/>
                <w:color w:val="000000" w:themeColor="text1"/>
                <w:lang w:val="en-US"/>
              </w:rPr>
              <w:t xml:space="preserve"> [angle, trajectory, and angular deviation], post-peak </w:t>
            </w:r>
            <w:proofErr w:type="spellStart"/>
            <w:r w:rsidRPr="00E4108A">
              <w:rPr>
                <w:rFonts w:cs="Calibri"/>
                <w:color w:val="000000" w:themeColor="text1"/>
                <w:lang w:val="en-US"/>
              </w:rPr>
              <w:t>repolarization</w:t>
            </w:r>
            <w:proofErr w:type="spellEnd"/>
            <w:r w:rsidRPr="00E4108A">
              <w:rPr>
                <w:rFonts w:cs="Calibri"/>
                <w:color w:val="000000" w:themeColor="text1"/>
                <w:lang w:val="en-US"/>
              </w:rPr>
              <w:t xml:space="preserve"> [angle, trajectory, and angular deviation] and the pre-post angle change) and map morphology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43D03" w:rsidRDefault="00543D03" w:rsidP="00601289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t>ACS</w:t>
            </w:r>
          </w:p>
          <w:p w:rsidR="00543D03" w:rsidRPr="00E4108A" w:rsidRDefault="00543D03" w:rsidP="00601289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t xml:space="preserve">Patients presenting with </w:t>
            </w:r>
            <w:r>
              <w:rPr>
                <w:color w:val="000000" w:themeColor="text1"/>
                <w:lang w:val="en-US"/>
              </w:rPr>
              <w:t xml:space="preserve">acute </w:t>
            </w:r>
            <w:r w:rsidRPr="00E4108A">
              <w:rPr>
                <w:color w:val="000000" w:themeColor="text1"/>
                <w:lang w:val="en-US"/>
              </w:rPr>
              <w:t xml:space="preserve">chest pain, with </w:t>
            </w:r>
            <w:proofErr w:type="spellStart"/>
            <w:r w:rsidRPr="00E4108A">
              <w:rPr>
                <w:color w:val="000000" w:themeColor="text1"/>
                <w:lang w:val="en-US"/>
              </w:rPr>
              <w:t>angiographically</w:t>
            </w:r>
            <w:proofErr w:type="spellEnd"/>
            <w:r w:rsidRPr="00E4108A">
              <w:rPr>
                <w:color w:val="000000" w:themeColor="text1"/>
                <w:lang w:val="en-US"/>
              </w:rPr>
              <w:t xml:space="preserve"> proven </w:t>
            </w:r>
            <w:r>
              <w:rPr>
                <w:color w:val="000000" w:themeColor="text1"/>
                <w:lang w:val="en-US"/>
              </w:rPr>
              <w:t xml:space="preserve">CAD with </w:t>
            </w:r>
            <w:r w:rsidRPr="00E4108A">
              <w:rPr>
                <w:color w:val="000000" w:themeColor="text1"/>
                <w:lang w:val="en-US"/>
              </w:rPr>
              <w:t xml:space="preserve">≥70% </w:t>
            </w:r>
            <w:proofErr w:type="spellStart"/>
            <w:r w:rsidRPr="00E4108A">
              <w:rPr>
                <w:color w:val="000000" w:themeColor="text1"/>
                <w:lang w:val="en-US"/>
              </w:rPr>
              <w:t>stenosis</w:t>
            </w:r>
            <w:proofErr w:type="spellEnd"/>
            <w:r w:rsidRPr="00E4108A">
              <w:rPr>
                <w:color w:val="000000" w:themeColor="text1"/>
                <w:lang w:val="en-US"/>
              </w:rPr>
              <w:t xml:space="preserve"> (190)</w:t>
            </w:r>
          </w:p>
          <w:p w:rsidR="00543D03" w:rsidRPr="00E4108A" w:rsidRDefault="00543D03" w:rsidP="00601289">
            <w:pPr>
              <w:spacing w:before="120" w:after="0" w:line="240" w:lineRule="auto"/>
              <w:rPr>
                <w:i/>
                <w:color w:val="000000" w:themeColor="text1"/>
                <w:lang w:val="en-US"/>
              </w:rPr>
            </w:pPr>
            <w:r w:rsidRPr="005A0EE5">
              <w:rPr>
                <w:i/>
                <w:color w:val="000000" w:themeColor="text1"/>
                <w:lang w:val="en-US"/>
              </w:rPr>
              <w:t>Patients presenting with acute chest pain</w:t>
            </w:r>
            <w:r w:rsidRPr="00E4108A">
              <w:rPr>
                <w:i/>
                <w:color w:val="000000" w:themeColor="text1"/>
                <w:lang w:val="en-US"/>
              </w:rPr>
              <w:t xml:space="preserve"> with </w:t>
            </w:r>
            <w:proofErr w:type="spellStart"/>
            <w:r w:rsidRPr="00E4108A">
              <w:rPr>
                <w:i/>
                <w:color w:val="000000" w:themeColor="text1"/>
                <w:lang w:val="en-US"/>
              </w:rPr>
              <w:t>angiographically</w:t>
            </w:r>
            <w:proofErr w:type="spellEnd"/>
            <w:r w:rsidRPr="00E4108A">
              <w:rPr>
                <w:i/>
                <w:color w:val="000000" w:themeColor="text1"/>
                <w:lang w:val="en-US"/>
              </w:rPr>
              <w:t xml:space="preserve"> proven </w:t>
            </w:r>
            <w:r>
              <w:rPr>
                <w:i/>
                <w:color w:val="000000" w:themeColor="text1"/>
                <w:lang w:val="en-US"/>
              </w:rPr>
              <w:br/>
            </w:r>
            <w:r w:rsidRPr="00E4108A">
              <w:rPr>
                <w:i/>
                <w:color w:val="000000" w:themeColor="text1"/>
                <w:lang w:val="en-US"/>
              </w:rPr>
              <w:t>non-obstructive CAD (97)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:rsidR="00543D03" w:rsidRDefault="00543D03" w:rsidP="00601289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:rsidR="00543D03" w:rsidRPr="00E4108A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t>73.2%/88.9%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43D03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:rsidR="00543D03" w:rsidRPr="00E4108A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t>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43D03" w:rsidRDefault="00543D03" w:rsidP="00601289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:rsidR="00543D03" w:rsidRPr="00E4108A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color w:val="000000" w:themeColor="text1"/>
                <w:lang w:val="en-US"/>
              </w:rPr>
              <w:t>75.2%/63.2% (ECG)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43D03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t>–</w:t>
            </w:r>
          </w:p>
          <w:p w:rsidR="00543D03" w:rsidRPr="00E4108A" w:rsidRDefault="00543D03" w:rsidP="00601289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E4108A">
              <w:rPr>
                <w:rFonts w:cs="Calibri"/>
                <w:color w:val="000000" w:themeColor="text1"/>
                <w:lang w:val="en-US"/>
              </w:rPr>
              <w:t>–</w:t>
            </w:r>
          </w:p>
        </w:tc>
      </w:tr>
    </w:tbl>
    <w:p w:rsidR="00543D03" w:rsidRPr="002C7E20" w:rsidRDefault="00543D03" w:rsidP="00543D03">
      <w:pPr>
        <w:autoSpaceDE w:val="0"/>
        <w:autoSpaceDN w:val="0"/>
        <w:adjustRightInd w:val="0"/>
        <w:spacing w:after="0" w:line="480" w:lineRule="auto"/>
        <w:rPr>
          <w:rFonts w:cs="Calibri"/>
          <w:color w:val="1A171C"/>
          <w:lang w:val="en-US"/>
        </w:rPr>
      </w:pPr>
      <w:r>
        <w:rPr>
          <w:rFonts w:asciiTheme="minorHAnsi" w:hAnsiTheme="minorHAnsi" w:cstheme="minorHAnsi"/>
          <w:lang w:val="en-US"/>
        </w:rPr>
        <w:t>*</w:t>
      </w:r>
      <w:r w:rsidRPr="00EE3C43">
        <w:rPr>
          <w:rFonts w:asciiTheme="minorHAnsi" w:hAnsiTheme="minorHAnsi" w:cstheme="minorHAnsi"/>
          <w:lang w:val="en-US"/>
        </w:rPr>
        <w:t>Only those studies that report diagnostic performance outcomes for MCG and reference are tabulated. Where multiple MCG parameters were assessed, those with the best performance are reported.</w:t>
      </w:r>
      <w:r w:rsidRPr="00EE3C43">
        <w:rPr>
          <w:rFonts w:cs="Calibri"/>
          <w:lang w:val="en-US"/>
        </w:rPr>
        <w:br/>
      </w:r>
      <w:r w:rsidRPr="001571F2">
        <w:rPr>
          <w:rFonts w:cs="Calibri"/>
          <w:color w:val="1A171C"/>
          <w:lang w:val="en-US"/>
        </w:rPr>
        <w:t xml:space="preserve">MCG = </w:t>
      </w:r>
      <w:proofErr w:type="spellStart"/>
      <w:r w:rsidRPr="001571F2">
        <w:rPr>
          <w:rFonts w:cs="Calibri"/>
          <w:color w:val="1A171C"/>
          <w:lang w:val="en-US"/>
        </w:rPr>
        <w:t>magnetocardiography</w:t>
      </w:r>
      <w:proofErr w:type="spellEnd"/>
      <w:r w:rsidRPr="001571F2">
        <w:rPr>
          <w:color w:val="000000"/>
          <w:lang w:val="en-US"/>
        </w:rPr>
        <w:t xml:space="preserve">; </w:t>
      </w:r>
      <w:r w:rsidRPr="001571F2">
        <w:rPr>
          <w:rFonts w:cs="Calibri"/>
          <w:color w:val="1A171C"/>
          <w:lang w:val="en-US"/>
        </w:rPr>
        <w:t>CAD = coronary artery disease; ACS = acute coronary syndrome</w:t>
      </w:r>
      <w:r w:rsidRPr="001571F2">
        <w:rPr>
          <w:color w:val="000000"/>
          <w:lang w:val="en-US"/>
        </w:rPr>
        <w:t xml:space="preserve">; PPV = positive predictive value; NPV = negative predictive value; </w:t>
      </w:r>
      <w:r w:rsidRPr="001571F2">
        <w:rPr>
          <w:rFonts w:cs="Calibri"/>
          <w:color w:val="1A171C"/>
          <w:lang w:val="en-US"/>
        </w:rPr>
        <w:t xml:space="preserve">CHD = coronary heart disease; </w:t>
      </w:r>
      <w:proofErr w:type="spellStart"/>
      <w:r w:rsidRPr="001571F2">
        <w:rPr>
          <w:rFonts w:cs="Calibri"/>
          <w:color w:val="1A171C"/>
          <w:lang w:val="en-US"/>
        </w:rPr>
        <w:t>T</w:t>
      </w:r>
      <w:r w:rsidRPr="001571F2">
        <w:rPr>
          <w:rFonts w:cs="Calibri"/>
          <w:color w:val="1A171C"/>
          <w:vertAlign w:val="subscript"/>
          <w:lang w:val="en-US"/>
        </w:rPr>
        <w:t>max</w:t>
      </w:r>
      <w:proofErr w:type="spellEnd"/>
      <w:r w:rsidRPr="001571F2">
        <w:rPr>
          <w:rFonts w:cs="Calibri"/>
          <w:color w:val="1A171C"/>
          <w:vertAlign w:val="subscript"/>
          <w:lang w:val="en-US"/>
        </w:rPr>
        <w:t xml:space="preserve">/3 </w:t>
      </w:r>
      <w:r w:rsidRPr="001571F2">
        <w:rPr>
          <w:rFonts w:cs="Calibri"/>
          <w:color w:val="1A171C"/>
          <w:lang w:val="en-US"/>
        </w:rPr>
        <w:t xml:space="preserve">= one-third peak intensity; </w:t>
      </w:r>
      <w:proofErr w:type="spellStart"/>
      <w:r w:rsidRPr="001571F2">
        <w:rPr>
          <w:rFonts w:cs="Calibri"/>
          <w:color w:val="1A171C"/>
          <w:lang w:val="en-US"/>
        </w:rPr>
        <w:t>T</w:t>
      </w:r>
      <w:r w:rsidRPr="001571F2">
        <w:rPr>
          <w:rFonts w:cs="Calibri"/>
          <w:color w:val="1A171C"/>
          <w:vertAlign w:val="subscript"/>
          <w:lang w:val="en-US"/>
        </w:rPr>
        <w:t>max</w:t>
      </w:r>
      <w:proofErr w:type="spellEnd"/>
      <w:r w:rsidRPr="001571F2">
        <w:rPr>
          <w:rFonts w:cs="Calibri"/>
          <w:color w:val="1A171C"/>
          <w:lang w:val="en-US"/>
        </w:rPr>
        <w:t xml:space="preserve"> = peak intensity; ECG = electrocardiogram; NSTEMI = non-ST-elevation myocardial infarction; </w:t>
      </w:r>
      <w:proofErr w:type="spellStart"/>
      <w:r w:rsidRPr="001571F2">
        <w:rPr>
          <w:rFonts w:cs="Calibri"/>
          <w:color w:val="1A171C"/>
          <w:lang w:val="en-US"/>
        </w:rPr>
        <w:t>T</w:t>
      </w:r>
      <w:r w:rsidRPr="00A51A71">
        <w:rPr>
          <w:rFonts w:cs="Calibri"/>
          <w:color w:val="1A171C"/>
          <w:vertAlign w:val="subscript"/>
          <w:lang w:val="en-US"/>
        </w:rPr>
        <w:t>beg</w:t>
      </w:r>
      <w:proofErr w:type="spellEnd"/>
      <w:r w:rsidRPr="001571F2">
        <w:rPr>
          <w:rFonts w:cs="Calibri"/>
          <w:color w:val="1A171C"/>
          <w:lang w:val="en-US"/>
        </w:rPr>
        <w:t xml:space="preserve"> = </w:t>
      </w:r>
      <w:r>
        <w:rPr>
          <w:rFonts w:cs="Calibri"/>
          <w:color w:val="1A171C"/>
          <w:lang w:val="en-US"/>
        </w:rPr>
        <w:t>beginning of the T wave</w:t>
      </w:r>
      <w:r w:rsidRPr="001571F2">
        <w:rPr>
          <w:rFonts w:cs="Calibri"/>
          <w:color w:val="1A171C"/>
          <w:lang w:val="en-US"/>
        </w:rPr>
        <w:t xml:space="preserve">; </w:t>
      </w:r>
      <w:r w:rsidRPr="001571F2">
        <w:rPr>
          <w:color w:val="000000"/>
          <w:lang w:val="en-US"/>
        </w:rPr>
        <w:t xml:space="preserve">SPECT = single-photon emission computed tomography; </w:t>
      </w:r>
      <w:r w:rsidRPr="001571F2">
        <w:rPr>
          <w:rFonts w:cs="Calibri"/>
          <w:color w:val="1A171C"/>
          <w:lang w:val="en-US"/>
        </w:rPr>
        <w:t>MI = myocardial infarction</w:t>
      </w:r>
      <w:r w:rsidRPr="001571F2">
        <w:rPr>
          <w:color w:val="000000"/>
          <w:lang w:val="en-US"/>
        </w:rPr>
        <w:t xml:space="preserve">; </w:t>
      </w:r>
      <w:r w:rsidRPr="001571F2">
        <w:rPr>
          <w:rFonts w:cs="Calibri"/>
          <w:color w:val="1A171C"/>
          <w:lang w:val="en-US"/>
        </w:rPr>
        <w:t xml:space="preserve">BBB = bundle branch block; STDEV = standard deviation; LVEF = left ventricular ejection fraction; </w:t>
      </w:r>
      <w:r w:rsidRPr="001571F2">
        <w:rPr>
          <w:rFonts w:cs="Calibri"/>
          <w:color w:val="000000" w:themeColor="text1"/>
          <w:lang w:val="en-US"/>
        </w:rPr>
        <w:t xml:space="preserve">T_FMA = </w:t>
      </w:r>
      <w:r w:rsidRPr="001571F2">
        <w:rPr>
          <w:rFonts w:cs="Calibri"/>
          <w:color w:val="1A171C"/>
          <w:lang w:val="en-US"/>
        </w:rPr>
        <w:t xml:space="preserve">orientation of magnetic field map at </w:t>
      </w:r>
      <w:proofErr w:type="spellStart"/>
      <w:r w:rsidRPr="001571F2">
        <w:rPr>
          <w:rFonts w:cs="Calibri"/>
          <w:color w:val="1A171C"/>
          <w:lang w:val="en-US"/>
        </w:rPr>
        <w:t>T</w:t>
      </w:r>
      <w:r w:rsidRPr="001571F2">
        <w:rPr>
          <w:rFonts w:cs="Calibri"/>
          <w:color w:val="1A171C"/>
          <w:vertAlign w:val="subscript"/>
          <w:lang w:val="en-US"/>
        </w:rPr>
        <w:t>max</w:t>
      </w:r>
      <w:proofErr w:type="spellEnd"/>
      <w:r w:rsidRPr="001571F2">
        <w:rPr>
          <w:rFonts w:cs="Calibri"/>
          <w:color w:val="000000" w:themeColor="text1"/>
          <w:lang w:val="en-US"/>
        </w:rPr>
        <w:t xml:space="preserve">; R_FMA = </w:t>
      </w:r>
      <w:r w:rsidRPr="001571F2">
        <w:rPr>
          <w:rFonts w:cs="Calibri"/>
          <w:color w:val="1A171C"/>
          <w:lang w:val="en-US"/>
        </w:rPr>
        <w:t xml:space="preserve">orientation </w:t>
      </w:r>
      <w:r w:rsidRPr="001571F2">
        <w:rPr>
          <w:rFonts w:cs="Calibri"/>
          <w:color w:val="1A171C"/>
          <w:lang w:val="en-US"/>
        </w:rPr>
        <w:lastRenderedPageBreak/>
        <w:t xml:space="preserve">of magnetic field map at </w:t>
      </w:r>
      <w:proofErr w:type="spellStart"/>
      <w:r w:rsidRPr="001571F2">
        <w:rPr>
          <w:rFonts w:cs="Calibri"/>
          <w:color w:val="1A171C"/>
          <w:lang w:val="en-US"/>
        </w:rPr>
        <w:t>Rpeak</w:t>
      </w:r>
      <w:proofErr w:type="spellEnd"/>
      <w:r w:rsidRPr="001571F2">
        <w:rPr>
          <w:rFonts w:cs="Calibri"/>
          <w:color w:val="1A171C"/>
          <w:lang w:val="en-US"/>
        </w:rPr>
        <w:t>;</w:t>
      </w:r>
      <w:r w:rsidRPr="001571F2">
        <w:rPr>
          <w:rFonts w:cs="Calibri"/>
          <w:color w:val="000000" w:themeColor="text1"/>
          <w:lang w:val="en-US"/>
        </w:rPr>
        <w:t xml:space="preserve"> </w:t>
      </w:r>
      <w:proofErr w:type="spellStart"/>
      <w:r w:rsidRPr="001571F2">
        <w:rPr>
          <w:rFonts w:cs="Calibri"/>
          <w:color w:val="000000" w:themeColor="text1"/>
          <w:lang w:val="en-US"/>
        </w:rPr>
        <w:t>TT_CAMx</w:t>
      </w:r>
      <w:proofErr w:type="spellEnd"/>
      <w:r w:rsidRPr="001571F2">
        <w:rPr>
          <w:rFonts w:cs="Calibri"/>
          <w:color w:val="000000" w:themeColor="text1"/>
          <w:lang w:val="en-US"/>
        </w:rPr>
        <w:t xml:space="preserve"> = </w:t>
      </w:r>
      <w:r w:rsidRPr="001571F2">
        <w:rPr>
          <w:rFonts w:cs="Calibri"/>
          <w:color w:val="1A171C"/>
          <w:lang w:val="en-US"/>
        </w:rPr>
        <w:t>maximum value of the main current angle in the ST period;</w:t>
      </w:r>
      <w:r w:rsidRPr="001571F2">
        <w:rPr>
          <w:rFonts w:cs="Calibri"/>
          <w:color w:val="000000" w:themeColor="text1"/>
          <w:lang w:val="en-US"/>
        </w:rPr>
        <w:t xml:space="preserve"> TT_CMD = </w:t>
      </w:r>
      <w:r w:rsidRPr="001571F2">
        <w:rPr>
          <w:rFonts w:cs="Calibri"/>
          <w:color w:val="1A171C"/>
          <w:lang w:val="en-US"/>
        </w:rPr>
        <w:t>maximum value of a dynamic change of the strength of the main current vector within a time interval of 30 ms in the ST period</w:t>
      </w:r>
      <w:r w:rsidRPr="002C7E20">
        <w:rPr>
          <w:rFonts w:cs="Calibri"/>
          <w:color w:val="1A171C"/>
          <w:lang w:val="en-US"/>
        </w:rPr>
        <w:t>.</w:t>
      </w:r>
    </w:p>
    <w:p w:rsidR="00543D03" w:rsidRDefault="00543D03" w:rsidP="00543D03">
      <w:pPr>
        <w:pStyle w:val="Heading2"/>
        <w:spacing w:before="0" w:line="480" w:lineRule="auto"/>
        <w:contextualSpacing/>
        <w:rPr>
          <w:lang w:val="en-US"/>
        </w:rPr>
      </w:pPr>
    </w:p>
    <w:p w:rsidR="004C56BD" w:rsidRDefault="004C56BD"/>
    <w:sectPr w:rsidR="004C56BD" w:rsidSect="000849E3">
      <w:headerReference w:type="default" r:id="rId5"/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9C" w:rsidRDefault="008C50C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A5F9C" w:rsidRDefault="008C50C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9C" w:rsidRDefault="008C50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394"/>
    <w:multiLevelType w:val="hybridMultilevel"/>
    <w:tmpl w:val="71F09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CC10C5"/>
    <w:multiLevelType w:val="hybridMultilevel"/>
    <w:tmpl w:val="A42A7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/>
  <w:rsids>
    <w:rsidRoot w:val="00543D03"/>
    <w:rsid w:val="000005CD"/>
    <w:rsid w:val="0000387C"/>
    <w:rsid w:val="00004DB2"/>
    <w:rsid w:val="00006B03"/>
    <w:rsid w:val="000136D7"/>
    <w:rsid w:val="00014FDB"/>
    <w:rsid w:val="00015185"/>
    <w:rsid w:val="00017D92"/>
    <w:rsid w:val="00023AE7"/>
    <w:rsid w:val="00024335"/>
    <w:rsid w:val="0002718C"/>
    <w:rsid w:val="00027BFB"/>
    <w:rsid w:val="00036301"/>
    <w:rsid w:val="000376FD"/>
    <w:rsid w:val="00047A17"/>
    <w:rsid w:val="00051F4B"/>
    <w:rsid w:val="00055F7B"/>
    <w:rsid w:val="000615DC"/>
    <w:rsid w:val="00064DF8"/>
    <w:rsid w:val="0006525A"/>
    <w:rsid w:val="000866CB"/>
    <w:rsid w:val="00090DFB"/>
    <w:rsid w:val="00094562"/>
    <w:rsid w:val="0009783C"/>
    <w:rsid w:val="000A08A3"/>
    <w:rsid w:val="000A496D"/>
    <w:rsid w:val="000A4E92"/>
    <w:rsid w:val="000B139D"/>
    <w:rsid w:val="000B4EDF"/>
    <w:rsid w:val="000B624E"/>
    <w:rsid w:val="000B693C"/>
    <w:rsid w:val="000B70D1"/>
    <w:rsid w:val="000C3AB7"/>
    <w:rsid w:val="000C4475"/>
    <w:rsid w:val="000C48C8"/>
    <w:rsid w:val="000C4B28"/>
    <w:rsid w:val="000D50AC"/>
    <w:rsid w:val="000D50B4"/>
    <w:rsid w:val="000D561D"/>
    <w:rsid w:val="000E1042"/>
    <w:rsid w:val="000E6265"/>
    <w:rsid w:val="000E6B3B"/>
    <w:rsid w:val="000F42EA"/>
    <w:rsid w:val="000F608B"/>
    <w:rsid w:val="000F765E"/>
    <w:rsid w:val="00104FA3"/>
    <w:rsid w:val="001053D6"/>
    <w:rsid w:val="001062DF"/>
    <w:rsid w:val="00106D42"/>
    <w:rsid w:val="0011129F"/>
    <w:rsid w:val="001165FF"/>
    <w:rsid w:val="001241E3"/>
    <w:rsid w:val="001318E6"/>
    <w:rsid w:val="00131F74"/>
    <w:rsid w:val="00132254"/>
    <w:rsid w:val="001337B5"/>
    <w:rsid w:val="00134FF0"/>
    <w:rsid w:val="00136D0E"/>
    <w:rsid w:val="00137DA4"/>
    <w:rsid w:val="00140144"/>
    <w:rsid w:val="0014329C"/>
    <w:rsid w:val="00144282"/>
    <w:rsid w:val="00150788"/>
    <w:rsid w:val="001511B2"/>
    <w:rsid w:val="00153044"/>
    <w:rsid w:val="001556FC"/>
    <w:rsid w:val="001568D9"/>
    <w:rsid w:val="00160A7C"/>
    <w:rsid w:val="00162512"/>
    <w:rsid w:val="001650AC"/>
    <w:rsid w:val="0016786F"/>
    <w:rsid w:val="0017138A"/>
    <w:rsid w:val="00174097"/>
    <w:rsid w:val="00176D65"/>
    <w:rsid w:val="00180D12"/>
    <w:rsid w:val="0018189E"/>
    <w:rsid w:val="00193424"/>
    <w:rsid w:val="001A7073"/>
    <w:rsid w:val="001A76AE"/>
    <w:rsid w:val="001B0179"/>
    <w:rsid w:val="001B1730"/>
    <w:rsid w:val="001B5F4C"/>
    <w:rsid w:val="001B62CE"/>
    <w:rsid w:val="001C5E8F"/>
    <w:rsid w:val="001E2C5D"/>
    <w:rsid w:val="001E517C"/>
    <w:rsid w:val="001E523D"/>
    <w:rsid w:val="001E5C42"/>
    <w:rsid w:val="001F1D0A"/>
    <w:rsid w:val="001F5BBA"/>
    <w:rsid w:val="0020334E"/>
    <w:rsid w:val="00214DA4"/>
    <w:rsid w:val="00216016"/>
    <w:rsid w:val="00216D03"/>
    <w:rsid w:val="002243F2"/>
    <w:rsid w:val="0022568C"/>
    <w:rsid w:val="002259FB"/>
    <w:rsid w:val="00226238"/>
    <w:rsid w:val="0022644A"/>
    <w:rsid w:val="00230772"/>
    <w:rsid w:val="00232880"/>
    <w:rsid w:val="002345ED"/>
    <w:rsid w:val="002375A9"/>
    <w:rsid w:val="002406AA"/>
    <w:rsid w:val="00242067"/>
    <w:rsid w:val="00246331"/>
    <w:rsid w:val="00251E0E"/>
    <w:rsid w:val="002554AA"/>
    <w:rsid w:val="00255CA9"/>
    <w:rsid w:val="00257A51"/>
    <w:rsid w:val="00262A19"/>
    <w:rsid w:val="00266ED9"/>
    <w:rsid w:val="002769A7"/>
    <w:rsid w:val="00277BC8"/>
    <w:rsid w:val="002803CF"/>
    <w:rsid w:val="00293554"/>
    <w:rsid w:val="002951CF"/>
    <w:rsid w:val="00296442"/>
    <w:rsid w:val="00296743"/>
    <w:rsid w:val="00296E10"/>
    <w:rsid w:val="002A099B"/>
    <w:rsid w:val="002A3A40"/>
    <w:rsid w:val="002A4A83"/>
    <w:rsid w:val="002A686B"/>
    <w:rsid w:val="002A7EDF"/>
    <w:rsid w:val="002C3626"/>
    <w:rsid w:val="002C4EE8"/>
    <w:rsid w:val="002C7964"/>
    <w:rsid w:val="002D23E0"/>
    <w:rsid w:val="002D4110"/>
    <w:rsid w:val="002E1989"/>
    <w:rsid w:val="002E75BE"/>
    <w:rsid w:val="002F0B30"/>
    <w:rsid w:val="002F4426"/>
    <w:rsid w:val="002F57B4"/>
    <w:rsid w:val="003064B8"/>
    <w:rsid w:val="00310B2D"/>
    <w:rsid w:val="003142A1"/>
    <w:rsid w:val="003319DB"/>
    <w:rsid w:val="00334D14"/>
    <w:rsid w:val="00335524"/>
    <w:rsid w:val="00340114"/>
    <w:rsid w:val="0034120A"/>
    <w:rsid w:val="003435B3"/>
    <w:rsid w:val="0035208B"/>
    <w:rsid w:val="0035366F"/>
    <w:rsid w:val="00356DA3"/>
    <w:rsid w:val="00357139"/>
    <w:rsid w:val="00364551"/>
    <w:rsid w:val="003647B7"/>
    <w:rsid w:val="00364F66"/>
    <w:rsid w:val="00371A4A"/>
    <w:rsid w:val="0037779B"/>
    <w:rsid w:val="00380695"/>
    <w:rsid w:val="003814A3"/>
    <w:rsid w:val="003822F3"/>
    <w:rsid w:val="00391D27"/>
    <w:rsid w:val="003973D4"/>
    <w:rsid w:val="003A3C13"/>
    <w:rsid w:val="003A41BE"/>
    <w:rsid w:val="003A443F"/>
    <w:rsid w:val="003B73C6"/>
    <w:rsid w:val="003C417A"/>
    <w:rsid w:val="003C7647"/>
    <w:rsid w:val="003D32A5"/>
    <w:rsid w:val="003D3F92"/>
    <w:rsid w:val="003E117E"/>
    <w:rsid w:val="003E7BAA"/>
    <w:rsid w:val="003F0EDF"/>
    <w:rsid w:val="003F6DA1"/>
    <w:rsid w:val="004040AA"/>
    <w:rsid w:val="0040419C"/>
    <w:rsid w:val="004072BC"/>
    <w:rsid w:val="004073F0"/>
    <w:rsid w:val="00410FCC"/>
    <w:rsid w:val="004125D1"/>
    <w:rsid w:val="00413C27"/>
    <w:rsid w:val="00413DDC"/>
    <w:rsid w:val="00415071"/>
    <w:rsid w:val="00420458"/>
    <w:rsid w:val="004219E0"/>
    <w:rsid w:val="004227D2"/>
    <w:rsid w:val="0042592C"/>
    <w:rsid w:val="0043606A"/>
    <w:rsid w:val="004444A0"/>
    <w:rsid w:val="00447268"/>
    <w:rsid w:val="0045284F"/>
    <w:rsid w:val="00452B93"/>
    <w:rsid w:val="00460BB2"/>
    <w:rsid w:val="00466841"/>
    <w:rsid w:val="004670AE"/>
    <w:rsid w:val="0046724D"/>
    <w:rsid w:val="0047306B"/>
    <w:rsid w:val="004823F2"/>
    <w:rsid w:val="00484245"/>
    <w:rsid w:val="004962ED"/>
    <w:rsid w:val="00496DF8"/>
    <w:rsid w:val="00497613"/>
    <w:rsid w:val="004A6F6D"/>
    <w:rsid w:val="004A7C82"/>
    <w:rsid w:val="004B0A09"/>
    <w:rsid w:val="004B263F"/>
    <w:rsid w:val="004B6FAC"/>
    <w:rsid w:val="004C12EC"/>
    <w:rsid w:val="004C56BD"/>
    <w:rsid w:val="004C6EB6"/>
    <w:rsid w:val="004C7870"/>
    <w:rsid w:val="004D1EDB"/>
    <w:rsid w:val="004D30E0"/>
    <w:rsid w:val="004D34CA"/>
    <w:rsid w:val="004E057F"/>
    <w:rsid w:val="004E0E56"/>
    <w:rsid w:val="004E12F0"/>
    <w:rsid w:val="004E2A13"/>
    <w:rsid w:val="004E2DD6"/>
    <w:rsid w:val="004E7366"/>
    <w:rsid w:val="004F3644"/>
    <w:rsid w:val="004F7DAC"/>
    <w:rsid w:val="005015F2"/>
    <w:rsid w:val="005136E2"/>
    <w:rsid w:val="00515C00"/>
    <w:rsid w:val="005241DE"/>
    <w:rsid w:val="00526961"/>
    <w:rsid w:val="00527454"/>
    <w:rsid w:val="00530CE4"/>
    <w:rsid w:val="00531F34"/>
    <w:rsid w:val="0053565D"/>
    <w:rsid w:val="00540438"/>
    <w:rsid w:val="00543D03"/>
    <w:rsid w:val="00550E18"/>
    <w:rsid w:val="005543EF"/>
    <w:rsid w:val="00554D8A"/>
    <w:rsid w:val="005563E2"/>
    <w:rsid w:val="00560DDE"/>
    <w:rsid w:val="00562C0C"/>
    <w:rsid w:val="0056459D"/>
    <w:rsid w:val="005652F0"/>
    <w:rsid w:val="00570637"/>
    <w:rsid w:val="00570C83"/>
    <w:rsid w:val="0057259D"/>
    <w:rsid w:val="005820B0"/>
    <w:rsid w:val="00584616"/>
    <w:rsid w:val="00587578"/>
    <w:rsid w:val="00592420"/>
    <w:rsid w:val="005938FD"/>
    <w:rsid w:val="005951DD"/>
    <w:rsid w:val="00595BEC"/>
    <w:rsid w:val="005969F8"/>
    <w:rsid w:val="005A0F49"/>
    <w:rsid w:val="005A1356"/>
    <w:rsid w:val="005A29B8"/>
    <w:rsid w:val="005B006B"/>
    <w:rsid w:val="005B33D9"/>
    <w:rsid w:val="005B47D2"/>
    <w:rsid w:val="005B69C4"/>
    <w:rsid w:val="005B7254"/>
    <w:rsid w:val="005C2067"/>
    <w:rsid w:val="005C408B"/>
    <w:rsid w:val="005C43CD"/>
    <w:rsid w:val="005C550D"/>
    <w:rsid w:val="005C587F"/>
    <w:rsid w:val="005C68B6"/>
    <w:rsid w:val="005D1889"/>
    <w:rsid w:val="005E0DDD"/>
    <w:rsid w:val="005E60FB"/>
    <w:rsid w:val="005E719B"/>
    <w:rsid w:val="005F32BE"/>
    <w:rsid w:val="006068FD"/>
    <w:rsid w:val="0060723F"/>
    <w:rsid w:val="00607D7B"/>
    <w:rsid w:val="00611082"/>
    <w:rsid w:val="00614D0C"/>
    <w:rsid w:val="00621BFE"/>
    <w:rsid w:val="00621E1D"/>
    <w:rsid w:val="006244E9"/>
    <w:rsid w:val="00625C8F"/>
    <w:rsid w:val="006273C4"/>
    <w:rsid w:val="006367FC"/>
    <w:rsid w:val="006426B4"/>
    <w:rsid w:val="00644189"/>
    <w:rsid w:val="00646446"/>
    <w:rsid w:val="006468F8"/>
    <w:rsid w:val="00651B92"/>
    <w:rsid w:val="00661673"/>
    <w:rsid w:val="00676FDF"/>
    <w:rsid w:val="0067776B"/>
    <w:rsid w:val="00677A2A"/>
    <w:rsid w:val="00690639"/>
    <w:rsid w:val="00691AE9"/>
    <w:rsid w:val="006954BC"/>
    <w:rsid w:val="006A1F86"/>
    <w:rsid w:val="006A36B7"/>
    <w:rsid w:val="006A50E9"/>
    <w:rsid w:val="006A56B8"/>
    <w:rsid w:val="006A5C82"/>
    <w:rsid w:val="006A6359"/>
    <w:rsid w:val="006A7FB7"/>
    <w:rsid w:val="006C1DDA"/>
    <w:rsid w:val="006C5E8A"/>
    <w:rsid w:val="006D0CF9"/>
    <w:rsid w:val="006D4276"/>
    <w:rsid w:val="006D6409"/>
    <w:rsid w:val="006D6874"/>
    <w:rsid w:val="006E0428"/>
    <w:rsid w:val="006E45F5"/>
    <w:rsid w:val="006E56C3"/>
    <w:rsid w:val="006F13FB"/>
    <w:rsid w:val="006F6032"/>
    <w:rsid w:val="006F795C"/>
    <w:rsid w:val="007003C3"/>
    <w:rsid w:val="007013BA"/>
    <w:rsid w:val="007020F9"/>
    <w:rsid w:val="007030A7"/>
    <w:rsid w:val="007109D4"/>
    <w:rsid w:val="00713A1A"/>
    <w:rsid w:val="00716E37"/>
    <w:rsid w:val="00720C17"/>
    <w:rsid w:val="00720E43"/>
    <w:rsid w:val="00726CAD"/>
    <w:rsid w:val="00730FBE"/>
    <w:rsid w:val="00731016"/>
    <w:rsid w:val="0074324A"/>
    <w:rsid w:val="007439D2"/>
    <w:rsid w:val="00750B3D"/>
    <w:rsid w:val="00753A40"/>
    <w:rsid w:val="007559DB"/>
    <w:rsid w:val="00756C11"/>
    <w:rsid w:val="00757147"/>
    <w:rsid w:val="00760058"/>
    <w:rsid w:val="00760799"/>
    <w:rsid w:val="00761F76"/>
    <w:rsid w:val="00767B85"/>
    <w:rsid w:val="00776042"/>
    <w:rsid w:val="00776211"/>
    <w:rsid w:val="007935B2"/>
    <w:rsid w:val="00794867"/>
    <w:rsid w:val="007B076B"/>
    <w:rsid w:val="007B0A33"/>
    <w:rsid w:val="007B255B"/>
    <w:rsid w:val="007B7732"/>
    <w:rsid w:val="007B7F97"/>
    <w:rsid w:val="007C2834"/>
    <w:rsid w:val="007D0629"/>
    <w:rsid w:val="007D11A6"/>
    <w:rsid w:val="007D5646"/>
    <w:rsid w:val="007D7973"/>
    <w:rsid w:val="007E2F2F"/>
    <w:rsid w:val="007E78FB"/>
    <w:rsid w:val="008006A0"/>
    <w:rsid w:val="0080467A"/>
    <w:rsid w:val="0081015C"/>
    <w:rsid w:val="00810C5C"/>
    <w:rsid w:val="00813881"/>
    <w:rsid w:val="00814ED1"/>
    <w:rsid w:val="00822D54"/>
    <w:rsid w:val="00823362"/>
    <w:rsid w:val="00823DEC"/>
    <w:rsid w:val="008262BD"/>
    <w:rsid w:val="00833FC7"/>
    <w:rsid w:val="008440F6"/>
    <w:rsid w:val="00844A11"/>
    <w:rsid w:val="008454F9"/>
    <w:rsid w:val="008547DC"/>
    <w:rsid w:val="0085750B"/>
    <w:rsid w:val="0086186D"/>
    <w:rsid w:val="00865F5B"/>
    <w:rsid w:val="00867565"/>
    <w:rsid w:val="00867E2A"/>
    <w:rsid w:val="008740B8"/>
    <w:rsid w:val="00874C8D"/>
    <w:rsid w:val="008757A6"/>
    <w:rsid w:val="008765B2"/>
    <w:rsid w:val="00876B3D"/>
    <w:rsid w:val="00877039"/>
    <w:rsid w:val="008778B4"/>
    <w:rsid w:val="0088320A"/>
    <w:rsid w:val="00890CDA"/>
    <w:rsid w:val="0089323F"/>
    <w:rsid w:val="008A1B09"/>
    <w:rsid w:val="008B1A9F"/>
    <w:rsid w:val="008B7094"/>
    <w:rsid w:val="008C50C2"/>
    <w:rsid w:val="008C525C"/>
    <w:rsid w:val="008D51D2"/>
    <w:rsid w:val="008D5C6B"/>
    <w:rsid w:val="008E35CA"/>
    <w:rsid w:val="008E37BD"/>
    <w:rsid w:val="008E504A"/>
    <w:rsid w:val="008E6FE1"/>
    <w:rsid w:val="008F5716"/>
    <w:rsid w:val="009008CD"/>
    <w:rsid w:val="00900FEF"/>
    <w:rsid w:val="00902C30"/>
    <w:rsid w:val="0091008B"/>
    <w:rsid w:val="009114EA"/>
    <w:rsid w:val="00913803"/>
    <w:rsid w:val="00916968"/>
    <w:rsid w:val="00917412"/>
    <w:rsid w:val="00925A36"/>
    <w:rsid w:val="00925C05"/>
    <w:rsid w:val="00931FF0"/>
    <w:rsid w:val="009348ED"/>
    <w:rsid w:val="009352F7"/>
    <w:rsid w:val="00941C82"/>
    <w:rsid w:val="00943444"/>
    <w:rsid w:val="00957B06"/>
    <w:rsid w:val="00965C5E"/>
    <w:rsid w:val="00974D58"/>
    <w:rsid w:val="009772EF"/>
    <w:rsid w:val="00981694"/>
    <w:rsid w:val="00982529"/>
    <w:rsid w:val="00987A4B"/>
    <w:rsid w:val="00992037"/>
    <w:rsid w:val="009A2470"/>
    <w:rsid w:val="009A38AC"/>
    <w:rsid w:val="009A7E56"/>
    <w:rsid w:val="009B15BC"/>
    <w:rsid w:val="009C3684"/>
    <w:rsid w:val="009C521A"/>
    <w:rsid w:val="009C5324"/>
    <w:rsid w:val="009E0E32"/>
    <w:rsid w:val="009E5D8D"/>
    <w:rsid w:val="009F24AF"/>
    <w:rsid w:val="009F3A64"/>
    <w:rsid w:val="009F63F9"/>
    <w:rsid w:val="009F69DB"/>
    <w:rsid w:val="009F7726"/>
    <w:rsid w:val="009F7947"/>
    <w:rsid w:val="00A05819"/>
    <w:rsid w:val="00A066C5"/>
    <w:rsid w:val="00A0738D"/>
    <w:rsid w:val="00A115B2"/>
    <w:rsid w:val="00A136BB"/>
    <w:rsid w:val="00A150E5"/>
    <w:rsid w:val="00A20BFB"/>
    <w:rsid w:val="00A221C1"/>
    <w:rsid w:val="00A22940"/>
    <w:rsid w:val="00A24C30"/>
    <w:rsid w:val="00A2630E"/>
    <w:rsid w:val="00A278E1"/>
    <w:rsid w:val="00A27C65"/>
    <w:rsid w:val="00A32F40"/>
    <w:rsid w:val="00A337C8"/>
    <w:rsid w:val="00A3417F"/>
    <w:rsid w:val="00A34631"/>
    <w:rsid w:val="00A35E04"/>
    <w:rsid w:val="00A3738D"/>
    <w:rsid w:val="00A4064C"/>
    <w:rsid w:val="00A4139A"/>
    <w:rsid w:val="00A41541"/>
    <w:rsid w:val="00A417BE"/>
    <w:rsid w:val="00A425CC"/>
    <w:rsid w:val="00A42E04"/>
    <w:rsid w:val="00A47C7A"/>
    <w:rsid w:val="00A51D29"/>
    <w:rsid w:val="00A64B62"/>
    <w:rsid w:val="00A72F58"/>
    <w:rsid w:val="00A75C06"/>
    <w:rsid w:val="00A80025"/>
    <w:rsid w:val="00A807AD"/>
    <w:rsid w:val="00A81888"/>
    <w:rsid w:val="00A823BA"/>
    <w:rsid w:val="00A8754F"/>
    <w:rsid w:val="00A9426D"/>
    <w:rsid w:val="00A974A9"/>
    <w:rsid w:val="00A97B62"/>
    <w:rsid w:val="00AA5ACF"/>
    <w:rsid w:val="00AB1C36"/>
    <w:rsid w:val="00AB604D"/>
    <w:rsid w:val="00AB6D63"/>
    <w:rsid w:val="00AC04A0"/>
    <w:rsid w:val="00AC6DF7"/>
    <w:rsid w:val="00AD033B"/>
    <w:rsid w:val="00AD3147"/>
    <w:rsid w:val="00AD3D73"/>
    <w:rsid w:val="00AE316D"/>
    <w:rsid w:val="00AE4B27"/>
    <w:rsid w:val="00AE7A78"/>
    <w:rsid w:val="00AE7B50"/>
    <w:rsid w:val="00AF11AE"/>
    <w:rsid w:val="00AF15AA"/>
    <w:rsid w:val="00AF28FB"/>
    <w:rsid w:val="00AF4542"/>
    <w:rsid w:val="00AF49C2"/>
    <w:rsid w:val="00AF6D61"/>
    <w:rsid w:val="00B03303"/>
    <w:rsid w:val="00B04B63"/>
    <w:rsid w:val="00B0660A"/>
    <w:rsid w:val="00B13A58"/>
    <w:rsid w:val="00B14B86"/>
    <w:rsid w:val="00B16DB2"/>
    <w:rsid w:val="00B26A82"/>
    <w:rsid w:val="00B26B16"/>
    <w:rsid w:val="00B2715D"/>
    <w:rsid w:val="00B3197D"/>
    <w:rsid w:val="00B31F1F"/>
    <w:rsid w:val="00B32D71"/>
    <w:rsid w:val="00B32E89"/>
    <w:rsid w:val="00B37856"/>
    <w:rsid w:val="00B41EC7"/>
    <w:rsid w:val="00B429CC"/>
    <w:rsid w:val="00B47C82"/>
    <w:rsid w:val="00B52FDF"/>
    <w:rsid w:val="00B5602B"/>
    <w:rsid w:val="00B573A1"/>
    <w:rsid w:val="00B629E8"/>
    <w:rsid w:val="00B63B1A"/>
    <w:rsid w:val="00B70ACF"/>
    <w:rsid w:val="00B71E29"/>
    <w:rsid w:val="00B9091A"/>
    <w:rsid w:val="00B918E5"/>
    <w:rsid w:val="00B9269C"/>
    <w:rsid w:val="00BA01F7"/>
    <w:rsid w:val="00BA2A6D"/>
    <w:rsid w:val="00BA3728"/>
    <w:rsid w:val="00BA3A91"/>
    <w:rsid w:val="00BA3CF5"/>
    <w:rsid w:val="00BA739B"/>
    <w:rsid w:val="00BC18B6"/>
    <w:rsid w:val="00BC4D7E"/>
    <w:rsid w:val="00BC569D"/>
    <w:rsid w:val="00BD103A"/>
    <w:rsid w:val="00BD227C"/>
    <w:rsid w:val="00BD70D1"/>
    <w:rsid w:val="00BD78D4"/>
    <w:rsid w:val="00BD7A6E"/>
    <w:rsid w:val="00BD7DAB"/>
    <w:rsid w:val="00BE6F3F"/>
    <w:rsid w:val="00BF21B4"/>
    <w:rsid w:val="00BF3082"/>
    <w:rsid w:val="00BF4527"/>
    <w:rsid w:val="00C0160A"/>
    <w:rsid w:val="00C01AC5"/>
    <w:rsid w:val="00C04E08"/>
    <w:rsid w:val="00C051B8"/>
    <w:rsid w:val="00C206A1"/>
    <w:rsid w:val="00C21B02"/>
    <w:rsid w:val="00C228E6"/>
    <w:rsid w:val="00C24FF4"/>
    <w:rsid w:val="00C26879"/>
    <w:rsid w:val="00C35A5A"/>
    <w:rsid w:val="00C37CA1"/>
    <w:rsid w:val="00C4045F"/>
    <w:rsid w:val="00C42BBE"/>
    <w:rsid w:val="00C50394"/>
    <w:rsid w:val="00C55447"/>
    <w:rsid w:val="00C55542"/>
    <w:rsid w:val="00C6059C"/>
    <w:rsid w:val="00C6209F"/>
    <w:rsid w:val="00C63295"/>
    <w:rsid w:val="00C65FB8"/>
    <w:rsid w:val="00C66601"/>
    <w:rsid w:val="00C66A77"/>
    <w:rsid w:val="00C66B80"/>
    <w:rsid w:val="00C70D45"/>
    <w:rsid w:val="00C75283"/>
    <w:rsid w:val="00C75F1A"/>
    <w:rsid w:val="00C850DF"/>
    <w:rsid w:val="00C8687C"/>
    <w:rsid w:val="00C87733"/>
    <w:rsid w:val="00C9330D"/>
    <w:rsid w:val="00C97FEC"/>
    <w:rsid w:val="00CA1FF6"/>
    <w:rsid w:val="00CA3753"/>
    <w:rsid w:val="00CA7543"/>
    <w:rsid w:val="00CB7023"/>
    <w:rsid w:val="00CC0044"/>
    <w:rsid w:val="00CC1941"/>
    <w:rsid w:val="00CC4532"/>
    <w:rsid w:val="00CC4608"/>
    <w:rsid w:val="00CD16DA"/>
    <w:rsid w:val="00CD6E89"/>
    <w:rsid w:val="00CE20CB"/>
    <w:rsid w:val="00CE2E44"/>
    <w:rsid w:val="00CF210F"/>
    <w:rsid w:val="00CF30FF"/>
    <w:rsid w:val="00CF475A"/>
    <w:rsid w:val="00D006E6"/>
    <w:rsid w:val="00D030EB"/>
    <w:rsid w:val="00D0384E"/>
    <w:rsid w:val="00D10D5F"/>
    <w:rsid w:val="00D16BE6"/>
    <w:rsid w:val="00D16C00"/>
    <w:rsid w:val="00D25919"/>
    <w:rsid w:val="00D266C9"/>
    <w:rsid w:val="00D32A4A"/>
    <w:rsid w:val="00D341D9"/>
    <w:rsid w:val="00D34F27"/>
    <w:rsid w:val="00D363A4"/>
    <w:rsid w:val="00D41F0E"/>
    <w:rsid w:val="00D51AB5"/>
    <w:rsid w:val="00D54E62"/>
    <w:rsid w:val="00D63070"/>
    <w:rsid w:val="00D73C9B"/>
    <w:rsid w:val="00D7403A"/>
    <w:rsid w:val="00D75318"/>
    <w:rsid w:val="00D75577"/>
    <w:rsid w:val="00D765B7"/>
    <w:rsid w:val="00D84078"/>
    <w:rsid w:val="00D845B0"/>
    <w:rsid w:val="00D86105"/>
    <w:rsid w:val="00D874DE"/>
    <w:rsid w:val="00D92040"/>
    <w:rsid w:val="00D92A43"/>
    <w:rsid w:val="00D92EBA"/>
    <w:rsid w:val="00DA4D65"/>
    <w:rsid w:val="00DB0083"/>
    <w:rsid w:val="00DB082C"/>
    <w:rsid w:val="00DB1E6B"/>
    <w:rsid w:val="00DC60CF"/>
    <w:rsid w:val="00DC7D6E"/>
    <w:rsid w:val="00DD1310"/>
    <w:rsid w:val="00DD3FD2"/>
    <w:rsid w:val="00DD469E"/>
    <w:rsid w:val="00DD5BCB"/>
    <w:rsid w:val="00DE02F9"/>
    <w:rsid w:val="00DE3164"/>
    <w:rsid w:val="00DE3855"/>
    <w:rsid w:val="00DE3986"/>
    <w:rsid w:val="00DE52D8"/>
    <w:rsid w:val="00DE7116"/>
    <w:rsid w:val="00DF1026"/>
    <w:rsid w:val="00DF3245"/>
    <w:rsid w:val="00DF49A7"/>
    <w:rsid w:val="00DF50B8"/>
    <w:rsid w:val="00E00822"/>
    <w:rsid w:val="00E025FD"/>
    <w:rsid w:val="00E12A0A"/>
    <w:rsid w:val="00E15169"/>
    <w:rsid w:val="00E20308"/>
    <w:rsid w:val="00E23A54"/>
    <w:rsid w:val="00E26CC2"/>
    <w:rsid w:val="00E3774D"/>
    <w:rsid w:val="00E443C0"/>
    <w:rsid w:val="00E515D5"/>
    <w:rsid w:val="00E54BC2"/>
    <w:rsid w:val="00E65015"/>
    <w:rsid w:val="00E66D37"/>
    <w:rsid w:val="00E7389B"/>
    <w:rsid w:val="00E7479F"/>
    <w:rsid w:val="00E74F0D"/>
    <w:rsid w:val="00E7518C"/>
    <w:rsid w:val="00E80A6C"/>
    <w:rsid w:val="00E82906"/>
    <w:rsid w:val="00E9206F"/>
    <w:rsid w:val="00EA4CA6"/>
    <w:rsid w:val="00EA54AB"/>
    <w:rsid w:val="00EB07B5"/>
    <w:rsid w:val="00EB5B8B"/>
    <w:rsid w:val="00EB6DB0"/>
    <w:rsid w:val="00EC05C4"/>
    <w:rsid w:val="00EC0D6E"/>
    <w:rsid w:val="00EC3072"/>
    <w:rsid w:val="00EC4383"/>
    <w:rsid w:val="00EC4EA3"/>
    <w:rsid w:val="00EC6005"/>
    <w:rsid w:val="00EC6E37"/>
    <w:rsid w:val="00ED64FA"/>
    <w:rsid w:val="00EE078F"/>
    <w:rsid w:val="00EE549F"/>
    <w:rsid w:val="00EE722F"/>
    <w:rsid w:val="00EF0F7C"/>
    <w:rsid w:val="00F02FEF"/>
    <w:rsid w:val="00F045E5"/>
    <w:rsid w:val="00F06EBB"/>
    <w:rsid w:val="00F115F4"/>
    <w:rsid w:val="00F128E4"/>
    <w:rsid w:val="00F178D9"/>
    <w:rsid w:val="00F35329"/>
    <w:rsid w:val="00F422EB"/>
    <w:rsid w:val="00F428E1"/>
    <w:rsid w:val="00F441FE"/>
    <w:rsid w:val="00F4537A"/>
    <w:rsid w:val="00F55D84"/>
    <w:rsid w:val="00F575D2"/>
    <w:rsid w:val="00F646F3"/>
    <w:rsid w:val="00F66B32"/>
    <w:rsid w:val="00F67CF2"/>
    <w:rsid w:val="00F72083"/>
    <w:rsid w:val="00F721E9"/>
    <w:rsid w:val="00F723CB"/>
    <w:rsid w:val="00F733C1"/>
    <w:rsid w:val="00F74A91"/>
    <w:rsid w:val="00F74ECD"/>
    <w:rsid w:val="00F8078B"/>
    <w:rsid w:val="00F82D2E"/>
    <w:rsid w:val="00F861A5"/>
    <w:rsid w:val="00F86C4A"/>
    <w:rsid w:val="00F918AD"/>
    <w:rsid w:val="00F924A6"/>
    <w:rsid w:val="00FA075E"/>
    <w:rsid w:val="00FB1247"/>
    <w:rsid w:val="00FB296C"/>
    <w:rsid w:val="00FB3FD4"/>
    <w:rsid w:val="00FB418E"/>
    <w:rsid w:val="00FB4450"/>
    <w:rsid w:val="00FB5899"/>
    <w:rsid w:val="00FC158C"/>
    <w:rsid w:val="00FC1AC0"/>
    <w:rsid w:val="00FC75F0"/>
    <w:rsid w:val="00FC7687"/>
    <w:rsid w:val="00FD7BB3"/>
    <w:rsid w:val="00FE0E4F"/>
    <w:rsid w:val="00FE2440"/>
    <w:rsid w:val="00FE67EC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3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D03"/>
    <w:pPr>
      <w:keepNext/>
      <w:keepLines/>
      <w:spacing w:before="200" w:after="0"/>
      <w:outlineLvl w:val="1"/>
    </w:pPr>
    <w:rPr>
      <w:rFonts w:eastAsia="SimSu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D03"/>
    <w:rPr>
      <w:rFonts w:ascii="Calibri" w:eastAsia="SimSun" w:hAnsi="Calibri" w:cs="Times New Roman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4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0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4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03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4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1004</Words>
  <Characters>5725</Characters>
  <Application>Microsoft Office Word</Application>
  <DocSecurity>0</DocSecurity>
  <Lines>47</Lines>
  <Paragraphs>13</Paragraphs>
  <ScaleCrop>false</ScaleCrop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Adelphi</dc:creator>
  <cp:lastModifiedBy>Adelphi</cp:lastModifiedBy>
  <cp:revision>2</cp:revision>
  <dcterms:created xsi:type="dcterms:W3CDTF">2019-06-30T22:28:00Z</dcterms:created>
  <dcterms:modified xsi:type="dcterms:W3CDTF">2019-06-30T22:29:00Z</dcterms:modified>
</cp:coreProperties>
</file>