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86" w:rsidRDefault="00223286" w:rsidP="00223286">
      <w:pPr>
        <w:spacing w:after="0" w:line="480" w:lineRule="auto"/>
        <w:contextualSpacing/>
        <w:rPr>
          <w:rFonts w:cs="Calibri"/>
          <w:color w:val="1A171C"/>
          <w:lang w:val="en-US"/>
        </w:rPr>
      </w:pPr>
      <w:bookmarkStart w:id="0" w:name="_GoBack"/>
      <w:bookmarkEnd w:id="0"/>
      <w:r w:rsidRPr="00223286">
        <w:rPr>
          <w:b/>
          <w:lang w:val="en-US"/>
        </w:rPr>
        <w:t>Supporting</w:t>
      </w:r>
      <w:r>
        <w:rPr>
          <w:lang w:val="en-US"/>
        </w:rPr>
        <w:t xml:space="preserve"> </w:t>
      </w:r>
      <w:r w:rsidRPr="00CB34F8">
        <w:rPr>
          <w:b/>
          <w:color w:val="1A171C"/>
          <w:lang w:val="en-US"/>
        </w:rPr>
        <w:t xml:space="preserve">Table </w:t>
      </w:r>
      <w:r w:rsidRPr="003855DB">
        <w:rPr>
          <w:rFonts w:cs="Calibri"/>
          <w:b/>
          <w:color w:val="1A171C"/>
          <w:lang w:val="en-US"/>
        </w:rPr>
        <w:t>2</w:t>
      </w:r>
      <w:r>
        <w:rPr>
          <w:rFonts w:cs="Calibri"/>
          <w:color w:val="1A171C"/>
          <w:lang w:val="en-US"/>
        </w:rPr>
        <w:br/>
      </w:r>
      <w:r w:rsidRPr="003855DB">
        <w:rPr>
          <w:rFonts w:cs="Calibri"/>
          <w:color w:val="1A171C"/>
          <w:lang w:val="en-US"/>
        </w:rPr>
        <w:t xml:space="preserve">Diagnostic outcomes in studies of patients with stable </w:t>
      </w:r>
      <w:proofErr w:type="gramStart"/>
      <w:r w:rsidRPr="003855DB">
        <w:rPr>
          <w:rFonts w:cs="Calibri"/>
          <w:color w:val="1A171C"/>
          <w:lang w:val="en-US"/>
        </w:rPr>
        <w:t>CAD</w:t>
      </w:r>
      <w:r w:rsidRPr="0037163C">
        <w:rPr>
          <w:rFonts w:cs="Calibri"/>
          <w:lang w:val="en-US"/>
        </w:rPr>
        <w:t>.*</w:t>
      </w:r>
      <w:proofErr w:type="gramEnd"/>
    </w:p>
    <w:tbl>
      <w:tblPr>
        <w:tblW w:w="14742" w:type="dxa"/>
        <w:shd w:val="clear" w:color="auto" w:fill="FFFFFF" w:themeFill="background1"/>
        <w:tblLayout w:type="fixed"/>
        <w:tblLook w:val="04A0" w:firstRow="1" w:lastRow="0" w:firstColumn="1" w:lastColumn="0" w:noHBand="0" w:noVBand="1"/>
      </w:tblPr>
      <w:tblGrid>
        <w:gridCol w:w="2235"/>
        <w:gridCol w:w="3260"/>
        <w:gridCol w:w="3827"/>
        <w:gridCol w:w="1985"/>
        <w:gridCol w:w="1984"/>
        <w:gridCol w:w="1418"/>
        <w:gridCol w:w="33"/>
      </w:tblGrid>
      <w:tr w:rsidR="00223286" w:rsidRPr="00123C3C" w:rsidTr="00BF21C9">
        <w:trPr>
          <w:tblHeader/>
        </w:trPr>
        <w:tc>
          <w:tcPr>
            <w:tcW w:w="2235" w:type="dxa"/>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rPr>
                <w:rFonts w:cs="Calibri"/>
                <w:b/>
                <w:color w:val="000000" w:themeColor="text1"/>
                <w:lang w:val="en-US"/>
              </w:rPr>
            </w:pPr>
            <w:r w:rsidRPr="00123C3C">
              <w:rPr>
                <w:rFonts w:cs="Calibri"/>
                <w:b/>
                <w:color w:val="000000" w:themeColor="text1"/>
                <w:lang w:val="en-US"/>
              </w:rPr>
              <w:t>Study</w:t>
            </w:r>
          </w:p>
        </w:tc>
        <w:tc>
          <w:tcPr>
            <w:tcW w:w="3260" w:type="dxa"/>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rPr>
                <w:rFonts w:cs="Calibri"/>
                <w:b/>
                <w:color w:val="000000" w:themeColor="text1"/>
                <w:lang w:val="en-US"/>
              </w:rPr>
            </w:pPr>
            <w:r w:rsidRPr="00123C3C">
              <w:rPr>
                <w:rFonts w:cs="Calibri"/>
                <w:b/>
                <w:color w:val="000000" w:themeColor="text1"/>
                <w:lang w:val="en-US"/>
              </w:rPr>
              <w:t xml:space="preserve">MCG diagnostic criteria </w:t>
            </w:r>
          </w:p>
        </w:tc>
        <w:tc>
          <w:tcPr>
            <w:tcW w:w="3827" w:type="dxa"/>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rPr>
                <w:rFonts w:cs="Calibri"/>
                <w:b/>
                <w:color w:val="000000" w:themeColor="text1"/>
                <w:lang w:val="en-US"/>
              </w:rPr>
            </w:pPr>
            <w:r w:rsidRPr="00123C3C">
              <w:rPr>
                <w:rFonts w:cs="Calibri"/>
                <w:b/>
                <w:color w:val="000000" w:themeColor="text1"/>
                <w:lang w:val="en-US"/>
              </w:rPr>
              <w:t>Target indication/</w:t>
            </w:r>
            <w:r w:rsidRPr="00123C3C">
              <w:rPr>
                <w:rFonts w:cs="Calibri"/>
                <w:b/>
                <w:color w:val="000000" w:themeColor="text1"/>
                <w:lang w:val="en-US"/>
              </w:rPr>
              <w:br/>
              <w:t>test population/</w:t>
            </w:r>
            <w:r w:rsidRPr="00123C3C">
              <w:rPr>
                <w:rFonts w:cs="Calibri"/>
                <w:b/>
                <w:i/>
                <w:color w:val="000000" w:themeColor="text1"/>
                <w:lang w:val="en-US"/>
              </w:rPr>
              <w:t>control</w:t>
            </w:r>
            <w:r w:rsidRPr="00123C3C">
              <w:rPr>
                <w:rFonts w:cs="Calibri"/>
                <w:b/>
                <w:color w:val="000000" w:themeColor="text1"/>
                <w:lang w:val="en-US"/>
              </w:rPr>
              <w:t xml:space="preserve"> (n)</w:t>
            </w:r>
          </w:p>
        </w:tc>
        <w:tc>
          <w:tcPr>
            <w:tcW w:w="1985" w:type="dxa"/>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jc w:val="center"/>
              <w:rPr>
                <w:rFonts w:cs="Calibri"/>
                <w:b/>
                <w:color w:val="000000" w:themeColor="text1"/>
                <w:lang w:val="en-US"/>
              </w:rPr>
            </w:pPr>
            <w:r w:rsidRPr="00123C3C">
              <w:rPr>
                <w:rFonts w:cs="Calibri"/>
                <w:b/>
                <w:color w:val="000000" w:themeColor="text1"/>
                <w:lang w:val="en-US"/>
              </w:rPr>
              <w:t>Specificity/</w:t>
            </w:r>
            <w:r w:rsidRPr="00123C3C">
              <w:rPr>
                <w:rFonts w:cs="Calibri"/>
                <w:b/>
                <w:color w:val="000000" w:themeColor="text1"/>
                <w:lang w:val="en-US"/>
              </w:rPr>
              <w:br/>
              <w:t xml:space="preserve">sensitivity </w:t>
            </w:r>
            <w:r w:rsidRPr="00123C3C">
              <w:rPr>
                <w:rFonts w:cs="Calibri"/>
                <w:b/>
                <w:color w:val="000000" w:themeColor="text1"/>
                <w:lang w:val="en-US"/>
              </w:rPr>
              <w:br/>
              <w:t xml:space="preserve">(ROC </w:t>
            </w:r>
            <w:r>
              <w:rPr>
                <w:rFonts w:cs="Calibri"/>
                <w:b/>
                <w:color w:val="000000" w:themeColor="text1"/>
                <w:lang w:val="en-US"/>
              </w:rPr>
              <w:t>AUC</w:t>
            </w:r>
            <w:r w:rsidRPr="00123C3C">
              <w:rPr>
                <w:rFonts w:cs="Calibri"/>
                <w:b/>
                <w:color w:val="000000" w:themeColor="text1"/>
                <w:lang w:val="en-US"/>
              </w:rPr>
              <w:t>)</w:t>
            </w:r>
          </w:p>
        </w:tc>
        <w:tc>
          <w:tcPr>
            <w:tcW w:w="1984" w:type="dxa"/>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jc w:val="center"/>
              <w:rPr>
                <w:rFonts w:cs="Calibri"/>
                <w:b/>
                <w:color w:val="000000" w:themeColor="text1"/>
                <w:lang w:val="en-US"/>
              </w:rPr>
            </w:pPr>
            <w:r w:rsidRPr="00123C3C">
              <w:rPr>
                <w:rFonts w:cs="Calibri"/>
                <w:b/>
                <w:color w:val="000000" w:themeColor="text1"/>
                <w:lang w:val="en-US"/>
              </w:rPr>
              <w:t>PPV/NPV</w:t>
            </w:r>
            <w:r w:rsidRPr="00123C3C">
              <w:rPr>
                <w:rFonts w:cs="Calibri"/>
                <w:b/>
                <w:color w:val="000000" w:themeColor="text1"/>
                <w:lang w:val="en-US"/>
              </w:rPr>
              <w:br/>
              <w:t xml:space="preserve">(ROC </w:t>
            </w:r>
            <w:r>
              <w:rPr>
                <w:rFonts w:cs="Calibri"/>
                <w:b/>
                <w:color w:val="000000" w:themeColor="text1"/>
                <w:lang w:val="en-US"/>
              </w:rPr>
              <w:t>AUC</w:t>
            </w:r>
            <w:r w:rsidRPr="00123C3C">
              <w:rPr>
                <w:rFonts w:cs="Calibri"/>
                <w:b/>
                <w:color w:val="000000" w:themeColor="text1"/>
                <w:lang w:val="en-US"/>
              </w:rPr>
              <w:t>)</w:t>
            </w:r>
          </w:p>
        </w:tc>
        <w:tc>
          <w:tcPr>
            <w:tcW w:w="1451" w:type="dxa"/>
            <w:gridSpan w:val="2"/>
            <w:tcBorders>
              <w:top w:val="single" w:sz="4" w:space="0" w:color="auto"/>
              <w:bottom w:val="single" w:sz="4" w:space="0" w:color="auto"/>
            </w:tcBorders>
            <w:shd w:val="clear" w:color="auto" w:fill="FFFFFF" w:themeFill="background1"/>
          </w:tcPr>
          <w:p w:rsidR="00223286" w:rsidRPr="00123C3C" w:rsidRDefault="00223286" w:rsidP="005E7FD7">
            <w:pPr>
              <w:spacing w:before="120" w:after="0" w:line="240" w:lineRule="auto"/>
              <w:rPr>
                <w:rFonts w:cs="Calibri"/>
                <w:b/>
                <w:color w:val="000000" w:themeColor="text1"/>
                <w:lang w:val="en-US"/>
              </w:rPr>
            </w:pPr>
            <w:r w:rsidRPr="00123C3C">
              <w:rPr>
                <w:rFonts w:cs="Calibri"/>
                <w:b/>
                <w:color w:val="000000" w:themeColor="text1"/>
                <w:lang w:val="en-US"/>
              </w:rPr>
              <w:t>Reference</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Van Leeuwen et al. 2003</w:t>
            </w:r>
            <w:r w:rsidR="00377FE6">
              <w:rPr>
                <w:color w:val="000000" w:themeColor="text1"/>
                <w:lang w:val="en-US"/>
              </w:rPr>
              <w:t xml:space="preserve"> [</w:t>
            </w:r>
            <w:r w:rsidR="00377FE6" w:rsidRPr="006B26C9">
              <w:rPr>
                <w:color w:val="000000" w:themeColor="text1"/>
                <w:lang w:val="en-US"/>
              </w:rPr>
              <w:t>e9</w:t>
            </w:r>
            <w:r w:rsidR="00377FE6">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37-channel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Spatial distribution of the QT interval with SI cut-off of 3.18 selected as best discriminator </w:t>
            </w:r>
          </w:p>
        </w:tc>
        <w:tc>
          <w:tcPr>
            <w:tcW w:w="3827" w:type="dxa"/>
            <w:shd w:val="clear" w:color="auto" w:fill="FFFFFF" w:themeFill="background1"/>
          </w:tcPr>
          <w:p w:rsidR="00C96046" w:rsidRDefault="00223286" w:rsidP="005E7FD7">
            <w:pPr>
              <w:spacing w:before="120" w:after="0" w:line="240" w:lineRule="auto"/>
              <w:ind w:left="4"/>
              <w:rPr>
                <w:color w:val="000000" w:themeColor="text1"/>
                <w:lang w:val="en-US"/>
              </w:rPr>
            </w:pPr>
            <w:r w:rsidRPr="00833DED">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w:t>
            </w:r>
            <w:r w:rsidR="00C96046">
              <w:rPr>
                <w:color w:val="000000" w:themeColor="text1"/>
                <w:lang w:val="en-US"/>
              </w:rPr>
              <w:t xml:space="preserve">AD and angiographically proven </w:t>
            </w:r>
            <w:r w:rsidR="00C96046">
              <w:rPr>
                <w:rFonts w:ascii="Times New Roman" w:hAnsi="Times New Roman" w:cs="Times New Roman"/>
                <w:color w:val="000000" w:themeColor="text1"/>
                <w:lang w:val="en-US"/>
              </w:rPr>
              <w:t>≥</w:t>
            </w:r>
            <w:r w:rsidRPr="00833DED">
              <w:rPr>
                <w:color w:val="000000" w:themeColor="text1"/>
                <w:lang w:val="en-US"/>
              </w:rPr>
              <w:t>75% stenosis with prior MI (31) or without prior MI (23)</w:t>
            </w:r>
          </w:p>
          <w:p w:rsidR="00223286" w:rsidRPr="00833DED" w:rsidRDefault="00C96046" w:rsidP="005E7FD7">
            <w:pPr>
              <w:spacing w:before="120" w:after="0" w:line="240" w:lineRule="auto"/>
              <w:rPr>
                <w:i/>
                <w:color w:val="000000" w:themeColor="text1"/>
                <w:lang w:val="en-US"/>
              </w:rPr>
            </w:pPr>
            <w:r>
              <w:rPr>
                <w:i/>
                <w:color w:val="000000" w:themeColor="text1"/>
                <w:lang w:val="en-US"/>
              </w:rPr>
              <w:t>S</w:t>
            </w:r>
            <w:r w:rsidR="00223286" w:rsidRPr="00833DED">
              <w:rPr>
                <w:i/>
                <w:color w:val="000000" w:themeColor="text1"/>
                <w:lang w:val="en-US"/>
              </w:rPr>
              <w:t>ubjects</w:t>
            </w:r>
            <w:r>
              <w:rPr>
                <w:i/>
                <w:color w:val="000000" w:themeColor="text1"/>
                <w:lang w:val="en-US"/>
              </w:rPr>
              <w:t xml:space="preserve"> without hemodynamically relevant CAD on angiography, </w:t>
            </w:r>
            <w:r w:rsidR="00223286" w:rsidRPr="00833DED">
              <w:rPr>
                <w:i/>
                <w:color w:val="000000" w:themeColor="text1"/>
                <w:lang w:val="en-US"/>
              </w:rPr>
              <w:t>or healthy volunteers with no history of CVD</w:t>
            </w:r>
            <w:r w:rsidR="00223286" w:rsidRPr="00833DED">
              <w:rPr>
                <w:color w:val="000000" w:themeColor="text1"/>
                <w:lang w:val="en-US"/>
              </w:rPr>
              <w:t xml:space="preserve"> </w:t>
            </w:r>
            <w:r w:rsidRPr="00C96046">
              <w:rPr>
                <w:i/>
                <w:color w:val="000000" w:themeColor="text1"/>
                <w:lang w:val="en-US"/>
              </w:rPr>
              <w:t>and normal ECG</w:t>
            </w:r>
            <w:r>
              <w:rPr>
                <w:color w:val="000000" w:themeColor="text1"/>
                <w:lang w:val="en-US"/>
              </w:rPr>
              <w:t xml:space="preserve"> </w:t>
            </w:r>
            <w:r w:rsidR="00223286" w:rsidRPr="00833DED">
              <w:rPr>
                <w:i/>
                <w:color w:val="000000" w:themeColor="text1"/>
                <w:lang w:val="en-US"/>
              </w:rPr>
              <w:t>(20)</w:t>
            </w:r>
          </w:p>
        </w:tc>
        <w:tc>
          <w:tcPr>
            <w:tcW w:w="1985" w:type="dxa"/>
            <w:shd w:val="clear" w:color="auto" w:fill="FFFFFF" w:themeFill="background1"/>
          </w:tcPr>
          <w:p w:rsidR="00F045EB" w:rsidRDefault="00F045E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80%/74%</w:t>
            </w:r>
          </w:p>
        </w:tc>
        <w:tc>
          <w:tcPr>
            <w:tcW w:w="1984"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796AF5"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F4B6A" w:rsidRDefault="007F4B6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 xml:space="preserve">Van Leeuwen et al. 2006 </w:t>
            </w:r>
            <w:r w:rsidR="00C2640B">
              <w:rPr>
                <w:color w:val="000000" w:themeColor="text1"/>
                <w:lang w:val="en-US"/>
              </w:rPr>
              <w:t>[</w:t>
            </w:r>
            <w:r w:rsidR="00C2640B" w:rsidRPr="006B26C9">
              <w:rPr>
                <w:color w:val="000000" w:themeColor="text1"/>
                <w:lang w:val="en-US"/>
              </w:rPr>
              <w:t>e14</w:t>
            </w:r>
            <w:r w:rsidR="00C2640B">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37-channel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&gt;10% deviation from the normal course of the MFM orientation during QT interval selected as a discriminator</w:t>
            </w:r>
          </w:p>
        </w:tc>
        <w:tc>
          <w:tcPr>
            <w:tcW w:w="3827" w:type="dxa"/>
            <w:shd w:val="clear" w:color="auto" w:fill="FFFFFF" w:themeFill="background1"/>
          </w:tcPr>
          <w:p w:rsidR="00F045EB" w:rsidRDefault="00F045EB"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CAD without MI (43)</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Patients with CAD with prior MI (36; </w:t>
            </w:r>
            <w:r w:rsidRPr="00833DED">
              <w:rPr>
                <w:color w:val="000000" w:themeColor="text1"/>
                <w:lang w:val="en-US"/>
              </w:rPr>
              <w:br/>
              <w:t>15 with VT)</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Patients with angiographically proven non-obstructive CAD and healthy volunteers (50</w:t>
            </w:r>
            <w:r w:rsidRPr="00833DED">
              <w:rPr>
                <w:color w:val="000000" w:themeColor="text1"/>
                <w:lang w:val="en-US"/>
              </w:rPr>
              <w:t>)</w:t>
            </w:r>
          </w:p>
        </w:tc>
        <w:tc>
          <w:tcPr>
            <w:tcW w:w="1985" w:type="dxa"/>
            <w:shd w:val="clear" w:color="auto" w:fill="FFFFFF" w:themeFill="background1"/>
          </w:tcPr>
          <w:p w:rsidR="00F045EB" w:rsidRDefault="00F045EB" w:rsidP="005E7FD7">
            <w:pPr>
              <w:spacing w:before="120" w:after="0" w:line="240" w:lineRule="auto"/>
              <w:jc w:val="center"/>
              <w:rPr>
                <w:rFonts w:cs="Calibri"/>
                <w:color w:val="000000" w:themeColor="text1"/>
                <w:lang w:val="en-US"/>
              </w:rPr>
            </w:pPr>
          </w:p>
          <w:p w:rsidR="005E7FD7" w:rsidRDefault="005E7FD7" w:rsidP="005E7FD7">
            <w:pPr>
              <w:spacing w:before="120" w:after="0" w:line="240" w:lineRule="auto"/>
              <w:jc w:val="center"/>
              <w:rPr>
                <w:rFonts w:cs="Calibri"/>
                <w:color w:val="000000" w:themeColor="text1"/>
                <w:lang w:val="en-US"/>
              </w:rPr>
            </w:pPr>
            <w:r>
              <w:rPr>
                <w:rFonts w:cs="Calibri"/>
                <w:color w:val="000000" w:themeColor="text1"/>
                <w:lang w:val="en-US"/>
              </w:rPr>
              <w:t>90%/68%</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90%/85%</w:t>
            </w:r>
          </w:p>
        </w:tc>
        <w:tc>
          <w:tcPr>
            <w:tcW w:w="1984"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796AF5"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F4B6A" w:rsidRDefault="007F4B6A" w:rsidP="005E7FD7">
            <w:pPr>
              <w:spacing w:before="120" w:after="0" w:line="240" w:lineRule="auto"/>
              <w:rPr>
                <w:rFonts w:cs="Calibri"/>
                <w:color w:val="000000" w:themeColor="text1"/>
                <w:lang w:val="en-US"/>
              </w:rPr>
            </w:pPr>
          </w:p>
          <w:p w:rsidR="005E7FD7" w:rsidRDefault="005E7FD7" w:rsidP="005E7FD7">
            <w:pPr>
              <w:spacing w:before="120" w:after="0" w:line="240" w:lineRule="auto"/>
              <w:rPr>
                <w:rFonts w:cs="Calibri"/>
                <w:color w:val="000000" w:themeColor="text1"/>
                <w:lang w:val="en-US"/>
              </w:rPr>
            </w:pPr>
            <w:r>
              <w:rPr>
                <w:rFonts w:cs="Calibri"/>
                <w:color w:val="000000" w:themeColor="text1"/>
                <w:lang w:val="en-US"/>
              </w:rPr>
              <w:t>ECG</w:t>
            </w:r>
          </w:p>
          <w:p w:rsidR="00223286" w:rsidRPr="00833DED" w:rsidRDefault="005E7FD7" w:rsidP="005E7FD7">
            <w:pPr>
              <w:spacing w:before="120" w:after="0" w:line="240" w:lineRule="auto"/>
              <w:rPr>
                <w:rFonts w:cs="Calibri"/>
                <w:color w:val="000000" w:themeColor="text1"/>
                <w:lang w:val="en-US"/>
              </w:rPr>
            </w:pPr>
            <w:r>
              <w:rPr>
                <w:rFonts w:cs="Calibri"/>
                <w:color w:val="000000" w:themeColor="text1"/>
                <w:lang w:val="en-US"/>
              </w:rPr>
              <w:t>Echo</w:t>
            </w: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Angiography</w:t>
            </w:r>
          </w:p>
        </w:tc>
      </w:tr>
      <w:tr w:rsidR="00223286" w:rsidRPr="003855DB" w:rsidTr="00BF21C9">
        <w:tc>
          <w:tcPr>
            <w:tcW w:w="2235" w:type="dxa"/>
            <w:shd w:val="clear" w:color="auto" w:fill="FFFFFF" w:themeFill="background1"/>
          </w:tcPr>
          <w:p w:rsidR="007B43B9" w:rsidRDefault="00223286" w:rsidP="005E7FD7">
            <w:pPr>
              <w:spacing w:before="120" w:after="0" w:line="240" w:lineRule="auto"/>
              <w:rPr>
                <w:rFonts w:cs="Calibri"/>
                <w:color w:val="000000" w:themeColor="text1"/>
                <w:lang w:val="en-US"/>
              </w:rPr>
            </w:pPr>
            <w:proofErr w:type="spellStart"/>
            <w:r w:rsidRPr="00833DED">
              <w:rPr>
                <w:color w:val="000000" w:themeColor="text1"/>
                <w:lang w:val="en-US"/>
              </w:rPr>
              <w:t>Gapelyuk</w:t>
            </w:r>
            <w:proofErr w:type="spellEnd"/>
            <w:r w:rsidRPr="00833DED">
              <w:rPr>
                <w:color w:val="000000" w:themeColor="text1"/>
                <w:lang w:val="en-US"/>
              </w:rPr>
              <w:t xml:space="preserve"> et al. 2007</w:t>
            </w:r>
            <w:r w:rsidR="00C2640B">
              <w:rPr>
                <w:color w:val="000000" w:themeColor="text1"/>
                <w:lang w:val="en-US"/>
              </w:rPr>
              <w:t xml:space="preserve"> [</w:t>
            </w:r>
            <w:r w:rsidR="00C2640B" w:rsidRPr="006B26C9">
              <w:rPr>
                <w:color w:val="000000" w:themeColor="text1"/>
                <w:lang w:val="en-US"/>
              </w:rPr>
              <w:t>e15</w:t>
            </w:r>
            <w:r w:rsidR="00C2640B">
              <w:rPr>
                <w:color w:val="000000" w:themeColor="text1"/>
                <w:lang w:val="en-US"/>
              </w:rPr>
              <w:t>]</w:t>
            </w: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 xml:space="preserve">Shielded, 7-channel MCG </w:t>
            </w:r>
            <w:r w:rsidRPr="00833DED">
              <w:rPr>
                <w:color w:val="000000" w:themeColor="text1"/>
                <w:lang w:val="en-US"/>
              </w:rPr>
              <w:t>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rFonts w:cs="Calibri"/>
                <w:color w:val="000000" w:themeColor="text1"/>
                <w:lang w:val="en-US"/>
              </w:rPr>
              <w:t xml:space="preserve">Three-parameter index (based on </w:t>
            </w:r>
            <w:r w:rsidRPr="00833DED">
              <w:rPr>
                <w:color w:val="000000" w:themeColor="text1"/>
                <w:lang w:val="en-US"/>
              </w:rPr>
              <w:t xml:space="preserve">ST slope at measurement positions A4 and A6, and the deviation in the MFM orientation) identified by LDA as best </w:t>
            </w:r>
            <w:r w:rsidRPr="00833DED">
              <w:rPr>
                <w:rFonts w:cs="Calibri"/>
                <w:color w:val="000000" w:themeColor="text1"/>
                <w:lang w:val="en-US"/>
              </w:rPr>
              <w:t>discriminant index</w:t>
            </w:r>
          </w:p>
        </w:tc>
        <w:tc>
          <w:tcPr>
            <w:tcW w:w="3827" w:type="dxa"/>
            <w:shd w:val="clear" w:color="auto" w:fill="FFFFFF" w:themeFill="background1"/>
          </w:tcPr>
          <w:p w:rsidR="00F045EB" w:rsidRDefault="00F045EB"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stable CAD and angiographically proven &gt;50% stenosis without previous MI (101)</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 xml:space="preserve">Healthy subjects with normal findings in ECG, echocardiography, and bicycle </w:t>
            </w:r>
            <w:r w:rsidRPr="00833DED">
              <w:rPr>
                <w:i/>
                <w:color w:val="000000" w:themeColor="text1"/>
                <w:lang w:val="en-US"/>
              </w:rPr>
              <w:lastRenderedPageBreak/>
              <w:t>ergometry test, and no history of cardiac symptoms (59)</w:t>
            </w:r>
          </w:p>
        </w:tc>
        <w:tc>
          <w:tcPr>
            <w:tcW w:w="1985" w:type="dxa"/>
            <w:shd w:val="clear" w:color="auto" w:fill="FFFFFF" w:themeFill="background1"/>
          </w:tcPr>
          <w:p w:rsidR="00F045EB" w:rsidRDefault="00F045E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83%/84% (91%)</w:t>
            </w:r>
          </w:p>
        </w:tc>
        <w:tc>
          <w:tcPr>
            <w:tcW w:w="1984"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796AF5"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F4B6A" w:rsidRDefault="007F4B6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On et al. 2007</w:t>
            </w:r>
            <w:r w:rsidR="00C2640B">
              <w:rPr>
                <w:color w:val="000000" w:themeColor="text1"/>
                <w:lang w:val="en-US"/>
              </w:rPr>
              <w:t xml:space="preserve"> [</w:t>
            </w:r>
            <w:r w:rsidR="00C2640B" w:rsidRPr="006B26C9">
              <w:rPr>
                <w:color w:val="000000" w:themeColor="text1"/>
                <w:lang w:val="en-US"/>
              </w:rPr>
              <w:t>e16</w:t>
            </w:r>
            <w:r w:rsidR="00C2640B">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w:t>
            </w:r>
          </w:p>
        </w:tc>
        <w:tc>
          <w:tcPr>
            <w:tcW w:w="3260" w:type="dxa"/>
            <w:shd w:val="clear" w:color="auto" w:fill="FFFFFF" w:themeFill="background1"/>
          </w:tcPr>
          <w:p w:rsidR="00223286" w:rsidRPr="00833DED" w:rsidRDefault="00223286" w:rsidP="005E7FD7">
            <w:pPr>
              <w:autoSpaceDE w:val="0"/>
              <w:autoSpaceDN w:val="0"/>
              <w:adjustRightInd w:val="0"/>
              <w:spacing w:before="120" w:after="0" w:line="240" w:lineRule="auto"/>
              <w:rPr>
                <w:color w:val="000000" w:themeColor="text1"/>
                <w:lang w:val="en-US"/>
              </w:rPr>
            </w:pPr>
            <w:r w:rsidRPr="00833DED">
              <w:rPr>
                <w:color w:val="000000" w:themeColor="text1"/>
                <w:lang w:val="en-US"/>
              </w:rPr>
              <w:t>Sum of the integral values of the QRS (</w:t>
            </w:r>
            <w:proofErr w:type="spellStart"/>
            <w:r w:rsidRPr="00833DED">
              <w:rPr>
                <w:color w:val="000000" w:themeColor="text1"/>
                <w:lang w:val="en-US"/>
              </w:rPr>
              <w:t>QRSi</w:t>
            </w:r>
            <w:proofErr w:type="spellEnd"/>
            <w:r w:rsidRPr="00833DED">
              <w:rPr>
                <w:color w:val="000000" w:themeColor="text1"/>
                <w:lang w:val="en-US"/>
              </w:rPr>
              <w:t>) or JT (</w:t>
            </w:r>
            <w:proofErr w:type="spellStart"/>
            <w:r w:rsidRPr="00833DED">
              <w:rPr>
                <w:color w:val="000000" w:themeColor="text1"/>
                <w:lang w:val="en-US"/>
              </w:rPr>
              <w:t>JTi</w:t>
            </w:r>
            <w:proofErr w:type="spellEnd"/>
            <w:r w:rsidRPr="00833DED">
              <w:rPr>
                <w:color w:val="000000" w:themeColor="text1"/>
                <w:lang w:val="en-US"/>
              </w:rPr>
              <w:t xml:space="preserve">) intervals with </w:t>
            </w:r>
            <w:proofErr w:type="spellStart"/>
            <w:r w:rsidRPr="00833DED">
              <w:rPr>
                <w:color w:val="000000" w:themeColor="text1"/>
                <w:lang w:val="en-US"/>
              </w:rPr>
              <w:t>JTi</w:t>
            </w:r>
            <w:proofErr w:type="spellEnd"/>
            <w:r w:rsidRPr="00833DED">
              <w:rPr>
                <w:color w:val="000000" w:themeColor="text1"/>
                <w:lang w:val="en-US"/>
              </w:rPr>
              <w:t>/</w:t>
            </w:r>
            <w:proofErr w:type="spellStart"/>
            <w:r w:rsidRPr="00833DED">
              <w:rPr>
                <w:color w:val="000000" w:themeColor="text1"/>
                <w:lang w:val="en-US"/>
              </w:rPr>
              <w:t>QRSi</w:t>
            </w:r>
            <w:proofErr w:type="spellEnd"/>
            <w:r w:rsidRPr="00833DED">
              <w:rPr>
                <w:color w:val="000000" w:themeColor="text1"/>
                <w:lang w:val="en-US"/>
              </w:rPr>
              <w:t xml:space="preserve"> &lt;1.0 prespecified as discriminant</w:t>
            </w:r>
          </w:p>
        </w:tc>
        <w:tc>
          <w:tcPr>
            <w:tcW w:w="3827" w:type="dxa"/>
            <w:shd w:val="clear" w:color="auto" w:fill="FFFFFF" w:themeFill="background1"/>
          </w:tcPr>
          <w:p w:rsidR="00F045EB" w:rsidRDefault="00F045EB"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angina pectoris and angiographically proven &gt;75% stenosis of a vessel (14) with no (11) or previous (3) MI</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volunteers (30)</w:t>
            </w:r>
          </w:p>
        </w:tc>
        <w:tc>
          <w:tcPr>
            <w:tcW w:w="1985" w:type="dxa"/>
            <w:shd w:val="clear" w:color="auto" w:fill="FFFFFF" w:themeFill="background1"/>
          </w:tcPr>
          <w:p w:rsidR="00F045EB" w:rsidRDefault="00F045E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80%/71%</w:t>
            </w:r>
          </w:p>
        </w:tc>
        <w:tc>
          <w:tcPr>
            <w:tcW w:w="1984"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796AF5"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F4B6A" w:rsidRDefault="007F4B6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BF21C9" w:rsidRPr="0037163C" w:rsidTr="00BF21C9">
        <w:tc>
          <w:tcPr>
            <w:tcW w:w="2235" w:type="dxa"/>
            <w:shd w:val="clear" w:color="auto" w:fill="FFFFFF" w:themeFill="background1"/>
          </w:tcPr>
          <w:p w:rsidR="00BF21C9" w:rsidRPr="0037163C" w:rsidRDefault="00BF21C9" w:rsidP="00BF21C9">
            <w:pPr>
              <w:spacing w:before="120" w:after="0" w:line="240" w:lineRule="auto"/>
              <w:rPr>
                <w:rFonts w:cs="Calibri"/>
                <w:lang w:val="en-US"/>
              </w:rPr>
            </w:pPr>
            <w:r w:rsidRPr="0037163C">
              <w:rPr>
                <w:rFonts w:cs="Calibri"/>
                <w:lang w:val="en-US"/>
              </w:rPr>
              <w:t>Park 2008</w:t>
            </w:r>
            <w:r w:rsidR="00C2640B">
              <w:rPr>
                <w:rFonts w:cs="Calibri"/>
                <w:lang w:val="en-US"/>
              </w:rPr>
              <w:t xml:space="preserve"> [</w:t>
            </w:r>
            <w:r w:rsidR="00C2640B" w:rsidRPr="006B26C9">
              <w:rPr>
                <w:rFonts w:cs="Calibri"/>
                <w:lang w:val="en-US"/>
              </w:rPr>
              <w:t>e18</w:t>
            </w:r>
            <w:r w:rsidR="00C2640B">
              <w:rPr>
                <w:rFonts w:cs="Calibri"/>
                <w:lang w:val="en-US"/>
              </w:rPr>
              <w:t>]</w:t>
            </w:r>
          </w:p>
          <w:p w:rsidR="00BF21C9" w:rsidRPr="0037163C" w:rsidRDefault="00BF21C9" w:rsidP="00BF21C9">
            <w:pPr>
              <w:spacing w:before="120" w:after="0" w:line="240" w:lineRule="auto"/>
              <w:rPr>
                <w:lang w:val="en-US"/>
              </w:rPr>
            </w:pPr>
            <w:r w:rsidRPr="0037163C">
              <w:rPr>
                <w:rFonts w:cs="Calibri"/>
                <w:lang w:val="en-US"/>
              </w:rPr>
              <w:t xml:space="preserve">Shielded, 55-channel MCG conducted at rest and under dobutamine stress, with ischemia determined based on the current distribution at </w:t>
            </w:r>
            <w:proofErr w:type="spellStart"/>
            <w:r w:rsidRPr="0037163C">
              <w:rPr>
                <w:rFonts w:cs="Calibri"/>
                <w:lang w:val="en-US"/>
              </w:rPr>
              <w:t>QRS</w:t>
            </w:r>
            <w:r w:rsidRPr="0037163C">
              <w:rPr>
                <w:rFonts w:cs="Calibri"/>
                <w:vertAlign w:val="subscript"/>
                <w:lang w:val="en-US"/>
              </w:rPr>
              <w:t>max</w:t>
            </w:r>
            <w:proofErr w:type="spellEnd"/>
          </w:p>
        </w:tc>
        <w:tc>
          <w:tcPr>
            <w:tcW w:w="3260" w:type="dxa"/>
            <w:shd w:val="clear" w:color="auto" w:fill="FFFFFF" w:themeFill="background1"/>
          </w:tcPr>
          <w:p w:rsidR="00BF21C9" w:rsidRPr="0037163C" w:rsidRDefault="00D86C0B" w:rsidP="005E7FD7">
            <w:pPr>
              <w:spacing w:before="120" w:after="0" w:line="240" w:lineRule="auto"/>
              <w:rPr>
                <w:lang w:val="en-US"/>
              </w:rPr>
            </w:pPr>
            <w:r w:rsidRPr="0037163C">
              <w:rPr>
                <w:lang w:val="en-US"/>
              </w:rPr>
              <w:t xml:space="preserve">Reduction of epicardial current density and strength at </w:t>
            </w:r>
            <w:proofErr w:type="spellStart"/>
            <w:r w:rsidRPr="0037163C">
              <w:rPr>
                <w:lang w:val="en-US"/>
              </w:rPr>
              <w:t>QRS</w:t>
            </w:r>
            <w:r w:rsidRPr="0037163C">
              <w:rPr>
                <w:vertAlign w:val="subscript"/>
                <w:lang w:val="en-US"/>
              </w:rPr>
              <w:t>max</w:t>
            </w:r>
            <w:proofErr w:type="spellEnd"/>
            <w:r w:rsidRPr="0037163C">
              <w:rPr>
                <w:lang w:val="en-US"/>
              </w:rPr>
              <w:t xml:space="preserve"> between rest and stress used as diagnostic for ischemia</w:t>
            </w:r>
          </w:p>
        </w:tc>
        <w:tc>
          <w:tcPr>
            <w:tcW w:w="3827" w:type="dxa"/>
            <w:shd w:val="clear" w:color="auto" w:fill="FFFFFF" w:themeFill="background1"/>
          </w:tcPr>
          <w:p w:rsidR="00BF21C9" w:rsidRPr="0037163C" w:rsidRDefault="00BF21C9" w:rsidP="00BF21C9">
            <w:pPr>
              <w:spacing w:before="120" w:after="0" w:line="240" w:lineRule="auto"/>
              <w:rPr>
                <w:lang w:val="en-US"/>
              </w:rPr>
            </w:pPr>
            <w:r w:rsidRPr="0037163C">
              <w:rPr>
                <w:lang w:val="en-US"/>
              </w:rPr>
              <w:t>Functional ischemia</w:t>
            </w:r>
          </w:p>
          <w:p w:rsidR="00BF21C9" w:rsidRPr="0037163C" w:rsidRDefault="00BF21C9" w:rsidP="00BF21C9">
            <w:pPr>
              <w:spacing w:before="120" w:after="0" w:line="240" w:lineRule="auto"/>
              <w:rPr>
                <w:lang w:val="en-US"/>
              </w:rPr>
            </w:pPr>
            <w:r w:rsidRPr="0037163C">
              <w:rPr>
                <w:lang w:val="en-US"/>
              </w:rPr>
              <w:t>Patients with angiographically proven obstructive CAD (42)</w:t>
            </w:r>
          </w:p>
          <w:p w:rsidR="00BF21C9" w:rsidRPr="0037163C" w:rsidRDefault="00BF21C9" w:rsidP="00BF21C9">
            <w:pPr>
              <w:spacing w:before="120" w:after="0" w:line="240" w:lineRule="auto"/>
              <w:ind w:left="4"/>
              <w:rPr>
                <w:lang w:val="en-US"/>
              </w:rPr>
            </w:pPr>
            <w:r w:rsidRPr="0037163C">
              <w:rPr>
                <w:lang w:val="en-US"/>
              </w:rPr>
              <w:t>Patients with suspected CAD with angiographically proven non-obstructive CAD (58)</w:t>
            </w:r>
          </w:p>
        </w:tc>
        <w:tc>
          <w:tcPr>
            <w:tcW w:w="1985" w:type="dxa"/>
            <w:shd w:val="clear" w:color="auto" w:fill="FFFFFF" w:themeFill="background1"/>
          </w:tcPr>
          <w:p w:rsidR="00BF21C9" w:rsidRPr="0037163C" w:rsidRDefault="00BF21C9" w:rsidP="00BF21C9">
            <w:pPr>
              <w:spacing w:before="120" w:after="0" w:line="240" w:lineRule="auto"/>
              <w:jc w:val="center"/>
              <w:rPr>
                <w:rFonts w:cs="Calibri"/>
                <w:lang w:val="en-US"/>
              </w:rPr>
            </w:pPr>
          </w:p>
          <w:p w:rsidR="00BF21C9" w:rsidRPr="0037163C" w:rsidRDefault="00BF21C9" w:rsidP="00BF21C9">
            <w:pPr>
              <w:spacing w:before="120" w:after="0" w:line="240" w:lineRule="auto"/>
              <w:jc w:val="center"/>
              <w:rPr>
                <w:rFonts w:cs="Calibri"/>
                <w:lang w:val="en-US"/>
              </w:rPr>
            </w:pPr>
            <w:r w:rsidRPr="0037163C">
              <w:rPr>
                <w:rFonts w:cs="Calibri"/>
                <w:lang w:val="en-US"/>
              </w:rPr>
              <w:t>82.8%/97.6%</w:t>
            </w:r>
          </w:p>
        </w:tc>
        <w:tc>
          <w:tcPr>
            <w:tcW w:w="1984" w:type="dxa"/>
            <w:shd w:val="clear" w:color="auto" w:fill="FFFFFF" w:themeFill="background1"/>
          </w:tcPr>
          <w:p w:rsidR="00BF21C9" w:rsidRPr="0037163C" w:rsidRDefault="00BF21C9" w:rsidP="00BF21C9">
            <w:pPr>
              <w:spacing w:before="120" w:after="0" w:line="240" w:lineRule="auto"/>
              <w:jc w:val="center"/>
              <w:rPr>
                <w:rFonts w:cs="Calibri"/>
                <w:lang w:val="en-US"/>
              </w:rPr>
            </w:pPr>
          </w:p>
          <w:p w:rsidR="00BF21C9" w:rsidRPr="0037163C" w:rsidRDefault="00BF21C9" w:rsidP="00BF21C9">
            <w:pPr>
              <w:spacing w:before="120" w:after="0" w:line="240" w:lineRule="auto"/>
              <w:jc w:val="center"/>
              <w:rPr>
                <w:rFonts w:cs="Calibri"/>
                <w:lang w:val="en-US"/>
              </w:rPr>
            </w:pPr>
            <w:r w:rsidRPr="0037163C">
              <w:rPr>
                <w:rFonts w:cs="Calibri"/>
                <w:lang w:val="en-US"/>
              </w:rPr>
              <w:t>80.4%/98.0%</w:t>
            </w:r>
          </w:p>
        </w:tc>
        <w:tc>
          <w:tcPr>
            <w:tcW w:w="1451" w:type="dxa"/>
            <w:gridSpan w:val="2"/>
            <w:shd w:val="clear" w:color="auto" w:fill="FFFFFF" w:themeFill="background1"/>
          </w:tcPr>
          <w:p w:rsidR="00BF21C9" w:rsidRPr="0037163C" w:rsidRDefault="00BF21C9" w:rsidP="005E7FD7">
            <w:pPr>
              <w:spacing w:before="120" w:after="0" w:line="240" w:lineRule="auto"/>
              <w:rPr>
                <w:rFonts w:cs="Calibri"/>
                <w:lang w:val="en-US"/>
              </w:rPr>
            </w:pPr>
          </w:p>
          <w:p w:rsidR="00BF21C9" w:rsidRPr="0037163C" w:rsidRDefault="00BF21C9" w:rsidP="005E7FD7">
            <w:pPr>
              <w:spacing w:before="120" w:after="0" w:line="240" w:lineRule="auto"/>
              <w:rPr>
                <w:rFonts w:cs="Calibri"/>
                <w:lang w:val="en-US"/>
              </w:rPr>
            </w:pPr>
            <w:r w:rsidRPr="0037163C">
              <w:rPr>
                <w:rFonts w:cs="Calibri"/>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Wu et al. 2008</w:t>
            </w:r>
            <w:r w:rsidR="00C2640B">
              <w:rPr>
                <w:color w:val="000000" w:themeColor="text1"/>
                <w:lang w:val="en-US"/>
              </w:rPr>
              <w:t xml:space="preserve"> [</w:t>
            </w:r>
            <w:r w:rsidR="00C2640B" w:rsidRPr="006B26C9">
              <w:rPr>
                <w:color w:val="000000" w:themeColor="text1"/>
                <w:lang w:val="en-US"/>
              </w:rPr>
              <w:t>e20</w:t>
            </w:r>
            <w:r w:rsidR="00C2640B">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Peak in the time-dependent area ratio of T wave propagation identified as best discriminant</w:t>
            </w:r>
          </w:p>
        </w:tc>
        <w:tc>
          <w:tcPr>
            <w:tcW w:w="3827" w:type="dxa"/>
            <w:shd w:val="clear" w:color="auto" w:fill="FFFFFF" w:themeFill="background1"/>
          </w:tcPr>
          <w:p w:rsidR="007F4B6A" w:rsidRDefault="007F4B6A"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CAD and angiographically proven &gt;50% stenosis of a vessel (51)</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volunteers and subjects with angiographically proven non-obstructive CAD (40)</w:t>
            </w:r>
          </w:p>
        </w:tc>
        <w:tc>
          <w:tcPr>
            <w:tcW w:w="1985"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70%/74.5%</w:t>
            </w:r>
          </w:p>
        </w:tc>
        <w:tc>
          <w:tcPr>
            <w:tcW w:w="1984" w:type="dxa"/>
            <w:shd w:val="clear" w:color="auto" w:fill="FFFFFF" w:themeFill="background1"/>
          </w:tcPr>
          <w:p w:rsidR="007F4B6A" w:rsidRDefault="007F4B6A" w:rsidP="005E7FD7">
            <w:pPr>
              <w:spacing w:before="120" w:after="0" w:line="240" w:lineRule="auto"/>
              <w:jc w:val="center"/>
              <w:rPr>
                <w:rFonts w:cs="Calibri"/>
                <w:color w:val="000000" w:themeColor="text1"/>
                <w:lang w:val="en-US"/>
              </w:rPr>
            </w:pPr>
          </w:p>
          <w:p w:rsidR="00223286" w:rsidRPr="00833DED" w:rsidRDefault="00796AF5"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F4B6A" w:rsidRDefault="007F4B6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rFonts w:cs="Calibri"/>
                <w:color w:val="000000" w:themeColor="text1"/>
                <w:lang w:val="en-US"/>
              </w:rPr>
            </w:pPr>
            <w:proofErr w:type="spellStart"/>
            <w:r>
              <w:rPr>
                <w:rFonts w:cs="Calibri"/>
                <w:color w:val="000000" w:themeColor="text1"/>
                <w:lang w:val="en-US"/>
              </w:rPr>
              <w:t>Goernig</w:t>
            </w:r>
            <w:proofErr w:type="spellEnd"/>
            <w:r>
              <w:rPr>
                <w:rFonts w:cs="Calibri"/>
                <w:color w:val="000000" w:themeColor="text1"/>
                <w:lang w:val="en-US"/>
              </w:rPr>
              <w:t xml:space="preserve"> et al. 2009</w:t>
            </w:r>
            <w:r w:rsidR="00C2640B">
              <w:rPr>
                <w:rFonts w:cs="Calibri"/>
                <w:color w:val="000000" w:themeColor="text1"/>
                <w:lang w:val="en-US"/>
              </w:rPr>
              <w:t xml:space="preserve"> [</w:t>
            </w:r>
            <w:r w:rsidR="00C2640B" w:rsidRPr="006B26C9">
              <w:rPr>
                <w:rFonts w:cs="Calibri"/>
                <w:color w:val="000000" w:themeColor="text1"/>
                <w:lang w:val="en-US"/>
              </w:rPr>
              <w:t>e21</w:t>
            </w:r>
            <w:r w:rsidR="00C2640B">
              <w:rPr>
                <w:rFonts w:cs="Calibri"/>
                <w:color w:val="000000" w:themeColor="text1"/>
                <w:lang w:val="en-US"/>
              </w:rPr>
              <w:t>]</w:t>
            </w:r>
          </w:p>
          <w:p w:rsidR="00223286" w:rsidRPr="00DF6920" w:rsidRDefault="00223286" w:rsidP="005E7FD7">
            <w:pPr>
              <w:spacing w:before="120" w:after="0" w:line="240" w:lineRule="auto"/>
              <w:rPr>
                <w:rFonts w:cs="Calibri"/>
                <w:color w:val="000000" w:themeColor="text1"/>
                <w:lang w:val="en-US"/>
              </w:rPr>
            </w:pPr>
            <w:r w:rsidRPr="00DF6920">
              <w:rPr>
                <w:rFonts w:cs="Calibri"/>
                <w:color w:val="000000" w:themeColor="text1"/>
                <w:lang w:val="en-US"/>
              </w:rPr>
              <w:lastRenderedPageBreak/>
              <w:t xml:space="preserve">Shielded, </w:t>
            </w:r>
            <w:r w:rsidR="00DF6920">
              <w:rPr>
                <w:rFonts w:cs="Calibri"/>
                <w:color w:val="000000" w:themeColor="text1"/>
                <w:lang w:val="en-US"/>
              </w:rPr>
              <w:t>31-</w:t>
            </w:r>
            <w:r w:rsidR="00796AF5">
              <w:rPr>
                <w:rFonts w:cs="Calibri"/>
                <w:color w:val="000000" w:themeColor="text1"/>
                <w:lang w:val="en-US"/>
              </w:rPr>
              <w:t>channel</w:t>
            </w:r>
            <w:r w:rsidRPr="00DF6920">
              <w:rPr>
                <w:rFonts w:cs="Calibri"/>
                <w:color w:val="000000" w:themeColor="text1"/>
                <w:lang w:val="en-US"/>
              </w:rPr>
              <w:t xml:space="preserve"> MCG </w:t>
            </w:r>
            <w:r w:rsidRPr="00DF6920">
              <w:rPr>
                <w:color w:val="000000" w:themeColor="text1"/>
                <w:lang w:val="en-US"/>
              </w:rPr>
              <w:t>at rest</w:t>
            </w:r>
          </w:p>
        </w:tc>
        <w:tc>
          <w:tcPr>
            <w:tcW w:w="3260" w:type="dxa"/>
            <w:shd w:val="clear" w:color="auto" w:fill="FFFFFF" w:themeFill="background1"/>
          </w:tcPr>
          <w:p w:rsidR="00223286" w:rsidRPr="00DF6920" w:rsidRDefault="00223286" w:rsidP="005E7FD7">
            <w:pPr>
              <w:spacing w:before="120" w:after="0" w:line="240" w:lineRule="auto"/>
              <w:rPr>
                <w:color w:val="000000" w:themeColor="text1"/>
                <w:lang w:val="en-US"/>
              </w:rPr>
            </w:pPr>
            <w:r w:rsidRPr="00DF6920">
              <w:rPr>
                <w:color w:val="000000" w:themeColor="text1"/>
                <w:lang w:val="en-US"/>
              </w:rPr>
              <w:lastRenderedPageBreak/>
              <w:t>Spatiotemporal corr</w:t>
            </w:r>
            <w:r w:rsidR="00B7326C" w:rsidRPr="00DF6920">
              <w:rPr>
                <w:color w:val="000000" w:themeColor="text1"/>
                <w:lang w:val="en-US"/>
              </w:rPr>
              <w:t>elation</w:t>
            </w:r>
            <w:r w:rsidRPr="00DF6920">
              <w:rPr>
                <w:color w:val="000000" w:themeColor="text1"/>
                <w:lang w:val="en-US"/>
              </w:rPr>
              <w:t xml:space="preserve"> analysis of 11 MCG parameters. Analysis combining three </w:t>
            </w:r>
            <w:r w:rsidRPr="00DF6920">
              <w:rPr>
                <w:color w:val="000000" w:themeColor="text1"/>
                <w:lang w:val="en-US"/>
              </w:rPr>
              <w:lastRenderedPageBreak/>
              <w:t xml:space="preserve">parameters (mean value </w:t>
            </w:r>
            <w:r w:rsidR="00DF6920" w:rsidRPr="00DF6920">
              <w:rPr>
                <w:color w:val="000000" w:themeColor="text1"/>
                <w:lang w:val="en-US"/>
              </w:rPr>
              <w:t xml:space="preserve">correlation </w:t>
            </w:r>
            <w:r w:rsidRPr="00DF6920">
              <w:rPr>
                <w:color w:val="000000" w:themeColor="text1"/>
                <w:lang w:val="en-US"/>
              </w:rPr>
              <w:t xml:space="preserve">QRS at T, STDEV </w:t>
            </w:r>
            <w:r w:rsidR="00DF6920" w:rsidRPr="00DF6920">
              <w:rPr>
                <w:color w:val="000000" w:themeColor="text1"/>
                <w:lang w:val="en-US"/>
              </w:rPr>
              <w:t xml:space="preserve">correlation </w:t>
            </w:r>
            <w:r w:rsidRPr="00DF6920">
              <w:rPr>
                <w:color w:val="000000" w:themeColor="text1"/>
                <w:lang w:val="en-US"/>
              </w:rPr>
              <w:t>T at QRS and QRS form) was</w:t>
            </w:r>
            <w:r w:rsidR="00DF6920">
              <w:rPr>
                <w:color w:val="000000" w:themeColor="text1"/>
                <w:lang w:val="en-US"/>
              </w:rPr>
              <w:t xml:space="preserve"> identified as</w:t>
            </w:r>
            <w:r w:rsidRPr="00DF6920">
              <w:rPr>
                <w:color w:val="000000" w:themeColor="text1"/>
                <w:lang w:val="en-US"/>
              </w:rPr>
              <w:t xml:space="preserve"> best discriminant</w:t>
            </w:r>
          </w:p>
        </w:tc>
        <w:tc>
          <w:tcPr>
            <w:tcW w:w="3827" w:type="dxa"/>
            <w:shd w:val="clear" w:color="auto" w:fill="FFFFFF" w:themeFill="background1"/>
          </w:tcPr>
          <w:p w:rsidR="00B7326C" w:rsidRPr="00DF6920" w:rsidRDefault="00B7326C" w:rsidP="005E7FD7">
            <w:pPr>
              <w:spacing w:before="120" w:after="0" w:line="240" w:lineRule="auto"/>
              <w:rPr>
                <w:color w:val="000000" w:themeColor="text1"/>
                <w:lang w:val="en-US"/>
              </w:rPr>
            </w:pPr>
            <w:r w:rsidRPr="00DF6920">
              <w:rPr>
                <w:color w:val="000000" w:themeColor="text1"/>
                <w:lang w:val="en-US"/>
              </w:rPr>
              <w:lastRenderedPageBreak/>
              <w:t>Anatomic CAD</w:t>
            </w:r>
          </w:p>
          <w:p w:rsidR="00223286" w:rsidRPr="00DF6920" w:rsidRDefault="00223286" w:rsidP="005E7FD7">
            <w:pPr>
              <w:spacing w:before="120" w:after="0" w:line="240" w:lineRule="auto"/>
              <w:rPr>
                <w:rFonts w:cs="Calibri"/>
                <w:color w:val="000000" w:themeColor="text1"/>
                <w:lang w:val="en-US"/>
              </w:rPr>
            </w:pPr>
            <w:r w:rsidRPr="00DF6920">
              <w:rPr>
                <w:color w:val="000000" w:themeColor="text1"/>
                <w:lang w:val="en-US"/>
              </w:rPr>
              <w:lastRenderedPageBreak/>
              <w:t xml:space="preserve">Patients who suffered MI 16–64 (mean 28) days earlier with angiographically proven &gt;70% stenosis </w:t>
            </w:r>
            <w:r w:rsidRPr="00DF6920">
              <w:rPr>
                <w:rFonts w:cs="Calibri"/>
                <w:color w:val="000000" w:themeColor="text1"/>
                <w:lang w:val="en-US"/>
              </w:rPr>
              <w:t>(108)</w:t>
            </w:r>
          </w:p>
          <w:p w:rsidR="00223286" w:rsidRPr="00DF6920" w:rsidRDefault="00223286" w:rsidP="005E7FD7">
            <w:pPr>
              <w:spacing w:before="120" w:after="0" w:line="240" w:lineRule="auto"/>
              <w:rPr>
                <w:rFonts w:cs="Calibri"/>
                <w:i/>
                <w:color w:val="000000" w:themeColor="text1"/>
                <w:lang w:val="en-US"/>
              </w:rPr>
            </w:pPr>
            <w:r w:rsidRPr="00DF6920">
              <w:rPr>
                <w:i/>
                <w:color w:val="000000" w:themeColor="text1"/>
                <w:lang w:val="en-US"/>
              </w:rPr>
              <w:t>Subjects without known CAD and with echocardiographic proven normal LVEF</w:t>
            </w:r>
            <w:r w:rsidRPr="00DF6920">
              <w:rPr>
                <w:color w:val="000000" w:themeColor="text1"/>
                <w:lang w:val="en-US"/>
              </w:rPr>
              <w:t xml:space="preserve"> </w:t>
            </w:r>
            <w:r w:rsidRPr="00DF6920">
              <w:rPr>
                <w:rFonts w:cs="Calibri"/>
                <w:i/>
                <w:color w:val="000000" w:themeColor="text1"/>
                <w:lang w:val="en-US"/>
              </w:rPr>
              <w:t>(70)</w:t>
            </w:r>
          </w:p>
        </w:tc>
        <w:tc>
          <w:tcPr>
            <w:tcW w:w="1985" w:type="dxa"/>
            <w:shd w:val="clear" w:color="auto" w:fill="FFFFFF" w:themeFill="background1"/>
          </w:tcPr>
          <w:p w:rsidR="00B7326C" w:rsidRPr="00DF6920" w:rsidRDefault="00B7326C" w:rsidP="005E7FD7">
            <w:pPr>
              <w:spacing w:before="120" w:after="0" w:line="240" w:lineRule="auto"/>
              <w:jc w:val="center"/>
              <w:rPr>
                <w:rFonts w:cs="Calibri"/>
                <w:color w:val="000000" w:themeColor="text1"/>
                <w:lang w:val="en-US"/>
              </w:rPr>
            </w:pPr>
          </w:p>
          <w:p w:rsidR="00223286" w:rsidRPr="00DF6920" w:rsidRDefault="00223286" w:rsidP="005E7FD7">
            <w:pPr>
              <w:spacing w:before="120" w:after="0" w:line="240" w:lineRule="auto"/>
              <w:jc w:val="center"/>
              <w:rPr>
                <w:rFonts w:cs="Calibri"/>
                <w:color w:val="000000" w:themeColor="text1"/>
                <w:lang w:val="en-US"/>
              </w:rPr>
            </w:pPr>
            <w:r w:rsidRPr="00DF6920">
              <w:rPr>
                <w:rFonts w:cs="Calibri"/>
                <w:color w:val="000000" w:themeColor="text1"/>
                <w:lang w:val="en-US"/>
              </w:rPr>
              <w:lastRenderedPageBreak/>
              <w:t>64%/72.6%</w:t>
            </w:r>
            <w:r w:rsidRPr="00DF6920">
              <w:rPr>
                <w:rFonts w:cs="Calibri"/>
                <w:color w:val="000000" w:themeColor="text1"/>
                <w:lang w:val="en-US"/>
              </w:rPr>
              <w:br/>
            </w:r>
          </w:p>
          <w:p w:rsidR="00223286" w:rsidRPr="00DF6920" w:rsidRDefault="00223286" w:rsidP="005E7FD7">
            <w:pPr>
              <w:spacing w:before="120" w:after="0" w:line="240" w:lineRule="auto"/>
              <w:jc w:val="center"/>
              <w:rPr>
                <w:rFonts w:cs="Calibri"/>
                <w:color w:val="000000" w:themeColor="text1"/>
                <w:lang w:val="en-US"/>
              </w:rPr>
            </w:pPr>
          </w:p>
          <w:p w:rsidR="00223286" w:rsidRPr="00DF6920" w:rsidRDefault="00223286" w:rsidP="005E7FD7">
            <w:pPr>
              <w:spacing w:before="120" w:after="0" w:line="240" w:lineRule="auto"/>
              <w:jc w:val="center"/>
              <w:rPr>
                <w:rFonts w:cs="Calibri"/>
                <w:color w:val="000000" w:themeColor="text1"/>
                <w:lang w:val="en-US"/>
              </w:rPr>
            </w:pPr>
          </w:p>
        </w:tc>
        <w:tc>
          <w:tcPr>
            <w:tcW w:w="1984" w:type="dxa"/>
            <w:shd w:val="clear" w:color="auto" w:fill="FFFFFF" w:themeFill="background1"/>
          </w:tcPr>
          <w:p w:rsidR="00B7326C" w:rsidRPr="00DF6920" w:rsidRDefault="00B7326C" w:rsidP="005E7FD7">
            <w:pPr>
              <w:spacing w:before="120" w:after="0" w:line="240" w:lineRule="auto"/>
              <w:jc w:val="center"/>
              <w:rPr>
                <w:rFonts w:cs="Calibri"/>
                <w:color w:val="000000" w:themeColor="text1"/>
                <w:lang w:val="en-US"/>
              </w:rPr>
            </w:pPr>
          </w:p>
          <w:p w:rsidR="00223286" w:rsidRPr="00833DED" w:rsidRDefault="00E02B4C" w:rsidP="005E7FD7">
            <w:pPr>
              <w:spacing w:before="120" w:after="0" w:line="240" w:lineRule="auto"/>
              <w:jc w:val="center"/>
              <w:rPr>
                <w:rFonts w:cs="Calibri"/>
                <w:color w:val="000000" w:themeColor="text1"/>
                <w:lang w:val="en-US"/>
              </w:rPr>
            </w:pPr>
            <w:r>
              <w:rPr>
                <w:rFonts w:cs="Calibri"/>
                <w:color w:val="000000" w:themeColor="text1"/>
                <w:lang w:val="en-US"/>
              </w:rPr>
              <w:t>8</w:t>
            </w:r>
            <w:r w:rsidR="00223286" w:rsidRPr="00DF6920">
              <w:rPr>
                <w:rFonts w:cs="Calibri"/>
                <w:color w:val="000000" w:themeColor="text1"/>
                <w:lang w:val="en-US"/>
              </w:rPr>
              <w:t>6.4%/73.4%</w:t>
            </w:r>
          </w:p>
        </w:tc>
        <w:tc>
          <w:tcPr>
            <w:tcW w:w="1451" w:type="dxa"/>
            <w:gridSpan w:val="2"/>
            <w:shd w:val="clear" w:color="auto" w:fill="FFFFFF" w:themeFill="background1"/>
          </w:tcPr>
          <w:p w:rsidR="00223286" w:rsidRDefault="00223286" w:rsidP="005E7FD7">
            <w:pPr>
              <w:spacing w:before="120" w:after="0" w:line="240" w:lineRule="auto"/>
              <w:rPr>
                <w:rFonts w:cs="Calibri"/>
                <w:color w:val="000000" w:themeColor="text1"/>
                <w:lang w:val="en-US"/>
              </w:rPr>
            </w:pPr>
          </w:p>
          <w:p w:rsidR="00B7326C" w:rsidRPr="00833DED" w:rsidRDefault="00E02B4C" w:rsidP="005E7FD7">
            <w:pPr>
              <w:spacing w:before="120" w:after="0" w:line="240" w:lineRule="auto"/>
              <w:rPr>
                <w:rFonts w:cs="Calibri"/>
                <w:color w:val="000000" w:themeColor="text1"/>
                <w:lang w:val="en-US"/>
              </w:rPr>
            </w:pPr>
            <w:r>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rFonts w:cs="Calibri"/>
                <w:color w:val="000000" w:themeColor="text1"/>
                <w:lang w:val="en-US"/>
              </w:rPr>
            </w:pPr>
            <w:proofErr w:type="spellStart"/>
            <w:r>
              <w:rPr>
                <w:rFonts w:cs="Calibri"/>
                <w:color w:val="000000" w:themeColor="text1"/>
                <w:lang w:val="en-US"/>
              </w:rPr>
              <w:t>Gapelyuk</w:t>
            </w:r>
            <w:proofErr w:type="spellEnd"/>
            <w:r>
              <w:rPr>
                <w:rFonts w:cs="Calibri"/>
                <w:color w:val="000000" w:themeColor="text1"/>
                <w:lang w:val="en-US"/>
              </w:rPr>
              <w:t xml:space="preserve"> et al. 2010</w:t>
            </w:r>
            <w:r w:rsidR="00C2640B">
              <w:rPr>
                <w:rFonts w:cs="Calibri"/>
                <w:color w:val="000000" w:themeColor="text1"/>
                <w:lang w:val="en-US"/>
              </w:rPr>
              <w:t xml:space="preserve"> [</w:t>
            </w:r>
            <w:r w:rsidR="00C2640B" w:rsidRPr="009F3D18">
              <w:rPr>
                <w:rFonts w:cs="Calibri"/>
                <w:color w:val="000000" w:themeColor="text1"/>
                <w:lang w:val="en-US"/>
              </w:rPr>
              <w:t>e22</w:t>
            </w:r>
            <w:r w:rsidR="00C2640B">
              <w:rPr>
                <w:rFonts w:cs="Calibri"/>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rFonts w:cs="Calibri"/>
                <w:color w:val="000000" w:themeColor="text1"/>
                <w:lang w:val="en-US"/>
              </w:rPr>
              <w:t>Shielded, 7-channel MCG</w:t>
            </w:r>
            <w:r w:rsidRPr="00833DED">
              <w:rPr>
                <w:color w:val="000000" w:themeColor="text1"/>
                <w:lang w:val="en-US"/>
              </w:rPr>
              <w:t xml:space="preserve">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Combination of </w:t>
            </w:r>
            <w:proofErr w:type="spellStart"/>
            <w:r w:rsidRPr="00833DED">
              <w:rPr>
                <w:color w:val="000000" w:themeColor="text1"/>
                <w:lang w:val="en-US"/>
              </w:rPr>
              <w:t>Kullback-Leibler</w:t>
            </w:r>
            <w:proofErr w:type="spellEnd"/>
            <w:r w:rsidRPr="00833DED">
              <w:rPr>
                <w:color w:val="000000" w:themeColor="text1"/>
                <w:lang w:val="en-US"/>
              </w:rPr>
              <w:t xml:space="preserve"> entropy at ST-T and normalized residual magnetic field strength at QRS selected as best </w:t>
            </w:r>
            <w:r w:rsidRPr="00833DED">
              <w:rPr>
                <w:rFonts w:cs="Calibri"/>
                <w:color w:val="000000" w:themeColor="text1"/>
                <w:lang w:val="en-US"/>
              </w:rPr>
              <w:t>discriminant index</w:t>
            </w:r>
          </w:p>
        </w:tc>
        <w:tc>
          <w:tcPr>
            <w:tcW w:w="3827" w:type="dxa"/>
            <w:shd w:val="clear" w:color="auto" w:fill="FFFFFF" w:themeFill="background1"/>
          </w:tcPr>
          <w:p w:rsidR="0002174B" w:rsidRDefault="0002174B"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symptomatic stable CAD and angiographically proven &gt;50% stenosis in main coronary arteries without previous MI (101)</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with normal findings in ECG, echocardiography, and bicycle ergometry test, and no history of cardiac symptoms (59)</w:t>
            </w:r>
          </w:p>
        </w:tc>
        <w:tc>
          <w:tcPr>
            <w:tcW w:w="1985" w:type="dxa"/>
            <w:shd w:val="clear" w:color="auto" w:fill="FFFFFF" w:themeFill="background1"/>
          </w:tcPr>
          <w:p w:rsidR="0002174B" w:rsidRDefault="0002174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88%/88% (94%)</w:t>
            </w:r>
          </w:p>
        </w:tc>
        <w:tc>
          <w:tcPr>
            <w:tcW w:w="1984" w:type="dxa"/>
            <w:shd w:val="clear" w:color="auto" w:fill="FFFFFF" w:themeFill="background1"/>
          </w:tcPr>
          <w:p w:rsidR="0002174B" w:rsidRDefault="0002174B" w:rsidP="005E7FD7">
            <w:pPr>
              <w:spacing w:before="120" w:after="0" w:line="240" w:lineRule="auto"/>
              <w:jc w:val="center"/>
              <w:rPr>
                <w:rFonts w:cs="Calibri"/>
                <w:color w:val="000000" w:themeColor="text1"/>
                <w:lang w:val="en-US"/>
              </w:rPr>
            </w:pPr>
          </w:p>
          <w:p w:rsidR="00223286" w:rsidRPr="00833DED" w:rsidRDefault="00C040BE"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02174B" w:rsidRDefault="0002174B"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F3448E">
        <w:tc>
          <w:tcPr>
            <w:tcW w:w="2235" w:type="dxa"/>
            <w:shd w:val="clear" w:color="auto" w:fill="FFFFFF" w:themeFill="background1"/>
          </w:tcPr>
          <w:p w:rsidR="007B43B9" w:rsidRDefault="00C040BE" w:rsidP="005E7FD7">
            <w:pPr>
              <w:spacing w:before="120" w:after="0" w:line="240" w:lineRule="auto"/>
              <w:rPr>
                <w:color w:val="000000" w:themeColor="text1"/>
                <w:lang w:val="en-US"/>
              </w:rPr>
            </w:pPr>
            <w:r>
              <w:rPr>
                <w:color w:val="000000" w:themeColor="text1"/>
                <w:lang w:val="en-US"/>
              </w:rPr>
              <w:t>Wu et al.</w:t>
            </w:r>
            <w:r w:rsidR="007B43B9">
              <w:rPr>
                <w:color w:val="000000" w:themeColor="text1"/>
                <w:lang w:val="en-US"/>
              </w:rPr>
              <w:t xml:space="preserve"> 2013 </w:t>
            </w:r>
            <w:r w:rsidR="00C2640B">
              <w:rPr>
                <w:color w:val="000000" w:themeColor="text1"/>
                <w:lang w:val="en-US"/>
              </w:rPr>
              <w:t>[</w:t>
            </w:r>
            <w:r w:rsidR="00C2640B" w:rsidRPr="00744185">
              <w:rPr>
                <w:color w:val="000000" w:themeColor="text1"/>
                <w:lang w:val="en-US"/>
              </w:rPr>
              <w:t>e24]</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w:t>
            </w:r>
          </w:p>
        </w:tc>
        <w:tc>
          <w:tcPr>
            <w:tcW w:w="3260" w:type="dxa"/>
            <w:shd w:val="clear" w:color="auto" w:fill="FFFFFF" w:themeFill="background1"/>
          </w:tcPr>
          <w:p w:rsidR="00223286" w:rsidRPr="00833DED" w:rsidRDefault="0002174B" w:rsidP="005E7FD7">
            <w:pPr>
              <w:autoSpaceDE w:val="0"/>
              <w:autoSpaceDN w:val="0"/>
              <w:adjustRightInd w:val="0"/>
              <w:spacing w:before="120" w:after="0" w:line="240" w:lineRule="auto"/>
              <w:rPr>
                <w:color w:val="000000" w:themeColor="text1"/>
                <w:lang w:val="en-US"/>
              </w:rPr>
            </w:pPr>
            <w:r>
              <w:rPr>
                <w:color w:val="000000" w:themeColor="text1"/>
                <w:lang w:val="en-US"/>
              </w:rPr>
              <w:t>SI-QT</w:t>
            </w:r>
            <w:r w:rsidRPr="0002174B">
              <w:rPr>
                <w:color w:val="000000" w:themeColor="text1"/>
                <w:vertAlign w:val="subscript"/>
                <w:lang w:val="en-US"/>
              </w:rPr>
              <w:t>c</w:t>
            </w:r>
            <w:r>
              <w:rPr>
                <w:color w:val="000000" w:themeColor="text1"/>
                <w:lang w:val="en-US"/>
              </w:rPr>
              <w:t xml:space="preserve"> </w:t>
            </w:r>
            <w:r w:rsidRPr="0002174B">
              <w:rPr>
                <w:rFonts w:asciiTheme="minorHAnsi" w:hAnsiTheme="minorHAnsi" w:cstheme="minorHAnsi"/>
                <w:color w:val="000000" w:themeColor="text1"/>
                <w:lang w:val="en-US"/>
              </w:rPr>
              <w:t>≥</w:t>
            </w:r>
            <w:r>
              <w:rPr>
                <w:color w:val="000000" w:themeColor="text1"/>
                <w:lang w:val="en-US"/>
              </w:rPr>
              <w:t xml:space="preserve">9 </w:t>
            </w:r>
            <w:proofErr w:type="spellStart"/>
            <w:r>
              <w:rPr>
                <w:color w:val="000000" w:themeColor="text1"/>
                <w:lang w:val="en-US"/>
              </w:rPr>
              <w:t>ms</w:t>
            </w:r>
            <w:r w:rsidR="007B43B9">
              <w:rPr>
                <w:color w:val="000000" w:themeColor="text1"/>
                <w:lang w:val="en-US"/>
              </w:rPr>
              <w:t>ec</w:t>
            </w:r>
            <w:proofErr w:type="spellEnd"/>
            <w:r>
              <w:rPr>
                <w:color w:val="000000" w:themeColor="text1"/>
                <w:lang w:val="en-US"/>
              </w:rPr>
              <w:t xml:space="preserve"> or QT</w:t>
            </w:r>
            <w:r w:rsidRPr="0002174B">
              <w:rPr>
                <w:color w:val="000000" w:themeColor="text1"/>
                <w:vertAlign w:val="subscript"/>
                <w:lang w:val="en-US"/>
              </w:rPr>
              <w:t>c</w:t>
            </w:r>
            <w:r>
              <w:rPr>
                <w:color w:val="000000" w:themeColor="text1"/>
                <w:lang w:val="en-US"/>
              </w:rPr>
              <w:t xml:space="preserve"> dispersion </w:t>
            </w:r>
            <w:r w:rsidRPr="0002174B">
              <w:rPr>
                <w:rFonts w:asciiTheme="minorHAnsi" w:hAnsiTheme="minorHAnsi" w:cstheme="minorHAnsi"/>
                <w:color w:val="000000" w:themeColor="text1"/>
                <w:lang w:val="en-US"/>
              </w:rPr>
              <w:t>≥</w:t>
            </w:r>
            <w:r>
              <w:rPr>
                <w:color w:val="000000" w:themeColor="text1"/>
                <w:lang w:val="en-US"/>
              </w:rPr>
              <w:t xml:space="preserve">79 </w:t>
            </w:r>
            <w:proofErr w:type="spellStart"/>
            <w:r>
              <w:rPr>
                <w:color w:val="000000" w:themeColor="text1"/>
                <w:lang w:val="en-US"/>
              </w:rPr>
              <w:t>ms</w:t>
            </w:r>
            <w:r w:rsidR="007B43B9">
              <w:rPr>
                <w:color w:val="000000" w:themeColor="text1"/>
                <w:lang w:val="en-US"/>
              </w:rPr>
              <w:t>ec</w:t>
            </w:r>
            <w:proofErr w:type="spellEnd"/>
            <w:r>
              <w:rPr>
                <w:color w:val="000000" w:themeColor="text1"/>
                <w:lang w:val="en-US"/>
              </w:rPr>
              <w:t xml:space="preserve"> identified</w:t>
            </w:r>
            <w:r w:rsidR="00223286" w:rsidRPr="00833DED">
              <w:rPr>
                <w:color w:val="000000" w:themeColor="text1"/>
                <w:lang w:val="en-US"/>
              </w:rPr>
              <w:t xml:space="preserve"> as best determinant</w:t>
            </w:r>
          </w:p>
        </w:tc>
        <w:tc>
          <w:tcPr>
            <w:tcW w:w="3827" w:type="dxa"/>
            <w:shd w:val="clear" w:color="auto" w:fill="FFFFFF" w:themeFill="background1"/>
          </w:tcPr>
          <w:p w:rsidR="0002174B" w:rsidRDefault="0002174B"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CAD and angiographically proven stenosis and no history of MI (51)</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Patients with angiographically proven non-obstructive CAD (24) and patients after orthotopic heart transplantation (26)</w:t>
            </w:r>
          </w:p>
        </w:tc>
        <w:tc>
          <w:tcPr>
            <w:tcW w:w="1985" w:type="dxa"/>
            <w:shd w:val="clear" w:color="auto" w:fill="FFFFFF" w:themeFill="background1"/>
          </w:tcPr>
          <w:p w:rsidR="0002174B" w:rsidRDefault="0002174B" w:rsidP="005E7FD7">
            <w:pPr>
              <w:spacing w:before="120" w:after="0" w:line="240" w:lineRule="auto"/>
              <w:jc w:val="center"/>
              <w:rPr>
                <w:rFonts w:cs="Calibri"/>
                <w:color w:val="000000" w:themeColor="text1"/>
                <w:lang w:val="en-US"/>
              </w:rPr>
            </w:pPr>
          </w:p>
          <w:p w:rsidR="00223286" w:rsidRPr="00833DED" w:rsidRDefault="0002174B" w:rsidP="005E7FD7">
            <w:pPr>
              <w:spacing w:before="120" w:after="0" w:line="240" w:lineRule="auto"/>
              <w:jc w:val="center"/>
              <w:rPr>
                <w:rFonts w:cs="Calibri"/>
                <w:color w:val="000000" w:themeColor="text1"/>
                <w:lang w:val="en-US"/>
              </w:rPr>
            </w:pPr>
            <w:r>
              <w:rPr>
                <w:rFonts w:cs="Calibri"/>
                <w:color w:val="000000" w:themeColor="text1"/>
                <w:lang w:val="en-US"/>
              </w:rPr>
              <w:t>71%/86</w:t>
            </w:r>
            <w:r w:rsidR="00223286" w:rsidRPr="00833DED">
              <w:rPr>
                <w:rFonts w:cs="Calibri"/>
                <w:color w:val="000000" w:themeColor="text1"/>
                <w:lang w:val="en-US"/>
              </w:rPr>
              <w:t>%</w:t>
            </w:r>
          </w:p>
        </w:tc>
        <w:tc>
          <w:tcPr>
            <w:tcW w:w="1984" w:type="dxa"/>
            <w:shd w:val="clear" w:color="auto" w:fill="FFFFFF" w:themeFill="background1"/>
          </w:tcPr>
          <w:p w:rsidR="0002174B" w:rsidRDefault="0002174B" w:rsidP="005E7FD7">
            <w:pPr>
              <w:spacing w:before="120" w:after="0" w:line="240" w:lineRule="auto"/>
              <w:jc w:val="center"/>
              <w:rPr>
                <w:rFonts w:cs="Calibri"/>
                <w:color w:val="000000" w:themeColor="text1"/>
                <w:lang w:val="en-US"/>
              </w:rPr>
            </w:pPr>
          </w:p>
          <w:p w:rsidR="00223286" w:rsidRPr="00833DED" w:rsidRDefault="0002174B" w:rsidP="005E7FD7">
            <w:pPr>
              <w:spacing w:before="120" w:after="0" w:line="240" w:lineRule="auto"/>
              <w:jc w:val="center"/>
              <w:rPr>
                <w:rFonts w:cs="Calibri"/>
                <w:color w:val="000000" w:themeColor="text1"/>
                <w:lang w:val="en-US"/>
              </w:rPr>
            </w:pPr>
            <w:r>
              <w:rPr>
                <w:rFonts w:cs="Calibri"/>
                <w:color w:val="000000" w:themeColor="text1"/>
                <w:lang w:val="en-US"/>
              </w:rPr>
              <w:t>86%/71%</w:t>
            </w:r>
          </w:p>
        </w:tc>
        <w:tc>
          <w:tcPr>
            <w:tcW w:w="1451" w:type="dxa"/>
            <w:gridSpan w:val="2"/>
            <w:shd w:val="clear" w:color="auto" w:fill="FFFFFF" w:themeFill="background1"/>
          </w:tcPr>
          <w:p w:rsidR="0002174B" w:rsidRDefault="0002174B"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F3448E">
        <w:tc>
          <w:tcPr>
            <w:tcW w:w="2235" w:type="dxa"/>
            <w:shd w:val="clear" w:color="auto" w:fill="FFFFFF" w:themeFill="background1"/>
          </w:tcPr>
          <w:p w:rsidR="007B43B9" w:rsidRDefault="00223286" w:rsidP="005E7FD7">
            <w:pPr>
              <w:spacing w:before="120" w:after="0" w:line="240" w:lineRule="auto"/>
              <w:rPr>
                <w:color w:val="000000" w:themeColor="text1"/>
                <w:lang w:val="en-US"/>
              </w:rPr>
            </w:pPr>
            <w:r w:rsidRPr="00833DED">
              <w:rPr>
                <w:color w:val="000000" w:themeColor="text1"/>
                <w:lang w:val="en-US"/>
              </w:rPr>
              <w:t>Che</w:t>
            </w:r>
            <w:r w:rsidR="007B43B9">
              <w:rPr>
                <w:color w:val="000000" w:themeColor="text1"/>
                <w:lang w:val="en-US"/>
              </w:rPr>
              <w:t>n et al. 2014</w:t>
            </w:r>
            <w:r w:rsidR="00C2640B">
              <w:rPr>
                <w:color w:val="000000" w:themeColor="text1"/>
                <w:lang w:val="en-US"/>
              </w:rPr>
              <w:t xml:space="preserve"> [</w:t>
            </w:r>
            <w:r w:rsidR="00C2640B" w:rsidRPr="00744185">
              <w:rPr>
                <w:color w:val="000000" w:themeColor="text1"/>
                <w:lang w:val="en-US"/>
              </w:rPr>
              <w:t>e25</w:t>
            </w:r>
            <w:r w:rsidR="00C2640B">
              <w:rPr>
                <w:color w:val="000000" w:themeColor="text1"/>
                <w:lang w:val="en-US"/>
              </w:rPr>
              <w:t>]</w:t>
            </w:r>
          </w:p>
          <w:p w:rsidR="00223286" w:rsidRPr="00833DED" w:rsidRDefault="00223286" w:rsidP="005E7FD7">
            <w:pPr>
              <w:spacing w:before="120" w:after="0" w:line="240" w:lineRule="auto"/>
              <w:rPr>
                <w:rFonts w:cs="Calibri"/>
                <w:color w:val="000000" w:themeColor="text1"/>
                <w:lang w:val="en-US"/>
              </w:rPr>
            </w:pPr>
            <w:r w:rsidRPr="00833DED">
              <w:rPr>
                <w:color w:val="000000" w:themeColor="text1"/>
                <w:lang w:val="en-US"/>
              </w:rPr>
              <w:lastRenderedPageBreak/>
              <w:t>Shielded, 61-channel MCG at rest</w:t>
            </w:r>
          </w:p>
        </w:tc>
        <w:tc>
          <w:tcPr>
            <w:tcW w:w="3260" w:type="dxa"/>
            <w:shd w:val="clear" w:color="auto" w:fill="FFFFFF" w:themeFill="background1"/>
          </w:tcPr>
          <w:p w:rsidR="00223286" w:rsidRPr="00833DED" w:rsidRDefault="00294653" w:rsidP="005E7FD7">
            <w:pPr>
              <w:autoSpaceDE w:val="0"/>
              <w:autoSpaceDN w:val="0"/>
              <w:adjustRightInd w:val="0"/>
              <w:spacing w:before="120" w:after="0" w:line="240" w:lineRule="auto"/>
              <w:rPr>
                <w:color w:val="000000" w:themeColor="text1"/>
                <w:lang w:val="en-US"/>
              </w:rPr>
            </w:pPr>
            <w:r w:rsidRPr="00833DED">
              <w:rPr>
                <w:color w:val="000000" w:themeColor="text1"/>
                <w:lang w:val="en-US"/>
              </w:rPr>
              <w:lastRenderedPageBreak/>
              <w:t xml:space="preserve">Cut-off value of 0.4506 for the area ratio at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lang w:val="en-US"/>
              </w:rPr>
              <w:t xml:space="preserve"> </w:t>
            </w:r>
            <w:r>
              <w:rPr>
                <w:color w:val="000000" w:themeColor="text1"/>
                <w:lang w:val="en-US"/>
              </w:rPr>
              <w:t>(a</w:t>
            </w:r>
            <w:r w:rsidR="00223286" w:rsidRPr="00833DED">
              <w:rPr>
                <w:color w:val="000000" w:themeColor="text1"/>
                <w:lang w:val="en-US"/>
              </w:rPr>
              <w:t xml:space="preserve">rea of the positive proportion of the </w:t>
            </w:r>
            <w:r w:rsidR="00223286" w:rsidRPr="00833DED">
              <w:rPr>
                <w:color w:val="000000" w:themeColor="text1"/>
                <w:lang w:val="en-US"/>
              </w:rPr>
              <w:lastRenderedPageBreak/>
              <w:t>magnetic field relative to the total area within a circle encompassing the field extrema</w:t>
            </w:r>
            <w:r>
              <w:rPr>
                <w:color w:val="000000" w:themeColor="text1"/>
                <w:lang w:val="en-US"/>
              </w:rPr>
              <w:t>)</w:t>
            </w:r>
          </w:p>
          <w:p w:rsidR="00223286" w:rsidRPr="00833DED" w:rsidRDefault="00223286" w:rsidP="005E7FD7">
            <w:pPr>
              <w:autoSpaceDE w:val="0"/>
              <w:autoSpaceDN w:val="0"/>
              <w:adjustRightInd w:val="0"/>
              <w:spacing w:before="120" w:after="0" w:line="240" w:lineRule="auto"/>
              <w:rPr>
                <w:color w:val="000000" w:themeColor="text1"/>
                <w:lang w:val="en-US"/>
              </w:rPr>
            </w:pPr>
            <w:r w:rsidRPr="00833DED">
              <w:rPr>
                <w:color w:val="000000" w:themeColor="text1"/>
                <w:lang w:val="en-US"/>
              </w:rPr>
              <w:t>determined as best discriminant</w:t>
            </w:r>
          </w:p>
        </w:tc>
        <w:tc>
          <w:tcPr>
            <w:tcW w:w="3827" w:type="dxa"/>
            <w:shd w:val="clear" w:color="auto" w:fill="FFFFFF" w:themeFill="background1"/>
          </w:tcPr>
          <w:p w:rsidR="00F141EB" w:rsidRDefault="00F141EB" w:rsidP="005E7FD7">
            <w:pPr>
              <w:spacing w:before="120" w:after="0" w:line="240" w:lineRule="auto"/>
              <w:rPr>
                <w:color w:val="000000" w:themeColor="text1"/>
                <w:lang w:val="en-US"/>
              </w:rPr>
            </w:pPr>
            <w:r>
              <w:rPr>
                <w:color w:val="000000" w:themeColor="text1"/>
                <w:lang w:val="en-US"/>
              </w:rPr>
              <w:lastRenderedPageBreak/>
              <w:t xml:space="preserve">Anatomic CAD </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lastRenderedPageBreak/>
              <w:t>Patients with CAD and angiographically proven &gt;70% stenosis in at least one coronary artery without previous MI (15)</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(38)</w:t>
            </w:r>
          </w:p>
          <w:p w:rsidR="00223286" w:rsidRPr="00833DED" w:rsidRDefault="00223286" w:rsidP="005E7FD7">
            <w:pPr>
              <w:spacing w:before="120" w:after="0" w:line="240" w:lineRule="auto"/>
              <w:rPr>
                <w:rFonts w:cs="Calibri"/>
                <w:color w:val="000000" w:themeColor="text1"/>
                <w:lang w:val="en-US"/>
              </w:rPr>
            </w:pPr>
          </w:p>
        </w:tc>
        <w:tc>
          <w:tcPr>
            <w:tcW w:w="1985" w:type="dxa"/>
            <w:shd w:val="clear" w:color="auto" w:fill="FFFFFF" w:themeFill="background1"/>
          </w:tcPr>
          <w:p w:rsidR="00F141EB" w:rsidRDefault="00F141EB" w:rsidP="005E7FD7">
            <w:pPr>
              <w:spacing w:before="120" w:after="0" w:line="240" w:lineRule="auto"/>
              <w:jc w:val="center"/>
              <w:rPr>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color w:val="000000" w:themeColor="text1"/>
                <w:lang w:val="en-US"/>
              </w:rPr>
              <w:t>73.8%/86.7%</w:t>
            </w:r>
          </w:p>
        </w:tc>
        <w:tc>
          <w:tcPr>
            <w:tcW w:w="1984" w:type="dxa"/>
            <w:shd w:val="clear" w:color="auto" w:fill="FFFFFF" w:themeFill="background1"/>
          </w:tcPr>
          <w:p w:rsidR="00F141EB" w:rsidRDefault="00F141EB" w:rsidP="005E7FD7">
            <w:pPr>
              <w:spacing w:before="120" w:after="0" w:line="240" w:lineRule="auto"/>
              <w:jc w:val="center"/>
              <w:rPr>
                <w:rFonts w:cs="Calibri"/>
                <w:color w:val="000000" w:themeColor="text1"/>
                <w:lang w:val="en-US"/>
              </w:rPr>
            </w:pPr>
          </w:p>
          <w:p w:rsidR="00223286" w:rsidRPr="00833DED" w:rsidRDefault="00684F41"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F141EB" w:rsidRDefault="00F141EB"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w:t>
            </w:r>
          </w:p>
        </w:tc>
      </w:tr>
      <w:tr w:rsidR="00223286" w:rsidRPr="003855DB" w:rsidTr="00BF21C9">
        <w:trPr>
          <w:gridAfter w:val="1"/>
          <w:wAfter w:w="33" w:type="dxa"/>
        </w:trPr>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Shin et al. 2017</w:t>
            </w:r>
            <w:r w:rsidR="00C2640B">
              <w:rPr>
                <w:color w:val="000000" w:themeColor="text1"/>
                <w:lang w:val="en-US"/>
              </w:rPr>
              <w:t xml:space="preserve"> [</w:t>
            </w:r>
            <w:r w:rsidR="00C2640B" w:rsidRPr="00744185">
              <w:rPr>
                <w:color w:val="000000" w:themeColor="text1"/>
                <w:lang w:val="en-US"/>
              </w:rPr>
              <w:t>e28</w:t>
            </w:r>
            <w:r w:rsidR="00C2640B">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 and post-exercise</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Quantitative and qualitative analysis of the change in </w:t>
            </w:r>
            <w:r w:rsidRPr="00833DED">
              <w:rPr>
                <w:color w:val="000000" w:themeColor="text1"/>
                <w:lang w:val="en-US"/>
              </w:rPr>
              <w:br/>
              <w:t xml:space="preserve">ST-segment fluctuation score </w:t>
            </w:r>
            <w:r w:rsidRPr="00833DED">
              <w:rPr>
                <w:color w:val="000000" w:themeColor="text1"/>
                <w:lang w:val="en-US"/>
              </w:rPr>
              <w:br/>
              <w:t xml:space="preserve">(–51% cut-off selected as best cut-off) and </w:t>
            </w:r>
            <w:r w:rsidR="00F141EB">
              <w:rPr>
                <w:color w:val="000000" w:themeColor="text1"/>
                <w:lang w:val="en-US"/>
              </w:rPr>
              <w:t xml:space="preserve">the </w:t>
            </w:r>
            <w:r w:rsidRPr="00833DED">
              <w:rPr>
                <w:color w:val="000000" w:themeColor="text1"/>
                <w:lang w:val="en-US"/>
              </w:rPr>
              <w:t xml:space="preserve">non-dipole phenomenon during the interval from the beginning of the T wave to the </w:t>
            </w:r>
            <w:proofErr w:type="spellStart"/>
            <w:r w:rsidRPr="00833DED">
              <w:rPr>
                <w:color w:val="000000" w:themeColor="text1"/>
                <w:lang w:val="en-US"/>
              </w:rPr>
              <w:t>T</w:t>
            </w:r>
            <w:r w:rsidRPr="00833DED">
              <w:rPr>
                <w:color w:val="000000" w:themeColor="text1"/>
                <w:vertAlign w:val="subscript"/>
                <w:lang w:val="en-US"/>
              </w:rPr>
              <w:t>max</w:t>
            </w:r>
            <w:proofErr w:type="spellEnd"/>
          </w:p>
        </w:tc>
        <w:tc>
          <w:tcPr>
            <w:tcW w:w="3827" w:type="dxa"/>
            <w:shd w:val="clear" w:color="auto" w:fill="auto"/>
          </w:tcPr>
          <w:p w:rsidR="00F141EB" w:rsidRDefault="00223286" w:rsidP="005E7FD7">
            <w:pPr>
              <w:spacing w:before="120" w:after="0" w:line="240" w:lineRule="auto"/>
              <w:rPr>
                <w:color w:val="000000" w:themeColor="text1"/>
                <w:lang w:val="en-US"/>
              </w:rPr>
            </w:pPr>
            <w:r w:rsidRPr="00833DED">
              <w:rPr>
                <w:color w:val="000000" w:themeColor="text1"/>
                <w:lang w:val="en-US"/>
              </w:rPr>
              <w:t>Anato</w:t>
            </w:r>
            <w:r w:rsidR="00F141EB">
              <w:rPr>
                <w:color w:val="000000" w:themeColor="text1"/>
                <w:lang w:val="en-US"/>
              </w:rPr>
              <w:t>mic CAD and functional ischemia</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CAD (</w:t>
            </w:r>
            <w:r w:rsidRPr="00833DED">
              <w:rPr>
                <w:rFonts w:cs="Calibri"/>
                <w:color w:val="000000" w:themeColor="text1"/>
                <w:lang w:val="en-US"/>
              </w:rPr>
              <w:t>≥</w:t>
            </w:r>
            <w:r w:rsidRPr="00833DED">
              <w:rPr>
                <w:color w:val="000000" w:themeColor="text1"/>
                <w:lang w:val="en-US"/>
              </w:rPr>
              <w:t xml:space="preserve">70% stenosis in </w:t>
            </w:r>
            <w:r w:rsidRPr="00833DED">
              <w:rPr>
                <w:color w:val="000000" w:themeColor="text1"/>
                <w:lang w:val="en-US"/>
              </w:rPr>
              <w:br/>
            </w:r>
            <w:r w:rsidRPr="00833DED">
              <w:rPr>
                <w:rFonts w:cs="Calibri"/>
                <w:color w:val="000000" w:themeColor="text1"/>
                <w:lang w:val="en-US"/>
              </w:rPr>
              <w:t>≥1</w:t>
            </w:r>
            <w:r w:rsidRPr="00833DED">
              <w:rPr>
                <w:color w:val="000000" w:themeColor="text1"/>
                <w:lang w:val="en-US"/>
              </w:rPr>
              <w:t xml:space="preserve"> proximal epicardial coronary artery) and objective evidence of myocardial ischemia or </w:t>
            </w:r>
            <w:r w:rsidRPr="00833DED">
              <w:rPr>
                <w:rFonts w:cs="Calibri"/>
                <w:color w:val="000000" w:themeColor="text1"/>
                <w:lang w:val="en-US"/>
              </w:rPr>
              <w:t>≥1</w:t>
            </w:r>
            <w:r w:rsidRPr="00833DED">
              <w:rPr>
                <w:color w:val="000000" w:themeColor="text1"/>
                <w:lang w:val="en-US"/>
              </w:rPr>
              <w:t xml:space="preserve"> coronary stenosis of </w:t>
            </w:r>
            <w:r w:rsidRPr="00833DED">
              <w:rPr>
                <w:rFonts w:cs="Calibri"/>
                <w:color w:val="000000" w:themeColor="text1"/>
                <w:lang w:val="en-US"/>
              </w:rPr>
              <w:t>≥</w:t>
            </w:r>
            <w:r w:rsidRPr="00833DED">
              <w:rPr>
                <w:color w:val="000000" w:themeColor="text1"/>
                <w:lang w:val="en-US"/>
              </w:rPr>
              <w:t>80% and classic angina without provocative testing (71)</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Asymptomatic patients without angiographically proven CAD (25)</w:t>
            </w:r>
          </w:p>
        </w:tc>
        <w:tc>
          <w:tcPr>
            <w:tcW w:w="1985" w:type="dxa"/>
            <w:shd w:val="clear" w:color="auto" w:fill="FFFFFF" w:themeFill="background1"/>
          </w:tcPr>
          <w:p w:rsidR="00F141EB" w:rsidRDefault="00F141E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color w:val="000000" w:themeColor="text1"/>
                <w:lang w:val="en-US"/>
              </w:rPr>
            </w:pPr>
            <w:r w:rsidRPr="00833DED">
              <w:rPr>
                <w:rFonts w:cs="Calibri"/>
                <w:color w:val="000000" w:themeColor="text1"/>
                <w:lang w:val="en-US"/>
              </w:rPr>
              <w:t>82%/73.9%</w:t>
            </w:r>
            <w:r w:rsidR="00F141EB">
              <w:rPr>
                <w:rFonts w:cs="Calibri"/>
                <w:color w:val="000000" w:themeColor="text1"/>
                <w:lang w:val="en-US"/>
              </w:rPr>
              <w:t xml:space="preserve"> (0.79)</w:t>
            </w:r>
            <w:r w:rsidRPr="00833DED">
              <w:rPr>
                <w:rFonts w:cs="Calibri"/>
                <w:color w:val="000000" w:themeColor="text1"/>
                <w:lang w:val="en-US"/>
              </w:rPr>
              <w:t xml:space="preserve"> </w:t>
            </w:r>
            <w:r w:rsidRPr="00833DED">
              <w:rPr>
                <w:rFonts w:cs="Calibri"/>
                <w:color w:val="000000" w:themeColor="text1"/>
                <w:lang w:val="en-US"/>
              </w:rPr>
              <w:br/>
              <w:t>(</w:t>
            </w:r>
            <w:r w:rsidRPr="00833DED">
              <w:rPr>
                <w:rFonts w:cs="Calibri"/>
                <w:color w:val="000000" w:themeColor="text1"/>
                <w:sz w:val="18"/>
                <w:lang w:val="en-US"/>
              </w:rPr>
              <w:sym w:font="Wingdings 3" w:char="F072"/>
            </w:r>
            <w:r w:rsidRPr="00833DED">
              <w:rPr>
                <w:color w:val="000000" w:themeColor="text1"/>
                <w:lang w:val="en-US"/>
              </w:rPr>
              <w:t>ST segment-fluctuation score)</w:t>
            </w:r>
          </w:p>
          <w:p w:rsidR="00223286"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88.0%/84.8%</w:t>
            </w:r>
            <w:r w:rsidR="00F141EB">
              <w:rPr>
                <w:rFonts w:cs="Calibri"/>
                <w:color w:val="000000" w:themeColor="text1"/>
                <w:lang w:val="en-US"/>
              </w:rPr>
              <w:t xml:space="preserve"> (0.864)</w:t>
            </w:r>
            <w:r w:rsidRPr="00833DED">
              <w:rPr>
                <w:rFonts w:cs="Calibri"/>
                <w:color w:val="000000" w:themeColor="text1"/>
                <w:lang w:val="en-US"/>
              </w:rPr>
              <w:t xml:space="preserve"> </w:t>
            </w:r>
            <w:r w:rsidRPr="00833DED">
              <w:rPr>
                <w:rFonts w:cs="Calibri"/>
                <w:color w:val="000000" w:themeColor="text1"/>
                <w:lang w:val="en-US"/>
              </w:rPr>
              <w:br/>
              <w:t>(non-dipole)</w:t>
            </w:r>
          </w:p>
          <w:p w:rsidR="005E7FD7" w:rsidRPr="00833DED" w:rsidRDefault="005E7FD7" w:rsidP="005E7FD7">
            <w:pPr>
              <w:spacing w:before="120" w:after="0" w:line="240" w:lineRule="auto"/>
              <w:jc w:val="center"/>
              <w:rPr>
                <w:rFonts w:cs="Calibri"/>
                <w:color w:val="000000" w:themeColor="text1"/>
                <w:lang w:val="en-US"/>
              </w:rPr>
            </w:pPr>
            <w:r w:rsidRPr="00833DED">
              <w:rPr>
                <w:rFonts w:cs="Calibri"/>
                <w:color w:val="000000" w:themeColor="text1"/>
                <w:lang w:val="en-US"/>
              </w:rPr>
              <w:t>ROC</w:t>
            </w:r>
            <w:r>
              <w:rPr>
                <w:rFonts w:cs="Calibri"/>
                <w:color w:val="000000" w:themeColor="text1"/>
                <w:lang w:val="en-US"/>
              </w:rPr>
              <w:t xml:space="preserve"> AUC</w:t>
            </w:r>
            <w:r w:rsidRPr="00833DED">
              <w:rPr>
                <w:rFonts w:cs="Calibri"/>
                <w:color w:val="000000" w:themeColor="text1"/>
                <w:lang w:val="en-US"/>
              </w:rPr>
              <w:t xml:space="preserve"> for combination 0.93</w:t>
            </w:r>
          </w:p>
        </w:tc>
        <w:tc>
          <w:tcPr>
            <w:tcW w:w="1984" w:type="dxa"/>
            <w:shd w:val="clear" w:color="auto" w:fill="FFFFFF" w:themeFill="background1"/>
          </w:tcPr>
          <w:p w:rsidR="005E7FD7" w:rsidRDefault="005E7FD7" w:rsidP="005E7FD7">
            <w:pPr>
              <w:spacing w:before="120" w:after="0" w:line="240" w:lineRule="auto"/>
              <w:jc w:val="center"/>
              <w:rPr>
                <w:rFonts w:cs="Calibri"/>
                <w:color w:val="000000" w:themeColor="text1"/>
                <w:lang w:val="en-US"/>
              </w:rPr>
            </w:pPr>
          </w:p>
          <w:p w:rsidR="00223286" w:rsidRPr="00833DED" w:rsidRDefault="005E7FD7" w:rsidP="005E7FD7">
            <w:pPr>
              <w:spacing w:before="120" w:after="0" w:line="240" w:lineRule="auto"/>
              <w:jc w:val="center"/>
              <w:rPr>
                <w:color w:val="000000" w:themeColor="text1"/>
                <w:lang w:val="en-US"/>
              </w:rPr>
            </w:pPr>
            <w:r>
              <w:rPr>
                <w:rFonts w:cs="Calibri"/>
                <w:color w:val="000000" w:themeColor="text1"/>
                <w:lang w:val="en-US"/>
              </w:rPr>
              <w:t>79.1%/77.4%</w:t>
            </w:r>
            <w:r w:rsidR="00223286" w:rsidRPr="00833DED">
              <w:rPr>
                <w:rFonts w:cs="Calibri"/>
                <w:color w:val="000000" w:themeColor="text1"/>
                <w:lang w:val="en-US"/>
              </w:rPr>
              <w:t xml:space="preserve"> </w:t>
            </w:r>
            <w:r w:rsidR="00223286" w:rsidRPr="00833DED">
              <w:rPr>
                <w:rFonts w:cs="Calibri"/>
                <w:color w:val="000000" w:themeColor="text1"/>
                <w:lang w:val="en-US"/>
              </w:rPr>
              <w:br/>
              <w:t>(</w:t>
            </w:r>
            <w:r w:rsidR="00223286" w:rsidRPr="00833DED">
              <w:rPr>
                <w:rFonts w:cs="Calibri"/>
                <w:color w:val="000000" w:themeColor="text1"/>
                <w:sz w:val="18"/>
                <w:lang w:val="en-US"/>
              </w:rPr>
              <w:sym w:font="Wingdings 3" w:char="F072"/>
            </w:r>
            <w:r w:rsidR="00223286" w:rsidRPr="00833DED">
              <w:rPr>
                <w:color w:val="000000" w:themeColor="text1"/>
                <w:lang w:val="en-US"/>
              </w:rPr>
              <w:t>ST segment-fluctuation score)</w:t>
            </w:r>
          </w:p>
          <w:p w:rsidR="00223286" w:rsidRPr="00833DED" w:rsidRDefault="005E7FD7" w:rsidP="005E7FD7">
            <w:pPr>
              <w:spacing w:before="120" w:after="0" w:line="240" w:lineRule="auto"/>
              <w:jc w:val="center"/>
              <w:rPr>
                <w:rFonts w:cs="Calibri"/>
                <w:color w:val="000000" w:themeColor="text1"/>
                <w:lang w:val="en-US"/>
              </w:rPr>
            </w:pPr>
            <w:r>
              <w:rPr>
                <w:rFonts w:cs="Calibri"/>
                <w:color w:val="000000" w:themeColor="text1"/>
                <w:lang w:val="en-US"/>
              </w:rPr>
              <w:t>86.7%/86.3%</w:t>
            </w:r>
            <w:r w:rsidR="00223286" w:rsidRPr="00833DED">
              <w:rPr>
                <w:rFonts w:cs="Calibri"/>
                <w:color w:val="000000" w:themeColor="text1"/>
                <w:lang w:val="en-US"/>
              </w:rPr>
              <w:t xml:space="preserve"> </w:t>
            </w:r>
            <w:r w:rsidR="00223286" w:rsidRPr="00833DED">
              <w:rPr>
                <w:rFonts w:cs="Calibri"/>
                <w:color w:val="000000" w:themeColor="text1"/>
                <w:lang w:val="en-US"/>
              </w:rPr>
              <w:br/>
              <w:t>(non-dipole)</w:t>
            </w:r>
          </w:p>
        </w:tc>
        <w:tc>
          <w:tcPr>
            <w:tcW w:w="1418" w:type="dxa"/>
            <w:shd w:val="clear" w:color="auto" w:fill="FFFFFF" w:themeFill="background1"/>
          </w:tcPr>
          <w:p w:rsidR="005E7FD7" w:rsidRDefault="005E7FD7"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6623A6" w:rsidP="005E7FD7">
            <w:pPr>
              <w:spacing w:before="120" w:after="0" w:line="240" w:lineRule="auto"/>
              <w:rPr>
                <w:color w:val="000000" w:themeColor="text1"/>
                <w:lang w:val="en-US"/>
              </w:rPr>
            </w:pPr>
            <w:r>
              <w:rPr>
                <w:color w:val="000000" w:themeColor="text1"/>
                <w:lang w:val="en-US"/>
              </w:rPr>
              <w:t xml:space="preserve">Shin et al. </w:t>
            </w:r>
            <w:r w:rsidRPr="00744185">
              <w:rPr>
                <w:color w:val="000000" w:themeColor="text1"/>
                <w:lang w:val="en-US"/>
              </w:rPr>
              <w:t>2018</w:t>
            </w:r>
            <w:r w:rsidR="00C2640B">
              <w:rPr>
                <w:color w:val="000000" w:themeColor="text1"/>
                <w:lang w:val="en-US"/>
              </w:rPr>
              <w:t xml:space="preserve"> [e29]</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 and post-exercise</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Scoring system based on five MCG parameters (T wave score at stress; T wave dispersion at stress; T wave vector MCG at rest; % change in half RT interval vector MCG; and % change in </w:t>
            </w:r>
            <w:r w:rsidRPr="00833DED">
              <w:rPr>
                <w:color w:val="000000" w:themeColor="text1"/>
                <w:lang w:val="en-US"/>
              </w:rPr>
              <w:br/>
              <w:t>T wave vector MCG) with cut-off of –0.27 shown as best discriminant of significant stenosis</w:t>
            </w:r>
          </w:p>
        </w:tc>
        <w:tc>
          <w:tcPr>
            <w:tcW w:w="3827" w:type="dxa"/>
            <w:shd w:val="clear" w:color="auto" w:fill="FFFFFF" w:themeFill="background1"/>
          </w:tcPr>
          <w:p w:rsidR="005E7FD7" w:rsidRDefault="005E7FD7"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 xml:space="preserve">Training set: patients with indication for angiography due to chest pain or suspected CAD with </w:t>
            </w:r>
            <w:r w:rsidRPr="00833DED">
              <w:rPr>
                <w:rFonts w:cs="Calibri"/>
                <w:color w:val="000000" w:themeColor="text1"/>
                <w:lang w:val="en-US"/>
              </w:rPr>
              <w:t xml:space="preserve">≥1 vessel with </w:t>
            </w:r>
            <w:r w:rsidRPr="00833DED">
              <w:rPr>
                <w:color w:val="000000" w:themeColor="text1"/>
                <w:lang w:val="en-US"/>
              </w:rPr>
              <w:t>70% stenosis, and without ACS or history of MI within 3 months (35)</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Internal cross-validation set: patients with indication for angiography due to chest pain or suspected CAD (</w:t>
            </w:r>
            <w:r w:rsidRPr="00746076">
              <w:rPr>
                <w:color w:val="000000" w:themeColor="text1"/>
                <w:lang w:val="en-US"/>
              </w:rPr>
              <w:t xml:space="preserve">45 </w:t>
            </w:r>
            <w:r w:rsidR="00373D7C" w:rsidRPr="00373D7C">
              <w:rPr>
                <w:color w:val="000000" w:themeColor="text1"/>
                <w:lang w:val="en-US"/>
              </w:rPr>
              <w:t>[e27]</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lastRenderedPageBreak/>
              <w:t>Training set</w:t>
            </w:r>
            <w:r w:rsidRPr="00833DED">
              <w:rPr>
                <w:i/>
                <w:color w:val="000000" w:themeColor="text1"/>
                <w:lang w:val="en-US"/>
              </w:rPr>
              <w:br/>
              <w:t>Patients with indication for angiography due to chest pain or suspected CAD without significant stenosis (73)</w:t>
            </w:r>
          </w:p>
        </w:tc>
        <w:tc>
          <w:tcPr>
            <w:tcW w:w="1985" w:type="dxa"/>
            <w:shd w:val="clear" w:color="auto" w:fill="FFFFFF" w:themeFill="background1"/>
          </w:tcPr>
          <w:p w:rsidR="005E7FD7" w:rsidRDefault="005E7FD7"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77%/89%</w:t>
            </w:r>
            <w:r w:rsidR="00123870">
              <w:rPr>
                <w:rFonts w:cs="Calibri"/>
                <w:color w:val="000000" w:themeColor="text1"/>
                <w:lang w:val="en-US"/>
              </w:rPr>
              <w:t xml:space="preserve"> (0.91)</w:t>
            </w:r>
          </w:p>
        </w:tc>
        <w:tc>
          <w:tcPr>
            <w:tcW w:w="1984" w:type="dxa"/>
            <w:shd w:val="clear" w:color="auto" w:fill="FFFFFF" w:themeFill="background1"/>
          </w:tcPr>
          <w:p w:rsidR="005E7FD7" w:rsidRDefault="005E7FD7"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74%/91%</w:t>
            </w:r>
          </w:p>
        </w:tc>
        <w:tc>
          <w:tcPr>
            <w:tcW w:w="1451" w:type="dxa"/>
            <w:gridSpan w:val="2"/>
            <w:shd w:val="clear" w:color="auto" w:fill="FFFFFF" w:themeFill="background1"/>
          </w:tcPr>
          <w:p w:rsidR="005E7FD7" w:rsidRDefault="005E7FD7"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7B43B9" w:rsidRDefault="007B43B9" w:rsidP="005E7FD7">
            <w:pPr>
              <w:spacing w:before="120" w:after="0" w:line="240" w:lineRule="auto"/>
              <w:rPr>
                <w:color w:val="000000" w:themeColor="text1"/>
                <w:lang w:val="en-US"/>
              </w:rPr>
            </w:pPr>
            <w:r>
              <w:rPr>
                <w:color w:val="000000" w:themeColor="text1"/>
                <w:lang w:val="en-US"/>
              </w:rPr>
              <w:t>Wu et al. 2014</w:t>
            </w:r>
            <w:r w:rsidR="00746076">
              <w:rPr>
                <w:color w:val="000000" w:themeColor="text1"/>
                <w:lang w:val="en-US"/>
              </w:rPr>
              <w:t xml:space="preserve"> [</w:t>
            </w:r>
            <w:r w:rsidR="00746076" w:rsidRPr="00F208FA">
              <w:rPr>
                <w:color w:val="000000" w:themeColor="text1"/>
                <w:lang w:val="en-US"/>
              </w:rPr>
              <w:t>e26</w:t>
            </w:r>
            <w:r w:rsidR="00746076">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Combination of QTc heterogeneity parameters SI-QTc ≥9 </w:t>
            </w:r>
            <w:proofErr w:type="spellStart"/>
            <w:r w:rsidRPr="00833DED">
              <w:rPr>
                <w:color w:val="000000" w:themeColor="text1"/>
                <w:lang w:val="en-US"/>
              </w:rPr>
              <w:t>msec</w:t>
            </w:r>
            <w:proofErr w:type="spellEnd"/>
            <w:r w:rsidRPr="00833DED">
              <w:rPr>
                <w:color w:val="000000" w:themeColor="text1"/>
                <w:lang w:val="en-US"/>
              </w:rPr>
              <w:t xml:space="preserve"> or QTc dispersion ≥79 </w:t>
            </w:r>
            <w:proofErr w:type="spellStart"/>
            <w:r w:rsidRPr="00833DED">
              <w:rPr>
                <w:color w:val="000000" w:themeColor="text1"/>
                <w:lang w:val="en-US"/>
              </w:rPr>
              <w:t>msec</w:t>
            </w:r>
            <w:proofErr w:type="spellEnd"/>
            <w:r w:rsidRPr="00833DED">
              <w:rPr>
                <w:color w:val="000000" w:themeColor="text1"/>
                <w:lang w:val="en-US"/>
              </w:rPr>
              <w:t xml:space="preserve"> identified as the optimal QTc heterogeneity determinant</w:t>
            </w:r>
          </w:p>
        </w:tc>
        <w:tc>
          <w:tcPr>
            <w:tcW w:w="3827" w:type="dxa"/>
            <w:shd w:val="clear" w:color="auto" w:fill="FFFFFF" w:themeFill="background1"/>
          </w:tcPr>
          <w:p w:rsidR="007B43B9" w:rsidRDefault="007B43B9"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suspected CAD and angiographically proven ≥70% stenosis of a vessel and no history of MI (36)</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Patients with angiographically proven non-obstructive CAD (19)</w:t>
            </w:r>
          </w:p>
        </w:tc>
        <w:tc>
          <w:tcPr>
            <w:tcW w:w="1985" w:type="dxa"/>
            <w:shd w:val="clear" w:color="auto" w:fill="FFFFFF" w:themeFill="background1"/>
          </w:tcPr>
          <w:p w:rsidR="007B43B9" w:rsidRDefault="007B43B9"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68.4%/86.1%</w:t>
            </w:r>
            <w:r w:rsidR="007B43B9">
              <w:rPr>
                <w:rFonts w:cs="Calibri"/>
                <w:color w:val="000000" w:themeColor="text1"/>
                <w:lang w:val="en-US"/>
              </w:rPr>
              <w:t xml:space="preserve"> (0.77)</w:t>
            </w:r>
          </w:p>
        </w:tc>
        <w:tc>
          <w:tcPr>
            <w:tcW w:w="1984" w:type="dxa"/>
            <w:shd w:val="clear" w:color="auto" w:fill="FFFFFF" w:themeFill="background1"/>
          </w:tcPr>
          <w:p w:rsidR="007B43B9" w:rsidRDefault="007B43B9" w:rsidP="005E7FD7">
            <w:pPr>
              <w:spacing w:before="120" w:after="0" w:line="240" w:lineRule="auto"/>
              <w:jc w:val="center"/>
              <w:rPr>
                <w:rFonts w:cs="Calibri"/>
                <w:color w:val="000000" w:themeColor="text1"/>
                <w:lang w:val="en-US"/>
              </w:rPr>
            </w:pPr>
          </w:p>
          <w:p w:rsidR="00223286" w:rsidRPr="00833DED" w:rsidRDefault="00FB16A4"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7B43B9" w:rsidRDefault="007B43B9"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Stress myocardial perfusion imaging</w:t>
            </w:r>
          </w:p>
        </w:tc>
      </w:tr>
      <w:tr w:rsidR="00223286" w:rsidRPr="003855DB" w:rsidTr="00BF21C9">
        <w:tc>
          <w:tcPr>
            <w:tcW w:w="2235" w:type="dxa"/>
            <w:shd w:val="clear" w:color="auto" w:fill="FFFFFF" w:themeFill="background1"/>
          </w:tcPr>
          <w:p w:rsidR="004E1B8B" w:rsidRDefault="00223286" w:rsidP="004E1B8B">
            <w:pPr>
              <w:spacing w:before="120" w:after="0" w:line="240" w:lineRule="auto"/>
              <w:rPr>
                <w:color w:val="000000" w:themeColor="text1"/>
                <w:lang w:val="en-US"/>
              </w:rPr>
            </w:pPr>
            <w:proofErr w:type="spellStart"/>
            <w:r w:rsidRPr="00833DED">
              <w:rPr>
                <w:color w:val="000000" w:themeColor="text1"/>
                <w:lang w:val="en-US"/>
              </w:rPr>
              <w:t>Brisinda</w:t>
            </w:r>
            <w:proofErr w:type="spellEnd"/>
            <w:r w:rsidRPr="00833DED">
              <w:rPr>
                <w:color w:val="000000" w:themeColor="text1"/>
                <w:lang w:val="en-US"/>
              </w:rPr>
              <w:t xml:space="preserve"> et al. 2003</w:t>
            </w:r>
            <w:r w:rsidR="00746076">
              <w:rPr>
                <w:color w:val="000000" w:themeColor="text1"/>
                <w:lang w:val="en-US"/>
              </w:rPr>
              <w:t xml:space="preserve"> </w:t>
            </w:r>
            <w:r w:rsidR="00746076" w:rsidRPr="00744185">
              <w:rPr>
                <w:color w:val="000000" w:themeColor="text1"/>
                <w:lang w:val="en-US"/>
              </w:rPr>
              <w:t>[e31</w:t>
            </w:r>
            <w:r w:rsidR="00746076">
              <w:rPr>
                <w:color w:val="000000" w:themeColor="text1"/>
                <w:lang w:val="en-US"/>
              </w:rPr>
              <w:t>]</w:t>
            </w:r>
          </w:p>
          <w:p w:rsidR="00223286" w:rsidRPr="00833DED" w:rsidRDefault="00223286" w:rsidP="004E1B8B">
            <w:pPr>
              <w:spacing w:before="120" w:after="0" w:line="240" w:lineRule="auto"/>
              <w:rPr>
                <w:color w:val="000000" w:themeColor="text1"/>
                <w:lang w:val="en-US"/>
              </w:rPr>
            </w:pPr>
            <w:r w:rsidRPr="00833DED">
              <w:rPr>
                <w:color w:val="000000" w:themeColor="text1"/>
                <w:lang w:val="en-US"/>
              </w:rPr>
              <w:t xml:space="preserve">Unshielded, </w:t>
            </w:r>
            <w:r w:rsidRPr="00833DED">
              <w:rPr>
                <w:color w:val="000000" w:themeColor="text1"/>
                <w:lang w:val="en-US"/>
              </w:rPr>
              <w:br/>
              <w:t>36-channel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ST</w:t>
            </w:r>
            <w:r w:rsidRPr="00833DED">
              <w:rPr>
                <w:rFonts w:ascii="Symbol" w:hAnsi="Symbol"/>
                <w:color w:val="000000" w:themeColor="text1"/>
                <w:lang w:val="en-US"/>
              </w:rPr>
              <w:t></w:t>
            </w:r>
            <w:r w:rsidRPr="00833DED">
              <w:rPr>
                <w:color w:val="000000" w:themeColor="text1"/>
                <w:lang w:val="en-US"/>
              </w:rPr>
              <w:t xml:space="preserve"> and T</w:t>
            </w:r>
            <w:r w:rsidRPr="00833DED">
              <w:rPr>
                <w:rFonts w:ascii="Symbol" w:hAnsi="Symbol" w:cs="Calibri"/>
                <w:color w:val="000000" w:themeColor="text1"/>
                <w:lang w:val="en-US"/>
              </w:rPr>
              <w:t></w:t>
            </w:r>
            <w:r w:rsidRPr="00833DED">
              <w:rPr>
                <w:rFonts w:cs="Calibri"/>
                <w:color w:val="000000" w:themeColor="text1"/>
                <w:lang w:val="en-US"/>
              </w:rPr>
              <w:t xml:space="preserve">, or one of the following: 1) Pattern with </w:t>
            </w:r>
            <w:r w:rsidRPr="00833DED">
              <w:rPr>
                <w:rFonts w:ascii="Times New Roman" w:hAnsi="Times New Roman" w:cs="Times New Roman"/>
                <w:color w:val="000000" w:themeColor="text1"/>
                <w:lang w:val="en-US"/>
              </w:rPr>
              <w:t>≥</w:t>
            </w:r>
            <w:r w:rsidRPr="00833DED">
              <w:rPr>
                <w:rFonts w:cs="Calibri"/>
                <w:color w:val="000000" w:themeColor="text1"/>
                <w:lang w:val="en-US"/>
              </w:rPr>
              <w:t xml:space="preserve">2 dipoles in the time interval between 100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at the end of </w:t>
            </w:r>
            <w:r w:rsidR="00900D96">
              <w:rPr>
                <w:rFonts w:cs="Calibri"/>
                <w:color w:val="000000" w:themeColor="text1"/>
                <w:lang w:val="en-US"/>
              </w:rPr>
              <w:br/>
            </w:r>
            <w:r w:rsidRPr="00833DED">
              <w:rPr>
                <w:rFonts w:cs="Calibri"/>
                <w:color w:val="000000" w:themeColor="text1"/>
                <w:lang w:val="en-US"/>
              </w:rPr>
              <w:t>S wave (S</w:t>
            </w:r>
            <w:r w:rsidRPr="00833DED">
              <w:rPr>
                <w:rFonts w:cs="Calibri"/>
                <w:color w:val="000000" w:themeColor="text1"/>
                <w:vertAlign w:val="subscript"/>
                <w:lang w:val="en-US"/>
              </w:rPr>
              <w:t>100</w:t>
            </w:r>
            <w:r w:rsidRPr="00833DED">
              <w:rPr>
                <w:rFonts w:cs="Calibri"/>
                <w:color w:val="000000" w:themeColor="text1"/>
                <w:lang w:val="en-US"/>
              </w:rPr>
              <w:t xml:space="preserve">) and </w:t>
            </w:r>
            <w:proofErr w:type="spellStart"/>
            <w:r w:rsidRPr="00833DED">
              <w:rPr>
                <w:rFonts w:cs="Calibri"/>
                <w:color w:val="000000" w:themeColor="text1"/>
                <w:lang w:val="en-US"/>
              </w:rPr>
              <w:t>T</w:t>
            </w:r>
            <w:r w:rsidRPr="00833DED">
              <w:rPr>
                <w:rFonts w:cs="Calibri"/>
                <w:color w:val="000000" w:themeColor="text1"/>
                <w:vertAlign w:val="subscript"/>
                <w:lang w:val="en-US"/>
              </w:rPr>
              <w:t>max</w:t>
            </w:r>
            <w:proofErr w:type="spellEnd"/>
            <w:r w:rsidRPr="00833DED">
              <w:rPr>
                <w:rFonts w:cs="Calibri"/>
                <w:color w:val="000000" w:themeColor="text1"/>
                <w:lang w:val="en-US"/>
              </w:rPr>
              <w:t xml:space="preserve">; </w:t>
            </w:r>
            <w:r w:rsidR="00900D96">
              <w:rPr>
                <w:rFonts w:cs="Calibri"/>
                <w:color w:val="000000" w:themeColor="text1"/>
                <w:lang w:val="en-US"/>
              </w:rPr>
              <w:br/>
            </w:r>
            <w:r w:rsidRPr="00833DED">
              <w:rPr>
                <w:rFonts w:cs="Calibri"/>
                <w:color w:val="000000" w:themeColor="text1"/>
                <w:lang w:val="en-US"/>
              </w:rPr>
              <w:t xml:space="preserve">2) Direction of the current vector between –20° and +110° for the same time interval; 3) If the current vector direction lies between +110° and –20°, one of three parameters had to be satisfactory: a) Change in the angle of the current vector &gt;60 in 30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of the change of angle of S</w:t>
            </w:r>
            <w:r w:rsidRPr="00833DED">
              <w:rPr>
                <w:rFonts w:cs="Calibri"/>
                <w:color w:val="000000" w:themeColor="text1"/>
                <w:vertAlign w:val="subscript"/>
                <w:lang w:val="en-US"/>
              </w:rPr>
              <w:t>100</w:t>
            </w:r>
            <w:r w:rsidRPr="00833DED">
              <w:rPr>
                <w:rFonts w:cs="Calibri"/>
                <w:color w:val="000000" w:themeColor="text1"/>
                <w:lang w:val="en-US"/>
              </w:rPr>
              <w:t>–T</w:t>
            </w:r>
            <w:r w:rsidRPr="00833DED">
              <w:rPr>
                <w:rFonts w:cs="Calibri"/>
                <w:color w:val="000000" w:themeColor="text1"/>
                <w:vertAlign w:val="subscript"/>
                <w:lang w:val="en-US"/>
              </w:rPr>
              <w:t>max</w:t>
            </w:r>
            <w:r w:rsidRPr="00833DED">
              <w:rPr>
                <w:rFonts w:cs="Calibri"/>
                <w:color w:val="000000" w:themeColor="text1"/>
                <w:lang w:val="en-US"/>
              </w:rPr>
              <w:t xml:space="preserve">; b) Change </w:t>
            </w:r>
            <w:r w:rsidR="00FB16A4">
              <w:rPr>
                <w:rFonts w:cs="Calibri"/>
                <w:color w:val="000000" w:themeColor="text1"/>
                <w:lang w:val="en-US"/>
              </w:rPr>
              <w:t xml:space="preserve">in </w:t>
            </w:r>
            <w:r w:rsidRPr="00833DED">
              <w:rPr>
                <w:rFonts w:cs="Calibri"/>
                <w:color w:val="000000" w:themeColor="text1"/>
                <w:lang w:val="en-US"/>
              </w:rPr>
              <w:t xml:space="preserve">the pole distance &gt;20 mm (in 30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of S</w:t>
            </w:r>
            <w:r w:rsidRPr="00833DED">
              <w:rPr>
                <w:rFonts w:cs="Calibri"/>
                <w:color w:val="000000" w:themeColor="text1"/>
                <w:vertAlign w:val="subscript"/>
                <w:lang w:val="en-US"/>
              </w:rPr>
              <w:t>100</w:t>
            </w:r>
            <w:r w:rsidRPr="00833DED">
              <w:rPr>
                <w:rFonts w:cs="Calibri"/>
                <w:color w:val="000000" w:themeColor="text1"/>
                <w:lang w:val="en-US"/>
              </w:rPr>
              <w:t>–</w:t>
            </w:r>
            <w:proofErr w:type="spellStart"/>
            <w:r w:rsidRPr="00833DED">
              <w:rPr>
                <w:rFonts w:cs="Calibri"/>
                <w:color w:val="000000" w:themeColor="text1"/>
                <w:lang w:val="en-US"/>
              </w:rPr>
              <w:t>T</w:t>
            </w:r>
            <w:r w:rsidRPr="00833DED">
              <w:rPr>
                <w:rFonts w:cs="Calibri"/>
                <w:color w:val="000000" w:themeColor="text1"/>
                <w:vertAlign w:val="subscript"/>
                <w:lang w:val="en-US"/>
              </w:rPr>
              <w:t>max</w:t>
            </w:r>
            <w:proofErr w:type="spellEnd"/>
            <w:r w:rsidRPr="00833DED">
              <w:rPr>
                <w:rFonts w:cs="Calibri"/>
                <w:color w:val="000000" w:themeColor="text1"/>
                <w:lang w:val="en-US"/>
              </w:rPr>
              <w:t xml:space="preserve">); c) Ratio magnetic field </w:t>
            </w:r>
            <w:r w:rsidRPr="00833DED">
              <w:rPr>
                <w:rFonts w:cs="Calibri"/>
                <w:color w:val="000000" w:themeColor="text1"/>
                <w:lang w:val="en-US"/>
              </w:rPr>
              <w:lastRenderedPageBreak/>
              <w:t xml:space="preserve">poles strength &gt; ± 0.3 (in 30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of S</w:t>
            </w:r>
            <w:r w:rsidRPr="00833DED">
              <w:rPr>
                <w:rFonts w:cs="Calibri"/>
                <w:color w:val="000000" w:themeColor="text1"/>
                <w:vertAlign w:val="subscript"/>
                <w:lang w:val="en-US"/>
              </w:rPr>
              <w:t>100</w:t>
            </w:r>
            <w:r w:rsidRPr="00833DED">
              <w:rPr>
                <w:rFonts w:cs="Calibri"/>
                <w:color w:val="000000" w:themeColor="text1"/>
                <w:lang w:val="en-US"/>
              </w:rPr>
              <w:t>–</w:t>
            </w:r>
            <w:proofErr w:type="spellStart"/>
            <w:r w:rsidRPr="00833DED">
              <w:rPr>
                <w:rFonts w:cs="Calibri"/>
                <w:color w:val="000000" w:themeColor="text1"/>
                <w:lang w:val="en-US"/>
              </w:rPr>
              <w:t>T</w:t>
            </w:r>
            <w:r w:rsidRPr="00833DED">
              <w:rPr>
                <w:rFonts w:cs="Calibri"/>
                <w:color w:val="000000" w:themeColor="text1"/>
                <w:vertAlign w:val="subscript"/>
                <w:lang w:val="en-US"/>
              </w:rPr>
              <w:t>max</w:t>
            </w:r>
            <w:proofErr w:type="spellEnd"/>
            <w:r w:rsidRPr="00833DED">
              <w:rPr>
                <w:rFonts w:cs="Calibri"/>
                <w:color w:val="000000" w:themeColor="text1"/>
                <w:lang w:val="en-US"/>
              </w:rPr>
              <w:t>)</w:t>
            </w:r>
          </w:p>
        </w:tc>
        <w:tc>
          <w:tcPr>
            <w:tcW w:w="3827" w:type="dxa"/>
            <w:shd w:val="clear" w:color="auto" w:fill="FFFFFF" w:themeFill="background1"/>
          </w:tcPr>
          <w:p w:rsidR="004E1B8B" w:rsidRDefault="00223286" w:rsidP="005E7FD7">
            <w:pPr>
              <w:spacing w:before="120" w:after="0" w:line="240" w:lineRule="auto"/>
              <w:rPr>
                <w:color w:val="000000" w:themeColor="text1"/>
                <w:lang w:val="en-US"/>
              </w:rPr>
            </w:pPr>
            <w:r w:rsidRPr="00833DED">
              <w:rPr>
                <w:color w:val="000000" w:themeColor="text1"/>
                <w:lang w:val="en-US"/>
              </w:rPr>
              <w:lastRenderedPageBreak/>
              <w:t>Anatomic CAD and functio</w:t>
            </w:r>
            <w:r w:rsidR="004E1B8B">
              <w:rPr>
                <w:color w:val="000000" w:themeColor="text1"/>
                <w:lang w:val="en-US"/>
              </w:rPr>
              <w:t>nal ischemia</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documented CAD by angiography (four by SPECT and exercise test) (21)</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Healthy subjects</w:t>
            </w:r>
            <w:r w:rsidRPr="00833DED">
              <w:rPr>
                <w:color w:val="000000" w:themeColor="text1"/>
                <w:lang w:val="en-US"/>
              </w:rPr>
              <w:t xml:space="preserve"> (13)</w:t>
            </w:r>
          </w:p>
        </w:tc>
        <w:tc>
          <w:tcPr>
            <w:tcW w:w="1985" w:type="dxa"/>
            <w:shd w:val="clear" w:color="auto" w:fill="FFFFFF" w:themeFill="background1"/>
          </w:tcPr>
          <w:p w:rsidR="004E1B8B" w:rsidRDefault="004E1B8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92.3%/92.6%</w:t>
            </w:r>
          </w:p>
        </w:tc>
        <w:tc>
          <w:tcPr>
            <w:tcW w:w="1984" w:type="dxa"/>
            <w:shd w:val="clear" w:color="auto" w:fill="FFFFFF" w:themeFill="background1"/>
          </w:tcPr>
          <w:p w:rsidR="004E1B8B" w:rsidRDefault="004E1B8B"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92.3%/NR</w:t>
            </w:r>
          </w:p>
        </w:tc>
        <w:tc>
          <w:tcPr>
            <w:tcW w:w="1451" w:type="dxa"/>
            <w:gridSpan w:val="2"/>
            <w:shd w:val="clear" w:color="auto" w:fill="FFFFFF" w:themeFill="background1"/>
          </w:tcPr>
          <w:p w:rsidR="004E1B8B" w:rsidRDefault="004E1B8B"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F327FA" w:rsidRDefault="00F327FA" w:rsidP="005E7FD7">
            <w:pPr>
              <w:spacing w:before="120" w:after="0" w:line="240" w:lineRule="auto"/>
              <w:rPr>
                <w:color w:val="000000" w:themeColor="text1"/>
                <w:lang w:val="en-US"/>
              </w:rPr>
            </w:pPr>
            <w:proofErr w:type="spellStart"/>
            <w:r>
              <w:rPr>
                <w:color w:val="000000" w:themeColor="text1"/>
                <w:lang w:val="en-US"/>
              </w:rPr>
              <w:t>Budnyk</w:t>
            </w:r>
            <w:proofErr w:type="spellEnd"/>
            <w:r>
              <w:rPr>
                <w:color w:val="000000" w:themeColor="text1"/>
                <w:lang w:val="en-US"/>
              </w:rPr>
              <w:t xml:space="preserve"> et al. 2004</w:t>
            </w:r>
            <w:r w:rsidR="00746076">
              <w:rPr>
                <w:color w:val="000000" w:themeColor="text1"/>
                <w:lang w:val="en-US"/>
              </w:rPr>
              <w:t xml:space="preserve"> [</w:t>
            </w:r>
            <w:r w:rsidR="00746076" w:rsidRPr="00744185">
              <w:rPr>
                <w:color w:val="000000" w:themeColor="text1"/>
                <w:lang w:val="en-US"/>
              </w:rPr>
              <w:t>e34</w:t>
            </w:r>
            <w:r w:rsidR="00746076">
              <w:rPr>
                <w:color w:val="000000" w:themeColor="text1"/>
                <w:lang w:val="en-US"/>
              </w:rPr>
              <w:t>]</w:t>
            </w: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Unshielded, 7-channel MCG post-exercise</w:t>
            </w:r>
          </w:p>
        </w:tc>
        <w:tc>
          <w:tcPr>
            <w:tcW w:w="3260" w:type="dxa"/>
            <w:shd w:val="clear" w:color="auto" w:fill="FFFFFF" w:themeFill="background1"/>
          </w:tcPr>
          <w:p w:rsidR="00223286" w:rsidRPr="00833DED" w:rsidRDefault="00223286" w:rsidP="005E7FD7">
            <w:pPr>
              <w:spacing w:before="120" w:after="0" w:line="240" w:lineRule="auto"/>
              <w:ind w:left="6" w:right="45"/>
              <w:rPr>
                <w:color w:val="000000" w:themeColor="text1"/>
                <w:lang w:val="en-US"/>
              </w:rPr>
            </w:pPr>
            <w:r w:rsidRPr="00833DED">
              <w:rPr>
                <w:rFonts w:cs="Calibri"/>
                <w:color w:val="000000" w:themeColor="text1"/>
                <w:lang w:val="en-US"/>
              </w:rPr>
              <w:t xml:space="preserve">MR, </w:t>
            </w:r>
            <w:proofErr w:type="spellStart"/>
            <w:r w:rsidRPr="00833DED">
              <w:rPr>
                <w:rFonts w:cs="Calibri"/>
                <w:color w:val="000000" w:themeColor="text1"/>
                <w:lang w:val="en-US"/>
              </w:rPr>
              <w:t>Nst</w:t>
            </w:r>
            <w:proofErr w:type="spellEnd"/>
            <w:r w:rsidRPr="00833DED">
              <w:rPr>
                <w:rFonts w:cs="Calibri"/>
                <w:color w:val="000000" w:themeColor="text1"/>
                <w:lang w:val="en-US"/>
              </w:rPr>
              <w:t xml:space="preserve">, IFH, and IFV </w:t>
            </w:r>
            <w:r w:rsidRPr="00833DED">
              <w:rPr>
                <w:color w:val="000000" w:themeColor="text1"/>
                <w:lang w:val="en-US"/>
              </w:rPr>
              <w:t xml:space="preserve">identified by LDA as best </w:t>
            </w:r>
            <w:r w:rsidRPr="00833DED">
              <w:rPr>
                <w:rFonts w:cs="Calibri"/>
                <w:color w:val="000000" w:themeColor="text1"/>
                <w:lang w:val="en-US"/>
              </w:rPr>
              <w:t>discriminant indices for CAD</w:t>
            </w:r>
          </w:p>
        </w:tc>
        <w:tc>
          <w:tcPr>
            <w:tcW w:w="3827" w:type="dxa"/>
            <w:shd w:val="clear" w:color="auto" w:fill="FFFFFF" w:themeFill="background1"/>
          </w:tcPr>
          <w:p w:rsidR="00F327FA" w:rsidRDefault="00F327FA"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CAD (42</w:t>
            </w:r>
            <w:r w:rsidR="0012416A">
              <w:rPr>
                <w:color w:val="000000" w:themeColor="text1"/>
                <w:lang w:val="en-US"/>
              </w:rPr>
              <w:t>; 11 with prior MI</w:t>
            </w:r>
            <w:r w:rsidRPr="00833DED">
              <w:rPr>
                <w:color w:val="000000" w:themeColor="text1"/>
                <w:lang w:val="en-US"/>
              </w:rPr>
              <w:t>)</w:t>
            </w:r>
          </w:p>
          <w:p w:rsidR="00223286" w:rsidRPr="00833DED" w:rsidRDefault="00223286" w:rsidP="005E7FD7">
            <w:pPr>
              <w:spacing w:before="120" w:after="0" w:line="240" w:lineRule="auto"/>
              <w:rPr>
                <w:rFonts w:cs="Calibri"/>
                <w:i/>
                <w:color w:val="000000" w:themeColor="text1"/>
                <w:lang w:val="en-US"/>
              </w:rPr>
            </w:pPr>
            <w:r w:rsidRPr="00833DED">
              <w:rPr>
                <w:i/>
                <w:color w:val="000000" w:themeColor="text1"/>
                <w:lang w:val="en-US"/>
              </w:rPr>
              <w:t>Healthy volunteers without cardiac pathology (44)</w:t>
            </w:r>
          </w:p>
        </w:tc>
        <w:tc>
          <w:tcPr>
            <w:tcW w:w="1985" w:type="dxa"/>
            <w:shd w:val="clear" w:color="auto" w:fill="FFFFFF" w:themeFill="background1"/>
          </w:tcPr>
          <w:p w:rsidR="00F327FA" w:rsidRDefault="00F327F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67%/67% (MR)</w:t>
            </w:r>
            <w:r w:rsidRPr="00833DED">
              <w:rPr>
                <w:rFonts w:cs="Calibri"/>
                <w:color w:val="000000" w:themeColor="text1"/>
                <w:lang w:val="en-US"/>
              </w:rPr>
              <w:br/>
              <w:t>70%/64% (</w:t>
            </w:r>
            <w:proofErr w:type="spellStart"/>
            <w:r w:rsidRPr="00833DED">
              <w:rPr>
                <w:rFonts w:cs="Calibri"/>
                <w:color w:val="000000" w:themeColor="text1"/>
                <w:lang w:val="en-US"/>
              </w:rPr>
              <w:t>Nst</w:t>
            </w:r>
            <w:proofErr w:type="spellEnd"/>
            <w:r w:rsidRPr="00833DED">
              <w:rPr>
                <w:rFonts w:cs="Calibri"/>
                <w:color w:val="000000" w:themeColor="text1"/>
                <w:lang w:val="en-US"/>
              </w:rPr>
              <w:t>)</w:t>
            </w:r>
            <w:r w:rsidRPr="00833DED">
              <w:rPr>
                <w:rFonts w:cs="Calibri"/>
                <w:color w:val="000000" w:themeColor="text1"/>
                <w:lang w:val="en-US"/>
              </w:rPr>
              <w:br/>
              <w:t>70%/61% (IFH)</w:t>
            </w:r>
            <w:r w:rsidRPr="00833DED">
              <w:rPr>
                <w:rFonts w:cs="Calibri"/>
                <w:color w:val="000000" w:themeColor="text1"/>
                <w:lang w:val="en-US"/>
              </w:rPr>
              <w:br/>
              <w:t>70%/58% (IFV)</w:t>
            </w:r>
          </w:p>
        </w:tc>
        <w:tc>
          <w:tcPr>
            <w:tcW w:w="1984" w:type="dxa"/>
            <w:shd w:val="clear" w:color="auto" w:fill="FFFFFF" w:themeFill="background1"/>
          </w:tcPr>
          <w:p w:rsidR="00F327FA" w:rsidRDefault="00F327FA" w:rsidP="005E7FD7">
            <w:pPr>
              <w:spacing w:before="120" w:after="0" w:line="240" w:lineRule="auto"/>
              <w:jc w:val="center"/>
              <w:rPr>
                <w:rFonts w:cs="Calibri"/>
                <w:color w:val="000000" w:themeColor="text1"/>
                <w:lang w:val="en-US"/>
              </w:rPr>
            </w:pPr>
          </w:p>
          <w:p w:rsidR="00223286" w:rsidRPr="00833DED" w:rsidRDefault="0012416A" w:rsidP="005E7FD7">
            <w:pPr>
              <w:spacing w:before="120" w:after="0" w:line="240" w:lineRule="auto"/>
              <w:jc w:val="center"/>
              <w:rPr>
                <w:rFonts w:cs="Calibri"/>
                <w:color w:val="000000" w:themeColor="text1"/>
                <w:lang w:val="en-US"/>
              </w:rPr>
            </w:pPr>
            <w:r>
              <w:rPr>
                <w:rFonts w:cs="Calibri"/>
                <w:color w:val="000000" w:themeColor="text1"/>
                <w:lang w:val="en-US"/>
              </w:rPr>
              <w:t>69%/64%</w:t>
            </w:r>
            <w:r>
              <w:rPr>
                <w:rFonts w:cs="Calibri"/>
                <w:color w:val="000000" w:themeColor="text1"/>
                <w:lang w:val="en-US"/>
              </w:rPr>
              <w:br/>
              <w:t>71%/62%</w:t>
            </w:r>
            <w:r>
              <w:rPr>
                <w:rFonts w:cs="Calibri"/>
                <w:color w:val="000000" w:themeColor="text1"/>
                <w:lang w:val="en-US"/>
              </w:rPr>
              <w:br/>
              <w:t>70%/61%</w:t>
            </w:r>
            <w:r>
              <w:rPr>
                <w:rFonts w:cs="Calibri"/>
                <w:color w:val="000000" w:themeColor="text1"/>
                <w:lang w:val="en-US"/>
              </w:rPr>
              <w:br/>
              <w:t>69%/59%</w:t>
            </w:r>
          </w:p>
        </w:tc>
        <w:tc>
          <w:tcPr>
            <w:tcW w:w="1451" w:type="dxa"/>
            <w:gridSpan w:val="2"/>
            <w:shd w:val="clear" w:color="auto" w:fill="FFFFFF" w:themeFill="background1"/>
          </w:tcPr>
          <w:p w:rsidR="00F327FA" w:rsidRDefault="00F327F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1D124A" w:rsidRDefault="001D124A" w:rsidP="005E7FD7">
            <w:pPr>
              <w:spacing w:before="120" w:after="0" w:line="240" w:lineRule="auto"/>
              <w:rPr>
                <w:color w:val="000000" w:themeColor="text1"/>
                <w:lang w:val="en-US"/>
              </w:rPr>
            </w:pPr>
            <w:proofErr w:type="spellStart"/>
            <w:r>
              <w:rPr>
                <w:color w:val="000000" w:themeColor="text1"/>
                <w:lang w:val="en-US"/>
              </w:rPr>
              <w:t>Fenici</w:t>
            </w:r>
            <w:proofErr w:type="spellEnd"/>
            <w:r>
              <w:rPr>
                <w:color w:val="000000" w:themeColor="text1"/>
                <w:lang w:val="en-US"/>
              </w:rPr>
              <w:t xml:space="preserve"> et al. 2004</w:t>
            </w:r>
            <w:r w:rsidR="00746076">
              <w:rPr>
                <w:color w:val="000000" w:themeColor="text1"/>
                <w:lang w:val="en-US"/>
              </w:rPr>
              <w:t xml:space="preserve"> [</w:t>
            </w:r>
            <w:r w:rsidR="00746076" w:rsidRPr="00744185">
              <w:rPr>
                <w:color w:val="000000" w:themeColor="text1"/>
                <w:lang w:val="en-US"/>
              </w:rPr>
              <w:t>e36</w:t>
            </w:r>
            <w:r w:rsidR="00746076">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Unshielded, </w:t>
            </w:r>
            <w:r w:rsidRPr="00833DED">
              <w:rPr>
                <w:color w:val="000000" w:themeColor="text1"/>
                <w:lang w:val="en-US"/>
              </w:rPr>
              <w:br/>
              <w:t>36-channel MCG at rest</w:t>
            </w:r>
          </w:p>
        </w:tc>
        <w:tc>
          <w:tcPr>
            <w:tcW w:w="3260" w:type="dxa"/>
            <w:shd w:val="clear" w:color="auto" w:fill="FFFFFF" w:themeFill="background1"/>
          </w:tcPr>
          <w:p w:rsidR="00223286" w:rsidRPr="00833DED" w:rsidRDefault="00223286" w:rsidP="00FB16A4">
            <w:pPr>
              <w:spacing w:before="120" w:after="0" w:line="240" w:lineRule="auto"/>
              <w:rPr>
                <w:color w:val="000000" w:themeColor="text1"/>
                <w:lang w:val="en-US"/>
              </w:rPr>
            </w:pPr>
            <w:r w:rsidRPr="00833DED">
              <w:rPr>
                <w:color w:val="000000" w:themeColor="text1"/>
                <w:lang w:val="en-US"/>
              </w:rPr>
              <w:t xml:space="preserve">Angle (A), distance (D), and ratio (R) </w:t>
            </w:r>
            <w:r w:rsidR="00FB16A4">
              <w:rPr>
                <w:color w:val="000000" w:themeColor="text1"/>
                <w:lang w:val="en-US"/>
              </w:rPr>
              <w:t>dynamics</w:t>
            </w:r>
            <w:r w:rsidR="001D124A">
              <w:rPr>
                <w:color w:val="000000" w:themeColor="text1"/>
                <w:lang w:val="en-US"/>
              </w:rPr>
              <w:t xml:space="preserve"> </w:t>
            </w:r>
            <w:r w:rsidRPr="00833DED">
              <w:rPr>
                <w:color w:val="000000" w:themeColor="text1"/>
                <w:lang w:val="en-US"/>
              </w:rPr>
              <w:t>of the dipoles during the T wave interval and ST</w:t>
            </w:r>
            <w:r w:rsidRPr="00833DED">
              <w:rPr>
                <w:rFonts w:ascii="Symbol" w:hAnsi="Symbol" w:cs="Calibri"/>
                <w:color w:val="000000" w:themeColor="text1"/>
                <w:lang w:val="en-US"/>
              </w:rPr>
              <w:t></w:t>
            </w:r>
            <w:r w:rsidRPr="00833DED">
              <w:rPr>
                <w:color w:val="000000" w:themeColor="text1"/>
                <w:lang w:val="en-US"/>
              </w:rPr>
              <w:t xml:space="preserve"> angle as prespecified criteria</w:t>
            </w:r>
          </w:p>
        </w:tc>
        <w:tc>
          <w:tcPr>
            <w:tcW w:w="3827" w:type="dxa"/>
            <w:shd w:val="clear" w:color="auto" w:fill="FFFFFF" w:themeFill="background1"/>
          </w:tcPr>
          <w:p w:rsidR="001D124A" w:rsidRDefault="001D124A"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IHD and angiographically proven &gt;70% coronary stenosis and positive stress/SPECT (19)</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volunteers (20)</w:t>
            </w:r>
          </w:p>
        </w:tc>
        <w:tc>
          <w:tcPr>
            <w:tcW w:w="1985" w:type="dxa"/>
            <w:shd w:val="clear" w:color="auto" w:fill="FFFFFF" w:themeFill="background1"/>
          </w:tcPr>
          <w:p w:rsidR="001D124A" w:rsidRDefault="001D124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20 Hz low pass filtering:</w:t>
            </w:r>
            <w:r w:rsidRPr="00833DED">
              <w:rPr>
                <w:rFonts w:cs="Calibri"/>
                <w:color w:val="000000" w:themeColor="text1"/>
                <w:lang w:val="en-US"/>
              </w:rPr>
              <w:br/>
              <w:t>100%/32% (A)</w:t>
            </w:r>
            <w:r w:rsidRPr="00833DED">
              <w:rPr>
                <w:rFonts w:cs="Calibri"/>
                <w:color w:val="000000" w:themeColor="text1"/>
                <w:lang w:val="en-US"/>
              </w:rPr>
              <w:br/>
              <w:t>90%/42% (D)</w:t>
            </w:r>
            <w:r w:rsidRPr="00833DED">
              <w:rPr>
                <w:rFonts w:cs="Calibri"/>
                <w:color w:val="000000" w:themeColor="text1"/>
                <w:lang w:val="en-US"/>
              </w:rPr>
              <w:br/>
              <w:t>80%/42% (R)</w:t>
            </w:r>
            <w:r w:rsidRPr="00833DED">
              <w:rPr>
                <w:rFonts w:cs="Calibri"/>
                <w:color w:val="000000" w:themeColor="text1"/>
                <w:lang w:val="en-US"/>
              </w:rPr>
              <w:br/>
              <w:t>70%/79% (ST</w:t>
            </w:r>
            <w:r w:rsidRPr="00833DED">
              <w:rPr>
                <w:rFonts w:ascii="Symbol" w:hAnsi="Symbol" w:cs="Calibri"/>
                <w:color w:val="000000" w:themeColor="text1"/>
                <w:lang w:val="en-US"/>
              </w:rPr>
              <w:t></w:t>
            </w:r>
            <w:r w:rsidRPr="00833DED">
              <w:rPr>
                <w:rFonts w:cs="Calibri"/>
                <w:color w:val="000000" w:themeColor="text1"/>
                <w:lang w:val="en-US"/>
              </w:rPr>
              <w:t>)</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50 Hz adaptive filtering:</w:t>
            </w:r>
            <w:r w:rsidRPr="00833DED">
              <w:rPr>
                <w:rFonts w:cs="Calibri"/>
                <w:color w:val="000000" w:themeColor="text1"/>
                <w:lang w:val="en-US"/>
              </w:rPr>
              <w:br/>
              <w:t>100%/47% (A)</w:t>
            </w:r>
            <w:r w:rsidRPr="00833DED">
              <w:rPr>
                <w:rFonts w:cs="Calibri"/>
                <w:color w:val="000000" w:themeColor="text1"/>
                <w:lang w:val="en-US"/>
              </w:rPr>
              <w:br/>
              <w:t>65%/74% (D)</w:t>
            </w:r>
            <w:r w:rsidRPr="00833DED">
              <w:rPr>
                <w:rFonts w:cs="Calibri"/>
                <w:color w:val="000000" w:themeColor="text1"/>
                <w:lang w:val="en-US"/>
              </w:rPr>
              <w:br/>
              <w:t>50%/63% (R)</w:t>
            </w:r>
            <w:r w:rsidRPr="00833DED">
              <w:rPr>
                <w:rFonts w:cs="Calibri"/>
                <w:color w:val="000000" w:themeColor="text1"/>
                <w:lang w:val="en-US"/>
              </w:rPr>
              <w:br/>
              <w:t>75%/79% (ST</w:t>
            </w:r>
            <w:r w:rsidRPr="00833DED">
              <w:rPr>
                <w:rFonts w:ascii="Symbol" w:hAnsi="Symbol" w:cs="Calibri"/>
                <w:color w:val="000000" w:themeColor="text1"/>
                <w:lang w:val="en-US"/>
              </w:rPr>
              <w:t></w:t>
            </w:r>
            <w:r w:rsidRPr="00833DED">
              <w:rPr>
                <w:rFonts w:cs="Calibri"/>
                <w:color w:val="000000" w:themeColor="text1"/>
                <w:lang w:val="en-US"/>
              </w:rPr>
              <w:t>)</w:t>
            </w:r>
          </w:p>
        </w:tc>
        <w:tc>
          <w:tcPr>
            <w:tcW w:w="1984" w:type="dxa"/>
            <w:shd w:val="clear" w:color="auto" w:fill="FFFFFF" w:themeFill="background1"/>
          </w:tcPr>
          <w:p w:rsidR="001D124A" w:rsidRDefault="001D124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20 Hz low pass filtering:</w:t>
            </w:r>
            <w:r w:rsidRPr="00833DED">
              <w:rPr>
                <w:rFonts w:cs="Calibri"/>
                <w:color w:val="000000" w:themeColor="text1"/>
                <w:lang w:val="en-US"/>
              </w:rPr>
              <w:br/>
              <w:t>100%/60% (A)</w:t>
            </w:r>
            <w:r w:rsidRPr="00833DED">
              <w:rPr>
                <w:rFonts w:cs="Calibri"/>
                <w:color w:val="000000" w:themeColor="text1"/>
                <w:lang w:val="en-US"/>
              </w:rPr>
              <w:br/>
              <w:t>80%/62% (D)</w:t>
            </w:r>
            <w:r w:rsidRPr="00833DED">
              <w:rPr>
                <w:rFonts w:cs="Calibri"/>
                <w:color w:val="000000" w:themeColor="text1"/>
                <w:lang w:val="en-US"/>
              </w:rPr>
              <w:br/>
              <w:t>67%/59% (R)</w:t>
            </w:r>
            <w:r w:rsidRPr="00833DED">
              <w:rPr>
                <w:rFonts w:cs="Calibri"/>
                <w:color w:val="000000" w:themeColor="text1"/>
                <w:lang w:val="en-US"/>
              </w:rPr>
              <w:br/>
              <w:t>71%/79% (ST</w:t>
            </w:r>
            <w:r w:rsidRPr="00833DED">
              <w:rPr>
                <w:rFonts w:ascii="Symbol" w:hAnsi="Symbol" w:cs="Calibri"/>
                <w:color w:val="000000" w:themeColor="text1"/>
                <w:lang w:val="en-US"/>
              </w:rPr>
              <w:t></w:t>
            </w:r>
            <w:r w:rsidRPr="00833DED">
              <w:rPr>
                <w:rFonts w:cs="Calibri"/>
                <w:color w:val="000000" w:themeColor="text1"/>
                <w:lang w:val="en-US"/>
              </w:rPr>
              <w:t>)</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50 Hz adaptive filtering:</w:t>
            </w:r>
            <w:r w:rsidRPr="00833DED">
              <w:rPr>
                <w:rFonts w:cs="Calibri"/>
                <w:color w:val="000000" w:themeColor="text1"/>
                <w:lang w:val="en-US"/>
              </w:rPr>
              <w:br/>
              <w:t>100%/66% (A)</w:t>
            </w:r>
            <w:r w:rsidRPr="00833DED">
              <w:rPr>
                <w:rFonts w:cs="Calibri"/>
                <w:color w:val="000000" w:themeColor="text1"/>
                <w:lang w:val="en-US"/>
              </w:rPr>
              <w:br/>
              <w:t>67%/72% (D)</w:t>
            </w:r>
            <w:r w:rsidRPr="00833DED">
              <w:rPr>
                <w:rFonts w:cs="Calibri"/>
                <w:color w:val="000000" w:themeColor="text1"/>
                <w:lang w:val="en-US"/>
              </w:rPr>
              <w:br/>
              <w:t>55%/59% (R)</w:t>
            </w:r>
            <w:r w:rsidRPr="00833DED">
              <w:rPr>
                <w:rFonts w:cs="Calibri"/>
                <w:color w:val="000000" w:themeColor="text1"/>
                <w:lang w:val="en-US"/>
              </w:rPr>
              <w:br/>
              <w:t>75%/79% (ST</w:t>
            </w:r>
            <w:r w:rsidRPr="00833DED">
              <w:rPr>
                <w:rFonts w:ascii="Symbol" w:hAnsi="Symbol" w:cs="Calibri"/>
                <w:color w:val="000000" w:themeColor="text1"/>
                <w:lang w:val="en-US"/>
              </w:rPr>
              <w:t></w:t>
            </w:r>
            <w:r w:rsidRPr="00833DED">
              <w:rPr>
                <w:rFonts w:cs="Calibri"/>
                <w:color w:val="000000" w:themeColor="text1"/>
                <w:lang w:val="en-US"/>
              </w:rPr>
              <w:t>)</w:t>
            </w:r>
          </w:p>
        </w:tc>
        <w:tc>
          <w:tcPr>
            <w:tcW w:w="1451" w:type="dxa"/>
            <w:gridSpan w:val="2"/>
            <w:shd w:val="clear" w:color="auto" w:fill="FFFFFF" w:themeFill="background1"/>
          </w:tcPr>
          <w:p w:rsidR="001D124A" w:rsidRDefault="001D124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Ono et al. 2004</w:t>
            </w:r>
            <w:r w:rsidR="00F50BBC">
              <w:rPr>
                <w:color w:val="000000" w:themeColor="text1"/>
                <w:lang w:val="en-US"/>
              </w:rPr>
              <w:t xml:space="preserve"> [</w:t>
            </w:r>
            <w:r w:rsidR="00F50BBC" w:rsidRPr="00744185">
              <w:rPr>
                <w:color w:val="000000" w:themeColor="text1"/>
                <w:lang w:val="en-US"/>
              </w:rPr>
              <w:t>e53</w:t>
            </w:r>
            <w:r w:rsidR="00F50BBC">
              <w:rPr>
                <w:color w:val="000000" w:themeColor="text1"/>
                <w:lang w:val="en-US"/>
              </w:rPr>
              <w:t>]</w:t>
            </w:r>
          </w:p>
          <w:p w:rsidR="00223286" w:rsidRPr="00833DED" w:rsidRDefault="000931BF" w:rsidP="005E7FD7">
            <w:pPr>
              <w:spacing w:before="120" w:after="0" w:line="240" w:lineRule="auto"/>
              <w:rPr>
                <w:color w:val="000000" w:themeColor="text1"/>
                <w:lang w:val="en-US"/>
              </w:rPr>
            </w:pPr>
            <w:r>
              <w:rPr>
                <w:color w:val="000000" w:themeColor="text1"/>
                <w:lang w:val="en-US"/>
              </w:rPr>
              <w:t>64-channel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MFM wave front vector calculated for the ST-T period as a parameter for Bayesian classification</w:t>
            </w:r>
          </w:p>
        </w:tc>
        <w:tc>
          <w:tcPr>
            <w:tcW w:w="3827"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Previous MI</w:t>
            </w:r>
            <w:r w:rsidRPr="00833DED">
              <w:rPr>
                <w:color w:val="000000" w:themeColor="text1"/>
                <w:lang w:val="en-US"/>
              </w:rPr>
              <w:br/>
              <w:t>Patients with old MI in whom coronary angiography was carried out to determine the area of the infarction (6)</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Subjects with normal ECG (15)</w:t>
            </w:r>
          </w:p>
        </w:tc>
        <w:tc>
          <w:tcPr>
            <w:tcW w:w="1985" w:type="dxa"/>
            <w:shd w:val="clear" w:color="auto" w:fill="FFFFFF" w:themeFill="background1"/>
          </w:tcPr>
          <w:p w:rsidR="00223286" w:rsidRPr="00833DED" w:rsidRDefault="00223286" w:rsidP="005E7FD7">
            <w:pPr>
              <w:spacing w:before="120" w:after="0" w:line="240" w:lineRule="auto"/>
              <w:ind w:left="6"/>
              <w:jc w:val="center"/>
              <w:rPr>
                <w:color w:val="000000" w:themeColor="text1"/>
                <w:lang w:val="en-US"/>
              </w:rPr>
            </w:pPr>
            <w:r w:rsidRPr="00833DED">
              <w:rPr>
                <w:color w:val="000000" w:themeColor="text1"/>
                <w:lang w:val="en-US"/>
              </w:rPr>
              <w:t>100%/83%</w:t>
            </w:r>
          </w:p>
        </w:tc>
        <w:tc>
          <w:tcPr>
            <w:tcW w:w="1984" w:type="dxa"/>
            <w:shd w:val="clear" w:color="auto" w:fill="FFFFFF" w:themeFill="background1"/>
          </w:tcPr>
          <w:p w:rsidR="00223286" w:rsidRPr="00833DED" w:rsidRDefault="00223286" w:rsidP="005E7FD7">
            <w:pPr>
              <w:spacing w:before="120" w:after="0" w:line="240" w:lineRule="auto"/>
              <w:jc w:val="center"/>
              <w:rPr>
                <w:color w:val="000000" w:themeColor="text1"/>
                <w:lang w:val="en-US"/>
              </w:rPr>
            </w:pPr>
            <w:r w:rsidRPr="00833DED">
              <w:rPr>
                <w:color w:val="000000" w:themeColor="text1"/>
                <w:lang w:val="en-US"/>
              </w:rPr>
              <w:t>100%/94%</w:t>
            </w:r>
          </w:p>
        </w:tc>
        <w:tc>
          <w:tcPr>
            <w:tcW w:w="1451" w:type="dxa"/>
            <w:gridSpan w:val="2"/>
            <w:shd w:val="clear" w:color="auto" w:fill="FFFFFF" w:themeFill="background1"/>
          </w:tcPr>
          <w:p w:rsidR="00223286" w:rsidRPr="00833DED" w:rsidRDefault="000931BF" w:rsidP="005E7FD7">
            <w:pPr>
              <w:spacing w:before="120" w:after="0" w:line="240" w:lineRule="auto"/>
              <w:rPr>
                <w:color w:val="000000" w:themeColor="text1"/>
                <w:lang w:val="en-US"/>
              </w:rPr>
            </w:pPr>
            <w:r>
              <w:rPr>
                <w:rFonts w:cs="Calibri"/>
                <w:color w:val="000000" w:themeColor="text1"/>
                <w:lang w:val="en-US"/>
              </w:rPr>
              <w:t>ECG</w:t>
            </w:r>
          </w:p>
        </w:tc>
      </w:tr>
      <w:tr w:rsidR="00223286" w:rsidRPr="003855DB" w:rsidTr="00BF21C9">
        <w:tc>
          <w:tcPr>
            <w:tcW w:w="2235" w:type="dxa"/>
            <w:shd w:val="clear" w:color="auto" w:fill="FFFFFF" w:themeFill="background1"/>
          </w:tcPr>
          <w:p w:rsidR="00900B8C" w:rsidRDefault="00900B8C" w:rsidP="005E7FD7">
            <w:pPr>
              <w:spacing w:before="120" w:after="0" w:line="240" w:lineRule="auto"/>
              <w:rPr>
                <w:color w:val="000000" w:themeColor="text1"/>
                <w:lang w:val="en-US"/>
              </w:rPr>
            </w:pPr>
            <w:proofErr w:type="spellStart"/>
            <w:r>
              <w:rPr>
                <w:color w:val="000000" w:themeColor="text1"/>
                <w:lang w:val="en-US"/>
              </w:rPr>
              <w:lastRenderedPageBreak/>
              <w:t>Fenici</w:t>
            </w:r>
            <w:proofErr w:type="spellEnd"/>
            <w:r>
              <w:rPr>
                <w:color w:val="000000" w:themeColor="text1"/>
                <w:lang w:val="en-US"/>
              </w:rPr>
              <w:t xml:space="preserve"> et al. 2005</w:t>
            </w:r>
            <w:r w:rsidR="00F50BBC">
              <w:rPr>
                <w:color w:val="000000" w:themeColor="text1"/>
                <w:lang w:val="en-US"/>
              </w:rPr>
              <w:t xml:space="preserve"> [</w:t>
            </w:r>
            <w:r w:rsidR="00F50BBC" w:rsidRPr="00744185">
              <w:rPr>
                <w:color w:val="000000" w:themeColor="text1"/>
                <w:lang w:val="en-US"/>
              </w:rPr>
              <w:t>e37</w:t>
            </w:r>
            <w:r w:rsidR="00F50BBC">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Unshielded, </w:t>
            </w:r>
            <w:r w:rsidRPr="00833DED">
              <w:rPr>
                <w:color w:val="000000" w:themeColor="text1"/>
                <w:lang w:val="en-US"/>
              </w:rPr>
              <w:br/>
              <w:t>36-channel MCG at rest</w:t>
            </w:r>
          </w:p>
        </w:tc>
        <w:tc>
          <w:tcPr>
            <w:tcW w:w="3260" w:type="dxa"/>
            <w:shd w:val="clear" w:color="auto" w:fill="FFFFFF" w:themeFill="background1"/>
          </w:tcPr>
          <w:p w:rsidR="00223286" w:rsidRPr="00833DED" w:rsidRDefault="00223286" w:rsidP="00900B8C">
            <w:pPr>
              <w:spacing w:before="120" w:after="0" w:line="240" w:lineRule="auto"/>
              <w:rPr>
                <w:color w:val="000000" w:themeColor="text1"/>
                <w:lang w:val="en-US"/>
              </w:rPr>
            </w:pPr>
            <w:r w:rsidRPr="00833DED">
              <w:rPr>
                <w:color w:val="000000" w:themeColor="text1"/>
                <w:lang w:val="en-US"/>
              </w:rPr>
              <w:t xml:space="preserve">Machine learning classification </w:t>
            </w:r>
            <w:r w:rsidR="00900B8C">
              <w:rPr>
                <w:color w:val="000000" w:themeColor="text1"/>
                <w:lang w:val="en-US"/>
              </w:rPr>
              <w:t>based on scores for the dipoles (&gt;0) and</w:t>
            </w:r>
            <w:r w:rsidRPr="00833DED">
              <w:rPr>
                <w:color w:val="000000" w:themeColor="text1"/>
                <w:lang w:val="en-US"/>
              </w:rPr>
              <w:t xml:space="preserve"> </w:t>
            </w:r>
            <w:r w:rsidR="00900B8C">
              <w:rPr>
                <w:color w:val="000000" w:themeColor="text1"/>
                <w:lang w:val="en-US"/>
              </w:rPr>
              <w:t xml:space="preserve">T wave </w:t>
            </w:r>
            <w:r w:rsidRPr="00833DED">
              <w:rPr>
                <w:color w:val="000000" w:themeColor="text1"/>
                <w:lang w:val="en-US"/>
              </w:rPr>
              <w:t>extrema (angle [&gt;45</w:t>
            </w:r>
            <w:r w:rsidRPr="00833DED">
              <w:rPr>
                <w:rFonts w:ascii="Times New Roman" w:hAnsi="Times New Roman" w:cs="Times New Roman"/>
                <w:color w:val="000000" w:themeColor="text1"/>
                <w:lang w:val="en-US"/>
              </w:rPr>
              <w:t>°</w:t>
            </w:r>
            <w:r w:rsidRPr="00833DED">
              <w:rPr>
                <w:color w:val="000000" w:themeColor="text1"/>
                <w:lang w:val="en-US"/>
              </w:rPr>
              <w:t xml:space="preserve">], distance [&gt;20 mm], ratio [&gt;0.3]) of the MFM in 30 </w:t>
            </w:r>
            <w:proofErr w:type="spellStart"/>
            <w:r w:rsidRPr="00833DED">
              <w:rPr>
                <w:color w:val="000000" w:themeColor="text1"/>
                <w:lang w:val="en-US"/>
              </w:rPr>
              <w:t>msec</w:t>
            </w:r>
            <w:proofErr w:type="spellEnd"/>
            <w:r w:rsidRPr="00833DED">
              <w:rPr>
                <w:color w:val="000000" w:themeColor="text1"/>
                <w:lang w:val="en-US"/>
              </w:rPr>
              <w:t xml:space="preserve"> intervals during the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vertAlign w:val="subscript"/>
                <w:lang w:val="en-US"/>
              </w:rPr>
              <w:t>/3</w:t>
            </w:r>
            <w:r w:rsidRPr="00833DED">
              <w:rPr>
                <w:color w:val="000000" w:themeColor="text1"/>
                <w:lang w:val="en-US"/>
              </w:rPr>
              <w:t xml:space="preserve"> to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lang w:val="en-US"/>
              </w:rPr>
              <w:t>, and ST</w:t>
            </w:r>
            <w:r w:rsidRPr="00833DED">
              <w:rPr>
                <w:rFonts w:ascii="Symbol" w:hAnsi="Symbol"/>
                <w:color w:val="000000" w:themeColor="text1"/>
                <w:lang w:val="en-US"/>
              </w:rPr>
              <w:t></w:t>
            </w:r>
            <w:r w:rsidRPr="00833DED">
              <w:rPr>
                <w:color w:val="000000" w:themeColor="text1"/>
                <w:lang w:val="en-US"/>
              </w:rPr>
              <w:t xml:space="preserve"> and T</w:t>
            </w:r>
            <w:r w:rsidRPr="00833DED">
              <w:rPr>
                <w:rFonts w:ascii="Symbol" w:hAnsi="Symbol"/>
                <w:color w:val="000000" w:themeColor="text1"/>
                <w:lang w:val="en-US"/>
              </w:rPr>
              <w:t></w:t>
            </w:r>
            <w:r w:rsidRPr="00833DED">
              <w:rPr>
                <w:color w:val="000000" w:themeColor="text1"/>
                <w:lang w:val="en-US"/>
              </w:rPr>
              <w:t xml:space="preserve"> (0– 90</w:t>
            </w:r>
            <w:r w:rsidRPr="00833DED">
              <w:rPr>
                <w:rFonts w:ascii="Times New Roman" w:hAnsi="Times New Roman" w:cs="Times New Roman"/>
                <w:color w:val="000000" w:themeColor="text1"/>
                <w:lang w:val="en-US"/>
              </w:rPr>
              <w:t xml:space="preserve">° </w:t>
            </w:r>
            <w:r w:rsidRPr="00833DED">
              <w:rPr>
                <w:color w:val="000000" w:themeColor="text1"/>
                <w:lang w:val="en-US"/>
              </w:rPr>
              <w:t>normal) as prespecified discriminatory criteria</w:t>
            </w:r>
          </w:p>
        </w:tc>
        <w:tc>
          <w:tcPr>
            <w:tcW w:w="3827" w:type="dxa"/>
            <w:shd w:val="clear" w:color="auto" w:fill="FFFFFF" w:themeFill="background1"/>
          </w:tcPr>
          <w:p w:rsidR="00900B8C" w:rsidRDefault="00900B8C"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 xml:space="preserve">Subgroup of patients classified as ischemic on the basis of clinical criteria </w:t>
            </w:r>
            <w:r w:rsidR="00900B8C">
              <w:rPr>
                <w:color w:val="000000" w:themeColor="text1"/>
                <w:lang w:val="en-US"/>
              </w:rPr>
              <w:t xml:space="preserve">and diagnostic tests, </w:t>
            </w:r>
            <w:r w:rsidRPr="00833DED">
              <w:rPr>
                <w:color w:val="000000" w:themeColor="text1"/>
                <w:lang w:val="en-US"/>
              </w:rPr>
              <w:t>and who did not receive PCI (32)</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with no evidence of CVD at clinical history, normal physical examination, and echocardiography (33)</w:t>
            </w:r>
          </w:p>
        </w:tc>
        <w:tc>
          <w:tcPr>
            <w:tcW w:w="1985" w:type="dxa"/>
            <w:shd w:val="clear" w:color="auto" w:fill="FFFFFF" w:themeFill="background1"/>
          </w:tcPr>
          <w:p w:rsidR="00900B8C" w:rsidRDefault="00900B8C"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85%/75%</w:t>
            </w:r>
          </w:p>
        </w:tc>
        <w:tc>
          <w:tcPr>
            <w:tcW w:w="1984" w:type="dxa"/>
            <w:shd w:val="clear" w:color="auto" w:fill="FFFFFF" w:themeFill="background1"/>
          </w:tcPr>
          <w:p w:rsidR="00900B8C" w:rsidRDefault="00900B8C"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83%/78%</w:t>
            </w:r>
          </w:p>
        </w:tc>
        <w:tc>
          <w:tcPr>
            <w:tcW w:w="1451" w:type="dxa"/>
            <w:gridSpan w:val="2"/>
            <w:shd w:val="clear" w:color="auto" w:fill="FFFFFF" w:themeFill="background1"/>
          </w:tcPr>
          <w:p w:rsidR="00900B8C" w:rsidRDefault="00900B8C"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F21DCA" w:rsidRDefault="00F21DCA" w:rsidP="005E7FD7">
            <w:pPr>
              <w:spacing w:before="120" w:after="0" w:line="240" w:lineRule="auto"/>
              <w:rPr>
                <w:color w:val="000000" w:themeColor="text1"/>
                <w:lang w:val="en-US"/>
              </w:rPr>
            </w:pPr>
            <w:r>
              <w:rPr>
                <w:color w:val="000000" w:themeColor="text1"/>
                <w:lang w:val="en-US"/>
              </w:rPr>
              <w:t>Hailer et al. 2005</w:t>
            </w:r>
            <w:r w:rsidR="00F50BBC">
              <w:rPr>
                <w:color w:val="000000" w:themeColor="text1"/>
                <w:lang w:val="en-US"/>
              </w:rPr>
              <w:t xml:space="preserve"> [</w:t>
            </w:r>
            <w:r w:rsidR="00F50BBC" w:rsidRPr="00744185">
              <w:rPr>
                <w:color w:val="000000" w:themeColor="text1"/>
                <w:lang w:val="en-US"/>
              </w:rPr>
              <w:t>e38</w:t>
            </w:r>
            <w:r w:rsidR="00F50BBC">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Unshielded, 4-channel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Current density vector map at </w:t>
            </w:r>
            <w:r w:rsidRPr="00833DED">
              <w:rPr>
                <w:color w:val="000000" w:themeColor="text1"/>
                <w:lang w:val="en-US"/>
              </w:rPr>
              <w:br/>
              <w:t xml:space="preserve">10 </w:t>
            </w:r>
            <w:proofErr w:type="spellStart"/>
            <w:r w:rsidRPr="00833DED">
              <w:rPr>
                <w:color w:val="000000" w:themeColor="text1"/>
                <w:lang w:val="en-US"/>
              </w:rPr>
              <w:t>msec</w:t>
            </w:r>
            <w:proofErr w:type="spellEnd"/>
            <w:r w:rsidRPr="00833DED">
              <w:rPr>
                <w:color w:val="000000" w:themeColor="text1"/>
                <w:lang w:val="en-US"/>
              </w:rPr>
              <w:t xml:space="preserve"> intervals during ST-T interval classified on a scale of 0 (normal) to 4 (grossly abnormal) with a cut-off of 39.2% identified as discriminatory</w:t>
            </w:r>
          </w:p>
        </w:tc>
        <w:tc>
          <w:tcPr>
            <w:tcW w:w="3827" w:type="dxa"/>
            <w:shd w:val="clear" w:color="auto" w:fill="FFFFFF" w:themeFill="background1"/>
          </w:tcPr>
          <w:p w:rsidR="00F21DCA" w:rsidRDefault="00F21DCA"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stable angina and CAD angiographically proven ≥50% stenosis of a vessel with no history of MI (174)</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Healthy subjects with no history of CVD, normal ECG at rest and stress, and normal echocardiogram at rest (</w:t>
            </w:r>
            <w:r w:rsidRPr="00833DED">
              <w:rPr>
                <w:color w:val="000000" w:themeColor="text1"/>
                <w:lang w:val="en-US"/>
              </w:rPr>
              <w:t>117)</w:t>
            </w:r>
          </w:p>
        </w:tc>
        <w:tc>
          <w:tcPr>
            <w:tcW w:w="1985" w:type="dxa"/>
            <w:shd w:val="clear" w:color="auto" w:fill="FFFFFF" w:themeFill="background1"/>
          </w:tcPr>
          <w:p w:rsidR="00F21DCA" w:rsidRDefault="00F21DCA" w:rsidP="005E7FD7">
            <w:pPr>
              <w:spacing w:before="120" w:after="0" w:line="240" w:lineRule="auto"/>
              <w:jc w:val="center"/>
              <w:rPr>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color w:val="000000" w:themeColor="text1"/>
                <w:lang w:val="en-US"/>
              </w:rPr>
              <w:t>70.1%/73.3%</w:t>
            </w:r>
          </w:p>
        </w:tc>
        <w:tc>
          <w:tcPr>
            <w:tcW w:w="1984" w:type="dxa"/>
            <w:shd w:val="clear" w:color="auto" w:fill="FFFFFF" w:themeFill="background1"/>
          </w:tcPr>
          <w:p w:rsidR="00F21DCA" w:rsidRDefault="00F21DCA" w:rsidP="005E7FD7">
            <w:pPr>
              <w:spacing w:before="120" w:after="0" w:line="240" w:lineRule="auto"/>
              <w:jc w:val="center"/>
              <w:rPr>
                <w:rFonts w:cs="Calibri"/>
                <w:color w:val="000000" w:themeColor="text1"/>
                <w:lang w:val="en-US"/>
              </w:rPr>
            </w:pPr>
          </w:p>
          <w:p w:rsidR="00223286" w:rsidRPr="00833DED" w:rsidRDefault="003B083A"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F21DCA" w:rsidRDefault="00F21DC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F21DCA" w:rsidRDefault="00F21DCA" w:rsidP="005E7FD7">
            <w:pPr>
              <w:spacing w:before="120" w:after="0" w:line="240" w:lineRule="auto"/>
              <w:rPr>
                <w:color w:val="000000" w:themeColor="text1"/>
                <w:lang w:val="en-US"/>
              </w:rPr>
            </w:pPr>
            <w:r>
              <w:rPr>
                <w:color w:val="000000" w:themeColor="text1"/>
                <w:lang w:val="en-US"/>
              </w:rPr>
              <w:t>Steinberg et al. 2005</w:t>
            </w:r>
            <w:r w:rsidR="00F50BBC">
              <w:rPr>
                <w:color w:val="000000" w:themeColor="text1"/>
                <w:lang w:val="en-US"/>
              </w:rPr>
              <w:t xml:space="preserve"> [</w:t>
            </w:r>
            <w:r w:rsidR="00F50BBC" w:rsidRPr="00744185">
              <w:rPr>
                <w:color w:val="000000" w:themeColor="text1"/>
                <w:lang w:val="en-US"/>
              </w:rPr>
              <w:t>e39</w:t>
            </w:r>
            <w:r w:rsidR="00F50BBC">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Unshielded, 9-channel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Algorithm-generated score of a scale of 0–100 based on </w:t>
            </w:r>
            <w:r w:rsidRPr="00833DED">
              <w:rPr>
                <w:color w:val="000000" w:themeColor="text1"/>
                <w:lang w:val="en-US"/>
              </w:rPr>
              <w:br/>
              <w:t xml:space="preserve">four </w:t>
            </w:r>
            <w:r w:rsidRPr="00833DED">
              <w:rPr>
                <w:rFonts w:cs="Calibri"/>
                <w:color w:val="000000" w:themeColor="text1"/>
                <w:lang w:val="en-US"/>
              </w:rPr>
              <w:t xml:space="preserve">MCG parameters during </w:t>
            </w:r>
            <w:proofErr w:type="spellStart"/>
            <w:r w:rsidRPr="00833DED">
              <w:rPr>
                <w:rFonts w:cs="Calibri"/>
                <w:color w:val="000000" w:themeColor="text1"/>
                <w:lang w:val="en-US"/>
              </w:rPr>
              <w:t>T</w:t>
            </w:r>
            <w:r w:rsidRPr="00833DED">
              <w:rPr>
                <w:rFonts w:cs="Calibri"/>
                <w:color w:val="000000" w:themeColor="text1"/>
                <w:vertAlign w:val="subscript"/>
                <w:lang w:val="en-US"/>
              </w:rPr>
              <w:t>max</w:t>
            </w:r>
            <w:proofErr w:type="spellEnd"/>
            <w:r w:rsidRPr="00833DED">
              <w:rPr>
                <w:rFonts w:cs="Calibri"/>
                <w:color w:val="000000" w:themeColor="text1"/>
                <w:vertAlign w:val="subscript"/>
                <w:lang w:val="en-US"/>
              </w:rPr>
              <w:t>/3</w:t>
            </w:r>
            <w:r w:rsidRPr="00833DED">
              <w:rPr>
                <w:rFonts w:cs="Calibri"/>
                <w:color w:val="000000" w:themeColor="text1"/>
                <w:lang w:val="en-US"/>
              </w:rPr>
              <w:t xml:space="preserve"> and </w:t>
            </w:r>
            <w:proofErr w:type="spellStart"/>
            <w:r w:rsidRPr="00833DED">
              <w:rPr>
                <w:rFonts w:cs="Calibri"/>
                <w:color w:val="000000" w:themeColor="text1"/>
                <w:lang w:val="en-US"/>
              </w:rPr>
              <w:t>T</w:t>
            </w:r>
            <w:r w:rsidRPr="00833DED">
              <w:rPr>
                <w:rFonts w:cs="Calibri"/>
                <w:color w:val="000000" w:themeColor="text1"/>
                <w:vertAlign w:val="subscript"/>
                <w:lang w:val="en-US"/>
              </w:rPr>
              <w:t>max</w:t>
            </w:r>
            <w:proofErr w:type="spellEnd"/>
            <w:r w:rsidRPr="00833DED">
              <w:rPr>
                <w:rFonts w:cs="Calibri"/>
                <w:color w:val="000000" w:themeColor="text1"/>
                <w:lang w:val="en-US"/>
              </w:rPr>
              <w:t>: 1) Direction of the main vector from the plus to minus pole (</w:t>
            </w:r>
            <w:r w:rsidRPr="00833DED">
              <w:rPr>
                <w:rFonts w:ascii="Symbol" w:hAnsi="Symbol" w:cs="Calibri"/>
                <w:color w:val="000000" w:themeColor="text1"/>
                <w:lang w:val="en-US"/>
              </w:rPr>
              <w:t></w:t>
            </w:r>
            <w:r w:rsidRPr="00833DED">
              <w:rPr>
                <w:rFonts w:cs="Calibri"/>
                <w:color w:val="000000" w:themeColor="text1"/>
                <w:lang w:val="en-US"/>
              </w:rPr>
              <w:t xml:space="preserve">) between –20° and +110°; 2) Change in the angle of the main vector ≥45° in a time interval of 30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3) Change in the distance separating the plus </w:t>
            </w:r>
            <w:r w:rsidRPr="00833DED">
              <w:rPr>
                <w:rFonts w:cs="Calibri"/>
                <w:color w:val="000000" w:themeColor="text1"/>
                <w:lang w:val="en-US"/>
              </w:rPr>
              <w:lastRenderedPageBreak/>
              <w:t xml:space="preserve">and minus poles ≥20 mm in a time interval of 30 </w:t>
            </w:r>
            <w:proofErr w:type="spellStart"/>
            <w:r w:rsidRPr="00833DED">
              <w:rPr>
                <w:rFonts w:cs="Calibri"/>
                <w:color w:val="000000" w:themeColor="text1"/>
                <w:lang w:val="en-US"/>
              </w:rPr>
              <w:t>msec</w:t>
            </w:r>
            <w:proofErr w:type="spellEnd"/>
            <w:r w:rsidRPr="00833DED">
              <w:rPr>
                <w:rFonts w:cs="Calibri"/>
                <w:color w:val="000000" w:themeColor="text1"/>
                <w:lang w:val="en-US"/>
              </w:rPr>
              <w:t xml:space="preserve">; </w:t>
            </w:r>
            <w:r w:rsidRPr="00833DED">
              <w:rPr>
                <w:rFonts w:cs="Calibri"/>
                <w:color w:val="000000" w:themeColor="text1"/>
                <w:lang w:val="en-US"/>
              </w:rPr>
              <w:br/>
              <w:t>4) Change in the ratio of the pole strengths ≥0.3 in a time interval of 30 msec. Score</w:t>
            </w:r>
            <w:r w:rsidRPr="00833DED">
              <w:rPr>
                <w:color w:val="000000" w:themeColor="text1"/>
                <w:lang w:val="en-US"/>
              </w:rPr>
              <w:t xml:space="preserve"> cut-off of &gt;49 applied based on a previous cohort</w:t>
            </w:r>
          </w:p>
        </w:tc>
        <w:tc>
          <w:tcPr>
            <w:tcW w:w="3827" w:type="dxa"/>
            <w:shd w:val="clear" w:color="auto" w:fill="FFFFFF" w:themeFill="background1"/>
          </w:tcPr>
          <w:p w:rsidR="00F21DCA" w:rsidRDefault="00F21DCA" w:rsidP="005E7FD7">
            <w:pPr>
              <w:spacing w:before="120" w:after="0" w:line="240" w:lineRule="auto"/>
              <w:ind w:left="4"/>
              <w:rPr>
                <w:color w:val="000000" w:themeColor="text1"/>
                <w:lang w:val="en-US"/>
              </w:rPr>
            </w:pPr>
            <w:r>
              <w:rPr>
                <w:color w:val="000000" w:themeColor="text1"/>
                <w:lang w:val="en-US"/>
              </w:rPr>
              <w:lastRenderedPageBreak/>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suspected CAD and angiographically proven &gt;50% stenosis (19)</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Patients with angiographically proven non-obstructive CAD (10)</w:t>
            </w:r>
          </w:p>
        </w:tc>
        <w:tc>
          <w:tcPr>
            <w:tcW w:w="1985" w:type="dxa"/>
            <w:shd w:val="clear" w:color="auto" w:fill="FFFFFF" w:themeFill="background1"/>
          </w:tcPr>
          <w:p w:rsidR="00F21DCA" w:rsidRDefault="00F21DCA" w:rsidP="005E7FD7">
            <w:pPr>
              <w:spacing w:before="120" w:after="0" w:line="240" w:lineRule="auto"/>
              <w:jc w:val="center"/>
              <w:rPr>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color w:val="000000" w:themeColor="text1"/>
                <w:lang w:val="en-US"/>
              </w:rPr>
              <w:t>40.0%/84.2%</w:t>
            </w:r>
          </w:p>
        </w:tc>
        <w:tc>
          <w:tcPr>
            <w:tcW w:w="1984" w:type="dxa"/>
            <w:shd w:val="clear" w:color="auto" w:fill="FFFFFF" w:themeFill="background1"/>
          </w:tcPr>
          <w:p w:rsidR="00F21DCA" w:rsidRDefault="00F21DCA" w:rsidP="005E7FD7">
            <w:pPr>
              <w:spacing w:before="120" w:after="0" w:line="240" w:lineRule="auto"/>
              <w:ind w:left="6"/>
              <w:jc w:val="center"/>
              <w:rPr>
                <w:color w:val="000000" w:themeColor="text1"/>
                <w:lang w:val="en-US"/>
              </w:rPr>
            </w:pPr>
          </w:p>
          <w:p w:rsidR="00223286" w:rsidRPr="00833DED" w:rsidRDefault="00223286" w:rsidP="005E7FD7">
            <w:pPr>
              <w:spacing w:before="120" w:after="0" w:line="240" w:lineRule="auto"/>
              <w:ind w:left="6"/>
              <w:jc w:val="center"/>
              <w:rPr>
                <w:color w:val="000000" w:themeColor="text1"/>
                <w:lang w:val="en-US"/>
              </w:rPr>
            </w:pPr>
            <w:r w:rsidRPr="00833DED">
              <w:rPr>
                <w:color w:val="000000" w:themeColor="text1"/>
                <w:lang w:val="en-US"/>
              </w:rPr>
              <w:t>72.7%/57.1%</w:t>
            </w:r>
          </w:p>
        </w:tc>
        <w:tc>
          <w:tcPr>
            <w:tcW w:w="1451" w:type="dxa"/>
            <w:gridSpan w:val="2"/>
            <w:shd w:val="clear" w:color="auto" w:fill="FFFFFF" w:themeFill="background1"/>
          </w:tcPr>
          <w:p w:rsidR="00F21DCA" w:rsidRDefault="00F21DCA" w:rsidP="005E7FD7">
            <w:pPr>
              <w:spacing w:before="120" w:after="0" w:line="240" w:lineRule="auto"/>
              <w:ind w:left="6"/>
              <w:rPr>
                <w:color w:val="000000" w:themeColor="text1"/>
                <w:lang w:val="en-US"/>
              </w:rPr>
            </w:pPr>
          </w:p>
          <w:p w:rsidR="00223286" w:rsidRPr="00833DED" w:rsidRDefault="00223286" w:rsidP="005E7FD7">
            <w:pPr>
              <w:spacing w:before="120" w:after="0" w:line="240" w:lineRule="auto"/>
              <w:ind w:left="6"/>
              <w:rPr>
                <w:color w:val="000000" w:themeColor="text1"/>
                <w:lang w:val="en-US"/>
              </w:rPr>
            </w:pPr>
            <w:r w:rsidRPr="00833DED">
              <w:rPr>
                <w:color w:val="000000" w:themeColor="text1"/>
                <w:lang w:val="en-US"/>
              </w:rPr>
              <w:t>ECG</w:t>
            </w:r>
          </w:p>
        </w:tc>
      </w:tr>
      <w:tr w:rsidR="00223286" w:rsidRPr="003855DB" w:rsidTr="00BF21C9">
        <w:trPr>
          <w:trHeight w:val="1492"/>
        </w:trPr>
        <w:tc>
          <w:tcPr>
            <w:tcW w:w="2235" w:type="dxa"/>
            <w:tcBorders>
              <w:bottom w:val="single" w:sz="4" w:space="0" w:color="auto"/>
            </w:tcBorders>
            <w:shd w:val="clear" w:color="auto" w:fill="FFFFFF" w:themeFill="background1"/>
          </w:tcPr>
          <w:p w:rsidR="00EB5927" w:rsidRDefault="00223286" w:rsidP="00EB5927">
            <w:pPr>
              <w:spacing w:before="120" w:after="0" w:line="240" w:lineRule="auto"/>
              <w:rPr>
                <w:rFonts w:cs="Calibri"/>
                <w:color w:val="000000" w:themeColor="text1"/>
                <w:lang w:val="en-US"/>
              </w:rPr>
            </w:pPr>
            <w:proofErr w:type="spellStart"/>
            <w:r w:rsidRPr="00833DED">
              <w:rPr>
                <w:rFonts w:cs="Calibri"/>
                <w:color w:val="000000" w:themeColor="text1"/>
                <w:lang w:val="en-US"/>
              </w:rPr>
              <w:t>Tolstrup</w:t>
            </w:r>
            <w:proofErr w:type="spellEnd"/>
            <w:r w:rsidRPr="00833DED">
              <w:rPr>
                <w:rFonts w:cs="Calibri"/>
                <w:color w:val="000000" w:themeColor="text1"/>
                <w:lang w:val="en-US"/>
              </w:rPr>
              <w:t xml:space="preserve"> et al. 2006</w:t>
            </w:r>
            <w:r w:rsidR="00F50BBC">
              <w:rPr>
                <w:rFonts w:cs="Calibri"/>
                <w:color w:val="000000" w:themeColor="text1"/>
                <w:lang w:val="en-US"/>
              </w:rPr>
              <w:t xml:space="preserve"> [</w:t>
            </w:r>
            <w:r w:rsidR="00F50BBC" w:rsidRPr="00744185">
              <w:rPr>
                <w:rFonts w:cs="Calibri"/>
                <w:color w:val="000000" w:themeColor="text1"/>
                <w:lang w:val="en-US"/>
              </w:rPr>
              <w:t>e40</w:t>
            </w:r>
            <w:r w:rsidR="00F50BBC">
              <w:rPr>
                <w:rFonts w:cs="Calibri"/>
                <w:color w:val="000000" w:themeColor="text1"/>
                <w:lang w:val="en-US"/>
              </w:rPr>
              <w:t>]</w:t>
            </w:r>
          </w:p>
          <w:p w:rsidR="00223286" w:rsidRPr="00833DED" w:rsidRDefault="00223286" w:rsidP="00EB5927">
            <w:pPr>
              <w:spacing w:before="120" w:after="0" w:line="240" w:lineRule="auto"/>
              <w:rPr>
                <w:rFonts w:cs="Calibri"/>
                <w:color w:val="000000" w:themeColor="text1"/>
                <w:lang w:val="en-US"/>
              </w:rPr>
            </w:pPr>
            <w:r w:rsidRPr="00833DED">
              <w:rPr>
                <w:rFonts w:cs="Calibri"/>
                <w:color w:val="000000" w:themeColor="text1"/>
                <w:lang w:val="en-US"/>
              </w:rPr>
              <w:t>9- or 36-channel MCG at rest</w:t>
            </w:r>
          </w:p>
        </w:tc>
        <w:tc>
          <w:tcPr>
            <w:tcW w:w="3260" w:type="dxa"/>
            <w:tcBorders>
              <w:bottom w:val="single" w:sz="4" w:space="0" w:color="auto"/>
            </w:tcBorders>
            <w:shd w:val="clear" w:color="auto" w:fill="FFFFFF" w:themeFill="background1"/>
          </w:tcPr>
          <w:p w:rsidR="00223286" w:rsidRPr="00833DED" w:rsidRDefault="0014569A" w:rsidP="005E7FD7">
            <w:pPr>
              <w:spacing w:before="120" w:after="0" w:line="240" w:lineRule="auto"/>
              <w:rPr>
                <w:color w:val="000000" w:themeColor="text1"/>
                <w:lang w:val="en-US"/>
              </w:rPr>
            </w:pPr>
            <w:r>
              <w:rPr>
                <w:color w:val="000000" w:themeColor="text1"/>
                <w:lang w:val="en-US"/>
              </w:rPr>
              <w:t>NR</w:t>
            </w:r>
          </w:p>
        </w:tc>
        <w:tc>
          <w:tcPr>
            <w:tcW w:w="3827" w:type="dxa"/>
            <w:tcBorders>
              <w:bottom w:val="single" w:sz="4" w:space="0" w:color="auto"/>
            </w:tcBorders>
            <w:shd w:val="clear" w:color="auto" w:fill="FFFFFF" w:themeFill="background1"/>
          </w:tcPr>
          <w:p w:rsidR="0034206E" w:rsidRDefault="0034206E"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rFonts w:cs="Calibri"/>
                <w:color w:val="000000" w:themeColor="text1"/>
                <w:lang w:val="en-US"/>
              </w:rPr>
            </w:pPr>
            <w:r w:rsidRPr="00833DED">
              <w:rPr>
                <w:color w:val="000000" w:themeColor="text1"/>
                <w:lang w:val="en-US"/>
              </w:rPr>
              <w:t>Patients with stable angina, Class I–II (20) or unstable angina Class III–IV (17)</w:t>
            </w:r>
          </w:p>
        </w:tc>
        <w:tc>
          <w:tcPr>
            <w:tcW w:w="1985" w:type="dxa"/>
            <w:tcBorders>
              <w:bottom w:val="single" w:sz="4" w:space="0" w:color="auto"/>
            </w:tcBorders>
            <w:shd w:val="clear" w:color="auto" w:fill="FFFFFF" w:themeFill="background1"/>
          </w:tcPr>
          <w:p w:rsidR="0034206E" w:rsidRDefault="0034206E"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83.3%/80.6% (all)</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100%/76.5% (stable</w:t>
            </w:r>
            <w:r w:rsidR="0034206E">
              <w:rPr>
                <w:rFonts w:cs="Calibri"/>
                <w:color w:val="000000" w:themeColor="text1"/>
                <w:lang w:val="en-US"/>
              </w:rPr>
              <w:t xml:space="preserve"> angina</w:t>
            </w:r>
            <w:r w:rsidRPr="00833DED">
              <w:rPr>
                <w:rFonts w:cs="Calibri"/>
                <w:color w:val="000000" w:themeColor="text1"/>
                <w:lang w:val="en-US"/>
              </w:rPr>
              <w:t>)</w:t>
            </w:r>
          </w:p>
        </w:tc>
        <w:tc>
          <w:tcPr>
            <w:tcW w:w="1984" w:type="dxa"/>
            <w:tcBorders>
              <w:bottom w:val="single" w:sz="4" w:space="0" w:color="auto"/>
            </w:tcBorders>
            <w:shd w:val="clear" w:color="auto" w:fill="FFFFFF" w:themeFill="background1"/>
          </w:tcPr>
          <w:p w:rsidR="0034206E" w:rsidRDefault="0034206E"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96.2%/45.5% (all)</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100%/42.9% (stable</w:t>
            </w:r>
            <w:r w:rsidR="0034206E">
              <w:rPr>
                <w:rFonts w:cs="Calibri"/>
                <w:color w:val="000000" w:themeColor="text1"/>
                <w:lang w:val="en-US"/>
              </w:rPr>
              <w:t xml:space="preserve"> angina</w:t>
            </w:r>
            <w:r w:rsidRPr="00833DED">
              <w:rPr>
                <w:rFonts w:cs="Calibri"/>
                <w:color w:val="000000" w:themeColor="text1"/>
                <w:lang w:val="en-US"/>
              </w:rPr>
              <w:t>)</w:t>
            </w:r>
          </w:p>
        </w:tc>
        <w:tc>
          <w:tcPr>
            <w:tcW w:w="1451" w:type="dxa"/>
            <w:gridSpan w:val="2"/>
            <w:tcBorders>
              <w:bottom w:val="single" w:sz="4" w:space="0" w:color="auto"/>
            </w:tcBorders>
            <w:shd w:val="clear" w:color="auto" w:fill="FFFFFF" w:themeFill="background1"/>
          </w:tcPr>
          <w:p w:rsidR="0034206E" w:rsidRDefault="0034206E"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Stress SPECT</w:t>
            </w:r>
          </w:p>
        </w:tc>
      </w:tr>
      <w:tr w:rsidR="00223286" w:rsidRPr="003855DB" w:rsidTr="00BF21C9">
        <w:tc>
          <w:tcPr>
            <w:tcW w:w="2235" w:type="dxa"/>
            <w:shd w:val="clear" w:color="auto" w:fill="FFFFFF" w:themeFill="background1"/>
          </w:tcPr>
          <w:p w:rsidR="00926337" w:rsidRDefault="00926337" w:rsidP="005E7FD7">
            <w:pPr>
              <w:spacing w:before="120" w:after="0" w:line="240" w:lineRule="auto"/>
              <w:rPr>
                <w:color w:val="000000" w:themeColor="text1"/>
                <w:lang w:val="en-US"/>
              </w:rPr>
            </w:pPr>
            <w:proofErr w:type="spellStart"/>
            <w:r>
              <w:rPr>
                <w:color w:val="000000" w:themeColor="text1"/>
                <w:lang w:val="en-US"/>
              </w:rPr>
              <w:t>Fenici</w:t>
            </w:r>
            <w:proofErr w:type="spellEnd"/>
            <w:r>
              <w:rPr>
                <w:color w:val="000000" w:themeColor="text1"/>
                <w:lang w:val="en-US"/>
              </w:rPr>
              <w:t xml:space="preserve"> &amp; </w:t>
            </w:r>
            <w:proofErr w:type="spellStart"/>
            <w:r>
              <w:rPr>
                <w:color w:val="000000" w:themeColor="text1"/>
                <w:lang w:val="en-US"/>
              </w:rPr>
              <w:t>Brisinda</w:t>
            </w:r>
            <w:proofErr w:type="spellEnd"/>
            <w:r>
              <w:rPr>
                <w:color w:val="000000" w:themeColor="text1"/>
                <w:lang w:val="en-US"/>
              </w:rPr>
              <w:t xml:space="preserve"> 2007</w:t>
            </w:r>
            <w:r w:rsidR="00F50BBC">
              <w:rPr>
                <w:color w:val="000000" w:themeColor="text1"/>
                <w:lang w:val="en-US"/>
              </w:rPr>
              <w:t xml:space="preserve"> [</w:t>
            </w:r>
            <w:r w:rsidR="00F50BBC" w:rsidRPr="00744185">
              <w:rPr>
                <w:color w:val="000000" w:themeColor="text1"/>
                <w:lang w:val="en-US"/>
              </w:rPr>
              <w:t>e41</w:t>
            </w:r>
            <w:r w:rsidR="00F50BBC">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Unshielded, </w:t>
            </w:r>
            <w:r w:rsidR="00900D96">
              <w:rPr>
                <w:color w:val="000000" w:themeColor="text1"/>
                <w:lang w:val="en-US"/>
              </w:rPr>
              <w:br/>
            </w:r>
            <w:r w:rsidRPr="00833DED">
              <w:rPr>
                <w:color w:val="000000" w:themeColor="text1"/>
                <w:lang w:val="en-US"/>
              </w:rPr>
              <w:t>36-channel MCG at rest</w:t>
            </w:r>
          </w:p>
        </w:tc>
        <w:tc>
          <w:tcPr>
            <w:tcW w:w="3260" w:type="dxa"/>
            <w:shd w:val="clear" w:color="auto" w:fill="FFFFFF" w:themeFill="background1"/>
          </w:tcPr>
          <w:p w:rsidR="00223286" w:rsidRPr="00833DED" w:rsidRDefault="00926337" w:rsidP="005E7FD7">
            <w:pPr>
              <w:spacing w:before="120" w:after="0" w:line="240" w:lineRule="auto"/>
              <w:rPr>
                <w:color w:val="000000" w:themeColor="text1"/>
                <w:lang w:val="en-US"/>
              </w:rPr>
            </w:pPr>
            <w:r>
              <w:rPr>
                <w:color w:val="000000" w:themeColor="text1"/>
                <w:lang w:val="en-US"/>
              </w:rPr>
              <w:t>Automated analysis of</w:t>
            </w:r>
            <w:r w:rsidR="00223286" w:rsidRPr="00833DED">
              <w:rPr>
                <w:color w:val="000000" w:themeColor="text1"/>
                <w:lang w:val="en-US"/>
              </w:rPr>
              <w:t xml:space="preserve"> the dynamic motion of the effective magnetic vector during the </w:t>
            </w:r>
            <w:r w:rsidR="00900D96">
              <w:rPr>
                <w:color w:val="000000" w:themeColor="text1"/>
                <w:lang w:val="en-US"/>
              </w:rPr>
              <w:br/>
            </w:r>
            <w:r w:rsidR="00223286" w:rsidRPr="00833DED">
              <w:rPr>
                <w:color w:val="000000" w:themeColor="text1"/>
                <w:lang w:val="en-US"/>
              </w:rPr>
              <w:t>T wave identified as best discriminator</w:t>
            </w:r>
          </w:p>
        </w:tc>
        <w:tc>
          <w:tcPr>
            <w:tcW w:w="3827" w:type="dxa"/>
            <w:shd w:val="clear" w:color="auto" w:fill="FFFFFF" w:themeFill="background1"/>
          </w:tcPr>
          <w:p w:rsidR="00926337" w:rsidRDefault="00926337"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stable angina and CAD (51), of whom 35 had prior MI</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(52)</w:t>
            </w:r>
          </w:p>
        </w:tc>
        <w:tc>
          <w:tcPr>
            <w:tcW w:w="1985" w:type="dxa"/>
            <w:shd w:val="clear" w:color="auto" w:fill="FFFFFF" w:themeFill="background1"/>
          </w:tcPr>
          <w:p w:rsidR="00926337" w:rsidRDefault="00926337"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96%/56%</w:t>
            </w:r>
          </w:p>
        </w:tc>
        <w:tc>
          <w:tcPr>
            <w:tcW w:w="1984" w:type="dxa"/>
            <w:shd w:val="clear" w:color="auto" w:fill="FFFFFF" w:themeFill="background1"/>
          </w:tcPr>
          <w:p w:rsidR="00926337" w:rsidRDefault="00926337"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94%/69%</w:t>
            </w:r>
          </w:p>
        </w:tc>
        <w:tc>
          <w:tcPr>
            <w:tcW w:w="1451" w:type="dxa"/>
            <w:gridSpan w:val="2"/>
            <w:shd w:val="clear" w:color="auto" w:fill="FFFFFF" w:themeFill="background1"/>
          </w:tcPr>
          <w:p w:rsidR="00926337" w:rsidRDefault="00926337"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8A2F45" w:rsidRDefault="008A2F45" w:rsidP="005E7FD7">
            <w:pPr>
              <w:spacing w:before="120" w:after="0" w:line="240" w:lineRule="auto"/>
              <w:rPr>
                <w:color w:val="000000" w:themeColor="text1"/>
                <w:lang w:val="en-US"/>
              </w:rPr>
            </w:pPr>
            <w:r>
              <w:rPr>
                <w:color w:val="000000" w:themeColor="text1"/>
                <w:lang w:val="en-US"/>
              </w:rPr>
              <w:t>Quan et al. 2008</w:t>
            </w:r>
            <w:r w:rsidR="00F50BBC">
              <w:rPr>
                <w:color w:val="000000" w:themeColor="text1"/>
                <w:lang w:val="en-US"/>
              </w:rPr>
              <w:t xml:space="preserve"> [</w:t>
            </w:r>
            <w:r w:rsidR="00F50BBC" w:rsidRPr="00744185">
              <w:rPr>
                <w:color w:val="000000" w:themeColor="text1"/>
                <w:lang w:val="en-US"/>
              </w:rPr>
              <w:t>e42</w:t>
            </w:r>
            <w:r w:rsidR="00F50BBC">
              <w:rPr>
                <w:color w:val="000000" w:themeColor="text1"/>
                <w:lang w:val="en-US"/>
              </w:rPr>
              <w:t>]</w:t>
            </w:r>
          </w:p>
          <w:p w:rsidR="00223286" w:rsidRPr="00833DED" w:rsidRDefault="00372877" w:rsidP="00372877">
            <w:pPr>
              <w:spacing w:before="120" w:after="0" w:line="240" w:lineRule="auto"/>
              <w:rPr>
                <w:color w:val="000000" w:themeColor="text1"/>
                <w:highlight w:val="lightGray"/>
                <w:lang w:val="en-US"/>
              </w:rPr>
            </w:pPr>
            <w:r>
              <w:rPr>
                <w:color w:val="000000" w:themeColor="text1"/>
                <w:lang w:val="en-US"/>
              </w:rPr>
              <w:t>Unshielded, 4</w:t>
            </w:r>
            <w:r w:rsidR="00223286" w:rsidRPr="00833DED">
              <w:rPr>
                <w:color w:val="000000" w:themeColor="text1"/>
                <w:lang w:val="en-US"/>
              </w:rPr>
              <w:t xml:space="preserve">-channel MCG at rest </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Average classification (scores </w:t>
            </w:r>
            <w:r w:rsidRPr="00833DED">
              <w:rPr>
                <w:color w:val="000000" w:themeColor="text1"/>
                <w:lang w:val="en-US"/>
              </w:rPr>
              <w:br/>
              <w:t>0–4) of total current density maps (ACTM) and the ratio of abnormal maps (RAM) from MFMs generated at 12 sec intervals from</w:t>
            </w:r>
            <w:r w:rsidR="003B083A">
              <w:rPr>
                <w:color w:val="000000" w:themeColor="text1"/>
                <w:lang w:val="en-US"/>
              </w:rPr>
              <w:t xml:space="preserve"> the</w:t>
            </w:r>
            <w:r w:rsidRPr="00833DED">
              <w:rPr>
                <w:color w:val="000000" w:themeColor="text1"/>
                <w:lang w:val="en-US"/>
              </w:rPr>
              <w:t xml:space="preserve"> beginning of the J point to the end of the </w:t>
            </w:r>
            <w:r w:rsidR="00900D96">
              <w:rPr>
                <w:color w:val="000000" w:themeColor="text1"/>
                <w:lang w:val="en-US"/>
              </w:rPr>
              <w:br/>
            </w:r>
            <w:r w:rsidRPr="00833DED">
              <w:rPr>
                <w:color w:val="000000" w:themeColor="text1"/>
                <w:lang w:val="en-US"/>
              </w:rPr>
              <w:t>T wave were identified as best discriminators</w:t>
            </w:r>
          </w:p>
          <w:p w:rsidR="00223286" w:rsidRPr="00833DED" w:rsidRDefault="00223286" w:rsidP="005E7FD7">
            <w:pPr>
              <w:spacing w:before="120" w:after="0" w:line="240" w:lineRule="auto"/>
              <w:ind w:left="6"/>
              <w:rPr>
                <w:color w:val="000000" w:themeColor="text1"/>
                <w:lang w:val="en-US"/>
              </w:rPr>
            </w:pPr>
          </w:p>
        </w:tc>
        <w:tc>
          <w:tcPr>
            <w:tcW w:w="3827" w:type="dxa"/>
            <w:shd w:val="clear" w:color="auto" w:fill="FFFFFF" w:themeFill="background1"/>
          </w:tcPr>
          <w:p w:rsidR="008A2F45" w:rsidRDefault="008A2F45" w:rsidP="005E7FD7">
            <w:pPr>
              <w:spacing w:before="120" w:after="0" w:line="240" w:lineRule="auto"/>
              <w:ind w:left="6"/>
              <w:rPr>
                <w:color w:val="000000" w:themeColor="text1"/>
                <w:lang w:val="en-US"/>
              </w:rPr>
            </w:pPr>
            <w:r>
              <w:rPr>
                <w:color w:val="000000" w:themeColor="text1"/>
                <w:lang w:val="en-US"/>
              </w:rPr>
              <w:t xml:space="preserve">CAD with </w:t>
            </w:r>
            <w:r w:rsidR="00372877" w:rsidRPr="00833DED">
              <w:rPr>
                <w:color w:val="000000" w:themeColor="text1"/>
                <w:lang w:val="en-US"/>
              </w:rPr>
              <w:t>restenosis</w:t>
            </w:r>
            <w:r w:rsidR="00372877">
              <w:rPr>
                <w:color w:val="000000" w:themeColor="text1"/>
                <w:lang w:val="en-US"/>
              </w:rPr>
              <w:t xml:space="preserve"> post stent implantation</w:t>
            </w:r>
          </w:p>
          <w:p w:rsidR="00223286" w:rsidRPr="00833DED" w:rsidRDefault="00223286" w:rsidP="005E7FD7">
            <w:pPr>
              <w:spacing w:before="120" w:after="0" w:line="240" w:lineRule="auto"/>
              <w:ind w:left="6"/>
              <w:rPr>
                <w:color w:val="000000" w:themeColor="text1"/>
                <w:lang w:val="en-US"/>
              </w:rPr>
            </w:pPr>
            <w:r w:rsidRPr="00833DED">
              <w:rPr>
                <w:color w:val="000000" w:themeColor="text1"/>
                <w:lang w:val="en-US"/>
              </w:rPr>
              <w:t>Patients with CAD who had stent implantation and who had angiographically proven restenosis (≥50% in diameter) within 12 months (ISR group) (16)</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 xml:space="preserve">Patients with CAD who had stent implantation and who had no stenosis </w:t>
            </w:r>
            <w:r w:rsidRPr="00833DED">
              <w:rPr>
                <w:i/>
                <w:color w:val="000000" w:themeColor="text1"/>
                <w:lang w:val="en-US"/>
              </w:rPr>
              <w:lastRenderedPageBreak/>
              <w:t>or stenosis &lt;50% diameter within the 12-month follow-up period (36)</w:t>
            </w:r>
          </w:p>
        </w:tc>
        <w:tc>
          <w:tcPr>
            <w:tcW w:w="1985" w:type="dxa"/>
            <w:shd w:val="clear" w:color="auto" w:fill="FFFFFF" w:themeFill="background1"/>
          </w:tcPr>
          <w:p w:rsidR="008A2F45" w:rsidRDefault="008A2F45" w:rsidP="005E7FD7">
            <w:pPr>
              <w:spacing w:before="120" w:after="0" w:line="240" w:lineRule="auto"/>
              <w:jc w:val="center"/>
              <w:rPr>
                <w:rFonts w:cs="Calibri"/>
                <w:color w:val="000000" w:themeColor="text1"/>
                <w:lang w:val="en-US"/>
              </w:rPr>
            </w:pPr>
          </w:p>
          <w:p w:rsidR="00223286" w:rsidRPr="00833DED" w:rsidRDefault="00372877" w:rsidP="005E7FD7">
            <w:pPr>
              <w:spacing w:before="120" w:after="0" w:line="240" w:lineRule="auto"/>
              <w:jc w:val="center"/>
              <w:rPr>
                <w:rFonts w:cs="Calibri"/>
                <w:color w:val="000000" w:themeColor="text1"/>
                <w:lang w:val="en-US"/>
              </w:rPr>
            </w:pPr>
            <w:r>
              <w:rPr>
                <w:rFonts w:cs="Calibri"/>
                <w:color w:val="000000" w:themeColor="text1"/>
                <w:lang w:val="en-US"/>
              </w:rPr>
              <w:br/>
            </w:r>
            <w:r w:rsidR="00223286" w:rsidRPr="00833DED">
              <w:rPr>
                <w:rFonts w:cs="Calibri"/>
                <w:color w:val="000000" w:themeColor="text1"/>
                <w:lang w:val="en-US"/>
              </w:rPr>
              <w:t>69.4%/80.0%</w:t>
            </w:r>
            <w:r w:rsidR="001E2841">
              <w:rPr>
                <w:rFonts w:cs="Calibri"/>
                <w:color w:val="000000" w:themeColor="text1"/>
                <w:lang w:val="en-US"/>
              </w:rPr>
              <w:t xml:space="preserve"> (80.2)</w:t>
            </w:r>
            <w:r w:rsidR="003B083A">
              <w:rPr>
                <w:rFonts w:cs="Calibri"/>
                <w:color w:val="000000" w:themeColor="text1"/>
                <w:lang w:val="en-US"/>
              </w:rPr>
              <w:t xml:space="preserve"> </w:t>
            </w:r>
            <w:r w:rsidR="00223286" w:rsidRPr="00833DED">
              <w:rPr>
                <w:rFonts w:cs="Calibri"/>
                <w:color w:val="000000" w:themeColor="text1"/>
                <w:lang w:val="en-US"/>
              </w:rPr>
              <w:t>(ACTM)</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75%/66.7%</w:t>
            </w:r>
            <w:r w:rsidR="001E2841">
              <w:rPr>
                <w:rFonts w:cs="Calibri"/>
                <w:color w:val="000000" w:themeColor="text1"/>
                <w:lang w:val="en-US"/>
              </w:rPr>
              <w:t xml:space="preserve"> (69.1)</w:t>
            </w:r>
            <w:r w:rsidRPr="00833DED">
              <w:rPr>
                <w:rFonts w:cs="Calibri"/>
                <w:color w:val="000000" w:themeColor="text1"/>
                <w:lang w:val="en-US"/>
              </w:rPr>
              <w:t xml:space="preserve"> (RAM)</w:t>
            </w:r>
          </w:p>
        </w:tc>
        <w:tc>
          <w:tcPr>
            <w:tcW w:w="1984" w:type="dxa"/>
            <w:shd w:val="clear" w:color="auto" w:fill="FFFFFF" w:themeFill="background1"/>
          </w:tcPr>
          <w:p w:rsidR="008A2F45" w:rsidRDefault="008A2F45" w:rsidP="005E7FD7">
            <w:pPr>
              <w:spacing w:before="120" w:after="0" w:line="240" w:lineRule="auto"/>
              <w:jc w:val="center"/>
              <w:rPr>
                <w:rFonts w:cs="Calibri"/>
                <w:color w:val="000000" w:themeColor="text1"/>
                <w:lang w:val="en-US"/>
              </w:rPr>
            </w:pPr>
          </w:p>
          <w:p w:rsidR="00223286" w:rsidRPr="00833DED" w:rsidRDefault="00372877" w:rsidP="005E7FD7">
            <w:pPr>
              <w:spacing w:before="120" w:after="0" w:line="240" w:lineRule="auto"/>
              <w:jc w:val="center"/>
              <w:rPr>
                <w:rFonts w:cs="Calibri"/>
                <w:color w:val="000000" w:themeColor="text1"/>
                <w:lang w:val="en-US"/>
              </w:rPr>
            </w:pPr>
            <w:r>
              <w:rPr>
                <w:rFonts w:cs="Calibri"/>
                <w:color w:val="000000" w:themeColor="text1"/>
                <w:lang w:val="en-US"/>
              </w:rPr>
              <w:br/>
            </w:r>
            <w:r w:rsidR="00223286" w:rsidRPr="00833DED">
              <w:rPr>
                <w:rFonts w:cs="Calibri"/>
                <w:color w:val="000000" w:themeColor="text1"/>
                <w:lang w:val="en-US"/>
              </w:rPr>
              <w:t>54.6%/88.5% (ACTM)</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55.6%/83.3% (RAM)</w:t>
            </w:r>
          </w:p>
        </w:tc>
        <w:tc>
          <w:tcPr>
            <w:tcW w:w="1451" w:type="dxa"/>
            <w:gridSpan w:val="2"/>
            <w:shd w:val="clear" w:color="auto" w:fill="FFFFFF" w:themeFill="background1"/>
          </w:tcPr>
          <w:p w:rsidR="008A2F45" w:rsidRDefault="008A2F45" w:rsidP="005E7FD7">
            <w:pPr>
              <w:spacing w:before="120" w:after="0" w:line="240" w:lineRule="auto"/>
              <w:rPr>
                <w:rFonts w:cs="Calibri"/>
                <w:color w:val="000000" w:themeColor="text1"/>
                <w:lang w:val="en-US"/>
              </w:rPr>
            </w:pPr>
          </w:p>
          <w:p w:rsidR="00223286" w:rsidRPr="00833DED" w:rsidRDefault="00372877" w:rsidP="005E7FD7">
            <w:pPr>
              <w:spacing w:before="120" w:after="0" w:line="240" w:lineRule="auto"/>
              <w:rPr>
                <w:rFonts w:cs="Calibri"/>
                <w:color w:val="000000" w:themeColor="text1"/>
                <w:lang w:val="en-US"/>
              </w:rPr>
            </w:pPr>
            <w:r>
              <w:rPr>
                <w:rFonts w:cs="Calibri"/>
                <w:color w:val="000000" w:themeColor="text1"/>
                <w:lang w:val="en-US"/>
              </w:rPr>
              <w:br/>
            </w:r>
            <w:r w:rsidR="00223286" w:rsidRPr="00833DED">
              <w:rPr>
                <w:rFonts w:cs="Calibri"/>
                <w:color w:val="000000" w:themeColor="text1"/>
                <w:lang w:val="en-US"/>
              </w:rPr>
              <w:t>ECG</w:t>
            </w: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Angiography</w:t>
            </w:r>
          </w:p>
        </w:tc>
      </w:tr>
      <w:tr w:rsidR="00223286" w:rsidRPr="003855DB" w:rsidTr="00BF21C9">
        <w:tc>
          <w:tcPr>
            <w:tcW w:w="2235" w:type="dxa"/>
            <w:shd w:val="clear" w:color="auto" w:fill="FFFFFF" w:themeFill="background1"/>
          </w:tcPr>
          <w:p w:rsidR="00371C7F" w:rsidRDefault="00223286" w:rsidP="005E7FD7">
            <w:pPr>
              <w:spacing w:before="120" w:after="0" w:line="240" w:lineRule="auto"/>
              <w:rPr>
                <w:color w:val="000000" w:themeColor="text1"/>
                <w:lang w:val="en-US"/>
              </w:rPr>
            </w:pPr>
            <w:r w:rsidRPr="00833DED">
              <w:rPr>
                <w:color w:val="000000" w:themeColor="text1"/>
                <w:lang w:val="en-US"/>
              </w:rPr>
              <w:t>Liu et al. 2009</w:t>
            </w:r>
            <w:r w:rsidR="00F50BBC">
              <w:rPr>
                <w:color w:val="000000" w:themeColor="text1"/>
                <w:lang w:val="en-US"/>
              </w:rPr>
              <w:t xml:space="preserve"> </w:t>
            </w:r>
            <w:r w:rsidR="008F0EFD">
              <w:rPr>
                <w:color w:val="000000" w:themeColor="text1"/>
                <w:lang w:val="en-US"/>
              </w:rPr>
              <w:t>[</w:t>
            </w:r>
            <w:r w:rsidR="00F50BBC" w:rsidRPr="00744185">
              <w:rPr>
                <w:color w:val="000000" w:themeColor="text1"/>
                <w:lang w:val="en-US"/>
              </w:rPr>
              <w:t>e56</w:t>
            </w:r>
            <w:r w:rsidR="008F0EFD">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64-channel MCG </w:t>
            </w:r>
          </w:p>
        </w:tc>
        <w:tc>
          <w:tcPr>
            <w:tcW w:w="3260" w:type="dxa"/>
            <w:shd w:val="clear" w:color="auto" w:fill="FFFFFF" w:themeFill="background1"/>
          </w:tcPr>
          <w:p w:rsidR="00223286" w:rsidRPr="00833DED" w:rsidRDefault="00223286" w:rsidP="00371C7F">
            <w:pPr>
              <w:spacing w:before="120" w:after="0" w:line="240" w:lineRule="auto"/>
              <w:rPr>
                <w:color w:val="000000" w:themeColor="text1"/>
                <w:lang w:val="en-US"/>
              </w:rPr>
            </w:pPr>
            <w:r w:rsidRPr="00833DED">
              <w:rPr>
                <w:color w:val="000000" w:themeColor="text1"/>
                <w:lang w:val="en-US"/>
              </w:rPr>
              <w:t xml:space="preserve">QTc interval mapping with QTc SD </w:t>
            </w:r>
            <w:r w:rsidRPr="00833DED">
              <w:rPr>
                <w:rFonts w:cs="Calibri"/>
                <w:color w:val="000000" w:themeColor="text1"/>
                <w:lang w:val="en-US"/>
              </w:rPr>
              <w:t>≥</w:t>
            </w:r>
            <w:r w:rsidRPr="00833DED">
              <w:rPr>
                <w:color w:val="000000" w:themeColor="text1"/>
                <w:lang w:val="en-US"/>
              </w:rPr>
              <w:t>21.3 </w:t>
            </w:r>
            <w:proofErr w:type="spellStart"/>
            <w:r w:rsidRPr="00833DED">
              <w:rPr>
                <w:color w:val="000000" w:themeColor="text1"/>
                <w:lang w:val="en-US"/>
              </w:rPr>
              <w:t>msec</w:t>
            </w:r>
            <w:proofErr w:type="spellEnd"/>
            <w:r w:rsidRPr="00833DED">
              <w:rPr>
                <w:color w:val="000000" w:themeColor="text1"/>
                <w:lang w:val="en-US"/>
              </w:rPr>
              <w:t xml:space="preserve">, QTc dispersion </w:t>
            </w:r>
            <w:r w:rsidRPr="00833DED">
              <w:rPr>
                <w:rFonts w:cs="Calibri"/>
                <w:color w:val="000000" w:themeColor="text1"/>
                <w:lang w:val="en-US"/>
              </w:rPr>
              <w:t>≥</w:t>
            </w:r>
            <w:r w:rsidR="00371C7F">
              <w:rPr>
                <w:color w:val="000000" w:themeColor="text1"/>
                <w:lang w:val="en-US"/>
              </w:rPr>
              <w:t>88.5 </w:t>
            </w:r>
            <w:proofErr w:type="spellStart"/>
            <w:r w:rsidRPr="00833DED">
              <w:rPr>
                <w:color w:val="000000" w:themeColor="text1"/>
                <w:lang w:val="en-US"/>
              </w:rPr>
              <w:t>msec</w:t>
            </w:r>
            <w:proofErr w:type="spellEnd"/>
            <w:r w:rsidRPr="00833DED">
              <w:rPr>
                <w:color w:val="000000" w:themeColor="text1"/>
                <w:lang w:val="en-US"/>
              </w:rPr>
              <w:t xml:space="preserve">, </w:t>
            </w:r>
            <w:r w:rsidR="00371C7F">
              <w:rPr>
                <w:color w:val="000000" w:themeColor="text1"/>
                <w:lang w:val="en-US"/>
              </w:rPr>
              <w:t>or</w:t>
            </w:r>
            <w:r w:rsidRPr="00833DED">
              <w:rPr>
                <w:color w:val="000000" w:themeColor="text1"/>
                <w:lang w:val="en-US"/>
              </w:rPr>
              <w:t xml:space="preserve"> SI-QTc </w:t>
            </w:r>
            <w:r w:rsidRPr="00833DED">
              <w:rPr>
                <w:rFonts w:cs="Calibri"/>
                <w:color w:val="000000" w:themeColor="text1"/>
                <w:lang w:val="en-US"/>
              </w:rPr>
              <w:t>≥</w:t>
            </w:r>
            <w:r w:rsidRPr="00833DED">
              <w:rPr>
                <w:color w:val="000000" w:themeColor="text1"/>
                <w:lang w:val="en-US"/>
              </w:rPr>
              <w:t>0.31 s</w:t>
            </w:r>
            <w:r w:rsidR="00371C7F">
              <w:rPr>
                <w:color w:val="000000" w:themeColor="text1"/>
                <w:lang w:val="en-US"/>
              </w:rPr>
              <w:t>ec</w:t>
            </w:r>
            <w:r w:rsidRPr="00833DED">
              <w:rPr>
                <w:color w:val="000000" w:themeColor="text1"/>
                <w:lang w:val="en-US"/>
              </w:rPr>
              <w:t xml:space="preserve"> determined as </w:t>
            </w:r>
            <w:r w:rsidR="00371C7F">
              <w:rPr>
                <w:color w:val="000000" w:themeColor="text1"/>
                <w:lang w:val="en-US"/>
              </w:rPr>
              <w:t xml:space="preserve">best </w:t>
            </w:r>
            <w:r w:rsidRPr="00833DED">
              <w:rPr>
                <w:color w:val="000000" w:themeColor="text1"/>
                <w:lang w:val="en-US"/>
              </w:rPr>
              <w:t>discriminators</w:t>
            </w:r>
          </w:p>
        </w:tc>
        <w:tc>
          <w:tcPr>
            <w:tcW w:w="3827" w:type="dxa"/>
            <w:shd w:val="clear" w:color="auto" w:fill="FFFFFF" w:themeFill="background1"/>
          </w:tcPr>
          <w:p w:rsidR="00371C7F" w:rsidRDefault="00371C7F"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Patients with CAD undergoing PCI (25) and patients with suspected CAD prior to angiogram (43; 28 with CAD and </w:t>
            </w:r>
            <w:r w:rsidRPr="00833DED">
              <w:rPr>
                <w:color w:val="000000" w:themeColor="text1"/>
                <w:lang w:val="en-US"/>
              </w:rPr>
              <w:br/>
              <w:t>15 with patent coronaries)</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(15)</w:t>
            </w:r>
          </w:p>
        </w:tc>
        <w:tc>
          <w:tcPr>
            <w:tcW w:w="1985" w:type="dxa"/>
            <w:shd w:val="clear" w:color="auto" w:fill="FFFFFF" w:themeFill="background1"/>
          </w:tcPr>
          <w:p w:rsidR="00371C7F" w:rsidRDefault="00371C7F"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color w:val="000000" w:themeColor="text1"/>
                <w:lang w:val="en-US"/>
              </w:rPr>
            </w:pPr>
            <w:r w:rsidRPr="00833DED">
              <w:rPr>
                <w:rFonts w:cs="Calibri"/>
                <w:color w:val="000000" w:themeColor="text1"/>
                <w:lang w:val="en-US"/>
              </w:rPr>
              <w:t>73%/71</w:t>
            </w:r>
            <w:r w:rsidRPr="00833DED">
              <w:rPr>
                <w:color w:val="000000" w:themeColor="text1"/>
                <w:lang w:val="en-US"/>
              </w:rPr>
              <w:t>%</w:t>
            </w:r>
            <w:r w:rsidR="00371C7F">
              <w:rPr>
                <w:color w:val="000000" w:themeColor="text1"/>
                <w:lang w:val="en-US"/>
              </w:rPr>
              <w:t xml:space="preserve"> (0.95)</w:t>
            </w:r>
            <w:r w:rsidRPr="00833DED">
              <w:rPr>
                <w:color w:val="000000" w:themeColor="text1"/>
                <w:lang w:val="en-US"/>
              </w:rPr>
              <w:t xml:space="preserve"> </w:t>
            </w:r>
            <w:r w:rsidRPr="00833DED">
              <w:rPr>
                <w:color w:val="000000" w:themeColor="text1"/>
                <w:lang w:val="en-US"/>
              </w:rPr>
              <w:br/>
              <w:t xml:space="preserve">(QTc SD </w:t>
            </w:r>
            <w:r w:rsidRPr="00833DED">
              <w:rPr>
                <w:color w:val="000000" w:themeColor="text1"/>
                <w:lang w:val="en-US"/>
              </w:rPr>
              <w:br/>
            </w:r>
            <w:r w:rsidRPr="00833DED">
              <w:rPr>
                <w:rFonts w:ascii="Times New Roman" w:hAnsi="Times New Roman" w:cs="Times New Roman"/>
                <w:color w:val="000000" w:themeColor="text1"/>
                <w:lang w:val="en-US"/>
              </w:rPr>
              <w:t>≥</w:t>
            </w:r>
            <w:r w:rsidRPr="00833DED">
              <w:rPr>
                <w:color w:val="000000" w:themeColor="text1"/>
                <w:lang w:val="en-US"/>
              </w:rPr>
              <w:t xml:space="preserve">21.3 </w:t>
            </w:r>
            <w:proofErr w:type="spellStart"/>
            <w:r w:rsidRPr="00833DED">
              <w:rPr>
                <w:color w:val="000000" w:themeColor="text1"/>
                <w:lang w:val="en-US"/>
              </w:rPr>
              <w:t>msec</w:t>
            </w:r>
            <w:proofErr w:type="spellEnd"/>
            <w:r w:rsidRPr="00833DED">
              <w:rPr>
                <w:color w:val="000000" w:themeColor="text1"/>
                <w:lang w:val="en-US"/>
              </w:rPr>
              <w:t>)</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87%/60%</w:t>
            </w:r>
            <w:r w:rsidR="00371C7F">
              <w:rPr>
                <w:rFonts w:cs="Calibri"/>
                <w:color w:val="000000" w:themeColor="text1"/>
                <w:lang w:val="en-US"/>
              </w:rPr>
              <w:t xml:space="preserve"> (0.85)</w:t>
            </w:r>
            <w:r w:rsidRPr="00833DED">
              <w:rPr>
                <w:rFonts w:cs="Calibri"/>
                <w:color w:val="000000" w:themeColor="text1"/>
                <w:lang w:val="en-US"/>
              </w:rPr>
              <w:t xml:space="preserve"> </w:t>
            </w:r>
            <w:r w:rsidRPr="00833DED">
              <w:rPr>
                <w:rFonts w:cs="Calibri"/>
                <w:color w:val="000000" w:themeColor="text1"/>
                <w:lang w:val="en-US"/>
              </w:rPr>
              <w:br/>
              <w:t xml:space="preserve">(QTc dispersion </w:t>
            </w:r>
            <w:r w:rsidRPr="00833DED">
              <w:rPr>
                <w:rFonts w:ascii="Times New Roman" w:hAnsi="Times New Roman" w:cs="Times New Roman"/>
                <w:color w:val="000000" w:themeColor="text1"/>
                <w:lang w:val="en-US"/>
              </w:rPr>
              <w:t>≥</w:t>
            </w:r>
            <w:r w:rsidRPr="00833DED">
              <w:rPr>
                <w:rFonts w:cs="Calibri"/>
                <w:color w:val="000000" w:themeColor="text1"/>
                <w:lang w:val="en-US"/>
              </w:rPr>
              <w:t xml:space="preserve">88.5 </w:t>
            </w:r>
            <w:proofErr w:type="spellStart"/>
            <w:r w:rsidRPr="00833DED">
              <w:rPr>
                <w:rFonts w:cs="Calibri"/>
                <w:color w:val="000000" w:themeColor="text1"/>
                <w:lang w:val="en-US"/>
              </w:rPr>
              <w:t>msec</w:t>
            </w:r>
            <w:proofErr w:type="spellEnd"/>
            <w:r w:rsidRPr="00833DED">
              <w:rPr>
                <w:rFonts w:cs="Calibri"/>
                <w:color w:val="000000" w:themeColor="text1"/>
                <w:lang w:val="en-US"/>
              </w:rPr>
              <w:t>)</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80%/93%</w:t>
            </w:r>
            <w:r w:rsidR="00371C7F">
              <w:rPr>
                <w:rFonts w:cs="Calibri"/>
                <w:color w:val="000000" w:themeColor="text1"/>
                <w:lang w:val="en-US"/>
              </w:rPr>
              <w:t xml:space="preserve"> (0.86)</w:t>
            </w:r>
            <w:r w:rsidRPr="00833DED">
              <w:rPr>
                <w:rFonts w:cs="Calibri"/>
                <w:color w:val="000000" w:themeColor="text1"/>
                <w:lang w:val="en-US"/>
              </w:rPr>
              <w:t xml:space="preserve"> </w:t>
            </w:r>
            <w:r w:rsidRPr="00833DED">
              <w:rPr>
                <w:rFonts w:cs="Calibri"/>
                <w:color w:val="000000" w:themeColor="text1"/>
                <w:lang w:val="en-US"/>
              </w:rPr>
              <w:br/>
              <w:t xml:space="preserve">(SI-QTc </w:t>
            </w:r>
            <w:r w:rsidRPr="00833DED">
              <w:rPr>
                <w:rFonts w:ascii="Times New Roman" w:hAnsi="Times New Roman" w:cs="Times New Roman"/>
                <w:color w:val="000000" w:themeColor="text1"/>
                <w:lang w:val="en-US"/>
              </w:rPr>
              <w:t>≥</w:t>
            </w:r>
            <w:r w:rsidRPr="00833DED">
              <w:rPr>
                <w:rFonts w:cs="Calibri"/>
                <w:color w:val="000000" w:themeColor="text1"/>
                <w:lang w:val="en-US"/>
              </w:rPr>
              <w:t>0.31 </w:t>
            </w:r>
            <w:proofErr w:type="spellStart"/>
            <w:r w:rsidRPr="00833DED">
              <w:rPr>
                <w:rFonts w:cs="Calibri"/>
                <w:color w:val="000000" w:themeColor="text1"/>
                <w:lang w:val="en-US"/>
              </w:rPr>
              <w:t>msec</w:t>
            </w:r>
            <w:proofErr w:type="spellEnd"/>
            <w:r w:rsidRPr="00833DED">
              <w:rPr>
                <w:rFonts w:cs="Calibri"/>
                <w:color w:val="000000" w:themeColor="text1"/>
                <w:lang w:val="en-US"/>
              </w:rPr>
              <w:t>)</w:t>
            </w:r>
          </w:p>
        </w:tc>
        <w:tc>
          <w:tcPr>
            <w:tcW w:w="1984" w:type="dxa"/>
            <w:shd w:val="clear" w:color="auto" w:fill="FFFFFF" w:themeFill="background1"/>
          </w:tcPr>
          <w:p w:rsidR="00371C7F" w:rsidRDefault="00371C7F" w:rsidP="005E7FD7">
            <w:pPr>
              <w:spacing w:before="120" w:after="0" w:line="240" w:lineRule="auto"/>
              <w:jc w:val="center"/>
              <w:rPr>
                <w:rFonts w:cs="Calibri"/>
                <w:color w:val="000000" w:themeColor="text1"/>
                <w:lang w:val="en-US"/>
              </w:rPr>
            </w:pPr>
          </w:p>
          <w:p w:rsidR="00223286" w:rsidRPr="00833DED" w:rsidRDefault="003B083A"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371C7F" w:rsidRDefault="00371C7F"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w:t>
            </w:r>
          </w:p>
        </w:tc>
      </w:tr>
      <w:tr w:rsidR="00223286" w:rsidRPr="003855DB" w:rsidTr="00BF21C9">
        <w:tc>
          <w:tcPr>
            <w:tcW w:w="2235" w:type="dxa"/>
            <w:shd w:val="clear" w:color="auto" w:fill="FFFFFF" w:themeFill="background1"/>
          </w:tcPr>
          <w:p w:rsidR="005A3702" w:rsidRDefault="005A3702" w:rsidP="005E7FD7">
            <w:pPr>
              <w:spacing w:before="120" w:after="0" w:line="240" w:lineRule="auto"/>
              <w:rPr>
                <w:color w:val="000000" w:themeColor="text1"/>
                <w:lang w:val="en-US"/>
              </w:rPr>
            </w:pPr>
            <w:r>
              <w:rPr>
                <w:color w:val="000000" w:themeColor="text1"/>
                <w:lang w:val="en-US"/>
              </w:rPr>
              <w:t>Ogata et al. 2009</w:t>
            </w:r>
            <w:r w:rsidR="00F50BBC">
              <w:rPr>
                <w:color w:val="000000" w:themeColor="text1"/>
                <w:lang w:val="en-US"/>
              </w:rPr>
              <w:t xml:space="preserve"> </w:t>
            </w:r>
            <w:r w:rsidR="008F0EFD" w:rsidRPr="00744185">
              <w:rPr>
                <w:color w:val="000000" w:themeColor="text1"/>
                <w:lang w:val="en-US"/>
              </w:rPr>
              <w:t>[</w:t>
            </w:r>
            <w:r w:rsidR="00F50BBC" w:rsidRPr="00744185">
              <w:rPr>
                <w:color w:val="000000" w:themeColor="text1"/>
                <w:lang w:val="en-US"/>
              </w:rPr>
              <w:t>e57</w:t>
            </w:r>
            <w:r w:rsidR="008F0EFD">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 xml:space="preserve">Unshielded, </w:t>
            </w:r>
            <w:r w:rsidRPr="00833DED">
              <w:rPr>
                <w:color w:val="000000" w:themeColor="text1"/>
                <w:lang w:val="en-US"/>
              </w:rPr>
              <w:br/>
              <w:t>64-channel MCG at rest</w:t>
            </w:r>
          </w:p>
        </w:tc>
        <w:tc>
          <w:tcPr>
            <w:tcW w:w="3260" w:type="dxa"/>
            <w:shd w:val="clear" w:color="auto" w:fill="FFFFFF" w:themeFill="background1"/>
          </w:tcPr>
          <w:p w:rsidR="00223286" w:rsidRPr="00833DED" w:rsidRDefault="00223286" w:rsidP="005A3702">
            <w:pPr>
              <w:spacing w:before="120" w:after="0" w:line="240" w:lineRule="auto"/>
              <w:rPr>
                <w:color w:val="000000" w:themeColor="text1"/>
                <w:lang w:val="en-US"/>
              </w:rPr>
            </w:pPr>
            <w:r w:rsidRPr="00833DED">
              <w:rPr>
                <w:color w:val="000000" w:themeColor="text1"/>
                <w:lang w:val="en-US"/>
              </w:rPr>
              <w:t>Averaged total score</w:t>
            </w:r>
            <w:r w:rsidR="003B083A">
              <w:rPr>
                <w:color w:val="000000" w:themeColor="text1"/>
                <w:lang w:val="en-US"/>
              </w:rPr>
              <w:t xml:space="preserve"> (0</w:t>
            </w:r>
            <w:r w:rsidR="003B083A" w:rsidRPr="001571F2">
              <w:rPr>
                <w:color w:val="000000" w:themeColor="text1"/>
                <w:lang w:val="en-US"/>
              </w:rPr>
              <w:t>–</w:t>
            </w:r>
            <w:r w:rsidR="005A3702">
              <w:rPr>
                <w:color w:val="000000" w:themeColor="text1"/>
                <w:lang w:val="en-US"/>
              </w:rPr>
              <w:t>4)</w:t>
            </w:r>
            <w:r w:rsidRPr="00833DED">
              <w:rPr>
                <w:color w:val="000000" w:themeColor="text1"/>
                <w:lang w:val="en-US"/>
              </w:rPr>
              <w:t xml:space="preserve"> of four current distribution parameters measured at </w:t>
            </w:r>
            <w:proofErr w:type="gramStart"/>
            <w:r w:rsidRPr="00833DED">
              <w:rPr>
                <w:color w:val="000000" w:themeColor="text1"/>
                <w:lang w:val="en-US"/>
              </w:rPr>
              <w:t>four ti</w:t>
            </w:r>
            <w:r w:rsidR="005A3702">
              <w:rPr>
                <w:color w:val="000000" w:themeColor="text1"/>
                <w:lang w:val="en-US"/>
              </w:rPr>
              <w:t>me</w:t>
            </w:r>
            <w:proofErr w:type="gramEnd"/>
            <w:r w:rsidR="005A3702">
              <w:rPr>
                <w:color w:val="000000" w:themeColor="text1"/>
                <w:lang w:val="en-US"/>
              </w:rPr>
              <w:t xml:space="preserve"> intervals during the T wave (maximum current vector,</w:t>
            </w:r>
            <w:r w:rsidRPr="00833DED">
              <w:rPr>
                <w:color w:val="000000" w:themeColor="text1"/>
                <w:lang w:val="en-US"/>
              </w:rPr>
              <w:t xml:space="preserve"> total current </w:t>
            </w:r>
            <w:r w:rsidR="005A3702">
              <w:rPr>
                <w:color w:val="000000" w:themeColor="text1"/>
                <w:lang w:val="en-US"/>
              </w:rPr>
              <w:t>vector</w:t>
            </w:r>
            <w:r w:rsidRPr="00833DED">
              <w:rPr>
                <w:color w:val="000000" w:themeColor="text1"/>
                <w:lang w:val="en-US"/>
              </w:rPr>
              <w:t>, current integral map</w:t>
            </w:r>
            <w:r w:rsidR="003B083A">
              <w:rPr>
                <w:color w:val="000000" w:themeColor="text1"/>
                <w:lang w:val="en-US"/>
              </w:rPr>
              <w:t>,</w:t>
            </w:r>
            <w:r w:rsidRPr="00833DED">
              <w:rPr>
                <w:color w:val="000000" w:themeColor="text1"/>
                <w:lang w:val="en-US"/>
              </w:rPr>
              <w:t xml:space="preserve"> and current rotation</w:t>
            </w:r>
            <w:r w:rsidR="005A3702">
              <w:rPr>
                <w:color w:val="000000" w:themeColor="text1"/>
                <w:lang w:val="en-US"/>
              </w:rPr>
              <w:t>)</w:t>
            </w:r>
            <w:r w:rsidRPr="00833DED">
              <w:rPr>
                <w:color w:val="000000" w:themeColor="text1"/>
                <w:lang w:val="en-US"/>
              </w:rPr>
              <w:t xml:space="preserve"> with a score of &gt;1 as prespecified cut-off to define CHD</w:t>
            </w:r>
          </w:p>
        </w:tc>
        <w:tc>
          <w:tcPr>
            <w:tcW w:w="3827" w:type="dxa"/>
            <w:shd w:val="clear" w:color="auto" w:fill="FFFFFF" w:themeFill="background1"/>
          </w:tcPr>
          <w:p w:rsidR="005A3702" w:rsidRDefault="005A3702" w:rsidP="005E7FD7">
            <w:pPr>
              <w:spacing w:before="120" w:after="0" w:line="240" w:lineRule="auto"/>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CHD and angiographically proven &gt;75% stenosis of a vessel (56)</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Subjects with normal ECG and no history of CVD (101)</w:t>
            </w:r>
          </w:p>
          <w:p w:rsidR="00223286" w:rsidRPr="00833DED" w:rsidRDefault="00223286" w:rsidP="005E7FD7">
            <w:pPr>
              <w:spacing w:before="120" w:after="0" w:line="240" w:lineRule="auto"/>
              <w:rPr>
                <w:color w:val="000000" w:themeColor="text1"/>
                <w:lang w:val="en-US"/>
              </w:rPr>
            </w:pPr>
          </w:p>
        </w:tc>
        <w:tc>
          <w:tcPr>
            <w:tcW w:w="1985" w:type="dxa"/>
            <w:shd w:val="clear" w:color="auto" w:fill="FFFFFF" w:themeFill="background1"/>
          </w:tcPr>
          <w:p w:rsidR="005A3702" w:rsidRDefault="005A3702"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74.3%/85.7%</w:t>
            </w:r>
          </w:p>
        </w:tc>
        <w:tc>
          <w:tcPr>
            <w:tcW w:w="1984" w:type="dxa"/>
            <w:shd w:val="clear" w:color="auto" w:fill="FFFFFF" w:themeFill="background1"/>
          </w:tcPr>
          <w:p w:rsidR="005A3702" w:rsidRDefault="005A3702" w:rsidP="005E7FD7">
            <w:pPr>
              <w:spacing w:before="120" w:after="0" w:line="240" w:lineRule="auto"/>
              <w:jc w:val="center"/>
              <w:rPr>
                <w:rFonts w:cs="Calibri"/>
                <w:color w:val="000000" w:themeColor="text1"/>
                <w:lang w:val="en-US"/>
              </w:rPr>
            </w:pPr>
          </w:p>
          <w:p w:rsidR="00223286" w:rsidRPr="00833DED" w:rsidRDefault="003B083A"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5A3702" w:rsidRDefault="005A3702"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223286" w:rsidRPr="00833DED" w:rsidRDefault="00223286" w:rsidP="005E7FD7">
            <w:pPr>
              <w:spacing w:before="120" w:after="0" w:line="240" w:lineRule="auto"/>
              <w:rPr>
                <w:color w:val="000000" w:themeColor="text1"/>
                <w:lang w:val="en-US"/>
              </w:rPr>
            </w:pPr>
            <w:proofErr w:type="spellStart"/>
            <w:r w:rsidRPr="00833DED">
              <w:rPr>
                <w:color w:val="000000" w:themeColor="text1"/>
                <w:lang w:val="en-US"/>
              </w:rPr>
              <w:t>Kangwanariyakul</w:t>
            </w:r>
            <w:proofErr w:type="spellEnd"/>
            <w:r w:rsidRPr="00833DED">
              <w:rPr>
                <w:color w:val="000000" w:themeColor="text1"/>
                <w:lang w:val="en-US"/>
              </w:rPr>
              <w:t xml:space="preserve"> et al. 2010</w:t>
            </w:r>
            <w:r w:rsidR="00F50BBC">
              <w:rPr>
                <w:color w:val="000000" w:themeColor="text1"/>
                <w:lang w:val="en-US"/>
              </w:rPr>
              <w:t xml:space="preserve"> </w:t>
            </w:r>
            <w:r w:rsidR="008F0EFD">
              <w:rPr>
                <w:color w:val="000000" w:themeColor="text1"/>
                <w:lang w:val="en-US"/>
              </w:rPr>
              <w:t>[</w:t>
            </w:r>
            <w:r w:rsidR="00F50BBC" w:rsidRPr="00744185">
              <w:rPr>
                <w:color w:val="000000" w:themeColor="text1"/>
                <w:lang w:val="en-US"/>
              </w:rPr>
              <w:t>e58</w:t>
            </w:r>
            <w:r w:rsidR="008F0EFD">
              <w:rPr>
                <w:color w:val="000000" w:themeColor="text1"/>
                <w:lang w:val="en-US"/>
              </w:rPr>
              <w:t>]</w:t>
            </w:r>
          </w:p>
          <w:p w:rsidR="00223286" w:rsidRPr="00833DED" w:rsidRDefault="00223286" w:rsidP="005E7FD7">
            <w:pPr>
              <w:spacing w:before="120" w:after="0" w:line="240" w:lineRule="auto"/>
              <w:rPr>
                <w:color w:val="000000" w:themeColor="text1"/>
                <w:lang w:val="en-US"/>
              </w:rPr>
            </w:pP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Machine-learning approach to analysis of the JT interval using algorithms of neural network</w:t>
            </w:r>
            <w:r w:rsidR="00A87868">
              <w:rPr>
                <w:color w:val="000000" w:themeColor="text1"/>
                <w:lang w:val="en-US"/>
              </w:rPr>
              <w:t>, with BNN identified as best model</w:t>
            </w:r>
          </w:p>
        </w:tc>
        <w:tc>
          <w:tcPr>
            <w:tcW w:w="3827" w:type="dxa"/>
            <w:shd w:val="clear" w:color="auto" w:fill="FFFFFF" w:themeFill="background1"/>
          </w:tcPr>
          <w:p w:rsidR="00554701" w:rsidRDefault="00554701" w:rsidP="005E7FD7">
            <w:pPr>
              <w:spacing w:before="120" w:after="0" w:line="240" w:lineRule="auto"/>
              <w:rPr>
                <w:color w:val="000000" w:themeColor="text1"/>
                <w:lang w:val="en-US"/>
              </w:rPr>
            </w:pPr>
            <w:r>
              <w:rPr>
                <w:color w:val="000000" w:themeColor="text1"/>
                <w:lang w:val="en-US"/>
              </w:rPr>
              <w:t>IHD</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Patients with IHD (29)</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with no evidence of cardiac abnormal symptoms (22)</w:t>
            </w:r>
          </w:p>
        </w:tc>
        <w:tc>
          <w:tcPr>
            <w:tcW w:w="1985" w:type="dxa"/>
            <w:shd w:val="clear" w:color="auto" w:fill="FFFFFF" w:themeFill="background1"/>
          </w:tcPr>
          <w:p w:rsidR="00554701" w:rsidRDefault="00554701" w:rsidP="005E7FD7">
            <w:pPr>
              <w:spacing w:before="120" w:after="0" w:line="240" w:lineRule="auto"/>
              <w:jc w:val="center"/>
              <w:rPr>
                <w:rFonts w:cs="Calibri"/>
                <w:color w:val="000000" w:themeColor="text1"/>
                <w:lang w:val="en-US"/>
              </w:rPr>
            </w:pPr>
          </w:p>
          <w:p w:rsidR="00223286" w:rsidRPr="00833DED" w:rsidRDefault="00223286" w:rsidP="00F012A9">
            <w:pPr>
              <w:spacing w:before="120" w:after="0" w:line="240" w:lineRule="auto"/>
              <w:jc w:val="center"/>
              <w:rPr>
                <w:rFonts w:cs="Calibri"/>
                <w:color w:val="000000" w:themeColor="text1"/>
                <w:lang w:val="en-US"/>
              </w:rPr>
            </w:pPr>
            <w:r w:rsidRPr="00833DED">
              <w:rPr>
                <w:rFonts w:cs="Calibri"/>
                <w:color w:val="000000" w:themeColor="text1"/>
                <w:lang w:val="en-US"/>
              </w:rPr>
              <w:t>54.6%</w:t>
            </w:r>
            <w:r w:rsidR="00A87868">
              <w:rPr>
                <w:rFonts w:cs="Calibri"/>
                <w:color w:val="000000" w:themeColor="text1"/>
                <w:lang w:val="en-US"/>
              </w:rPr>
              <w:t>/</w:t>
            </w:r>
            <w:r w:rsidR="00A87868" w:rsidRPr="00833DED">
              <w:rPr>
                <w:rFonts w:cs="Calibri"/>
                <w:color w:val="000000" w:themeColor="text1"/>
                <w:lang w:val="en-US"/>
              </w:rPr>
              <w:t>96.</w:t>
            </w:r>
            <w:r w:rsidR="00A87868">
              <w:rPr>
                <w:rFonts w:cs="Calibri"/>
                <w:color w:val="000000" w:themeColor="text1"/>
                <w:lang w:val="en-US"/>
              </w:rPr>
              <w:t>7%</w:t>
            </w:r>
            <w:r w:rsidR="00F012A9">
              <w:rPr>
                <w:rFonts w:cs="Calibri"/>
                <w:color w:val="000000" w:themeColor="text1"/>
                <w:lang w:val="en-US"/>
              </w:rPr>
              <w:t xml:space="preserve"> (0.85)</w:t>
            </w:r>
          </w:p>
        </w:tc>
        <w:tc>
          <w:tcPr>
            <w:tcW w:w="1984" w:type="dxa"/>
            <w:shd w:val="clear" w:color="auto" w:fill="FFFFFF" w:themeFill="background1"/>
          </w:tcPr>
          <w:p w:rsidR="00223286" w:rsidRDefault="00223286" w:rsidP="005E7FD7">
            <w:pPr>
              <w:spacing w:before="120" w:after="0" w:line="240" w:lineRule="auto"/>
              <w:jc w:val="center"/>
              <w:rPr>
                <w:rFonts w:cs="Calibri"/>
                <w:color w:val="000000" w:themeColor="text1"/>
                <w:lang w:val="en-US"/>
              </w:rPr>
            </w:pPr>
          </w:p>
          <w:p w:rsidR="00554701" w:rsidRPr="00833DED" w:rsidRDefault="00554701" w:rsidP="005E7FD7">
            <w:pPr>
              <w:spacing w:before="120" w:after="0" w:line="240" w:lineRule="auto"/>
              <w:jc w:val="center"/>
              <w:rPr>
                <w:rFonts w:cs="Calibri"/>
                <w:color w:val="000000" w:themeColor="text1"/>
                <w:lang w:val="en-US"/>
              </w:rPr>
            </w:pPr>
            <w:r w:rsidRPr="00833DED">
              <w:rPr>
                <w:rFonts w:cs="Calibri"/>
                <w:color w:val="000000" w:themeColor="text1"/>
                <w:lang w:val="en-US"/>
              </w:rPr>
              <w:t>—</w:t>
            </w:r>
          </w:p>
        </w:tc>
        <w:tc>
          <w:tcPr>
            <w:tcW w:w="1451" w:type="dxa"/>
            <w:gridSpan w:val="2"/>
            <w:shd w:val="clear" w:color="auto" w:fill="FFFFFF" w:themeFill="background1"/>
          </w:tcPr>
          <w:p w:rsidR="00554701" w:rsidRDefault="00554701"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w:t>
            </w:r>
          </w:p>
        </w:tc>
      </w:tr>
      <w:tr w:rsidR="00223286" w:rsidRPr="003855DB" w:rsidTr="00BF21C9">
        <w:tc>
          <w:tcPr>
            <w:tcW w:w="2235" w:type="dxa"/>
            <w:shd w:val="clear" w:color="auto" w:fill="FFFFFF" w:themeFill="background1"/>
          </w:tcPr>
          <w:p w:rsidR="00E32E82" w:rsidRDefault="003B083A" w:rsidP="00E32E82">
            <w:pPr>
              <w:spacing w:before="120" w:after="0" w:line="240" w:lineRule="auto"/>
              <w:rPr>
                <w:color w:val="000000" w:themeColor="text1"/>
                <w:lang w:val="en-US"/>
              </w:rPr>
            </w:pPr>
            <w:r>
              <w:rPr>
                <w:color w:val="000000" w:themeColor="text1"/>
                <w:lang w:val="en-US"/>
              </w:rPr>
              <w:lastRenderedPageBreak/>
              <w:t>Wu et al. 2013</w:t>
            </w:r>
            <w:r w:rsidR="00F50BBC">
              <w:rPr>
                <w:color w:val="000000" w:themeColor="text1"/>
                <w:lang w:val="en-US"/>
              </w:rPr>
              <w:t xml:space="preserve"> </w:t>
            </w:r>
            <w:r w:rsidR="00243068">
              <w:rPr>
                <w:color w:val="000000" w:themeColor="text1"/>
                <w:lang w:val="en-US"/>
              </w:rPr>
              <w:t>[</w:t>
            </w:r>
            <w:r w:rsidR="00F50BBC" w:rsidRPr="00744185">
              <w:rPr>
                <w:color w:val="000000" w:themeColor="text1"/>
                <w:lang w:val="en-US"/>
              </w:rPr>
              <w:t>e43</w:t>
            </w:r>
            <w:r w:rsidR="008F0EFD">
              <w:rPr>
                <w:color w:val="000000" w:themeColor="text1"/>
                <w:lang w:val="en-US"/>
              </w:rPr>
              <w:t>]</w:t>
            </w:r>
          </w:p>
          <w:p w:rsidR="00223286" w:rsidRPr="00833DED" w:rsidRDefault="00223286" w:rsidP="00E32E82">
            <w:pPr>
              <w:spacing w:before="120" w:after="0" w:line="240" w:lineRule="auto"/>
              <w:rPr>
                <w:color w:val="000000" w:themeColor="text1"/>
                <w:lang w:val="en-US"/>
              </w:rPr>
            </w:pPr>
            <w:r w:rsidRPr="00833DED">
              <w:rPr>
                <w:color w:val="000000" w:themeColor="text1"/>
                <w:lang w:val="en-US"/>
              </w:rPr>
              <w:t xml:space="preserve">Unshielded, </w:t>
            </w:r>
            <w:r w:rsidRPr="00833DED">
              <w:rPr>
                <w:color w:val="000000" w:themeColor="text1"/>
                <w:lang w:val="en-US"/>
              </w:rPr>
              <w:br/>
              <w:t xml:space="preserve">64-channel MCG </w:t>
            </w:r>
          </w:p>
        </w:tc>
        <w:tc>
          <w:tcPr>
            <w:tcW w:w="3260" w:type="dxa"/>
            <w:shd w:val="clear" w:color="auto" w:fill="FFFFFF" w:themeFill="background1"/>
          </w:tcPr>
          <w:p w:rsidR="00223286" w:rsidRPr="00833DED" w:rsidRDefault="00223286" w:rsidP="005E7FD7">
            <w:pPr>
              <w:autoSpaceDE w:val="0"/>
              <w:autoSpaceDN w:val="0"/>
              <w:adjustRightInd w:val="0"/>
              <w:spacing w:before="120" w:after="0" w:line="240" w:lineRule="auto"/>
              <w:rPr>
                <w:color w:val="000000" w:themeColor="text1"/>
                <w:lang w:val="en-US"/>
              </w:rPr>
            </w:pPr>
            <w:r w:rsidRPr="00833DED">
              <w:rPr>
                <w:color w:val="000000" w:themeColor="text1"/>
                <w:lang w:val="en-US"/>
              </w:rPr>
              <w:t>Area ratio of an extrema circle (L) and the curvature of magnetic field zero line (</w:t>
            </w:r>
            <w:r w:rsidRPr="00833DED">
              <w:rPr>
                <w:rFonts w:cs="Calibri"/>
                <w:color w:val="000000" w:themeColor="text1"/>
                <w:lang w:val="en-US"/>
              </w:rPr>
              <w:t>θ</w:t>
            </w:r>
            <w:r w:rsidRPr="00833DED">
              <w:rPr>
                <w:color w:val="000000" w:themeColor="text1"/>
                <w:lang w:val="en-US"/>
              </w:rPr>
              <w:t xml:space="preserve">) extracted from MCG data in the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vertAlign w:val="subscript"/>
                <w:lang w:val="en-US"/>
              </w:rPr>
              <w:t>/3</w:t>
            </w:r>
            <w:r w:rsidRPr="00833DED">
              <w:rPr>
                <w:color w:val="000000" w:themeColor="text1"/>
                <w:lang w:val="en-US"/>
              </w:rPr>
              <w:t xml:space="preserve"> to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lang w:val="en-US"/>
              </w:rPr>
              <w:t xml:space="preserve"> interval, with </w:t>
            </w:r>
            <w:proofErr w:type="spellStart"/>
            <w:r w:rsidRPr="00833DED">
              <w:rPr>
                <w:color w:val="000000" w:themeColor="text1"/>
                <w:lang w:val="en-US"/>
              </w:rPr>
              <w:t>L</w:t>
            </w:r>
            <w:r w:rsidRPr="00833DED">
              <w:rPr>
                <w:color w:val="000000" w:themeColor="text1"/>
                <w:vertAlign w:val="subscript"/>
                <w:lang w:val="en-US"/>
              </w:rPr>
              <w:t>max</w:t>
            </w:r>
            <w:proofErr w:type="spellEnd"/>
            <w:r w:rsidRPr="00833DED">
              <w:rPr>
                <w:color w:val="000000" w:themeColor="text1"/>
                <w:lang w:val="en-US"/>
              </w:rPr>
              <w:t xml:space="preserve"> 0.34 and </w:t>
            </w:r>
            <w:proofErr w:type="spellStart"/>
            <w:r w:rsidRPr="00833DED">
              <w:rPr>
                <w:rFonts w:cs="Calibri"/>
                <w:color w:val="000000" w:themeColor="text1"/>
                <w:lang w:val="en-US"/>
              </w:rPr>
              <w:t>θ</w:t>
            </w:r>
            <w:r w:rsidRPr="00833DED">
              <w:rPr>
                <w:color w:val="000000" w:themeColor="text1"/>
                <w:vertAlign w:val="subscript"/>
                <w:lang w:val="en-US"/>
              </w:rPr>
              <w:t>max</w:t>
            </w:r>
            <w:proofErr w:type="spellEnd"/>
            <w:r w:rsidRPr="00833DED">
              <w:rPr>
                <w:color w:val="000000" w:themeColor="text1"/>
                <w:vertAlign w:val="subscript"/>
                <w:lang w:val="en-US"/>
              </w:rPr>
              <w:t xml:space="preserve"> </w:t>
            </w:r>
            <w:r w:rsidRPr="00833DED">
              <w:rPr>
                <w:color w:val="000000" w:themeColor="text1"/>
                <w:lang w:val="en-US"/>
              </w:rPr>
              <w:t>2.9 selected as best cut-offs</w:t>
            </w:r>
          </w:p>
        </w:tc>
        <w:tc>
          <w:tcPr>
            <w:tcW w:w="3827"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Anatomic CAD</w:t>
            </w:r>
            <w:r w:rsidRPr="00833DED">
              <w:rPr>
                <w:color w:val="000000" w:themeColor="text1"/>
                <w:lang w:val="en-US"/>
              </w:rPr>
              <w:br/>
              <w:t>Patients with CAD documented by angiography (28)</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Healthy subjects</w:t>
            </w:r>
            <w:r w:rsidRPr="00833DED">
              <w:rPr>
                <w:color w:val="000000" w:themeColor="text1"/>
                <w:lang w:val="en-US"/>
              </w:rPr>
              <w:t xml:space="preserve"> (50)</w:t>
            </w:r>
          </w:p>
        </w:tc>
        <w:tc>
          <w:tcPr>
            <w:tcW w:w="1985" w:type="dxa"/>
            <w:shd w:val="clear" w:color="auto" w:fill="FFFFFF" w:themeFill="background1"/>
          </w:tcPr>
          <w:p w:rsidR="00E32E82" w:rsidRDefault="00E32E82"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72%/71.4%</w:t>
            </w:r>
          </w:p>
        </w:tc>
        <w:tc>
          <w:tcPr>
            <w:tcW w:w="1984" w:type="dxa"/>
            <w:shd w:val="clear" w:color="auto" w:fill="FFFFFF" w:themeFill="background1"/>
          </w:tcPr>
          <w:p w:rsidR="00E32E82" w:rsidRDefault="00E32E82" w:rsidP="00E32E82">
            <w:pPr>
              <w:spacing w:before="120" w:after="0" w:line="240" w:lineRule="auto"/>
              <w:jc w:val="center"/>
              <w:rPr>
                <w:rFonts w:cs="Calibri"/>
                <w:color w:val="000000" w:themeColor="text1"/>
                <w:lang w:val="en-US"/>
              </w:rPr>
            </w:pPr>
          </w:p>
          <w:p w:rsidR="00223286" w:rsidRPr="00833DED" w:rsidRDefault="00E32E82" w:rsidP="00E32E82">
            <w:pPr>
              <w:spacing w:before="120" w:after="0" w:line="240" w:lineRule="auto"/>
              <w:jc w:val="center"/>
              <w:rPr>
                <w:rFonts w:cs="Calibri"/>
                <w:color w:val="000000" w:themeColor="text1"/>
                <w:lang w:val="en-US"/>
              </w:rPr>
            </w:pPr>
            <w:r w:rsidRPr="00833DED">
              <w:rPr>
                <w:rFonts w:cs="Calibri"/>
                <w:color w:val="000000" w:themeColor="text1"/>
                <w:lang w:val="en-US"/>
              </w:rPr>
              <w:t>—</w:t>
            </w:r>
          </w:p>
        </w:tc>
        <w:tc>
          <w:tcPr>
            <w:tcW w:w="1451" w:type="dxa"/>
            <w:gridSpan w:val="2"/>
            <w:shd w:val="clear" w:color="auto" w:fill="FFFFFF" w:themeFill="background1"/>
          </w:tcPr>
          <w:p w:rsidR="00E32E82" w:rsidRDefault="00E32E82"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ECG</w:t>
            </w:r>
          </w:p>
        </w:tc>
      </w:tr>
      <w:tr w:rsidR="00223286" w:rsidRPr="003855DB" w:rsidTr="00BF21C9">
        <w:tc>
          <w:tcPr>
            <w:tcW w:w="2235" w:type="dxa"/>
            <w:shd w:val="clear" w:color="auto" w:fill="FFFFFF" w:themeFill="background1"/>
          </w:tcPr>
          <w:p w:rsidR="00936CAB" w:rsidRDefault="00936CAB" w:rsidP="005E7FD7">
            <w:pPr>
              <w:spacing w:before="120" w:after="0" w:line="240" w:lineRule="auto"/>
              <w:rPr>
                <w:color w:val="000000" w:themeColor="text1"/>
                <w:lang w:val="en-US"/>
              </w:rPr>
            </w:pPr>
            <w:proofErr w:type="spellStart"/>
            <w:r>
              <w:rPr>
                <w:color w:val="000000" w:themeColor="text1"/>
                <w:lang w:val="en-US"/>
              </w:rPr>
              <w:t>Chaikovsky</w:t>
            </w:r>
            <w:proofErr w:type="spellEnd"/>
            <w:r>
              <w:rPr>
                <w:color w:val="000000" w:themeColor="text1"/>
                <w:lang w:val="en-US"/>
              </w:rPr>
              <w:t xml:space="preserve"> et al. 2014</w:t>
            </w:r>
            <w:r w:rsidR="00243068">
              <w:rPr>
                <w:color w:val="000000" w:themeColor="text1"/>
                <w:lang w:val="en-US"/>
              </w:rPr>
              <w:t xml:space="preserve"> </w:t>
            </w:r>
            <w:r w:rsidR="00243068" w:rsidRPr="00744185">
              <w:rPr>
                <w:color w:val="000000" w:themeColor="text1"/>
                <w:lang w:val="en-US"/>
              </w:rPr>
              <w:t>[e44</w:t>
            </w:r>
            <w:r w:rsidR="00243068">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Unshielded, 7-channel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Integrated complex index, consisting of six MCG parameters (</w:t>
            </w:r>
            <w:proofErr w:type="spellStart"/>
            <w:r w:rsidRPr="00833DED">
              <w:rPr>
                <w:color w:val="000000" w:themeColor="text1"/>
                <w:lang w:val="en-US"/>
              </w:rPr>
              <w:t>AIQRStotal</w:t>
            </w:r>
            <w:proofErr w:type="spellEnd"/>
            <w:r w:rsidRPr="00833DED">
              <w:rPr>
                <w:color w:val="000000" w:themeColor="text1"/>
                <w:lang w:val="en-US"/>
              </w:rPr>
              <w:t>, AIST-</w:t>
            </w:r>
            <w:proofErr w:type="spellStart"/>
            <w:r w:rsidRPr="00833DED">
              <w:rPr>
                <w:color w:val="000000" w:themeColor="text1"/>
                <w:lang w:val="en-US"/>
              </w:rPr>
              <w:t>Ttotal</w:t>
            </w:r>
            <w:proofErr w:type="spellEnd"/>
            <w:r w:rsidRPr="00833DED">
              <w:rPr>
                <w:color w:val="000000" w:themeColor="text1"/>
                <w:lang w:val="en-US"/>
              </w:rPr>
              <w:t xml:space="preserve">, </w:t>
            </w:r>
            <w:proofErr w:type="spellStart"/>
            <w:r w:rsidRPr="00833DED">
              <w:rPr>
                <w:color w:val="000000" w:themeColor="text1"/>
                <w:lang w:val="en-US"/>
              </w:rPr>
              <w:t>Adur</w:t>
            </w:r>
            <w:proofErr w:type="spellEnd"/>
            <w:r w:rsidRPr="00833DED">
              <w:rPr>
                <w:color w:val="000000" w:themeColor="text1"/>
                <w:lang w:val="en-US"/>
              </w:rPr>
              <w:t xml:space="preserve">, </w:t>
            </w:r>
            <w:proofErr w:type="spellStart"/>
            <w:r w:rsidRPr="00833DED">
              <w:rPr>
                <w:color w:val="000000" w:themeColor="text1"/>
                <w:lang w:val="en-US"/>
              </w:rPr>
              <w:t>Ccor</w:t>
            </w:r>
            <w:proofErr w:type="spellEnd"/>
            <w:r w:rsidRPr="00833DED">
              <w:rPr>
                <w:color w:val="000000" w:themeColor="text1"/>
                <w:lang w:val="en-US"/>
              </w:rPr>
              <w:t>, R/</w:t>
            </w:r>
            <w:proofErr w:type="spellStart"/>
            <w:r w:rsidRPr="00833DED">
              <w:rPr>
                <w:color w:val="000000" w:themeColor="text1"/>
                <w:lang w:val="en-US"/>
              </w:rPr>
              <w:t>Tcurrent</w:t>
            </w:r>
            <w:proofErr w:type="spellEnd"/>
            <w:r w:rsidRPr="00833DED">
              <w:rPr>
                <w:color w:val="000000" w:themeColor="text1"/>
                <w:lang w:val="en-US"/>
              </w:rPr>
              <w:t>, and normality degree of maps)</w:t>
            </w:r>
          </w:p>
        </w:tc>
        <w:tc>
          <w:tcPr>
            <w:tcW w:w="3827" w:type="dxa"/>
            <w:shd w:val="clear" w:color="auto" w:fill="FFFFFF" w:themeFill="background1"/>
          </w:tcPr>
          <w:p w:rsidR="00936CAB" w:rsidRDefault="00936CAB"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who underwent coronary angiography with ≥70% stenosis of a vessel and no history of MI (54</w:t>
            </w:r>
            <w:r w:rsidR="006F4E83">
              <w:rPr>
                <w:color w:val="000000" w:themeColor="text1"/>
                <w:lang w:val="en-US"/>
              </w:rPr>
              <w:t>; Group 1a</w:t>
            </w:r>
            <w:r w:rsidRPr="00833DED">
              <w:rPr>
                <w:color w:val="000000" w:themeColor="text1"/>
                <w:lang w:val="en-US"/>
              </w:rPr>
              <w:t>)</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Patients without hemodynamically significant stenosis in any of the coronary arteries (25</w:t>
            </w:r>
            <w:r w:rsidR="006F4E83">
              <w:rPr>
                <w:i/>
                <w:color w:val="000000" w:themeColor="text1"/>
                <w:lang w:val="en-US"/>
              </w:rPr>
              <w:t>; Group 1b</w:t>
            </w:r>
            <w:r w:rsidRPr="00833DED">
              <w:rPr>
                <w:i/>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Healthy volunteers (30</w:t>
            </w:r>
            <w:r w:rsidR="006F4E83">
              <w:rPr>
                <w:i/>
                <w:color w:val="000000" w:themeColor="text1"/>
                <w:lang w:val="en-US"/>
              </w:rPr>
              <w:t>; Group 2</w:t>
            </w:r>
            <w:r w:rsidRPr="00833DED">
              <w:rPr>
                <w:i/>
                <w:color w:val="000000" w:themeColor="text1"/>
                <w:lang w:val="en-US"/>
              </w:rPr>
              <w:t>)</w:t>
            </w:r>
          </w:p>
        </w:tc>
        <w:tc>
          <w:tcPr>
            <w:tcW w:w="1985" w:type="dxa"/>
            <w:shd w:val="clear" w:color="auto" w:fill="FFFFFF" w:themeFill="background1"/>
          </w:tcPr>
          <w:p w:rsidR="00936CAB" w:rsidRDefault="00936CAB" w:rsidP="005E7FD7">
            <w:pPr>
              <w:spacing w:before="120" w:after="0" w:line="240" w:lineRule="auto"/>
              <w:jc w:val="center"/>
              <w:rPr>
                <w:rFonts w:cs="Calibri"/>
                <w:color w:val="000000" w:themeColor="text1"/>
                <w:lang w:val="en-US"/>
              </w:rPr>
            </w:pPr>
          </w:p>
          <w:p w:rsidR="006F4E83"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84%/93%</w:t>
            </w:r>
            <w:r w:rsidR="006F4E83">
              <w:rPr>
                <w:rFonts w:cs="Calibri"/>
                <w:color w:val="000000" w:themeColor="text1"/>
                <w:lang w:val="en-US"/>
              </w:rPr>
              <w:t xml:space="preserve"> </w:t>
            </w:r>
            <w:r w:rsidR="008F0EFD">
              <w:rPr>
                <w:rFonts w:cs="Calibri"/>
                <w:color w:val="000000" w:themeColor="text1"/>
                <w:lang w:val="en-US"/>
              </w:rPr>
              <w:br/>
            </w:r>
            <w:r w:rsidR="006F4E83">
              <w:rPr>
                <w:rFonts w:cs="Calibri"/>
                <w:color w:val="000000" w:themeColor="text1"/>
                <w:lang w:val="en-US"/>
              </w:rPr>
              <w:t>(vs Group 1b)</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94%/93%</w:t>
            </w:r>
            <w:r w:rsidR="006F4E83">
              <w:rPr>
                <w:rFonts w:cs="Calibri"/>
                <w:color w:val="000000" w:themeColor="text1"/>
                <w:lang w:val="en-US"/>
              </w:rPr>
              <w:t xml:space="preserve"> </w:t>
            </w:r>
            <w:r w:rsidR="008F0EFD">
              <w:rPr>
                <w:rFonts w:cs="Calibri"/>
                <w:color w:val="000000" w:themeColor="text1"/>
                <w:lang w:val="en-US"/>
              </w:rPr>
              <w:br/>
            </w:r>
            <w:r w:rsidR="006F4E83">
              <w:rPr>
                <w:rFonts w:cs="Calibri"/>
                <w:color w:val="000000" w:themeColor="text1"/>
                <w:lang w:val="en-US"/>
              </w:rPr>
              <w:t>(vs Group 2)</w:t>
            </w:r>
          </w:p>
        </w:tc>
        <w:tc>
          <w:tcPr>
            <w:tcW w:w="1984" w:type="dxa"/>
            <w:shd w:val="clear" w:color="auto" w:fill="FFFFFF" w:themeFill="background1"/>
          </w:tcPr>
          <w:p w:rsidR="00936CAB" w:rsidRDefault="00936CAB" w:rsidP="005E7FD7">
            <w:pPr>
              <w:spacing w:before="120" w:after="0" w:line="240" w:lineRule="auto"/>
              <w:jc w:val="center"/>
              <w:rPr>
                <w:rFonts w:cs="Calibri"/>
                <w:color w:val="000000" w:themeColor="text1"/>
                <w:lang w:val="en-US"/>
              </w:rPr>
            </w:pPr>
          </w:p>
          <w:p w:rsidR="006F4E83" w:rsidRDefault="00223286" w:rsidP="006F4E83">
            <w:pPr>
              <w:spacing w:before="120" w:after="0" w:line="240" w:lineRule="auto"/>
              <w:jc w:val="center"/>
              <w:rPr>
                <w:rFonts w:cs="Calibri"/>
                <w:color w:val="000000" w:themeColor="text1"/>
                <w:lang w:val="en-US"/>
              </w:rPr>
            </w:pPr>
            <w:r w:rsidRPr="00833DED">
              <w:rPr>
                <w:rFonts w:cs="Calibri"/>
                <w:color w:val="000000" w:themeColor="text1"/>
                <w:lang w:val="en-US"/>
              </w:rPr>
              <w:t>85%/93%</w:t>
            </w:r>
            <w:r w:rsidR="006F4E83">
              <w:rPr>
                <w:rFonts w:cs="Calibri"/>
                <w:color w:val="000000" w:themeColor="text1"/>
                <w:lang w:val="en-US"/>
              </w:rPr>
              <w:t xml:space="preserve"> </w:t>
            </w:r>
            <w:r w:rsidR="008F0EFD">
              <w:rPr>
                <w:rFonts w:cs="Calibri"/>
                <w:color w:val="000000" w:themeColor="text1"/>
                <w:lang w:val="en-US"/>
              </w:rPr>
              <w:br/>
            </w:r>
            <w:r w:rsidR="006F4E83">
              <w:rPr>
                <w:rFonts w:cs="Calibri"/>
                <w:color w:val="000000" w:themeColor="text1"/>
                <w:lang w:val="en-US"/>
              </w:rPr>
              <w:t>(vs Group 1b)</w:t>
            </w:r>
          </w:p>
          <w:p w:rsidR="00223286" w:rsidRPr="00833DED" w:rsidRDefault="00223286" w:rsidP="006F4E83">
            <w:pPr>
              <w:spacing w:before="120" w:after="0" w:line="240" w:lineRule="auto"/>
              <w:jc w:val="center"/>
              <w:rPr>
                <w:rFonts w:cs="Calibri"/>
                <w:color w:val="000000" w:themeColor="text1"/>
                <w:lang w:val="en-US"/>
              </w:rPr>
            </w:pPr>
            <w:r w:rsidRPr="00833DED">
              <w:rPr>
                <w:rFonts w:cs="Calibri"/>
                <w:color w:val="000000" w:themeColor="text1"/>
                <w:lang w:val="en-US"/>
              </w:rPr>
              <w:t>94%/93%</w:t>
            </w:r>
            <w:r w:rsidR="006F4E83">
              <w:rPr>
                <w:rFonts w:cs="Calibri"/>
                <w:color w:val="000000" w:themeColor="text1"/>
                <w:lang w:val="en-US"/>
              </w:rPr>
              <w:t xml:space="preserve"> </w:t>
            </w:r>
            <w:r w:rsidR="008F0EFD">
              <w:rPr>
                <w:rFonts w:cs="Calibri"/>
                <w:color w:val="000000" w:themeColor="text1"/>
                <w:lang w:val="en-US"/>
              </w:rPr>
              <w:br/>
            </w:r>
            <w:r w:rsidR="006F4E83">
              <w:rPr>
                <w:rFonts w:cs="Calibri"/>
                <w:color w:val="000000" w:themeColor="text1"/>
                <w:lang w:val="en-US"/>
              </w:rPr>
              <w:t>(vs Group 2</w:t>
            </w:r>
          </w:p>
        </w:tc>
        <w:tc>
          <w:tcPr>
            <w:tcW w:w="1451" w:type="dxa"/>
            <w:gridSpan w:val="2"/>
            <w:shd w:val="clear" w:color="auto" w:fill="FFFFFF" w:themeFill="background1"/>
          </w:tcPr>
          <w:p w:rsidR="00936CAB" w:rsidRDefault="00936CAB" w:rsidP="005E7FD7">
            <w:pPr>
              <w:spacing w:before="120" w:after="0" w:line="240" w:lineRule="auto"/>
              <w:rPr>
                <w:rFonts w:cs="Calibri"/>
                <w:color w:val="000000" w:themeColor="text1"/>
                <w:lang w:val="en-US"/>
              </w:rPr>
            </w:pPr>
          </w:p>
          <w:p w:rsidR="00223286" w:rsidRPr="00833DED" w:rsidRDefault="006F4E83" w:rsidP="005E7FD7">
            <w:pPr>
              <w:spacing w:before="120" w:after="0" w:line="240" w:lineRule="auto"/>
              <w:rPr>
                <w:rFonts w:cs="Calibri"/>
                <w:color w:val="000000" w:themeColor="text1"/>
                <w:lang w:val="en-US"/>
              </w:rPr>
            </w:pPr>
            <w:r>
              <w:rPr>
                <w:rFonts w:cs="Calibri"/>
                <w:color w:val="000000" w:themeColor="text1"/>
                <w:lang w:val="en-US"/>
              </w:rPr>
              <w:t>Angiography</w:t>
            </w:r>
          </w:p>
        </w:tc>
      </w:tr>
      <w:tr w:rsidR="00223286" w:rsidRPr="003855DB" w:rsidTr="00BF21C9">
        <w:tc>
          <w:tcPr>
            <w:tcW w:w="2235" w:type="dxa"/>
            <w:shd w:val="clear" w:color="auto" w:fill="FFFFFF" w:themeFill="background1"/>
          </w:tcPr>
          <w:p w:rsidR="008F0EFD" w:rsidRDefault="00223286" w:rsidP="005E7FD7">
            <w:pPr>
              <w:spacing w:before="120" w:after="0" w:line="240" w:lineRule="auto"/>
              <w:rPr>
                <w:color w:val="000000" w:themeColor="text1"/>
                <w:lang w:val="en-US"/>
              </w:rPr>
            </w:pPr>
            <w:proofErr w:type="spellStart"/>
            <w:r w:rsidRPr="00833DED">
              <w:rPr>
                <w:color w:val="000000" w:themeColor="text1"/>
                <w:lang w:val="en-US"/>
              </w:rPr>
              <w:t>Brisinda</w:t>
            </w:r>
            <w:proofErr w:type="spellEnd"/>
            <w:r w:rsidRPr="00833DED">
              <w:rPr>
                <w:color w:val="000000" w:themeColor="text1"/>
                <w:lang w:val="en-US"/>
              </w:rPr>
              <w:t xml:space="preserve"> et al. 2015</w:t>
            </w:r>
            <w:r w:rsidR="00243068">
              <w:rPr>
                <w:color w:val="000000" w:themeColor="text1"/>
                <w:lang w:val="en-US"/>
              </w:rPr>
              <w:t xml:space="preserve"> </w:t>
            </w:r>
            <w:r w:rsidR="00243068" w:rsidRPr="00744185">
              <w:rPr>
                <w:color w:val="000000" w:themeColor="text1"/>
                <w:lang w:val="en-US"/>
              </w:rPr>
              <w:t>[e45</w:t>
            </w:r>
            <w:r w:rsidR="00243068">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Unshielded MCG at rest</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Machine learning method to calculate the dynamic motion of the effective magnetic vector during the T wave</w:t>
            </w:r>
          </w:p>
        </w:tc>
        <w:tc>
          <w:tcPr>
            <w:tcW w:w="3827" w:type="dxa"/>
            <w:shd w:val="clear" w:color="auto" w:fill="FFFFFF" w:themeFill="background1"/>
          </w:tcPr>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Anatomic CAD</w:t>
            </w:r>
            <w:r w:rsidRPr="00833DED">
              <w:rPr>
                <w:color w:val="000000" w:themeColor="text1"/>
                <w:lang w:val="en-US"/>
              </w:rPr>
              <w:br/>
              <w:t>Patients presenting with chronic stable angina diagnosed with IHD by coronary angiography and/or stress SPECT (53)</w:t>
            </w:r>
          </w:p>
          <w:p w:rsidR="00223286" w:rsidRPr="00833DED" w:rsidRDefault="00223286" w:rsidP="005E7FD7">
            <w:pPr>
              <w:spacing w:before="120" w:after="0" w:line="240" w:lineRule="auto"/>
              <w:rPr>
                <w:color w:val="000000" w:themeColor="text1"/>
                <w:lang w:val="en-US"/>
              </w:rPr>
            </w:pPr>
            <w:r w:rsidRPr="00833DED">
              <w:rPr>
                <w:i/>
                <w:color w:val="000000" w:themeColor="text1"/>
                <w:lang w:val="en-US"/>
              </w:rPr>
              <w:t>Healthy subjects</w:t>
            </w:r>
            <w:r w:rsidRPr="00833DED">
              <w:rPr>
                <w:color w:val="000000" w:themeColor="text1"/>
                <w:lang w:val="en-US"/>
              </w:rPr>
              <w:t xml:space="preserve"> (52)</w:t>
            </w:r>
          </w:p>
        </w:tc>
        <w:tc>
          <w:tcPr>
            <w:tcW w:w="1985" w:type="dxa"/>
            <w:shd w:val="clear" w:color="auto" w:fill="FFFFFF" w:themeFill="background1"/>
          </w:tcPr>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96%/54%</w:t>
            </w:r>
          </w:p>
        </w:tc>
        <w:tc>
          <w:tcPr>
            <w:tcW w:w="1984" w:type="dxa"/>
            <w:shd w:val="clear" w:color="auto" w:fill="FFFFFF" w:themeFill="background1"/>
          </w:tcPr>
          <w:p w:rsidR="00223286" w:rsidRPr="00833DED" w:rsidRDefault="00223286" w:rsidP="005E7FD7">
            <w:pPr>
              <w:spacing w:before="120" w:after="0" w:line="240" w:lineRule="auto"/>
              <w:jc w:val="center"/>
              <w:rPr>
                <w:rFonts w:cs="Calibri"/>
                <w:color w:val="000000" w:themeColor="text1"/>
                <w:lang w:val="en-US"/>
              </w:rPr>
            </w:pPr>
            <w:r w:rsidRPr="00833DED">
              <w:rPr>
                <w:color w:val="000000" w:themeColor="text1"/>
                <w:lang w:val="en-US"/>
              </w:rPr>
              <w:t>93.5%/67.5%</w:t>
            </w:r>
          </w:p>
        </w:tc>
        <w:tc>
          <w:tcPr>
            <w:tcW w:w="1451" w:type="dxa"/>
            <w:gridSpan w:val="2"/>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ECG</w:t>
            </w:r>
          </w:p>
        </w:tc>
      </w:tr>
      <w:tr w:rsidR="00223286" w:rsidRPr="003855DB" w:rsidTr="00BF21C9">
        <w:tc>
          <w:tcPr>
            <w:tcW w:w="2235" w:type="dxa"/>
            <w:shd w:val="clear" w:color="auto" w:fill="FFFFFF" w:themeFill="background1"/>
          </w:tcPr>
          <w:p w:rsidR="008F0EFD" w:rsidRDefault="00223286" w:rsidP="005E7FD7">
            <w:pPr>
              <w:spacing w:before="120" w:after="0" w:line="240" w:lineRule="auto"/>
              <w:rPr>
                <w:color w:val="000000" w:themeColor="text1"/>
                <w:lang w:val="en-US"/>
              </w:rPr>
            </w:pPr>
            <w:r w:rsidRPr="00833DED">
              <w:rPr>
                <w:color w:val="000000" w:themeColor="text1"/>
                <w:lang w:val="en-US"/>
              </w:rPr>
              <w:t>Park et al. 2015</w:t>
            </w:r>
            <w:r w:rsidR="00243068">
              <w:rPr>
                <w:color w:val="000000" w:themeColor="text1"/>
                <w:lang w:val="en-US"/>
              </w:rPr>
              <w:t xml:space="preserve"> [</w:t>
            </w:r>
            <w:r w:rsidR="00243068" w:rsidRPr="00744185">
              <w:rPr>
                <w:color w:val="000000" w:themeColor="text1"/>
                <w:lang w:val="en-US"/>
              </w:rPr>
              <w:t>e27</w:t>
            </w:r>
            <w:r w:rsidR="00243068">
              <w:rPr>
                <w:color w:val="000000" w:themeColor="text1"/>
                <w:lang w:val="en-US"/>
              </w:rPr>
              <w:t>]</w:t>
            </w:r>
          </w:p>
          <w:p w:rsidR="00223286" w:rsidRPr="00833DED" w:rsidRDefault="00223286" w:rsidP="005E7FD7">
            <w:pPr>
              <w:spacing w:before="120" w:after="0" w:line="240" w:lineRule="auto"/>
              <w:rPr>
                <w:color w:val="000000" w:themeColor="text1"/>
                <w:lang w:val="en-US"/>
              </w:rPr>
            </w:pPr>
            <w:r w:rsidRPr="00833DED">
              <w:rPr>
                <w:color w:val="000000" w:themeColor="text1"/>
                <w:lang w:val="en-US"/>
              </w:rPr>
              <w:t>Shielded, 64-channel MCG at rest and post-exercise/dobutamine stress</w:t>
            </w:r>
          </w:p>
        </w:tc>
        <w:tc>
          <w:tcPr>
            <w:tcW w:w="3260" w:type="dxa"/>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Change in ST-segment fluctuation score between rest and stress</w:t>
            </w:r>
            <w:r w:rsidRPr="00833DED">
              <w:rPr>
                <w:i/>
                <w:color w:val="000000" w:themeColor="text1"/>
                <w:lang w:val="en-US"/>
              </w:rPr>
              <w:t xml:space="preserve"> </w:t>
            </w:r>
            <w:r w:rsidRPr="00833DED">
              <w:rPr>
                <w:color w:val="000000" w:themeColor="text1"/>
                <w:lang w:val="en-US"/>
              </w:rPr>
              <w:t xml:space="preserve">with a cut-off of −39.0% </w:t>
            </w:r>
          </w:p>
          <w:p w:rsidR="00223286" w:rsidRPr="00833DED" w:rsidRDefault="00223286" w:rsidP="00B61F26">
            <w:pPr>
              <w:spacing w:before="120" w:after="0" w:line="240" w:lineRule="auto"/>
              <w:rPr>
                <w:color w:val="000000" w:themeColor="text1"/>
                <w:lang w:val="en-US"/>
              </w:rPr>
            </w:pPr>
            <w:r w:rsidRPr="00833DED">
              <w:rPr>
                <w:color w:val="000000" w:themeColor="text1"/>
                <w:lang w:val="en-US"/>
              </w:rPr>
              <w:t xml:space="preserve">Bulls-eye mapping of current between beginning of T wave and </w:t>
            </w:r>
            <w:proofErr w:type="spellStart"/>
            <w:r w:rsidRPr="00833DED">
              <w:rPr>
                <w:color w:val="000000" w:themeColor="text1"/>
                <w:lang w:val="en-US"/>
              </w:rPr>
              <w:t>T</w:t>
            </w:r>
            <w:r w:rsidRPr="00833DED">
              <w:rPr>
                <w:color w:val="000000" w:themeColor="text1"/>
                <w:vertAlign w:val="subscript"/>
                <w:lang w:val="en-US"/>
              </w:rPr>
              <w:t>max</w:t>
            </w:r>
            <w:proofErr w:type="spellEnd"/>
            <w:r w:rsidRPr="00833DED">
              <w:rPr>
                <w:color w:val="000000" w:themeColor="text1"/>
                <w:lang w:val="en-US"/>
              </w:rPr>
              <w:t xml:space="preserve"> at rest vs stress</w:t>
            </w:r>
          </w:p>
        </w:tc>
        <w:tc>
          <w:tcPr>
            <w:tcW w:w="3827" w:type="dxa"/>
            <w:shd w:val="clear" w:color="auto" w:fill="FFFFFF" w:themeFill="background1"/>
          </w:tcPr>
          <w:p w:rsidR="00A40187" w:rsidRDefault="00A40187" w:rsidP="005E7FD7">
            <w:pPr>
              <w:spacing w:before="120" w:after="0" w:line="240" w:lineRule="auto"/>
              <w:ind w:left="4"/>
              <w:rPr>
                <w:color w:val="000000" w:themeColor="text1"/>
                <w:lang w:val="en-US"/>
              </w:rPr>
            </w:pPr>
            <w:r>
              <w:rPr>
                <w:color w:val="000000" w:themeColor="text1"/>
                <w:lang w:val="en-US"/>
              </w:rPr>
              <w:t>Anatomic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with CAD and angiographically proven ≥50% stenosis of a vessel (42)</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Patients with angiographically proven non-obstructive CAD (5)</w:t>
            </w:r>
          </w:p>
        </w:tc>
        <w:tc>
          <w:tcPr>
            <w:tcW w:w="1985" w:type="dxa"/>
            <w:shd w:val="clear" w:color="auto" w:fill="FFFFFF" w:themeFill="background1"/>
          </w:tcPr>
          <w:p w:rsidR="00AE4EEA" w:rsidRDefault="00AE4EE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73.9%/86.7%</w:t>
            </w:r>
            <w:r w:rsidR="00A40187">
              <w:rPr>
                <w:rFonts w:cs="Calibri"/>
                <w:color w:val="000000" w:themeColor="text1"/>
                <w:lang w:val="en-US"/>
              </w:rPr>
              <w:t xml:space="preserve"> (0.835)</w:t>
            </w:r>
            <w:r w:rsidRPr="00833DED">
              <w:rPr>
                <w:rFonts w:cs="Calibri"/>
                <w:color w:val="000000" w:themeColor="text1"/>
                <w:lang w:val="en-US"/>
              </w:rPr>
              <w:t xml:space="preserve"> </w:t>
            </w:r>
            <w:r w:rsidRPr="00833DED">
              <w:rPr>
                <w:rFonts w:cs="Calibri"/>
                <w:color w:val="000000" w:themeColor="text1"/>
                <w:lang w:val="en-US"/>
              </w:rPr>
              <w:br/>
              <w:t>(ST fluctuation score)</w:t>
            </w: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lastRenderedPageBreak/>
              <w:t>92.3%/90.5%</w:t>
            </w:r>
            <w:r w:rsidR="00A40187">
              <w:rPr>
                <w:rFonts w:cs="Calibri"/>
                <w:color w:val="000000" w:themeColor="text1"/>
                <w:lang w:val="en-US"/>
              </w:rPr>
              <w:t xml:space="preserve"> (0.914)</w:t>
            </w:r>
            <w:r w:rsidR="00AE4EEA">
              <w:rPr>
                <w:rFonts w:cs="Calibri"/>
                <w:color w:val="000000" w:themeColor="text1"/>
                <w:lang w:val="en-US"/>
              </w:rPr>
              <w:t xml:space="preserve"> </w:t>
            </w:r>
            <w:r w:rsidRPr="00833DED">
              <w:rPr>
                <w:rFonts w:cs="Calibri"/>
                <w:color w:val="000000" w:themeColor="text1"/>
                <w:lang w:val="en-US"/>
              </w:rPr>
              <w:t>(mapping)</w:t>
            </w:r>
          </w:p>
        </w:tc>
        <w:tc>
          <w:tcPr>
            <w:tcW w:w="1984" w:type="dxa"/>
            <w:shd w:val="clear" w:color="auto" w:fill="FFFFFF" w:themeFill="background1"/>
          </w:tcPr>
          <w:p w:rsidR="00AE4EEA" w:rsidRDefault="00AE4EEA" w:rsidP="005E7FD7">
            <w:pPr>
              <w:spacing w:before="120" w:after="0" w:line="240" w:lineRule="auto"/>
              <w:jc w:val="center"/>
              <w:rPr>
                <w:rFonts w:cs="Calibri"/>
                <w:color w:val="000000" w:themeColor="text1"/>
                <w:lang w:val="en-US"/>
              </w:rPr>
            </w:pPr>
          </w:p>
          <w:p w:rsidR="00223286" w:rsidRPr="00833DED" w:rsidRDefault="00B61F26" w:rsidP="005E7FD7">
            <w:pPr>
              <w:spacing w:before="120" w:after="0" w:line="240" w:lineRule="auto"/>
              <w:jc w:val="center"/>
              <w:rPr>
                <w:rFonts w:cs="Calibri"/>
                <w:color w:val="000000" w:themeColor="text1"/>
                <w:lang w:val="en-US"/>
              </w:rPr>
            </w:pPr>
            <w:r w:rsidRPr="001571F2">
              <w:rPr>
                <w:rFonts w:cs="Calibri"/>
                <w:color w:val="000000" w:themeColor="text1"/>
                <w:lang w:val="en-US"/>
              </w:rPr>
              <w:t>—</w:t>
            </w:r>
          </w:p>
        </w:tc>
        <w:tc>
          <w:tcPr>
            <w:tcW w:w="1451" w:type="dxa"/>
            <w:gridSpan w:val="2"/>
            <w:shd w:val="clear" w:color="auto" w:fill="FFFFFF" w:themeFill="background1"/>
          </w:tcPr>
          <w:p w:rsidR="00AE4EEA" w:rsidRDefault="00AE4EE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Fractional flow reserve</w:t>
            </w:r>
          </w:p>
        </w:tc>
      </w:tr>
      <w:tr w:rsidR="00223286" w:rsidRPr="003855DB" w:rsidTr="00243068">
        <w:tc>
          <w:tcPr>
            <w:tcW w:w="2235" w:type="dxa"/>
            <w:shd w:val="clear" w:color="auto" w:fill="FFFFFF" w:themeFill="background1"/>
          </w:tcPr>
          <w:p w:rsidR="008F0EFD" w:rsidRDefault="00223286" w:rsidP="005E7FD7">
            <w:pPr>
              <w:spacing w:before="120" w:after="0" w:line="240" w:lineRule="auto"/>
              <w:rPr>
                <w:color w:val="000000" w:themeColor="text1"/>
                <w:lang w:val="en-US"/>
              </w:rPr>
            </w:pPr>
            <w:proofErr w:type="spellStart"/>
            <w:r w:rsidRPr="00833DED">
              <w:rPr>
                <w:color w:val="000000" w:themeColor="text1"/>
                <w:lang w:val="en-US"/>
              </w:rPr>
              <w:t>Chaikovsky</w:t>
            </w:r>
            <w:proofErr w:type="spellEnd"/>
            <w:r w:rsidRPr="00833DED">
              <w:rPr>
                <w:color w:val="000000" w:themeColor="text1"/>
                <w:lang w:val="en-US"/>
              </w:rPr>
              <w:t xml:space="preserve"> et al. 2017 (0528)</w:t>
            </w:r>
            <w:r w:rsidR="00243068">
              <w:rPr>
                <w:color w:val="000000" w:themeColor="text1"/>
                <w:lang w:val="en-US"/>
              </w:rPr>
              <w:t xml:space="preserve"> [</w:t>
            </w:r>
            <w:r w:rsidR="00243068" w:rsidRPr="005825BB">
              <w:rPr>
                <w:color w:val="000000" w:themeColor="text1"/>
                <w:lang w:val="en-US"/>
              </w:rPr>
              <w:t>e49</w:t>
            </w:r>
            <w:r w:rsidR="00243068">
              <w:rPr>
                <w:color w:val="000000" w:themeColor="text1"/>
                <w:lang w:val="en-US"/>
              </w:rPr>
              <w:t>]</w:t>
            </w:r>
          </w:p>
          <w:p w:rsidR="00223286" w:rsidRPr="00833DED" w:rsidRDefault="00223286" w:rsidP="005E7FD7">
            <w:pPr>
              <w:spacing w:before="120" w:after="0" w:line="240" w:lineRule="auto"/>
              <w:rPr>
                <w:color w:val="000000" w:themeColor="text1"/>
                <w:highlight w:val="lightGray"/>
                <w:lang w:val="en-US"/>
              </w:rPr>
            </w:pPr>
            <w:r w:rsidRPr="00833DED">
              <w:rPr>
                <w:color w:val="000000" w:themeColor="text1"/>
                <w:lang w:val="en-US"/>
              </w:rPr>
              <w:t>Unshielded, 9-channel MCG at rest</w:t>
            </w:r>
          </w:p>
        </w:tc>
        <w:tc>
          <w:tcPr>
            <w:tcW w:w="3260" w:type="dxa"/>
            <w:shd w:val="clear" w:color="auto" w:fill="FFFFFF" w:themeFill="background1"/>
          </w:tcPr>
          <w:p w:rsidR="00223286" w:rsidRPr="00833DED" w:rsidRDefault="00AE4EEA" w:rsidP="005E7FD7">
            <w:pPr>
              <w:spacing w:before="120" w:after="0" w:line="240" w:lineRule="auto"/>
              <w:rPr>
                <w:color w:val="000000" w:themeColor="text1"/>
                <w:lang w:val="en-US"/>
              </w:rPr>
            </w:pPr>
            <w:r>
              <w:rPr>
                <w:color w:val="000000" w:themeColor="text1"/>
                <w:lang w:val="en-US"/>
              </w:rPr>
              <w:t>Binary k-NN classification</w:t>
            </w:r>
            <w:r w:rsidR="00223286" w:rsidRPr="00833DED">
              <w:rPr>
                <w:color w:val="000000" w:themeColor="text1"/>
                <w:lang w:val="en-US"/>
              </w:rPr>
              <w:t xml:space="preserve"> of current density vector map during ST-T interval with distance metric</w:t>
            </w:r>
            <w:r>
              <w:rPr>
                <w:color w:val="000000" w:themeColor="text1"/>
                <w:lang w:val="en-US"/>
              </w:rPr>
              <w:t>s</w:t>
            </w:r>
            <w:r w:rsidR="00223286" w:rsidRPr="00833DED">
              <w:rPr>
                <w:color w:val="000000" w:themeColor="text1"/>
                <w:lang w:val="en-US"/>
              </w:rPr>
              <w:t xml:space="preserve">  </w:t>
            </w:r>
          </w:p>
        </w:tc>
        <w:tc>
          <w:tcPr>
            <w:tcW w:w="3827" w:type="dxa"/>
            <w:shd w:val="clear" w:color="auto" w:fill="FFFFFF" w:themeFill="background1"/>
          </w:tcPr>
          <w:p w:rsidR="00AE4EEA" w:rsidRDefault="00223286" w:rsidP="005E7FD7">
            <w:pPr>
              <w:spacing w:before="120" w:after="0" w:line="240" w:lineRule="auto"/>
              <w:ind w:left="4"/>
              <w:rPr>
                <w:color w:val="000000" w:themeColor="text1"/>
                <w:lang w:val="en-US"/>
              </w:rPr>
            </w:pPr>
            <w:r w:rsidRPr="00833DED">
              <w:rPr>
                <w:color w:val="000000" w:themeColor="text1"/>
                <w:lang w:val="en-US"/>
              </w:rPr>
              <w:t>An</w:t>
            </w:r>
            <w:r w:rsidR="00AE4EEA">
              <w:rPr>
                <w:color w:val="000000" w:themeColor="text1"/>
                <w:lang w:val="en-US"/>
              </w:rPr>
              <w:t>atomic CAD</w:t>
            </w:r>
          </w:p>
          <w:p w:rsidR="00223286" w:rsidRPr="00833DED" w:rsidRDefault="00223286" w:rsidP="005E7FD7">
            <w:pPr>
              <w:spacing w:before="120" w:after="0" w:line="240" w:lineRule="auto"/>
              <w:ind w:left="4"/>
              <w:rPr>
                <w:color w:val="000000" w:themeColor="text1"/>
                <w:lang w:val="en-US"/>
              </w:rPr>
            </w:pPr>
            <w:r w:rsidRPr="00833DED">
              <w:rPr>
                <w:color w:val="000000" w:themeColor="text1"/>
                <w:lang w:val="en-US"/>
              </w:rPr>
              <w:t>Patients presenting with suspected CAD and angiographically proven ≥50% stenosis of a vessel (82)</w:t>
            </w:r>
          </w:p>
          <w:p w:rsidR="00223286" w:rsidRPr="00833DED" w:rsidRDefault="00223286" w:rsidP="005E7FD7">
            <w:pPr>
              <w:spacing w:before="120" w:after="0" w:line="240" w:lineRule="auto"/>
              <w:ind w:left="6"/>
              <w:rPr>
                <w:i/>
                <w:color w:val="000000" w:themeColor="text1"/>
                <w:lang w:val="en-US"/>
              </w:rPr>
            </w:pPr>
            <w:r w:rsidRPr="00833DED">
              <w:rPr>
                <w:i/>
                <w:color w:val="000000" w:themeColor="text1"/>
                <w:lang w:val="en-US"/>
              </w:rPr>
              <w:t>Patients without hemodynamically significant stenosis (54)</w:t>
            </w:r>
          </w:p>
        </w:tc>
        <w:tc>
          <w:tcPr>
            <w:tcW w:w="1985" w:type="dxa"/>
            <w:shd w:val="clear" w:color="auto" w:fill="FFFFFF" w:themeFill="background1"/>
          </w:tcPr>
          <w:p w:rsidR="00AE4EEA" w:rsidRDefault="00AE4EE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89%/93%</w:t>
            </w:r>
          </w:p>
        </w:tc>
        <w:tc>
          <w:tcPr>
            <w:tcW w:w="1984" w:type="dxa"/>
            <w:shd w:val="clear" w:color="auto" w:fill="FFFFFF" w:themeFill="background1"/>
          </w:tcPr>
          <w:p w:rsidR="00AE4EEA" w:rsidRDefault="00AE4EEA" w:rsidP="005E7FD7">
            <w:pPr>
              <w:spacing w:before="120" w:after="0" w:line="240" w:lineRule="auto"/>
              <w:jc w:val="center"/>
              <w:rPr>
                <w:rFonts w:cs="Calibri"/>
                <w:color w:val="000000" w:themeColor="text1"/>
                <w:lang w:val="en-US"/>
              </w:rPr>
            </w:pPr>
          </w:p>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93%/89%</w:t>
            </w:r>
          </w:p>
        </w:tc>
        <w:tc>
          <w:tcPr>
            <w:tcW w:w="1451" w:type="dxa"/>
            <w:gridSpan w:val="2"/>
            <w:shd w:val="clear" w:color="auto" w:fill="FFFFFF" w:themeFill="background1"/>
          </w:tcPr>
          <w:p w:rsidR="00AE4EEA" w:rsidRDefault="00AE4EEA" w:rsidP="005E7FD7">
            <w:pPr>
              <w:spacing w:before="120" w:after="0" w:line="240" w:lineRule="auto"/>
              <w:rPr>
                <w:rFonts w:cs="Calibri"/>
                <w:color w:val="000000" w:themeColor="text1"/>
                <w:lang w:val="en-US"/>
              </w:rPr>
            </w:pPr>
          </w:p>
          <w:p w:rsidR="00223286" w:rsidRPr="00833DED" w:rsidRDefault="00223286" w:rsidP="005E7FD7">
            <w:pPr>
              <w:spacing w:before="120" w:after="0" w:line="240" w:lineRule="auto"/>
              <w:rPr>
                <w:rFonts w:cs="Calibri"/>
                <w:color w:val="000000" w:themeColor="text1"/>
                <w:lang w:val="en-US"/>
              </w:rPr>
            </w:pPr>
            <w:r w:rsidRPr="00833DED">
              <w:rPr>
                <w:rFonts w:cs="Calibri"/>
                <w:color w:val="000000" w:themeColor="text1"/>
                <w:lang w:val="en-US"/>
              </w:rPr>
              <w:t>—</w:t>
            </w:r>
          </w:p>
        </w:tc>
      </w:tr>
      <w:tr w:rsidR="00223286" w:rsidRPr="003855DB" w:rsidTr="00243068">
        <w:tc>
          <w:tcPr>
            <w:tcW w:w="2235" w:type="dxa"/>
            <w:tcBorders>
              <w:bottom w:val="single" w:sz="4" w:space="0" w:color="auto"/>
            </w:tcBorders>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Tao et al. 2018</w:t>
            </w:r>
            <w:r w:rsidR="00243068">
              <w:rPr>
                <w:color w:val="000000" w:themeColor="text1"/>
                <w:lang w:val="en-US"/>
              </w:rPr>
              <w:t xml:space="preserve"> </w:t>
            </w:r>
            <w:r w:rsidR="00243068" w:rsidRPr="00744185">
              <w:rPr>
                <w:color w:val="000000" w:themeColor="text1"/>
                <w:lang w:val="en-US"/>
              </w:rPr>
              <w:t>[e59</w:t>
            </w:r>
            <w:r w:rsidR="00243068">
              <w:rPr>
                <w:color w:val="000000" w:themeColor="text1"/>
                <w:lang w:val="en-US"/>
              </w:rPr>
              <w:t>]</w:t>
            </w:r>
            <w:r w:rsidRPr="00833DED">
              <w:rPr>
                <w:color w:val="000000" w:themeColor="text1"/>
                <w:lang w:val="en-US"/>
              </w:rPr>
              <w:br/>
              <w:t>Unshielded, 4-channel MCG</w:t>
            </w:r>
          </w:p>
        </w:tc>
        <w:tc>
          <w:tcPr>
            <w:tcW w:w="3260" w:type="dxa"/>
            <w:tcBorders>
              <w:bottom w:val="single" w:sz="4" w:space="0" w:color="auto"/>
            </w:tcBorders>
            <w:shd w:val="clear" w:color="auto" w:fill="FFFFFF" w:themeFill="background1"/>
          </w:tcPr>
          <w:p w:rsidR="00223286" w:rsidRPr="00833DED" w:rsidRDefault="00223286" w:rsidP="005E7FD7">
            <w:pPr>
              <w:autoSpaceDE w:val="0"/>
              <w:autoSpaceDN w:val="0"/>
              <w:adjustRightInd w:val="0"/>
              <w:spacing w:before="120" w:after="0" w:line="240" w:lineRule="auto"/>
              <w:rPr>
                <w:color w:val="000000" w:themeColor="text1"/>
                <w:lang w:val="en-US"/>
              </w:rPr>
            </w:pPr>
            <w:r w:rsidRPr="00833DED">
              <w:rPr>
                <w:color w:val="000000" w:themeColor="text1"/>
                <w:lang w:val="en-US"/>
              </w:rPr>
              <w:t>Machine learning classification (SVM-</w:t>
            </w:r>
            <w:proofErr w:type="spellStart"/>
            <w:r w:rsidRPr="00833DED">
              <w:rPr>
                <w:color w:val="000000" w:themeColor="text1"/>
                <w:lang w:val="en-US"/>
              </w:rPr>
              <w:t>XGBoost</w:t>
            </w:r>
            <w:proofErr w:type="spellEnd"/>
            <w:r w:rsidRPr="00833DED">
              <w:rPr>
                <w:color w:val="000000" w:themeColor="text1"/>
                <w:lang w:val="en-US"/>
              </w:rPr>
              <w:t xml:space="preserve"> model) of 164 MCG features measured during segments of the T wave and categorized as time domain, frequency domain, or information theory features</w:t>
            </w:r>
          </w:p>
        </w:tc>
        <w:tc>
          <w:tcPr>
            <w:tcW w:w="3827" w:type="dxa"/>
            <w:tcBorders>
              <w:bottom w:val="single" w:sz="4" w:space="0" w:color="auto"/>
            </w:tcBorders>
            <w:shd w:val="clear" w:color="auto" w:fill="FFFFFF" w:themeFill="background1"/>
          </w:tcPr>
          <w:p w:rsidR="00223286" w:rsidRPr="00833DED" w:rsidRDefault="00223286" w:rsidP="005E7FD7">
            <w:pPr>
              <w:spacing w:before="120" w:after="0" w:line="240" w:lineRule="auto"/>
              <w:rPr>
                <w:color w:val="000000" w:themeColor="text1"/>
                <w:lang w:val="en-US"/>
              </w:rPr>
            </w:pPr>
            <w:r w:rsidRPr="00833DED">
              <w:rPr>
                <w:color w:val="000000" w:themeColor="text1"/>
                <w:lang w:val="en-US"/>
              </w:rPr>
              <w:t>Anatomic CAD</w:t>
            </w:r>
            <w:r w:rsidRPr="00833DED">
              <w:rPr>
                <w:color w:val="000000" w:themeColor="text1"/>
                <w:lang w:val="en-US"/>
              </w:rPr>
              <w:br/>
              <w:t>Patients with IHD with clinically identified stenosis (227), including NSTEMI (16)</w:t>
            </w:r>
          </w:p>
          <w:p w:rsidR="00223286" w:rsidRPr="00833DED" w:rsidRDefault="00223286" w:rsidP="005E7FD7">
            <w:pPr>
              <w:spacing w:before="120" w:after="0" w:line="240" w:lineRule="auto"/>
              <w:rPr>
                <w:i/>
                <w:color w:val="000000" w:themeColor="text1"/>
                <w:lang w:val="en-US"/>
              </w:rPr>
            </w:pPr>
            <w:r w:rsidRPr="00833DED">
              <w:rPr>
                <w:i/>
                <w:color w:val="000000" w:themeColor="text1"/>
                <w:lang w:val="en-US"/>
              </w:rPr>
              <w:t>Healthy subjects (347)</w:t>
            </w:r>
          </w:p>
        </w:tc>
        <w:tc>
          <w:tcPr>
            <w:tcW w:w="1985" w:type="dxa"/>
            <w:tcBorders>
              <w:bottom w:val="single" w:sz="4" w:space="0" w:color="auto"/>
            </w:tcBorders>
            <w:shd w:val="clear" w:color="auto" w:fill="FFFFFF" w:themeFill="background1"/>
          </w:tcPr>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NR/97.8%</w:t>
            </w:r>
            <w:r w:rsidR="00AF6A25">
              <w:rPr>
                <w:rFonts w:cs="Calibri"/>
                <w:color w:val="000000" w:themeColor="text1"/>
                <w:lang w:val="en-US"/>
              </w:rPr>
              <w:t xml:space="preserve"> (0.98)</w:t>
            </w:r>
          </w:p>
        </w:tc>
        <w:tc>
          <w:tcPr>
            <w:tcW w:w="1984" w:type="dxa"/>
            <w:tcBorders>
              <w:bottom w:val="single" w:sz="4" w:space="0" w:color="auto"/>
            </w:tcBorders>
            <w:shd w:val="clear" w:color="auto" w:fill="FFFFFF" w:themeFill="background1"/>
          </w:tcPr>
          <w:p w:rsidR="00223286" w:rsidRPr="00833DED" w:rsidRDefault="00223286" w:rsidP="005E7FD7">
            <w:pPr>
              <w:spacing w:before="120" w:after="0" w:line="240" w:lineRule="auto"/>
              <w:jc w:val="center"/>
              <w:rPr>
                <w:rFonts w:cs="Calibri"/>
                <w:color w:val="000000" w:themeColor="text1"/>
                <w:lang w:val="en-US"/>
              </w:rPr>
            </w:pPr>
            <w:r w:rsidRPr="00833DED">
              <w:rPr>
                <w:rFonts w:cs="Calibri"/>
                <w:color w:val="000000" w:themeColor="text1"/>
                <w:lang w:val="en-US"/>
              </w:rPr>
              <w:t>86.6%/NR</w:t>
            </w:r>
          </w:p>
        </w:tc>
        <w:tc>
          <w:tcPr>
            <w:tcW w:w="1451" w:type="dxa"/>
            <w:gridSpan w:val="2"/>
            <w:tcBorders>
              <w:bottom w:val="single" w:sz="4" w:space="0" w:color="auto"/>
            </w:tcBorders>
            <w:shd w:val="clear" w:color="auto" w:fill="FFFFFF" w:themeFill="background1"/>
          </w:tcPr>
          <w:p w:rsidR="00223286" w:rsidRPr="00833DED" w:rsidRDefault="00B61F26" w:rsidP="005E7FD7">
            <w:pPr>
              <w:spacing w:before="120" w:after="0" w:line="240" w:lineRule="auto"/>
              <w:rPr>
                <w:rFonts w:eastAsia="SimSun" w:cs="Calibri"/>
                <w:b/>
                <w:bCs/>
                <w:color w:val="000000" w:themeColor="text1"/>
                <w:lang w:val="en-US"/>
              </w:rPr>
            </w:pPr>
            <w:r w:rsidRPr="001571F2">
              <w:rPr>
                <w:rFonts w:cs="Calibri"/>
                <w:color w:val="000000" w:themeColor="text1"/>
                <w:lang w:val="en-US"/>
              </w:rPr>
              <w:t>—</w:t>
            </w:r>
          </w:p>
        </w:tc>
      </w:tr>
    </w:tbl>
    <w:p w:rsidR="007C357D" w:rsidRPr="001571F2" w:rsidRDefault="007C357D" w:rsidP="007C357D">
      <w:pPr>
        <w:spacing w:after="0" w:line="480" w:lineRule="auto"/>
        <w:contextualSpacing/>
        <w:rPr>
          <w:color w:val="000000"/>
          <w:lang w:val="en-US"/>
        </w:rPr>
      </w:pPr>
      <w:r w:rsidRPr="007C357D">
        <w:rPr>
          <w:rFonts w:asciiTheme="minorHAnsi" w:hAnsiTheme="minorHAnsi" w:cstheme="minorHAnsi"/>
          <w:lang w:val="en-US"/>
        </w:rPr>
        <w:t>*Only those studies that report diagnostic performance outcomes are tabulated. Where multiple MCG parameters were assessed, those with the best performance are reported.</w:t>
      </w:r>
      <w:r w:rsidRPr="007C357D">
        <w:rPr>
          <w:rFonts w:asciiTheme="minorHAnsi" w:hAnsiTheme="minorHAnsi" w:cstheme="minorHAnsi"/>
          <w:lang w:val="en-US"/>
        </w:rPr>
        <w:br/>
      </w:r>
      <w:r w:rsidRPr="001571F2">
        <w:rPr>
          <w:rFonts w:ascii="Symbol" w:hAnsi="Symbol" w:cs="Calibri"/>
          <w:color w:val="1A171C"/>
          <w:lang w:val="en-US"/>
        </w:rPr>
        <w:t></w:t>
      </w:r>
      <w:r w:rsidRPr="001571F2">
        <w:rPr>
          <w:rFonts w:cs="Calibri"/>
          <w:color w:val="1A171C"/>
          <w:lang w:val="en-US"/>
        </w:rPr>
        <w:t xml:space="preserve"> = </w:t>
      </w:r>
      <w:r w:rsidRPr="001571F2">
        <w:rPr>
          <w:color w:val="000000"/>
          <w:lang w:val="en-US"/>
        </w:rPr>
        <w:t xml:space="preserve">average angle of direction for the abnormal current vector during ventricle repolarization period. </w:t>
      </w:r>
    </w:p>
    <w:p w:rsidR="00223286" w:rsidRDefault="007C357D" w:rsidP="00223286">
      <w:pPr>
        <w:spacing w:after="0" w:line="480" w:lineRule="auto"/>
        <w:contextualSpacing/>
        <w:rPr>
          <w:b/>
          <w:color w:val="1A171C"/>
          <w:lang w:val="en-US"/>
        </w:rPr>
      </w:pPr>
      <w:r w:rsidRPr="001571F2">
        <w:rPr>
          <w:rFonts w:cs="Calibri"/>
          <w:color w:val="1A171C"/>
          <w:lang w:val="en-US"/>
        </w:rPr>
        <w:t>CAD = coronary artery disease; MCG = magnetocardiography</w:t>
      </w:r>
      <w:r w:rsidRPr="001571F2">
        <w:rPr>
          <w:color w:val="000000"/>
          <w:lang w:val="en-US"/>
        </w:rPr>
        <w:t xml:space="preserve">; ROC = receiver operating curve; </w:t>
      </w:r>
      <w:r w:rsidRPr="001571F2">
        <w:rPr>
          <w:rFonts w:cs="Calibri"/>
          <w:color w:val="1A171C"/>
          <w:lang w:val="en-US"/>
        </w:rPr>
        <w:t xml:space="preserve">AUC = area under the curve; </w:t>
      </w:r>
      <w:r w:rsidRPr="001571F2">
        <w:rPr>
          <w:color w:val="000000"/>
          <w:lang w:val="en-US"/>
        </w:rPr>
        <w:t xml:space="preserve">PPV = positive predictive value; NPV = negative predictive value; SI = smoothness index; </w:t>
      </w:r>
      <w:r w:rsidRPr="001571F2">
        <w:rPr>
          <w:rFonts w:cs="Calibri"/>
          <w:color w:val="1A171C"/>
          <w:lang w:val="en-US"/>
        </w:rPr>
        <w:t>MI = myocardial infarction</w:t>
      </w:r>
      <w:r w:rsidRPr="001571F2">
        <w:rPr>
          <w:color w:val="000000"/>
          <w:lang w:val="en-US"/>
        </w:rPr>
        <w:t xml:space="preserve">; CVD = cardiovascular disease; </w:t>
      </w:r>
      <w:r w:rsidRPr="001571F2">
        <w:rPr>
          <w:rFonts w:cs="Calibri"/>
          <w:color w:val="1A171C"/>
          <w:lang w:val="en-US"/>
        </w:rPr>
        <w:t xml:space="preserve">ECG = electrocardiogram; </w:t>
      </w:r>
      <w:r w:rsidRPr="001571F2">
        <w:rPr>
          <w:color w:val="000000"/>
          <w:lang w:val="en-US"/>
        </w:rPr>
        <w:t xml:space="preserve">MFM = magnetic field map; </w:t>
      </w:r>
      <w:r w:rsidRPr="001571F2">
        <w:rPr>
          <w:rFonts w:cs="Calibri"/>
          <w:color w:val="1A171C"/>
          <w:lang w:val="en-US"/>
        </w:rPr>
        <w:t xml:space="preserve">VT = ventricular tachycardia; </w:t>
      </w:r>
      <w:r w:rsidRPr="001571F2">
        <w:rPr>
          <w:color w:val="000000"/>
          <w:lang w:val="en-US"/>
        </w:rPr>
        <w:t xml:space="preserve">LDA = linear discriminant analysis; STDEV = standard deviation; </w:t>
      </w:r>
      <w:r w:rsidRPr="001571F2">
        <w:rPr>
          <w:rFonts w:cs="Calibri"/>
          <w:color w:val="1A171C"/>
          <w:lang w:val="en-US"/>
        </w:rPr>
        <w:t xml:space="preserve">LVEF = left ventricular ejection fraction; </w:t>
      </w:r>
      <w:r w:rsidRPr="001571F2">
        <w:rPr>
          <w:rFonts w:cs="Calibri"/>
          <w:color w:val="1A171C"/>
          <w:lang w:val="en-US"/>
        </w:rPr>
        <w:lastRenderedPageBreak/>
        <w:t xml:space="preserve">QTc = corrected QT; </w:t>
      </w:r>
      <w:proofErr w:type="spellStart"/>
      <w:r w:rsidRPr="001571F2">
        <w:rPr>
          <w:color w:val="000000"/>
          <w:lang w:val="en-US"/>
        </w:rPr>
        <w:t>T</w:t>
      </w:r>
      <w:r w:rsidRPr="001571F2">
        <w:rPr>
          <w:color w:val="000000"/>
          <w:vertAlign w:val="subscript"/>
          <w:lang w:val="en-US"/>
        </w:rPr>
        <w:t>max</w:t>
      </w:r>
      <w:proofErr w:type="spellEnd"/>
      <w:r w:rsidRPr="001571F2">
        <w:rPr>
          <w:color w:val="000000"/>
          <w:vertAlign w:val="subscript"/>
          <w:lang w:val="en-US"/>
        </w:rPr>
        <w:t xml:space="preserve"> </w:t>
      </w:r>
      <w:r w:rsidRPr="001571F2">
        <w:rPr>
          <w:color w:val="000000"/>
          <w:lang w:val="en-US"/>
        </w:rPr>
        <w:t>= peak intensity</w:t>
      </w:r>
      <w:r w:rsidR="00E224EC">
        <w:rPr>
          <w:color w:val="000000"/>
          <w:lang w:val="en-US"/>
        </w:rPr>
        <w:t xml:space="preserve"> of the T wave</w:t>
      </w:r>
      <w:r w:rsidRPr="001571F2">
        <w:rPr>
          <w:color w:val="000000"/>
          <w:lang w:val="en-US"/>
        </w:rPr>
        <w:t xml:space="preserve">; </w:t>
      </w:r>
      <w:r w:rsidRPr="001571F2">
        <w:rPr>
          <w:rFonts w:cs="Calibri"/>
          <w:color w:val="1A171C"/>
          <w:lang w:val="en-US"/>
        </w:rPr>
        <w:t xml:space="preserve">ACS = acute coronary syndrome; </w:t>
      </w:r>
      <w:r w:rsidRPr="001571F2">
        <w:rPr>
          <w:rFonts w:asciiTheme="minorHAnsi" w:hAnsiTheme="minorHAnsi" w:cstheme="minorHAnsi"/>
          <w:color w:val="1A171C"/>
          <w:lang w:val="en-US"/>
        </w:rPr>
        <w:t xml:space="preserve">STα = </w:t>
      </w:r>
      <w:r w:rsidRPr="001571F2">
        <w:rPr>
          <w:color w:val="000000"/>
          <w:lang w:val="en-US"/>
        </w:rPr>
        <w:t xml:space="preserve">magnetic field map angle </w:t>
      </w:r>
      <w:r w:rsidRPr="001571F2">
        <w:rPr>
          <w:rFonts w:cs="Calibri"/>
          <w:color w:val="000000"/>
          <w:lang w:val="en-US"/>
        </w:rPr>
        <w:t>α</w:t>
      </w:r>
      <w:r w:rsidRPr="001571F2">
        <w:rPr>
          <w:color w:val="000000"/>
          <w:lang w:val="en-US"/>
        </w:rPr>
        <w:t xml:space="preserve"> for the ST segment; T</w:t>
      </w:r>
      <w:r w:rsidRPr="001571F2">
        <w:rPr>
          <w:rFonts w:cs="Calibri"/>
          <w:color w:val="000000"/>
          <w:lang w:val="en-US"/>
        </w:rPr>
        <w:t>α</w:t>
      </w:r>
      <w:r w:rsidRPr="001571F2">
        <w:rPr>
          <w:color w:val="000000"/>
          <w:lang w:val="en-US"/>
        </w:rPr>
        <w:t xml:space="preserve"> = magnetic field map angle </w:t>
      </w:r>
      <w:r w:rsidRPr="001571F2">
        <w:rPr>
          <w:rFonts w:cs="Calibri"/>
          <w:color w:val="000000"/>
          <w:lang w:val="en-US"/>
        </w:rPr>
        <w:t>α</w:t>
      </w:r>
      <w:r w:rsidRPr="001571F2">
        <w:rPr>
          <w:color w:val="000000"/>
          <w:lang w:val="en-US"/>
        </w:rPr>
        <w:t xml:space="preserve"> for the T wave apex; SPECT = single-photon emission computed tomography; NR = not reported; MR = moment of maximal ventricular repolarization; </w:t>
      </w:r>
      <w:proofErr w:type="spellStart"/>
      <w:r w:rsidRPr="001571F2">
        <w:rPr>
          <w:color w:val="000000"/>
          <w:lang w:val="en-US"/>
        </w:rPr>
        <w:t>Nst</w:t>
      </w:r>
      <w:proofErr w:type="spellEnd"/>
      <w:r w:rsidRPr="001571F2">
        <w:rPr>
          <w:color w:val="000000"/>
          <w:lang w:val="en-US"/>
        </w:rPr>
        <w:t xml:space="preserve"> = number of maps with abnormal current direction within repolarization period;</w:t>
      </w:r>
      <w:r w:rsidRPr="001571F2">
        <w:rPr>
          <w:rFonts w:cs="Calibri"/>
          <w:color w:val="1A171C"/>
          <w:lang w:val="en-US"/>
        </w:rPr>
        <w:t xml:space="preserve"> </w:t>
      </w:r>
      <w:r w:rsidRPr="001571F2">
        <w:rPr>
          <w:color w:val="000000"/>
          <w:lang w:val="en-US"/>
        </w:rPr>
        <w:t xml:space="preserve">IFH = indicator of heterogeneity in the current density within repolarization period; IFV = indicator of variability of the current density within the repolarization period; PCI = percutaneous coronary intervention; ISR = in-stent restenosis; SD = standard deviation; </w:t>
      </w:r>
      <w:r w:rsidRPr="001571F2">
        <w:rPr>
          <w:rFonts w:cs="Calibri"/>
          <w:color w:val="1A171C"/>
          <w:lang w:val="en-US"/>
        </w:rPr>
        <w:t xml:space="preserve">CHD = coronary heart disease; </w:t>
      </w:r>
      <w:r w:rsidRPr="001571F2">
        <w:rPr>
          <w:color w:val="000000"/>
          <w:lang w:val="en-US"/>
        </w:rPr>
        <w:t>BNN = Bayesian neural network</w:t>
      </w:r>
      <w:r w:rsidRPr="001571F2">
        <w:rPr>
          <w:lang w:val="en-US"/>
        </w:rPr>
        <w:t xml:space="preserve">; </w:t>
      </w:r>
      <w:r w:rsidRPr="001571F2">
        <w:rPr>
          <w:rFonts w:cs="Calibri"/>
          <w:color w:val="1A171C"/>
          <w:lang w:val="en-US"/>
        </w:rPr>
        <w:t xml:space="preserve">IHD = ischemic heart disease; </w:t>
      </w:r>
      <w:proofErr w:type="spellStart"/>
      <w:r w:rsidRPr="001571F2">
        <w:rPr>
          <w:color w:val="000000"/>
          <w:lang w:val="en-US"/>
        </w:rPr>
        <w:t>T</w:t>
      </w:r>
      <w:r w:rsidRPr="001571F2">
        <w:rPr>
          <w:color w:val="000000"/>
          <w:vertAlign w:val="subscript"/>
          <w:lang w:val="en-US"/>
        </w:rPr>
        <w:t>max</w:t>
      </w:r>
      <w:proofErr w:type="spellEnd"/>
      <w:r w:rsidRPr="001571F2">
        <w:rPr>
          <w:color w:val="000000"/>
          <w:vertAlign w:val="subscript"/>
          <w:lang w:val="en-US"/>
        </w:rPr>
        <w:t xml:space="preserve">/3 </w:t>
      </w:r>
      <w:r w:rsidRPr="001571F2">
        <w:rPr>
          <w:color w:val="000000"/>
          <w:lang w:val="en-US"/>
        </w:rPr>
        <w:t xml:space="preserve">= one-third of peak intensity; </w:t>
      </w:r>
      <w:proofErr w:type="spellStart"/>
      <w:r w:rsidRPr="001571F2">
        <w:rPr>
          <w:rFonts w:cs="Calibri"/>
          <w:color w:val="1A171C"/>
          <w:lang w:val="en-US"/>
        </w:rPr>
        <w:t>L</w:t>
      </w:r>
      <w:r w:rsidRPr="00A51A71">
        <w:rPr>
          <w:rFonts w:cs="Calibri"/>
          <w:color w:val="1A171C"/>
          <w:vertAlign w:val="subscript"/>
          <w:lang w:val="en-US"/>
        </w:rPr>
        <w:t>max</w:t>
      </w:r>
      <w:proofErr w:type="spellEnd"/>
      <w:r w:rsidRPr="001571F2">
        <w:rPr>
          <w:rFonts w:cs="Calibri"/>
          <w:color w:val="1A171C"/>
          <w:lang w:val="en-US"/>
        </w:rPr>
        <w:t xml:space="preserve"> = </w:t>
      </w:r>
      <w:r w:rsidR="00F042B1">
        <w:rPr>
          <w:rFonts w:cs="Calibri"/>
          <w:color w:val="1A171C"/>
          <w:lang w:val="en-US"/>
        </w:rPr>
        <w:t>maximum area ratio of the negative and positive portions of the extrema circle</w:t>
      </w:r>
      <w:r w:rsidRPr="001571F2">
        <w:rPr>
          <w:rFonts w:cs="Calibri"/>
          <w:color w:val="1A171C"/>
          <w:lang w:val="en-US"/>
        </w:rPr>
        <w:t xml:space="preserve">; </w:t>
      </w:r>
      <w:proofErr w:type="spellStart"/>
      <w:r w:rsidRPr="001571F2">
        <w:rPr>
          <w:rFonts w:cs="Calibri"/>
          <w:color w:val="000000" w:themeColor="text1"/>
          <w:lang w:val="en-US"/>
        </w:rPr>
        <w:t>θ</w:t>
      </w:r>
      <w:r w:rsidRPr="001571F2">
        <w:rPr>
          <w:color w:val="000000" w:themeColor="text1"/>
          <w:vertAlign w:val="subscript"/>
          <w:lang w:val="en-US"/>
        </w:rPr>
        <w:t>max</w:t>
      </w:r>
      <w:proofErr w:type="spellEnd"/>
      <w:r w:rsidRPr="001571F2">
        <w:rPr>
          <w:color w:val="000000"/>
          <w:lang w:val="en-US"/>
        </w:rPr>
        <w:t xml:space="preserve"> = </w:t>
      </w:r>
      <w:r w:rsidR="00F042B1">
        <w:rPr>
          <w:color w:val="000000"/>
          <w:lang w:val="en-US"/>
        </w:rPr>
        <w:t>maximum curvature of the magnetic field zero line within the extrema circle</w:t>
      </w:r>
      <w:r w:rsidRPr="001571F2">
        <w:rPr>
          <w:color w:val="000000"/>
          <w:lang w:val="en-US"/>
        </w:rPr>
        <w:t xml:space="preserve">; </w:t>
      </w:r>
      <w:r w:rsidRPr="001571F2">
        <w:rPr>
          <w:color w:val="000000" w:themeColor="text1"/>
          <w:lang w:val="en-US"/>
        </w:rPr>
        <w:t xml:space="preserve">AI = </w:t>
      </w:r>
      <w:r w:rsidR="009460DA">
        <w:rPr>
          <w:color w:val="000000" w:themeColor="text1"/>
          <w:lang w:val="en-US"/>
        </w:rPr>
        <w:t>abnormality index, i.e., the ratio of the sum of the lengths of vectors oriented in the correct direction at every timepoint to the sum of the lengths of vectors oriented in a direction other than the proper direction</w:t>
      </w:r>
      <w:r w:rsidRPr="001571F2">
        <w:rPr>
          <w:color w:val="000000" w:themeColor="text1"/>
          <w:lang w:val="en-US"/>
        </w:rPr>
        <w:t xml:space="preserve">; </w:t>
      </w:r>
      <w:proofErr w:type="spellStart"/>
      <w:r w:rsidRPr="001571F2">
        <w:rPr>
          <w:color w:val="000000" w:themeColor="text1"/>
          <w:lang w:val="en-US"/>
        </w:rPr>
        <w:t>Adur</w:t>
      </w:r>
      <w:proofErr w:type="spellEnd"/>
      <w:r w:rsidRPr="001571F2">
        <w:rPr>
          <w:color w:val="000000" w:themeColor="text1"/>
          <w:lang w:val="en-US"/>
        </w:rPr>
        <w:t xml:space="preserve"> = </w:t>
      </w:r>
      <w:r w:rsidR="009460DA">
        <w:rPr>
          <w:color w:val="000000" w:themeColor="text1"/>
          <w:lang w:val="en-US"/>
        </w:rPr>
        <w:t>interval duration as a percentage of the overall ST-T interval duration</w:t>
      </w:r>
      <w:r w:rsidRPr="001571F2">
        <w:rPr>
          <w:color w:val="000000" w:themeColor="text1"/>
          <w:lang w:val="en-US"/>
        </w:rPr>
        <w:t xml:space="preserve">; </w:t>
      </w:r>
      <w:proofErr w:type="spellStart"/>
      <w:r w:rsidRPr="001571F2">
        <w:rPr>
          <w:color w:val="000000" w:themeColor="text1"/>
          <w:lang w:val="en-US"/>
        </w:rPr>
        <w:t>Ccor</w:t>
      </w:r>
      <w:proofErr w:type="spellEnd"/>
      <w:r w:rsidRPr="001571F2">
        <w:rPr>
          <w:color w:val="000000" w:themeColor="text1"/>
          <w:lang w:val="en-US"/>
        </w:rPr>
        <w:t xml:space="preserve"> = </w:t>
      </w:r>
      <w:r w:rsidR="009460DA">
        <w:rPr>
          <w:color w:val="000000" w:themeColor="text1"/>
          <w:lang w:val="en-US"/>
        </w:rPr>
        <w:t>correlation index for spatial structure uniformity of maps during the ST-T interval</w:t>
      </w:r>
      <w:r w:rsidRPr="001571F2">
        <w:rPr>
          <w:color w:val="000000" w:themeColor="text1"/>
          <w:lang w:val="en-US"/>
        </w:rPr>
        <w:t>; R/</w:t>
      </w:r>
      <w:proofErr w:type="spellStart"/>
      <w:r w:rsidRPr="001571F2">
        <w:rPr>
          <w:color w:val="000000" w:themeColor="text1"/>
          <w:lang w:val="en-US"/>
        </w:rPr>
        <w:t>Tcurrent</w:t>
      </w:r>
      <w:proofErr w:type="spellEnd"/>
      <w:r w:rsidRPr="001571F2">
        <w:rPr>
          <w:color w:val="000000" w:themeColor="text1"/>
          <w:lang w:val="en-US"/>
        </w:rPr>
        <w:t xml:space="preserve"> = </w:t>
      </w:r>
      <w:r w:rsidR="009460DA">
        <w:rPr>
          <w:color w:val="000000" w:themeColor="text1"/>
          <w:lang w:val="en-US"/>
        </w:rPr>
        <w:t>total current ratio between the R and T peaks</w:t>
      </w:r>
      <w:r w:rsidRPr="001571F2">
        <w:rPr>
          <w:color w:val="000000" w:themeColor="text1"/>
          <w:lang w:val="en-US"/>
        </w:rPr>
        <w:t>;</w:t>
      </w:r>
      <w:r w:rsidRPr="001571F2">
        <w:rPr>
          <w:color w:val="000000"/>
          <w:lang w:val="en-US"/>
        </w:rPr>
        <w:t xml:space="preserve"> </w:t>
      </w:r>
      <w:r w:rsidRPr="001571F2">
        <w:rPr>
          <w:lang w:val="en-US"/>
        </w:rPr>
        <w:t xml:space="preserve">SVM = support vector machine; </w:t>
      </w:r>
      <w:r w:rsidRPr="001571F2">
        <w:rPr>
          <w:rFonts w:cs="Calibri"/>
          <w:color w:val="1A171C"/>
          <w:lang w:val="en-US"/>
        </w:rPr>
        <w:t>NSTEMI = non-ST segment elevation myocardial infarction.</w:t>
      </w:r>
    </w:p>
    <w:p w:rsidR="009E1D4D" w:rsidRDefault="009E1D4D">
      <w:pPr>
        <w:pStyle w:val="Heading2"/>
        <w:spacing w:before="0" w:line="480" w:lineRule="auto"/>
        <w:contextualSpacing/>
        <w:rPr>
          <w:lang w:val="en-US"/>
        </w:rPr>
      </w:pPr>
    </w:p>
    <w:sectPr w:rsidR="009E1D4D" w:rsidSect="006F3D7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E1" w:rsidRDefault="002A22E1" w:rsidP="00A10305">
      <w:pPr>
        <w:spacing w:after="0" w:line="240" w:lineRule="auto"/>
      </w:pPr>
      <w:r>
        <w:separator/>
      </w:r>
    </w:p>
  </w:endnote>
  <w:endnote w:type="continuationSeparator" w:id="0">
    <w:p w:rsidR="002A22E1" w:rsidRDefault="002A22E1" w:rsidP="00A10305">
      <w:pPr>
        <w:spacing w:after="0" w:line="240" w:lineRule="auto"/>
      </w:pPr>
      <w:r>
        <w:continuationSeparator/>
      </w:r>
    </w:p>
  </w:endnote>
  <w:endnote w:type="continuationNotice" w:id="1">
    <w:p w:rsidR="002A22E1" w:rsidRDefault="002A2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GMMLC+TimesNewRoman,Bold">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C" w:rsidRDefault="004A5F9C">
    <w:pPr>
      <w:pStyle w:val="Footer"/>
      <w:jc w:val="right"/>
    </w:pPr>
    <w:r>
      <w:rPr>
        <w:noProof/>
      </w:rPr>
      <w:fldChar w:fldCharType="begin"/>
    </w:r>
    <w:r>
      <w:rPr>
        <w:noProof/>
      </w:rPr>
      <w:instrText xml:space="preserve"> PAGE   \* MERGEFORMAT </w:instrText>
    </w:r>
    <w:r>
      <w:rPr>
        <w:noProof/>
      </w:rPr>
      <w:fldChar w:fldCharType="separate"/>
    </w:r>
    <w:r w:rsidR="00002D1C">
      <w:rPr>
        <w:noProof/>
      </w:rPr>
      <w:t>84</w:t>
    </w:r>
    <w:r>
      <w:rPr>
        <w:noProof/>
      </w:rPr>
      <w:fldChar w:fldCharType="end"/>
    </w:r>
  </w:p>
  <w:p w:rsidR="004A5F9C" w:rsidRDefault="004A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E1" w:rsidRDefault="002A22E1" w:rsidP="00A10305">
      <w:pPr>
        <w:spacing w:after="0" w:line="240" w:lineRule="auto"/>
      </w:pPr>
      <w:r>
        <w:separator/>
      </w:r>
    </w:p>
  </w:footnote>
  <w:footnote w:type="continuationSeparator" w:id="0">
    <w:p w:rsidR="002A22E1" w:rsidRDefault="002A22E1" w:rsidP="00A10305">
      <w:pPr>
        <w:spacing w:after="0" w:line="240" w:lineRule="auto"/>
      </w:pPr>
      <w:r>
        <w:continuationSeparator/>
      </w:r>
    </w:p>
  </w:footnote>
  <w:footnote w:type="continuationNotice" w:id="1">
    <w:p w:rsidR="002A22E1" w:rsidRDefault="002A2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C" w:rsidRDefault="004A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FA7"/>
    <w:multiLevelType w:val="hybridMultilevel"/>
    <w:tmpl w:val="A4D87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14248"/>
    <w:multiLevelType w:val="hybridMultilevel"/>
    <w:tmpl w:val="F412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7394"/>
    <w:multiLevelType w:val="hybridMultilevel"/>
    <w:tmpl w:val="71F0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70BA5"/>
    <w:multiLevelType w:val="hybridMultilevel"/>
    <w:tmpl w:val="DE3A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95173"/>
    <w:multiLevelType w:val="hybridMultilevel"/>
    <w:tmpl w:val="ECBA52D0"/>
    <w:lvl w:ilvl="0" w:tplc="08090001">
      <w:start w:val="1"/>
      <w:numFmt w:val="bullet"/>
      <w:lvlText w:val=""/>
      <w:lvlJc w:val="left"/>
      <w:pPr>
        <w:ind w:left="2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2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3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5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E5C80"/>
    <w:multiLevelType w:val="hybridMultilevel"/>
    <w:tmpl w:val="DB500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8526E"/>
    <w:multiLevelType w:val="hybridMultilevel"/>
    <w:tmpl w:val="33547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774DB8"/>
    <w:multiLevelType w:val="hybridMultilevel"/>
    <w:tmpl w:val="AEB86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857F94"/>
    <w:multiLevelType w:val="hybridMultilevel"/>
    <w:tmpl w:val="5CB6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50E08"/>
    <w:multiLevelType w:val="hybridMultilevel"/>
    <w:tmpl w:val="F64A22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4A067A7"/>
    <w:multiLevelType w:val="hybridMultilevel"/>
    <w:tmpl w:val="A3A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06F1A"/>
    <w:multiLevelType w:val="hybridMultilevel"/>
    <w:tmpl w:val="001A1C2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3EDA"/>
    <w:multiLevelType w:val="hybridMultilevel"/>
    <w:tmpl w:val="EB42C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CC10C5"/>
    <w:multiLevelType w:val="hybridMultilevel"/>
    <w:tmpl w:val="A42A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A18ED"/>
    <w:multiLevelType w:val="hybridMultilevel"/>
    <w:tmpl w:val="9796E310"/>
    <w:lvl w:ilvl="0" w:tplc="08090001">
      <w:start w:val="1"/>
      <w:numFmt w:val="bullet"/>
      <w:lvlText w:val=""/>
      <w:lvlJc w:val="left"/>
      <w:pPr>
        <w:ind w:left="1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BC4215"/>
    <w:multiLevelType w:val="hybridMultilevel"/>
    <w:tmpl w:val="D8C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E17D8"/>
    <w:multiLevelType w:val="hybridMultilevel"/>
    <w:tmpl w:val="C9648808"/>
    <w:lvl w:ilvl="0" w:tplc="516298BA">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30F55"/>
    <w:multiLevelType w:val="hybridMultilevel"/>
    <w:tmpl w:val="7B7A9734"/>
    <w:lvl w:ilvl="0" w:tplc="C09E0E72">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217DE8"/>
    <w:multiLevelType w:val="hybridMultilevel"/>
    <w:tmpl w:val="02C0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25905"/>
    <w:multiLevelType w:val="hybridMultilevel"/>
    <w:tmpl w:val="AFF8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B182D"/>
    <w:multiLevelType w:val="hybridMultilevel"/>
    <w:tmpl w:val="527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A3038"/>
    <w:multiLevelType w:val="hybridMultilevel"/>
    <w:tmpl w:val="0EF65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6A0838"/>
    <w:multiLevelType w:val="hybridMultilevel"/>
    <w:tmpl w:val="181A0EBE"/>
    <w:lvl w:ilvl="0" w:tplc="0809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AE1F19"/>
    <w:multiLevelType w:val="hybridMultilevel"/>
    <w:tmpl w:val="F66C337C"/>
    <w:lvl w:ilvl="0" w:tplc="5254DC8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15:restartNumberingAfterBreak="0">
    <w:nsid w:val="70F406DF"/>
    <w:multiLevelType w:val="hybridMultilevel"/>
    <w:tmpl w:val="7A9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54B7F"/>
    <w:multiLevelType w:val="hybridMultilevel"/>
    <w:tmpl w:val="F29E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36076"/>
    <w:multiLevelType w:val="hybridMultilevel"/>
    <w:tmpl w:val="8EE8F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A0F96"/>
    <w:multiLevelType w:val="hybridMultilevel"/>
    <w:tmpl w:val="F06ADB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66323"/>
    <w:multiLevelType w:val="hybridMultilevel"/>
    <w:tmpl w:val="23A000AE"/>
    <w:lvl w:ilvl="0" w:tplc="F31288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A54DF"/>
    <w:multiLevelType w:val="hybridMultilevel"/>
    <w:tmpl w:val="2966B3C8"/>
    <w:lvl w:ilvl="0" w:tplc="CF08F0C4">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
  </w:num>
  <w:num w:numId="4">
    <w:abstractNumId w:val="8"/>
  </w:num>
  <w:num w:numId="5">
    <w:abstractNumId w:val="9"/>
  </w:num>
  <w:num w:numId="6">
    <w:abstractNumId w:val="14"/>
  </w:num>
  <w:num w:numId="7">
    <w:abstractNumId w:val="4"/>
  </w:num>
  <w:num w:numId="8">
    <w:abstractNumId w:val="24"/>
  </w:num>
  <w:num w:numId="9">
    <w:abstractNumId w:val="26"/>
  </w:num>
  <w:num w:numId="10">
    <w:abstractNumId w:val="18"/>
  </w:num>
  <w:num w:numId="11">
    <w:abstractNumId w:val="23"/>
  </w:num>
  <w:num w:numId="12">
    <w:abstractNumId w:val="19"/>
  </w:num>
  <w:num w:numId="13">
    <w:abstractNumId w:val="25"/>
  </w:num>
  <w:num w:numId="14">
    <w:abstractNumId w:val="7"/>
  </w:num>
  <w:num w:numId="15">
    <w:abstractNumId w:val="28"/>
  </w:num>
  <w:num w:numId="16">
    <w:abstractNumId w:val="3"/>
  </w:num>
  <w:num w:numId="17">
    <w:abstractNumId w:val="6"/>
  </w:num>
  <w:num w:numId="18">
    <w:abstractNumId w:val="21"/>
  </w:num>
  <w:num w:numId="19">
    <w:abstractNumId w:val="5"/>
  </w:num>
  <w:num w:numId="20">
    <w:abstractNumId w:val="12"/>
  </w:num>
  <w:num w:numId="21">
    <w:abstractNumId w:val="0"/>
  </w:num>
  <w:num w:numId="22">
    <w:abstractNumId w:val="17"/>
  </w:num>
  <w:num w:numId="23">
    <w:abstractNumId w:val="22"/>
  </w:num>
  <w:num w:numId="24">
    <w:abstractNumId w:val="11"/>
  </w:num>
  <w:num w:numId="25">
    <w:abstractNumId w:val="27"/>
  </w:num>
  <w:num w:numId="26">
    <w:abstractNumId w:val="15"/>
  </w:num>
  <w:num w:numId="27">
    <w:abstractNumId w:val="2"/>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MLawMDY1MQFiAyUdpeDU4uLM/DyQAqNaACnYR1gsAAAA"/>
  </w:docVars>
  <w:rsids>
    <w:rsidRoot w:val="00CE78E0"/>
    <w:rsid w:val="00000066"/>
    <w:rsid w:val="000005CD"/>
    <w:rsid w:val="0000126E"/>
    <w:rsid w:val="0000172F"/>
    <w:rsid w:val="00002163"/>
    <w:rsid w:val="00002861"/>
    <w:rsid w:val="00002A9D"/>
    <w:rsid w:val="00002D1C"/>
    <w:rsid w:val="00003428"/>
    <w:rsid w:val="0000360D"/>
    <w:rsid w:val="0000387C"/>
    <w:rsid w:val="00004DB2"/>
    <w:rsid w:val="00005752"/>
    <w:rsid w:val="00005E50"/>
    <w:rsid w:val="00006093"/>
    <w:rsid w:val="00006B03"/>
    <w:rsid w:val="0001014A"/>
    <w:rsid w:val="0001032C"/>
    <w:rsid w:val="000113E1"/>
    <w:rsid w:val="000134A4"/>
    <w:rsid w:val="000136D7"/>
    <w:rsid w:val="00014447"/>
    <w:rsid w:val="000148FB"/>
    <w:rsid w:val="00014FDB"/>
    <w:rsid w:val="000150AA"/>
    <w:rsid w:val="00015185"/>
    <w:rsid w:val="000156F7"/>
    <w:rsid w:val="000171E4"/>
    <w:rsid w:val="0001746A"/>
    <w:rsid w:val="00017715"/>
    <w:rsid w:val="00017D92"/>
    <w:rsid w:val="00020AE9"/>
    <w:rsid w:val="00020B00"/>
    <w:rsid w:val="00020E4D"/>
    <w:rsid w:val="00020FCD"/>
    <w:rsid w:val="00021347"/>
    <w:rsid w:val="0002174B"/>
    <w:rsid w:val="0002189A"/>
    <w:rsid w:val="00022384"/>
    <w:rsid w:val="00022C39"/>
    <w:rsid w:val="00022E0C"/>
    <w:rsid w:val="00022FBA"/>
    <w:rsid w:val="00023936"/>
    <w:rsid w:val="00023AE7"/>
    <w:rsid w:val="00024335"/>
    <w:rsid w:val="00024D25"/>
    <w:rsid w:val="00025C6D"/>
    <w:rsid w:val="000260CD"/>
    <w:rsid w:val="0002718C"/>
    <w:rsid w:val="00027BFB"/>
    <w:rsid w:val="00030D70"/>
    <w:rsid w:val="00030DAE"/>
    <w:rsid w:val="000313D0"/>
    <w:rsid w:val="00032E0B"/>
    <w:rsid w:val="00033CEB"/>
    <w:rsid w:val="00033E6E"/>
    <w:rsid w:val="00034259"/>
    <w:rsid w:val="00034616"/>
    <w:rsid w:val="00034D86"/>
    <w:rsid w:val="000351B9"/>
    <w:rsid w:val="00036301"/>
    <w:rsid w:val="00036D92"/>
    <w:rsid w:val="00037118"/>
    <w:rsid w:val="00037429"/>
    <w:rsid w:val="00037623"/>
    <w:rsid w:val="000376FD"/>
    <w:rsid w:val="00040D06"/>
    <w:rsid w:val="000417FF"/>
    <w:rsid w:val="00043A4D"/>
    <w:rsid w:val="00044353"/>
    <w:rsid w:val="00044E7C"/>
    <w:rsid w:val="00045CF6"/>
    <w:rsid w:val="0004614C"/>
    <w:rsid w:val="00046DE9"/>
    <w:rsid w:val="000472EC"/>
    <w:rsid w:val="00047667"/>
    <w:rsid w:val="00047A17"/>
    <w:rsid w:val="00050FD1"/>
    <w:rsid w:val="00051465"/>
    <w:rsid w:val="000518D0"/>
    <w:rsid w:val="00051D51"/>
    <w:rsid w:val="00051DEC"/>
    <w:rsid w:val="00051F4B"/>
    <w:rsid w:val="00052E16"/>
    <w:rsid w:val="00053055"/>
    <w:rsid w:val="00053A33"/>
    <w:rsid w:val="000540C2"/>
    <w:rsid w:val="00055281"/>
    <w:rsid w:val="000552A0"/>
    <w:rsid w:val="00055BFA"/>
    <w:rsid w:val="00055DB6"/>
    <w:rsid w:val="00055F7B"/>
    <w:rsid w:val="00057407"/>
    <w:rsid w:val="00057996"/>
    <w:rsid w:val="00060AB0"/>
    <w:rsid w:val="00060DBE"/>
    <w:rsid w:val="00061360"/>
    <w:rsid w:val="00061562"/>
    <w:rsid w:val="000615DC"/>
    <w:rsid w:val="00061632"/>
    <w:rsid w:val="00061B94"/>
    <w:rsid w:val="0006356F"/>
    <w:rsid w:val="00064DF8"/>
    <w:rsid w:val="0006525A"/>
    <w:rsid w:val="00065D6F"/>
    <w:rsid w:val="00065FD2"/>
    <w:rsid w:val="0006766B"/>
    <w:rsid w:val="00067C2C"/>
    <w:rsid w:val="00070147"/>
    <w:rsid w:val="000701C6"/>
    <w:rsid w:val="0007036D"/>
    <w:rsid w:val="0007207F"/>
    <w:rsid w:val="00072D2D"/>
    <w:rsid w:val="00072ED8"/>
    <w:rsid w:val="00073091"/>
    <w:rsid w:val="000736AD"/>
    <w:rsid w:val="000738BC"/>
    <w:rsid w:val="00074338"/>
    <w:rsid w:val="00074E65"/>
    <w:rsid w:val="00075461"/>
    <w:rsid w:val="0007569B"/>
    <w:rsid w:val="00077BE6"/>
    <w:rsid w:val="00077DD9"/>
    <w:rsid w:val="00077F06"/>
    <w:rsid w:val="00077F54"/>
    <w:rsid w:val="00080B2E"/>
    <w:rsid w:val="00081BE5"/>
    <w:rsid w:val="00082A17"/>
    <w:rsid w:val="00082A18"/>
    <w:rsid w:val="0008403B"/>
    <w:rsid w:val="00084C4D"/>
    <w:rsid w:val="00084ED6"/>
    <w:rsid w:val="0008560C"/>
    <w:rsid w:val="000858CB"/>
    <w:rsid w:val="000866CB"/>
    <w:rsid w:val="00086718"/>
    <w:rsid w:val="000909D9"/>
    <w:rsid w:val="00090DFB"/>
    <w:rsid w:val="00091B69"/>
    <w:rsid w:val="00091D3A"/>
    <w:rsid w:val="00091E1F"/>
    <w:rsid w:val="00091F9D"/>
    <w:rsid w:val="000922F8"/>
    <w:rsid w:val="000924C7"/>
    <w:rsid w:val="000931BF"/>
    <w:rsid w:val="00093888"/>
    <w:rsid w:val="00093E7F"/>
    <w:rsid w:val="00094562"/>
    <w:rsid w:val="00094797"/>
    <w:rsid w:val="0009509E"/>
    <w:rsid w:val="000960A1"/>
    <w:rsid w:val="0009627C"/>
    <w:rsid w:val="00096C88"/>
    <w:rsid w:val="0009783C"/>
    <w:rsid w:val="00097E43"/>
    <w:rsid w:val="000A0182"/>
    <w:rsid w:val="000A041B"/>
    <w:rsid w:val="000A04C6"/>
    <w:rsid w:val="000A08A3"/>
    <w:rsid w:val="000A1B15"/>
    <w:rsid w:val="000A2088"/>
    <w:rsid w:val="000A29B2"/>
    <w:rsid w:val="000A48A9"/>
    <w:rsid w:val="000A496D"/>
    <w:rsid w:val="000A4E92"/>
    <w:rsid w:val="000A5130"/>
    <w:rsid w:val="000A593C"/>
    <w:rsid w:val="000A6955"/>
    <w:rsid w:val="000A703C"/>
    <w:rsid w:val="000B089F"/>
    <w:rsid w:val="000B139D"/>
    <w:rsid w:val="000B16B8"/>
    <w:rsid w:val="000B1FC5"/>
    <w:rsid w:val="000B23EE"/>
    <w:rsid w:val="000B2838"/>
    <w:rsid w:val="000B2925"/>
    <w:rsid w:val="000B39FA"/>
    <w:rsid w:val="000B47C7"/>
    <w:rsid w:val="000B4DAF"/>
    <w:rsid w:val="000B4E2F"/>
    <w:rsid w:val="000B4EDF"/>
    <w:rsid w:val="000B5068"/>
    <w:rsid w:val="000B5104"/>
    <w:rsid w:val="000B624E"/>
    <w:rsid w:val="000B693C"/>
    <w:rsid w:val="000B6CF2"/>
    <w:rsid w:val="000B70D1"/>
    <w:rsid w:val="000B75CA"/>
    <w:rsid w:val="000C0241"/>
    <w:rsid w:val="000C0EA5"/>
    <w:rsid w:val="000C0EEF"/>
    <w:rsid w:val="000C2AEF"/>
    <w:rsid w:val="000C31FC"/>
    <w:rsid w:val="000C3AB7"/>
    <w:rsid w:val="000C4475"/>
    <w:rsid w:val="000C46AB"/>
    <w:rsid w:val="000C48C8"/>
    <w:rsid w:val="000C4B28"/>
    <w:rsid w:val="000C4D83"/>
    <w:rsid w:val="000C5F77"/>
    <w:rsid w:val="000C678D"/>
    <w:rsid w:val="000C6809"/>
    <w:rsid w:val="000C69D2"/>
    <w:rsid w:val="000D0398"/>
    <w:rsid w:val="000D039A"/>
    <w:rsid w:val="000D0592"/>
    <w:rsid w:val="000D05E4"/>
    <w:rsid w:val="000D16C6"/>
    <w:rsid w:val="000D1747"/>
    <w:rsid w:val="000D1C22"/>
    <w:rsid w:val="000D239B"/>
    <w:rsid w:val="000D33BC"/>
    <w:rsid w:val="000D416D"/>
    <w:rsid w:val="000D4694"/>
    <w:rsid w:val="000D4B89"/>
    <w:rsid w:val="000D4D40"/>
    <w:rsid w:val="000D50AC"/>
    <w:rsid w:val="000D50B4"/>
    <w:rsid w:val="000D561D"/>
    <w:rsid w:val="000D5775"/>
    <w:rsid w:val="000D5BF2"/>
    <w:rsid w:val="000D6183"/>
    <w:rsid w:val="000D69B9"/>
    <w:rsid w:val="000D7185"/>
    <w:rsid w:val="000E1042"/>
    <w:rsid w:val="000E1736"/>
    <w:rsid w:val="000E1F37"/>
    <w:rsid w:val="000E23E9"/>
    <w:rsid w:val="000E2E0C"/>
    <w:rsid w:val="000E36FE"/>
    <w:rsid w:val="000E4CE6"/>
    <w:rsid w:val="000E54BB"/>
    <w:rsid w:val="000E57DD"/>
    <w:rsid w:val="000E5E60"/>
    <w:rsid w:val="000E6265"/>
    <w:rsid w:val="000E64C4"/>
    <w:rsid w:val="000E6812"/>
    <w:rsid w:val="000E6B3B"/>
    <w:rsid w:val="000E7A69"/>
    <w:rsid w:val="000E7C07"/>
    <w:rsid w:val="000F049C"/>
    <w:rsid w:val="000F075B"/>
    <w:rsid w:val="000F0CF6"/>
    <w:rsid w:val="000F0E5A"/>
    <w:rsid w:val="000F1009"/>
    <w:rsid w:val="000F1314"/>
    <w:rsid w:val="000F1628"/>
    <w:rsid w:val="000F33D2"/>
    <w:rsid w:val="000F340F"/>
    <w:rsid w:val="000F42EA"/>
    <w:rsid w:val="000F5353"/>
    <w:rsid w:val="000F58F9"/>
    <w:rsid w:val="000F608B"/>
    <w:rsid w:val="000F765E"/>
    <w:rsid w:val="0010021E"/>
    <w:rsid w:val="00100291"/>
    <w:rsid w:val="00100648"/>
    <w:rsid w:val="0010225D"/>
    <w:rsid w:val="001027F3"/>
    <w:rsid w:val="00102F59"/>
    <w:rsid w:val="00104F09"/>
    <w:rsid w:val="00104FA3"/>
    <w:rsid w:val="001053D6"/>
    <w:rsid w:val="00105C57"/>
    <w:rsid w:val="001062DF"/>
    <w:rsid w:val="00106D42"/>
    <w:rsid w:val="001070B9"/>
    <w:rsid w:val="001076C4"/>
    <w:rsid w:val="001107B0"/>
    <w:rsid w:val="00110B73"/>
    <w:rsid w:val="00110C6B"/>
    <w:rsid w:val="00110F24"/>
    <w:rsid w:val="0011129F"/>
    <w:rsid w:val="001116F2"/>
    <w:rsid w:val="00112094"/>
    <w:rsid w:val="00112586"/>
    <w:rsid w:val="001125D2"/>
    <w:rsid w:val="00113981"/>
    <w:rsid w:val="00113DA4"/>
    <w:rsid w:val="001152CF"/>
    <w:rsid w:val="00115648"/>
    <w:rsid w:val="00115AEF"/>
    <w:rsid w:val="00115EB3"/>
    <w:rsid w:val="00116432"/>
    <w:rsid w:val="001164D2"/>
    <w:rsid w:val="00116545"/>
    <w:rsid w:val="001165FF"/>
    <w:rsid w:val="00117D90"/>
    <w:rsid w:val="00117F69"/>
    <w:rsid w:val="001209EE"/>
    <w:rsid w:val="00121512"/>
    <w:rsid w:val="0012273A"/>
    <w:rsid w:val="001229A4"/>
    <w:rsid w:val="00122AB2"/>
    <w:rsid w:val="00123626"/>
    <w:rsid w:val="00123870"/>
    <w:rsid w:val="00123C3C"/>
    <w:rsid w:val="0012416A"/>
    <w:rsid w:val="001241E3"/>
    <w:rsid w:val="00124862"/>
    <w:rsid w:val="00124FB8"/>
    <w:rsid w:val="00126B62"/>
    <w:rsid w:val="001272C8"/>
    <w:rsid w:val="00127EC4"/>
    <w:rsid w:val="0013069C"/>
    <w:rsid w:val="0013076D"/>
    <w:rsid w:val="00130813"/>
    <w:rsid w:val="00130859"/>
    <w:rsid w:val="001318E6"/>
    <w:rsid w:val="001319E2"/>
    <w:rsid w:val="00131F74"/>
    <w:rsid w:val="00132254"/>
    <w:rsid w:val="00132D2A"/>
    <w:rsid w:val="001337B5"/>
    <w:rsid w:val="001339AD"/>
    <w:rsid w:val="00133BD8"/>
    <w:rsid w:val="0013457E"/>
    <w:rsid w:val="001347B3"/>
    <w:rsid w:val="001349D3"/>
    <w:rsid w:val="00134FF0"/>
    <w:rsid w:val="001356C0"/>
    <w:rsid w:val="001362D7"/>
    <w:rsid w:val="00136D0E"/>
    <w:rsid w:val="001370AE"/>
    <w:rsid w:val="00137DA4"/>
    <w:rsid w:val="00140144"/>
    <w:rsid w:val="00140513"/>
    <w:rsid w:val="00140618"/>
    <w:rsid w:val="00143255"/>
    <w:rsid w:val="0014329C"/>
    <w:rsid w:val="00143592"/>
    <w:rsid w:val="00143A1F"/>
    <w:rsid w:val="00144282"/>
    <w:rsid w:val="001450AA"/>
    <w:rsid w:val="0014569A"/>
    <w:rsid w:val="00145829"/>
    <w:rsid w:val="00145BBD"/>
    <w:rsid w:val="00147789"/>
    <w:rsid w:val="0015000F"/>
    <w:rsid w:val="00150788"/>
    <w:rsid w:val="00150A0C"/>
    <w:rsid w:val="001511B2"/>
    <w:rsid w:val="00151D22"/>
    <w:rsid w:val="00153044"/>
    <w:rsid w:val="00153995"/>
    <w:rsid w:val="00153E30"/>
    <w:rsid w:val="00154A14"/>
    <w:rsid w:val="001556FC"/>
    <w:rsid w:val="00155D8C"/>
    <w:rsid w:val="0015605A"/>
    <w:rsid w:val="001562AE"/>
    <w:rsid w:val="00156500"/>
    <w:rsid w:val="001568D9"/>
    <w:rsid w:val="00160743"/>
    <w:rsid w:val="00160838"/>
    <w:rsid w:val="00160A7C"/>
    <w:rsid w:val="00162075"/>
    <w:rsid w:val="001622FE"/>
    <w:rsid w:val="00162512"/>
    <w:rsid w:val="0016279D"/>
    <w:rsid w:val="00164607"/>
    <w:rsid w:val="00164FB2"/>
    <w:rsid w:val="001650AC"/>
    <w:rsid w:val="001657F9"/>
    <w:rsid w:val="001660D6"/>
    <w:rsid w:val="00166BF4"/>
    <w:rsid w:val="0016786F"/>
    <w:rsid w:val="00167C42"/>
    <w:rsid w:val="00167D4D"/>
    <w:rsid w:val="00171285"/>
    <w:rsid w:val="0017138A"/>
    <w:rsid w:val="00171A3E"/>
    <w:rsid w:val="00174097"/>
    <w:rsid w:val="00175340"/>
    <w:rsid w:val="0017582B"/>
    <w:rsid w:val="001759C8"/>
    <w:rsid w:val="00176911"/>
    <w:rsid w:val="00176D65"/>
    <w:rsid w:val="001775ED"/>
    <w:rsid w:val="00177B1E"/>
    <w:rsid w:val="0018073F"/>
    <w:rsid w:val="00180D12"/>
    <w:rsid w:val="0018189E"/>
    <w:rsid w:val="00182716"/>
    <w:rsid w:val="001836B8"/>
    <w:rsid w:val="00183B26"/>
    <w:rsid w:val="00183E93"/>
    <w:rsid w:val="00183F5D"/>
    <w:rsid w:val="00184E2F"/>
    <w:rsid w:val="00184E73"/>
    <w:rsid w:val="0018532F"/>
    <w:rsid w:val="001857AF"/>
    <w:rsid w:val="00187215"/>
    <w:rsid w:val="001874B8"/>
    <w:rsid w:val="00187B70"/>
    <w:rsid w:val="00187C73"/>
    <w:rsid w:val="001906DA"/>
    <w:rsid w:val="00191287"/>
    <w:rsid w:val="00191F74"/>
    <w:rsid w:val="00192633"/>
    <w:rsid w:val="00193424"/>
    <w:rsid w:val="00194D05"/>
    <w:rsid w:val="00196924"/>
    <w:rsid w:val="00197A60"/>
    <w:rsid w:val="00197CDF"/>
    <w:rsid w:val="001A06EF"/>
    <w:rsid w:val="001A0D5E"/>
    <w:rsid w:val="001A1D4F"/>
    <w:rsid w:val="001A1F86"/>
    <w:rsid w:val="001A2018"/>
    <w:rsid w:val="001A2CDB"/>
    <w:rsid w:val="001A40EA"/>
    <w:rsid w:val="001A42C3"/>
    <w:rsid w:val="001A4A39"/>
    <w:rsid w:val="001A4A5A"/>
    <w:rsid w:val="001A6A4A"/>
    <w:rsid w:val="001A6CFC"/>
    <w:rsid w:val="001A6E29"/>
    <w:rsid w:val="001A7073"/>
    <w:rsid w:val="001A76AE"/>
    <w:rsid w:val="001B0179"/>
    <w:rsid w:val="001B07DE"/>
    <w:rsid w:val="001B0C79"/>
    <w:rsid w:val="001B1730"/>
    <w:rsid w:val="001B177E"/>
    <w:rsid w:val="001B2500"/>
    <w:rsid w:val="001B2861"/>
    <w:rsid w:val="001B2C96"/>
    <w:rsid w:val="001B2D03"/>
    <w:rsid w:val="001B2EBB"/>
    <w:rsid w:val="001B336F"/>
    <w:rsid w:val="001B3408"/>
    <w:rsid w:val="001B381A"/>
    <w:rsid w:val="001B3954"/>
    <w:rsid w:val="001B4393"/>
    <w:rsid w:val="001B4623"/>
    <w:rsid w:val="001B53D6"/>
    <w:rsid w:val="001B5F4C"/>
    <w:rsid w:val="001B62CE"/>
    <w:rsid w:val="001B6559"/>
    <w:rsid w:val="001B65CA"/>
    <w:rsid w:val="001B7101"/>
    <w:rsid w:val="001C140C"/>
    <w:rsid w:val="001C20AE"/>
    <w:rsid w:val="001C2BD0"/>
    <w:rsid w:val="001C3557"/>
    <w:rsid w:val="001C3BEF"/>
    <w:rsid w:val="001C4502"/>
    <w:rsid w:val="001C4DEF"/>
    <w:rsid w:val="001C50B7"/>
    <w:rsid w:val="001C58B5"/>
    <w:rsid w:val="001C5E75"/>
    <w:rsid w:val="001C5E8F"/>
    <w:rsid w:val="001C5F6E"/>
    <w:rsid w:val="001C6D56"/>
    <w:rsid w:val="001C7014"/>
    <w:rsid w:val="001C7673"/>
    <w:rsid w:val="001C7DB2"/>
    <w:rsid w:val="001D00A0"/>
    <w:rsid w:val="001D0A18"/>
    <w:rsid w:val="001D124A"/>
    <w:rsid w:val="001D209D"/>
    <w:rsid w:val="001D20DF"/>
    <w:rsid w:val="001D2978"/>
    <w:rsid w:val="001D3174"/>
    <w:rsid w:val="001D369F"/>
    <w:rsid w:val="001D3B31"/>
    <w:rsid w:val="001D6C93"/>
    <w:rsid w:val="001D6CF8"/>
    <w:rsid w:val="001D7B46"/>
    <w:rsid w:val="001E11D5"/>
    <w:rsid w:val="001E1922"/>
    <w:rsid w:val="001E22D2"/>
    <w:rsid w:val="001E2841"/>
    <w:rsid w:val="001E2C5D"/>
    <w:rsid w:val="001E517C"/>
    <w:rsid w:val="001E523D"/>
    <w:rsid w:val="001E55FA"/>
    <w:rsid w:val="001E5C42"/>
    <w:rsid w:val="001F0520"/>
    <w:rsid w:val="001F0D5A"/>
    <w:rsid w:val="001F11A2"/>
    <w:rsid w:val="001F146D"/>
    <w:rsid w:val="001F1D0A"/>
    <w:rsid w:val="001F2F40"/>
    <w:rsid w:val="001F3158"/>
    <w:rsid w:val="001F4181"/>
    <w:rsid w:val="001F5BBA"/>
    <w:rsid w:val="001F5BE0"/>
    <w:rsid w:val="001F7271"/>
    <w:rsid w:val="001F7EC8"/>
    <w:rsid w:val="00200018"/>
    <w:rsid w:val="00202EFC"/>
    <w:rsid w:val="0020334E"/>
    <w:rsid w:val="0020349C"/>
    <w:rsid w:val="00203506"/>
    <w:rsid w:val="002037E5"/>
    <w:rsid w:val="00203B06"/>
    <w:rsid w:val="002050F2"/>
    <w:rsid w:val="002052A6"/>
    <w:rsid w:val="00205E21"/>
    <w:rsid w:val="00205E22"/>
    <w:rsid w:val="00206572"/>
    <w:rsid w:val="0020690E"/>
    <w:rsid w:val="0021215D"/>
    <w:rsid w:val="00212BF3"/>
    <w:rsid w:val="0021315D"/>
    <w:rsid w:val="0021367F"/>
    <w:rsid w:val="00214DA4"/>
    <w:rsid w:val="002151F3"/>
    <w:rsid w:val="002154FA"/>
    <w:rsid w:val="00216016"/>
    <w:rsid w:val="00216314"/>
    <w:rsid w:val="002167C2"/>
    <w:rsid w:val="00216D03"/>
    <w:rsid w:val="00217420"/>
    <w:rsid w:val="00217C4A"/>
    <w:rsid w:val="00220652"/>
    <w:rsid w:val="0022087A"/>
    <w:rsid w:val="002212F0"/>
    <w:rsid w:val="002217BB"/>
    <w:rsid w:val="00221F57"/>
    <w:rsid w:val="00222061"/>
    <w:rsid w:val="00222E12"/>
    <w:rsid w:val="00223247"/>
    <w:rsid w:val="00223286"/>
    <w:rsid w:val="002233B7"/>
    <w:rsid w:val="00223BEA"/>
    <w:rsid w:val="00223E39"/>
    <w:rsid w:val="002243F2"/>
    <w:rsid w:val="0022563B"/>
    <w:rsid w:val="0022568C"/>
    <w:rsid w:val="002259FB"/>
    <w:rsid w:val="00226134"/>
    <w:rsid w:val="00226156"/>
    <w:rsid w:val="00226238"/>
    <w:rsid w:val="0022644A"/>
    <w:rsid w:val="00226A1C"/>
    <w:rsid w:val="00226BFA"/>
    <w:rsid w:val="00226E73"/>
    <w:rsid w:val="0022793C"/>
    <w:rsid w:val="00230170"/>
    <w:rsid w:val="00230179"/>
    <w:rsid w:val="0023065C"/>
    <w:rsid w:val="00230772"/>
    <w:rsid w:val="002311AA"/>
    <w:rsid w:val="00231744"/>
    <w:rsid w:val="00231799"/>
    <w:rsid w:val="0023181C"/>
    <w:rsid w:val="00231DC3"/>
    <w:rsid w:val="00231E3A"/>
    <w:rsid w:val="00232880"/>
    <w:rsid w:val="002345ED"/>
    <w:rsid w:val="00234778"/>
    <w:rsid w:val="00234F08"/>
    <w:rsid w:val="00234F3E"/>
    <w:rsid w:val="00235231"/>
    <w:rsid w:val="002375A9"/>
    <w:rsid w:val="00237B93"/>
    <w:rsid w:val="002406AA"/>
    <w:rsid w:val="0024120C"/>
    <w:rsid w:val="00241688"/>
    <w:rsid w:val="00241D54"/>
    <w:rsid w:val="00242047"/>
    <w:rsid w:val="00242067"/>
    <w:rsid w:val="00242138"/>
    <w:rsid w:val="00243068"/>
    <w:rsid w:val="002437FD"/>
    <w:rsid w:val="00243974"/>
    <w:rsid w:val="00243E34"/>
    <w:rsid w:val="0024491E"/>
    <w:rsid w:val="00244E07"/>
    <w:rsid w:val="002453C5"/>
    <w:rsid w:val="00245802"/>
    <w:rsid w:val="00245B67"/>
    <w:rsid w:val="00246331"/>
    <w:rsid w:val="00246383"/>
    <w:rsid w:val="00246AF0"/>
    <w:rsid w:val="0025010E"/>
    <w:rsid w:val="002506AD"/>
    <w:rsid w:val="00251E0E"/>
    <w:rsid w:val="00253185"/>
    <w:rsid w:val="00253C33"/>
    <w:rsid w:val="00253E54"/>
    <w:rsid w:val="002554AA"/>
    <w:rsid w:val="00255959"/>
    <w:rsid w:val="00255CA9"/>
    <w:rsid w:val="00256522"/>
    <w:rsid w:val="00257A51"/>
    <w:rsid w:val="0026091D"/>
    <w:rsid w:val="00260DCA"/>
    <w:rsid w:val="002618B0"/>
    <w:rsid w:val="00262A19"/>
    <w:rsid w:val="00263A55"/>
    <w:rsid w:val="00263ED2"/>
    <w:rsid w:val="002641AB"/>
    <w:rsid w:val="00264AE5"/>
    <w:rsid w:val="00265DA0"/>
    <w:rsid w:val="00266ED9"/>
    <w:rsid w:val="0026733F"/>
    <w:rsid w:val="0026765B"/>
    <w:rsid w:val="0026772B"/>
    <w:rsid w:val="00267A82"/>
    <w:rsid w:val="00267C3F"/>
    <w:rsid w:val="00267EC7"/>
    <w:rsid w:val="00267F89"/>
    <w:rsid w:val="002701D0"/>
    <w:rsid w:val="00270A77"/>
    <w:rsid w:val="00270AC4"/>
    <w:rsid w:val="0027239B"/>
    <w:rsid w:val="00272C60"/>
    <w:rsid w:val="00272E1C"/>
    <w:rsid w:val="002735A9"/>
    <w:rsid w:val="0027462E"/>
    <w:rsid w:val="0027577D"/>
    <w:rsid w:val="002758BE"/>
    <w:rsid w:val="002769A7"/>
    <w:rsid w:val="00276D32"/>
    <w:rsid w:val="00277BC8"/>
    <w:rsid w:val="00277DC5"/>
    <w:rsid w:val="00280340"/>
    <w:rsid w:val="002803CF"/>
    <w:rsid w:val="0028049D"/>
    <w:rsid w:val="00281481"/>
    <w:rsid w:val="00281CD9"/>
    <w:rsid w:val="00283F1D"/>
    <w:rsid w:val="0028538E"/>
    <w:rsid w:val="002857B8"/>
    <w:rsid w:val="002857CF"/>
    <w:rsid w:val="002875E8"/>
    <w:rsid w:val="00287864"/>
    <w:rsid w:val="00287FA7"/>
    <w:rsid w:val="002904C4"/>
    <w:rsid w:val="00291101"/>
    <w:rsid w:val="00291394"/>
    <w:rsid w:val="002913E3"/>
    <w:rsid w:val="002929E2"/>
    <w:rsid w:val="00293554"/>
    <w:rsid w:val="00293762"/>
    <w:rsid w:val="00293EF9"/>
    <w:rsid w:val="00294653"/>
    <w:rsid w:val="002951CF"/>
    <w:rsid w:val="00295B8D"/>
    <w:rsid w:val="00295E3C"/>
    <w:rsid w:val="00296324"/>
    <w:rsid w:val="00296442"/>
    <w:rsid w:val="00296743"/>
    <w:rsid w:val="002969E6"/>
    <w:rsid w:val="00296E10"/>
    <w:rsid w:val="00296F97"/>
    <w:rsid w:val="002978E5"/>
    <w:rsid w:val="00297C7E"/>
    <w:rsid w:val="002A099B"/>
    <w:rsid w:val="002A1337"/>
    <w:rsid w:val="002A1825"/>
    <w:rsid w:val="002A18F1"/>
    <w:rsid w:val="002A18F2"/>
    <w:rsid w:val="002A1C4B"/>
    <w:rsid w:val="002A2087"/>
    <w:rsid w:val="002A22E1"/>
    <w:rsid w:val="002A3221"/>
    <w:rsid w:val="002A32F7"/>
    <w:rsid w:val="002A398B"/>
    <w:rsid w:val="002A3A40"/>
    <w:rsid w:val="002A3B92"/>
    <w:rsid w:val="002A4668"/>
    <w:rsid w:val="002A4975"/>
    <w:rsid w:val="002A49B7"/>
    <w:rsid w:val="002A4A83"/>
    <w:rsid w:val="002A4EE3"/>
    <w:rsid w:val="002A4FCE"/>
    <w:rsid w:val="002A5DB4"/>
    <w:rsid w:val="002A686B"/>
    <w:rsid w:val="002A74DD"/>
    <w:rsid w:val="002A7C1B"/>
    <w:rsid w:val="002A7D76"/>
    <w:rsid w:val="002A7EDF"/>
    <w:rsid w:val="002B0717"/>
    <w:rsid w:val="002B094F"/>
    <w:rsid w:val="002B3920"/>
    <w:rsid w:val="002B3C90"/>
    <w:rsid w:val="002B3FC2"/>
    <w:rsid w:val="002B4463"/>
    <w:rsid w:val="002B4B45"/>
    <w:rsid w:val="002B61B0"/>
    <w:rsid w:val="002B71BD"/>
    <w:rsid w:val="002B75AF"/>
    <w:rsid w:val="002B7C10"/>
    <w:rsid w:val="002C0C79"/>
    <w:rsid w:val="002C1047"/>
    <w:rsid w:val="002C159F"/>
    <w:rsid w:val="002C2697"/>
    <w:rsid w:val="002C310A"/>
    <w:rsid w:val="002C32D9"/>
    <w:rsid w:val="002C3626"/>
    <w:rsid w:val="002C444A"/>
    <w:rsid w:val="002C44D6"/>
    <w:rsid w:val="002C4EE8"/>
    <w:rsid w:val="002C5208"/>
    <w:rsid w:val="002C5219"/>
    <w:rsid w:val="002C5638"/>
    <w:rsid w:val="002C5C7E"/>
    <w:rsid w:val="002C60DD"/>
    <w:rsid w:val="002C6B03"/>
    <w:rsid w:val="002C7964"/>
    <w:rsid w:val="002C7E20"/>
    <w:rsid w:val="002C7EDC"/>
    <w:rsid w:val="002D014D"/>
    <w:rsid w:val="002D06E5"/>
    <w:rsid w:val="002D16E5"/>
    <w:rsid w:val="002D1C64"/>
    <w:rsid w:val="002D1CD6"/>
    <w:rsid w:val="002D1EB3"/>
    <w:rsid w:val="002D23E0"/>
    <w:rsid w:val="002D2E87"/>
    <w:rsid w:val="002D2EBC"/>
    <w:rsid w:val="002D3182"/>
    <w:rsid w:val="002D31E5"/>
    <w:rsid w:val="002D33D5"/>
    <w:rsid w:val="002D4110"/>
    <w:rsid w:val="002D4341"/>
    <w:rsid w:val="002D5B3F"/>
    <w:rsid w:val="002D5B57"/>
    <w:rsid w:val="002D5D40"/>
    <w:rsid w:val="002D5F4C"/>
    <w:rsid w:val="002D6A8C"/>
    <w:rsid w:val="002D6C90"/>
    <w:rsid w:val="002D6DFF"/>
    <w:rsid w:val="002D708C"/>
    <w:rsid w:val="002D7651"/>
    <w:rsid w:val="002E0B05"/>
    <w:rsid w:val="002E1989"/>
    <w:rsid w:val="002E1AEC"/>
    <w:rsid w:val="002E26FF"/>
    <w:rsid w:val="002E27E3"/>
    <w:rsid w:val="002E296C"/>
    <w:rsid w:val="002E3030"/>
    <w:rsid w:val="002E31BF"/>
    <w:rsid w:val="002E3347"/>
    <w:rsid w:val="002E39BE"/>
    <w:rsid w:val="002E6879"/>
    <w:rsid w:val="002E6F58"/>
    <w:rsid w:val="002E721F"/>
    <w:rsid w:val="002E75BE"/>
    <w:rsid w:val="002E7A6E"/>
    <w:rsid w:val="002E7FCE"/>
    <w:rsid w:val="002F08BF"/>
    <w:rsid w:val="002F0B30"/>
    <w:rsid w:val="002F132E"/>
    <w:rsid w:val="002F1672"/>
    <w:rsid w:val="002F1BD3"/>
    <w:rsid w:val="002F296D"/>
    <w:rsid w:val="002F2D67"/>
    <w:rsid w:val="002F42C5"/>
    <w:rsid w:val="002F4426"/>
    <w:rsid w:val="002F4484"/>
    <w:rsid w:val="002F46DB"/>
    <w:rsid w:val="002F485C"/>
    <w:rsid w:val="002F4AC5"/>
    <w:rsid w:val="002F57B4"/>
    <w:rsid w:val="002F6797"/>
    <w:rsid w:val="002F756C"/>
    <w:rsid w:val="002F7A0A"/>
    <w:rsid w:val="00300ACA"/>
    <w:rsid w:val="00301260"/>
    <w:rsid w:val="0030163F"/>
    <w:rsid w:val="0030233C"/>
    <w:rsid w:val="00302617"/>
    <w:rsid w:val="00302AEF"/>
    <w:rsid w:val="00302C42"/>
    <w:rsid w:val="00304347"/>
    <w:rsid w:val="0030585A"/>
    <w:rsid w:val="00305E25"/>
    <w:rsid w:val="003060FC"/>
    <w:rsid w:val="00306488"/>
    <w:rsid w:val="003064B8"/>
    <w:rsid w:val="003065CE"/>
    <w:rsid w:val="00307580"/>
    <w:rsid w:val="00310B29"/>
    <w:rsid w:val="00310B2D"/>
    <w:rsid w:val="00310DEB"/>
    <w:rsid w:val="00311CB1"/>
    <w:rsid w:val="003124E1"/>
    <w:rsid w:val="003129E5"/>
    <w:rsid w:val="0031390F"/>
    <w:rsid w:val="003142A1"/>
    <w:rsid w:val="003149BB"/>
    <w:rsid w:val="00316870"/>
    <w:rsid w:val="00317579"/>
    <w:rsid w:val="00317959"/>
    <w:rsid w:val="003209D0"/>
    <w:rsid w:val="00320C30"/>
    <w:rsid w:val="00321468"/>
    <w:rsid w:val="00322663"/>
    <w:rsid w:val="0032283F"/>
    <w:rsid w:val="00323993"/>
    <w:rsid w:val="003239DD"/>
    <w:rsid w:val="00323AB4"/>
    <w:rsid w:val="003241F5"/>
    <w:rsid w:val="003244DA"/>
    <w:rsid w:val="003248B1"/>
    <w:rsid w:val="003256C2"/>
    <w:rsid w:val="0032589B"/>
    <w:rsid w:val="00331050"/>
    <w:rsid w:val="0033129A"/>
    <w:rsid w:val="0033189E"/>
    <w:rsid w:val="003319DB"/>
    <w:rsid w:val="00332A4B"/>
    <w:rsid w:val="00332D54"/>
    <w:rsid w:val="00333F9E"/>
    <w:rsid w:val="00334429"/>
    <w:rsid w:val="00334D14"/>
    <w:rsid w:val="00334E08"/>
    <w:rsid w:val="00334E15"/>
    <w:rsid w:val="003354AD"/>
    <w:rsid w:val="00335524"/>
    <w:rsid w:val="00340114"/>
    <w:rsid w:val="00340BC3"/>
    <w:rsid w:val="00340EA2"/>
    <w:rsid w:val="0034120A"/>
    <w:rsid w:val="003415DD"/>
    <w:rsid w:val="00341750"/>
    <w:rsid w:val="00342004"/>
    <w:rsid w:val="0034206E"/>
    <w:rsid w:val="00342524"/>
    <w:rsid w:val="00343454"/>
    <w:rsid w:val="00343533"/>
    <w:rsid w:val="003435B3"/>
    <w:rsid w:val="00343A0C"/>
    <w:rsid w:val="00343A5F"/>
    <w:rsid w:val="0034468D"/>
    <w:rsid w:val="0034478E"/>
    <w:rsid w:val="0034622C"/>
    <w:rsid w:val="00347996"/>
    <w:rsid w:val="00347D7A"/>
    <w:rsid w:val="00350B8E"/>
    <w:rsid w:val="00351299"/>
    <w:rsid w:val="003516FB"/>
    <w:rsid w:val="00351D8B"/>
    <w:rsid w:val="0035208B"/>
    <w:rsid w:val="00352BEA"/>
    <w:rsid w:val="00353137"/>
    <w:rsid w:val="0035366F"/>
    <w:rsid w:val="0035613A"/>
    <w:rsid w:val="003565D7"/>
    <w:rsid w:val="003566C9"/>
    <w:rsid w:val="003567A0"/>
    <w:rsid w:val="00356DA3"/>
    <w:rsid w:val="00357139"/>
    <w:rsid w:val="003572DB"/>
    <w:rsid w:val="00357C9A"/>
    <w:rsid w:val="00357D19"/>
    <w:rsid w:val="00357D40"/>
    <w:rsid w:val="00361326"/>
    <w:rsid w:val="003617A9"/>
    <w:rsid w:val="00361E4F"/>
    <w:rsid w:val="00363B18"/>
    <w:rsid w:val="00364469"/>
    <w:rsid w:val="00364551"/>
    <w:rsid w:val="00364761"/>
    <w:rsid w:val="003647B7"/>
    <w:rsid w:val="00364C60"/>
    <w:rsid w:val="00364D8E"/>
    <w:rsid w:val="00364F66"/>
    <w:rsid w:val="00365115"/>
    <w:rsid w:val="0036588A"/>
    <w:rsid w:val="00365A5C"/>
    <w:rsid w:val="0036614A"/>
    <w:rsid w:val="00366420"/>
    <w:rsid w:val="00366F05"/>
    <w:rsid w:val="00366F43"/>
    <w:rsid w:val="00367996"/>
    <w:rsid w:val="003704A0"/>
    <w:rsid w:val="003707A9"/>
    <w:rsid w:val="0037163C"/>
    <w:rsid w:val="00371A4A"/>
    <w:rsid w:val="00371B94"/>
    <w:rsid w:val="00371C7F"/>
    <w:rsid w:val="00372877"/>
    <w:rsid w:val="003731DA"/>
    <w:rsid w:val="00373959"/>
    <w:rsid w:val="00373C3E"/>
    <w:rsid w:val="00373D7C"/>
    <w:rsid w:val="00374A59"/>
    <w:rsid w:val="00374FA2"/>
    <w:rsid w:val="003750BF"/>
    <w:rsid w:val="003755F1"/>
    <w:rsid w:val="00375B5B"/>
    <w:rsid w:val="00375B78"/>
    <w:rsid w:val="00375BFB"/>
    <w:rsid w:val="00375E7F"/>
    <w:rsid w:val="003765A0"/>
    <w:rsid w:val="0037696A"/>
    <w:rsid w:val="00376A55"/>
    <w:rsid w:val="0037738A"/>
    <w:rsid w:val="0037779B"/>
    <w:rsid w:val="00377FC4"/>
    <w:rsid w:val="00377FE6"/>
    <w:rsid w:val="00380695"/>
    <w:rsid w:val="003814A3"/>
    <w:rsid w:val="00381505"/>
    <w:rsid w:val="0038189A"/>
    <w:rsid w:val="003822F3"/>
    <w:rsid w:val="003822FF"/>
    <w:rsid w:val="00382E27"/>
    <w:rsid w:val="00383139"/>
    <w:rsid w:val="003844F0"/>
    <w:rsid w:val="003855DB"/>
    <w:rsid w:val="0038724D"/>
    <w:rsid w:val="0039115B"/>
    <w:rsid w:val="00391506"/>
    <w:rsid w:val="0039164E"/>
    <w:rsid w:val="00391D27"/>
    <w:rsid w:val="003925EC"/>
    <w:rsid w:val="00392907"/>
    <w:rsid w:val="00392E02"/>
    <w:rsid w:val="003930B9"/>
    <w:rsid w:val="00393DD4"/>
    <w:rsid w:val="00394463"/>
    <w:rsid w:val="00395751"/>
    <w:rsid w:val="0039580E"/>
    <w:rsid w:val="003958A5"/>
    <w:rsid w:val="00396956"/>
    <w:rsid w:val="00396BB4"/>
    <w:rsid w:val="003972A0"/>
    <w:rsid w:val="003973D4"/>
    <w:rsid w:val="00397DBF"/>
    <w:rsid w:val="00397FCD"/>
    <w:rsid w:val="003A03FB"/>
    <w:rsid w:val="003A04BB"/>
    <w:rsid w:val="003A07CB"/>
    <w:rsid w:val="003A1A3E"/>
    <w:rsid w:val="003A20CE"/>
    <w:rsid w:val="003A259C"/>
    <w:rsid w:val="003A3C13"/>
    <w:rsid w:val="003A41BE"/>
    <w:rsid w:val="003A443F"/>
    <w:rsid w:val="003A48D6"/>
    <w:rsid w:val="003A4B5E"/>
    <w:rsid w:val="003A5823"/>
    <w:rsid w:val="003A6340"/>
    <w:rsid w:val="003A749F"/>
    <w:rsid w:val="003B02CA"/>
    <w:rsid w:val="003B083A"/>
    <w:rsid w:val="003B12D6"/>
    <w:rsid w:val="003B12E6"/>
    <w:rsid w:val="003B1599"/>
    <w:rsid w:val="003B1B2A"/>
    <w:rsid w:val="003B2004"/>
    <w:rsid w:val="003B23D8"/>
    <w:rsid w:val="003B2A35"/>
    <w:rsid w:val="003B2BBB"/>
    <w:rsid w:val="003B3FA5"/>
    <w:rsid w:val="003B4C5D"/>
    <w:rsid w:val="003B511A"/>
    <w:rsid w:val="003B55FF"/>
    <w:rsid w:val="003B5768"/>
    <w:rsid w:val="003B5BC7"/>
    <w:rsid w:val="003B656A"/>
    <w:rsid w:val="003B73C6"/>
    <w:rsid w:val="003B792B"/>
    <w:rsid w:val="003B7FD9"/>
    <w:rsid w:val="003C01AC"/>
    <w:rsid w:val="003C0677"/>
    <w:rsid w:val="003C0D5E"/>
    <w:rsid w:val="003C160B"/>
    <w:rsid w:val="003C35B4"/>
    <w:rsid w:val="003C3705"/>
    <w:rsid w:val="003C39C8"/>
    <w:rsid w:val="003C3B96"/>
    <w:rsid w:val="003C3E76"/>
    <w:rsid w:val="003C417A"/>
    <w:rsid w:val="003C4D43"/>
    <w:rsid w:val="003C5FF2"/>
    <w:rsid w:val="003C6F7F"/>
    <w:rsid w:val="003C7647"/>
    <w:rsid w:val="003D0159"/>
    <w:rsid w:val="003D028B"/>
    <w:rsid w:val="003D03AD"/>
    <w:rsid w:val="003D0C62"/>
    <w:rsid w:val="003D11A4"/>
    <w:rsid w:val="003D1A3E"/>
    <w:rsid w:val="003D204C"/>
    <w:rsid w:val="003D218C"/>
    <w:rsid w:val="003D254E"/>
    <w:rsid w:val="003D2D7C"/>
    <w:rsid w:val="003D32A5"/>
    <w:rsid w:val="003D3A34"/>
    <w:rsid w:val="003D3D4E"/>
    <w:rsid w:val="003D3F92"/>
    <w:rsid w:val="003D40AC"/>
    <w:rsid w:val="003D419F"/>
    <w:rsid w:val="003D4692"/>
    <w:rsid w:val="003D57A4"/>
    <w:rsid w:val="003D603F"/>
    <w:rsid w:val="003D697F"/>
    <w:rsid w:val="003D76D9"/>
    <w:rsid w:val="003D771E"/>
    <w:rsid w:val="003D7EA4"/>
    <w:rsid w:val="003E0311"/>
    <w:rsid w:val="003E117E"/>
    <w:rsid w:val="003E11F6"/>
    <w:rsid w:val="003E196C"/>
    <w:rsid w:val="003E2ADF"/>
    <w:rsid w:val="003E3029"/>
    <w:rsid w:val="003E3379"/>
    <w:rsid w:val="003E5BBF"/>
    <w:rsid w:val="003E774C"/>
    <w:rsid w:val="003E7BAA"/>
    <w:rsid w:val="003F0216"/>
    <w:rsid w:val="003F0EDF"/>
    <w:rsid w:val="003F15A2"/>
    <w:rsid w:val="003F1B10"/>
    <w:rsid w:val="003F2DF1"/>
    <w:rsid w:val="003F2F7D"/>
    <w:rsid w:val="003F3354"/>
    <w:rsid w:val="003F34CE"/>
    <w:rsid w:val="003F39BF"/>
    <w:rsid w:val="003F3CF8"/>
    <w:rsid w:val="003F479A"/>
    <w:rsid w:val="003F4897"/>
    <w:rsid w:val="003F54BA"/>
    <w:rsid w:val="003F5A7C"/>
    <w:rsid w:val="003F5D70"/>
    <w:rsid w:val="003F678C"/>
    <w:rsid w:val="003F6DA1"/>
    <w:rsid w:val="003F73D5"/>
    <w:rsid w:val="004000AB"/>
    <w:rsid w:val="004006BC"/>
    <w:rsid w:val="004009D6"/>
    <w:rsid w:val="004023F0"/>
    <w:rsid w:val="00403630"/>
    <w:rsid w:val="004040AA"/>
    <w:rsid w:val="004040CA"/>
    <w:rsid w:val="004040E4"/>
    <w:rsid w:val="0040419C"/>
    <w:rsid w:val="004049C3"/>
    <w:rsid w:val="00405613"/>
    <w:rsid w:val="00406908"/>
    <w:rsid w:val="004072BC"/>
    <w:rsid w:val="004073F0"/>
    <w:rsid w:val="00407615"/>
    <w:rsid w:val="004076E7"/>
    <w:rsid w:val="00410F53"/>
    <w:rsid w:val="00410FCC"/>
    <w:rsid w:val="004125D1"/>
    <w:rsid w:val="00413A12"/>
    <w:rsid w:val="00413C27"/>
    <w:rsid w:val="00413C68"/>
    <w:rsid w:val="00413DDC"/>
    <w:rsid w:val="00415071"/>
    <w:rsid w:val="0041532D"/>
    <w:rsid w:val="004154F5"/>
    <w:rsid w:val="00415E8E"/>
    <w:rsid w:val="00416125"/>
    <w:rsid w:val="00416162"/>
    <w:rsid w:val="004165D1"/>
    <w:rsid w:val="00416F20"/>
    <w:rsid w:val="00417400"/>
    <w:rsid w:val="00420043"/>
    <w:rsid w:val="00420458"/>
    <w:rsid w:val="004219E0"/>
    <w:rsid w:val="00421D9A"/>
    <w:rsid w:val="00421DD0"/>
    <w:rsid w:val="00422630"/>
    <w:rsid w:val="004227D2"/>
    <w:rsid w:val="004232EE"/>
    <w:rsid w:val="00423C36"/>
    <w:rsid w:val="00424A88"/>
    <w:rsid w:val="0042592C"/>
    <w:rsid w:val="00425C6E"/>
    <w:rsid w:val="00425D9F"/>
    <w:rsid w:val="004266BF"/>
    <w:rsid w:val="00426FE9"/>
    <w:rsid w:val="004278E9"/>
    <w:rsid w:val="004302F8"/>
    <w:rsid w:val="004304D0"/>
    <w:rsid w:val="00430B21"/>
    <w:rsid w:val="0043110F"/>
    <w:rsid w:val="00431189"/>
    <w:rsid w:val="00431406"/>
    <w:rsid w:val="00431687"/>
    <w:rsid w:val="00431D0B"/>
    <w:rsid w:val="00433386"/>
    <w:rsid w:val="004337D2"/>
    <w:rsid w:val="00433B60"/>
    <w:rsid w:val="00434B0F"/>
    <w:rsid w:val="00435C5B"/>
    <w:rsid w:val="0043606A"/>
    <w:rsid w:val="004360E8"/>
    <w:rsid w:val="00436919"/>
    <w:rsid w:val="00436F0B"/>
    <w:rsid w:val="0043795D"/>
    <w:rsid w:val="00440053"/>
    <w:rsid w:val="00440A91"/>
    <w:rsid w:val="004413CB"/>
    <w:rsid w:val="00443B3F"/>
    <w:rsid w:val="004444A0"/>
    <w:rsid w:val="004446E8"/>
    <w:rsid w:val="004447E1"/>
    <w:rsid w:val="004448A4"/>
    <w:rsid w:val="004448D8"/>
    <w:rsid w:val="00444E0F"/>
    <w:rsid w:val="00445EEF"/>
    <w:rsid w:val="00446892"/>
    <w:rsid w:val="00447268"/>
    <w:rsid w:val="00447404"/>
    <w:rsid w:val="00447A40"/>
    <w:rsid w:val="00450014"/>
    <w:rsid w:val="00450543"/>
    <w:rsid w:val="004508A7"/>
    <w:rsid w:val="004509EC"/>
    <w:rsid w:val="00450C39"/>
    <w:rsid w:val="00450F7B"/>
    <w:rsid w:val="0045113C"/>
    <w:rsid w:val="004512C8"/>
    <w:rsid w:val="00451423"/>
    <w:rsid w:val="00451955"/>
    <w:rsid w:val="00451ACF"/>
    <w:rsid w:val="00452256"/>
    <w:rsid w:val="0045284F"/>
    <w:rsid w:val="00452B93"/>
    <w:rsid w:val="00452F70"/>
    <w:rsid w:val="00453012"/>
    <w:rsid w:val="00454C6D"/>
    <w:rsid w:val="004551B3"/>
    <w:rsid w:val="00455C36"/>
    <w:rsid w:val="00456F6C"/>
    <w:rsid w:val="004607F7"/>
    <w:rsid w:val="004608EE"/>
    <w:rsid w:val="00460AE9"/>
    <w:rsid w:val="00460BB2"/>
    <w:rsid w:val="00461B66"/>
    <w:rsid w:val="0046204B"/>
    <w:rsid w:val="004622ED"/>
    <w:rsid w:val="0046293B"/>
    <w:rsid w:val="00462B02"/>
    <w:rsid w:val="00463531"/>
    <w:rsid w:val="00463556"/>
    <w:rsid w:val="00463AAB"/>
    <w:rsid w:val="004642BF"/>
    <w:rsid w:val="00464B84"/>
    <w:rsid w:val="00465CB7"/>
    <w:rsid w:val="00465EA5"/>
    <w:rsid w:val="00466841"/>
    <w:rsid w:val="004670AE"/>
    <w:rsid w:val="0046724D"/>
    <w:rsid w:val="00467795"/>
    <w:rsid w:val="00467FDE"/>
    <w:rsid w:val="004702E8"/>
    <w:rsid w:val="00470485"/>
    <w:rsid w:val="004709E8"/>
    <w:rsid w:val="00471E1A"/>
    <w:rsid w:val="0047276B"/>
    <w:rsid w:val="0047306B"/>
    <w:rsid w:val="004732A3"/>
    <w:rsid w:val="0047346B"/>
    <w:rsid w:val="00473F5E"/>
    <w:rsid w:val="00475C65"/>
    <w:rsid w:val="0047701D"/>
    <w:rsid w:val="0047714F"/>
    <w:rsid w:val="00477F7A"/>
    <w:rsid w:val="00480520"/>
    <w:rsid w:val="004807E7"/>
    <w:rsid w:val="004810AD"/>
    <w:rsid w:val="004823F2"/>
    <w:rsid w:val="00483461"/>
    <w:rsid w:val="00484245"/>
    <w:rsid w:val="00484D54"/>
    <w:rsid w:val="0048516D"/>
    <w:rsid w:val="0048619A"/>
    <w:rsid w:val="00486AC2"/>
    <w:rsid w:val="0048731F"/>
    <w:rsid w:val="0048752D"/>
    <w:rsid w:val="00487939"/>
    <w:rsid w:val="00487EB3"/>
    <w:rsid w:val="0049077B"/>
    <w:rsid w:val="00491B19"/>
    <w:rsid w:val="00491E53"/>
    <w:rsid w:val="004939D5"/>
    <w:rsid w:val="004942EF"/>
    <w:rsid w:val="004945A7"/>
    <w:rsid w:val="00494A0B"/>
    <w:rsid w:val="004962ED"/>
    <w:rsid w:val="0049669C"/>
    <w:rsid w:val="00496DF8"/>
    <w:rsid w:val="004970E1"/>
    <w:rsid w:val="0049750B"/>
    <w:rsid w:val="00497613"/>
    <w:rsid w:val="0049793F"/>
    <w:rsid w:val="00497E04"/>
    <w:rsid w:val="004A11B1"/>
    <w:rsid w:val="004A1A9A"/>
    <w:rsid w:val="004A1FFB"/>
    <w:rsid w:val="004A2C5C"/>
    <w:rsid w:val="004A3A6A"/>
    <w:rsid w:val="004A3E8C"/>
    <w:rsid w:val="004A4F74"/>
    <w:rsid w:val="004A533A"/>
    <w:rsid w:val="004A583D"/>
    <w:rsid w:val="004A5F10"/>
    <w:rsid w:val="004A5F9C"/>
    <w:rsid w:val="004A6758"/>
    <w:rsid w:val="004A6E30"/>
    <w:rsid w:val="004A6F6D"/>
    <w:rsid w:val="004A709B"/>
    <w:rsid w:val="004A7C82"/>
    <w:rsid w:val="004B0912"/>
    <w:rsid w:val="004B0A09"/>
    <w:rsid w:val="004B0A3B"/>
    <w:rsid w:val="004B1871"/>
    <w:rsid w:val="004B263F"/>
    <w:rsid w:val="004B2CF6"/>
    <w:rsid w:val="004B3928"/>
    <w:rsid w:val="004B42B3"/>
    <w:rsid w:val="004B48BE"/>
    <w:rsid w:val="004B4BFC"/>
    <w:rsid w:val="004B59F6"/>
    <w:rsid w:val="004B6B7C"/>
    <w:rsid w:val="004B6FAC"/>
    <w:rsid w:val="004B7BCA"/>
    <w:rsid w:val="004C0ADE"/>
    <w:rsid w:val="004C0C5D"/>
    <w:rsid w:val="004C12EC"/>
    <w:rsid w:val="004C158C"/>
    <w:rsid w:val="004C191A"/>
    <w:rsid w:val="004C2A90"/>
    <w:rsid w:val="004C35B3"/>
    <w:rsid w:val="004C56BD"/>
    <w:rsid w:val="004C5C28"/>
    <w:rsid w:val="004C6C82"/>
    <w:rsid w:val="004C6EB6"/>
    <w:rsid w:val="004C7677"/>
    <w:rsid w:val="004C7807"/>
    <w:rsid w:val="004C7870"/>
    <w:rsid w:val="004C7A5F"/>
    <w:rsid w:val="004D1A41"/>
    <w:rsid w:val="004D1DA9"/>
    <w:rsid w:val="004D1E4A"/>
    <w:rsid w:val="004D1EDB"/>
    <w:rsid w:val="004D2678"/>
    <w:rsid w:val="004D26F8"/>
    <w:rsid w:val="004D2E41"/>
    <w:rsid w:val="004D30E0"/>
    <w:rsid w:val="004D32EF"/>
    <w:rsid w:val="004D34CA"/>
    <w:rsid w:val="004D4C3D"/>
    <w:rsid w:val="004D522D"/>
    <w:rsid w:val="004D6562"/>
    <w:rsid w:val="004D6864"/>
    <w:rsid w:val="004D6F3F"/>
    <w:rsid w:val="004D7A29"/>
    <w:rsid w:val="004E057F"/>
    <w:rsid w:val="004E08E1"/>
    <w:rsid w:val="004E0D83"/>
    <w:rsid w:val="004E0E56"/>
    <w:rsid w:val="004E1067"/>
    <w:rsid w:val="004E127A"/>
    <w:rsid w:val="004E12F0"/>
    <w:rsid w:val="004E1B8B"/>
    <w:rsid w:val="004E246D"/>
    <w:rsid w:val="004E2A13"/>
    <w:rsid w:val="004E2DD6"/>
    <w:rsid w:val="004E3561"/>
    <w:rsid w:val="004E3B3A"/>
    <w:rsid w:val="004E42CB"/>
    <w:rsid w:val="004E439D"/>
    <w:rsid w:val="004E456E"/>
    <w:rsid w:val="004E50F2"/>
    <w:rsid w:val="004E56C0"/>
    <w:rsid w:val="004E70E7"/>
    <w:rsid w:val="004E7366"/>
    <w:rsid w:val="004E7E0C"/>
    <w:rsid w:val="004F03AD"/>
    <w:rsid w:val="004F07DC"/>
    <w:rsid w:val="004F0B65"/>
    <w:rsid w:val="004F0BDB"/>
    <w:rsid w:val="004F0C9C"/>
    <w:rsid w:val="004F1D22"/>
    <w:rsid w:val="004F22B3"/>
    <w:rsid w:val="004F23D5"/>
    <w:rsid w:val="004F3644"/>
    <w:rsid w:val="004F3CFE"/>
    <w:rsid w:val="004F4032"/>
    <w:rsid w:val="004F58B8"/>
    <w:rsid w:val="004F6CA8"/>
    <w:rsid w:val="004F6FE4"/>
    <w:rsid w:val="004F777D"/>
    <w:rsid w:val="004F7DAC"/>
    <w:rsid w:val="005007B5"/>
    <w:rsid w:val="00500902"/>
    <w:rsid w:val="00501538"/>
    <w:rsid w:val="005015F2"/>
    <w:rsid w:val="005018FD"/>
    <w:rsid w:val="00501E27"/>
    <w:rsid w:val="00502DFC"/>
    <w:rsid w:val="00503B04"/>
    <w:rsid w:val="00504D5F"/>
    <w:rsid w:val="005056F8"/>
    <w:rsid w:val="005058AA"/>
    <w:rsid w:val="00505E18"/>
    <w:rsid w:val="00506F22"/>
    <w:rsid w:val="00507FBC"/>
    <w:rsid w:val="005106AD"/>
    <w:rsid w:val="00511533"/>
    <w:rsid w:val="0051175C"/>
    <w:rsid w:val="005136E2"/>
    <w:rsid w:val="00513DD3"/>
    <w:rsid w:val="005141AA"/>
    <w:rsid w:val="00515C00"/>
    <w:rsid w:val="005160CC"/>
    <w:rsid w:val="005205D5"/>
    <w:rsid w:val="005206A3"/>
    <w:rsid w:val="00520743"/>
    <w:rsid w:val="00520BBB"/>
    <w:rsid w:val="00520D49"/>
    <w:rsid w:val="005210C7"/>
    <w:rsid w:val="00521EC8"/>
    <w:rsid w:val="0052261C"/>
    <w:rsid w:val="0052325C"/>
    <w:rsid w:val="0052342F"/>
    <w:rsid w:val="0052343E"/>
    <w:rsid w:val="00523522"/>
    <w:rsid w:val="005241DE"/>
    <w:rsid w:val="005242A3"/>
    <w:rsid w:val="00524347"/>
    <w:rsid w:val="00524530"/>
    <w:rsid w:val="00524A8E"/>
    <w:rsid w:val="00524F0B"/>
    <w:rsid w:val="00525489"/>
    <w:rsid w:val="00525A1A"/>
    <w:rsid w:val="00526961"/>
    <w:rsid w:val="00527141"/>
    <w:rsid w:val="005271DB"/>
    <w:rsid w:val="0052729A"/>
    <w:rsid w:val="00527454"/>
    <w:rsid w:val="005275FA"/>
    <w:rsid w:val="00527875"/>
    <w:rsid w:val="00527980"/>
    <w:rsid w:val="00527EBE"/>
    <w:rsid w:val="00530869"/>
    <w:rsid w:val="00530CE4"/>
    <w:rsid w:val="0053127E"/>
    <w:rsid w:val="0053150F"/>
    <w:rsid w:val="0053165A"/>
    <w:rsid w:val="00531AB4"/>
    <w:rsid w:val="00531F34"/>
    <w:rsid w:val="00533A10"/>
    <w:rsid w:val="00534585"/>
    <w:rsid w:val="00534F64"/>
    <w:rsid w:val="0053565D"/>
    <w:rsid w:val="00535E2E"/>
    <w:rsid w:val="00536498"/>
    <w:rsid w:val="0053676D"/>
    <w:rsid w:val="00536C84"/>
    <w:rsid w:val="00537745"/>
    <w:rsid w:val="00537DBF"/>
    <w:rsid w:val="005403EB"/>
    <w:rsid w:val="00540438"/>
    <w:rsid w:val="005416EA"/>
    <w:rsid w:val="005426A1"/>
    <w:rsid w:val="00542BB2"/>
    <w:rsid w:val="00543472"/>
    <w:rsid w:val="0054362A"/>
    <w:rsid w:val="00543ED2"/>
    <w:rsid w:val="00545D32"/>
    <w:rsid w:val="00546FA1"/>
    <w:rsid w:val="00547F6C"/>
    <w:rsid w:val="005502D2"/>
    <w:rsid w:val="005503D8"/>
    <w:rsid w:val="00550E18"/>
    <w:rsid w:val="005515A2"/>
    <w:rsid w:val="00552074"/>
    <w:rsid w:val="00552B3D"/>
    <w:rsid w:val="00553C44"/>
    <w:rsid w:val="005542A1"/>
    <w:rsid w:val="005543EF"/>
    <w:rsid w:val="00554701"/>
    <w:rsid w:val="00554973"/>
    <w:rsid w:val="00554D8A"/>
    <w:rsid w:val="005555DC"/>
    <w:rsid w:val="00555A7E"/>
    <w:rsid w:val="00555D0E"/>
    <w:rsid w:val="00556257"/>
    <w:rsid w:val="005562E7"/>
    <w:rsid w:val="005563E2"/>
    <w:rsid w:val="0056079D"/>
    <w:rsid w:val="00560D5C"/>
    <w:rsid w:val="00560DDE"/>
    <w:rsid w:val="00561BEC"/>
    <w:rsid w:val="00562098"/>
    <w:rsid w:val="005626D3"/>
    <w:rsid w:val="0056270E"/>
    <w:rsid w:val="00562B63"/>
    <w:rsid w:val="00562BF8"/>
    <w:rsid w:val="00562C0C"/>
    <w:rsid w:val="00562D32"/>
    <w:rsid w:val="0056448A"/>
    <w:rsid w:val="0056459D"/>
    <w:rsid w:val="005648CC"/>
    <w:rsid w:val="0056519D"/>
    <w:rsid w:val="005652F0"/>
    <w:rsid w:val="00565773"/>
    <w:rsid w:val="00565ABD"/>
    <w:rsid w:val="00565E6B"/>
    <w:rsid w:val="00565F22"/>
    <w:rsid w:val="00566131"/>
    <w:rsid w:val="00570637"/>
    <w:rsid w:val="00570C83"/>
    <w:rsid w:val="005713C4"/>
    <w:rsid w:val="00571C50"/>
    <w:rsid w:val="00571D64"/>
    <w:rsid w:val="00572086"/>
    <w:rsid w:val="0057259D"/>
    <w:rsid w:val="00572AD9"/>
    <w:rsid w:val="005736B1"/>
    <w:rsid w:val="00573BCC"/>
    <w:rsid w:val="0057698E"/>
    <w:rsid w:val="0057740B"/>
    <w:rsid w:val="005804CE"/>
    <w:rsid w:val="00580716"/>
    <w:rsid w:val="005813BB"/>
    <w:rsid w:val="00581DDB"/>
    <w:rsid w:val="00581F68"/>
    <w:rsid w:val="00581FBA"/>
    <w:rsid w:val="005820B0"/>
    <w:rsid w:val="005825BB"/>
    <w:rsid w:val="005835D2"/>
    <w:rsid w:val="00583BE4"/>
    <w:rsid w:val="005842C2"/>
    <w:rsid w:val="00584616"/>
    <w:rsid w:val="005847B6"/>
    <w:rsid w:val="00585F50"/>
    <w:rsid w:val="00586A03"/>
    <w:rsid w:val="00587578"/>
    <w:rsid w:val="00587F25"/>
    <w:rsid w:val="00587FD5"/>
    <w:rsid w:val="0059028E"/>
    <w:rsid w:val="00590F14"/>
    <w:rsid w:val="00590F39"/>
    <w:rsid w:val="005917D9"/>
    <w:rsid w:val="00591C82"/>
    <w:rsid w:val="00591F98"/>
    <w:rsid w:val="00592420"/>
    <w:rsid w:val="00592E74"/>
    <w:rsid w:val="00592F69"/>
    <w:rsid w:val="00593169"/>
    <w:rsid w:val="00593562"/>
    <w:rsid w:val="005938FD"/>
    <w:rsid w:val="00593C53"/>
    <w:rsid w:val="00593E5A"/>
    <w:rsid w:val="00593FFC"/>
    <w:rsid w:val="00594796"/>
    <w:rsid w:val="005951DD"/>
    <w:rsid w:val="005959AF"/>
    <w:rsid w:val="00595BEC"/>
    <w:rsid w:val="005969F8"/>
    <w:rsid w:val="00597515"/>
    <w:rsid w:val="005A0937"/>
    <w:rsid w:val="005A0A73"/>
    <w:rsid w:val="005A0D52"/>
    <w:rsid w:val="005A0EE5"/>
    <w:rsid w:val="005A0F49"/>
    <w:rsid w:val="005A11E3"/>
    <w:rsid w:val="005A1356"/>
    <w:rsid w:val="005A1F44"/>
    <w:rsid w:val="005A2691"/>
    <w:rsid w:val="005A29B8"/>
    <w:rsid w:val="005A3702"/>
    <w:rsid w:val="005A40A2"/>
    <w:rsid w:val="005A4BF3"/>
    <w:rsid w:val="005A4E6A"/>
    <w:rsid w:val="005A51F2"/>
    <w:rsid w:val="005A55F2"/>
    <w:rsid w:val="005A761A"/>
    <w:rsid w:val="005A7ACC"/>
    <w:rsid w:val="005B006B"/>
    <w:rsid w:val="005B0BF7"/>
    <w:rsid w:val="005B0E18"/>
    <w:rsid w:val="005B2625"/>
    <w:rsid w:val="005B33D9"/>
    <w:rsid w:val="005B3BCB"/>
    <w:rsid w:val="005B47D2"/>
    <w:rsid w:val="005B4D97"/>
    <w:rsid w:val="005B51EB"/>
    <w:rsid w:val="005B593C"/>
    <w:rsid w:val="005B69C4"/>
    <w:rsid w:val="005B7254"/>
    <w:rsid w:val="005C04DB"/>
    <w:rsid w:val="005C09CC"/>
    <w:rsid w:val="005C0F66"/>
    <w:rsid w:val="005C1957"/>
    <w:rsid w:val="005C1D96"/>
    <w:rsid w:val="005C2067"/>
    <w:rsid w:val="005C2B97"/>
    <w:rsid w:val="005C2CB1"/>
    <w:rsid w:val="005C3BAA"/>
    <w:rsid w:val="005C4055"/>
    <w:rsid w:val="005C408B"/>
    <w:rsid w:val="005C43CD"/>
    <w:rsid w:val="005C529E"/>
    <w:rsid w:val="005C550D"/>
    <w:rsid w:val="005C553B"/>
    <w:rsid w:val="005C587F"/>
    <w:rsid w:val="005C68B6"/>
    <w:rsid w:val="005C73FA"/>
    <w:rsid w:val="005D1889"/>
    <w:rsid w:val="005D2CBD"/>
    <w:rsid w:val="005D376F"/>
    <w:rsid w:val="005D3957"/>
    <w:rsid w:val="005D41CC"/>
    <w:rsid w:val="005D49B1"/>
    <w:rsid w:val="005D4C8F"/>
    <w:rsid w:val="005D53B1"/>
    <w:rsid w:val="005D560C"/>
    <w:rsid w:val="005D58DF"/>
    <w:rsid w:val="005D5F3B"/>
    <w:rsid w:val="005D63F4"/>
    <w:rsid w:val="005D6836"/>
    <w:rsid w:val="005D6BEF"/>
    <w:rsid w:val="005D712D"/>
    <w:rsid w:val="005D719C"/>
    <w:rsid w:val="005D73DA"/>
    <w:rsid w:val="005E0981"/>
    <w:rsid w:val="005E0DDD"/>
    <w:rsid w:val="005E1B1F"/>
    <w:rsid w:val="005E214C"/>
    <w:rsid w:val="005E2414"/>
    <w:rsid w:val="005E3A79"/>
    <w:rsid w:val="005E3B8C"/>
    <w:rsid w:val="005E4398"/>
    <w:rsid w:val="005E5B34"/>
    <w:rsid w:val="005E60FB"/>
    <w:rsid w:val="005E719B"/>
    <w:rsid w:val="005E7FD7"/>
    <w:rsid w:val="005F083B"/>
    <w:rsid w:val="005F1C5D"/>
    <w:rsid w:val="005F2A24"/>
    <w:rsid w:val="005F2A5E"/>
    <w:rsid w:val="005F32BE"/>
    <w:rsid w:val="005F3AA4"/>
    <w:rsid w:val="005F4FB2"/>
    <w:rsid w:val="005F5C13"/>
    <w:rsid w:val="005F67AE"/>
    <w:rsid w:val="0060047C"/>
    <w:rsid w:val="0060131A"/>
    <w:rsid w:val="006014C2"/>
    <w:rsid w:val="006016AE"/>
    <w:rsid w:val="00601DF0"/>
    <w:rsid w:val="00603070"/>
    <w:rsid w:val="006030B2"/>
    <w:rsid w:val="00603702"/>
    <w:rsid w:val="0060373D"/>
    <w:rsid w:val="0060391E"/>
    <w:rsid w:val="00603D39"/>
    <w:rsid w:val="006043D8"/>
    <w:rsid w:val="0060632D"/>
    <w:rsid w:val="00606432"/>
    <w:rsid w:val="006068FD"/>
    <w:rsid w:val="00606EDB"/>
    <w:rsid w:val="0060723F"/>
    <w:rsid w:val="00607D7B"/>
    <w:rsid w:val="0061094D"/>
    <w:rsid w:val="00611082"/>
    <w:rsid w:val="0061125E"/>
    <w:rsid w:val="006125E5"/>
    <w:rsid w:val="00612B3F"/>
    <w:rsid w:val="006144DF"/>
    <w:rsid w:val="00614CC9"/>
    <w:rsid w:val="00614D0C"/>
    <w:rsid w:val="00615328"/>
    <w:rsid w:val="00615869"/>
    <w:rsid w:val="00616016"/>
    <w:rsid w:val="00616CDD"/>
    <w:rsid w:val="00617608"/>
    <w:rsid w:val="00617731"/>
    <w:rsid w:val="00617D99"/>
    <w:rsid w:val="00620120"/>
    <w:rsid w:val="00621692"/>
    <w:rsid w:val="00621BFE"/>
    <w:rsid w:val="00621E1D"/>
    <w:rsid w:val="00623A39"/>
    <w:rsid w:val="00623C3F"/>
    <w:rsid w:val="006244E9"/>
    <w:rsid w:val="00624916"/>
    <w:rsid w:val="00624943"/>
    <w:rsid w:val="0062494F"/>
    <w:rsid w:val="00625C8F"/>
    <w:rsid w:val="00626149"/>
    <w:rsid w:val="006273C4"/>
    <w:rsid w:val="006278C2"/>
    <w:rsid w:val="00630004"/>
    <w:rsid w:val="006310B7"/>
    <w:rsid w:val="00631CF3"/>
    <w:rsid w:val="00634757"/>
    <w:rsid w:val="00634BFA"/>
    <w:rsid w:val="00635FFE"/>
    <w:rsid w:val="006360F4"/>
    <w:rsid w:val="006367FC"/>
    <w:rsid w:val="00636CAB"/>
    <w:rsid w:val="00636D36"/>
    <w:rsid w:val="00640307"/>
    <w:rsid w:val="0064086E"/>
    <w:rsid w:val="00640E2E"/>
    <w:rsid w:val="00640E83"/>
    <w:rsid w:val="00641125"/>
    <w:rsid w:val="00642504"/>
    <w:rsid w:val="006426B4"/>
    <w:rsid w:val="006427AE"/>
    <w:rsid w:val="00642DAE"/>
    <w:rsid w:val="00642E01"/>
    <w:rsid w:val="00644189"/>
    <w:rsid w:val="00644A66"/>
    <w:rsid w:val="0064502B"/>
    <w:rsid w:val="00645B4F"/>
    <w:rsid w:val="00645EF9"/>
    <w:rsid w:val="0064640F"/>
    <w:rsid w:val="00646446"/>
    <w:rsid w:val="006468F8"/>
    <w:rsid w:val="00646F1C"/>
    <w:rsid w:val="00647DC0"/>
    <w:rsid w:val="006500A6"/>
    <w:rsid w:val="00650AAE"/>
    <w:rsid w:val="00650E9A"/>
    <w:rsid w:val="006515FE"/>
    <w:rsid w:val="006517C3"/>
    <w:rsid w:val="00651B92"/>
    <w:rsid w:val="00651E30"/>
    <w:rsid w:val="00652EBC"/>
    <w:rsid w:val="0065321B"/>
    <w:rsid w:val="006537EE"/>
    <w:rsid w:val="00653A84"/>
    <w:rsid w:val="006554F7"/>
    <w:rsid w:val="00655CD8"/>
    <w:rsid w:val="00656A5A"/>
    <w:rsid w:val="006571A4"/>
    <w:rsid w:val="00657D13"/>
    <w:rsid w:val="00657F7D"/>
    <w:rsid w:val="006604A5"/>
    <w:rsid w:val="006604E3"/>
    <w:rsid w:val="006611E4"/>
    <w:rsid w:val="00661673"/>
    <w:rsid w:val="0066202A"/>
    <w:rsid w:val="006623A6"/>
    <w:rsid w:val="006632EA"/>
    <w:rsid w:val="00663454"/>
    <w:rsid w:val="00663469"/>
    <w:rsid w:val="00663A90"/>
    <w:rsid w:val="00663B7A"/>
    <w:rsid w:val="006649D8"/>
    <w:rsid w:val="0066508C"/>
    <w:rsid w:val="00665C88"/>
    <w:rsid w:val="006666C9"/>
    <w:rsid w:val="00666E3B"/>
    <w:rsid w:val="0066777A"/>
    <w:rsid w:val="00671050"/>
    <w:rsid w:val="00671EB5"/>
    <w:rsid w:val="006724D9"/>
    <w:rsid w:val="00672954"/>
    <w:rsid w:val="00672A8D"/>
    <w:rsid w:val="00672FC3"/>
    <w:rsid w:val="006738BA"/>
    <w:rsid w:val="00673E03"/>
    <w:rsid w:val="00675A9B"/>
    <w:rsid w:val="00675DC0"/>
    <w:rsid w:val="00675DE0"/>
    <w:rsid w:val="006763B7"/>
    <w:rsid w:val="00676BFA"/>
    <w:rsid w:val="00676FC1"/>
    <w:rsid w:val="00676FDF"/>
    <w:rsid w:val="006772F0"/>
    <w:rsid w:val="0067776B"/>
    <w:rsid w:val="00677A2A"/>
    <w:rsid w:val="00680242"/>
    <w:rsid w:val="0068120C"/>
    <w:rsid w:val="00681542"/>
    <w:rsid w:val="006819A8"/>
    <w:rsid w:val="00681B35"/>
    <w:rsid w:val="00683E41"/>
    <w:rsid w:val="006842FB"/>
    <w:rsid w:val="00684B60"/>
    <w:rsid w:val="00684F41"/>
    <w:rsid w:val="006854E7"/>
    <w:rsid w:val="00685C45"/>
    <w:rsid w:val="006875D7"/>
    <w:rsid w:val="00687AAF"/>
    <w:rsid w:val="00687CD3"/>
    <w:rsid w:val="00687F25"/>
    <w:rsid w:val="00690639"/>
    <w:rsid w:val="0069164A"/>
    <w:rsid w:val="00691AE9"/>
    <w:rsid w:val="00692005"/>
    <w:rsid w:val="0069255E"/>
    <w:rsid w:val="006926E2"/>
    <w:rsid w:val="00692790"/>
    <w:rsid w:val="00692A4A"/>
    <w:rsid w:val="00693079"/>
    <w:rsid w:val="006939CE"/>
    <w:rsid w:val="00694791"/>
    <w:rsid w:val="0069489E"/>
    <w:rsid w:val="00694986"/>
    <w:rsid w:val="00694B7D"/>
    <w:rsid w:val="00694DD7"/>
    <w:rsid w:val="00694F7E"/>
    <w:rsid w:val="006954BC"/>
    <w:rsid w:val="006965A7"/>
    <w:rsid w:val="00697752"/>
    <w:rsid w:val="00697CDF"/>
    <w:rsid w:val="006A013D"/>
    <w:rsid w:val="006A0240"/>
    <w:rsid w:val="006A15DF"/>
    <w:rsid w:val="006A1F86"/>
    <w:rsid w:val="006A2500"/>
    <w:rsid w:val="006A33FC"/>
    <w:rsid w:val="006A36A2"/>
    <w:rsid w:val="006A36B7"/>
    <w:rsid w:val="006A4095"/>
    <w:rsid w:val="006A4470"/>
    <w:rsid w:val="006A48DF"/>
    <w:rsid w:val="006A4C4B"/>
    <w:rsid w:val="006A5074"/>
    <w:rsid w:val="006A50E9"/>
    <w:rsid w:val="006A56B8"/>
    <w:rsid w:val="006A5C82"/>
    <w:rsid w:val="006A6359"/>
    <w:rsid w:val="006A6651"/>
    <w:rsid w:val="006A6F78"/>
    <w:rsid w:val="006A7FB7"/>
    <w:rsid w:val="006B02C0"/>
    <w:rsid w:val="006B0901"/>
    <w:rsid w:val="006B0F02"/>
    <w:rsid w:val="006B1B6F"/>
    <w:rsid w:val="006B1D7B"/>
    <w:rsid w:val="006B212A"/>
    <w:rsid w:val="006B26C9"/>
    <w:rsid w:val="006B3B45"/>
    <w:rsid w:val="006B41CF"/>
    <w:rsid w:val="006C0931"/>
    <w:rsid w:val="006C1DDA"/>
    <w:rsid w:val="006C2ABA"/>
    <w:rsid w:val="006C33F1"/>
    <w:rsid w:val="006C34A1"/>
    <w:rsid w:val="006C34D1"/>
    <w:rsid w:val="006C36C1"/>
    <w:rsid w:val="006C3D7A"/>
    <w:rsid w:val="006C4ABE"/>
    <w:rsid w:val="006C4BBF"/>
    <w:rsid w:val="006C4BEC"/>
    <w:rsid w:val="006C52E9"/>
    <w:rsid w:val="006C5A6D"/>
    <w:rsid w:val="006C5D5F"/>
    <w:rsid w:val="006C5E8A"/>
    <w:rsid w:val="006C6D9A"/>
    <w:rsid w:val="006D00CA"/>
    <w:rsid w:val="006D082F"/>
    <w:rsid w:val="006D0CF9"/>
    <w:rsid w:val="006D1F5C"/>
    <w:rsid w:val="006D23C1"/>
    <w:rsid w:val="006D39F2"/>
    <w:rsid w:val="006D3C3A"/>
    <w:rsid w:val="006D4187"/>
    <w:rsid w:val="006D4276"/>
    <w:rsid w:val="006D516F"/>
    <w:rsid w:val="006D53C5"/>
    <w:rsid w:val="006D5A14"/>
    <w:rsid w:val="006D5A67"/>
    <w:rsid w:val="006D5E33"/>
    <w:rsid w:val="006D5EFF"/>
    <w:rsid w:val="006D6409"/>
    <w:rsid w:val="006D6874"/>
    <w:rsid w:val="006D79CE"/>
    <w:rsid w:val="006E0428"/>
    <w:rsid w:val="006E1C14"/>
    <w:rsid w:val="006E1DF6"/>
    <w:rsid w:val="006E2BE5"/>
    <w:rsid w:val="006E324A"/>
    <w:rsid w:val="006E40A5"/>
    <w:rsid w:val="006E45F5"/>
    <w:rsid w:val="006E507B"/>
    <w:rsid w:val="006E56C3"/>
    <w:rsid w:val="006E5AED"/>
    <w:rsid w:val="006E6C42"/>
    <w:rsid w:val="006F1369"/>
    <w:rsid w:val="006F13FB"/>
    <w:rsid w:val="006F1410"/>
    <w:rsid w:val="006F1F94"/>
    <w:rsid w:val="006F3D7B"/>
    <w:rsid w:val="006F4BFD"/>
    <w:rsid w:val="006F4E83"/>
    <w:rsid w:val="006F4FC2"/>
    <w:rsid w:val="006F6032"/>
    <w:rsid w:val="006F652B"/>
    <w:rsid w:val="006F684A"/>
    <w:rsid w:val="006F6D4E"/>
    <w:rsid w:val="006F722F"/>
    <w:rsid w:val="006F736F"/>
    <w:rsid w:val="006F7603"/>
    <w:rsid w:val="006F795C"/>
    <w:rsid w:val="006F7D7D"/>
    <w:rsid w:val="007003C3"/>
    <w:rsid w:val="00700E26"/>
    <w:rsid w:val="007013BA"/>
    <w:rsid w:val="007020F9"/>
    <w:rsid w:val="007030A7"/>
    <w:rsid w:val="007036A2"/>
    <w:rsid w:val="00703C94"/>
    <w:rsid w:val="00703CB8"/>
    <w:rsid w:val="00704CD8"/>
    <w:rsid w:val="00704E26"/>
    <w:rsid w:val="00704F45"/>
    <w:rsid w:val="007056AF"/>
    <w:rsid w:val="00706AFE"/>
    <w:rsid w:val="00706EF1"/>
    <w:rsid w:val="0070738A"/>
    <w:rsid w:val="00707A85"/>
    <w:rsid w:val="00710563"/>
    <w:rsid w:val="007109D4"/>
    <w:rsid w:val="007112BE"/>
    <w:rsid w:val="0071165C"/>
    <w:rsid w:val="007129C8"/>
    <w:rsid w:val="007137D1"/>
    <w:rsid w:val="007139F4"/>
    <w:rsid w:val="00713A1A"/>
    <w:rsid w:val="00714014"/>
    <w:rsid w:val="00714CA0"/>
    <w:rsid w:val="0071521A"/>
    <w:rsid w:val="00716E37"/>
    <w:rsid w:val="00717FDB"/>
    <w:rsid w:val="007202C0"/>
    <w:rsid w:val="00720696"/>
    <w:rsid w:val="0072078E"/>
    <w:rsid w:val="00720BFC"/>
    <w:rsid w:val="00720C17"/>
    <w:rsid w:val="00720E43"/>
    <w:rsid w:val="0072208A"/>
    <w:rsid w:val="007230A1"/>
    <w:rsid w:val="00724DB2"/>
    <w:rsid w:val="0072598E"/>
    <w:rsid w:val="007261DC"/>
    <w:rsid w:val="00726787"/>
    <w:rsid w:val="0072687D"/>
    <w:rsid w:val="00726931"/>
    <w:rsid w:val="00726CAD"/>
    <w:rsid w:val="00726EA2"/>
    <w:rsid w:val="0072708C"/>
    <w:rsid w:val="00727313"/>
    <w:rsid w:val="00727E46"/>
    <w:rsid w:val="007308C5"/>
    <w:rsid w:val="00730AD9"/>
    <w:rsid w:val="00730FBE"/>
    <w:rsid w:val="00731007"/>
    <w:rsid w:val="00731016"/>
    <w:rsid w:val="00732808"/>
    <w:rsid w:val="00732AFF"/>
    <w:rsid w:val="0073343F"/>
    <w:rsid w:val="007337BC"/>
    <w:rsid w:val="00734088"/>
    <w:rsid w:val="007341D9"/>
    <w:rsid w:val="0073500A"/>
    <w:rsid w:val="0073508E"/>
    <w:rsid w:val="007353B2"/>
    <w:rsid w:val="0073620F"/>
    <w:rsid w:val="00736FEC"/>
    <w:rsid w:val="00737490"/>
    <w:rsid w:val="00737A11"/>
    <w:rsid w:val="007403B3"/>
    <w:rsid w:val="00740892"/>
    <w:rsid w:val="007412BB"/>
    <w:rsid w:val="007412DE"/>
    <w:rsid w:val="0074188E"/>
    <w:rsid w:val="0074324A"/>
    <w:rsid w:val="0074374C"/>
    <w:rsid w:val="007439D2"/>
    <w:rsid w:val="00743EEE"/>
    <w:rsid w:val="00744185"/>
    <w:rsid w:val="0074427B"/>
    <w:rsid w:val="00745597"/>
    <w:rsid w:val="00745802"/>
    <w:rsid w:val="00746076"/>
    <w:rsid w:val="007463E1"/>
    <w:rsid w:val="00746E39"/>
    <w:rsid w:val="00750B3D"/>
    <w:rsid w:val="00750CCD"/>
    <w:rsid w:val="007513F2"/>
    <w:rsid w:val="00751575"/>
    <w:rsid w:val="00752116"/>
    <w:rsid w:val="00752A8A"/>
    <w:rsid w:val="007533C2"/>
    <w:rsid w:val="007536F2"/>
    <w:rsid w:val="00753781"/>
    <w:rsid w:val="00753A40"/>
    <w:rsid w:val="00753E1A"/>
    <w:rsid w:val="007559DB"/>
    <w:rsid w:val="00755B2D"/>
    <w:rsid w:val="007562AF"/>
    <w:rsid w:val="00756C11"/>
    <w:rsid w:val="00756FEB"/>
    <w:rsid w:val="00757147"/>
    <w:rsid w:val="00760058"/>
    <w:rsid w:val="00760183"/>
    <w:rsid w:val="00760703"/>
    <w:rsid w:val="00760799"/>
    <w:rsid w:val="00761505"/>
    <w:rsid w:val="00761F76"/>
    <w:rsid w:val="007622B2"/>
    <w:rsid w:val="00762CC8"/>
    <w:rsid w:val="0076322C"/>
    <w:rsid w:val="007632B4"/>
    <w:rsid w:val="00763EA4"/>
    <w:rsid w:val="007646BB"/>
    <w:rsid w:val="0076505B"/>
    <w:rsid w:val="007650D4"/>
    <w:rsid w:val="007652BC"/>
    <w:rsid w:val="00765467"/>
    <w:rsid w:val="0076590D"/>
    <w:rsid w:val="0076595E"/>
    <w:rsid w:val="00767283"/>
    <w:rsid w:val="00767B85"/>
    <w:rsid w:val="00767C96"/>
    <w:rsid w:val="00770C09"/>
    <w:rsid w:val="00771FF3"/>
    <w:rsid w:val="007729CE"/>
    <w:rsid w:val="0077345D"/>
    <w:rsid w:val="00773EDF"/>
    <w:rsid w:val="00776042"/>
    <w:rsid w:val="00776211"/>
    <w:rsid w:val="007775C4"/>
    <w:rsid w:val="00780D14"/>
    <w:rsid w:val="00781CE2"/>
    <w:rsid w:val="00782073"/>
    <w:rsid w:val="007824DA"/>
    <w:rsid w:val="00784A38"/>
    <w:rsid w:val="00785ACA"/>
    <w:rsid w:val="00785D6B"/>
    <w:rsid w:val="00786090"/>
    <w:rsid w:val="00786921"/>
    <w:rsid w:val="00787A41"/>
    <w:rsid w:val="007901A0"/>
    <w:rsid w:val="00790BD4"/>
    <w:rsid w:val="00791221"/>
    <w:rsid w:val="00791609"/>
    <w:rsid w:val="00791A3C"/>
    <w:rsid w:val="00791BEC"/>
    <w:rsid w:val="0079319D"/>
    <w:rsid w:val="007935B2"/>
    <w:rsid w:val="0079414A"/>
    <w:rsid w:val="00794867"/>
    <w:rsid w:val="00795A2E"/>
    <w:rsid w:val="00796AF5"/>
    <w:rsid w:val="007971B7"/>
    <w:rsid w:val="007973DE"/>
    <w:rsid w:val="00797FED"/>
    <w:rsid w:val="007A0B07"/>
    <w:rsid w:val="007A0BB8"/>
    <w:rsid w:val="007A1918"/>
    <w:rsid w:val="007A2197"/>
    <w:rsid w:val="007A37FB"/>
    <w:rsid w:val="007A3A37"/>
    <w:rsid w:val="007A3AAD"/>
    <w:rsid w:val="007A5F63"/>
    <w:rsid w:val="007A664D"/>
    <w:rsid w:val="007A6781"/>
    <w:rsid w:val="007A7339"/>
    <w:rsid w:val="007A7D47"/>
    <w:rsid w:val="007A7E36"/>
    <w:rsid w:val="007B0462"/>
    <w:rsid w:val="007B076B"/>
    <w:rsid w:val="007B0A33"/>
    <w:rsid w:val="007B0A4B"/>
    <w:rsid w:val="007B0A65"/>
    <w:rsid w:val="007B128A"/>
    <w:rsid w:val="007B255B"/>
    <w:rsid w:val="007B2E1A"/>
    <w:rsid w:val="007B32B4"/>
    <w:rsid w:val="007B3405"/>
    <w:rsid w:val="007B3E03"/>
    <w:rsid w:val="007B4037"/>
    <w:rsid w:val="007B43B9"/>
    <w:rsid w:val="007B476B"/>
    <w:rsid w:val="007B5043"/>
    <w:rsid w:val="007B6389"/>
    <w:rsid w:val="007B7449"/>
    <w:rsid w:val="007B7732"/>
    <w:rsid w:val="007B7F97"/>
    <w:rsid w:val="007B7FD1"/>
    <w:rsid w:val="007C036C"/>
    <w:rsid w:val="007C072D"/>
    <w:rsid w:val="007C1188"/>
    <w:rsid w:val="007C130E"/>
    <w:rsid w:val="007C1A21"/>
    <w:rsid w:val="007C1EE6"/>
    <w:rsid w:val="007C25DC"/>
    <w:rsid w:val="007C2834"/>
    <w:rsid w:val="007C3114"/>
    <w:rsid w:val="007C357D"/>
    <w:rsid w:val="007C3C14"/>
    <w:rsid w:val="007C48F7"/>
    <w:rsid w:val="007C5BC8"/>
    <w:rsid w:val="007C62EE"/>
    <w:rsid w:val="007C652A"/>
    <w:rsid w:val="007C6777"/>
    <w:rsid w:val="007C6E4E"/>
    <w:rsid w:val="007C74CD"/>
    <w:rsid w:val="007D0629"/>
    <w:rsid w:val="007D11A6"/>
    <w:rsid w:val="007D1FAA"/>
    <w:rsid w:val="007D250A"/>
    <w:rsid w:val="007D3406"/>
    <w:rsid w:val="007D40EC"/>
    <w:rsid w:val="007D55AB"/>
    <w:rsid w:val="007D5646"/>
    <w:rsid w:val="007D6C2E"/>
    <w:rsid w:val="007D7973"/>
    <w:rsid w:val="007E1DD9"/>
    <w:rsid w:val="007E2F2F"/>
    <w:rsid w:val="007E41DF"/>
    <w:rsid w:val="007E47BD"/>
    <w:rsid w:val="007E4BE6"/>
    <w:rsid w:val="007E50E9"/>
    <w:rsid w:val="007E61BD"/>
    <w:rsid w:val="007E6F18"/>
    <w:rsid w:val="007E750E"/>
    <w:rsid w:val="007E78FB"/>
    <w:rsid w:val="007F0568"/>
    <w:rsid w:val="007F08CF"/>
    <w:rsid w:val="007F103C"/>
    <w:rsid w:val="007F1287"/>
    <w:rsid w:val="007F161C"/>
    <w:rsid w:val="007F17B1"/>
    <w:rsid w:val="007F18D4"/>
    <w:rsid w:val="007F25E1"/>
    <w:rsid w:val="007F2D3C"/>
    <w:rsid w:val="007F3169"/>
    <w:rsid w:val="007F320B"/>
    <w:rsid w:val="007F3341"/>
    <w:rsid w:val="007F43A8"/>
    <w:rsid w:val="007F47AC"/>
    <w:rsid w:val="007F4B6A"/>
    <w:rsid w:val="007F4DF7"/>
    <w:rsid w:val="007F4F01"/>
    <w:rsid w:val="007F5F7B"/>
    <w:rsid w:val="007F60AD"/>
    <w:rsid w:val="007F6BC0"/>
    <w:rsid w:val="007F7823"/>
    <w:rsid w:val="008006A0"/>
    <w:rsid w:val="008020DC"/>
    <w:rsid w:val="0080334B"/>
    <w:rsid w:val="0080467A"/>
    <w:rsid w:val="00804ABB"/>
    <w:rsid w:val="0080556D"/>
    <w:rsid w:val="008058C6"/>
    <w:rsid w:val="00805ADE"/>
    <w:rsid w:val="0080660B"/>
    <w:rsid w:val="00806AD3"/>
    <w:rsid w:val="0081015C"/>
    <w:rsid w:val="00810C5C"/>
    <w:rsid w:val="0081243C"/>
    <w:rsid w:val="00813881"/>
    <w:rsid w:val="00813949"/>
    <w:rsid w:val="00813A0B"/>
    <w:rsid w:val="00814424"/>
    <w:rsid w:val="00814868"/>
    <w:rsid w:val="00814ED1"/>
    <w:rsid w:val="00815889"/>
    <w:rsid w:val="00816C15"/>
    <w:rsid w:val="00816D7F"/>
    <w:rsid w:val="008178B0"/>
    <w:rsid w:val="00820233"/>
    <w:rsid w:val="00821773"/>
    <w:rsid w:val="0082292B"/>
    <w:rsid w:val="00822988"/>
    <w:rsid w:val="00822A55"/>
    <w:rsid w:val="00822CA7"/>
    <w:rsid w:val="00822D54"/>
    <w:rsid w:val="00823362"/>
    <w:rsid w:val="00823451"/>
    <w:rsid w:val="00823DEC"/>
    <w:rsid w:val="00824127"/>
    <w:rsid w:val="008256F8"/>
    <w:rsid w:val="008262BD"/>
    <w:rsid w:val="00826F7E"/>
    <w:rsid w:val="0082725E"/>
    <w:rsid w:val="0082727B"/>
    <w:rsid w:val="0082744A"/>
    <w:rsid w:val="008277AF"/>
    <w:rsid w:val="00827BB7"/>
    <w:rsid w:val="0083128C"/>
    <w:rsid w:val="00832595"/>
    <w:rsid w:val="00832AF3"/>
    <w:rsid w:val="008335A4"/>
    <w:rsid w:val="0083362E"/>
    <w:rsid w:val="00833DED"/>
    <w:rsid w:val="00833FC7"/>
    <w:rsid w:val="00836D5D"/>
    <w:rsid w:val="0084023F"/>
    <w:rsid w:val="00840867"/>
    <w:rsid w:val="008416F6"/>
    <w:rsid w:val="00842256"/>
    <w:rsid w:val="00842E98"/>
    <w:rsid w:val="00842FBE"/>
    <w:rsid w:val="00844095"/>
    <w:rsid w:val="008440F6"/>
    <w:rsid w:val="00844A11"/>
    <w:rsid w:val="00844B53"/>
    <w:rsid w:val="00844CFC"/>
    <w:rsid w:val="008454F9"/>
    <w:rsid w:val="008455AD"/>
    <w:rsid w:val="008456B8"/>
    <w:rsid w:val="00845BFD"/>
    <w:rsid w:val="00846363"/>
    <w:rsid w:val="00846858"/>
    <w:rsid w:val="00847C6A"/>
    <w:rsid w:val="00850381"/>
    <w:rsid w:val="00850724"/>
    <w:rsid w:val="00850A5F"/>
    <w:rsid w:val="008518CA"/>
    <w:rsid w:val="00852611"/>
    <w:rsid w:val="00853439"/>
    <w:rsid w:val="008547DC"/>
    <w:rsid w:val="008547ED"/>
    <w:rsid w:val="00854888"/>
    <w:rsid w:val="00855967"/>
    <w:rsid w:val="00855A1A"/>
    <w:rsid w:val="00855E52"/>
    <w:rsid w:val="008569B9"/>
    <w:rsid w:val="00856E49"/>
    <w:rsid w:val="0085750B"/>
    <w:rsid w:val="008577EE"/>
    <w:rsid w:val="00857881"/>
    <w:rsid w:val="00857BD8"/>
    <w:rsid w:val="00857EC0"/>
    <w:rsid w:val="0086028B"/>
    <w:rsid w:val="00860AAB"/>
    <w:rsid w:val="0086186D"/>
    <w:rsid w:val="00861887"/>
    <w:rsid w:val="00861B04"/>
    <w:rsid w:val="008636A4"/>
    <w:rsid w:val="00863E3A"/>
    <w:rsid w:val="00865F5B"/>
    <w:rsid w:val="00866BBD"/>
    <w:rsid w:val="00866FF9"/>
    <w:rsid w:val="00867565"/>
    <w:rsid w:val="00867E2A"/>
    <w:rsid w:val="008704E7"/>
    <w:rsid w:val="00870502"/>
    <w:rsid w:val="00870688"/>
    <w:rsid w:val="00870F57"/>
    <w:rsid w:val="00871A18"/>
    <w:rsid w:val="008721F9"/>
    <w:rsid w:val="0087250D"/>
    <w:rsid w:val="008740B8"/>
    <w:rsid w:val="008741ED"/>
    <w:rsid w:val="00874C8D"/>
    <w:rsid w:val="00874F8A"/>
    <w:rsid w:val="008757A6"/>
    <w:rsid w:val="008765B2"/>
    <w:rsid w:val="0087690E"/>
    <w:rsid w:val="008769EE"/>
    <w:rsid w:val="00876B3D"/>
    <w:rsid w:val="00877039"/>
    <w:rsid w:val="0087706C"/>
    <w:rsid w:val="0087747B"/>
    <w:rsid w:val="008778B4"/>
    <w:rsid w:val="008800C6"/>
    <w:rsid w:val="008808DA"/>
    <w:rsid w:val="00880AD8"/>
    <w:rsid w:val="0088202B"/>
    <w:rsid w:val="008820FA"/>
    <w:rsid w:val="00882170"/>
    <w:rsid w:val="0088256C"/>
    <w:rsid w:val="00882C0E"/>
    <w:rsid w:val="00883132"/>
    <w:rsid w:val="0088320A"/>
    <w:rsid w:val="00883531"/>
    <w:rsid w:val="008836CE"/>
    <w:rsid w:val="00883FC1"/>
    <w:rsid w:val="0088429F"/>
    <w:rsid w:val="008845EC"/>
    <w:rsid w:val="00885695"/>
    <w:rsid w:val="00886495"/>
    <w:rsid w:val="0088698E"/>
    <w:rsid w:val="00886EF3"/>
    <w:rsid w:val="0088738C"/>
    <w:rsid w:val="00887464"/>
    <w:rsid w:val="00887AAD"/>
    <w:rsid w:val="00887C09"/>
    <w:rsid w:val="00887C67"/>
    <w:rsid w:val="00887EB9"/>
    <w:rsid w:val="00890CDA"/>
    <w:rsid w:val="00890DDC"/>
    <w:rsid w:val="008918AC"/>
    <w:rsid w:val="00891D96"/>
    <w:rsid w:val="00892196"/>
    <w:rsid w:val="00892564"/>
    <w:rsid w:val="008926CB"/>
    <w:rsid w:val="00892A4E"/>
    <w:rsid w:val="008931F7"/>
    <w:rsid w:val="0089323F"/>
    <w:rsid w:val="008936C7"/>
    <w:rsid w:val="00893F45"/>
    <w:rsid w:val="00893FFA"/>
    <w:rsid w:val="00894086"/>
    <w:rsid w:val="00894EA2"/>
    <w:rsid w:val="008961EB"/>
    <w:rsid w:val="008971D4"/>
    <w:rsid w:val="0089753F"/>
    <w:rsid w:val="008A0405"/>
    <w:rsid w:val="008A0F71"/>
    <w:rsid w:val="008A11D0"/>
    <w:rsid w:val="008A1295"/>
    <w:rsid w:val="008A1455"/>
    <w:rsid w:val="008A1B09"/>
    <w:rsid w:val="008A1F2F"/>
    <w:rsid w:val="008A21AA"/>
    <w:rsid w:val="008A2F45"/>
    <w:rsid w:val="008A3574"/>
    <w:rsid w:val="008A4186"/>
    <w:rsid w:val="008A48CC"/>
    <w:rsid w:val="008A4F5A"/>
    <w:rsid w:val="008A53ED"/>
    <w:rsid w:val="008A5A4A"/>
    <w:rsid w:val="008B039A"/>
    <w:rsid w:val="008B1001"/>
    <w:rsid w:val="008B10FE"/>
    <w:rsid w:val="008B124C"/>
    <w:rsid w:val="008B1A9F"/>
    <w:rsid w:val="008B3049"/>
    <w:rsid w:val="008B327E"/>
    <w:rsid w:val="008B4478"/>
    <w:rsid w:val="008B49AC"/>
    <w:rsid w:val="008B5B29"/>
    <w:rsid w:val="008B5CF0"/>
    <w:rsid w:val="008B6478"/>
    <w:rsid w:val="008B6B4C"/>
    <w:rsid w:val="008B7094"/>
    <w:rsid w:val="008B781D"/>
    <w:rsid w:val="008B7C6A"/>
    <w:rsid w:val="008B7F09"/>
    <w:rsid w:val="008C14DE"/>
    <w:rsid w:val="008C1ABA"/>
    <w:rsid w:val="008C22B8"/>
    <w:rsid w:val="008C25E6"/>
    <w:rsid w:val="008C2B2F"/>
    <w:rsid w:val="008C2D16"/>
    <w:rsid w:val="008C5012"/>
    <w:rsid w:val="008C525C"/>
    <w:rsid w:val="008C59A5"/>
    <w:rsid w:val="008C6162"/>
    <w:rsid w:val="008C62D7"/>
    <w:rsid w:val="008C6A4C"/>
    <w:rsid w:val="008C7108"/>
    <w:rsid w:val="008D08C1"/>
    <w:rsid w:val="008D0A37"/>
    <w:rsid w:val="008D1DCF"/>
    <w:rsid w:val="008D20C6"/>
    <w:rsid w:val="008D256A"/>
    <w:rsid w:val="008D2A78"/>
    <w:rsid w:val="008D2DB0"/>
    <w:rsid w:val="008D35CC"/>
    <w:rsid w:val="008D38F0"/>
    <w:rsid w:val="008D460D"/>
    <w:rsid w:val="008D51C9"/>
    <w:rsid w:val="008D51D2"/>
    <w:rsid w:val="008D52E8"/>
    <w:rsid w:val="008D54C4"/>
    <w:rsid w:val="008D5C6B"/>
    <w:rsid w:val="008D6F41"/>
    <w:rsid w:val="008D6F66"/>
    <w:rsid w:val="008D70D6"/>
    <w:rsid w:val="008E0549"/>
    <w:rsid w:val="008E0962"/>
    <w:rsid w:val="008E23F2"/>
    <w:rsid w:val="008E2B94"/>
    <w:rsid w:val="008E344C"/>
    <w:rsid w:val="008E35CA"/>
    <w:rsid w:val="008E35FC"/>
    <w:rsid w:val="008E36FA"/>
    <w:rsid w:val="008E37BD"/>
    <w:rsid w:val="008E504A"/>
    <w:rsid w:val="008E5173"/>
    <w:rsid w:val="008E54BF"/>
    <w:rsid w:val="008E556D"/>
    <w:rsid w:val="008E6ABC"/>
    <w:rsid w:val="008E6D84"/>
    <w:rsid w:val="008E6FE1"/>
    <w:rsid w:val="008E7F16"/>
    <w:rsid w:val="008F054D"/>
    <w:rsid w:val="008F0655"/>
    <w:rsid w:val="008F0EFD"/>
    <w:rsid w:val="008F1165"/>
    <w:rsid w:val="008F1458"/>
    <w:rsid w:val="008F1697"/>
    <w:rsid w:val="008F1CD9"/>
    <w:rsid w:val="008F2843"/>
    <w:rsid w:val="008F42B0"/>
    <w:rsid w:val="008F4AE6"/>
    <w:rsid w:val="008F5716"/>
    <w:rsid w:val="008F59EC"/>
    <w:rsid w:val="008F6837"/>
    <w:rsid w:val="008F78FB"/>
    <w:rsid w:val="008F7B7C"/>
    <w:rsid w:val="008F7F85"/>
    <w:rsid w:val="0090023E"/>
    <w:rsid w:val="0090053D"/>
    <w:rsid w:val="009008CD"/>
    <w:rsid w:val="00900B8C"/>
    <w:rsid w:val="00900D96"/>
    <w:rsid w:val="00900FEF"/>
    <w:rsid w:val="00902251"/>
    <w:rsid w:val="00902C30"/>
    <w:rsid w:val="0090312A"/>
    <w:rsid w:val="0090327F"/>
    <w:rsid w:val="00903B9F"/>
    <w:rsid w:val="00903E70"/>
    <w:rsid w:val="00903FC7"/>
    <w:rsid w:val="009050C4"/>
    <w:rsid w:val="0090553E"/>
    <w:rsid w:val="00905F4C"/>
    <w:rsid w:val="00905FC9"/>
    <w:rsid w:val="00906406"/>
    <w:rsid w:val="00906A34"/>
    <w:rsid w:val="00907391"/>
    <w:rsid w:val="00907A56"/>
    <w:rsid w:val="00907AED"/>
    <w:rsid w:val="0091008B"/>
    <w:rsid w:val="00910E3E"/>
    <w:rsid w:val="009114EA"/>
    <w:rsid w:val="0091168B"/>
    <w:rsid w:val="009120B2"/>
    <w:rsid w:val="00912767"/>
    <w:rsid w:val="00913270"/>
    <w:rsid w:val="00913724"/>
    <w:rsid w:val="00913803"/>
    <w:rsid w:val="00913E86"/>
    <w:rsid w:val="00914412"/>
    <w:rsid w:val="0091606C"/>
    <w:rsid w:val="00916968"/>
    <w:rsid w:val="00916E5C"/>
    <w:rsid w:val="00916F3B"/>
    <w:rsid w:val="00916FCD"/>
    <w:rsid w:val="00917412"/>
    <w:rsid w:val="00917B82"/>
    <w:rsid w:val="00917F53"/>
    <w:rsid w:val="00920B04"/>
    <w:rsid w:val="009226A5"/>
    <w:rsid w:val="00922735"/>
    <w:rsid w:val="00922B38"/>
    <w:rsid w:val="009241B8"/>
    <w:rsid w:val="00924FAC"/>
    <w:rsid w:val="00925A36"/>
    <w:rsid w:val="00925C05"/>
    <w:rsid w:val="00926337"/>
    <w:rsid w:val="009265D0"/>
    <w:rsid w:val="009269D1"/>
    <w:rsid w:val="00926D90"/>
    <w:rsid w:val="00927C89"/>
    <w:rsid w:val="009308D9"/>
    <w:rsid w:val="00930A68"/>
    <w:rsid w:val="009313CC"/>
    <w:rsid w:val="0093186B"/>
    <w:rsid w:val="00931FF0"/>
    <w:rsid w:val="009320E2"/>
    <w:rsid w:val="009328FC"/>
    <w:rsid w:val="00932FA8"/>
    <w:rsid w:val="009348ED"/>
    <w:rsid w:val="009352F7"/>
    <w:rsid w:val="00935BB1"/>
    <w:rsid w:val="009366AE"/>
    <w:rsid w:val="00936CAB"/>
    <w:rsid w:val="009370EA"/>
    <w:rsid w:val="009377D0"/>
    <w:rsid w:val="00937824"/>
    <w:rsid w:val="00940C2A"/>
    <w:rsid w:val="00940FB7"/>
    <w:rsid w:val="0094116B"/>
    <w:rsid w:val="00941B8B"/>
    <w:rsid w:val="00941BC5"/>
    <w:rsid w:val="00941C82"/>
    <w:rsid w:val="00941E10"/>
    <w:rsid w:val="00942BB2"/>
    <w:rsid w:val="00943444"/>
    <w:rsid w:val="009435BB"/>
    <w:rsid w:val="00944A67"/>
    <w:rsid w:val="00945629"/>
    <w:rsid w:val="00945DC9"/>
    <w:rsid w:val="009460DA"/>
    <w:rsid w:val="0094615A"/>
    <w:rsid w:val="009462AE"/>
    <w:rsid w:val="00946409"/>
    <w:rsid w:val="009465A7"/>
    <w:rsid w:val="00946F6E"/>
    <w:rsid w:val="0095068D"/>
    <w:rsid w:val="0095119C"/>
    <w:rsid w:val="00951766"/>
    <w:rsid w:val="009517DB"/>
    <w:rsid w:val="00952B4F"/>
    <w:rsid w:val="00953173"/>
    <w:rsid w:val="0095455D"/>
    <w:rsid w:val="00954EED"/>
    <w:rsid w:val="0095538B"/>
    <w:rsid w:val="00955BA6"/>
    <w:rsid w:val="00955F11"/>
    <w:rsid w:val="0095602E"/>
    <w:rsid w:val="0095662C"/>
    <w:rsid w:val="009567D9"/>
    <w:rsid w:val="009570DE"/>
    <w:rsid w:val="00957AC4"/>
    <w:rsid w:val="00957B06"/>
    <w:rsid w:val="00957FD4"/>
    <w:rsid w:val="009611F8"/>
    <w:rsid w:val="009616C4"/>
    <w:rsid w:val="009617F6"/>
    <w:rsid w:val="009628CA"/>
    <w:rsid w:val="00962DBD"/>
    <w:rsid w:val="00963096"/>
    <w:rsid w:val="009630F4"/>
    <w:rsid w:val="009631BF"/>
    <w:rsid w:val="009639B0"/>
    <w:rsid w:val="00963E72"/>
    <w:rsid w:val="00964450"/>
    <w:rsid w:val="00964593"/>
    <w:rsid w:val="00964C0B"/>
    <w:rsid w:val="00965C5E"/>
    <w:rsid w:val="00965E92"/>
    <w:rsid w:val="009663B1"/>
    <w:rsid w:val="00966A81"/>
    <w:rsid w:val="00967B93"/>
    <w:rsid w:val="00967EB3"/>
    <w:rsid w:val="0097013D"/>
    <w:rsid w:val="00970FD0"/>
    <w:rsid w:val="009733B1"/>
    <w:rsid w:val="00973731"/>
    <w:rsid w:val="009746FF"/>
    <w:rsid w:val="00974D58"/>
    <w:rsid w:val="0097673B"/>
    <w:rsid w:val="00976B07"/>
    <w:rsid w:val="009772EF"/>
    <w:rsid w:val="00977444"/>
    <w:rsid w:val="009779AB"/>
    <w:rsid w:val="00980D62"/>
    <w:rsid w:val="009812CD"/>
    <w:rsid w:val="00981614"/>
    <w:rsid w:val="00981694"/>
    <w:rsid w:val="00981F12"/>
    <w:rsid w:val="00982149"/>
    <w:rsid w:val="00982315"/>
    <w:rsid w:val="00982517"/>
    <w:rsid w:val="00982529"/>
    <w:rsid w:val="00982C7E"/>
    <w:rsid w:val="0098338C"/>
    <w:rsid w:val="00983FB6"/>
    <w:rsid w:val="009855F8"/>
    <w:rsid w:val="00986242"/>
    <w:rsid w:val="0098632F"/>
    <w:rsid w:val="00986355"/>
    <w:rsid w:val="009868A2"/>
    <w:rsid w:val="00986D31"/>
    <w:rsid w:val="00987A4B"/>
    <w:rsid w:val="00987F4E"/>
    <w:rsid w:val="009903B5"/>
    <w:rsid w:val="009906A1"/>
    <w:rsid w:val="00990D9B"/>
    <w:rsid w:val="00991060"/>
    <w:rsid w:val="00991CDE"/>
    <w:rsid w:val="00992037"/>
    <w:rsid w:val="009923B1"/>
    <w:rsid w:val="00992996"/>
    <w:rsid w:val="009938E4"/>
    <w:rsid w:val="009939E1"/>
    <w:rsid w:val="009941BB"/>
    <w:rsid w:val="00994373"/>
    <w:rsid w:val="009945B0"/>
    <w:rsid w:val="00995780"/>
    <w:rsid w:val="00996C6E"/>
    <w:rsid w:val="0099770D"/>
    <w:rsid w:val="00997CAF"/>
    <w:rsid w:val="009A019B"/>
    <w:rsid w:val="009A04B2"/>
    <w:rsid w:val="009A060E"/>
    <w:rsid w:val="009A0CCF"/>
    <w:rsid w:val="009A12F4"/>
    <w:rsid w:val="009A1677"/>
    <w:rsid w:val="009A2470"/>
    <w:rsid w:val="009A2747"/>
    <w:rsid w:val="009A38AC"/>
    <w:rsid w:val="009A3BA7"/>
    <w:rsid w:val="009A3E04"/>
    <w:rsid w:val="009A40AE"/>
    <w:rsid w:val="009A49F6"/>
    <w:rsid w:val="009A4EA1"/>
    <w:rsid w:val="009A597F"/>
    <w:rsid w:val="009A7109"/>
    <w:rsid w:val="009A7E56"/>
    <w:rsid w:val="009B002B"/>
    <w:rsid w:val="009B00A8"/>
    <w:rsid w:val="009B0C1A"/>
    <w:rsid w:val="009B1515"/>
    <w:rsid w:val="009B15BC"/>
    <w:rsid w:val="009B291E"/>
    <w:rsid w:val="009B376A"/>
    <w:rsid w:val="009B3EB9"/>
    <w:rsid w:val="009B40DE"/>
    <w:rsid w:val="009B4546"/>
    <w:rsid w:val="009B4F58"/>
    <w:rsid w:val="009B58F3"/>
    <w:rsid w:val="009B5BCE"/>
    <w:rsid w:val="009B6405"/>
    <w:rsid w:val="009B6808"/>
    <w:rsid w:val="009B6978"/>
    <w:rsid w:val="009B6E97"/>
    <w:rsid w:val="009C05A6"/>
    <w:rsid w:val="009C089B"/>
    <w:rsid w:val="009C08DB"/>
    <w:rsid w:val="009C1723"/>
    <w:rsid w:val="009C2C21"/>
    <w:rsid w:val="009C31F9"/>
    <w:rsid w:val="009C3684"/>
    <w:rsid w:val="009C3D24"/>
    <w:rsid w:val="009C40D7"/>
    <w:rsid w:val="009C4DFE"/>
    <w:rsid w:val="009C521A"/>
    <w:rsid w:val="009C5324"/>
    <w:rsid w:val="009C6668"/>
    <w:rsid w:val="009C771D"/>
    <w:rsid w:val="009D03ED"/>
    <w:rsid w:val="009D05C8"/>
    <w:rsid w:val="009D0CC8"/>
    <w:rsid w:val="009D10EE"/>
    <w:rsid w:val="009D127A"/>
    <w:rsid w:val="009D1944"/>
    <w:rsid w:val="009D2E1E"/>
    <w:rsid w:val="009D3125"/>
    <w:rsid w:val="009D3C03"/>
    <w:rsid w:val="009D4040"/>
    <w:rsid w:val="009D5611"/>
    <w:rsid w:val="009D6166"/>
    <w:rsid w:val="009D64AB"/>
    <w:rsid w:val="009D695F"/>
    <w:rsid w:val="009D7531"/>
    <w:rsid w:val="009D7552"/>
    <w:rsid w:val="009D7B93"/>
    <w:rsid w:val="009E0264"/>
    <w:rsid w:val="009E0BE7"/>
    <w:rsid w:val="009E0E32"/>
    <w:rsid w:val="009E1D4D"/>
    <w:rsid w:val="009E27EB"/>
    <w:rsid w:val="009E3B0D"/>
    <w:rsid w:val="009E3BD7"/>
    <w:rsid w:val="009E41CF"/>
    <w:rsid w:val="009E51E1"/>
    <w:rsid w:val="009E52D6"/>
    <w:rsid w:val="009E5D8D"/>
    <w:rsid w:val="009E5DDC"/>
    <w:rsid w:val="009E6464"/>
    <w:rsid w:val="009E6C41"/>
    <w:rsid w:val="009E7B63"/>
    <w:rsid w:val="009F0644"/>
    <w:rsid w:val="009F0B6C"/>
    <w:rsid w:val="009F0FEA"/>
    <w:rsid w:val="009F15AF"/>
    <w:rsid w:val="009F24AF"/>
    <w:rsid w:val="009F317C"/>
    <w:rsid w:val="009F32DD"/>
    <w:rsid w:val="009F3A64"/>
    <w:rsid w:val="009F3D18"/>
    <w:rsid w:val="009F435D"/>
    <w:rsid w:val="009F4BC3"/>
    <w:rsid w:val="009F4DAD"/>
    <w:rsid w:val="009F559B"/>
    <w:rsid w:val="009F5728"/>
    <w:rsid w:val="009F63F9"/>
    <w:rsid w:val="009F68B8"/>
    <w:rsid w:val="009F69DB"/>
    <w:rsid w:val="009F71B0"/>
    <w:rsid w:val="009F7389"/>
    <w:rsid w:val="009F7726"/>
    <w:rsid w:val="009F7947"/>
    <w:rsid w:val="00A000EB"/>
    <w:rsid w:val="00A00888"/>
    <w:rsid w:val="00A00FF7"/>
    <w:rsid w:val="00A018D9"/>
    <w:rsid w:val="00A01F0C"/>
    <w:rsid w:val="00A04D8A"/>
    <w:rsid w:val="00A05819"/>
    <w:rsid w:val="00A061A3"/>
    <w:rsid w:val="00A062C8"/>
    <w:rsid w:val="00A066C5"/>
    <w:rsid w:val="00A0738D"/>
    <w:rsid w:val="00A102D7"/>
    <w:rsid w:val="00A10305"/>
    <w:rsid w:val="00A10509"/>
    <w:rsid w:val="00A10E9F"/>
    <w:rsid w:val="00A115B2"/>
    <w:rsid w:val="00A12499"/>
    <w:rsid w:val="00A126BD"/>
    <w:rsid w:val="00A136BB"/>
    <w:rsid w:val="00A13DCC"/>
    <w:rsid w:val="00A14751"/>
    <w:rsid w:val="00A14F7C"/>
    <w:rsid w:val="00A150E5"/>
    <w:rsid w:val="00A15443"/>
    <w:rsid w:val="00A1567A"/>
    <w:rsid w:val="00A160AC"/>
    <w:rsid w:val="00A16725"/>
    <w:rsid w:val="00A16B01"/>
    <w:rsid w:val="00A16B4C"/>
    <w:rsid w:val="00A2001A"/>
    <w:rsid w:val="00A20490"/>
    <w:rsid w:val="00A20834"/>
    <w:rsid w:val="00A20A3E"/>
    <w:rsid w:val="00A20BFB"/>
    <w:rsid w:val="00A2101A"/>
    <w:rsid w:val="00A21A59"/>
    <w:rsid w:val="00A21AFB"/>
    <w:rsid w:val="00A220F0"/>
    <w:rsid w:val="00A221C1"/>
    <w:rsid w:val="00A2236F"/>
    <w:rsid w:val="00A227E0"/>
    <w:rsid w:val="00A22940"/>
    <w:rsid w:val="00A23596"/>
    <w:rsid w:val="00A23E61"/>
    <w:rsid w:val="00A24662"/>
    <w:rsid w:val="00A248E9"/>
    <w:rsid w:val="00A2499C"/>
    <w:rsid w:val="00A24ACD"/>
    <w:rsid w:val="00A24BD6"/>
    <w:rsid w:val="00A24C30"/>
    <w:rsid w:val="00A24CB9"/>
    <w:rsid w:val="00A252BE"/>
    <w:rsid w:val="00A25481"/>
    <w:rsid w:val="00A2630E"/>
    <w:rsid w:val="00A277B9"/>
    <w:rsid w:val="00A277EA"/>
    <w:rsid w:val="00A278E1"/>
    <w:rsid w:val="00A27C05"/>
    <w:rsid w:val="00A27C65"/>
    <w:rsid w:val="00A31925"/>
    <w:rsid w:val="00A31E29"/>
    <w:rsid w:val="00A32036"/>
    <w:rsid w:val="00A32F40"/>
    <w:rsid w:val="00A337C8"/>
    <w:rsid w:val="00A3417F"/>
    <w:rsid w:val="00A34631"/>
    <w:rsid w:val="00A34E5C"/>
    <w:rsid w:val="00A350D6"/>
    <w:rsid w:val="00A35E04"/>
    <w:rsid w:val="00A36895"/>
    <w:rsid w:val="00A3738D"/>
    <w:rsid w:val="00A40187"/>
    <w:rsid w:val="00A4064C"/>
    <w:rsid w:val="00A4082D"/>
    <w:rsid w:val="00A40BF5"/>
    <w:rsid w:val="00A41225"/>
    <w:rsid w:val="00A4139A"/>
    <w:rsid w:val="00A41541"/>
    <w:rsid w:val="00A41619"/>
    <w:rsid w:val="00A417BE"/>
    <w:rsid w:val="00A41964"/>
    <w:rsid w:val="00A4205E"/>
    <w:rsid w:val="00A425CC"/>
    <w:rsid w:val="00A42BED"/>
    <w:rsid w:val="00A42E04"/>
    <w:rsid w:val="00A438D3"/>
    <w:rsid w:val="00A445D7"/>
    <w:rsid w:val="00A45029"/>
    <w:rsid w:val="00A45B2C"/>
    <w:rsid w:val="00A467C6"/>
    <w:rsid w:val="00A4758E"/>
    <w:rsid w:val="00A4786A"/>
    <w:rsid w:val="00A47B25"/>
    <w:rsid w:val="00A47C7A"/>
    <w:rsid w:val="00A50058"/>
    <w:rsid w:val="00A503F9"/>
    <w:rsid w:val="00A50D00"/>
    <w:rsid w:val="00A50F3C"/>
    <w:rsid w:val="00A51D29"/>
    <w:rsid w:val="00A52579"/>
    <w:rsid w:val="00A52707"/>
    <w:rsid w:val="00A532B4"/>
    <w:rsid w:val="00A534C9"/>
    <w:rsid w:val="00A5384F"/>
    <w:rsid w:val="00A53B0D"/>
    <w:rsid w:val="00A545AB"/>
    <w:rsid w:val="00A54C8A"/>
    <w:rsid w:val="00A550D3"/>
    <w:rsid w:val="00A55FD6"/>
    <w:rsid w:val="00A562D3"/>
    <w:rsid w:val="00A568AD"/>
    <w:rsid w:val="00A574EA"/>
    <w:rsid w:val="00A5778E"/>
    <w:rsid w:val="00A57D01"/>
    <w:rsid w:val="00A602A8"/>
    <w:rsid w:val="00A610F9"/>
    <w:rsid w:val="00A61AA4"/>
    <w:rsid w:val="00A62157"/>
    <w:rsid w:val="00A62440"/>
    <w:rsid w:val="00A62588"/>
    <w:rsid w:val="00A628DC"/>
    <w:rsid w:val="00A63B11"/>
    <w:rsid w:val="00A64509"/>
    <w:rsid w:val="00A64B62"/>
    <w:rsid w:val="00A65759"/>
    <w:rsid w:val="00A65B40"/>
    <w:rsid w:val="00A66E43"/>
    <w:rsid w:val="00A678F2"/>
    <w:rsid w:val="00A701FE"/>
    <w:rsid w:val="00A7089A"/>
    <w:rsid w:val="00A70B91"/>
    <w:rsid w:val="00A711AA"/>
    <w:rsid w:val="00A71779"/>
    <w:rsid w:val="00A71ACF"/>
    <w:rsid w:val="00A72D08"/>
    <w:rsid w:val="00A72F58"/>
    <w:rsid w:val="00A7373D"/>
    <w:rsid w:val="00A73BB9"/>
    <w:rsid w:val="00A73C38"/>
    <w:rsid w:val="00A73C4D"/>
    <w:rsid w:val="00A74441"/>
    <w:rsid w:val="00A74A4B"/>
    <w:rsid w:val="00A74FD0"/>
    <w:rsid w:val="00A758FA"/>
    <w:rsid w:val="00A75C06"/>
    <w:rsid w:val="00A7657F"/>
    <w:rsid w:val="00A7787D"/>
    <w:rsid w:val="00A77F5A"/>
    <w:rsid w:val="00A80025"/>
    <w:rsid w:val="00A807AD"/>
    <w:rsid w:val="00A809BA"/>
    <w:rsid w:val="00A8157E"/>
    <w:rsid w:val="00A81888"/>
    <w:rsid w:val="00A81F1E"/>
    <w:rsid w:val="00A823BA"/>
    <w:rsid w:val="00A84670"/>
    <w:rsid w:val="00A852A7"/>
    <w:rsid w:val="00A85696"/>
    <w:rsid w:val="00A8590D"/>
    <w:rsid w:val="00A86101"/>
    <w:rsid w:val="00A866EA"/>
    <w:rsid w:val="00A868D5"/>
    <w:rsid w:val="00A86901"/>
    <w:rsid w:val="00A871BD"/>
    <w:rsid w:val="00A8754F"/>
    <w:rsid w:val="00A8772C"/>
    <w:rsid w:val="00A87868"/>
    <w:rsid w:val="00A87AA0"/>
    <w:rsid w:val="00A9020E"/>
    <w:rsid w:val="00A91A0D"/>
    <w:rsid w:val="00A92506"/>
    <w:rsid w:val="00A9342B"/>
    <w:rsid w:val="00A93567"/>
    <w:rsid w:val="00A93ED4"/>
    <w:rsid w:val="00A9415D"/>
    <w:rsid w:val="00A9426D"/>
    <w:rsid w:val="00A954F9"/>
    <w:rsid w:val="00A965F1"/>
    <w:rsid w:val="00A974A9"/>
    <w:rsid w:val="00A97B62"/>
    <w:rsid w:val="00AA0883"/>
    <w:rsid w:val="00AA0E93"/>
    <w:rsid w:val="00AA0F28"/>
    <w:rsid w:val="00AA2137"/>
    <w:rsid w:val="00AA2C6A"/>
    <w:rsid w:val="00AA536F"/>
    <w:rsid w:val="00AA5ACF"/>
    <w:rsid w:val="00AA6910"/>
    <w:rsid w:val="00AB0D9A"/>
    <w:rsid w:val="00AB0DF4"/>
    <w:rsid w:val="00AB1C36"/>
    <w:rsid w:val="00AB20E5"/>
    <w:rsid w:val="00AB2747"/>
    <w:rsid w:val="00AB2F0E"/>
    <w:rsid w:val="00AB354D"/>
    <w:rsid w:val="00AB3B4A"/>
    <w:rsid w:val="00AB40B5"/>
    <w:rsid w:val="00AB4515"/>
    <w:rsid w:val="00AB604D"/>
    <w:rsid w:val="00AB67A0"/>
    <w:rsid w:val="00AB69EE"/>
    <w:rsid w:val="00AB6D63"/>
    <w:rsid w:val="00AB7B84"/>
    <w:rsid w:val="00AB7C18"/>
    <w:rsid w:val="00AC04A0"/>
    <w:rsid w:val="00AC16FB"/>
    <w:rsid w:val="00AC37DD"/>
    <w:rsid w:val="00AC3FC6"/>
    <w:rsid w:val="00AC3FF4"/>
    <w:rsid w:val="00AC458C"/>
    <w:rsid w:val="00AC479F"/>
    <w:rsid w:val="00AC638A"/>
    <w:rsid w:val="00AC6DF7"/>
    <w:rsid w:val="00AC6EDB"/>
    <w:rsid w:val="00AD02D6"/>
    <w:rsid w:val="00AD033B"/>
    <w:rsid w:val="00AD1DCE"/>
    <w:rsid w:val="00AD3147"/>
    <w:rsid w:val="00AD3730"/>
    <w:rsid w:val="00AD3876"/>
    <w:rsid w:val="00AD3D73"/>
    <w:rsid w:val="00AD4838"/>
    <w:rsid w:val="00AD4B90"/>
    <w:rsid w:val="00AD527F"/>
    <w:rsid w:val="00AD575D"/>
    <w:rsid w:val="00AD60D6"/>
    <w:rsid w:val="00AD619E"/>
    <w:rsid w:val="00AD7FB7"/>
    <w:rsid w:val="00AE079B"/>
    <w:rsid w:val="00AE0BE2"/>
    <w:rsid w:val="00AE1748"/>
    <w:rsid w:val="00AE17AA"/>
    <w:rsid w:val="00AE1C3C"/>
    <w:rsid w:val="00AE316D"/>
    <w:rsid w:val="00AE328C"/>
    <w:rsid w:val="00AE3E3E"/>
    <w:rsid w:val="00AE4B27"/>
    <w:rsid w:val="00AE4EEA"/>
    <w:rsid w:val="00AE4FA6"/>
    <w:rsid w:val="00AE54D2"/>
    <w:rsid w:val="00AE5658"/>
    <w:rsid w:val="00AE621F"/>
    <w:rsid w:val="00AE6A4D"/>
    <w:rsid w:val="00AE761B"/>
    <w:rsid w:val="00AE7A78"/>
    <w:rsid w:val="00AE7B50"/>
    <w:rsid w:val="00AF0AE7"/>
    <w:rsid w:val="00AF11AE"/>
    <w:rsid w:val="00AF15AA"/>
    <w:rsid w:val="00AF1A2F"/>
    <w:rsid w:val="00AF2064"/>
    <w:rsid w:val="00AF28CC"/>
    <w:rsid w:val="00AF28FB"/>
    <w:rsid w:val="00AF332A"/>
    <w:rsid w:val="00AF3698"/>
    <w:rsid w:val="00AF4542"/>
    <w:rsid w:val="00AF49C2"/>
    <w:rsid w:val="00AF630C"/>
    <w:rsid w:val="00AF6A25"/>
    <w:rsid w:val="00AF6D54"/>
    <w:rsid w:val="00AF6D61"/>
    <w:rsid w:val="00AF7563"/>
    <w:rsid w:val="00B00BC5"/>
    <w:rsid w:val="00B01BD0"/>
    <w:rsid w:val="00B01EC2"/>
    <w:rsid w:val="00B028A8"/>
    <w:rsid w:val="00B02F12"/>
    <w:rsid w:val="00B02FAF"/>
    <w:rsid w:val="00B03303"/>
    <w:rsid w:val="00B04ADF"/>
    <w:rsid w:val="00B04B63"/>
    <w:rsid w:val="00B04D66"/>
    <w:rsid w:val="00B053AA"/>
    <w:rsid w:val="00B0557F"/>
    <w:rsid w:val="00B0587E"/>
    <w:rsid w:val="00B060A2"/>
    <w:rsid w:val="00B061A0"/>
    <w:rsid w:val="00B0660A"/>
    <w:rsid w:val="00B06B9C"/>
    <w:rsid w:val="00B07339"/>
    <w:rsid w:val="00B10B3C"/>
    <w:rsid w:val="00B124D5"/>
    <w:rsid w:val="00B12865"/>
    <w:rsid w:val="00B131A3"/>
    <w:rsid w:val="00B13549"/>
    <w:rsid w:val="00B13702"/>
    <w:rsid w:val="00B13A58"/>
    <w:rsid w:val="00B1421E"/>
    <w:rsid w:val="00B14B86"/>
    <w:rsid w:val="00B153AF"/>
    <w:rsid w:val="00B16B85"/>
    <w:rsid w:val="00B16DB2"/>
    <w:rsid w:val="00B17B37"/>
    <w:rsid w:val="00B17C1D"/>
    <w:rsid w:val="00B17D1A"/>
    <w:rsid w:val="00B200BB"/>
    <w:rsid w:val="00B21121"/>
    <w:rsid w:val="00B211C3"/>
    <w:rsid w:val="00B221E0"/>
    <w:rsid w:val="00B2252F"/>
    <w:rsid w:val="00B22F1D"/>
    <w:rsid w:val="00B231B6"/>
    <w:rsid w:val="00B23409"/>
    <w:rsid w:val="00B23734"/>
    <w:rsid w:val="00B2490E"/>
    <w:rsid w:val="00B24A15"/>
    <w:rsid w:val="00B25F46"/>
    <w:rsid w:val="00B26004"/>
    <w:rsid w:val="00B26589"/>
    <w:rsid w:val="00B26A82"/>
    <w:rsid w:val="00B26B16"/>
    <w:rsid w:val="00B2715D"/>
    <w:rsid w:val="00B2727C"/>
    <w:rsid w:val="00B27CCD"/>
    <w:rsid w:val="00B30AF4"/>
    <w:rsid w:val="00B30D22"/>
    <w:rsid w:val="00B3185C"/>
    <w:rsid w:val="00B3197D"/>
    <w:rsid w:val="00B31DEE"/>
    <w:rsid w:val="00B31F1F"/>
    <w:rsid w:val="00B32D71"/>
    <w:rsid w:val="00B32E89"/>
    <w:rsid w:val="00B342B5"/>
    <w:rsid w:val="00B34871"/>
    <w:rsid w:val="00B3516F"/>
    <w:rsid w:val="00B354C1"/>
    <w:rsid w:val="00B359D4"/>
    <w:rsid w:val="00B3623B"/>
    <w:rsid w:val="00B36D21"/>
    <w:rsid w:val="00B36E32"/>
    <w:rsid w:val="00B3731B"/>
    <w:rsid w:val="00B37528"/>
    <w:rsid w:val="00B37856"/>
    <w:rsid w:val="00B37F78"/>
    <w:rsid w:val="00B400B3"/>
    <w:rsid w:val="00B413FD"/>
    <w:rsid w:val="00B41C4A"/>
    <w:rsid w:val="00B41D95"/>
    <w:rsid w:val="00B41EC7"/>
    <w:rsid w:val="00B429CC"/>
    <w:rsid w:val="00B43273"/>
    <w:rsid w:val="00B43F92"/>
    <w:rsid w:val="00B44F18"/>
    <w:rsid w:val="00B45B7B"/>
    <w:rsid w:val="00B45CF9"/>
    <w:rsid w:val="00B469D8"/>
    <w:rsid w:val="00B46B74"/>
    <w:rsid w:val="00B47657"/>
    <w:rsid w:val="00B47831"/>
    <w:rsid w:val="00B47C82"/>
    <w:rsid w:val="00B514EF"/>
    <w:rsid w:val="00B51A49"/>
    <w:rsid w:val="00B52399"/>
    <w:rsid w:val="00B52FDF"/>
    <w:rsid w:val="00B53F59"/>
    <w:rsid w:val="00B54160"/>
    <w:rsid w:val="00B54DD7"/>
    <w:rsid w:val="00B559C8"/>
    <w:rsid w:val="00B5602B"/>
    <w:rsid w:val="00B573A1"/>
    <w:rsid w:val="00B5769F"/>
    <w:rsid w:val="00B6034E"/>
    <w:rsid w:val="00B605B3"/>
    <w:rsid w:val="00B6155D"/>
    <w:rsid w:val="00B61F26"/>
    <w:rsid w:val="00B62242"/>
    <w:rsid w:val="00B62290"/>
    <w:rsid w:val="00B629E8"/>
    <w:rsid w:val="00B62D0F"/>
    <w:rsid w:val="00B63294"/>
    <w:rsid w:val="00B638B9"/>
    <w:rsid w:val="00B63B1A"/>
    <w:rsid w:val="00B65850"/>
    <w:rsid w:val="00B659C5"/>
    <w:rsid w:val="00B67843"/>
    <w:rsid w:val="00B67A47"/>
    <w:rsid w:val="00B70ACF"/>
    <w:rsid w:val="00B71CE3"/>
    <w:rsid w:val="00B71E29"/>
    <w:rsid w:val="00B72115"/>
    <w:rsid w:val="00B7326C"/>
    <w:rsid w:val="00B75604"/>
    <w:rsid w:val="00B775E4"/>
    <w:rsid w:val="00B80911"/>
    <w:rsid w:val="00B81307"/>
    <w:rsid w:val="00B82456"/>
    <w:rsid w:val="00B8283C"/>
    <w:rsid w:val="00B8381A"/>
    <w:rsid w:val="00B84703"/>
    <w:rsid w:val="00B85A62"/>
    <w:rsid w:val="00B8657C"/>
    <w:rsid w:val="00B86D33"/>
    <w:rsid w:val="00B87923"/>
    <w:rsid w:val="00B9073D"/>
    <w:rsid w:val="00B9084D"/>
    <w:rsid w:val="00B9091A"/>
    <w:rsid w:val="00B90B18"/>
    <w:rsid w:val="00B915ED"/>
    <w:rsid w:val="00B916B9"/>
    <w:rsid w:val="00B918E5"/>
    <w:rsid w:val="00B91F40"/>
    <w:rsid w:val="00B92051"/>
    <w:rsid w:val="00B92088"/>
    <w:rsid w:val="00B9269C"/>
    <w:rsid w:val="00B92A77"/>
    <w:rsid w:val="00B92BC9"/>
    <w:rsid w:val="00B93108"/>
    <w:rsid w:val="00B93474"/>
    <w:rsid w:val="00B939CB"/>
    <w:rsid w:val="00B93F9D"/>
    <w:rsid w:val="00B95B62"/>
    <w:rsid w:val="00B9619A"/>
    <w:rsid w:val="00B9678A"/>
    <w:rsid w:val="00B96C3D"/>
    <w:rsid w:val="00B96DE3"/>
    <w:rsid w:val="00B971D6"/>
    <w:rsid w:val="00B972E9"/>
    <w:rsid w:val="00BA01F7"/>
    <w:rsid w:val="00BA0480"/>
    <w:rsid w:val="00BA09B9"/>
    <w:rsid w:val="00BA116F"/>
    <w:rsid w:val="00BA13E6"/>
    <w:rsid w:val="00BA184F"/>
    <w:rsid w:val="00BA1C0D"/>
    <w:rsid w:val="00BA208C"/>
    <w:rsid w:val="00BA2A6D"/>
    <w:rsid w:val="00BA3728"/>
    <w:rsid w:val="00BA3A91"/>
    <w:rsid w:val="00BA3B1D"/>
    <w:rsid w:val="00BA3CF5"/>
    <w:rsid w:val="00BA3E20"/>
    <w:rsid w:val="00BA40CE"/>
    <w:rsid w:val="00BA4502"/>
    <w:rsid w:val="00BA4C9A"/>
    <w:rsid w:val="00BA4E9F"/>
    <w:rsid w:val="00BA50F3"/>
    <w:rsid w:val="00BA739B"/>
    <w:rsid w:val="00BB25E0"/>
    <w:rsid w:val="00BB3193"/>
    <w:rsid w:val="00BB4BE9"/>
    <w:rsid w:val="00BB65D1"/>
    <w:rsid w:val="00BB71FC"/>
    <w:rsid w:val="00BB7E32"/>
    <w:rsid w:val="00BC07F7"/>
    <w:rsid w:val="00BC18B6"/>
    <w:rsid w:val="00BC2298"/>
    <w:rsid w:val="00BC29AE"/>
    <w:rsid w:val="00BC3EF0"/>
    <w:rsid w:val="00BC4D7E"/>
    <w:rsid w:val="00BC561D"/>
    <w:rsid w:val="00BC569D"/>
    <w:rsid w:val="00BC5766"/>
    <w:rsid w:val="00BC769C"/>
    <w:rsid w:val="00BD0B86"/>
    <w:rsid w:val="00BD0EEB"/>
    <w:rsid w:val="00BD103A"/>
    <w:rsid w:val="00BD1865"/>
    <w:rsid w:val="00BD1B1E"/>
    <w:rsid w:val="00BD227C"/>
    <w:rsid w:val="00BD2881"/>
    <w:rsid w:val="00BD32C1"/>
    <w:rsid w:val="00BD333B"/>
    <w:rsid w:val="00BD3C5E"/>
    <w:rsid w:val="00BD47E6"/>
    <w:rsid w:val="00BD5C33"/>
    <w:rsid w:val="00BD5D4D"/>
    <w:rsid w:val="00BD6658"/>
    <w:rsid w:val="00BD6C3F"/>
    <w:rsid w:val="00BD6E02"/>
    <w:rsid w:val="00BD70D1"/>
    <w:rsid w:val="00BD70EC"/>
    <w:rsid w:val="00BD744E"/>
    <w:rsid w:val="00BD78D4"/>
    <w:rsid w:val="00BD7A6E"/>
    <w:rsid w:val="00BD7C07"/>
    <w:rsid w:val="00BD7DAB"/>
    <w:rsid w:val="00BE0A92"/>
    <w:rsid w:val="00BE0CF2"/>
    <w:rsid w:val="00BE1888"/>
    <w:rsid w:val="00BE2DE5"/>
    <w:rsid w:val="00BE3477"/>
    <w:rsid w:val="00BE3BF7"/>
    <w:rsid w:val="00BE3BFA"/>
    <w:rsid w:val="00BE3D67"/>
    <w:rsid w:val="00BE3F09"/>
    <w:rsid w:val="00BE4595"/>
    <w:rsid w:val="00BE53F9"/>
    <w:rsid w:val="00BE6101"/>
    <w:rsid w:val="00BE6565"/>
    <w:rsid w:val="00BE6696"/>
    <w:rsid w:val="00BE6729"/>
    <w:rsid w:val="00BE6BA2"/>
    <w:rsid w:val="00BE6D0B"/>
    <w:rsid w:val="00BE6F3F"/>
    <w:rsid w:val="00BE71A7"/>
    <w:rsid w:val="00BE743D"/>
    <w:rsid w:val="00BE7DE7"/>
    <w:rsid w:val="00BF0B15"/>
    <w:rsid w:val="00BF1E64"/>
    <w:rsid w:val="00BF21B4"/>
    <w:rsid w:val="00BF21C9"/>
    <w:rsid w:val="00BF22A4"/>
    <w:rsid w:val="00BF3082"/>
    <w:rsid w:val="00BF37E6"/>
    <w:rsid w:val="00BF4527"/>
    <w:rsid w:val="00BF45EE"/>
    <w:rsid w:val="00BF75A8"/>
    <w:rsid w:val="00C0016C"/>
    <w:rsid w:val="00C006C3"/>
    <w:rsid w:val="00C00968"/>
    <w:rsid w:val="00C0097C"/>
    <w:rsid w:val="00C0160A"/>
    <w:rsid w:val="00C01AC5"/>
    <w:rsid w:val="00C02093"/>
    <w:rsid w:val="00C024DC"/>
    <w:rsid w:val="00C03C40"/>
    <w:rsid w:val="00C03F14"/>
    <w:rsid w:val="00C040BE"/>
    <w:rsid w:val="00C04E08"/>
    <w:rsid w:val="00C05105"/>
    <w:rsid w:val="00C051B8"/>
    <w:rsid w:val="00C06AE5"/>
    <w:rsid w:val="00C075C3"/>
    <w:rsid w:val="00C113C4"/>
    <w:rsid w:val="00C11ADD"/>
    <w:rsid w:val="00C11EEA"/>
    <w:rsid w:val="00C1244A"/>
    <w:rsid w:val="00C126F3"/>
    <w:rsid w:val="00C12C48"/>
    <w:rsid w:val="00C13387"/>
    <w:rsid w:val="00C142F8"/>
    <w:rsid w:val="00C15B9E"/>
    <w:rsid w:val="00C171AB"/>
    <w:rsid w:val="00C176EC"/>
    <w:rsid w:val="00C17D55"/>
    <w:rsid w:val="00C17EDD"/>
    <w:rsid w:val="00C206A1"/>
    <w:rsid w:val="00C2099E"/>
    <w:rsid w:val="00C20F23"/>
    <w:rsid w:val="00C21441"/>
    <w:rsid w:val="00C217A3"/>
    <w:rsid w:val="00C21B02"/>
    <w:rsid w:val="00C22322"/>
    <w:rsid w:val="00C228E6"/>
    <w:rsid w:val="00C22E8F"/>
    <w:rsid w:val="00C22F45"/>
    <w:rsid w:val="00C231B2"/>
    <w:rsid w:val="00C243EA"/>
    <w:rsid w:val="00C2475E"/>
    <w:rsid w:val="00C24D50"/>
    <w:rsid w:val="00C24FF4"/>
    <w:rsid w:val="00C25C31"/>
    <w:rsid w:val="00C2640B"/>
    <w:rsid w:val="00C264AB"/>
    <w:rsid w:val="00C26879"/>
    <w:rsid w:val="00C27861"/>
    <w:rsid w:val="00C27E14"/>
    <w:rsid w:val="00C30182"/>
    <w:rsid w:val="00C30880"/>
    <w:rsid w:val="00C30AF4"/>
    <w:rsid w:val="00C31733"/>
    <w:rsid w:val="00C3186C"/>
    <w:rsid w:val="00C31A8E"/>
    <w:rsid w:val="00C31DCE"/>
    <w:rsid w:val="00C31E16"/>
    <w:rsid w:val="00C32623"/>
    <w:rsid w:val="00C33E2E"/>
    <w:rsid w:val="00C33EAA"/>
    <w:rsid w:val="00C34D5D"/>
    <w:rsid w:val="00C34FAD"/>
    <w:rsid w:val="00C35A5A"/>
    <w:rsid w:val="00C36206"/>
    <w:rsid w:val="00C377B4"/>
    <w:rsid w:val="00C37BF1"/>
    <w:rsid w:val="00C37CA1"/>
    <w:rsid w:val="00C4045F"/>
    <w:rsid w:val="00C40C7A"/>
    <w:rsid w:val="00C411D7"/>
    <w:rsid w:val="00C41333"/>
    <w:rsid w:val="00C413AD"/>
    <w:rsid w:val="00C425B1"/>
    <w:rsid w:val="00C42BBE"/>
    <w:rsid w:val="00C4329E"/>
    <w:rsid w:val="00C444DC"/>
    <w:rsid w:val="00C44D20"/>
    <w:rsid w:val="00C4500E"/>
    <w:rsid w:val="00C45709"/>
    <w:rsid w:val="00C4592B"/>
    <w:rsid w:val="00C45D1D"/>
    <w:rsid w:val="00C45F73"/>
    <w:rsid w:val="00C46F08"/>
    <w:rsid w:val="00C50394"/>
    <w:rsid w:val="00C51A15"/>
    <w:rsid w:val="00C52FCD"/>
    <w:rsid w:val="00C53AF5"/>
    <w:rsid w:val="00C53C2E"/>
    <w:rsid w:val="00C53DE3"/>
    <w:rsid w:val="00C54DE4"/>
    <w:rsid w:val="00C55117"/>
    <w:rsid w:val="00C55447"/>
    <w:rsid w:val="00C55542"/>
    <w:rsid w:val="00C5602C"/>
    <w:rsid w:val="00C600BA"/>
    <w:rsid w:val="00C6059C"/>
    <w:rsid w:val="00C61439"/>
    <w:rsid w:val="00C61931"/>
    <w:rsid w:val="00C61F1D"/>
    <w:rsid w:val="00C61FFB"/>
    <w:rsid w:val="00C6209F"/>
    <w:rsid w:val="00C622A7"/>
    <w:rsid w:val="00C62B35"/>
    <w:rsid w:val="00C62D16"/>
    <w:rsid w:val="00C63295"/>
    <w:rsid w:val="00C63D84"/>
    <w:rsid w:val="00C6446D"/>
    <w:rsid w:val="00C64DA6"/>
    <w:rsid w:val="00C64EC2"/>
    <w:rsid w:val="00C65FB8"/>
    <w:rsid w:val="00C66601"/>
    <w:rsid w:val="00C66A77"/>
    <w:rsid w:val="00C66B80"/>
    <w:rsid w:val="00C66EC0"/>
    <w:rsid w:val="00C67265"/>
    <w:rsid w:val="00C7031A"/>
    <w:rsid w:val="00C70D45"/>
    <w:rsid w:val="00C70FC6"/>
    <w:rsid w:val="00C713A9"/>
    <w:rsid w:val="00C734B4"/>
    <w:rsid w:val="00C7491E"/>
    <w:rsid w:val="00C75283"/>
    <w:rsid w:val="00C7573C"/>
    <w:rsid w:val="00C75F1A"/>
    <w:rsid w:val="00C76DF8"/>
    <w:rsid w:val="00C77B76"/>
    <w:rsid w:val="00C77D17"/>
    <w:rsid w:val="00C8052C"/>
    <w:rsid w:val="00C80786"/>
    <w:rsid w:val="00C80EAE"/>
    <w:rsid w:val="00C82041"/>
    <w:rsid w:val="00C82C8F"/>
    <w:rsid w:val="00C82D5C"/>
    <w:rsid w:val="00C8347B"/>
    <w:rsid w:val="00C836B7"/>
    <w:rsid w:val="00C841CD"/>
    <w:rsid w:val="00C84462"/>
    <w:rsid w:val="00C84708"/>
    <w:rsid w:val="00C84F3F"/>
    <w:rsid w:val="00C850DF"/>
    <w:rsid w:val="00C85389"/>
    <w:rsid w:val="00C85390"/>
    <w:rsid w:val="00C85F19"/>
    <w:rsid w:val="00C8687C"/>
    <w:rsid w:val="00C86EE2"/>
    <w:rsid w:val="00C87733"/>
    <w:rsid w:val="00C87A9C"/>
    <w:rsid w:val="00C906D9"/>
    <w:rsid w:val="00C91185"/>
    <w:rsid w:val="00C9135B"/>
    <w:rsid w:val="00C91B48"/>
    <w:rsid w:val="00C91D33"/>
    <w:rsid w:val="00C91DD3"/>
    <w:rsid w:val="00C9330D"/>
    <w:rsid w:val="00C93720"/>
    <w:rsid w:val="00C93763"/>
    <w:rsid w:val="00C93895"/>
    <w:rsid w:val="00C93E13"/>
    <w:rsid w:val="00C95312"/>
    <w:rsid w:val="00C958D5"/>
    <w:rsid w:val="00C95A57"/>
    <w:rsid w:val="00C96046"/>
    <w:rsid w:val="00C96499"/>
    <w:rsid w:val="00C9711E"/>
    <w:rsid w:val="00C97EC4"/>
    <w:rsid w:val="00C97F13"/>
    <w:rsid w:val="00C97FEC"/>
    <w:rsid w:val="00CA0094"/>
    <w:rsid w:val="00CA0A97"/>
    <w:rsid w:val="00CA0A9C"/>
    <w:rsid w:val="00CA13DC"/>
    <w:rsid w:val="00CA18C3"/>
    <w:rsid w:val="00CA1FF6"/>
    <w:rsid w:val="00CA210A"/>
    <w:rsid w:val="00CA2332"/>
    <w:rsid w:val="00CA3753"/>
    <w:rsid w:val="00CA6867"/>
    <w:rsid w:val="00CA6AC9"/>
    <w:rsid w:val="00CA7543"/>
    <w:rsid w:val="00CB0636"/>
    <w:rsid w:val="00CB07C9"/>
    <w:rsid w:val="00CB10BF"/>
    <w:rsid w:val="00CB26D2"/>
    <w:rsid w:val="00CB34F8"/>
    <w:rsid w:val="00CB386C"/>
    <w:rsid w:val="00CB39A8"/>
    <w:rsid w:val="00CB3ABE"/>
    <w:rsid w:val="00CB5280"/>
    <w:rsid w:val="00CB582F"/>
    <w:rsid w:val="00CB5F4B"/>
    <w:rsid w:val="00CB63EF"/>
    <w:rsid w:val="00CB6CCC"/>
    <w:rsid w:val="00CB7023"/>
    <w:rsid w:val="00CB79F7"/>
    <w:rsid w:val="00CC0044"/>
    <w:rsid w:val="00CC07E3"/>
    <w:rsid w:val="00CC07F7"/>
    <w:rsid w:val="00CC08F1"/>
    <w:rsid w:val="00CC0AA1"/>
    <w:rsid w:val="00CC0F7D"/>
    <w:rsid w:val="00CC124E"/>
    <w:rsid w:val="00CC1941"/>
    <w:rsid w:val="00CC1C67"/>
    <w:rsid w:val="00CC200F"/>
    <w:rsid w:val="00CC3662"/>
    <w:rsid w:val="00CC3C81"/>
    <w:rsid w:val="00CC434B"/>
    <w:rsid w:val="00CC4532"/>
    <w:rsid w:val="00CC4608"/>
    <w:rsid w:val="00CC528E"/>
    <w:rsid w:val="00CC570F"/>
    <w:rsid w:val="00CC5818"/>
    <w:rsid w:val="00CC5B1E"/>
    <w:rsid w:val="00CC6CE7"/>
    <w:rsid w:val="00CC765A"/>
    <w:rsid w:val="00CC76BD"/>
    <w:rsid w:val="00CD01D6"/>
    <w:rsid w:val="00CD08E8"/>
    <w:rsid w:val="00CD0AF5"/>
    <w:rsid w:val="00CD0F5F"/>
    <w:rsid w:val="00CD16DA"/>
    <w:rsid w:val="00CD19F1"/>
    <w:rsid w:val="00CD20C2"/>
    <w:rsid w:val="00CD271E"/>
    <w:rsid w:val="00CD2C6E"/>
    <w:rsid w:val="00CD3856"/>
    <w:rsid w:val="00CD5B52"/>
    <w:rsid w:val="00CD5C22"/>
    <w:rsid w:val="00CD5D74"/>
    <w:rsid w:val="00CD6E89"/>
    <w:rsid w:val="00CD75AD"/>
    <w:rsid w:val="00CD7EF8"/>
    <w:rsid w:val="00CE00DB"/>
    <w:rsid w:val="00CE1828"/>
    <w:rsid w:val="00CE1C4B"/>
    <w:rsid w:val="00CE20CB"/>
    <w:rsid w:val="00CE2296"/>
    <w:rsid w:val="00CE2B60"/>
    <w:rsid w:val="00CE2DA0"/>
    <w:rsid w:val="00CE2E44"/>
    <w:rsid w:val="00CE30C8"/>
    <w:rsid w:val="00CE3213"/>
    <w:rsid w:val="00CE3628"/>
    <w:rsid w:val="00CE3B59"/>
    <w:rsid w:val="00CE3D83"/>
    <w:rsid w:val="00CE501F"/>
    <w:rsid w:val="00CE53B3"/>
    <w:rsid w:val="00CE6730"/>
    <w:rsid w:val="00CE6FCA"/>
    <w:rsid w:val="00CE78B9"/>
    <w:rsid w:val="00CE78E0"/>
    <w:rsid w:val="00CF0006"/>
    <w:rsid w:val="00CF03B3"/>
    <w:rsid w:val="00CF14D3"/>
    <w:rsid w:val="00CF1587"/>
    <w:rsid w:val="00CF1687"/>
    <w:rsid w:val="00CF1AC9"/>
    <w:rsid w:val="00CF210F"/>
    <w:rsid w:val="00CF30FF"/>
    <w:rsid w:val="00CF3104"/>
    <w:rsid w:val="00CF32CC"/>
    <w:rsid w:val="00CF475A"/>
    <w:rsid w:val="00CF4C48"/>
    <w:rsid w:val="00CF5650"/>
    <w:rsid w:val="00CF62F5"/>
    <w:rsid w:val="00D006E6"/>
    <w:rsid w:val="00D01034"/>
    <w:rsid w:val="00D01862"/>
    <w:rsid w:val="00D02348"/>
    <w:rsid w:val="00D030EB"/>
    <w:rsid w:val="00D032AD"/>
    <w:rsid w:val="00D0384E"/>
    <w:rsid w:val="00D0395A"/>
    <w:rsid w:val="00D04429"/>
    <w:rsid w:val="00D047BB"/>
    <w:rsid w:val="00D05BDC"/>
    <w:rsid w:val="00D061C2"/>
    <w:rsid w:val="00D06945"/>
    <w:rsid w:val="00D070B5"/>
    <w:rsid w:val="00D07B1F"/>
    <w:rsid w:val="00D07BB9"/>
    <w:rsid w:val="00D10010"/>
    <w:rsid w:val="00D10AA7"/>
    <w:rsid w:val="00D10AB7"/>
    <w:rsid w:val="00D10C6A"/>
    <w:rsid w:val="00D10D5F"/>
    <w:rsid w:val="00D1215D"/>
    <w:rsid w:val="00D12319"/>
    <w:rsid w:val="00D126B6"/>
    <w:rsid w:val="00D136EE"/>
    <w:rsid w:val="00D137D9"/>
    <w:rsid w:val="00D14234"/>
    <w:rsid w:val="00D14E0C"/>
    <w:rsid w:val="00D15254"/>
    <w:rsid w:val="00D15626"/>
    <w:rsid w:val="00D159C9"/>
    <w:rsid w:val="00D15ECE"/>
    <w:rsid w:val="00D16037"/>
    <w:rsid w:val="00D162B7"/>
    <w:rsid w:val="00D16BE6"/>
    <w:rsid w:val="00D16C00"/>
    <w:rsid w:val="00D17A28"/>
    <w:rsid w:val="00D20A3C"/>
    <w:rsid w:val="00D20DBD"/>
    <w:rsid w:val="00D22B50"/>
    <w:rsid w:val="00D231BC"/>
    <w:rsid w:val="00D23759"/>
    <w:rsid w:val="00D25919"/>
    <w:rsid w:val="00D26248"/>
    <w:rsid w:val="00D26503"/>
    <w:rsid w:val="00D266C9"/>
    <w:rsid w:val="00D26BE2"/>
    <w:rsid w:val="00D271CF"/>
    <w:rsid w:val="00D27700"/>
    <w:rsid w:val="00D27ABB"/>
    <w:rsid w:val="00D27B81"/>
    <w:rsid w:val="00D30661"/>
    <w:rsid w:val="00D30834"/>
    <w:rsid w:val="00D31275"/>
    <w:rsid w:val="00D31C51"/>
    <w:rsid w:val="00D31EBE"/>
    <w:rsid w:val="00D327D6"/>
    <w:rsid w:val="00D32A4A"/>
    <w:rsid w:val="00D33BFE"/>
    <w:rsid w:val="00D33E5E"/>
    <w:rsid w:val="00D341D9"/>
    <w:rsid w:val="00D34446"/>
    <w:rsid w:val="00D34497"/>
    <w:rsid w:val="00D34DE1"/>
    <w:rsid w:val="00D34F27"/>
    <w:rsid w:val="00D3575F"/>
    <w:rsid w:val="00D363A4"/>
    <w:rsid w:val="00D36E08"/>
    <w:rsid w:val="00D36F8B"/>
    <w:rsid w:val="00D37DF7"/>
    <w:rsid w:val="00D37EF2"/>
    <w:rsid w:val="00D4005C"/>
    <w:rsid w:val="00D408FD"/>
    <w:rsid w:val="00D40A6E"/>
    <w:rsid w:val="00D41F0E"/>
    <w:rsid w:val="00D436D0"/>
    <w:rsid w:val="00D44ADD"/>
    <w:rsid w:val="00D471E8"/>
    <w:rsid w:val="00D472CF"/>
    <w:rsid w:val="00D47BA7"/>
    <w:rsid w:val="00D50355"/>
    <w:rsid w:val="00D503EF"/>
    <w:rsid w:val="00D509F3"/>
    <w:rsid w:val="00D51079"/>
    <w:rsid w:val="00D51AB5"/>
    <w:rsid w:val="00D52D0B"/>
    <w:rsid w:val="00D5334A"/>
    <w:rsid w:val="00D5444E"/>
    <w:rsid w:val="00D54E62"/>
    <w:rsid w:val="00D56945"/>
    <w:rsid w:val="00D56F3C"/>
    <w:rsid w:val="00D57B56"/>
    <w:rsid w:val="00D60503"/>
    <w:rsid w:val="00D60505"/>
    <w:rsid w:val="00D6076E"/>
    <w:rsid w:val="00D60AA4"/>
    <w:rsid w:val="00D60C53"/>
    <w:rsid w:val="00D61891"/>
    <w:rsid w:val="00D61C91"/>
    <w:rsid w:val="00D623CC"/>
    <w:rsid w:val="00D63070"/>
    <w:rsid w:val="00D65236"/>
    <w:rsid w:val="00D65415"/>
    <w:rsid w:val="00D6561E"/>
    <w:rsid w:val="00D65F98"/>
    <w:rsid w:val="00D660FD"/>
    <w:rsid w:val="00D662AC"/>
    <w:rsid w:val="00D6696B"/>
    <w:rsid w:val="00D66E1D"/>
    <w:rsid w:val="00D670BD"/>
    <w:rsid w:val="00D7077C"/>
    <w:rsid w:val="00D711A4"/>
    <w:rsid w:val="00D735B8"/>
    <w:rsid w:val="00D73C9B"/>
    <w:rsid w:val="00D73F62"/>
    <w:rsid w:val="00D7403A"/>
    <w:rsid w:val="00D742F4"/>
    <w:rsid w:val="00D749E2"/>
    <w:rsid w:val="00D74B41"/>
    <w:rsid w:val="00D75318"/>
    <w:rsid w:val="00D75577"/>
    <w:rsid w:val="00D76349"/>
    <w:rsid w:val="00D765B7"/>
    <w:rsid w:val="00D7796A"/>
    <w:rsid w:val="00D77D2A"/>
    <w:rsid w:val="00D80637"/>
    <w:rsid w:val="00D82BA3"/>
    <w:rsid w:val="00D82DD2"/>
    <w:rsid w:val="00D84078"/>
    <w:rsid w:val="00D8428E"/>
    <w:rsid w:val="00D84419"/>
    <w:rsid w:val="00D845B0"/>
    <w:rsid w:val="00D86105"/>
    <w:rsid w:val="00D86237"/>
    <w:rsid w:val="00D8654B"/>
    <w:rsid w:val="00D867DB"/>
    <w:rsid w:val="00D86B6C"/>
    <w:rsid w:val="00D86C0B"/>
    <w:rsid w:val="00D86C64"/>
    <w:rsid w:val="00D86E31"/>
    <w:rsid w:val="00D873C3"/>
    <w:rsid w:val="00D874DE"/>
    <w:rsid w:val="00D87BFF"/>
    <w:rsid w:val="00D92040"/>
    <w:rsid w:val="00D92A43"/>
    <w:rsid w:val="00D92EBA"/>
    <w:rsid w:val="00D935C4"/>
    <w:rsid w:val="00D935E1"/>
    <w:rsid w:val="00D93840"/>
    <w:rsid w:val="00D93C21"/>
    <w:rsid w:val="00D948AB"/>
    <w:rsid w:val="00D952CB"/>
    <w:rsid w:val="00D95C3F"/>
    <w:rsid w:val="00D95F38"/>
    <w:rsid w:val="00D95FA6"/>
    <w:rsid w:val="00D97AAB"/>
    <w:rsid w:val="00DA11E9"/>
    <w:rsid w:val="00DA14AD"/>
    <w:rsid w:val="00DA22A3"/>
    <w:rsid w:val="00DA241A"/>
    <w:rsid w:val="00DA329A"/>
    <w:rsid w:val="00DA3D46"/>
    <w:rsid w:val="00DA4D65"/>
    <w:rsid w:val="00DA580B"/>
    <w:rsid w:val="00DA68A9"/>
    <w:rsid w:val="00DA6954"/>
    <w:rsid w:val="00DA6AD2"/>
    <w:rsid w:val="00DA7768"/>
    <w:rsid w:val="00DA7E65"/>
    <w:rsid w:val="00DB0083"/>
    <w:rsid w:val="00DB0702"/>
    <w:rsid w:val="00DB082C"/>
    <w:rsid w:val="00DB0E0B"/>
    <w:rsid w:val="00DB1E6B"/>
    <w:rsid w:val="00DB1FF9"/>
    <w:rsid w:val="00DB2154"/>
    <w:rsid w:val="00DB21A4"/>
    <w:rsid w:val="00DB2B64"/>
    <w:rsid w:val="00DB2CA9"/>
    <w:rsid w:val="00DB2DF3"/>
    <w:rsid w:val="00DB30B6"/>
    <w:rsid w:val="00DB5D30"/>
    <w:rsid w:val="00DB622B"/>
    <w:rsid w:val="00DB6243"/>
    <w:rsid w:val="00DB6507"/>
    <w:rsid w:val="00DB6DB7"/>
    <w:rsid w:val="00DB71D9"/>
    <w:rsid w:val="00DB7691"/>
    <w:rsid w:val="00DB78BF"/>
    <w:rsid w:val="00DC08AB"/>
    <w:rsid w:val="00DC0E7E"/>
    <w:rsid w:val="00DC150F"/>
    <w:rsid w:val="00DC1E40"/>
    <w:rsid w:val="00DC1EF8"/>
    <w:rsid w:val="00DC2F6B"/>
    <w:rsid w:val="00DC33B0"/>
    <w:rsid w:val="00DC4615"/>
    <w:rsid w:val="00DC47EF"/>
    <w:rsid w:val="00DC4E2C"/>
    <w:rsid w:val="00DC548E"/>
    <w:rsid w:val="00DC59FA"/>
    <w:rsid w:val="00DC60CF"/>
    <w:rsid w:val="00DC7D30"/>
    <w:rsid w:val="00DC7D6E"/>
    <w:rsid w:val="00DC7DD7"/>
    <w:rsid w:val="00DC7E71"/>
    <w:rsid w:val="00DC7F86"/>
    <w:rsid w:val="00DD0303"/>
    <w:rsid w:val="00DD0435"/>
    <w:rsid w:val="00DD1310"/>
    <w:rsid w:val="00DD39BA"/>
    <w:rsid w:val="00DD3A7E"/>
    <w:rsid w:val="00DD3FD2"/>
    <w:rsid w:val="00DD4225"/>
    <w:rsid w:val="00DD43D9"/>
    <w:rsid w:val="00DD469E"/>
    <w:rsid w:val="00DD4795"/>
    <w:rsid w:val="00DD4EEC"/>
    <w:rsid w:val="00DD559F"/>
    <w:rsid w:val="00DD5698"/>
    <w:rsid w:val="00DD56BE"/>
    <w:rsid w:val="00DD5BCB"/>
    <w:rsid w:val="00DD611A"/>
    <w:rsid w:val="00DD6C73"/>
    <w:rsid w:val="00DD6D5C"/>
    <w:rsid w:val="00DD720F"/>
    <w:rsid w:val="00DE02F9"/>
    <w:rsid w:val="00DE04D0"/>
    <w:rsid w:val="00DE0E3D"/>
    <w:rsid w:val="00DE15F6"/>
    <w:rsid w:val="00DE280C"/>
    <w:rsid w:val="00DE2926"/>
    <w:rsid w:val="00DE29EE"/>
    <w:rsid w:val="00DE3164"/>
    <w:rsid w:val="00DE327E"/>
    <w:rsid w:val="00DE3401"/>
    <w:rsid w:val="00DE3855"/>
    <w:rsid w:val="00DE3986"/>
    <w:rsid w:val="00DE3CCE"/>
    <w:rsid w:val="00DE3F22"/>
    <w:rsid w:val="00DE43C3"/>
    <w:rsid w:val="00DE52CC"/>
    <w:rsid w:val="00DE52D8"/>
    <w:rsid w:val="00DE6F56"/>
    <w:rsid w:val="00DE7116"/>
    <w:rsid w:val="00DE7FB2"/>
    <w:rsid w:val="00DF06FC"/>
    <w:rsid w:val="00DF1026"/>
    <w:rsid w:val="00DF10CC"/>
    <w:rsid w:val="00DF1A8B"/>
    <w:rsid w:val="00DF1CAB"/>
    <w:rsid w:val="00DF26B4"/>
    <w:rsid w:val="00DF3245"/>
    <w:rsid w:val="00DF33FD"/>
    <w:rsid w:val="00DF3D2B"/>
    <w:rsid w:val="00DF43A8"/>
    <w:rsid w:val="00DF49A7"/>
    <w:rsid w:val="00DF4AC2"/>
    <w:rsid w:val="00DF4EB2"/>
    <w:rsid w:val="00DF50B8"/>
    <w:rsid w:val="00DF5FAE"/>
    <w:rsid w:val="00DF6920"/>
    <w:rsid w:val="00DF713E"/>
    <w:rsid w:val="00DF7322"/>
    <w:rsid w:val="00DF74A9"/>
    <w:rsid w:val="00E00110"/>
    <w:rsid w:val="00E00822"/>
    <w:rsid w:val="00E00854"/>
    <w:rsid w:val="00E00C0E"/>
    <w:rsid w:val="00E00EFE"/>
    <w:rsid w:val="00E013EE"/>
    <w:rsid w:val="00E01558"/>
    <w:rsid w:val="00E0179E"/>
    <w:rsid w:val="00E01FAD"/>
    <w:rsid w:val="00E02206"/>
    <w:rsid w:val="00E023A6"/>
    <w:rsid w:val="00E025FD"/>
    <w:rsid w:val="00E02B4C"/>
    <w:rsid w:val="00E03DDB"/>
    <w:rsid w:val="00E04514"/>
    <w:rsid w:val="00E0485A"/>
    <w:rsid w:val="00E05B64"/>
    <w:rsid w:val="00E06EDB"/>
    <w:rsid w:val="00E07580"/>
    <w:rsid w:val="00E108C8"/>
    <w:rsid w:val="00E11AA3"/>
    <w:rsid w:val="00E11F80"/>
    <w:rsid w:val="00E125FD"/>
    <w:rsid w:val="00E1265F"/>
    <w:rsid w:val="00E12A0A"/>
    <w:rsid w:val="00E1367A"/>
    <w:rsid w:val="00E1437E"/>
    <w:rsid w:val="00E145E0"/>
    <w:rsid w:val="00E14C57"/>
    <w:rsid w:val="00E15000"/>
    <w:rsid w:val="00E15169"/>
    <w:rsid w:val="00E1554A"/>
    <w:rsid w:val="00E17CF8"/>
    <w:rsid w:val="00E17FA8"/>
    <w:rsid w:val="00E20308"/>
    <w:rsid w:val="00E20525"/>
    <w:rsid w:val="00E209D2"/>
    <w:rsid w:val="00E21C83"/>
    <w:rsid w:val="00E224EC"/>
    <w:rsid w:val="00E22B05"/>
    <w:rsid w:val="00E22D3F"/>
    <w:rsid w:val="00E2309A"/>
    <w:rsid w:val="00E23523"/>
    <w:rsid w:val="00E236E6"/>
    <w:rsid w:val="00E23A54"/>
    <w:rsid w:val="00E24E22"/>
    <w:rsid w:val="00E24FFA"/>
    <w:rsid w:val="00E25538"/>
    <w:rsid w:val="00E26467"/>
    <w:rsid w:val="00E26B6A"/>
    <w:rsid w:val="00E26CC2"/>
    <w:rsid w:val="00E272B5"/>
    <w:rsid w:val="00E30903"/>
    <w:rsid w:val="00E30ECA"/>
    <w:rsid w:val="00E31033"/>
    <w:rsid w:val="00E312A2"/>
    <w:rsid w:val="00E32E82"/>
    <w:rsid w:val="00E3308C"/>
    <w:rsid w:val="00E3312F"/>
    <w:rsid w:val="00E33344"/>
    <w:rsid w:val="00E346CA"/>
    <w:rsid w:val="00E34761"/>
    <w:rsid w:val="00E356B4"/>
    <w:rsid w:val="00E35B4B"/>
    <w:rsid w:val="00E35F97"/>
    <w:rsid w:val="00E36813"/>
    <w:rsid w:val="00E36CD2"/>
    <w:rsid w:val="00E3707B"/>
    <w:rsid w:val="00E375E0"/>
    <w:rsid w:val="00E3774D"/>
    <w:rsid w:val="00E37DB3"/>
    <w:rsid w:val="00E400C2"/>
    <w:rsid w:val="00E40756"/>
    <w:rsid w:val="00E4108A"/>
    <w:rsid w:val="00E443C0"/>
    <w:rsid w:val="00E44F07"/>
    <w:rsid w:val="00E45A2A"/>
    <w:rsid w:val="00E45C5F"/>
    <w:rsid w:val="00E461DB"/>
    <w:rsid w:val="00E462A0"/>
    <w:rsid w:val="00E4651D"/>
    <w:rsid w:val="00E4667C"/>
    <w:rsid w:val="00E47169"/>
    <w:rsid w:val="00E47673"/>
    <w:rsid w:val="00E50CD8"/>
    <w:rsid w:val="00E5114D"/>
    <w:rsid w:val="00E515D5"/>
    <w:rsid w:val="00E52B4D"/>
    <w:rsid w:val="00E53A48"/>
    <w:rsid w:val="00E54994"/>
    <w:rsid w:val="00E54B88"/>
    <w:rsid w:val="00E54BC2"/>
    <w:rsid w:val="00E565FB"/>
    <w:rsid w:val="00E5678A"/>
    <w:rsid w:val="00E56AB6"/>
    <w:rsid w:val="00E570DE"/>
    <w:rsid w:val="00E60355"/>
    <w:rsid w:val="00E6065B"/>
    <w:rsid w:val="00E60F34"/>
    <w:rsid w:val="00E61745"/>
    <w:rsid w:val="00E61E1B"/>
    <w:rsid w:val="00E6225D"/>
    <w:rsid w:val="00E6291F"/>
    <w:rsid w:val="00E6320B"/>
    <w:rsid w:val="00E63B5D"/>
    <w:rsid w:val="00E63B72"/>
    <w:rsid w:val="00E64AAE"/>
    <w:rsid w:val="00E65015"/>
    <w:rsid w:val="00E65136"/>
    <w:rsid w:val="00E657EC"/>
    <w:rsid w:val="00E66D37"/>
    <w:rsid w:val="00E66D3E"/>
    <w:rsid w:val="00E67197"/>
    <w:rsid w:val="00E67D38"/>
    <w:rsid w:val="00E701CE"/>
    <w:rsid w:val="00E70303"/>
    <w:rsid w:val="00E70B66"/>
    <w:rsid w:val="00E71152"/>
    <w:rsid w:val="00E717B8"/>
    <w:rsid w:val="00E71ADD"/>
    <w:rsid w:val="00E720E5"/>
    <w:rsid w:val="00E72352"/>
    <w:rsid w:val="00E72B76"/>
    <w:rsid w:val="00E73644"/>
    <w:rsid w:val="00E7389B"/>
    <w:rsid w:val="00E738B1"/>
    <w:rsid w:val="00E7466B"/>
    <w:rsid w:val="00E7479F"/>
    <w:rsid w:val="00E74F0D"/>
    <w:rsid w:val="00E74FE0"/>
    <w:rsid w:val="00E7518C"/>
    <w:rsid w:val="00E759F6"/>
    <w:rsid w:val="00E76943"/>
    <w:rsid w:val="00E76C10"/>
    <w:rsid w:val="00E76E4D"/>
    <w:rsid w:val="00E77F56"/>
    <w:rsid w:val="00E8079C"/>
    <w:rsid w:val="00E80865"/>
    <w:rsid w:val="00E80A6C"/>
    <w:rsid w:val="00E80E8D"/>
    <w:rsid w:val="00E817AA"/>
    <w:rsid w:val="00E81A2A"/>
    <w:rsid w:val="00E82906"/>
    <w:rsid w:val="00E835EB"/>
    <w:rsid w:val="00E840CC"/>
    <w:rsid w:val="00E8418A"/>
    <w:rsid w:val="00E854CD"/>
    <w:rsid w:val="00E857F4"/>
    <w:rsid w:val="00E86313"/>
    <w:rsid w:val="00E86A93"/>
    <w:rsid w:val="00E8728A"/>
    <w:rsid w:val="00E8752C"/>
    <w:rsid w:val="00E905FC"/>
    <w:rsid w:val="00E911D1"/>
    <w:rsid w:val="00E913CC"/>
    <w:rsid w:val="00E918CC"/>
    <w:rsid w:val="00E91A8E"/>
    <w:rsid w:val="00E9206F"/>
    <w:rsid w:val="00E92BA3"/>
    <w:rsid w:val="00E92E6D"/>
    <w:rsid w:val="00E93425"/>
    <w:rsid w:val="00E935F4"/>
    <w:rsid w:val="00E94430"/>
    <w:rsid w:val="00E9478F"/>
    <w:rsid w:val="00E94E60"/>
    <w:rsid w:val="00E94EB8"/>
    <w:rsid w:val="00E954A6"/>
    <w:rsid w:val="00E95736"/>
    <w:rsid w:val="00E95E2F"/>
    <w:rsid w:val="00E96055"/>
    <w:rsid w:val="00E96541"/>
    <w:rsid w:val="00E9709C"/>
    <w:rsid w:val="00EA1794"/>
    <w:rsid w:val="00EA2034"/>
    <w:rsid w:val="00EA37D8"/>
    <w:rsid w:val="00EA397F"/>
    <w:rsid w:val="00EA4CA6"/>
    <w:rsid w:val="00EA54AB"/>
    <w:rsid w:val="00EA5730"/>
    <w:rsid w:val="00EA5F01"/>
    <w:rsid w:val="00EA6CEA"/>
    <w:rsid w:val="00EA72C4"/>
    <w:rsid w:val="00EA73C2"/>
    <w:rsid w:val="00EA75D1"/>
    <w:rsid w:val="00EA7945"/>
    <w:rsid w:val="00EB0405"/>
    <w:rsid w:val="00EB07B5"/>
    <w:rsid w:val="00EB0A65"/>
    <w:rsid w:val="00EB0E06"/>
    <w:rsid w:val="00EB0F26"/>
    <w:rsid w:val="00EB0F2B"/>
    <w:rsid w:val="00EB1FAC"/>
    <w:rsid w:val="00EB2121"/>
    <w:rsid w:val="00EB2136"/>
    <w:rsid w:val="00EB24B8"/>
    <w:rsid w:val="00EB2769"/>
    <w:rsid w:val="00EB3256"/>
    <w:rsid w:val="00EB48F7"/>
    <w:rsid w:val="00EB5863"/>
    <w:rsid w:val="00EB5927"/>
    <w:rsid w:val="00EB5B8B"/>
    <w:rsid w:val="00EB6DB0"/>
    <w:rsid w:val="00EB70D2"/>
    <w:rsid w:val="00EB7309"/>
    <w:rsid w:val="00EB78BF"/>
    <w:rsid w:val="00EB7C45"/>
    <w:rsid w:val="00EB7F6C"/>
    <w:rsid w:val="00EC055F"/>
    <w:rsid w:val="00EC05C4"/>
    <w:rsid w:val="00EC0644"/>
    <w:rsid w:val="00EC08FD"/>
    <w:rsid w:val="00EC0A6F"/>
    <w:rsid w:val="00EC0D6E"/>
    <w:rsid w:val="00EC16E5"/>
    <w:rsid w:val="00EC203D"/>
    <w:rsid w:val="00EC2D73"/>
    <w:rsid w:val="00EC2F74"/>
    <w:rsid w:val="00EC3072"/>
    <w:rsid w:val="00EC4383"/>
    <w:rsid w:val="00EC4484"/>
    <w:rsid w:val="00EC4EA3"/>
    <w:rsid w:val="00EC4FB2"/>
    <w:rsid w:val="00EC5661"/>
    <w:rsid w:val="00EC56C1"/>
    <w:rsid w:val="00EC6005"/>
    <w:rsid w:val="00EC60A1"/>
    <w:rsid w:val="00EC6E37"/>
    <w:rsid w:val="00EC7B1D"/>
    <w:rsid w:val="00ED005A"/>
    <w:rsid w:val="00ED0104"/>
    <w:rsid w:val="00ED07A0"/>
    <w:rsid w:val="00ED197A"/>
    <w:rsid w:val="00ED424D"/>
    <w:rsid w:val="00ED44A3"/>
    <w:rsid w:val="00ED519D"/>
    <w:rsid w:val="00ED5AA3"/>
    <w:rsid w:val="00ED5FAF"/>
    <w:rsid w:val="00ED64FA"/>
    <w:rsid w:val="00ED7515"/>
    <w:rsid w:val="00ED7D6F"/>
    <w:rsid w:val="00EE078F"/>
    <w:rsid w:val="00EE1B76"/>
    <w:rsid w:val="00EE1FA3"/>
    <w:rsid w:val="00EE2000"/>
    <w:rsid w:val="00EE265F"/>
    <w:rsid w:val="00EE2FA8"/>
    <w:rsid w:val="00EE36F2"/>
    <w:rsid w:val="00EE3816"/>
    <w:rsid w:val="00EE3A74"/>
    <w:rsid w:val="00EE3B5E"/>
    <w:rsid w:val="00EE3C43"/>
    <w:rsid w:val="00EE4912"/>
    <w:rsid w:val="00EE4A32"/>
    <w:rsid w:val="00EE4D1F"/>
    <w:rsid w:val="00EE4EEA"/>
    <w:rsid w:val="00EE5061"/>
    <w:rsid w:val="00EE549F"/>
    <w:rsid w:val="00EE573A"/>
    <w:rsid w:val="00EE6560"/>
    <w:rsid w:val="00EE7295"/>
    <w:rsid w:val="00EE76F0"/>
    <w:rsid w:val="00EE7941"/>
    <w:rsid w:val="00EE798F"/>
    <w:rsid w:val="00EF047F"/>
    <w:rsid w:val="00EF0F1F"/>
    <w:rsid w:val="00EF0F7C"/>
    <w:rsid w:val="00EF1546"/>
    <w:rsid w:val="00EF1F76"/>
    <w:rsid w:val="00EF33D0"/>
    <w:rsid w:val="00EF34D2"/>
    <w:rsid w:val="00EF41CD"/>
    <w:rsid w:val="00EF4D9D"/>
    <w:rsid w:val="00EF61C3"/>
    <w:rsid w:val="00EF64A0"/>
    <w:rsid w:val="00EF6674"/>
    <w:rsid w:val="00EF67F2"/>
    <w:rsid w:val="00EF6E78"/>
    <w:rsid w:val="00F00236"/>
    <w:rsid w:val="00F00603"/>
    <w:rsid w:val="00F00AE1"/>
    <w:rsid w:val="00F012A9"/>
    <w:rsid w:val="00F012E1"/>
    <w:rsid w:val="00F01BC0"/>
    <w:rsid w:val="00F02BCF"/>
    <w:rsid w:val="00F02FEF"/>
    <w:rsid w:val="00F03C37"/>
    <w:rsid w:val="00F042B1"/>
    <w:rsid w:val="00F045E5"/>
    <w:rsid w:val="00F045EB"/>
    <w:rsid w:val="00F04D36"/>
    <w:rsid w:val="00F04F93"/>
    <w:rsid w:val="00F05267"/>
    <w:rsid w:val="00F0587E"/>
    <w:rsid w:val="00F06A55"/>
    <w:rsid w:val="00F06EBB"/>
    <w:rsid w:val="00F07012"/>
    <w:rsid w:val="00F07289"/>
    <w:rsid w:val="00F0741C"/>
    <w:rsid w:val="00F075A3"/>
    <w:rsid w:val="00F07E44"/>
    <w:rsid w:val="00F1016F"/>
    <w:rsid w:val="00F109FA"/>
    <w:rsid w:val="00F10CB2"/>
    <w:rsid w:val="00F115F4"/>
    <w:rsid w:val="00F11AE7"/>
    <w:rsid w:val="00F11D80"/>
    <w:rsid w:val="00F11FBC"/>
    <w:rsid w:val="00F127BA"/>
    <w:rsid w:val="00F128E4"/>
    <w:rsid w:val="00F141EB"/>
    <w:rsid w:val="00F15E42"/>
    <w:rsid w:val="00F1758C"/>
    <w:rsid w:val="00F178D9"/>
    <w:rsid w:val="00F178F3"/>
    <w:rsid w:val="00F20381"/>
    <w:rsid w:val="00F204E5"/>
    <w:rsid w:val="00F208FA"/>
    <w:rsid w:val="00F21BF5"/>
    <w:rsid w:val="00F21CAE"/>
    <w:rsid w:val="00F21DCA"/>
    <w:rsid w:val="00F22E74"/>
    <w:rsid w:val="00F22FDF"/>
    <w:rsid w:val="00F234B8"/>
    <w:rsid w:val="00F2374C"/>
    <w:rsid w:val="00F23896"/>
    <w:rsid w:val="00F241FF"/>
    <w:rsid w:val="00F24299"/>
    <w:rsid w:val="00F25EC8"/>
    <w:rsid w:val="00F27512"/>
    <w:rsid w:val="00F27871"/>
    <w:rsid w:val="00F3077B"/>
    <w:rsid w:val="00F30B10"/>
    <w:rsid w:val="00F327FA"/>
    <w:rsid w:val="00F335AB"/>
    <w:rsid w:val="00F34184"/>
    <w:rsid w:val="00F3448E"/>
    <w:rsid w:val="00F347EB"/>
    <w:rsid w:val="00F34E5E"/>
    <w:rsid w:val="00F35329"/>
    <w:rsid w:val="00F356E5"/>
    <w:rsid w:val="00F367AB"/>
    <w:rsid w:val="00F369B1"/>
    <w:rsid w:val="00F36CEA"/>
    <w:rsid w:val="00F37071"/>
    <w:rsid w:val="00F3727A"/>
    <w:rsid w:val="00F409DC"/>
    <w:rsid w:val="00F40ECE"/>
    <w:rsid w:val="00F40F1A"/>
    <w:rsid w:val="00F41D51"/>
    <w:rsid w:val="00F422EB"/>
    <w:rsid w:val="00F42779"/>
    <w:rsid w:val="00F428E1"/>
    <w:rsid w:val="00F42A08"/>
    <w:rsid w:val="00F43377"/>
    <w:rsid w:val="00F438E4"/>
    <w:rsid w:val="00F43AFA"/>
    <w:rsid w:val="00F441FE"/>
    <w:rsid w:val="00F447F3"/>
    <w:rsid w:val="00F44B2A"/>
    <w:rsid w:val="00F44E43"/>
    <w:rsid w:val="00F4537A"/>
    <w:rsid w:val="00F45A92"/>
    <w:rsid w:val="00F45BC3"/>
    <w:rsid w:val="00F4650D"/>
    <w:rsid w:val="00F46654"/>
    <w:rsid w:val="00F47316"/>
    <w:rsid w:val="00F50BBC"/>
    <w:rsid w:val="00F51609"/>
    <w:rsid w:val="00F51CCD"/>
    <w:rsid w:val="00F54570"/>
    <w:rsid w:val="00F54905"/>
    <w:rsid w:val="00F54E2D"/>
    <w:rsid w:val="00F55301"/>
    <w:rsid w:val="00F55D84"/>
    <w:rsid w:val="00F561B4"/>
    <w:rsid w:val="00F56249"/>
    <w:rsid w:val="00F56CDC"/>
    <w:rsid w:val="00F57089"/>
    <w:rsid w:val="00F57464"/>
    <w:rsid w:val="00F575D2"/>
    <w:rsid w:val="00F60C0B"/>
    <w:rsid w:val="00F60E40"/>
    <w:rsid w:val="00F6193D"/>
    <w:rsid w:val="00F620CD"/>
    <w:rsid w:val="00F624D1"/>
    <w:rsid w:val="00F629B4"/>
    <w:rsid w:val="00F6319F"/>
    <w:rsid w:val="00F63537"/>
    <w:rsid w:val="00F6398D"/>
    <w:rsid w:val="00F64215"/>
    <w:rsid w:val="00F646F3"/>
    <w:rsid w:val="00F66B32"/>
    <w:rsid w:val="00F66F06"/>
    <w:rsid w:val="00F67014"/>
    <w:rsid w:val="00F67999"/>
    <w:rsid w:val="00F67B7F"/>
    <w:rsid w:val="00F67CF2"/>
    <w:rsid w:val="00F706A4"/>
    <w:rsid w:val="00F70888"/>
    <w:rsid w:val="00F70A06"/>
    <w:rsid w:val="00F710E3"/>
    <w:rsid w:val="00F7165A"/>
    <w:rsid w:val="00F72083"/>
    <w:rsid w:val="00F721E9"/>
    <w:rsid w:val="00F723CB"/>
    <w:rsid w:val="00F727DF"/>
    <w:rsid w:val="00F733C1"/>
    <w:rsid w:val="00F73550"/>
    <w:rsid w:val="00F74339"/>
    <w:rsid w:val="00F743E6"/>
    <w:rsid w:val="00F74A91"/>
    <w:rsid w:val="00F74ECD"/>
    <w:rsid w:val="00F74F2F"/>
    <w:rsid w:val="00F754AE"/>
    <w:rsid w:val="00F77D37"/>
    <w:rsid w:val="00F77DEE"/>
    <w:rsid w:val="00F804A8"/>
    <w:rsid w:val="00F8078B"/>
    <w:rsid w:val="00F80C04"/>
    <w:rsid w:val="00F82D2E"/>
    <w:rsid w:val="00F84485"/>
    <w:rsid w:val="00F84733"/>
    <w:rsid w:val="00F84A6E"/>
    <w:rsid w:val="00F84B32"/>
    <w:rsid w:val="00F85626"/>
    <w:rsid w:val="00F861A5"/>
    <w:rsid w:val="00F86C4A"/>
    <w:rsid w:val="00F87099"/>
    <w:rsid w:val="00F8734D"/>
    <w:rsid w:val="00F87CEB"/>
    <w:rsid w:val="00F902F7"/>
    <w:rsid w:val="00F918AD"/>
    <w:rsid w:val="00F9191B"/>
    <w:rsid w:val="00F91C6E"/>
    <w:rsid w:val="00F923AC"/>
    <w:rsid w:val="00F924A6"/>
    <w:rsid w:val="00F928CB"/>
    <w:rsid w:val="00F928EA"/>
    <w:rsid w:val="00F9316A"/>
    <w:rsid w:val="00F93395"/>
    <w:rsid w:val="00F93CFA"/>
    <w:rsid w:val="00F945A0"/>
    <w:rsid w:val="00F94A50"/>
    <w:rsid w:val="00F9575C"/>
    <w:rsid w:val="00F9599F"/>
    <w:rsid w:val="00F95F0C"/>
    <w:rsid w:val="00F96315"/>
    <w:rsid w:val="00F968D4"/>
    <w:rsid w:val="00F975C0"/>
    <w:rsid w:val="00FA075E"/>
    <w:rsid w:val="00FA1FEC"/>
    <w:rsid w:val="00FA2327"/>
    <w:rsid w:val="00FA2461"/>
    <w:rsid w:val="00FA30E5"/>
    <w:rsid w:val="00FA3649"/>
    <w:rsid w:val="00FA3E92"/>
    <w:rsid w:val="00FA3ED9"/>
    <w:rsid w:val="00FA4BF5"/>
    <w:rsid w:val="00FA4EA7"/>
    <w:rsid w:val="00FA69FA"/>
    <w:rsid w:val="00FA6DFA"/>
    <w:rsid w:val="00FB1247"/>
    <w:rsid w:val="00FB16A4"/>
    <w:rsid w:val="00FB20AA"/>
    <w:rsid w:val="00FB26D1"/>
    <w:rsid w:val="00FB296C"/>
    <w:rsid w:val="00FB2E99"/>
    <w:rsid w:val="00FB348B"/>
    <w:rsid w:val="00FB3675"/>
    <w:rsid w:val="00FB3FD4"/>
    <w:rsid w:val="00FB418E"/>
    <w:rsid w:val="00FB4450"/>
    <w:rsid w:val="00FB5899"/>
    <w:rsid w:val="00FB5958"/>
    <w:rsid w:val="00FB5BE4"/>
    <w:rsid w:val="00FB6A33"/>
    <w:rsid w:val="00FB78DA"/>
    <w:rsid w:val="00FB7C5C"/>
    <w:rsid w:val="00FC08F3"/>
    <w:rsid w:val="00FC158C"/>
    <w:rsid w:val="00FC17D7"/>
    <w:rsid w:val="00FC1AC0"/>
    <w:rsid w:val="00FC2D58"/>
    <w:rsid w:val="00FC3096"/>
    <w:rsid w:val="00FC37B0"/>
    <w:rsid w:val="00FC405C"/>
    <w:rsid w:val="00FC4B31"/>
    <w:rsid w:val="00FC6A68"/>
    <w:rsid w:val="00FC717A"/>
    <w:rsid w:val="00FC75F0"/>
    <w:rsid w:val="00FC7687"/>
    <w:rsid w:val="00FC7FEE"/>
    <w:rsid w:val="00FD003A"/>
    <w:rsid w:val="00FD0A63"/>
    <w:rsid w:val="00FD0DC3"/>
    <w:rsid w:val="00FD231D"/>
    <w:rsid w:val="00FD2975"/>
    <w:rsid w:val="00FD2D17"/>
    <w:rsid w:val="00FD3078"/>
    <w:rsid w:val="00FD3952"/>
    <w:rsid w:val="00FD405A"/>
    <w:rsid w:val="00FD4E95"/>
    <w:rsid w:val="00FD50E2"/>
    <w:rsid w:val="00FD5AB5"/>
    <w:rsid w:val="00FD6E59"/>
    <w:rsid w:val="00FD797B"/>
    <w:rsid w:val="00FD7BA9"/>
    <w:rsid w:val="00FD7BB3"/>
    <w:rsid w:val="00FE03F0"/>
    <w:rsid w:val="00FE0547"/>
    <w:rsid w:val="00FE0E4F"/>
    <w:rsid w:val="00FE0EA0"/>
    <w:rsid w:val="00FE170F"/>
    <w:rsid w:val="00FE1A4E"/>
    <w:rsid w:val="00FE1C48"/>
    <w:rsid w:val="00FE2440"/>
    <w:rsid w:val="00FE31AC"/>
    <w:rsid w:val="00FE3657"/>
    <w:rsid w:val="00FE3FB6"/>
    <w:rsid w:val="00FE4BC5"/>
    <w:rsid w:val="00FE595C"/>
    <w:rsid w:val="00FE67EC"/>
    <w:rsid w:val="00FE6C27"/>
    <w:rsid w:val="00FE7E48"/>
    <w:rsid w:val="00FF00BE"/>
    <w:rsid w:val="00FF0502"/>
    <w:rsid w:val="00FF094A"/>
    <w:rsid w:val="00FF14B2"/>
    <w:rsid w:val="00FF1575"/>
    <w:rsid w:val="00FF16CC"/>
    <w:rsid w:val="00FF1DC4"/>
    <w:rsid w:val="00FF1FAD"/>
    <w:rsid w:val="00FF2169"/>
    <w:rsid w:val="00FF24A3"/>
    <w:rsid w:val="00FF2A5B"/>
    <w:rsid w:val="00FF3804"/>
    <w:rsid w:val="00FF426E"/>
    <w:rsid w:val="00FF4819"/>
    <w:rsid w:val="00FF48D0"/>
    <w:rsid w:val="00FF49F4"/>
    <w:rsid w:val="00FF4AC0"/>
    <w:rsid w:val="00FF4C73"/>
    <w:rsid w:val="00FF5544"/>
    <w:rsid w:val="00FF5FB2"/>
    <w:rsid w:val="00FF6809"/>
    <w:rsid w:val="00FF72A8"/>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BBCF4-2B69-4268-A1EF-70591842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6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A10305"/>
    <w:pPr>
      <w:keepNext/>
      <w:keepLines/>
      <w:spacing w:before="480" w:after="0"/>
      <w:outlineLvl w:val="0"/>
    </w:pPr>
    <w:rPr>
      <w:rFonts w:eastAsia="SimSun" w:cs="Times New Roman"/>
      <w:b/>
      <w:bCs/>
      <w:sz w:val="28"/>
      <w:szCs w:val="28"/>
    </w:rPr>
  </w:style>
  <w:style w:type="paragraph" w:styleId="Heading2">
    <w:name w:val="heading 2"/>
    <w:basedOn w:val="Normal"/>
    <w:next w:val="Normal"/>
    <w:link w:val="Heading2Char"/>
    <w:uiPriority w:val="9"/>
    <w:unhideWhenUsed/>
    <w:qFormat/>
    <w:rsid w:val="00EA397F"/>
    <w:pPr>
      <w:keepNext/>
      <w:keepLines/>
      <w:spacing w:before="200" w:after="0"/>
      <w:outlineLvl w:val="1"/>
    </w:pPr>
    <w:rPr>
      <w:rFonts w:eastAsia="SimSun" w:cs="Times New Roman"/>
      <w:b/>
      <w:bCs/>
      <w:sz w:val="24"/>
      <w:szCs w:val="26"/>
    </w:rPr>
  </w:style>
  <w:style w:type="paragraph" w:styleId="Heading3">
    <w:name w:val="heading 3"/>
    <w:basedOn w:val="Normal"/>
    <w:next w:val="Normal"/>
    <w:link w:val="Heading3Char"/>
    <w:uiPriority w:val="9"/>
    <w:semiHidden/>
    <w:unhideWhenUsed/>
    <w:qFormat/>
    <w:rsid w:val="00CC5B1E"/>
    <w:pPr>
      <w:keepNext/>
      <w:keepLines/>
      <w:spacing w:before="200" w:after="0"/>
      <w:outlineLvl w:val="2"/>
    </w:pPr>
    <w:rPr>
      <w:rFonts w:ascii="Cambria" w:eastAsia="SimSu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B90B18"/>
    <w:pPr>
      <w:keepNext/>
      <w:keepLines/>
      <w:spacing w:before="200" w:after="0"/>
      <w:outlineLvl w:val="3"/>
    </w:pPr>
    <w:rPr>
      <w:rFonts w:ascii="Cambria" w:eastAsia="SimSu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05"/>
  </w:style>
  <w:style w:type="paragraph" w:styleId="Footer">
    <w:name w:val="footer"/>
    <w:basedOn w:val="Normal"/>
    <w:link w:val="FooterChar"/>
    <w:uiPriority w:val="99"/>
    <w:unhideWhenUsed/>
    <w:rsid w:val="00A1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05"/>
  </w:style>
  <w:style w:type="paragraph" w:styleId="BalloonText">
    <w:name w:val="Balloon Text"/>
    <w:basedOn w:val="Normal"/>
    <w:link w:val="BalloonTextChar"/>
    <w:uiPriority w:val="99"/>
    <w:semiHidden/>
    <w:unhideWhenUsed/>
    <w:rsid w:val="00A103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10305"/>
    <w:rPr>
      <w:rFonts w:ascii="Tahoma" w:hAnsi="Tahoma" w:cs="Tahoma"/>
      <w:sz w:val="16"/>
      <w:szCs w:val="16"/>
    </w:rPr>
  </w:style>
  <w:style w:type="character" w:customStyle="1" w:styleId="Heading1Char">
    <w:name w:val="Heading 1 Char"/>
    <w:link w:val="Heading1"/>
    <w:uiPriority w:val="9"/>
    <w:rsid w:val="00A10305"/>
    <w:rPr>
      <w:rFonts w:eastAsia="SimSun" w:cs="Calibri"/>
      <w:b/>
      <w:bCs/>
      <w:sz w:val="28"/>
      <w:szCs w:val="28"/>
    </w:rPr>
  </w:style>
  <w:style w:type="paragraph" w:styleId="ListParagraph">
    <w:name w:val="List Paragraph"/>
    <w:basedOn w:val="Normal"/>
    <w:uiPriority w:val="34"/>
    <w:qFormat/>
    <w:rsid w:val="004F0B65"/>
    <w:pPr>
      <w:ind w:left="720"/>
      <w:contextualSpacing/>
    </w:pPr>
  </w:style>
  <w:style w:type="character" w:customStyle="1" w:styleId="Heading2Char">
    <w:name w:val="Heading 2 Char"/>
    <w:link w:val="Heading2"/>
    <w:uiPriority w:val="9"/>
    <w:rsid w:val="00EA397F"/>
    <w:rPr>
      <w:rFonts w:eastAsia="SimSun" w:cs="Calibri"/>
      <w:b/>
      <w:bCs/>
      <w:sz w:val="24"/>
      <w:szCs w:val="26"/>
    </w:rPr>
  </w:style>
  <w:style w:type="character" w:styleId="CommentReference">
    <w:name w:val="annotation reference"/>
    <w:uiPriority w:val="99"/>
    <w:semiHidden/>
    <w:unhideWhenUsed/>
    <w:rsid w:val="00B2252F"/>
    <w:rPr>
      <w:sz w:val="16"/>
      <w:szCs w:val="16"/>
    </w:rPr>
  </w:style>
  <w:style w:type="paragraph" w:styleId="CommentText">
    <w:name w:val="annotation text"/>
    <w:basedOn w:val="Normal"/>
    <w:link w:val="CommentTextChar"/>
    <w:uiPriority w:val="99"/>
    <w:unhideWhenUsed/>
    <w:rsid w:val="00B2252F"/>
    <w:pPr>
      <w:spacing w:line="240" w:lineRule="auto"/>
    </w:pPr>
    <w:rPr>
      <w:rFonts w:cs="Times New Roman"/>
      <w:sz w:val="20"/>
      <w:szCs w:val="20"/>
    </w:rPr>
  </w:style>
  <w:style w:type="character" w:customStyle="1" w:styleId="CommentTextChar">
    <w:name w:val="Comment Text Char"/>
    <w:link w:val="CommentText"/>
    <w:uiPriority w:val="99"/>
    <w:rsid w:val="00B2252F"/>
    <w:rPr>
      <w:sz w:val="20"/>
      <w:szCs w:val="20"/>
    </w:rPr>
  </w:style>
  <w:style w:type="paragraph" w:styleId="CommentSubject">
    <w:name w:val="annotation subject"/>
    <w:basedOn w:val="CommentText"/>
    <w:next w:val="CommentText"/>
    <w:link w:val="CommentSubjectChar"/>
    <w:uiPriority w:val="99"/>
    <w:semiHidden/>
    <w:unhideWhenUsed/>
    <w:rsid w:val="00B2252F"/>
    <w:rPr>
      <w:b/>
      <w:bCs/>
    </w:rPr>
  </w:style>
  <w:style w:type="character" w:customStyle="1" w:styleId="CommentSubjectChar">
    <w:name w:val="Comment Subject Char"/>
    <w:link w:val="CommentSubject"/>
    <w:uiPriority w:val="99"/>
    <w:semiHidden/>
    <w:rsid w:val="00B2252F"/>
    <w:rPr>
      <w:b/>
      <w:bCs/>
      <w:sz w:val="20"/>
      <w:szCs w:val="20"/>
    </w:rPr>
  </w:style>
  <w:style w:type="table" w:styleId="TableGrid">
    <w:name w:val="Table Grid"/>
    <w:basedOn w:val="TableNormal"/>
    <w:uiPriority w:val="59"/>
    <w:rsid w:val="005D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793C"/>
    <w:rPr>
      <w:color w:val="0000FF"/>
      <w:u w:val="single"/>
    </w:rPr>
  </w:style>
  <w:style w:type="character" w:customStyle="1" w:styleId="highlight">
    <w:name w:val="highlight"/>
    <w:basedOn w:val="DefaultParagraphFont"/>
    <w:rsid w:val="0022793C"/>
  </w:style>
  <w:style w:type="character" w:customStyle="1" w:styleId="Heading4Char">
    <w:name w:val="Heading 4 Char"/>
    <w:link w:val="Heading4"/>
    <w:uiPriority w:val="9"/>
    <w:semiHidden/>
    <w:rsid w:val="00B90B18"/>
    <w:rPr>
      <w:rFonts w:ascii="Cambria" w:eastAsia="SimSun" w:hAnsi="Cambria" w:cs="Times New Roman"/>
      <w:b/>
      <w:bCs/>
      <w:i/>
      <w:iCs/>
      <w:color w:val="4F81BD"/>
    </w:rPr>
  </w:style>
  <w:style w:type="character" w:styleId="FollowedHyperlink">
    <w:name w:val="FollowedHyperlink"/>
    <w:uiPriority w:val="99"/>
    <w:semiHidden/>
    <w:unhideWhenUsed/>
    <w:rsid w:val="00964450"/>
    <w:rPr>
      <w:color w:val="800080"/>
      <w:u w:val="single"/>
    </w:rPr>
  </w:style>
  <w:style w:type="character" w:customStyle="1" w:styleId="Heading3Char">
    <w:name w:val="Heading 3 Char"/>
    <w:link w:val="Heading3"/>
    <w:uiPriority w:val="9"/>
    <w:semiHidden/>
    <w:rsid w:val="00CC5B1E"/>
    <w:rPr>
      <w:rFonts w:ascii="Cambria" w:eastAsia="SimSun" w:hAnsi="Cambria" w:cs="Times New Roman"/>
      <w:b/>
      <w:bCs/>
      <w:color w:val="4F81BD"/>
    </w:rPr>
  </w:style>
  <w:style w:type="character" w:styleId="Emphasis">
    <w:name w:val="Emphasis"/>
    <w:uiPriority w:val="20"/>
    <w:qFormat/>
    <w:rsid w:val="003C5FF2"/>
    <w:rPr>
      <w:i/>
      <w:iCs/>
    </w:rPr>
  </w:style>
  <w:style w:type="character" w:styleId="Strong">
    <w:name w:val="Strong"/>
    <w:uiPriority w:val="22"/>
    <w:qFormat/>
    <w:rsid w:val="00CE3B59"/>
    <w:rPr>
      <w:b/>
      <w:bCs/>
    </w:rPr>
  </w:style>
  <w:style w:type="character" w:customStyle="1" w:styleId="UnresolvedMention1">
    <w:name w:val="Unresolved Mention1"/>
    <w:uiPriority w:val="99"/>
    <w:semiHidden/>
    <w:unhideWhenUsed/>
    <w:rsid w:val="00CE3B59"/>
    <w:rPr>
      <w:color w:val="808080"/>
      <w:shd w:val="clear" w:color="auto" w:fill="E6E6E6"/>
    </w:rPr>
  </w:style>
  <w:style w:type="paragraph" w:styleId="NormalWeb">
    <w:name w:val="Normal (Web)"/>
    <w:basedOn w:val="Normal"/>
    <w:uiPriority w:val="99"/>
    <w:semiHidden/>
    <w:unhideWhenUsed/>
    <w:rsid w:val="008C6A4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B10B3C"/>
    <w:rPr>
      <w:sz w:val="22"/>
      <w:szCs w:val="22"/>
      <w:lang w:val="en-GB" w:eastAsia="en-US"/>
    </w:rPr>
  </w:style>
  <w:style w:type="character" w:customStyle="1" w:styleId="UnresolvedMention2">
    <w:name w:val="Unresolved Mention2"/>
    <w:uiPriority w:val="99"/>
    <w:semiHidden/>
    <w:unhideWhenUsed/>
    <w:rsid w:val="00FA2461"/>
    <w:rPr>
      <w:color w:val="605E5C"/>
      <w:shd w:val="clear" w:color="auto" w:fill="E1DFDD"/>
    </w:rPr>
  </w:style>
  <w:style w:type="character" w:customStyle="1" w:styleId="UnresolvedMention3">
    <w:name w:val="Unresolved Mention3"/>
    <w:basedOn w:val="DefaultParagraphFont"/>
    <w:uiPriority w:val="99"/>
    <w:semiHidden/>
    <w:unhideWhenUsed/>
    <w:rsid w:val="00260DCA"/>
    <w:rPr>
      <w:color w:val="605E5C"/>
      <w:shd w:val="clear" w:color="auto" w:fill="E1DFDD"/>
    </w:rPr>
  </w:style>
  <w:style w:type="paragraph" w:customStyle="1" w:styleId="Default">
    <w:name w:val="Default"/>
    <w:rsid w:val="00D60505"/>
    <w:pPr>
      <w:autoSpaceDE w:val="0"/>
      <w:autoSpaceDN w:val="0"/>
      <w:adjustRightInd w:val="0"/>
    </w:pPr>
    <w:rPr>
      <w:rFonts w:ascii="FGMMLC+TimesNewRoman,Bold" w:hAnsi="FGMMLC+TimesNewRoman,Bold" w:cs="FGMMLC+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085">
      <w:bodyDiv w:val="1"/>
      <w:marLeft w:val="0"/>
      <w:marRight w:val="0"/>
      <w:marTop w:val="0"/>
      <w:marBottom w:val="0"/>
      <w:divBdr>
        <w:top w:val="none" w:sz="0" w:space="0" w:color="auto"/>
        <w:left w:val="none" w:sz="0" w:space="0" w:color="auto"/>
        <w:bottom w:val="none" w:sz="0" w:space="0" w:color="auto"/>
        <w:right w:val="none" w:sz="0" w:space="0" w:color="auto"/>
      </w:divBdr>
      <w:divsChild>
        <w:div w:id="245921917">
          <w:marLeft w:val="0"/>
          <w:marRight w:val="0"/>
          <w:marTop w:val="120"/>
          <w:marBottom w:val="360"/>
          <w:divBdr>
            <w:top w:val="none" w:sz="0" w:space="0" w:color="auto"/>
            <w:left w:val="none" w:sz="0" w:space="0" w:color="auto"/>
            <w:bottom w:val="none" w:sz="0" w:space="0" w:color="auto"/>
            <w:right w:val="none" w:sz="0" w:space="0" w:color="auto"/>
          </w:divBdr>
          <w:divsChild>
            <w:div w:id="1896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373">
      <w:bodyDiv w:val="1"/>
      <w:marLeft w:val="0"/>
      <w:marRight w:val="0"/>
      <w:marTop w:val="0"/>
      <w:marBottom w:val="0"/>
      <w:divBdr>
        <w:top w:val="none" w:sz="0" w:space="0" w:color="auto"/>
        <w:left w:val="none" w:sz="0" w:space="0" w:color="auto"/>
        <w:bottom w:val="none" w:sz="0" w:space="0" w:color="auto"/>
        <w:right w:val="none" w:sz="0" w:space="0" w:color="auto"/>
      </w:divBdr>
      <w:divsChild>
        <w:div w:id="1683900725">
          <w:marLeft w:val="0"/>
          <w:marRight w:val="0"/>
          <w:marTop w:val="120"/>
          <w:marBottom w:val="360"/>
          <w:divBdr>
            <w:top w:val="none" w:sz="0" w:space="0" w:color="auto"/>
            <w:left w:val="none" w:sz="0" w:space="0" w:color="auto"/>
            <w:bottom w:val="none" w:sz="0" w:space="0" w:color="auto"/>
            <w:right w:val="none" w:sz="0" w:space="0" w:color="auto"/>
          </w:divBdr>
          <w:divsChild>
            <w:div w:id="234323467">
              <w:marLeft w:val="0"/>
              <w:marRight w:val="0"/>
              <w:marTop w:val="0"/>
              <w:marBottom w:val="0"/>
              <w:divBdr>
                <w:top w:val="none" w:sz="0" w:space="0" w:color="auto"/>
                <w:left w:val="none" w:sz="0" w:space="0" w:color="auto"/>
                <w:bottom w:val="none" w:sz="0" w:space="0" w:color="auto"/>
                <w:right w:val="none" w:sz="0" w:space="0" w:color="auto"/>
              </w:divBdr>
            </w:div>
            <w:div w:id="718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468">
      <w:bodyDiv w:val="1"/>
      <w:marLeft w:val="0"/>
      <w:marRight w:val="0"/>
      <w:marTop w:val="0"/>
      <w:marBottom w:val="0"/>
      <w:divBdr>
        <w:top w:val="none" w:sz="0" w:space="0" w:color="auto"/>
        <w:left w:val="none" w:sz="0" w:space="0" w:color="auto"/>
        <w:bottom w:val="none" w:sz="0" w:space="0" w:color="auto"/>
        <w:right w:val="none" w:sz="0" w:space="0" w:color="auto"/>
      </w:divBdr>
    </w:div>
    <w:div w:id="377627744">
      <w:bodyDiv w:val="1"/>
      <w:marLeft w:val="0"/>
      <w:marRight w:val="0"/>
      <w:marTop w:val="0"/>
      <w:marBottom w:val="0"/>
      <w:divBdr>
        <w:top w:val="none" w:sz="0" w:space="0" w:color="auto"/>
        <w:left w:val="none" w:sz="0" w:space="0" w:color="auto"/>
        <w:bottom w:val="none" w:sz="0" w:space="0" w:color="auto"/>
        <w:right w:val="none" w:sz="0" w:space="0" w:color="auto"/>
      </w:divBdr>
    </w:div>
    <w:div w:id="440151818">
      <w:bodyDiv w:val="1"/>
      <w:marLeft w:val="0"/>
      <w:marRight w:val="0"/>
      <w:marTop w:val="0"/>
      <w:marBottom w:val="0"/>
      <w:divBdr>
        <w:top w:val="none" w:sz="0" w:space="0" w:color="auto"/>
        <w:left w:val="none" w:sz="0" w:space="0" w:color="auto"/>
        <w:bottom w:val="none" w:sz="0" w:space="0" w:color="auto"/>
        <w:right w:val="none" w:sz="0" w:space="0" w:color="auto"/>
      </w:divBdr>
    </w:div>
    <w:div w:id="588125913">
      <w:bodyDiv w:val="1"/>
      <w:marLeft w:val="0"/>
      <w:marRight w:val="0"/>
      <w:marTop w:val="0"/>
      <w:marBottom w:val="0"/>
      <w:divBdr>
        <w:top w:val="none" w:sz="0" w:space="0" w:color="auto"/>
        <w:left w:val="none" w:sz="0" w:space="0" w:color="auto"/>
        <w:bottom w:val="none" w:sz="0" w:space="0" w:color="auto"/>
        <w:right w:val="none" w:sz="0" w:space="0" w:color="auto"/>
      </w:divBdr>
    </w:div>
    <w:div w:id="601763084">
      <w:bodyDiv w:val="1"/>
      <w:marLeft w:val="0"/>
      <w:marRight w:val="0"/>
      <w:marTop w:val="0"/>
      <w:marBottom w:val="0"/>
      <w:divBdr>
        <w:top w:val="none" w:sz="0" w:space="0" w:color="auto"/>
        <w:left w:val="none" w:sz="0" w:space="0" w:color="auto"/>
        <w:bottom w:val="none" w:sz="0" w:space="0" w:color="auto"/>
        <w:right w:val="none" w:sz="0" w:space="0" w:color="auto"/>
      </w:divBdr>
    </w:div>
    <w:div w:id="602611350">
      <w:bodyDiv w:val="1"/>
      <w:marLeft w:val="0"/>
      <w:marRight w:val="0"/>
      <w:marTop w:val="0"/>
      <w:marBottom w:val="0"/>
      <w:divBdr>
        <w:top w:val="none" w:sz="0" w:space="0" w:color="auto"/>
        <w:left w:val="none" w:sz="0" w:space="0" w:color="auto"/>
        <w:bottom w:val="none" w:sz="0" w:space="0" w:color="auto"/>
        <w:right w:val="none" w:sz="0" w:space="0" w:color="auto"/>
      </w:divBdr>
    </w:div>
    <w:div w:id="626474043">
      <w:bodyDiv w:val="1"/>
      <w:marLeft w:val="0"/>
      <w:marRight w:val="0"/>
      <w:marTop w:val="0"/>
      <w:marBottom w:val="0"/>
      <w:divBdr>
        <w:top w:val="none" w:sz="0" w:space="0" w:color="auto"/>
        <w:left w:val="none" w:sz="0" w:space="0" w:color="auto"/>
        <w:bottom w:val="none" w:sz="0" w:space="0" w:color="auto"/>
        <w:right w:val="none" w:sz="0" w:space="0" w:color="auto"/>
      </w:divBdr>
    </w:div>
    <w:div w:id="684405427">
      <w:bodyDiv w:val="1"/>
      <w:marLeft w:val="0"/>
      <w:marRight w:val="0"/>
      <w:marTop w:val="0"/>
      <w:marBottom w:val="0"/>
      <w:divBdr>
        <w:top w:val="none" w:sz="0" w:space="0" w:color="auto"/>
        <w:left w:val="none" w:sz="0" w:space="0" w:color="auto"/>
        <w:bottom w:val="none" w:sz="0" w:space="0" w:color="auto"/>
        <w:right w:val="none" w:sz="0" w:space="0" w:color="auto"/>
      </w:divBdr>
    </w:div>
    <w:div w:id="695153824">
      <w:bodyDiv w:val="1"/>
      <w:marLeft w:val="0"/>
      <w:marRight w:val="0"/>
      <w:marTop w:val="0"/>
      <w:marBottom w:val="0"/>
      <w:divBdr>
        <w:top w:val="none" w:sz="0" w:space="0" w:color="auto"/>
        <w:left w:val="none" w:sz="0" w:space="0" w:color="auto"/>
        <w:bottom w:val="none" w:sz="0" w:space="0" w:color="auto"/>
        <w:right w:val="none" w:sz="0" w:space="0" w:color="auto"/>
      </w:divBdr>
    </w:div>
    <w:div w:id="702941025">
      <w:bodyDiv w:val="1"/>
      <w:marLeft w:val="0"/>
      <w:marRight w:val="0"/>
      <w:marTop w:val="0"/>
      <w:marBottom w:val="0"/>
      <w:divBdr>
        <w:top w:val="none" w:sz="0" w:space="0" w:color="auto"/>
        <w:left w:val="none" w:sz="0" w:space="0" w:color="auto"/>
        <w:bottom w:val="none" w:sz="0" w:space="0" w:color="auto"/>
        <w:right w:val="none" w:sz="0" w:space="0" w:color="auto"/>
      </w:divBdr>
    </w:div>
    <w:div w:id="712730624">
      <w:bodyDiv w:val="1"/>
      <w:marLeft w:val="0"/>
      <w:marRight w:val="0"/>
      <w:marTop w:val="0"/>
      <w:marBottom w:val="0"/>
      <w:divBdr>
        <w:top w:val="none" w:sz="0" w:space="0" w:color="auto"/>
        <w:left w:val="none" w:sz="0" w:space="0" w:color="auto"/>
        <w:bottom w:val="none" w:sz="0" w:space="0" w:color="auto"/>
        <w:right w:val="none" w:sz="0" w:space="0" w:color="auto"/>
      </w:divBdr>
    </w:div>
    <w:div w:id="747465056">
      <w:bodyDiv w:val="1"/>
      <w:marLeft w:val="0"/>
      <w:marRight w:val="0"/>
      <w:marTop w:val="0"/>
      <w:marBottom w:val="0"/>
      <w:divBdr>
        <w:top w:val="none" w:sz="0" w:space="0" w:color="auto"/>
        <w:left w:val="none" w:sz="0" w:space="0" w:color="auto"/>
        <w:bottom w:val="none" w:sz="0" w:space="0" w:color="auto"/>
        <w:right w:val="none" w:sz="0" w:space="0" w:color="auto"/>
      </w:divBdr>
    </w:div>
    <w:div w:id="802239012">
      <w:bodyDiv w:val="1"/>
      <w:marLeft w:val="0"/>
      <w:marRight w:val="0"/>
      <w:marTop w:val="0"/>
      <w:marBottom w:val="0"/>
      <w:divBdr>
        <w:top w:val="none" w:sz="0" w:space="0" w:color="auto"/>
        <w:left w:val="none" w:sz="0" w:space="0" w:color="auto"/>
        <w:bottom w:val="none" w:sz="0" w:space="0" w:color="auto"/>
        <w:right w:val="none" w:sz="0" w:space="0" w:color="auto"/>
      </w:divBdr>
    </w:div>
    <w:div w:id="823276270">
      <w:bodyDiv w:val="1"/>
      <w:marLeft w:val="0"/>
      <w:marRight w:val="0"/>
      <w:marTop w:val="0"/>
      <w:marBottom w:val="0"/>
      <w:divBdr>
        <w:top w:val="none" w:sz="0" w:space="0" w:color="auto"/>
        <w:left w:val="none" w:sz="0" w:space="0" w:color="auto"/>
        <w:bottom w:val="none" w:sz="0" w:space="0" w:color="auto"/>
        <w:right w:val="none" w:sz="0" w:space="0" w:color="auto"/>
      </w:divBdr>
    </w:div>
    <w:div w:id="834879665">
      <w:bodyDiv w:val="1"/>
      <w:marLeft w:val="0"/>
      <w:marRight w:val="0"/>
      <w:marTop w:val="0"/>
      <w:marBottom w:val="0"/>
      <w:divBdr>
        <w:top w:val="none" w:sz="0" w:space="0" w:color="auto"/>
        <w:left w:val="none" w:sz="0" w:space="0" w:color="auto"/>
        <w:bottom w:val="none" w:sz="0" w:space="0" w:color="auto"/>
        <w:right w:val="none" w:sz="0" w:space="0" w:color="auto"/>
      </w:divBdr>
    </w:div>
    <w:div w:id="837230002">
      <w:bodyDiv w:val="1"/>
      <w:marLeft w:val="0"/>
      <w:marRight w:val="0"/>
      <w:marTop w:val="0"/>
      <w:marBottom w:val="0"/>
      <w:divBdr>
        <w:top w:val="none" w:sz="0" w:space="0" w:color="auto"/>
        <w:left w:val="none" w:sz="0" w:space="0" w:color="auto"/>
        <w:bottom w:val="none" w:sz="0" w:space="0" w:color="auto"/>
        <w:right w:val="none" w:sz="0" w:space="0" w:color="auto"/>
      </w:divBdr>
      <w:divsChild>
        <w:div w:id="266349449">
          <w:marLeft w:val="0"/>
          <w:marRight w:val="0"/>
          <w:marTop w:val="264"/>
          <w:marBottom w:val="0"/>
          <w:divBdr>
            <w:top w:val="none" w:sz="0" w:space="0" w:color="auto"/>
            <w:left w:val="none" w:sz="0" w:space="0" w:color="auto"/>
            <w:bottom w:val="none" w:sz="0" w:space="0" w:color="auto"/>
            <w:right w:val="none" w:sz="0" w:space="0" w:color="auto"/>
          </w:divBdr>
        </w:div>
      </w:divsChild>
    </w:div>
    <w:div w:id="866871435">
      <w:bodyDiv w:val="1"/>
      <w:marLeft w:val="0"/>
      <w:marRight w:val="0"/>
      <w:marTop w:val="0"/>
      <w:marBottom w:val="0"/>
      <w:divBdr>
        <w:top w:val="none" w:sz="0" w:space="0" w:color="auto"/>
        <w:left w:val="none" w:sz="0" w:space="0" w:color="auto"/>
        <w:bottom w:val="none" w:sz="0" w:space="0" w:color="auto"/>
        <w:right w:val="none" w:sz="0" w:space="0" w:color="auto"/>
      </w:divBdr>
    </w:div>
    <w:div w:id="903680257">
      <w:bodyDiv w:val="1"/>
      <w:marLeft w:val="0"/>
      <w:marRight w:val="0"/>
      <w:marTop w:val="0"/>
      <w:marBottom w:val="0"/>
      <w:divBdr>
        <w:top w:val="none" w:sz="0" w:space="0" w:color="auto"/>
        <w:left w:val="none" w:sz="0" w:space="0" w:color="auto"/>
        <w:bottom w:val="none" w:sz="0" w:space="0" w:color="auto"/>
        <w:right w:val="none" w:sz="0" w:space="0" w:color="auto"/>
      </w:divBdr>
    </w:div>
    <w:div w:id="919679600">
      <w:bodyDiv w:val="1"/>
      <w:marLeft w:val="0"/>
      <w:marRight w:val="0"/>
      <w:marTop w:val="0"/>
      <w:marBottom w:val="0"/>
      <w:divBdr>
        <w:top w:val="none" w:sz="0" w:space="0" w:color="auto"/>
        <w:left w:val="none" w:sz="0" w:space="0" w:color="auto"/>
        <w:bottom w:val="none" w:sz="0" w:space="0" w:color="auto"/>
        <w:right w:val="none" w:sz="0" w:space="0" w:color="auto"/>
      </w:divBdr>
    </w:div>
    <w:div w:id="937982894">
      <w:bodyDiv w:val="1"/>
      <w:marLeft w:val="0"/>
      <w:marRight w:val="0"/>
      <w:marTop w:val="0"/>
      <w:marBottom w:val="0"/>
      <w:divBdr>
        <w:top w:val="none" w:sz="0" w:space="0" w:color="auto"/>
        <w:left w:val="none" w:sz="0" w:space="0" w:color="auto"/>
        <w:bottom w:val="none" w:sz="0" w:space="0" w:color="auto"/>
        <w:right w:val="none" w:sz="0" w:space="0" w:color="auto"/>
      </w:divBdr>
    </w:div>
    <w:div w:id="944115595">
      <w:bodyDiv w:val="1"/>
      <w:marLeft w:val="0"/>
      <w:marRight w:val="0"/>
      <w:marTop w:val="0"/>
      <w:marBottom w:val="0"/>
      <w:divBdr>
        <w:top w:val="none" w:sz="0" w:space="0" w:color="auto"/>
        <w:left w:val="none" w:sz="0" w:space="0" w:color="auto"/>
        <w:bottom w:val="none" w:sz="0" w:space="0" w:color="auto"/>
        <w:right w:val="none" w:sz="0" w:space="0" w:color="auto"/>
      </w:divBdr>
    </w:div>
    <w:div w:id="989094514">
      <w:bodyDiv w:val="1"/>
      <w:marLeft w:val="0"/>
      <w:marRight w:val="0"/>
      <w:marTop w:val="0"/>
      <w:marBottom w:val="0"/>
      <w:divBdr>
        <w:top w:val="none" w:sz="0" w:space="0" w:color="auto"/>
        <w:left w:val="none" w:sz="0" w:space="0" w:color="auto"/>
        <w:bottom w:val="none" w:sz="0" w:space="0" w:color="auto"/>
        <w:right w:val="none" w:sz="0" w:space="0" w:color="auto"/>
      </w:divBdr>
      <w:divsChild>
        <w:div w:id="945383416">
          <w:marLeft w:val="0"/>
          <w:marRight w:val="0"/>
          <w:marTop w:val="0"/>
          <w:marBottom w:val="0"/>
          <w:divBdr>
            <w:top w:val="none" w:sz="0" w:space="0" w:color="auto"/>
            <w:left w:val="none" w:sz="0" w:space="0" w:color="auto"/>
            <w:bottom w:val="none" w:sz="0" w:space="0" w:color="auto"/>
            <w:right w:val="none" w:sz="0" w:space="0" w:color="auto"/>
          </w:divBdr>
        </w:div>
      </w:divsChild>
    </w:div>
    <w:div w:id="994335064">
      <w:bodyDiv w:val="1"/>
      <w:marLeft w:val="0"/>
      <w:marRight w:val="0"/>
      <w:marTop w:val="0"/>
      <w:marBottom w:val="0"/>
      <w:divBdr>
        <w:top w:val="none" w:sz="0" w:space="0" w:color="auto"/>
        <w:left w:val="none" w:sz="0" w:space="0" w:color="auto"/>
        <w:bottom w:val="none" w:sz="0" w:space="0" w:color="auto"/>
        <w:right w:val="none" w:sz="0" w:space="0" w:color="auto"/>
      </w:divBdr>
      <w:divsChild>
        <w:div w:id="546575850">
          <w:marLeft w:val="0"/>
          <w:marRight w:val="0"/>
          <w:marTop w:val="0"/>
          <w:marBottom w:val="0"/>
          <w:divBdr>
            <w:top w:val="none" w:sz="0" w:space="0" w:color="auto"/>
            <w:left w:val="none" w:sz="0" w:space="0" w:color="auto"/>
            <w:bottom w:val="none" w:sz="0" w:space="0" w:color="auto"/>
            <w:right w:val="none" w:sz="0" w:space="0" w:color="auto"/>
          </w:divBdr>
        </w:div>
      </w:divsChild>
    </w:div>
    <w:div w:id="1017389801">
      <w:bodyDiv w:val="1"/>
      <w:marLeft w:val="0"/>
      <w:marRight w:val="0"/>
      <w:marTop w:val="0"/>
      <w:marBottom w:val="0"/>
      <w:divBdr>
        <w:top w:val="none" w:sz="0" w:space="0" w:color="auto"/>
        <w:left w:val="none" w:sz="0" w:space="0" w:color="auto"/>
        <w:bottom w:val="none" w:sz="0" w:space="0" w:color="auto"/>
        <w:right w:val="none" w:sz="0" w:space="0" w:color="auto"/>
      </w:divBdr>
    </w:div>
    <w:div w:id="1074009485">
      <w:bodyDiv w:val="1"/>
      <w:marLeft w:val="0"/>
      <w:marRight w:val="0"/>
      <w:marTop w:val="0"/>
      <w:marBottom w:val="0"/>
      <w:divBdr>
        <w:top w:val="none" w:sz="0" w:space="0" w:color="auto"/>
        <w:left w:val="none" w:sz="0" w:space="0" w:color="auto"/>
        <w:bottom w:val="none" w:sz="0" w:space="0" w:color="auto"/>
        <w:right w:val="none" w:sz="0" w:space="0" w:color="auto"/>
      </w:divBdr>
    </w:div>
    <w:div w:id="1075854902">
      <w:bodyDiv w:val="1"/>
      <w:marLeft w:val="0"/>
      <w:marRight w:val="0"/>
      <w:marTop w:val="0"/>
      <w:marBottom w:val="0"/>
      <w:divBdr>
        <w:top w:val="none" w:sz="0" w:space="0" w:color="auto"/>
        <w:left w:val="none" w:sz="0" w:space="0" w:color="auto"/>
        <w:bottom w:val="none" w:sz="0" w:space="0" w:color="auto"/>
        <w:right w:val="none" w:sz="0" w:space="0" w:color="auto"/>
      </w:divBdr>
    </w:div>
    <w:div w:id="1126702112">
      <w:bodyDiv w:val="1"/>
      <w:marLeft w:val="0"/>
      <w:marRight w:val="0"/>
      <w:marTop w:val="0"/>
      <w:marBottom w:val="0"/>
      <w:divBdr>
        <w:top w:val="none" w:sz="0" w:space="0" w:color="auto"/>
        <w:left w:val="none" w:sz="0" w:space="0" w:color="auto"/>
        <w:bottom w:val="none" w:sz="0" w:space="0" w:color="auto"/>
        <w:right w:val="none" w:sz="0" w:space="0" w:color="auto"/>
      </w:divBdr>
    </w:div>
    <w:div w:id="1144346747">
      <w:bodyDiv w:val="1"/>
      <w:marLeft w:val="0"/>
      <w:marRight w:val="0"/>
      <w:marTop w:val="0"/>
      <w:marBottom w:val="0"/>
      <w:divBdr>
        <w:top w:val="none" w:sz="0" w:space="0" w:color="auto"/>
        <w:left w:val="none" w:sz="0" w:space="0" w:color="auto"/>
        <w:bottom w:val="none" w:sz="0" w:space="0" w:color="auto"/>
        <w:right w:val="none" w:sz="0" w:space="0" w:color="auto"/>
      </w:divBdr>
    </w:div>
    <w:div w:id="1159005307">
      <w:bodyDiv w:val="1"/>
      <w:marLeft w:val="0"/>
      <w:marRight w:val="0"/>
      <w:marTop w:val="0"/>
      <w:marBottom w:val="0"/>
      <w:divBdr>
        <w:top w:val="none" w:sz="0" w:space="0" w:color="auto"/>
        <w:left w:val="none" w:sz="0" w:space="0" w:color="auto"/>
        <w:bottom w:val="none" w:sz="0" w:space="0" w:color="auto"/>
        <w:right w:val="none" w:sz="0" w:space="0" w:color="auto"/>
      </w:divBdr>
      <w:divsChild>
        <w:div w:id="573472628">
          <w:marLeft w:val="0"/>
          <w:marRight w:val="0"/>
          <w:marTop w:val="120"/>
          <w:marBottom w:val="36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16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345">
      <w:bodyDiv w:val="1"/>
      <w:marLeft w:val="0"/>
      <w:marRight w:val="0"/>
      <w:marTop w:val="0"/>
      <w:marBottom w:val="0"/>
      <w:divBdr>
        <w:top w:val="none" w:sz="0" w:space="0" w:color="auto"/>
        <w:left w:val="none" w:sz="0" w:space="0" w:color="auto"/>
        <w:bottom w:val="none" w:sz="0" w:space="0" w:color="auto"/>
        <w:right w:val="none" w:sz="0" w:space="0" w:color="auto"/>
      </w:divBdr>
    </w:div>
    <w:div w:id="1221748001">
      <w:bodyDiv w:val="1"/>
      <w:marLeft w:val="0"/>
      <w:marRight w:val="0"/>
      <w:marTop w:val="0"/>
      <w:marBottom w:val="0"/>
      <w:divBdr>
        <w:top w:val="none" w:sz="0" w:space="0" w:color="auto"/>
        <w:left w:val="none" w:sz="0" w:space="0" w:color="auto"/>
        <w:bottom w:val="none" w:sz="0" w:space="0" w:color="auto"/>
        <w:right w:val="none" w:sz="0" w:space="0" w:color="auto"/>
      </w:divBdr>
    </w:div>
    <w:div w:id="1239632166">
      <w:bodyDiv w:val="1"/>
      <w:marLeft w:val="0"/>
      <w:marRight w:val="0"/>
      <w:marTop w:val="0"/>
      <w:marBottom w:val="0"/>
      <w:divBdr>
        <w:top w:val="none" w:sz="0" w:space="0" w:color="auto"/>
        <w:left w:val="none" w:sz="0" w:space="0" w:color="auto"/>
        <w:bottom w:val="none" w:sz="0" w:space="0" w:color="auto"/>
        <w:right w:val="none" w:sz="0" w:space="0" w:color="auto"/>
      </w:divBdr>
    </w:div>
    <w:div w:id="1241333860">
      <w:bodyDiv w:val="1"/>
      <w:marLeft w:val="0"/>
      <w:marRight w:val="0"/>
      <w:marTop w:val="0"/>
      <w:marBottom w:val="0"/>
      <w:divBdr>
        <w:top w:val="none" w:sz="0" w:space="0" w:color="auto"/>
        <w:left w:val="none" w:sz="0" w:space="0" w:color="auto"/>
        <w:bottom w:val="none" w:sz="0" w:space="0" w:color="auto"/>
        <w:right w:val="none" w:sz="0" w:space="0" w:color="auto"/>
      </w:divBdr>
    </w:div>
    <w:div w:id="1263226986">
      <w:bodyDiv w:val="1"/>
      <w:marLeft w:val="0"/>
      <w:marRight w:val="0"/>
      <w:marTop w:val="0"/>
      <w:marBottom w:val="0"/>
      <w:divBdr>
        <w:top w:val="none" w:sz="0" w:space="0" w:color="auto"/>
        <w:left w:val="none" w:sz="0" w:space="0" w:color="auto"/>
        <w:bottom w:val="none" w:sz="0" w:space="0" w:color="auto"/>
        <w:right w:val="none" w:sz="0" w:space="0" w:color="auto"/>
      </w:divBdr>
    </w:div>
    <w:div w:id="1300650356">
      <w:bodyDiv w:val="1"/>
      <w:marLeft w:val="0"/>
      <w:marRight w:val="0"/>
      <w:marTop w:val="0"/>
      <w:marBottom w:val="0"/>
      <w:divBdr>
        <w:top w:val="none" w:sz="0" w:space="0" w:color="auto"/>
        <w:left w:val="none" w:sz="0" w:space="0" w:color="auto"/>
        <w:bottom w:val="none" w:sz="0" w:space="0" w:color="auto"/>
        <w:right w:val="none" w:sz="0" w:space="0" w:color="auto"/>
      </w:divBdr>
    </w:div>
    <w:div w:id="1347631358">
      <w:bodyDiv w:val="1"/>
      <w:marLeft w:val="0"/>
      <w:marRight w:val="0"/>
      <w:marTop w:val="0"/>
      <w:marBottom w:val="0"/>
      <w:divBdr>
        <w:top w:val="none" w:sz="0" w:space="0" w:color="auto"/>
        <w:left w:val="none" w:sz="0" w:space="0" w:color="auto"/>
        <w:bottom w:val="none" w:sz="0" w:space="0" w:color="auto"/>
        <w:right w:val="none" w:sz="0" w:space="0" w:color="auto"/>
      </w:divBdr>
    </w:div>
    <w:div w:id="1383796232">
      <w:bodyDiv w:val="1"/>
      <w:marLeft w:val="0"/>
      <w:marRight w:val="0"/>
      <w:marTop w:val="0"/>
      <w:marBottom w:val="0"/>
      <w:divBdr>
        <w:top w:val="none" w:sz="0" w:space="0" w:color="auto"/>
        <w:left w:val="none" w:sz="0" w:space="0" w:color="auto"/>
        <w:bottom w:val="none" w:sz="0" w:space="0" w:color="auto"/>
        <w:right w:val="none" w:sz="0" w:space="0" w:color="auto"/>
      </w:divBdr>
    </w:div>
    <w:div w:id="1394082886">
      <w:bodyDiv w:val="1"/>
      <w:marLeft w:val="0"/>
      <w:marRight w:val="0"/>
      <w:marTop w:val="0"/>
      <w:marBottom w:val="0"/>
      <w:divBdr>
        <w:top w:val="none" w:sz="0" w:space="0" w:color="auto"/>
        <w:left w:val="none" w:sz="0" w:space="0" w:color="auto"/>
        <w:bottom w:val="none" w:sz="0" w:space="0" w:color="auto"/>
        <w:right w:val="none" w:sz="0" w:space="0" w:color="auto"/>
      </w:divBdr>
      <w:divsChild>
        <w:div w:id="94332784">
          <w:marLeft w:val="0"/>
          <w:marRight w:val="0"/>
          <w:marTop w:val="0"/>
          <w:marBottom w:val="0"/>
          <w:divBdr>
            <w:top w:val="none" w:sz="0" w:space="0" w:color="auto"/>
            <w:left w:val="none" w:sz="0" w:space="0" w:color="auto"/>
            <w:bottom w:val="none" w:sz="0" w:space="0" w:color="auto"/>
            <w:right w:val="none" w:sz="0" w:space="0" w:color="auto"/>
          </w:divBdr>
        </w:div>
        <w:div w:id="150605269">
          <w:marLeft w:val="0"/>
          <w:marRight w:val="0"/>
          <w:marTop w:val="0"/>
          <w:marBottom w:val="0"/>
          <w:divBdr>
            <w:top w:val="none" w:sz="0" w:space="0" w:color="auto"/>
            <w:left w:val="none" w:sz="0" w:space="0" w:color="auto"/>
            <w:bottom w:val="none" w:sz="0" w:space="0" w:color="auto"/>
            <w:right w:val="none" w:sz="0" w:space="0" w:color="auto"/>
          </w:divBdr>
        </w:div>
        <w:div w:id="309288732">
          <w:marLeft w:val="0"/>
          <w:marRight w:val="0"/>
          <w:marTop w:val="0"/>
          <w:marBottom w:val="0"/>
          <w:divBdr>
            <w:top w:val="none" w:sz="0" w:space="0" w:color="auto"/>
            <w:left w:val="none" w:sz="0" w:space="0" w:color="auto"/>
            <w:bottom w:val="none" w:sz="0" w:space="0" w:color="auto"/>
            <w:right w:val="none" w:sz="0" w:space="0" w:color="auto"/>
          </w:divBdr>
        </w:div>
        <w:div w:id="326249907">
          <w:marLeft w:val="0"/>
          <w:marRight w:val="0"/>
          <w:marTop w:val="0"/>
          <w:marBottom w:val="0"/>
          <w:divBdr>
            <w:top w:val="none" w:sz="0" w:space="0" w:color="auto"/>
            <w:left w:val="none" w:sz="0" w:space="0" w:color="auto"/>
            <w:bottom w:val="none" w:sz="0" w:space="0" w:color="auto"/>
            <w:right w:val="none" w:sz="0" w:space="0" w:color="auto"/>
          </w:divBdr>
        </w:div>
        <w:div w:id="520628557">
          <w:marLeft w:val="0"/>
          <w:marRight w:val="0"/>
          <w:marTop w:val="0"/>
          <w:marBottom w:val="0"/>
          <w:divBdr>
            <w:top w:val="none" w:sz="0" w:space="0" w:color="auto"/>
            <w:left w:val="none" w:sz="0" w:space="0" w:color="auto"/>
            <w:bottom w:val="none" w:sz="0" w:space="0" w:color="auto"/>
            <w:right w:val="none" w:sz="0" w:space="0" w:color="auto"/>
          </w:divBdr>
        </w:div>
        <w:div w:id="541674620">
          <w:marLeft w:val="0"/>
          <w:marRight w:val="0"/>
          <w:marTop w:val="0"/>
          <w:marBottom w:val="0"/>
          <w:divBdr>
            <w:top w:val="none" w:sz="0" w:space="0" w:color="auto"/>
            <w:left w:val="none" w:sz="0" w:space="0" w:color="auto"/>
            <w:bottom w:val="none" w:sz="0" w:space="0" w:color="auto"/>
            <w:right w:val="none" w:sz="0" w:space="0" w:color="auto"/>
          </w:divBdr>
        </w:div>
        <w:div w:id="637419433">
          <w:marLeft w:val="0"/>
          <w:marRight w:val="0"/>
          <w:marTop w:val="0"/>
          <w:marBottom w:val="0"/>
          <w:divBdr>
            <w:top w:val="none" w:sz="0" w:space="0" w:color="auto"/>
            <w:left w:val="none" w:sz="0" w:space="0" w:color="auto"/>
            <w:bottom w:val="none" w:sz="0" w:space="0" w:color="auto"/>
            <w:right w:val="none" w:sz="0" w:space="0" w:color="auto"/>
          </w:divBdr>
        </w:div>
        <w:div w:id="649602615">
          <w:marLeft w:val="0"/>
          <w:marRight w:val="0"/>
          <w:marTop w:val="0"/>
          <w:marBottom w:val="0"/>
          <w:divBdr>
            <w:top w:val="none" w:sz="0" w:space="0" w:color="auto"/>
            <w:left w:val="none" w:sz="0" w:space="0" w:color="auto"/>
            <w:bottom w:val="none" w:sz="0" w:space="0" w:color="auto"/>
            <w:right w:val="none" w:sz="0" w:space="0" w:color="auto"/>
          </w:divBdr>
        </w:div>
        <w:div w:id="668364572">
          <w:marLeft w:val="0"/>
          <w:marRight w:val="0"/>
          <w:marTop w:val="0"/>
          <w:marBottom w:val="0"/>
          <w:divBdr>
            <w:top w:val="none" w:sz="0" w:space="0" w:color="auto"/>
            <w:left w:val="none" w:sz="0" w:space="0" w:color="auto"/>
            <w:bottom w:val="none" w:sz="0" w:space="0" w:color="auto"/>
            <w:right w:val="none" w:sz="0" w:space="0" w:color="auto"/>
          </w:divBdr>
        </w:div>
        <w:div w:id="801309234">
          <w:marLeft w:val="0"/>
          <w:marRight w:val="0"/>
          <w:marTop w:val="0"/>
          <w:marBottom w:val="0"/>
          <w:divBdr>
            <w:top w:val="none" w:sz="0" w:space="0" w:color="auto"/>
            <w:left w:val="none" w:sz="0" w:space="0" w:color="auto"/>
            <w:bottom w:val="none" w:sz="0" w:space="0" w:color="auto"/>
            <w:right w:val="none" w:sz="0" w:space="0" w:color="auto"/>
          </w:divBdr>
        </w:div>
        <w:div w:id="918639089">
          <w:marLeft w:val="0"/>
          <w:marRight w:val="0"/>
          <w:marTop w:val="0"/>
          <w:marBottom w:val="0"/>
          <w:divBdr>
            <w:top w:val="none" w:sz="0" w:space="0" w:color="auto"/>
            <w:left w:val="none" w:sz="0" w:space="0" w:color="auto"/>
            <w:bottom w:val="none" w:sz="0" w:space="0" w:color="auto"/>
            <w:right w:val="none" w:sz="0" w:space="0" w:color="auto"/>
          </w:divBdr>
        </w:div>
        <w:div w:id="927616147">
          <w:marLeft w:val="0"/>
          <w:marRight w:val="0"/>
          <w:marTop w:val="0"/>
          <w:marBottom w:val="0"/>
          <w:divBdr>
            <w:top w:val="none" w:sz="0" w:space="0" w:color="auto"/>
            <w:left w:val="none" w:sz="0" w:space="0" w:color="auto"/>
            <w:bottom w:val="none" w:sz="0" w:space="0" w:color="auto"/>
            <w:right w:val="none" w:sz="0" w:space="0" w:color="auto"/>
          </w:divBdr>
        </w:div>
        <w:div w:id="992366938">
          <w:marLeft w:val="0"/>
          <w:marRight w:val="0"/>
          <w:marTop w:val="0"/>
          <w:marBottom w:val="0"/>
          <w:divBdr>
            <w:top w:val="none" w:sz="0" w:space="0" w:color="auto"/>
            <w:left w:val="none" w:sz="0" w:space="0" w:color="auto"/>
            <w:bottom w:val="none" w:sz="0" w:space="0" w:color="auto"/>
            <w:right w:val="none" w:sz="0" w:space="0" w:color="auto"/>
          </w:divBdr>
        </w:div>
        <w:div w:id="1040588529">
          <w:marLeft w:val="0"/>
          <w:marRight w:val="0"/>
          <w:marTop w:val="0"/>
          <w:marBottom w:val="0"/>
          <w:divBdr>
            <w:top w:val="none" w:sz="0" w:space="0" w:color="auto"/>
            <w:left w:val="none" w:sz="0" w:space="0" w:color="auto"/>
            <w:bottom w:val="none" w:sz="0" w:space="0" w:color="auto"/>
            <w:right w:val="none" w:sz="0" w:space="0" w:color="auto"/>
          </w:divBdr>
        </w:div>
        <w:div w:id="1060052604">
          <w:marLeft w:val="0"/>
          <w:marRight w:val="0"/>
          <w:marTop w:val="0"/>
          <w:marBottom w:val="0"/>
          <w:divBdr>
            <w:top w:val="none" w:sz="0" w:space="0" w:color="auto"/>
            <w:left w:val="none" w:sz="0" w:space="0" w:color="auto"/>
            <w:bottom w:val="none" w:sz="0" w:space="0" w:color="auto"/>
            <w:right w:val="none" w:sz="0" w:space="0" w:color="auto"/>
          </w:divBdr>
        </w:div>
        <w:div w:id="1278633840">
          <w:marLeft w:val="0"/>
          <w:marRight w:val="0"/>
          <w:marTop w:val="0"/>
          <w:marBottom w:val="0"/>
          <w:divBdr>
            <w:top w:val="none" w:sz="0" w:space="0" w:color="auto"/>
            <w:left w:val="none" w:sz="0" w:space="0" w:color="auto"/>
            <w:bottom w:val="none" w:sz="0" w:space="0" w:color="auto"/>
            <w:right w:val="none" w:sz="0" w:space="0" w:color="auto"/>
          </w:divBdr>
        </w:div>
        <w:div w:id="1550796485">
          <w:marLeft w:val="0"/>
          <w:marRight w:val="0"/>
          <w:marTop w:val="0"/>
          <w:marBottom w:val="0"/>
          <w:divBdr>
            <w:top w:val="none" w:sz="0" w:space="0" w:color="auto"/>
            <w:left w:val="none" w:sz="0" w:space="0" w:color="auto"/>
            <w:bottom w:val="none" w:sz="0" w:space="0" w:color="auto"/>
            <w:right w:val="none" w:sz="0" w:space="0" w:color="auto"/>
          </w:divBdr>
        </w:div>
        <w:div w:id="1578442225">
          <w:marLeft w:val="0"/>
          <w:marRight w:val="0"/>
          <w:marTop w:val="0"/>
          <w:marBottom w:val="0"/>
          <w:divBdr>
            <w:top w:val="none" w:sz="0" w:space="0" w:color="auto"/>
            <w:left w:val="none" w:sz="0" w:space="0" w:color="auto"/>
            <w:bottom w:val="none" w:sz="0" w:space="0" w:color="auto"/>
            <w:right w:val="none" w:sz="0" w:space="0" w:color="auto"/>
          </w:divBdr>
        </w:div>
        <w:div w:id="1737045704">
          <w:marLeft w:val="0"/>
          <w:marRight w:val="0"/>
          <w:marTop w:val="0"/>
          <w:marBottom w:val="0"/>
          <w:divBdr>
            <w:top w:val="none" w:sz="0" w:space="0" w:color="auto"/>
            <w:left w:val="none" w:sz="0" w:space="0" w:color="auto"/>
            <w:bottom w:val="none" w:sz="0" w:space="0" w:color="auto"/>
            <w:right w:val="none" w:sz="0" w:space="0" w:color="auto"/>
          </w:divBdr>
        </w:div>
        <w:div w:id="1784691879">
          <w:marLeft w:val="0"/>
          <w:marRight w:val="0"/>
          <w:marTop w:val="0"/>
          <w:marBottom w:val="0"/>
          <w:divBdr>
            <w:top w:val="none" w:sz="0" w:space="0" w:color="auto"/>
            <w:left w:val="none" w:sz="0" w:space="0" w:color="auto"/>
            <w:bottom w:val="none" w:sz="0" w:space="0" w:color="auto"/>
            <w:right w:val="none" w:sz="0" w:space="0" w:color="auto"/>
          </w:divBdr>
        </w:div>
        <w:div w:id="1820877979">
          <w:marLeft w:val="0"/>
          <w:marRight w:val="0"/>
          <w:marTop w:val="0"/>
          <w:marBottom w:val="0"/>
          <w:divBdr>
            <w:top w:val="none" w:sz="0" w:space="0" w:color="auto"/>
            <w:left w:val="none" w:sz="0" w:space="0" w:color="auto"/>
            <w:bottom w:val="none" w:sz="0" w:space="0" w:color="auto"/>
            <w:right w:val="none" w:sz="0" w:space="0" w:color="auto"/>
          </w:divBdr>
        </w:div>
      </w:divsChild>
    </w:div>
    <w:div w:id="1571847623">
      <w:bodyDiv w:val="1"/>
      <w:marLeft w:val="0"/>
      <w:marRight w:val="0"/>
      <w:marTop w:val="0"/>
      <w:marBottom w:val="0"/>
      <w:divBdr>
        <w:top w:val="none" w:sz="0" w:space="0" w:color="auto"/>
        <w:left w:val="none" w:sz="0" w:space="0" w:color="auto"/>
        <w:bottom w:val="none" w:sz="0" w:space="0" w:color="auto"/>
        <w:right w:val="none" w:sz="0" w:space="0" w:color="auto"/>
      </w:divBdr>
    </w:div>
    <w:div w:id="1574316256">
      <w:bodyDiv w:val="1"/>
      <w:marLeft w:val="0"/>
      <w:marRight w:val="0"/>
      <w:marTop w:val="0"/>
      <w:marBottom w:val="0"/>
      <w:divBdr>
        <w:top w:val="none" w:sz="0" w:space="0" w:color="auto"/>
        <w:left w:val="none" w:sz="0" w:space="0" w:color="auto"/>
        <w:bottom w:val="none" w:sz="0" w:space="0" w:color="auto"/>
        <w:right w:val="none" w:sz="0" w:space="0" w:color="auto"/>
      </w:divBdr>
    </w:div>
    <w:div w:id="1613243321">
      <w:bodyDiv w:val="1"/>
      <w:marLeft w:val="0"/>
      <w:marRight w:val="0"/>
      <w:marTop w:val="0"/>
      <w:marBottom w:val="0"/>
      <w:divBdr>
        <w:top w:val="none" w:sz="0" w:space="0" w:color="auto"/>
        <w:left w:val="none" w:sz="0" w:space="0" w:color="auto"/>
        <w:bottom w:val="none" w:sz="0" w:space="0" w:color="auto"/>
        <w:right w:val="none" w:sz="0" w:space="0" w:color="auto"/>
      </w:divBdr>
    </w:div>
    <w:div w:id="1617060849">
      <w:bodyDiv w:val="1"/>
      <w:marLeft w:val="0"/>
      <w:marRight w:val="0"/>
      <w:marTop w:val="0"/>
      <w:marBottom w:val="0"/>
      <w:divBdr>
        <w:top w:val="none" w:sz="0" w:space="0" w:color="auto"/>
        <w:left w:val="none" w:sz="0" w:space="0" w:color="auto"/>
        <w:bottom w:val="none" w:sz="0" w:space="0" w:color="auto"/>
        <w:right w:val="none" w:sz="0" w:space="0" w:color="auto"/>
      </w:divBdr>
    </w:div>
    <w:div w:id="164076617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681003595">
      <w:bodyDiv w:val="1"/>
      <w:marLeft w:val="0"/>
      <w:marRight w:val="0"/>
      <w:marTop w:val="0"/>
      <w:marBottom w:val="0"/>
      <w:divBdr>
        <w:top w:val="none" w:sz="0" w:space="0" w:color="auto"/>
        <w:left w:val="none" w:sz="0" w:space="0" w:color="auto"/>
        <w:bottom w:val="none" w:sz="0" w:space="0" w:color="auto"/>
        <w:right w:val="none" w:sz="0" w:space="0" w:color="auto"/>
      </w:divBdr>
    </w:div>
    <w:div w:id="1691251054">
      <w:bodyDiv w:val="1"/>
      <w:marLeft w:val="0"/>
      <w:marRight w:val="0"/>
      <w:marTop w:val="0"/>
      <w:marBottom w:val="0"/>
      <w:divBdr>
        <w:top w:val="none" w:sz="0" w:space="0" w:color="auto"/>
        <w:left w:val="none" w:sz="0" w:space="0" w:color="auto"/>
        <w:bottom w:val="none" w:sz="0" w:space="0" w:color="auto"/>
        <w:right w:val="none" w:sz="0" w:space="0" w:color="auto"/>
      </w:divBdr>
    </w:div>
    <w:div w:id="1752198828">
      <w:bodyDiv w:val="1"/>
      <w:marLeft w:val="0"/>
      <w:marRight w:val="0"/>
      <w:marTop w:val="0"/>
      <w:marBottom w:val="0"/>
      <w:divBdr>
        <w:top w:val="none" w:sz="0" w:space="0" w:color="auto"/>
        <w:left w:val="none" w:sz="0" w:space="0" w:color="auto"/>
        <w:bottom w:val="none" w:sz="0" w:space="0" w:color="auto"/>
        <w:right w:val="none" w:sz="0" w:space="0" w:color="auto"/>
      </w:divBdr>
    </w:div>
    <w:div w:id="1762682915">
      <w:bodyDiv w:val="1"/>
      <w:marLeft w:val="0"/>
      <w:marRight w:val="0"/>
      <w:marTop w:val="0"/>
      <w:marBottom w:val="0"/>
      <w:divBdr>
        <w:top w:val="none" w:sz="0" w:space="0" w:color="auto"/>
        <w:left w:val="none" w:sz="0" w:space="0" w:color="auto"/>
        <w:bottom w:val="none" w:sz="0" w:space="0" w:color="auto"/>
        <w:right w:val="none" w:sz="0" w:space="0" w:color="auto"/>
      </w:divBdr>
    </w:div>
    <w:div w:id="1773549843">
      <w:bodyDiv w:val="1"/>
      <w:marLeft w:val="0"/>
      <w:marRight w:val="0"/>
      <w:marTop w:val="0"/>
      <w:marBottom w:val="0"/>
      <w:divBdr>
        <w:top w:val="none" w:sz="0" w:space="0" w:color="auto"/>
        <w:left w:val="none" w:sz="0" w:space="0" w:color="auto"/>
        <w:bottom w:val="none" w:sz="0" w:space="0" w:color="auto"/>
        <w:right w:val="none" w:sz="0" w:space="0" w:color="auto"/>
      </w:divBdr>
    </w:div>
    <w:div w:id="1775633794">
      <w:bodyDiv w:val="1"/>
      <w:marLeft w:val="0"/>
      <w:marRight w:val="0"/>
      <w:marTop w:val="0"/>
      <w:marBottom w:val="0"/>
      <w:divBdr>
        <w:top w:val="none" w:sz="0" w:space="0" w:color="auto"/>
        <w:left w:val="none" w:sz="0" w:space="0" w:color="auto"/>
        <w:bottom w:val="none" w:sz="0" w:space="0" w:color="auto"/>
        <w:right w:val="none" w:sz="0" w:space="0" w:color="auto"/>
      </w:divBdr>
      <w:divsChild>
        <w:div w:id="1476216953">
          <w:marLeft w:val="0"/>
          <w:marRight w:val="0"/>
          <w:marTop w:val="0"/>
          <w:marBottom w:val="0"/>
          <w:divBdr>
            <w:top w:val="none" w:sz="0" w:space="0" w:color="auto"/>
            <w:left w:val="none" w:sz="0" w:space="0" w:color="auto"/>
            <w:bottom w:val="none" w:sz="0" w:space="0" w:color="auto"/>
            <w:right w:val="none" w:sz="0" w:space="0" w:color="auto"/>
          </w:divBdr>
        </w:div>
      </w:divsChild>
    </w:div>
    <w:div w:id="1797679576">
      <w:bodyDiv w:val="1"/>
      <w:marLeft w:val="0"/>
      <w:marRight w:val="0"/>
      <w:marTop w:val="0"/>
      <w:marBottom w:val="0"/>
      <w:divBdr>
        <w:top w:val="none" w:sz="0" w:space="0" w:color="auto"/>
        <w:left w:val="none" w:sz="0" w:space="0" w:color="auto"/>
        <w:bottom w:val="none" w:sz="0" w:space="0" w:color="auto"/>
        <w:right w:val="none" w:sz="0" w:space="0" w:color="auto"/>
      </w:divBdr>
    </w:div>
    <w:div w:id="1810174052">
      <w:bodyDiv w:val="1"/>
      <w:marLeft w:val="0"/>
      <w:marRight w:val="0"/>
      <w:marTop w:val="0"/>
      <w:marBottom w:val="0"/>
      <w:divBdr>
        <w:top w:val="none" w:sz="0" w:space="0" w:color="auto"/>
        <w:left w:val="none" w:sz="0" w:space="0" w:color="auto"/>
        <w:bottom w:val="none" w:sz="0" w:space="0" w:color="auto"/>
        <w:right w:val="none" w:sz="0" w:space="0" w:color="auto"/>
      </w:divBdr>
    </w:div>
    <w:div w:id="1812165236">
      <w:bodyDiv w:val="1"/>
      <w:marLeft w:val="0"/>
      <w:marRight w:val="0"/>
      <w:marTop w:val="0"/>
      <w:marBottom w:val="0"/>
      <w:divBdr>
        <w:top w:val="none" w:sz="0" w:space="0" w:color="auto"/>
        <w:left w:val="none" w:sz="0" w:space="0" w:color="auto"/>
        <w:bottom w:val="none" w:sz="0" w:space="0" w:color="auto"/>
        <w:right w:val="none" w:sz="0" w:space="0" w:color="auto"/>
      </w:divBdr>
    </w:div>
    <w:div w:id="1824589189">
      <w:bodyDiv w:val="1"/>
      <w:marLeft w:val="0"/>
      <w:marRight w:val="0"/>
      <w:marTop w:val="0"/>
      <w:marBottom w:val="0"/>
      <w:divBdr>
        <w:top w:val="none" w:sz="0" w:space="0" w:color="auto"/>
        <w:left w:val="none" w:sz="0" w:space="0" w:color="auto"/>
        <w:bottom w:val="none" w:sz="0" w:space="0" w:color="auto"/>
        <w:right w:val="none" w:sz="0" w:space="0" w:color="auto"/>
      </w:divBdr>
    </w:div>
    <w:div w:id="1911501695">
      <w:bodyDiv w:val="1"/>
      <w:marLeft w:val="0"/>
      <w:marRight w:val="0"/>
      <w:marTop w:val="0"/>
      <w:marBottom w:val="0"/>
      <w:divBdr>
        <w:top w:val="none" w:sz="0" w:space="0" w:color="auto"/>
        <w:left w:val="none" w:sz="0" w:space="0" w:color="auto"/>
        <w:bottom w:val="none" w:sz="0" w:space="0" w:color="auto"/>
        <w:right w:val="none" w:sz="0" w:space="0" w:color="auto"/>
      </w:divBdr>
    </w:div>
    <w:div w:id="1930843146">
      <w:bodyDiv w:val="1"/>
      <w:marLeft w:val="0"/>
      <w:marRight w:val="0"/>
      <w:marTop w:val="0"/>
      <w:marBottom w:val="0"/>
      <w:divBdr>
        <w:top w:val="none" w:sz="0" w:space="0" w:color="auto"/>
        <w:left w:val="none" w:sz="0" w:space="0" w:color="auto"/>
        <w:bottom w:val="none" w:sz="0" w:space="0" w:color="auto"/>
        <w:right w:val="none" w:sz="0" w:space="0" w:color="auto"/>
      </w:divBdr>
      <w:divsChild>
        <w:div w:id="694619233">
          <w:marLeft w:val="0"/>
          <w:marRight w:val="0"/>
          <w:marTop w:val="0"/>
          <w:marBottom w:val="0"/>
          <w:divBdr>
            <w:top w:val="none" w:sz="0" w:space="0" w:color="auto"/>
            <w:left w:val="none" w:sz="0" w:space="0" w:color="auto"/>
            <w:bottom w:val="none" w:sz="0" w:space="0" w:color="auto"/>
            <w:right w:val="none" w:sz="0" w:space="0" w:color="auto"/>
          </w:divBdr>
          <w:divsChild>
            <w:div w:id="135345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2727">
                  <w:marLeft w:val="0"/>
                  <w:marRight w:val="0"/>
                  <w:marTop w:val="0"/>
                  <w:marBottom w:val="0"/>
                  <w:divBdr>
                    <w:top w:val="none" w:sz="0" w:space="0" w:color="auto"/>
                    <w:left w:val="none" w:sz="0" w:space="0" w:color="auto"/>
                    <w:bottom w:val="none" w:sz="0" w:space="0" w:color="auto"/>
                    <w:right w:val="none" w:sz="0" w:space="0" w:color="auto"/>
                  </w:divBdr>
                  <w:divsChild>
                    <w:div w:id="1200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9931">
      <w:bodyDiv w:val="1"/>
      <w:marLeft w:val="0"/>
      <w:marRight w:val="0"/>
      <w:marTop w:val="0"/>
      <w:marBottom w:val="0"/>
      <w:divBdr>
        <w:top w:val="none" w:sz="0" w:space="0" w:color="auto"/>
        <w:left w:val="none" w:sz="0" w:space="0" w:color="auto"/>
        <w:bottom w:val="none" w:sz="0" w:space="0" w:color="auto"/>
        <w:right w:val="none" w:sz="0" w:space="0" w:color="auto"/>
      </w:divBdr>
    </w:div>
    <w:div w:id="2022925800">
      <w:bodyDiv w:val="1"/>
      <w:marLeft w:val="0"/>
      <w:marRight w:val="0"/>
      <w:marTop w:val="0"/>
      <w:marBottom w:val="0"/>
      <w:divBdr>
        <w:top w:val="none" w:sz="0" w:space="0" w:color="auto"/>
        <w:left w:val="none" w:sz="0" w:space="0" w:color="auto"/>
        <w:bottom w:val="none" w:sz="0" w:space="0" w:color="auto"/>
        <w:right w:val="none" w:sz="0" w:space="0" w:color="auto"/>
      </w:divBdr>
    </w:div>
    <w:div w:id="2023504485">
      <w:bodyDiv w:val="1"/>
      <w:marLeft w:val="0"/>
      <w:marRight w:val="0"/>
      <w:marTop w:val="0"/>
      <w:marBottom w:val="0"/>
      <w:divBdr>
        <w:top w:val="none" w:sz="0" w:space="0" w:color="auto"/>
        <w:left w:val="none" w:sz="0" w:space="0" w:color="auto"/>
        <w:bottom w:val="none" w:sz="0" w:space="0" w:color="auto"/>
        <w:right w:val="none" w:sz="0" w:space="0" w:color="auto"/>
      </w:divBdr>
    </w:div>
    <w:div w:id="2025738451">
      <w:bodyDiv w:val="1"/>
      <w:marLeft w:val="0"/>
      <w:marRight w:val="0"/>
      <w:marTop w:val="0"/>
      <w:marBottom w:val="0"/>
      <w:divBdr>
        <w:top w:val="none" w:sz="0" w:space="0" w:color="auto"/>
        <w:left w:val="none" w:sz="0" w:space="0" w:color="auto"/>
        <w:bottom w:val="none" w:sz="0" w:space="0" w:color="auto"/>
        <w:right w:val="none" w:sz="0" w:space="0" w:color="auto"/>
      </w:divBdr>
    </w:div>
    <w:div w:id="2029090153">
      <w:bodyDiv w:val="1"/>
      <w:marLeft w:val="0"/>
      <w:marRight w:val="0"/>
      <w:marTop w:val="0"/>
      <w:marBottom w:val="0"/>
      <w:divBdr>
        <w:top w:val="none" w:sz="0" w:space="0" w:color="auto"/>
        <w:left w:val="none" w:sz="0" w:space="0" w:color="auto"/>
        <w:bottom w:val="none" w:sz="0" w:space="0" w:color="auto"/>
        <w:right w:val="none" w:sz="0" w:space="0" w:color="auto"/>
      </w:divBdr>
    </w:div>
    <w:div w:id="2035836404">
      <w:bodyDiv w:val="1"/>
      <w:marLeft w:val="0"/>
      <w:marRight w:val="0"/>
      <w:marTop w:val="0"/>
      <w:marBottom w:val="0"/>
      <w:divBdr>
        <w:top w:val="none" w:sz="0" w:space="0" w:color="auto"/>
        <w:left w:val="none" w:sz="0" w:space="0" w:color="auto"/>
        <w:bottom w:val="none" w:sz="0" w:space="0" w:color="auto"/>
        <w:right w:val="none" w:sz="0" w:space="0" w:color="auto"/>
      </w:divBdr>
    </w:div>
    <w:div w:id="2042855073">
      <w:bodyDiv w:val="1"/>
      <w:marLeft w:val="0"/>
      <w:marRight w:val="0"/>
      <w:marTop w:val="0"/>
      <w:marBottom w:val="0"/>
      <w:divBdr>
        <w:top w:val="none" w:sz="0" w:space="0" w:color="auto"/>
        <w:left w:val="none" w:sz="0" w:space="0" w:color="auto"/>
        <w:bottom w:val="none" w:sz="0" w:space="0" w:color="auto"/>
        <w:right w:val="none" w:sz="0" w:space="0" w:color="auto"/>
      </w:divBdr>
    </w:div>
    <w:div w:id="2050645403">
      <w:bodyDiv w:val="1"/>
      <w:marLeft w:val="0"/>
      <w:marRight w:val="0"/>
      <w:marTop w:val="0"/>
      <w:marBottom w:val="0"/>
      <w:divBdr>
        <w:top w:val="none" w:sz="0" w:space="0" w:color="auto"/>
        <w:left w:val="none" w:sz="0" w:space="0" w:color="auto"/>
        <w:bottom w:val="none" w:sz="0" w:space="0" w:color="auto"/>
        <w:right w:val="none" w:sz="0" w:space="0" w:color="auto"/>
      </w:divBdr>
    </w:div>
    <w:div w:id="2064863776">
      <w:bodyDiv w:val="1"/>
      <w:marLeft w:val="0"/>
      <w:marRight w:val="0"/>
      <w:marTop w:val="0"/>
      <w:marBottom w:val="0"/>
      <w:divBdr>
        <w:top w:val="none" w:sz="0" w:space="0" w:color="auto"/>
        <w:left w:val="none" w:sz="0" w:space="0" w:color="auto"/>
        <w:bottom w:val="none" w:sz="0" w:space="0" w:color="auto"/>
        <w:right w:val="none" w:sz="0" w:space="0" w:color="auto"/>
      </w:divBdr>
      <w:divsChild>
        <w:div w:id="822238001">
          <w:marLeft w:val="0"/>
          <w:marRight w:val="0"/>
          <w:marTop w:val="120"/>
          <w:marBottom w:val="360"/>
          <w:divBdr>
            <w:top w:val="none" w:sz="0" w:space="0" w:color="auto"/>
            <w:left w:val="none" w:sz="0" w:space="0" w:color="auto"/>
            <w:bottom w:val="none" w:sz="0" w:space="0" w:color="auto"/>
            <w:right w:val="none" w:sz="0" w:space="0" w:color="auto"/>
          </w:divBdr>
          <w:divsChild>
            <w:div w:id="1148015820">
              <w:marLeft w:val="0"/>
              <w:marRight w:val="0"/>
              <w:marTop w:val="0"/>
              <w:marBottom w:val="0"/>
              <w:divBdr>
                <w:top w:val="none" w:sz="0" w:space="0" w:color="auto"/>
                <w:left w:val="none" w:sz="0" w:space="0" w:color="auto"/>
                <w:bottom w:val="none" w:sz="0" w:space="0" w:color="auto"/>
                <w:right w:val="none" w:sz="0" w:space="0" w:color="auto"/>
              </w:divBdr>
            </w:div>
            <w:div w:id="1771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210">
      <w:bodyDiv w:val="1"/>
      <w:marLeft w:val="0"/>
      <w:marRight w:val="0"/>
      <w:marTop w:val="0"/>
      <w:marBottom w:val="0"/>
      <w:divBdr>
        <w:top w:val="none" w:sz="0" w:space="0" w:color="auto"/>
        <w:left w:val="none" w:sz="0" w:space="0" w:color="auto"/>
        <w:bottom w:val="none" w:sz="0" w:space="0" w:color="auto"/>
        <w:right w:val="none" w:sz="0" w:space="0" w:color="auto"/>
      </w:divBdr>
      <w:divsChild>
        <w:div w:id="285545863">
          <w:marLeft w:val="0"/>
          <w:marRight w:val="0"/>
          <w:marTop w:val="120"/>
          <w:marBottom w:val="360"/>
          <w:divBdr>
            <w:top w:val="none" w:sz="0" w:space="0" w:color="auto"/>
            <w:left w:val="none" w:sz="0" w:space="0" w:color="auto"/>
            <w:bottom w:val="none" w:sz="0" w:space="0" w:color="auto"/>
            <w:right w:val="none" w:sz="0" w:space="0" w:color="auto"/>
          </w:divBdr>
          <w:divsChild>
            <w:div w:id="25567304">
              <w:marLeft w:val="0"/>
              <w:marRight w:val="0"/>
              <w:marTop w:val="0"/>
              <w:marBottom w:val="0"/>
              <w:divBdr>
                <w:top w:val="none" w:sz="0" w:space="0" w:color="auto"/>
                <w:left w:val="none" w:sz="0" w:space="0" w:color="auto"/>
                <w:bottom w:val="none" w:sz="0" w:space="0" w:color="auto"/>
                <w:right w:val="none" w:sz="0" w:space="0" w:color="auto"/>
              </w:divBdr>
            </w:div>
            <w:div w:id="1811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835">
      <w:bodyDiv w:val="1"/>
      <w:marLeft w:val="0"/>
      <w:marRight w:val="0"/>
      <w:marTop w:val="0"/>
      <w:marBottom w:val="0"/>
      <w:divBdr>
        <w:top w:val="none" w:sz="0" w:space="0" w:color="auto"/>
        <w:left w:val="none" w:sz="0" w:space="0" w:color="auto"/>
        <w:bottom w:val="none" w:sz="0" w:space="0" w:color="auto"/>
        <w:right w:val="none" w:sz="0" w:space="0" w:color="auto"/>
      </w:divBdr>
    </w:div>
    <w:div w:id="21352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1B553-A31F-455C-96D8-A31A3C4A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2658</Words>
  <Characters>15156</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17779</CharactersWithSpaces>
  <SharedDoc>false</SharedDoc>
  <HLinks>
    <vt:vector size="180" baseType="variant">
      <vt:variant>
        <vt:i4>3211301</vt:i4>
      </vt:variant>
      <vt:variant>
        <vt:i4>87</vt:i4>
      </vt:variant>
      <vt:variant>
        <vt:i4>0</vt:i4>
      </vt:variant>
      <vt:variant>
        <vt:i4>5</vt:i4>
      </vt:variant>
      <vt:variant>
        <vt:lpwstr>http://www.ncbi.nlm.nih.gov/pubmed/24667125</vt:lpwstr>
      </vt:variant>
      <vt:variant>
        <vt:lpwstr/>
      </vt:variant>
      <vt:variant>
        <vt:i4>3211301</vt:i4>
      </vt:variant>
      <vt:variant>
        <vt:i4>84</vt:i4>
      </vt:variant>
      <vt:variant>
        <vt:i4>0</vt:i4>
      </vt:variant>
      <vt:variant>
        <vt:i4>5</vt:i4>
      </vt:variant>
      <vt:variant>
        <vt:lpwstr>http://www.ncbi.nlm.nih.gov/pubmed/24667125</vt:lpwstr>
      </vt:variant>
      <vt:variant>
        <vt:lpwstr/>
      </vt:variant>
      <vt:variant>
        <vt:i4>3211301</vt:i4>
      </vt:variant>
      <vt:variant>
        <vt:i4>81</vt:i4>
      </vt:variant>
      <vt:variant>
        <vt:i4>0</vt:i4>
      </vt:variant>
      <vt:variant>
        <vt:i4>5</vt:i4>
      </vt:variant>
      <vt:variant>
        <vt:lpwstr>http://www.ncbi.nlm.nih.gov/pubmed/24667125</vt:lpwstr>
      </vt:variant>
      <vt:variant>
        <vt:lpwstr/>
      </vt:variant>
      <vt:variant>
        <vt:i4>3211301</vt:i4>
      </vt:variant>
      <vt:variant>
        <vt:i4>78</vt:i4>
      </vt:variant>
      <vt:variant>
        <vt:i4>0</vt:i4>
      </vt:variant>
      <vt:variant>
        <vt:i4>5</vt:i4>
      </vt:variant>
      <vt:variant>
        <vt:lpwstr>http://www.ncbi.nlm.nih.gov/pubmed/24667125</vt:lpwstr>
      </vt:variant>
      <vt:variant>
        <vt:lpwstr/>
      </vt:variant>
      <vt:variant>
        <vt:i4>3211301</vt:i4>
      </vt:variant>
      <vt:variant>
        <vt:i4>75</vt:i4>
      </vt:variant>
      <vt:variant>
        <vt:i4>0</vt:i4>
      </vt:variant>
      <vt:variant>
        <vt:i4>5</vt:i4>
      </vt:variant>
      <vt:variant>
        <vt:lpwstr>http://www.ncbi.nlm.nih.gov/pubmed/24667125</vt:lpwstr>
      </vt:variant>
      <vt:variant>
        <vt:lpwstr/>
      </vt:variant>
      <vt:variant>
        <vt:i4>3211301</vt:i4>
      </vt:variant>
      <vt:variant>
        <vt:i4>72</vt:i4>
      </vt:variant>
      <vt:variant>
        <vt:i4>0</vt:i4>
      </vt:variant>
      <vt:variant>
        <vt:i4>5</vt:i4>
      </vt:variant>
      <vt:variant>
        <vt:lpwstr>http://www.ncbi.nlm.nih.gov/pubmed/24667125</vt:lpwstr>
      </vt:variant>
      <vt:variant>
        <vt:lpwstr/>
      </vt:variant>
      <vt:variant>
        <vt:i4>3211301</vt:i4>
      </vt:variant>
      <vt:variant>
        <vt:i4>69</vt:i4>
      </vt:variant>
      <vt:variant>
        <vt:i4>0</vt:i4>
      </vt:variant>
      <vt:variant>
        <vt:i4>5</vt:i4>
      </vt:variant>
      <vt:variant>
        <vt:lpwstr>http://www.ncbi.nlm.nih.gov/pubmed/24667125</vt:lpwstr>
      </vt:variant>
      <vt:variant>
        <vt:lpwstr/>
      </vt:variant>
      <vt:variant>
        <vt:i4>852059</vt:i4>
      </vt:variant>
      <vt:variant>
        <vt:i4>66</vt:i4>
      </vt:variant>
      <vt:variant>
        <vt:i4>0</vt:i4>
      </vt:variant>
      <vt:variant>
        <vt:i4>5</vt:i4>
      </vt:variant>
      <vt:variant>
        <vt:lpwstr>https://www.ncbi.nlm.nih.gov/pubmed/14121114</vt:lpwstr>
      </vt:variant>
      <vt:variant>
        <vt:lpwstr/>
      </vt:variant>
      <vt:variant>
        <vt:i4>720987</vt:i4>
      </vt:variant>
      <vt:variant>
        <vt:i4>63</vt:i4>
      </vt:variant>
      <vt:variant>
        <vt:i4>0</vt:i4>
      </vt:variant>
      <vt:variant>
        <vt:i4>5</vt:i4>
      </vt:variant>
      <vt:variant>
        <vt:lpwstr>https://www.ncbi.nlm.nih.gov/pubmed/26320110</vt:lpwstr>
      </vt:variant>
      <vt:variant>
        <vt:lpwstr/>
      </vt:variant>
      <vt:variant>
        <vt:i4>7077890</vt:i4>
      </vt:variant>
      <vt:variant>
        <vt:i4>60</vt:i4>
      </vt:variant>
      <vt:variant>
        <vt:i4>0</vt:i4>
      </vt:variant>
      <vt:variant>
        <vt:i4>5</vt:i4>
      </vt:variant>
      <vt:variant>
        <vt:lpwstr>https://www.ncbi.nlm.nih.gov/pubmed/?term=Collet%20JP%5BAuthor%5D&amp;cauthor=true&amp;cauthor_uid=26320110</vt:lpwstr>
      </vt:variant>
      <vt:variant>
        <vt:lpwstr/>
      </vt:variant>
      <vt:variant>
        <vt:i4>2818136</vt:i4>
      </vt:variant>
      <vt:variant>
        <vt:i4>57</vt:i4>
      </vt:variant>
      <vt:variant>
        <vt:i4>0</vt:i4>
      </vt:variant>
      <vt:variant>
        <vt:i4>5</vt:i4>
      </vt:variant>
      <vt:variant>
        <vt:lpwstr>https://www.ncbi.nlm.nih.gov/pubmed/?term=Patrono%20C%5BAuthor%5D&amp;cauthor=true&amp;cauthor_uid=26320110</vt:lpwstr>
      </vt:variant>
      <vt:variant>
        <vt:lpwstr/>
      </vt:variant>
      <vt:variant>
        <vt:i4>6225967</vt:i4>
      </vt:variant>
      <vt:variant>
        <vt:i4>54</vt:i4>
      </vt:variant>
      <vt:variant>
        <vt:i4>0</vt:i4>
      </vt:variant>
      <vt:variant>
        <vt:i4>5</vt:i4>
      </vt:variant>
      <vt:variant>
        <vt:lpwstr>https://www.ncbi.nlm.nih.gov/pubmed/?term=Roffi%20M%5BAuthor%5D&amp;cauthor=true&amp;cauthor_uid=26320110</vt:lpwstr>
      </vt:variant>
      <vt:variant>
        <vt:lpwstr/>
      </vt:variant>
      <vt:variant>
        <vt:i4>131159</vt:i4>
      </vt:variant>
      <vt:variant>
        <vt:i4>51</vt:i4>
      </vt:variant>
      <vt:variant>
        <vt:i4>0</vt:i4>
      </vt:variant>
      <vt:variant>
        <vt:i4>5</vt:i4>
      </vt:variant>
      <vt:variant>
        <vt:lpwstr>https://www.ncbi.nlm.nih.gov/pubmed/28418520</vt:lpwstr>
      </vt:variant>
      <vt:variant>
        <vt:lpwstr/>
      </vt:variant>
      <vt:variant>
        <vt:i4>589919</vt:i4>
      </vt:variant>
      <vt:variant>
        <vt:i4>48</vt:i4>
      </vt:variant>
      <vt:variant>
        <vt:i4>0</vt:i4>
      </vt:variant>
      <vt:variant>
        <vt:i4>5</vt:i4>
      </vt:variant>
      <vt:variant>
        <vt:lpwstr>https://www.ncbi.nlm.nih.gov/pubmed/28601817</vt:lpwstr>
      </vt:variant>
      <vt:variant>
        <vt:lpwstr/>
      </vt:variant>
      <vt:variant>
        <vt:i4>4980854</vt:i4>
      </vt:variant>
      <vt:variant>
        <vt:i4>45</vt:i4>
      </vt:variant>
      <vt:variant>
        <vt:i4>0</vt:i4>
      </vt:variant>
      <vt:variant>
        <vt:i4>5</vt:i4>
      </vt:variant>
      <vt:variant>
        <vt:lpwstr>https://www.ncbi.nlm.nih.gov/pubmed/?term=J%C3%BClicher%20P%5BAuthor%5D&amp;cauthor=true&amp;cauthor_uid=28601817</vt:lpwstr>
      </vt:variant>
      <vt:variant>
        <vt:lpwstr/>
      </vt:variant>
      <vt:variant>
        <vt:i4>262224</vt:i4>
      </vt:variant>
      <vt:variant>
        <vt:i4>42</vt:i4>
      </vt:variant>
      <vt:variant>
        <vt:i4>0</vt:i4>
      </vt:variant>
      <vt:variant>
        <vt:i4>5</vt:i4>
      </vt:variant>
      <vt:variant>
        <vt:lpwstr>https://www.ncbi.nlm.nih.gov/pubmed/29248334</vt:lpwstr>
      </vt:variant>
      <vt:variant>
        <vt:lpwstr/>
      </vt:variant>
      <vt:variant>
        <vt:i4>7340063</vt:i4>
      </vt:variant>
      <vt:variant>
        <vt:i4>39</vt:i4>
      </vt:variant>
      <vt:variant>
        <vt:i4>0</vt:i4>
      </vt:variant>
      <vt:variant>
        <vt:i4>5</vt:i4>
      </vt:variant>
      <vt:variant>
        <vt:lpwstr>https://www.ncbi.nlm.nih.gov/pubmed/?term=Greenslade%20JH%5BAuthor%5D&amp;cauthor=true&amp;cauthor_uid=29248334</vt:lpwstr>
      </vt:variant>
      <vt:variant>
        <vt:lpwstr/>
      </vt:variant>
      <vt:variant>
        <vt:i4>7733345</vt:i4>
      </vt:variant>
      <vt:variant>
        <vt:i4>36</vt:i4>
      </vt:variant>
      <vt:variant>
        <vt:i4>0</vt:i4>
      </vt:variant>
      <vt:variant>
        <vt:i4>5</vt:i4>
      </vt:variant>
      <vt:variant>
        <vt:lpwstr>https://www.ncbi.nlm.nih.gov/pubmed/?term=Thirty+years+of+clinical+magnetocardiography+at+the+Catholic+University+of+Rome%3A+Diagnostic+value+and+new+perspectives+for+the+treatment+of+cardiac+arrhythmias</vt:lpwstr>
      </vt:variant>
      <vt:variant>
        <vt:lpwstr/>
      </vt:variant>
      <vt:variant>
        <vt:i4>3997807</vt:i4>
      </vt:variant>
      <vt:variant>
        <vt:i4>33</vt:i4>
      </vt:variant>
      <vt:variant>
        <vt:i4>0</vt:i4>
      </vt:variant>
      <vt:variant>
        <vt:i4>5</vt:i4>
      </vt:variant>
      <vt:variant>
        <vt:lpwstr>https://www.ncbi.nlm.nih.gov/pubmed/7239084</vt:lpwstr>
      </vt:variant>
      <vt:variant>
        <vt:lpwstr/>
      </vt:variant>
      <vt:variant>
        <vt:i4>90</vt:i4>
      </vt:variant>
      <vt:variant>
        <vt:i4>30</vt:i4>
      </vt:variant>
      <vt:variant>
        <vt:i4>0</vt:i4>
      </vt:variant>
      <vt:variant>
        <vt:i4>5</vt:i4>
      </vt:variant>
      <vt:variant>
        <vt:lpwstr>https://www.ncbi.nlm.nih.gov/pubmed/28062616</vt:lpwstr>
      </vt:variant>
      <vt:variant>
        <vt:lpwstr/>
      </vt:variant>
      <vt:variant>
        <vt:i4>262235</vt:i4>
      </vt:variant>
      <vt:variant>
        <vt:i4>27</vt:i4>
      </vt:variant>
      <vt:variant>
        <vt:i4>0</vt:i4>
      </vt:variant>
      <vt:variant>
        <vt:i4>5</vt:i4>
      </vt:variant>
      <vt:variant>
        <vt:lpwstr>https://www.ncbi.nlm.nih.gov/pubmed/29127948</vt:lpwstr>
      </vt:variant>
      <vt:variant>
        <vt:lpwstr/>
      </vt:variant>
      <vt:variant>
        <vt:i4>983124</vt:i4>
      </vt:variant>
      <vt:variant>
        <vt:i4>24</vt:i4>
      </vt:variant>
      <vt:variant>
        <vt:i4>0</vt:i4>
      </vt:variant>
      <vt:variant>
        <vt:i4>5</vt:i4>
      </vt:variant>
      <vt:variant>
        <vt:lpwstr>https://www.ncbi.nlm.nih.gov/pubmed/28864718</vt:lpwstr>
      </vt:variant>
      <vt:variant>
        <vt:lpwstr/>
      </vt:variant>
      <vt:variant>
        <vt:i4>3342443</vt:i4>
      </vt:variant>
      <vt:variant>
        <vt:i4>21</vt:i4>
      </vt:variant>
      <vt:variant>
        <vt:i4>0</vt:i4>
      </vt:variant>
      <vt:variant>
        <vt:i4>5</vt:i4>
      </vt:variant>
      <vt:variant>
        <vt:lpwstr>https://www.ncbi.nlm.nih.gov/pubmed/9209962</vt:lpwstr>
      </vt:variant>
      <vt:variant>
        <vt:lpwstr/>
      </vt:variant>
      <vt:variant>
        <vt:i4>6488136</vt:i4>
      </vt:variant>
      <vt:variant>
        <vt:i4>18</vt:i4>
      </vt:variant>
      <vt:variant>
        <vt:i4>0</vt:i4>
      </vt:variant>
      <vt:variant>
        <vt:i4>5</vt:i4>
      </vt:variant>
      <vt:variant>
        <vt:lpwstr>https://www.ncbi.nlm.nih.gov/pubmed/?term=Bobadilla%20Chavez%20JD%5BAuthor%5D&amp;cauthor=true&amp;cauthor_uid=9209962</vt:lpwstr>
      </vt:variant>
      <vt:variant>
        <vt:lpwstr/>
      </vt:variant>
      <vt:variant>
        <vt:i4>3014739</vt:i4>
      </vt:variant>
      <vt:variant>
        <vt:i4>15</vt:i4>
      </vt:variant>
      <vt:variant>
        <vt:i4>0</vt:i4>
      </vt:variant>
      <vt:variant>
        <vt:i4>5</vt:i4>
      </vt:variant>
      <vt:variant>
        <vt:lpwstr>https://www.ncbi.nlm.nih.gov/pubmed/?term=Schmitz%20L%5BAuthor%5D&amp;cauthor=true&amp;cauthor_uid=9209962</vt:lpwstr>
      </vt:variant>
      <vt:variant>
        <vt:lpwstr/>
      </vt:variant>
      <vt:variant>
        <vt:i4>6422617</vt:i4>
      </vt:variant>
      <vt:variant>
        <vt:i4>12</vt:i4>
      </vt:variant>
      <vt:variant>
        <vt:i4>0</vt:i4>
      </vt:variant>
      <vt:variant>
        <vt:i4>5</vt:i4>
      </vt:variant>
      <vt:variant>
        <vt:lpwstr>https://www.ncbi.nlm.nih.gov/pubmed/?term=Brockmeier%20K%5BAuthor%5D&amp;cauthor=true&amp;cauthor_uid=9209962</vt:lpwstr>
      </vt:variant>
      <vt:variant>
        <vt:lpwstr/>
      </vt:variant>
      <vt:variant>
        <vt:i4>6488173</vt:i4>
      </vt:variant>
      <vt:variant>
        <vt:i4>9</vt:i4>
      </vt:variant>
      <vt:variant>
        <vt:i4>0</vt:i4>
      </vt:variant>
      <vt:variant>
        <vt:i4>5</vt:i4>
      </vt:variant>
      <vt:variant>
        <vt:lpwstr>https://www.ncbi.nlm.nih.gov/entrez/eutils/elink.fcgi?dbfrom=pubmed&amp;retmode=ref&amp;cmd=prlinks&amp;id=20660809</vt:lpwstr>
      </vt:variant>
      <vt:variant>
        <vt:lpwstr/>
      </vt:variant>
      <vt:variant>
        <vt:i4>65625</vt:i4>
      </vt:variant>
      <vt:variant>
        <vt:i4>6</vt:i4>
      </vt:variant>
      <vt:variant>
        <vt:i4>0</vt:i4>
      </vt:variant>
      <vt:variant>
        <vt:i4>5</vt:i4>
      </vt:variant>
      <vt:variant>
        <vt:lpwstr>https://www.ncbi.nlm.nih.gov/pubmed/29121105</vt:lpwstr>
      </vt:variant>
      <vt:variant>
        <vt:lpwstr/>
      </vt:variant>
      <vt:variant>
        <vt:i4>3473430</vt:i4>
      </vt:variant>
      <vt:variant>
        <vt:i4>3</vt:i4>
      </vt:variant>
      <vt:variant>
        <vt:i4>0</vt:i4>
      </vt:variant>
      <vt:variant>
        <vt:i4>5</vt:i4>
      </vt:variant>
      <vt:variant>
        <vt:lpwstr>https://www.ncbi.nlm.nih.gov/pubmed/?term=Ambavane%20A%5BAuthor%5D&amp;cauthor=true&amp;cauthor_uid=29121105</vt:lpwstr>
      </vt:variant>
      <vt:variant>
        <vt:lpwstr/>
      </vt:variant>
      <vt:variant>
        <vt:i4>5177361</vt:i4>
      </vt:variant>
      <vt:variant>
        <vt:i4>0</vt:i4>
      </vt:variant>
      <vt:variant>
        <vt:i4>0</vt:i4>
      </vt:variant>
      <vt:variant>
        <vt:i4>5</vt:i4>
      </vt:variant>
      <vt:variant>
        <vt:lpwstr>https://www.jecgonline.com/content/authorinfo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Munn</dc:creator>
  <cp:lastModifiedBy>Caroline Waterhouse</cp:lastModifiedBy>
  <cp:revision>7</cp:revision>
  <cp:lastPrinted>2019-03-31T21:06:00Z</cp:lastPrinted>
  <dcterms:created xsi:type="dcterms:W3CDTF">2019-04-12T11:48:00Z</dcterms:created>
  <dcterms:modified xsi:type="dcterms:W3CDTF">2019-04-23T22:16:00Z</dcterms:modified>
</cp:coreProperties>
</file>