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E192E" w14:textId="77777777" w:rsidR="00375B89" w:rsidRDefault="00375B89" w:rsidP="00B37584">
      <w:pPr>
        <w:rPr>
          <w:b/>
          <w:sz w:val="32"/>
          <w:szCs w:val="32"/>
        </w:rPr>
      </w:pPr>
      <w:bookmarkStart w:id="0" w:name="_GoBack"/>
      <w:bookmarkEnd w:id="0"/>
      <w:r>
        <w:rPr>
          <w:b/>
          <w:sz w:val="32"/>
          <w:szCs w:val="32"/>
        </w:rPr>
        <w:t>Genetic resistance determinants to fusidic acid and chlorhexidine in variably susceptible staphylococci from dogs</w:t>
      </w:r>
    </w:p>
    <w:p w14:paraId="17FE57F5" w14:textId="77777777" w:rsidR="00B37584" w:rsidRPr="004B0557" w:rsidRDefault="00B37584">
      <w:pPr>
        <w:rPr>
          <w:b/>
          <w:sz w:val="32"/>
          <w:szCs w:val="32"/>
        </w:rPr>
      </w:pPr>
    </w:p>
    <w:p w14:paraId="57DDF16E" w14:textId="130FC78A" w:rsidR="00646BEA" w:rsidRDefault="00680166" w:rsidP="00B37584">
      <w:r w:rsidRPr="00D56763">
        <w:t>F</w:t>
      </w:r>
      <w:r w:rsidR="00EF39A4" w:rsidRPr="00D56763">
        <w:t>rosini</w:t>
      </w:r>
      <w:r w:rsidR="00C05C74" w:rsidRPr="00D56763">
        <w:t xml:space="preserve"> </w:t>
      </w:r>
      <w:r w:rsidR="00EF39A4" w:rsidRPr="00D56763">
        <w:t>S-M.,</w:t>
      </w:r>
      <w:r w:rsidR="00010256" w:rsidRPr="00D56763">
        <w:rPr>
          <w:vertAlign w:val="superscript"/>
        </w:rPr>
        <w:t>1</w:t>
      </w:r>
      <w:r w:rsidR="002323CC" w:rsidRPr="00D56763">
        <w:t>*</w:t>
      </w:r>
      <w:r w:rsidR="00EF39A4" w:rsidRPr="00D56763">
        <w:t xml:space="preserve"> </w:t>
      </w:r>
      <w:r w:rsidR="006F17AC">
        <w:t>Bond R.</w:t>
      </w:r>
      <w:r w:rsidR="00EF39A4" w:rsidRPr="00D56763">
        <w:t>,</w:t>
      </w:r>
      <w:r w:rsidR="006F17AC">
        <w:rPr>
          <w:vertAlign w:val="superscript"/>
        </w:rPr>
        <w:t>1</w:t>
      </w:r>
      <w:r w:rsidR="00F21311" w:rsidRPr="00D56763">
        <w:rPr>
          <w:vertAlign w:val="superscript"/>
        </w:rPr>
        <w:t xml:space="preserve"> </w:t>
      </w:r>
      <w:r w:rsidR="00E4716F" w:rsidRPr="00D56763">
        <w:t>Rantala</w:t>
      </w:r>
      <w:r w:rsidR="00EF39A4" w:rsidRPr="00D56763">
        <w:t xml:space="preserve"> M.</w:t>
      </w:r>
      <w:r w:rsidR="00E4716F" w:rsidRPr="00D56763">
        <w:t>,</w:t>
      </w:r>
      <w:r w:rsidR="00F21311" w:rsidRPr="00D56763">
        <w:rPr>
          <w:vertAlign w:val="superscript"/>
        </w:rPr>
        <w:t>2</w:t>
      </w:r>
      <w:r w:rsidR="00E4716F" w:rsidRPr="00D56763">
        <w:t xml:space="preserve"> Gr</w:t>
      </w:r>
      <w:r w:rsidR="00EF39A4" w:rsidRPr="00D56763">
        <w:t>ö</w:t>
      </w:r>
      <w:r w:rsidR="00E4716F" w:rsidRPr="00D56763">
        <w:t>nthal</w:t>
      </w:r>
      <w:r w:rsidR="00EF39A4" w:rsidRPr="00D56763">
        <w:t xml:space="preserve"> T.</w:t>
      </w:r>
      <w:r w:rsidR="00E4716F" w:rsidRPr="00D56763">
        <w:t>,</w:t>
      </w:r>
      <w:r w:rsidR="00F21311" w:rsidRPr="00D56763">
        <w:rPr>
          <w:vertAlign w:val="superscript"/>
        </w:rPr>
        <w:t>2</w:t>
      </w:r>
      <w:r w:rsidR="00E4716F" w:rsidRPr="00D56763">
        <w:t xml:space="preserve"> </w:t>
      </w:r>
      <w:r w:rsidR="00646BEA" w:rsidRPr="00D56763">
        <w:t>Rankin</w:t>
      </w:r>
      <w:r w:rsidR="00EF39A4" w:rsidRPr="00D56763">
        <w:t xml:space="preserve"> S.C.</w:t>
      </w:r>
      <w:r w:rsidR="00646BEA" w:rsidRPr="00D56763">
        <w:t>,</w:t>
      </w:r>
      <w:r w:rsidR="00F21311" w:rsidRPr="00D56763">
        <w:rPr>
          <w:vertAlign w:val="superscript"/>
        </w:rPr>
        <w:t xml:space="preserve">3 </w:t>
      </w:r>
      <w:r w:rsidR="00646BEA" w:rsidRPr="00D56763">
        <w:t>O’Shea</w:t>
      </w:r>
      <w:r w:rsidR="00EF39A4" w:rsidRPr="00D56763">
        <w:t xml:space="preserve"> K.</w:t>
      </w:r>
      <w:r w:rsidR="00646BEA" w:rsidRPr="00D56763">
        <w:t>,</w:t>
      </w:r>
      <w:r w:rsidR="00F21311" w:rsidRPr="00D56763">
        <w:rPr>
          <w:vertAlign w:val="superscript"/>
        </w:rPr>
        <w:t>3</w:t>
      </w:r>
      <w:r w:rsidR="00646BEA" w:rsidRPr="00D56763">
        <w:t xml:space="preserve"> </w:t>
      </w:r>
      <w:r w:rsidR="00E4716F" w:rsidRPr="00D56763">
        <w:t>Timofte</w:t>
      </w:r>
      <w:r w:rsidR="00EF39A4" w:rsidRPr="00D56763">
        <w:t xml:space="preserve"> D.</w:t>
      </w:r>
      <w:r w:rsidR="00E4716F" w:rsidRPr="00D56763">
        <w:t>,</w:t>
      </w:r>
      <w:r w:rsidR="00F21311" w:rsidRPr="00D56763">
        <w:rPr>
          <w:vertAlign w:val="superscript"/>
        </w:rPr>
        <w:t>4</w:t>
      </w:r>
      <w:r w:rsidR="00E4716F" w:rsidRPr="00D56763">
        <w:t xml:space="preserve"> Schmidt</w:t>
      </w:r>
      <w:r w:rsidR="00EF39A4" w:rsidRPr="00D56763">
        <w:t xml:space="preserve"> V.M.</w:t>
      </w:r>
      <w:r w:rsidR="00C05C74" w:rsidRPr="00D56763">
        <w:t>,</w:t>
      </w:r>
      <w:r w:rsidR="00F21311" w:rsidRPr="00D56763">
        <w:rPr>
          <w:vertAlign w:val="superscript"/>
        </w:rPr>
        <w:t>4</w:t>
      </w:r>
      <w:r w:rsidR="00C05C74" w:rsidRPr="00D56763">
        <w:t xml:space="preserve"> </w:t>
      </w:r>
      <w:r w:rsidR="00F21311" w:rsidRPr="00D56763">
        <w:t>Lindsay J.</w:t>
      </w:r>
      <w:r w:rsidR="004C3C70">
        <w:t>A.</w:t>
      </w:r>
      <w:r w:rsidR="006F17AC">
        <w:t>,</w:t>
      </w:r>
      <w:r w:rsidR="00F21311" w:rsidRPr="00D56763">
        <w:rPr>
          <w:vertAlign w:val="superscript"/>
        </w:rPr>
        <w:t>5</w:t>
      </w:r>
      <w:r w:rsidR="00B37584" w:rsidRPr="00D56763">
        <w:rPr>
          <w:vertAlign w:val="superscript"/>
        </w:rPr>
        <w:t xml:space="preserve"> </w:t>
      </w:r>
      <w:r w:rsidR="006F17AC">
        <w:t>Loeffler A</w:t>
      </w:r>
      <w:r w:rsidR="00B37584" w:rsidRPr="00D56763">
        <w:t>.</w:t>
      </w:r>
      <w:r w:rsidR="00B37584" w:rsidRPr="00D56763">
        <w:rPr>
          <w:vertAlign w:val="superscript"/>
        </w:rPr>
        <w:t>1</w:t>
      </w:r>
    </w:p>
    <w:p w14:paraId="7883F71A" w14:textId="77777777" w:rsidR="00010256" w:rsidRDefault="00010256"/>
    <w:p w14:paraId="79ABA118" w14:textId="77777777" w:rsidR="00010256" w:rsidRPr="00010256" w:rsidRDefault="00010256" w:rsidP="00010256">
      <w:r w:rsidRPr="00010256">
        <w:rPr>
          <w:vertAlign w:val="superscript"/>
        </w:rPr>
        <w:t>1</w:t>
      </w:r>
      <w:r>
        <w:rPr>
          <w:vertAlign w:val="superscript"/>
        </w:rPr>
        <w:t xml:space="preserve"> </w:t>
      </w:r>
      <w:r w:rsidRPr="00010256">
        <w:t>Department of Clinical Sciences and Services, Royal Veterinary College, Hawkshead Lane, North Mymms, Hatfield, Hertfordshire</w:t>
      </w:r>
      <w:r w:rsidR="002323CC">
        <w:t>,</w:t>
      </w:r>
      <w:r w:rsidRPr="00010256">
        <w:t xml:space="preserve"> AL9 7TA, U</w:t>
      </w:r>
      <w:r w:rsidR="002323CC">
        <w:t>.</w:t>
      </w:r>
      <w:r w:rsidRPr="00010256">
        <w:t>K</w:t>
      </w:r>
      <w:r w:rsidR="002323CC">
        <w:t>.</w:t>
      </w:r>
    </w:p>
    <w:p w14:paraId="48501146" w14:textId="6E268482" w:rsidR="00010256" w:rsidRDefault="00010256" w:rsidP="00010256">
      <w:r w:rsidRPr="00010256">
        <w:rPr>
          <w:vertAlign w:val="superscript"/>
        </w:rPr>
        <w:t>2</w:t>
      </w:r>
      <w:r>
        <w:rPr>
          <w:vertAlign w:val="superscript"/>
        </w:rPr>
        <w:t xml:space="preserve"> </w:t>
      </w:r>
      <w:r w:rsidR="00F21311" w:rsidRPr="002323CC">
        <w:t>Department of Equine and Small Animal Medicine, Faculty of Veterinary Medicine, University of Helsinki, P.O. Box 57, 00014, Helsinki, Finland</w:t>
      </w:r>
    </w:p>
    <w:p w14:paraId="42B39880" w14:textId="4C91F475" w:rsidR="00010256" w:rsidRPr="004F17B1" w:rsidRDefault="00010256" w:rsidP="00010256">
      <w:r>
        <w:rPr>
          <w:vertAlign w:val="superscript"/>
        </w:rPr>
        <w:t>3</w:t>
      </w:r>
      <w:r w:rsidR="002323CC" w:rsidRPr="002323CC">
        <w:t xml:space="preserve"> </w:t>
      </w:r>
      <w:r w:rsidR="00F259E8">
        <w:t>Department of Pathobiology, School of Veterinary Medicine, University of Pennsylvania, 3850 Spruce Street, Philadelphia, PA, 19104, U.S.A.</w:t>
      </w:r>
    </w:p>
    <w:p w14:paraId="7EEE39D1" w14:textId="1F47DC29" w:rsidR="002323CC" w:rsidRDefault="003973FA" w:rsidP="00010256">
      <w:pPr>
        <w:rPr>
          <w:vertAlign w:val="superscript"/>
        </w:rPr>
      </w:pPr>
      <w:r>
        <w:rPr>
          <w:vertAlign w:val="superscript"/>
        </w:rPr>
        <w:t>4</w:t>
      </w:r>
      <w:r w:rsidR="002323CC">
        <w:rPr>
          <w:vertAlign w:val="superscript"/>
        </w:rPr>
        <w:t xml:space="preserve"> </w:t>
      </w:r>
      <w:r w:rsidR="00F259E8">
        <w:t>Institute</w:t>
      </w:r>
      <w:r w:rsidR="00F259E8" w:rsidRPr="00010256">
        <w:t xml:space="preserve"> </w:t>
      </w:r>
      <w:r w:rsidR="00F21311" w:rsidRPr="00010256">
        <w:t>of Veterinary Science, University of Liverpool, Chester High Road, Neston, CH64 7TE, U</w:t>
      </w:r>
      <w:r w:rsidR="00F21311">
        <w:t>.</w:t>
      </w:r>
      <w:r w:rsidR="00F21311" w:rsidRPr="00010256">
        <w:t>K</w:t>
      </w:r>
      <w:r w:rsidR="00F21311">
        <w:t>.</w:t>
      </w:r>
    </w:p>
    <w:p w14:paraId="142D0688" w14:textId="22D5DD19" w:rsidR="00010256" w:rsidRPr="00010256" w:rsidRDefault="003973FA" w:rsidP="00010256">
      <w:r>
        <w:rPr>
          <w:vertAlign w:val="superscript"/>
        </w:rPr>
        <w:t xml:space="preserve">5 </w:t>
      </w:r>
      <w:r w:rsidR="004C3C70">
        <w:t>Institute</w:t>
      </w:r>
      <w:r w:rsidR="00F21311" w:rsidRPr="00010256">
        <w:t xml:space="preserve"> of Infection and Immunity, St George's, University of London, Cranmer Terrace, London</w:t>
      </w:r>
      <w:r w:rsidR="00F21311">
        <w:t>,</w:t>
      </w:r>
      <w:r w:rsidR="00F21311" w:rsidRPr="00010256">
        <w:t xml:space="preserve"> SW17 0RE, </w:t>
      </w:r>
      <w:r w:rsidR="00F21311">
        <w:t>U.K.</w:t>
      </w:r>
    </w:p>
    <w:p w14:paraId="1E604FC6" w14:textId="77777777" w:rsidR="002323CC" w:rsidRDefault="002323CC" w:rsidP="00010256"/>
    <w:p w14:paraId="6FE11387" w14:textId="625EC143" w:rsidR="00010256" w:rsidRPr="00B0711C" w:rsidRDefault="002323CC" w:rsidP="00010256">
      <w:pPr>
        <w:rPr>
          <w:color w:val="000000" w:themeColor="text1"/>
        </w:rPr>
      </w:pPr>
      <w:r>
        <w:t>*Corresponding author. Tel: +44-1707-666333; Fax: +44-1707-666298</w:t>
      </w:r>
      <w:r w:rsidR="00010256" w:rsidRPr="00010256">
        <w:t xml:space="preserve"> E-mail</w:t>
      </w:r>
      <w:r w:rsidR="00010256" w:rsidRPr="00B0711C">
        <w:rPr>
          <w:color w:val="000000" w:themeColor="text1"/>
        </w:rPr>
        <w:t xml:space="preserve">: </w:t>
      </w:r>
      <w:r w:rsidR="00D41E99" w:rsidRPr="00B0711C">
        <w:rPr>
          <w:rStyle w:val="Hyperlink"/>
          <w:color w:val="000000" w:themeColor="text1"/>
          <w:u w:val="none"/>
        </w:rPr>
        <w:t>sfrosini@rvc.ac.uk</w:t>
      </w:r>
    </w:p>
    <w:p w14:paraId="28B70F84" w14:textId="0BA85B0E" w:rsidR="00D41E99" w:rsidRDefault="00C31E8A" w:rsidP="00010256">
      <w:r w:rsidRPr="00B0711C">
        <w:rPr>
          <w:color w:val="000000" w:themeColor="text1"/>
        </w:rPr>
        <w:t xml:space="preserve">Author emails: </w:t>
      </w:r>
      <w:hyperlink r:id="rId8" w:history="1">
        <w:r w:rsidRPr="00B0711C">
          <w:rPr>
            <w:rStyle w:val="Hyperlink"/>
            <w:color w:val="000000" w:themeColor="text1"/>
            <w:u w:val="none"/>
          </w:rPr>
          <w:t>sfrosini@rvc.ac.uk</w:t>
        </w:r>
      </w:hyperlink>
      <w:r w:rsidRPr="00B0711C">
        <w:rPr>
          <w:color w:val="000000" w:themeColor="text1"/>
        </w:rPr>
        <w:t xml:space="preserve">; </w:t>
      </w:r>
      <w:hyperlink r:id="rId9" w:history="1">
        <w:r w:rsidRPr="00B0711C">
          <w:rPr>
            <w:rStyle w:val="Hyperlink"/>
            <w:color w:val="000000" w:themeColor="text1"/>
            <w:u w:val="none"/>
          </w:rPr>
          <w:t>rbond@rvc.ac.uk</w:t>
        </w:r>
      </w:hyperlink>
      <w:r w:rsidRPr="00B0711C">
        <w:rPr>
          <w:color w:val="000000" w:themeColor="text1"/>
        </w:rPr>
        <w:t xml:space="preserve">; </w:t>
      </w:r>
      <w:hyperlink r:id="rId10" w:history="1">
        <w:r w:rsidRPr="00B0711C">
          <w:rPr>
            <w:rStyle w:val="Hyperlink"/>
            <w:color w:val="000000" w:themeColor="text1"/>
            <w:u w:val="none"/>
          </w:rPr>
          <w:t>merja.rantala@helsinki.fi</w:t>
        </w:r>
      </w:hyperlink>
      <w:r w:rsidRPr="00B0711C">
        <w:rPr>
          <w:color w:val="000000" w:themeColor="text1"/>
        </w:rPr>
        <w:t xml:space="preserve">; </w:t>
      </w:r>
      <w:hyperlink r:id="rId11" w:history="1">
        <w:r w:rsidRPr="00B0711C">
          <w:rPr>
            <w:rStyle w:val="Hyperlink"/>
            <w:color w:val="000000" w:themeColor="text1"/>
            <w:u w:val="none"/>
          </w:rPr>
          <w:t>thomas.gronthal@helsinki.fi</w:t>
        </w:r>
      </w:hyperlink>
      <w:r w:rsidRPr="00B0711C">
        <w:rPr>
          <w:color w:val="000000" w:themeColor="text1"/>
        </w:rPr>
        <w:t xml:space="preserve">; </w:t>
      </w:r>
      <w:hyperlink r:id="rId12" w:history="1">
        <w:r w:rsidRPr="00B0711C">
          <w:rPr>
            <w:rStyle w:val="Hyperlink"/>
            <w:color w:val="000000" w:themeColor="text1"/>
            <w:u w:val="none"/>
          </w:rPr>
          <w:t>srankin@vet.upenn.edu</w:t>
        </w:r>
      </w:hyperlink>
      <w:r w:rsidRPr="00B0711C">
        <w:rPr>
          <w:color w:val="000000" w:themeColor="text1"/>
        </w:rPr>
        <w:t xml:space="preserve">; </w:t>
      </w:r>
      <w:hyperlink r:id="rId13" w:history="1">
        <w:r w:rsidRPr="00B0711C">
          <w:rPr>
            <w:rStyle w:val="Hyperlink"/>
            <w:color w:val="000000" w:themeColor="text1"/>
            <w:u w:val="none"/>
          </w:rPr>
          <w:t>koshea@vet.upenn.edu</w:t>
        </w:r>
      </w:hyperlink>
      <w:r w:rsidRPr="00B0711C">
        <w:rPr>
          <w:color w:val="000000" w:themeColor="text1"/>
        </w:rPr>
        <w:t xml:space="preserve">; </w:t>
      </w:r>
      <w:hyperlink r:id="rId14" w:history="1">
        <w:r w:rsidRPr="00B0711C">
          <w:rPr>
            <w:rStyle w:val="Hyperlink"/>
            <w:color w:val="000000" w:themeColor="text1"/>
            <w:u w:val="none"/>
          </w:rPr>
          <w:t>D.Timofte@liverpool.ac.uk</w:t>
        </w:r>
      </w:hyperlink>
      <w:r w:rsidRPr="00B0711C">
        <w:rPr>
          <w:color w:val="000000" w:themeColor="text1"/>
        </w:rPr>
        <w:t xml:space="preserve">; </w:t>
      </w:r>
      <w:hyperlink r:id="rId15" w:history="1">
        <w:r w:rsidRPr="00B0711C">
          <w:rPr>
            <w:rStyle w:val="Hyperlink"/>
            <w:color w:val="000000" w:themeColor="text1"/>
            <w:u w:val="none"/>
          </w:rPr>
          <w:t>V.Schmidt@liverpool.ac.uk</w:t>
        </w:r>
      </w:hyperlink>
      <w:r w:rsidRPr="00B0711C">
        <w:rPr>
          <w:color w:val="000000" w:themeColor="text1"/>
        </w:rPr>
        <w:t xml:space="preserve">; </w:t>
      </w:r>
      <w:hyperlink r:id="rId16" w:history="1">
        <w:r w:rsidRPr="00B0711C">
          <w:rPr>
            <w:rStyle w:val="Hyperlink"/>
            <w:color w:val="000000" w:themeColor="text1"/>
            <w:u w:val="none"/>
          </w:rPr>
          <w:t>jlindsay@sgul.ac.uk</w:t>
        </w:r>
      </w:hyperlink>
      <w:r w:rsidRPr="00B0711C">
        <w:rPr>
          <w:color w:val="000000" w:themeColor="text1"/>
        </w:rPr>
        <w:t>; aloef</w:t>
      </w:r>
      <w:r>
        <w:t>fler@rvc.ac.uk</w:t>
      </w:r>
    </w:p>
    <w:p w14:paraId="11DAFCF8" w14:textId="0695D23F" w:rsidR="00D41E99" w:rsidRDefault="00D41E99" w:rsidP="00010256">
      <w:r>
        <w:t xml:space="preserve">Running title: </w:t>
      </w:r>
      <w:r w:rsidR="00F259E8">
        <w:t xml:space="preserve">Chlorhexidine and fusidic acid resistance </w:t>
      </w:r>
      <w:r>
        <w:t>in canine staphylococci</w:t>
      </w:r>
    </w:p>
    <w:p w14:paraId="19276A8C" w14:textId="77777777" w:rsidR="00010256" w:rsidRDefault="00010256">
      <w:r>
        <w:br w:type="page"/>
      </w:r>
    </w:p>
    <w:p w14:paraId="182F3608" w14:textId="7787C1F5" w:rsidR="00C50256" w:rsidRPr="002C539F" w:rsidRDefault="006E15BB" w:rsidP="00B35037">
      <w:pPr>
        <w:spacing w:after="100" w:afterAutospacing="1" w:line="480" w:lineRule="auto"/>
        <w:rPr>
          <w:b/>
          <w:sz w:val="32"/>
          <w:szCs w:val="28"/>
        </w:rPr>
      </w:pPr>
      <w:r>
        <w:rPr>
          <w:b/>
          <w:sz w:val="32"/>
          <w:szCs w:val="28"/>
        </w:rPr>
        <w:lastRenderedPageBreak/>
        <w:t>Abstract</w:t>
      </w:r>
    </w:p>
    <w:p w14:paraId="18CD4EF5" w14:textId="18CD2A10" w:rsidR="00982F79" w:rsidRDefault="00554584" w:rsidP="00E53042">
      <w:pPr>
        <w:pStyle w:val="Default"/>
        <w:spacing w:after="100" w:afterAutospacing="1" w:line="480" w:lineRule="auto"/>
        <w:rPr>
          <w:sz w:val="22"/>
          <w:szCs w:val="22"/>
        </w:rPr>
      </w:pPr>
      <w:r>
        <w:rPr>
          <w:sz w:val="22"/>
          <w:szCs w:val="22"/>
        </w:rPr>
        <w:t xml:space="preserve">Background: </w:t>
      </w:r>
      <w:r w:rsidR="00C334E7">
        <w:rPr>
          <w:sz w:val="22"/>
          <w:szCs w:val="22"/>
        </w:rPr>
        <w:t xml:space="preserve">Concern exists </w:t>
      </w:r>
      <w:r w:rsidR="00A26022">
        <w:rPr>
          <w:sz w:val="22"/>
          <w:szCs w:val="22"/>
        </w:rPr>
        <w:t xml:space="preserve">that </w:t>
      </w:r>
      <w:r w:rsidR="00A12E7F">
        <w:rPr>
          <w:sz w:val="22"/>
          <w:szCs w:val="22"/>
        </w:rPr>
        <w:t xml:space="preserve">frequent </w:t>
      </w:r>
      <w:r w:rsidR="004B0557">
        <w:rPr>
          <w:sz w:val="22"/>
          <w:szCs w:val="22"/>
        </w:rPr>
        <w:t>use of topically</w:t>
      </w:r>
      <w:r w:rsidR="00795AE4">
        <w:rPr>
          <w:sz w:val="22"/>
          <w:szCs w:val="22"/>
        </w:rPr>
        <w:t>-</w:t>
      </w:r>
      <w:r w:rsidR="004B0557">
        <w:rPr>
          <w:sz w:val="22"/>
          <w:szCs w:val="22"/>
        </w:rPr>
        <w:t>applied fusidic acid (FA) and chlorhexidine (CHX)</w:t>
      </w:r>
      <w:r w:rsidR="00A26022">
        <w:rPr>
          <w:sz w:val="22"/>
          <w:szCs w:val="22"/>
        </w:rPr>
        <w:t xml:space="preserve"> </w:t>
      </w:r>
      <w:r w:rsidR="005C32F8">
        <w:rPr>
          <w:sz w:val="22"/>
          <w:szCs w:val="22"/>
        </w:rPr>
        <w:t>for</w:t>
      </w:r>
      <w:r w:rsidR="00A26022">
        <w:rPr>
          <w:sz w:val="22"/>
          <w:szCs w:val="22"/>
        </w:rPr>
        <w:t xml:space="preserve"> </w:t>
      </w:r>
      <w:r w:rsidR="00A12E7F">
        <w:rPr>
          <w:sz w:val="22"/>
          <w:szCs w:val="22"/>
        </w:rPr>
        <w:t>canine pyoderma</w:t>
      </w:r>
      <w:r w:rsidR="004B0557">
        <w:rPr>
          <w:sz w:val="22"/>
          <w:szCs w:val="22"/>
        </w:rPr>
        <w:t xml:space="preserve"> </w:t>
      </w:r>
      <w:r w:rsidR="00A26022">
        <w:rPr>
          <w:sz w:val="22"/>
          <w:szCs w:val="22"/>
        </w:rPr>
        <w:t xml:space="preserve">is </w:t>
      </w:r>
      <w:r w:rsidR="00C334E7">
        <w:rPr>
          <w:sz w:val="22"/>
          <w:szCs w:val="22"/>
        </w:rPr>
        <w:t>driving</w:t>
      </w:r>
      <w:r w:rsidR="004B0557">
        <w:rPr>
          <w:sz w:val="22"/>
          <w:szCs w:val="22"/>
        </w:rPr>
        <w:t xml:space="preserve"> </w:t>
      </w:r>
      <w:r w:rsidR="00A26022">
        <w:rPr>
          <w:sz w:val="22"/>
          <w:szCs w:val="22"/>
        </w:rPr>
        <w:t>clinically</w:t>
      </w:r>
      <w:r w:rsidR="004F17B1">
        <w:rPr>
          <w:sz w:val="22"/>
          <w:szCs w:val="22"/>
        </w:rPr>
        <w:t xml:space="preserve"> </w:t>
      </w:r>
      <w:r w:rsidR="00A26022">
        <w:rPr>
          <w:sz w:val="22"/>
          <w:szCs w:val="22"/>
        </w:rPr>
        <w:t xml:space="preserve">relevant </w:t>
      </w:r>
      <w:r w:rsidR="008B4EA1">
        <w:rPr>
          <w:sz w:val="22"/>
          <w:szCs w:val="22"/>
        </w:rPr>
        <w:t>resistance</w:t>
      </w:r>
      <w:r w:rsidR="00B53631">
        <w:rPr>
          <w:sz w:val="22"/>
          <w:szCs w:val="22"/>
        </w:rPr>
        <w:t xml:space="preserve">, despite </w:t>
      </w:r>
      <w:r w:rsidR="00713FD3">
        <w:rPr>
          <w:sz w:val="22"/>
          <w:szCs w:val="22"/>
        </w:rPr>
        <w:t xml:space="preserve">rare </w:t>
      </w:r>
      <w:r w:rsidR="00FD5958">
        <w:rPr>
          <w:sz w:val="22"/>
          <w:szCs w:val="22"/>
        </w:rPr>
        <w:t xml:space="preserve">description of </w:t>
      </w:r>
      <w:r w:rsidR="008B4EA1">
        <w:rPr>
          <w:sz w:val="22"/>
          <w:szCs w:val="22"/>
        </w:rPr>
        <w:t xml:space="preserve">FA and CHX </w:t>
      </w:r>
      <w:r w:rsidR="004C3C70">
        <w:rPr>
          <w:sz w:val="22"/>
          <w:szCs w:val="22"/>
        </w:rPr>
        <w:t xml:space="preserve">genetic </w:t>
      </w:r>
      <w:r w:rsidR="008B4EA1">
        <w:rPr>
          <w:sz w:val="22"/>
          <w:szCs w:val="22"/>
        </w:rPr>
        <w:t xml:space="preserve">resistance </w:t>
      </w:r>
      <w:r w:rsidR="00796A44">
        <w:rPr>
          <w:sz w:val="22"/>
          <w:szCs w:val="22"/>
        </w:rPr>
        <w:t>determinants</w:t>
      </w:r>
      <w:r w:rsidR="00EA5AEA">
        <w:rPr>
          <w:sz w:val="22"/>
          <w:szCs w:val="22"/>
        </w:rPr>
        <w:t xml:space="preserve"> </w:t>
      </w:r>
      <w:r w:rsidR="00FD5958">
        <w:rPr>
          <w:sz w:val="22"/>
          <w:szCs w:val="22"/>
        </w:rPr>
        <w:t>in canine</w:t>
      </w:r>
      <w:r w:rsidR="00795AE4">
        <w:rPr>
          <w:sz w:val="22"/>
          <w:szCs w:val="22"/>
        </w:rPr>
        <w:t>-derived</w:t>
      </w:r>
      <w:r w:rsidR="00FD5958">
        <w:rPr>
          <w:sz w:val="22"/>
          <w:szCs w:val="22"/>
        </w:rPr>
        <w:t xml:space="preserve"> staphylococci</w:t>
      </w:r>
      <w:r w:rsidR="004C3C70">
        <w:rPr>
          <w:sz w:val="22"/>
          <w:szCs w:val="22"/>
        </w:rPr>
        <w:t xml:space="preserve">. </w:t>
      </w:r>
      <w:r w:rsidR="00EA5AEA">
        <w:rPr>
          <w:i/>
          <w:sz w:val="22"/>
          <w:szCs w:val="22"/>
        </w:rPr>
        <w:t xml:space="preserve"> </w:t>
      </w:r>
      <w:r w:rsidR="00133D26">
        <w:rPr>
          <w:sz w:val="22"/>
          <w:szCs w:val="22"/>
        </w:rPr>
        <w:t>This study aimed to</w:t>
      </w:r>
      <w:r w:rsidR="00E12FDF">
        <w:rPr>
          <w:sz w:val="22"/>
          <w:szCs w:val="22"/>
        </w:rPr>
        <w:t xml:space="preserve"> determine minimum </w:t>
      </w:r>
      <w:r w:rsidR="00A26022">
        <w:rPr>
          <w:sz w:val="22"/>
          <w:szCs w:val="22"/>
        </w:rPr>
        <w:t xml:space="preserve">inhibitory concentrations (MICs) and </w:t>
      </w:r>
      <w:r w:rsidR="00F259E8">
        <w:rPr>
          <w:sz w:val="22"/>
          <w:szCs w:val="22"/>
        </w:rPr>
        <w:t>i</w:t>
      </w:r>
      <w:r w:rsidR="00982F79">
        <w:rPr>
          <w:sz w:val="22"/>
          <w:szCs w:val="22"/>
        </w:rPr>
        <w:t xml:space="preserve">nvestigate presence of </w:t>
      </w:r>
      <w:r w:rsidR="004C3C70">
        <w:rPr>
          <w:sz w:val="22"/>
          <w:szCs w:val="22"/>
        </w:rPr>
        <w:t xml:space="preserve">putative </w:t>
      </w:r>
      <w:r w:rsidR="00982F79">
        <w:rPr>
          <w:sz w:val="22"/>
          <w:szCs w:val="22"/>
        </w:rPr>
        <w:t xml:space="preserve">resistance </w:t>
      </w:r>
      <w:r w:rsidR="00796A44">
        <w:rPr>
          <w:sz w:val="22"/>
          <w:szCs w:val="22"/>
        </w:rPr>
        <w:t>determinants</w:t>
      </w:r>
      <w:r w:rsidR="00982F79">
        <w:rPr>
          <w:sz w:val="22"/>
          <w:szCs w:val="22"/>
        </w:rPr>
        <w:t xml:space="preserve"> for FA and CHX in canine-derived </w:t>
      </w:r>
      <w:r w:rsidR="00BA4773">
        <w:rPr>
          <w:sz w:val="22"/>
          <w:szCs w:val="22"/>
        </w:rPr>
        <w:t xml:space="preserve">methicillin-resistant (MR) and </w:t>
      </w:r>
      <w:r w:rsidR="00E12FDF">
        <w:rPr>
          <w:sz w:val="22"/>
          <w:szCs w:val="22"/>
        </w:rPr>
        <w:t>-</w:t>
      </w:r>
      <w:r w:rsidR="00BA4773">
        <w:rPr>
          <w:sz w:val="22"/>
          <w:szCs w:val="22"/>
        </w:rPr>
        <w:t xml:space="preserve">susceptible (MS) </w:t>
      </w:r>
      <w:r w:rsidR="00982F79">
        <w:rPr>
          <w:sz w:val="22"/>
          <w:szCs w:val="22"/>
        </w:rPr>
        <w:t>staphylococci</w:t>
      </w:r>
      <w:r w:rsidR="00BA4773">
        <w:rPr>
          <w:sz w:val="22"/>
          <w:szCs w:val="22"/>
        </w:rPr>
        <w:t>.</w:t>
      </w:r>
      <w:r w:rsidR="00B0711C">
        <w:rPr>
          <w:sz w:val="22"/>
          <w:szCs w:val="22"/>
        </w:rPr>
        <w:t xml:space="preserve"> </w:t>
      </w:r>
      <w:r w:rsidR="005C32F8">
        <w:rPr>
          <w:sz w:val="22"/>
          <w:szCs w:val="22"/>
        </w:rPr>
        <w:t>P</w:t>
      </w:r>
      <w:r w:rsidR="003A51F4" w:rsidRPr="007D6D5A">
        <w:rPr>
          <w:sz w:val="22"/>
          <w:szCs w:val="22"/>
        </w:rPr>
        <w:t>lasmid-mediated resistance genes (</w:t>
      </w:r>
      <w:r w:rsidR="003A51F4" w:rsidRPr="00554584">
        <w:rPr>
          <w:i/>
          <w:sz w:val="22"/>
          <w:szCs w:val="22"/>
        </w:rPr>
        <w:t>fusB, fusC, fusD, qacA/B, smr</w:t>
      </w:r>
      <w:r w:rsidR="00B53631">
        <w:rPr>
          <w:i/>
          <w:sz w:val="22"/>
          <w:szCs w:val="22"/>
        </w:rPr>
        <w:t xml:space="preserve">; </w:t>
      </w:r>
      <w:r w:rsidR="00B53631">
        <w:rPr>
          <w:sz w:val="22"/>
          <w:szCs w:val="22"/>
        </w:rPr>
        <w:t>PCR</w:t>
      </w:r>
      <w:r w:rsidR="003A51F4" w:rsidRPr="007D6D5A">
        <w:rPr>
          <w:sz w:val="22"/>
          <w:szCs w:val="22"/>
        </w:rPr>
        <w:t>)</w:t>
      </w:r>
      <w:r w:rsidR="003A51F4">
        <w:rPr>
          <w:sz w:val="22"/>
          <w:szCs w:val="22"/>
        </w:rPr>
        <w:t xml:space="preserve"> </w:t>
      </w:r>
      <w:r w:rsidR="00B53631">
        <w:rPr>
          <w:sz w:val="22"/>
          <w:szCs w:val="22"/>
        </w:rPr>
        <w:t xml:space="preserve">and MICs (agar dilution) of FA and CHX were investigated </w:t>
      </w:r>
      <w:r w:rsidR="003A51F4">
        <w:rPr>
          <w:sz w:val="22"/>
          <w:szCs w:val="22"/>
        </w:rPr>
        <w:t>in 578 staphylococc</w:t>
      </w:r>
      <w:r w:rsidR="00A128C0">
        <w:rPr>
          <w:sz w:val="22"/>
          <w:szCs w:val="22"/>
        </w:rPr>
        <w:t>i</w:t>
      </w:r>
      <w:r w:rsidR="00BA4773">
        <w:rPr>
          <w:sz w:val="22"/>
          <w:szCs w:val="22"/>
        </w:rPr>
        <w:t xml:space="preserve"> (50 MR </w:t>
      </w:r>
      <w:r w:rsidR="00BA4773" w:rsidRPr="00B53631">
        <w:rPr>
          <w:i/>
          <w:sz w:val="22"/>
          <w:szCs w:val="22"/>
        </w:rPr>
        <w:t>S. aureus</w:t>
      </w:r>
      <w:r w:rsidR="00B53631">
        <w:rPr>
          <w:i/>
          <w:sz w:val="22"/>
          <w:szCs w:val="22"/>
        </w:rPr>
        <w:t xml:space="preserve"> </w:t>
      </w:r>
      <w:r w:rsidR="00B53631">
        <w:rPr>
          <w:sz w:val="22"/>
          <w:szCs w:val="22"/>
        </w:rPr>
        <w:t>[SA</w:t>
      </w:r>
      <w:r w:rsidR="00B53631" w:rsidRPr="00B53631">
        <w:rPr>
          <w:sz w:val="22"/>
          <w:szCs w:val="22"/>
        </w:rPr>
        <w:t>]</w:t>
      </w:r>
      <w:r w:rsidR="00BA4773">
        <w:rPr>
          <w:sz w:val="22"/>
          <w:szCs w:val="22"/>
        </w:rPr>
        <w:t xml:space="preserve">, 50 MSSA, </w:t>
      </w:r>
      <w:r w:rsidR="00F259E8">
        <w:rPr>
          <w:sz w:val="22"/>
          <w:szCs w:val="22"/>
        </w:rPr>
        <w:t>259</w:t>
      </w:r>
      <w:r w:rsidR="00BA4773">
        <w:rPr>
          <w:sz w:val="22"/>
          <w:szCs w:val="22"/>
        </w:rPr>
        <w:t xml:space="preserve"> MR</w:t>
      </w:r>
      <w:r w:rsidR="00B53631">
        <w:rPr>
          <w:sz w:val="22"/>
          <w:szCs w:val="22"/>
        </w:rPr>
        <w:t xml:space="preserve"> </w:t>
      </w:r>
      <w:r w:rsidR="00BA4773" w:rsidRPr="00B53631">
        <w:rPr>
          <w:i/>
          <w:sz w:val="22"/>
          <w:szCs w:val="22"/>
        </w:rPr>
        <w:t>S</w:t>
      </w:r>
      <w:r w:rsidR="00B53631" w:rsidRPr="00B53631">
        <w:rPr>
          <w:i/>
          <w:sz w:val="22"/>
          <w:szCs w:val="22"/>
        </w:rPr>
        <w:t>. pseudintermedius</w:t>
      </w:r>
      <w:r w:rsidR="00B53631">
        <w:rPr>
          <w:sz w:val="22"/>
          <w:szCs w:val="22"/>
        </w:rPr>
        <w:t xml:space="preserve"> [</w:t>
      </w:r>
      <w:r w:rsidR="00BA4773">
        <w:rPr>
          <w:sz w:val="22"/>
          <w:szCs w:val="22"/>
        </w:rPr>
        <w:t>SP</w:t>
      </w:r>
      <w:r w:rsidR="00B53631">
        <w:rPr>
          <w:sz w:val="22"/>
          <w:szCs w:val="22"/>
        </w:rPr>
        <w:t xml:space="preserve">], </w:t>
      </w:r>
      <w:r w:rsidR="00F259E8">
        <w:rPr>
          <w:sz w:val="22"/>
          <w:szCs w:val="22"/>
        </w:rPr>
        <w:t>2</w:t>
      </w:r>
      <w:r w:rsidR="0034120A">
        <w:rPr>
          <w:sz w:val="22"/>
          <w:szCs w:val="22"/>
        </w:rPr>
        <w:t>1</w:t>
      </w:r>
      <w:r w:rsidR="00F259E8">
        <w:rPr>
          <w:sz w:val="22"/>
          <w:szCs w:val="22"/>
        </w:rPr>
        <w:t xml:space="preserve">9 </w:t>
      </w:r>
      <w:r w:rsidR="00B53631">
        <w:rPr>
          <w:sz w:val="22"/>
          <w:szCs w:val="22"/>
        </w:rPr>
        <w:t xml:space="preserve">MSSP) </w:t>
      </w:r>
      <w:r w:rsidR="00982F79">
        <w:rPr>
          <w:sz w:val="22"/>
          <w:szCs w:val="22"/>
        </w:rPr>
        <w:t xml:space="preserve">from Finland, U.S.A., North </w:t>
      </w:r>
      <w:r w:rsidR="00856454">
        <w:rPr>
          <w:sz w:val="22"/>
          <w:szCs w:val="22"/>
        </w:rPr>
        <w:t>(NUK)</w:t>
      </w:r>
      <w:r w:rsidR="00BA4773">
        <w:rPr>
          <w:sz w:val="22"/>
          <w:szCs w:val="22"/>
        </w:rPr>
        <w:t xml:space="preserve"> and </w:t>
      </w:r>
      <w:r w:rsidR="00982F79">
        <w:rPr>
          <w:sz w:val="22"/>
          <w:szCs w:val="22"/>
        </w:rPr>
        <w:t xml:space="preserve">South-East U.K. </w:t>
      </w:r>
      <w:r w:rsidR="00856454">
        <w:rPr>
          <w:sz w:val="22"/>
          <w:szCs w:val="22"/>
        </w:rPr>
        <w:t xml:space="preserve">(SEUK) </w:t>
      </w:r>
      <w:r w:rsidR="00EA5AEA">
        <w:rPr>
          <w:sz w:val="22"/>
          <w:szCs w:val="22"/>
        </w:rPr>
        <w:t>and German</w:t>
      </w:r>
      <w:r w:rsidR="00795AE4">
        <w:rPr>
          <w:sz w:val="22"/>
          <w:szCs w:val="22"/>
        </w:rPr>
        <w:t>y</w:t>
      </w:r>
      <w:r w:rsidR="00B53631">
        <w:rPr>
          <w:sz w:val="22"/>
          <w:szCs w:val="22"/>
        </w:rPr>
        <w:t xml:space="preserve">. </w:t>
      </w:r>
      <w:r w:rsidR="00E53042">
        <w:rPr>
          <w:sz w:val="22"/>
          <w:szCs w:val="22"/>
        </w:rPr>
        <w:t>I</w:t>
      </w:r>
      <w:r w:rsidR="00982F79" w:rsidRPr="007D6D5A">
        <w:rPr>
          <w:sz w:val="22"/>
          <w:szCs w:val="22"/>
        </w:rPr>
        <w:t>n</w:t>
      </w:r>
      <w:r w:rsidR="00713FD3">
        <w:rPr>
          <w:sz w:val="22"/>
          <w:szCs w:val="22"/>
        </w:rPr>
        <w:t xml:space="preserve"> all</w:t>
      </w:r>
      <w:r w:rsidR="00A26022">
        <w:rPr>
          <w:sz w:val="22"/>
          <w:szCs w:val="22"/>
        </w:rPr>
        <w:t xml:space="preserve"> </w:t>
      </w:r>
      <w:r w:rsidR="00982F79" w:rsidRPr="007D6D5A">
        <w:rPr>
          <w:sz w:val="22"/>
          <w:szCs w:val="22"/>
        </w:rPr>
        <w:t>isolates</w:t>
      </w:r>
      <w:r w:rsidR="00B53631">
        <w:rPr>
          <w:sz w:val="22"/>
          <w:szCs w:val="22"/>
        </w:rPr>
        <w:t xml:space="preserve"> </w:t>
      </w:r>
      <w:r w:rsidR="00982F79" w:rsidRPr="007D6D5A">
        <w:rPr>
          <w:sz w:val="22"/>
          <w:szCs w:val="22"/>
        </w:rPr>
        <w:t>with</w:t>
      </w:r>
      <w:r w:rsidR="003678F3">
        <w:rPr>
          <w:sz w:val="22"/>
          <w:szCs w:val="22"/>
        </w:rPr>
        <w:t xml:space="preserve"> </w:t>
      </w:r>
      <w:r w:rsidR="0017119C">
        <w:rPr>
          <w:sz w:val="22"/>
          <w:szCs w:val="22"/>
        </w:rPr>
        <w:t>FA</w:t>
      </w:r>
      <w:r w:rsidR="003678F3">
        <w:rPr>
          <w:sz w:val="22"/>
          <w:szCs w:val="22"/>
        </w:rPr>
        <w:t xml:space="preserve"> MIC</w:t>
      </w:r>
      <w:r w:rsidR="0017119C">
        <w:rPr>
          <w:sz w:val="22"/>
          <w:szCs w:val="22"/>
        </w:rPr>
        <w:t xml:space="preserve"> </w:t>
      </w:r>
      <w:r w:rsidR="00FB6E48">
        <w:rPr>
          <w:sz w:val="22"/>
          <w:szCs w:val="22"/>
        </w:rPr>
        <w:t>≥</w:t>
      </w:r>
      <w:r w:rsidR="00E12FDF">
        <w:rPr>
          <w:sz w:val="22"/>
          <w:szCs w:val="22"/>
        </w:rPr>
        <w:t xml:space="preserve"> </w:t>
      </w:r>
      <w:r w:rsidR="00FB6E48">
        <w:rPr>
          <w:sz w:val="22"/>
          <w:szCs w:val="22"/>
        </w:rPr>
        <w:t>64mg/L</w:t>
      </w:r>
      <w:r w:rsidR="00A8054A">
        <w:rPr>
          <w:sz w:val="22"/>
          <w:szCs w:val="22"/>
        </w:rPr>
        <w:t xml:space="preserve"> (n=27)</w:t>
      </w:r>
      <w:r w:rsidR="00E53042" w:rsidRPr="00E53042">
        <w:rPr>
          <w:i/>
          <w:sz w:val="22"/>
          <w:szCs w:val="22"/>
        </w:rPr>
        <w:t xml:space="preserve"> </w:t>
      </w:r>
      <w:r w:rsidR="00E53042" w:rsidRPr="00554584">
        <w:rPr>
          <w:i/>
          <w:sz w:val="22"/>
          <w:szCs w:val="22"/>
        </w:rPr>
        <w:t>fusA</w:t>
      </w:r>
      <w:r w:rsidR="00E53042" w:rsidRPr="007D6D5A">
        <w:rPr>
          <w:sz w:val="22"/>
          <w:szCs w:val="22"/>
        </w:rPr>
        <w:t xml:space="preserve"> and </w:t>
      </w:r>
      <w:r w:rsidR="00E53042" w:rsidRPr="00554584">
        <w:rPr>
          <w:i/>
          <w:sz w:val="22"/>
          <w:szCs w:val="22"/>
        </w:rPr>
        <w:t>fusE</w:t>
      </w:r>
      <w:r w:rsidR="00E53042" w:rsidRPr="007D6D5A">
        <w:rPr>
          <w:sz w:val="22"/>
          <w:szCs w:val="22"/>
        </w:rPr>
        <w:t xml:space="preserve"> </w:t>
      </w:r>
      <w:r w:rsidR="00E53042">
        <w:rPr>
          <w:sz w:val="22"/>
          <w:szCs w:val="22"/>
        </w:rPr>
        <w:t>were amplified and sequenced.</w:t>
      </w:r>
    </w:p>
    <w:p w14:paraId="175AB984" w14:textId="66E82675" w:rsidR="00982F79" w:rsidRDefault="00C76E78" w:rsidP="00B35037">
      <w:pPr>
        <w:pStyle w:val="Default"/>
        <w:spacing w:after="100" w:afterAutospacing="1" w:line="480" w:lineRule="auto"/>
        <w:rPr>
          <w:sz w:val="22"/>
          <w:szCs w:val="22"/>
        </w:rPr>
      </w:pPr>
      <w:r>
        <w:rPr>
          <w:sz w:val="22"/>
          <w:szCs w:val="22"/>
        </w:rPr>
        <w:t xml:space="preserve">Results: </w:t>
      </w:r>
      <w:r w:rsidR="00E12FDF">
        <w:rPr>
          <w:sz w:val="22"/>
          <w:szCs w:val="22"/>
        </w:rPr>
        <w:t>FA</w:t>
      </w:r>
      <w:r w:rsidR="004C03C4">
        <w:rPr>
          <w:sz w:val="22"/>
          <w:szCs w:val="22"/>
        </w:rPr>
        <w:t xml:space="preserve"> resistance </w:t>
      </w:r>
      <w:r w:rsidR="00796A44">
        <w:rPr>
          <w:sz w:val="22"/>
          <w:szCs w:val="22"/>
        </w:rPr>
        <w:t xml:space="preserve">determinants </w:t>
      </w:r>
      <w:r w:rsidR="004F17B1">
        <w:rPr>
          <w:sz w:val="22"/>
          <w:szCs w:val="22"/>
        </w:rPr>
        <w:t>(</w:t>
      </w:r>
      <w:r w:rsidR="004F17B1">
        <w:rPr>
          <w:i/>
          <w:sz w:val="22"/>
          <w:szCs w:val="22"/>
        </w:rPr>
        <w:t xml:space="preserve">fusA </w:t>
      </w:r>
      <w:r w:rsidR="004F17B1">
        <w:rPr>
          <w:sz w:val="22"/>
          <w:szCs w:val="22"/>
        </w:rPr>
        <w:t xml:space="preserve">mutations n=24, </w:t>
      </w:r>
      <w:r w:rsidR="004F17B1" w:rsidRPr="005E3EB0">
        <w:rPr>
          <w:i/>
          <w:sz w:val="22"/>
          <w:szCs w:val="22"/>
        </w:rPr>
        <w:t>fusB</w:t>
      </w:r>
      <w:r w:rsidR="004F17B1" w:rsidRPr="005E3EB0">
        <w:rPr>
          <w:sz w:val="22"/>
          <w:szCs w:val="22"/>
        </w:rPr>
        <w:t xml:space="preserve"> </w:t>
      </w:r>
      <w:r w:rsidR="004F17B1">
        <w:rPr>
          <w:sz w:val="22"/>
          <w:szCs w:val="22"/>
        </w:rPr>
        <w:t>n=2</w:t>
      </w:r>
      <w:r w:rsidR="004F17B1" w:rsidRPr="005E3EB0">
        <w:rPr>
          <w:sz w:val="22"/>
          <w:szCs w:val="22"/>
        </w:rPr>
        <w:t xml:space="preserve">, </w:t>
      </w:r>
      <w:r w:rsidR="004F17B1" w:rsidRPr="005E3EB0">
        <w:rPr>
          <w:i/>
          <w:sz w:val="22"/>
          <w:szCs w:val="22"/>
        </w:rPr>
        <w:t>fusC</w:t>
      </w:r>
      <w:r w:rsidR="004F17B1" w:rsidRPr="005E3EB0">
        <w:rPr>
          <w:sz w:val="22"/>
          <w:szCs w:val="22"/>
        </w:rPr>
        <w:t xml:space="preserve"> </w:t>
      </w:r>
      <w:r w:rsidR="004F17B1">
        <w:rPr>
          <w:sz w:val="22"/>
          <w:szCs w:val="22"/>
        </w:rPr>
        <w:t>n=36</w:t>
      </w:r>
      <w:r w:rsidR="004F17B1" w:rsidRPr="005E3EB0">
        <w:rPr>
          <w:sz w:val="22"/>
          <w:szCs w:val="22"/>
        </w:rPr>
        <w:t>)</w:t>
      </w:r>
      <w:r w:rsidR="004F17B1">
        <w:rPr>
          <w:sz w:val="22"/>
          <w:szCs w:val="22"/>
        </w:rPr>
        <w:t xml:space="preserve"> </w:t>
      </w:r>
      <w:r w:rsidR="004C03C4">
        <w:rPr>
          <w:sz w:val="22"/>
          <w:szCs w:val="22"/>
        </w:rPr>
        <w:t xml:space="preserve">were found in </w:t>
      </w:r>
      <w:r w:rsidR="00B53631">
        <w:rPr>
          <w:sz w:val="22"/>
          <w:szCs w:val="22"/>
        </w:rPr>
        <w:t>isolates</w:t>
      </w:r>
      <w:r w:rsidR="00796A44">
        <w:rPr>
          <w:sz w:val="22"/>
          <w:szCs w:val="22"/>
        </w:rPr>
        <w:t xml:space="preserve"> </w:t>
      </w:r>
      <w:r w:rsidR="00A26022">
        <w:rPr>
          <w:sz w:val="22"/>
          <w:szCs w:val="22"/>
        </w:rPr>
        <w:t>from</w:t>
      </w:r>
      <w:r w:rsidR="004C3C70">
        <w:rPr>
          <w:sz w:val="22"/>
          <w:szCs w:val="22"/>
        </w:rPr>
        <w:t xml:space="preserve"> all countries </w:t>
      </w:r>
      <w:r w:rsidR="00B53631">
        <w:rPr>
          <w:sz w:val="22"/>
          <w:szCs w:val="22"/>
        </w:rPr>
        <w:t>bar</w:t>
      </w:r>
      <w:r w:rsidR="004C3C70">
        <w:rPr>
          <w:sz w:val="22"/>
          <w:szCs w:val="22"/>
        </w:rPr>
        <w:t xml:space="preserve"> </w:t>
      </w:r>
      <w:r w:rsidR="00796A44">
        <w:rPr>
          <w:sz w:val="22"/>
          <w:szCs w:val="22"/>
        </w:rPr>
        <w:t>U.S.A</w:t>
      </w:r>
      <w:r w:rsidR="00E12FDF">
        <w:rPr>
          <w:sz w:val="22"/>
          <w:szCs w:val="22"/>
        </w:rPr>
        <w:t>.</w:t>
      </w:r>
      <w:r w:rsidR="004C3C70">
        <w:rPr>
          <w:sz w:val="22"/>
          <w:szCs w:val="22"/>
        </w:rPr>
        <w:t xml:space="preserve"> and correlated with higher MIC</w:t>
      </w:r>
      <w:r w:rsidR="00F259E8">
        <w:rPr>
          <w:sz w:val="22"/>
          <w:szCs w:val="22"/>
        </w:rPr>
        <w:t>s</w:t>
      </w:r>
      <w:r w:rsidR="00E53042">
        <w:rPr>
          <w:sz w:val="22"/>
          <w:szCs w:val="22"/>
        </w:rPr>
        <w:t xml:space="preserve"> (≥1mg/L)</w:t>
      </w:r>
      <w:r w:rsidR="00E12FDF">
        <w:rPr>
          <w:sz w:val="22"/>
          <w:szCs w:val="22"/>
        </w:rPr>
        <w:t>,</w:t>
      </w:r>
      <w:r w:rsidR="00B753B4">
        <w:rPr>
          <w:sz w:val="22"/>
          <w:szCs w:val="22"/>
        </w:rPr>
        <w:t xml:space="preserve"> although</w:t>
      </w:r>
      <w:r w:rsidR="00A26022">
        <w:rPr>
          <w:sz w:val="22"/>
          <w:szCs w:val="22"/>
        </w:rPr>
        <w:t xml:space="preserve"> 4 SP isolates </w:t>
      </w:r>
      <w:r w:rsidR="00B753B4">
        <w:rPr>
          <w:sz w:val="22"/>
          <w:szCs w:val="22"/>
        </w:rPr>
        <w:t>had</w:t>
      </w:r>
      <w:r w:rsidR="00A26022">
        <w:rPr>
          <w:sz w:val="22"/>
          <w:szCs w:val="22"/>
        </w:rPr>
        <w:t xml:space="preserve"> MIC</w:t>
      </w:r>
      <w:r w:rsidR="00B753B4">
        <w:rPr>
          <w:sz w:val="22"/>
          <w:szCs w:val="22"/>
        </w:rPr>
        <w:t>s</w:t>
      </w:r>
      <w:r w:rsidR="00E12FDF">
        <w:rPr>
          <w:sz w:val="22"/>
          <w:szCs w:val="22"/>
        </w:rPr>
        <w:t xml:space="preserve"> of 0.06</w:t>
      </w:r>
      <w:r w:rsidR="00A26022">
        <w:rPr>
          <w:sz w:val="22"/>
          <w:szCs w:val="22"/>
        </w:rPr>
        <w:t xml:space="preserve">mg/L </w:t>
      </w:r>
      <w:r w:rsidR="00B753B4">
        <w:rPr>
          <w:sz w:val="22"/>
          <w:szCs w:val="22"/>
        </w:rPr>
        <w:t xml:space="preserve">despite </w:t>
      </w:r>
      <w:r w:rsidR="00795AE4">
        <w:rPr>
          <w:sz w:val="22"/>
          <w:szCs w:val="22"/>
        </w:rPr>
        <w:t>carr</w:t>
      </w:r>
      <w:r w:rsidR="00B753B4">
        <w:rPr>
          <w:sz w:val="22"/>
          <w:szCs w:val="22"/>
        </w:rPr>
        <w:t>ying</w:t>
      </w:r>
      <w:r w:rsidR="004C03C4">
        <w:rPr>
          <w:sz w:val="22"/>
          <w:szCs w:val="22"/>
        </w:rPr>
        <w:t xml:space="preserve"> </w:t>
      </w:r>
      <w:r w:rsidR="004C3C70">
        <w:rPr>
          <w:i/>
          <w:sz w:val="22"/>
          <w:szCs w:val="22"/>
        </w:rPr>
        <w:t>fusC</w:t>
      </w:r>
      <w:r w:rsidR="004C3C70">
        <w:rPr>
          <w:sz w:val="22"/>
          <w:szCs w:val="22"/>
        </w:rPr>
        <w:t xml:space="preserve">. </w:t>
      </w:r>
      <w:r w:rsidR="00E12FDF">
        <w:rPr>
          <w:sz w:val="22"/>
          <w:szCs w:val="22"/>
        </w:rPr>
        <w:t xml:space="preserve">CHX MICs did not correlate with </w:t>
      </w:r>
      <w:r w:rsidR="004C3C70">
        <w:rPr>
          <w:i/>
          <w:sz w:val="22"/>
          <w:szCs w:val="22"/>
        </w:rPr>
        <w:t xml:space="preserve">qacA/B </w:t>
      </w:r>
      <w:r w:rsidR="00A26022">
        <w:rPr>
          <w:sz w:val="22"/>
          <w:szCs w:val="22"/>
        </w:rPr>
        <w:t>(</w:t>
      </w:r>
      <w:r w:rsidR="004C3C70">
        <w:rPr>
          <w:sz w:val="22"/>
          <w:szCs w:val="22"/>
        </w:rPr>
        <w:t>n=2</w:t>
      </w:r>
      <w:r w:rsidR="00A26022">
        <w:rPr>
          <w:sz w:val="22"/>
          <w:szCs w:val="22"/>
        </w:rPr>
        <w:t>)</w:t>
      </w:r>
      <w:r w:rsidR="004C3C70">
        <w:rPr>
          <w:sz w:val="22"/>
          <w:szCs w:val="22"/>
        </w:rPr>
        <w:t xml:space="preserve"> and </w:t>
      </w:r>
      <w:r w:rsidR="004C3C70">
        <w:rPr>
          <w:i/>
          <w:sz w:val="22"/>
          <w:szCs w:val="22"/>
        </w:rPr>
        <w:t xml:space="preserve">smr </w:t>
      </w:r>
      <w:r w:rsidR="00A26022">
        <w:rPr>
          <w:sz w:val="22"/>
          <w:szCs w:val="22"/>
        </w:rPr>
        <w:t>(</w:t>
      </w:r>
      <w:r w:rsidR="004C3C70">
        <w:rPr>
          <w:sz w:val="22"/>
          <w:szCs w:val="22"/>
        </w:rPr>
        <w:t>n=5</w:t>
      </w:r>
      <w:r w:rsidR="00A26022">
        <w:rPr>
          <w:sz w:val="22"/>
          <w:szCs w:val="22"/>
        </w:rPr>
        <w:t>)</w:t>
      </w:r>
      <w:r w:rsidR="00E12FDF">
        <w:rPr>
          <w:sz w:val="22"/>
          <w:szCs w:val="22"/>
        </w:rPr>
        <w:t>, which</w:t>
      </w:r>
      <w:r w:rsidR="004C3C70">
        <w:rPr>
          <w:sz w:val="22"/>
          <w:szCs w:val="22"/>
        </w:rPr>
        <w:t xml:space="preserve"> </w:t>
      </w:r>
      <w:r w:rsidR="00FD62D0">
        <w:rPr>
          <w:sz w:val="22"/>
          <w:szCs w:val="22"/>
        </w:rPr>
        <w:t>were found in SEUK SA, and SP from NUK and U.S.A.</w:t>
      </w:r>
    </w:p>
    <w:p w14:paraId="4137C971" w14:textId="0796B5FF" w:rsidR="005B2BC9" w:rsidRDefault="00554584" w:rsidP="00B35037">
      <w:pPr>
        <w:pStyle w:val="Default"/>
        <w:spacing w:after="100" w:afterAutospacing="1" w:line="480" w:lineRule="auto"/>
        <w:rPr>
          <w:sz w:val="22"/>
          <w:szCs w:val="22"/>
        </w:rPr>
      </w:pPr>
      <w:r>
        <w:rPr>
          <w:sz w:val="22"/>
          <w:szCs w:val="22"/>
        </w:rPr>
        <w:t>Conclusions:</w:t>
      </w:r>
      <w:r w:rsidR="00856454">
        <w:rPr>
          <w:sz w:val="22"/>
          <w:szCs w:val="22"/>
        </w:rPr>
        <w:t xml:space="preserve"> </w:t>
      </w:r>
      <w:r w:rsidR="00E12FDF">
        <w:rPr>
          <w:sz w:val="22"/>
          <w:szCs w:val="22"/>
        </w:rPr>
        <w:t>I</w:t>
      </w:r>
      <w:r w:rsidR="00B4218B">
        <w:rPr>
          <w:sz w:val="22"/>
          <w:szCs w:val="22"/>
        </w:rPr>
        <w:t xml:space="preserve">ncreased FA MICs were frequently associated with </w:t>
      </w:r>
      <w:r w:rsidR="00B4218B" w:rsidRPr="00713FD3">
        <w:rPr>
          <w:i/>
          <w:sz w:val="22"/>
          <w:szCs w:val="22"/>
        </w:rPr>
        <w:t>fusA</w:t>
      </w:r>
      <w:r w:rsidR="00B4218B">
        <w:rPr>
          <w:sz w:val="22"/>
          <w:szCs w:val="22"/>
        </w:rPr>
        <w:t xml:space="preserve"> mutations and </w:t>
      </w:r>
      <w:r w:rsidR="00B4218B" w:rsidRPr="00713FD3">
        <w:rPr>
          <w:i/>
          <w:sz w:val="22"/>
          <w:szCs w:val="22"/>
        </w:rPr>
        <w:t>fusC</w:t>
      </w:r>
      <w:r w:rsidR="00E12FDF">
        <w:rPr>
          <w:i/>
          <w:sz w:val="22"/>
          <w:szCs w:val="22"/>
        </w:rPr>
        <w:t xml:space="preserve">, </w:t>
      </w:r>
      <w:r w:rsidR="00F9315F">
        <w:rPr>
          <w:sz w:val="22"/>
          <w:szCs w:val="22"/>
        </w:rPr>
        <w:t>and</w:t>
      </w:r>
      <w:r w:rsidR="00E12FDF">
        <w:rPr>
          <w:sz w:val="22"/>
          <w:szCs w:val="22"/>
        </w:rPr>
        <w:t xml:space="preserve"> this is the first </w:t>
      </w:r>
      <w:r w:rsidR="00F9315F">
        <w:rPr>
          <w:sz w:val="22"/>
          <w:szCs w:val="22"/>
        </w:rPr>
        <w:t>account</w:t>
      </w:r>
      <w:r w:rsidR="00E12FDF">
        <w:rPr>
          <w:sz w:val="22"/>
          <w:szCs w:val="22"/>
        </w:rPr>
        <w:t xml:space="preserve"> of </w:t>
      </w:r>
      <w:r w:rsidR="00E12FDF">
        <w:rPr>
          <w:i/>
          <w:sz w:val="22"/>
          <w:szCs w:val="22"/>
        </w:rPr>
        <w:t xml:space="preserve">fusB </w:t>
      </w:r>
      <w:r w:rsidR="00E12FDF">
        <w:rPr>
          <w:sz w:val="22"/>
          <w:szCs w:val="22"/>
        </w:rPr>
        <w:t>in SP</w:t>
      </w:r>
      <w:r w:rsidR="00B4218B">
        <w:rPr>
          <w:sz w:val="22"/>
          <w:szCs w:val="22"/>
        </w:rPr>
        <w:t>.</w:t>
      </w:r>
      <w:r w:rsidR="005B2BC9">
        <w:rPr>
          <w:sz w:val="22"/>
          <w:szCs w:val="22"/>
        </w:rPr>
        <w:t xml:space="preserve"> </w:t>
      </w:r>
      <w:r w:rsidR="00E12FDF">
        <w:rPr>
          <w:sz w:val="22"/>
          <w:szCs w:val="22"/>
        </w:rPr>
        <w:t>Despite</w:t>
      </w:r>
      <w:r w:rsidR="009D4CA0">
        <w:rPr>
          <w:sz w:val="22"/>
          <w:szCs w:val="22"/>
        </w:rPr>
        <w:t xml:space="preserve"> novel description of </w:t>
      </w:r>
      <w:r w:rsidR="002454F5">
        <w:rPr>
          <w:i/>
          <w:sz w:val="22"/>
          <w:szCs w:val="22"/>
        </w:rPr>
        <w:t xml:space="preserve">qacA/B </w:t>
      </w:r>
      <w:r w:rsidR="009D4CA0">
        <w:rPr>
          <w:sz w:val="22"/>
          <w:szCs w:val="22"/>
        </w:rPr>
        <w:t>in SP, gene presence did not correlate</w:t>
      </w:r>
      <w:r w:rsidR="00BA4773">
        <w:rPr>
          <w:sz w:val="22"/>
          <w:szCs w:val="22"/>
        </w:rPr>
        <w:t xml:space="preserve"> with CHX MIC. </w:t>
      </w:r>
      <w:r w:rsidR="005B2BC9">
        <w:rPr>
          <w:sz w:val="22"/>
          <w:szCs w:val="22"/>
        </w:rPr>
        <w:t>Sele</w:t>
      </w:r>
      <w:r w:rsidR="00B4218B">
        <w:rPr>
          <w:sz w:val="22"/>
          <w:szCs w:val="22"/>
        </w:rPr>
        <w:t>c</w:t>
      </w:r>
      <w:r w:rsidR="005B2BC9">
        <w:rPr>
          <w:sz w:val="22"/>
          <w:szCs w:val="22"/>
        </w:rPr>
        <w:t>t</w:t>
      </w:r>
      <w:r w:rsidR="00B4218B">
        <w:rPr>
          <w:sz w:val="22"/>
          <w:szCs w:val="22"/>
        </w:rPr>
        <w:t xml:space="preserve">ion </w:t>
      </w:r>
      <w:r w:rsidR="005B2BC9">
        <w:rPr>
          <w:sz w:val="22"/>
          <w:szCs w:val="22"/>
        </w:rPr>
        <w:t>pressure from clinica</w:t>
      </w:r>
      <w:r w:rsidR="009D4CA0">
        <w:rPr>
          <w:sz w:val="22"/>
          <w:szCs w:val="22"/>
        </w:rPr>
        <w:t>l</w:t>
      </w:r>
      <w:r w:rsidR="005B2BC9">
        <w:rPr>
          <w:sz w:val="22"/>
          <w:szCs w:val="22"/>
        </w:rPr>
        <w:t xml:space="preserve"> use might increase prevalence of these genetic determinants, </w:t>
      </w:r>
      <w:r w:rsidR="005D3656">
        <w:rPr>
          <w:sz w:val="22"/>
          <w:szCs w:val="22"/>
        </w:rPr>
        <w:t xml:space="preserve">but </w:t>
      </w:r>
      <w:r w:rsidR="005B2BC9">
        <w:rPr>
          <w:sz w:val="22"/>
          <w:szCs w:val="22"/>
        </w:rPr>
        <w:t xml:space="preserve">clinical </w:t>
      </w:r>
      <w:r w:rsidR="009D4CA0">
        <w:rPr>
          <w:sz w:val="22"/>
          <w:szCs w:val="22"/>
        </w:rPr>
        <w:t xml:space="preserve">significance </w:t>
      </w:r>
      <w:r w:rsidR="00713FD3">
        <w:rPr>
          <w:sz w:val="22"/>
          <w:szCs w:val="22"/>
        </w:rPr>
        <w:t>remain</w:t>
      </w:r>
      <w:r w:rsidR="009D4CA0">
        <w:rPr>
          <w:sz w:val="22"/>
          <w:szCs w:val="22"/>
        </w:rPr>
        <w:t xml:space="preserve">s uncertain in relation </w:t>
      </w:r>
      <w:r w:rsidR="00BA4773">
        <w:rPr>
          <w:sz w:val="22"/>
          <w:szCs w:val="22"/>
        </w:rPr>
        <w:t xml:space="preserve">to </w:t>
      </w:r>
      <w:r w:rsidR="009D4CA0">
        <w:rPr>
          <w:sz w:val="22"/>
          <w:szCs w:val="22"/>
        </w:rPr>
        <w:t>high skin concentration</w:t>
      </w:r>
      <w:r w:rsidR="00BA4773">
        <w:rPr>
          <w:sz w:val="22"/>
          <w:szCs w:val="22"/>
        </w:rPr>
        <w:t>s</w:t>
      </w:r>
      <w:r w:rsidR="009D4CA0">
        <w:rPr>
          <w:sz w:val="22"/>
          <w:szCs w:val="22"/>
        </w:rPr>
        <w:t xml:space="preserve"> achieved by topical therapy.</w:t>
      </w:r>
      <w:r w:rsidR="00E12FDF">
        <w:rPr>
          <w:sz w:val="22"/>
          <w:szCs w:val="22"/>
        </w:rPr>
        <w:t xml:space="preserve"> </w:t>
      </w:r>
    </w:p>
    <w:p w14:paraId="19EE0A36" w14:textId="3F2C84ED" w:rsidR="00A26022" w:rsidRPr="004C39F9" w:rsidRDefault="004C39F9" w:rsidP="00B35037">
      <w:pPr>
        <w:pStyle w:val="Default"/>
        <w:spacing w:after="100" w:afterAutospacing="1" w:line="480" w:lineRule="auto"/>
        <w:rPr>
          <w:sz w:val="22"/>
          <w:szCs w:val="22"/>
        </w:rPr>
      </w:pPr>
      <w:r>
        <w:rPr>
          <w:sz w:val="22"/>
          <w:szCs w:val="22"/>
        </w:rPr>
        <w:t>Keywords: staphylococci, canine, fusidic acid, chlorhexidine, resistance, veterinary</w:t>
      </w:r>
    </w:p>
    <w:p w14:paraId="1F61049E" w14:textId="3C033C0E" w:rsidR="00251C6D" w:rsidRPr="002C539F" w:rsidRDefault="004C39F9" w:rsidP="00B35037">
      <w:pPr>
        <w:spacing w:after="100" w:afterAutospacing="1" w:line="480" w:lineRule="auto"/>
        <w:rPr>
          <w:b/>
          <w:sz w:val="32"/>
          <w:szCs w:val="28"/>
        </w:rPr>
      </w:pPr>
      <w:r>
        <w:rPr>
          <w:b/>
          <w:sz w:val="32"/>
          <w:szCs w:val="28"/>
        </w:rPr>
        <w:t>Background</w:t>
      </w:r>
    </w:p>
    <w:p w14:paraId="67FAF325" w14:textId="1F74F61B" w:rsidR="00251C6D" w:rsidRPr="006F0FDA" w:rsidRDefault="004C0031" w:rsidP="008648E4">
      <w:pPr>
        <w:spacing w:after="100" w:afterAutospacing="1" w:line="480" w:lineRule="auto"/>
      </w:pPr>
      <w:r>
        <w:lastRenderedPageBreak/>
        <w:t>C</w:t>
      </w:r>
      <w:r w:rsidR="0017119C">
        <w:t>oagulase-positive s</w:t>
      </w:r>
      <w:r w:rsidR="00251C6D">
        <w:t xml:space="preserve">taphylococci, primarily </w:t>
      </w:r>
      <w:r w:rsidR="00251C6D">
        <w:rPr>
          <w:i/>
        </w:rPr>
        <w:t xml:space="preserve">Staphylococcus pseudintermedius </w:t>
      </w:r>
      <w:r w:rsidR="00251C6D">
        <w:t xml:space="preserve">and </w:t>
      </w:r>
      <w:r w:rsidR="00CF54CD">
        <w:t xml:space="preserve">less often </w:t>
      </w:r>
      <w:r w:rsidR="00251C6D">
        <w:rPr>
          <w:i/>
        </w:rPr>
        <w:t>S. aureus</w:t>
      </w:r>
      <w:r w:rsidR="00FC1461">
        <w:t xml:space="preserve"> and </w:t>
      </w:r>
      <w:r w:rsidR="00FC1461">
        <w:rPr>
          <w:i/>
        </w:rPr>
        <w:t>S. schl</w:t>
      </w:r>
      <w:r w:rsidR="00F412A9">
        <w:rPr>
          <w:i/>
        </w:rPr>
        <w:t>e</w:t>
      </w:r>
      <w:r w:rsidR="00FC1461">
        <w:rPr>
          <w:i/>
        </w:rPr>
        <w:t>iferi</w:t>
      </w:r>
      <w:r>
        <w:rPr>
          <w:i/>
        </w:rPr>
        <w:t xml:space="preserve">, </w:t>
      </w:r>
      <w:r>
        <w:t>are the predominant pathogens in canine superficial pyoderma</w:t>
      </w:r>
      <w:r w:rsidR="00893E9E">
        <w:t xml:space="preserve"> </w:t>
      </w:r>
      <w:r w:rsidR="00893E9E" w:rsidRPr="00893E9E">
        <w:t>[</w:t>
      </w:r>
      <w:r w:rsidR="00251C6D" w:rsidRPr="00893E9E">
        <w:t>1</w:t>
      </w:r>
      <w:r w:rsidR="00893E9E" w:rsidRPr="00893E9E">
        <w:t>]</w:t>
      </w:r>
      <w:r w:rsidR="00893E9E">
        <w:t>.</w:t>
      </w:r>
      <w:r w:rsidR="00251C6D">
        <w:t xml:space="preserve"> The emergence of methicillin-resistant </w:t>
      </w:r>
      <w:r w:rsidR="00156014">
        <w:t>strains</w:t>
      </w:r>
      <w:r w:rsidR="00251C6D">
        <w:t xml:space="preserve"> </w:t>
      </w:r>
      <w:r w:rsidR="00156014">
        <w:t xml:space="preserve">of </w:t>
      </w:r>
      <w:r w:rsidR="00251C6D">
        <w:rPr>
          <w:i/>
        </w:rPr>
        <w:t xml:space="preserve">S. pseudintermedius </w:t>
      </w:r>
      <w:r w:rsidR="00251C6D">
        <w:t>(MRSP)</w:t>
      </w:r>
      <w:r w:rsidR="000D4353">
        <w:t>,</w:t>
      </w:r>
      <w:r w:rsidR="00251C6D">
        <w:t xml:space="preserve"> </w:t>
      </w:r>
      <w:r w:rsidR="00156014">
        <w:t xml:space="preserve">that are </w:t>
      </w:r>
      <w:r w:rsidR="00251C6D">
        <w:t>usually resistant to most or all available licensed sys</w:t>
      </w:r>
      <w:r w:rsidR="000D4353">
        <w:t>temic veterinary antimicrobials</w:t>
      </w:r>
      <w:r w:rsidR="00893E9E">
        <w:t xml:space="preserve"> [</w:t>
      </w:r>
      <w:r w:rsidR="00893E9E" w:rsidRPr="00893E9E">
        <w:t>2,3]</w:t>
      </w:r>
      <w:r w:rsidR="000D4353">
        <w:t>,</w:t>
      </w:r>
      <w:r w:rsidR="00251C6D">
        <w:t xml:space="preserve"> has increased interest in the use of topical therapy</w:t>
      </w:r>
      <w:r w:rsidR="00893E9E">
        <w:t xml:space="preserve"> [4]</w:t>
      </w:r>
      <w:r w:rsidR="00F412A9">
        <w:t>,</w:t>
      </w:r>
      <w:r w:rsidR="00251C6D">
        <w:t xml:space="preserve"> most commonly </w:t>
      </w:r>
      <w:r w:rsidR="00A33E84">
        <w:t>with</w:t>
      </w:r>
      <w:r w:rsidR="007D40ED">
        <w:t xml:space="preserve"> products that contain</w:t>
      </w:r>
      <w:r w:rsidR="00A33E84">
        <w:t xml:space="preserve"> </w:t>
      </w:r>
      <w:r w:rsidR="00251C6D">
        <w:t>fusidic acid or chlorhexidine</w:t>
      </w:r>
      <w:r w:rsidR="00893E9E">
        <w:t xml:space="preserve"> [5]</w:t>
      </w:r>
      <w:r w:rsidR="00251C6D">
        <w:t>.</w:t>
      </w:r>
      <w:r w:rsidR="00FB6E48" w:rsidRPr="008A271C">
        <w:t xml:space="preserve"> </w:t>
      </w:r>
      <w:r w:rsidR="00F412A9">
        <w:t>T</w:t>
      </w:r>
      <w:r w:rsidR="00FB6E48">
        <w:t xml:space="preserve">hese same </w:t>
      </w:r>
      <w:r w:rsidR="00187B6D">
        <w:t>antimicrobials</w:t>
      </w:r>
      <w:r w:rsidR="00FB6E48">
        <w:t xml:space="preserve"> </w:t>
      </w:r>
      <w:r w:rsidR="004E148C">
        <w:t>are</w:t>
      </w:r>
      <w:r w:rsidR="00FB6E48">
        <w:t xml:space="preserve"> used topically in human me</w:t>
      </w:r>
      <w:r w:rsidR="00187B6D">
        <w:t>dicine</w:t>
      </w:r>
      <w:r w:rsidR="002C5CFB">
        <w:t>, but in people</w:t>
      </w:r>
      <w:r w:rsidR="00187B6D">
        <w:t xml:space="preserve"> fu</w:t>
      </w:r>
      <w:r w:rsidR="00FB6E48">
        <w:t>sidic acid is also used systemically</w:t>
      </w:r>
      <w:r w:rsidR="002C5CFB">
        <w:t xml:space="preserve"> </w:t>
      </w:r>
      <w:r>
        <w:t>as a</w:t>
      </w:r>
      <w:r w:rsidR="00FB6E48">
        <w:t xml:space="preserve"> last line treatment </w:t>
      </w:r>
      <w:r>
        <w:t>option for</w:t>
      </w:r>
      <w:r w:rsidR="00FB6E48">
        <w:t xml:space="preserve"> bacteraemia caused by methicillin-resistant </w:t>
      </w:r>
      <w:r w:rsidR="00FB6E48">
        <w:rPr>
          <w:i/>
        </w:rPr>
        <w:t>S. aureus</w:t>
      </w:r>
      <w:r w:rsidR="0075415A">
        <w:rPr>
          <w:i/>
        </w:rPr>
        <w:t xml:space="preserve"> </w:t>
      </w:r>
      <w:r w:rsidR="0075415A">
        <w:t>(MRSA)</w:t>
      </w:r>
      <w:r w:rsidR="00893E9E">
        <w:t xml:space="preserve"> [6]</w:t>
      </w:r>
      <w:r w:rsidR="00FB6E48">
        <w:rPr>
          <w:i/>
        </w:rPr>
        <w:t>.</w:t>
      </w:r>
    </w:p>
    <w:p w14:paraId="214EB2CD" w14:textId="2FEA9A00" w:rsidR="00251C6D" w:rsidRDefault="00F412A9" w:rsidP="00B35037">
      <w:pPr>
        <w:spacing w:after="100" w:afterAutospacing="1" w:line="480" w:lineRule="auto"/>
      </w:pPr>
      <w:r>
        <w:t>Infections caused by m</w:t>
      </w:r>
      <w:r w:rsidR="0075415A">
        <w:t>ethicillin-</w:t>
      </w:r>
      <w:r w:rsidR="00795AE4">
        <w:t>susceptible</w:t>
      </w:r>
      <w:r w:rsidR="0075415A">
        <w:t xml:space="preserve"> (MS) and MRSP have been documented in humans</w:t>
      </w:r>
      <w:r w:rsidR="00893E9E">
        <w:t xml:space="preserve"> [7-10]</w:t>
      </w:r>
      <w:r w:rsidR="0075415A">
        <w:t xml:space="preserve">, and </w:t>
      </w:r>
      <w:r w:rsidR="00251C6D">
        <w:t xml:space="preserve">zoonotic </w:t>
      </w:r>
      <w:r w:rsidR="001D04F2">
        <w:t>trans</w:t>
      </w:r>
      <w:r w:rsidR="00203DCE">
        <w:t>mission</w:t>
      </w:r>
      <w:r w:rsidR="001D04F2">
        <w:t xml:space="preserve"> </w:t>
      </w:r>
      <w:r w:rsidR="00251C6D">
        <w:t xml:space="preserve">of </w:t>
      </w:r>
      <w:r w:rsidR="001D04F2">
        <w:t xml:space="preserve">MSSP and </w:t>
      </w:r>
      <w:r w:rsidR="0075415A">
        <w:t>MRSP</w:t>
      </w:r>
      <w:r w:rsidR="001D04F2">
        <w:t xml:space="preserve"> </w:t>
      </w:r>
      <w:r w:rsidR="00251C6D">
        <w:t xml:space="preserve">has been </w:t>
      </w:r>
      <w:r w:rsidR="00FC1461">
        <w:t>inferred</w:t>
      </w:r>
      <w:r w:rsidR="001D04F2">
        <w:t xml:space="preserve"> </w:t>
      </w:r>
      <w:r w:rsidR="00251C6D">
        <w:t>by the</w:t>
      </w:r>
      <w:r w:rsidR="001D04F2">
        <w:t xml:space="preserve"> isolation of </w:t>
      </w:r>
      <w:r w:rsidR="00251C6D">
        <w:t xml:space="preserve">genetically identical MRSP isolates </w:t>
      </w:r>
      <w:r w:rsidR="001D04F2">
        <w:t xml:space="preserve">from </w:t>
      </w:r>
      <w:r w:rsidR="00251C6D">
        <w:t xml:space="preserve">pet dogs </w:t>
      </w:r>
      <w:r w:rsidR="004C0031">
        <w:t>and their</w:t>
      </w:r>
      <w:r w:rsidR="00251C6D">
        <w:t xml:space="preserve"> infected human</w:t>
      </w:r>
      <w:r w:rsidR="001D04F2">
        <w:t xml:space="preserve"> owners</w:t>
      </w:r>
      <w:r w:rsidR="00893E9E">
        <w:t xml:space="preserve"> [11]</w:t>
      </w:r>
      <w:r w:rsidR="00251C6D">
        <w:t xml:space="preserve">. Similarly, occasional </w:t>
      </w:r>
      <w:r w:rsidR="004C0031">
        <w:t xml:space="preserve">human </w:t>
      </w:r>
      <w:r w:rsidR="00251C6D">
        <w:t xml:space="preserve">nasal carriage of </w:t>
      </w:r>
      <w:r w:rsidR="004C0031" w:rsidRPr="004C0031">
        <w:t>MSSP</w:t>
      </w:r>
      <w:r w:rsidR="00251C6D">
        <w:rPr>
          <w:i/>
        </w:rPr>
        <w:t xml:space="preserve"> </w:t>
      </w:r>
      <w:r w:rsidR="00251C6D">
        <w:t>and even MRSP has been described</w:t>
      </w:r>
      <w:r w:rsidR="00893E9E">
        <w:t xml:space="preserve"> [12-14]</w:t>
      </w:r>
      <w:r w:rsidR="00251C6D">
        <w:t xml:space="preserve">, </w:t>
      </w:r>
      <w:r w:rsidR="004C0031">
        <w:t xml:space="preserve">again </w:t>
      </w:r>
      <w:r w:rsidR="00251C6D">
        <w:t xml:space="preserve">with indistinguishable </w:t>
      </w:r>
      <w:r w:rsidR="00F259E8">
        <w:t>pulsed</w:t>
      </w:r>
      <w:r w:rsidR="000D4353">
        <w:t>-</w:t>
      </w:r>
      <w:r w:rsidR="00F259E8">
        <w:t>field gel electrophoresis (</w:t>
      </w:r>
      <w:r w:rsidR="00251C6D">
        <w:t>PFGE</w:t>
      </w:r>
      <w:r w:rsidR="00F259E8">
        <w:t>)</w:t>
      </w:r>
      <w:r w:rsidR="00251C6D">
        <w:t xml:space="preserve"> patterns to those carried by </w:t>
      </w:r>
      <w:r w:rsidR="00492494">
        <w:t xml:space="preserve">in-contact </w:t>
      </w:r>
      <w:r w:rsidR="00251C6D">
        <w:t>pet dogs</w:t>
      </w:r>
      <w:r w:rsidR="00893E9E">
        <w:t xml:space="preserve"> [15,16]</w:t>
      </w:r>
      <w:r w:rsidR="00251C6D">
        <w:t xml:space="preserve">. </w:t>
      </w:r>
    </w:p>
    <w:p w14:paraId="632E2C93" w14:textId="3B6F2C73" w:rsidR="00251C6D" w:rsidRPr="008B250E" w:rsidRDefault="00BB6B6D" w:rsidP="00B35037">
      <w:pPr>
        <w:spacing w:after="100" w:afterAutospacing="1" w:line="480" w:lineRule="auto"/>
      </w:pPr>
      <w:r>
        <w:t xml:space="preserve">Topical therapy with </w:t>
      </w:r>
      <w:r w:rsidR="004C0031">
        <w:t>f</w:t>
      </w:r>
      <w:r w:rsidR="00251C6D">
        <w:t xml:space="preserve">usidic acid </w:t>
      </w:r>
      <w:r>
        <w:t xml:space="preserve">is common in </w:t>
      </w:r>
      <w:r w:rsidR="00492494">
        <w:t>human medicine</w:t>
      </w:r>
      <w:r w:rsidR="00123DF2">
        <w:t xml:space="preserve"> </w:t>
      </w:r>
      <w:r>
        <w:t xml:space="preserve">for staphylococcal skin infections </w:t>
      </w:r>
      <w:r w:rsidR="00123DF2">
        <w:t xml:space="preserve">and </w:t>
      </w:r>
      <w:r>
        <w:t>is also recommended</w:t>
      </w:r>
      <w:r w:rsidR="00893E9E">
        <w:t xml:space="preserve"> [</w:t>
      </w:r>
      <w:r w:rsidR="000D4353" w:rsidRPr="00893E9E">
        <w:t>17</w:t>
      </w:r>
      <w:r w:rsidR="00893E9E" w:rsidRPr="00893E9E">
        <w:t>]</w:t>
      </w:r>
      <w:r>
        <w:t xml:space="preserve"> </w:t>
      </w:r>
      <w:r w:rsidR="00F9315F">
        <w:t>and used</w:t>
      </w:r>
      <w:r>
        <w:t xml:space="preserve"> in dogs with</w:t>
      </w:r>
      <w:r w:rsidR="00123DF2">
        <w:t xml:space="preserve"> skin infections</w:t>
      </w:r>
      <w:r>
        <w:t xml:space="preserve">, at least in European countries </w:t>
      </w:r>
      <w:r w:rsidR="007D40ED">
        <w:t xml:space="preserve">but </w:t>
      </w:r>
      <w:r>
        <w:t xml:space="preserve">not in the U.S.A. Chlorhexidine is used worldwide as a disinfectant </w:t>
      </w:r>
      <w:r w:rsidR="004E148C">
        <w:t xml:space="preserve">and antiseptic, </w:t>
      </w:r>
      <w:r>
        <w:t xml:space="preserve">and in </w:t>
      </w:r>
      <w:r w:rsidR="004E148C">
        <w:t xml:space="preserve">topical </w:t>
      </w:r>
      <w:r>
        <w:t xml:space="preserve">antibacterial </w:t>
      </w:r>
      <w:r w:rsidR="004E148C">
        <w:t xml:space="preserve">products </w:t>
      </w:r>
      <w:r>
        <w:t>for dogs</w:t>
      </w:r>
      <w:r w:rsidR="001E75E3">
        <w:t>.</w:t>
      </w:r>
      <w:r>
        <w:t xml:space="preserve"> Whil</w:t>
      </w:r>
      <w:r w:rsidR="001E75E3">
        <w:t>st</w:t>
      </w:r>
      <w:r>
        <w:t xml:space="preserve"> topical antibacterial therapy is recommended </w:t>
      </w:r>
      <w:r w:rsidR="00011D48">
        <w:t>as an alternative to systemic treatment</w:t>
      </w:r>
      <w:r w:rsidR="00893E9E">
        <w:rPr>
          <w:vertAlign w:val="superscript"/>
        </w:rPr>
        <w:t xml:space="preserve"> </w:t>
      </w:r>
      <w:r w:rsidR="00893E9E">
        <w:t>[4]</w:t>
      </w:r>
      <w:r w:rsidR="00011D48">
        <w:t xml:space="preserve"> in</w:t>
      </w:r>
      <w:r>
        <w:t xml:space="preserve"> order to reduce</w:t>
      </w:r>
      <w:r w:rsidR="00011D48">
        <w:t xml:space="preserve"> selection pressure on pathogens, there are </w:t>
      </w:r>
      <w:r w:rsidR="00251C6D">
        <w:t>concerns o</w:t>
      </w:r>
      <w:r w:rsidR="00492494">
        <w:t>ver</w:t>
      </w:r>
      <w:r w:rsidR="00251C6D">
        <w:t xml:space="preserve"> reduced </w:t>
      </w:r>
      <w:r w:rsidR="00492494">
        <w:t xml:space="preserve">phenotypic </w:t>
      </w:r>
      <w:r w:rsidR="00251C6D">
        <w:t>susceptibility to these agents</w:t>
      </w:r>
      <w:r w:rsidR="00893E9E">
        <w:t xml:space="preserve"> [18,19]</w:t>
      </w:r>
      <w:r w:rsidR="00251C6D">
        <w:t>.</w:t>
      </w:r>
      <w:r w:rsidR="00251C6D" w:rsidRPr="003F7E07">
        <w:t xml:space="preserve"> </w:t>
      </w:r>
      <w:r w:rsidR="00492494">
        <w:rPr>
          <w:rFonts w:ascii="Calibri" w:hAnsi="Calibri" w:cs="Calibri"/>
          <w:lang w:val="en"/>
        </w:rPr>
        <w:t>In New Zealand,</w:t>
      </w:r>
      <w:r w:rsidR="0075415A">
        <w:rPr>
          <w:rFonts w:ascii="Calibri" w:hAnsi="Calibri" w:cs="Calibri"/>
          <w:lang w:val="en"/>
        </w:rPr>
        <w:t xml:space="preserve"> </w:t>
      </w:r>
      <w:r w:rsidR="00492494">
        <w:rPr>
          <w:rFonts w:ascii="Calibri" w:hAnsi="Calibri" w:cs="Calibri"/>
          <w:lang w:val="en"/>
        </w:rPr>
        <w:t xml:space="preserve">clonal expansion of </w:t>
      </w:r>
      <w:r w:rsidR="0075415A">
        <w:rPr>
          <w:rFonts w:ascii="Calibri" w:hAnsi="Calibri" w:cs="Calibri"/>
          <w:lang w:val="en"/>
        </w:rPr>
        <w:t xml:space="preserve">fusidic </w:t>
      </w:r>
      <w:r w:rsidR="0075415A" w:rsidRPr="00B42907">
        <w:rPr>
          <w:rFonts w:ascii="Calibri" w:hAnsi="Calibri" w:cs="Calibri"/>
          <w:lang w:val="en"/>
        </w:rPr>
        <w:t>acid</w:t>
      </w:r>
      <w:r w:rsidR="00492494" w:rsidRPr="00B42907">
        <w:rPr>
          <w:rFonts w:ascii="Calibri" w:hAnsi="Calibri" w:cs="Calibri"/>
          <w:lang w:val="en"/>
        </w:rPr>
        <w:t xml:space="preserve">-resistant </w:t>
      </w:r>
      <w:r w:rsidR="00492494" w:rsidRPr="00B42907">
        <w:rPr>
          <w:rFonts w:ascii="Calibri" w:hAnsi="Calibri" w:cs="Calibri"/>
          <w:i/>
          <w:iCs/>
          <w:lang w:val="en"/>
        </w:rPr>
        <w:t>S. aureus</w:t>
      </w:r>
      <w:r w:rsidR="00492494">
        <w:rPr>
          <w:rFonts w:ascii="Calibri" w:hAnsi="Calibri" w:cs="Calibri"/>
          <w:lang w:val="en"/>
        </w:rPr>
        <w:t xml:space="preserve"> </w:t>
      </w:r>
      <w:r w:rsidR="00B42907">
        <w:rPr>
          <w:rFonts w:ascii="Calibri" w:hAnsi="Calibri" w:cs="Calibri"/>
          <w:lang w:val="en"/>
        </w:rPr>
        <w:t xml:space="preserve">(based on disk diffusion testing) </w:t>
      </w:r>
      <w:r w:rsidR="00492494">
        <w:rPr>
          <w:rFonts w:ascii="Calibri" w:hAnsi="Calibri" w:cs="Calibri"/>
          <w:lang w:val="en"/>
        </w:rPr>
        <w:t xml:space="preserve">was </w:t>
      </w:r>
      <w:r w:rsidR="004C0031">
        <w:rPr>
          <w:rFonts w:ascii="Calibri" w:hAnsi="Calibri" w:cs="Calibri"/>
          <w:lang w:val="en"/>
        </w:rPr>
        <w:t xml:space="preserve">reported </w:t>
      </w:r>
      <w:r w:rsidR="00492494">
        <w:rPr>
          <w:rFonts w:ascii="Calibri" w:hAnsi="Calibri" w:cs="Calibri"/>
          <w:lang w:val="en"/>
        </w:rPr>
        <w:t>concurrently with a significant increase in national dispensing</w:t>
      </w:r>
      <w:r w:rsidR="0075415A">
        <w:rPr>
          <w:rFonts w:ascii="Calibri" w:hAnsi="Calibri" w:cs="Calibri"/>
          <w:lang w:val="en"/>
        </w:rPr>
        <w:t xml:space="preserve"> of topical fusidic acid products</w:t>
      </w:r>
      <w:r w:rsidR="00DB06BD">
        <w:rPr>
          <w:rFonts w:ascii="Calibri" w:hAnsi="Calibri" w:cs="Calibri"/>
          <w:lang w:val="en"/>
        </w:rPr>
        <w:t xml:space="preserve"> for humans</w:t>
      </w:r>
      <w:r w:rsidR="00893E9E">
        <w:rPr>
          <w:rFonts w:ascii="Calibri" w:hAnsi="Calibri" w:cs="Calibri"/>
          <w:lang w:val="en"/>
        </w:rPr>
        <w:t xml:space="preserve"> [20]</w:t>
      </w:r>
      <w:r w:rsidR="00492494">
        <w:rPr>
          <w:rFonts w:ascii="Calibri" w:hAnsi="Calibri" w:cs="Calibri"/>
          <w:lang w:val="en"/>
        </w:rPr>
        <w:t>.</w:t>
      </w:r>
      <w:r w:rsidR="00492494">
        <w:t xml:space="preserve"> By contrast, </w:t>
      </w:r>
      <w:r w:rsidR="00762631">
        <w:t xml:space="preserve">the </w:t>
      </w:r>
      <w:r w:rsidR="00187B6D">
        <w:t xml:space="preserve">prevalence of </w:t>
      </w:r>
      <w:r w:rsidR="00762631">
        <w:t xml:space="preserve">phenotypic </w:t>
      </w:r>
      <w:r w:rsidR="0075415A">
        <w:t>resistance to fusidic acid</w:t>
      </w:r>
      <w:r w:rsidR="006F0FDA">
        <w:t xml:space="preserve"> (minimum inhibitory concentration [MIC] ≥ 1 mg/L</w:t>
      </w:r>
      <w:r w:rsidR="001E75E3">
        <w:t xml:space="preserve"> </w:t>
      </w:r>
      <w:r w:rsidR="00DB06BD">
        <w:t>determined using VITEK 2</w:t>
      </w:r>
      <w:r w:rsidR="006F0FDA">
        <w:t>)</w:t>
      </w:r>
      <w:r w:rsidR="00893E9E">
        <w:t xml:space="preserve"> [21]</w:t>
      </w:r>
      <w:r w:rsidR="006F0FDA">
        <w:t xml:space="preserve"> </w:t>
      </w:r>
      <w:r w:rsidR="00762631">
        <w:t xml:space="preserve">increased amongst </w:t>
      </w:r>
      <w:r w:rsidR="00187B6D">
        <w:t>MRSA in the U.K.</w:t>
      </w:r>
      <w:r w:rsidR="006F0FDA">
        <w:t xml:space="preserve"> </w:t>
      </w:r>
      <w:r w:rsidR="00251C6D">
        <w:t>despite stable</w:t>
      </w:r>
      <w:r w:rsidR="00187B6D">
        <w:t xml:space="preserve"> (2002-2009) and decreasing (2009-2013)</w:t>
      </w:r>
      <w:r w:rsidR="00251C6D">
        <w:t xml:space="preserve"> fusidic acid sales</w:t>
      </w:r>
      <w:r w:rsidR="00893E9E">
        <w:t xml:space="preserve"> [22]</w:t>
      </w:r>
      <w:r w:rsidR="00251C6D">
        <w:t xml:space="preserve">. Reduced </w:t>
      </w:r>
      <w:r w:rsidR="00251C6D">
        <w:lastRenderedPageBreak/>
        <w:t>susceptibility</w:t>
      </w:r>
      <w:r w:rsidR="00DB06BD">
        <w:t xml:space="preserve"> of MRSA</w:t>
      </w:r>
      <w:r w:rsidR="00251C6D">
        <w:t xml:space="preserve"> to chlorhexidine </w:t>
      </w:r>
      <w:r w:rsidR="00762631">
        <w:t xml:space="preserve">following increased antiseptic use </w:t>
      </w:r>
      <w:r w:rsidR="001E75E3">
        <w:t>was</w:t>
      </w:r>
      <w:r w:rsidR="00251C6D">
        <w:t xml:space="preserve"> demonstrated in human hospitals</w:t>
      </w:r>
      <w:r w:rsidR="00893E9E">
        <w:t xml:space="preserve"> [19,23,24]</w:t>
      </w:r>
      <w:r w:rsidR="00762631">
        <w:t>;</w:t>
      </w:r>
      <w:r w:rsidR="00251C6D">
        <w:t xml:space="preserve"> the presence of gene</w:t>
      </w:r>
      <w:r w:rsidR="004C0031">
        <w:t>tic characteristic</w:t>
      </w:r>
      <w:r w:rsidR="00251C6D">
        <w:t>s thought to be related to reduced</w:t>
      </w:r>
      <w:r w:rsidR="0075415A">
        <w:t xml:space="preserve"> chlorhexidine</w:t>
      </w:r>
      <w:r w:rsidR="00251C6D">
        <w:t xml:space="preserve"> susceptibility ha</w:t>
      </w:r>
      <w:r w:rsidR="006A28C7">
        <w:t>s</w:t>
      </w:r>
      <w:r w:rsidR="0075415A">
        <w:t xml:space="preserve"> also</w:t>
      </w:r>
      <w:r w:rsidR="00251C6D">
        <w:t xml:space="preserve"> been implicated in failure of decolonisation strategies</w:t>
      </w:r>
      <w:r w:rsidR="00893E9E">
        <w:t xml:space="preserve"> [25]</w:t>
      </w:r>
      <w:r w:rsidR="00251C6D">
        <w:t>.</w:t>
      </w:r>
    </w:p>
    <w:p w14:paraId="3FBEF4A3" w14:textId="2D1054D1" w:rsidR="00DB06BD" w:rsidRDefault="00251C6D" w:rsidP="00DB06BD">
      <w:pPr>
        <w:spacing w:after="100" w:afterAutospacing="1" w:line="480" w:lineRule="auto"/>
      </w:pPr>
      <w:r>
        <w:t xml:space="preserve">The acquired </w:t>
      </w:r>
      <w:r w:rsidR="00DB2CCD">
        <w:t xml:space="preserve">resistance </w:t>
      </w:r>
      <w:r>
        <w:t xml:space="preserve">genes </w:t>
      </w:r>
      <w:r>
        <w:rPr>
          <w:i/>
        </w:rPr>
        <w:t>fusB</w:t>
      </w:r>
      <w:r w:rsidR="00893E9E">
        <w:rPr>
          <w:i/>
        </w:rPr>
        <w:t xml:space="preserve"> </w:t>
      </w:r>
      <w:r w:rsidR="00893E9E">
        <w:t>[26-28]</w:t>
      </w:r>
      <w:r w:rsidRPr="005952C5">
        <w:t>,</w:t>
      </w:r>
      <w:r>
        <w:rPr>
          <w:i/>
        </w:rPr>
        <w:t xml:space="preserve"> fusC</w:t>
      </w:r>
      <w:r w:rsidR="00893E9E">
        <w:rPr>
          <w:i/>
        </w:rPr>
        <w:t xml:space="preserve"> </w:t>
      </w:r>
      <w:r w:rsidR="00893E9E">
        <w:t>[</w:t>
      </w:r>
      <w:r w:rsidR="008D6BB2" w:rsidRPr="00893E9E">
        <w:t>2</w:t>
      </w:r>
      <w:r w:rsidR="00C57852" w:rsidRPr="00893E9E">
        <w:t>7</w:t>
      </w:r>
      <w:r w:rsidR="008D6BB2" w:rsidRPr="00893E9E">
        <w:t>-2</w:t>
      </w:r>
      <w:r w:rsidR="00C57852" w:rsidRPr="00893E9E">
        <w:t>9</w:t>
      </w:r>
      <w:r w:rsidR="00893E9E" w:rsidRPr="00893E9E">
        <w:t>]</w:t>
      </w:r>
      <w:r>
        <w:rPr>
          <w:i/>
        </w:rPr>
        <w:t xml:space="preserve"> </w:t>
      </w:r>
      <w:r>
        <w:t xml:space="preserve">and </w:t>
      </w:r>
      <w:r>
        <w:rPr>
          <w:i/>
        </w:rPr>
        <w:t>fusD</w:t>
      </w:r>
      <w:r w:rsidR="00893E9E">
        <w:rPr>
          <w:i/>
        </w:rPr>
        <w:t xml:space="preserve"> </w:t>
      </w:r>
      <w:r w:rsidR="00893E9E" w:rsidRPr="00893E9E">
        <w:t>[</w:t>
      </w:r>
      <w:r w:rsidR="008D6BB2" w:rsidRPr="00893E9E">
        <w:t>2</w:t>
      </w:r>
      <w:r w:rsidR="00C57852" w:rsidRPr="00893E9E">
        <w:t>8</w:t>
      </w:r>
      <w:r w:rsidR="008D6BB2" w:rsidRPr="00893E9E">
        <w:t>,2</w:t>
      </w:r>
      <w:r w:rsidR="00C57852" w:rsidRPr="00893E9E">
        <w:t>9</w:t>
      </w:r>
      <w:r w:rsidR="00893E9E" w:rsidRPr="00893E9E">
        <w:t>]</w:t>
      </w:r>
      <w:r w:rsidR="00BA3572">
        <w:rPr>
          <w:i/>
        </w:rPr>
        <w:t>,</w:t>
      </w:r>
      <w:r>
        <w:t xml:space="preserve"> </w:t>
      </w:r>
      <w:r w:rsidR="00BA3572">
        <w:t xml:space="preserve">most commonly carried on plasmids, and </w:t>
      </w:r>
      <w:r>
        <w:t xml:space="preserve">chromosomal mutations in </w:t>
      </w:r>
      <w:r>
        <w:rPr>
          <w:i/>
        </w:rPr>
        <w:t>fusA</w:t>
      </w:r>
      <w:r w:rsidR="00893E9E">
        <w:rPr>
          <w:i/>
        </w:rPr>
        <w:t xml:space="preserve"> </w:t>
      </w:r>
      <w:r w:rsidR="00893E9E">
        <w:t>[</w:t>
      </w:r>
      <w:r w:rsidR="00C57852" w:rsidRPr="00893E9E">
        <w:t>27</w:t>
      </w:r>
      <w:r w:rsidR="008D6BB2" w:rsidRPr="00893E9E">
        <w:t>,2</w:t>
      </w:r>
      <w:r w:rsidR="00C57852" w:rsidRPr="00893E9E">
        <w:t>8,30</w:t>
      </w:r>
      <w:r w:rsidR="008D6BB2" w:rsidRPr="00893E9E">
        <w:t>,3</w:t>
      </w:r>
      <w:r w:rsidR="00C57852" w:rsidRPr="00893E9E">
        <w:t>1</w:t>
      </w:r>
      <w:r w:rsidR="00893E9E" w:rsidRPr="00893E9E">
        <w:t>]</w:t>
      </w:r>
      <w:r>
        <w:rPr>
          <w:i/>
        </w:rPr>
        <w:t xml:space="preserve"> </w:t>
      </w:r>
      <w:r>
        <w:t xml:space="preserve">and </w:t>
      </w:r>
      <w:r>
        <w:rPr>
          <w:i/>
        </w:rPr>
        <w:t>fusE</w:t>
      </w:r>
      <w:r w:rsidR="00893E9E">
        <w:rPr>
          <w:i/>
        </w:rPr>
        <w:t xml:space="preserve"> </w:t>
      </w:r>
      <w:r w:rsidR="00893E9E">
        <w:t>[28,31]</w:t>
      </w:r>
      <w:r>
        <w:rPr>
          <w:i/>
        </w:rPr>
        <w:t xml:space="preserve"> </w:t>
      </w:r>
      <w:r>
        <w:t xml:space="preserve">have been </w:t>
      </w:r>
      <w:r w:rsidR="0017119C">
        <w:t>associated with</w:t>
      </w:r>
      <w:r>
        <w:t xml:space="preserve"> reduced susceptibility to fusidic acid</w:t>
      </w:r>
      <w:r w:rsidR="00DB06BD">
        <w:t xml:space="preserve"> in </w:t>
      </w:r>
      <w:r w:rsidR="00DB06BD">
        <w:rPr>
          <w:i/>
        </w:rPr>
        <w:t>S. aureus</w:t>
      </w:r>
      <w:r>
        <w:rPr>
          <w:i/>
        </w:rPr>
        <w:t>.</w:t>
      </w:r>
      <w:r w:rsidRPr="00D27B1C">
        <w:t xml:space="preserve"> </w:t>
      </w:r>
      <w:r>
        <w:t>Geographical variation in the presence of these genes</w:t>
      </w:r>
      <w:r w:rsidR="00BA3572">
        <w:t xml:space="preserve"> in phenotypically </w:t>
      </w:r>
      <w:r w:rsidR="00C57852">
        <w:t>fusidic acid-</w:t>
      </w:r>
      <w:r w:rsidR="00BA3572">
        <w:t xml:space="preserve">resistant </w:t>
      </w:r>
      <w:r w:rsidR="00BA3572">
        <w:rPr>
          <w:i/>
        </w:rPr>
        <w:t xml:space="preserve">S. aureus </w:t>
      </w:r>
      <w:r w:rsidR="00BA3572">
        <w:t>derived from humans, defined by clinical breakpoints,</w:t>
      </w:r>
      <w:r>
        <w:rPr>
          <w:i/>
        </w:rPr>
        <w:t xml:space="preserve"> </w:t>
      </w:r>
      <w:r>
        <w:t>has been described</w:t>
      </w:r>
      <w:r w:rsidR="00893E9E">
        <w:t xml:space="preserve"> [28,32-34].</w:t>
      </w:r>
      <w:r>
        <w:t xml:space="preserve"> </w:t>
      </w:r>
      <w:r w:rsidR="00DB06BD">
        <w:t xml:space="preserve">In </w:t>
      </w:r>
      <w:r w:rsidR="00DB06BD" w:rsidRPr="009E045C">
        <w:rPr>
          <w:i/>
        </w:rPr>
        <w:t>S. pseudintermedius</w:t>
      </w:r>
      <w:r w:rsidR="00DB06BD">
        <w:t xml:space="preserve">, there is one publication that describes </w:t>
      </w:r>
      <w:r w:rsidR="00DB06BD" w:rsidRPr="009E045C">
        <w:rPr>
          <w:i/>
        </w:rPr>
        <w:t>fusA</w:t>
      </w:r>
      <w:r w:rsidR="00DB06BD">
        <w:t xml:space="preserve"> mutations conferring fusidic acid</w:t>
      </w:r>
      <w:r w:rsidR="002B40F3">
        <w:t xml:space="preserve"> </w:t>
      </w:r>
      <w:r w:rsidR="00DB06BD">
        <w:t>resistance in a single isolate</w:t>
      </w:r>
      <w:r w:rsidR="00893E9E">
        <w:t xml:space="preserve"> [35]</w:t>
      </w:r>
      <w:r w:rsidR="00DB06BD">
        <w:t xml:space="preserve">, and only two isolates of </w:t>
      </w:r>
      <w:r w:rsidR="00DB06BD">
        <w:rPr>
          <w:i/>
        </w:rPr>
        <w:t xml:space="preserve">S. (pseud)intermedius </w:t>
      </w:r>
      <w:r w:rsidR="00DB06BD" w:rsidRPr="009E045C">
        <w:t>have been shown to carry</w:t>
      </w:r>
      <w:r w:rsidR="00DB06BD">
        <w:rPr>
          <w:i/>
        </w:rPr>
        <w:t xml:space="preserve"> fusC</w:t>
      </w:r>
      <w:r w:rsidR="00893E9E">
        <w:rPr>
          <w:i/>
        </w:rPr>
        <w:t xml:space="preserve"> </w:t>
      </w:r>
      <w:r w:rsidR="00893E9E">
        <w:t>[29]</w:t>
      </w:r>
      <w:r w:rsidR="00DB06BD">
        <w:t>, despite widespread</w:t>
      </w:r>
      <w:r w:rsidR="00F9315F">
        <w:rPr>
          <w:rStyle w:val="CommentReference"/>
        </w:rPr>
        <w:t xml:space="preserve"> </w:t>
      </w:r>
      <w:r w:rsidR="00F9315F" w:rsidRPr="00F9315F">
        <w:rPr>
          <w:rStyle w:val="CommentReference"/>
          <w:sz w:val="22"/>
          <w:szCs w:val="22"/>
        </w:rPr>
        <w:t xml:space="preserve">licensing and marketing of </w:t>
      </w:r>
      <w:r w:rsidR="00DB06BD" w:rsidRPr="00F9315F">
        <w:t>fusidic</w:t>
      </w:r>
      <w:r w:rsidR="00DB06BD">
        <w:t xml:space="preserve"> acid </w:t>
      </w:r>
      <w:r w:rsidR="00F9315F">
        <w:t xml:space="preserve">products for topical use </w:t>
      </w:r>
      <w:r w:rsidR="00DB06BD">
        <w:t xml:space="preserve">in small animal veterinary practice in Europe during the past four decades. </w:t>
      </w:r>
    </w:p>
    <w:p w14:paraId="26891EA9" w14:textId="43C23ED3" w:rsidR="00361475" w:rsidRDefault="00F97986" w:rsidP="00F8519B">
      <w:pPr>
        <w:spacing w:after="100" w:afterAutospacing="1" w:line="480" w:lineRule="auto"/>
      </w:pPr>
      <w:r>
        <w:t>P</w:t>
      </w:r>
      <w:r w:rsidR="00361475">
        <w:t xml:space="preserve">lasmid-derived </w:t>
      </w:r>
      <w:r w:rsidR="00251C6D">
        <w:rPr>
          <w:i/>
        </w:rPr>
        <w:t xml:space="preserve">qacA/B </w:t>
      </w:r>
      <w:r w:rsidR="00251C6D">
        <w:t xml:space="preserve">and </w:t>
      </w:r>
      <w:r w:rsidR="00251C6D">
        <w:rPr>
          <w:i/>
        </w:rPr>
        <w:t xml:space="preserve">smr </w:t>
      </w:r>
      <w:r w:rsidR="00251C6D">
        <w:t xml:space="preserve">have </w:t>
      </w:r>
      <w:r w:rsidR="00F6620A">
        <w:t xml:space="preserve">an uncertain </w:t>
      </w:r>
      <w:r w:rsidR="00251C6D">
        <w:t xml:space="preserve">correlation with reduced susceptibility </w:t>
      </w:r>
      <w:r>
        <w:t xml:space="preserve">to chlorhexidine amongst </w:t>
      </w:r>
      <w:r w:rsidR="00251C6D">
        <w:t>staphylococci</w:t>
      </w:r>
      <w:r w:rsidR="00893E9E">
        <w:t xml:space="preserve"> [36-41]</w:t>
      </w:r>
      <w:r w:rsidR="002454F5">
        <w:t>.</w:t>
      </w:r>
      <w:r w:rsidR="00251C6D">
        <w:t xml:space="preserve"> T</w:t>
      </w:r>
      <w:r w:rsidR="00FF505E">
        <w:t xml:space="preserve">ransfer of </w:t>
      </w:r>
      <w:r w:rsidR="00251C6D">
        <w:rPr>
          <w:i/>
        </w:rPr>
        <w:t xml:space="preserve">qacA/B </w:t>
      </w:r>
      <w:r w:rsidR="00251C6D">
        <w:t xml:space="preserve">by transduction between isolates of </w:t>
      </w:r>
      <w:r w:rsidR="00251C6D">
        <w:rPr>
          <w:i/>
        </w:rPr>
        <w:t xml:space="preserve">S. aureus </w:t>
      </w:r>
      <w:r w:rsidR="00251C6D">
        <w:t>has been described</w:t>
      </w:r>
      <w:r w:rsidR="00F259E8">
        <w:t>, although the effect of this transfer on susceptibility to chlorhexidine was not assessed</w:t>
      </w:r>
      <w:r w:rsidR="00893E9E">
        <w:t xml:space="preserve"> [42]</w:t>
      </w:r>
      <w:r w:rsidR="00251C6D">
        <w:rPr>
          <w:i/>
        </w:rPr>
        <w:t>.</w:t>
      </w:r>
      <w:r w:rsidR="00DB2CCD">
        <w:rPr>
          <w:vertAlign w:val="superscript"/>
        </w:rPr>
        <w:t xml:space="preserve"> </w:t>
      </w:r>
      <w:r w:rsidR="009A00F2">
        <w:t>W</w:t>
      </w:r>
      <w:r w:rsidR="00251C6D" w:rsidRPr="00DB2CCD">
        <w:t xml:space="preserve">hether transfer of resistance genes can occur between </w:t>
      </w:r>
      <w:r w:rsidR="00251C6D" w:rsidRPr="00DB2CCD">
        <w:rPr>
          <w:i/>
        </w:rPr>
        <w:t xml:space="preserve">S. pseudintermedius </w:t>
      </w:r>
      <w:r w:rsidR="00251C6D" w:rsidRPr="00DB2CCD">
        <w:t xml:space="preserve">and </w:t>
      </w:r>
      <w:r w:rsidR="00361475" w:rsidRPr="00DB2CCD">
        <w:rPr>
          <w:i/>
        </w:rPr>
        <w:t>S. aureus</w:t>
      </w:r>
      <w:r w:rsidR="00F6620A" w:rsidRPr="00DB2CCD">
        <w:t xml:space="preserve"> </w:t>
      </w:r>
      <w:r w:rsidR="009A00F2">
        <w:t xml:space="preserve">still remains unclear but </w:t>
      </w:r>
      <w:r w:rsidR="00DB2CCD" w:rsidRPr="00DB2CCD">
        <w:t>evidence</w:t>
      </w:r>
      <w:r w:rsidR="00DB2CCD">
        <w:t xml:space="preserve"> for such t</w:t>
      </w:r>
      <w:r w:rsidR="00251C6D">
        <w:t>ransfer</w:t>
      </w:r>
      <w:r w:rsidR="008A271C">
        <w:t xml:space="preserve"> between staphylococcal species</w:t>
      </w:r>
      <w:r w:rsidR="00251C6D">
        <w:t xml:space="preserve"> </w:t>
      </w:r>
      <w:r w:rsidR="00DB2CCD">
        <w:t>exists</w:t>
      </w:r>
      <w:r w:rsidR="00893E9E">
        <w:t xml:space="preserve"> [43]</w:t>
      </w:r>
      <w:r w:rsidR="00251C6D">
        <w:t xml:space="preserve">, most notably of the </w:t>
      </w:r>
      <w:r w:rsidR="00251C6D" w:rsidRPr="0017119C">
        <w:t>SCC</w:t>
      </w:r>
      <w:r w:rsidR="00D07BE1">
        <w:rPr>
          <w:i/>
        </w:rPr>
        <w:t xml:space="preserve">mec </w:t>
      </w:r>
      <w:r w:rsidR="00F9315F">
        <w:t xml:space="preserve">(predominantly type IV) </w:t>
      </w:r>
      <w:r w:rsidR="00D07BE1">
        <w:t>which</w:t>
      </w:r>
      <w:r w:rsidR="00251C6D">
        <w:rPr>
          <w:i/>
        </w:rPr>
        <w:t xml:space="preserve"> </w:t>
      </w:r>
      <w:r w:rsidR="00D07BE1">
        <w:t>encode</w:t>
      </w:r>
      <w:r w:rsidR="005D3656">
        <w:t>s</w:t>
      </w:r>
      <w:r w:rsidR="00251C6D">
        <w:t xml:space="preserve"> methicillin</w:t>
      </w:r>
      <w:r w:rsidR="002B40F3">
        <w:t xml:space="preserve"> </w:t>
      </w:r>
      <w:r w:rsidR="00251C6D">
        <w:t>resistance</w:t>
      </w:r>
      <w:r w:rsidR="00BB632C">
        <w:t xml:space="preserve"> and is believed to have originated in coagulase-negative staphylococci</w:t>
      </w:r>
      <w:r w:rsidR="00893E9E">
        <w:t xml:space="preserve"> [44-47]</w:t>
      </w:r>
      <w:r w:rsidR="00251C6D">
        <w:t>.</w:t>
      </w:r>
      <w:r w:rsidR="00E02EE8" w:rsidRPr="00E02EE8">
        <w:t xml:space="preserve"> </w:t>
      </w:r>
      <w:r w:rsidR="00527C00">
        <w:t>A</w:t>
      </w:r>
      <w:r w:rsidR="001E75E3">
        <w:t xml:space="preserve">n </w:t>
      </w:r>
      <w:r w:rsidR="0017119C">
        <w:t>increas</w:t>
      </w:r>
      <w:r w:rsidR="00F6620A">
        <w:t>e</w:t>
      </w:r>
      <w:r w:rsidR="00527C00">
        <w:t xml:space="preserve"> in the</w:t>
      </w:r>
      <w:r w:rsidR="00F6620A">
        <w:t xml:space="preserve"> </w:t>
      </w:r>
      <w:r w:rsidR="0017119C">
        <w:t xml:space="preserve">prevalence of </w:t>
      </w:r>
      <w:r w:rsidR="00DB2CCD">
        <w:t xml:space="preserve">resistance </w:t>
      </w:r>
      <w:r w:rsidR="0017119C">
        <w:t>genes</w:t>
      </w:r>
      <w:r w:rsidR="00251C6D">
        <w:t xml:space="preserve"> in canine-derived staphylococci</w:t>
      </w:r>
      <w:r w:rsidR="0017119C">
        <w:t xml:space="preserve"> </w:t>
      </w:r>
      <w:r w:rsidR="00527C00">
        <w:t xml:space="preserve">due to </w:t>
      </w:r>
      <w:r w:rsidR="00FF505E">
        <w:t xml:space="preserve">veterinary </w:t>
      </w:r>
      <w:r w:rsidR="0017119C">
        <w:t>use of topically-applie</w:t>
      </w:r>
      <w:r w:rsidR="00251C6D">
        <w:t>d antimicrobials could</w:t>
      </w:r>
      <w:r w:rsidR="00A22620">
        <w:t xml:space="preserve"> become of concern to veterinarians</w:t>
      </w:r>
      <w:r w:rsidR="00BB632C">
        <w:t xml:space="preserve"> if clinical failure occur</w:t>
      </w:r>
      <w:r w:rsidR="005D3656">
        <w:t>red</w:t>
      </w:r>
      <w:r w:rsidR="00A22620">
        <w:t xml:space="preserve">. Furthermore, </w:t>
      </w:r>
      <w:r w:rsidR="00BB632C">
        <w:t xml:space="preserve">there could be </w:t>
      </w:r>
      <w:r w:rsidR="00251C6D">
        <w:t xml:space="preserve">implications for both human and canine health through </w:t>
      </w:r>
      <w:r w:rsidR="00F6620A">
        <w:t xml:space="preserve">either </w:t>
      </w:r>
      <w:r w:rsidR="00251C6D">
        <w:t>transfer of resistant strains</w:t>
      </w:r>
      <w:r w:rsidR="00361475">
        <w:t xml:space="preserve"> between hosts,</w:t>
      </w:r>
      <w:r w:rsidR="00251C6D">
        <w:t xml:space="preserve"> or of genetic material to susceptible bacterial species. </w:t>
      </w:r>
      <w:r w:rsidR="00FF505E">
        <w:t xml:space="preserve">  </w:t>
      </w:r>
      <w:r w:rsidR="00527C00">
        <w:t>This study</w:t>
      </w:r>
      <w:r w:rsidR="00FF505E">
        <w:t xml:space="preserve"> </w:t>
      </w:r>
      <w:r w:rsidR="00251C6D">
        <w:t xml:space="preserve">investigated the </w:t>
      </w:r>
      <w:r w:rsidR="00361475">
        <w:t xml:space="preserve">association between resistance genes and MICs </w:t>
      </w:r>
      <w:r w:rsidR="002B75D4">
        <w:t>of</w:t>
      </w:r>
      <w:r w:rsidR="00361475">
        <w:t xml:space="preserve"> fusidic acid and chlorhexidine in canine-derived </w:t>
      </w:r>
      <w:r w:rsidR="00361475" w:rsidRPr="00010DD7">
        <w:rPr>
          <w:i/>
        </w:rPr>
        <w:t xml:space="preserve">S. pseudintermedius </w:t>
      </w:r>
      <w:r w:rsidR="00361475">
        <w:t xml:space="preserve">and </w:t>
      </w:r>
      <w:r w:rsidR="00361475" w:rsidRPr="00010DD7">
        <w:rPr>
          <w:i/>
        </w:rPr>
        <w:t xml:space="preserve">S. aureus </w:t>
      </w:r>
      <w:r w:rsidR="00FF505E">
        <w:t>in a large collection of isolates obtained from wide geographical areas</w:t>
      </w:r>
      <w:r w:rsidR="00361475">
        <w:t>.</w:t>
      </w:r>
    </w:p>
    <w:p w14:paraId="2DF2FEC3" w14:textId="77777777" w:rsidR="003678F3" w:rsidRDefault="003678F3" w:rsidP="00B35037">
      <w:pPr>
        <w:spacing w:after="100" w:afterAutospacing="1" w:line="480" w:lineRule="auto"/>
      </w:pPr>
    </w:p>
    <w:p w14:paraId="5E243FCD" w14:textId="77777777" w:rsidR="00251C6D" w:rsidRPr="002C539F" w:rsidRDefault="00251C6D" w:rsidP="00B35037">
      <w:pPr>
        <w:spacing w:after="100" w:afterAutospacing="1" w:line="480" w:lineRule="auto"/>
        <w:rPr>
          <w:b/>
          <w:sz w:val="32"/>
        </w:rPr>
      </w:pPr>
      <w:r w:rsidRPr="002C539F">
        <w:rPr>
          <w:b/>
          <w:sz w:val="32"/>
        </w:rPr>
        <w:t>Results</w:t>
      </w:r>
    </w:p>
    <w:p w14:paraId="58F9A5F9" w14:textId="77777777" w:rsidR="0008446D" w:rsidRDefault="008A271C" w:rsidP="00074959">
      <w:pPr>
        <w:spacing w:after="100" w:afterAutospacing="1" w:line="480" w:lineRule="auto"/>
      </w:pPr>
      <w:r>
        <w:t>The MICs</w:t>
      </w:r>
      <w:r w:rsidR="00241EB3">
        <w:t xml:space="preserve"> (n</w:t>
      </w:r>
      <w:r w:rsidR="00B972F7">
        <w:t>ew and previously determined</w:t>
      </w:r>
      <w:r w:rsidR="00241EB3">
        <w:t>)</w:t>
      </w:r>
      <w:r w:rsidR="00B972F7">
        <w:t>, MIC</w:t>
      </w:r>
      <w:r w:rsidR="00B972F7" w:rsidRPr="00CE5F71">
        <w:rPr>
          <w:vertAlign w:val="subscript"/>
        </w:rPr>
        <w:t>50</w:t>
      </w:r>
      <w:r w:rsidR="00241EB3">
        <w:rPr>
          <w:vertAlign w:val="subscript"/>
        </w:rPr>
        <w:t>,</w:t>
      </w:r>
      <w:r w:rsidR="00B972F7">
        <w:t xml:space="preserve"> MIC</w:t>
      </w:r>
      <w:r w:rsidR="00B972F7" w:rsidRPr="00CE5F71">
        <w:rPr>
          <w:vertAlign w:val="subscript"/>
        </w:rPr>
        <w:t>90</w:t>
      </w:r>
      <w:r w:rsidR="00B972F7">
        <w:t xml:space="preserve"> values and comparisons between regional groups are </w:t>
      </w:r>
      <w:r w:rsidR="004C7293">
        <w:t>detailed in Figure 1 and Table 1</w:t>
      </w:r>
      <w:r w:rsidR="00B972F7">
        <w:t xml:space="preserve">.  </w:t>
      </w:r>
    </w:p>
    <w:p w14:paraId="22399BEE" w14:textId="256C569A" w:rsidR="00074959" w:rsidRDefault="00251C6D" w:rsidP="00074959">
      <w:pPr>
        <w:spacing w:after="100" w:afterAutospacing="1" w:line="480" w:lineRule="auto"/>
      </w:pPr>
      <w:r>
        <w:t xml:space="preserve">The MICs of fusidic acid </w:t>
      </w:r>
      <w:r w:rsidR="00BD2D91">
        <w:t xml:space="preserve">specifically </w:t>
      </w:r>
      <w:r>
        <w:t>de</w:t>
      </w:r>
      <w:r w:rsidR="00BC669A">
        <w:t xml:space="preserve">termined for this study </w:t>
      </w:r>
      <w:r w:rsidR="00840F8F">
        <w:t xml:space="preserve">for </w:t>
      </w:r>
      <w:r w:rsidR="005E2339">
        <w:rPr>
          <w:i/>
        </w:rPr>
        <w:t>S. pseudintermedius</w:t>
      </w:r>
      <w:r w:rsidR="00BC669A">
        <w:t xml:space="preserve"> </w:t>
      </w:r>
      <w:r w:rsidR="00241EB3">
        <w:t xml:space="preserve">(n = 339) </w:t>
      </w:r>
      <w:r w:rsidR="00BC669A">
        <w:t>from</w:t>
      </w:r>
      <w:r>
        <w:t xml:space="preserve"> NUK, Finland</w:t>
      </w:r>
      <w:r w:rsidR="00BC669A">
        <w:t xml:space="preserve"> and the</w:t>
      </w:r>
      <w:r>
        <w:t xml:space="preserve"> U.S.A ranged from 0.03 to &gt; 64 </w:t>
      </w:r>
      <w:r w:rsidR="00F6331B">
        <w:t>mg/L</w:t>
      </w:r>
      <w:r w:rsidR="00840F8F">
        <w:t>. I</w:t>
      </w:r>
      <w:r w:rsidR="00915C59">
        <w:t>n the</w:t>
      </w:r>
      <w:r w:rsidR="00F6331B">
        <w:t xml:space="preserve"> </w:t>
      </w:r>
      <w:r w:rsidR="00CB36D5">
        <w:t xml:space="preserve">40 </w:t>
      </w:r>
      <w:r w:rsidR="00F6331B">
        <w:t>Finnish</w:t>
      </w:r>
      <w:r>
        <w:t xml:space="preserve"> </w:t>
      </w:r>
      <w:r w:rsidR="00915C59">
        <w:t xml:space="preserve">FA-R </w:t>
      </w:r>
      <w:r>
        <w:t xml:space="preserve">MRSP </w:t>
      </w:r>
      <w:r w:rsidR="00915C59">
        <w:t xml:space="preserve">the lowest MIC was </w:t>
      </w:r>
      <w:r w:rsidR="00F6331B">
        <w:t>4 mg/L</w:t>
      </w:r>
      <w:r w:rsidR="003C455D">
        <w:t>. O</w:t>
      </w:r>
      <w:r>
        <w:t xml:space="preserve">f the </w:t>
      </w:r>
      <w:r w:rsidRPr="0012665D">
        <w:t>remaining 299 isolates,</w:t>
      </w:r>
      <w:r>
        <w:t xml:space="preserve"> 76 had MIC </w:t>
      </w:r>
      <w:r>
        <w:rPr>
          <w:rFonts w:cstheme="minorHAnsi"/>
        </w:rPr>
        <w:t>≥</w:t>
      </w:r>
      <w:r>
        <w:t xml:space="preserve"> 1 mg/L (43 N</w:t>
      </w:r>
      <w:r w:rsidR="008D3714">
        <w:t>UK, 31 Finland, 2 U.S.A)</w:t>
      </w:r>
      <w:r w:rsidR="00915C59">
        <w:t xml:space="preserve"> while 223</w:t>
      </w:r>
      <w:r w:rsidR="001417DA">
        <w:t xml:space="preserve"> isolates</w:t>
      </w:r>
      <w:r w:rsidR="00915C59">
        <w:t xml:space="preserve"> were phenotypically </w:t>
      </w:r>
      <w:r w:rsidR="00EE6E92">
        <w:t>fusidic acid-</w:t>
      </w:r>
      <w:r w:rsidR="00915C59">
        <w:t>susceptible</w:t>
      </w:r>
      <w:r w:rsidR="003C455D">
        <w:t xml:space="preserve"> based on EUCAST breakpoints</w:t>
      </w:r>
      <w:r w:rsidR="00893E9E">
        <w:t xml:space="preserve"> [48]</w:t>
      </w:r>
      <w:r w:rsidR="008D3714">
        <w:t xml:space="preserve"> (</w:t>
      </w:r>
      <w:r w:rsidR="004C7293">
        <w:t>Table 1</w:t>
      </w:r>
      <w:r>
        <w:t>). The MICs of reference isolates were low (ATCC</w:t>
      </w:r>
      <w:r w:rsidR="005E2339">
        <w:rPr>
          <w:rFonts w:cstheme="minorHAnsi"/>
        </w:rPr>
        <w:t>®</w:t>
      </w:r>
      <w:r>
        <w:t xml:space="preserve"> 25923</w:t>
      </w:r>
      <w:r w:rsidR="005E2339">
        <w:rPr>
          <w:rFonts w:cstheme="minorHAnsi"/>
        </w:rPr>
        <w:t>™</w:t>
      </w:r>
      <w:r>
        <w:t xml:space="preserve"> and LMG 22219, 0.06 mg/L; ATCC</w:t>
      </w:r>
      <w:r w:rsidR="005E2339">
        <w:rPr>
          <w:rFonts w:cstheme="minorHAnsi"/>
        </w:rPr>
        <w:t>®</w:t>
      </w:r>
      <w:r>
        <w:t xml:space="preserve"> 29663</w:t>
      </w:r>
      <w:r w:rsidR="005E2339">
        <w:rPr>
          <w:rFonts w:cstheme="minorHAnsi"/>
        </w:rPr>
        <w:t>™</w:t>
      </w:r>
      <w:r>
        <w:t xml:space="preserve">, 0.03 mg/L), </w:t>
      </w:r>
      <w:r w:rsidR="00F80600">
        <w:t>consistent with previous reports</w:t>
      </w:r>
      <w:r w:rsidR="00893E9E">
        <w:t xml:space="preserve"> [49,50]</w:t>
      </w:r>
      <w:r>
        <w:t xml:space="preserve">. </w:t>
      </w:r>
      <w:r w:rsidR="00074959">
        <w:t>Chlorhexidine MICs</w:t>
      </w:r>
      <w:r w:rsidR="00276E17">
        <w:t xml:space="preserve"> of Finnish and U.S.A. isolates</w:t>
      </w:r>
      <w:r w:rsidR="00074959">
        <w:t xml:space="preserve"> </w:t>
      </w:r>
      <w:r w:rsidR="00276E17">
        <w:t xml:space="preserve">(n = 200) </w:t>
      </w:r>
      <w:r w:rsidR="00074959">
        <w:t>ranged f</w:t>
      </w:r>
      <w:r w:rsidR="00241EB3">
        <w:t>rom 0.25 to 4 mg/L</w:t>
      </w:r>
      <w:r w:rsidR="00074959">
        <w:t>; 196 isolates had MICs of 0.5 or 1 mg/L (1 Finnish MRSP, 0.25 mg/L; 1 U.S.A. MSSP, 2 mg/L; 1 Finnish MRSP and 1 U.S.A. MSSP, 4 mg/L; Tab</w:t>
      </w:r>
      <w:r w:rsidR="004C7293">
        <w:t>le 1</w:t>
      </w:r>
      <w:r w:rsidR="00074959">
        <w:t>).</w:t>
      </w:r>
      <w:r w:rsidR="00840F8F">
        <w:t xml:space="preserve"> </w:t>
      </w:r>
      <w:r w:rsidR="008A271C">
        <w:t xml:space="preserve">The </w:t>
      </w:r>
      <w:r w:rsidR="00074959">
        <w:t xml:space="preserve">MICs for </w:t>
      </w:r>
      <w:r w:rsidR="00C854DC">
        <w:t>fusidic acid</w:t>
      </w:r>
      <w:r w:rsidR="00074959">
        <w:t xml:space="preserve"> and chlorhexidine did not differ </w:t>
      </w:r>
      <w:r>
        <w:t xml:space="preserve">between MRSP and MSSP within </w:t>
      </w:r>
      <w:r w:rsidR="00E1647A">
        <w:t xml:space="preserve">groups of isolates from </w:t>
      </w:r>
      <w:r>
        <w:t>each country (</w:t>
      </w:r>
      <w:r w:rsidR="00B910FE">
        <w:t xml:space="preserve">fusidic acid U.S.A., Germany, SEUK </w:t>
      </w:r>
      <w:r w:rsidR="00B910FE">
        <w:rPr>
          <w:i/>
        </w:rPr>
        <w:t xml:space="preserve">P </w:t>
      </w:r>
      <w:r w:rsidR="00B910FE">
        <w:t xml:space="preserve">= 1.000, Finland </w:t>
      </w:r>
      <w:r w:rsidR="00B910FE">
        <w:rPr>
          <w:i/>
        </w:rPr>
        <w:t xml:space="preserve">P </w:t>
      </w:r>
      <w:r w:rsidR="00B910FE">
        <w:t xml:space="preserve">= 0.408; chlorhexidine U.S.A, Finland, SEUK </w:t>
      </w:r>
      <w:r w:rsidR="00B910FE">
        <w:rPr>
          <w:i/>
        </w:rPr>
        <w:t xml:space="preserve">P = </w:t>
      </w:r>
      <w:r w:rsidR="00B910FE">
        <w:t xml:space="preserve">1.000, Germany </w:t>
      </w:r>
      <w:r w:rsidR="00B910FE">
        <w:rPr>
          <w:i/>
        </w:rPr>
        <w:t xml:space="preserve">P = </w:t>
      </w:r>
      <w:r w:rsidR="00B910FE">
        <w:t>0.152</w:t>
      </w:r>
      <w:r>
        <w:t>)</w:t>
      </w:r>
      <w:r w:rsidR="00B910FE">
        <w:t xml:space="preserve"> except in the NUK (</w:t>
      </w:r>
      <w:r w:rsidR="00B910FE">
        <w:rPr>
          <w:i/>
        </w:rPr>
        <w:t xml:space="preserve">P </w:t>
      </w:r>
      <w:r w:rsidR="00B910FE">
        <w:t>&lt; 0.005 for both fusidic acid and chlorhexidine)</w:t>
      </w:r>
      <w:r>
        <w:t>.</w:t>
      </w:r>
      <w:r w:rsidR="00074959">
        <w:t xml:space="preserve"> </w:t>
      </w:r>
    </w:p>
    <w:p w14:paraId="0532AA47" w14:textId="6BDD3AC2" w:rsidR="00C47EFE" w:rsidRPr="00B0711C" w:rsidRDefault="00A52EDB" w:rsidP="000E04BC">
      <w:pPr>
        <w:spacing w:after="100" w:afterAutospacing="1" w:line="480" w:lineRule="auto"/>
        <w:rPr>
          <w:color w:val="000000" w:themeColor="text1"/>
        </w:rPr>
      </w:pPr>
      <w:r>
        <w:t xml:space="preserve">Twenty-seven of all </w:t>
      </w:r>
      <w:r w:rsidR="008964BB">
        <w:t>5</w:t>
      </w:r>
      <w:r w:rsidR="0012665D">
        <w:t>7</w:t>
      </w:r>
      <w:r w:rsidR="008964BB">
        <w:t xml:space="preserve">8 staphylococci, had fusidic acid MIC </w:t>
      </w:r>
      <w:r w:rsidR="008964BB">
        <w:rPr>
          <w:rFonts w:cstheme="minorHAnsi"/>
        </w:rPr>
        <w:t xml:space="preserve">≥ 64 mg/L and thus underwent </w:t>
      </w:r>
      <w:r w:rsidR="008964BB">
        <w:rPr>
          <w:rFonts w:cstheme="minorHAnsi"/>
          <w:i/>
        </w:rPr>
        <w:t xml:space="preserve">fusA </w:t>
      </w:r>
      <w:r w:rsidR="008964BB">
        <w:rPr>
          <w:rFonts w:cstheme="minorHAnsi"/>
        </w:rPr>
        <w:t xml:space="preserve">and </w:t>
      </w:r>
      <w:r w:rsidR="008964BB">
        <w:rPr>
          <w:rFonts w:cstheme="minorHAnsi"/>
          <w:i/>
        </w:rPr>
        <w:t xml:space="preserve">fusE </w:t>
      </w:r>
      <w:r w:rsidR="008964BB">
        <w:rPr>
          <w:rFonts w:cstheme="minorHAnsi"/>
        </w:rPr>
        <w:t>sequencing</w:t>
      </w:r>
      <w:r w:rsidR="008964BB">
        <w:t xml:space="preserve"> (5 </w:t>
      </w:r>
      <w:r>
        <w:t xml:space="preserve">MRSA </w:t>
      </w:r>
      <w:r w:rsidR="008964BB">
        <w:t>SEUK</w:t>
      </w:r>
      <w:r>
        <w:t>,</w:t>
      </w:r>
      <w:r w:rsidR="00B42907">
        <w:t xml:space="preserve"> </w:t>
      </w:r>
      <w:r w:rsidR="008964BB">
        <w:t xml:space="preserve">4 </w:t>
      </w:r>
      <w:r>
        <w:t xml:space="preserve">MSSP </w:t>
      </w:r>
      <w:r w:rsidR="008964BB">
        <w:t>NUK</w:t>
      </w:r>
      <w:r>
        <w:t xml:space="preserve">, </w:t>
      </w:r>
      <w:r w:rsidR="008964BB">
        <w:t>4</w:t>
      </w:r>
      <w:r>
        <w:t xml:space="preserve"> MRSP</w:t>
      </w:r>
      <w:r w:rsidR="008964BB">
        <w:t xml:space="preserve"> NUK</w:t>
      </w:r>
      <w:r>
        <w:t xml:space="preserve">, </w:t>
      </w:r>
      <w:r w:rsidR="008964BB">
        <w:t xml:space="preserve">1 </w:t>
      </w:r>
      <w:r>
        <w:t xml:space="preserve">MRSP </w:t>
      </w:r>
      <w:r w:rsidR="008964BB">
        <w:t xml:space="preserve">SEUK, 1 Finnish MRSP, 12 Finnish FA-R MRSP).  </w:t>
      </w:r>
      <w:r w:rsidR="000E04BC" w:rsidRPr="00B0711C">
        <w:rPr>
          <w:color w:val="000000" w:themeColor="text1"/>
        </w:rPr>
        <w:t xml:space="preserve">All eight internal primers designed to sequence the 2100 bp product of </w:t>
      </w:r>
      <w:r w:rsidR="000E04BC" w:rsidRPr="00B0711C">
        <w:rPr>
          <w:i/>
          <w:color w:val="000000" w:themeColor="text1"/>
        </w:rPr>
        <w:t xml:space="preserve">fusA </w:t>
      </w:r>
      <w:r w:rsidR="000E04BC" w:rsidRPr="00B0711C">
        <w:rPr>
          <w:color w:val="000000" w:themeColor="text1"/>
        </w:rPr>
        <w:t xml:space="preserve">aligned to </w:t>
      </w:r>
      <w:r w:rsidR="000E04BC" w:rsidRPr="00B0711C">
        <w:rPr>
          <w:i/>
          <w:color w:val="000000" w:themeColor="text1"/>
        </w:rPr>
        <w:t>S. pseudintermedius</w:t>
      </w:r>
      <w:r w:rsidR="000E04BC" w:rsidRPr="00B0711C">
        <w:rPr>
          <w:color w:val="000000" w:themeColor="text1"/>
        </w:rPr>
        <w:t xml:space="preserve">. Although two primers (FusA_Int_D_F and FusA_Int_F_R; Table 2) did not align with </w:t>
      </w:r>
      <w:r w:rsidR="000E04BC" w:rsidRPr="00B0711C">
        <w:rPr>
          <w:i/>
          <w:color w:val="000000" w:themeColor="text1"/>
        </w:rPr>
        <w:t xml:space="preserve">S. aureus </w:t>
      </w:r>
      <w:r w:rsidR="000E04BC" w:rsidRPr="00B0711C">
        <w:rPr>
          <w:color w:val="000000" w:themeColor="text1"/>
        </w:rPr>
        <w:t xml:space="preserve">isolates, the whole gene sequence was obtained using the remaining six primers in 3 / 5 MRSA isolates.  In the remaining two MRSA isolates, mutation analyses were prevented by failure to amplify </w:t>
      </w:r>
      <w:r w:rsidR="000E04BC" w:rsidRPr="00B0711C">
        <w:rPr>
          <w:i/>
          <w:color w:val="000000" w:themeColor="text1"/>
        </w:rPr>
        <w:t>fusA</w:t>
      </w:r>
      <w:r w:rsidR="000E04BC" w:rsidRPr="00B0711C">
        <w:rPr>
          <w:color w:val="000000" w:themeColor="text1"/>
        </w:rPr>
        <w:t>.</w:t>
      </w:r>
      <w:r w:rsidR="0012665D" w:rsidRPr="00B0711C">
        <w:rPr>
          <w:color w:val="000000" w:themeColor="text1"/>
        </w:rPr>
        <w:t xml:space="preserve"> </w:t>
      </w:r>
    </w:p>
    <w:p w14:paraId="26F4E336" w14:textId="094110E6" w:rsidR="00251C6D" w:rsidRDefault="00251C6D" w:rsidP="00B35037">
      <w:pPr>
        <w:spacing w:after="100" w:afterAutospacing="1" w:line="480" w:lineRule="auto"/>
      </w:pPr>
      <w:r>
        <w:t>Of the remaining 25 isolates</w:t>
      </w:r>
      <w:r w:rsidR="008964BB">
        <w:t xml:space="preserve"> with </w:t>
      </w:r>
      <w:r w:rsidR="003C455D">
        <w:t>a</w:t>
      </w:r>
      <w:r w:rsidR="00EE6E92">
        <w:t>n</w:t>
      </w:r>
      <w:r w:rsidR="003C455D">
        <w:t xml:space="preserve"> </w:t>
      </w:r>
      <w:r w:rsidR="008964BB">
        <w:t xml:space="preserve">MIC </w:t>
      </w:r>
      <w:r w:rsidR="008964BB">
        <w:rPr>
          <w:rFonts w:cstheme="minorHAnsi"/>
        </w:rPr>
        <w:t>≥ 64 mg/L</w:t>
      </w:r>
      <w:r>
        <w:t xml:space="preserve"> (3 MRSA, 4 </w:t>
      </w:r>
      <w:r w:rsidR="00840F8F">
        <w:t xml:space="preserve">MSSP </w:t>
      </w:r>
      <w:r>
        <w:t xml:space="preserve">NUK, 4 </w:t>
      </w:r>
      <w:r w:rsidR="00840F8F">
        <w:t xml:space="preserve">MRSP </w:t>
      </w:r>
      <w:r>
        <w:t>NUK, 1</w:t>
      </w:r>
      <w:r w:rsidR="00840F8F">
        <w:t xml:space="preserve"> MRSP</w:t>
      </w:r>
      <w:r>
        <w:t xml:space="preserve"> SEUK, </w:t>
      </w:r>
      <w:r w:rsidR="00840F8F">
        <w:t xml:space="preserve">1 Finnish MRSP, </w:t>
      </w:r>
      <w:r>
        <w:t>1</w:t>
      </w:r>
      <w:r w:rsidR="00840F8F">
        <w:t>2</w:t>
      </w:r>
      <w:r>
        <w:t xml:space="preserve"> Finnish</w:t>
      </w:r>
      <w:r w:rsidR="00840F8F">
        <w:t xml:space="preserve"> FA-R</w:t>
      </w:r>
      <w:r>
        <w:t xml:space="preserve"> MRSP), 24 </w:t>
      </w:r>
      <w:r w:rsidR="00840F8F">
        <w:t>had</w:t>
      </w:r>
      <w:r w:rsidR="002E4093">
        <w:t xml:space="preserve"> at least one</w:t>
      </w:r>
      <w:r w:rsidR="00840F8F">
        <w:t xml:space="preserve"> </w:t>
      </w:r>
      <w:r>
        <w:rPr>
          <w:i/>
        </w:rPr>
        <w:t xml:space="preserve">fusA </w:t>
      </w:r>
      <w:r>
        <w:t>mutation</w:t>
      </w:r>
      <w:r w:rsidR="00C47EFE">
        <w:t xml:space="preserve"> (Table 3</w:t>
      </w:r>
      <w:r w:rsidR="00EE6E92">
        <w:t>)</w:t>
      </w:r>
      <w:r w:rsidR="00BF57A1">
        <w:t>; o</w:t>
      </w:r>
      <w:r>
        <w:t xml:space="preserve">ne MRSA isolate </w:t>
      </w:r>
      <w:r w:rsidR="00EE6E92">
        <w:t>had none</w:t>
      </w:r>
      <w:r>
        <w:rPr>
          <w:i/>
        </w:rPr>
        <w:t>.</w:t>
      </w:r>
      <w:r w:rsidR="00B42907">
        <w:rPr>
          <w:i/>
        </w:rPr>
        <w:t xml:space="preserve"> </w:t>
      </w:r>
      <w:r w:rsidR="00B42907">
        <w:t>All mutations</w:t>
      </w:r>
      <w:r w:rsidR="005B61EB">
        <w:t xml:space="preserve"> observed </w:t>
      </w:r>
      <w:r w:rsidR="00B42907">
        <w:t>represented non-con</w:t>
      </w:r>
      <w:r w:rsidR="00C47EFE">
        <w:t>servative substitutions (Table 3</w:t>
      </w:r>
      <w:r w:rsidR="00B42907">
        <w:t>)</w:t>
      </w:r>
      <w:r w:rsidR="005B61EB">
        <w:t>.</w:t>
      </w:r>
      <w:r w:rsidRPr="00B27464">
        <w:t xml:space="preserve"> </w:t>
      </w:r>
      <w:r>
        <w:t xml:space="preserve">No </w:t>
      </w:r>
      <w:r>
        <w:rPr>
          <w:i/>
        </w:rPr>
        <w:t>fusE</w:t>
      </w:r>
      <w:r>
        <w:t xml:space="preserve"> mutations were detected</w:t>
      </w:r>
      <w:r w:rsidR="005E2339">
        <w:t xml:space="preserve"> in any </w:t>
      </w:r>
      <w:r w:rsidR="005B61EB">
        <w:t>of the tested isolates (</w:t>
      </w:r>
      <w:r w:rsidR="005E2339">
        <w:t xml:space="preserve">fusidic acid MIC </w:t>
      </w:r>
      <w:r w:rsidR="005E2339">
        <w:rPr>
          <w:rFonts w:cstheme="minorHAnsi"/>
        </w:rPr>
        <w:t>≥</w:t>
      </w:r>
      <w:r w:rsidR="005E2339">
        <w:t xml:space="preserve"> 64 mg/L</w:t>
      </w:r>
      <w:r w:rsidR="005B61EB">
        <w:t>)</w:t>
      </w:r>
      <w:r>
        <w:t xml:space="preserve">. </w:t>
      </w:r>
    </w:p>
    <w:p w14:paraId="1BBD54FB" w14:textId="6EBB037B" w:rsidR="00251C6D" w:rsidRDefault="00251C6D" w:rsidP="00B35037">
      <w:pPr>
        <w:spacing w:after="100" w:afterAutospacing="1" w:line="480" w:lineRule="auto"/>
      </w:pPr>
      <w:r>
        <w:t xml:space="preserve">Of the plasmid-mediated fusidic acid resistance genes, </w:t>
      </w:r>
      <w:r>
        <w:rPr>
          <w:i/>
        </w:rPr>
        <w:t xml:space="preserve">fusB </w:t>
      </w:r>
      <w:r>
        <w:t xml:space="preserve">and </w:t>
      </w:r>
      <w:r>
        <w:rPr>
          <w:i/>
        </w:rPr>
        <w:t xml:space="preserve">fusC </w:t>
      </w:r>
      <w:r>
        <w:t xml:space="preserve">were detected in the collection but </w:t>
      </w:r>
      <w:r>
        <w:rPr>
          <w:i/>
        </w:rPr>
        <w:t xml:space="preserve">fusD </w:t>
      </w:r>
      <w:r w:rsidR="004C7293">
        <w:t>was not (Table 1</w:t>
      </w:r>
      <w:r>
        <w:t xml:space="preserve">). In </w:t>
      </w:r>
      <w:r>
        <w:rPr>
          <w:i/>
        </w:rPr>
        <w:t xml:space="preserve">S. pseudintermedius, fusB </w:t>
      </w:r>
      <w:r>
        <w:t xml:space="preserve">was detected in </w:t>
      </w:r>
      <w:r w:rsidR="003C455D">
        <w:t>2 isolates</w:t>
      </w:r>
      <w:r w:rsidR="00915C59">
        <w:t xml:space="preserve"> (</w:t>
      </w:r>
      <w:r w:rsidR="003C455D">
        <w:t>5%</w:t>
      </w:r>
      <w:r w:rsidR="00915C59">
        <w:t>)</w:t>
      </w:r>
      <w:r>
        <w:t xml:space="preserve"> </w:t>
      </w:r>
      <w:r w:rsidR="005E2339">
        <w:t xml:space="preserve">of the Finnish </w:t>
      </w:r>
      <w:r w:rsidR="00915C59">
        <w:t xml:space="preserve">FA-R </w:t>
      </w:r>
      <w:r w:rsidR="005E2339">
        <w:t>MRSP</w:t>
      </w:r>
      <w:r w:rsidR="00673420">
        <w:t>;</w:t>
      </w:r>
      <w:r w:rsidR="005E2339">
        <w:t xml:space="preserve"> </w:t>
      </w:r>
      <w:r w:rsidR="001417DA">
        <w:rPr>
          <w:i/>
        </w:rPr>
        <w:t>fusB</w:t>
      </w:r>
      <w:r>
        <w:t xml:space="preserve"> was not detected in </w:t>
      </w:r>
      <w:r w:rsidR="001417DA">
        <w:t xml:space="preserve">isolates from </w:t>
      </w:r>
      <w:r>
        <w:t xml:space="preserve">any other region, nor in </w:t>
      </w:r>
      <w:r>
        <w:rPr>
          <w:i/>
        </w:rPr>
        <w:t xml:space="preserve">S. aureus. </w:t>
      </w:r>
      <w:r>
        <w:t xml:space="preserve">In Finnish </w:t>
      </w:r>
      <w:r>
        <w:rPr>
          <w:i/>
        </w:rPr>
        <w:t>S. pseudintermedius,</w:t>
      </w:r>
      <w:r>
        <w:t xml:space="preserve"> </w:t>
      </w:r>
      <w:r>
        <w:rPr>
          <w:i/>
        </w:rPr>
        <w:t xml:space="preserve">fusC </w:t>
      </w:r>
      <w:r>
        <w:t xml:space="preserve">was </w:t>
      </w:r>
      <w:r w:rsidR="00E1647A">
        <w:t>quite</w:t>
      </w:r>
      <w:r>
        <w:t xml:space="preserve"> regularly detected (</w:t>
      </w:r>
      <w:r w:rsidR="003C455D">
        <w:t>13/40</w:t>
      </w:r>
      <w:r>
        <w:t xml:space="preserve"> FA-R MRSP, </w:t>
      </w:r>
      <w:r w:rsidR="003C455D">
        <w:t>9/49</w:t>
      </w:r>
      <w:r>
        <w:t xml:space="preserve"> MRSP, </w:t>
      </w:r>
      <w:r w:rsidR="003C455D">
        <w:t>5/50</w:t>
      </w:r>
      <w:r>
        <w:t xml:space="preserve"> MSSP), as well as being found in </w:t>
      </w:r>
      <w:r w:rsidR="003C455D">
        <w:t>7/49</w:t>
      </w:r>
      <w:r>
        <w:t xml:space="preserve"> NUK MRSP. It was not detected in </w:t>
      </w:r>
      <w:r>
        <w:rPr>
          <w:i/>
        </w:rPr>
        <w:t xml:space="preserve">S. pseudintermedius </w:t>
      </w:r>
      <w:r>
        <w:t xml:space="preserve">from any other region. In </w:t>
      </w:r>
      <w:r>
        <w:rPr>
          <w:i/>
        </w:rPr>
        <w:t xml:space="preserve">S. aureus, fusC </w:t>
      </w:r>
      <w:r>
        <w:t xml:space="preserve">was detected in </w:t>
      </w:r>
      <w:r w:rsidR="003C455D">
        <w:t>2/50</w:t>
      </w:r>
      <w:r>
        <w:t xml:space="preserve"> SEUK MSSA. </w:t>
      </w:r>
    </w:p>
    <w:p w14:paraId="4971CF4D" w14:textId="0605D232" w:rsidR="00251C6D" w:rsidRPr="00A43AE3" w:rsidRDefault="00A52EDB" w:rsidP="00B35037">
      <w:pPr>
        <w:spacing w:after="100" w:afterAutospacing="1" w:line="480" w:lineRule="auto"/>
      </w:pPr>
      <w:r>
        <w:t>Both</w:t>
      </w:r>
      <w:r w:rsidR="00251C6D">
        <w:t xml:space="preserve"> </w:t>
      </w:r>
      <w:r w:rsidR="00251C6D">
        <w:rPr>
          <w:i/>
        </w:rPr>
        <w:t xml:space="preserve">fusB </w:t>
      </w:r>
      <w:r>
        <w:t>carrying isolates had</w:t>
      </w:r>
      <w:r w:rsidR="00251C6D">
        <w:t xml:space="preserve"> MICs of 8 mg/L (</w:t>
      </w:r>
      <w:r w:rsidR="00AC7AFB">
        <w:t xml:space="preserve">Table </w:t>
      </w:r>
      <w:r w:rsidR="004C7293">
        <w:t>1</w:t>
      </w:r>
      <w:r w:rsidR="00251C6D">
        <w:t xml:space="preserve">). In </w:t>
      </w:r>
      <w:r w:rsidR="003C455D">
        <w:t xml:space="preserve">32 </w:t>
      </w:r>
      <w:r w:rsidR="00251C6D">
        <w:t>isolates</w:t>
      </w:r>
      <w:r w:rsidR="003C455D">
        <w:t xml:space="preserve"> (89%)</w:t>
      </w:r>
      <w:r w:rsidR="00251C6D">
        <w:t xml:space="preserve"> carrying </w:t>
      </w:r>
      <w:r w:rsidR="00251C6D">
        <w:rPr>
          <w:i/>
        </w:rPr>
        <w:t>fusC</w:t>
      </w:r>
      <w:r w:rsidR="00251C6D">
        <w:t>, the fusidic acid MIC was 4 – 16 mg/L (</w:t>
      </w:r>
      <w:r w:rsidR="004C7293">
        <w:t>Table 1</w:t>
      </w:r>
      <w:r w:rsidR="00251C6D">
        <w:t xml:space="preserve">). However, the other </w:t>
      </w:r>
      <w:r w:rsidR="00EE6E92">
        <w:t>four</w:t>
      </w:r>
      <w:r w:rsidR="00673420">
        <w:t xml:space="preserve"> </w:t>
      </w:r>
      <w:r w:rsidR="00251C6D">
        <w:t xml:space="preserve">isolates carrying </w:t>
      </w:r>
      <w:r w:rsidR="00251C6D">
        <w:rPr>
          <w:i/>
        </w:rPr>
        <w:t>fusC</w:t>
      </w:r>
      <w:r w:rsidR="00251C6D">
        <w:t xml:space="preserve"> </w:t>
      </w:r>
      <w:r w:rsidR="00251C6D" w:rsidRPr="002C5CFB">
        <w:t>(1 NUK</w:t>
      </w:r>
      <w:r w:rsidR="008A271C">
        <w:t xml:space="preserve"> MRSP</w:t>
      </w:r>
      <w:r w:rsidR="00251C6D">
        <w:t xml:space="preserve">, 2 </w:t>
      </w:r>
      <w:r w:rsidR="00251C6D" w:rsidRPr="00CC00CA">
        <w:t>Finnish MRSP, 1 Finnish MSSP</w:t>
      </w:r>
      <w:r w:rsidR="00251C6D">
        <w:t>)</w:t>
      </w:r>
      <w:r w:rsidR="002C5CFB">
        <w:t xml:space="preserve"> had a </w:t>
      </w:r>
      <w:r w:rsidR="00EE6E92">
        <w:t>fusidic acid-</w:t>
      </w:r>
      <w:r w:rsidR="002C5CFB">
        <w:t>sensitive phenotype (MIC = 0.06 mg/L)</w:t>
      </w:r>
      <w:r w:rsidR="00AC7AFB">
        <w:t xml:space="preserve"> (Tabl</w:t>
      </w:r>
      <w:r w:rsidR="00251C6D">
        <w:t xml:space="preserve">e </w:t>
      </w:r>
      <w:r w:rsidR="004C7293">
        <w:t>1</w:t>
      </w:r>
      <w:r w:rsidR="00251C6D">
        <w:t>).</w:t>
      </w:r>
    </w:p>
    <w:p w14:paraId="2E2AA251" w14:textId="4361C1E8" w:rsidR="00251C6D" w:rsidRPr="00375363" w:rsidRDefault="00D34816" w:rsidP="00B35037">
      <w:pPr>
        <w:spacing w:after="100" w:afterAutospacing="1" w:line="480" w:lineRule="auto"/>
        <w:rPr>
          <w:i/>
        </w:rPr>
      </w:pPr>
      <w:r>
        <w:t>The o</w:t>
      </w:r>
      <w:r w:rsidR="00251C6D">
        <w:t>n</w:t>
      </w:r>
      <w:r w:rsidR="001417DA">
        <w:t>ly</w:t>
      </w:r>
      <w:r w:rsidR="00251C6D">
        <w:t xml:space="preserve"> MRSA </w:t>
      </w:r>
      <w:r w:rsidR="001417DA">
        <w:t xml:space="preserve">isolate </w:t>
      </w:r>
      <w:r w:rsidR="00251C6D">
        <w:t xml:space="preserve">with </w:t>
      </w:r>
      <w:r w:rsidR="00293D8D">
        <w:t xml:space="preserve">a fusidic acid </w:t>
      </w:r>
      <w:r w:rsidR="00251C6D">
        <w:t xml:space="preserve">MIC </w:t>
      </w:r>
      <w:r w:rsidR="00293D8D">
        <w:t>of</w:t>
      </w:r>
      <w:r w:rsidR="00251C6D">
        <w:t xml:space="preserve"> 64 mg/L </w:t>
      </w:r>
      <w:r>
        <w:t xml:space="preserve">that </w:t>
      </w:r>
      <w:r w:rsidR="00293D8D">
        <w:t>had no mutation in either</w:t>
      </w:r>
      <w:r w:rsidR="00251C6D">
        <w:t xml:space="preserve"> </w:t>
      </w:r>
      <w:r w:rsidR="00251C6D">
        <w:rPr>
          <w:i/>
        </w:rPr>
        <w:t xml:space="preserve">fusA </w:t>
      </w:r>
      <w:r w:rsidR="00293D8D">
        <w:t xml:space="preserve">or </w:t>
      </w:r>
      <w:r w:rsidR="00251C6D">
        <w:rPr>
          <w:i/>
        </w:rPr>
        <w:t>fusE</w:t>
      </w:r>
      <w:r w:rsidR="00251C6D">
        <w:t xml:space="preserve">, did not carry </w:t>
      </w:r>
      <w:r w:rsidR="00251C6D">
        <w:rPr>
          <w:i/>
        </w:rPr>
        <w:t xml:space="preserve">fusB, fusC </w:t>
      </w:r>
      <w:r w:rsidR="00251C6D">
        <w:t xml:space="preserve">or </w:t>
      </w:r>
      <w:r w:rsidR="00251C6D">
        <w:rPr>
          <w:i/>
        </w:rPr>
        <w:t>fusD</w:t>
      </w:r>
      <w:r>
        <w:t xml:space="preserve"> either. </w:t>
      </w:r>
      <w:r w:rsidR="00293D8D">
        <w:t>Similarly, 51</w:t>
      </w:r>
      <w:r w:rsidR="00375363">
        <w:t xml:space="preserve"> isolates (1</w:t>
      </w:r>
      <w:r w:rsidR="005F1376">
        <w:t xml:space="preserve"> MSSA, </w:t>
      </w:r>
      <w:r w:rsidR="00375363">
        <w:t>3</w:t>
      </w:r>
      <w:r w:rsidR="005F1376">
        <w:t>4</w:t>
      </w:r>
      <w:r w:rsidR="00375363">
        <w:t xml:space="preserve"> MRSP, 16</w:t>
      </w:r>
      <w:r w:rsidR="005F1376">
        <w:t xml:space="preserve"> MSSP) with </w:t>
      </w:r>
      <w:r w:rsidR="00EE6E92">
        <w:t>‘</w:t>
      </w:r>
      <w:r w:rsidR="005F1376">
        <w:t>low-level</w:t>
      </w:r>
      <w:r w:rsidR="00EE6E92">
        <w:t>’</w:t>
      </w:r>
      <w:r w:rsidR="005F1376">
        <w:t xml:space="preserve"> fusidic acid resistance (MIC 4- 16 mg/L)</w:t>
      </w:r>
      <w:r w:rsidR="00893E9E">
        <w:t xml:space="preserve"> [28]</w:t>
      </w:r>
      <w:r w:rsidR="00375363">
        <w:rPr>
          <w:vertAlign w:val="superscript"/>
        </w:rPr>
        <w:t xml:space="preserve"> </w:t>
      </w:r>
      <w:r w:rsidR="00375363">
        <w:t xml:space="preserve">did not carry </w:t>
      </w:r>
      <w:r w:rsidR="00375363">
        <w:rPr>
          <w:i/>
        </w:rPr>
        <w:t xml:space="preserve">fusB, fusC </w:t>
      </w:r>
      <w:r w:rsidR="00375363">
        <w:t xml:space="preserve">or </w:t>
      </w:r>
      <w:r w:rsidR="00375363">
        <w:rPr>
          <w:i/>
        </w:rPr>
        <w:t>fusD.</w:t>
      </w:r>
    </w:p>
    <w:p w14:paraId="34A1B76C" w14:textId="29DE4DEA" w:rsidR="00251C6D" w:rsidRDefault="00251C6D" w:rsidP="00B35037">
      <w:pPr>
        <w:spacing w:after="100" w:afterAutospacing="1" w:line="480" w:lineRule="auto"/>
      </w:pPr>
      <w:r>
        <w:t xml:space="preserve">The chlorhexidine resistance determinants </w:t>
      </w:r>
      <w:r w:rsidR="005E2339">
        <w:rPr>
          <w:i/>
        </w:rPr>
        <w:t xml:space="preserve">qacA/B </w:t>
      </w:r>
      <w:r w:rsidR="005E2339">
        <w:t xml:space="preserve">and </w:t>
      </w:r>
      <w:r w:rsidR="005E2339">
        <w:rPr>
          <w:i/>
        </w:rPr>
        <w:t xml:space="preserve">smr </w:t>
      </w:r>
      <w:r>
        <w:t xml:space="preserve">were not detected in any isolates from Germany or Finland, nor in </w:t>
      </w:r>
      <w:r>
        <w:rPr>
          <w:i/>
        </w:rPr>
        <w:t xml:space="preserve">S. pseudintermedius </w:t>
      </w:r>
      <w:r w:rsidR="00E20CD8">
        <w:t xml:space="preserve">from SEUK (Table </w:t>
      </w:r>
      <w:r w:rsidR="004C7293">
        <w:t>1</w:t>
      </w:r>
      <w:r>
        <w:t xml:space="preserve">). In </w:t>
      </w:r>
      <w:r>
        <w:rPr>
          <w:i/>
        </w:rPr>
        <w:t xml:space="preserve">S. pseudintermedius </w:t>
      </w:r>
      <w:r>
        <w:t xml:space="preserve">from the U.S.A., </w:t>
      </w:r>
      <w:r w:rsidR="003C455D">
        <w:t>3</w:t>
      </w:r>
      <w:r w:rsidR="00135A67">
        <w:t>/50</w:t>
      </w:r>
      <w:r>
        <w:t xml:space="preserve"> MRSP </w:t>
      </w:r>
      <w:r w:rsidR="003C455D">
        <w:t xml:space="preserve">isolates </w:t>
      </w:r>
      <w:r>
        <w:t xml:space="preserve">and </w:t>
      </w:r>
      <w:r w:rsidR="003C455D">
        <w:t>1</w:t>
      </w:r>
      <w:r w:rsidR="00135A67">
        <w:t>/51</w:t>
      </w:r>
      <w:r w:rsidR="003C455D">
        <w:t xml:space="preserve"> </w:t>
      </w:r>
      <w:r>
        <w:t xml:space="preserve">MSSP </w:t>
      </w:r>
      <w:r w:rsidR="003C455D">
        <w:t>isolate</w:t>
      </w:r>
      <w:r w:rsidR="00135A67">
        <w:t>s</w:t>
      </w:r>
      <w:r w:rsidR="003C455D">
        <w:t xml:space="preserve"> </w:t>
      </w:r>
      <w:r>
        <w:t xml:space="preserve">carried the </w:t>
      </w:r>
      <w:r>
        <w:rPr>
          <w:i/>
        </w:rPr>
        <w:t>smr</w:t>
      </w:r>
      <w:r>
        <w:t xml:space="preserve"> gene; </w:t>
      </w:r>
      <w:r w:rsidR="00135A67">
        <w:t>1</w:t>
      </w:r>
      <w:r>
        <w:t xml:space="preserve"> NUK MSSP isolate</w:t>
      </w:r>
      <w:r w:rsidR="00135A67">
        <w:t xml:space="preserve"> (out of 50)</w:t>
      </w:r>
      <w:r>
        <w:t xml:space="preserve"> carried </w:t>
      </w:r>
      <w:r>
        <w:rPr>
          <w:i/>
        </w:rPr>
        <w:t>qacA/B.</w:t>
      </w:r>
      <w:r w:rsidRPr="00A009D6">
        <w:t xml:space="preserve"> </w:t>
      </w:r>
      <w:r>
        <w:t xml:space="preserve">In </w:t>
      </w:r>
      <w:r>
        <w:rPr>
          <w:i/>
        </w:rPr>
        <w:t>S. aureus</w:t>
      </w:r>
      <w:r w:rsidR="00612F68">
        <w:rPr>
          <w:i/>
        </w:rPr>
        <w:t xml:space="preserve"> </w:t>
      </w:r>
      <w:r w:rsidR="00612F68" w:rsidRPr="00B42907">
        <w:t>(all SEUK)</w:t>
      </w:r>
      <w:r w:rsidRPr="00B42907">
        <w:t>,</w:t>
      </w:r>
      <w:r>
        <w:rPr>
          <w:i/>
        </w:rPr>
        <w:t xml:space="preserve"> </w:t>
      </w:r>
      <w:r w:rsidR="00135A67">
        <w:t>1</w:t>
      </w:r>
      <w:r>
        <w:t xml:space="preserve"> MSSA carried </w:t>
      </w:r>
      <w:r>
        <w:rPr>
          <w:i/>
        </w:rPr>
        <w:t xml:space="preserve">qacA/B </w:t>
      </w:r>
      <w:r>
        <w:t xml:space="preserve">and </w:t>
      </w:r>
      <w:r w:rsidR="00135A67">
        <w:t xml:space="preserve">1 </w:t>
      </w:r>
      <w:r>
        <w:t xml:space="preserve">carried </w:t>
      </w:r>
      <w:r>
        <w:rPr>
          <w:i/>
        </w:rPr>
        <w:t>smr</w:t>
      </w:r>
      <w:r>
        <w:t xml:space="preserve">. Presence of </w:t>
      </w:r>
      <w:r>
        <w:rPr>
          <w:i/>
        </w:rPr>
        <w:t xml:space="preserve">smr </w:t>
      </w:r>
      <w:r>
        <w:t xml:space="preserve">related to </w:t>
      </w:r>
      <w:r w:rsidR="005E2339">
        <w:t xml:space="preserve">chlorhexidine </w:t>
      </w:r>
      <w:r>
        <w:t xml:space="preserve">MICs of 0.5 – 4 mg/L and presence of </w:t>
      </w:r>
      <w:r>
        <w:rPr>
          <w:i/>
        </w:rPr>
        <w:t xml:space="preserve">qacA/B </w:t>
      </w:r>
      <w:r>
        <w:t xml:space="preserve">related to </w:t>
      </w:r>
      <w:r w:rsidR="005E2339">
        <w:t xml:space="preserve">chlorhexidine </w:t>
      </w:r>
      <w:r w:rsidR="004C7293">
        <w:t>MICs of 2 – 4 mg/L (Table 1</w:t>
      </w:r>
      <w:r>
        <w:t xml:space="preserve">). </w:t>
      </w:r>
    </w:p>
    <w:p w14:paraId="3B067457" w14:textId="77777777" w:rsidR="003678F3" w:rsidRDefault="005E2339" w:rsidP="00B35037">
      <w:pPr>
        <w:spacing w:after="100" w:afterAutospacing="1" w:line="480" w:lineRule="auto"/>
        <w:rPr>
          <w:b/>
          <w:sz w:val="32"/>
        </w:rPr>
      </w:pPr>
      <w:r>
        <w:t>No single isolate carried more than one of the resistance determinants investigated.</w:t>
      </w:r>
    </w:p>
    <w:p w14:paraId="01A9F9BD" w14:textId="77777777" w:rsidR="003678F3" w:rsidRDefault="003678F3" w:rsidP="00B35037">
      <w:pPr>
        <w:spacing w:after="100" w:afterAutospacing="1" w:line="480" w:lineRule="auto"/>
        <w:rPr>
          <w:b/>
          <w:sz w:val="32"/>
        </w:rPr>
      </w:pPr>
    </w:p>
    <w:p w14:paraId="2A7C68D4" w14:textId="77777777" w:rsidR="00040027" w:rsidRDefault="00646BEA" w:rsidP="00B35037">
      <w:pPr>
        <w:spacing w:after="100" w:afterAutospacing="1" w:line="480" w:lineRule="auto"/>
        <w:rPr>
          <w:b/>
          <w:sz w:val="32"/>
        </w:rPr>
      </w:pPr>
      <w:r w:rsidRPr="002C539F">
        <w:rPr>
          <w:b/>
          <w:sz w:val="32"/>
        </w:rPr>
        <w:t>Discussion</w:t>
      </w:r>
    </w:p>
    <w:p w14:paraId="7C893B75" w14:textId="3A6AD250" w:rsidR="0094565B" w:rsidRDefault="00E20CD8" w:rsidP="00B35037">
      <w:pPr>
        <w:spacing w:after="100" w:afterAutospacing="1" w:line="480" w:lineRule="auto"/>
      </w:pPr>
      <w:r>
        <w:t>T</w:t>
      </w:r>
      <w:r w:rsidR="00EC5091" w:rsidRPr="00B03870">
        <w:t>he same acquired resistance genes (</w:t>
      </w:r>
      <w:r w:rsidR="00EC5091" w:rsidRPr="00B03870">
        <w:rPr>
          <w:i/>
        </w:rPr>
        <w:t xml:space="preserve">fusA </w:t>
      </w:r>
      <w:r w:rsidR="00EC5091" w:rsidRPr="00B03870">
        <w:t xml:space="preserve">mutations, </w:t>
      </w:r>
      <w:r w:rsidR="00EC5091" w:rsidRPr="00B03870">
        <w:rPr>
          <w:i/>
        </w:rPr>
        <w:t xml:space="preserve">fusB, fusC, qacA/B </w:t>
      </w:r>
      <w:r w:rsidR="00EC5091" w:rsidRPr="00B03870">
        <w:t xml:space="preserve">and </w:t>
      </w:r>
      <w:r w:rsidR="00EC5091" w:rsidRPr="00B03870">
        <w:rPr>
          <w:i/>
        </w:rPr>
        <w:t>smr</w:t>
      </w:r>
      <w:r w:rsidR="00EC5091" w:rsidRPr="00B03870">
        <w:t xml:space="preserve">) that have been previously described in human-derived </w:t>
      </w:r>
      <w:r w:rsidR="00EC5091" w:rsidRPr="00B03870">
        <w:rPr>
          <w:i/>
        </w:rPr>
        <w:t>S. aureus</w:t>
      </w:r>
      <w:r w:rsidR="00893E9E">
        <w:rPr>
          <w:i/>
        </w:rPr>
        <w:t xml:space="preserve"> </w:t>
      </w:r>
      <w:r w:rsidR="00893E9E">
        <w:t>[</w:t>
      </w:r>
      <w:r w:rsidRPr="00893E9E">
        <w:t>3</w:t>
      </w:r>
      <w:r w:rsidR="002B40F3" w:rsidRPr="00893E9E">
        <w:t>2-34</w:t>
      </w:r>
      <w:r w:rsidR="00893E9E" w:rsidRPr="00893E9E">
        <w:t>]</w:t>
      </w:r>
      <w:r w:rsidR="00EC5091" w:rsidRPr="00B03870">
        <w:rPr>
          <w:i/>
        </w:rPr>
        <w:t xml:space="preserve"> </w:t>
      </w:r>
      <w:r w:rsidR="00EC5091" w:rsidRPr="00B03870">
        <w:t xml:space="preserve">were found in canine-derived </w:t>
      </w:r>
      <w:r w:rsidR="00EC5091" w:rsidRPr="00B03870">
        <w:rPr>
          <w:i/>
        </w:rPr>
        <w:t xml:space="preserve">S. pseudintermedius </w:t>
      </w:r>
      <w:r w:rsidR="00EC5091" w:rsidRPr="00B03870">
        <w:t xml:space="preserve">and </w:t>
      </w:r>
      <w:r w:rsidR="00EC5091" w:rsidRPr="00B03870">
        <w:rPr>
          <w:i/>
        </w:rPr>
        <w:t xml:space="preserve">S. aureus </w:t>
      </w:r>
      <w:r w:rsidR="00EC5091" w:rsidRPr="00B03870">
        <w:t>in this study.</w:t>
      </w:r>
      <w:r w:rsidR="002E6954">
        <w:t xml:space="preserve"> However, </w:t>
      </w:r>
      <w:r w:rsidR="0012665D">
        <w:t>for some</w:t>
      </w:r>
      <w:r w:rsidR="0001268B">
        <w:t xml:space="preserve"> of these genes</w:t>
      </w:r>
      <w:r w:rsidR="0012665D">
        <w:t xml:space="preserve">, </w:t>
      </w:r>
      <w:r w:rsidR="0094565B">
        <w:t xml:space="preserve">evidence </w:t>
      </w:r>
      <w:r w:rsidR="0012665D">
        <w:t xml:space="preserve">of their </w:t>
      </w:r>
      <w:r w:rsidR="002E6954">
        <w:t>association</w:t>
      </w:r>
      <w:r w:rsidR="0012665D">
        <w:t xml:space="preserve"> with</w:t>
      </w:r>
      <w:r w:rsidR="002C5CFB">
        <w:t xml:space="preserve"> </w:t>
      </w:r>
      <w:r w:rsidR="002E6954">
        <w:t xml:space="preserve">increased </w:t>
      </w:r>
      <w:r w:rsidR="0012665D">
        <w:t>fusidic acid and chlorhex</w:t>
      </w:r>
      <w:r w:rsidR="00707263">
        <w:t>id</w:t>
      </w:r>
      <w:r w:rsidR="0012665D">
        <w:t>ine</w:t>
      </w:r>
      <w:r w:rsidR="002E6954">
        <w:t xml:space="preserve"> MIC</w:t>
      </w:r>
      <w:r w:rsidR="0012665D">
        <w:t>s</w:t>
      </w:r>
      <w:r w:rsidR="002E6954">
        <w:t xml:space="preserve"> remains </w:t>
      </w:r>
      <w:r w:rsidR="0012665D">
        <w:t>inconclusive</w:t>
      </w:r>
      <w:r w:rsidR="002E6954">
        <w:t>.</w:t>
      </w:r>
      <w:r w:rsidR="0094565B">
        <w:t xml:space="preserve"> </w:t>
      </w:r>
    </w:p>
    <w:p w14:paraId="3048E30E" w14:textId="6D7A71DC" w:rsidR="004D7EE0" w:rsidRPr="00B0711C" w:rsidRDefault="00596FE9" w:rsidP="00B35037">
      <w:pPr>
        <w:spacing w:after="100" w:afterAutospacing="1" w:line="480" w:lineRule="auto"/>
        <w:rPr>
          <w:color w:val="000000" w:themeColor="text1"/>
        </w:rPr>
      </w:pPr>
      <w:r>
        <w:t xml:space="preserve">For </w:t>
      </w:r>
      <w:r w:rsidRPr="00473F5A">
        <w:rPr>
          <w:i/>
        </w:rPr>
        <w:t>S. aureus</w:t>
      </w:r>
      <w:r>
        <w:t>, c</w:t>
      </w:r>
      <w:r w:rsidR="00740566">
        <w:t xml:space="preserve">hromosomal mutations in </w:t>
      </w:r>
      <w:r w:rsidR="00740566">
        <w:rPr>
          <w:i/>
        </w:rPr>
        <w:t>fusA</w:t>
      </w:r>
      <w:r w:rsidR="00740566">
        <w:t xml:space="preserve"> have been shown experimentally to elevate the MIC of fusidic acid </w:t>
      </w:r>
      <w:r w:rsidR="00E20CD8">
        <w:t>by up to 32-fold</w:t>
      </w:r>
      <w:r w:rsidR="00893E9E">
        <w:t xml:space="preserve"> [30]</w:t>
      </w:r>
      <w:r w:rsidR="00E20CD8">
        <w:t>,</w:t>
      </w:r>
      <w:r w:rsidR="00D575BD">
        <w:t xml:space="preserve"> causing </w:t>
      </w:r>
      <w:r w:rsidR="002B40F3">
        <w:t>‘</w:t>
      </w:r>
      <w:r w:rsidR="00D575BD">
        <w:t>high</w:t>
      </w:r>
      <w:r w:rsidR="00E20CD8">
        <w:t>-</w:t>
      </w:r>
      <w:r w:rsidR="00D575BD">
        <w:t>level</w:t>
      </w:r>
      <w:r w:rsidR="002B40F3">
        <w:t>’</w:t>
      </w:r>
      <w:r w:rsidR="00D575BD">
        <w:t xml:space="preserve"> fusidic acid resistance in clinical isolates. </w:t>
      </w:r>
      <w:r>
        <w:t xml:space="preserve">The results from this study now </w:t>
      </w:r>
      <w:r w:rsidR="00740566">
        <w:t xml:space="preserve">support </w:t>
      </w:r>
      <w:r w:rsidR="004F2413">
        <w:t>a previous report on a single isolate</w:t>
      </w:r>
      <w:r w:rsidR="00893E9E">
        <w:t xml:space="preserve"> [</w:t>
      </w:r>
      <w:r w:rsidR="004F2413" w:rsidRPr="00893E9E">
        <w:t>3</w:t>
      </w:r>
      <w:r w:rsidR="002B40F3" w:rsidRPr="00893E9E">
        <w:t>5</w:t>
      </w:r>
      <w:r w:rsidR="00893E9E">
        <w:t>]</w:t>
      </w:r>
      <w:r w:rsidR="004F2413">
        <w:t xml:space="preserve"> </w:t>
      </w:r>
      <w:r w:rsidR="00740566">
        <w:t xml:space="preserve">that this is also the </w:t>
      </w:r>
      <w:r w:rsidR="00740566" w:rsidRPr="0012665D">
        <w:t xml:space="preserve">case for </w:t>
      </w:r>
      <w:r w:rsidR="00740566" w:rsidRPr="004D7EE0">
        <w:rPr>
          <w:i/>
        </w:rPr>
        <w:t>S. pseudintermedius</w:t>
      </w:r>
      <w:r w:rsidR="00E20CD8" w:rsidRPr="004D7EE0">
        <w:rPr>
          <w:i/>
        </w:rPr>
        <w:t xml:space="preserve">, </w:t>
      </w:r>
      <w:r w:rsidR="00E20CD8" w:rsidRPr="004D7EE0">
        <w:t xml:space="preserve">as </w:t>
      </w:r>
      <w:r w:rsidR="00E20CD8" w:rsidRPr="004D7EE0">
        <w:rPr>
          <w:i/>
        </w:rPr>
        <w:t xml:space="preserve">fusA </w:t>
      </w:r>
      <w:r w:rsidR="00E20CD8" w:rsidRPr="004D7EE0">
        <w:t xml:space="preserve">mutations were detected in </w:t>
      </w:r>
      <w:r w:rsidR="003C0160" w:rsidRPr="004D7EE0">
        <w:t>isolates</w:t>
      </w:r>
      <w:r w:rsidR="00E20CD8" w:rsidRPr="004D7EE0">
        <w:t xml:space="preserve"> from the SEUK (</w:t>
      </w:r>
      <w:r w:rsidR="00E20CD8">
        <w:t>MRSP), NUK (MRSP and MSSP) and Finland (MRSP).</w:t>
      </w:r>
      <w:r w:rsidR="004D7EE0">
        <w:t xml:space="preserve"> Whether </w:t>
      </w:r>
      <w:r w:rsidR="004D7EE0" w:rsidRPr="00B42907">
        <w:rPr>
          <w:i/>
        </w:rPr>
        <w:t>fusA</w:t>
      </w:r>
      <w:r w:rsidR="004D7EE0">
        <w:t xml:space="preserve"> mutations play a role in </w:t>
      </w:r>
      <w:r w:rsidR="002B40F3">
        <w:t>‘</w:t>
      </w:r>
      <w:r w:rsidR="004D7EE0">
        <w:t>low-level</w:t>
      </w:r>
      <w:r w:rsidR="002B40F3">
        <w:t>’</w:t>
      </w:r>
      <w:r w:rsidR="004D7EE0">
        <w:t xml:space="preserve"> resistance </w:t>
      </w:r>
      <w:r w:rsidR="0001268B">
        <w:t xml:space="preserve">(MIC </w:t>
      </w:r>
      <w:r w:rsidR="002B1225">
        <w:t>4</w:t>
      </w:r>
      <w:r w:rsidR="0001268B">
        <w:t>-16 mg/L)</w:t>
      </w:r>
      <w:r w:rsidR="00893E9E">
        <w:t xml:space="preserve"> [</w:t>
      </w:r>
      <w:r w:rsidR="0001268B" w:rsidRPr="00893E9E">
        <w:t>2</w:t>
      </w:r>
      <w:r w:rsidR="002B40F3" w:rsidRPr="00893E9E">
        <w:t>8</w:t>
      </w:r>
      <w:r w:rsidR="00893E9E">
        <w:t>]</w:t>
      </w:r>
      <w:r w:rsidR="0001268B">
        <w:t xml:space="preserve"> </w:t>
      </w:r>
      <w:r w:rsidR="004D7EE0">
        <w:t xml:space="preserve">remains to be investigated, particularly </w:t>
      </w:r>
      <w:r w:rsidR="004D7EE0" w:rsidRPr="00B0711C">
        <w:rPr>
          <w:color w:val="000000" w:themeColor="text1"/>
        </w:rPr>
        <w:t xml:space="preserve">since there were 51 isolates with MICs compatible with </w:t>
      </w:r>
      <w:r w:rsidR="002B40F3" w:rsidRPr="00B0711C">
        <w:rPr>
          <w:color w:val="000000" w:themeColor="text1"/>
        </w:rPr>
        <w:t>‘</w:t>
      </w:r>
      <w:r w:rsidR="004D7EE0" w:rsidRPr="00B0711C">
        <w:rPr>
          <w:color w:val="000000" w:themeColor="text1"/>
        </w:rPr>
        <w:t>low-level</w:t>
      </w:r>
      <w:r w:rsidR="002B40F3" w:rsidRPr="00B0711C">
        <w:rPr>
          <w:color w:val="000000" w:themeColor="text1"/>
        </w:rPr>
        <w:t>’</w:t>
      </w:r>
      <w:r w:rsidR="004D7EE0" w:rsidRPr="00B0711C">
        <w:rPr>
          <w:color w:val="000000" w:themeColor="text1"/>
        </w:rPr>
        <w:t xml:space="preserve"> resistance that did not carry </w:t>
      </w:r>
      <w:r w:rsidR="004D7EE0" w:rsidRPr="00B0711C">
        <w:rPr>
          <w:i/>
          <w:color w:val="000000" w:themeColor="text1"/>
        </w:rPr>
        <w:t>fusB-D</w:t>
      </w:r>
      <w:r w:rsidR="00893E9E" w:rsidRPr="00B0711C">
        <w:rPr>
          <w:i/>
          <w:color w:val="000000" w:themeColor="text1"/>
        </w:rPr>
        <w:t xml:space="preserve"> </w:t>
      </w:r>
      <w:r w:rsidR="00893E9E" w:rsidRPr="00B0711C">
        <w:rPr>
          <w:color w:val="000000" w:themeColor="text1"/>
        </w:rPr>
        <w:t>[28]</w:t>
      </w:r>
      <w:r w:rsidR="004D7EE0" w:rsidRPr="00B0711C">
        <w:rPr>
          <w:color w:val="000000" w:themeColor="text1"/>
        </w:rPr>
        <w:t>.</w:t>
      </w:r>
      <w:r w:rsidR="004F16CA" w:rsidRPr="00B0711C">
        <w:rPr>
          <w:color w:val="000000" w:themeColor="text1"/>
        </w:rPr>
        <w:t xml:space="preserve"> Failure to amplify</w:t>
      </w:r>
      <w:r w:rsidR="004F16CA" w:rsidRPr="00B0711C">
        <w:rPr>
          <w:i/>
          <w:color w:val="000000" w:themeColor="text1"/>
        </w:rPr>
        <w:t xml:space="preserve"> fusA</w:t>
      </w:r>
      <w:r w:rsidR="004F16CA" w:rsidRPr="00B0711C">
        <w:rPr>
          <w:color w:val="000000" w:themeColor="text1"/>
        </w:rPr>
        <w:t xml:space="preserve"> in two MRSA isolates might reflect mutation(s) at primer-binding sites; this could be evaluated by whole genome sequencing.</w:t>
      </w:r>
    </w:p>
    <w:p w14:paraId="79DB9DD6" w14:textId="3F301C84" w:rsidR="00C33AF8" w:rsidRDefault="00EF4B09" w:rsidP="00B35037">
      <w:pPr>
        <w:spacing w:after="100" w:afterAutospacing="1" w:line="480" w:lineRule="auto"/>
      </w:pPr>
      <w:r>
        <w:t xml:space="preserve"> </w:t>
      </w:r>
      <w:r w:rsidR="004F2413">
        <w:t xml:space="preserve">The single canine-derived MRSP previously reported with </w:t>
      </w:r>
      <w:r w:rsidR="004F2413" w:rsidRPr="00B42907">
        <w:rPr>
          <w:i/>
        </w:rPr>
        <w:t>fusA</w:t>
      </w:r>
      <w:r w:rsidR="004F2413">
        <w:t xml:space="preserve"> mutations</w:t>
      </w:r>
      <w:r w:rsidR="00893E9E">
        <w:t xml:space="preserve"> [35]</w:t>
      </w:r>
      <w:r w:rsidR="004F2413">
        <w:t>, showed</w:t>
      </w:r>
      <w:r w:rsidR="0016661A">
        <w:t xml:space="preserve"> substitutions</w:t>
      </w:r>
      <w:r w:rsidR="00CC00CA">
        <w:t xml:space="preserve"> </w:t>
      </w:r>
      <w:r w:rsidR="007D627F">
        <w:t xml:space="preserve">at the same three </w:t>
      </w:r>
      <w:r w:rsidR="007D627F" w:rsidRPr="0016661A">
        <w:t>sites</w:t>
      </w:r>
      <w:r w:rsidRPr="0016661A">
        <w:t xml:space="preserve"> (</w:t>
      </w:r>
      <w:r w:rsidR="001E4B74" w:rsidRPr="0016661A">
        <w:t>V90I</w:t>
      </w:r>
      <w:r w:rsidR="001E4B74" w:rsidRPr="00B7405A">
        <w:t xml:space="preserve">, </w:t>
      </w:r>
      <w:r w:rsidRPr="002C5CFB">
        <w:t>A376V</w:t>
      </w:r>
      <w:r w:rsidR="001E4B74" w:rsidRPr="002C5CFB">
        <w:t xml:space="preserve"> and </w:t>
      </w:r>
      <w:r w:rsidRPr="002C5CFB">
        <w:t>I461V</w:t>
      </w:r>
      <w:r w:rsidRPr="003A7751">
        <w:t>)</w:t>
      </w:r>
      <w:r w:rsidR="00A52E65" w:rsidRPr="0016661A">
        <w:t xml:space="preserve"> a</w:t>
      </w:r>
      <w:r w:rsidR="007D627F" w:rsidRPr="0016661A">
        <w:t xml:space="preserve">s </w:t>
      </w:r>
      <w:r w:rsidR="00A52E65" w:rsidRPr="0016661A">
        <w:t xml:space="preserve">those found in </w:t>
      </w:r>
      <w:r w:rsidR="007D627F" w:rsidRPr="0016661A">
        <w:t xml:space="preserve">20 of the 24 isolates with </w:t>
      </w:r>
      <w:r w:rsidR="007D627F" w:rsidRPr="00B42907">
        <w:rPr>
          <w:i/>
        </w:rPr>
        <w:t>fusA</w:t>
      </w:r>
      <w:r w:rsidR="007D627F" w:rsidRPr="0016661A">
        <w:t xml:space="preserve"> mutations in this study.</w:t>
      </w:r>
      <w:r w:rsidRPr="002C5CFB">
        <w:t xml:space="preserve"> </w:t>
      </w:r>
      <w:r w:rsidR="0001268B">
        <w:t>A n</w:t>
      </w:r>
      <w:r w:rsidRPr="0016661A">
        <w:t xml:space="preserve">ovel substitution at </w:t>
      </w:r>
      <w:r w:rsidR="0016661A" w:rsidRPr="00B42907">
        <w:t>one of these sites</w:t>
      </w:r>
      <w:r w:rsidRPr="0016661A">
        <w:t xml:space="preserve"> (I461T)</w:t>
      </w:r>
      <w:r w:rsidR="0001268B">
        <w:t xml:space="preserve">, likely </w:t>
      </w:r>
      <w:r w:rsidR="0001268B" w:rsidRPr="0016661A">
        <w:t>related to reduced fusidic acid susceptibility</w:t>
      </w:r>
      <w:r w:rsidR="0001268B">
        <w:t>,</w:t>
      </w:r>
      <w:r w:rsidRPr="0016661A">
        <w:t xml:space="preserve"> was shown in MRSP</w:t>
      </w:r>
      <w:r w:rsidRPr="002C5CFB">
        <w:t xml:space="preserve"> from Finland, NUK and SEUK. </w:t>
      </w:r>
      <w:r w:rsidR="00C33AF8" w:rsidRPr="002C5CFB">
        <w:t xml:space="preserve">The other </w:t>
      </w:r>
      <w:r w:rsidR="005645B7" w:rsidRPr="003A7751">
        <w:t xml:space="preserve">two </w:t>
      </w:r>
      <w:r w:rsidR="00534E28" w:rsidRPr="0016661A">
        <w:t>amino acid substitutions</w:t>
      </w:r>
      <w:r w:rsidR="00C33AF8" w:rsidRPr="0016661A">
        <w:t xml:space="preserve"> found</w:t>
      </w:r>
      <w:r w:rsidR="00534E28" w:rsidRPr="0016661A">
        <w:t xml:space="preserve"> </w:t>
      </w:r>
      <w:r w:rsidR="00A26674" w:rsidRPr="0016661A">
        <w:t xml:space="preserve">within </w:t>
      </w:r>
      <w:r w:rsidR="00A26674" w:rsidRPr="00B42907">
        <w:rPr>
          <w:i/>
        </w:rPr>
        <w:t>fusA</w:t>
      </w:r>
      <w:r w:rsidR="00A26674" w:rsidRPr="0016661A">
        <w:t xml:space="preserve"> </w:t>
      </w:r>
      <w:r w:rsidR="00534E28" w:rsidRPr="0016661A">
        <w:t>during this study</w:t>
      </w:r>
      <w:r w:rsidR="00C33AF8" w:rsidRPr="0016661A">
        <w:t xml:space="preserve"> (</w:t>
      </w:r>
      <w:r w:rsidR="005645B7" w:rsidRPr="00B7405A">
        <w:t xml:space="preserve">V90I, </w:t>
      </w:r>
      <w:r w:rsidR="00A26674" w:rsidRPr="002C5CFB">
        <w:t>A376V</w:t>
      </w:r>
      <w:r w:rsidR="00C33AF8" w:rsidRPr="002C5CFB">
        <w:t xml:space="preserve">) were at </w:t>
      </w:r>
      <w:r w:rsidR="00534E28" w:rsidRPr="002C5CFB">
        <w:t xml:space="preserve">positions that </w:t>
      </w:r>
      <w:r w:rsidR="00534E28" w:rsidRPr="003A7751">
        <w:t xml:space="preserve">are </w:t>
      </w:r>
      <w:r w:rsidR="00C33AF8" w:rsidRPr="0016661A">
        <w:t>conserved between fusidic acid</w:t>
      </w:r>
      <w:r w:rsidR="002B40F3">
        <w:t>-</w:t>
      </w:r>
      <w:r w:rsidR="00C33AF8" w:rsidRPr="0016661A">
        <w:t xml:space="preserve">susceptible </w:t>
      </w:r>
      <w:r w:rsidR="00C33AF8" w:rsidRPr="0016661A">
        <w:rPr>
          <w:i/>
        </w:rPr>
        <w:t xml:space="preserve">S. aureus </w:t>
      </w:r>
      <w:r w:rsidR="00C33AF8" w:rsidRPr="0016661A">
        <w:t xml:space="preserve">and </w:t>
      </w:r>
      <w:r w:rsidR="00C33AF8" w:rsidRPr="0016661A">
        <w:rPr>
          <w:i/>
        </w:rPr>
        <w:t>S. pseudintermedius</w:t>
      </w:r>
      <w:r w:rsidR="00C33AF8" w:rsidRPr="0016661A">
        <w:t>, and</w:t>
      </w:r>
      <w:r w:rsidR="00C33AF8">
        <w:t xml:space="preserve"> mutations at these sites have been previously described in European </w:t>
      </w:r>
      <w:r w:rsidR="00C33AF8">
        <w:rPr>
          <w:i/>
        </w:rPr>
        <w:t>S. aureus</w:t>
      </w:r>
      <w:r w:rsidR="00893E9E">
        <w:rPr>
          <w:i/>
        </w:rPr>
        <w:t xml:space="preserve"> </w:t>
      </w:r>
      <w:r w:rsidR="00893E9E">
        <w:t>[27,30,32,35]</w:t>
      </w:r>
      <w:r w:rsidR="00C33AF8">
        <w:t xml:space="preserve">. Substitution at position 90 (V -&gt; I) has previously been shown to be unrelated to fusidic acid resistance in </w:t>
      </w:r>
      <w:r w:rsidR="00C33AF8">
        <w:rPr>
          <w:i/>
        </w:rPr>
        <w:t xml:space="preserve">S. pseudintermedius </w:t>
      </w:r>
      <w:r w:rsidR="00C33AF8">
        <w:t>when found on its own</w:t>
      </w:r>
      <w:r w:rsidR="00893E9E">
        <w:t xml:space="preserve"> [35]</w:t>
      </w:r>
      <w:r w:rsidR="00C33AF8">
        <w:t>, and could have a compensatory effect to counteract fitness cost associated with other mutations</w:t>
      </w:r>
      <w:r w:rsidR="00893E9E">
        <w:t xml:space="preserve"> [51]</w:t>
      </w:r>
      <w:r w:rsidR="00C33AF8">
        <w:t xml:space="preserve">. </w:t>
      </w:r>
      <w:r w:rsidR="00B7405A">
        <w:t>T</w:t>
      </w:r>
      <w:r w:rsidR="00C33AF8">
        <w:t>he</w:t>
      </w:r>
      <w:r w:rsidR="007123EF">
        <w:t xml:space="preserve"> novel</w:t>
      </w:r>
      <w:r w:rsidR="00C33AF8">
        <w:t xml:space="preserve"> </w:t>
      </w:r>
      <w:r w:rsidR="007123EF">
        <w:t>identification</w:t>
      </w:r>
      <w:r w:rsidR="00C33AF8">
        <w:t xml:space="preserve"> of </w:t>
      </w:r>
      <w:r w:rsidR="00B7405A">
        <w:t>the same</w:t>
      </w:r>
      <w:r w:rsidR="00C33AF8">
        <w:t xml:space="preserve"> mutations in </w:t>
      </w:r>
      <w:r w:rsidR="00043FEB">
        <w:t xml:space="preserve">three </w:t>
      </w:r>
      <w:r w:rsidR="003C0160">
        <w:t xml:space="preserve">MSSP </w:t>
      </w:r>
      <w:r w:rsidR="00C33AF8" w:rsidRPr="007123EF">
        <w:t>isolates</w:t>
      </w:r>
      <w:r w:rsidR="00C750A6" w:rsidRPr="007123EF">
        <w:t xml:space="preserve"> </w:t>
      </w:r>
      <w:r w:rsidR="00043FEB">
        <w:t>from</w:t>
      </w:r>
      <w:r w:rsidR="00C33AF8">
        <w:t xml:space="preserve"> the NUK could be due to loss of methicillin resistance</w:t>
      </w:r>
      <w:r w:rsidR="00BB632C">
        <w:t>. This</w:t>
      </w:r>
      <w:r w:rsidR="00C33AF8">
        <w:t xml:space="preserve"> </w:t>
      </w:r>
      <w:r w:rsidR="00BB632C">
        <w:t>h</w:t>
      </w:r>
      <w:r w:rsidR="00C33AF8">
        <w:t>as</w:t>
      </w:r>
      <w:r w:rsidR="00BB632C">
        <w:t xml:space="preserve"> been previously</w:t>
      </w:r>
      <w:r w:rsidR="00C33AF8">
        <w:t xml:space="preserve"> demonstrated in </w:t>
      </w:r>
      <w:r w:rsidR="00C33AF8">
        <w:rPr>
          <w:i/>
        </w:rPr>
        <w:t>S. aureus</w:t>
      </w:r>
      <w:r w:rsidR="00BB632C">
        <w:rPr>
          <w:i/>
        </w:rPr>
        <w:t>,</w:t>
      </w:r>
      <w:r w:rsidR="00C33AF8">
        <w:rPr>
          <w:i/>
        </w:rPr>
        <w:t xml:space="preserve"> </w:t>
      </w:r>
      <w:r w:rsidR="00C33AF8">
        <w:t xml:space="preserve">due to fitness costs of carrying </w:t>
      </w:r>
      <w:r w:rsidR="00276E17">
        <w:t xml:space="preserve">some </w:t>
      </w:r>
      <w:r w:rsidR="00C33AF8" w:rsidRPr="00796371">
        <w:t>SCC</w:t>
      </w:r>
      <w:r w:rsidR="00C33AF8">
        <w:rPr>
          <w:i/>
        </w:rPr>
        <w:t>mec</w:t>
      </w:r>
      <w:r w:rsidR="00276E17">
        <w:rPr>
          <w:i/>
        </w:rPr>
        <w:t xml:space="preserve"> </w:t>
      </w:r>
      <w:r w:rsidR="002436BD">
        <w:t>cassettes</w:t>
      </w:r>
      <w:r w:rsidR="00893E9E">
        <w:t xml:space="preserve"> [52,53]</w:t>
      </w:r>
      <w:r w:rsidR="00C33AF8">
        <w:t xml:space="preserve">, </w:t>
      </w:r>
      <w:r w:rsidR="00BB632C">
        <w:t xml:space="preserve">and is more likely </w:t>
      </w:r>
      <w:r w:rsidR="005F0F52">
        <w:t>than an</w:t>
      </w:r>
      <w:r w:rsidR="00C33AF8">
        <w:t xml:space="preserve"> identical set of three single nucleotide polymorphisms arising in a separate lineage. </w:t>
      </w:r>
      <w:r w:rsidR="007D627F">
        <w:t xml:space="preserve">Two canine-derived MRSA in this study had a single mutation (L461K), which has been previously described in human-derived </w:t>
      </w:r>
      <w:r w:rsidR="007D627F">
        <w:rPr>
          <w:i/>
        </w:rPr>
        <w:t>S. aureus</w:t>
      </w:r>
      <w:r w:rsidR="00893E9E">
        <w:rPr>
          <w:i/>
        </w:rPr>
        <w:t xml:space="preserve"> </w:t>
      </w:r>
      <w:r w:rsidR="00893E9E">
        <w:t>[32,34]</w:t>
      </w:r>
      <w:r w:rsidR="007D627F">
        <w:rPr>
          <w:i/>
        </w:rPr>
        <w:t xml:space="preserve">, </w:t>
      </w:r>
      <w:r w:rsidR="007D627F">
        <w:t xml:space="preserve">reflecting that canine-derived MRSA isolates </w:t>
      </w:r>
      <w:r w:rsidR="00945276">
        <w:t xml:space="preserve">usually represent </w:t>
      </w:r>
      <w:r w:rsidR="001F2BE6">
        <w:t>t</w:t>
      </w:r>
      <w:r w:rsidR="00945276">
        <w:t xml:space="preserve">ransfer of </w:t>
      </w:r>
      <w:r w:rsidR="007D627F">
        <w:t>successful human-hospital-associated lineages</w:t>
      </w:r>
      <w:r w:rsidR="00893E9E">
        <w:t xml:space="preserve"> [54]</w:t>
      </w:r>
      <w:r w:rsidR="007D627F">
        <w:t xml:space="preserve"> into the </w:t>
      </w:r>
      <w:r w:rsidR="001F2BE6">
        <w:t xml:space="preserve">canine </w:t>
      </w:r>
      <w:r w:rsidR="007D627F">
        <w:t>population.</w:t>
      </w:r>
    </w:p>
    <w:p w14:paraId="588ECA23" w14:textId="77777777" w:rsidR="009813B9" w:rsidRDefault="00C11C6A" w:rsidP="00B35037">
      <w:pPr>
        <w:spacing w:after="100" w:afterAutospacing="1" w:line="480" w:lineRule="auto"/>
        <w:rPr>
          <w:vertAlign w:val="superscript"/>
        </w:rPr>
      </w:pPr>
      <w:r>
        <w:t xml:space="preserve">This </w:t>
      </w:r>
      <w:r w:rsidR="001F2BE6">
        <w:t xml:space="preserve">is </w:t>
      </w:r>
      <w:r w:rsidRPr="00E56A69">
        <w:t xml:space="preserve">the first description of </w:t>
      </w:r>
      <w:r w:rsidRPr="00E56A69">
        <w:rPr>
          <w:i/>
        </w:rPr>
        <w:t xml:space="preserve">fusB </w:t>
      </w:r>
      <w:r w:rsidRPr="00E56A69">
        <w:t xml:space="preserve">in </w:t>
      </w:r>
      <w:r w:rsidRPr="00E56A69">
        <w:rPr>
          <w:i/>
        </w:rPr>
        <w:t>S. pseudintermedius</w:t>
      </w:r>
      <w:r>
        <w:rPr>
          <w:i/>
        </w:rPr>
        <w:t xml:space="preserve"> </w:t>
      </w:r>
      <w:r>
        <w:t xml:space="preserve">resulting in </w:t>
      </w:r>
      <w:r w:rsidR="002B1225">
        <w:t>‘</w:t>
      </w:r>
      <w:r>
        <w:t>low</w:t>
      </w:r>
      <w:r w:rsidR="0001268B">
        <w:t>-</w:t>
      </w:r>
      <w:r>
        <w:t>level</w:t>
      </w:r>
      <w:r w:rsidR="002B1225">
        <w:t>’</w:t>
      </w:r>
      <w:r>
        <w:t xml:space="preserve"> </w:t>
      </w:r>
      <w:r w:rsidR="002B1225">
        <w:t>fusidic acid</w:t>
      </w:r>
      <w:r w:rsidR="001F2BE6">
        <w:t xml:space="preserve"> </w:t>
      </w:r>
      <w:r>
        <w:t xml:space="preserve">resistance, </w:t>
      </w:r>
      <w:r w:rsidR="001F2BE6">
        <w:t xml:space="preserve">in parallel to that </w:t>
      </w:r>
      <w:r>
        <w:t xml:space="preserve">previously described in </w:t>
      </w:r>
      <w:r>
        <w:rPr>
          <w:i/>
        </w:rPr>
        <w:t>S. aureus</w:t>
      </w:r>
      <w:r w:rsidR="00893E9E">
        <w:rPr>
          <w:i/>
        </w:rPr>
        <w:t xml:space="preserve"> </w:t>
      </w:r>
      <w:r w:rsidR="00893E9E">
        <w:t>[28]</w:t>
      </w:r>
      <w:r>
        <w:rPr>
          <w:i/>
        </w:rPr>
        <w:t xml:space="preserve">. </w:t>
      </w:r>
      <w:r w:rsidR="004C3563">
        <w:t xml:space="preserve">The presence of </w:t>
      </w:r>
      <w:r w:rsidR="0001268B">
        <w:rPr>
          <w:i/>
        </w:rPr>
        <w:t>fusB</w:t>
      </w:r>
      <w:r w:rsidR="004C3563">
        <w:t xml:space="preserve"> in a </w:t>
      </w:r>
      <w:r w:rsidR="0001268B">
        <w:t xml:space="preserve">new </w:t>
      </w:r>
      <w:r w:rsidR="004C3563">
        <w:t xml:space="preserve">staphylococcal species </w:t>
      </w:r>
      <w:r w:rsidR="001F2BE6">
        <w:t xml:space="preserve">suggests </w:t>
      </w:r>
      <w:r w:rsidR="00F511CA" w:rsidRPr="00E56A69">
        <w:t xml:space="preserve">that there may have been genetic transfer of plasmids between </w:t>
      </w:r>
      <w:r w:rsidR="001F2BE6">
        <w:t>staphylococci</w:t>
      </w:r>
      <w:r w:rsidR="00BB632C">
        <w:t>.</w:t>
      </w:r>
      <w:r w:rsidR="001F2BE6">
        <w:t xml:space="preserve"> </w:t>
      </w:r>
      <w:r w:rsidR="00BB632C">
        <w:t>P</w:t>
      </w:r>
      <w:r w:rsidR="004C3563">
        <w:t>revious s</w:t>
      </w:r>
      <w:r w:rsidR="003C0160">
        <w:t>tud</w:t>
      </w:r>
      <w:r w:rsidR="001F2BE6">
        <w:t>ies</w:t>
      </w:r>
      <w:r w:rsidR="003C0160">
        <w:t xml:space="preserve"> indicate that this may be </w:t>
      </w:r>
      <w:r w:rsidR="00276E17">
        <w:t xml:space="preserve">a rare occurrence </w:t>
      </w:r>
      <w:r w:rsidR="003C0160">
        <w:t xml:space="preserve">due to the difference in restriction modification systems </w:t>
      </w:r>
      <w:r w:rsidR="001F2BE6">
        <w:t xml:space="preserve">amongst </w:t>
      </w:r>
      <w:r w:rsidR="003C0160">
        <w:t>staphylococci</w:t>
      </w:r>
      <w:r w:rsidR="00893E9E">
        <w:t xml:space="preserve"> [55,56]</w:t>
      </w:r>
      <w:r w:rsidR="005C32F8">
        <w:t>.</w:t>
      </w:r>
      <w:r w:rsidR="00BB632C">
        <w:t xml:space="preserve"> </w:t>
      </w:r>
      <w:r w:rsidR="004C3563">
        <w:t>However, the</w:t>
      </w:r>
      <w:r w:rsidR="00F511CA" w:rsidRPr="00E56A69">
        <w:t xml:space="preserve"> potential for further genetic transfer of resistance determinants between </w:t>
      </w:r>
      <w:r w:rsidR="00F511CA" w:rsidRPr="00E56A69">
        <w:rPr>
          <w:i/>
        </w:rPr>
        <w:t xml:space="preserve">S. aureus </w:t>
      </w:r>
      <w:r w:rsidR="00F511CA" w:rsidRPr="00E56A69">
        <w:t xml:space="preserve">and </w:t>
      </w:r>
      <w:r w:rsidR="00F511CA" w:rsidRPr="00E56A69">
        <w:rPr>
          <w:i/>
        </w:rPr>
        <w:t>S. pseudintermedius,</w:t>
      </w:r>
      <w:r w:rsidR="00171401">
        <w:rPr>
          <w:i/>
        </w:rPr>
        <w:t xml:space="preserve"> </w:t>
      </w:r>
      <w:r w:rsidR="00171401">
        <w:t xml:space="preserve">and amongst </w:t>
      </w:r>
      <w:r w:rsidR="00171401">
        <w:rPr>
          <w:i/>
        </w:rPr>
        <w:t>S. pseudintermedius</w:t>
      </w:r>
      <w:r w:rsidR="00276E17">
        <w:rPr>
          <w:i/>
        </w:rPr>
        <w:t xml:space="preserve"> </w:t>
      </w:r>
      <w:r w:rsidR="00276E17">
        <w:t>lineages</w:t>
      </w:r>
      <w:r w:rsidR="00171401">
        <w:rPr>
          <w:i/>
        </w:rPr>
        <w:t xml:space="preserve">, </w:t>
      </w:r>
      <w:r w:rsidR="00F511CA" w:rsidRPr="00E56A69">
        <w:t xml:space="preserve">as previously shown for </w:t>
      </w:r>
      <w:r w:rsidR="0001268B">
        <w:rPr>
          <w:i/>
        </w:rPr>
        <w:t>mecA</w:t>
      </w:r>
      <w:r w:rsidR="00F511CA" w:rsidRPr="00E56A69">
        <w:t xml:space="preserve"> amongst staphylococci</w:t>
      </w:r>
      <w:r w:rsidR="0032412F">
        <w:t xml:space="preserve"> [44-47]</w:t>
      </w:r>
      <w:r w:rsidR="00F511CA" w:rsidRPr="00E56A69">
        <w:rPr>
          <w:i/>
        </w:rPr>
        <w:t xml:space="preserve">, </w:t>
      </w:r>
      <w:r w:rsidR="00F511CA" w:rsidRPr="00E56A69">
        <w:t>highlights a risk to human health from any increase in resistance in veterinary-derived staphylococci</w:t>
      </w:r>
      <w:r w:rsidR="0001268B">
        <w:t xml:space="preserve"> and vice-versa</w:t>
      </w:r>
      <w:r w:rsidR="00F511CA" w:rsidRPr="00E56A69">
        <w:t xml:space="preserve">. </w:t>
      </w:r>
      <w:r w:rsidR="001F2BE6">
        <w:t xml:space="preserve">The presence of the </w:t>
      </w:r>
      <w:r w:rsidR="00F511CA" w:rsidRPr="00E56A69">
        <w:t xml:space="preserve">same plasmid-mediated resistance </w:t>
      </w:r>
      <w:r w:rsidR="001F2BE6">
        <w:t xml:space="preserve">in different </w:t>
      </w:r>
      <w:r w:rsidR="00F511CA" w:rsidRPr="00E56A69">
        <w:t xml:space="preserve">species could also be evidence of a common ancestor for </w:t>
      </w:r>
      <w:r w:rsidR="0001268B">
        <w:t>these</w:t>
      </w:r>
      <w:r w:rsidR="00F511CA" w:rsidRPr="00E56A69">
        <w:t xml:space="preserve"> genes (such as </w:t>
      </w:r>
      <w:r w:rsidR="00F511CA" w:rsidRPr="00E56A69">
        <w:rPr>
          <w:i/>
        </w:rPr>
        <w:t xml:space="preserve">fusB </w:t>
      </w:r>
      <w:r w:rsidR="00F511CA" w:rsidRPr="00E56A69">
        <w:t xml:space="preserve">and </w:t>
      </w:r>
      <w:r w:rsidR="00F511CA" w:rsidRPr="00E56A69">
        <w:rPr>
          <w:i/>
        </w:rPr>
        <w:t>fusC</w:t>
      </w:r>
      <w:r w:rsidR="0001268B">
        <w:rPr>
          <w:i/>
        </w:rPr>
        <w:t xml:space="preserve"> </w:t>
      </w:r>
      <w:r w:rsidR="0001268B">
        <w:t>which show protein homology</w:t>
      </w:r>
      <w:r w:rsidR="00F511CA" w:rsidRPr="00E56A69">
        <w:t>), as has been previously described for the SCC</w:t>
      </w:r>
      <w:r w:rsidR="00F511CA" w:rsidRPr="00E56A69">
        <w:rPr>
          <w:i/>
        </w:rPr>
        <w:t xml:space="preserve">mec </w:t>
      </w:r>
      <w:r w:rsidR="00F511CA" w:rsidRPr="00E56A69">
        <w:t>of staphylococci</w:t>
      </w:r>
      <w:r w:rsidR="0032412F">
        <w:t xml:space="preserve"> [46]</w:t>
      </w:r>
      <w:r w:rsidR="00E56A69" w:rsidRPr="00E56A69">
        <w:t>.</w:t>
      </w:r>
      <w:r w:rsidR="00B7405A">
        <w:rPr>
          <w:vertAlign w:val="superscript"/>
        </w:rPr>
        <w:t xml:space="preserve"> </w:t>
      </w:r>
    </w:p>
    <w:p w14:paraId="53B92742" w14:textId="7C40AF37" w:rsidR="00D0362E" w:rsidRDefault="00964ABE" w:rsidP="00B35037">
      <w:pPr>
        <w:spacing w:after="100" w:afterAutospacing="1" w:line="480" w:lineRule="auto"/>
      </w:pPr>
      <w:r>
        <w:t>Whilst i</w:t>
      </w:r>
      <w:r w:rsidR="00D0362E">
        <w:t xml:space="preserve">n the majority of cases the presence of </w:t>
      </w:r>
      <w:r w:rsidR="00D0362E">
        <w:rPr>
          <w:i/>
        </w:rPr>
        <w:t xml:space="preserve">fusC </w:t>
      </w:r>
      <w:r w:rsidR="00D0362E">
        <w:t xml:space="preserve">was related to </w:t>
      </w:r>
      <w:r w:rsidR="00B11DC8">
        <w:t>‘</w:t>
      </w:r>
      <w:r w:rsidR="004C3563">
        <w:t>lo</w:t>
      </w:r>
      <w:r w:rsidR="003C0160">
        <w:t>w-</w:t>
      </w:r>
      <w:r w:rsidR="004C3563">
        <w:t>level</w:t>
      </w:r>
      <w:r w:rsidR="00B11DC8">
        <w:t>’</w:t>
      </w:r>
      <w:r w:rsidR="004C3563">
        <w:t xml:space="preserve"> fusidic acid resistance</w:t>
      </w:r>
      <w:r w:rsidR="003C0160">
        <w:t>, as</w:t>
      </w:r>
      <w:r w:rsidR="004C3563">
        <w:t xml:space="preserve"> described in </w:t>
      </w:r>
      <w:r w:rsidR="004C3563">
        <w:rPr>
          <w:i/>
        </w:rPr>
        <w:t xml:space="preserve">S. aureus </w:t>
      </w:r>
      <w:r w:rsidR="004C3563">
        <w:t xml:space="preserve">carrying </w:t>
      </w:r>
      <w:r w:rsidR="004C3563">
        <w:rPr>
          <w:i/>
        </w:rPr>
        <w:t>fusC</w:t>
      </w:r>
      <w:r w:rsidR="0032412F">
        <w:rPr>
          <w:i/>
        </w:rPr>
        <w:t xml:space="preserve"> </w:t>
      </w:r>
      <w:r w:rsidR="0032412F">
        <w:t>[28],</w:t>
      </w:r>
      <w:r>
        <w:t xml:space="preserve"> we </w:t>
      </w:r>
      <w:r w:rsidR="00D0362E">
        <w:t>report, for the first time, four</w:t>
      </w:r>
      <w:r w:rsidR="00D0362E">
        <w:rPr>
          <w:i/>
        </w:rPr>
        <w:t xml:space="preserve"> S. pseudintermedius</w:t>
      </w:r>
      <w:r w:rsidR="00D0362E">
        <w:t xml:space="preserve"> isolates with a susceptible phenotype </w:t>
      </w:r>
      <w:r w:rsidR="002F36C4">
        <w:t>(MIC = 0.06</w:t>
      </w:r>
      <w:r w:rsidR="008A271C">
        <w:t xml:space="preserve"> </w:t>
      </w:r>
      <w:r w:rsidR="008B5D49">
        <w:t xml:space="preserve">mg/L) </w:t>
      </w:r>
      <w:r w:rsidR="00D0362E">
        <w:t xml:space="preserve">despite presence of </w:t>
      </w:r>
      <w:r w:rsidR="008B5D49">
        <w:rPr>
          <w:i/>
        </w:rPr>
        <w:t>fus</w:t>
      </w:r>
      <w:r w:rsidR="002F36C4">
        <w:rPr>
          <w:i/>
        </w:rPr>
        <w:t>C</w:t>
      </w:r>
      <w:r w:rsidR="008B5D49">
        <w:t xml:space="preserve">.  This may </w:t>
      </w:r>
      <w:r w:rsidR="00D0362E">
        <w:t>reflect</w:t>
      </w:r>
      <w:r w:rsidR="008B5D49">
        <w:t xml:space="preserve"> the fact that in previous studies, </w:t>
      </w:r>
      <w:r w:rsidR="00D0362E">
        <w:t>the presence of th</w:t>
      </w:r>
      <w:r w:rsidR="008B5D49">
        <w:t xml:space="preserve">is </w:t>
      </w:r>
      <w:r w:rsidR="00D0362E">
        <w:t>gene</w:t>
      </w:r>
      <w:r w:rsidR="008B5D49">
        <w:t xml:space="preserve"> </w:t>
      </w:r>
      <w:r w:rsidR="00E56A69">
        <w:t>has been</w:t>
      </w:r>
      <w:r w:rsidR="008B5D49">
        <w:t xml:space="preserve"> investigated only </w:t>
      </w:r>
      <w:r w:rsidR="003C0160">
        <w:t>in phenotypically</w:t>
      </w:r>
      <w:r w:rsidR="00B11DC8">
        <w:t xml:space="preserve"> fusidic acid-</w:t>
      </w:r>
      <w:r w:rsidR="003C0160">
        <w:t>resistant</w:t>
      </w:r>
      <w:r w:rsidR="00D0362E">
        <w:t xml:space="preserve"> (fusidic acid MIC ≥ 1 mg/L) isolates</w:t>
      </w:r>
      <w:r w:rsidR="0032412F">
        <w:t xml:space="preserve"> [32-34]</w:t>
      </w:r>
      <w:r w:rsidR="00D0362E">
        <w:t xml:space="preserve">. </w:t>
      </w:r>
      <w:r w:rsidR="000833A8">
        <w:t>P</w:t>
      </w:r>
      <w:r w:rsidR="00D0362E">
        <w:t xml:space="preserve">henotypic susceptibility </w:t>
      </w:r>
      <w:r w:rsidR="00315C12">
        <w:t xml:space="preserve">in the </w:t>
      </w:r>
      <w:r w:rsidR="00D0362E">
        <w:t xml:space="preserve">presence of </w:t>
      </w:r>
      <w:r w:rsidR="00D0362E">
        <w:rPr>
          <w:i/>
        </w:rPr>
        <w:t xml:space="preserve">fusC </w:t>
      </w:r>
      <w:r w:rsidR="00D0362E">
        <w:t xml:space="preserve">could be due to </w:t>
      </w:r>
      <w:r w:rsidR="005F6035">
        <w:t>a chromosomal rather than a plasmid location</w:t>
      </w:r>
      <w:r w:rsidR="00D0362E">
        <w:t xml:space="preserve"> of </w:t>
      </w:r>
      <w:r w:rsidR="00707263">
        <w:rPr>
          <w:i/>
        </w:rPr>
        <w:t>fusC</w:t>
      </w:r>
      <w:r w:rsidR="0032412F">
        <w:rPr>
          <w:i/>
        </w:rPr>
        <w:t xml:space="preserve"> </w:t>
      </w:r>
      <w:r w:rsidR="0032412F">
        <w:t>[57]</w:t>
      </w:r>
      <w:r w:rsidR="00707263">
        <w:rPr>
          <w:i/>
        </w:rPr>
        <w:t>,</w:t>
      </w:r>
      <w:r w:rsidR="00D0362E">
        <w:t xml:space="preserve"> low copy number of </w:t>
      </w:r>
      <w:r w:rsidR="00D0362E">
        <w:rPr>
          <w:i/>
        </w:rPr>
        <w:t>fusC-</w:t>
      </w:r>
      <w:r w:rsidR="00D0362E">
        <w:t>containing plasmids, or due to non-expression of the gene</w:t>
      </w:r>
      <w:r w:rsidR="00315C12">
        <w:t xml:space="preserve">.  It may </w:t>
      </w:r>
      <w:r w:rsidR="005F6035">
        <w:t>also</w:t>
      </w:r>
      <w:r w:rsidR="00D0362E">
        <w:t xml:space="preserve"> question the relevance of </w:t>
      </w:r>
      <w:r w:rsidR="00D0362E">
        <w:rPr>
          <w:i/>
        </w:rPr>
        <w:t xml:space="preserve">fusC </w:t>
      </w:r>
      <w:r w:rsidR="00D0362E">
        <w:t>in reduc</w:t>
      </w:r>
      <w:r w:rsidR="005F6035">
        <w:t>ing</w:t>
      </w:r>
      <w:r w:rsidR="00D0362E">
        <w:t xml:space="preserve"> susceptibility to fusidic acid. </w:t>
      </w:r>
    </w:p>
    <w:p w14:paraId="0C071DE3" w14:textId="20B90446" w:rsidR="00E369EF" w:rsidRPr="00E369EF" w:rsidRDefault="009813B9" w:rsidP="00E369EF">
      <w:pPr>
        <w:spacing w:after="100" w:afterAutospacing="1" w:line="480" w:lineRule="auto"/>
        <w:rPr>
          <w:b/>
          <w:sz w:val="32"/>
        </w:rPr>
      </w:pPr>
      <w:bookmarkStart w:id="1" w:name="_Hlk532806709"/>
      <w:r>
        <w:t xml:space="preserve">The low fusidic acid MICs </w:t>
      </w:r>
      <w:r w:rsidR="004F7336">
        <w:t>i</w:t>
      </w:r>
      <w:r w:rsidR="00E369EF">
        <w:t xml:space="preserve">n canine-derived </w:t>
      </w:r>
      <w:r w:rsidR="00E369EF">
        <w:rPr>
          <w:i/>
        </w:rPr>
        <w:t xml:space="preserve">S. pseudintermedius </w:t>
      </w:r>
      <w:r>
        <w:t>from</w:t>
      </w:r>
      <w:r w:rsidR="00E369EF">
        <w:t xml:space="preserve"> the U.S.A.</w:t>
      </w:r>
      <w:r>
        <w:t xml:space="preserve"> corresponds to its lack of use </w:t>
      </w:r>
      <w:r w:rsidR="00E369EF">
        <w:t xml:space="preserve">in veterinary medicine, </w:t>
      </w:r>
      <w:r>
        <w:t>whereas MICs were higher in isolates from</w:t>
      </w:r>
      <w:r w:rsidR="002436BD">
        <w:t xml:space="preserve"> </w:t>
      </w:r>
      <w:r>
        <w:t xml:space="preserve">the U.K and Finland </w:t>
      </w:r>
      <w:r w:rsidR="00E369EF">
        <w:t>which have had licensed fusidic acid available to veterinarians for a number of years</w:t>
      </w:r>
      <w:r>
        <w:t>.  T</w:t>
      </w:r>
      <w:r w:rsidR="00E369EF">
        <w:t>his mirrors the MICs of human-derived staphylococci</w:t>
      </w:r>
      <w:r>
        <w:t xml:space="preserve"> which tend to reflect fusidic acid use</w:t>
      </w:r>
      <w:r w:rsidR="00E369EF">
        <w:t xml:space="preserve"> [32,33]. </w:t>
      </w:r>
      <w:r w:rsidR="00A65B10">
        <w:t>Although MIC</w:t>
      </w:r>
      <w:r w:rsidR="00A65B10" w:rsidRPr="004F7336">
        <w:rPr>
          <w:vertAlign w:val="subscript"/>
        </w:rPr>
        <w:t>50</w:t>
      </w:r>
      <w:r w:rsidR="00A65B10">
        <w:t xml:space="preserve"> remained low in most regions tested (with the exception of NUK MRSP),</w:t>
      </w:r>
      <w:r w:rsidR="00C42014">
        <w:t xml:space="preserve"> in our study the identification of genetic resistance determinants correlated with </w:t>
      </w:r>
      <w:r>
        <w:t xml:space="preserve">raised </w:t>
      </w:r>
      <w:r w:rsidR="00A65B10">
        <w:t>MIC</w:t>
      </w:r>
      <w:r w:rsidR="00A65B10" w:rsidRPr="004F7336">
        <w:rPr>
          <w:vertAlign w:val="subscript"/>
        </w:rPr>
        <w:t>90</w:t>
      </w:r>
      <w:r w:rsidR="00A65B10">
        <w:t xml:space="preserve"> in </w:t>
      </w:r>
      <w:r w:rsidR="00F105F8">
        <w:t xml:space="preserve">isolates from </w:t>
      </w:r>
      <w:r w:rsidR="00A65B10">
        <w:t xml:space="preserve">Finland and the U.K., </w:t>
      </w:r>
      <w:r w:rsidR="00592B49">
        <w:t xml:space="preserve">matching the </w:t>
      </w:r>
      <w:r w:rsidR="00A65B10">
        <w:t xml:space="preserve">apparently bimodal distribution of MICs above and below a ‘resistance’ cut-off. </w:t>
      </w:r>
      <w:r w:rsidR="00E369EF" w:rsidRPr="004F7336">
        <w:t xml:space="preserve">The prevalence of </w:t>
      </w:r>
      <w:r w:rsidR="00E369EF" w:rsidRPr="004F7336">
        <w:rPr>
          <w:i/>
        </w:rPr>
        <w:t xml:space="preserve">fusB </w:t>
      </w:r>
      <w:r w:rsidR="00E369EF" w:rsidRPr="004F7336">
        <w:t xml:space="preserve">and </w:t>
      </w:r>
      <w:r w:rsidR="00E369EF" w:rsidRPr="004F7336">
        <w:rPr>
          <w:i/>
        </w:rPr>
        <w:t xml:space="preserve">fusC </w:t>
      </w:r>
      <w:r w:rsidR="00E369EF" w:rsidRPr="004F7336">
        <w:t xml:space="preserve">in the European canine-derived staphylococci in this study </w:t>
      </w:r>
      <w:r w:rsidR="00DD71EB" w:rsidRPr="004F7336">
        <w:t xml:space="preserve">is broadly comparable </w:t>
      </w:r>
      <w:r w:rsidR="00E369EF" w:rsidRPr="004F7336">
        <w:t xml:space="preserve">to that seen in human-derived </w:t>
      </w:r>
      <w:r w:rsidR="00E369EF" w:rsidRPr="004F7336">
        <w:rPr>
          <w:i/>
        </w:rPr>
        <w:t xml:space="preserve">S. aureus </w:t>
      </w:r>
      <w:r w:rsidR="00E369EF" w:rsidRPr="004F7336">
        <w:t>[32], with variation in gene presence between isolates originating from differing European countries.</w:t>
      </w:r>
    </w:p>
    <w:bookmarkEnd w:id="1"/>
    <w:p w14:paraId="5CE75AFF" w14:textId="5ACE4919" w:rsidR="005C2347" w:rsidRPr="001A27C6" w:rsidRDefault="005E2339" w:rsidP="00B35037">
      <w:pPr>
        <w:spacing w:after="100" w:afterAutospacing="1" w:line="480" w:lineRule="auto"/>
      </w:pPr>
      <w:r>
        <w:t xml:space="preserve">This study represents the first description of </w:t>
      </w:r>
      <w:r>
        <w:rPr>
          <w:i/>
        </w:rPr>
        <w:t xml:space="preserve">qacA/B </w:t>
      </w:r>
      <w:r w:rsidR="00276E17">
        <w:t xml:space="preserve">and corroborates previous reports of </w:t>
      </w:r>
      <w:r w:rsidR="00276E17">
        <w:rPr>
          <w:i/>
        </w:rPr>
        <w:t xml:space="preserve">smr </w:t>
      </w:r>
      <w:r>
        <w:t xml:space="preserve">in </w:t>
      </w:r>
      <w:r>
        <w:rPr>
          <w:i/>
        </w:rPr>
        <w:t>S. pseudintermedius</w:t>
      </w:r>
      <w:r w:rsidR="0032412F">
        <w:rPr>
          <w:i/>
        </w:rPr>
        <w:t xml:space="preserve"> </w:t>
      </w:r>
      <w:r w:rsidR="0032412F">
        <w:t>[36]</w:t>
      </w:r>
      <w:r w:rsidR="00B11DC8">
        <w:rPr>
          <w:i/>
        </w:rPr>
        <w:t xml:space="preserve">, </w:t>
      </w:r>
      <w:r w:rsidR="005F6035" w:rsidRPr="00B42907">
        <w:t>and</w:t>
      </w:r>
      <w:r w:rsidR="005F6035">
        <w:rPr>
          <w:i/>
        </w:rPr>
        <w:t xml:space="preserve"> </w:t>
      </w:r>
      <w:r w:rsidR="00276E17">
        <w:t xml:space="preserve">supports recent reports of </w:t>
      </w:r>
      <w:r w:rsidR="00276E17">
        <w:rPr>
          <w:i/>
        </w:rPr>
        <w:t xml:space="preserve">qacA/B </w:t>
      </w:r>
      <w:r w:rsidR="00276E17">
        <w:t>in canine-derived</w:t>
      </w:r>
      <w:r w:rsidR="00E56A69">
        <w:t xml:space="preserve"> </w:t>
      </w:r>
      <w:r w:rsidR="00E56A69">
        <w:rPr>
          <w:i/>
        </w:rPr>
        <w:t>S. aureus</w:t>
      </w:r>
      <w:r w:rsidR="0001268B">
        <w:rPr>
          <w:i/>
        </w:rPr>
        <w:t xml:space="preserve"> </w:t>
      </w:r>
      <w:r w:rsidR="0001268B">
        <w:t>isolates</w:t>
      </w:r>
      <w:r w:rsidR="00B679B8">
        <w:rPr>
          <w:i/>
        </w:rPr>
        <w:t xml:space="preserve">, </w:t>
      </w:r>
      <w:r w:rsidR="00B679B8">
        <w:t xml:space="preserve">although at lower frequencies than previously identified in human-derived </w:t>
      </w:r>
      <w:r w:rsidR="00B679B8">
        <w:rPr>
          <w:i/>
        </w:rPr>
        <w:t>S. aureus</w:t>
      </w:r>
      <w:r w:rsidR="00B679B8">
        <w:t xml:space="preserve"> (6% in</w:t>
      </w:r>
      <w:r w:rsidR="008A271C">
        <w:t xml:space="preserve"> U.S.A</w:t>
      </w:r>
      <w:r w:rsidR="00B11DC8">
        <w:t>.</w:t>
      </w:r>
      <w:r w:rsidR="008A271C">
        <w:t xml:space="preserve"> MRSP in this stud</w:t>
      </w:r>
      <w:r w:rsidR="00276E17">
        <w:t>y, compared to</w:t>
      </w:r>
      <w:r w:rsidR="008A271C">
        <w:t xml:space="preserve"> </w:t>
      </w:r>
      <w:r w:rsidR="00B679B8">
        <w:t>8</w:t>
      </w:r>
      <w:r w:rsidR="008A271C">
        <w:t>.3</w:t>
      </w:r>
      <w:r w:rsidR="00B679B8">
        <w:t>-63% previously described)</w:t>
      </w:r>
      <w:r w:rsidR="0032412F">
        <w:t xml:space="preserve"> [58-61]</w:t>
      </w:r>
      <w:r w:rsidR="00B679B8">
        <w:t xml:space="preserve">. However, neither </w:t>
      </w:r>
      <w:r w:rsidR="00B679B8">
        <w:rPr>
          <w:i/>
        </w:rPr>
        <w:t xml:space="preserve">qacA/B </w:t>
      </w:r>
      <w:r w:rsidR="00B679B8">
        <w:t xml:space="preserve">nor </w:t>
      </w:r>
      <w:r w:rsidR="00B679B8">
        <w:rPr>
          <w:i/>
        </w:rPr>
        <w:t xml:space="preserve">smr </w:t>
      </w:r>
      <w:r w:rsidR="00B679B8">
        <w:t>appeared related to high chlorhexidine MICs, similar</w:t>
      </w:r>
      <w:r w:rsidR="00B11DC8">
        <w:t xml:space="preserve"> to</w:t>
      </w:r>
      <w:r w:rsidR="00B679B8">
        <w:t xml:space="preserve"> what has been described for human-derived </w:t>
      </w:r>
      <w:r w:rsidR="00B679B8" w:rsidRPr="00FC16AE">
        <w:rPr>
          <w:i/>
        </w:rPr>
        <w:t xml:space="preserve">S. </w:t>
      </w:r>
      <w:r w:rsidR="00B679B8" w:rsidRPr="00B42907">
        <w:rPr>
          <w:i/>
        </w:rPr>
        <w:t>aureus</w:t>
      </w:r>
      <w:r w:rsidR="0032412F">
        <w:rPr>
          <w:i/>
        </w:rPr>
        <w:t xml:space="preserve"> </w:t>
      </w:r>
      <w:r w:rsidR="0032412F">
        <w:t>[</w:t>
      </w:r>
      <w:r w:rsidR="00B679B8" w:rsidRPr="0032412F">
        <w:t>3</w:t>
      </w:r>
      <w:r w:rsidR="00B11DC8" w:rsidRPr="0032412F">
        <w:t>8</w:t>
      </w:r>
      <w:r w:rsidR="00B679B8" w:rsidRPr="0032412F">
        <w:t>,</w:t>
      </w:r>
      <w:r w:rsidR="00B11DC8" w:rsidRPr="0032412F">
        <w:t>41</w:t>
      </w:r>
      <w:r w:rsidR="0032412F">
        <w:t>]</w:t>
      </w:r>
      <w:r w:rsidR="00B679B8">
        <w:t xml:space="preserve"> and </w:t>
      </w:r>
      <w:r w:rsidR="00B679B8" w:rsidRPr="008A3439">
        <w:rPr>
          <w:i/>
        </w:rPr>
        <w:t>S. epidermidis</w:t>
      </w:r>
      <w:r w:rsidR="0032412F">
        <w:rPr>
          <w:i/>
        </w:rPr>
        <w:t xml:space="preserve"> </w:t>
      </w:r>
      <w:r w:rsidR="0032412F">
        <w:t>[62]</w:t>
      </w:r>
      <w:r w:rsidR="00276E17">
        <w:t>,</w:t>
      </w:r>
      <w:r w:rsidR="00B679B8">
        <w:t xml:space="preserve"> </w:t>
      </w:r>
      <w:r w:rsidR="00276E17">
        <w:t xml:space="preserve">and in a limited collection of </w:t>
      </w:r>
      <w:r w:rsidR="00276E17">
        <w:rPr>
          <w:i/>
        </w:rPr>
        <w:t>S. pseudintermedius</w:t>
      </w:r>
      <w:r w:rsidR="0032412F">
        <w:rPr>
          <w:i/>
        </w:rPr>
        <w:t xml:space="preserve"> </w:t>
      </w:r>
      <w:r w:rsidR="0032412F">
        <w:t>[36]</w:t>
      </w:r>
      <w:r w:rsidR="00276E17">
        <w:rPr>
          <w:i/>
        </w:rPr>
        <w:t>.</w:t>
      </w:r>
      <w:r w:rsidR="00B11DC8">
        <w:t xml:space="preserve"> T</w:t>
      </w:r>
      <w:r w:rsidR="00315C12">
        <w:t xml:space="preserve">his </w:t>
      </w:r>
      <w:r w:rsidR="00B679B8">
        <w:t>rais</w:t>
      </w:r>
      <w:r w:rsidR="00315C12">
        <w:t>es</w:t>
      </w:r>
      <w:r w:rsidR="00B679B8">
        <w:t xml:space="preserve"> the possibility of different, and as of yet unknown, mechanisms being responsible for raised chlorhexidine MICs.</w:t>
      </w:r>
      <w:r w:rsidR="00E56A69">
        <w:t xml:space="preserve"> </w:t>
      </w:r>
      <w:bookmarkStart w:id="2" w:name="_Hlk532806461"/>
      <w:r w:rsidR="001A27C6">
        <w:t>Chlorhexidine MICs remained remarkably uniform within the same geographical region, represented by MIC</w:t>
      </w:r>
      <w:r w:rsidR="001A27C6" w:rsidRPr="004F7336">
        <w:rPr>
          <w:vertAlign w:val="subscript"/>
        </w:rPr>
        <w:t>50</w:t>
      </w:r>
      <w:r w:rsidR="001A27C6">
        <w:t>/MIC</w:t>
      </w:r>
      <w:r w:rsidR="001A27C6" w:rsidRPr="004F7336">
        <w:rPr>
          <w:vertAlign w:val="subscript"/>
        </w:rPr>
        <w:t>90</w:t>
      </w:r>
      <w:r w:rsidR="001A27C6">
        <w:t xml:space="preserve"> wi</w:t>
      </w:r>
      <w:r w:rsidR="00A65B10">
        <w:t xml:space="preserve">thin one dilution of each other. </w:t>
      </w:r>
      <w:r w:rsidR="00F67947">
        <w:t xml:space="preserve"> Although </w:t>
      </w:r>
      <w:r w:rsidR="00A65B10">
        <w:t>statistically significant</w:t>
      </w:r>
      <w:r w:rsidR="00DD71EB">
        <w:t xml:space="preserve">, the </w:t>
      </w:r>
      <w:r w:rsidR="00A65B10">
        <w:t>difference in</w:t>
      </w:r>
      <w:r w:rsidR="00F67947">
        <w:t xml:space="preserve"> the </w:t>
      </w:r>
      <w:r w:rsidR="00A65B10">
        <w:t>MIC between some</w:t>
      </w:r>
      <w:r w:rsidR="001A27C6">
        <w:t xml:space="preserve"> geographical </w:t>
      </w:r>
      <w:r w:rsidR="00B0711C">
        <w:t>regions</w:t>
      </w:r>
      <w:r w:rsidR="00A65B10">
        <w:t xml:space="preserve"> </w:t>
      </w:r>
      <w:r w:rsidR="00F67947">
        <w:t xml:space="preserve">was no more than </w:t>
      </w:r>
      <w:r w:rsidR="00A65B10">
        <w:t>one to two dilutions</w:t>
      </w:r>
      <w:r w:rsidR="00B0711C">
        <w:t>,</w:t>
      </w:r>
      <w:r w:rsidR="00A65B10">
        <w:t xml:space="preserve"> which is unlikely to represent a clinically significant </w:t>
      </w:r>
      <w:r w:rsidR="00F67947">
        <w:t xml:space="preserve">variation </w:t>
      </w:r>
      <w:r w:rsidR="00A65B10">
        <w:t xml:space="preserve">in efficacy of chlorhexidine-based products. The MIC range of chlorhexidine across all geographical regions tested </w:t>
      </w:r>
      <w:r w:rsidR="001A27C6">
        <w:t xml:space="preserve">correlated </w:t>
      </w:r>
      <w:r w:rsidR="009A7C49">
        <w:t xml:space="preserve">closely </w:t>
      </w:r>
      <w:r w:rsidR="001A27C6">
        <w:t>with th</w:t>
      </w:r>
      <w:r w:rsidR="009A7C49">
        <w:t>at</w:t>
      </w:r>
      <w:r w:rsidR="001A27C6">
        <w:t xml:space="preserve"> previously described for </w:t>
      </w:r>
      <w:r w:rsidR="001A27C6">
        <w:rPr>
          <w:i/>
        </w:rPr>
        <w:t xml:space="preserve">S. aureus </w:t>
      </w:r>
      <w:r w:rsidR="001A27C6">
        <w:t>[37,38]</w:t>
      </w:r>
      <w:r w:rsidR="009A7C49">
        <w:t xml:space="preserve">, potentially reflecting relatively uniform </w:t>
      </w:r>
      <w:r w:rsidR="001A27C6">
        <w:t>use of chlorhexidine-based products</w:t>
      </w:r>
      <w:r w:rsidR="009A7C49">
        <w:t xml:space="preserve"> globally </w:t>
      </w:r>
      <w:r w:rsidR="001A27C6">
        <w:t>in both human and veterinary medicine.</w:t>
      </w:r>
      <w:bookmarkEnd w:id="2"/>
    </w:p>
    <w:p w14:paraId="1BA33233" w14:textId="0050C1EB" w:rsidR="00E17594" w:rsidRDefault="00E17594" w:rsidP="00D23757">
      <w:pPr>
        <w:spacing w:after="100" w:afterAutospacing="1" w:line="480" w:lineRule="auto"/>
      </w:pPr>
      <w:r w:rsidRPr="00D23757">
        <w:t xml:space="preserve">The increasing interest in the use of topical therapy for canine pyoderma amidst </w:t>
      </w:r>
      <w:r w:rsidR="00B2411F">
        <w:t>efforts towards good antimicrobial stewardship</w:t>
      </w:r>
      <w:r w:rsidRPr="00D23757">
        <w:t xml:space="preserve"> has highlighted the absence of clinically</w:t>
      </w:r>
      <w:r w:rsidR="00B11DC8">
        <w:t xml:space="preserve"> </w:t>
      </w:r>
      <w:r w:rsidRPr="00D23757">
        <w:t xml:space="preserve">relevant breakpoints for topically applied agents, such as fusidic acid and chlorhexidine. The concentrations of </w:t>
      </w:r>
      <w:r w:rsidR="0001268B">
        <w:t>fusidic acid</w:t>
      </w:r>
      <w:r w:rsidRPr="00D23757">
        <w:t xml:space="preserve"> obtained </w:t>
      </w:r>
      <w:r w:rsidR="0001268B">
        <w:t xml:space="preserve">within the skin </w:t>
      </w:r>
      <w:r w:rsidRPr="00D23757">
        <w:t xml:space="preserve">24 hours after application </w:t>
      </w:r>
      <w:r w:rsidR="0001268B">
        <w:t>to</w:t>
      </w:r>
      <w:r w:rsidRPr="00D23757">
        <w:t xml:space="preserve"> a canine skin model (of the order of 2000 mg/L)</w:t>
      </w:r>
      <w:r w:rsidR="0032412F">
        <w:t xml:space="preserve"> [63]</w:t>
      </w:r>
      <w:r w:rsidR="00B11DC8">
        <w:t>,</w:t>
      </w:r>
      <w:r w:rsidRPr="00D23757">
        <w:t xml:space="preserve"> are approximately 1000-fold higher than the </w:t>
      </w:r>
      <w:r w:rsidR="002574F9">
        <w:t>EUCAST</w:t>
      </w:r>
      <w:r w:rsidR="002574F9" w:rsidRPr="00D23757">
        <w:t xml:space="preserve"> </w:t>
      </w:r>
      <w:r w:rsidR="00B11DC8">
        <w:t xml:space="preserve">breakpoint </w:t>
      </w:r>
      <w:r w:rsidRPr="00D23757">
        <w:t>f</w:t>
      </w:r>
      <w:r w:rsidR="00B11DC8">
        <w:t>or</w:t>
      </w:r>
      <w:r w:rsidRPr="00D23757">
        <w:t xml:space="preserve"> </w:t>
      </w:r>
      <w:r w:rsidR="0001268B">
        <w:t>fusidic acid</w:t>
      </w:r>
      <w:r w:rsidR="0001268B" w:rsidRPr="00D23757">
        <w:t xml:space="preserve"> </w:t>
      </w:r>
      <w:r w:rsidRPr="00D23757">
        <w:t xml:space="preserve">for </w:t>
      </w:r>
      <w:r w:rsidR="002574F9">
        <w:t>staphylococci</w:t>
      </w:r>
      <w:r w:rsidRPr="00D23757">
        <w:t xml:space="preserve"> (derived for sy</w:t>
      </w:r>
      <w:r w:rsidR="00B11DC8">
        <w:t>stemic administration in humans)</w:t>
      </w:r>
      <w:r w:rsidR="0032412F">
        <w:t xml:space="preserve"> [64]</w:t>
      </w:r>
      <w:r w:rsidRPr="00D23757">
        <w:t xml:space="preserve">. </w:t>
      </w:r>
      <w:r w:rsidR="00BA4349" w:rsidRPr="00D23757">
        <w:t>In each of the geographical regions studied, topical fusidic acid therapy would be expected to achieve concentrations in canine skin far exceeding the majority of MICs described in this study</w:t>
      </w:r>
      <w:r w:rsidR="00BA4349">
        <w:t xml:space="preserve"> [63]</w:t>
      </w:r>
      <w:r w:rsidR="00BA4349" w:rsidRPr="00D23757">
        <w:t>, despite presence of resistance determinants in the staphylococcal population tested.</w:t>
      </w:r>
      <w:r w:rsidR="00BA4349">
        <w:t xml:space="preserve"> </w:t>
      </w:r>
      <w:r w:rsidRPr="00D23757">
        <w:t>These observations highlight the questionable relevance of routine susceptibility testing with current conventional protocols when assessing topical treatment options</w:t>
      </w:r>
      <w:r w:rsidR="00BA4349">
        <w:t>. There is an</w:t>
      </w:r>
      <w:r w:rsidRPr="00D23757">
        <w:t xml:space="preserve"> urgent need for development of breakpoints that might usefully predict antimicrobial efficacy of topically applied drugs in surface and superficial skin infections</w:t>
      </w:r>
      <w:r w:rsidR="00BA4349">
        <w:t xml:space="preserve"> [</w:t>
      </w:r>
      <w:r w:rsidR="000F7727">
        <w:t>65</w:t>
      </w:r>
      <w:r w:rsidR="00BA4349">
        <w:t>], to prevent the unwary clinician being misled by laboratory application of existing breakpoints, developed for systemic therapy, that leads to reports of ‘resistance’</w:t>
      </w:r>
      <w:r w:rsidRPr="00D23757">
        <w:t xml:space="preserve">. </w:t>
      </w:r>
    </w:p>
    <w:p w14:paraId="6C88ADC2" w14:textId="77777777" w:rsidR="0018215A" w:rsidRPr="00D23757" w:rsidRDefault="0018215A" w:rsidP="00D23757">
      <w:pPr>
        <w:spacing w:after="100" w:afterAutospacing="1" w:line="480" w:lineRule="auto"/>
      </w:pPr>
    </w:p>
    <w:p w14:paraId="6B80A14B" w14:textId="09377EBA" w:rsidR="004C39F9" w:rsidRPr="004C39F9" w:rsidRDefault="004C39F9" w:rsidP="004C39F9">
      <w:pPr>
        <w:spacing w:after="100" w:afterAutospacing="1" w:line="480" w:lineRule="auto"/>
        <w:rPr>
          <w:b/>
          <w:sz w:val="32"/>
        </w:rPr>
      </w:pPr>
      <w:r w:rsidRPr="004C39F9">
        <w:rPr>
          <w:b/>
          <w:sz w:val="32"/>
        </w:rPr>
        <w:t>Conclusions</w:t>
      </w:r>
    </w:p>
    <w:p w14:paraId="60C88053" w14:textId="366EA29B" w:rsidR="004C39F9" w:rsidRDefault="004C39F9" w:rsidP="004C39F9">
      <w:pPr>
        <w:spacing w:after="100" w:afterAutospacing="1" w:line="480" w:lineRule="auto"/>
      </w:pPr>
      <w:r>
        <w:t>Resistance determinants associated with tolerance to fusidic acid (</w:t>
      </w:r>
      <w:r>
        <w:rPr>
          <w:i/>
        </w:rPr>
        <w:t xml:space="preserve">fusA </w:t>
      </w:r>
      <w:r>
        <w:t xml:space="preserve">mutations, </w:t>
      </w:r>
      <w:r>
        <w:rPr>
          <w:i/>
        </w:rPr>
        <w:t xml:space="preserve">fusB </w:t>
      </w:r>
      <w:r>
        <w:t xml:space="preserve">and </w:t>
      </w:r>
      <w:r>
        <w:rPr>
          <w:i/>
        </w:rPr>
        <w:t>fusC</w:t>
      </w:r>
      <w:r>
        <w:t xml:space="preserve">) were detected at a low rate in canine-derived staphylococci in this study. Conversely, the presence of </w:t>
      </w:r>
      <w:r>
        <w:rPr>
          <w:i/>
        </w:rPr>
        <w:t xml:space="preserve">qacA/B </w:t>
      </w:r>
      <w:r>
        <w:t xml:space="preserve">and </w:t>
      </w:r>
      <w:r>
        <w:rPr>
          <w:i/>
        </w:rPr>
        <w:t xml:space="preserve">smr </w:t>
      </w:r>
      <w:r>
        <w:t xml:space="preserve">appeared to have no effect on chlorhexidine MIC. </w:t>
      </w:r>
      <w:r w:rsidRPr="001A27C6">
        <w:t>The low fusidic acid MICs and the lack of fusidic acid resistance determinants in isolates from the U.S.A. compared to the other geographical regions was not surprising, given that fusidic acid is not authorised for use in dogs in the U.S.A.</w:t>
      </w:r>
      <w:r>
        <w:t xml:space="preserve"> In addition, the overall low prevalence of resistance genes in this collection of 578 mostly clinical staphylococcal isolates, and the corresponding low MICs for fusidic acid and chlorhexidine, indicate good continued antibacterial efficacy of these agents. Further clinical studies to provide good evidence for</w:t>
      </w:r>
      <w:r w:rsidRPr="00060A5C">
        <w:rPr>
          <w:i/>
        </w:rPr>
        <w:t xml:space="preserve"> in vivo </w:t>
      </w:r>
      <w:r>
        <w:t xml:space="preserve">efficacy of these antimicrobials in canine surface and superficial pyoderma should be encouraged. </w:t>
      </w:r>
      <w:r w:rsidRPr="00B42907">
        <w:t>F</w:t>
      </w:r>
      <w:r>
        <w:t xml:space="preserve">urther investigations are now needed to elucidate further the role of </w:t>
      </w:r>
      <w:r>
        <w:rPr>
          <w:i/>
        </w:rPr>
        <w:t xml:space="preserve">fusC, qacA/B </w:t>
      </w:r>
      <w:r>
        <w:t xml:space="preserve">and </w:t>
      </w:r>
      <w:r>
        <w:rPr>
          <w:i/>
        </w:rPr>
        <w:t xml:space="preserve">smr, </w:t>
      </w:r>
      <w:r>
        <w:t xml:space="preserve">and to investigate for novel resistance characteristics that may be of relevance to facilitate future resistance monitoring and to guide appropriate use of these valuable agents. </w:t>
      </w:r>
    </w:p>
    <w:p w14:paraId="31055E38" w14:textId="0F53E591" w:rsidR="004C39F9" w:rsidRDefault="004C39F9" w:rsidP="004C39F9">
      <w:pPr>
        <w:spacing w:after="100" w:afterAutospacing="1" w:line="480" w:lineRule="auto"/>
      </w:pPr>
    </w:p>
    <w:p w14:paraId="209AA6A6" w14:textId="6F79FDB0" w:rsidR="00B0711C" w:rsidRDefault="00B0711C" w:rsidP="004C39F9">
      <w:pPr>
        <w:spacing w:after="100" w:afterAutospacing="1" w:line="480" w:lineRule="auto"/>
        <w:rPr>
          <w:b/>
        </w:rPr>
      </w:pPr>
      <w:r w:rsidRPr="00C953CA">
        <w:rPr>
          <w:b/>
          <w:sz w:val="32"/>
        </w:rPr>
        <w:t>Abbreviations</w:t>
      </w:r>
    </w:p>
    <w:p w14:paraId="36063A15" w14:textId="30230D37" w:rsidR="00B0711C" w:rsidRPr="00B0711C" w:rsidRDefault="00B0711C" w:rsidP="004C39F9">
      <w:pPr>
        <w:spacing w:after="100" w:afterAutospacing="1" w:line="480" w:lineRule="auto"/>
      </w:pPr>
      <w:r w:rsidRPr="00B0711C">
        <w:t xml:space="preserve">CHX – chlorhexidine; FA – fusidic acid; </w:t>
      </w:r>
      <w:r>
        <w:t>MIC – minimum inhibitory concentration; MR – methicillin-resistant; MS – methicillin-susceptible; NUK – North U.K.;</w:t>
      </w:r>
      <w:r w:rsidR="00C953CA">
        <w:t xml:space="preserve"> PCR – polymerase chain reaction;</w:t>
      </w:r>
      <w:r>
        <w:t xml:space="preserve"> PFGE – pulse</w:t>
      </w:r>
      <w:r w:rsidR="00C953CA">
        <w:t>d</w:t>
      </w:r>
      <w:r>
        <w:t xml:space="preserve">-field gel electrophoresis; SA – </w:t>
      </w:r>
      <w:r>
        <w:rPr>
          <w:i/>
        </w:rPr>
        <w:t xml:space="preserve">Staphylococcus aureus; </w:t>
      </w:r>
      <w:r>
        <w:t xml:space="preserve">SEUK – South-East U.K.; SP – </w:t>
      </w:r>
      <w:r>
        <w:rPr>
          <w:i/>
        </w:rPr>
        <w:t xml:space="preserve">Staphylococcus pseudintermedius; </w:t>
      </w:r>
    </w:p>
    <w:p w14:paraId="4A3A1D3D" w14:textId="77777777" w:rsidR="00B0711C" w:rsidRPr="004C39F9" w:rsidRDefault="00B0711C" w:rsidP="004C39F9">
      <w:pPr>
        <w:spacing w:after="100" w:afterAutospacing="1" w:line="480" w:lineRule="auto"/>
      </w:pPr>
    </w:p>
    <w:p w14:paraId="3F32C533" w14:textId="6360BEC2" w:rsidR="004C39F9" w:rsidRPr="002C539F" w:rsidRDefault="004C39F9" w:rsidP="004C39F9">
      <w:pPr>
        <w:spacing w:after="100" w:afterAutospacing="1" w:line="480" w:lineRule="auto"/>
        <w:rPr>
          <w:b/>
          <w:sz w:val="32"/>
        </w:rPr>
      </w:pPr>
      <w:r w:rsidRPr="002C539F">
        <w:rPr>
          <w:b/>
          <w:sz w:val="32"/>
        </w:rPr>
        <w:t>Methods</w:t>
      </w:r>
    </w:p>
    <w:p w14:paraId="19C402C8" w14:textId="77777777" w:rsidR="004C39F9" w:rsidRPr="00646BEA" w:rsidRDefault="004C39F9" w:rsidP="004C39F9">
      <w:pPr>
        <w:spacing w:after="100" w:afterAutospacing="1" w:line="480" w:lineRule="auto"/>
        <w:rPr>
          <w:b/>
        </w:rPr>
      </w:pPr>
      <w:r w:rsidRPr="00646BEA">
        <w:rPr>
          <w:b/>
        </w:rPr>
        <w:t>Bacterial isolates</w:t>
      </w:r>
    </w:p>
    <w:p w14:paraId="47E716EA" w14:textId="431507F8" w:rsidR="008648E4" w:rsidRDefault="004C39F9" w:rsidP="004C39F9">
      <w:pPr>
        <w:spacing w:after="100" w:afterAutospacing="1" w:line="480" w:lineRule="auto"/>
      </w:pPr>
      <w:r>
        <w:t xml:space="preserve">A total of 578 coagulase-positive staphylococci (100 </w:t>
      </w:r>
      <w:r w:rsidRPr="0093182E">
        <w:rPr>
          <w:i/>
        </w:rPr>
        <w:t>S. aureus</w:t>
      </w:r>
      <w:r w:rsidRPr="0093182E">
        <w:t xml:space="preserve"> </w:t>
      </w:r>
      <w:r>
        <w:t xml:space="preserve">obtained in 2005 – 07 and 478 </w:t>
      </w:r>
      <w:r w:rsidRPr="0093182E">
        <w:rPr>
          <w:i/>
        </w:rPr>
        <w:t xml:space="preserve">S. pseudintermedius </w:t>
      </w:r>
      <w:r>
        <w:t>obtained in 2010 – 16) isolated from dogs were included from four countries: U.K. (split into South-East [SEUK] and North [NUK] as previously defined)</w:t>
      </w:r>
      <w:r w:rsidR="0032412F">
        <w:t xml:space="preserve"> [49]</w:t>
      </w:r>
      <w:r>
        <w:t>, Germany,</w:t>
      </w:r>
      <w:r w:rsidR="00C47EFE">
        <w:t xml:space="preserve"> Finland and the U.S.A. (Table 4</w:t>
      </w:r>
      <w:r>
        <w:t xml:space="preserve">). </w:t>
      </w:r>
    </w:p>
    <w:p w14:paraId="0FAB708D" w14:textId="7891E0A4" w:rsidR="004C39F9" w:rsidRPr="00C16537" w:rsidRDefault="004C39F9" w:rsidP="004C39F9">
      <w:pPr>
        <w:spacing w:after="100" w:afterAutospacing="1" w:line="480" w:lineRule="auto"/>
      </w:pPr>
      <w:r>
        <w:t>All isolates were collected from canine infections (with the exception of SEUK MSSP, which were both clinical</w:t>
      </w:r>
      <w:r w:rsidR="00C47EFE">
        <w:t xml:space="preserve"> and carriage isolates) (Table 4</w:t>
      </w:r>
      <w:r>
        <w:t xml:space="preserve">). In order to investigate isolates with a wide range of fusidic acid susceptibility, an extra 40 clinical MRSP from Finland were included (Finnish FA-R MRSP), which had been determined as fusidic acid-resistant by disk diffusion testing </w:t>
      </w:r>
      <w:r w:rsidR="004C7F7F">
        <w:t xml:space="preserve">(by MR and TG) </w:t>
      </w:r>
      <w:r>
        <w:t>interpreted using th</w:t>
      </w:r>
      <w:r w:rsidR="00C47EFE">
        <w:t>e Finnish FiRe criteria (Table 4</w:t>
      </w:r>
      <w:r>
        <w:t>)</w:t>
      </w:r>
      <w:r w:rsidR="0032412F">
        <w:t xml:space="preserve"> [66</w:t>
      </w:r>
      <w:r w:rsidR="00C35606">
        <w:t>,67</w:t>
      </w:r>
      <w:r w:rsidR="0032412F">
        <w:t>]</w:t>
      </w:r>
      <w:r w:rsidRPr="00845CA7">
        <w:t>.</w:t>
      </w:r>
      <w:r>
        <w:t xml:space="preserve"> Species identification and methicillin resistance were confirmed </w:t>
      </w:r>
      <w:r w:rsidR="004C7F7F">
        <w:t xml:space="preserve">(by SMF and AL) </w:t>
      </w:r>
      <w:r>
        <w:t>by both phenotypic</w:t>
      </w:r>
      <w:r w:rsidR="0032412F">
        <w:t xml:space="preserve"> [6</w:t>
      </w:r>
      <w:r w:rsidR="00C35606">
        <w:t>8</w:t>
      </w:r>
      <w:r w:rsidR="0032412F">
        <w:t>]</w:t>
      </w:r>
      <w:r>
        <w:t xml:space="preserve"> and genotypic methods (for species-specific </w:t>
      </w:r>
      <w:r w:rsidRPr="0093182E">
        <w:rPr>
          <w:i/>
        </w:rPr>
        <w:t>nuc</w:t>
      </w:r>
      <w:r w:rsidRPr="0093182E">
        <w:t xml:space="preserve"> </w:t>
      </w:r>
      <w:r>
        <w:t xml:space="preserve">and methicillin resistance </w:t>
      </w:r>
      <w:r w:rsidRPr="0093182E">
        <w:rPr>
          <w:i/>
        </w:rPr>
        <w:t>mecA</w:t>
      </w:r>
      <w:r>
        <w:t>)</w:t>
      </w:r>
      <w:r w:rsidR="0032412F">
        <w:t xml:space="preserve"> [6</w:t>
      </w:r>
      <w:r w:rsidR="00C35606">
        <w:t>9</w:t>
      </w:r>
      <w:r w:rsidR="0032412F">
        <w:t>-7</w:t>
      </w:r>
      <w:r w:rsidR="00C35606">
        <w:t>1</w:t>
      </w:r>
      <w:r w:rsidR="0032412F">
        <w:t>]</w:t>
      </w:r>
      <w:r>
        <w:t>.</w:t>
      </w:r>
    </w:p>
    <w:p w14:paraId="3F09860C" w14:textId="77777777" w:rsidR="004C39F9" w:rsidRDefault="004C39F9" w:rsidP="004C39F9">
      <w:pPr>
        <w:spacing w:after="100" w:afterAutospacing="1" w:line="480" w:lineRule="auto"/>
        <w:rPr>
          <w:b/>
        </w:rPr>
      </w:pPr>
      <w:r>
        <w:rPr>
          <w:b/>
        </w:rPr>
        <w:t>MIC determination</w:t>
      </w:r>
    </w:p>
    <w:p w14:paraId="6B68565E" w14:textId="0DF1E9BF" w:rsidR="004C39F9" w:rsidRPr="007A6367" w:rsidRDefault="00A26521" w:rsidP="004C39F9">
      <w:pPr>
        <w:spacing w:after="100" w:afterAutospacing="1" w:line="480" w:lineRule="auto"/>
      </w:pPr>
      <w:r>
        <w:t>Fusidic acid and chlorhexidine MICs were determined in duplicate using an agar dilution method (CLSI VET01-A4) [7</w:t>
      </w:r>
      <w:r w:rsidR="00C35606">
        <w:t>2</w:t>
      </w:r>
      <w:r>
        <w:t xml:space="preserve">]. Fusidic acid and chlorhexidine MICs for isolates from SEUK and Germany, and chlorhexidine MICS for NUK isolates, have been reported previously [49,50]. </w:t>
      </w:r>
      <w:r w:rsidR="004C39F9">
        <w:t>Stock solutions of fusidic acid sodium salt (F0881, Sigma-Aldrich Inc., Gillingham, U.K.) and chlorhexidine (C9394, Sigma-Aldrich Inc.) at 10 x final concentration, adjusted for drug potency, were prepared in distilled water</w:t>
      </w:r>
      <w:r w:rsidR="0032412F">
        <w:t xml:space="preserve"> [7</w:t>
      </w:r>
      <w:r w:rsidR="00C35606">
        <w:t>2</w:t>
      </w:r>
      <w:r w:rsidR="0032412F">
        <w:t>]</w:t>
      </w:r>
      <w:r w:rsidR="004C39F9">
        <w:t>. Final concentrations of the active fraction ranged from 0.015 – 64 mg/L for fusidic acid and 0.125 – 64 mg/L for chlorhexidine</w:t>
      </w:r>
      <w:r w:rsidR="00884932">
        <w:t>, based on previous experience [49,50]</w:t>
      </w:r>
      <w:r w:rsidR="004C39F9">
        <w:t xml:space="preserve">. Discrepancy between the duplicate MICs was accepted, provided they varied by only one dilution; in these cases, the higher value was recorded as the final MIC as a conservative measure. For quality control purposes </w:t>
      </w:r>
      <w:r w:rsidR="004C39F9">
        <w:rPr>
          <w:i/>
        </w:rPr>
        <w:t xml:space="preserve">S. aureus </w:t>
      </w:r>
      <w:r w:rsidR="004C39F9">
        <w:t xml:space="preserve">subsp. </w:t>
      </w:r>
      <w:r w:rsidR="004C39F9">
        <w:rPr>
          <w:i/>
        </w:rPr>
        <w:t xml:space="preserve">aureus </w:t>
      </w:r>
      <w:r w:rsidR="004C39F9">
        <w:t xml:space="preserve">(ATCC® 25923™), </w:t>
      </w:r>
      <w:r w:rsidR="004C39F9">
        <w:rPr>
          <w:i/>
        </w:rPr>
        <w:t xml:space="preserve">S. pseudintermedius </w:t>
      </w:r>
      <w:r w:rsidR="004C39F9">
        <w:t xml:space="preserve">(LMG 22219) and </w:t>
      </w:r>
      <w:r w:rsidR="004C39F9">
        <w:rPr>
          <w:i/>
        </w:rPr>
        <w:t xml:space="preserve">S. intermedius </w:t>
      </w:r>
      <w:r w:rsidR="004C39F9">
        <w:t>(ATCC® 29663™) were included.</w:t>
      </w:r>
      <w:r w:rsidR="00402D18">
        <w:t xml:space="preserve"> Isolates were defined as resistant or susceptible to fusidic acid using EUCAST breakpoints </w:t>
      </w:r>
      <w:r w:rsidR="00FA719E">
        <w:t xml:space="preserve">[48]; chlorhexidine breakpoints remain unreported.  </w:t>
      </w:r>
    </w:p>
    <w:p w14:paraId="1CC65674" w14:textId="77777777" w:rsidR="004C39F9" w:rsidRPr="00646BEA" w:rsidRDefault="004C39F9" w:rsidP="004C39F9">
      <w:pPr>
        <w:spacing w:after="100" w:afterAutospacing="1" w:line="480" w:lineRule="auto"/>
        <w:rPr>
          <w:b/>
        </w:rPr>
      </w:pPr>
      <w:r>
        <w:rPr>
          <w:b/>
        </w:rPr>
        <w:t>Identification of resistance genes and mutations</w:t>
      </w:r>
    </w:p>
    <w:p w14:paraId="7FEF4ED1" w14:textId="25C45BDA" w:rsidR="004C39F9" w:rsidRPr="008F2919" w:rsidRDefault="004C39F9" w:rsidP="004C39F9">
      <w:pPr>
        <w:spacing w:after="100" w:afterAutospacing="1" w:line="480" w:lineRule="auto"/>
        <w:rPr>
          <w:vertAlign w:val="superscript"/>
        </w:rPr>
      </w:pPr>
      <w:r>
        <w:t xml:space="preserve">Extraction of DNA was performed using a commercial purification kit (Bacterial Genomic DNA Purification kit, Edge BioSystems, Gaithersburg, MD, U.S.A). Each isolate’s DNA was screened by PCR for the presence of </w:t>
      </w:r>
      <w:r>
        <w:rPr>
          <w:i/>
        </w:rPr>
        <w:t>fusC</w:t>
      </w:r>
      <w:r w:rsidR="0032412F">
        <w:rPr>
          <w:i/>
        </w:rPr>
        <w:t xml:space="preserve"> </w:t>
      </w:r>
      <w:r w:rsidR="0032412F">
        <w:t>[34]</w:t>
      </w:r>
      <w:r>
        <w:rPr>
          <w:i/>
        </w:rPr>
        <w:t>, fusD</w:t>
      </w:r>
      <w:r w:rsidR="0032412F">
        <w:rPr>
          <w:i/>
        </w:rPr>
        <w:t xml:space="preserve"> </w:t>
      </w:r>
      <w:r w:rsidR="0032412F">
        <w:t>[34]</w:t>
      </w:r>
      <w:r>
        <w:rPr>
          <w:i/>
        </w:rPr>
        <w:t>, qacA/B</w:t>
      </w:r>
      <w:r w:rsidR="0032412F">
        <w:rPr>
          <w:i/>
        </w:rPr>
        <w:t xml:space="preserve"> </w:t>
      </w:r>
      <w:r w:rsidR="0032412F" w:rsidRPr="0032412F">
        <w:t>[</w:t>
      </w:r>
      <w:r w:rsidR="0032412F">
        <w:t>7</w:t>
      </w:r>
      <w:r w:rsidR="00C35606">
        <w:t>3</w:t>
      </w:r>
      <w:r w:rsidR="0032412F">
        <w:t>]</w:t>
      </w:r>
      <w:r>
        <w:rPr>
          <w:i/>
        </w:rPr>
        <w:t xml:space="preserve"> </w:t>
      </w:r>
      <w:r>
        <w:t xml:space="preserve">and </w:t>
      </w:r>
      <w:r>
        <w:rPr>
          <w:i/>
        </w:rPr>
        <w:t>smr</w:t>
      </w:r>
      <w:r w:rsidR="0032412F">
        <w:rPr>
          <w:i/>
        </w:rPr>
        <w:t xml:space="preserve"> </w:t>
      </w:r>
      <w:r w:rsidR="0032412F">
        <w:t>[7</w:t>
      </w:r>
      <w:r w:rsidR="00C35606">
        <w:t>4]</w:t>
      </w:r>
      <w:r>
        <w:rPr>
          <w:vertAlign w:val="superscript"/>
        </w:rPr>
        <w:t xml:space="preserve"> </w:t>
      </w:r>
      <w:r>
        <w:t xml:space="preserve">using primers and methods as previously described. To detect </w:t>
      </w:r>
      <w:r w:rsidRPr="00596FE9">
        <w:rPr>
          <w:i/>
        </w:rPr>
        <w:t>fusB</w:t>
      </w:r>
      <w:r>
        <w:t xml:space="preserve">, </w:t>
      </w:r>
      <w:r w:rsidR="00BC56F0">
        <w:t>a previously described</w:t>
      </w:r>
      <w:r w:rsidR="00774B18">
        <w:t xml:space="preserve"> PCR reaction</w:t>
      </w:r>
      <w:r w:rsidR="0032412F">
        <w:t xml:space="preserve"> [57]</w:t>
      </w:r>
      <w:r w:rsidRPr="002A43CC">
        <w:t xml:space="preserve"> </w:t>
      </w:r>
      <w:r>
        <w:t>was optimised by the addition of 1.5mM MgCl</w:t>
      </w:r>
      <w:r w:rsidRPr="00C84BFF">
        <w:rPr>
          <w:vertAlign w:val="subscript"/>
        </w:rPr>
        <w:t>2</w:t>
      </w:r>
      <w:r>
        <w:t xml:space="preserve"> to the PCR mastermix (total 16.5mM MgCl</w:t>
      </w:r>
      <w:r w:rsidRPr="00C84BFF">
        <w:rPr>
          <w:vertAlign w:val="subscript"/>
        </w:rPr>
        <w:t>2</w:t>
      </w:r>
      <w:r>
        <w:t>).</w:t>
      </w:r>
    </w:p>
    <w:p w14:paraId="1AAFAE5A" w14:textId="55EA0FBC" w:rsidR="004C39F9" w:rsidRDefault="004C39F9" w:rsidP="004C39F9">
      <w:pPr>
        <w:spacing w:after="100" w:afterAutospacing="1" w:line="480" w:lineRule="auto"/>
      </w:pPr>
      <w:r>
        <w:t xml:space="preserve">In isolates with fusidic acid MIC </w:t>
      </w:r>
      <w:r>
        <w:rPr>
          <w:rFonts w:cstheme="minorHAnsi"/>
        </w:rPr>
        <w:t>≥</w:t>
      </w:r>
      <w:r>
        <w:t xml:space="preserve"> 64 mg/L, </w:t>
      </w:r>
      <w:r w:rsidRPr="6F62DA78">
        <w:rPr>
          <w:i/>
          <w:iCs/>
        </w:rPr>
        <w:t xml:space="preserve">fusA </w:t>
      </w:r>
      <w:r>
        <w:t xml:space="preserve">and </w:t>
      </w:r>
      <w:r w:rsidRPr="6F62DA78">
        <w:rPr>
          <w:i/>
          <w:iCs/>
        </w:rPr>
        <w:t xml:space="preserve">fusE </w:t>
      </w:r>
      <w:r>
        <w:rPr>
          <w:iCs/>
        </w:rPr>
        <w:t>were amplified by PCR and then sequenced</w:t>
      </w:r>
      <w:r w:rsidRPr="00371B7D">
        <w:t xml:space="preserve"> </w:t>
      </w:r>
      <w:r>
        <w:t xml:space="preserve">using the Sanger method (Source BioScience, Nottingham, U.K.) to identify mutations. A previously described method was used for PCR </w:t>
      </w:r>
      <w:r w:rsidR="001B423D">
        <w:t xml:space="preserve">amplification </w:t>
      </w:r>
      <w:r>
        <w:t>of</w:t>
      </w:r>
      <w:r w:rsidRPr="008964BB">
        <w:rPr>
          <w:i/>
        </w:rPr>
        <w:t xml:space="preserve"> </w:t>
      </w:r>
      <w:r>
        <w:rPr>
          <w:i/>
        </w:rPr>
        <w:t>fusE</w:t>
      </w:r>
      <w:r w:rsidR="0032412F">
        <w:rPr>
          <w:i/>
        </w:rPr>
        <w:t xml:space="preserve"> </w:t>
      </w:r>
      <w:r w:rsidR="0032412F">
        <w:t>[33]</w:t>
      </w:r>
      <w:r>
        <w:rPr>
          <w:i/>
        </w:rPr>
        <w:t>.</w:t>
      </w:r>
      <w:r>
        <w:t xml:space="preserve"> </w:t>
      </w:r>
      <w:r w:rsidR="001B423D">
        <w:t xml:space="preserve">The </w:t>
      </w:r>
      <w:r>
        <w:t xml:space="preserve">PCR </w:t>
      </w:r>
      <w:r w:rsidR="00BC56F0">
        <w:t xml:space="preserve">for </w:t>
      </w:r>
      <w:r>
        <w:t xml:space="preserve">amplification of </w:t>
      </w:r>
      <w:r>
        <w:rPr>
          <w:i/>
        </w:rPr>
        <w:t>fusA</w:t>
      </w:r>
      <w:r w:rsidR="0032412F">
        <w:rPr>
          <w:i/>
        </w:rPr>
        <w:t xml:space="preserve"> </w:t>
      </w:r>
      <w:r w:rsidR="0032412F">
        <w:t>[</w:t>
      </w:r>
      <w:r w:rsidRPr="0032412F">
        <w:t>34</w:t>
      </w:r>
      <w:r w:rsidR="0032412F" w:rsidRPr="0032412F">
        <w:t>]</w:t>
      </w:r>
      <w:r>
        <w:rPr>
          <w:i/>
        </w:rPr>
        <w:t xml:space="preserve"> </w:t>
      </w:r>
      <w:r>
        <w:t xml:space="preserve">was optimised by increasing the elongation time from 2 to 3 </w:t>
      </w:r>
      <w:r w:rsidRPr="004F7336">
        <w:rPr>
          <w:color w:val="000000" w:themeColor="text1"/>
        </w:rPr>
        <w:t xml:space="preserve">min. </w:t>
      </w:r>
      <w:r w:rsidR="004F16CA" w:rsidRPr="004F7336">
        <w:rPr>
          <w:color w:val="000000" w:themeColor="text1"/>
        </w:rPr>
        <w:t xml:space="preserve">Four forward and four reverse primers, comprising six custom designed using the </w:t>
      </w:r>
      <w:r w:rsidR="004F16CA" w:rsidRPr="004F7336">
        <w:rPr>
          <w:i/>
          <w:color w:val="000000" w:themeColor="text1"/>
        </w:rPr>
        <w:t>S. pseudintermedius</w:t>
      </w:r>
      <w:r w:rsidR="004F16CA" w:rsidRPr="004F7336">
        <w:rPr>
          <w:color w:val="000000" w:themeColor="text1"/>
        </w:rPr>
        <w:t xml:space="preserve"> ED99 genome sequence [56], and two previously described primers [34] were used for sequencing of the complete gene (Table 2)</w:t>
      </w:r>
      <w:r w:rsidRPr="004F7336">
        <w:rPr>
          <w:i/>
          <w:color w:val="000000" w:themeColor="text1"/>
        </w:rPr>
        <w:t xml:space="preserve">. </w:t>
      </w:r>
      <w:r w:rsidRPr="004F7336">
        <w:rPr>
          <w:color w:val="000000" w:themeColor="text1"/>
        </w:rPr>
        <w:t xml:space="preserve">Nucleotide and translated amino acid sequences were aligned to control </w:t>
      </w:r>
      <w:r w:rsidRPr="004F7336">
        <w:rPr>
          <w:i/>
          <w:color w:val="000000" w:themeColor="text1"/>
        </w:rPr>
        <w:t>S. aureus</w:t>
      </w:r>
      <w:r w:rsidRPr="004F7336">
        <w:rPr>
          <w:color w:val="000000" w:themeColor="text1"/>
        </w:rPr>
        <w:t xml:space="preserve"> (ATCC</w:t>
      </w:r>
      <w:r w:rsidRPr="004F7336">
        <w:rPr>
          <w:rFonts w:cstheme="minorHAnsi"/>
          <w:color w:val="000000" w:themeColor="text1"/>
        </w:rPr>
        <w:t>®</w:t>
      </w:r>
      <w:r w:rsidRPr="004F7336">
        <w:rPr>
          <w:color w:val="000000" w:themeColor="text1"/>
        </w:rPr>
        <w:t xml:space="preserve"> </w:t>
      </w:r>
      <w:r>
        <w:t>29663</w:t>
      </w:r>
      <w:r>
        <w:rPr>
          <w:rFonts w:cstheme="minorHAnsi"/>
        </w:rPr>
        <w:t>™</w:t>
      </w:r>
      <w:r>
        <w:t xml:space="preserve">) and </w:t>
      </w:r>
      <w:r>
        <w:rPr>
          <w:i/>
        </w:rPr>
        <w:t>S. (pseud)intermedius</w:t>
      </w:r>
      <w:r>
        <w:t xml:space="preserve"> (ATCC</w:t>
      </w:r>
      <w:r>
        <w:rPr>
          <w:rFonts w:cstheme="minorHAnsi"/>
        </w:rPr>
        <w:t>®</w:t>
      </w:r>
      <w:r>
        <w:t xml:space="preserve"> 25923</w:t>
      </w:r>
      <w:r>
        <w:rPr>
          <w:rFonts w:cstheme="minorHAnsi"/>
        </w:rPr>
        <w:t>™</w:t>
      </w:r>
      <w:r>
        <w:t xml:space="preserve">, LMG 22219) </w:t>
      </w:r>
      <w:r>
        <w:rPr>
          <w:i/>
        </w:rPr>
        <w:t xml:space="preserve">fusA / fusE </w:t>
      </w:r>
      <w:r>
        <w:t>sequences using EMDL-EBI Clustal Omega Multiple Sequence Alignment Tool</w:t>
      </w:r>
      <w:r w:rsidR="0032412F" w:rsidRPr="00C35606">
        <w:t xml:space="preserve"> </w:t>
      </w:r>
      <w:r w:rsidR="00C35606">
        <w:t>[75</w:t>
      </w:r>
      <w:r w:rsidR="0032412F">
        <w:t>]</w:t>
      </w:r>
      <w:r>
        <w:t xml:space="preserve"> and BLAST analyses </w:t>
      </w:r>
      <w:r w:rsidRPr="00B0711C">
        <w:rPr>
          <w:color w:val="000000" w:themeColor="text1"/>
        </w:rPr>
        <w:t>(</w:t>
      </w:r>
      <w:r w:rsidRPr="00B0711C">
        <w:rPr>
          <w:rStyle w:val="Hyperlink"/>
          <w:color w:val="000000" w:themeColor="text1"/>
          <w:u w:val="none"/>
        </w:rPr>
        <w:t>http://www.ncbi.nlm.nih.gov/blast/</w:t>
      </w:r>
      <w:r w:rsidRPr="00B0711C">
        <w:rPr>
          <w:color w:val="000000" w:themeColor="text1"/>
        </w:rPr>
        <w:t xml:space="preserve">). </w:t>
      </w:r>
    </w:p>
    <w:p w14:paraId="60C06113" w14:textId="39FB0491" w:rsidR="004C39F9" w:rsidRPr="00887664" w:rsidRDefault="004C39F9" w:rsidP="004C39F9">
      <w:pPr>
        <w:spacing w:after="100" w:afterAutospacing="1" w:line="480" w:lineRule="auto"/>
      </w:pPr>
      <w:r>
        <w:t xml:space="preserve">Positive controls for each PCR comprised DNA extracts from strains carrying the desired genes.  These were </w:t>
      </w:r>
      <w:r>
        <w:rPr>
          <w:i/>
        </w:rPr>
        <w:t xml:space="preserve">fusA/fusE, S. </w:t>
      </w:r>
      <w:r w:rsidRPr="00B42907">
        <w:rPr>
          <w:i/>
        </w:rPr>
        <w:t xml:space="preserve">aureus </w:t>
      </w:r>
      <w:r w:rsidRPr="00B42907">
        <w:t xml:space="preserve">subsp. </w:t>
      </w:r>
      <w:r w:rsidRPr="00B42907">
        <w:rPr>
          <w:i/>
        </w:rPr>
        <w:t xml:space="preserve">aureus </w:t>
      </w:r>
      <w:r w:rsidRPr="00B42907">
        <w:t xml:space="preserve">[ATCC® 25923™] and </w:t>
      </w:r>
      <w:r w:rsidRPr="00B42907">
        <w:rPr>
          <w:i/>
        </w:rPr>
        <w:t xml:space="preserve">S. intermedius </w:t>
      </w:r>
      <w:r w:rsidRPr="00B42907">
        <w:t xml:space="preserve">[ATCC® 29663™]; </w:t>
      </w:r>
      <w:r w:rsidRPr="00B42907">
        <w:rPr>
          <w:i/>
        </w:rPr>
        <w:t xml:space="preserve">fusB, S. aureus </w:t>
      </w:r>
      <w:r>
        <w:t>B30</w:t>
      </w:r>
      <w:r w:rsidR="00C35606">
        <w:t xml:space="preserve"> [76</w:t>
      </w:r>
      <w:r w:rsidR="0032412F">
        <w:t>]</w:t>
      </w:r>
      <w:r w:rsidRPr="00B42907">
        <w:t xml:space="preserve">; </w:t>
      </w:r>
      <w:r w:rsidRPr="00B42907">
        <w:rPr>
          <w:i/>
        </w:rPr>
        <w:t>fusC,</w:t>
      </w:r>
      <w:r>
        <w:rPr>
          <w:i/>
        </w:rPr>
        <w:t xml:space="preserve"> S. aureus </w:t>
      </w:r>
      <w:r>
        <w:t>MSSA 476</w:t>
      </w:r>
      <w:r w:rsidR="00C35606">
        <w:t xml:space="preserve"> [77</w:t>
      </w:r>
      <w:r w:rsidR="0032412F">
        <w:t>]</w:t>
      </w:r>
      <w:r>
        <w:t xml:space="preserve">; </w:t>
      </w:r>
      <w:r>
        <w:rPr>
          <w:i/>
        </w:rPr>
        <w:t xml:space="preserve">fusD, S. saprophyticus </w:t>
      </w:r>
      <w:r>
        <w:t xml:space="preserve">subsp. </w:t>
      </w:r>
      <w:r>
        <w:rPr>
          <w:i/>
        </w:rPr>
        <w:t xml:space="preserve">saprophyticus </w:t>
      </w:r>
      <w:r>
        <w:t xml:space="preserve">[ATCC® 15305™]; </w:t>
      </w:r>
      <w:r>
        <w:rPr>
          <w:i/>
        </w:rPr>
        <w:t xml:space="preserve">qacA/B, S. aureus </w:t>
      </w:r>
      <w:r>
        <w:t>Mu50</w:t>
      </w:r>
      <w:r w:rsidR="00C35606">
        <w:t xml:space="preserve"> [78</w:t>
      </w:r>
      <w:r w:rsidR="0032412F">
        <w:t>]</w:t>
      </w:r>
      <w:r>
        <w:t xml:space="preserve">; </w:t>
      </w:r>
      <w:r>
        <w:rPr>
          <w:i/>
        </w:rPr>
        <w:t xml:space="preserve">smr, S. aureus </w:t>
      </w:r>
      <w:r>
        <w:t>E37</w:t>
      </w:r>
      <w:r w:rsidR="0032412F">
        <w:t xml:space="preserve"> [7</w:t>
      </w:r>
      <w:r w:rsidR="00C35606">
        <w:t>6</w:t>
      </w:r>
      <w:r w:rsidR="0032412F">
        <w:t>]</w:t>
      </w:r>
      <w:r>
        <w:t xml:space="preserve">). </w:t>
      </w:r>
    </w:p>
    <w:p w14:paraId="4F590073" w14:textId="77777777" w:rsidR="004C39F9" w:rsidRPr="00DA0664" w:rsidRDefault="004C39F9" w:rsidP="004C39F9">
      <w:pPr>
        <w:spacing w:after="100" w:afterAutospacing="1" w:line="480" w:lineRule="auto"/>
        <w:rPr>
          <w:b/>
        </w:rPr>
      </w:pPr>
      <w:r w:rsidRPr="00DA0664">
        <w:rPr>
          <w:b/>
        </w:rPr>
        <w:t>Statistical analysis</w:t>
      </w:r>
    </w:p>
    <w:p w14:paraId="43E53F2E" w14:textId="135EDB1F" w:rsidR="002B3DFE" w:rsidRPr="00BA4349" w:rsidRDefault="002B3DFE" w:rsidP="002B3DFE">
      <w:pPr>
        <w:spacing w:after="100" w:afterAutospacing="1" w:line="480" w:lineRule="auto"/>
        <w:rPr>
          <w:sz w:val="20"/>
        </w:rPr>
      </w:pPr>
      <w:r w:rsidRPr="00BA4349">
        <w:rPr>
          <w:szCs w:val="24"/>
        </w:rPr>
        <w:t xml:space="preserve">The MICs (dependent variable) for fusidic acid and chlorhexidine were compared between MRSP and MSSP (independent variables) within each geographical region using the Kruskal-Wallis test.  Since MRSP and MSSP MICs did not vary within any of the regions, </w:t>
      </w:r>
      <w:r w:rsidRPr="00BA4349">
        <w:rPr>
          <w:i/>
          <w:szCs w:val="24"/>
        </w:rPr>
        <w:t xml:space="preserve">S. pseudintermedius </w:t>
      </w:r>
      <w:r w:rsidRPr="00BA4349">
        <w:rPr>
          <w:szCs w:val="24"/>
        </w:rPr>
        <w:t xml:space="preserve">MICs (dependent variable) were subsequently compared between regions (independent variable) using the Kruskal-Wallis tests with </w:t>
      </w:r>
      <w:r w:rsidRPr="00BA4349">
        <w:rPr>
          <w:i/>
          <w:szCs w:val="24"/>
        </w:rPr>
        <w:t>post hoc</w:t>
      </w:r>
      <w:r w:rsidRPr="00BA4349">
        <w:rPr>
          <w:szCs w:val="24"/>
        </w:rPr>
        <w:t xml:space="preserve"> comparisons using Mann-Whitney U-tests with Holm-Bonferroni adjustments.  These statistical analyses were performed using SPSS version 21 (IBM UK Ltd, Portsmouth, U.K.), with </w:t>
      </w:r>
      <w:r w:rsidRPr="00BA4349">
        <w:rPr>
          <w:i/>
          <w:szCs w:val="24"/>
        </w:rPr>
        <w:t xml:space="preserve">P </w:t>
      </w:r>
      <w:r w:rsidRPr="00BA4349">
        <w:rPr>
          <w:szCs w:val="24"/>
        </w:rPr>
        <w:t>&lt; 0.05 denoting significance.</w:t>
      </w:r>
    </w:p>
    <w:p w14:paraId="171B3B7A" w14:textId="16CA96CD" w:rsidR="001E1F45" w:rsidRDefault="001E1F45" w:rsidP="00B35037">
      <w:pPr>
        <w:spacing w:after="100" w:afterAutospacing="1" w:line="480" w:lineRule="auto"/>
      </w:pPr>
    </w:p>
    <w:p w14:paraId="7507F81B" w14:textId="4C6B6A58" w:rsidR="00AE032F" w:rsidRPr="00BA4349" w:rsidRDefault="00AE032F" w:rsidP="00B35037">
      <w:pPr>
        <w:spacing w:after="100" w:afterAutospacing="1" w:line="480" w:lineRule="auto"/>
        <w:rPr>
          <w:b/>
        </w:rPr>
      </w:pPr>
      <w:r w:rsidRPr="00BA4349">
        <w:rPr>
          <w:b/>
          <w:sz w:val="32"/>
        </w:rPr>
        <w:t>Declarations</w:t>
      </w:r>
    </w:p>
    <w:p w14:paraId="53462FBF" w14:textId="77777777" w:rsidR="004C39F9" w:rsidRDefault="004C39F9" w:rsidP="00B35037">
      <w:pPr>
        <w:spacing w:after="100" w:afterAutospacing="1" w:line="480" w:lineRule="auto"/>
        <w:rPr>
          <w:b/>
        </w:rPr>
      </w:pPr>
      <w:r w:rsidRPr="004C39F9">
        <w:rPr>
          <w:b/>
        </w:rPr>
        <w:t>Ethics approval and consent to participate</w:t>
      </w:r>
    </w:p>
    <w:p w14:paraId="256FFFBE" w14:textId="77777777" w:rsidR="004C39F9" w:rsidRPr="004C39F9" w:rsidRDefault="004C39F9" w:rsidP="00B35037">
      <w:pPr>
        <w:spacing w:after="100" w:afterAutospacing="1" w:line="480" w:lineRule="auto"/>
      </w:pPr>
      <w:r w:rsidRPr="004C39F9">
        <w:t>Not applicable</w:t>
      </w:r>
    </w:p>
    <w:p w14:paraId="3C8DE8FE" w14:textId="77777777" w:rsidR="004C39F9" w:rsidRDefault="004C39F9" w:rsidP="00B35037">
      <w:pPr>
        <w:spacing w:after="100" w:afterAutospacing="1" w:line="480" w:lineRule="auto"/>
        <w:rPr>
          <w:b/>
        </w:rPr>
      </w:pPr>
      <w:r w:rsidRPr="004C39F9">
        <w:rPr>
          <w:b/>
        </w:rPr>
        <w:t>Consent for publication</w:t>
      </w:r>
    </w:p>
    <w:p w14:paraId="0DBA50DC" w14:textId="78A738F5" w:rsidR="004C39F9" w:rsidRDefault="004C39F9" w:rsidP="00B35037">
      <w:pPr>
        <w:spacing w:after="100" w:afterAutospacing="1" w:line="480" w:lineRule="auto"/>
      </w:pPr>
      <w:r w:rsidRPr="004C39F9">
        <w:t>Not applica</w:t>
      </w:r>
      <w:r>
        <w:t>ble</w:t>
      </w:r>
    </w:p>
    <w:p w14:paraId="4240F7E7" w14:textId="010E2196" w:rsidR="004C39F9" w:rsidRPr="004C39F9" w:rsidRDefault="004C39F9" w:rsidP="00B35037">
      <w:pPr>
        <w:spacing w:after="100" w:afterAutospacing="1" w:line="480" w:lineRule="auto"/>
        <w:rPr>
          <w:b/>
        </w:rPr>
      </w:pPr>
      <w:r w:rsidRPr="004C39F9">
        <w:rPr>
          <w:b/>
        </w:rPr>
        <w:t>Availability of data and materials</w:t>
      </w:r>
    </w:p>
    <w:p w14:paraId="5931775B" w14:textId="07DAC55C" w:rsidR="004C39F9" w:rsidRPr="004C39F9" w:rsidRDefault="004C39F9" w:rsidP="00B35037">
      <w:pPr>
        <w:spacing w:after="100" w:afterAutospacing="1" w:line="480" w:lineRule="auto"/>
      </w:pPr>
      <w:r w:rsidRPr="004C39F9">
        <w:t>All data generated or analysed during this study are included in this published article</w:t>
      </w:r>
    </w:p>
    <w:p w14:paraId="62B43F6C" w14:textId="77777777" w:rsidR="004C39F9" w:rsidRDefault="004C39F9" w:rsidP="00B35037">
      <w:pPr>
        <w:spacing w:after="100" w:afterAutospacing="1" w:line="480" w:lineRule="auto"/>
        <w:rPr>
          <w:b/>
        </w:rPr>
      </w:pPr>
      <w:r w:rsidRPr="004C39F9">
        <w:rPr>
          <w:b/>
        </w:rPr>
        <w:t>Competing interests</w:t>
      </w:r>
    </w:p>
    <w:p w14:paraId="7076C575" w14:textId="011A22C3" w:rsidR="00554584" w:rsidRDefault="00554584" w:rsidP="00B35037">
      <w:pPr>
        <w:spacing w:after="100" w:afterAutospacing="1" w:line="480" w:lineRule="auto"/>
      </w:pPr>
      <w:r w:rsidRPr="00EF39A4">
        <w:t>The authors’ group</w:t>
      </w:r>
      <w:r w:rsidR="00315C12">
        <w:t xml:space="preserve"> (Royal Veterinary College)</w:t>
      </w:r>
      <w:r w:rsidRPr="00EF39A4">
        <w:t xml:space="preserve"> has received</w:t>
      </w:r>
      <w:r>
        <w:t xml:space="preserve"> </w:t>
      </w:r>
      <w:r w:rsidRPr="00EF39A4">
        <w:t>funding from Dechra Veterinary Products</w:t>
      </w:r>
      <w:r>
        <w:t xml:space="preserve"> Limited (Shropshire, U.K.)</w:t>
      </w:r>
      <w:r w:rsidRPr="00EF39A4">
        <w:t xml:space="preserve"> in support of laboratory</w:t>
      </w:r>
      <w:r>
        <w:t xml:space="preserve"> </w:t>
      </w:r>
      <w:r w:rsidRPr="00EF39A4">
        <w:t>research and clinical teaching of undergraduate and postgraduate</w:t>
      </w:r>
      <w:r>
        <w:t xml:space="preserve"> students.</w:t>
      </w:r>
    </w:p>
    <w:p w14:paraId="70A8F9F8" w14:textId="77777777" w:rsidR="00C05C74" w:rsidRPr="00554584" w:rsidRDefault="00C05C74" w:rsidP="00B35037">
      <w:pPr>
        <w:spacing w:after="100" w:afterAutospacing="1" w:line="480" w:lineRule="auto"/>
        <w:rPr>
          <w:b/>
        </w:rPr>
      </w:pPr>
      <w:r w:rsidRPr="00554584">
        <w:rPr>
          <w:b/>
        </w:rPr>
        <w:t>Funding</w:t>
      </w:r>
    </w:p>
    <w:p w14:paraId="40D0C689" w14:textId="1202D3C4" w:rsidR="00E36926" w:rsidRDefault="00010256" w:rsidP="00B35037">
      <w:pPr>
        <w:spacing w:after="100" w:afterAutospacing="1" w:line="480" w:lineRule="auto"/>
      </w:pPr>
      <w:r>
        <w:t>SMF and this</w:t>
      </w:r>
      <w:r w:rsidR="00EF39A4">
        <w:t xml:space="preserve"> study were funded </w:t>
      </w:r>
      <w:r w:rsidR="00EF39A4" w:rsidRPr="00EF39A4">
        <w:t xml:space="preserve">by </w:t>
      </w:r>
      <w:r w:rsidR="00EF39A4">
        <w:t>a</w:t>
      </w:r>
      <w:r w:rsidR="00EF39A4" w:rsidRPr="00EF39A4">
        <w:t xml:space="preserve"> Biotechnology and Biological</w:t>
      </w:r>
      <w:r w:rsidR="00EF39A4">
        <w:t xml:space="preserve"> </w:t>
      </w:r>
      <w:r w:rsidR="00EF39A4" w:rsidRPr="00EF39A4">
        <w:t xml:space="preserve">Sciences Research Council </w:t>
      </w:r>
      <w:r w:rsidR="00EF39A4">
        <w:t xml:space="preserve">(Swindon, U.K.; </w:t>
      </w:r>
      <w:r w:rsidR="00EF39A4" w:rsidRPr="00EF39A4">
        <w:t>BBSRC) industrial CASE scholar</w:t>
      </w:r>
      <w:r w:rsidR="00554584">
        <w:t>ship</w:t>
      </w:r>
      <w:r w:rsidR="00EF39A4" w:rsidRPr="00EF39A4">
        <w:t xml:space="preserve"> in partnership with Dechra Veterinary</w:t>
      </w:r>
      <w:r w:rsidR="00EF39A4">
        <w:t xml:space="preserve"> </w:t>
      </w:r>
      <w:r w:rsidR="00EF39A4" w:rsidRPr="00EF39A4">
        <w:t>Products Limited (</w:t>
      </w:r>
      <w:r w:rsidR="00EF39A4">
        <w:t xml:space="preserve">Shropshire, U.K.; </w:t>
      </w:r>
      <w:r w:rsidR="00EF39A4" w:rsidRPr="00EF39A4">
        <w:t>grant number BB/K011952/1).</w:t>
      </w:r>
      <w:r w:rsidR="00B0711C">
        <w:t xml:space="preserve"> </w:t>
      </w:r>
      <w:r w:rsidR="00F0491B">
        <w:t>Design of the study; collection, analysis, and interpretation of data; and writing the manuscript was undertaken independently of the funding body.</w:t>
      </w:r>
    </w:p>
    <w:p w14:paraId="01CDB6A0" w14:textId="77777777" w:rsidR="0032412F" w:rsidRDefault="00E36926" w:rsidP="00B35037">
      <w:pPr>
        <w:spacing w:after="100" w:afterAutospacing="1" w:line="480" w:lineRule="auto"/>
        <w:rPr>
          <w:b/>
        </w:rPr>
      </w:pPr>
      <w:r w:rsidRPr="00E36926">
        <w:rPr>
          <w:b/>
        </w:rPr>
        <w:t>Authors' contributions</w:t>
      </w:r>
    </w:p>
    <w:p w14:paraId="684099CF" w14:textId="5DA999EF" w:rsidR="00C05C74" w:rsidRDefault="00E36926" w:rsidP="00B35037">
      <w:pPr>
        <w:spacing w:after="100" w:afterAutospacing="1" w:line="480" w:lineRule="auto"/>
      </w:pPr>
      <w:r>
        <w:t xml:space="preserve">SMF, RB and AL </w:t>
      </w:r>
      <w:r w:rsidR="00E664DC">
        <w:t>conceived, designed and executed the study,</w:t>
      </w:r>
      <w:r w:rsidR="0032412F">
        <w:t xml:space="preserve"> and</w:t>
      </w:r>
      <w:r w:rsidR="00E664DC">
        <w:t xml:space="preserve"> </w:t>
      </w:r>
      <w:r>
        <w:t>analysed the data</w:t>
      </w:r>
      <w:r w:rsidR="0032412F">
        <w:t>.</w:t>
      </w:r>
      <w:r>
        <w:t xml:space="preserve"> AL, MR, TG, SCR, KO, DT, VMS collected, speciated and </w:t>
      </w:r>
      <w:r w:rsidR="00E664DC">
        <w:t xml:space="preserve">provided clinical </w:t>
      </w:r>
      <w:r w:rsidR="0032412F">
        <w:t>staphylococcal</w:t>
      </w:r>
      <w:r>
        <w:t xml:space="preserve"> isolates for testing</w:t>
      </w:r>
      <w:r w:rsidRPr="00E36926">
        <w:t xml:space="preserve">. </w:t>
      </w:r>
      <w:r>
        <w:t xml:space="preserve">JAL </w:t>
      </w:r>
      <w:r w:rsidR="00484F59">
        <w:t>conceived and supervised</w:t>
      </w:r>
      <w:r>
        <w:t xml:space="preserve"> analysis and interpretation of gene sequencing. </w:t>
      </w:r>
      <w:r w:rsidRPr="00E36926">
        <w:t xml:space="preserve">All authors </w:t>
      </w:r>
      <w:r w:rsidR="00484F59">
        <w:t xml:space="preserve">participated in writing, </w:t>
      </w:r>
      <w:r w:rsidRPr="00E36926">
        <w:t>and approved the final manuscript</w:t>
      </w:r>
      <w:r>
        <w:t>.</w:t>
      </w:r>
    </w:p>
    <w:p w14:paraId="2954D54C" w14:textId="77777777" w:rsidR="00E36926" w:rsidRPr="00554584" w:rsidRDefault="00E36926" w:rsidP="00E36926">
      <w:pPr>
        <w:spacing w:after="100" w:afterAutospacing="1" w:line="480" w:lineRule="auto"/>
        <w:rPr>
          <w:b/>
        </w:rPr>
      </w:pPr>
      <w:r>
        <w:rPr>
          <w:b/>
        </w:rPr>
        <w:t>A</w:t>
      </w:r>
      <w:r w:rsidRPr="00554584">
        <w:rPr>
          <w:b/>
        </w:rPr>
        <w:t>cknowledgements</w:t>
      </w:r>
    </w:p>
    <w:p w14:paraId="7609F2F3" w14:textId="54528036" w:rsidR="0032412F" w:rsidRDefault="0032412F" w:rsidP="0032412F">
      <w:pPr>
        <w:spacing w:after="100" w:afterAutospacing="1" w:line="480" w:lineRule="auto"/>
      </w:pPr>
      <w:r>
        <w:t>The authors thank</w:t>
      </w:r>
      <w:r w:rsidR="009331B2">
        <w:t xml:space="preserve"> the following scientists for donating isolates: </w:t>
      </w:r>
      <w:r>
        <w:t>Louise Kime</w:t>
      </w:r>
      <w:r w:rsidR="009331B2">
        <w:t xml:space="preserve"> (control</w:t>
      </w:r>
      <w:r w:rsidR="00F4175F">
        <w:t xml:space="preserve"> isolate</w:t>
      </w:r>
      <w:r w:rsidR="009331B2">
        <w:t>)</w:t>
      </w:r>
      <w:r>
        <w:t>, Stephen Steen</w:t>
      </w:r>
      <w:r w:rsidR="009331B2">
        <w:t xml:space="preserve"> (</w:t>
      </w:r>
      <w:r w:rsidR="00F4175F">
        <w:t xml:space="preserve">some </w:t>
      </w:r>
      <w:r w:rsidR="009331B2">
        <w:t>North U.K. isolat</w:t>
      </w:r>
      <w:r w:rsidR="00F4175F">
        <w:t>es)</w:t>
      </w:r>
      <w:r>
        <w:t xml:space="preserve">, Andrew Waller and Bernadette Legett </w:t>
      </w:r>
      <w:r w:rsidR="00F4175F">
        <w:t>(some South-</w:t>
      </w:r>
      <w:r w:rsidR="00BA4349">
        <w:t>E</w:t>
      </w:r>
      <w:r w:rsidR="00F4175F">
        <w:t xml:space="preserve">ast U.K. isolates).  </w:t>
      </w:r>
      <w:r>
        <w:t>.</w:t>
      </w:r>
    </w:p>
    <w:p w14:paraId="36878A5E" w14:textId="77777777" w:rsidR="00E36926" w:rsidRPr="00EF39A4" w:rsidRDefault="00E36926" w:rsidP="00E36926">
      <w:pPr>
        <w:spacing w:after="100" w:afterAutospacing="1" w:line="480" w:lineRule="auto"/>
      </w:pPr>
      <w:r>
        <w:t xml:space="preserve">The results from this study were presented at the European Society / College of Veterinary Dermatology Annual Congress, Lausanne, Switzerland, September 2017. </w:t>
      </w:r>
      <w:r>
        <w:rPr>
          <w:i/>
        </w:rPr>
        <w:t xml:space="preserve">Vet Dermatol </w:t>
      </w:r>
      <w:r>
        <w:t xml:space="preserve">2017; </w:t>
      </w:r>
      <w:r>
        <w:rPr>
          <w:b/>
        </w:rPr>
        <w:t>28</w:t>
      </w:r>
      <w:r>
        <w:t>: 541 (Abstract).</w:t>
      </w:r>
    </w:p>
    <w:p w14:paraId="03CE63D7" w14:textId="688648E9" w:rsidR="00E36926" w:rsidRDefault="00E36926" w:rsidP="00B35037">
      <w:pPr>
        <w:spacing w:after="100" w:afterAutospacing="1" w:line="480" w:lineRule="auto"/>
      </w:pPr>
    </w:p>
    <w:p w14:paraId="1159802E" w14:textId="77777777" w:rsidR="00BA548A" w:rsidRPr="002C539F" w:rsidRDefault="00BA548A" w:rsidP="00B35037">
      <w:pPr>
        <w:spacing w:after="100" w:afterAutospacing="1" w:line="480" w:lineRule="auto"/>
        <w:rPr>
          <w:b/>
          <w:sz w:val="32"/>
        </w:rPr>
      </w:pPr>
      <w:r w:rsidRPr="002C539F">
        <w:rPr>
          <w:b/>
          <w:sz w:val="32"/>
        </w:rPr>
        <w:t>Ref</w:t>
      </w:r>
      <w:r w:rsidR="00696CFE" w:rsidRPr="002C539F">
        <w:rPr>
          <w:b/>
          <w:sz w:val="32"/>
        </w:rPr>
        <w:t>erence</w:t>
      </w:r>
      <w:r w:rsidRPr="002C539F">
        <w:rPr>
          <w:b/>
          <w:sz w:val="32"/>
        </w:rPr>
        <w:t>s</w:t>
      </w:r>
    </w:p>
    <w:p w14:paraId="3197205B" w14:textId="66E6E060" w:rsidR="00FC0CF4" w:rsidRPr="008942E8" w:rsidRDefault="008942E8" w:rsidP="00B35037">
      <w:pPr>
        <w:pStyle w:val="ListParagraph"/>
        <w:numPr>
          <w:ilvl w:val="0"/>
          <w:numId w:val="5"/>
        </w:numPr>
        <w:spacing w:after="100" w:afterAutospacing="1" w:line="480" w:lineRule="auto"/>
      </w:pPr>
      <w:r w:rsidRPr="008942E8">
        <w:t>Lloyd D</w:t>
      </w:r>
      <w:r w:rsidR="00FC0CF4" w:rsidRPr="008942E8">
        <w:t xml:space="preserve">. Bacterial skin diseases. In: </w:t>
      </w:r>
      <w:r w:rsidR="002E62D3" w:rsidRPr="008942E8">
        <w:t>Miller WH, Griffin CE, Campbell KL, ed</w:t>
      </w:r>
      <w:r w:rsidR="00E664DC">
        <w:t>itor</w:t>
      </w:r>
      <w:r w:rsidR="002E62D3" w:rsidRPr="008942E8">
        <w:t>s</w:t>
      </w:r>
      <w:r w:rsidR="002E62D3" w:rsidRPr="00E664DC">
        <w:t>.</w:t>
      </w:r>
      <w:r w:rsidR="002E62D3" w:rsidRPr="00E664DC">
        <w:rPr>
          <w:iCs/>
        </w:rPr>
        <w:t xml:space="preserve"> </w:t>
      </w:r>
      <w:r w:rsidR="00FC0CF4" w:rsidRPr="00E664DC">
        <w:rPr>
          <w:iCs/>
        </w:rPr>
        <w:t>Muller and Kirk’s Small Animal Dermatology</w:t>
      </w:r>
      <w:r w:rsidR="00FC0CF4" w:rsidRPr="00E664DC">
        <w:t xml:space="preserve">, </w:t>
      </w:r>
      <w:r w:rsidR="00FC0CF4" w:rsidRPr="00E664DC">
        <w:rPr>
          <w:iCs/>
        </w:rPr>
        <w:t>7</w:t>
      </w:r>
      <w:r w:rsidR="00FC0CF4" w:rsidRPr="00E664DC">
        <w:rPr>
          <w:iCs/>
          <w:sz w:val="14"/>
          <w:szCs w:val="14"/>
        </w:rPr>
        <w:t xml:space="preserve">th </w:t>
      </w:r>
      <w:r w:rsidR="00FC0CF4" w:rsidRPr="00E664DC">
        <w:rPr>
          <w:iCs/>
        </w:rPr>
        <w:t>ed</w:t>
      </w:r>
      <w:r w:rsidR="00B42907" w:rsidRPr="00E664DC">
        <w:t>.</w:t>
      </w:r>
      <w:r w:rsidR="002E62D3" w:rsidRPr="00E664DC">
        <w:t xml:space="preserve"> S</w:t>
      </w:r>
      <w:r w:rsidR="002E62D3" w:rsidRPr="008942E8">
        <w:t>t Louis, U.S.A:</w:t>
      </w:r>
      <w:r w:rsidR="00FC0CF4" w:rsidRPr="008942E8">
        <w:t xml:space="preserve"> Saunders-Elsevier</w:t>
      </w:r>
      <w:r w:rsidR="00E664DC">
        <w:t>;</w:t>
      </w:r>
      <w:r w:rsidR="00B42907" w:rsidRPr="008942E8">
        <w:t xml:space="preserve"> 201</w:t>
      </w:r>
      <w:r w:rsidRPr="008942E8">
        <w:t>3</w:t>
      </w:r>
      <w:r w:rsidR="00E664DC">
        <w:t>, p.</w:t>
      </w:r>
      <w:r w:rsidR="002E62D3" w:rsidRPr="008942E8">
        <w:t xml:space="preserve"> </w:t>
      </w:r>
      <w:r w:rsidR="00FC0CF4" w:rsidRPr="008942E8">
        <w:t>184-234.</w:t>
      </w:r>
    </w:p>
    <w:p w14:paraId="0DC10D04" w14:textId="175F2982" w:rsidR="00FC0CF4" w:rsidRDefault="00FC0CF4" w:rsidP="00B35037">
      <w:pPr>
        <w:pStyle w:val="ListParagraph"/>
        <w:numPr>
          <w:ilvl w:val="0"/>
          <w:numId w:val="5"/>
        </w:numPr>
        <w:spacing w:after="100" w:afterAutospacing="1" w:line="480" w:lineRule="auto"/>
      </w:pPr>
      <w:r>
        <w:t>Loeffler A,</w:t>
      </w:r>
      <w:r w:rsidR="002E62D3">
        <w:t xml:space="preserve"> Linek M, Moodley </w:t>
      </w:r>
      <w:r w:rsidR="00E664DC">
        <w:t>A, Guardabassi L, Sung JML, Winkler M, Weiss R, Lloyd DH</w:t>
      </w:r>
      <w:r>
        <w:t>.</w:t>
      </w:r>
      <w:r w:rsidR="002E62D3">
        <w:t xml:space="preserve"> </w:t>
      </w:r>
      <w:r>
        <w:t xml:space="preserve">First report of multiresistant, </w:t>
      </w:r>
      <w:r>
        <w:rPr>
          <w:i/>
          <w:iCs/>
        </w:rPr>
        <w:t>mecA</w:t>
      </w:r>
      <w:r>
        <w:t xml:space="preserve">-positive </w:t>
      </w:r>
      <w:r>
        <w:rPr>
          <w:i/>
          <w:iCs/>
        </w:rPr>
        <w:t xml:space="preserve">Staphylococcus intermedius </w:t>
      </w:r>
      <w:r>
        <w:t xml:space="preserve">in Europe: 12 cases from a veterinary dermatology referral clinic in Germany. </w:t>
      </w:r>
      <w:r w:rsidRPr="00E664DC">
        <w:rPr>
          <w:iCs/>
        </w:rPr>
        <w:t>Vet Dermatol</w:t>
      </w:r>
      <w:r w:rsidR="00E664DC">
        <w:rPr>
          <w:i/>
          <w:iCs/>
        </w:rPr>
        <w:t xml:space="preserve">. </w:t>
      </w:r>
      <w:r w:rsidR="002E62D3">
        <w:t>2007</w:t>
      </w:r>
      <w:r w:rsidR="00E664DC">
        <w:t>;</w:t>
      </w:r>
      <w:r w:rsidRPr="00E664DC">
        <w:rPr>
          <w:bCs/>
        </w:rPr>
        <w:t>18</w:t>
      </w:r>
      <w:r w:rsidR="00E664DC">
        <w:t>(6):</w:t>
      </w:r>
      <w:r>
        <w:t>412-21.</w:t>
      </w:r>
    </w:p>
    <w:p w14:paraId="01F43F2A" w14:textId="43EB13DD" w:rsidR="005D010B" w:rsidRDefault="00E664DC" w:rsidP="00E664DC">
      <w:pPr>
        <w:pStyle w:val="ListParagraph"/>
        <w:numPr>
          <w:ilvl w:val="0"/>
          <w:numId w:val="5"/>
        </w:numPr>
        <w:spacing w:after="100" w:afterAutospacing="1" w:line="480" w:lineRule="auto"/>
      </w:pPr>
      <w:r>
        <w:t xml:space="preserve">Gortel K, Campbell KL, Kakoma I, </w:t>
      </w:r>
      <w:r w:rsidRPr="00E664DC">
        <w:t>Whitt</w:t>
      </w:r>
      <w:r>
        <w:t>em T, Schaeffer DJ, Weisiger RM</w:t>
      </w:r>
      <w:r w:rsidR="005D010B" w:rsidRPr="00E664DC">
        <w:rPr>
          <w:i/>
        </w:rPr>
        <w:t xml:space="preserve">. </w:t>
      </w:r>
      <w:r w:rsidR="005D010B">
        <w:t xml:space="preserve">Methicillin resistance among staphylococci isolated from dogs. </w:t>
      </w:r>
      <w:r w:rsidR="005D010B" w:rsidRPr="00E664DC">
        <w:t>Am J Vet Res</w:t>
      </w:r>
      <w:r>
        <w:t>.</w:t>
      </w:r>
      <w:r w:rsidR="005D010B" w:rsidRPr="00E664DC">
        <w:t xml:space="preserve"> 1999;60(</w:t>
      </w:r>
      <w:r w:rsidR="005D010B">
        <w:t>12):1526-30.</w:t>
      </w:r>
    </w:p>
    <w:p w14:paraId="421D10A5" w14:textId="69BA6417" w:rsidR="00FC0CF4" w:rsidRDefault="002E62D3" w:rsidP="00967E6E">
      <w:pPr>
        <w:pStyle w:val="ListParagraph"/>
        <w:numPr>
          <w:ilvl w:val="0"/>
          <w:numId w:val="5"/>
        </w:numPr>
        <w:spacing w:after="100" w:afterAutospacing="1" w:line="480" w:lineRule="auto"/>
      </w:pPr>
      <w:r>
        <w:t>Hillier A, Lloyd DH, Weese JS</w:t>
      </w:r>
      <w:r w:rsidR="00967E6E">
        <w:t>, Blondeau JM, Boothe D, Breitschwerdt E, Guardabassi L, Papich MG, Rankin S, Turnidge JD, Sykes JE</w:t>
      </w:r>
      <w:r w:rsidR="00FC0CF4">
        <w:t>.</w:t>
      </w:r>
      <w:r>
        <w:t xml:space="preserve"> </w:t>
      </w:r>
      <w:r w:rsidR="00FC0CF4">
        <w:t xml:space="preserve">Guidelines for the diagnosis and antimicrobial therapy of canine superficial bacterial folliculitis (Antimicrobial Guidelines Working Group of the International Society for Companion Animal Infectious Diseases). </w:t>
      </w:r>
      <w:r w:rsidR="00FC0CF4" w:rsidRPr="00967E6E">
        <w:rPr>
          <w:iCs/>
        </w:rPr>
        <w:t>Vet Dermatol</w:t>
      </w:r>
      <w:r w:rsidR="00967E6E">
        <w:rPr>
          <w:iCs/>
        </w:rPr>
        <w:t>.</w:t>
      </w:r>
      <w:r w:rsidRPr="00967E6E">
        <w:rPr>
          <w:iCs/>
        </w:rPr>
        <w:t xml:space="preserve"> </w:t>
      </w:r>
      <w:r w:rsidRPr="00967E6E">
        <w:t>2014</w:t>
      </w:r>
      <w:r w:rsidR="00967E6E">
        <w:t>;</w:t>
      </w:r>
      <w:r w:rsidR="00FC0CF4" w:rsidRPr="00967E6E">
        <w:rPr>
          <w:bCs/>
        </w:rPr>
        <w:t>25</w:t>
      </w:r>
      <w:r w:rsidR="00967E6E">
        <w:t>(3):</w:t>
      </w:r>
      <w:r w:rsidR="00FC0CF4">
        <w:t>163-e43.</w:t>
      </w:r>
    </w:p>
    <w:p w14:paraId="70145AA3" w14:textId="5C0F8F33" w:rsidR="00FC0CF4" w:rsidRDefault="00FC0CF4" w:rsidP="00B35037">
      <w:pPr>
        <w:pStyle w:val="ListParagraph"/>
        <w:numPr>
          <w:ilvl w:val="0"/>
          <w:numId w:val="5"/>
        </w:numPr>
        <w:spacing w:after="100" w:afterAutospacing="1" w:line="480" w:lineRule="auto"/>
      </w:pPr>
      <w:r>
        <w:t>Summers JF, Hendricks A, Brodbelt DC. Prescribing practices of primary-care veterinary practitioners in dogs diagnosed with bacterial pyoderma</w:t>
      </w:r>
      <w:r w:rsidRPr="00967E6E">
        <w:t xml:space="preserve">. </w:t>
      </w:r>
      <w:r w:rsidRPr="00967E6E">
        <w:rPr>
          <w:iCs/>
        </w:rPr>
        <w:t>BMC Vet Res</w:t>
      </w:r>
      <w:r w:rsidR="00967E6E">
        <w:rPr>
          <w:iCs/>
        </w:rPr>
        <w:t xml:space="preserve">. </w:t>
      </w:r>
      <w:r w:rsidR="002E62D3" w:rsidRPr="00967E6E">
        <w:rPr>
          <w:iCs/>
        </w:rPr>
        <w:t>2014</w:t>
      </w:r>
      <w:r w:rsidRPr="00967E6E">
        <w:t>;</w:t>
      </w:r>
      <w:r w:rsidRPr="00967E6E">
        <w:rPr>
          <w:bCs/>
        </w:rPr>
        <w:t>10</w:t>
      </w:r>
      <w:r w:rsidRPr="00967E6E">
        <w:t>:240</w:t>
      </w:r>
      <w:r>
        <w:t>.</w:t>
      </w:r>
    </w:p>
    <w:p w14:paraId="124788D6" w14:textId="1467C861" w:rsidR="006307F5" w:rsidRPr="008942E8" w:rsidRDefault="003163A4" w:rsidP="00B35037">
      <w:pPr>
        <w:pStyle w:val="ListParagraph"/>
        <w:numPr>
          <w:ilvl w:val="0"/>
          <w:numId w:val="5"/>
        </w:numPr>
        <w:spacing w:after="100" w:afterAutospacing="1" w:line="480" w:lineRule="auto"/>
      </w:pPr>
      <w:r w:rsidRPr="00E76419">
        <w:t>Joint Formulary Committee, 201</w:t>
      </w:r>
      <w:r w:rsidR="006307F5">
        <w:t>8</w:t>
      </w:r>
      <w:r w:rsidRPr="00E76419">
        <w:t xml:space="preserve">. </w:t>
      </w:r>
      <w:r w:rsidR="006307F5">
        <w:t xml:space="preserve">MRSA </w:t>
      </w:r>
      <w:r w:rsidR="006307F5" w:rsidRPr="008942E8">
        <w:t>Management</w:t>
      </w:r>
      <w:r w:rsidRPr="008942E8">
        <w:t>. In: British National Formulary. [</w:t>
      </w:r>
      <w:r w:rsidR="00707263" w:rsidRPr="008942E8">
        <w:t>Online</w:t>
      </w:r>
      <w:r w:rsidRPr="008942E8">
        <w:t xml:space="preserve">]. London: </w:t>
      </w:r>
      <w:r w:rsidRPr="00967E6E">
        <w:t>BMJ Group and Pharmaceutical Press</w:t>
      </w:r>
      <w:r w:rsidRPr="008942E8">
        <w:rPr>
          <w:i/>
        </w:rPr>
        <w:t xml:space="preserve">. </w:t>
      </w:r>
      <w:r w:rsidRPr="008942E8">
        <w:t xml:space="preserve">Available from: </w:t>
      </w:r>
      <w:hyperlink r:id="rId17" w:history="1">
        <w:r w:rsidR="006307F5" w:rsidRPr="008942E8">
          <w:rPr>
            <w:rStyle w:val="Hyperlink"/>
          </w:rPr>
          <w:t>https://bnf.nice.org.uk/treatment-summary/mrsa.html</w:t>
        </w:r>
      </w:hyperlink>
      <w:r w:rsidR="006307F5" w:rsidRPr="008942E8">
        <w:t xml:space="preserve">. </w:t>
      </w:r>
      <w:r w:rsidRPr="008942E8">
        <w:t>A</w:t>
      </w:r>
      <w:r w:rsidR="006307F5" w:rsidRPr="008942E8">
        <w:t>ccessed 15</w:t>
      </w:r>
      <w:r w:rsidR="006307F5" w:rsidRPr="008942E8">
        <w:rPr>
          <w:vertAlign w:val="superscript"/>
        </w:rPr>
        <w:t>th</w:t>
      </w:r>
      <w:r w:rsidR="006307F5" w:rsidRPr="008942E8">
        <w:t xml:space="preserve"> </w:t>
      </w:r>
      <w:r w:rsidRPr="008942E8">
        <w:t>April 201</w:t>
      </w:r>
      <w:r w:rsidR="006307F5" w:rsidRPr="008942E8">
        <w:t>8</w:t>
      </w:r>
      <w:r w:rsidRPr="008942E8">
        <w:t>.</w:t>
      </w:r>
    </w:p>
    <w:p w14:paraId="302B163F" w14:textId="0EA1DF36" w:rsidR="00FC0CF4" w:rsidRDefault="002E62D3" w:rsidP="00967E6E">
      <w:pPr>
        <w:pStyle w:val="ListParagraph"/>
        <w:numPr>
          <w:ilvl w:val="0"/>
          <w:numId w:val="5"/>
        </w:numPr>
        <w:spacing w:after="100" w:afterAutospacing="1" w:line="480" w:lineRule="auto"/>
      </w:pPr>
      <w:r>
        <w:t>Atalay B, Ergin F, Cekinmez M</w:t>
      </w:r>
      <w:r w:rsidR="00967E6E">
        <w:t>, Caner H, Altinors N</w:t>
      </w:r>
      <w:r w:rsidR="00FC0CF4">
        <w:t xml:space="preserve">. Brain abscess caused by </w:t>
      </w:r>
      <w:r w:rsidR="00FC0CF4">
        <w:rPr>
          <w:i/>
          <w:iCs/>
        </w:rPr>
        <w:t xml:space="preserve">Staphylococcus intermedius. </w:t>
      </w:r>
      <w:r w:rsidR="00FC0CF4" w:rsidRPr="00967E6E">
        <w:rPr>
          <w:iCs/>
        </w:rPr>
        <w:t>Acta Neurochir (Wien)</w:t>
      </w:r>
      <w:r w:rsidR="00967E6E">
        <w:rPr>
          <w:iCs/>
        </w:rPr>
        <w:t>.</w:t>
      </w:r>
      <w:r w:rsidRPr="00967E6E">
        <w:rPr>
          <w:iCs/>
        </w:rPr>
        <w:t xml:space="preserve"> </w:t>
      </w:r>
      <w:r w:rsidRPr="00967E6E">
        <w:t>2005</w:t>
      </w:r>
      <w:r w:rsidR="00FC0CF4" w:rsidRPr="00967E6E">
        <w:t>;</w:t>
      </w:r>
      <w:r w:rsidR="00FC0CF4" w:rsidRPr="00967E6E">
        <w:rPr>
          <w:bCs/>
        </w:rPr>
        <w:t>147</w:t>
      </w:r>
      <w:r w:rsidR="00FC0CF4" w:rsidRPr="00967E6E">
        <w:t>(3):347</w:t>
      </w:r>
      <w:r w:rsidR="00FC0CF4">
        <w:t>-8.</w:t>
      </w:r>
    </w:p>
    <w:p w14:paraId="000135C6" w14:textId="62914072" w:rsidR="00FC0CF4" w:rsidRDefault="00FC0CF4" w:rsidP="00B35037">
      <w:pPr>
        <w:pStyle w:val="ListParagraph"/>
        <w:numPr>
          <w:ilvl w:val="0"/>
          <w:numId w:val="5"/>
        </w:numPr>
        <w:spacing w:after="100" w:afterAutospacing="1" w:line="480" w:lineRule="auto"/>
      </w:pPr>
      <w:r>
        <w:t>Kempker</w:t>
      </w:r>
      <w:r w:rsidR="00967E6E">
        <w:t xml:space="preserve"> R, Mangalat D, Kongphet-Tran T, Eaton M</w:t>
      </w:r>
      <w:r>
        <w:t>.</w:t>
      </w:r>
      <w:r w:rsidR="002E62D3">
        <w:t xml:space="preserve"> </w:t>
      </w:r>
      <w:r>
        <w:t xml:space="preserve">Beware of the pet dog: a case of </w:t>
      </w:r>
      <w:r>
        <w:rPr>
          <w:i/>
          <w:iCs/>
        </w:rPr>
        <w:t xml:space="preserve">Staphylococcus intermedius </w:t>
      </w:r>
      <w:r>
        <w:t>infection</w:t>
      </w:r>
      <w:r w:rsidRPr="00967E6E">
        <w:t xml:space="preserve">. </w:t>
      </w:r>
      <w:r w:rsidRPr="00967E6E">
        <w:rPr>
          <w:iCs/>
        </w:rPr>
        <w:t>Am J Med Sci</w:t>
      </w:r>
      <w:r w:rsidR="00967E6E">
        <w:rPr>
          <w:iCs/>
        </w:rPr>
        <w:t>.</w:t>
      </w:r>
      <w:r w:rsidR="002E62D3" w:rsidRPr="00967E6E">
        <w:rPr>
          <w:iCs/>
        </w:rPr>
        <w:t xml:space="preserve"> 2009</w:t>
      </w:r>
      <w:r w:rsidRPr="00967E6E">
        <w:t>;</w:t>
      </w:r>
      <w:r w:rsidRPr="00967E6E">
        <w:rPr>
          <w:bCs/>
        </w:rPr>
        <w:t>338</w:t>
      </w:r>
      <w:r w:rsidRPr="00967E6E">
        <w:t>(</w:t>
      </w:r>
      <w:r>
        <w:t>5):425-7.</w:t>
      </w:r>
    </w:p>
    <w:p w14:paraId="497899F6" w14:textId="5D3E15AB" w:rsidR="00FC0CF4" w:rsidRDefault="00FC0CF4" w:rsidP="00967E6E">
      <w:pPr>
        <w:pStyle w:val="ListParagraph"/>
        <w:numPr>
          <w:ilvl w:val="0"/>
          <w:numId w:val="5"/>
        </w:numPr>
        <w:spacing w:after="100" w:afterAutospacing="1" w:line="480" w:lineRule="auto"/>
      </w:pPr>
      <w:r>
        <w:t>Chuan</w:t>
      </w:r>
      <w:r w:rsidR="00967E6E">
        <w:t>g CY, Yang YL, Hsueh PR, Lee PI</w:t>
      </w:r>
      <w:r>
        <w:t xml:space="preserve">. Catheter-related bacteremia caused by </w:t>
      </w:r>
      <w:r>
        <w:rPr>
          <w:i/>
          <w:iCs/>
        </w:rPr>
        <w:t xml:space="preserve">Staphylococcus pseudintermedius </w:t>
      </w:r>
      <w:r>
        <w:t xml:space="preserve">refractory to antibiotic-lock therapy in a hemophilic child with dog exposure. </w:t>
      </w:r>
      <w:r w:rsidRPr="00967E6E">
        <w:rPr>
          <w:iCs/>
        </w:rPr>
        <w:t>J Clin Microbiol</w:t>
      </w:r>
      <w:r w:rsidR="00967E6E" w:rsidRPr="00967E6E">
        <w:rPr>
          <w:iCs/>
        </w:rPr>
        <w:t>.</w:t>
      </w:r>
      <w:r w:rsidR="002E62D3">
        <w:rPr>
          <w:i/>
          <w:iCs/>
        </w:rPr>
        <w:t xml:space="preserve"> </w:t>
      </w:r>
      <w:r w:rsidR="002E62D3">
        <w:t>2010</w:t>
      </w:r>
      <w:r>
        <w:t>;</w:t>
      </w:r>
      <w:r w:rsidRPr="00967E6E">
        <w:rPr>
          <w:bCs/>
        </w:rPr>
        <w:t>48</w:t>
      </w:r>
      <w:r w:rsidR="00967E6E">
        <w:t>(4):</w:t>
      </w:r>
      <w:r>
        <w:t>1497-8.</w:t>
      </w:r>
      <w:r w:rsidR="00967E6E" w:rsidRPr="00967E6E">
        <w:t xml:space="preserve"> </w:t>
      </w:r>
    </w:p>
    <w:p w14:paraId="32B75294" w14:textId="5907594A" w:rsidR="00FC0CF4" w:rsidRDefault="00FC0CF4" w:rsidP="00B35037">
      <w:pPr>
        <w:pStyle w:val="ListParagraph"/>
        <w:numPr>
          <w:ilvl w:val="0"/>
          <w:numId w:val="5"/>
        </w:numPr>
        <w:spacing w:after="100" w:afterAutospacing="1" w:line="480" w:lineRule="auto"/>
      </w:pPr>
      <w:r>
        <w:t>Somayaji R, P</w:t>
      </w:r>
      <w:r w:rsidR="002E62D3">
        <w:t xml:space="preserve">riyantha MA, Rubin </w:t>
      </w:r>
      <w:r w:rsidR="00967E6E">
        <w:t xml:space="preserve">JE, Church D. </w:t>
      </w:r>
      <w:r>
        <w:t xml:space="preserve">Human infections due to </w:t>
      </w:r>
      <w:r>
        <w:rPr>
          <w:i/>
          <w:iCs/>
        </w:rPr>
        <w:t xml:space="preserve">Staphylococcus pseudintermedius, </w:t>
      </w:r>
      <w:r>
        <w:t xml:space="preserve">an emerging zoonosis of canine origin: report of 24 cases. </w:t>
      </w:r>
      <w:r w:rsidRPr="00967E6E">
        <w:rPr>
          <w:iCs/>
        </w:rPr>
        <w:t>Diagn Microbiol Infect Dis</w:t>
      </w:r>
      <w:r w:rsidR="00967E6E">
        <w:rPr>
          <w:iCs/>
        </w:rPr>
        <w:t>.</w:t>
      </w:r>
      <w:r w:rsidR="002E62D3">
        <w:rPr>
          <w:i/>
          <w:iCs/>
        </w:rPr>
        <w:t xml:space="preserve"> </w:t>
      </w:r>
      <w:r w:rsidR="002E62D3">
        <w:t>2016</w:t>
      </w:r>
      <w:r w:rsidR="00967E6E">
        <w:t>;</w:t>
      </w:r>
      <w:r w:rsidRPr="00967E6E">
        <w:rPr>
          <w:bCs/>
        </w:rPr>
        <w:t>85</w:t>
      </w:r>
      <w:r>
        <w:t>(4):471-6.</w:t>
      </w:r>
    </w:p>
    <w:p w14:paraId="3DE7C1CC" w14:textId="5D500DEA" w:rsidR="00FC0CF4" w:rsidRDefault="00967E6E" w:rsidP="00967E6E">
      <w:pPr>
        <w:pStyle w:val="ListParagraph"/>
        <w:numPr>
          <w:ilvl w:val="0"/>
          <w:numId w:val="5"/>
        </w:numPr>
        <w:spacing w:after="100" w:afterAutospacing="1" w:line="480" w:lineRule="auto"/>
      </w:pPr>
      <w:r>
        <w:t xml:space="preserve">Lozano C, Rezusta A, Ferrer I, </w:t>
      </w:r>
      <w:r w:rsidRPr="00967E6E">
        <w:t>Pérez-Laguna</w:t>
      </w:r>
      <w:r>
        <w:t xml:space="preserve"> V, Zarazaga M, Ruiz-Ripa L, Revillo MJ, Torres C</w:t>
      </w:r>
      <w:r w:rsidR="00FC0CF4">
        <w:t xml:space="preserve">. </w:t>
      </w:r>
      <w:r w:rsidR="00FC0CF4">
        <w:rPr>
          <w:i/>
          <w:iCs/>
        </w:rPr>
        <w:t xml:space="preserve">Staphylococcus pseudintermedius </w:t>
      </w:r>
      <w:r w:rsidR="00FC0CF4">
        <w:t xml:space="preserve">human infection cases in Spain: dog-to-human transmission. </w:t>
      </w:r>
      <w:r w:rsidR="00FC0CF4" w:rsidRPr="00967E6E">
        <w:rPr>
          <w:iCs/>
        </w:rPr>
        <w:t>Vector Borne Zoonotic Dis</w:t>
      </w:r>
      <w:r w:rsidRPr="00967E6E">
        <w:rPr>
          <w:iCs/>
        </w:rPr>
        <w:t>.</w:t>
      </w:r>
      <w:r w:rsidR="002E62D3">
        <w:rPr>
          <w:i/>
          <w:iCs/>
        </w:rPr>
        <w:t xml:space="preserve"> </w:t>
      </w:r>
      <w:r w:rsidR="002E62D3">
        <w:t>2017</w:t>
      </w:r>
      <w:r>
        <w:t>;</w:t>
      </w:r>
      <w:r w:rsidR="00FC0CF4" w:rsidRPr="00967E6E">
        <w:rPr>
          <w:bCs/>
        </w:rPr>
        <w:t>17</w:t>
      </w:r>
      <w:r>
        <w:t>(4):</w:t>
      </w:r>
      <w:r w:rsidR="00FC0CF4">
        <w:t>268-70.</w:t>
      </w:r>
    </w:p>
    <w:p w14:paraId="7F027444" w14:textId="1D4181E0" w:rsidR="00FC0CF4" w:rsidRDefault="00FC0CF4" w:rsidP="00B35037">
      <w:pPr>
        <w:pStyle w:val="ListParagraph"/>
        <w:numPr>
          <w:ilvl w:val="0"/>
          <w:numId w:val="5"/>
        </w:numPr>
        <w:spacing w:after="100" w:afterAutospacing="1" w:line="480" w:lineRule="auto"/>
      </w:pPr>
      <w:r>
        <w:t xml:space="preserve">Harvey RG, Marples RR, Noble WC. Nasal carriage of </w:t>
      </w:r>
      <w:r>
        <w:rPr>
          <w:i/>
          <w:iCs/>
        </w:rPr>
        <w:t xml:space="preserve">Staphylococcus intermedius </w:t>
      </w:r>
      <w:r>
        <w:t xml:space="preserve">in humans in contact with dogs. </w:t>
      </w:r>
      <w:r w:rsidRPr="00967E6E">
        <w:rPr>
          <w:iCs/>
        </w:rPr>
        <w:t>Microb Ecol Health D</w:t>
      </w:r>
      <w:r w:rsidR="00967E6E">
        <w:rPr>
          <w:iCs/>
        </w:rPr>
        <w:t>.</w:t>
      </w:r>
      <w:r w:rsidR="002E62D3" w:rsidRPr="00967E6E">
        <w:rPr>
          <w:iCs/>
        </w:rPr>
        <w:t xml:space="preserve"> </w:t>
      </w:r>
      <w:r w:rsidR="002E62D3" w:rsidRPr="00967E6E">
        <w:t>1994</w:t>
      </w:r>
      <w:r w:rsidR="00967E6E">
        <w:t>;</w:t>
      </w:r>
      <w:r w:rsidRPr="00967E6E">
        <w:rPr>
          <w:bCs/>
        </w:rPr>
        <w:t>7</w:t>
      </w:r>
      <w:r w:rsidR="00967E6E">
        <w:t>(4):</w:t>
      </w:r>
      <w:r w:rsidRPr="00967E6E">
        <w:t>225-</w:t>
      </w:r>
      <w:r>
        <w:t>7.</w:t>
      </w:r>
    </w:p>
    <w:p w14:paraId="1C3347A5" w14:textId="292F539E" w:rsidR="00FC0CF4" w:rsidRDefault="00FC0CF4" w:rsidP="00B35037">
      <w:pPr>
        <w:pStyle w:val="ListParagraph"/>
        <w:numPr>
          <w:ilvl w:val="0"/>
          <w:numId w:val="5"/>
        </w:numPr>
        <w:spacing w:after="100" w:afterAutospacing="1" w:line="480" w:lineRule="auto"/>
      </w:pPr>
      <w:r>
        <w:t>Guardabassi L, Loeber M, Jacobson A.</w:t>
      </w:r>
      <w:r w:rsidR="002E62D3">
        <w:t xml:space="preserve"> </w:t>
      </w:r>
      <w:r>
        <w:t xml:space="preserve">Transmission of multiple antimicrobial-resistant </w:t>
      </w:r>
      <w:r>
        <w:rPr>
          <w:i/>
          <w:iCs/>
        </w:rPr>
        <w:t xml:space="preserve">Staphylococcus intermedius </w:t>
      </w:r>
      <w:r>
        <w:t xml:space="preserve">between dogs affected by deep pyoderma and their owners. </w:t>
      </w:r>
      <w:r w:rsidRPr="00967E6E">
        <w:rPr>
          <w:iCs/>
        </w:rPr>
        <w:t>Vet Microbiol</w:t>
      </w:r>
      <w:r w:rsidR="00967E6E">
        <w:rPr>
          <w:iCs/>
        </w:rPr>
        <w:t>.</w:t>
      </w:r>
      <w:r w:rsidR="002E62D3" w:rsidRPr="00967E6E">
        <w:rPr>
          <w:iCs/>
        </w:rPr>
        <w:t xml:space="preserve"> </w:t>
      </w:r>
      <w:r w:rsidR="002E62D3">
        <w:t>2004</w:t>
      </w:r>
      <w:r w:rsidR="00967E6E">
        <w:t>;</w:t>
      </w:r>
      <w:r w:rsidRPr="00967E6E">
        <w:rPr>
          <w:bCs/>
        </w:rPr>
        <w:t>98</w:t>
      </w:r>
      <w:r>
        <w:t>(1):23-7.</w:t>
      </w:r>
    </w:p>
    <w:p w14:paraId="765050FE" w14:textId="3159D0F9" w:rsidR="00FC0CF4" w:rsidRDefault="00FC0CF4" w:rsidP="00B35037">
      <w:pPr>
        <w:pStyle w:val="ListParagraph"/>
        <w:numPr>
          <w:ilvl w:val="0"/>
          <w:numId w:val="5"/>
        </w:numPr>
        <w:spacing w:after="100" w:afterAutospacing="1" w:line="480" w:lineRule="auto"/>
      </w:pPr>
      <w:r>
        <w:t>Paul NC, Moodl</w:t>
      </w:r>
      <w:r w:rsidR="00967E6E">
        <w:t>ey A, Ghibaudo G, Guardabassi L</w:t>
      </w:r>
      <w:r>
        <w:t xml:space="preserve">. Carriage of methicillin-resistant </w:t>
      </w:r>
      <w:r>
        <w:rPr>
          <w:i/>
          <w:iCs/>
        </w:rPr>
        <w:t xml:space="preserve">Staphylococcus pseudintermedius </w:t>
      </w:r>
      <w:r>
        <w:t xml:space="preserve">in small animal veterinarians: indirect evidence of zoonotic transmission. </w:t>
      </w:r>
      <w:r w:rsidRPr="00967E6E">
        <w:rPr>
          <w:iCs/>
        </w:rPr>
        <w:t>Zoonoses Public Health</w:t>
      </w:r>
      <w:r w:rsidR="00967E6E">
        <w:rPr>
          <w:iCs/>
        </w:rPr>
        <w:t>.</w:t>
      </w:r>
      <w:r w:rsidR="002E62D3">
        <w:rPr>
          <w:i/>
          <w:iCs/>
        </w:rPr>
        <w:t xml:space="preserve"> </w:t>
      </w:r>
      <w:r w:rsidR="002E62D3">
        <w:t>2011</w:t>
      </w:r>
      <w:r>
        <w:t>;</w:t>
      </w:r>
      <w:r w:rsidRPr="00967E6E">
        <w:rPr>
          <w:bCs/>
        </w:rPr>
        <w:t>58</w:t>
      </w:r>
      <w:r>
        <w:t>(8):533-9.</w:t>
      </w:r>
    </w:p>
    <w:p w14:paraId="02400821" w14:textId="3002B8B8" w:rsidR="00FC0CF4" w:rsidRDefault="00FC0CF4" w:rsidP="00B35037">
      <w:pPr>
        <w:pStyle w:val="ListParagraph"/>
        <w:numPr>
          <w:ilvl w:val="0"/>
          <w:numId w:val="5"/>
        </w:numPr>
        <w:spacing w:after="100" w:afterAutospacing="1" w:line="480" w:lineRule="auto"/>
      </w:pPr>
      <w:r>
        <w:t>Hanselman BA,</w:t>
      </w:r>
      <w:r w:rsidR="00967E6E">
        <w:t xml:space="preserve"> Kruth SA, Rousseau J, Scott Weese J</w:t>
      </w:r>
      <w:r>
        <w:t xml:space="preserve">. Coagulase positive staphylococcal colonization of humans and their household pets. </w:t>
      </w:r>
      <w:r w:rsidRPr="00967E6E">
        <w:rPr>
          <w:iCs/>
        </w:rPr>
        <w:t>Can Vet J</w:t>
      </w:r>
      <w:r w:rsidR="00967E6E">
        <w:rPr>
          <w:iCs/>
        </w:rPr>
        <w:t>.</w:t>
      </w:r>
      <w:r w:rsidR="002E62D3" w:rsidRPr="00967E6E">
        <w:rPr>
          <w:iCs/>
        </w:rPr>
        <w:t xml:space="preserve"> </w:t>
      </w:r>
      <w:r w:rsidR="002E62D3">
        <w:t>2009</w:t>
      </w:r>
      <w:r>
        <w:t>;</w:t>
      </w:r>
      <w:r w:rsidRPr="00967E6E">
        <w:rPr>
          <w:bCs/>
        </w:rPr>
        <w:t>50</w:t>
      </w:r>
      <w:r>
        <w:t>(9):954-8.</w:t>
      </w:r>
    </w:p>
    <w:p w14:paraId="75C756BB" w14:textId="42D09317" w:rsidR="00967E6E" w:rsidRDefault="00967E6E" w:rsidP="00967E6E">
      <w:pPr>
        <w:pStyle w:val="ListParagraph"/>
        <w:numPr>
          <w:ilvl w:val="0"/>
          <w:numId w:val="5"/>
        </w:numPr>
        <w:spacing w:after="100" w:afterAutospacing="1" w:line="480" w:lineRule="auto"/>
      </w:pPr>
      <w:r>
        <w:t xml:space="preserve">Walther B, Hermes J, Cuny C, </w:t>
      </w:r>
      <w:r w:rsidR="00BD6ABC">
        <w:t>Wieler LH, Vincze S, Elnaga YA, Stamm I, Kopp PA, Kohn B, Witte W, Jansen A, Conraths FJ, Semmler T, Eckmanns T, L</w:t>
      </w:r>
      <w:r w:rsidR="00BD6ABC">
        <w:rPr>
          <w:rFonts w:cstheme="minorHAnsi"/>
        </w:rPr>
        <w:t>ü</w:t>
      </w:r>
      <w:r w:rsidR="00BD6ABC">
        <w:t>bke-Becker A</w:t>
      </w:r>
      <w:r w:rsidR="002E62D3">
        <w:rPr>
          <w:i/>
        </w:rPr>
        <w:t xml:space="preserve">. </w:t>
      </w:r>
      <w:r w:rsidR="00FC0CF4">
        <w:t xml:space="preserve">Sharing more than friendship – nasal colonization with coagulase-positive staphylococci (CPS) and co-habitation aspects of dogs and their owners. </w:t>
      </w:r>
      <w:r w:rsidR="00FC0CF4" w:rsidRPr="00BD6ABC">
        <w:rPr>
          <w:iCs/>
        </w:rPr>
        <w:t>PLoS One</w:t>
      </w:r>
      <w:r w:rsidR="00BD6ABC">
        <w:rPr>
          <w:i/>
          <w:iCs/>
        </w:rPr>
        <w:t>.</w:t>
      </w:r>
      <w:r w:rsidR="002E62D3">
        <w:rPr>
          <w:i/>
          <w:iCs/>
        </w:rPr>
        <w:t xml:space="preserve"> </w:t>
      </w:r>
      <w:r w:rsidR="002E62D3">
        <w:t>2012;</w:t>
      </w:r>
      <w:r w:rsidR="00FC0CF4" w:rsidRPr="00BD6ABC">
        <w:rPr>
          <w:bCs/>
        </w:rPr>
        <w:t>7</w:t>
      </w:r>
      <w:r w:rsidR="00FC0CF4">
        <w:t>(4):e35197.</w:t>
      </w:r>
      <w:r w:rsidRPr="00967E6E">
        <w:t xml:space="preserve"> </w:t>
      </w:r>
    </w:p>
    <w:p w14:paraId="0889D9A6" w14:textId="79B812B7" w:rsidR="000D4353" w:rsidRDefault="000D4353" w:rsidP="000D4353">
      <w:pPr>
        <w:pStyle w:val="ListParagraph"/>
        <w:numPr>
          <w:ilvl w:val="0"/>
          <w:numId w:val="5"/>
        </w:numPr>
        <w:spacing w:after="100" w:afterAutospacing="1" w:line="480" w:lineRule="auto"/>
      </w:pPr>
      <w:r>
        <w:t>Mueller RS</w:t>
      </w:r>
      <w:r w:rsidRPr="000D4353">
        <w:t>, Bergvall</w:t>
      </w:r>
      <w:r>
        <w:t xml:space="preserve"> K</w:t>
      </w:r>
      <w:r w:rsidRPr="000D4353">
        <w:t>, Bensignor</w:t>
      </w:r>
      <w:r>
        <w:t xml:space="preserve"> E</w:t>
      </w:r>
      <w:r w:rsidR="00BD6ABC">
        <w:t>, Bond R</w:t>
      </w:r>
      <w:r>
        <w:rPr>
          <w:i/>
        </w:rPr>
        <w:t xml:space="preserve">. </w:t>
      </w:r>
      <w:r>
        <w:t xml:space="preserve">A review of topical therapy for skin infections with bacteria and yeast. </w:t>
      </w:r>
      <w:r w:rsidRPr="00BD6ABC">
        <w:t>Vet Dermatol</w:t>
      </w:r>
      <w:r w:rsidR="00BD6ABC">
        <w:t>.</w:t>
      </w:r>
      <w:r w:rsidRPr="000D4353">
        <w:t xml:space="preserve"> 2012;</w:t>
      </w:r>
      <w:r w:rsidRPr="00BD6ABC">
        <w:t>23</w:t>
      </w:r>
      <w:r>
        <w:t>(4)</w:t>
      </w:r>
      <w:r w:rsidRPr="000D4353">
        <w:t>:330–e62</w:t>
      </w:r>
      <w:r>
        <w:t>.</w:t>
      </w:r>
    </w:p>
    <w:p w14:paraId="0FCF6FF2" w14:textId="055C3FF7" w:rsidR="00FC0CF4" w:rsidRDefault="00FC0CF4" w:rsidP="00B35037">
      <w:pPr>
        <w:pStyle w:val="ListParagraph"/>
        <w:numPr>
          <w:ilvl w:val="0"/>
          <w:numId w:val="5"/>
        </w:numPr>
        <w:spacing w:after="100" w:afterAutospacing="1" w:line="480" w:lineRule="auto"/>
      </w:pPr>
      <w:r>
        <w:t xml:space="preserve">Brown EM, Thomas P. Fusidic acid resistance in </w:t>
      </w:r>
      <w:r>
        <w:rPr>
          <w:i/>
          <w:iCs/>
        </w:rPr>
        <w:t xml:space="preserve">Staphylococcus aureus </w:t>
      </w:r>
      <w:r>
        <w:t xml:space="preserve">isolates. </w:t>
      </w:r>
      <w:r w:rsidRPr="00BD6ABC">
        <w:rPr>
          <w:iCs/>
        </w:rPr>
        <w:t>The Lancet</w:t>
      </w:r>
      <w:r w:rsidR="00BD6ABC">
        <w:rPr>
          <w:iCs/>
        </w:rPr>
        <w:t>.</w:t>
      </w:r>
      <w:r w:rsidR="002E62D3" w:rsidRPr="00BD6ABC">
        <w:rPr>
          <w:iCs/>
        </w:rPr>
        <w:t xml:space="preserve"> </w:t>
      </w:r>
      <w:r w:rsidR="002E62D3" w:rsidRPr="00BD6ABC">
        <w:t>2002</w:t>
      </w:r>
      <w:r w:rsidRPr="00BD6ABC">
        <w:t>;</w:t>
      </w:r>
      <w:r w:rsidRPr="00BD6ABC">
        <w:rPr>
          <w:bCs/>
        </w:rPr>
        <w:t>359</w:t>
      </w:r>
      <w:r w:rsidR="003163A4" w:rsidRPr="00BD6ABC">
        <w:rPr>
          <w:bCs/>
        </w:rPr>
        <w:t>(9308)</w:t>
      </w:r>
      <w:r w:rsidRPr="00BD6ABC">
        <w:t>:803.</w:t>
      </w:r>
    </w:p>
    <w:p w14:paraId="240646F2" w14:textId="7D7FF2A0" w:rsidR="00FC0CF4" w:rsidRDefault="00FC0CF4" w:rsidP="00B35037">
      <w:pPr>
        <w:pStyle w:val="ListParagraph"/>
        <w:numPr>
          <w:ilvl w:val="0"/>
          <w:numId w:val="5"/>
        </w:numPr>
        <w:spacing w:after="100" w:afterAutospacing="1" w:line="480" w:lineRule="auto"/>
      </w:pPr>
      <w:r>
        <w:t xml:space="preserve">Block C, Furman M. Association between intensity of chlorhexidine use and micro-organisms of reduced susceptibility in a hospital environment. </w:t>
      </w:r>
      <w:r w:rsidRPr="00BD6ABC">
        <w:rPr>
          <w:iCs/>
        </w:rPr>
        <w:t>J Hosp Infect</w:t>
      </w:r>
      <w:r w:rsidR="00BD6ABC">
        <w:rPr>
          <w:iCs/>
        </w:rPr>
        <w:t xml:space="preserve">. </w:t>
      </w:r>
      <w:r w:rsidR="002E62D3">
        <w:t>2002</w:t>
      </w:r>
      <w:r>
        <w:t>;</w:t>
      </w:r>
      <w:r w:rsidRPr="00BD6ABC">
        <w:rPr>
          <w:bCs/>
        </w:rPr>
        <w:t>51</w:t>
      </w:r>
      <w:r>
        <w:t xml:space="preserve">(3):201-6. </w:t>
      </w:r>
    </w:p>
    <w:p w14:paraId="1FDC75F4" w14:textId="147C30D0" w:rsidR="00FC0CF4" w:rsidRDefault="002A43CC" w:rsidP="00BD6ABC">
      <w:pPr>
        <w:pStyle w:val="ListParagraph"/>
        <w:numPr>
          <w:ilvl w:val="0"/>
          <w:numId w:val="5"/>
        </w:numPr>
        <w:spacing w:after="100" w:afterAutospacing="1" w:line="480" w:lineRule="auto"/>
      </w:pPr>
      <w:r>
        <w:t>William</w:t>
      </w:r>
      <w:r w:rsidR="002E62D3">
        <w:t>son DA, Monecke S, Heffernan H</w:t>
      </w:r>
      <w:r w:rsidR="00BD6ABC">
        <w:t>, Ritchie SR, Roberts SA, Upton A, Thomas MG, Fraser JD</w:t>
      </w:r>
      <w:r w:rsidR="002E62D3">
        <w:rPr>
          <w:i/>
        </w:rPr>
        <w:t xml:space="preserve">. </w:t>
      </w:r>
      <w:r>
        <w:t xml:space="preserve">High usage of topical fusidic acid and rapid clonal expansion of fusidic acid-resistant </w:t>
      </w:r>
      <w:r>
        <w:rPr>
          <w:i/>
          <w:iCs/>
        </w:rPr>
        <w:t xml:space="preserve">Staphylococcus aureus: </w:t>
      </w:r>
      <w:r>
        <w:t xml:space="preserve">a cautionary tale. </w:t>
      </w:r>
      <w:r w:rsidRPr="00BD6ABC">
        <w:rPr>
          <w:iCs/>
        </w:rPr>
        <w:t>Clin Infect Dis</w:t>
      </w:r>
      <w:r w:rsidR="00BD6ABC">
        <w:rPr>
          <w:i/>
          <w:iCs/>
        </w:rPr>
        <w:t xml:space="preserve">. </w:t>
      </w:r>
      <w:r w:rsidR="002E62D3">
        <w:rPr>
          <w:iCs/>
        </w:rPr>
        <w:t>2014</w:t>
      </w:r>
      <w:r w:rsidR="00BD6ABC">
        <w:t>;</w:t>
      </w:r>
      <w:r w:rsidRPr="00BD6ABC">
        <w:rPr>
          <w:bCs/>
        </w:rPr>
        <w:t>59</w:t>
      </w:r>
      <w:r w:rsidR="00BD6ABC">
        <w:t>(10):</w:t>
      </w:r>
      <w:r>
        <w:t>1451-4.</w:t>
      </w:r>
      <w:r w:rsidR="00BD6ABC" w:rsidRPr="00BD6ABC">
        <w:t xml:space="preserve"> </w:t>
      </w:r>
    </w:p>
    <w:p w14:paraId="67A5C26B" w14:textId="77777777" w:rsidR="003163A4" w:rsidRDefault="003163A4" w:rsidP="00B35037">
      <w:pPr>
        <w:pStyle w:val="ListParagraph"/>
        <w:numPr>
          <w:ilvl w:val="0"/>
          <w:numId w:val="5"/>
        </w:numPr>
        <w:spacing w:after="100" w:afterAutospacing="1" w:line="480" w:lineRule="auto"/>
      </w:pPr>
      <w:r w:rsidRPr="005E5682">
        <w:t xml:space="preserve">EUCAST (European Committee on Antimicrobial Susceptibility Testing). 2017. Breakpoint tables for interpretation of MICs and zone diameters. Version 7.1. </w:t>
      </w:r>
      <w:hyperlink r:id="rId18" w:history="1">
        <w:r w:rsidRPr="005E5682">
          <w:rPr>
            <w:rStyle w:val="Hyperlink"/>
          </w:rPr>
          <w:t>http://www.eucast.org/fileadmin/src/media/PDFs/EUCAST_files/Breakpoint_tables/v_7.1_Breakpoint_Tables.pdf</w:t>
        </w:r>
      </w:hyperlink>
      <w:r w:rsidRPr="005E5682">
        <w:t xml:space="preserve">. Accessed </w:t>
      </w:r>
      <w:r>
        <w:t>18</w:t>
      </w:r>
      <w:r w:rsidRPr="003163A4">
        <w:rPr>
          <w:vertAlign w:val="superscript"/>
        </w:rPr>
        <w:t>th</w:t>
      </w:r>
      <w:r>
        <w:t xml:space="preserve"> February 2018.</w:t>
      </w:r>
    </w:p>
    <w:p w14:paraId="5D206639" w14:textId="57A7B4CA" w:rsidR="00FC0CF4" w:rsidRDefault="002A43CC" w:rsidP="00BD6ABC">
      <w:pPr>
        <w:pStyle w:val="ListParagraph"/>
        <w:numPr>
          <w:ilvl w:val="0"/>
          <w:numId w:val="5"/>
        </w:numPr>
        <w:spacing w:after="100" w:afterAutospacing="1" w:line="480" w:lineRule="auto"/>
      </w:pPr>
      <w:r>
        <w:t>Ell</w:t>
      </w:r>
      <w:r w:rsidR="00BD6ABC">
        <w:t>ington MJ, Reuter S, Harris SR, Holden MTG, Cartwright EJ, Greaves D, Gerver SM, Hope R, Brown NM, T</w:t>
      </w:r>
      <w:r w:rsidR="00BD6ABC">
        <w:rPr>
          <w:rFonts w:cstheme="minorHAnsi"/>
        </w:rPr>
        <w:t>ö</w:t>
      </w:r>
      <w:r w:rsidR="00BD6ABC">
        <w:t>r</w:t>
      </w:r>
      <w:r w:rsidR="00BD6ABC">
        <w:rPr>
          <w:rFonts w:cstheme="minorHAnsi"/>
        </w:rPr>
        <w:t>ö</w:t>
      </w:r>
      <w:r w:rsidR="00BD6ABC">
        <w:t>k ME, Parkhill J, K</w:t>
      </w:r>
      <w:r w:rsidR="00BD6ABC">
        <w:rPr>
          <w:rFonts w:cstheme="minorHAnsi"/>
        </w:rPr>
        <w:t>ö</w:t>
      </w:r>
      <w:r w:rsidR="00BD6ABC">
        <w:t>ser CU, Peacock SJ</w:t>
      </w:r>
      <w:r>
        <w:t xml:space="preserve">. Emergent and evolving antimicrobial resistance cassettes in community-associated fusidic acid and meticillin-resistant </w:t>
      </w:r>
      <w:r>
        <w:rPr>
          <w:i/>
        </w:rPr>
        <w:t xml:space="preserve">Staphylococcus aureus. </w:t>
      </w:r>
      <w:r w:rsidRPr="00BD6ABC">
        <w:t>Int J Antimicrob Agents</w:t>
      </w:r>
      <w:r w:rsidR="00BD6ABC">
        <w:t>.</w:t>
      </w:r>
      <w:r w:rsidR="002E62D3">
        <w:rPr>
          <w:i/>
        </w:rPr>
        <w:t xml:space="preserve"> </w:t>
      </w:r>
      <w:r w:rsidR="002E62D3">
        <w:t>2015</w:t>
      </w:r>
      <w:r>
        <w:rPr>
          <w:i/>
        </w:rPr>
        <w:t>;</w:t>
      </w:r>
      <w:r w:rsidRPr="00BD6ABC">
        <w:t>45</w:t>
      </w:r>
      <w:r>
        <w:t>(5):477-84.</w:t>
      </w:r>
      <w:r w:rsidR="00BD6ABC" w:rsidRPr="00BD6ABC">
        <w:t xml:space="preserve"> </w:t>
      </w:r>
    </w:p>
    <w:p w14:paraId="47683DE3" w14:textId="737A2866" w:rsidR="002A43CC" w:rsidRDefault="00BD6ABC" w:rsidP="00BD6ABC">
      <w:pPr>
        <w:pStyle w:val="ListParagraph"/>
        <w:numPr>
          <w:ilvl w:val="0"/>
          <w:numId w:val="5"/>
        </w:numPr>
        <w:spacing w:after="100" w:afterAutospacing="1" w:line="480" w:lineRule="auto"/>
      </w:pPr>
      <w:r>
        <w:t>Wang JT, Sheng WH, Wang JL, Chen D, Chen ML, Chen YC, Chang SC.</w:t>
      </w:r>
      <w:r w:rsidR="002A43CC">
        <w:t xml:space="preserve"> Longitudinal analysis of chlorhexidine susceptibilities of nosocomial methicillin-resistant </w:t>
      </w:r>
      <w:r w:rsidR="002A43CC">
        <w:rPr>
          <w:i/>
          <w:iCs/>
        </w:rPr>
        <w:t xml:space="preserve">Staphylococcus aureus </w:t>
      </w:r>
      <w:r w:rsidR="002A43CC">
        <w:t xml:space="preserve">isolates at a teaching hospital in Taiwan. </w:t>
      </w:r>
      <w:r w:rsidR="002A43CC" w:rsidRPr="00BD6ABC">
        <w:rPr>
          <w:iCs/>
        </w:rPr>
        <w:t>J Antimicrob Chemother</w:t>
      </w:r>
      <w:r>
        <w:rPr>
          <w:iCs/>
        </w:rPr>
        <w:t>.</w:t>
      </w:r>
      <w:r w:rsidR="008654CE">
        <w:rPr>
          <w:i/>
          <w:iCs/>
        </w:rPr>
        <w:t xml:space="preserve"> </w:t>
      </w:r>
      <w:r w:rsidR="008654CE">
        <w:t>2008</w:t>
      </w:r>
      <w:r w:rsidR="002A43CC">
        <w:t>;</w:t>
      </w:r>
      <w:r w:rsidR="002A43CC" w:rsidRPr="00BD6ABC">
        <w:rPr>
          <w:bCs/>
        </w:rPr>
        <w:t>62</w:t>
      </w:r>
      <w:r w:rsidR="002A43CC">
        <w:t>(3):514-7.</w:t>
      </w:r>
      <w:r w:rsidRPr="00BD6ABC">
        <w:t xml:space="preserve"> </w:t>
      </w:r>
    </w:p>
    <w:p w14:paraId="7CA4D139" w14:textId="77777777" w:rsidR="0057068C" w:rsidRDefault="0057068C" w:rsidP="0057068C">
      <w:pPr>
        <w:pStyle w:val="ListParagraph"/>
        <w:numPr>
          <w:ilvl w:val="0"/>
          <w:numId w:val="5"/>
        </w:numPr>
        <w:spacing w:after="100" w:afterAutospacing="1" w:line="480" w:lineRule="auto"/>
      </w:pPr>
      <w:r>
        <w:t xml:space="preserve">Smith K, Gemmell CG, Hunter IS. The association between biocide tolerance and the presence or absence of </w:t>
      </w:r>
      <w:r>
        <w:rPr>
          <w:i/>
          <w:iCs/>
        </w:rPr>
        <w:t xml:space="preserve">qac </w:t>
      </w:r>
      <w:r>
        <w:t xml:space="preserve">genes among hospital-acquired and community-acquired MRSA isolates. </w:t>
      </w:r>
      <w:r w:rsidRPr="00BD6ABC">
        <w:rPr>
          <w:iCs/>
        </w:rPr>
        <w:t>J Antimicrob Chemother</w:t>
      </w:r>
      <w:r>
        <w:rPr>
          <w:iCs/>
        </w:rPr>
        <w:t xml:space="preserve">. </w:t>
      </w:r>
      <w:r>
        <w:t>2008;</w:t>
      </w:r>
      <w:r w:rsidRPr="00BD6ABC">
        <w:rPr>
          <w:bCs/>
        </w:rPr>
        <w:t>61</w:t>
      </w:r>
      <w:r>
        <w:t>(1):78-84.</w:t>
      </w:r>
    </w:p>
    <w:p w14:paraId="12AEA59C" w14:textId="271E1A29" w:rsidR="00BD6ABC" w:rsidRDefault="002A43CC" w:rsidP="00BD6ABC">
      <w:pPr>
        <w:pStyle w:val="ListParagraph"/>
        <w:numPr>
          <w:ilvl w:val="0"/>
          <w:numId w:val="5"/>
        </w:numPr>
        <w:spacing w:after="100" w:afterAutospacing="1" w:line="480" w:lineRule="auto"/>
      </w:pPr>
      <w:r>
        <w:t>Le</w:t>
      </w:r>
      <w:r w:rsidR="00BD6ABC">
        <w:t>e AS, Macedo-Vinas M, François P, Renzi G, Schrenzel J, Vernaz N, Pittet D, Harbarth S</w:t>
      </w:r>
      <w:r w:rsidR="008654CE">
        <w:rPr>
          <w:i/>
        </w:rPr>
        <w:t xml:space="preserve">. </w:t>
      </w:r>
      <w:r>
        <w:t xml:space="preserve">Impact of combined low-level mupirocin and genotypic chlorhexidine resistance on persistent methicillin-resistant </w:t>
      </w:r>
      <w:r>
        <w:rPr>
          <w:i/>
          <w:iCs/>
        </w:rPr>
        <w:t xml:space="preserve">Staphylococcus aureus </w:t>
      </w:r>
      <w:r>
        <w:t xml:space="preserve">carriage after decolonization therapy: A case-control study. </w:t>
      </w:r>
      <w:r w:rsidRPr="00BD6ABC">
        <w:rPr>
          <w:iCs/>
        </w:rPr>
        <w:t>Clin Infect Dis</w:t>
      </w:r>
      <w:r w:rsidR="00BD6ABC">
        <w:rPr>
          <w:i/>
          <w:iCs/>
        </w:rPr>
        <w:t>.</w:t>
      </w:r>
      <w:r w:rsidR="008654CE">
        <w:rPr>
          <w:i/>
          <w:iCs/>
        </w:rPr>
        <w:t xml:space="preserve"> </w:t>
      </w:r>
      <w:r w:rsidR="008654CE">
        <w:rPr>
          <w:iCs/>
        </w:rPr>
        <w:t>2011</w:t>
      </w:r>
      <w:r>
        <w:t>;</w:t>
      </w:r>
      <w:r w:rsidRPr="00BD6ABC">
        <w:rPr>
          <w:bCs/>
        </w:rPr>
        <w:t>52</w:t>
      </w:r>
      <w:r>
        <w:t>(12):1422-30.</w:t>
      </w:r>
      <w:r w:rsidR="00BD6ABC" w:rsidRPr="00BD6ABC">
        <w:t xml:space="preserve"> </w:t>
      </w:r>
    </w:p>
    <w:p w14:paraId="78981125" w14:textId="7FF6E786" w:rsidR="003163A4" w:rsidRDefault="003163A4" w:rsidP="00B35037">
      <w:pPr>
        <w:pStyle w:val="ListParagraph"/>
        <w:numPr>
          <w:ilvl w:val="0"/>
          <w:numId w:val="5"/>
        </w:numPr>
        <w:spacing w:after="100" w:afterAutospacing="1" w:line="480" w:lineRule="auto"/>
      </w:pPr>
      <w:r>
        <w:t xml:space="preserve">O'Neill AJ, Chopra I. Molecular basis of </w:t>
      </w:r>
      <w:r>
        <w:rPr>
          <w:i/>
          <w:iCs/>
        </w:rPr>
        <w:t>fusB-</w:t>
      </w:r>
      <w:r>
        <w:t xml:space="preserve">mediated resistance to fusidic acid in </w:t>
      </w:r>
      <w:r>
        <w:rPr>
          <w:i/>
          <w:iCs/>
        </w:rPr>
        <w:t xml:space="preserve">Staphylococcus aureus. </w:t>
      </w:r>
      <w:r w:rsidRPr="00BD6ABC">
        <w:rPr>
          <w:iCs/>
        </w:rPr>
        <w:t>Mol Microbiol</w:t>
      </w:r>
      <w:r w:rsidR="00BD6ABC">
        <w:rPr>
          <w:iCs/>
        </w:rPr>
        <w:t>.</w:t>
      </w:r>
      <w:r w:rsidRPr="00BD6ABC">
        <w:rPr>
          <w:iCs/>
        </w:rPr>
        <w:t xml:space="preserve"> 2006</w:t>
      </w:r>
      <w:r w:rsidRPr="00BD6ABC">
        <w:t>;</w:t>
      </w:r>
      <w:r w:rsidRPr="00BD6ABC">
        <w:rPr>
          <w:bCs/>
        </w:rPr>
        <w:t>59</w:t>
      </w:r>
      <w:r>
        <w:t>(2):664-76.</w:t>
      </w:r>
    </w:p>
    <w:p w14:paraId="79EB0C9D" w14:textId="447797F4" w:rsidR="006307F5" w:rsidRDefault="006307F5" w:rsidP="00B35037">
      <w:pPr>
        <w:pStyle w:val="ListParagraph"/>
        <w:numPr>
          <w:ilvl w:val="0"/>
          <w:numId w:val="5"/>
        </w:numPr>
        <w:spacing w:after="100" w:afterAutospacing="1" w:line="480" w:lineRule="auto"/>
      </w:pPr>
      <w:r>
        <w:t xml:space="preserve">Lannergård J, Norström T, Hughes D. Genetic determinants of resistance to fusidic acid among clinical bacteremia isolates of </w:t>
      </w:r>
      <w:r>
        <w:rPr>
          <w:i/>
          <w:iCs/>
        </w:rPr>
        <w:t xml:space="preserve">Staphylococcus aureus. </w:t>
      </w:r>
      <w:r w:rsidRPr="00BD6ABC">
        <w:rPr>
          <w:iCs/>
        </w:rPr>
        <w:t>Antimicrob Agents Chemother</w:t>
      </w:r>
      <w:r w:rsidR="00BD6ABC">
        <w:rPr>
          <w:iCs/>
        </w:rPr>
        <w:t>.</w:t>
      </w:r>
      <w:r>
        <w:rPr>
          <w:i/>
          <w:iCs/>
        </w:rPr>
        <w:t xml:space="preserve"> </w:t>
      </w:r>
      <w:r>
        <w:t>2009;</w:t>
      </w:r>
      <w:r w:rsidRPr="00BD6ABC">
        <w:rPr>
          <w:bCs/>
        </w:rPr>
        <w:t>53</w:t>
      </w:r>
      <w:r>
        <w:t>(5):2059-65.</w:t>
      </w:r>
    </w:p>
    <w:p w14:paraId="7A026967" w14:textId="2EF1BC66" w:rsidR="006307F5" w:rsidRDefault="006307F5" w:rsidP="00B35037">
      <w:pPr>
        <w:pStyle w:val="ListParagraph"/>
        <w:numPr>
          <w:ilvl w:val="0"/>
          <w:numId w:val="5"/>
        </w:numPr>
        <w:spacing w:after="100" w:afterAutospacing="1" w:line="480" w:lineRule="auto"/>
      </w:pPr>
      <w:r>
        <w:t xml:space="preserve">Farrell DJ, Castanheira M, Chopra I. Characterization of global patterns and the genetics of fusidic acid resistance. </w:t>
      </w:r>
      <w:r w:rsidRPr="00BD6ABC">
        <w:rPr>
          <w:iCs/>
        </w:rPr>
        <w:t>Clin Infect Dis</w:t>
      </w:r>
      <w:r w:rsidR="00BD6ABC">
        <w:rPr>
          <w:iCs/>
        </w:rPr>
        <w:t>.</w:t>
      </w:r>
      <w:r>
        <w:rPr>
          <w:i/>
          <w:iCs/>
        </w:rPr>
        <w:t xml:space="preserve"> </w:t>
      </w:r>
      <w:r>
        <w:t>2011;</w:t>
      </w:r>
      <w:r w:rsidRPr="00BD6ABC">
        <w:rPr>
          <w:bCs/>
        </w:rPr>
        <w:t>52</w:t>
      </w:r>
      <w:r>
        <w:t>(7):S487-92.</w:t>
      </w:r>
    </w:p>
    <w:p w14:paraId="7CD6A29D" w14:textId="056CC7E3" w:rsidR="003163A4" w:rsidRDefault="003163A4" w:rsidP="00B35037">
      <w:pPr>
        <w:pStyle w:val="ListParagraph"/>
        <w:numPr>
          <w:ilvl w:val="0"/>
          <w:numId w:val="5"/>
        </w:numPr>
        <w:spacing w:after="100" w:afterAutospacing="1" w:line="480" w:lineRule="auto"/>
      </w:pPr>
      <w:r>
        <w:t>O’</w:t>
      </w:r>
      <w:r w:rsidR="00BD6ABC">
        <w:t>Neill AJ, McLaws F, Kahlmeter G, Henriksen AS, Chopra I</w:t>
      </w:r>
      <w:r>
        <w:t xml:space="preserve">. Genetic basis of resistance to fusidic acid in staphylococci. </w:t>
      </w:r>
      <w:r w:rsidRPr="00BD6ABC">
        <w:rPr>
          <w:iCs/>
        </w:rPr>
        <w:t>Antimicrob Agents Chemother</w:t>
      </w:r>
      <w:r w:rsidR="00BD6ABC">
        <w:rPr>
          <w:iCs/>
        </w:rPr>
        <w:t>.</w:t>
      </w:r>
      <w:r>
        <w:rPr>
          <w:i/>
          <w:iCs/>
        </w:rPr>
        <w:t xml:space="preserve"> </w:t>
      </w:r>
      <w:r w:rsidR="00BD6ABC">
        <w:t>2007;</w:t>
      </w:r>
      <w:r w:rsidRPr="00BD6ABC">
        <w:rPr>
          <w:bCs/>
        </w:rPr>
        <w:t>51</w:t>
      </w:r>
      <w:r>
        <w:t>(5):1737-40.</w:t>
      </w:r>
    </w:p>
    <w:p w14:paraId="512949B6" w14:textId="0448A143" w:rsidR="003163A4" w:rsidRDefault="001C7529" w:rsidP="00B35037">
      <w:pPr>
        <w:pStyle w:val="ListParagraph"/>
        <w:numPr>
          <w:ilvl w:val="0"/>
          <w:numId w:val="5"/>
        </w:numPr>
        <w:spacing w:after="100" w:afterAutospacing="1" w:line="480" w:lineRule="auto"/>
      </w:pPr>
      <w:r>
        <w:t>Besier S, Ludwig A, Brade V, Wickelhaus TA</w:t>
      </w:r>
      <w:r w:rsidR="003163A4">
        <w:t xml:space="preserve">. Molecular analysis of fusidic acid resistance in </w:t>
      </w:r>
      <w:r w:rsidR="003163A4">
        <w:rPr>
          <w:i/>
          <w:iCs/>
        </w:rPr>
        <w:t>Staphylococcus aureus</w:t>
      </w:r>
      <w:r w:rsidR="003163A4">
        <w:t xml:space="preserve">. </w:t>
      </w:r>
      <w:r w:rsidR="003163A4" w:rsidRPr="001C7529">
        <w:rPr>
          <w:iCs/>
        </w:rPr>
        <w:t>Mol Microbiol</w:t>
      </w:r>
      <w:r>
        <w:rPr>
          <w:iCs/>
        </w:rPr>
        <w:t>.</w:t>
      </w:r>
      <w:r w:rsidR="003163A4">
        <w:rPr>
          <w:i/>
          <w:iCs/>
        </w:rPr>
        <w:t xml:space="preserve"> </w:t>
      </w:r>
      <w:r>
        <w:t>2003;</w:t>
      </w:r>
      <w:r w:rsidR="003163A4" w:rsidRPr="001C7529">
        <w:rPr>
          <w:bCs/>
        </w:rPr>
        <w:t>47</w:t>
      </w:r>
      <w:r w:rsidR="003163A4">
        <w:t>(2):463–9.</w:t>
      </w:r>
    </w:p>
    <w:p w14:paraId="1743ECF9" w14:textId="38A9B5D9" w:rsidR="003163A4" w:rsidRDefault="003163A4" w:rsidP="00B35037">
      <w:pPr>
        <w:pStyle w:val="ListParagraph"/>
        <w:numPr>
          <w:ilvl w:val="0"/>
          <w:numId w:val="5"/>
        </w:numPr>
        <w:spacing w:after="100" w:afterAutospacing="1" w:line="480" w:lineRule="auto"/>
      </w:pPr>
      <w:r>
        <w:t xml:space="preserve">Norström T, Lannergård J, Hughes D. Genetic and phenotypic identification of fusidic acid-resistant mutants with the small-colony-variant phenotype in </w:t>
      </w:r>
      <w:r>
        <w:rPr>
          <w:i/>
          <w:iCs/>
        </w:rPr>
        <w:t>Staphylococcus aureus</w:t>
      </w:r>
      <w:r>
        <w:t xml:space="preserve">. </w:t>
      </w:r>
      <w:r w:rsidRPr="001C7529">
        <w:rPr>
          <w:iCs/>
        </w:rPr>
        <w:t>Antimicrob Agents Chemother</w:t>
      </w:r>
      <w:r w:rsidR="001C7529">
        <w:t>.</w:t>
      </w:r>
      <w:r w:rsidRPr="001C7529">
        <w:t xml:space="preserve"> </w:t>
      </w:r>
      <w:r w:rsidR="001C7529">
        <w:t>2007;</w:t>
      </w:r>
      <w:r w:rsidRPr="001C7529">
        <w:rPr>
          <w:bCs/>
        </w:rPr>
        <w:t>51</w:t>
      </w:r>
      <w:r>
        <w:t>(12):4438-46.</w:t>
      </w:r>
    </w:p>
    <w:p w14:paraId="696062D6" w14:textId="5A3A275E" w:rsidR="002A43CC" w:rsidRDefault="002A43CC" w:rsidP="00B35037">
      <w:pPr>
        <w:pStyle w:val="ListParagraph"/>
        <w:numPr>
          <w:ilvl w:val="0"/>
          <w:numId w:val="5"/>
        </w:numPr>
        <w:spacing w:after="100" w:afterAutospacing="1" w:line="480" w:lineRule="auto"/>
      </w:pPr>
      <w:r>
        <w:t>Castanheira M, Watters AA, Mendres</w:t>
      </w:r>
      <w:r w:rsidR="001C7529">
        <w:t xml:space="preserve"> RE, Farrell DJ, Jones RN</w:t>
      </w:r>
      <w:r>
        <w:t xml:space="preserve">. Occurrence and molecular characterization of fusidic acid resistance mechanisms among </w:t>
      </w:r>
      <w:r>
        <w:rPr>
          <w:i/>
          <w:iCs/>
        </w:rPr>
        <w:t xml:space="preserve">Staphylococcus </w:t>
      </w:r>
      <w:r>
        <w:t>spp. from European countries (2008)</w:t>
      </w:r>
      <w:r>
        <w:rPr>
          <w:i/>
          <w:iCs/>
        </w:rPr>
        <w:t xml:space="preserve">. </w:t>
      </w:r>
      <w:r w:rsidRPr="001C7529">
        <w:rPr>
          <w:iCs/>
        </w:rPr>
        <w:t>J Antimicrob Chemother</w:t>
      </w:r>
      <w:r w:rsidR="001C7529">
        <w:rPr>
          <w:iCs/>
        </w:rPr>
        <w:t>.</w:t>
      </w:r>
      <w:r w:rsidR="008654CE">
        <w:rPr>
          <w:i/>
          <w:iCs/>
        </w:rPr>
        <w:t xml:space="preserve"> </w:t>
      </w:r>
      <w:r w:rsidR="008654CE">
        <w:rPr>
          <w:iCs/>
        </w:rPr>
        <w:t>2010</w:t>
      </w:r>
      <w:r>
        <w:t>;</w:t>
      </w:r>
      <w:r w:rsidRPr="001C7529">
        <w:rPr>
          <w:bCs/>
        </w:rPr>
        <w:t>65</w:t>
      </w:r>
      <w:r>
        <w:t>(7):1353–8.</w:t>
      </w:r>
    </w:p>
    <w:p w14:paraId="31BC8D3A" w14:textId="3F743754" w:rsidR="002A43CC" w:rsidRDefault="002A43CC" w:rsidP="00B35037">
      <w:pPr>
        <w:pStyle w:val="ListParagraph"/>
        <w:numPr>
          <w:ilvl w:val="0"/>
          <w:numId w:val="5"/>
        </w:numPr>
        <w:spacing w:after="100" w:afterAutospacing="1" w:line="480" w:lineRule="auto"/>
      </w:pPr>
      <w:r>
        <w:t xml:space="preserve">Castanheira M, Watters AA, Bell </w:t>
      </w:r>
      <w:r w:rsidR="001C7529">
        <w:t>JM, JD Turnidge, Jones RN</w:t>
      </w:r>
      <w:r w:rsidR="006E0350">
        <w:t xml:space="preserve">. </w:t>
      </w:r>
      <w:r>
        <w:t xml:space="preserve">Fusidic acid resistance rates and prevalence of resistance mechanisms among </w:t>
      </w:r>
      <w:r>
        <w:rPr>
          <w:i/>
          <w:iCs/>
        </w:rPr>
        <w:t>Staphylococcus spp</w:t>
      </w:r>
      <w:r>
        <w:t xml:space="preserve">. Isolated in North America and Australia, 2007–2008. </w:t>
      </w:r>
      <w:r w:rsidRPr="001C7529">
        <w:rPr>
          <w:iCs/>
        </w:rPr>
        <w:t>Antimicrob Agents Chemother</w:t>
      </w:r>
      <w:r w:rsidR="001C7529">
        <w:rPr>
          <w:i/>
          <w:iCs/>
        </w:rPr>
        <w:t xml:space="preserve">. </w:t>
      </w:r>
      <w:r w:rsidR="008654CE">
        <w:rPr>
          <w:iCs/>
        </w:rPr>
        <w:t>2010</w:t>
      </w:r>
      <w:r w:rsidR="001C7529">
        <w:t>;</w:t>
      </w:r>
      <w:r w:rsidRPr="001C7529">
        <w:rPr>
          <w:bCs/>
        </w:rPr>
        <w:t>54</w:t>
      </w:r>
      <w:r w:rsidR="001C7529">
        <w:t>(9):</w:t>
      </w:r>
      <w:r>
        <w:t>3614–7.</w:t>
      </w:r>
    </w:p>
    <w:p w14:paraId="2982A99C" w14:textId="27E36D9C" w:rsidR="003163A4" w:rsidRDefault="001C7529" w:rsidP="001C7529">
      <w:pPr>
        <w:pStyle w:val="ListParagraph"/>
        <w:numPr>
          <w:ilvl w:val="0"/>
          <w:numId w:val="5"/>
        </w:numPr>
        <w:spacing w:after="100" w:afterAutospacing="1" w:line="480" w:lineRule="auto"/>
      </w:pPr>
      <w:r>
        <w:t>Chen H-J, Hung W-C, Tseng S-P, Tsai J-C, Hsueh P-R, Teng L-J</w:t>
      </w:r>
      <w:r w:rsidR="003163A4">
        <w:t xml:space="preserve">. Fusidic acid resistance determinants in </w:t>
      </w:r>
      <w:r w:rsidR="003163A4">
        <w:rPr>
          <w:i/>
          <w:iCs/>
        </w:rPr>
        <w:t xml:space="preserve">Staphylococcus aureus </w:t>
      </w:r>
      <w:r w:rsidR="003163A4">
        <w:t xml:space="preserve">clinical isolates. </w:t>
      </w:r>
      <w:r w:rsidR="003163A4" w:rsidRPr="001C7529">
        <w:rPr>
          <w:iCs/>
        </w:rPr>
        <w:t>Antimicrob Agents Chemother</w:t>
      </w:r>
      <w:r>
        <w:rPr>
          <w:iCs/>
        </w:rPr>
        <w:t>.</w:t>
      </w:r>
      <w:r w:rsidR="003163A4">
        <w:rPr>
          <w:i/>
          <w:iCs/>
        </w:rPr>
        <w:t xml:space="preserve"> </w:t>
      </w:r>
      <w:r w:rsidR="003163A4">
        <w:rPr>
          <w:iCs/>
        </w:rPr>
        <w:t>2010</w:t>
      </w:r>
      <w:r>
        <w:t>;</w:t>
      </w:r>
      <w:r w:rsidR="003163A4" w:rsidRPr="001C7529">
        <w:rPr>
          <w:bCs/>
        </w:rPr>
        <w:t>54</w:t>
      </w:r>
      <w:r>
        <w:t>(12):</w:t>
      </w:r>
      <w:r w:rsidR="003163A4">
        <w:t>4985-91.</w:t>
      </w:r>
      <w:r w:rsidRPr="001C7529">
        <w:t xml:space="preserve"> </w:t>
      </w:r>
    </w:p>
    <w:p w14:paraId="5A4D2E80" w14:textId="49F33A77" w:rsidR="001C7529" w:rsidRDefault="003163A4" w:rsidP="001C7529">
      <w:pPr>
        <w:pStyle w:val="ListParagraph"/>
        <w:numPr>
          <w:ilvl w:val="0"/>
          <w:numId w:val="5"/>
        </w:numPr>
        <w:spacing w:after="100" w:afterAutospacing="1" w:line="480" w:lineRule="auto"/>
      </w:pPr>
      <w:r>
        <w:t>McCarthy AJ,</w:t>
      </w:r>
      <w:r w:rsidR="001C7529">
        <w:t xml:space="preserve"> Harrison EM, Stanczak-Mrozek K, Leggett B, Waller A, Holmes MA, Lloyd DH, Lindsay JA, Loeffler A</w:t>
      </w:r>
      <w:r>
        <w:t xml:space="preserve">. Genomic insights into the rapid emergence and evolution of MDR in </w:t>
      </w:r>
      <w:r>
        <w:rPr>
          <w:i/>
          <w:iCs/>
        </w:rPr>
        <w:t>Staphylococcus pseudintermedius</w:t>
      </w:r>
      <w:r w:rsidRPr="001C7529">
        <w:rPr>
          <w:iCs/>
        </w:rPr>
        <w:t>. J Antimicrob Chemother</w:t>
      </w:r>
      <w:r w:rsidR="001C7529">
        <w:rPr>
          <w:iCs/>
        </w:rPr>
        <w:t>.</w:t>
      </w:r>
      <w:r w:rsidRPr="001C7529">
        <w:rPr>
          <w:iCs/>
        </w:rPr>
        <w:t xml:space="preserve"> </w:t>
      </w:r>
      <w:r w:rsidRPr="008654CE">
        <w:rPr>
          <w:iCs/>
        </w:rPr>
        <w:t>2</w:t>
      </w:r>
      <w:r>
        <w:t>015;</w:t>
      </w:r>
      <w:r w:rsidRPr="001C7529">
        <w:rPr>
          <w:bCs/>
        </w:rPr>
        <w:t>70</w:t>
      </w:r>
      <w:r w:rsidR="008F2919" w:rsidRPr="008F2919">
        <w:rPr>
          <w:bCs/>
        </w:rPr>
        <w:t>(4)</w:t>
      </w:r>
      <w:r>
        <w:t>:997–1007</w:t>
      </w:r>
      <w:r w:rsidR="001C7529">
        <w:t>.</w:t>
      </w:r>
    </w:p>
    <w:p w14:paraId="573A04B5" w14:textId="229841A9" w:rsidR="00E02EE8" w:rsidRDefault="00E02EE8" w:rsidP="00E02EE8">
      <w:pPr>
        <w:pStyle w:val="ListParagraph"/>
        <w:numPr>
          <w:ilvl w:val="0"/>
          <w:numId w:val="5"/>
        </w:numPr>
        <w:spacing w:after="100" w:afterAutospacing="1" w:line="480" w:lineRule="auto"/>
      </w:pPr>
      <w:r>
        <w:t>Worthing KA</w:t>
      </w:r>
      <w:r w:rsidRPr="00E02EE8">
        <w:t>, Marcus</w:t>
      </w:r>
      <w:r>
        <w:t xml:space="preserve"> A</w:t>
      </w:r>
      <w:r w:rsidRPr="00E02EE8">
        <w:t xml:space="preserve">, </w:t>
      </w:r>
      <w:r w:rsidR="001C7529">
        <w:t>Abraham S, Trott DJ, Norris JM</w:t>
      </w:r>
      <w:r>
        <w:t xml:space="preserve">. </w:t>
      </w:r>
      <w:r w:rsidRPr="00E02EE8">
        <w:rPr>
          <w:i/>
        </w:rPr>
        <w:t>Qac</w:t>
      </w:r>
      <w:r>
        <w:t xml:space="preserve"> genes and biocide tolerance in clinical veterinary methicillin-resistant and methicillin-susceptible </w:t>
      </w:r>
      <w:r w:rsidRPr="00E02EE8">
        <w:rPr>
          <w:i/>
        </w:rPr>
        <w:t xml:space="preserve">Staphylococcus aureus </w:t>
      </w:r>
      <w:r>
        <w:t xml:space="preserve">and </w:t>
      </w:r>
      <w:r w:rsidRPr="00E02EE8">
        <w:rPr>
          <w:i/>
        </w:rPr>
        <w:t>Staphylococcus pseudintermedius</w:t>
      </w:r>
      <w:r>
        <w:t xml:space="preserve">. </w:t>
      </w:r>
      <w:r w:rsidRPr="001C7529">
        <w:t>Vet Microbiol</w:t>
      </w:r>
      <w:r w:rsidR="001C7529">
        <w:rPr>
          <w:i/>
        </w:rPr>
        <w:t xml:space="preserve">. </w:t>
      </w:r>
      <w:r>
        <w:t>2018;</w:t>
      </w:r>
      <w:r w:rsidRPr="001C7529">
        <w:t>216</w:t>
      </w:r>
      <w:r>
        <w:t>:153–</w:t>
      </w:r>
      <w:r w:rsidRPr="00E02EE8">
        <w:t>8</w:t>
      </w:r>
      <w:r>
        <w:t>.</w:t>
      </w:r>
    </w:p>
    <w:p w14:paraId="465EC806" w14:textId="0CF169ED" w:rsidR="001C7529" w:rsidRDefault="002A43CC" w:rsidP="001C7529">
      <w:pPr>
        <w:pStyle w:val="ListParagraph"/>
        <w:numPr>
          <w:ilvl w:val="0"/>
          <w:numId w:val="5"/>
        </w:numPr>
        <w:spacing w:after="100" w:afterAutospacing="1" w:line="480" w:lineRule="auto"/>
      </w:pPr>
      <w:r>
        <w:t>S</w:t>
      </w:r>
      <w:r w:rsidR="008654CE">
        <w:t>heng WH, Wang JT, Lauderdale TL</w:t>
      </w:r>
      <w:r w:rsidR="001C7529">
        <w:t>, Weng C-M, Chen D, Chang S-C</w:t>
      </w:r>
      <w:r>
        <w:t xml:space="preserve">. Epidemiology and susceptibilities of methicillin-resistant </w:t>
      </w:r>
      <w:r>
        <w:rPr>
          <w:i/>
          <w:iCs/>
        </w:rPr>
        <w:t xml:space="preserve">Staphylococcus aureus </w:t>
      </w:r>
      <w:r>
        <w:t>in Taiwan: emphasis on chlorhexidine susceptibility</w:t>
      </w:r>
      <w:r w:rsidRPr="001C7529">
        <w:rPr>
          <w:iCs/>
        </w:rPr>
        <w:t>. Diagn Micr Infec Dis</w:t>
      </w:r>
      <w:r w:rsidR="001C7529">
        <w:rPr>
          <w:i/>
          <w:iCs/>
        </w:rPr>
        <w:t xml:space="preserve">. </w:t>
      </w:r>
      <w:r w:rsidR="008654CE">
        <w:rPr>
          <w:iCs/>
        </w:rPr>
        <w:t>2009</w:t>
      </w:r>
      <w:r>
        <w:t>;</w:t>
      </w:r>
      <w:r w:rsidRPr="001C7529">
        <w:rPr>
          <w:bCs/>
        </w:rPr>
        <w:t>63</w:t>
      </w:r>
      <w:r>
        <w:t>(3):309-13.</w:t>
      </w:r>
      <w:r w:rsidR="001C7529" w:rsidRPr="001C7529">
        <w:t xml:space="preserve"> </w:t>
      </w:r>
    </w:p>
    <w:p w14:paraId="2E321FFB" w14:textId="1DD0D152" w:rsidR="002A43CC" w:rsidRDefault="002A43CC" w:rsidP="001C7529">
      <w:pPr>
        <w:pStyle w:val="ListParagraph"/>
        <w:numPr>
          <w:ilvl w:val="0"/>
          <w:numId w:val="5"/>
        </w:numPr>
        <w:spacing w:after="100" w:afterAutospacing="1" w:line="480" w:lineRule="auto"/>
      </w:pPr>
      <w:r>
        <w:t>Mc</w:t>
      </w:r>
      <w:r w:rsidR="001C7529">
        <w:t>Danel JS, Murphy CR, Diekema DJ, Quan V, Kim DS, Peterson EM, Evans KD, Tan GL, Hayden MK, Huang SS</w:t>
      </w:r>
      <w:r>
        <w:t xml:space="preserve">. Chlorhexidine and mupirocin susceptibilities of methicillin-resistant </w:t>
      </w:r>
      <w:r>
        <w:rPr>
          <w:i/>
          <w:iCs/>
        </w:rPr>
        <w:t xml:space="preserve">Staphylococcus aureus </w:t>
      </w:r>
      <w:r>
        <w:t>from colonized nursing home residents.</w:t>
      </w:r>
      <w:r w:rsidRPr="001C7529">
        <w:t xml:space="preserve"> </w:t>
      </w:r>
      <w:r w:rsidRPr="001C7529">
        <w:rPr>
          <w:iCs/>
        </w:rPr>
        <w:t>Antimicrob</w:t>
      </w:r>
      <w:r w:rsidR="00707263" w:rsidRPr="001C7529">
        <w:rPr>
          <w:iCs/>
        </w:rPr>
        <w:t xml:space="preserve"> </w:t>
      </w:r>
      <w:r w:rsidRPr="001C7529">
        <w:rPr>
          <w:iCs/>
        </w:rPr>
        <w:t>Agents Chemother</w:t>
      </w:r>
      <w:r w:rsidR="001C7529">
        <w:rPr>
          <w:iCs/>
        </w:rPr>
        <w:t xml:space="preserve">. </w:t>
      </w:r>
      <w:r w:rsidR="008654CE" w:rsidRPr="001C7529">
        <w:t>2013</w:t>
      </w:r>
      <w:r w:rsidR="001C7529">
        <w:t>;</w:t>
      </w:r>
      <w:r w:rsidRPr="001C7529">
        <w:rPr>
          <w:bCs/>
        </w:rPr>
        <w:t>57</w:t>
      </w:r>
      <w:r>
        <w:t>(1):552–8.</w:t>
      </w:r>
      <w:r w:rsidR="001C7529" w:rsidRPr="001C7529">
        <w:t xml:space="preserve"> </w:t>
      </w:r>
    </w:p>
    <w:p w14:paraId="5401B47A" w14:textId="733694C0" w:rsidR="006E0350" w:rsidRDefault="008654CE" w:rsidP="001C7529">
      <w:pPr>
        <w:pStyle w:val="ListParagraph"/>
        <w:numPr>
          <w:ilvl w:val="0"/>
          <w:numId w:val="5"/>
        </w:numPr>
        <w:spacing w:after="100" w:afterAutospacing="1" w:line="480" w:lineRule="auto"/>
      </w:pPr>
      <w:r>
        <w:t>N</w:t>
      </w:r>
      <w:r w:rsidR="001C7529">
        <w:t>oguchi N, Hase M, Kitta M, Sasatsu M, Deguchi K, Kono Megumi</w:t>
      </w:r>
      <w:r w:rsidR="006E0350">
        <w:t>.</w:t>
      </w:r>
      <w:r>
        <w:t xml:space="preserve"> </w:t>
      </w:r>
      <w:r w:rsidR="006E0350">
        <w:t xml:space="preserve">Antiseptic susceptibility and distribution of antiseptic-resistance genes in methicillin-resistant </w:t>
      </w:r>
      <w:r w:rsidR="006E0350">
        <w:rPr>
          <w:i/>
          <w:iCs/>
        </w:rPr>
        <w:t xml:space="preserve">Staphylococcus aureus. </w:t>
      </w:r>
      <w:r w:rsidR="006E0350" w:rsidRPr="001C7529">
        <w:rPr>
          <w:iCs/>
        </w:rPr>
        <w:t>FEMS Microbiol Lett</w:t>
      </w:r>
      <w:r w:rsidR="001C7529" w:rsidRPr="001C7529">
        <w:rPr>
          <w:iCs/>
        </w:rPr>
        <w:t>.</w:t>
      </w:r>
      <w:r>
        <w:rPr>
          <w:i/>
          <w:iCs/>
        </w:rPr>
        <w:t xml:space="preserve"> </w:t>
      </w:r>
      <w:r>
        <w:t>1999</w:t>
      </w:r>
      <w:r w:rsidR="001C7529">
        <w:t>;</w:t>
      </w:r>
      <w:r w:rsidR="006E0350" w:rsidRPr="001C7529">
        <w:rPr>
          <w:bCs/>
        </w:rPr>
        <w:t>172</w:t>
      </w:r>
      <w:r w:rsidR="006E0350">
        <w:t>(2):247-53.</w:t>
      </w:r>
      <w:r w:rsidR="001C7529" w:rsidRPr="001C7529">
        <w:t xml:space="preserve"> </w:t>
      </w:r>
    </w:p>
    <w:p w14:paraId="6075936C" w14:textId="1784D2EB" w:rsidR="006E0350" w:rsidRDefault="008F4F89" w:rsidP="008F4F89">
      <w:pPr>
        <w:pStyle w:val="ListParagraph"/>
        <w:numPr>
          <w:ilvl w:val="0"/>
          <w:numId w:val="5"/>
        </w:numPr>
        <w:spacing w:after="100" w:afterAutospacing="1" w:line="480" w:lineRule="auto"/>
      </w:pPr>
      <w:r>
        <w:t>McGann P, Kwak YI, Summers A, Cummings JF, Waterman PE, Lesho EP</w:t>
      </w:r>
      <w:r w:rsidR="008654CE">
        <w:rPr>
          <w:i/>
        </w:rPr>
        <w:t>.</w:t>
      </w:r>
      <w:r w:rsidR="006E0350">
        <w:t xml:space="preserve"> Detection of </w:t>
      </w:r>
      <w:r w:rsidR="006E0350">
        <w:rPr>
          <w:i/>
          <w:iCs/>
        </w:rPr>
        <w:t>qacA</w:t>
      </w:r>
      <w:r w:rsidR="006E0350">
        <w:t>/</w:t>
      </w:r>
      <w:r w:rsidR="006E0350">
        <w:rPr>
          <w:i/>
          <w:iCs/>
        </w:rPr>
        <w:t xml:space="preserve">B </w:t>
      </w:r>
      <w:r w:rsidR="006E0350">
        <w:t xml:space="preserve">in clinical isolates of methicillin-resistant Staphylococcus aureus from a regional healthcare network in the eastern United States. </w:t>
      </w:r>
      <w:r w:rsidR="006E0350" w:rsidRPr="008F4F89">
        <w:rPr>
          <w:iCs/>
        </w:rPr>
        <w:t>Infect Control Hosp Epidemiol</w:t>
      </w:r>
      <w:r w:rsidRPr="008F4F89">
        <w:rPr>
          <w:iCs/>
        </w:rPr>
        <w:t>.</w:t>
      </w:r>
      <w:r w:rsidR="008654CE">
        <w:rPr>
          <w:i/>
          <w:iCs/>
        </w:rPr>
        <w:t xml:space="preserve"> </w:t>
      </w:r>
      <w:r w:rsidR="008654CE">
        <w:t>2011</w:t>
      </w:r>
      <w:r>
        <w:t>;</w:t>
      </w:r>
      <w:r w:rsidR="006E0350" w:rsidRPr="008F4F89">
        <w:rPr>
          <w:bCs/>
        </w:rPr>
        <w:t>32</w:t>
      </w:r>
      <w:r>
        <w:t>(11):</w:t>
      </w:r>
      <w:r w:rsidR="006E0350">
        <w:t>1116–9.</w:t>
      </w:r>
      <w:r w:rsidRPr="008F4F89">
        <w:t xml:space="preserve"> </w:t>
      </w:r>
    </w:p>
    <w:p w14:paraId="19A56DAE" w14:textId="26FE8EF5" w:rsidR="006E0350" w:rsidRDefault="001C7529" w:rsidP="001C7529">
      <w:pPr>
        <w:pStyle w:val="ListParagraph"/>
        <w:numPr>
          <w:ilvl w:val="0"/>
          <w:numId w:val="5"/>
        </w:numPr>
        <w:spacing w:after="100" w:afterAutospacing="1" w:line="480" w:lineRule="auto"/>
      </w:pPr>
      <w:r>
        <w:t>McGann P, Milillo M, Kwak YI, Quintero R, Waterman PE, Lesho E</w:t>
      </w:r>
      <w:r w:rsidR="006E0350">
        <w:t xml:space="preserve">. Rapid and simultaneous detection of the chlorhexidine and mupirocin resistance genes </w:t>
      </w:r>
      <w:r w:rsidR="006E0350">
        <w:rPr>
          <w:i/>
          <w:iCs/>
        </w:rPr>
        <w:t>qacA</w:t>
      </w:r>
      <w:r w:rsidR="006E0350">
        <w:t>/</w:t>
      </w:r>
      <w:r w:rsidR="006E0350">
        <w:rPr>
          <w:i/>
          <w:iCs/>
        </w:rPr>
        <w:t xml:space="preserve">B </w:t>
      </w:r>
      <w:r w:rsidR="006E0350">
        <w:t xml:space="preserve">and </w:t>
      </w:r>
      <w:r w:rsidR="006E0350">
        <w:rPr>
          <w:i/>
          <w:iCs/>
        </w:rPr>
        <w:t xml:space="preserve">mupA </w:t>
      </w:r>
      <w:r w:rsidR="006E0350">
        <w:t xml:space="preserve">in clinical isolates of methicillin-resistant </w:t>
      </w:r>
      <w:r w:rsidR="006E0350">
        <w:rPr>
          <w:i/>
          <w:iCs/>
        </w:rPr>
        <w:t>Staphylococcus aureus</w:t>
      </w:r>
      <w:r w:rsidR="006E0350">
        <w:t xml:space="preserve">. </w:t>
      </w:r>
      <w:r w:rsidR="006E0350" w:rsidRPr="001C7529">
        <w:rPr>
          <w:iCs/>
        </w:rPr>
        <w:t>Diagn Microbiol Infect Dis</w:t>
      </w:r>
      <w:r w:rsidRPr="001C7529">
        <w:rPr>
          <w:iCs/>
        </w:rPr>
        <w:t>.</w:t>
      </w:r>
      <w:r w:rsidR="008654CE">
        <w:rPr>
          <w:i/>
          <w:iCs/>
        </w:rPr>
        <w:t xml:space="preserve"> </w:t>
      </w:r>
      <w:r w:rsidR="008654CE">
        <w:rPr>
          <w:iCs/>
        </w:rPr>
        <w:t>2013</w:t>
      </w:r>
      <w:r>
        <w:t>;</w:t>
      </w:r>
      <w:r w:rsidR="006E0350" w:rsidRPr="001C7529">
        <w:rPr>
          <w:bCs/>
        </w:rPr>
        <w:t>77</w:t>
      </w:r>
      <w:r w:rsidR="006E0350">
        <w:t>(3):270–2.</w:t>
      </w:r>
      <w:r w:rsidRPr="001C7529">
        <w:t xml:space="preserve"> </w:t>
      </w:r>
    </w:p>
    <w:p w14:paraId="7A6D5EB6" w14:textId="46B52A5F" w:rsidR="006E0350" w:rsidRDefault="006E0350" w:rsidP="008F4F89">
      <w:pPr>
        <w:pStyle w:val="ListParagraph"/>
        <w:numPr>
          <w:ilvl w:val="0"/>
          <w:numId w:val="5"/>
        </w:numPr>
        <w:spacing w:after="100" w:afterAutospacing="1" w:line="480" w:lineRule="auto"/>
      </w:pPr>
      <w:r>
        <w:t>Nakami</w:t>
      </w:r>
      <w:r w:rsidR="008F4F89">
        <w:t>nami H, Noguchi N, Nishijima S, Kurokawa I, Hiromu SO, Sasatsu M.</w:t>
      </w:r>
      <w:r>
        <w:t xml:space="preserve"> Transduction of the plasmid encoding antiseptic resistance gene </w:t>
      </w:r>
      <w:r>
        <w:rPr>
          <w:i/>
          <w:iCs/>
        </w:rPr>
        <w:t xml:space="preserve">qacB </w:t>
      </w:r>
      <w:r>
        <w:t xml:space="preserve">in </w:t>
      </w:r>
      <w:r>
        <w:rPr>
          <w:i/>
          <w:iCs/>
        </w:rPr>
        <w:t xml:space="preserve">Staphylococcus aureus. </w:t>
      </w:r>
      <w:r w:rsidRPr="008F4F89">
        <w:rPr>
          <w:iCs/>
        </w:rPr>
        <w:t>Biol Pharm Bull</w:t>
      </w:r>
      <w:r w:rsidR="008F4F89" w:rsidRPr="008F4F89">
        <w:rPr>
          <w:iCs/>
        </w:rPr>
        <w:t>.</w:t>
      </w:r>
      <w:r w:rsidR="008654CE">
        <w:rPr>
          <w:i/>
          <w:iCs/>
        </w:rPr>
        <w:t xml:space="preserve"> </w:t>
      </w:r>
      <w:r w:rsidR="008654CE">
        <w:t>2007</w:t>
      </w:r>
      <w:r w:rsidR="008F4F89">
        <w:t>;</w:t>
      </w:r>
      <w:r w:rsidRPr="008F4F89">
        <w:rPr>
          <w:bCs/>
        </w:rPr>
        <w:t>30</w:t>
      </w:r>
      <w:r>
        <w:t>(8):1412-5.</w:t>
      </w:r>
      <w:r w:rsidR="008F4F89" w:rsidRPr="008F4F89">
        <w:t xml:space="preserve"> </w:t>
      </w:r>
    </w:p>
    <w:p w14:paraId="099E43ED" w14:textId="1F23C76D" w:rsidR="008A271C" w:rsidRDefault="008A271C" w:rsidP="00B35037">
      <w:pPr>
        <w:pStyle w:val="ListParagraph"/>
        <w:numPr>
          <w:ilvl w:val="0"/>
          <w:numId w:val="5"/>
        </w:numPr>
        <w:spacing w:after="100" w:afterAutospacing="1" w:line="480" w:lineRule="auto"/>
      </w:pPr>
      <w:r>
        <w:t>Naidoo J, Lloyd DH. Transmission of genes between staphylococci on skin. In:</w:t>
      </w:r>
      <w:r w:rsidR="007530BD">
        <w:t xml:space="preserve"> Woodbine M, ed</w:t>
      </w:r>
      <w:r w:rsidR="008F4F89">
        <w:t>itor</w:t>
      </w:r>
      <w:r w:rsidR="007530BD">
        <w:t>.</w:t>
      </w:r>
      <w:r>
        <w:t xml:space="preserve"> </w:t>
      </w:r>
      <w:r w:rsidRPr="008F4F89">
        <w:t>Antimicrobials and agriculture</w:t>
      </w:r>
      <w:r w:rsidR="007530BD">
        <w:rPr>
          <w:i/>
        </w:rPr>
        <w:t xml:space="preserve">. </w:t>
      </w:r>
      <w:r w:rsidR="007530BD">
        <w:t xml:space="preserve">London, U.K.: </w:t>
      </w:r>
      <w:r>
        <w:t>Butterworths</w:t>
      </w:r>
      <w:r w:rsidR="008F4F89">
        <w:t>;</w:t>
      </w:r>
      <w:r w:rsidR="007530BD">
        <w:t xml:space="preserve"> 1984</w:t>
      </w:r>
      <w:r w:rsidR="008F4F89">
        <w:t>.</w:t>
      </w:r>
      <w:r w:rsidR="007530BD">
        <w:t xml:space="preserve"> </w:t>
      </w:r>
      <w:r w:rsidR="008F4F89">
        <w:t xml:space="preserve">p. </w:t>
      </w:r>
      <w:r w:rsidR="007530BD">
        <w:t>2</w:t>
      </w:r>
      <w:r>
        <w:t>82-95</w:t>
      </w:r>
      <w:r w:rsidR="007530BD">
        <w:t>.</w:t>
      </w:r>
    </w:p>
    <w:p w14:paraId="50D7564A" w14:textId="5C39AE37" w:rsidR="006E0350" w:rsidRDefault="006E0350" w:rsidP="008F4F89">
      <w:pPr>
        <w:pStyle w:val="ListParagraph"/>
        <w:numPr>
          <w:ilvl w:val="0"/>
          <w:numId w:val="5"/>
        </w:numPr>
        <w:spacing w:after="100" w:afterAutospacing="1" w:line="480" w:lineRule="auto"/>
      </w:pPr>
      <w:r>
        <w:t>Wispli</w:t>
      </w:r>
      <w:r w:rsidR="008F4F89">
        <w:t>nghoff H, Rosato AE, Enright MC, Noto M, Craig W, Archer GL</w:t>
      </w:r>
      <w:r>
        <w:t xml:space="preserve">. Related clones containing </w:t>
      </w:r>
      <w:r>
        <w:rPr>
          <w:i/>
          <w:iCs/>
        </w:rPr>
        <w:t xml:space="preserve">SCCmec </w:t>
      </w:r>
      <w:r>
        <w:t xml:space="preserve">type IV predominate among clinically significant </w:t>
      </w:r>
      <w:r>
        <w:rPr>
          <w:i/>
          <w:iCs/>
        </w:rPr>
        <w:t xml:space="preserve">Staphylococcus epidermidis </w:t>
      </w:r>
      <w:r>
        <w:t xml:space="preserve">isolates. </w:t>
      </w:r>
      <w:r w:rsidRPr="008F4F89">
        <w:rPr>
          <w:iCs/>
        </w:rPr>
        <w:t>Antimicrob Agents Chemother</w:t>
      </w:r>
      <w:r w:rsidR="008F4F89" w:rsidRPr="008F4F89">
        <w:rPr>
          <w:iCs/>
        </w:rPr>
        <w:t>.</w:t>
      </w:r>
      <w:r w:rsidR="008654CE">
        <w:t xml:space="preserve"> 2003</w:t>
      </w:r>
      <w:r w:rsidR="008F4F89">
        <w:t>;</w:t>
      </w:r>
      <w:r w:rsidRPr="008F4F89">
        <w:rPr>
          <w:bCs/>
        </w:rPr>
        <w:t>47</w:t>
      </w:r>
      <w:r w:rsidR="008F4F89">
        <w:t>(11):</w:t>
      </w:r>
      <w:r>
        <w:t>3574-9.</w:t>
      </w:r>
      <w:r w:rsidR="008F4F89" w:rsidRPr="008F4F89">
        <w:t xml:space="preserve"> </w:t>
      </w:r>
    </w:p>
    <w:p w14:paraId="70163D8E" w14:textId="5A930A68" w:rsidR="006E0350" w:rsidRDefault="006E0350" w:rsidP="00B35037">
      <w:pPr>
        <w:pStyle w:val="ListParagraph"/>
        <w:numPr>
          <w:ilvl w:val="0"/>
          <w:numId w:val="5"/>
        </w:numPr>
        <w:spacing w:after="100" w:afterAutospacing="1" w:line="480" w:lineRule="auto"/>
      </w:pPr>
      <w:r>
        <w:t>Ha</w:t>
      </w:r>
      <w:r w:rsidR="008654CE">
        <w:t>nssen AM, Kjeldsen G, Sollid JU</w:t>
      </w:r>
      <w:r>
        <w:t xml:space="preserve">. Local variants of Staphylococcal cassette chromosome </w:t>
      </w:r>
      <w:r>
        <w:rPr>
          <w:i/>
          <w:iCs/>
        </w:rPr>
        <w:t xml:space="preserve">mec </w:t>
      </w:r>
      <w:r>
        <w:t xml:space="preserve">in sporadic methicillin-resistant </w:t>
      </w:r>
      <w:r>
        <w:rPr>
          <w:i/>
          <w:iCs/>
        </w:rPr>
        <w:t xml:space="preserve">Staphylococcus aureus </w:t>
      </w:r>
      <w:r>
        <w:t xml:space="preserve">and methicillin-resistant coagulase-negative staphylococci: evidence of horizontal gene transfer? </w:t>
      </w:r>
      <w:r w:rsidRPr="008F4F89">
        <w:rPr>
          <w:iCs/>
        </w:rPr>
        <w:t>Antimicrob Agents Chemother</w:t>
      </w:r>
      <w:r w:rsidR="008F4F89">
        <w:rPr>
          <w:iCs/>
        </w:rPr>
        <w:t>.</w:t>
      </w:r>
      <w:r w:rsidR="008654CE">
        <w:rPr>
          <w:i/>
          <w:iCs/>
        </w:rPr>
        <w:t xml:space="preserve"> </w:t>
      </w:r>
      <w:r w:rsidR="008654CE">
        <w:t>2004</w:t>
      </w:r>
      <w:r>
        <w:t>;</w:t>
      </w:r>
      <w:r w:rsidRPr="008F4F89">
        <w:rPr>
          <w:bCs/>
        </w:rPr>
        <w:t>48</w:t>
      </w:r>
      <w:r>
        <w:t>(1):285-96.</w:t>
      </w:r>
    </w:p>
    <w:p w14:paraId="20446746" w14:textId="04B2E8D0" w:rsidR="006E0350" w:rsidRDefault="006E0350" w:rsidP="008F4F89">
      <w:pPr>
        <w:pStyle w:val="ListParagraph"/>
        <w:numPr>
          <w:ilvl w:val="0"/>
          <w:numId w:val="5"/>
        </w:numPr>
        <w:spacing w:after="100" w:afterAutospacing="1" w:line="480" w:lineRule="auto"/>
      </w:pPr>
      <w:r>
        <w:t>Rolo J, Worning P, Nielsen JB</w:t>
      </w:r>
      <w:r w:rsidR="008F4F89">
        <w:rPr>
          <w:i/>
        </w:rPr>
        <w:t xml:space="preserve">, </w:t>
      </w:r>
      <w:r w:rsidR="008F4F89">
        <w:t>Bowden R, Bouchami O, Damborg P, Guardabassi L, Perreten V, Tomasz A, Westh H, de Lencastre H, Miragaia M</w:t>
      </w:r>
      <w:r w:rsidR="008654CE">
        <w:rPr>
          <w:i/>
        </w:rPr>
        <w:t>.</w:t>
      </w:r>
      <w:r>
        <w:t xml:space="preserve"> Evidence for the evolutionary steps leading to </w:t>
      </w:r>
      <w:r>
        <w:rPr>
          <w:i/>
          <w:iCs/>
        </w:rPr>
        <w:t>mecA-</w:t>
      </w:r>
      <w:r>
        <w:t>mediated β-lactam resistance in staphylococci</w:t>
      </w:r>
      <w:r w:rsidRPr="008F4F89">
        <w:t xml:space="preserve">. </w:t>
      </w:r>
      <w:r w:rsidRPr="008F4F89">
        <w:rPr>
          <w:iCs/>
        </w:rPr>
        <w:t>PLoS Genet</w:t>
      </w:r>
      <w:r w:rsidR="008F4F89">
        <w:rPr>
          <w:iCs/>
        </w:rPr>
        <w:t>.</w:t>
      </w:r>
      <w:r w:rsidR="008654CE">
        <w:rPr>
          <w:i/>
          <w:iCs/>
        </w:rPr>
        <w:t xml:space="preserve"> </w:t>
      </w:r>
      <w:r w:rsidR="008654CE">
        <w:t>2017</w:t>
      </w:r>
      <w:r>
        <w:t>;</w:t>
      </w:r>
      <w:r w:rsidRPr="008F4F89">
        <w:rPr>
          <w:bCs/>
        </w:rPr>
        <w:t>13</w:t>
      </w:r>
      <w:r>
        <w:t>(4):e1006674.</w:t>
      </w:r>
      <w:r w:rsidR="008F4F89" w:rsidRPr="008F4F89">
        <w:t xml:space="preserve"> </w:t>
      </w:r>
    </w:p>
    <w:p w14:paraId="5CCCA1D5" w14:textId="71C6E936" w:rsidR="00E02EE8" w:rsidRDefault="00E02EE8" w:rsidP="008F4F89">
      <w:pPr>
        <w:pStyle w:val="ListParagraph"/>
        <w:numPr>
          <w:ilvl w:val="0"/>
          <w:numId w:val="5"/>
        </w:numPr>
        <w:spacing w:after="100" w:afterAutospacing="1" w:line="480" w:lineRule="auto"/>
      </w:pPr>
      <w:r>
        <w:t>Wielders CL, Vriens MR, Brisse S</w:t>
      </w:r>
      <w:r w:rsidR="008F4F89">
        <w:t>, de Graaf-Miltenburg LA, Troelstra A, Fleer A, S</w:t>
      </w:r>
      <w:r w:rsidR="00F128DF">
        <w:t>ch</w:t>
      </w:r>
      <w:r w:rsidR="008F4F89">
        <w:t>mitz FJ, Verhoef J, Fluit AC</w:t>
      </w:r>
      <w:r>
        <w:t xml:space="preserve">. </w:t>
      </w:r>
      <w:r w:rsidRPr="00E02EE8">
        <w:rPr>
          <w:i/>
        </w:rPr>
        <w:t>In-vivo</w:t>
      </w:r>
      <w:r>
        <w:t xml:space="preserve"> transfer of </w:t>
      </w:r>
      <w:r w:rsidRPr="00E02EE8">
        <w:rPr>
          <w:i/>
        </w:rPr>
        <w:t>mecA</w:t>
      </w:r>
      <w:r>
        <w:t xml:space="preserve"> DNA to </w:t>
      </w:r>
      <w:r>
        <w:rPr>
          <w:i/>
        </w:rPr>
        <w:t>Staphylococcus aureus</w:t>
      </w:r>
      <w:r>
        <w:t xml:space="preserve">. </w:t>
      </w:r>
      <w:r w:rsidRPr="008F4F89">
        <w:t>Lancet</w:t>
      </w:r>
      <w:r w:rsidR="008F4F89">
        <w:t>.</w:t>
      </w:r>
      <w:r>
        <w:t xml:space="preserve"> 2001;</w:t>
      </w:r>
      <w:r w:rsidRPr="008F4F89">
        <w:t>357</w:t>
      </w:r>
      <w:r>
        <w:t>(9269):1674-5.</w:t>
      </w:r>
      <w:r w:rsidR="008F4F89" w:rsidRPr="008F4F89">
        <w:t xml:space="preserve"> </w:t>
      </w:r>
    </w:p>
    <w:p w14:paraId="6D23DAF6" w14:textId="77777777" w:rsidR="0057068C" w:rsidRDefault="0057068C" w:rsidP="0057068C">
      <w:pPr>
        <w:pStyle w:val="ListParagraph"/>
        <w:numPr>
          <w:ilvl w:val="0"/>
          <w:numId w:val="5"/>
        </w:numPr>
        <w:spacing w:after="100" w:afterAutospacing="1" w:line="480" w:lineRule="auto"/>
      </w:pPr>
      <w:r>
        <w:t xml:space="preserve">EUCAST (European Committee on Antimicrobial Susceptibility Testing). Breakpoint tables for interpretation of MICs and zone diameters. Version 8.1, 2018. </w:t>
      </w:r>
      <w:hyperlink r:id="rId19" w:history="1">
        <w:r w:rsidRPr="006B2E8F">
          <w:t>http://www.eucast.org</w:t>
        </w:r>
      </w:hyperlink>
      <w:r>
        <w:t>. Accessed 29</w:t>
      </w:r>
      <w:r w:rsidRPr="006B2E8F">
        <w:t>th</w:t>
      </w:r>
      <w:r>
        <w:t xml:space="preserve"> June 2018.</w:t>
      </w:r>
    </w:p>
    <w:p w14:paraId="263F49EE" w14:textId="77777777" w:rsidR="0057068C" w:rsidRDefault="0057068C" w:rsidP="0057068C">
      <w:pPr>
        <w:pStyle w:val="ListParagraph"/>
        <w:numPr>
          <w:ilvl w:val="0"/>
          <w:numId w:val="5"/>
        </w:numPr>
        <w:spacing w:after="100" w:afterAutospacing="1" w:line="480" w:lineRule="auto"/>
      </w:pPr>
      <w:r w:rsidRPr="006E0350">
        <w:rPr>
          <w:bCs/>
        </w:rPr>
        <w:t>Clark SM</w:t>
      </w:r>
      <w:r w:rsidRPr="006E0350">
        <w:t>, Loeffler</w:t>
      </w:r>
      <w:r>
        <w:t xml:space="preserve"> A, Schmidt VM, Chang Y-M, Wilson A, Timofte D, Bond R. Interaction of chlorhexidine with trisEDTA or miconazole </w:t>
      </w:r>
      <w:r w:rsidRPr="008942E8">
        <w:rPr>
          <w:i/>
        </w:rPr>
        <w:t>in vitro</w:t>
      </w:r>
      <w:r>
        <w:t xml:space="preserve"> against canine meticillin-resistant and susceptible </w:t>
      </w:r>
      <w:r>
        <w:rPr>
          <w:i/>
          <w:iCs/>
        </w:rPr>
        <w:t xml:space="preserve">Staphylococcus pseudintermedius </w:t>
      </w:r>
      <w:r>
        <w:t xml:space="preserve">isolates from two UK regions. </w:t>
      </w:r>
      <w:r w:rsidRPr="008F4F89">
        <w:rPr>
          <w:iCs/>
        </w:rPr>
        <w:t>Vet Dermatol</w:t>
      </w:r>
      <w:r>
        <w:rPr>
          <w:iCs/>
        </w:rPr>
        <w:t>.</w:t>
      </w:r>
      <w:r>
        <w:rPr>
          <w:i/>
          <w:iCs/>
        </w:rPr>
        <w:t xml:space="preserve"> </w:t>
      </w:r>
      <w:r>
        <w:t>2016;</w:t>
      </w:r>
      <w:r w:rsidRPr="006C014F">
        <w:rPr>
          <w:bCs/>
        </w:rPr>
        <w:t>27</w:t>
      </w:r>
      <w:r>
        <w:t>(5):340-e84.</w:t>
      </w:r>
      <w:r w:rsidRPr="008F4F89">
        <w:t xml:space="preserve"> </w:t>
      </w:r>
    </w:p>
    <w:p w14:paraId="73AD8475" w14:textId="77777777" w:rsidR="0057068C" w:rsidRDefault="0057068C" w:rsidP="0057068C">
      <w:pPr>
        <w:pStyle w:val="ListParagraph"/>
        <w:numPr>
          <w:ilvl w:val="0"/>
          <w:numId w:val="5"/>
        </w:numPr>
        <w:spacing w:after="100" w:afterAutospacing="1" w:line="480" w:lineRule="auto"/>
      </w:pPr>
      <w:r w:rsidRPr="002A43CC">
        <w:rPr>
          <w:bCs/>
        </w:rPr>
        <w:t>Clark SM</w:t>
      </w:r>
      <w:r>
        <w:t xml:space="preserve">, Loeffler A, Bond R. Susceptibility </w:t>
      </w:r>
      <w:r>
        <w:rPr>
          <w:i/>
          <w:iCs/>
        </w:rPr>
        <w:t xml:space="preserve">in vitro </w:t>
      </w:r>
      <w:r>
        <w:t xml:space="preserve">of canine methicillin-resistant and -susceptible staphylococcal isolates to fusidic acid, chlorhexidine and miconazole: opportunities for topical therapy of canine superficial pyoderma. </w:t>
      </w:r>
      <w:r w:rsidRPr="006C014F">
        <w:rPr>
          <w:iCs/>
        </w:rPr>
        <w:t>J Antimicrob Chemoth</w:t>
      </w:r>
      <w:r>
        <w:rPr>
          <w:iCs/>
        </w:rPr>
        <w:t>.</w:t>
      </w:r>
      <w:r w:rsidRPr="006C014F">
        <w:rPr>
          <w:iCs/>
        </w:rPr>
        <w:t xml:space="preserve"> </w:t>
      </w:r>
      <w:r>
        <w:t>2015;</w:t>
      </w:r>
      <w:r w:rsidRPr="006C014F">
        <w:rPr>
          <w:bCs/>
        </w:rPr>
        <w:t>70</w:t>
      </w:r>
      <w:r>
        <w:rPr>
          <w:bCs/>
        </w:rPr>
        <w:t>(7)</w:t>
      </w:r>
      <w:r>
        <w:t>:2048-52.</w:t>
      </w:r>
    </w:p>
    <w:p w14:paraId="597B9C28" w14:textId="77777777" w:rsidR="0057068C" w:rsidRDefault="0057068C" w:rsidP="0057068C">
      <w:pPr>
        <w:pStyle w:val="ListParagraph"/>
        <w:numPr>
          <w:ilvl w:val="0"/>
          <w:numId w:val="5"/>
        </w:numPr>
        <w:spacing w:after="100" w:afterAutospacing="1" w:line="480" w:lineRule="auto"/>
      </w:pPr>
      <w:r>
        <w:t xml:space="preserve">Besier S, Ludwig A, Brade V, Wickelhaus TA. Compensatory adaptation to the loss of biological fitness associated with acquisition of fusidic acid resistance in </w:t>
      </w:r>
      <w:r w:rsidRPr="00897122">
        <w:rPr>
          <w:i/>
        </w:rPr>
        <w:t>Staphylococcus aureus</w:t>
      </w:r>
      <w:r>
        <w:rPr>
          <w:i/>
        </w:rPr>
        <w:t>.</w:t>
      </w:r>
      <w:r w:rsidRPr="00897122">
        <w:rPr>
          <w:i/>
        </w:rPr>
        <w:t xml:space="preserve"> </w:t>
      </w:r>
      <w:r w:rsidRPr="00BE1826">
        <w:t>Antimicrob Agents Chemother</w:t>
      </w:r>
      <w:r>
        <w:t>.</w:t>
      </w:r>
      <w:r>
        <w:rPr>
          <w:i/>
        </w:rPr>
        <w:t xml:space="preserve"> </w:t>
      </w:r>
      <w:r>
        <w:t>2005;</w:t>
      </w:r>
      <w:r w:rsidRPr="00BE1826">
        <w:t>49</w:t>
      </w:r>
      <w:r>
        <w:t>(4):1426-31.</w:t>
      </w:r>
    </w:p>
    <w:p w14:paraId="338824A2" w14:textId="77777777" w:rsidR="0057068C" w:rsidRDefault="0057068C" w:rsidP="0057068C">
      <w:pPr>
        <w:pStyle w:val="ListParagraph"/>
        <w:numPr>
          <w:ilvl w:val="0"/>
          <w:numId w:val="5"/>
        </w:numPr>
        <w:spacing w:after="100" w:afterAutospacing="1" w:line="480" w:lineRule="auto"/>
      </w:pPr>
      <w:r>
        <w:t xml:space="preserve">Ledda A, Price JR, Cole K, Llewelyn MJ, Kearns AM, Crook DW, Paul J, Didelot X. Re-emergence of methicillin susceptibility in a resistant lineage of </w:t>
      </w:r>
      <w:r w:rsidRPr="00897122">
        <w:rPr>
          <w:i/>
        </w:rPr>
        <w:t xml:space="preserve">Staphylococcus aureus. </w:t>
      </w:r>
      <w:r w:rsidRPr="00BE1826">
        <w:t>J Antimicrob Chemother</w:t>
      </w:r>
      <w:r>
        <w:t>.</w:t>
      </w:r>
      <w:r>
        <w:rPr>
          <w:i/>
        </w:rPr>
        <w:t xml:space="preserve"> </w:t>
      </w:r>
      <w:r>
        <w:t>2017;</w:t>
      </w:r>
      <w:r w:rsidRPr="00BE1826">
        <w:t>72</w:t>
      </w:r>
      <w:r>
        <w:t>(1):1285-8.</w:t>
      </w:r>
      <w:r w:rsidRPr="00BE1826">
        <w:t xml:space="preserve"> </w:t>
      </w:r>
    </w:p>
    <w:p w14:paraId="08F2337F" w14:textId="77777777" w:rsidR="0057068C" w:rsidRDefault="0057068C" w:rsidP="0057068C">
      <w:pPr>
        <w:pStyle w:val="ListParagraph"/>
        <w:numPr>
          <w:ilvl w:val="0"/>
          <w:numId w:val="5"/>
        </w:numPr>
        <w:spacing w:after="100" w:afterAutospacing="1" w:line="480" w:lineRule="auto"/>
      </w:pPr>
      <w:r>
        <w:t>Lee SM, Ender M, Adhikari R</w:t>
      </w:r>
      <w:r w:rsidRPr="00BE1826">
        <w:t xml:space="preserve">, Smith JM, Berger-Bächi B, Cook GM. </w:t>
      </w:r>
      <w:r>
        <w:t xml:space="preserve">Fitness cost of staphylococcal cassette chromosome </w:t>
      </w:r>
      <w:r w:rsidRPr="002B40F3">
        <w:rPr>
          <w:i/>
        </w:rPr>
        <w:t>mec</w:t>
      </w:r>
      <w:r>
        <w:t xml:space="preserve"> in methicillin-resistant </w:t>
      </w:r>
      <w:r w:rsidRPr="002B40F3">
        <w:rPr>
          <w:i/>
        </w:rPr>
        <w:t>Staphylococcus aureus</w:t>
      </w:r>
      <w:r>
        <w:t xml:space="preserve"> by way of continuous culture. </w:t>
      </w:r>
      <w:r w:rsidRPr="00BE1826">
        <w:t>Antimicrob Agents Chemother</w:t>
      </w:r>
      <w:r>
        <w:t>. 2007;</w:t>
      </w:r>
      <w:r w:rsidRPr="00BE1826">
        <w:t>51</w:t>
      </w:r>
      <w:r>
        <w:t>(4):1497-9.</w:t>
      </w:r>
    </w:p>
    <w:p w14:paraId="4EAE3E0B" w14:textId="77777777" w:rsidR="0057068C" w:rsidRDefault="0057068C" w:rsidP="0057068C">
      <w:pPr>
        <w:pStyle w:val="ListParagraph"/>
        <w:numPr>
          <w:ilvl w:val="0"/>
          <w:numId w:val="5"/>
        </w:numPr>
        <w:spacing w:after="100" w:afterAutospacing="1" w:line="480" w:lineRule="auto"/>
      </w:pPr>
      <w:r>
        <w:t>Loeffler A, Boag AK, Sung J, Lindsay JA, Guardabassi L, Dalsgaard A, Smith H, Stevens KB, Lloyd DH</w:t>
      </w:r>
      <w:r w:rsidRPr="002B40F3">
        <w:rPr>
          <w:i/>
        </w:rPr>
        <w:t xml:space="preserve">. </w:t>
      </w:r>
      <w:r>
        <w:t xml:space="preserve">Prevalence of methicillin-resistant </w:t>
      </w:r>
      <w:r w:rsidRPr="002B40F3">
        <w:rPr>
          <w:i/>
        </w:rPr>
        <w:t xml:space="preserve">Staphylococcus aureus </w:t>
      </w:r>
      <w:r>
        <w:t xml:space="preserve">among staff and pets in a small animal referral hospital in the UK. </w:t>
      </w:r>
      <w:r w:rsidRPr="00BE1826">
        <w:t>J Antimicrob Chemother</w:t>
      </w:r>
      <w:r>
        <w:t>.</w:t>
      </w:r>
      <w:r w:rsidRPr="002B40F3">
        <w:rPr>
          <w:i/>
        </w:rPr>
        <w:t xml:space="preserve"> </w:t>
      </w:r>
      <w:r>
        <w:t>2005;</w:t>
      </w:r>
      <w:r w:rsidRPr="00BE1826">
        <w:t>56</w:t>
      </w:r>
      <w:r>
        <w:t xml:space="preserve">(4):692-7. </w:t>
      </w:r>
    </w:p>
    <w:p w14:paraId="0D8EFA99" w14:textId="277F655F" w:rsidR="0057068C" w:rsidRDefault="0057068C" w:rsidP="0057068C">
      <w:pPr>
        <w:pStyle w:val="ListParagraph"/>
        <w:numPr>
          <w:ilvl w:val="0"/>
          <w:numId w:val="5"/>
        </w:numPr>
        <w:spacing w:after="100" w:afterAutospacing="1" w:line="480" w:lineRule="auto"/>
      </w:pPr>
      <w:r>
        <w:t xml:space="preserve">Roberts GA, Houston PJ, White JH, </w:t>
      </w:r>
      <w:r w:rsidRPr="00BE1826">
        <w:t>Chen K, Stephanou AS, Cooper LP, Dryden DT, Lindsay JA</w:t>
      </w:r>
      <w:r>
        <w:rPr>
          <w:i/>
        </w:rPr>
        <w:t xml:space="preserve">. </w:t>
      </w:r>
      <w:r>
        <w:t xml:space="preserve">Impact of target site distribution for Type I restriction enzymes on the evolution of methicillin-resistant </w:t>
      </w:r>
      <w:r>
        <w:rPr>
          <w:i/>
        </w:rPr>
        <w:t xml:space="preserve">Staphylococcus aureus </w:t>
      </w:r>
      <w:r>
        <w:t xml:space="preserve">(MRSA) populations. </w:t>
      </w:r>
      <w:r w:rsidRPr="00BE1826">
        <w:t>Nucleic Acids Res</w:t>
      </w:r>
      <w:r>
        <w:t>.</w:t>
      </w:r>
      <w:r>
        <w:rPr>
          <w:i/>
        </w:rPr>
        <w:t xml:space="preserve"> </w:t>
      </w:r>
      <w:r>
        <w:t>2013;</w:t>
      </w:r>
      <w:r w:rsidRPr="00BE1826">
        <w:t>41</w:t>
      </w:r>
      <w:r>
        <w:t>(15):7472-84.</w:t>
      </w:r>
    </w:p>
    <w:p w14:paraId="49D27BDF" w14:textId="77777777" w:rsidR="0057068C" w:rsidRDefault="0057068C" w:rsidP="0057068C">
      <w:pPr>
        <w:pStyle w:val="ListParagraph"/>
        <w:numPr>
          <w:ilvl w:val="0"/>
          <w:numId w:val="5"/>
        </w:numPr>
        <w:spacing w:after="100" w:afterAutospacing="1" w:line="480" w:lineRule="auto"/>
      </w:pPr>
      <w:r>
        <w:t>McCarthy AJ, Harrison EM, Stanczak-Mrozek K, Leggett B, Waller A, Holmes MA, Lloyd DH, Lindsay JA, Loeffler A</w:t>
      </w:r>
      <w:r>
        <w:rPr>
          <w:i/>
        </w:rPr>
        <w:t xml:space="preserve">. </w:t>
      </w:r>
      <w:r>
        <w:t xml:space="preserve">Genomic insights into the rapid emergence and evolution of MDR in </w:t>
      </w:r>
      <w:r>
        <w:rPr>
          <w:i/>
        </w:rPr>
        <w:t xml:space="preserve">Staphylococcus pseudintermedius. </w:t>
      </w:r>
      <w:r w:rsidRPr="00BE1826">
        <w:t>J Antimicrob Chemother</w:t>
      </w:r>
      <w:r>
        <w:t>.</w:t>
      </w:r>
      <w:r>
        <w:rPr>
          <w:i/>
        </w:rPr>
        <w:t xml:space="preserve"> </w:t>
      </w:r>
      <w:r>
        <w:t>2015;</w:t>
      </w:r>
      <w:r w:rsidRPr="00BE1826">
        <w:t>70</w:t>
      </w:r>
      <w:r>
        <w:t>(4):997-1007.</w:t>
      </w:r>
      <w:r w:rsidRPr="00BE1826">
        <w:t xml:space="preserve"> </w:t>
      </w:r>
    </w:p>
    <w:p w14:paraId="1173E680" w14:textId="77777777" w:rsidR="0057068C" w:rsidRDefault="0057068C" w:rsidP="0057068C">
      <w:pPr>
        <w:pStyle w:val="ListParagraph"/>
        <w:numPr>
          <w:ilvl w:val="0"/>
          <w:numId w:val="5"/>
        </w:numPr>
        <w:spacing w:after="100" w:afterAutospacing="1" w:line="480" w:lineRule="auto"/>
      </w:pPr>
      <w:r>
        <w:t xml:space="preserve">O’Neill AJ, Larsen AR, Henriksen AS, Chopra I. A fusidic acid-resistant epidemic strain of </w:t>
      </w:r>
      <w:r>
        <w:rPr>
          <w:i/>
          <w:iCs/>
        </w:rPr>
        <w:t xml:space="preserve">Staphylococcus aureus </w:t>
      </w:r>
      <w:r>
        <w:t xml:space="preserve">carries the </w:t>
      </w:r>
      <w:r>
        <w:rPr>
          <w:i/>
          <w:iCs/>
        </w:rPr>
        <w:t xml:space="preserve">fusB </w:t>
      </w:r>
      <w:r>
        <w:t xml:space="preserve">determinant, whereas </w:t>
      </w:r>
      <w:r>
        <w:rPr>
          <w:i/>
          <w:iCs/>
        </w:rPr>
        <w:t xml:space="preserve">fusA </w:t>
      </w:r>
      <w:r>
        <w:t xml:space="preserve">mutations are prevalent in other resistant isolates. </w:t>
      </w:r>
      <w:r w:rsidRPr="006C014F">
        <w:rPr>
          <w:iCs/>
        </w:rPr>
        <w:t>Antimicrob Agents Chemother</w:t>
      </w:r>
      <w:r>
        <w:rPr>
          <w:iCs/>
        </w:rPr>
        <w:t>.</w:t>
      </w:r>
      <w:r>
        <w:rPr>
          <w:i/>
          <w:iCs/>
        </w:rPr>
        <w:t xml:space="preserve"> </w:t>
      </w:r>
      <w:r>
        <w:rPr>
          <w:iCs/>
        </w:rPr>
        <w:t>2004</w:t>
      </w:r>
      <w:r>
        <w:t>;</w:t>
      </w:r>
      <w:r w:rsidRPr="006C014F">
        <w:rPr>
          <w:bCs/>
        </w:rPr>
        <w:t>48</w:t>
      </w:r>
      <w:r>
        <w:t>(9):3594-7.</w:t>
      </w:r>
    </w:p>
    <w:p w14:paraId="0672243E" w14:textId="77777777" w:rsidR="0057068C" w:rsidRDefault="0057068C" w:rsidP="0057068C">
      <w:pPr>
        <w:pStyle w:val="ListParagraph"/>
        <w:numPr>
          <w:ilvl w:val="0"/>
          <w:numId w:val="5"/>
        </w:numPr>
        <w:spacing w:after="100" w:afterAutospacing="1" w:line="480" w:lineRule="auto"/>
      </w:pPr>
      <w:r>
        <w:t>Sidhu S, Heir E, Leegaard T, Wiger K, Holck A</w:t>
      </w:r>
      <w:r>
        <w:rPr>
          <w:i/>
        </w:rPr>
        <w:t xml:space="preserve">. </w:t>
      </w:r>
      <w:r>
        <w:t xml:space="preserve">Frequency of disinfectant resistance genes and genetic linkage with </w:t>
      </w:r>
      <w:r>
        <w:rPr>
          <w:rFonts w:cstheme="minorHAnsi"/>
        </w:rPr>
        <w:t>β</w:t>
      </w:r>
      <w:r>
        <w:t xml:space="preserve">-lactamase transposon </w:t>
      </w:r>
      <w:r>
        <w:rPr>
          <w:i/>
        </w:rPr>
        <w:t xml:space="preserve">tn552 </w:t>
      </w:r>
      <w:r>
        <w:t xml:space="preserve">among clinical staphylococci. </w:t>
      </w:r>
      <w:r w:rsidRPr="00BE1826">
        <w:t>Antimicrob Agents Chemother</w:t>
      </w:r>
      <w:r>
        <w:rPr>
          <w:i/>
        </w:rPr>
        <w:t xml:space="preserve">. </w:t>
      </w:r>
      <w:r>
        <w:t>2002;</w:t>
      </w:r>
      <w:r w:rsidRPr="00BE1826">
        <w:t>46</w:t>
      </w:r>
      <w:r>
        <w:t>(9):2797-803.</w:t>
      </w:r>
    </w:p>
    <w:p w14:paraId="63E50C9A" w14:textId="77777777" w:rsidR="0057068C" w:rsidRDefault="0057068C" w:rsidP="0057068C">
      <w:pPr>
        <w:pStyle w:val="ListParagraph"/>
        <w:numPr>
          <w:ilvl w:val="0"/>
          <w:numId w:val="5"/>
        </w:numPr>
        <w:spacing w:after="100" w:afterAutospacing="1" w:line="480" w:lineRule="auto"/>
      </w:pPr>
      <w:r>
        <w:t>Mayer S, Boos M, Beyer A, Fluit AC, Schmitz F-J</w:t>
      </w:r>
      <w:r>
        <w:rPr>
          <w:i/>
        </w:rPr>
        <w:t xml:space="preserve">. </w:t>
      </w:r>
      <w:r>
        <w:t xml:space="preserve">Distribution of the antiseptic resistance genes </w:t>
      </w:r>
      <w:r>
        <w:rPr>
          <w:i/>
        </w:rPr>
        <w:t xml:space="preserve">qacA, qacB </w:t>
      </w:r>
      <w:r>
        <w:t xml:space="preserve">and </w:t>
      </w:r>
      <w:r>
        <w:rPr>
          <w:i/>
        </w:rPr>
        <w:t xml:space="preserve">qacC </w:t>
      </w:r>
      <w:r>
        <w:t xml:space="preserve">in 497 methicillin-resistant and susceptible European isolates of </w:t>
      </w:r>
      <w:r>
        <w:rPr>
          <w:i/>
        </w:rPr>
        <w:t xml:space="preserve">Staphylococcus aureus. </w:t>
      </w:r>
      <w:r w:rsidRPr="00BE1826">
        <w:t>J Antimicrob Chemother</w:t>
      </w:r>
      <w:r>
        <w:t>.</w:t>
      </w:r>
      <w:r>
        <w:rPr>
          <w:i/>
        </w:rPr>
        <w:t xml:space="preserve"> </w:t>
      </w:r>
      <w:r>
        <w:t>2001;</w:t>
      </w:r>
      <w:r w:rsidRPr="00BE1826">
        <w:t>47</w:t>
      </w:r>
      <w:r>
        <w:t>(6):896-7.</w:t>
      </w:r>
    </w:p>
    <w:p w14:paraId="652164FB" w14:textId="77777777" w:rsidR="0057068C" w:rsidRDefault="0057068C" w:rsidP="0057068C">
      <w:pPr>
        <w:pStyle w:val="ListParagraph"/>
        <w:numPr>
          <w:ilvl w:val="0"/>
          <w:numId w:val="5"/>
        </w:numPr>
        <w:spacing w:after="100" w:afterAutospacing="1" w:line="480" w:lineRule="auto"/>
      </w:pPr>
      <w:r>
        <w:t>Noguchi N, Suwa J, Narui K, Sasatsu M, Ito T, Hiramatsu K, Song J-H</w:t>
      </w:r>
      <w:r>
        <w:rPr>
          <w:i/>
        </w:rPr>
        <w:t xml:space="preserve">. </w:t>
      </w:r>
      <w:r>
        <w:t xml:space="preserve">Susceptibilities to antiseptic agents and distribution of antiseptic-resistance genes </w:t>
      </w:r>
      <w:r>
        <w:rPr>
          <w:i/>
        </w:rPr>
        <w:t xml:space="preserve">qacA/B </w:t>
      </w:r>
      <w:r>
        <w:t xml:space="preserve">and </w:t>
      </w:r>
      <w:r>
        <w:rPr>
          <w:i/>
        </w:rPr>
        <w:t xml:space="preserve">smr </w:t>
      </w:r>
      <w:r>
        <w:t xml:space="preserve">of methicillin-resistant </w:t>
      </w:r>
      <w:r>
        <w:rPr>
          <w:i/>
        </w:rPr>
        <w:t xml:space="preserve">Staphylococcus aureus </w:t>
      </w:r>
      <w:r>
        <w:t xml:space="preserve">isolated in Asia during 1998 and 1999. </w:t>
      </w:r>
      <w:r w:rsidRPr="00BE1826">
        <w:t>J Med Microbiol</w:t>
      </w:r>
      <w:r>
        <w:t>.</w:t>
      </w:r>
      <w:r>
        <w:rPr>
          <w:i/>
        </w:rPr>
        <w:t xml:space="preserve"> </w:t>
      </w:r>
      <w:r>
        <w:t>2005;</w:t>
      </w:r>
      <w:r w:rsidRPr="00BE1826">
        <w:t>54</w:t>
      </w:r>
      <w:r>
        <w:t>(Pt 6):557-65.</w:t>
      </w:r>
      <w:r w:rsidRPr="00BE1826">
        <w:t xml:space="preserve"> </w:t>
      </w:r>
    </w:p>
    <w:p w14:paraId="4D2BE6BF" w14:textId="77777777" w:rsidR="0057068C" w:rsidRPr="00175142" w:rsidRDefault="0057068C" w:rsidP="0057068C">
      <w:pPr>
        <w:pStyle w:val="ListParagraph"/>
        <w:numPr>
          <w:ilvl w:val="0"/>
          <w:numId w:val="5"/>
        </w:numPr>
        <w:spacing w:after="100" w:afterAutospacing="1" w:line="480" w:lineRule="auto"/>
      </w:pPr>
      <w:r>
        <w:t>Vali L, Davies SE, Lai LLG, Dave J, Amyes SGB</w:t>
      </w:r>
      <w:r>
        <w:rPr>
          <w:i/>
        </w:rPr>
        <w:t xml:space="preserve">. </w:t>
      </w:r>
      <w:r>
        <w:t xml:space="preserve">Frequency of biocide resistance genes, antibiotic resistance and the effect of chlorhexidine exposure on clinical methicillin-resistant </w:t>
      </w:r>
      <w:r>
        <w:rPr>
          <w:i/>
        </w:rPr>
        <w:t xml:space="preserve">Staphylococcus aureus </w:t>
      </w:r>
      <w:r>
        <w:t xml:space="preserve">isolates. </w:t>
      </w:r>
      <w:r w:rsidRPr="00BE1826">
        <w:t>J Antimicrob Chemother</w:t>
      </w:r>
      <w:r>
        <w:t>.</w:t>
      </w:r>
      <w:r w:rsidRPr="00BE1826">
        <w:t xml:space="preserve"> </w:t>
      </w:r>
      <w:r>
        <w:t>2008;</w:t>
      </w:r>
      <w:r w:rsidRPr="00BE1826">
        <w:t>61</w:t>
      </w:r>
      <w:r>
        <w:t>(3):524-32.</w:t>
      </w:r>
      <w:r w:rsidRPr="00BE1826">
        <w:t xml:space="preserve"> </w:t>
      </w:r>
    </w:p>
    <w:p w14:paraId="28400701" w14:textId="77777777" w:rsidR="0057068C" w:rsidRDefault="0057068C" w:rsidP="0057068C">
      <w:pPr>
        <w:pStyle w:val="ListParagraph"/>
        <w:numPr>
          <w:ilvl w:val="0"/>
          <w:numId w:val="5"/>
        </w:numPr>
        <w:spacing w:after="100" w:afterAutospacing="1" w:line="480" w:lineRule="auto"/>
      </w:pPr>
      <w:r>
        <w:t xml:space="preserve">Skovgaard S, Larsen MH, Nielsen LN, Skov RL, Wong C, Westh H, Ingmer H. Recently introduced </w:t>
      </w:r>
      <w:r w:rsidRPr="00897122">
        <w:rPr>
          <w:i/>
        </w:rPr>
        <w:t xml:space="preserve">qacA/B </w:t>
      </w:r>
      <w:r>
        <w:t xml:space="preserve">in </w:t>
      </w:r>
      <w:r w:rsidRPr="00897122">
        <w:rPr>
          <w:i/>
        </w:rPr>
        <w:t xml:space="preserve">Staphylococcus epidermidis </w:t>
      </w:r>
      <w:r>
        <w:t>do not increase chlorhexidine MIC/M</w:t>
      </w:r>
      <w:r w:rsidRPr="00BE1826">
        <w:t xml:space="preserve">BC. J Antimicrob Chemother. </w:t>
      </w:r>
      <w:r>
        <w:t>2013;</w:t>
      </w:r>
      <w:r w:rsidRPr="00BE1826">
        <w:t>68</w:t>
      </w:r>
      <w:r>
        <w:t>(10):2226-33.</w:t>
      </w:r>
      <w:r w:rsidRPr="00BE1826">
        <w:t xml:space="preserve"> </w:t>
      </w:r>
    </w:p>
    <w:p w14:paraId="3B596E21" w14:textId="77777777" w:rsidR="0057068C" w:rsidRDefault="0057068C" w:rsidP="0057068C">
      <w:pPr>
        <w:pStyle w:val="ListParagraph"/>
        <w:numPr>
          <w:ilvl w:val="0"/>
          <w:numId w:val="5"/>
        </w:numPr>
        <w:spacing w:after="100" w:afterAutospacing="1" w:line="480" w:lineRule="auto"/>
      </w:pPr>
      <w:r w:rsidRPr="007530BD">
        <w:rPr>
          <w:bCs/>
        </w:rPr>
        <w:t>Frosini SM</w:t>
      </w:r>
      <w:r>
        <w:t>, Bond R, Loeffler A, Larner J</w:t>
      </w:r>
      <w:r w:rsidRPr="009E3A6B">
        <w:t>. Opportunities for topical antimicrobial therapy: permeation of canine skin by fusidic acid</w:t>
      </w:r>
      <w:r w:rsidRPr="008648E4">
        <w:t xml:space="preserve">. </w:t>
      </w:r>
      <w:r>
        <w:rPr>
          <w:iCs/>
        </w:rPr>
        <w:t xml:space="preserve">BMC Vet Res. </w:t>
      </w:r>
      <w:r w:rsidRPr="008648E4">
        <w:t>2017</w:t>
      </w:r>
      <w:r w:rsidRPr="009E3A6B">
        <w:t>;</w:t>
      </w:r>
      <w:r w:rsidRPr="008648E4">
        <w:rPr>
          <w:bCs/>
        </w:rPr>
        <w:t>13</w:t>
      </w:r>
      <w:r w:rsidRPr="009E3A6B">
        <w:t xml:space="preserve">(1):345. </w:t>
      </w:r>
    </w:p>
    <w:p w14:paraId="70E2CDBD" w14:textId="77777777" w:rsidR="0057068C" w:rsidRPr="009E3A6B" w:rsidRDefault="0057068C" w:rsidP="0057068C">
      <w:pPr>
        <w:pStyle w:val="ListParagraph"/>
        <w:numPr>
          <w:ilvl w:val="0"/>
          <w:numId w:val="5"/>
        </w:numPr>
        <w:spacing w:after="100" w:afterAutospacing="1" w:line="480" w:lineRule="auto"/>
      </w:pPr>
      <w:r>
        <w:t xml:space="preserve">EUCAST (European Committee on Antimicrobial Susceptibility Testing). Fusidic acid: Rationale for the clinical breakpoints, version 1.0, 2010. </w:t>
      </w:r>
      <w:hyperlink r:id="rId20" w:history="1">
        <w:r w:rsidRPr="002E29B7">
          <w:rPr>
            <w:rStyle w:val="Hyperlink"/>
          </w:rPr>
          <w:t>http://www.eucast.org</w:t>
        </w:r>
      </w:hyperlink>
      <w:r>
        <w:t>. Accessed on 29</w:t>
      </w:r>
      <w:r w:rsidRPr="00B11DC8">
        <w:rPr>
          <w:vertAlign w:val="superscript"/>
        </w:rPr>
        <w:t>th</w:t>
      </w:r>
      <w:r>
        <w:t xml:space="preserve"> June 2018.</w:t>
      </w:r>
    </w:p>
    <w:p w14:paraId="2990C0AD" w14:textId="3380B054" w:rsidR="000F7727" w:rsidRDefault="000F7727" w:rsidP="000F7727">
      <w:pPr>
        <w:pStyle w:val="ListParagraph"/>
        <w:numPr>
          <w:ilvl w:val="0"/>
          <w:numId w:val="5"/>
        </w:numPr>
        <w:shd w:val="clear" w:color="auto" w:fill="FFFFFF"/>
        <w:spacing w:after="100" w:afterAutospacing="1" w:line="480" w:lineRule="auto"/>
      </w:pPr>
      <w:r w:rsidRPr="000F7727">
        <w:rPr>
          <w:rFonts w:ascii="Arial" w:hAnsi="Arial" w:cs="Arial"/>
          <w:color w:val="000000"/>
          <w:sz w:val="20"/>
          <w:szCs w:val="20"/>
        </w:rPr>
        <w:t xml:space="preserve">Papich MG. Antimicrobials, susceptibility testing, and minimum inhibitory concentrations (MIC) in veterinary infection treatment. </w:t>
      </w:r>
      <w:hyperlink r:id="rId21" w:tooltip="The Veterinary clinics of North America. Small animal practice." w:history="1">
        <w:r w:rsidRPr="000F7727">
          <w:rPr>
            <w:rStyle w:val="Hyperlink"/>
            <w:rFonts w:ascii="Arial" w:hAnsi="Arial" w:cs="Arial"/>
            <w:color w:val="660066"/>
            <w:sz w:val="20"/>
            <w:szCs w:val="20"/>
          </w:rPr>
          <w:t>Vet Clin North Am Small Anim Pract.</w:t>
        </w:r>
      </w:hyperlink>
      <w:r w:rsidRPr="000F7727">
        <w:rPr>
          <w:rFonts w:ascii="Arial" w:hAnsi="Arial" w:cs="Arial"/>
          <w:color w:val="000000"/>
          <w:sz w:val="20"/>
          <w:szCs w:val="20"/>
        </w:rPr>
        <w:t> 2013;43(5):1079-89.</w:t>
      </w:r>
    </w:p>
    <w:p w14:paraId="08824E2C" w14:textId="6D8F327C" w:rsidR="0057068C" w:rsidRDefault="0057068C" w:rsidP="0057068C">
      <w:pPr>
        <w:pStyle w:val="ListParagraph"/>
        <w:numPr>
          <w:ilvl w:val="0"/>
          <w:numId w:val="5"/>
        </w:numPr>
        <w:spacing w:after="100" w:afterAutospacing="1" w:line="480" w:lineRule="auto"/>
      </w:pPr>
      <w:r>
        <w:t xml:space="preserve">National Institute of Health and Welfare. 2015 Vanha FiRe-standardi. Versio 6. </w:t>
      </w:r>
      <w:hyperlink w:history="1"/>
      <w:r w:rsidRPr="006C014F">
        <w:t>https://thl.fi/attachments/Fire/liite_3a_erh_sir_taulukko.pdf. Accessed 15</w:t>
      </w:r>
      <w:r w:rsidRPr="006C014F">
        <w:rPr>
          <w:vertAlign w:val="superscript"/>
        </w:rPr>
        <w:t>th</w:t>
      </w:r>
      <w:r w:rsidRPr="006C014F">
        <w:t xml:space="preserve"> April 2018</w:t>
      </w:r>
      <w:r>
        <w:t>.</w:t>
      </w:r>
    </w:p>
    <w:p w14:paraId="09FDA67C" w14:textId="77777777" w:rsidR="0057068C" w:rsidRDefault="0057068C" w:rsidP="0057068C">
      <w:pPr>
        <w:pStyle w:val="ListParagraph"/>
        <w:numPr>
          <w:ilvl w:val="0"/>
          <w:numId w:val="5"/>
        </w:numPr>
        <w:spacing w:after="100" w:afterAutospacing="1" w:line="480" w:lineRule="auto"/>
      </w:pPr>
      <w:r>
        <w:t xml:space="preserve">Skov E, Frimodt-Möller N, Espersen F. Correlation of MIC methods and tentative interpretive criteria for disk diffusion susceptibility testing using NCCLS methodology for fusidic acid. </w:t>
      </w:r>
      <w:r w:rsidRPr="006C014F">
        <w:t>Diagn Microbiol Infect Dis</w:t>
      </w:r>
      <w:r>
        <w:t>.</w:t>
      </w:r>
      <w:r>
        <w:rPr>
          <w:i/>
        </w:rPr>
        <w:t xml:space="preserve"> </w:t>
      </w:r>
      <w:r>
        <w:t>2001;</w:t>
      </w:r>
      <w:r w:rsidRPr="006C014F">
        <w:t>40</w:t>
      </w:r>
      <w:r>
        <w:t>(3):111-6.</w:t>
      </w:r>
    </w:p>
    <w:p w14:paraId="62E894DF" w14:textId="77777777" w:rsidR="0057068C" w:rsidRDefault="0057068C" w:rsidP="0057068C">
      <w:pPr>
        <w:pStyle w:val="ListParagraph"/>
        <w:numPr>
          <w:ilvl w:val="0"/>
          <w:numId w:val="5"/>
        </w:numPr>
        <w:spacing w:after="100" w:afterAutospacing="1" w:line="480" w:lineRule="auto"/>
      </w:pPr>
      <w:r w:rsidRPr="00440976">
        <w:t>Barrow GI, Feltham RKA. Characters of gram-positive bacteria. In:</w:t>
      </w:r>
      <w:r>
        <w:t xml:space="preserve"> Barrow GI, Feltham RKA, </w:t>
      </w:r>
      <w:r w:rsidRPr="00440976">
        <w:t>ed</w:t>
      </w:r>
      <w:r>
        <w:t>itor</w:t>
      </w:r>
      <w:r w:rsidRPr="00440976">
        <w:t xml:space="preserve">s. </w:t>
      </w:r>
      <w:r w:rsidRPr="006C014F">
        <w:t>Cowan and Steel’s Manual for the Identification of Medical Bacteria. 3rd edition.</w:t>
      </w:r>
      <w:r w:rsidRPr="00440976">
        <w:t xml:space="preserve"> Cambridge, U</w:t>
      </w:r>
      <w:r>
        <w:t>.</w:t>
      </w:r>
      <w:r w:rsidRPr="00440976">
        <w:t>K</w:t>
      </w:r>
      <w:r>
        <w:t>.</w:t>
      </w:r>
      <w:r w:rsidRPr="00440976">
        <w:t>:</w:t>
      </w:r>
      <w:r>
        <w:t xml:space="preserve"> </w:t>
      </w:r>
      <w:r w:rsidRPr="00440976">
        <w:t>Cambri</w:t>
      </w:r>
      <w:r>
        <w:t>dge University Press; 2003. p. 52–</w:t>
      </w:r>
      <w:r w:rsidRPr="00440976">
        <w:t>7</w:t>
      </w:r>
    </w:p>
    <w:p w14:paraId="0FA42733" w14:textId="77777777" w:rsidR="0057068C" w:rsidRDefault="0057068C" w:rsidP="0057068C">
      <w:pPr>
        <w:pStyle w:val="ListParagraph"/>
        <w:numPr>
          <w:ilvl w:val="0"/>
          <w:numId w:val="5"/>
        </w:numPr>
        <w:spacing w:after="100" w:afterAutospacing="1" w:line="480" w:lineRule="auto"/>
      </w:pPr>
      <w:r w:rsidRPr="006E0350">
        <w:t xml:space="preserve">Brakstad OG, Aasbakk K, Maeland JA. Detection of </w:t>
      </w:r>
      <w:r w:rsidRPr="006E0350">
        <w:rPr>
          <w:i/>
          <w:iCs/>
        </w:rPr>
        <w:t xml:space="preserve">Staphylococcus aureus </w:t>
      </w:r>
      <w:r w:rsidRPr="006E0350">
        <w:t xml:space="preserve">by polymerase chain reaction amplification of the </w:t>
      </w:r>
      <w:r w:rsidRPr="006E0350">
        <w:rPr>
          <w:i/>
          <w:iCs/>
        </w:rPr>
        <w:t xml:space="preserve">nuc </w:t>
      </w:r>
      <w:r w:rsidRPr="006E0350">
        <w:t xml:space="preserve">gene. </w:t>
      </w:r>
      <w:r w:rsidRPr="006C014F">
        <w:rPr>
          <w:iCs/>
        </w:rPr>
        <w:t>J Clin Microbiol</w:t>
      </w:r>
      <w:r>
        <w:rPr>
          <w:iCs/>
        </w:rPr>
        <w:t>.</w:t>
      </w:r>
      <w:r>
        <w:rPr>
          <w:i/>
          <w:iCs/>
        </w:rPr>
        <w:t xml:space="preserve"> </w:t>
      </w:r>
      <w:r w:rsidRPr="006E0350">
        <w:t>1992</w:t>
      </w:r>
      <w:r>
        <w:t>;</w:t>
      </w:r>
      <w:r w:rsidRPr="006C014F">
        <w:rPr>
          <w:bCs/>
        </w:rPr>
        <w:t>30</w:t>
      </w:r>
      <w:r>
        <w:t>(7):</w:t>
      </w:r>
      <w:r w:rsidRPr="006E0350">
        <w:t xml:space="preserve">1654-60. </w:t>
      </w:r>
    </w:p>
    <w:p w14:paraId="2780907E" w14:textId="77777777" w:rsidR="0057068C" w:rsidRDefault="0057068C" w:rsidP="0057068C">
      <w:pPr>
        <w:pStyle w:val="ListParagraph"/>
        <w:numPr>
          <w:ilvl w:val="0"/>
          <w:numId w:val="5"/>
        </w:numPr>
        <w:spacing w:after="100" w:afterAutospacing="1" w:line="480" w:lineRule="auto"/>
      </w:pPr>
      <w:r>
        <w:t xml:space="preserve">Brakstad OG, Maeland JA, Tveten Y. Multiplex polymerase chain reaction for detection of genes for </w:t>
      </w:r>
      <w:r w:rsidRPr="006E0350">
        <w:rPr>
          <w:i/>
          <w:iCs/>
        </w:rPr>
        <w:t xml:space="preserve">Staphylococcus aureus </w:t>
      </w:r>
      <w:r>
        <w:t xml:space="preserve">thermonuclease and methicillin resistance and correlation with oxacillin resistance. </w:t>
      </w:r>
      <w:r w:rsidRPr="006C014F">
        <w:rPr>
          <w:iCs/>
        </w:rPr>
        <w:t>APMIS</w:t>
      </w:r>
      <w:r>
        <w:rPr>
          <w:iCs/>
        </w:rPr>
        <w:t>.</w:t>
      </w:r>
      <w:r>
        <w:rPr>
          <w:i/>
          <w:iCs/>
        </w:rPr>
        <w:t xml:space="preserve"> </w:t>
      </w:r>
      <w:r>
        <w:t>1993;</w:t>
      </w:r>
      <w:r w:rsidRPr="006C014F">
        <w:rPr>
          <w:bCs/>
        </w:rPr>
        <w:t>101</w:t>
      </w:r>
      <w:r>
        <w:t>(9):681-8.</w:t>
      </w:r>
    </w:p>
    <w:p w14:paraId="0A33F7C3" w14:textId="77777777" w:rsidR="0057068C" w:rsidRDefault="0057068C" w:rsidP="0057068C">
      <w:pPr>
        <w:pStyle w:val="ListParagraph"/>
        <w:numPr>
          <w:ilvl w:val="0"/>
          <w:numId w:val="5"/>
        </w:numPr>
        <w:spacing w:after="100" w:afterAutospacing="1" w:line="480" w:lineRule="auto"/>
      </w:pPr>
      <w:r>
        <w:t>Becker K, von Eiff C, Keller B, Br</w:t>
      </w:r>
      <w:r>
        <w:rPr>
          <w:rFonts w:cstheme="minorHAnsi"/>
        </w:rPr>
        <w:t>ü</w:t>
      </w:r>
      <w:r>
        <w:t>ck M, Etienne J, Peters G</w:t>
      </w:r>
      <w:r>
        <w:rPr>
          <w:i/>
        </w:rPr>
        <w:t xml:space="preserve">. </w:t>
      </w:r>
      <w:r>
        <w:t xml:space="preserve">Thermonuclease gene as a target for specific identification of </w:t>
      </w:r>
      <w:r>
        <w:rPr>
          <w:i/>
          <w:iCs/>
        </w:rPr>
        <w:t xml:space="preserve">Staphylococcus intermedius </w:t>
      </w:r>
      <w:r>
        <w:t xml:space="preserve">isolates: use of a PCR-DNA enzyme immunoassay. </w:t>
      </w:r>
      <w:r w:rsidRPr="006C014F">
        <w:rPr>
          <w:iCs/>
        </w:rPr>
        <w:t>Diagn Microbiol Infect Dis</w:t>
      </w:r>
      <w:r>
        <w:rPr>
          <w:iCs/>
        </w:rPr>
        <w:t>.</w:t>
      </w:r>
      <w:r>
        <w:rPr>
          <w:i/>
          <w:iCs/>
        </w:rPr>
        <w:t xml:space="preserve"> </w:t>
      </w:r>
      <w:r>
        <w:rPr>
          <w:iCs/>
        </w:rPr>
        <w:t>2005</w:t>
      </w:r>
      <w:r>
        <w:t>;</w:t>
      </w:r>
      <w:r w:rsidRPr="006C014F">
        <w:rPr>
          <w:bCs/>
        </w:rPr>
        <w:t>51</w:t>
      </w:r>
      <w:r>
        <w:t>(4):237–44.</w:t>
      </w:r>
      <w:r w:rsidRPr="006C014F">
        <w:t xml:space="preserve"> </w:t>
      </w:r>
    </w:p>
    <w:p w14:paraId="169DB55D" w14:textId="19619060" w:rsidR="00897122" w:rsidRDefault="00897122" w:rsidP="00B35037">
      <w:pPr>
        <w:pStyle w:val="ListParagraph"/>
        <w:numPr>
          <w:ilvl w:val="0"/>
          <w:numId w:val="5"/>
        </w:numPr>
        <w:spacing w:after="100" w:afterAutospacing="1" w:line="480" w:lineRule="auto"/>
      </w:pPr>
      <w:r>
        <w:t xml:space="preserve">Clinical and Laboratory Standards Institute. </w:t>
      </w:r>
      <w:r w:rsidRPr="006C014F">
        <w:t>Performance Standards for Antimicrobial Disk and Dilution Susceptibility Tests for Bacteria Isolated From Animals—Fourth Edition: Approved Standard VET01-A4.</w:t>
      </w:r>
      <w:r w:rsidR="006C014F">
        <w:t xml:space="preserve"> CLSI: Wayne, PA, U.S.A;</w:t>
      </w:r>
      <w:r>
        <w:t xml:space="preserve"> 2013.</w:t>
      </w:r>
    </w:p>
    <w:p w14:paraId="28D1471D" w14:textId="07559A90" w:rsidR="006E0350" w:rsidRDefault="006E0350" w:rsidP="00B35037">
      <w:pPr>
        <w:pStyle w:val="ListParagraph"/>
        <w:numPr>
          <w:ilvl w:val="0"/>
          <w:numId w:val="5"/>
        </w:numPr>
        <w:spacing w:after="100" w:afterAutospacing="1" w:line="480" w:lineRule="auto"/>
      </w:pPr>
      <w:r>
        <w:t>R</w:t>
      </w:r>
      <w:r w:rsidR="006C014F">
        <w:t>ouch DA, Cram DS, DiBerardino D, Littlejohn TG, Skurray RA</w:t>
      </w:r>
      <w:r>
        <w:t xml:space="preserve">. Efflux-mediated antiseptic resistance gene </w:t>
      </w:r>
      <w:r>
        <w:rPr>
          <w:i/>
          <w:iCs/>
        </w:rPr>
        <w:t xml:space="preserve">qacA </w:t>
      </w:r>
      <w:r>
        <w:t xml:space="preserve">from </w:t>
      </w:r>
      <w:r>
        <w:rPr>
          <w:i/>
          <w:iCs/>
        </w:rPr>
        <w:t>Staphylococcus aureus</w:t>
      </w:r>
      <w:r>
        <w:t xml:space="preserve">: common ancestry with tetracycline- and sugar-transport proteins. </w:t>
      </w:r>
      <w:r w:rsidRPr="006C014F">
        <w:rPr>
          <w:iCs/>
        </w:rPr>
        <w:t>Mol Microbiol</w:t>
      </w:r>
      <w:r w:rsidR="006C014F">
        <w:rPr>
          <w:iCs/>
        </w:rPr>
        <w:t>.</w:t>
      </w:r>
      <w:r w:rsidR="008654CE">
        <w:rPr>
          <w:i/>
          <w:iCs/>
        </w:rPr>
        <w:t xml:space="preserve"> </w:t>
      </w:r>
      <w:r w:rsidR="008654CE">
        <w:rPr>
          <w:iCs/>
        </w:rPr>
        <w:t>1990</w:t>
      </w:r>
      <w:r>
        <w:t>;</w:t>
      </w:r>
      <w:r w:rsidRPr="006C014F">
        <w:rPr>
          <w:bCs/>
        </w:rPr>
        <w:t>4</w:t>
      </w:r>
      <w:r>
        <w:t>(12):2051-62.</w:t>
      </w:r>
    </w:p>
    <w:p w14:paraId="7FA1E7A4" w14:textId="3AEE99AE" w:rsidR="006E0350" w:rsidRDefault="006C014F" w:rsidP="00B35037">
      <w:pPr>
        <w:pStyle w:val="ListParagraph"/>
        <w:numPr>
          <w:ilvl w:val="0"/>
          <w:numId w:val="5"/>
        </w:numPr>
        <w:spacing w:after="100" w:afterAutospacing="1" w:line="480" w:lineRule="auto"/>
      </w:pPr>
      <w:r>
        <w:t>McNeil JC, Hulten KG, Kaplan SL, Mason EO</w:t>
      </w:r>
      <w:r w:rsidR="006E0350">
        <w:t xml:space="preserve">. Decreased susceptibilities to retapamulin, mupirocin, and chlorhexidine among </w:t>
      </w:r>
      <w:r w:rsidR="006E0350">
        <w:rPr>
          <w:i/>
          <w:iCs/>
        </w:rPr>
        <w:t xml:space="preserve">Staphylococcus aureus </w:t>
      </w:r>
      <w:r w:rsidR="006E0350">
        <w:t xml:space="preserve">isolates causing skin and soft tissue infections in otherwise healthy children. </w:t>
      </w:r>
      <w:r w:rsidR="006E0350" w:rsidRPr="006C014F">
        <w:rPr>
          <w:iCs/>
        </w:rPr>
        <w:t>Antimicrob Agents Chemother</w:t>
      </w:r>
      <w:r>
        <w:rPr>
          <w:iCs/>
        </w:rPr>
        <w:t>.</w:t>
      </w:r>
      <w:r w:rsidR="008654CE">
        <w:rPr>
          <w:i/>
          <w:iCs/>
        </w:rPr>
        <w:t xml:space="preserve"> </w:t>
      </w:r>
      <w:r w:rsidR="008654CE">
        <w:t>2014</w:t>
      </w:r>
      <w:r w:rsidR="006E0350">
        <w:t>;</w:t>
      </w:r>
      <w:r w:rsidR="006E0350" w:rsidRPr="006C014F">
        <w:rPr>
          <w:bCs/>
        </w:rPr>
        <w:t>58</w:t>
      </w:r>
      <w:r>
        <w:t>(5):</w:t>
      </w:r>
      <w:r w:rsidR="006E0350">
        <w:t>878-83.</w:t>
      </w:r>
    </w:p>
    <w:p w14:paraId="22F068F5" w14:textId="0599CAB6" w:rsidR="00897122" w:rsidRDefault="00897122" w:rsidP="006C014F">
      <w:pPr>
        <w:pStyle w:val="ListParagraph"/>
        <w:numPr>
          <w:ilvl w:val="0"/>
          <w:numId w:val="5"/>
        </w:numPr>
        <w:spacing w:after="100" w:afterAutospacing="1" w:line="480" w:lineRule="auto"/>
      </w:pPr>
      <w:r>
        <w:t>Li W, Cowley A, Uludag M</w:t>
      </w:r>
      <w:r w:rsidR="006C014F">
        <w:t>, Gur T, McWilliam H, Squizzato S, Park YM, Buso N, Lopez R</w:t>
      </w:r>
      <w:r>
        <w:t xml:space="preserve">. The EMBL-EBI bioinformatics web and programmatic tools framework. </w:t>
      </w:r>
      <w:r w:rsidRPr="006C014F">
        <w:rPr>
          <w:iCs/>
        </w:rPr>
        <w:t>Nucleic Acids Res</w:t>
      </w:r>
      <w:r w:rsidR="006C014F" w:rsidRPr="006C014F">
        <w:rPr>
          <w:iCs/>
        </w:rPr>
        <w:t>.</w:t>
      </w:r>
      <w:r>
        <w:rPr>
          <w:i/>
          <w:iCs/>
        </w:rPr>
        <w:t xml:space="preserve"> </w:t>
      </w:r>
      <w:r w:rsidR="006C014F">
        <w:t>2015;</w:t>
      </w:r>
      <w:r w:rsidRPr="006C014F">
        <w:rPr>
          <w:bCs/>
        </w:rPr>
        <w:t>45</w:t>
      </w:r>
      <w:r w:rsidR="006C014F">
        <w:t>(W1):</w:t>
      </w:r>
      <w:r>
        <w:t>W580-4.</w:t>
      </w:r>
      <w:r w:rsidR="006C014F" w:rsidRPr="006C014F">
        <w:t xml:space="preserve"> </w:t>
      </w:r>
    </w:p>
    <w:p w14:paraId="17308810" w14:textId="7B13F3BB" w:rsidR="006B2E8F" w:rsidRDefault="006C014F" w:rsidP="006C014F">
      <w:pPr>
        <w:pStyle w:val="ListParagraph"/>
        <w:numPr>
          <w:ilvl w:val="0"/>
          <w:numId w:val="5"/>
        </w:numPr>
        <w:spacing w:after="100" w:afterAutospacing="1" w:line="480" w:lineRule="auto"/>
      </w:pPr>
      <w:r>
        <w:t>Knight GM, Budd EL, Whitney L, Thornley A, Al-Ghusein H, Planche T, Lindsay JA</w:t>
      </w:r>
      <w:r w:rsidR="006B2E8F">
        <w:rPr>
          <w:i/>
        </w:rPr>
        <w:t xml:space="preserve">. </w:t>
      </w:r>
      <w:r w:rsidR="006B2E8F">
        <w:t xml:space="preserve">Shift in dominant hospital-associated methicillin-resistant </w:t>
      </w:r>
      <w:r w:rsidR="006B2E8F" w:rsidRPr="006B2E8F">
        <w:rPr>
          <w:i/>
        </w:rPr>
        <w:t>Staphylococcus aureus</w:t>
      </w:r>
      <w:r w:rsidR="006B2E8F">
        <w:t xml:space="preserve"> (HA-MRSA) clones over time. </w:t>
      </w:r>
      <w:r w:rsidR="006B2E8F" w:rsidRPr="006C014F">
        <w:t>J Antimicrob Chemother</w:t>
      </w:r>
      <w:r w:rsidRPr="006C014F">
        <w:t>.</w:t>
      </w:r>
      <w:r w:rsidR="006B2E8F">
        <w:t xml:space="preserve"> 2012;</w:t>
      </w:r>
      <w:r w:rsidR="006B2E8F" w:rsidRPr="006C014F">
        <w:t>67</w:t>
      </w:r>
      <w:r w:rsidR="006B2E8F">
        <w:t xml:space="preserve">(10):2514-22. </w:t>
      </w:r>
    </w:p>
    <w:p w14:paraId="7BF753AC" w14:textId="3154B36F" w:rsidR="00897122" w:rsidRPr="00D507EC" w:rsidRDefault="00BE1826" w:rsidP="00BE1826">
      <w:pPr>
        <w:pStyle w:val="ListParagraph"/>
        <w:numPr>
          <w:ilvl w:val="0"/>
          <w:numId w:val="5"/>
        </w:numPr>
        <w:spacing w:after="100" w:afterAutospacing="1" w:line="480" w:lineRule="auto"/>
        <w:rPr>
          <w:color w:val="000000" w:themeColor="text1"/>
        </w:rPr>
      </w:pPr>
      <w:r>
        <w:t>Holden MT, Feil EJ, Lindsay JA,</w:t>
      </w:r>
      <w:r w:rsidRPr="00BE1826">
        <w:t xml:space="preserve"> Peacock SJ, Day NP, Enright MC, Foster TJ, Moore CE, Hurst L, Atkin R, Barron A, Bason N, Bentley SD, Chillingworth C, Chillingworth T, Churcher C, Clark L, Corton C, Cronin A, Doggett J, Dowd L, Feltwell T, Hance Z, Harris B, Hauser H, Holroyd S, Jagels K, James KD, Lennard N, Line A, Mayes R, Moule S, Mungall K, Ormond D, Quail MA, Rabbinowitsch E, Rutherford K, Sanders M, Sharp S, Simmonds M, Stevens K, Whitehead S, Barrell BG, Spratt BG, Parkhill </w:t>
      </w:r>
      <w:r>
        <w:t>J</w:t>
      </w:r>
      <w:r w:rsidR="00897122">
        <w:rPr>
          <w:i/>
        </w:rPr>
        <w:t xml:space="preserve">. </w:t>
      </w:r>
      <w:r w:rsidR="00897122" w:rsidRPr="005E5682">
        <w:t xml:space="preserve">Complete genomes of two clinical </w:t>
      </w:r>
      <w:r w:rsidR="00897122" w:rsidRPr="00897122">
        <w:rPr>
          <w:i/>
        </w:rPr>
        <w:t xml:space="preserve">Staphylococcus aureus </w:t>
      </w:r>
      <w:r w:rsidR="00897122" w:rsidRPr="005E5682">
        <w:t xml:space="preserve">strains: evidence for the rapid evolution of virulence and drug resistance. </w:t>
      </w:r>
      <w:r w:rsidR="00897122" w:rsidRPr="00BE1826">
        <w:t xml:space="preserve">Proc Natl Acad Sci </w:t>
      </w:r>
      <w:r w:rsidR="00897122" w:rsidRPr="00D507EC">
        <w:rPr>
          <w:color w:val="000000" w:themeColor="text1"/>
        </w:rPr>
        <w:t>U.S.A</w:t>
      </w:r>
      <w:r w:rsidRPr="00D507EC">
        <w:rPr>
          <w:color w:val="000000" w:themeColor="text1"/>
        </w:rPr>
        <w:t>.</w:t>
      </w:r>
      <w:r w:rsidR="00897122" w:rsidRPr="00D507EC">
        <w:rPr>
          <w:color w:val="000000" w:themeColor="text1"/>
        </w:rPr>
        <w:t xml:space="preserve"> 2004;101(26):9786-91.</w:t>
      </w:r>
    </w:p>
    <w:p w14:paraId="32230D01" w14:textId="2820673B" w:rsidR="0056195B" w:rsidRPr="00D507EC" w:rsidRDefault="00BE1826" w:rsidP="00BE1826">
      <w:pPr>
        <w:pStyle w:val="ListParagraph"/>
        <w:numPr>
          <w:ilvl w:val="0"/>
          <w:numId w:val="5"/>
        </w:numPr>
        <w:spacing w:after="100" w:afterAutospacing="1" w:line="480" w:lineRule="auto"/>
        <w:rPr>
          <w:color w:val="000000" w:themeColor="text1"/>
        </w:rPr>
      </w:pPr>
      <w:r w:rsidRPr="00D507EC">
        <w:rPr>
          <w:color w:val="000000" w:themeColor="text1"/>
        </w:rPr>
        <w:t xml:space="preserve">Kuroda M, Ohta T, Uchiyama I, Baba T, Yuzawa H, Kobayashi I, Cui L, Oguchi A, Aoki K, Nagai Y, Lian J, Ito T, Kanamori M, Matsumaru H, Maruyama A, Murakami H, Hosoyama A, Mizutani-Ui Y, Takahashi NK, Sawano T, Inoue R, Kaito C, Sekimizu K, Hirakawa H, Kuhara S, Goto S, Yabuzaki J, Kanehisa M, Yamashita A, Oshima K, Furuya K, Yoshino C, Shiba T, Hattori M, Ogasawara N, Hayashi H, Hiramatsu K. </w:t>
      </w:r>
      <w:r w:rsidR="006E0350" w:rsidRPr="00D507EC">
        <w:rPr>
          <w:color w:val="000000" w:themeColor="text1"/>
        </w:rPr>
        <w:t xml:space="preserve">Whole genome sequencing of meticillin-resistant </w:t>
      </w:r>
      <w:r w:rsidR="006E0350" w:rsidRPr="00D507EC">
        <w:rPr>
          <w:i/>
          <w:iCs/>
          <w:color w:val="000000" w:themeColor="text1"/>
        </w:rPr>
        <w:t>Staphylococcus aureus</w:t>
      </w:r>
      <w:r w:rsidR="006E0350" w:rsidRPr="00D507EC">
        <w:rPr>
          <w:color w:val="000000" w:themeColor="text1"/>
        </w:rPr>
        <w:t xml:space="preserve">. </w:t>
      </w:r>
      <w:r w:rsidR="006E0350" w:rsidRPr="00D507EC">
        <w:rPr>
          <w:iCs/>
          <w:color w:val="000000" w:themeColor="text1"/>
        </w:rPr>
        <w:t>Lancet</w:t>
      </w:r>
      <w:r w:rsidRPr="00D507EC">
        <w:rPr>
          <w:iCs/>
          <w:color w:val="000000" w:themeColor="text1"/>
        </w:rPr>
        <w:t>.</w:t>
      </w:r>
      <w:r w:rsidR="008654CE" w:rsidRPr="00D507EC">
        <w:rPr>
          <w:iCs/>
          <w:color w:val="000000" w:themeColor="text1"/>
        </w:rPr>
        <w:t xml:space="preserve"> </w:t>
      </w:r>
      <w:r w:rsidR="008654CE" w:rsidRPr="00D507EC">
        <w:rPr>
          <w:color w:val="000000" w:themeColor="text1"/>
        </w:rPr>
        <w:t>2001</w:t>
      </w:r>
      <w:r w:rsidR="006E0350" w:rsidRPr="00D507EC">
        <w:rPr>
          <w:color w:val="000000" w:themeColor="text1"/>
        </w:rPr>
        <w:t>;</w:t>
      </w:r>
      <w:r w:rsidR="006E0350" w:rsidRPr="00D507EC">
        <w:rPr>
          <w:bCs/>
          <w:color w:val="000000" w:themeColor="text1"/>
        </w:rPr>
        <w:t>357</w:t>
      </w:r>
      <w:r w:rsidR="006E0350" w:rsidRPr="00D507EC">
        <w:rPr>
          <w:color w:val="000000" w:themeColor="text1"/>
        </w:rPr>
        <w:t>(9264):1225-40.</w:t>
      </w:r>
    </w:p>
    <w:p w14:paraId="7AAB39AD" w14:textId="1752D0FA" w:rsidR="00AE032F" w:rsidRPr="00D507EC" w:rsidRDefault="00AE032F">
      <w:pPr>
        <w:rPr>
          <w:color w:val="000000" w:themeColor="text1"/>
        </w:rPr>
      </w:pPr>
    </w:p>
    <w:p w14:paraId="40A50D6E" w14:textId="0AF0A962" w:rsidR="002C539F" w:rsidRPr="00D507EC" w:rsidRDefault="00AE032F" w:rsidP="000F7727">
      <w:pPr>
        <w:spacing w:after="100" w:afterAutospacing="1" w:line="480" w:lineRule="auto"/>
        <w:rPr>
          <w:b/>
          <w:color w:val="000000" w:themeColor="text1"/>
          <w:sz w:val="32"/>
        </w:rPr>
      </w:pPr>
      <w:r w:rsidRPr="00D507EC">
        <w:rPr>
          <w:b/>
          <w:color w:val="000000" w:themeColor="text1"/>
          <w:sz w:val="32"/>
        </w:rPr>
        <w:t>Figures and Tables</w:t>
      </w:r>
    </w:p>
    <w:p w14:paraId="130E4316" w14:textId="77777777" w:rsidR="00AE032F" w:rsidRPr="00D507EC" w:rsidRDefault="00AE032F" w:rsidP="00AE032F">
      <w:pPr>
        <w:pStyle w:val="Heading5"/>
        <w:rPr>
          <w:color w:val="000000" w:themeColor="text1"/>
        </w:rPr>
      </w:pPr>
      <w:r w:rsidRPr="00D507EC">
        <w:rPr>
          <w:color w:val="000000" w:themeColor="text1"/>
        </w:rPr>
        <w:t xml:space="preserve">Figure 1. Comparative statistical overview of MIC of a) fusidic acid and b) chlorhexidine for canine-derived </w:t>
      </w:r>
      <w:r w:rsidRPr="00D507EC">
        <w:rPr>
          <w:i/>
          <w:color w:val="000000" w:themeColor="text1"/>
        </w:rPr>
        <w:t>S. pseudintermedius</w:t>
      </w:r>
      <w:r w:rsidRPr="00D507EC">
        <w:rPr>
          <w:color w:val="000000" w:themeColor="text1"/>
        </w:rPr>
        <w:t xml:space="preserve"> from different geographical regions. </w:t>
      </w:r>
      <w:r w:rsidRPr="00D507EC">
        <w:rPr>
          <w:i/>
          <w:color w:val="000000" w:themeColor="text1"/>
        </w:rPr>
        <w:t xml:space="preserve">P </w:t>
      </w:r>
      <w:r w:rsidRPr="00D507EC">
        <w:rPr>
          <w:color w:val="000000" w:themeColor="text1"/>
        </w:rPr>
        <w:t xml:space="preserve">values stated; </w:t>
      </w:r>
      <w:r w:rsidRPr="00D507EC">
        <w:rPr>
          <w:i/>
          <w:color w:val="000000" w:themeColor="text1"/>
        </w:rPr>
        <w:t xml:space="preserve">P </w:t>
      </w:r>
      <w:r w:rsidRPr="00D507EC">
        <w:rPr>
          <w:color w:val="000000" w:themeColor="text1"/>
        </w:rPr>
        <w:t>&lt; 0.05 indicates significance, depicted in bold.</w:t>
      </w:r>
    </w:p>
    <w:p w14:paraId="25304BD4" w14:textId="77777777" w:rsidR="00AE032F" w:rsidRPr="00D507EC" w:rsidRDefault="00AE032F" w:rsidP="00AE032F">
      <w:pPr>
        <w:pStyle w:val="Heading5"/>
        <w:rPr>
          <w:color w:val="000000" w:themeColor="text1"/>
        </w:rPr>
      </w:pPr>
      <w:r w:rsidRPr="00D507EC">
        <w:rPr>
          <w:color w:val="000000" w:themeColor="text1"/>
        </w:rPr>
        <w:t xml:space="preserve"> </w:t>
      </w:r>
    </w:p>
    <w:p w14:paraId="48D9DDA1" w14:textId="691B58D8" w:rsidR="00AE032F" w:rsidRPr="00D507EC" w:rsidRDefault="00AE032F" w:rsidP="00AE032F">
      <w:pPr>
        <w:pStyle w:val="Heading5"/>
        <w:rPr>
          <w:color w:val="000000" w:themeColor="text1"/>
        </w:rPr>
      </w:pPr>
      <w:r w:rsidRPr="00D507EC">
        <w:rPr>
          <w:color w:val="000000" w:themeColor="text1"/>
        </w:rPr>
        <w:t>SEUK: South-East U.K.; NUK: North U.K.</w:t>
      </w:r>
    </w:p>
    <w:p w14:paraId="592C4284" w14:textId="6EB5C819" w:rsidR="00AE032F" w:rsidRPr="00D507EC" w:rsidRDefault="00AE032F" w:rsidP="000F7727">
      <w:pPr>
        <w:rPr>
          <w:color w:val="000000" w:themeColor="text1"/>
        </w:rPr>
      </w:pPr>
    </w:p>
    <w:p w14:paraId="4ECA559A" w14:textId="4B43E363" w:rsidR="00AE032F" w:rsidRPr="00D507EC" w:rsidRDefault="00AE032F" w:rsidP="000F7727">
      <w:pPr>
        <w:rPr>
          <w:color w:val="000000" w:themeColor="text1"/>
        </w:rPr>
      </w:pPr>
    </w:p>
    <w:p w14:paraId="498487E1" w14:textId="77777777" w:rsidR="00B910FE" w:rsidRPr="00D507EC" w:rsidRDefault="00B910FE" w:rsidP="001E1F45">
      <w:pPr>
        <w:rPr>
          <w:color w:val="000000" w:themeColor="text1"/>
        </w:rPr>
        <w:sectPr w:rsidR="00B910FE" w:rsidRPr="00D507EC" w:rsidSect="0032412F">
          <w:footerReference w:type="default" r:id="rId22"/>
          <w:type w:val="continuous"/>
          <w:pgSz w:w="11906" w:h="16838"/>
          <w:pgMar w:top="1440" w:right="1440" w:bottom="1440" w:left="1440" w:header="709" w:footer="709" w:gutter="0"/>
          <w:paperSrc w:first="15" w:other="15"/>
          <w:lnNumType w:countBy="1" w:restart="continuous"/>
          <w:cols w:space="708"/>
          <w:docGrid w:linePitch="360"/>
        </w:sectPr>
      </w:pPr>
    </w:p>
    <w:p w14:paraId="4B43D8FF" w14:textId="0EF5BE5B" w:rsidR="00AF1A43" w:rsidRPr="00D507EC" w:rsidRDefault="0025616A" w:rsidP="00384AE8">
      <w:pPr>
        <w:pStyle w:val="Heading5"/>
        <w:rPr>
          <w:color w:val="000000" w:themeColor="text1"/>
        </w:rPr>
      </w:pPr>
      <w:r w:rsidRPr="00D507EC">
        <w:rPr>
          <w:color w:val="000000" w:themeColor="text1"/>
        </w:rPr>
        <w:t>T</w:t>
      </w:r>
      <w:r w:rsidR="004C7293" w:rsidRPr="00D507EC">
        <w:rPr>
          <w:color w:val="000000" w:themeColor="text1"/>
        </w:rPr>
        <w:t>able 1</w:t>
      </w:r>
      <w:r w:rsidR="007E71D9" w:rsidRPr="00D507EC">
        <w:rPr>
          <w:color w:val="000000" w:themeColor="text1"/>
        </w:rPr>
        <w:t>. Minimum inhibitory concentrations</w:t>
      </w:r>
      <w:r w:rsidR="00602E75" w:rsidRPr="00D507EC">
        <w:rPr>
          <w:color w:val="000000" w:themeColor="text1"/>
        </w:rPr>
        <w:t xml:space="preserve"> (MICs)</w:t>
      </w:r>
      <w:r w:rsidR="007E71D9" w:rsidRPr="00D507EC">
        <w:rPr>
          <w:color w:val="000000" w:themeColor="text1"/>
        </w:rPr>
        <w:t xml:space="preserve"> of </w:t>
      </w:r>
      <w:r w:rsidR="006E0295" w:rsidRPr="00D507EC">
        <w:rPr>
          <w:color w:val="000000" w:themeColor="text1"/>
        </w:rPr>
        <w:t xml:space="preserve">a) </w:t>
      </w:r>
      <w:r w:rsidR="007E71D9" w:rsidRPr="00D507EC">
        <w:rPr>
          <w:color w:val="000000" w:themeColor="text1"/>
        </w:rPr>
        <w:t xml:space="preserve">fusidic acid </w:t>
      </w:r>
      <w:r w:rsidR="00384AE8" w:rsidRPr="00D507EC">
        <w:rPr>
          <w:color w:val="000000" w:themeColor="text1"/>
        </w:rPr>
        <w:t xml:space="preserve">and </w:t>
      </w:r>
      <w:r w:rsidR="006E0295" w:rsidRPr="00D507EC">
        <w:rPr>
          <w:color w:val="000000" w:themeColor="text1"/>
        </w:rPr>
        <w:t xml:space="preserve">b) </w:t>
      </w:r>
      <w:r w:rsidR="00384AE8" w:rsidRPr="00D507EC">
        <w:rPr>
          <w:color w:val="000000" w:themeColor="text1"/>
        </w:rPr>
        <w:t>chlorhexidine</w:t>
      </w:r>
      <w:r w:rsidR="00602E75" w:rsidRPr="00D507EC">
        <w:rPr>
          <w:color w:val="000000" w:themeColor="text1"/>
        </w:rPr>
        <w:t xml:space="preserve"> determined by agar dilution</w:t>
      </w:r>
      <w:r w:rsidR="009055CF" w:rsidRPr="00D507EC">
        <w:rPr>
          <w:color w:val="000000" w:themeColor="text1"/>
        </w:rPr>
        <w:t>,</w:t>
      </w:r>
      <w:r w:rsidR="00384AE8" w:rsidRPr="00D507EC">
        <w:rPr>
          <w:color w:val="000000" w:themeColor="text1"/>
        </w:rPr>
        <w:t xml:space="preserve"> </w:t>
      </w:r>
      <w:r w:rsidR="007E71D9" w:rsidRPr="00D507EC">
        <w:rPr>
          <w:color w:val="000000" w:themeColor="text1"/>
        </w:rPr>
        <w:t xml:space="preserve">and presence of resistance </w:t>
      </w:r>
      <w:r w:rsidR="009055CF" w:rsidRPr="00D507EC">
        <w:rPr>
          <w:color w:val="000000" w:themeColor="text1"/>
        </w:rPr>
        <w:t>determinants,</w:t>
      </w:r>
      <w:r w:rsidR="007E71D9" w:rsidRPr="00D507EC">
        <w:rPr>
          <w:color w:val="000000" w:themeColor="text1"/>
        </w:rPr>
        <w:t xml:space="preserve"> for canine-derived </w:t>
      </w:r>
      <w:r w:rsidR="007E71D9" w:rsidRPr="00D507EC">
        <w:rPr>
          <w:i/>
          <w:color w:val="000000" w:themeColor="text1"/>
        </w:rPr>
        <w:t>Staphylococcus pseudintermedius</w:t>
      </w:r>
      <w:r w:rsidR="007E71D9" w:rsidRPr="00D507EC">
        <w:rPr>
          <w:color w:val="000000" w:themeColor="text1"/>
        </w:rPr>
        <w:t xml:space="preserve"> and </w:t>
      </w:r>
      <w:r w:rsidR="007E71D9" w:rsidRPr="00D507EC">
        <w:rPr>
          <w:i/>
          <w:color w:val="000000" w:themeColor="text1"/>
        </w:rPr>
        <w:t xml:space="preserve">S. aureus </w:t>
      </w:r>
      <w:r w:rsidR="007E71D9" w:rsidRPr="00D507EC">
        <w:rPr>
          <w:color w:val="000000" w:themeColor="text1"/>
        </w:rPr>
        <w:t>isolates</w:t>
      </w:r>
      <w:r w:rsidR="009055CF" w:rsidRPr="00D507EC">
        <w:rPr>
          <w:color w:val="000000" w:themeColor="text1"/>
        </w:rPr>
        <w:t xml:space="preserve"> (n = 578) </w:t>
      </w:r>
      <w:r w:rsidR="007E71D9" w:rsidRPr="00D507EC">
        <w:rPr>
          <w:color w:val="000000" w:themeColor="text1"/>
        </w:rPr>
        <w:t>from Finland, the U.S.A., North U.K. (NUK), Sou</w:t>
      </w:r>
      <w:r w:rsidR="009055CF" w:rsidRPr="00D507EC">
        <w:rPr>
          <w:color w:val="000000" w:themeColor="text1"/>
        </w:rPr>
        <w:t>th-East U.K. (SEUK) and Germany.</w:t>
      </w:r>
      <w:r w:rsidR="005C71D9" w:rsidRPr="00D507EC">
        <w:rPr>
          <w:color w:val="000000" w:themeColor="text1"/>
        </w:rPr>
        <w:t xml:space="preserve"> </w:t>
      </w:r>
    </w:p>
    <w:p w14:paraId="4A5F4D78" w14:textId="0C9CF7C2" w:rsidR="00834F1F" w:rsidRPr="00D507EC" w:rsidRDefault="009C328A" w:rsidP="009C328A">
      <w:pPr>
        <w:pStyle w:val="Heading5"/>
        <w:rPr>
          <w:color w:val="000000" w:themeColor="text1"/>
        </w:rPr>
      </w:pPr>
      <w:r w:rsidRPr="00D507EC">
        <w:rPr>
          <w:color w:val="000000" w:themeColor="text1"/>
        </w:rPr>
        <w:t>a)</w:t>
      </w:r>
    </w:p>
    <w:tbl>
      <w:tblPr>
        <w:tblStyle w:val="GridTable1Light-Accent12"/>
        <w:tblW w:w="14268" w:type="dxa"/>
        <w:jc w:val="center"/>
        <w:tblLayout w:type="fixed"/>
        <w:tblLook w:val="04A0" w:firstRow="1" w:lastRow="0" w:firstColumn="1" w:lastColumn="0" w:noHBand="0" w:noVBand="1"/>
      </w:tblPr>
      <w:tblGrid>
        <w:gridCol w:w="1103"/>
        <w:gridCol w:w="970"/>
        <w:gridCol w:w="428"/>
        <w:gridCol w:w="792"/>
        <w:gridCol w:w="606"/>
        <w:gridCol w:w="700"/>
        <w:gridCol w:w="725"/>
        <w:gridCol w:w="581"/>
        <w:gridCol w:w="709"/>
        <w:gridCol w:w="708"/>
        <w:gridCol w:w="900"/>
        <w:gridCol w:w="870"/>
        <w:gridCol w:w="724"/>
        <w:gridCol w:w="725"/>
        <w:gridCol w:w="579"/>
        <w:gridCol w:w="725"/>
        <w:gridCol w:w="725"/>
        <w:gridCol w:w="6"/>
        <w:gridCol w:w="863"/>
        <w:gridCol w:w="6"/>
        <w:gridCol w:w="823"/>
      </w:tblGrid>
      <w:tr w:rsidR="00700DEC" w:rsidRPr="00D507EC" w14:paraId="61D6F92F" w14:textId="77777777" w:rsidTr="00700DEC">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103" w:type="dxa"/>
            <w:vMerge w:val="restart"/>
            <w:vAlign w:val="center"/>
          </w:tcPr>
          <w:p w14:paraId="32C513ED" w14:textId="77777777" w:rsidR="00700DEC" w:rsidRPr="00D507EC" w:rsidRDefault="00700DEC" w:rsidP="009D1B18">
            <w:pPr>
              <w:spacing w:line="360" w:lineRule="auto"/>
              <w:jc w:val="center"/>
              <w:rPr>
                <w:color w:val="000000" w:themeColor="text1"/>
                <w:sz w:val="20"/>
              </w:rPr>
            </w:pPr>
            <w:r w:rsidRPr="00D507EC">
              <w:rPr>
                <w:color w:val="000000" w:themeColor="text1"/>
                <w:sz w:val="20"/>
              </w:rPr>
              <w:t>Country</w:t>
            </w:r>
          </w:p>
        </w:tc>
        <w:tc>
          <w:tcPr>
            <w:tcW w:w="970" w:type="dxa"/>
            <w:vMerge w:val="restart"/>
            <w:vAlign w:val="center"/>
          </w:tcPr>
          <w:p w14:paraId="4D9A35BA" w14:textId="77777777" w:rsidR="00700DEC" w:rsidRPr="00D507EC" w:rsidRDefault="00700DEC" w:rsidP="009D1B18">
            <w:pPr>
              <w:spacing w:line="360" w:lineRule="auto"/>
              <w:jc w:val="center"/>
              <w:cnfStyle w:val="100000000000" w:firstRow="1" w:lastRow="0" w:firstColumn="0" w:lastColumn="0" w:oddVBand="0" w:evenVBand="0" w:oddHBand="0" w:evenHBand="0" w:firstRowFirstColumn="0" w:firstRowLastColumn="0" w:lastRowFirstColumn="0" w:lastRowLastColumn="0"/>
              <w:rPr>
                <w:color w:val="000000" w:themeColor="text1"/>
                <w:sz w:val="20"/>
              </w:rPr>
            </w:pPr>
            <w:r w:rsidRPr="00D507EC">
              <w:rPr>
                <w:color w:val="000000" w:themeColor="text1"/>
                <w:sz w:val="20"/>
              </w:rPr>
              <w:t>Bacterial Type</w:t>
            </w:r>
          </w:p>
        </w:tc>
        <w:tc>
          <w:tcPr>
            <w:tcW w:w="428" w:type="dxa"/>
            <w:vMerge w:val="restart"/>
            <w:vAlign w:val="center"/>
          </w:tcPr>
          <w:p w14:paraId="300BF71D" w14:textId="77777777" w:rsidR="00700DEC" w:rsidRPr="00D507EC" w:rsidRDefault="00700DEC" w:rsidP="009D1B18">
            <w:pPr>
              <w:spacing w:line="360" w:lineRule="auto"/>
              <w:jc w:val="center"/>
              <w:cnfStyle w:val="100000000000" w:firstRow="1" w:lastRow="0" w:firstColumn="0" w:lastColumn="0" w:oddVBand="0" w:evenVBand="0" w:oddHBand="0" w:evenHBand="0" w:firstRowFirstColumn="0" w:firstRowLastColumn="0" w:lastRowFirstColumn="0" w:lastRowLastColumn="0"/>
              <w:rPr>
                <w:color w:val="000000" w:themeColor="text1"/>
                <w:sz w:val="20"/>
              </w:rPr>
            </w:pPr>
            <w:r w:rsidRPr="00D507EC">
              <w:rPr>
                <w:color w:val="000000" w:themeColor="text1"/>
                <w:sz w:val="20"/>
              </w:rPr>
              <w:t>n</w:t>
            </w:r>
          </w:p>
        </w:tc>
        <w:tc>
          <w:tcPr>
            <w:tcW w:w="10075" w:type="dxa"/>
            <w:gridSpan w:val="15"/>
            <w:vAlign w:val="center"/>
          </w:tcPr>
          <w:p w14:paraId="5613E581" w14:textId="691A1AAA" w:rsidR="00700DEC" w:rsidRPr="00D507EC" w:rsidRDefault="009C328A" w:rsidP="009D1B18">
            <w:pPr>
              <w:spacing w:line="360" w:lineRule="auto"/>
              <w:jc w:val="center"/>
              <w:cnfStyle w:val="100000000000" w:firstRow="1" w:lastRow="0" w:firstColumn="0" w:lastColumn="0" w:oddVBand="0" w:evenVBand="0" w:oddHBand="0" w:evenHBand="0" w:firstRowFirstColumn="0" w:firstRowLastColumn="0" w:lastRowFirstColumn="0" w:lastRowLastColumn="0"/>
              <w:rPr>
                <w:color w:val="000000" w:themeColor="text1"/>
                <w:sz w:val="20"/>
              </w:rPr>
            </w:pPr>
            <w:r w:rsidRPr="00D507EC">
              <w:rPr>
                <w:color w:val="000000" w:themeColor="text1"/>
                <w:sz w:val="20"/>
              </w:rPr>
              <w:t xml:space="preserve">Fusidic acid </w:t>
            </w:r>
            <w:r w:rsidR="00700DEC" w:rsidRPr="00D507EC">
              <w:rPr>
                <w:color w:val="000000" w:themeColor="text1"/>
                <w:sz w:val="20"/>
              </w:rPr>
              <w:t>MIC (mg/L)</w:t>
            </w:r>
          </w:p>
        </w:tc>
        <w:tc>
          <w:tcPr>
            <w:tcW w:w="869" w:type="dxa"/>
            <w:gridSpan w:val="2"/>
            <w:tcBorders>
              <w:bottom w:val="nil"/>
            </w:tcBorders>
            <w:vAlign w:val="bottom"/>
          </w:tcPr>
          <w:p w14:paraId="54587B20" w14:textId="77777777" w:rsidR="00700DEC" w:rsidRPr="00D507EC" w:rsidRDefault="00700DEC" w:rsidP="009D1B18">
            <w:pPr>
              <w:spacing w:line="360" w:lineRule="auto"/>
              <w:jc w:val="center"/>
              <w:cnfStyle w:val="100000000000" w:firstRow="1" w:lastRow="0" w:firstColumn="0" w:lastColumn="0" w:oddVBand="0" w:evenVBand="0" w:oddHBand="0" w:evenHBand="0" w:firstRowFirstColumn="0" w:firstRowLastColumn="0" w:lastRowFirstColumn="0" w:lastRowLastColumn="0"/>
              <w:rPr>
                <w:color w:val="000000" w:themeColor="text1"/>
                <w:sz w:val="20"/>
              </w:rPr>
            </w:pPr>
            <w:r w:rsidRPr="00D507EC">
              <w:rPr>
                <w:color w:val="000000" w:themeColor="text1"/>
                <w:sz w:val="20"/>
              </w:rPr>
              <w:t>MIC</w:t>
            </w:r>
            <w:r w:rsidRPr="00D507EC">
              <w:rPr>
                <w:color w:val="000000" w:themeColor="text1"/>
                <w:sz w:val="20"/>
                <w:vertAlign w:val="subscript"/>
              </w:rPr>
              <w:t>50</w:t>
            </w:r>
          </w:p>
        </w:tc>
        <w:tc>
          <w:tcPr>
            <w:tcW w:w="823" w:type="dxa"/>
            <w:tcBorders>
              <w:bottom w:val="nil"/>
            </w:tcBorders>
            <w:vAlign w:val="bottom"/>
          </w:tcPr>
          <w:p w14:paraId="61785EBA" w14:textId="77777777" w:rsidR="00700DEC" w:rsidRPr="00D507EC" w:rsidRDefault="00700DEC" w:rsidP="009D1B18">
            <w:pPr>
              <w:spacing w:line="360" w:lineRule="auto"/>
              <w:jc w:val="center"/>
              <w:cnfStyle w:val="100000000000" w:firstRow="1" w:lastRow="0" w:firstColumn="0" w:lastColumn="0" w:oddVBand="0" w:evenVBand="0" w:oddHBand="0" w:evenHBand="0" w:firstRowFirstColumn="0" w:firstRowLastColumn="0" w:lastRowFirstColumn="0" w:lastRowLastColumn="0"/>
              <w:rPr>
                <w:color w:val="000000" w:themeColor="text1"/>
                <w:sz w:val="20"/>
              </w:rPr>
            </w:pPr>
            <w:r w:rsidRPr="00D507EC">
              <w:rPr>
                <w:color w:val="000000" w:themeColor="text1"/>
                <w:sz w:val="20"/>
              </w:rPr>
              <w:t>MIC</w:t>
            </w:r>
            <w:r w:rsidRPr="00D507EC">
              <w:rPr>
                <w:color w:val="000000" w:themeColor="text1"/>
                <w:sz w:val="20"/>
                <w:vertAlign w:val="subscript"/>
              </w:rPr>
              <w:t>90</w:t>
            </w:r>
          </w:p>
        </w:tc>
      </w:tr>
      <w:tr w:rsidR="00700DEC" w:rsidRPr="00D507EC" w14:paraId="4F3EBCB4" w14:textId="77777777" w:rsidTr="005C71D9">
        <w:trPr>
          <w:trHeight w:val="44"/>
          <w:jc w:val="center"/>
        </w:trPr>
        <w:tc>
          <w:tcPr>
            <w:cnfStyle w:val="001000000000" w:firstRow="0" w:lastRow="0" w:firstColumn="1" w:lastColumn="0" w:oddVBand="0" w:evenVBand="0" w:oddHBand="0" w:evenHBand="0" w:firstRowFirstColumn="0" w:firstRowLastColumn="0" w:lastRowFirstColumn="0" w:lastRowLastColumn="0"/>
            <w:tcW w:w="1103" w:type="dxa"/>
            <w:vMerge/>
            <w:tcBorders>
              <w:bottom w:val="single" w:sz="12" w:space="0" w:color="9CC2E5" w:themeColor="accent1" w:themeTint="99"/>
            </w:tcBorders>
            <w:vAlign w:val="center"/>
          </w:tcPr>
          <w:p w14:paraId="356FC5B4" w14:textId="77777777" w:rsidR="00700DEC" w:rsidRPr="00D507EC" w:rsidRDefault="00700DEC" w:rsidP="009D1B18">
            <w:pPr>
              <w:spacing w:line="360" w:lineRule="auto"/>
              <w:jc w:val="center"/>
              <w:rPr>
                <w:color w:val="000000" w:themeColor="text1"/>
                <w:sz w:val="20"/>
              </w:rPr>
            </w:pPr>
          </w:p>
        </w:tc>
        <w:tc>
          <w:tcPr>
            <w:tcW w:w="970" w:type="dxa"/>
            <w:vMerge/>
            <w:tcBorders>
              <w:bottom w:val="single" w:sz="12" w:space="0" w:color="9CC2E5" w:themeColor="accent1" w:themeTint="99"/>
            </w:tcBorders>
            <w:vAlign w:val="center"/>
          </w:tcPr>
          <w:p w14:paraId="1C006668" w14:textId="77777777" w:rsidR="00700DEC" w:rsidRPr="00D507EC" w:rsidRDefault="00700DEC" w:rsidP="009D1B18">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p>
        </w:tc>
        <w:tc>
          <w:tcPr>
            <w:tcW w:w="428" w:type="dxa"/>
            <w:vMerge/>
            <w:tcBorders>
              <w:bottom w:val="single" w:sz="12" w:space="0" w:color="9CC2E5" w:themeColor="accent1" w:themeTint="99"/>
            </w:tcBorders>
            <w:vAlign w:val="center"/>
          </w:tcPr>
          <w:p w14:paraId="5665595B" w14:textId="77777777" w:rsidR="00700DEC" w:rsidRPr="00D507EC" w:rsidRDefault="00700DEC" w:rsidP="009D1B18">
            <w:pPr>
              <w:spacing w:line="360" w:lineRule="auto"/>
              <w:jc w:val="center"/>
              <w:cnfStyle w:val="000000000000" w:firstRow="0" w:lastRow="0" w:firstColumn="0" w:lastColumn="0" w:oddVBand="0" w:evenVBand="0" w:oddHBand="0" w:evenHBand="0" w:firstRowFirstColumn="0" w:firstRowLastColumn="0" w:lastRowFirstColumn="0" w:lastRowLastColumn="0"/>
              <w:rPr>
                <w:b/>
                <w:color w:val="000000" w:themeColor="text1"/>
                <w:sz w:val="20"/>
              </w:rPr>
            </w:pPr>
          </w:p>
        </w:tc>
        <w:tc>
          <w:tcPr>
            <w:tcW w:w="792" w:type="dxa"/>
            <w:tcBorders>
              <w:top w:val="single" w:sz="4" w:space="0" w:color="9CC2E5" w:themeColor="accent1" w:themeTint="99"/>
              <w:bottom w:val="single" w:sz="12" w:space="0" w:color="9CC2E5" w:themeColor="accent1" w:themeTint="99"/>
            </w:tcBorders>
            <w:vAlign w:val="center"/>
          </w:tcPr>
          <w:p w14:paraId="0921CD08" w14:textId="1D3CBC0D" w:rsidR="00700DEC" w:rsidRPr="00D507EC" w:rsidRDefault="00E01582" w:rsidP="009D1B18">
            <w:pPr>
              <w:spacing w:line="360" w:lineRule="auto"/>
              <w:jc w:val="center"/>
              <w:cnfStyle w:val="000000000000" w:firstRow="0" w:lastRow="0" w:firstColumn="0" w:lastColumn="0" w:oddVBand="0" w:evenVBand="0" w:oddHBand="0" w:evenHBand="0" w:firstRowFirstColumn="0" w:firstRowLastColumn="0" w:lastRowFirstColumn="0" w:lastRowLastColumn="0"/>
              <w:rPr>
                <w:b/>
                <w:color w:val="000000" w:themeColor="text1"/>
                <w:sz w:val="20"/>
              </w:rPr>
            </w:pPr>
            <w:r w:rsidRPr="00D507EC">
              <w:rPr>
                <w:b/>
                <w:color w:val="000000" w:themeColor="text1"/>
                <w:sz w:val="20"/>
              </w:rPr>
              <w:t>≤</w:t>
            </w:r>
            <w:r w:rsidR="00700DEC" w:rsidRPr="00D507EC">
              <w:rPr>
                <w:b/>
                <w:color w:val="000000" w:themeColor="text1"/>
                <w:sz w:val="20"/>
              </w:rPr>
              <w:t>0.015</w:t>
            </w:r>
          </w:p>
        </w:tc>
        <w:tc>
          <w:tcPr>
            <w:tcW w:w="606" w:type="dxa"/>
            <w:tcBorders>
              <w:top w:val="single" w:sz="4" w:space="0" w:color="9CC2E5" w:themeColor="accent1" w:themeTint="99"/>
              <w:bottom w:val="single" w:sz="12" w:space="0" w:color="9CC2E5" w:themeColor="accent1" w:themeTint="99"/>
            </w:tcBorders>
            <w:vAlign w:val="center"/>
          </w:tcPr>
          <w:p w14:paraId="70C35EA1" w14:textId="77777777" w:rsidR="00700DEC" w:rsidRPr="00D507EC" w:rsidRDefault="00700DEC" w:rsidP="009D1B18">
            <w:pPr>
              <w:spacing w:line="360" w:lineRule="auto"/>
              <w:jc w:val="center"/>
              <w:cnfStyle w:val="000000000000" w:firstRow="0" w:lastRow="0" w:firstColumn="0" w:lastColumn="0" w:oddVBand="0" w:evenVBand="0" w:oddHBand="0" w:evenHBand="0" w:firstRowFirstColumn="0" w:firstRowLastColumn="0" w:lastRowFirstColumn="0" w:lastRowLastColumn="0"/>
              <w:rPr>
                <w:b/>
                <w:bCs/>
                <w:color w:val="000000" w:themeColor="text1"/>
                <w:sz w:val="20"/>
              </w:rPr>
            </w:pPr>
            <w:r w:rsidRPr="00D507EC">
              <w:rPr>
                <w:b/>
                <w:bCs/>
                <w:color w:val="000000" w:themeColor="text1"/>
                <w:sz w:val="20"/>
              </w:rPr>
              <w:t>0.03</w:t>
            </w:r>
          </w:p>
        </w:tc>
        <w:tc>
          <w:tcPr>
            <w:tcW w:w="700" w:type="dxa"/>
            <w:tcBorders>
              <w:top w:val="single" w:sz="4" w:space="0" w:color="9CC2E5" w:themeColor="accent1" w:themeTint="99"/>
              <w:bottom w:val="single" w:sz="12" w:space="0" w:color="9CC2E5" w:themeColor="accent1" w:themeTint="99"/>
            </w:tcBorders>
            <w:vAlign w:val="center"/>
          </w:tcPr>
          <w:p w14:paraId="12124592" w14:textId="77777777" w:rsidR="00700DEC" w:rsidRPr="00D507EC" w:rsidRDefault="00700DEC" w:rsidP="009D1B18">
            <w:pPr>
              <w:spacing w:line="360" w:lineRule="auto"/>
              <w:jc w:val="center"/>
              <w:cnfStyle w:val="000000000000" w:firstRow="0" w:lastRow="0" w:firstColumn="0" w:lastColumn="0" w:oddVBand="0" w:evenVBand="0" w:oddHBand="0" w:evenHBand="0" w:firstRowFirstColumn="0" w:firstRowLastColumn="0" w:lastRowFirstColumn="0" w:lastRowLastColumn="0"/>
              <w:rPr>
                <w:b/>
                <w:bCs/>
                <w:color w:val="000000" w:themeColor="text1"/>
                <w:sz w:val="20"/>
              </w:rPr>
            </w:pPr>
            <w:r w:rsidRPr="00D507EC">
              <w:rPr>
                <w:b/>
                <w:bCs/>
                <w:color w:val="000000" w:themeColor="text1"/>
                <w:sz w:val="20"/>
              </w:rPr>
              <w:t>0.06</w:t>
            </w:r>
          </w:p>
        </w:tc>
        <w:tc>
          <w:tcPr>
            <w:tcW w:w="725" w:type="dxa"/>
            <w:tcBorders>
              <w:top w:val="single" w:sz="4" w:space="0" w:color="9CC2E5" w:themeColor="accent1" w:themeTint="99"/>
              <w:bottom w:val="single" w:sz="12" w:space="0" w:color="9CC2E5" w:themeColor="accent1" w:themeTint="99"/>
            </w:tcBorders>
            <w:vAlign w:val="center"/>
          </w:tcPr>
          <w:p w14:paraId="6203A7E9" w14:textId="77777777" w:rsidR="00700DEC" w:rsidRPr="00D507EC" w:rsidRDefault="00700DEC" w:rsidP="009D1B18">
            <w:pPr>
              <w:spacing w:line="360" w:lineRule="auto"/>
              <w:jc w:val="center"/>
              <w:cnfStyle w:val="000000000000" w:firstRow="0" w:lastRow="0" w:firstColumn="0" w:lastColumn="0" w:oddVBand="0" w:evenVBand="0" w:oddHBand="0" w:evenHBand="0" w:firstRowFirstColumn="0" w:firstRowLastColumn="0" w:lastRowFirstColumn="0" w:lastRowLastColumn="0"/>
              <w:rPr>
                <w:b/>
                <w:bCs/>
                <w:color w:val="000000" w:themeColor="text1"/>
                <w:sz w:val="20"/>
              </w:rPr>
            </w:pPr>
            <w:r w:rsidRPr="00D507EC">
              <w:rPr>
                <w:b/>
                <w:bCs/>
                <w:color w:val="000000" w:themeColor="text1"/>
                <w:sz w:val="20"/>
              </w:rPr>
              <w:t>0.125</w:t>
            </w:r>
          </w:p>
        </w:tc>
        <w:tc>
          <w:tcPr>
            <w:tcW w:w="581" w:type="dxa"/>
            <w:tcBorders>
              <w:top w:val="single" w:sz="4" w:space="0" w:color="9CC2E5" w:themeColor="accent1" w:themeTint="99"/>
              <w:bottom w:val="single" w:sz="12" w:space="0" w:color="9CC2E5" w:themeColor="accent1" w:themeTint="99"/>
            </w:tcBorders>
            <w:vAlign w:val="center"/>
          </w:tcPr>
          <w:p w14:paraId="414D867D" w14:textId="77777777" w:rsidR="00700DEC" w:rsidRPr="00D507EC" w:rsidRDefault="00700DEC" w:rsidP="009D1B18">
            <w:pPr>
              <w:spacing w:line="360" w:lineRule="auto"/>
              <w:jc w:val="center"/>
              <w:cnfStyle w:val="000000000000" w:firstRow="0" w:lastRow="0" w:firstColumn="0" w:lastColumn="0" w:oddVBand="0" w:evenVBand="0" w:oddHBand="0" w:evenHBand="0" w:firstRowFirstColumn="0" w:firstRowLastColumn="0" w:lastRowFirstColumn="0" w:lastRowLastColumn="0"/>
              <w:rPr>
                <w:b/>
                <w:bCs/>
                <w:color w:val="000000" w:themeColor="text1"/>
                <w:sz w:val="20"/>
              </w:rPr>
            </w:pPr>
            <w:r w:rsidRPr="00D507EC">
              <w:rPr>
                <w:b/>
                <w:bCs/>
                <w:color w:val="000000" w:themeColor="text1"/>
                <w:sz w:val="20"/>
              </w:rPr>
              <w:t>0.25</w:t>
            </w:r>
          </w:p>
        </w:tc>
        <w:tc>
          <w:tcPr>
            <w:tcW w:w="709" w:type="dxa"/>
            <w:tcBorders>
              <w:top w:val="single" w:sz="4" w:space="0" w:color="9CC2E5" w:themeColor="accent1" w:themeTint="99"/>
              <w:bottom w:val="single" w:sz="12" w:space="0" w:color="9CC2E5" w:themeColor="accent1" w:themeTint="99"/>
              <w:right w:val="dashed" w:sz="4" w:space="0" w:color="auto"/>
            </w:tcBorders>
            <w:vAlign w:val="center"/>
          </w:tcPr>
          <w:p w14:paraId="562D3204" w14:textId="77777777" w:rsidR="00700DEC" w:rsidRPr="00D507EC" w:rsidRDefault="00700DEC" w:rsidP="009D1B18">
            <w:pPr>
              <w:spacing w:line="360" w:lineRule="auto"/>
              <w:jc w:val="center"/>
              <w:cnfStyle w:val="000000000000" w:firstRow="0" w:lastRow="0" w:firstColumn="0" w:lastColumn="0" w:oddVBand="0" w:evenVBand="0" w:oddHBand="0" w:evenHBand="0" w:firstRowFirstColumn="0" w:firstRowLastColumn="0" w:lastRowFirstColumn="0" w:lastRowLastColumn="0"/>
              <w:rPr>
                <w:b/>
                <w:bCs/>
                <w:color w:val="000000" w:themeColor="text1"/>
                <w:sz w:val="20"/>
              </w:rPr>
            </w:pPr>
            <w:r w:rsidRPr="00D507EC">
              <w:rPr>
                <w:b/>
                <w:bCs/>
                <w:color w:val="000000" w:themeColor="text1"/>
                <w:sz w:val="20"/>
              </w:rPr>
              <w:t>0.5</w:t>
            </w:r>
          </w:p>
        </w:tc>
        <w:tc>
          <w:tcPr>
            <w:tcW w:w="708" w:type="dxa"/>
            <w:tcBorders>
              <w:top w:val="single" w:sz="4" w:space="0" w:color="9CC2E5" w:themeColor="accent1" w:themeTint="99"/>
              <w:left w:val="dashed" w:sz="4" w:space="0" w:color="auto"/>
              <w:bottom w:val="single" w:sz="12" w:space="0" w:color="9CC2E5" w:themeColor="accent1" w:themeTint="99"/>
            </w:tcBorders>
            <w:vAlign w:val="center"/>
          </w:tcPr>
          <w:p w14:paraId="1EE49DAB" w14:textId="77777777" w:rsidR="00700DEC" w:rsidRPr="00D507EC" w:rsidRDefault="00700DEC" w:rsidP="009D1B18">
            <w:pPr>
              <w:spacing w:line="360" w:lineRule="auto"/>
              <w:jc w:val="center"/>
              <w:cnfStyle w:val="000000000000" w:firstRow="0" w:lastRow="0" w:firstColumn="0" w:lastColumn="0" w:oddVBand="0" w:evenVBand="0" w:oddHBand="0" w:evenHBand="0" w:firstRowFirstColumn="0" w:firstRowLastColumn="0" w:lastRowFirstColumn="0" w:lastRowLastColumn="0"/>
              <w:rPr>
                <w:b/>
                <w:bCs/>
                <w:color w:val="000000" w:themeColor="text1"/>
                <w:sz w:val="20"/>
              </w:rPr>
            </w:pPr>
            <w:r w:rsidRPr="00D507EC">
              <w:rPr>
                <w:b/>
                <w:bCs/>
                <w:color w:val="000000" w:themeColor="text1"/>
                <w:sz w:val="20"/>
              </w:rPr>
              <w:t>1</w:t>
            </w:r>
          </w:p>
        </w:tc>
        <w:tc>
          <w:tcPr>
            <w:tcW w:w="900" w:type="dxa"/>
            <w:tcBorders>
              <w:top w:val="single" w:sz="4" w:space="0" w:color="9CC2E5" w:themeColor="accent1" w:themeTint="99"/>
              <w:bottom w:val="single" w:sz="12" w:space="0" w:color="9CC2E5" w:themeColor="accent1" w:themeTint="99"/>
            </w:tcBorders>
            <w:vAlign w:val="center"/>
          </w:tcPr>
          <w:p w14:paraId="43817745" w14:textId="77777777" w:rsidR="00700DEC" w:rsidRPr="00D507EC" w:rsidRDefault="00700DEC" w:rsidP="009D1B18">
            <w:pPr>
              <w:spacing w:line="360" w:lineRule="auto"/>
              <w:jc w:val="center"/>
              <w:cnfStyle w:val="000000000000" w:firstRow="0" w:lastRow="0" w:firstColumn="0" w:lastColumn="0" w:oddVBand="0" w:evenVBand="0" w:oddHBand="0" w:evenHBand="0" w:firstRowFirstColumn="0" w:firstRowLastColumn="0" w:lastRowFirstColumn="0" w:lastRowLastColumn="0"/>
              <w:rPr>
                <w:b/>
                <w:bCs/>
                <w:color w:val="000000" w:themeColor="text1"/>
                <w:sz w:val="20"/>
              </w:rPr>
            </w:pPr>
            <w:r w:rsidRPr="00D507EC">
              <w:rPr>
                <w:b/>
                <w:bCs/>
                <w:color w:val="000000" w:themeColor="text1"/>
                <w:sz w:val="20"/>
              </w:rPr>
              <w:t>2</w:t>
            </w:r>
          </w:p>
        </w:tc>
        <w:tc>
          <w:tcPr>
            <w:tcW w:w="870" w:type="dxa"/>
            <w:tcBorders>
              <w:top w:val="single" w:sz="4" w:space="0" w:color="9CC2E5" w:themeColor="accent1" w:themeTint="99"/>
              <w:bottom w:val="single" w:sz="12" w:space="0" w:color="9CC2E5" w:themeColor="accent1" w:themeTint="99"/>
            </w:tcBorders>
            <w:vAlign w:val="center"/>
          </w:tcPr>
          <w:p w14:paraId="58C97D36" w14:textId="77777777" w:rsidR="00700DEC" w:rsidRPr="00D507EC" w:rsidRDefault="00700DEC" w:rsidP="009D1B18">
            <w:pPr>
              <w:spacing w:line="360" w:lineRule="auto"/>
              <w:jc w:val="center"/>
              <w:cnfStyle w:val="000000000000" w:firstRow="0" w:lastRow="0" w:firstColumn="0" w:lastColumn="0" w:oddVBand="0" w:evenVBand="0" w:oddHBand="0" w:evenHBand="0" w:firstRowFirstColumn="0" w:firstRowLastColumn="0" w:lastRowFirstColumn="0" w:lastRowLastColumn="0"/>
              <w:rPr>
                <w:b/>
                <w:bCs/>
                <w:color w:val="000000" w:themeColor="text1"/>
                <w:sz w:val="20"/>
              </w:rPr>
            </w:pPr>
            <w:r w:rsidRPr="00D507EC">
              <w:rPr>
                <w:b/>
                <w:bCs/>
                <w:color w:val="000000" w:themeColor="text1"/>
                <w:sz w:val="20"/>
              </w:rPr>
              <w:t>4</w:t>
            </w:r>
          </w:p>
        </w:tc>
        <w:tc>
          <w:tcPr>
            <w:tcW w:w="724" w:type="dxa"/>
            <w:tcBorders>
              <w:top w:val="single" w:sz="4" w:space="0" w:color="9CC2E5" w:themeColor="accent1" w:themeTint="99"/>
              <w:bottom w:val="single" w:sz="12" w:space="0" w:color="9CC2E5" w:themeColor="accent1" w:themeTint="99"/>
            </w:tcBorders>
            <w:vAlign w:val="center"/>
          </w:tcPr>
          <w:p w14:paraId="44D57714" w14:textId="77777777" w:rsidR="00700DEC" w:rsidRPr="00D507EC" w:rsidRDefault="00700DEC" w:rsidP="009D1B18">
            <w:pPr>
              <w:spacing w:line="360" w:lineRule="auto"/>
              <w:jc w:val="center"/>
              <w:cnfStyle w:val="000000000000" w:firstRow="0" w:lastRow="0" w:firstColumn="0" w:lastColumn="0" w:oddVBand="0" w:evenVBand="0" w:oddHBand="0" w:evenHBand="0" w:firstRowFirstColumn="0" w:firstRowLastColumn="0" w:lastRowFirstColumn="0" w:lastRowLastColumn="0"/>
              <w:rPr>
                <w:b/>
                <w:bCs/>
                <w:color w:val="000000" w:themeColor="text1"/>
                <w:sz w:val="20"/>
              </w:rPr>
            </w:pPr>
            <w:r w:rsidRPr="00D507EC">
              <w:rPr>
                <w:b/>
                <w:bCs/>
                <w:color w:val="000000" w:themeColor="text1"/>
                <w:sz w:val="20"/>
              </w:rPr>
              <w:t>8</w:t>
            </w:r>
          </w:p>
        </w:tc>
        <w:tc>
          <w:tcPr>
            <w:tcW w:w="725" w:type="dxa"/>
            <w:tcBorders>
              <w:top w:val="single" w:sz="4" w:space="0" w:color="9CC2E5" w:themeColor="accent1" w:themeTint="99"/>
              <w:bottom w:val="single" w:sz="12" w:space="0" w:color="9CC2E5" w:themeColor="accent1" w:themeTint="99"/>
            </w:tcBorders>
            <w:vAlign w:val="center"/>
          </w:tcPr>
          <w:p w14:paraId="4C461AC6" w14:textId="77777777" w:rsidR="00700DEC" w:rsidRPr="00D507EC" w:rsidRDefault="00700DEC" w:rsidP="009D1B18">
            <w:pPr>
              <w:spacing w:line="360" w:lineRule="auto"/>
              <w:jc w:val="center"/>
              <w:cnfStyle w:val="000000000000" w:firstRow="0" w:lastRow="0" w:firstColumn="0" w:lastColumn="0" w:oddVBand="0" w:evenVBand="0" w:oddHBand="0" w:evenHBand="0" w:firstRowFirstColumn="0" w:firstRowLastColumn="0" w:lastRowFirstColumn="0" w:lastRowLastColumn="0"/>
              <w:rPr>
                <w:b/>
                <w:bCs/>
                <w:color w:val="000000" w:themeColor="text1"/>
                <w:sz w:val="20"/>
              </w:rPr>
            </w:pPr>
            <w:r w:rsidRPr="00D507EC">
              <w:rPr>
                <w:b/>
                <w:bCs/>
                <w:color w:val="000000" w:themeColor="text1"/>
                <w:sz w:val="20"/>
              </w:rPr>
              <w:t>16</w:t>
            </w:r>
          </w:p>
        </w:tc>
        <w:tc>
          <w:tcPr>
            <w:tcW w:w="579" w:type="dxa"/>
            <w:tcBorders>
              <w:top w:val="single" w:sz="4" w:space="0" w:color="9CC2E5" w:themeColor="accent1" w:themeTint="99"/>
              <w:bottom w:val="single" w:sz="12" w:space="0" w:color="9CC2E5" w:themeColor="accent1" w:themeTint="99"/>
            </w:tcBorders>
            <w:vAlign w:val="center"/>
          </w:tcPr>
          <w:p w14:paraId="387DF5F9" w14:textId="77777777" w:rsidR="00700DEC" w:rsidRPr="00D507EC" w:rsidRDefault="00700DEC" w:rsidP="009D1B18">
            <w:pPr>
              <w:spacing w:line="360" w:lineRule="auto"/>
              <w:jc w:val="center"/>
              <w:cnfStyle w:val="000000000000" w:firstRow="0" w:lastRow="0" w:firstColumn="0" w:lastColumn="0" w:oddVBand="0" w:evenVBand="0" w:oddHBand="0" w:evenHBand="0" w:firstRowFirstColumn="0" w:firstRowLastColumn="0" w:lastRowFirstColumn="0" w:lastRowLastColumn="0"/>
              <w:rPr>
                <w:b/>
                <w:bCs/>
                <w:color w:val="000000" w:themeColor="text1"/>
                <w:sz w:val="20"/>
              </w:rPr>
            </w:pPr>
            <w:r w:rsidRPr="00D507EC">
              <w:rPr>
                <w:b/>
                <w:bCs/>
                <w:color w:val="000000" w:themeColor="text1"/>
                <w:sz w:val="20"/>
              </w:rPr>
              <w:t>32</w:t>
            </w:r>
          </w:p>
        </w:tc>
        <w:tc>
          <w:tcPr>
            <w:tcW w:w="725" w:type="dxa"/>
            <w:tcBorders>
              <w:top w:val="single" w:sz="4" w:space="0" w:color="9CC2E5" w:themeColor="accent1" w:themeTint="99"/>
              <w:bottom w:val="single" w:sz="12" w:space="0" w:color="9CC2E5" w:themeColor="accent1" w:themeTint="99"/>
            </w:tcBorders>
            <w:vAlign w:val="center"/>
          </w:tcPr>
          <w:p w14:paraId="53521557" w14:textId="77777777" w:rsidR="00700DEC" w:rsidRPr="00D507EC" w:rsidRDefault="00700DEC" w:rsidP="009D1B18">
            <w:pPr>
              <w:spacing w:line="360" w:lineRule="auto"/>
              <w:jc w:val="center"/>
              <w:cnfStyle w:val="000000000000" w:firstRow="0" w:lastRow="0" w:firstColumn="0" w:lastColumn="0" w:oddVBand="0" w:evenVBand="0" w:oddHBand="0" w:evenHBand="0" w:firstRowFirstColumn="0" w:firstRowLastColumn="0" w:lastRowFirstColumn="0" w:lastRowLastColumn="0"/>
              <w:rPr>
                <w:b/>
                <w:bCs/>
                <w:color w:val="000000" w:themeColor="text1"/>
                <w:sz w:val="20"/>
              </w:rPr>
            </w:pPr>
            <w:r w:rsidRPr="00D507EC">
              <w:rPr>
                <w:b/>
                <w:bCs/>
                <w:color w:val="000000" w:themeColor="text1"/>
                <w:sz w:val="20"/>
              </w:rPr>
              <w:t>64</w:t>
            </w:r>
          </w:p>
        </w:tc>
        <w:tc>
          <w:tcPr>
            <w:tcW w:w="725" w:type="dxa"/>
            <w:tcBorders>
              <w:top w:val="single" w:sz="4" w:space="0" w:color="9CC2E5" w:themeColor="accent1" w:themeTint="99"/>
              <w:bottom w:val="single" w:sz="12" w:space="0" w:color="9CC2E5" w:themeColor="accent1" w:themeTint="99"/>
            </w:tcBorders>
            <w:vAlign w:val="center"/>
          </w:tcPr>
          <w:p w14:paraId="0F099A2D" w14:textId="77777777" w:rsidR="00700DEC" w:rsidRPr="00D507EC" w:rsidRDefault="00700DEC" w:rsidP="009D1B18">
            <w:pPr>
              <w:spacing w:line="360" w:lineRule="auto"/>
              <w:jc w:val="center"/>
              <w:cnfStyle w:val="000000000000" w:firstRow="0" w:lastRow="0" w:firstColumn="0" w:lastColumn="0" w:oddVBand="0" w:evenVBand="0" w:oddHBand="0" w:evenHBand="0" w:firstRowFirstColumn="0" w:firstRowLastColumn="0" w:lastRowFirstColumn="0" w:lastRowLastColumn="0"/>
              <w:rPr>
                <w:b/>
                <w:color w:val="000000" w:themeColor="text1"/>
                <w:sz w:val="20"/>
              </w:rPr>
            </w:pPr>
            <w:r w:rsidRPr="00D507EC">
              <w:rPr>
                <w:b/>
                <w:color w:val="000000" w:themeColor="text1"/>
                <w:sz w:val="20"/>
              </w:rPr>
              <w:t>&gt;64</w:t>
            </w:r>
          </w:p>
        </w:tc>
        <w:tc>
          <w:tcPr>
            <w:tcW w:w="869" w:type="dxa"/>
            <w:gridSpan w:val="2"/>
            <w:tcBorders>
              <w:top w:val="nil"/>
              <w:bottom w:val="single" w:sz="12" w:space="0" w:color="9CC2E5" w:themeColor="accent1" w:themeTint="99"/>
            </w:tcBorders>
            <w:vAlign w:val="center"/>
          </w:tcPr>
          <w:p w14:paraId="7E6C7594" w14:textId="77777777" w:rsidR="00700DEC" w:rsidRPr="00D507EC" w:rsidRDefault="00700DEC" w:rsidP="009D1B18">
            <w:pPr>
              <w:spacing w:line="360" w:lineRule="auto"/>
              <w:jc w:val="center"/>
              <w:cnfStyle w:val="000000000000" w:firstRow="0" w:lastRow="0" w:firstColumn="0" w:lastColumn="0" w:oddVBand="0" w:evenVBand="0" w:oddHBand="0" w:evenHBand="0" w:firstRowFirstColumn="0" w:firstRowLastColumn="0" w:lastRowFirstColumn="0" w:lastRowLastColumn="0"/>
              <w:rPr>
                <w:b/>
                <w:color w:val="000000" w:themeColor="text1"/>
                <w:sz w:val="20"/>
              </w:rPr>
            </w:pPr>
            <w:r w:rsidRPr="00D507EC">
              <w:rPr>
                <w:b/>
                <w:color w:val="000000" w:themeColor="text1"/>
                <w:sz w:val="20"/>
              </w:rPr>
              <w:t>(mg/L)</w:t>
            </w:r>
          </w:p>
        </w:tc>
        <w:tc>
          <w:tcPr>
            <w:tcW w:w="829" w:type="dxa"/>
            <w:gridSpan w:val="2"/>
            <w:tcBorders>
              <w:top w:val="nil"/>
              <w:bottom w:val="single" w:sz="12" w:space="0" w:color="9CC2E5" w:themeColor="accent1" w:themeTint="99"/>
            </w:tcBorders>
            <w:vAlign w:val="center"/>
          </w:tcPr>
          <w:p w14:paraId="21E7A8AD" w14:textId="77777777" w:rsidR="00700DEC" w:rsidRPr="00D507EC" w:rsidRDefault="00700DEC" w:rsidP="009D1B18">
            <w:pPr>
              <w:spacing w:line="360" w:lineRule="auto"/>
              <w:jc w:val="center"/>
              <w:cnfStyle w:val="000000000000" w:firstRow="0" w:lastRow="0" w:firstColumn="0" w:lastColumn="0" w:oddVBand="0" w:evenVBand="0" w:oddHBand="0" w:evenHBand="0" w:firstRowFirstColumn="0" w:firstRowLastColumn="0" w:lastRowFirstColumn="0" w:lastRowLastColumn="0"/>
              <w:rPr>
                <w:b/>
                <w:color w:val="000000" w:themeColor="text1"/>
                <w:sz w:val="20"/>
              </w:rPr>
            </w:pPr>
            <w:r w:rsidRPr="00D507EC">
              <w:rPr>
                <w:b/>
                <w:color w:val="000000" w:themeColor="text1"/>
                <w:sz w:val="20"/>
              </w:rPr>
              <w:t>(mg/L)</w:t>
            </w:r>
          </w:p>
        </w:tc>
      </w:tr>
      <w:tr w:rsidR="00700DEC" w:rsidRPr="00D507EC" w14:paraId="106166BA" w14:textId="77777777" w:rsidTr="005C71D9">
        <w:trPr>
          <w:trHeight w:val="981"/>
          <w:jc w:val="center"/>
        </w:trPr>
        <w:tc>
          <w:tcPr>
            <w:cnfStyle w:val="001000000000" w:firstRow="0" w:lastRow="0" w:firstColumn="1" w:lastColumn="0" w:oddVBand="0" w:evenVBand="0" w:oddHBand="0" w:evenHBand="0" w:firstRowFirstColumn="0" w:firstRowLastColumn="0" w:lastRowFirstColumn="0" w:lastRowLastColumn="0"/>
            <w:tcW w:w="1103" w:type="dxa"/>
            <w:vMerge w:val="restart"/>
            <w:tcBorders>
              <w:top w:val="single" w:sz="12" w:space="0" w:color="9CC2E5" w:themeColor="accent1" w:themeTint="99"/>
            </w:tcBorders>
            <w:vAlign w:val="center"/>
          </w:tcPr>
          <w:p w14:paraId="30097F4E" w14:textId="77777777" w:rsidR="00700DEC" w:rsidRPr="00D507EC" w:rsidRDefault="00700DEC" w:rsidP="009D1B18">
            <w:pPr>
              <w:spacing w:line="360" w:lineRule="auto"/>
              <w:jc w:val="center"/>
              <w:rPr>
                <w:color w:val="000000" w:themeColor="text1"/>
                <w:sz w:val="20"/>
              </w:rPr>
            </w:pPr>
            <w:r w:rsidRPr="00D507EC">
              <w:rPr>
                <w:color w:val="000000" w:themeColor="text1"/>
                <w:sz w:val="20"/>
              </w:rPr>
              <w:t>Finland</w:t>
            </w:r>
          </w:p>
        </w:tc>
        <w:tc>
          <w:tcPr>
            <w:tcW w:w="970" w:type="dxa"/>
            <w:tcBorders>
              <w:top w:val="single" w:sz="12" w:space="0" w:color="9CC2E5" w:themeColor="accent1" w:themeTint="99"/>
              <w:bottom w:val="single" w:sz="4" w:space="0" w:color="BDD6EE" w:themeColor="accent1" w:themeTint="66"/>
            </w:tcBorders>
            <w:vAlign w:val="center"/>
          </w:tcPr>
          <w:p w14:paraId="7765945F" w14:textId="77777777" w:rsidR="00700DEC" w:rsidRPr="00D507EC" w:rsidRDefault="00700DEC" w:rsidP="009D1B18">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color w:val="000000" w:themeColor="text1"/>
                <w:sz w:val="20"/>
              </w:rPr>
              <w:t>MRSP</w:t>
            </w:r>
          </w:p>
        </w:tc>
        <w:tc>
          <w:tcPr>
            <w:tcW w:w="428" w:type="dxa"/>
            <w:tcBorders>
              <w:top w:val="single" w:sz="12" w:space="0" w:color="9CC2E5" w:themeColor="accent1" w:themeTint="99"/>
              <w:bottom w:val="single" w:sz="4" w:space="0" w:color="BDD6EE" w:themeColor="accent1" w:themeTint="66"/>
            </w:tcBorders>
            <w:vAlign w:val="center"/>
          </w:tcPr>
          <w:p w14:paraId="0EF9F3D4" w14:textId="77777777" w:rsidR="00700DEC" w:rsidRPr="00D507EC" w:rsidRDefault="00700DEC" w:rsidP="009D1B18">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color w:val="000000" w:themeColor="text1"/>
                <w:sz w:val="20"/>
              </w:rPr>
              <w:t>49</w:t>
            </w:r>
          </w:p>
        </w:tc>
        <w:tc>
          <w:tcPr>
            <w:tcW w:w="792" w:type="dxa"/>
            <w:tcBorders>
              <w:top w:val="single" w:sz="12" w:space="0" w:color="9CC2E5" w:themeColor="accent1" w:themeTint="99"/>
              <w:bottom w:val="single" w:sz="4" w:space="0" w:color="BDD6EE" w:themeColor="accent1" w:themeTint="66"/>
            </w:tcBorders>
          </w:tcPr>
          <w:p w14:paraId="260BD479" w14:textId="77777777" w:rsidR="00700DEC" w:rsidRPr="00D507EC" w:rsidRDefault="00700DEC" w:rsidP="00DB140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w:t>
            </w:r>
          </w:p>
        </w:tc>
        <w:tc>
          <w:tcPr>
            <w:tcW w:w="606" w:type="dxa"/>
            <w:tcBorders>
              <w:top w:val="single" w:sz="12" w:space="0" w:color="9CC2E5" w:themeColor="accent1" w:themeTint="99"/>
              <w:bottom w:val="single" w:sz="4" w:space="0" w:color="BDD6EE" w:themeColor="accent1" w:themeTint="66"/>
            </w:tcBorders>
          </w:tcPr>
          <w:p w14:paraId="2EE2F23C" w14:textId="77777777" w:rsidR="00700DEC" w:rsidRPr="00D507EC" w:rsidRDefault="00700DEC" w:rsidP="00DB140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w:t>
            </w:r>
          </w:p>
        </w:tc>
        <w:tc>
          <w:tcPr>
            <w:tcW w:w="700" w:type="dxa"/>
            <w:tcBorders>
              <w:top w:val="single" w:sz="12" w:space="0" w:color="9CC2E5" w:themeColor="accent1" w:themeTint="99"/>
              <w:bottom w:val="single" w:sz="4" w:space="0" w:color="BDD6EE" w:themeColor="accent1" w:themeTint="66"/>
            </w:tcBorders>
          </w:tcPr>
          <w:p w14:paraId="5373BE30" w14:textId="527E2D3E" w:rsidR="00700DEC" w:rsidRPr="00D507EC" w:rsidRDefault="00700DEC" w:rsidP="00DB140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28</w:t>
            </w:r>
          </w:p>
          <w:p w14:paraId="1A5421D7"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 xml:space="preserve">n = 2 </w:t>
            </w:r>
            <w:r w:rsidRPr="00D507EC">
              <w:rPr>
                <w:rFonts w:ascii="Calibri" w:hAnsi="Calibri" w:cs="Calibri"/>
                <w:i/>
                <w:iCs/>
                <w:color w:val="000000" w:themeColor="text1"/>
                <w:sz w:val="20"/>
              </w:rPr>
              <w:t>fusC</w:t>
            </w:r>
          </w:p>
        </w:tc>
        <w:tc>
          <w:tcPr>
            <w:tcW w:w="725" w:type="dxa"/>
            <w:tcBorders>
              <w:top w:val="single" w:sz="12" w:space="0" w:color="9CC2E5" w:themeColor="accent1" w:themeTint="99"/>
              <w:bottom w:val="single" w:sz="4" w:space="0" w:color="BDD6EE" w:themeColor="accent1" w:themeTint="66"/>
            </w:tcBorders>
          </w:tcPr>
          <w:p w14:paraId="28A2E5E3"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w:t>
            </w:r>
          </w:p>
        </w:tc>
        <w:tc>
          <w:tcPr>
            <w:tcW w:w="581" w:type="dxa"/>
            <w:tcBorders>
              <w:top w:val="single" w:sz="12" w:space="0" w:color="9CC2E5" w:themeColor="accent1" w:themeTint="99"/>
              <w:bottom w:val="single" w:sz="4" w:space="0" w:color="BDD6EE" w:themeColor="accent1" w:themeTint="66"/>
            </w:tcBorders>
          </w:tcPr>
          <w:p w14:paraId="0C59F276"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w:t>
            </w:r>
          </w:p>
        </w:tc>
        <w:tc>
          <w:tcPr>
            <w:tcW w:w="709" w:type="dxa"/>
            <w:tcBorders>
              <w:top w:val="single" w:sz="12" w:space="0" w:color="9CC2E5" w:themeColor="accent1" w:themeTint="99"/>
              <w:bottom w:val="single" w:sz="4" w:space="0" w:color="BDD6EE" w:themeColor="accent1" w:themeTint="66"/>
              <w:right w:val="dashed" w:sz="4" w:space="0" w:color="auto"/>
            </w:tcBorders>
          </w:tcPr>
          <w:p w14:paraId="71B746CC"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w:t>
            </w:r>
          </w:p>
        </w:tc>
        <w:tc>
          <w:tcPr>
            <w:tcW w:w="708" w:type="dxa"/>
            <w:tcBorders>
              <w:top w:val="single" w:sz="12" w:space="0" w:color="9CC2E5" w:themeColor="accent1" w:themeTint="99"/>
              <w:left w:val="dashed" w:sz="4" w:space="0" w:color="auto"/>
              <w:bottom w:val="single" w:sz="4" w:space="0" w:color="BDD6EE" w:themeColor="accent1" w:themeTint="66"/>
            </w:tcBorders>
          </w:tcPr>
          <w:p w14:paraId="1F23E737"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w:t>
            </w:r>
          </w:p>
        </w:tc>
        <w:tc>
          <w:tcPr>
            <w:tcW w:w="900" w:type="dxa"/>
            <w:tcBorders>
              <w:top w:val="single" w:sz="12" w:space="0" w:color="9CC2E5" w:themeColor="accent1" w:themeTint="99"/>
              <w:bottom w:val="single" w:sz="4" w:space="0" w:color="BDD6EE" w:themeColor="accent1" w:themeTint="66"/>
            </w:tcBorders>
          </w:tcPr>
          <w:p w14:paraId="3F69DA0F"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3</w:t>
            </w:r>
          </w:p>
        </w:tc>
        <w:tc>
          <w:tcPr>
            <w:tcW w:w="870" w:type="dxa"/>
            <w:tcBorders>
              <w:top w:val="single" w:sz="12" w:space="0" w:color="9CC2E5" w:themeColor="accent1" w:themeTint="99"/>
              <w:bottom w:val="single" w:sz="4" w:space="0" w:color="BDD6EE" w:themeColor="accent1" w:themeTint="66"/>
            </w:tcBorders>
          </w:tcPr>
          <w:p w14:paraId="5ADF4A50" w14:textId="55FADA48"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5</w:t>
            </w:r>
          </w:p>
          <w:p w14:paraId="4332C93C"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 xml:space="preserve">n = 4 </w:t>
            </w:r>
            <w:r w:rsidRPr="00D507EC">
              <w:rPr>
                <w:rFonts w:ascii="Calibri" w:hAnsi="Calibri" w:cs="Calibri"/>
                <w:i/>
                <w:iCs/>
                <w:color w:val="000000" w:themeColor="text1"/>
                <w:sz w:val="20"/>
              </w:rPr>
              <w:t>fusC</w:t>
            </w:r>
          </w:p>
        </w:tc>
        <w:tc>
          <w:tcPr>
            <w:tcW w:w="724" w:type="dxa"/>
            <w:tcBorders>
              <w:top w:val="single" w:sz="12" w:space="0" w:color="9CC2E5" w:themeColor="accent1" w:themeTint="99"/>
              <w:bottom w:val="single" w:sz="4" w:space="0" w:color="BDD6EE" w:themeColor="accent1" w:themeTint="66"/>
            </w:tcBorders>
          </w:tcPr>
          <w:p w14:paraId="0E5EEB66" w14:textId="1394E702"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4</w:t>
            </w:r>
          </w:p>
          <w:p w14:paraId="6A797168" w14:textId="526EEBF3"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n = 2</w:t>
            </w:r>
          </w:p>
          <w:p w14:paraId="50009C50"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i/>
                <w:iCs/>
                <w:color w:val="000000" w:themeColor="text1"/>
                <w:sz w:val="20"/>
              </w:rPr>
              <w:t>fusC</w:t>
            </w:r>
          </w:p>
        </w:tc>
        <w:tc>
          <w:tcPr>
            <w:tcW w:w="725" w:type="dxa"/>
            <w:tcBorders>
              <w:top w:val="single" w:sz="12" w:space="0" w:color="9CC2E5" w:themeColor="accent1" w:themeTint="99"/>
              <w:bottom w:val="single" w:sz="4" w:space="0" w:color="BDD6EE" w:themeColor="accent1" w:themeTint="66"/>
            </w:tcBorders>
          </w:tcPr>
          <w:p w14:paraId="42799ABB" w14:textId="045EBA46"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8</w:t>
            </w:r>
          </w:p>
          <w:p w14:paraId="4E31C077"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n = 1</w:t>
            </w:r>
          </w:p>
          <w:p w14:paraId="65B16879"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i/>
                <w:iCs/>
                <w:color w:val="000000" w:themeColor="text1"/>
                <w:sz w:val="20"/>
              </w:rPr>
              <w:t>fusC</w:t>
            </w:r>
          </w:p>
        </w:tc>
        <w:tc>
          <w:tcPr>
            <w:tcW w:w="579" w:type="dxa"/>
            <w:tcBorders>
              <w:top w:val="single" w:sz="12" w:space="0" w:color="9CC2E5" w:themeColor="accent1" w:themeTint="99"/>
              <w:bottom w:val="single" w:sz="4" w:space="0" w:color="BDD6EE" w:themeColor="accent1" w:themeTint="66"/>
            </w:tcBorders>
          </w:tcPr>
          <w:p w14:paraId="6201E297"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w:t>
            </w:r>
          </w:p>
        </w:tc>
        <w:tc>
          <w:tcPr>
            <w:tcW w:w="725" w:type="dxa"/>
            <w:tcBorders>
              <w:top w:val="single" w:sz="12" w:space="0" w:color="9CC2E5" w:themeColor="accent1" w:themeTint="99"/>
              <w:bottom w:val="single" w:sz="4" w:space="0" w:color="BDD6EE" w:themeColor="accent1" w:themeTint="66"/>
            </w:tcBorders>
          </w:tcPr>
          <w:p w14:paraId="7D5EA5A0"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1</w:t>
            </w:r>
          </w:p>
          <w:p w14:paraId="3304E51C"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i/>
                <w:color w:val="000000" w:themeColor="text1"/>
                <w:sz w:val="20"/>
              </w:rPr>
            </w:pPr>
            <w:r w:rsidRPr="00D507EC">
              <w:rPr>
                <w:rFonts w:ascii="Calibri" w:hAnsi="Calibri" w:cs="Calibri"/>
                <w:color w:val="000000" w:themeColor="text1"/>
                <w:sz w:val="20"/>
              </w:rPr>
              <w:t xml:space="preserve">n = 1 </w:t>
            </w:r>
            <w:r w:rsidRPr="00D507EC">
              <w:rPr>
                <w:rFonts w:ascii="Calibri" w:hAnsi="Calibri" w:cs="Calibri"/>
                <w:i/>
                <w:color w:val="000000" w:themeColor="text1"/>
                <w:sz w:val="20"/>
              </w:rPr>
              <w:t>fusA</w:t>
            </w:r>
          </w:p>
        </w:tc>
        <w:tc>
          <w:tcPr>
            <w:tcW w:w="725" w:type="dxa"/>
            <w:tcBorders>
              <w:top w:val="single" w:sz="12" w:space="0" w:color="9CC2E5" w:themeColor="accent1" w:themeTint="99"/>
              <w:bottom w:val="single" w:sz="4" w:space="0" w:color="BDD6EE" w:themeColor="accent1" w:themeTint="66"/>
            </w:tcBorders>
          </w:tcPr>
          <w:p w14:paraId="5DD631EC"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w:t>
            </w:r>
          </w:p>
        </w:tc>
        <w:tc>
          <w:tcPr>
            <w:tcW w:w="869" w:type="dxa"/>
            <w:gridSpan w:val="2"/>
            <w:tcBorders>
              <w:top w:val="single" w:sz="12" w:space="0" w:color="9CC2E5" w:themeColor="accent1" w:themeTint="99"/>
              <w:bottom w:val="single" w:sz="4" w:space="0" w:color="BDD6EE" w:themeColor="accent1" w:themeTint="66"/>
            </w:tcBorders>
            <w:vAlign w:val="center"/>
          </w:tcPr>
          <w:p w14:paraId="7D4600E6" w14:textId="77777777" w:rsidR="00700DEC" w:rsidRPr="00D507EC" w:rsidRDefault="00700DEC" w:rsidP="009D1B18">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0.06</w:t>
            </w:r>
          </w:p>
        </w:tc>
        <w:tc>
          <w:tcPr>
            <w:tcW w:w="829" w:type="dxa"/>
            <w:gridSpan w:val="2"/>
            <w:tcBorders>
              <w:top w:val="single" w:sz="12" w:space="0" w:color="9CC2E5" w:themeColor="accent1" w:themeTint="99"/>
              <w:bottom w:val="single" w:sz="4" w:space="0" w:color="BDD6EE" w:themeColor="accent1" w:themeTint="66"/>
            </w:tcBorders>
            <w:vAlign w:val="center"/>
          </w:tcPr>
          <w:p w14:paraId="019D736A" w14:textId="77777777" w:rsidR="00700DEC" w:rsidRPr="00D507EC" w:rsidRDefault="00700DEC" w:rsidP="009D1B18">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16</w:t>
            </w:r>
          </w:p>
        </w:tc>
      </w:tr>
      <w:tr w:rsidR="00700DEC" w:rsidRPr="00D507EC" w14:paraId="23515783" w14:textId="77777777" w:rsidTr="005C71D9">
        <w:trPr>
          <w:trHeight w:val="981"/>
          <w:jc w:val="center"/>
        </w:trPr>
        <w:tc>
          <w:tcPr>
            <w:cnfStyle w:val="001000000000" w:firstRow="0" w:lastRow="0" w:firstColumn="1" w:lastColumn="0" w:oddVBand="0" w:evenVBand="0" w:oddHBand="0" w:evenHBand="0" w:firstRowFirstColumn="0" w:firstRowLastColumn="0" w:lastRowFirstColumn="0" w:lastRowLastColumn="0"/>
            <w:tcW w:w="1103" w:type="dxa"/>
            <w:vMerge/>
            <w:tcBorders>
              <w:bottom w:val="dotDotDash" w:sz="4" w:space="0" w:color="4472C4" w:themeColor="accent5"/>
            </w:tcBorders>
            <w:vAlign w:val="center"/>
          </w:tcPr>
          <w:p w14:paraId="5FB26C05" w14:textId="77777777" w:rsidR="00700DEC" w:rsidRPr="00D507EC" w:rsidRDefault="00700DEC" w:rsidP="009D1B18">
            <w:pPr>
              <w:spacing w:line="360" w:lineRule="auto"/>
              <w:jc w:val="center"/>
              <w:rPr>
                <w:color w:val="000000" w:themeColor="text1"/>
                <w:sz w:val="20"/>
              </w:rPr>
            </w:pPr>
          </w:p>
        </w:tc>
        <w:tc>
          <w:tcPr>
            <w:tcW w:w="970" w:type="dxa"/>
            <w:tcBorders>
              <w:top w:val="single" w:sz="4" w:space="0" w:color="BDD6EE" w:themeColor="accent1" w:themeTint="66"/>
              <w:bottom w:val="single" w:sz="4" w:space="0" w:color="BDD6EE" w:themeColor="accent1" w:themeTint="66"/>
            </w:tcBorders>
            <w:vAlign w:val="center"/>
          </w:tcPr>
          <w:p w14:paraId="5AE6E307" w14:textId="77777777" w:rsidR="00700DEC" w:rsidRPr="00D507EC" w:rsidRDefault="00700DEC" w:rsidP="009D1B18">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color w:val="000000" w:themeColor="text1"/>
                <w:sz w:val="20"/>
              </w:rPr>
              <w:t>FA-R MRSP</w:t>
            </w:r>
          </w:p>
        </w:tc>
        <w:tc>
          <w:tcPr>
            <w:tcW w:w="428" w:type="dxa"/>
            <w:tcBorders>
              <w:top w:val="single" w:sz="4" w:space="0" w:color="BDD6EE" w:themeColor="accent1" w:themeTint="66"/>
              <w:bottom w:val="single" w:sz="4" w:space="0" w:color="BDD6EE" w:themeColor="accent1" w:themeTint="66"/>
            </w:tcBorders>
            <w:vAlign w:val="center"/>
          </w:tcPr>
          <w:p w14:paraId="66A07894" w14:textId="77777777" w:rsidR="00700DEC" w:rsidRPr="00D507EC" w:rsidRDefault="00700DEC" w:rsidP="009D1B18">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color w:val="000000" w:themeColor="text1"/>
                <w:sz w:val="20"/>
              </w:rPr>
              <w:t>40</w:t>
            </w:r>
          </w:p>
        </w:tc>
        <w:tc>
          <w:tcPr>
            <w:tcW w:w="792" w:type="dxa"/>
            <w:tcBorders>
              <w:top w:val="single" w:sz="4" w:space="0" w:color="BDD6EE" w:themeColor="accent1" w:themeTint="66"/>
              <w:bottom w:val="single" w:sz="4" w:space="0" w:color="BDD6EE" w:themeColor="accent1" w:themeTint="66"/>
            </w:tcBorders>
          </w:tcPr>
          <w:p w14:paraId="353EBB54" w14:textId="77777777" w:rsidR="00700DEC" w:rsidRPr="00D507EC" w:rsidRDefault="00700DEC" w:rsidP="00DB140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w:t>
            </w:r>
          </w:p>
        </w:tc>
        <w:tc>
          <w:tcPr>
            <w:tcW w:w="606" w:type="dxa"/>
            <w:tcBorders>
              <w:top w:val="single" w:sz="4" w:space="0" w:color="BDD6EE" w:themeColor="accent1" w:themeTint="66"/>
              <w:bottom w:val="single" w:sz="4" w:space="0" w:color="BDD6EE" w:themeColor="accent1" w:themeTint="66"/>
            </w:tcBorders>
          </w:tcPr>
          <w:p w14:paraId="42A55F21"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w:t>
            </w:r>
          </w:p>
        </w:tc>
        <w:tc>
          <w:tcPr>
            <w:tcW w:w="700" w:type="dxa"/>
            <w:tcBorders>
              <w:top w:val="single" w:sz="4" w:space="0" w:color="BDD6EE" w:themeColor="accent1" w:themeTint="66"/>
              <w:bottom w:val="single" w:sz="4" w:space="0" w:color="BDD6EE" w:themeColor="accent1" w:themeTint="66"/>
            </w:tcBorders>
          </w:tcPr>
          <w:p w14:paraId="5D3F581E"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w:t>
            </w:r>
          </w:p>
        </w:tc>
        <w:tc>
          <w:tcPr>
            <w:tcW w:w="725" w:type="dxa"/>
            <w:tcBorders>
              <w:top w:val="single" w:sz="4" w:space="0" w:color="BDD6EE" w:themeColor="accent1" w:themeTint="66"/>
              <w:bottom w:val="single" w:sz="4" w:space="0" w:color="BDD6EE" w:themeColor="accent1" w:themeTint="66"/>
            </w:tcBorders>
          </w:tcPr>
          <w:p w14:paraId="62245CA6"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w:t>
            </w:r>
          </w:p>
        </w:tc>
        <w:tc>
          <w:tcPr>
            <w:tcW w:w="581" w:type="dxa"/>
            <w:tcBorders>
              <w:top w:val="single" w:sz="4" w:space="0" w:color="BDD6EE" w:themeColor="accent1" w:themeTint="66"/>
              <w:bottom w:val="single" w:sz="4" w:space="0" w:color="BDD6EE" w:themeColor="accent1" w:themeTint="66"/>
            </w:tcBorders>
          </w:tcPr>
          <w:p w14:paraId="28033FC5"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w:t>
            </w:r>
          </w:p>
        </w:tc>
        <w:tc>
          <w:tcPr>
            <w:tcW w:w="709" w:type="dxa"/>
            <w:tcBorders>
              <w:top w:val="single" w:sz="4" w:space="0" w:color="BDD6EE" w:themeColor="accent1" w:themeTint="66"/>
              <w:bottom w:val="single" w:sz="4" w:space="0" w:color="BDD6EE" w:themeColor="accent1" w:themeTint="66"/>
              <w:right w:val="dashed" w:sz="4" w:space="0" w:color="auto"/>
            </w:tcBorders>
          </w:tcPr>
          <w:p w14:paraId="1FB23EE3"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w:t>
            </w:r>
          </w:p>
        </w:tc>
        <w:tc>
          <w:tcPr>
            <w:tcW w:w="708" w:type="dxa"/>
            <w:tcBorders>
              <w:top w:val="single" w:sz="4" w:space="0" w:color="BDD6EE" w:themeColor="accent1" w:themeTint="66"/>
              <w:left w:val="dashed" w:sz="4" w:space="0" w:color="auto"/>
              <w:bottom w:val="single" w:sz="4" w:space="0" w:color="BDD6EE" w:themeColor="accent1" w:themeTint="66"/>
            </w:tcBorders>
          </w:tcPr>
          <w:p w14:paraId="14234789"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w:t>
            </w:r>
          </w:p>
        </w:tc>
        <w:tc>
          <w:tcPr>
            <w:tcW w:w="900" w:type="dxa"/>
            <w:tcBorders>
              <w:top w:val="single" w:sz="4" w:space="0" w:color="BDD6EE" w:themeColor="accent1" w:themeTint="66"/>
              <w:bottom w:val="single" w:sz="4" w:space="0" w:color="BDD6EE" w:themeColor="accent1" w:themeTint="66"/>
            </w:tcBorders>
          </w:tcPr>
          <w:p w14:paraId="287C07AC"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w:t>
            </w:r>
          </w:p>
        </w:tc>
        <w:tc>
          <w:tcPr>
            <w:tcW w:w="870" w:type="dxa"/>
            <w:tcBorders>
              <w:top w:val="single" w:sz="4" w:space="0" w:color="BDD6EE" w:themeColor="accent1" w:themeTint="66"/>
              <w:bottom w:val="single" w:sz="4" w:space="0" w:color="BDD6EE" w:themeColor="accent1" w:themeTint="66"/>
            </w:tcBorders>
          </w:tcPr>
          <w:p w14:paraId="393F0E1A" w14:textId="411CBF9C"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13</w:t>
            </w:r>
          </w:p>
          <w:p w14:paraId="430CD343"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n = 12</w:t>
            </w:r>
          </w:p>
          <w:p w14:paraId="5E1186AF"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i/>
                <w:iCs/>
                <w:color w:val="000000" w:themeColor="text1"/>
                <w:sz w:val="20"/>
              </w:rPr>
              <w:t>fusC</w:t>
            </w:r>
          </w:p>
        </w:tc>
        <w:tc>
          <w:tcPr>
            <w:tcW w:w="724" w:type="dxa"/>
            <w:tcBorders>
              <w:top w:val="single" w:sz="4" w:space="0" w:color="BDD6EE" w:themeColor="accent1" w:themeTint="66"/>
              <w:bottom w:val="single" w:sz="4" w:space="0" w:color="BDD6EE" w:themeColor="accent1" w:themeTint="66"/>
            </w:tcBorders>
          </w:tcPr>
          <w:p w14:paraId="6168BD24" w14:textId="06EF95A6"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10</w:t>
            </w:r>
          </w:p>
          <w:p w14:paraId="0A2CF88E" w14:textId="304CA9D8"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n = 1</w:t>
            </w:r>
          </w:p>
          <w:p w14:paraId="7A481754"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themeColor="text1"/>
                <w:sz w:val="20"/>
              </w:rPr>
            </w:pPr>
            <w:r w:rsidRPr="00D507EC">
              <w:rPr>
                <w:rFonts w:ascii="Calibri" w:hAnsi="Calibri" w:cs="Calibri"/>
                <w:i/>
                <w:iCs/>
                <w:color w:val="000000" w:themeColor="text1"/>
                <w:sz w:val="20"/>
              </w:rPr>
              <w:t>fusC</w:t>
            </w:r>
          </w:p>
          <w:p w14:paraId="3AB3F71D"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iCs/>
                <w:color w:val="000000" w:themeColor="text1"/>
                <w:sz w:val="20"/>
              </w:rPr>
              <w:t xml:space="preserve">n = </w:t>
            </w:r>
            <w:r w:rsidRPr="00D507EC">
              <w:rPr>
                <w:rFonts w:ascii="Calibri" w:hAnsi="Calibri" w:cs="Calibri"/>
                <w:color w:val="000000" w:themeColor="text1"/>
                <w:sz w:val="20"/>
              </w:rPr>
              <w:t xml:space="preserve">2 </w:t>
            </w:r>
            <w:r w:rsidRPr="00D507EC">
              <w:rPr>
                <w:rFonts w:ascii="Calibri" w:hAnsi="Calibri" w:cs="Calibri"/>
                <w:i/>
                <w:iCs/>
                <w:color w:val="000000" w:themeColor="text1"/>
                <w:sz w:val="20"/>
              </w:rPr>
              <w:t>fusB</w:t>
            </w:r>
          </w:p>
        </w:tc>
        <w:tc>
          <w:tcPr>
            <w:tcW w:w="725" w:type="dxa"/>
            <w:tcBorders>
              <w:top w:val="single" w:sz="4" w:space="0" w:color="BDD6EE" w:themeColor="accent1" w:themeTint="66"/>
              <w:bottom w:val="single" w:sz="4" w:space="0" w:color="BDD6EE" w:themeColor="accent1" w:themeTint="66"/>
            </w:tcBorders>
          </w:tcPr>
          <w:p w14:paraId="251BE848"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5</w:t>
            </w:r>
          </w:p>
        </w:tc>
        <w:tc>
          <w:tcPr>
            <w:tcW w:w="579" w:type="dxa"/>
            <w:tcBorders>
              <w:top w:val="single" w:sz="4" w:space="0" w:color="BDD6EE" w:themeColor="accent1" w:themeTint="66"/>
              <w:bottom w:val="single" w:sz="4" w:space="0" w:color="BDD6EE" w:themeColor="accent1" w:themeTint="66"/>
            </w:tcBorders>
          </w:tcPr>
          <w:p w14:paraId="3AAAD657"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w:t>
            </w:r>
          </w:p>
        </w:tc>
        <w:tc>
          <w:tcPr>
            <w:tcW w:w="725" w:type="dxa"/>
            <w:tcBorders>
              <w:top w:val="single" w:sz="4" w:space="0" w:color="BDD6EE" w:themeColor="accent1" w:themeTint="66"/>
              <w:bottom w:val="single" w:sz="4" w:space="0" w:color="BDD6EE" w:themeColor="accent1" w:themeTint="66"/>
            </w:tcBorders>
          </w:tcPr>
          <w:p w14:paraId="46EDACAF"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12</w:t>
            </w:r>
          </w:p>
          <w:p w14:paraId="270690B0"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i/>
                <w:color w:val="000000" w:themeColor="text1"/>
                <w:sz w:val="20"/>
              </w:rPr>
            </w:pPr>
            <w:r w:rsidRPr="00D507EC">
              <w:rPr>
                <w:rFonts w:ascii="Calibri" w:hAnsi="Calibri" w:cs="Calibri"/>
                <w:color w:val="000000" w:themeColor="text1"/>
                <w:sz w:val="20"/>
              </w:rPr>
              <w:t xml:space="preserve">n = 12 </w:t>
            </w:r>
            <w:r w:rsidRPr="00D507EC">
              <w:rPr>
                <w:rFonts w:ascii="Calibri" w:hAnsi="Calibri" w:cs="Calibri"/>
                <w:i/>
                <w:color w:val="000000" w:themeColor="text1"/>
                <w:sz w:val="20"/>
              </w:rPr>
              <w:t>fusA</w:t>
            </w:r>
          </w:p>
        </w:tc>
        <w:tc>
          <w:tcPr>
            <w:tcW w:w="725" w:type="dxa"/>
            <w:tcBorders>
              <w:top w:val="single" w:sz="4" w:space="0" w:color="BDD6EE" w:themeColor="accent1" w:themeTint="66"/>
              <w:bottom w:val="single" w:sz="4" w:space="0" w:color="BDD6EE" w:themeColor="accent1" w:themeTint="66"/>
            </w:tcBorders>
          </w:tcPr>
          <w:p w14:paraId="41E984FB"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w:t>
            </w:r>
          </w:p>
        </w:tc>
        <w:tc>
          <w:tcPr>
            <w:tcW w:w="869" w:type="dxa"/>
            <w:gridSpan w:val="2"/>
            <w:tcBorders>
              <w:top w:val="single" w:sz="4" w:space="0" w:color="BDD6EE" w:themeColor="accent1" w:themeTint="66"/>
              <w:bottom w:val="single" w:sz="4" w:space="0" w:color="BDD6EE" w:themeColor="accent1" w:themeTint="66"/>
            </w:tcBorders>
            <w:vAlign w:val="center"/>
          </w:tcPr>
          <w:p w14:paraId="369F713E" w14:textId="77777777" w:rsidR="00700DEC" w:rsidRPr="00D507EC" w:rsidRDefault="00700DEC" w:rsidP="009D1B18">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8</w:t>
            </w:r>
          </w:p>
        </w:tc>
        <w:tc>
          <w:tcPr>
            <w:tcW w:w="829" w:type="dxa"/>
            <w:gridSpan w:val="2"/>
            <w:tcBorders>
              <w:top w:val="single" w:sz="4" w:space="0" w:color="BDD6EE" w:themeColor="accent1" w:themeTint="66"/>
              <w:bottom w:val="single" w:sz="4" w:space="0" w:color="BDD6EE" w:themeColor="accent1" w:themeTint="66"/>
            </w:tcBorders>
            <w:vAlign w:val="center"/>
          </w:tcPr>
          <w:p w14:paraId="1DC82C1F" w14:textId="77777777" w:rsidR="00700DEC" w:rsidRPr="00D507EC" w:rsidRDefault="00700DEC" w:rsidP="009D1B18">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64</w:t>
            </w:r>
          </w:p>
        </w:tc>
      </w:tr>
      <w:tr w:rsidR="00700DEC" w:rsidRPr="00D507EC" w14:paraId="6421E96C" w14:textId="77777777" w:rsidTr="005C71D9">
        <w:trPr>
          <w:trHeight w:val="981"/>
          <w:jc w:val="center"/>
        </w:trPr>
        <w:tc>
          <w:tcPr>
            <w:cnfStyle w:val="001000000000" w:firstRow="0" w:lastRow="0" w:firstColumn="1" w:lastColumn="0" w:oddVBand="0" w:evenVBand="0" w:oddHBand="0" w:evenHBand="0" w:firstRowFirstColumn="0" w:firstRowLastColumn="0" w:lastRowFirstColumn="0" w:lastRowLastColumn="0"/>
            <w:tcW w:w="1103" w:type="dxa"/>
            <w:vMerge/>
            <w:tcBorders>
              <w:bottom w:val="dotDotDash" w:sz="4" w:space="0" w:color="4472C4" w:themeColor="accent5"/>
            </w:tcBorders>
            <w:vAlign w:val="center"/>
          </w:tcPr>
          <w:p w14:paraId="766FEC38" w14:textId="77777777" w:rsidR="00700DEC" w:rsidRPr="00D507EC" w:rsidRDefault="00700DEC" w:rsidP="009D1B18">
            <w:pPr>
              <w:spacing w:line="360" w:lineRule="auto"/>
              <w:jc w:val="center"/>
              <w:rPr>
                <w:color w:val="000000" w:themeColor="text1"/>
                <w:sz w:val="20"/>
              </w:rPr>
            </w:pPr>
          </w:p>
        </w:tc>
        <w:tc>
          <w:tcPr>
            <w:tcW w:w="970" w:type="dxa"/>
            <w:tcBorders>
              <w:top w:val="single" w:sz="4" w:space="0" w:color="BDD6EE" w:themeColor="accent1" w:themeTint="66"/>
              <w:bottom w:val="dotDotDash" w:sz="4" w:space="0" w:color="4472C4" w:themeColor="accent5"/>
            </w:tcBorders>
            <w:vAlign w:val="center"/>
          </w:tcPr>
          <w:p w14:paraId="3EC622CC" w14:textId="77777777" w:rsidR="00700DEC" w:rsidRPr="00D507EC" w:rsidRDefault="00700DEC" w:rsidP="009D1B18">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color w:val="000000" w:themeColor="text1"/>
                <w:sz w:val="20"/>
              </w:rPr>
              <w:t>MSSP</w:t>
            </w:r>
          </w:p>
        </w:tc>
        <w:tc>
          <w:tcPr>
            <w:tcW w:w="428" w:type="dxa"/>
            <w:tcBorders>
              <w:top w:val="single" w:sz="4" w:space="0" w:color="BDD6EE" w:themeColor="accent1" w:themeTint="66"/>
              <w:bottom w:val="dotDotDash" w:sz="4" w:space="0" w:color="4472C4" w:themeColor="accent5"/>
            </w:tcBorders>
            <w:vAlign w:val="center"/>
          </w:tcPr>
          <w:p w14:paraId="5231BFA7" w14:textId="77777777" w:rsidR="00700DEC" w:rsidRPr="00D507EC" w:rsidRDefault="00700DEC" w:rsidP="009D1B18">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color w:val="000000" w:themeColor="text1"/>
                <w:sz w:val="20"/>
              </w:rPr>
              <w:t>50</w:t>
            </w:r>
          </w:p>
        </w:tc>
        <w:tc>
          <w:tcPr>
            <w:tcW w:w="792" w:type="dxa"/>
            <w:tcBorders>
              <w:top w:val="single" w:sz="4" w:space="0" w:color="BDD6EE" w:themeColor="accent1" w:themeTint="66"/>
              <w:bottom w:val="dotDotDash" w:sz="4" w:space="0" w:color="4472C4" w:themeColor="accent5"/>
            </w:tcBorders>
          </w:tcPr>
          <w:p w14:paraId="599257D0" w14:textId="77777777" w:rsidR="00700DEC" w:rsidRPr="00D507EC" w:rsidRDefault="00700DEC" w:rsidP="00DB140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w:t>
            </w:r>
          </w:p>
        </w:tc>
        <w:tc>
          <w:tcPr>
            <w:tcW w:w="606" w:type="dxa"/>
            <w:tcBorders>
              <w:top w:val="single" w:sz="4" w:space="0" w:color="BDD6EE" w:themeColor="accent1" w:themeTint="66"/>
              <w:bottom w:val="dotDotDash" w:sz="4" w:space="0" w:color="4472C4" w:themeColor="accent5"/>
            </w:tcBorders>
          </w:tcPr>
          <w:p w14:paraId="5E3FA0D9"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1</w:t>
            </w:r>
          </w:p>
        </w:tc>
        <w:tc>
          <w:tcPr>
            <w:tcW w:w="700" w:type="dxa"/>
            <w:tcBorders>
              <w:top w:val="single" w:sz="4" w:space="0" w:color="BDD6EE" w:themeColor="accent1" w:themeTint="66"/>
              <w:bottom w:val="dotDotDash" w:sz="4" w:space="0" w:color="4472C4" w:themeColor="accent5"/>
            </w:tcBorders>
          </w:tcPr>
          <w:p w14:paraId="4A0AA050" w14:textId="081C813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38</w:t>
            </w:r>
          </w:p>
          <w:p w14:paraId="14B50418"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n = 1</w:t>
            </w:r>
          </w:p>
          <w:p w14:paraId="7F6AB6D3"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i/>
                <w:iCs/>
                <w:color w:val="000000" w:themeColor="text1"/>
                <w:sz w:val="20"/>
              </w:rPr>
              <w:t>fusC</w:t>
            </w:r>
          </w:p>
        </w:tc>
        <w:tc>
          <w:tcPr>
            <w:tcW w:w="725" w:type="dxa"/>
            <w:tcBorders>
              <w:top w:val="single" w:sz="4" w:space="0" w:color="BDD6EE" w:themeColor="accent1" w:themeTint="66"/>
              <w:bottom w:val="dotDotDash" w:sz="4" w:space="0" w:color="4472C4" w:themeColor="accent5"/>
            </w:tcBorders>
          </w:tcPr>
          <w:p w14:paraId="3BF4C001"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1</w:t>
            </w:r>
          </w:p>
        </w:tc>
        <w:tc>
          <w:tcPr>
            <w:tcW w:w="581" w:type="dxa"/>
            <w:tcBorders>
              <w:top w:val="single" w:sz="4" w:space="0" w:color="BDD6EE" w:themeColor="accent1" w:themeTint="66"/>
              <w:bottom w:val="dotDotDash" w:sz="4" w:space="0" w:color="4472C4" w:themeColor="accent5"/>
            </w:tcBorders>
          </w:tcPr>
          <w:p w14:paraId="3776A9E0"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w:t>
            </w:r>
          </w:p>
        </w:tc>
        <w:tc>
          <w:tcPr>
            <w:tcW w:w="709" w:type="dxa"/>
            <w:tcBorders>
              <w:top w:val="single" w:sz="4" w:space="0" w:color="BDD6EE" w:themeColor="accent1" w:themeTint="66"/>
              <w:bottom w:val="dotDotDash" w:sz="4" w:space="0" w:color="4472C4" w:themeColor="accent5"/>
              <w:right w:val="dashed" w:sz="4" w:space="0" w:color="auto"/>
            </w:tcBorders>
          </w:tcPr>
          <w:p w14:paraId="5E5FC31A"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w:t>
            </w:r>
          </w:p>
        </w:tc>
        <w:tc>
          <w:tcPr>
            <w:tcW w:w="708" w:type="dxa"/>
            <w:tcBorders>
              <w:top w:val="single" w:sz="4" w:space="0" w:color="BDD6EE" w:themeColor="accent1" w:themeTint="66"/>
              <w:left w:val="dashed" w:sz="4" w:space="0" w:color="auto"/>
              <w:bottom w:val="dotDotDash" w:sz="4" w:space="0" w:color="4472C4" w:themeColor="accent5"/>
            </w:tcBorders>
          </w:tcPr>
          <w:p w14:paraId="1ACC9649"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w:t>
            </w:r>
          </w:p>
        </w:tc>
        <w:tc>
          <w:tcPr>
            <w:tcW w:w="900" w:type="dxa"/>
            <w:tcBorders>
              <w:top w:val="single" w:sz="4" w:space="0" w:color="BDD6EE" w:themeColor="accent1" w:themeTint="66"/>
              <w:bottom w:val="dotDotDash" w:sz="4" w:space="0" w:color="4472C4" w:themeColor="accent5"/>
            </w:tcBorders>
          </w:tcPr>
          <w:p w14:paraId="35AE4031"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w:t>
            </w:r>
          </w:p>
        </w:tc>
        <w:tc>
          <w:tcPr>
            <w:tcW w:w="870" w:type="dxa"/>
            <w:tcBorders>
              <w:top w:val="single" w:sz="4" w:space="0" w:color="BDD6EE" w:themeColor="accent1" w:themeTint="66"/>
              <w:bottom w:val="dotDotDash" w:sz="4" w:space="0" w:color="4472C4" w:themeColor="accent5"/>
            </w:tcBorders>
          </w:tcPr>
          <w:p w14:paraId="78E17130"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w:t>
            </w:r>
          </w:p>
        </w:tc>
        <w:tc>
          <w:tcPr>
            <w:tcW w:w="724" w:type="dxa"/>
            <w:tcBorders>
              <w:top w:val="single" w:sz="4" w:space="0" w:color="BDD6EE" w:themeColor="accent1" w:themeTint="66"/>
              <w:bottom w:val="dotDotDash" w:sz="4" w:space="0" w:color="4472C4" w:themeColor="accent5"/>
            </w:tcBorders>
          </w:tcPr>
          <w:p w14:paraId="7BC03306"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7</w:t>
            </w:r>
          </w:p>
          <w:p w14:paraId="17725F4C"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n = 3</w:t>
            </w:r>
          </w:p>
          <w:p w14:paraId="19BEB2AA"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i/>
                <w:iCs/>
                <w:color w:val="000000" w:themeColor="text1"/>
                <w:sz w:val="20"/>
              </w:rPr>
              <w:t>fusC</w:t>
            </w:r>
          </w:p>
        </w:tc>
        <w:tc>
          <w:tcPr>
            <w:tcW w:w="725" w:type="dxa"/>
            <w:tcBorders>
              <w:top w:val="single" w:sz="4" w:space="0" w:color="BDD6EE" w:themeColor="accent1" w:themeTint="66"/>
              <w:bottom w:val="dotDotDash" w:sz="4" w:space="0" w:color="4472C4" w:themeColor="accent5"/>
            </w:tcBorders>
          </w:tcPr>
          <w:p w14:paraId="43D8E53F"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3</w:t>
            </w:r>
          </w:p>
          <w:p w14:paraId="72DF7248"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n = 1</w:t>
            </w:r>
          </w:p>
          <w:p w14:paraId="0130308B"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i/>
                <w:iCs/>
                <w:color w:val="000000" w:themeColor="text1"/>
                <w:sz w:val="20"/>
              </w:rPr>
              <w:t>fusC</w:t>
            </w:r>
          </w:p>
        </w:tc>
        <w:tc>
          <w:tcPr>
            <w:tcW w:w="579" w:type="dxa"/>
            <w:tcBorders>
              <w:top w:val="single" w:sz="4" w:space="0" w:color="BDD6EE" w:themeColor="accent1" w:themeTint="66"/>
              <w:bottom w:val="dotDotDash" w:sz="4" w:space="0" w:color="4472C4" w:themeColor="accent5"/>
            </w:tcBorders>
          </w:tcPr>
          <w:p w14:paraId="30C2E5B1"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w:t>
            </w:r>
          </w:p>
        </w:tc>
        <w:tc>
          <w:tcPr>
            <w:tcW w:w="725" w:type="dxa"/>
            <w:tcBorders>
              <w:top w:val="single" w:sz="4" w:space="0" w:color="BDD6EE" w:themeColor="accent1" w:themeTint="66"/>
              <w:bottom w:val="dotDotDash" w:sz="4" w:space="0" w:color="4472C4" w:themeColor="accent5"/>
            </w:tcBorders>
          </w:tcPr>
          <w:p w14:paraId="3FF27CB0"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w:t>
            </w:r>
          </w:p>
        </w:tc>
        <w:tc>
          <w:tcPr>
            <w:tcW w:w="725" w:type="dxa"/>
            <w:tcBorders>
              <w:top w:val="single" w:sz="4" w:space="0" w:color="BDD6EE" w:themeColor="accent1" w:themeTint="66"/>
              <w:bottom w:val="dotDotDash" w:sz="4" w:space="0" w:color="4472C4" w:themeColor="accent5"/>
            </w:tcBorders>
          </w:tcPr>
          <w:p w14:paraId="54A6328E"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w:t>
            </w:r>
          </w:p>
        </w:tc>
        <w:tc>
          <w:tcPr>
            <w:tcW w:w="869" w:type="dxa"/>
            <w:gridSpan w:val="2"/>
            <w:tcBorders>
              <w:top w:val="single" w:sz="4" w:space="0" w:color="BDD6EE" w:themeColor="accent1" w:themeTint="66"/>
              <w:bottom w:val="dotDotDash" w:sz="4" w:space="0" w:color="4472C4" w:themeColor="accent5"/>
            </w:tcBorders>
            <w:vAlign w:val="center"/>
          </w:tcPr>
          <w:p w14:paraId="06EE662E" w14:textId="77777777" w:rsidR="00700DEC" w:rsidRPr="00D507EC" w:rsidRDefault="00700DEC" w:rsidP="009D1B18">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0.06</w:t>
            </w:r>
          </w:p>
        </w:tc>
        <w:tc>
          <w:tcPr>
            <w:tcW w:w="829" w:type="dxa"/>
            <w:gridSpan w:val="2"/>
            <w:tcBorders>
              <w:top w:val="single" w:sz="4" w:space="0" w:color="BDD6EE" w:themeColor="accent1" w:themeTint="66"/>
              <w:bottom w:val="dotDotDash" w:sz="4" w:space="0" w:color="4472C4" w:themeColor="accent5"/>
            </w:tcBorders>
            <w:vAlign w:val="center"/>
          </w:tcPr>
          <w:p w14:paraId="02D2981B" w14:textId="77777777" w:rsidR="00700DEC" w:rsidRPr="00D507EC" w:rsidRDefault="00700DEC" w:rsidP="009D1B18">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8</w:t>
            </w:r>
          </w:p>
        </w:tc>
      </w:tr>
      <w:tr w:rsidR="00700DEC" w:rsidRPr="00D507EC" w14:paraId="35760C30" w14:textId="77777777" w:rsidTr="005C71D9">
        <w:trPr>
          <w:trHeight w:val="981"/>
          <w:jc w:val="center"/>
        </w:trPr>
        <w:tc>
          <w:tcPr>
            <w:cnfStyle w:val="001000000000" w:firstRow="0" w:lastRow="0" w:firstColumn="1" w:lastColumn="0" w:oddVBand="0" w:evenVBand="0" w:oddHBand="0" w:evenHBand="0" w:firstRowFirstColumn="0" w:firstRowLastColumn="0" w:lastRowFirstColumn="0" w:lastRowLastColumn="0"/>
            <w:tcW w:w="1103" w:type="dxa"/>
            <w:vMerge w:val="restart"/>
            <w:tcBorders>
              <w:top w:val="dotDotDash" w:sz="4" w:space="0" w:color="4472C4" w:themeColor="accent5"/>
            </w:tcBorders>
            <w:vAlign w:val="center"/>
          </w:tcPr>
          <w:p w14:paraId="43A52B6C" w14:textId="77777777" w:rsidR="00700DEC" w:rsidRPr="00D507EC" w:rsidRDefault="00700DEC" w:rsidP="009D1B18">
            <w:pPr>
              <w:spacing w:line="360" w:lineRule="auto"/>
              <w:jc w:val="center"/>
              <w:rPr>
                <w:color w:val="000000" w:themeColor="text1"/>
                <w:sz w:val="20"/>
              </w:rPr>
            </w:pPr>
            <w:r w:rsidRPr="00D507EC">
              <w:rPr>
                <w:color w:val="000000" w:themeColor="text1"/>
                <w:sz w:val="20"/>
              </w:rPr>
              <w:t>U.S.A.</w:t>
            </w:r>
          </w:p>
        </w:tc>
        <w:tc>
          <w:tcPr>
            <w:tcW w:w="970" w:type="dxa"/>
            <w:tcBorders>
              <w:top w:val="dotDotDash" w:sz="4" w:space="0" w:color="4472C4" w:themeColor="accent5"/>
            </w:tcBorders>
            <w:vAlign w:val="center"/>
          </w:tcPr>
          <w:p w14:paraId="327F9AD0" w14:textId="77777777" w:rsidR="00700DEC" w:rsidRPr="00D507EC" w:rsidRDefault="00700DEC" w:rsidP="009D1B18">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color w:val="000000" w:themeColor="text1"/>
                <w:sz w:val="20"/>
              </w:rPr>
              <w:t>MRSP</w:t>
            </w:r>
          </w:p>
        </w:tc>
        <w:tc>
          <w:tcPr>
            <w:tcW w:w="428" w:type="dxa"/>
            <w:tcBorders>
              <w:top w:val="dotDotDash" w:sz="4" w:space="0" w:color="4472C4" w:themeColor="accent5"/>
            </w:tcBorders>
            <w:vAlign w:val="center"/>
          </w:tcPr>
          <w:p w14:paraId="6462E977" w14:textId="77777777" w:rsidR="00700DEC" w:rsidRPr="00D507EC" w:rsidRDefault="00700DEC" w:rsidP="009D1B18">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color w:val="000000" w:themeColor="text1"/>
                <w:sz w:val="20"/>
              </w:rPr>
              <w:t>50</w:t>
            </w:r>
          </w:p>
        </w:tc>
        <w:tc>
          <w:tcPr>
            <w:tcW w:w="792" w:type="dxa"/>
            <w:tcBorders>
              <w:top w:val="dotDotDash" w:sz="4" w:space="0" w:color="4472C4" w:themeColor="accent5"/>
            </w:tcBorders>
          </w:tcPr>
          <w:p w14:paraId="41A35425" w14:textId="77777777" w:rsidR="00700DEC" w:rsidRPr="00D507EC" w:rsidRDefault="00700DEC" w:rsidP="00DB140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color w:val="000000" w:themeColor="text1"/>
                <w:sz w:val="20"/>
              </w:rPr>
              <w:t>0</w:t>
            </w:r>
          </w:p>
        </w:tc>
        <w:tc>
          <w:tcPr>
            <w:tcW w:w="606" w:type="dxa"/>
            <w:tcBorders>
              <w:top w:val="dotDotDash" w:sz="4" w:space="0" w:color="4472C4" w:themeColor="accent5"/>
            </w:tcBorders>
          </w:tcPr>
          <w:p w14:paraId="31DFE815"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color w:val="000000" w:themeColor="text1"/>
                <w:sz w:val="20"/>
              </w:rPr>
              <w:t>2</w:t>
            </w:r>
          </w:p>
        </w:tc>
        <w:tc>
          <w:tcPr>
            <w:tcW w:w="700" w:type="dxa"/>
            <w:tcBorders>
              <w:top w:val="dotDotDash" w:sz="4" w:space="0" w:color="4472C4" w:themeColor="accent5"/>
            </w:tcBorders>
          </w:tcPr>
          <w:p w14:paraId="75D742E5"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color w:val="000000" w:themeColor="text1"/>
                <w:sz w:val="20"/>
              </w:rPr>
              <w:t>38</w:t>
            </w:r>
          </w:p>
        </w:tc>
        <w:tc>
          <w:tcPr>
            <w:tcW w:w="725" w:type="dxa"/>
            <w:tcBorders>
              <w:top w:val="dotDotDash" w:sz="4" w:space="0" w:color="4472C4" w:themeColor="accent5"/>
            </w:tcBorders>
          </w:tcPr>
          <w:p w14:paraId="5E2E4027"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color w:val="000000" w:themeColor="text1"/>
                <w:sz w:val="20"/>
              </w:rPr>
              <w:t>10</w:t>
            </w:r>
          </w:p>
        </w:tc>
        <w:tc>
          <w:tcPr>
            <w:tcW w:w="581" w:type="dxa"/>
            <w:tcBorders>
              <w:top w:val="dotDotDash" w:sz="4" w:space="0" w:color="4472C4" w:themeColor="accent5"/>
            </w:tcBorders>
          </w:tcPr>
          <w:p w14:paraId="2F6006D7"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color w:val="000000" w:themeColor="text1"/>
                <w:sz w:val="20"/>
              </w:rPr>
              <w:t>0</w:t>
            </w:r>
          </w:p>
        </w:tc>
        <w:tc>
          <w:tcPr>
            <w:tcW w:w="709" w:type="dxa"/>
            <w:tcBorders>
              <w:top w:val="dotDotDash" w:sz="4" w:space="0" w:color="4472C4" w:themeColor="accent5"/>
              <w:right w:val="dashed" w:sz="4" w:space="0" w:color="auto"/>
            </w:tcBorders>
          </w:tcPr>
          <w:p w14:paraId="11F32473"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color w:val="000000" w:themeColor="text1"/>
                <w:sz w:val="20"/>
              </w:rPr>
              <w:t>0</w:t>
            </w:r>
          </w:p>
        </w:tc>
        <w:tc>
          <w:tcPr>
            <w:tcW w:w="708" w:type="dxa"/>
            <w:tcBorders>
              <w:top w:val="dotDotDash" w:sz="4" w:space="0" w:color="4472C4" w:themeColor="accent5"/>
              <w:left w:val="dashed" w:sz="4" w:space="0" w:color="auto"/>
            </w:tcBorders>
          </w:tcPr>
          <w:p w14:paraId="37CA080D"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color w:val="000000" w:themeColor="text1"/>
                <w:sz w:val="20"/>
              </w:rPr>
              <w:t>0</w:t>
            </w:r>
          </w:p>
        </w:tc>
        <w:tc>
          <w:tcPr>
            <w:tcW w:w="900" w:type="dxa"/>
            <w:tcBorders>
              <w:top w:val="dotDotDash" w:sz="4" w:space="0" w:color="4472C4" w:themeColor="accent5"/>
            </w:tcBorders>
          </w:tcPr>
          <w:p w14:paraId="5CA39E02"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color w:val="000000" w:themeColor="text1"/>
                <w:sz w:val="20"/>
              </w:rPr>
              <w:t>0</w:t>
            </w:r>
          </w:p>
        </w:tc>
        <w:tc>
          <w:tcPr>
            <w:tcW w:w="870" w:type="dxa"/>
            <w:tcBorders>
              <w:top w:val="dotDotDash" w:sz="4" w:space="0" w:color="4472C4" w:themeColor="accent5"/>
            </w:tcBorders>
          </w:tcPr>
          <w:p w14:paraId="0BF190EA"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color w:val="000000" w:themeColor="text1"/>
                <w:sz w:val="20"/>
              </w:rPr>
              <w:t>0</w:t>
            </w:r>
          </w:p>
        </w:tc>
        <w:tc>
          <w:tcPr>
            <w:tcW w:w="724" w:type="dxa"/>
            <w:tcBorders>
              <w:top w:val="dotDotDash" w:sz="4" w:space="0" w:color="4472C4" w:themeColor="accent5"/>
            </w:tcBorders>
          </w:tcPr>
          <w:p w14:paraId="4D5120D9"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color w:val="000000" w:themeColor="text1"/>
                <w:sz w:val="20"/>
              </w:rPr>
              <w:t>0</w:t>
            </w:r>
          </w:p>
        </w:tc>
        <w:tc>
          <w:tcPr>
            <w:tcW w:w="725" w:type="dxa"/>
            <w:tcBorders>
              <w:top w:val="dotDotDash" w:sz="4" w:space="0" w:color="4472C4" w:themeColor="accent5"/>
            </w:tcBorders>
          </w:tcPr>
          <w:p w14:paraId="3C65F561"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color w:val="000000" w:themeColor="text1"/>
                <w:sz w:val="20"/>
              </w:rPr>
              <w:t>0</w:t>
            </w:r>
          </w:p>
        </w:tc>
        <w:tc>
          <w:tcPr>
            <w:tcW w:w="579" w:type="dxa"/>
            <w:tcBorders>
              <w:top w:val="dotDotDash" w:sz="4" w:space="0" w:color="4472C4" w:themeColor="accent5"/>
            </w:tcBorders>
          </w:tcPr>
          <w:p w14:paraId="2E836E32"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color w:val="000000" w:themeColor="text1"/>
                <w:sz w:val="20"/>
              </w:rPr>
              <w:t>0</w:t>
            </w:r>
          </w:p>
        </w:tc>
        <w:tc>
          <w:tcPr>
            <w:tcW w:w="725" w:type="dxa"/>
            <w:tcBorders>
              <w:top w:val="dotDotDash" w:sz="4" w:space="0" w:color="4472C4" w:themeColor="accent5"/>
            </w:tcBorders>
          </w:tcPr>
          <w:p w14:paraId="0327337C"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color w:val="000000" w:themeColor="text1"/>
                <w:sz w:val="20"/>
              </w:rPr>
              <w:t>0</w:t>
            </w:r>
          </w:p>
        </w:tc>
        <w:tc>
          <w:tcPr>
            <w:tcW w:w="725" w:type="dxa"/>
            <w:tcBorders>
              <w:top w:val="dotDotDash" w:sz="4" w:space="0" w:color="4472C4" w:themeColor="accent5"/>
            </w:tcBorders>
          </w:tcPr>
          <w:p w14:paraId="11EEBBD2"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color w:val="000000" w:themeColor="text1"/>
                <w:sz w:val="20"/>
              </w:rPr>
              <w:t>0</w:t>
            </w:r>
          </w:p>
        </w:tc>
        <w:tc>
          <w:tcPr>
            <w:tcW w:w="869" w:type="dxa"/>
            <w:gridSpan w:val="2"/>
            <w:tcBorders>
              <w:top w:val="dotDotDash" w:sz="4" w:space="0" w:color="4472C4" w:themeColor="accent5"/>
            </w:tcBorders>
            <w:vAlign w:val="center"/>
          </w:tcPr>
          <w:p w14:paraId="0EA81B5F" w14:textId="77777777" w:rsidR="00700DEC" w:rsidRPr="00D507EC" w:rsidRDefault="00700DEC" w:rsidP="009D1B18">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color w:val="000000" w:themeColor="text1"/>
                <w:sz w:val="20"/>
              </w:rPr>
              <w:t>0.06</w:t>
            </w:r>
          </w:p>
        </w:tc>
        <w:tc>
          <w:tcPr>
            <w:tcW w:w="829" w:type="dxa"/>
            <w:gridSpan w:val="2"/>
            <w:tcBorders>
              <w:top w:val="dotDotDash" w:sz="4" w:space="0" w:color="4472C4" w:themeColor="accent5"/>
            </w:tcBorders>
            <w:vAlign w:val="center"/>
          </w:tcPr>
          <w:p w14:paraId="622EB8D7" w14:textId="77777777" w:rsidR="00700DEC" w:rsidRPr="00D507EC" w:rsidRDefault="00700DEC" w:rsidP="009D1B18">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color w:val="000000" w:themeColor="text1"/>
                <w:sz w:val="20"/>
              </w:rPr>
              <w:t>0.125</w:t>
            </w:r>
          </w:p>
        </w:tc>
      </w:tr>
      <w:tr w:rsidR="00700DEC" w:rsidRPr="00D507EC" w14:paraId="7B05F99B" w14:textId="77777777" w:rsidTr="005C71D9">
        <w:trPr>
          <w:trHeight w:val="981"/>
          <w:jc w:val="center"/>
        </w:trPr>
        <w:tc>
          <w:tcPr>
            <w:cnfStyle w:val="001000000000" w:firstRow="0" w:lastRow="0" w:firstColumn="1" w:lastColumn="0" w:oddVBand="0" w:evenVBand="0" w:oddHBand="0" w:evenHBand="0" w:firstRowFirstColumn="0" w:firstRowLastColumn="0" w:lastRowFirstColumn="0" w:lastRowLastColumn="0"/>
            <w:tcW w:w="1103" w:type="dxa"/>
            <w:vMerge/>
            <w:tcBorders>
              <w:bottom w:val="dotDotDash" w:sz="4" w:space="0" w:color="4472C4" w:themeColor="accent5"/>
            </w:tcBorders>
            <w:vAlign w:val="center"/>
          </w:tcPr>
          <w:p w14:paraId="7E61EDE9" w14:textId="77777777" w:rsidR="00700DEC" w:rsidRPr="00D507EC" w:rsidRDefault="00700DEC" w:rsidP="009D1B18">
            <w:pPr>
              <w:spacing w:line="360" w:lineRule="auto"/>
              <w:jc w:val="center"/>
              <w:rPr>
                <w:color w:val="000000" w:themeColor="text1"/>
                <w:sz w:val="20"/>
              </w:rPr>
            </w:pPr>
          </w:p>
        </w:tc>
        <w:tc>
          <w:tcPr>
            <w:tcW w:w="970" w:type="dxa"/>
            <w:tcBorders>
              <w:bottom w:val="dotDotDash" w:sz="4" w:space="0" w:color="4472C4" w:themeColor="accent5"/>
            </w:tcBorders>
            <w:vAlign w:val="center"/>
          </w:tcPr>
          <w:p w14:paraId="0DF109FF" w14:textId="77777777" w:rsidR="00700DEC" w:rsidRPr="00D507EC" w:rsidRDefault="00700DEC" w:rsidP="009D1B18">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color w:val="000000" w:themeColor="text1"/>
                <w:sz w:val="20"/>
              </w:rPr>
              <w:t>MSSP</w:t>
            </w:r>
          </w:p>
        </w:tc>
        <w:tc>
          <w:tcPr>
            <w:tcW w:w="428" w:type="dxa"/>
            <w:tcBorders>
              <w:bottom w:val="dotDotDash" w:sz="4" w:space="0" w:color="4472C4" w:themeColor="accent5"/>
            </w:tcBorders>
            <w:vAlign w:val="center"/>
          </w:tcPr>
          <w:p w14:paraId="731922F9" w14:textId="77777777" w:rsidR="00700DEC" w:rsidRPr="00D507EC" w:rsidRDefault="00700DEC" w:rsidP="009D1B18">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color w:val="000000" w:themeColor="text1"/>
                <w:sz w:val="20"/>
              </w:rPr>
              <w:t>51</w:t>
            </w:r>
          </w:p>
        </w:tc>
        <w:tc>
          <w:tcPr>
            <w:tcW w:w="792" w:type="dxa"/>
            <w:tcBorders>
              <w:bottom w:val="dotDotDash" w:sz="4" w:space="0" w:color="4472C4" w:themeColor="accent5"/>
            </w:tcBorders>
          </w:tcPr>
          <w:p w14:paraId="265F9229" w14:textId="77777777" w:rsidR="00700DEC" w:rsidRPr="00D507EC" w:rsidRDefault="00700DEC" w:rsidP="00DB140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color w:val="000000" w:themeColor="text1"/>
                <w:sz w:val="20"/>
              </w:rPr>
              <w:t>0</w:t>
            </w:r>
          </w:p>
        </w:tc>
        <w:tc>
          <w:tcPr>
            <w:tcW w:w="606" w:type="dxa"/>
            <w:tcBorders>
              <w:bottom w:val="dotDotDash" w:sz="4" w:space="0" w:color="4472C4" w:themeColor="accent5"/>
            </w:tcBorders>
          </w:tcPr>
          <w:p w14:paraId="3B76F15B"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color w:val="000000" w:themeColor="text1"/>
                <w:sz w:val="20"/>
              </w:rPr>
              <w:t>0</w:t>
            </w:r>
          </w:p>
        </w:tc>
        <w:tc>
          <w:tcPr>
            <w:tcW w:w="700" w:type="dxa"/>
            <w:tcBorders>
              <w:bottom w:val="dotDotDash" w:sz="4" w:space="0" w:color="4472C4" w:themeColor="accent5"/>
            </w:tcBorders>
          </w:tcPr>
          <w:p w14:paraId="5D160E51"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color w:val="000000" w:themeColor="text1"/>
                <w:sz w:val="20"/>
              </w:rPr>
              <w:t>47</w:t>
            </w:r>
          </w:p>
        </w:tc>
        <w:tc>
          <w:tcPr>
            <w:tcW w:w="725" w:type="dxa"/>
            <w:tcBorders>
              <w:bottom w:val="dotDotDash" w:sz="4" w:space="0" w:color="4472C4" w:themeColor="accent5"/>
            </w:tcBorders>
          </w:tcPr>
          <w:p w14:paraId="32302699"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color w:val="000000" w:themeColor="text1"/>
                <w:sz w:val="20"/>
              </w:rPr>
              <w:t>2</w:t>
            </w:r>
          </w:p>
        </w:tc>
        <w:tc>
          <w:tcPr>
            <w:tcW w:w="581" w:type="dxa"/>
            <w:tcBorders>
              <w:bottom w:val="dotDotDash" w:sz="4" w:space="0" w:color="4472C4" w:themeColor="accent5"/>
            </w:tcBorders>
          </w:tcPr>
          <w:p w14:paraId="7C458801"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color w:val="000000" w:themeColor="text1"/>
                <w:sz w:val="20"/>
              </w:rPr>
              <w:t>0</w:t>
            </w:r>
          </w:p>
        </w:tc>
        <w:tc>
          <w:tcPr>
            <w:tcW w:w="709" w:type="dxa"/>
            <w:tcBorders>
              <w:bottom w:val="dotDotDash" w:sz="4" w:space="0" w:color="4472C4" w:themeColor="accent5"/>
              <w:right w:val="dashed" w:sz="4" w:space="0" w:color="auto"/>
            </w:tcBorders>
          </w:tcPr>
          <w:p w14:paraId="127F990F"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color w:val="000000" w:themeColor="text1"/>
                <w:sz w:val="20"/>
              </w:rPr>
              <w:t>0</w:t>
            </w:r>
          </w:p>
        </w:tc>
        <w:tc>
          <w:tcPr>
            <w:tcW w:w="708" w:type="dxa"/>
            <w:tcBorders>
              <w:left w:val="dashed" w:sz="4" w:space="0" w:color="auto"/>
              <w:bottom w:val="dotDotDash" w:sz="4" w:space="0" w:color="4472C4" w:themeColor="accent5"/>
            </w:tcBorders>
          </w:tcPr>
          <w:p w14:paraId="441F9051"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color w:val="000000" w:themeColor="text1"/>
                <w:sz w:val="20"/>
              </w:rPr>
              <w:t>0</w:t>
            </w:r>
          </w:p>
        </w:tc>
        <w:tc>
          <w:tcPr>
            <w:tcW w:w="900" w:type="dxa"/>
            <w:tcBorders>
              <w:bottom w:val="dotDotDash" w:sz="4" w:space="0" w:color="4472C4" w:themeColor="accent5"/>
            </w:tcBorders>
          </w:tcPr>
          <w:p w14:paraId="09F0524A"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color w:val="000000" w:themeColor="text1"/>
                <w:sz w:val="20"/>
              </w:rPr>
              <w:t>0</w:t>
            </w:r>
          </w:p>
        </w:tc>
        <w:tc>
          <w:tcPr>
            <w:tcW w:w="870" w:type="dxa"/>
            <w:tcBorders>
              <w:bottom w:val="dotDotDash" w:sz="4" w:space="0" w:color="4472C4" w:themeColor="accent5"/>
            </w:tcBorders>
          </w:tcPr>
          <w:p w14:paraId="639192B5"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color w:val="000000" w:themeColor="text1"/>
                <w:sz w:val="20"/>
              </w:rPr>
              <w:t>2</w:t>
            </w:r>
          </w:p>
        </w:tc>
        <w:tc>
          <w:tcPr>
            <w:tcW w:w="724" w:type="dxa"/>
            <w:tcBorders>
              <w:bottom w:val="dotDotDash" w:sz="4" w:space="0" w:color="4472C4" w:themeColor="accent5"/>
            </w:tcBorders>
          </w:tcPr>
          <w:p w14:paraId="62B621F0"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color w:val="000000" w:themeColor="text1"/>
                <w:sz w:val="20"/>
              </w:rPr>
              <w:t>0</w:t>
            </w:r>
          </w:p>
        </w:tc>
        <w:tc>
          <w:tcPr>
            <w:tcW w:w="725" w:type="dxa"/>
            <w:tcBorders>
              <w:bottom w:val="dotDotDash" w:sz="4" w:space="0" w:color="4472C4" w:themeColor="accent5"/>
            </w:tcBorders>
          </w:tcPr>
          <w:p w14:paraId="0040DB85"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color w:val="000000" w:themeColor="text1"/>
                <w:sz w:val="20"/>
              </w:rPr>
              <w:t>0</w:t>
            </w:r>
          </w:p>
        </w:tc>
        <w:tc>
          <w:tcPr>
            <w:tcW w:w="579" w:type="dxa"/>
            <w:tcBorders>
              <w:bottom w:val="dotDotDash" w:sz="4" w:space="0" w:color="4472C4" w:themeColor="accent5"/>
            </w:tcBorders>
          </w:tcPr>
          <w:p w14:paraId="53321CEF"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color w:val="000000" w:themeColor="text1"/>
                <w:sz w:val="20"/>
              </w:rPr>
              <w:t>0</w:t>
            </w:r>
          </w:p>
        </w:tc>
        <w:tc>
          <w:tcPr>
            <w:tcW w:w="725" w:type="dxa"/>
            <w:tcBorders>
              <w:bottom w:val="dotDotDash" w:sz="4" w:space="0" w:color="4472C4" w:themeColor="accent5"/>
            </w:tcBorders>
          </w:tcPr>
          <w:p w14:paraId="448CEFB1"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color w:val="000000" w:themeColor="text1"/>
                <w:sz w:val="20"/>
              </w:rPr>
              <w:t>0</w:t>
            </w:r>
          </w:p>
        </w:tc>
        <w:tc>
          <w:tcPr>
            <w:tcW w:w="725" w:type="dxa"/>
            <w:tcBorders>
              <w:bottom w:val="dotDotDash" w:sz="4" w:space="0" w:color="4472C4" w:themeColor="accent5"/>
            </w:tcBorders>
          </w:tcPr>
          <w:p w14:paraId="6DD42C9E"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color w:val="000000" w:themeColor="text1"/>
                <w:sz w:val="20"/>
              </w:rPr>
              <w:t>0</w:t>
            </w:r>
          </w:p>
        </w:tc>
        <w:tc>
          <w:tcPr>
            <w:tcW w:w="869" w:type="dxa"/>
            <w:gridSpan w:val="2"/>
            <w:tcBorders>
              <w:bottom w:val="dotDotDash" w:sz="4" w:space="0" w:color="4472C4" w:themeColor="accent5"/>
            </w:tcBorders>
            <w:vAlign w:val="center"/>
          </w:tcPr>
          <w:p w14:paraId="7FC0A8FF" w14:textId="77777777" w:rsidR="00700DEC" w:rsidRPr="00D507EC" w:rsidRDefault="00700DEC" w:rsidP="009D1B18">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color w:val="000000" w:themeColor="text1"/>
                <w:sz w:val="20"/>
              </w:rPr>
              <w:t>0.06</w:t>
            </w:r>
          </w:p>
        </w:tc>
        <w:tc>
          <w:tcPr>
            <w:tcW w:w="829" w:type="dxa"/>
            <w:gridSpan w:val="2"/>
            <w:tcBorders>
              <w:bottom w:val="dotDotDash" w:sz="4" w:space="0" w:color="4472C4" w:themeColor="accent5"/>
            </w:tcBorders>
            <w:vAlign w:val="center"/>
          </w:tcPr>
          <w:p w14:paraId="1D204BBB" w14:textId="77777777" w:rsidR="00700DEC" w:rsidRPr="00D507EC" w:rsidRDefault="00700DEC" w:rsidP="009D1B18">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color w:val="000000" w:themeColor="text1"/>
                <w:sz w:val="20"/>
              </w:rPr>
              <w:t>0.06</w:t>
            </w:r>
          </w:p>
        </w:tc>
      </w:tr>
      <w:tr w:rsidR="00700DEC" w:rsidRPr="00D507EC" w14:paraId="5D68C493" w14:textId="77777777" w:rsidTr="005C71D9">
        <w:trPr>
          <w:trHeight w:val="981"/>
          <w:jc w:val="center"/>
        </w:trPr>
        <w:tc>
          <w:tcPr>
            <w:cnfStyle w:val="001000000000" w:firstRow="0" w:lastRow="0" w:firstColumn="1" w:lastColumn="0" w:oddVBand="0" w:evenVBand="0" w:oddHBand="0" w:evenHBand="0" w:firstRowFirstColumn="0" w:firstRowLastColumn="0" w:lastRowFirstColumn="0" w:lastRowLastColumn="0"/>
            <w:tcW w:w="1103" w:type="dxa"/>
            <w:vMerge w:val="restart"/>
            <w:tcBorders>
              <w:top w:val="dotDotDash" w:sz="4" w:space="0" w:color="4472C4" w:themeColor="accent5"/>
            </w:tcBorders>
            <w:vAlign w:val="center"/>
          </w:tcPr>
          <w:p w14:paraId="1DA7BAB8" w14:textId="77777777" w:rsidR="00700DEC" w:rsidRPr="00D507EC" w:rsidRDefault="00700DEC" w:rsidP="009D1B18">
            <w:pPr>
              <w:spacing w:line="360" w:lineRule="auto"/>
              <w:jc w:val="center"/>
              <w:rPr>
                <w:color w:val="000000" w:themeColor="text1"/>
                <w:sz w:val="20"/>
              </w:rPr>
            </w:pPr>
            <w:r w:rsidRPr="00D507EC">
              <w:rPr>
                <w:color w:val="000000" w:themeColor="text1"/>
                <w:sz w:val="20"/>
              </w:rPr>
              <w:t>NUK</w:t>
            </w:r>
          </w:p>
        </w:tc>
        <w:tc>
          <w:tcPr>
            <w:tcW w:w="970" w:type="dxa"/>
            <w:tcBorders>
              <w:top w:val="dotDotDash" w:sz="4" w:space="0" w:color="4472C4" w:themeColor="accent5"/>
            </w:tcBorders>
            <w:vAlign w:val="center"/>
          </w:tcPr>
          <w:p w14:paraId="46B2E0A3" w14:textId="77777777" w:rsidR="00700DEC" w:rsidRPr="00D507EC" w:rsidRDefault="00700DEC" w:rsidP="009D1B18">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color w:val="000000" w:themeColor="text1"/>
                <w:sz w:val="20"/>
              </w:rPr>
              <w:t>MRSP</w:t>
            </w:r>
          </w:p>
        </w:tc>
        <w:tc>
          <w:tcPr>
            <w:tcW w:w="428" w:type="dxa"/>
            <w:tcBorders>
              <w:top w:val="dotDotDash" w:sz="4" w:space="0" w:color="4472C4" w:themeColor="accent5"/>
            </w:tcBorders>
            <w:vAlign w:val="center"/>
          </w:tcPr>
          <w:p w14:paraId="5760A51B" w14:textId="77777777" w:rsidR="00700DEC" w:rsidRPr="00D507EC" w:rsidRDefault="00700DEC" w:rsidP="009D1B18">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color w:val="000000" w:themeColor="text1"/>
                <w:sz w:val="20"/>
              </w:rPr>
              <w:t>49</w:t>
            </w:r>
          </w:p>
        </w:tc>
        <w:tc>
          <w:tcPr>
            <w:tcW w:w="792" w:type="dxa"/>
            <w:tcBorders>
              <w:top w:val="dotDotDash" w:sz="4" w:space="0" w:color="4472C4" w:themeColor="accent5"/>
            </w:tcBorders>
          </w:tcPr>
          <w:p w14:paraId="31AAD91F" w14:textId="77777777" w:rsidR="00700DEC" w:rsidRPr="00D507EC" w:rsidRDefault="00700DEC" w:rsidP="00DB140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w:t>
            </w:r>
          </w:p>
        </w:tc>
        <w:tc>
          <w:tcPr>
            <w:tcW w:w="606" w:type="dxa"/>
            <w:tcBorders>
              <w:top w:val="dotDotDash" w:sz="4" w:space="0" w:color="4472C4" w:themeColor="accent5"/>
            </w:tcBorders>
          </w:tcPr>
          <w:p w14:paraId="02584BB6"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w:t>
            </w:r>
          </w:p>
        </w:tc>
        <w:tc>
          <w:tcPr>
            <w:tcW w:w="700" w:type="dxa"/>
            <w:tcBorders>
              <w:top w:val="dotDotDash" w:sz="4" w:space="0" w:color="4472C4" w:themeColor="accent5"/>
            </w:tcBorders>
          </w:tcPr>
          <w:p w14:paraId="105D499B" w14:textId="020A3FB4"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14</w:t>
            </w:r>
          </w:p>
          <w:p w14:paraId="65DD7389" w14:textId="5E3A981B"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n = 1</w:t>
            </w:r>
          </w:p>
          <w:p w14:paraId="7BA63066"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i/>
                <w:iCs/>
                <w:color w:val="000000" w:themeColor="text1"/>
                <w:sz w:val="20"/>
              </w:rPr>
              <w:t>fusC</w:t>
            </w:r>
          </w:p>
        </w:tc>
        <w:tc>
          <w:tcPr>
            <w:tcW w:w="725" w:type="dxa"/>
            <w:tcBorders>
              <w:top w:val="dotDotDash" w:sz="4" w:space="0" w:color="4472C4" w:themeColor="accent5"/>
            </w:tcBorders>
          </w:tcPr>
          <w:p w14:paraId="319BACE5"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4</w:t>
            </w:r>
          </w:p>
        </w:tc>
        <w:tc>
          <w:tcPr>
            <w:tcW w:w="581" w:type="dxa"/>
            <w:tcBorders>
              <w:top w:val="dotDotDash" w:sz="4" w:space="0" w:color="4472C4" w:themeColor="accent5"/>
            </w:tcBorders>
          </w:tcPr>
          <w:p w14:paraId="3C44A023"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w:t>
            </w:r>
          </w:p>
        </w:tc>
        <w:tc>
          <w:tcPr>
            <w:tcW w:w="709" w:type="dxa"/>
            <w:tcBorders>
              <w:top w:val="dotDotDash" w:sz="4" w:space="0" w:color="4472C4" w:themeColor="accent5"/>
              <w:right w:val="dashed" w:sz="4" w:space="0" w:color="auto"/>
            </w:tcBorders>
          </w:tcPr>
          <w:p w14:paraId="2FC03B7A"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w:t>
            </w:r>
          </w:p>
        </w:tc>
        <w:tc>
          <w:tcPr>
            <w:tcW w:w="708" w:type="dxa"/>
            <w:tcBorders>
              <w:top w:val="dotDotDash" w:sz="4" w:space="0" w:color="4472C4" w:themeColor="accent5"/>
              <w:left w:val="dashed" w:sz="4" w:space="0" w:color="auto"/>
            </w:tcBorders>
          </w:tcPr>
          <w:p w14:paraId="7CB68C36"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w:t>
            </w:r>
          </w:p>
        </w:tc>
        <w:tc>
          <w:tcPr>
            <w:tcW w:w="900" w:type="dxa"/>
            <w:tcBorders>
              <w:top w:val="dotDotDash" w:sz="4" w:space="0" w:color="4472C4" w:themeColor="accent5"/>
            </w:tcBorders>
          </w:tcPr>
          <w:p w14:paraId="022DEC1B"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14</w:t>
            </w:r>
          </w:p>
        </w:tc>
        <w:tc>
          <w:tcPr>
            <w:tcW w:w="870" w:type="dxa"/>
            <w:tcBorders>
              <w:top w:val="dotDotDash" w:sz="4" w:space="0" w:color="4472C4" w:themeColor="accent5"/>
            </w:tcBorders>
          </w:tcPr>
          <w:p w14:paraId="36C77E48" w14:textId="08EA3B1A"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2</w:t>
            </w:r>
          </w:p>
          <w:p w14:paraId="1E446C06"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n = 1</w:t>
            </w:r>
          </w:p>
          <w:p w14:paraId="41F0E0D2"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i/>
                <w:iCs/>
                <w:color w:val="000000" w:themeColor="text1"/>
                <w:sz w:val="20"/>
              </w:rPr>
              <w:t>fusC</w:t>
            </w:r>
          </w:p>
        </w:tc>
        <w:tc>
          <w:tcPr>
            <w:tcW w:w="724" w:type="dxa"/>
            <w:tcBorders>
              <w:top w:val="dotDotDash" w:sz="4" w:space="0" w:color="4472C4" w:themeColor="accent5"/>
            </w:tcBorders>
          </w:tcPr>
          <w:p w14:paraId="50EDAC6F"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10</w:t>
            </w:r>
          </w:p>
          <w:p w14:paraId="48FCF77D"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n = 5</w:t>
            </w:r>
          </w:p>
          <w:p w14:paraId="2BAF5618"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i/>
                <w:iCs/>
                <w:color w:val="000000" w:themeColor="text1"/>
                <w:sz w:val="20"/>
              </w:rPr>
              <w:t>fusC</w:t>
            </w:r>
          </w:p>
        </w:tc>
        <w:tc>
          <w:tcPr>
            <w:tcW w:w="725" w:type="dxa"/>
            <w:tcBorders>
              <w:top w:val="dotDotDash" w:sz="4" w:space="0" w:color="4472C4" w:themeColor="accent5"/>
            </w:tcBorders>
          </w:tcPr>
          <w:p w14:paraId="0086AED7"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w:t>
            </w:r>
          </w:p>
        </w:tc>
        <w:tc>
          <w:tcPr>
            <w:tcW w:w="579" w:type="dxa"/>
            <w:tcBorders>
              <w:top w:val="dotDotDash" w:sz="4" w:space="0" w:color="4472C4" w:themeColor="accent5"/>
            </w:tcBorders>
          </w:tcPr>
          <w:p w14:paraId="49EE1298"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w:t>
            </w:r>
          </w:p>
        </w:tc>
        <w:tc>
          <w:tcPr>
            <w:tcW w:w="725" w:type="dxa"/>
            <w:tcBorders>
              <w:top w:val="dotDotDash" w:sz="4" w:space="0" w:color="4472C4" w:themeColor="accent5"/>
            </w:tcBorders>
          </w:tcPr>
          <w:p w14:paraId="4D4C3CAB"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4</w:t>
            </w:r>
          </w:p>
          <w:p w14:paraId="00C03D33"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i/>
                <w:color w:val="000000" w:themeColor="text1"/>
                <w:sz w:val="20"/>
              </w:rPr>
            </w:pPr>
            <w:r w:rsidRPr="00D507EC">
              <w:rPr>
                <w:rFonts w:ascii="Calibri" w:hAnsi="Calibri" w:cs="Calibri"/>
                <w:color w:val="000000" w:themeColor="text1"/>
                <w:sz w:val="20"/>
              </w:rPr>
              <w:t xml:space="preserve">n = 4 </w:t>
            </w:r>
            <w:r w:rsidRPr="00D507EC">
              <w:rPr>
                <w:rFonts w:ascii="Calibri" w:hAnsi="Calibri" w:cs="Calibri"/>
                <w:i/>
                <w:color w:val="000000" w:themeColor="text1"/>
                <w:sz w:val="20"/>
              </w:rPr>
              <w:t>fusA</w:t>
            </w:r>
          </w:p>
        </w:tc>
        <w:tc>
          <w:tcPr>
            <w:tcW w:w="725" w:type="dxa"/>
            <w:tcBorders>
              <w:top w:val="dotDotDash" w:sz="4" w:space="0" w:color="4472C4" w:themeColor="accent5"/>
            </w:tcBorders>
          </w:tcPr>
          <w:p w14:paraId="69F86F2B"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1</w:t>
            </w:r>
          </w:p>
        </w:tc>
        <w:tc>
          <w:tcPr>
            <w:tcW w:w="869" w:type="dxa"/>
            <w:gridSpan w:val="2"/>
            <w:tcBorders>
              <w:top w:val="dotDotDash" w:sz="4" w:space="0" w:color="4472C4" w:themeColor="accent5"/>
            </w:tcBorders>
            <w:vAlign w:val="center"/>
          </w:tcPr>
          <w:p w14:paraId="7ACDB3D0" w14:textId="77777777" w:rsidR="00700DEC" w:rsidRPr="00D507EC" w:rsidRDefault="00700DEC" w:rsidP="009D1B18">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2</w:t>
            </w:r>
          </w:p>
        </w:tc>
        <w:tc>
          <w:tcPr>
            <w:tcW w:w="829" w:type="dxa"/>
            <w:gridSpan w:val="2"/>
            <w:tcBorders>
              <w:top w:val="dotDotDash" w:sz="4" w:space="0" w:color="4472C4" w:themeColor="accent5"/>
            </w:tcBorders>
            <w:vAlign w:val="center"/>
          </w:tcPr>
          <w:p w14:paraId="40782D25" w14:textId="77777777" w:rsidR="00700DEC" w:rsidRPr="00D507EC" w:rsidRDefault="00700DEC" w:rsidP="009D1B18">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64</w:t>
            </w:r>
          </w:p>
        </w:tc>
      </w:tr>
      <w:tr w:rsidR="00700DEC" w:rsidRPr="00D507EC" w14:paraId="6C064D0F" w14:textId="77777777" w:rsidTr="005C71D9">
        <w:trPr>
          <w:trHeight w:val="981"/>
          <w:jc w:val="center"/>
        </w:trPr>
        <w:tc>
          <w:tcPr>
            <w:cnfStyle w:val="001000000000" w:firstRow="0" w:lastRow="0" w:firstColumn="1" w:lastColumn="0" w:oddVBand="0" w:evenVBand="0" w:oddHBand="0" w:evenHBand="0" w:firstRowFirstColumn="0" w:firstRowLastColumn="0" w:lastRowFirstColumn="0" w:lastRowLastColumn="0"/>
            <w:tcW w:w="1103" w:type="dxa"/>
            <w:vMerge/>
            <w:tcBorders>
              <w:bottom w:val="dotDotDash" w:sz="4" w:space="0" w:color="4472C4" w:themeColor="accent5"/>
            </w:tcBorders>
            <w:vAlign w:val="center"/>
          </w:tcPr>
          <w:p w14:paraId="105FDA39" w14:textId="77777777" w:rsidR="00700DEC" w:rsidRPr="00D507EC" w:rsidRDefault="00700DEC" w:rsidP="009D1B18">
            <w:pPr>
              <w:spacing w:line="360" w:lineRule="auto"/>
              <w:jc w:val="center"/>
              <w:rPr>
                <w:color w:val="000000" w:themeColor="text1"/>
                <w:sz w:val="20"/>
              </w:rPr>
            </w:pPr>
          </w:p>
        </w:tc>
        <w:tc>
          <w:tcPr>
            <w:tcW w:w="970" w:type="dxa"/>
            <w:tcBorders>
              <w:bottom w:val="dotDotDash" w:sz="4" w:space="0" w:color="4472C4" w:themeColor="accent5"/>
            </w:tcBorders>
            <w:vAlign w:val="center"/>
          </w:tcPr>
          <w:p w14:paraId="4843840A" w14:textId="77777777" w:rsidR="00700DEC" w:rsidRPr="00D507EC" w:rsidRDefault="00700DEC" w:rsidP="009D1B18">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color w:val="000000" w:themeColor="text1"/>
                <w:sz w:val="20"/>
              </w:rPr>
              <w:t>MSSP</w:t>
            </w:r>
          </w:p>
        </w:tc>
        <w:tc>
          <w:tcPr>
            <w:tcW w:w="428" w:type="dxa"/>
            <w:tcBorders>
              <w:bottom w:val="dotDotDash" w:sz="4" w:space="0" w:color="4472C4" w:themeColor="accent5"/>
            </w:tcBorders>
            <w:vAlign w:val="center"/>
          </w:tcPr>
          <w:p w14:paraId="612D4A79" w14:textId="77777777" w:rsidR="00700DEC" w:rsidRPr="00D507EC" w:rsidRDefault="00700DEC" w:rsidP="009D1B18">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color w:val="000000" w:themeColor="text1"/>
                <w:sz w:val="20"/>
              </w:rPr>
              <w:t>50</w:t>
            </w:r>
          </w:p>
        </w:tc>
        <w:tc>
          <w:tcPr>
            <w:tcW w:w="792" w:type="dxa"/>
            <w:tcBorders>
              <w:bottom w:val="dotDotDash" w:sz="4" w:space="0" w:color="4472C4" w:themeColor="accent5"/>
            </w:tcBorders>
          </w:tcPr>
          <w:p w14:paraId="218EF1CE" w14:textId="77777777" w:rsidR="00700DEC" w:rsidRPr="00D507EC" w:rsidRDefault="00700DEC" w:rsidP="00DB140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w:t>
            </w:r>
          </w:p>
        </w:tc>
        <w:tc>
          <w:tcPr>
            <w:tcW w:w="606" w:type="dxa"/>
            <w:tcBorders>
              <w:bottom w:val="dotDotDash" w:sz="4" w:space="0" w:color="4472C4" w:themeColor="accent5"/>
            </w:tcBorders>
          </w:tcPr>
          <w:p w14:paraId="03DF2A41"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1</w:t>
            </w:r>
          </w:p>
        </w:tc>
        <w:tc>
          <w:tcPr>
            <w:tcW w:w="700" w:type="dxa"/>
            <w:tcBorders>
              <w:bottom w:val="dotDotDash" w:sz="4" w:space="0" w:color="4472C4" w:themeColor="accent5"/>
            </w:tcBorders>
          </w:tcPr>
          <w:p w14:paraId="2364BEDB"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37</w:t>
            </w:r>
          </w:p>
        </w:tc>
        <w:tc>
          <w:tcPr>
            <w:tcW w:w="725" w:type="dxa"/>
            <w:tcBorders>
              <w:bottom w:val="dotDotDash" w:sz="4" w:space="0" w:color="4472C4" w:themeColor="accent5"/>
            </w:tcBorders>
          </w:tcPr>
          <w:p w14:paraId="6AFA96B9"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w:t>
            </w:r>
          </w:p>
        </w:tc>
        <w:tc>
          <w:tcPr>
            <w:tcW w:w="581" w:type="dxa"/>
            <w:tcBorders>
              <w:bottom w:val="dotDotDash" w:sz="4" w:space="0" w:color="4472C4" w:themeColor="accent5"/>
            </w:tcBorders>
          </w:tcPr>
          <w:p w14:paraId="2A7515C5"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w:t>
            </w:r>
          </w:p>
        </w:tc>
        <w:tc>
          <w:tcPr>
            <w:tcW w:w="709" w:type="dxa"/>
            <w:tcBorders>
              <w:bottom w:val="dotDotDash" w:sz="4" w:space="0" w:color="4472C4" w:themeColor="accent5"/>
              <w:right w:val="dashed" w:sz="4" w:space="0" w:color="auto"/>
            </w:tcBorders>
          </w:tcPr>
          <w:p w14:paraId="68D0E308"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w:t>
            </w:r>
          </w:p>
        </w:tc>
        <w:tc>
          <w:tcPr>
            <w:tcW w:w="708" w:type="dxa"/>
            <w:tcBorders>
              <w:left w:val="dashed" w:sz="4" w:space="0" w:color="auto"/>
              <w:bottom w:val="dotDotDash" w:sz="4" w:space="0" w:color="4472C4" w:themeColor="accent5"/>
            </w:tcBorders>
          </w:tcPr>
          <w:p w14:paraId="30A29A26"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1</w:t>
            </w:r>
          </w:p>
        </w:tc>
        <w:tc>
          <w:tcPr>
            <w:tcW w:w="900" w:type="dxa"/>
            <w:tcBorders>
              <w:bottom w:val="dotDotDash" w:sz="4" w:space="0" w:color="4472C4" w:themeColor="accent5"/>
            </w:tcBorders>
          </w:tcPr>
          <w:p w14:paraId="69008163"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w:t>
            </w:r>
          </w:p>
        </w:tc>
        <w:tc>
          <w:tcPr>
            <w:tcW w:w="870" w:type="dxa"/>
            <w:tcBorders>
              <w:bottom w:val="dotDotDash" w:sz="4" w:space="0" w:color="4472C4" w:themeColor="accent5"/>
            </w:tcBorders>
          </w:tcPr>
          <w:p w14:paraId="5370AE25"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1</w:t>
            </w:r>
          </w:p>
        </w:tc>
        <w:tc>
          <w:tcPr>
            <w:tcW w:w="724" w:type="dxa"/>
            <w:tcBorders>
              <w:bottom w:val="dotDotDash" w:sz="4" w:space="0" w:color="4472C4" w:themeColor="accent5"/>
            </w:tcBorders>
          </w:tcPr>
          <w:p w14:paraId="24D5B2F6"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5</w:t>
            </w:r>
          </w:p>
        </w:tc>
        <w:tc>
          <w:tcPr>
            <w:tcW w:w="725" w:type="dxa"/>
            <w:tcBorders>
              <w:bottom w:val="dotDotDash" w:sz="4" w:space="0" w:color="4472C4" w:themeColor="accent5"/>
            </w:tcBorders>
          </w:tcPr>
          <w:p w14:paraId="353F41F6"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1</w:t>
            </w:r>
          </w:p>
        </w:tc>
        <w:tc>
          <w:tcPr>
            <w:tcW w:w="579" w:type="dxa"/>
            <w:tcBorders>
              <w:bottom w:val="dotDotDash" w:sz="4" w:space="0" w:color="4472C4" w:themeColor="accent5"/>
            </w:tcBorders>
          </w:tcPr>
          <w:p w14:paraId="56D255DB"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w:t>
            </w:r>
          </w:p>
        </w:tc>
        <w:tc>
          <w:tcPr>
            <w:tcW w:w="725" w:type="dxa"/>
            <w:tcBorders>
              <w:bottom w:val="dotDotDash" w:sz="4" w:space="0" w:color="4472C4" w:themeColor="accent5"/>
            </w:tcBorders>
          </w:tcPr>
          <w:p w14:paraId="5E348414"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2</w:t>
            </w:r>
          </w:p>
          <w:p w14:paraId="1FBBE516"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i/>
                <w:color w:val="000000" w:themeColor="text1"/>
                <w:sz w:val="20"/>
              </w:rPr>
            </w:pPr>
            <w:r w:rsidRPr="00D507EC">
              <w:rPr>
                <w:rFonts w:ascii="Calibri" w:hAnsi="Calibri" w:cs="Calibri"/>
                <w:color w:val="000000" w:themeColor="text1"/>
                <w:sz w:val="20"/>
              </w:rPr>
              <w:t xml:space="preserve">n = 2 </w:t>
            </w:r>
            <w:r w:rsidRPr="00D507EC">
              <w:rPr>
                <w:rFonts w:ascii="Calibri" w:hAnsi="Calibri" w:cs="Calibri"/>
                <w:i/>
                <w:color w:val="000000" w:themeColor="text1"/>
                <w:sz w:val="20"/>
              </w:rPr>
              <w:t>fusA</w:t>
            </w:r>
          </w:p>
        </w:tc>
        <w:tc>
          <w:tcPr>
            <w:tcW w:w="725" w:type="dxa"/>
            <w:tcBorders>
              <w:bottom w:val="dotDotDash" w:sz="4" w:space="0" w:color="4472C4" w:themeColor="accent5"/>
            </w:tcBorders>
          </w:tcPr>
          <w:p w14:paraId="06502D1A"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2</w:t>
            </w:r>
          </w:p>
          <w:p w14:paraId="4CDEE316"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i/>
                <w:color w:val="000000" w:themeColor="text1"/>
                <w:sz w:val="20"/>
              </w:rPr>
            </w:pPr>
            <w:r w:rsidRPr="00D507EC">
              <w:rPr>
                <w:rFonts w:ascii="Calibri" w:hAnsi="Calibri" w:cs="Calibri"/>
                <w:color w:val="000000" w:themeColor="text1"/>
                <w:sz w:val="20"/>
              </w:rPr>
              <w:t xml:space="preserve">n = 2 </w:t>
            </w:r>
            <w:r w:rsidRPr="00D507EC">
              <w:rPr>
                <w:rFonts w:ascii="Calibri" w:hAnsi="Calibri" w:cs="Calibri"/>
                <w:i/>
                <w:color w:val="000000" w:themeColor="text1"/>
                <w:sz w:val="20"/>
              </w:rPr>
              <w:t>fusA</w:t>
            </w:r>
          </w:p>
        </w:tc>
        <w:tc>
          <w:tcPr>
            <w:tcW w:w="869" w:type="dxa"/>
            <w:gridSpan w:val="2"/>
            <w:tcBorders>
              <w:bottom w:val="dotDotDash" w:sz="4" w:space="0" w:color="4472C4" w:themeColor="accent5"/>
            </w:tcBorders>
            <w:vAlign w:val="center"/>
          </w:tcPr>
          <w:p w14:paraId="1DBA9604" w14:textId="77777777" w:rsidR="00700DEC" w:rsidRPr="00D507EC" w:rsidRDefault="00700DEC" w:rsidP="009D1B18">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0.06</w:t>
            </w:r>
          </w:p>
        </w:tc>
        <w:tc>
          <w:tcPr>
            <w:tcW w:w="829" w:type="dxa"/>
            <w:gridSpan w:val="2"/>
            <w:tcBorders>
              <w:bottom w:val="dotDotDash" w:sz="4" w:space="0" w:color="4472C4" w:themeColor="accent5"/>
            </w:tcBorders>
            <w:vAlign w:val="center"/>
          </w:tcPr>
          <w:p w14:paraId="1A19D4D2" w14:textId="77777777" w:rsidR="00700DEC" w:rsidRPr="00D507EC" w:rsidRDefault="00700DEC" w:rsidP="009D1B18">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8</w:t>
            </w:r>
          </w:p>
        </w:tc>
      </w:tr>
      <w:tr w:rsidR="00700DEC" w:rsidRPr="00D507EC" w14:paraId="4E1ECF4A" w14:textId="77777777" w:rsidTr="005C71D9">
        <w:trPr>
          <w:trHeight w:val="981"/>
          <w:jc w:val="center"/>
        </w:trPr>
        <w:tc>
          <w:tcPr>
            <w:cnfStyle w:val="001000000000" w:firstRow="0" w:lastRow="0" w:firstColumn="1" w:lastColumn="0" w:oddVBand="0" w:evenVBand="0" w:oddHBand="0" w:evenHBand="0" w:firstRowFirstColumn="0" w:firstRowLastColumn="0" w:lastRowFirstColumn="0" w:lastRowLastColumn="0"/>
            <w:tcW w:w="1103" w:type="dxa"/>
            <w:vMerge w:val="restart"/>
            <w:tcBorders>
              <w:top w:val="dotDotDash" w:sz="4" w:space="0" w:color="4472C4" w:themeColor="accent5"/>
            </w:tcBorders>
            <w:vAlign w:val="center"/>
          </w:tcPr>
          <w:p w14:paraId="1CBB7D17" w14:textId="77777777" w:rsidR="00700DEC" w:rsidRPr="00D507EC" w:rsidRDefault="00700DEC" w:rsidP="009D1B18">
            <w:pPr>
              <w:spacing w:line="360" w:lineRule="auto"/>
              <w:jc w:val="center"/>
              <w:rPr>
                <w:color w:val="000000" w:themeColor="text1"/>
                <w:sz w:val="20"/>
              </w:rPr>
            </w:pPr>
            <w:r w:rsidRPr="00D507EC">
              <w:rPr>
                <w:color w:val="000000" w:themeColor="text1"/>
                <w:sz w:val="20"/>
              </w:rPr>
              <w:t>SEUK</w:t>
            </w:r>
            <w:r w:rsidRPr="00D507EC">
              <w:rPr>
                <w:color w:val="000000" w:themeColor="text1"/>
                <w:sz w:val="20"/>
                <w:vertAlign w:val="superscript"/>
              </w:rPr>
              <w:t>a</w:t>
            </w:r>
          </w:p>
        </w:tc>
        <w:tc>
          <w:tcPr>
            <w:tcW w:w="970" w:type="dxa"/>
            <w:tcBorders>
              <w:top w:val="dotDotDash" w:sz="4" w:space="0" w:color="4472C4" w:themeColor="accent5"/>
              <w:bottom w:val="single" w:sz="4" w:space="0" w:color="BDD6EE" w:themeColor="accent1" w:themeTint="66"/>
            </w:tcBorders>
            <w:vAlign w:val="center"/>
          </w:tcPr>
          <w:p w14:paraId="5FBAA994" w14:textId="77777777" w:rsidR="00700DEC" w:rsidRPr="00D507EC" w:rsidRDefault="00700DEC" w:rsidP="009D1B18">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color w:val="000000" w:themeColor="text1"/>
                <w:sz w:val="20"/>
              </w:rPr>
              <w:t>MRSP</w:t>
            </w:r>
          </w:p>
        </w:tc>
        <w:tc>
          <w:tcPr>
            <w:tcW w:w="428" w:type="dxa"/>
            <w:tcBorders>
              <w:top w:val="dotDotDash" w:sz="4" w:space="0" w:color="4472C4" w:themeColor="accent5"/>
              <w:bottom w:val="single" w:sz="4" w:space="0" w:color="BDD6EE" w:themeColor="accent1" w:themeTint="66"/>
            </w:tcBorders>
            <w:vAlign w:val="center"/>
          </w:tcPr>
          <w:p w14:paraId="170884E2" w14:textId="77777777" w:rsidR="00700DEC" w:rsidRPr="00D507EC" w:rsidRDefault="00700DEC" w:rsidP="009D1B18">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color w:val="000000" w:themeColor="text1"/>
                <w:sz w:val="20"/>
              </w:rPr>
              <w:t>47</w:t>
            </w:r>
          </w:p>
        </w:tc>
        <w:tc>
          <w:tcPr>
            <w:tcW w:w="792" w:type="dxa"/>
            <w:tcBorders>
              <w:top w:val="dotDotDash" w:sz="4" w:space="0" w:color="4472C4" w:themeColor="accent5"/>
              <w:bottom w:val="single" w:sz="4" w:space="0" w:color="BDD6EE" w:themeColor="accent1" w:themeTint="66"/>
            </w:tcBorders>
          </w:tcPr>
          <w:p w14:paraId="3CDE9E14" w14:textId="77777777" w:rsidR="00700DEC" w:rsidRPr="00D507EC" w:rsidRDefault="00700DEC" w:rsidP="00DB140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22</w:t>
            </w:r>
          </w:p>
        </w:tc>
        <w:tc>
          <w:tcPr>
            <w:tcW w:w="606" w:type="dxa"/>
            <w:tcBorders>
              <w:top w:val="dotDotDash" w:sz="4" w:space="0" w:color="4472C4" w:themeColor="accent5"/>
              <w:bottom w:val="single" w:sz="4" w:space="0" w:color="BDD6EE" w:themeColor="accent1" w:themeTint="66"/>
            </w:tcBorders>
          </w:tcPr>
          <w:p w14:paraId="43634626"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1</w:t>
            </w:r>
          </w:p>
        </w:tc>
        <w:tc>
          <w:tcPr>
            <w:tcW w:w="700" w:type="dxa"/>
            <w:tcBorders>
              <w:top w:val="dotDotDash" w:sz="4" w:space="0" w:color="4472C4" w:themeColor="accent5"/>
              <w:bottom w:val="single" w:sz="4" w:space="0" w:color="BDD6EE" w:themeColor="accent1" w:themeTint="66"/>
            </w:tcBorders>
          </w:tcPr>
          <w:p w14:paraId="5286F453"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12</w:t>
            </w:r>
          </w:p>
        </w:tc>
        <w:tc>
          <w:tcPr>
            <w:tcW w:w="725" w:type="dxa"/>
            <w:tcBorders>
              <w:top w:val="dotDotDash" w:sz="4" w:space="0" w:color="4472C4" w:themeColor="accent5"/>
              <w:bottom w:val="single" w:sz="4" w:space="0" w:color="BDD6EE" w:themeColor="accent1" w:themeTint="66"/>
            </w:tcBorders>
          </w:tcPr>
          <w:p w14:paraId="1E57E9CC"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3</w:t>
            </w:r>
          </w:p>
        </w:tc>
        <w:tc>
          <w:tcPr>
            <w:tcW w:w="581" w:type="dxa"/>
            <w:tcBorders>
              <w:top w:val="dotDotDash" w:sz="4" w:space="0" w:color="4472C4" w:themeColor="accent5"/>
              <w:bottom w:val="single" w:sz="4" w:space="0" w:color="BDD6EE" w:themeColor="accent1" w:themeTint="66"/>
            </w:tcBorders>
          </w:tcPr>
          <w:p w14:paraId="2DB10230"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w:t>
            </w:r>
          </w:p>
        </w:tc>
        <w:tc>
          <w:tcPr>
            <w:tcW w:w="709" w:type="dxa"/>
            <w:tcBorders>
              <w:top w:val="dotDotDash" w:sz="4" w:space="0" w:color="4472C4" w:themeColor="accent5"/>
              <w:bottom w:val="single" w:sz="4" w:space="0" w:color="BDD6EE" w:themeColor="accent1" w:themeTint="66"/>
              <w:right w:val="dashed" w:sz="4" w:space="0" w:color="auto"/>
            </w:tcBorders>
          </w:tcPr>
          <w:p w14:paraId="7AADC56C"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w:t>
            </w:r>
          </w:p>
        </w:tc>
        <w:tc>
          <w:tcPr>
            <w:tcW w:w="708" w:type="dxa"/>
            <w:tcBorders>
              <w:top w:val="dotDotDash" w:sz="4" w:space="0" w:color="4472C4" w:themeColor="accent5"/>
              <w:left w:val="dashed" w:sz="4" w:space="0" w:color="auto"/>
              <w:bottom w:val="single" w:sz="4" w:space="0" w:color="BDD6EE" w:themeColor="accent1" w:themeTint="66"/>
            </w:tcBorders>
          </w:tcPr>
          <w:p w14:paraId="777BC634"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1</w:t>
            </w:r>
          </w:p>
        </w:tc>
        <w:tc>
          <w:tcPr>
            <w:tcW w:w="900" w:type="dxa"/>
            <w:tcBorders>
              <w:top w:val="dotDotDash" w:sz="4" w:space="0" w:color="4472C4" w:themeColor="accent5"/>
              <w:bottom w:val="single" w:sz="4" w:space="0" w:color="BDD6EE" w:themeColor="accent1" w:themeTint="66"/>
            </w:tcBorders>
          </w:tcPr>
          <w:p w14:paraId="626FB066"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2</w:t>
            </w:r>
          </w:p>
        </w:tc>
        <w:tc>
          <w:tcPr>
            <w:tcW w:w="870" w:type="dxa"/>
            <w:tcBorders>
              <w:top w:val="dotDotDash" w:sz="4" w:space="0" w:color="4472C4" w:themeColor="accent5"/>
              <w:bottom w:val="single" w:sz="4" w:space="0" w:color="BDD6EE" w:themeColor="accent1" w:themeTint="66"/>
            </w:tcBorders>
          </w:tcPr>
          <w:p w14:paraId="71CF2E77"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4</w:t>
            </w:r>
          </w:p>
        </w:tc>
        <w:tc>
          <w:tcPr>
            <w:tcW w:w="724" w:type="dxa"/>
            <w:tcBorders>
              <w:top w:val="dotDotDash" w:sz="4" w:space="0" w:color="4472C4" w:themeColor="accent5"/>
              <w:bottom w:val="single" w:sz="4" w:space="0" w:color="BDD6EE" w:themeColor="accent1" w:themeTint="66"/>
            </w:tcBorders>
          </w:tcPr>
          <w:p w14:paraId="34367D46"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w:t>
            </w:r>
          </w:p>
        </w:tc>
        <w:tc>
          <w:tcPr>
            <w:tcW w:w="725" w:type="dxa"/>
            <w:tcBorders>
              <w:top w:val="dotDotDash" w:sz="4" w:space="0" w:color="4472C4" w:themeColor="accent5"/>
              <w:bottom w:val="single" w:sz="4" w:space="0" w:color="BDD6EE" w:themeColor="accent1" w:themeTint="66"/>
            </w:tcBorders>
          </w:tcPr>
          <w:p w14:paraId="2970AB97"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1</w:t>
            </w:r>
          </w:p>
        </w:tc>
        <w:tc>
          <w:tcPr>
            <w:tcW w:w="579" w:type="dxa"/>
            <w:tcBorders>
              <w:top w:val="dotDotDash" w:sz="4" w:space="0" w:color="4472C4" w:themeColor="accent5"/>
              <w:bottom w:val="single" w:sz="4" w:space="0" w:color="BDD6EE" w:themeColor="accent1" w:themeTint="66"/>
            </w:tcBorders>
          </w:tcPr>
          <w:p w14:paraId="62738C6E"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w:t>
            </w:r>
          </w:p>
        </w:tc>
        <w:tc>
          <w:tcPr>
            <w:tcW w:w="725" w:type="dxa"/>
            <w:tcBorders>
              <w:top w:val="dotDotDash" w:sz="4" w:space="0" w:color="4472C4" w:themeColor="accent5"/>
              <w:bottom w:val="single" w:sz="4" w:space="0" w:color="BDD6EE" w:themeColor="accent1" w:themeTint="66"/>
            </w:tcBorders>
          </w:tcPr>
          <w:p w14:paraId="05DF4A3B"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1</w:t>
            </w:r>
          </w:p>
          <w:p w14:paraId="622F6CFC"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i/>
                <w:color w:val="000000" w:themeColor="text1"/>
                <w:sz w:val="20"/>
              </w:rPr>
            </w:pPr>
            <w:r w:rsidRPr="00D507EC">
              <w:rPr>
                <w:rFonts w:ascii="Calibri" w:hAnsi="Calibri" w:cs="Calibri"/>
                <w:color w:val="000000" w:themeColor="text1"/>
                <w:sz w:val="20"/>
              </w:rPr>
              <w:t xml:space="preserve">n = 1 </w:t>
            </w:r>
            <w:r w:rsidRPr="00D507EC">
              <w:rPr>
                <w:rFonts w:ascii="Calibri" w:hAnsi="Calibri" w:cs="Calibri"/>
                <w:i/>
                <w:color w:val="000000" w:themeColor="text1"/>
                <w:sz w:val="20"/>
              </w:rPr>
              <w:t>fusA</w:t>
            </w:r>
          </w:p>
        </w:tc>
        <w:tc>
          <w:tcPr>
            <w:tcW w:w="725" w:type="dxa"/>
            <w:tcBorders>
              <w:top w:val="dotDotDash" w:sz="4" w:space="0" w:color="4472C4" w:themeColor="accent5"/>
              <w:bottom w:val="single" w:sz="4" w:space="0" w:color="BDD6EE" w:themeColor="accent1" w:themeTint="66"/>
            </w:tcBorders>
          </w:tcPr>
          <w:p w14:paraId="5074D830"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w:t>
            </w:r>
          </w:p>
        </w:tc>
        <w:tc>
          <w:tcPr>
            <w:tcW w:w="869" w:type="dxa"/>
            <w:gridSpan w:val="2"/>
            <w:tcBorders>
              <w:top w:val="dotDotDash" w:sz="4" w:space="0" w:color="4472C4" w:themeColor="accent5"/>
              <w:bottom w:val="single" w:sz="4" w:space="0" w:color="BDD6EE" w:themeColor="accent1" w:themeTint="66"/>
            </w:tcBorders>
            <w:vAlign w:val="center"/>
          </w:tcPr>
          <w:p w14:paraId="2D967EB5" w14:textId="77777777" w:rsidR="00700DEC" w:rsidRPr="00D507EC" w:rsidRDefault="00700DEC" w:rsidP="009D1B18">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0.06</w:t>
            </w:r>
          </w:p>
        </w:tc>
        <w:tc>
          <w:tcPr>
            <w:tcW w:w="829" w:type="dxa"/>
            <w:gridSpan w:val="2"/>
            <w:tcBorders>
              <w:top w:val="dotDotDash" w:sz="4" w:space="0" w:color="4472C4" w:themeColor="accent5"/>
              <w:bottom w:val="single" w:sz="4" w:space="0" w:color="BDD6EE" w:themeColor="accent1" w:themeTint="66"/>
            </w:tcBorders>
            <w:vAlign w:val="center"/>
          </w:tcPr>
          <w:p w14:paraId="0187B45C" w14:textId="77777777" w:rsidR="00700DEC" w:rsidRPr="00D507EC" w:rsidRDefault="00700DEC" w:rsidP="009D1B18">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4</w:t>
            </w:r>
          </w:p>
        </w:tc>
      </w:tr>
      <w:tr w:rsidR="00700DEC" w:rsidRPr="00D507EC" w14:paraId="3915B5A3" w14:textId="77777777" w:rsidTr="005C71D9">
        <w:trPr>
          <w:trHeight w:val="981"/>
          <w:jc w:val="center"/>
        </w:trPr>
        <w:tc>
          <w:tcPr>
            <w:cnfStyle w:val="001000000000" w:firstRow="0" w:lastRow="0" w:firstColumn="1" w:lastColumn="0" w:oddVBand="0" w:evenVBand="0" w:oddHBand="0" w:evenHBand="0" w:firstRowFirstColumn="0" w:firstRowLastColumn="0" w:lastRowFirstColumn="0" w:lastRowLastColumn="0"/>
            <w:tcW w:w="1103" w:type="dxa"/>
            <w:vMerge/>
            <w:vAlign w:val="center"/>
          </w:tcPr>
          <w:p w14:paraId="0713C69F" w14:textId="77777777" w:rsidR="00700DEC" w:rsidRPr="00D507EC" w:rsidRDefault="00700DEC" w:rsidP="009D1B18">
            <w:pPr>
              <w:spacing w:line="360" w:lineRule="auto"/>
              <w:jc w:val="center"/>
              <w:rPr>
                <w:color w:val="000000" w:themeColor="text1"/>
                <w:sz w:val="20"/>
              </w:rPr>
            </w:pPr>
          </w:p>
        </w:tc>
        <w:tc>
          <w:tcPr>
            <w:tcW w:w="970" w:type="dxa"/>
            <w:tcBorders>
              <w:bottom w:val="single" w:sz="4" w:space="0" w:color="BDD6EE" w:themeColor="accent1" w:themeTint="66"/>
            </w:tcBorders>
            <w:vAlign w:val="center"/>
          </w:tcPr>
          <w:p w14:paraId="1CB77CA8" w14:textId="77777777" w:rsidR="00700DEC" w:rsidRPr="00D507EC" w:rsidRDefault="00700DEC" w:rsidP="009D1B18">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color w:val="000000" w:themeColor="text1"/>
                <w:sz w:val="20"/>
              </w:rPr>
              <w:t>MSSP</w:t>
            </w:r>
          </w:p>
        </w:tc>
        <w:tc>
          <w:tcPr>
            <w:tcW w:w="428" w:type="dxa"/>
            <w:tcBorders>
              <w:bottom w:val="single" w:sz="4" w:space="0" w:color="BDD6EE" w:themeColor="accent1" w:themeTint="66"/>
            </w:tcBorders>
            <w:vAlign w:val="center"/>
          </w:tcPr>
          <w:p w14:paraId="46360A07" w14:textId="77777777" w:rsidR="00700DEC" w:rsidRPr="00D507EC" w:rsidRDefault="00700DEC" w:rsidP="009D1B18">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color w:val="000000" w:themeColor="text1"/>
                <w:sz w:val="20"/>
              </w:rPr>
              <w:t>44</w:t>
            </w:r>
          </w:p>
        </w:tc>
        <w:tc>
          <w:tcPr>
            <w:tcW w:w="792" w:type="dxa"/>
            <w:tcBorders>
              <w:bottom w:val="single" w:sz="4" w:space="0" w:color="BDD6EE" w:themeColor="accent1" w:themeTint="66"/>
            </w:tcBorders>
          </w:tcPr>
          <w:p w14:paraId="222B95F2" w14:textId="77777777" w:rsidR="00700DEC" w:rsidRPr="00D507EC" w:rsidRDefault="00700DEC" w:rsidP="00DB140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19</w:t>
            </w:r>
          </w:p>
        </w:tc>
        <w:tc>
          <w:tcPr>
            <w:tcW w:w="606" w:type="dxa"/>
            <w:tcBorders>
              <w:bottom w:val="single" w:sz="4" w:space="0" w:color="BDD6EE" w:themeColor="accent1" w:themeTint="66"/>
            </w:tcBorders>
          </w:tcPr>
          <w:p w14:paraId="7D2431DD"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5</w:t>
            </w:r>
          </w:p>
        </w:tc>
        <w:tc>
          <w:tcPr>
            <w:tcW w:w="700" w:type="dxa"/>
            <w:tcBorders>
              <w:bottom w:val="single" w:sz="4" w:space="0" w:color="BDD6EE" w:themeColor="accent1" w:themeTint="66"/>
            </w:tcBorders>
          </w:tcPr>
          <w:p w14:paraId="7099DA07"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14</w:t>
            </w:r>
          </w:p>
        </w:tc>
        <w:tc>
          <w:tcPr>
            <w:tcW w:w="725" w:type="dxa"/>
            <w:tcBorders>
              <w:bottom w:val="single" w:sz="4" w:space="0" w:color="BDD6EE" w:themeColor="accent1" w:themeTint="66"/>
            </w:tcBorders>
          </w:tcPr>
          <w:p w14:paraId="594E2A5D"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1</w:t>
            </w:r>
          </w:p>
        </w:tc>
        <w:tc>
          <w:tcPr>
            <w:tcW w:w="581" w:type="dxa"/>
            <w:tcBorders>
              <w:bottom w:val="single" w:sz="4" w:space="0" w:color="BDD6EE" w:themeColor="accent1" w:themeTint="66"/>
            </w:tcBorders>
          </w:tcPr>
          <w:p w14:paraId="26BC1A50"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w:t>
            </w:r>
          </w:p>
        </w:tc>
        <w:tc>
          <w:tcPr>
            <w:tcW w:w="709" w:type="dxa"/>
            <w:tcBorders>
              <w:bottom w:val="single" w:sz="4" w:space="0" w:color="BDD6EE" w:themeColor="accent1" w:themeTint="66"/>
              <w:right w:val="dashed" w:sz="4" w:space="0" w:color="auto"/>
            </w:tcBorders>
          </w:tcPr>
          <w:p w14:paraId="194A3174"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w:t>
            </w:r>
          </w:p>
        </w:tc>
        <w:tc>
          <w:tcPr>
            <w:tcW w:w="708" w:type="dxa"/>
            <w:tcBorders>
              <w:left w:val="dashed" w:sz="4" w:space="0" w:color="auto"/>
              <w:bottom w:val="single" w:sz="4" w:space="0" w:color="BDD6EE" w:themeColor="accent1" w:themeTint="66"/>
            </w:tcBorders>
          </w:tcPr>
          <w:p w14:paraId="4E57E011"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2</w:t>
            </w:r>
          </w:p>
        </w:tc>
        <w:tc>
          <w:tcPr>
            <w:tcW w:w="900" w:type="dxa"/>
            <w:tcBorders>
              <w:bottom w:val="single" w:sz="4" w:space="0" w:color="BDD6EE" w:themeColor="accent1" w:themeTint="66"/>
            </w:tcBorders>
          </w:tcPr>
          <w:p w14:paraId="1C3BDD78"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2</w:t>
            </w:r>
          </w:p>
        </w:tc>
        <w:tc>
          <w:tcPr>
            <w:tcW w:w="870" w:type="dxa"/>
            <w:tcBorders>
              <w:bottom w:val="single" w:sz="4" w:space="0" w:color="BDD6EE" w:themeColor="accent1" w:themeTint="66"/>
            </w:tcBorders>
          </w:tcPr>
          <w:p w14:paraId="3FAC10A5"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w:t>
            </w:r>
          </w:p>
        </w:tc>
        <w:tc>
          <w:tcPr>
            <w:tcW w:w="724" w:type="dxa"/>
            <w:tcBorders>
              <w:bottom w:val="single" w:sz="4" w:space="0" w:color="BDD6EE" w:themeColor="accent1" w:themeTint="66"/>
            </w:tcBorders>
          </w:tcPr>
          <w:p w14:paraId="470771CB"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1</w:t>
            </w:r>
          </w:p>
        </w:tc>
        <w:tc>
          <w:tcPr>
            <w:tcW w:w="725" w:type="dxa"/>
            <w:tcBorders>
              <w:bottom w:val="single" w:sz="4" w:space="0" w:color="BDD6EE" w:themeColor="accent1" w:themeTint="66"/>
            </w:tcBorders>
          </w:tcPr>
          <w:p w14:paraId="03A54926"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w:t>
            </w:r>
          </w:p>
        </w:tc>
        <w:tc>
          <w:tcPr>
            <w:tcW w:w="579" w:type="dxa"/>
            <w:tcBorders>
              <w:bottom w:val="single" w:sz="4" w:space="0" w:color="BDD6EE" w:themeColor="accent1" w:themeTint="66"/>
            </w:tcBorders>
          </w:tcPr>
          <w:p w14:paraId="76F3E675"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w:t>
            </w:r>
          </w:p>
        </w:tc>
        <w:tc>
          <w:tcPr>
            <w:tcW w:w="725" w:type="dxa"/>
            <w:tcBorders>
              <w:bottom w:val="single" w:sz="4" w:space="0" w:color="BDD6EE" w:themeColor="accent1" w:themeTint="66"/>
            </w:tcBorders>
          </w:tcPr>
          <w:p w14:paraId="05DD046D"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w:t>
            </w:r>
          </w:p>
        </w:tc>
        <w:tc>
          <w:tcPr>
            <w:tcW w:w="725" w:type="dxa"/>
            <w:tcBorders>
              <w:bottom w:val="single" w:sz="4" w:space="0" w:color="BDD6EE" w:themeColor="accent1" w:themeTint="66"/>
            </w:tcBorders>
          </w:tcPr>
          <w:p w14:paraId="0AFF8F0F"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w:t>
            </w:r>
          </w:p>
        </w:tc>
        <w:tc>
          <w:tcPr>
            <w:tcW w:w="869" w:type="dxa"/>
            <w:gridSpan w:val="2"/>
            <w:tcBorders>
              <w:bottom w:val="single" w:sz="4" w:space="0" w:color="BDD6EE" w:themeColor="accent1" w:themeTint="66"/>
            </w:tcBorders>
            <w:vAlign w:val="center"/>
          </w:tcPr>
          <w:p w14:paraId="091FF48A" w14:textId="77777777" w:rsidR="00700DEC" w:rsidRPr="00D507EC" w:rsidRDefault="00700DEC" w:rsidP="009D1B18">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0.03</w:t>
            </w:r>
          </w:p>
        </w:tc>
        <w:tc>
          <w:tcPr>
            <w:tcW w:w="829" w:type="dxa"/>
            <w:gridSpan w:val="2"/>
            <w:tcBorders>
              <w:bottom w:val="single" w:sz="4" w:space="0" w:color="BDD6EE" w:themeColor="accent1" w:themeTint="66"/>
            </w:tcBorders>
            <w:vAlign w:val="center"/>
          </w:tcPr>
          <w:p w14:paraId="29F50D8D" w14:textId="77777777" w:rsidR="00700DEC" w:rsidRPr="00D507EC" w:rsidRDefault="00700DEC" w:rsidP="009D1B18">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1</w:t>
            </w:r>
          </w:p>
        </w:tc>
      </w:tr>
      <w:tr w:rsidR="00700DEC" w:rsidRPr="00D507EC" w14:paraId="1EC9677E" w14:textId="77777777" w:rsidTr="005C71D9">
        <w:trPr>
          <w:trHeight w:val="981"/>
          <w:jc w:val="center"/>
        </w:trPr>
        <w:tc>
          <w:tcPr>
            <w:cnfStyle w:val="001000000000" w:firstRow="0" w:lastRow="0" w:firstColumn="1" w:lastColumn="0" w:oddVBand="0" w:evenVBand="0" w:oddHBand="0" w:evenHBand="0" w:firstRowFirstColumn="0" w:firstRowLastColumn="0" w:lastRowFirstColumn="0" w:lastRowLastColumn="0"/>
            <w:tcW w:w="1103" w:type="dxa"/>
            <w:vMerge/>
            <w:vAlign w:val="center"/>
          </w:tcPr>
          <w:p w14:paraId="61856D23" w14:textId="77777777" w:rsidR="00700DEC" w:rsidRPr="00D507EC" w:rsidRDefault="00700DEC" w:rsidP="009D1B18">
            <w:pPr>
              <w:spacing w:line="360" w:lineRule="auto"/>
              <w:jc w:val="center"/>
              <w:rPr>
                <w:color w:val="000000" w:themeColor="text1"/>
                <w:sz w:val="20"/>
              </w:rPr>
            </w:pPr>
          </w:p>
        </w:tc>
        <w:tc>
          <w:tcPr>
            <w:tcW w:w="970" w:type="dxa"/>
            <w:tcBorders>
              <w:bottom w:val="single" w:sz="4" w:space="0" w:color="BDD6EE" w:themeColor="accent1" w:themeTint="66"/>
            </w:tcBorders>
            <w:vAlign w:val="center"/>
          </w:tcPr>
          <w:p w14:paraId="56B8D42B" w14:textId="77777777" w:rsidR="00700DEC" w:rsidRPr="00D507EC" w:rsidRDefault="00700DEC" w:rsidP="009D1B18">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color w:val="000000" w:themeColor="text1"/>
                <w:sz w:val="20"/>
              </w:rPr>
              <w:t>MRSA</w:t>
            </w:r>
          </w:p>
        </w:tc>
        <w:tc>
          <w:tcPr>
            <w:tcW w:w="428" w:type="dxa"/>
            <w:tcBorders>
              <w:bottom w:val="single" w:sz="4" w:space="0" w:color="BDD6EE" w:themeColor="accent1" w:themeTint="66"/>
            </w:tcBorders>
            <w:vAlign w:val="center"/>
          </w:tcPr>
          <w:p w14:paraId="0BB06A83" w14:textId="77777777" w:rsidR="00700DEC" w:rsidRPr="00D507EC" w:rsidRDefault="00700DEC" w:rsidP="009D1B18">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color w:val="000000" w:themeColor="text1"/>
                <w:sz w:val="20"/>
              </w:rPr>
              <w:t>50</w:t>
            </w:r>
          </w:p>
        </w:tc>
        <w:tc>
          <w:tcPr>
            <w:tcW w:w="792" w:type="dxa"/>
            <w:tcBorders>
              <w:bottom w:val="single" w:sz="4" w:space="0" w:color="BDD6EE" w:themeColor="accent1" w:themeTint="66"/>
            </w:tcBorders>
          </w:tcPr>
          <w:p w14:paraId="09F2E4DB" w14:textId="77777777" w:rsidR="00700DEC" w:rsidRPr="00D507EC" w:rsidRDefault="00700DEC" w:rsidP="00DB140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8</w:t>
            </w:r>
          </w:p>
        </w:tc>
        <w:tc>
          <w:tcPr>
            <w:tcW w:w="606" w:type="dxa"/>
            <w:tcBorders>
              <w:bottom w:val="single" w:sz="4" w:space="0" w:color="BDD6EE" w:themeColor="accent1" w:themeTint="66"/>
            </w:tcBorders>
          </w:tcPr>
          <w:p w14:paraId="4642610D"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34</w:t>
            </w:r>
          </w:p>
        </w:tc>
        <w:tc>
          <w:tcPr>
            <w:tcW w:w="700" w:type="dxa"/>
            <w:tcBorders>
              <w:bottom w:val="single" w:sz="4" w:space="0" w:color="BDD6EE" w:themeColor="accent1" w:themeTint="66"/>
            </w:tcBorders>
          </w:tcPr>
          <w:p w14:paraId="7B92121A"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w:t>
            </w:r>
          </w:p>
        </w:tc>
        <w:tc>
          <w:tcPr>
            <w:tcW w:w="725" w:type="dxa"/>
            <w:tcBorders>
              <w:bottom w:val="single" w:sz="4" w:space="0" w:color="BDD6EE" w:themeColor="accent1" w:themeTint="66"/>
            </w:tcBorders>
          </w:tcPr>
          <w:p w14:paraId="2DCD5C3E"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w:t>
            </w:r>
          </w:p>
        </w:tc>
        <w:tc>
          <w:tcPr>
            <w:tcW w:w="581" w:type="dxa"/>
            <w:tcBorders>
              <w:bottom w:val="single" w:sz="4" w:space="0" w:color="BDD6EE" w:themeColor="accent1" w:themeTint="66"/>
            </w:tcBorders>
          </w:tcPr>
          <w:p w14:paraId="3A588679"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3</w:t>
            </w:r>
          </w:p>
        </w:tc>
        <w:tc>
          <w:tcPr>
            <w:tcW w:w="709" w:type="dxa"/>
            <w:tcBorders>
              <w:bottom w:val="single" w:sz="4" w:space="0" w:color="BDD6EE" w:themeColor="accent1" w:themeTint="66"/>
              <w:right w:val="dashed" w:sz="4" w:space="0" w:color="auto"/>
            </w:tcBorders>
          </w:tcPr>
          <w:p w14:paraId="712BA286"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w:t>
            </w:r>
          </w:p>
        </w:tc>
        <w:tc>
          <w:tcPr>
            <w:tcW w:w="708" w:type="dxa"/>
            <w:tcBorders>
              <w:left w:val="dashed" w:sz="4" w:space="0" w:color="auto"/>
              <w:bottom w:val="single" w:sz="4" w:space="0" w:color="BDD6EE" w:themeColor="accent1" w:themeTint="66"/>
            </w:tcBorders>
          </w:tcPr>
          <w:p w14:paraId="3206F554"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w:t>
            </w:r>
          </w:p>
        </w:tc>
        <w:tc>
          <w:tcPr>
            <w:tcW w:w="900" w:type="dxa"/>
            <w:tcBorders>
              <w:bottom w:val="single" w:sz="4" w:space="0" w:color="BDD6EE" w:themeColor="accent1" w:themeTint="66"/>
            </w:tcBorders>
          </w:tcPr>
          <w:p w14:paraId="4FFE5ABA"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w:t>
            </w:r>
          </w:p>
        </w:tc>
        <w:tc>
          <w:tcPr>
            <w:tcW w:w="870" w:type="dxa"/>
            <w:tcBorders>
              <w:bottom w:val="single" w:sz="4" w:space="0" w:color="BDD6EE" w:themeColor="accent1" w:themeTint="66"/>
            </w:tcBorders>
          </w:tcPr>
          <w:p w14:paraId="6BEB68C9"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w:t>
            </w:r>
          </w:p>
        </w:tc>
        <w:tc>
          <w:tcPr>
            <w:tcW w:w="724" w:type="dxa"/>
            <w:tcBorders>
              <w:bottom w:val="single" w:sz="4" w:space="0" w:color="BDD6EE" w:themeColor="accent1" w:themeTint="66"/>
            </w:tcBorders>
          </w:tcPr>
          <w:p w14:paraId="411FD158"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w:t>
            </w:r>
          </w:p>
        </w:tc>
        <w:tc>
          <w:tcPr>
            <w:tcW w:w="725" w:type="dxa"/>
            <w:tcBorders>
              <w:bottom w:val="single" w:sz="4" w:space="0" w:color="BDD6EE" w:themeColor="accent1" w:themeTint="66"/>
            </w:tcBorders>
          </w:tcPr>
          <w:p w14:paraId="7CAEED37"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w:t>
            </w:r>
          </w:p>
        </w:tc>
        <w:tc>
          <w:tcPr>
            <w:tcW w:w="579" w:type="dxa"/>
            <w:tcBorders>
              <w:bottom w:val="single" w:sz="4" w:space="0" w:color="BDD6EE" w:themeColor="accent1" w:themeTint="66"/>
            </w:tcBorders>
          </w:tcPr>
          <w:p w14:paraId="5DCF456C"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w:t>
            </w:r>
          </w:p>
        </w:tc>
        <w:tc>
          <w:tcPr>
            <w:tcW w:w="725" w:type="dxa"/>
            <w:tcBorders>
              <w:bottom w:val="single" w:sz="4" w:space="0" w:color="BDD6EE" w:themeColor="accent1" w:themeTint="66"/>
            </w:tcBorders>
          </w:tcPr>
          <w:p w14:paraId="73A7368B"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1</w:t>
            </w:r>
          </w:p>
        </w:tc>
        <w:tc>
          <w:tcPr>
            <w:tcW w:w="725" w:type="dxa"/>
            <w:tcBorders>
              <w:bottom w:val="single" w:sz="4" w:space="0" w:color="BDD6EE" w:themeColor="accent1" w:themeTint="66"/>
            </w:tcBorders>
          </w:tcPr>
          <w:p w14:paraId="70E46B6D"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4</w:t>
            </w:r>
          </w:p>
          <w:p w14:paraId="05FA3B66"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i/>
                <w:color w:val="000000" w:themeColor="text1"/>
                <w:sz w:val="20"/>
              </w:rPr>
            </w:pPr>
            <w:r w:rsidRPr="00D507EC">
              <w:rPr>
                <w:rFonts w:ascii="Calibri" w:hAnsi="Calibri" w:cs="Calibri"/>
                <w:color w:val="000000" w:themeColor="text1"/>
                <w:sz w:val="20"/>
              </w:rPr>
              <w:t xml:space="preserve">n = 2 </w:t>
            </w:r>
            <w:r w:rsidRPr="00D507EC">
              <w:rPr>
                <w:rFonts w:ascii="Calibri" w:hAnsi="Calibri" w:cs="Calibri"/>
                <w:i/>
                <w:color w:val="000000" w:themeColor="text1"/>
                <w:sz w:val="20"/>
              </w:rPr>
              <w:t>fusA</w:t>
            </w:r>
          </w:p>
        </w:tc>
        <w:tc>
          <w:tcPr>
            <w:tcW w:w="869" w:type="dxa"/>
            <w:gridSpan w:val="2"/>
            <w:tcBorders>
              <w:bottom w:val="single" w:sz="4" w:space="0" w:color="BDD6EE" w:themeColor="accent1" w:themeTint="66"/>
            </w:tcBorders>
            <w:vAlign w:val="center"/>
          </w:tcPr>
          <w:p w14:paraId="6BC562D6" w14:textId="77777777" w:rsidR="00700DEC" w:rsidRPr="00D507EC" w:rsidRDefault="00700DEC" w:rsidP="009D1B18">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0.03</w:t>
            </w:r>
          </w:p>
        </w:tc>
        <w:tc>
          <w:tcPr>
            <w:tcW w:w="829" w:type="dxa"/>
            <w:gridSpan w:val="2"/>
            <w:tcBorders>
              <w:bottom w:val="single" w:sz="4" w:space="0" w:color="BDD6EE" w:themeColor="accent1" w:themeTint="66"/>
            </w:tcBorders>
            <w:vAlign w:val="center"/>
          </w:tcPr>
          <w:p w14:paraId="0E6DA115" w14:textId="77777777" w:rsidR="00700DEC" w:rsidRPr="00D507EC" w:rsidRDefault="00700DEC" w:rsidP="009D1B18">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0.25</w:t>
            </w:r>
          </w:p>
        </w:tc>
      </w:tr>
      <w:tr w:rsidR="00700DEC" w:rsidRPr="00D507EC" w14:paraId="1E5FD1B4" w14:textId="77777777" w:rsidTr="005C71D9">
        <w:trPr>
          <w:trHeight w:val="981"/>
          <w:jc w:val="center"/>
        </w:trPr>
        <w:tc>
          <w:tcPr>
            <w:cnfStyle w:val="001000000000" w:firstRow="0" w:lastRow="0" w:firstColumn="1" w:lastColumn="0" w:oddVBand="0" w:evenVBand="0" w:oddHBand="0" w:evenHBand="0" w:firstRowFirstColumn="0" w:firstRowLastColumn="0" w:lastRowFirstColumn="0" w:lastRowLastColumn="0"/>
            <w:tcW w:w="1103" w:type="dxa"/>
            <w:vMerge/>
            <w:tcBorders>
              <w:bottom w:val="dotDotDash" w:sz="4" w:space="0" w:color="4472C4" w:themeColor="accent5"/>
            </w:tcBorders>
            <w:vAlign w:val="center"/>
          </w:tcPr>
          <w:p w14:paraId="5B700DB5" w14:textId="77777777" w:rsidR="00700DEC" w:rsidRPr="00D507EC" w:rsidRDefault="00700DEC" w:rsidP="009D1B18">
            <w:pPr>
              <w:spacing w:line="360" w:lineRule="auto"/>
              <w:jc w:val="center"/>
              <w:rPr>
                <w:color w:val="000000" w:themeColor="text1"/>
                <w:sz w:val="20"/>
              </w:rPr>
            </w:pPr>
          </w:p>
        </w:tc>
        <w:tc>
          <w:tcPr>
            <w:tcW w:w="970" w:type="dxa"/>
            <w:tcBorders>
              <w:bottom w:val="dotDotDash" w:sz="4" w:space="0" w:color="4472C4" w:themeColor="accent5"/>
            </w:tcBorders>
            <w:vAlign w:val="center"/>
          </w:tcPr>
          <w:p w14:paraId="74CAB12B" w14:textId="77777777" w:rsidR="00700DEC" w:rsidRPr="00D507EC" w:rsidRDefault="00700DEC" w:rsidP="009D1B18">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color w:val="000000" w:themeColor="text1"/>
                <w:sz w:val="20"/>
              </w:rPr>
              <w:t>MSSA</w:t>
            </w:r>
          </w:p>
        </w:tc>
        <w:tc>
          <w:tcPr>
            <w:tcW w:w="428" w:type="dxa"/>
            <w:tcBorders>
              <w:bottom w:val="dotDotDash" w:sz="4" w:space="0" w:color="4472C4" w:themeColor="accent5"/>
            </w:tcBorders>
            <w:vAlign w:val="center"/>
          </w:tcPr>
          <w:p w14:paraId="1EFBA55A" w14:textId="77777777" w:rsidR="00700DEC" w:rsidRPr="00D507EC" w:rsidRDefault="00700DEC" w:rsidP="009D1B18">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color w:val="000000" w:themeColor="text1"/>
                <w:sz w:val="20"/>
              </w:rPr>
              <w:t>50</w:t>
            </w:r>
          </w:p>
        </w:tc>
        <w:tc>
          <w:tcPr>
            <w:tcW w:w="792" w:type="dxa"/>
            <w:tcBorders>
              <w:bottom w:val="dotDotDash" w:sz="4" w:space="0" w:color="4472C4" w:themeColor="accent5"/>
            </w:tcBorders>
          </w:tcPr>
          <w:p w14:paraId="3703225F" w14:textId="77777777" w:rsidR="00700DEC" w:rsidRPr="00D507EC" w:rsidRDefault="00700DEC" w:rsidP="00DB140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24</w:t>
            </w:r>
          </w:p>
        </w:tc>
        <w:tc>
          <w:tcPr>
            <w:tcW w:w="606" w:type="dxa"/>
            <w:tcBorders>
              <w:bottom w:val="dotDotDash" w:sz="4" w:space="0" w:color="4472C4" w:themeColor="accent5"/>
            </w:tcBorders>
          </w:tcPr>
          <w:p w14:paraId="0E4A6497"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13</w:t>
            </w:r>
          </w:p>
        </w:tc>
        <w:tc>
          <w:tcPr>
            <w:tcW w:w="700" w:type="dxa"/>
            <w:tcBorders>
              <w:bottom w:val="dotDotDash" w:sz="4" w:space="0" w:color="4472C4" w:themeColor="accent5"/>
            </w:tcBorders>
          </w:tcPr>
          <w:p w14:paraId="5701B2AC"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w:t>
            </w:r>
          </w:p>
        </w:tc>
        <w:tc>
          <w:tcPr>
            <w:tcW w:w="725" w:type="dxa"/>
            <w:tcBorders>
              <w:bottom w:val="dotDotDash" w:sz="4" w:space="0" w:color="4472C4" w:themeColor="accent5"/>
            </w:tcBorders>
          </w:tcPr>
          <w:p w14:paraId="773044B3"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w:t>
            </w:r>
          </w:p>
        </w:tc>
        <w:tc>
          <w:tcPr>
            <w:tcW w:w="581" w:type="dxa"/>
            <w:tcBorders>
              <w:bottom w:val="dotDotDash" w:sz="4" w:space="0" w:color="4472C4" w:themeColor="accent5"/>
            </w:tcBorders>
          </w:tcPr>
          <w:p w14:paraId="11C88D87"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1</w:t>
            </w:r>
          </w:p>
        </w:tc>
        <w:tc>
          <w:tcPr>
            <w:tcW w:w="709" w:type="dxa"/>
            <w:tcBorders>
              <w:bottom w:val="dotDotDash" w:sz="4" w:space="0" w:color="4472C4" w:themeColor="accent5"/>
              <w:right w:val="dashed" w:sz="4" w:space="0" w:color="auto"/>
            </w:tcBorders>
          </w:tcPr>
          <w:p w14:paraId="55EA2951"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1</w:t>
            </w:r>
          </w:p>
        </w:tc>
        <w:tc>
          <w:tcPr>
            <w:tcW w:w="708" w:type="dxa"/>
            <w:tcBorders>
              <w:left w:val="dashed" w:sz="4" w:space="0" w:color="auto"/>
              <w:bottom w:val="dotDotDash" w:sz="4" w:space="0" w:color="4472C4" w:themeColor="accent5"/>
            </w:tcBorders>
          </w:tcPr>
          <w:p w14:paraId="133FE7E3"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6</w:t>
            </w:r>
          </w:p>
        </w:tc>
        <w:tc>
          <w:tcPr>
            <w:tcW w:w="900" w:type="dxa"/>
            <w:tcBorders>
              <w:bottom w:val="dotDotDash" w:sz="4" w:space="0" w:color="4472C4" w:themeColor="accent5"/>
            </w:tcBorders>
          </w:tcPr>
          <w:p w14:paraId="15AFB2AE"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2</w:t>
            </w:r>
          </w:p>
        </w:tc>
        <w:tc>
          <w:tcPr>
            <w:tcW w:w="870" w:type="dxa"/>
            <w:tcBorders>
              <w:bottom w:val="dotDotDash" w:sz="4" w:space="0" w:color="4472C4" w:themeColor="accent5"/>
            </w:tcBorders>
          </w:tcPr>
          <w:p w14:paraId="10666E11" w14:textId="1CE9FF28"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2</w:t>
            </w:r>
          </w:p>
          <w:p w14:paraId="44994623"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n = 2</w:t>
            </w:r>
          </w:p>
          <w:p w14:paraId="47247CE3"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i/>
                <w:iCs/>
                <w:color w:val="000000" w:themeColor="text1"/>
                <w:sz w:val="20"/>
              </w:rPr>
              <w:t>fusC</w:t>
            </w:r>
          </w:p>
        </w:tc>
        <w:tc>
          <w:tcPr>
            <w:tcW w:w="724" w:type="dxa"/>
            <w:tcBorders>
              <w:bottom w:val="dotDotDash" w:sz="4" w:space="0" w:color="4472C4" w:themeColor="accent5"/>
            </w:tcBorders>
          </w:tcPr>
          <w:p w14:paraId="5DD7F7F0"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w:t>
            </w:r>
          </w:p>
        </w:tc>
        <w:tc>
          <w:tcPr>
            <w:tcW w:w="725" w:type="dxa"/>
            <w:tcBorders>
              <w:bottom w:val="dotDotDash" w:sz="4" w:space="0" w:color="4472C4" w:themeColor="accent5"/>
            </w:tcBorders>
          </w:tcPr>
          <w:p w14:paraId="414FAC79"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1</w:t>
            </w:r>
          </w:p>
        </w:tc>
        <w:tc>
          <w:tcPr>
            <w:tcW w:w="579" w:type="dxa"/>
            <w:tcBorders>
              <w:bottom w:val="dotDotDash" w:sz="4" w:space="0" w:color="4472C4" w:themeColor="accent5"/>
            </w:tcBorders>
          </w:tcPr>
          <w:p w14:paraId="28986238"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w:t>
            </w:r>
          </w:p>
        </w:tc>
        <w:tc>
          <w:tcPr>
            <w:tcW w:w="725" w:type="dxa"/>
            <w:tcBorders>
              <w:bottom w:val="dotDotDash" w:sz="4" w:space="0" w:color="4472C4" w:themeColor="accent5"/>
            </w:tcBorders>
          </w:tcPr>
          <w:p w14:paraId="78FCC406"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w:t>
            </w:r>
          </w:p>
        </w:tc>
        <w:tc>
          <w:tcPr>
            <w:tcW w:w="725" w:type="dxa"/>
            <w:tcBorders>
              <w:bottom w:val="dotDotDash" w:sz="4" w:space="0" w:color="4472C4" w:themeColor="accent5"/>
            </w:tcBorders>
          </w:tcPr>
          <w:p w14:paraId="13F9178A"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w:t>
            </w:r>
          </w:p>
        </w:tc>
        <w:tc>
          <w:tcPr>
            <w:tcW w:w="869" w:type="dxa"/>
            <w:gridSpan w:val="2"/>
            <w:tcBorders>
              <w:bottom w:val="dotDotDash" w:sz="4" w:space="0" w:color="4472C4" w:themeColor="accent5"/>
            </w:tcBorders>
            <w:vAlign w:val="center"/>
          </w:tcPr>
          <w:p w14:paraId="5608B843" w14:textId="77777777" w:rsidR="00700DEC" w:rsidRPr="00D507EC" w:rsidRDefault="00700DEC" w:rsidP="009D1B18">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0.03</w:t>
            </w:r>
          </w:p>
        </w:tc>
        <w:tc>
          <w:tcPr>
            <w:tcW w:w="829" w:type="dxa"/>
            <w:gridSpan w:val="2"/>
            <w:tcBorders>
              <w:bottom w:val="dotDotDash" w:sz="4" w:space="0" w:color="4472C4" w:themeColor="accent5"/>
            </w:tcBorders>
            <w:vAlign w:val="center"/>
          </w:tcPr>
          <w:p w14:paraId="2791C5D9" w14:textId="77777777" w:rsidR="00700DEC" w:rsidRPr="00D507EC" w:rsidRDefault="00700DEC" w:rsidP="009D1B18">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1</w:t>
            </w:r>
          </w:p>
        </w:tc>
      </w:tr>
      <w:tr w:rsidR="00700DEC" w:rsidRPr="00D507EC" w14:paraId="50B4250B" w14:textId="77777777" w:rsidTr="005C71D9">
        <w:trPr>
          <w:trHeight w:val="981"/>
          <w:jc w:val="center"/>
        </w:trPr>
        <w:tc>
          <w:tcPr>
            <w:cnfStyle w:val="001000000000" w:firstRow="0" w:lastRow="0" w:firstColumn="1" w:lastColumn="0" w:oddVBand="0" w:evenVBand="0" w:oddHBand="0" w:evenHBand="0" w:firstRowFirstColumn="0" w:firstRowLastColumn="0" w:lastRowFirstColumn="0" w:lastRowLastColumn="0"/>
            <w:tcW w:w="1103" w:type="dxa"/>
            <w:vMerge w:val="restart"/>
            <w:tcBorders>
              <w:top w:val="dotDotDash" w:sz="4" w:space="0" w:color="4472C4" w:themeColor="accent5"/>
            </w:tcBorders>
            <w:vAlign w:val="center"/>
          </w:tcPr>
          <w:p w14:paraId="626842A7" w14:textId="77777777" w:rsidR="00700DEC" w:rsidRPr="00D507EC" w:rsidRDefault="00700DEC" w:rsidP="009D1B18">
            <w:pPr>
              <w:spacing w:line="360" w:lineRule="auto"/>
              <w:jc w:val="center"/>
              <w:rPr>
                <w:color w:val="000000" w:themeColor="text1"/>
                <w:sz w:val="20"/>
              </w:rPr>
            </w:pPr>
            <w:r w:rsidRPr="00D507EC">
              <w:rPr>
                <w:color w:val="000000" w:themeColor="text1"/>
                <w:sz w:val="20"/>
              </w:rPr>
              <w:t>Germany</w:t>
            </w:r>
            <w:r w:rsidRPr="00D507EC">
              <w:rPr>
                <w:color w:val="000000" w:themeColor="text1"/>
                <w:sz w:val="20"/>
                <w:vertAlign w:val="superscript"/>
              </w:rPr>
              <w:t>a</w:t>
            </w:r>
          </w:p>
        </w:tc>
        <w:tc>
          <w:tcPr>
            <w:tcW w:w="970" w:type="dxa"/>
            <w:tcBorders>
              <w:top w:val="dotDotDash" w:sz="4" w:space="0" w:color="4472C4" w:themeColor="accent5"/>
              <w:bottom w:val="single" w:sz="4" w:space="0" w:color="BDD6EE" w:themeColor="accent1" w:themeTint="66"/>
            </w:tcBorders>
            <w:vAlign w:val="center"/>
          </w:tcPr>
          <w:p w14:paraId="54D1F8DA" w14:textId="77777777" w:rsidR="00700DEC" w:rsidRPr="00D507EC" w:rsidRDefault="00700DEC" w:rsidP="009D1B18">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color w:val="000000" w:themeColor="text1"/>
                <w:sz w:val="20"/>
              </w:rPr>
              <w:t>MRSP</w:t>
            </w:r>
          </w:p>
        </w:tc>
        <w:tc>
          <w:tcPr>
            <w:tcW w:w="428" w:type="dxa"/>
            <w:tcBorders>
              <w:top w:val="dotDotDash" w:sz="4" w:space="0" w:color="4472C4" w:themeColor="accent5"/>
              <w:bottom w:val="single" w:sz="4" w:space="0" w:color="BDD6EE" w:themeColor="accent1" w:themeTint="66"/>
            </w:tcBorders>
            <w:vAlign w:val="center"/>
          </w:tcPr>
          <w:p w14:paraId="1644AA86" w14:textId="77777777" w:rsidR="00700DEC" w:rsidRPr="00D507EC" w:rsidRDefault="00700DEC" w:rsidP="009D1B18">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24</w:t>
            </w:r>
          </w:p>
        </w:tc>
        <w:tc>
          <w:tcPr>
            <w:tcW w:w="792" w:type="dxa"/>
            <w:tcBorders>
              <w:top w:val="dotDotDash" w:sz="4" w:space="0" w:color="4472C4" w:themeColor="accent5"/>
              <w:bottom w:val="single" w:sz="4" w:space="0" w:color="BDD6EE" w:themeColor="accent1" w:themeTint="66"/>
            </w:tcBorders>
          </w:tcPr>
          <w:p w14:paraId="634E9CA9" w14:textId="77777777" w:rsidR="00700DEC" w:rsidRPr="00D507EC" w:rsidRDefault="00700DEC" w:rsidP="00DB140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w:t>
            </w:r>
          </w:p>
        </w:tc>
        <w:tc>
          <w:tcPr>
            <w:tcW w:w="606" w:type="dxa"/>
            <w:tcBorders>
              <w:top w:val="dotDotDash" w:sz="4" w:space="0" w:color="4472C4" w:themeColor="accent5"/>
              <w:bottom w:val="single" w:sz="4" w:space="0" w:color="BDD6EE" w:themeColor="accent1" w:themeTint="66"/>
            </w:tcBorders>
          </w:tcPr>
          <w:p w14:paraId="59DCF242"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w:t>
            </w:r>
          </w:p>
        </w:tc>
        <w:tc>
          <w:tcPr>
            <w:tcW w:w="700" w:type="dxa"/>
            <w:tcBorders>
              <w:top w:val="dotDotDash" w:sz="4" w:space="0" w:color="4472C4" w:themeColor="accent5"/>
              <w:bottom w:val="single" w:sz="4" w:space="0" w:color="BDD6EE" w:themeColor="accent1" w:themeTint="66"/>
            </w:tcBorders>
          </w:tcPr>
          <w:p w14:paraId="0C46B947"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w:t>
            </w:r>
          </w:p>
        </w:tc>
        <w:tc>
          <w:tcPr>
            <w:tcW w:w="725" w:type="dxa"/>
            <w:tcBorders>
              <w:top w:val="dotDotDash" w:sz="4" w:space="0" w:color="4472C4" w:themeColor="accent5"/>
              <w:bottom w:val="single" w:sz="4" w:space="0" w:color="BDD6EE" w:themeColor="accent1" w:themeTint="66"/>
            </w:tcBorders>
          </w:tcPr>
          <w:p w14:paraId="103E9078"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w:t>
            </w:r>
          </w:p>
        </w:tc>
        <w:tc>
          <w:tcPr>
            <w:tcW w:w="581" w:type="dxa"/>
            <w:tcBorders>
              <w:top w:val="dotDotDash" w:sz="4" w:space="0" w:color="4472C4" w:themeColor="accent5"/>
              <w:bottom w:val="single" w:sz="4" w:space="0" w:color="BDD6EE" w:themeColor="accent1" w:themeTint="66"/>
            </w:tcBorders>
          </w:tcPr>
          <w:p w14:paraId="4B38FD7F"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w:t>
            </w:r>
          </w:p>
        </w:tc>
        <w:tc>
          <w:tcPr>
            <w:tcW w:w="709" w:type="dxa"/>
            <w:tcBorders>
              <w:top w:val="dotDotDash" w:sz="4" w:space="0" w:color="4472C4" w:themeColor="accent5"/>
              <w:bottom w:val="single" w:sz="4" w:space="0" w:color="BDD6EE" w:themeColor="accent1" w:themeTint="66"/>
              <w:right w:val="dashed" w:sz="4" w:space="0" w:color="auto"/>
            </w:tcBorders>
          </w:tcPr>
          <w:p w14:paraId="6461C9ED"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w:t>
            </w:r>
          </w:p>
        </w:tc>
        <w:tc>
          <w:tcPr>
            <w:tcW w:w="708" w:type="dxa"/>
            <w:tcBorders>
              <w:top w:val="dotDotDash" w:sz="4" w:space="0" w:color="4472C4" w:themeColor="accent5"/>
              <w:left w:val="dashed" w:sz="4" w:space="0" w:color="auto"/>
              <w:bottom w:val="single" w:sz="4" w:space="0" w:color="BDD6EE" w:themeColor="accent1" w:themeTint="66"/>
            </w:tcBorders>
          </w:tcPr>
          <w:p w14:paraId="168C6C4E"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w:t>
            </w:r>
          </w:p>
        </w:tc>
        <w:tc>
          <w:tcPr>
            <w:tcW w:w="900" w:type="dxa"/>
            <w:tcBorders>
              <w:top w:val="dotDotDash" w:sz="4" w:space="0" w:color="4472C4" w:themeColor="accent5"/>
              <w:bottom w:val="single" w:sz="4" w:space="0" w:color="BDD6EE" w:themeColor="accent1" w:themeTint="66"/>
            </w:tcBorders>
          </w:tcPr>
          <w:p w14:paraId="2423B2B2"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w:t>
            </w:r>
          </w:p>
        </w:tc>
        <w:tc>
          <w:tcPr>
            <w:tcW w:w="870" w:type="dxa"/>
            <w:tcBorders>
              <w:top w:val="dotDotDash" w:sz="4" w:space="0" w:color="4472C4" w:themeColor="accent5"/>
              <w:bottom w:val="single" w:sz="4" w:space="0" w:color="BDD6EE" w:themeColor="accent1" w:themeTint="66"/>
            </w:tcBorders>
          </w:tcPr>
          <w:p w14:paraId="088B1FA6"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w:t>
            </w:r>
          </w:p>
        </w:tc>
        <w:tc>
          <w:tcPr>
            <w:tcW w:w="724" w:type="dxa"/>
            <w:tcBorders>
              <w:top w:val="dotDotDash" w:sz="4" w:space="0" w:color="4472C4" w:themeColor="accent5"/>
              <w:bottom w:val="single" w:sz="4" w:space="0" w:color="BDD6EE" w:themeColor="accent1" w:themeTint="66"/>
            </w:tcBorders>
          </w:tcPr>
          <w:p w14:paraId="5C49D3A2"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w:t>
            </w:r>
          </w:p>
        </w:tc>
        <w:tc>
          <w:tcPr>
            <w:tcW w:w="725" w:type="dxa"/>
            <w:tcBorders>
              <w:top w:val="dotDotDash" w:sz="4" w:space="0" w:color="4472C4" w:themeColor="accent5"/>
              <w:bottom w:val="single" w:sz="4" w:space="0" w:color="BDD6EE" w:themeColor="accent1" w:themeTint="66"/>
            </w:tcBorders>
          </w:tcPr>
          <w:p w14:paraId="1748CDC3"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w:t>
            </w:r>
          </w:p>
        </w:tc>
        <w:tc>
          <w:tcPr>
            <w:tcW w:w="579" w:type="dxa"/>
            <w:tcBorders>
              <w:top w:val="dotDotDash" w:sz="4" w:space="0" w:color="4472C4" w:themeColor="accent5"/>
              <w:bottom w:val="single" w:sz="4" w:space="0" w:color="BDD6EE" w:themeColor="accent1" w:themeTint="66"/>
            </w:tcBorders>
          </w:tcPr>
          <w:p w14:paraId="5F0A787F"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w:t>
            </w:r>
          </w:p>
        </w:tc>
        <w:tc>
          <w:tcPr>
            <w:tcW w:w="725" w:type="dxa"/>
            <w:tcBorders>
              <w:top w:val="dotDotDash" w:sz="4" w:space="0" w:color="4472C4" w:themeColor="accent5"/>
              <w:bottom w:val="single" w:sz="4" w:space="0" w:color="BDD6EE" w:themeColor="accent1" w:themeTint="66"/>
            </w:tcBorders>
          </w:tcPr>
          <w:p w14:paraId="2FBD84FE"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w:t>
            </w:r>
          </w:p>
        </w:tc>
        <w:tc>
          <w:tcPr>
            <w:tcW w:w="725" w:type="dxa"/>
            <w:tcBorders>
              <w:top w:val="dotDotDash" w:sz="4" w:space="0" w:color="4472C4" w:themeColor="accent5"/>
              <w:bottom w:val="single" w:sz="4" w:space="0" w:color="BDD6EE" w:themeColor="accent1" w:themeTint="66"/>
            </w:tcBorders>
          </w:tcPr>
          <w:p w14:paraId="14A3CA7C"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color w:val="000000" w:themeColor="text1"/>
                <w:sz w:val="20"/>
              </w:rPr>
              <w:t>0</w:t>
            </w:r>
          </w:p>
        </w:tc>
        <w:tc>
          <w:tcPr>
            <w:tcW w:w="869" w:type="dxa"/>
            <w:gridSpan w:val="2"/>
            <w:tcBorders>
              <w:top w:val="dotDotDash" w:sz="4" w:space="0" w:color="4472C4" w:themeColor="accent5"/>
              <w:bottom w:val="single" w:sz="4" w:space="0" w:color="BDD6EE" w:themeColor="accent1" w:themeTint="66"/>
            </w:tcBorders>
            <w:vAlign w:val="center"/>
          </w:tcPr>
          <w:p w14:paraId="6A9BB217" w14:textId="77777777" w:rsidR="00700DEC" w:rsidRPr="00D507EC" w:rsidRDefault="00700DEC" w:rsidP="009D1B18">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&lt;0.015</w:t>
            </w:r>
          </w:p>
        </w:tc>
        <w:tc>
          <w:tcPr>
            <w:tcW w:w="829" w:type="dxa"/>
            <w:gridSpan w:val="2"/>
            <w:tcBorders>
              <w:top w:val="dotDotDash" w:sz="4" w:space="0" w:color="4472C4" w:themeColor="accent5"/>
              <w:bottom w:val="single" w:sz="4" w:space="0" w:color="BDD6EE" w:themeColor="accent1" w:themeTint="66"/>
            </w:tcBorders>
            <w:vAlign w:val="center"/>
          </w:tcPr>
          <w:p w14:paraId="720BFB49" w14:textId="77777777" w:rsidR="00700DEC" w:rsidRPr="00D507EC" w:rsidRDefault="00700DEC" w:rsidP="009D1B18">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&lt;0.015</w:t>
            </w:r>
          </w:p>
        </w:tc>
      </w:tr>
      <w:tr w:rsidR="00700DEC" w:rsidRPr="00D507EC" w14:paraId="1BF42662" w14:textId="77777777" w:rsidTr="005C71D9">
        <w:trPr>
          <w:trHeight w:val="981"/>
          <w:jc w:val="center"/>
        </w:trPr>
        <w:tc>
          <w:tcPr>
            <w:cnfStyle w:val="001000000000" w:firstRow="0" w:lastRow="0" w:firstColumn="1" w:lastColumn="0" w:oddVBand="0" w:evenVBand="0" w:oddHBand="0" w:evenHBand="0" w:firstRowFirstColumn="0" w:firstRowLastColumn="0" w:lastRowFirstColumn="0" w:lastRowLastColumn="0"/>
            <w:tcW w:w="1103" w:type="dxa"/>
            <w:vMerge/>
            <w:tcBorders>
              <w:bottom w:val="single" w:sz="4" w:space="0" w:color="9CC2E5" w:themeColor="accent1" w:themeTint="99"/>
            </w:tcBorders>
            <w:vAlign w:val="center"/>
          </w:tcPr>
          <w:p w14:paraId="0C41281C" w14:textId="77777777" w:rsidR="00700DEC" w:rsidRPr="00D507EC" w:rsidRDefault="00700DEC" w:rsidP="009D1B18">
            <w:pPr>
              <w:spacing w:line="360" w:lineRule="auto"/>
              <w:jc w:val="center"/>
              <w:rPr>
                <w:color w:val="000000" w:themeColor="text1"/>
                <w:sz w:val="20"/>
              </w:rPr>
            </w:pPr>
          </w:p>
        </w:tc>
        <w:tc>
          <w:tcPr>
            <w:tcW w:w="970" w:type="dxa"/>
            <w:tcBorders>
              <w:bottom w:val="single" w:sz="4" w:space="0" w:color="9CC2E5" w:themeColor="accent1" w:themeTint="99"/>
            </w:tcBorders>
            <w:vAlign w:val="center"/>
          </w:tcPr>
          <w:p w14:paraId="3AAC7464" w14:textId="77777777" w:rsidR="00700DEC" w:rsidRPr="00D507EC" w:rsidRDefault="00700DEC" w:rsidP="009D1B18">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color w:val="000000" w:themeColor="text1"/>
                <w:sz w:val="20"/>
              </w:rPr>
              <w:t>MSSP</w:t>
            </w:r>
          </w:p>
        </w:tc>
        <w:tc>
          <w:tcPr>
            <w:tcW w:w="428" w:type="dxa"/>
            <w:tcBorders>
              <w:bottom w:val="single" w:sz="4" w:space="0" w:color="9CC2E5" w:themeColor="accent1" w:themeTint="99"/>
            </w:tcBorders>
            <w:vAlign w:val="center"/>
          </w:tcPr>
          <w:p w14:paraId="04F9FF57" w14:textId="77777777" w:rsidR="00700DEC" w:rsidRPr="00D507EC" w:rsidRDefault="00700DEC" w:rsidP="009D1B18">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21</w:t>
            </w:r>
          </w:p>
        </w:tc>
        <w:tc>
          <w:tcPr>
            <w:tcW w:w="792" w:type="dxa"/>
            <w:tcBorders>
              <w:bottom w:val="single" w:sz="4" w:space="0" w:color="9CC2E5" w:themeColor="accent1" w:themeTint="99"/>
            </w:tcBorders>
          </w:tcPr>
          <w:p w14:paraId="05C56C60" w14:textId="77777777" w:rsidR="00700DEC" w:rsidRPr="00D507EC" w:rsidRDefault="00700DEC" w:rsidP="00DB140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w:t>
            </w:r>
          </w:p>
        </w:tc>
        <w:tc>
          <w:tcPr>
            <w:tcW w:w="606" w:type="dxa"/>
            <w:tcBorders>
              <w:bottom w:val="single" w:sz="4" w:space="0" w:color="9CC2E5" w:themeColor="accent1" w:themeTint="99"/>
            </w:tcBorders>
          </w:tcPr>
          <w:p w14:paraId="01DB4218"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w:t>
            </w:r>
          </w:p>
        </w:tc>
        <w:tc>
          <w:tcPr>
            <w:tcW w:w="700" w:type="dxa"/>
            <w:tcBorders>
              <w:bottom w:val="single" w:sz="4" w:space="0" w:color="9CC2E5" w:themeColor="accent1" w:themeTint="99"/>
            </w:tcBorders>
          </w:tcPr>
          <w:p w14:paraId="5383546E"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w:t>
            </w:r>
          </w:p>
        </w:tc>
        <w:tc>
          <w:tcPr>
            <w:tcW w:w="725" w:type="dxa"/>
            <w:tcBorders>
              <w:bottom w:val="single" w:sz="4" w:space="0" w:color="9CC2E5" w:themeColor="accent1" w:themeTint="99"/>
            </w:tcBorders>
          </w:tcPr>
          <w:p w14:paraId="704AE544"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w:t>
            </w:r>
          </w:p>
        </w:tc>
        <w:tc>
          <w:tcPr>
            <w:tcW w:w="581" w:type="dxa"/>
            <w:tcBorders>
              <w:bottom w:val="single" w:sz="4" w:space="0" w:color="9CC2E5" w:themeColor="accent1" w:themeTint="99"/>
            </w:tcBorders>
          </w:tcPr>
          <w:p w14:paraId="044A425D"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w:t>
            </w:r>
          </w:p>
        </w:tc>
        <w:tc>
          <w:tcPr>
            <w:tcW w:w="709" w:type="dxa"/>
            <w:tcBorders>
              <w:bottom w:val="single" w:sz="4" w:space="0" w:color="9CC2E5" w:themeColor="accent1" w:themeTint="99"/>
              <w:right w:val="dashed" w:sz="4" w:space="0" w:color="auto"/>
            </w:tcBorders>
          </w:tcPr>
          <w:p w14:paraId="2FE0A98D"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w:t>
            </w:r>
          </w:p>
        </w:tc>
        <w:tc>
          <w:tcPr>
            <w:tcW w:w="708" w:type="dxa"/>
            <w:tcBorders>
              <w:left w:val="dashed" w:sz="4" w:space="0" w:color="auto"/>
              <w:bottom w:val="single" w:sz="4" w:space="0" w:color="9CC2E5" w:themeColor="accent1" w:themeTint="99"/>
            </w:tcBorders>
          </w:tcPr>
          <w:p w14:paraId="58D54FCD"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w:t>
            </w:r>
          </w:p>
        </w:tc>
        <w:tc>
          <w:tcPr>
            <w:tcW w:w="900" w:type="dxa"/>
            <w:tcBorders>
              <w:bottom w:val="single" w:sz="4" w:space="0" w:color="9CC2E5" w:themeColor="accent1" w:themeTint="99"/>
            </w:tcBorders>
          </w:tcPr>
          <w:p w14:paraId="0A63538D"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3</w:t>
            </w:r>
          </w:p>
        </w:tc>
        <w:tc>
          <w:tcPr>
            <w:tcW w:w="870" w:type="dxa"/>
            <w:tcBorders>
              <w:bottom w:val="single" w:sz="4" w:space="0" w:color="9CC2E5" w:themeColor="accent1" w:themeTint="99"/>
            </w:tcBorders>
          </w:tcPr>
          <w:p w14:paraId="1F89072A"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w:t>
            </w:r>
          </w:p>
        </w:tc>
        <w:tc>
          <w:tcPr>
            <w:tcW w:w="724" w:type="dxa"/>
            <w:tcBorders>
              <w:bottom w:val="single" w:sz="4" w:space="0" w:color="9CC2E5" w:themeColor="accent1" w:themeTint="99"/>
            </w:tcBorders>
          </w:tcPr>
          <w:p w14:paraId="66E49FE9"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w:t>
            </w:r>
          </w:p>
        </w:tc>
        <w:tc>
          <w:tcPr>
            <w:tcW w:w="725" w:type="dxa"/>
            <w:tcBorders>
              <w:bottom w:val="single" w:sz="4" w:space="0" w:color="9CC2E5" w:themeColor="accent1" w:themeTint="99"/>
            </w:tcBorders>
          </w:tcPr>
          <w:p w14:paraId="6BD79CB0"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w:t>
            </w:r>
          </w:p>
        </w:tc>
        <w:tc>
          <w:tcPr>
            <w:tcW w:w="579" w:type="dxa"/>
            <w:tcBorders>
              <w:bottom w:val="single" w:sz="4" w:space="0" w:color="9CC2E5" w:themeColor="accent1" w:themeTint="99"/>
            </w:tcBorders>
          </w:tcPr>
          <w:p w14:paraId="49A2ED1F"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w:t>
            </w:r>
          </w:p>
        </w:tc>
        <w:tc>
          <w:tcPr>
            <w:tcW w:w="725" w:type="dxa"/>
            <w:tcBorders>
              <w:bottom w:val="single" w:sz="4" w:space="0" w:color="9CC2E5" w:themeColor="accent1" w:themeTint="99"/>
            </w:tcBorders>
          </w:tcPr>
          <w:p w14:paraId="0A6F885F"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0</w:t>
            </w:r>
          </w:p>
        </w:tc>
        <w:tc>
          <w:tcPr>
            <w:tcW w:w="725" w:type="dxa"/>
            <w:tcBorders>
              <w:bottom w:val="single" w:sz="4" w:space="0" w:color="9CC2E5" w:themeColor="accent1" w:themeTint="99"/>
            </w:tcBorders>
          </w:tcPr>
          <w:p w14:paraId="73CF4A46" w14:textId="77777777" w:rsidR="00700DEC" w:rsidRPr="00D507EC" w:rsidRDefault="00700DEC" w:rsidP="005C71D9">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color w:val="000000" w:themeColor="text1"/>
                <w:sz w:val="20"/>
              </w:rPr>
              <w:t>0</w:t>
            </w:r>
          </w:p>
        </w:tc>
        <w:tc>
          <w:tcPr>
            <w:tcW w:w="869" w:type="dxa"/>
            <w:gridSpan w:val="2"/>
            <w:tcBorders>
              <w:bottom w:val="single" w:sz="4" w:space="0" w:color="9CC2E5" w:themeColor="accent1" w:themeTint="99"/>
            </w:tcBorders>
            <w:vAlign w:val="center"/>
          </w:tcPr>
          <w:p w14:paraId="72614E3F" w14:textId="77777777" w:rsidR="00700DEC" w:rsidRPr="00D507EC" w:rsidRDefault="00700DEC" w:rsidP="009D1B18">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&lt;0.015</w:t>
            </w:r>
          </w:p>
        </w:tc>
        <w:tc>
          <w:tcPr>
            <w:tcW w:w="829" w:type="dxa"/>
            <w:gridSpan w:val="2"/>
            <w:tcBorders>
              <w:bottom w:val="single" w:sz="4" w:space="0" w:color="9CC2E5" w:themeColor="accent1" w:themeTint="99"/>
            </w:tcBorders>
            <w:vAlign w:val="center"/>
          </w:tcPr>
          <w:p w14:paraId="1A03B99B" w14:textId="77777777" w:rsidR="00700DEC" w:rsidRPr="00D507EC" w:rsidRDefault="00700DEC" w:rsidP="009D1B18">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rFonts w:ascii="Calibri" w:hAnsi="Calibri" w:cs="Calibri"/>
                <w:color w:val="000000" w:themeColor="text1"/>
                <w:sz w:val="20"/>
              </w:rPr>
              <w:t>&lt;0.015</w:t>
            </w:r>
          </w:p>
        </w:tc>
      </w:tr>
    </w:tbl>
    <w:p w14:paraId="3C1B218C" w14:textId="32C2B0DD" w:rsidR="002C539F" w:rsidRPr="00D507EC" w:rsidRDefault="001E1F45">
      <w:pPr>
        <w:rPr>
          <w:color w:val="000000" w:themeColor="text1"/>
        </w:rPr>
      </w:pPr>
      <w:r w:rsidRPr="00D507EC">
        <w:rPr>
          <w:rFonts w:asciiTheme="majorHAnsi" w:eastAsiaTheme="majorEastAsia" w:hAnsiTheme="majorHAnsi" w:cstheme="majorBidi"/>
          <w:color w:val="000000" w:themeColor="text1"/>
        </w:rPr>
        <w:t>EUCAST breakpoint for fusidic acid for staphylococci (1 mg/L; reference 64) marked as dotted line.</w:t>
      </w:r>
    </w:p>
    <w:tbl>
      <w:tblPr>
        <w:tblStyle w:val="GridTable1Light-Accent12"/>
        <w:tblpPr w:leftFromText="180" w:rightFromText="180" w:vertAnchor="page" w:horzAnchor="page" w:tblpX="2086" w:tblpY="1336"/>
        <w:tblW w:w="11293" w:type="dxa"/>
        <w:tblLayout w:type="fixed"/>
        <w:tblLook w:val="04A0" w:firstRow="1" w:lastRow="0" w:firstColumn="1" w:lastColumn="0" w:noHBand="0" w:noVBand="1"/>
      </w:tblPr>
      <w:tblGrid>
        <w:gridCol w:w="1102"/>
        <w:gridCol w:w="969"/>
        <w:gridCol w:w="427"/>
        <w:gridCol w:w="725"/>
        <w:gridCol w:w="581"/>
        <w:gridCol w:w="1011"/>
        <w:gridCol w:w="992"/>
        <w:gridCol w:w="1418"/>
        <w:gridCol w:w="1275"/>
        <w:gridCol w:w="567"/>
        <w:gridCol w:w="567"/>
        <w:gridCol w:w="794"/>
        <w:gridCol w:w="12"/>
        <w:gridCol w:w="853"/>
      </w:tblGrid>
      <w:tr w:rsidR="009C328A" w:rsidRPr="00D507EC" w14:paraId="6265A4FB" w14:textId="77777777" w:rsidTr="009C328A">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02" w:type="dxa"/>
            <w:vMerge w:val="restart"/>
            <w:tcBorders>
              <w:top w:val="single" w:sz="4" w:space="0" w:color="9CC2E5" w:themeColor="accent1" w:themeTint="99"/>
            </w:tcBorders>
            <w:vAlign w:val="center"/>
          </w:tcPr>
          <w:p w14:paraId="31948159" w14:textId="77777777" w:rsidR="009C328A" w:rsidRPr="00D507EC" w:rsidRDefault="009C328A" w:rsidP="009C328A">
            <w:pPr>
              <w:spacing w:line="360" w:lineRule="auto"/>
              <w:jc w:val="center"/>
              <w:rPr>
                <w:color w:val="000000" w:themeColor="text1"/>
                <w:sz w:val="20"/>
              </w:rPr>
            </w:pPr>
            <w:r w:rsidRPr="00D507EC">
              <w:rPr>
                <w:color w:val="000000" w:themeColor="text1"/>
                <w:sz w:val="20"/>
              </w:rPr>
              <w:t>Country</w:t>
            </w:r>
          </w:p>
        </w:tc>
        <w:tc>
          <w:tcPr>
            <w:tcW w:w="969" w:type="dxa"/>
            <w:vMerge w:val="restart"/>
            <w:tcBorders>
              <w:top w:val="single" w:sz="4" w:space="0" w:color="9CC2E5" w:themeColor="accent1" w:themeTint="99"/>
            </w:tcBorders>
            <w:vAlign w:val="center"/>
          </w:tcPr>
          <w:p w14:paraId="29330DC6" w14:textId="77777777" w:rsidR="009C328A" w:rsidRPr="00D507EC" w:rsidRDefault="009C328A" w:rsidP="009C328A">
            <w:pPr>
              <w:spacing w:line="360" w:lineRule="auto"/>
              <w:jc w:val="center"/>
              <w:cnfStyle w:val="100000000000" w:firstRow="1" w:lastRow="0" w:firstColumn="0" w:lastColumn="0" w:oddVBand="0" w:evenVBand="0" w:oddHBand="0" w:evenHBand="0" w:firstRowFirstColumn="0" w:firstRowLastColumn="0" w:lastRowFirstColumn="0" w:lastRowLastColumn="0"/>
              <w:rPr>
                <w:color w:val="000000" w:themeColor="text1"/>
                <w:sz w:val="20"/>
              </w:rPr>
            </w:pPr>
            <w:r w:rsidRPr="00D507EC">
              <w:rPr>
                <w:color w:val="000000" w:themeColor="text1"/>
                <w:sz w:val="20"/>
              </w:rPr>
              <w:t>Bacterial Type</w:t>
            </w:r>
          </w:p>
        </w:tc>
        <w:tc>
          <w:tcPr>
            <w:tcW w:w="427" w:type="dxa"/>
            <w:vMerge w:val="restart"/>
            <w:tcBorders>
              <w:top w:val="single" w:sz="4" w:space="0" w:color="9CC2E5" w:themeColor="accent1" w:themeTint="99"/>
            </w:tcBorders>
            <w:vAlign w:val="center"/>
          </w:tcPr>
          <w:p w14:paraId="26A421A0" w14:textId="77777777" w:rsidR="009C328A" w:rsidRPr="00D507EC" w:rsidRDefault="009C328A" w:rsidP="009C328A">
            <w:pPr>
              <w:spacing w:line="360" w:lineRule="auto"/>
              <w:jc w:val="center"/>
              <w:cnfStyle w:val="100000000000" w:firstRow="1" w:lastRow="0" w:firstColumn="0" w:lastColumn="0" w:oddVBand="0" w:evenVBand="0" w:oddHBand="0" w:evenHBand="0" w:firstRowFirstColumn="0" w:firstRowLastColumn="0" w:lastRowFirstColumn="0" w:lastRowLastColumn="0"/>
              <w:rPr>
                <w:color w:val="000000" w:themeColor="text1"/>
                <w:sz w:val="20"/>
              </w:rPr>
            </w:pPr>
            <w:r w:rsidRPr="00D507EC">
              <w:rPr>
                <w:color w:val="000000" w:themeColor="text1"/>
                <w:sz w:val="20"/>
              </w:rPr>
              <w:t>n</w:t>
            </w:r>
          </w:p>
        </w:tc>
        <w:tc>
          <w:tcPr>
            <w:tcW w:w="7136" w:type="dxa"/>
            <w:gridSpan w:val="8"/>
            <w:tcBorders>
              <w:top w:val="single" w:sz="4" w:space="0" w:color="9CC2E5" w:themeColor="accent1" w:themeTint="99"/>
              <w:bottom w:val="single" w:sz="4" w:space="0" w:color="9CC2E5" w:themeColor="accent1" w:themeTint="99"/>
            </w:tcBorders>
            <w:vAlign w:val="center"/>
          </w:tcPr>
          <w:p w14:paraId="01AAAF8D" w14:textId="77777777" w:rsidR="009C328A" w:rsidRPr="00D507EC" w:rsidRDefault="009C328A" w:rsidP="009C328A">
            <w:pPr>
              <w:spacing w:line="360" w:lineRule="auto"/>
              <w:jc w:val="center"/>
              <w:cnfStyle w:val="100000000000" w:firstRow="1" w:lastRow="0" w:firstColumn="0" w:lastColumn="0" w:oddVBand="0" w:evenVBand="0" w:oddHBand="0" w:evenHBand="0" w:firstRowFirstColumn="0" w:firstRowLastColumn="0" w:lastRowFirstColumn="0" w:lastRowLastColumn="0"/>
              <w:rPr>
                <w:bCs w:val="0"/>
                <w:color w:val="000000" w:themeColor="text1"/>
                <w:sz w:val="20"/>
              </w:rPr>
            </w:pPr>
            <w:r w:rsidRPr="00D507EC">
              <w:rPr>
                <w:bCs w:val="0"/>
                <w:color w:val="000000" w:themeColor="text1"/>
                <w:sz w:val="20"/>
              </w:rPr>
              <w:t>Chlorhexidine MIC (mg/L)</w:t>
            </w:r>
          </w:p>
        </w:tc>
        <w:tc>
          <w:tcPr>
            <w:tcW w:w="806" w:type="dxa"/>
            <w:gridSpan w:val="2"/>
            <w:tcBorders>
              <w:top w:val="single" w:sz="4" w:space="0" w:color="9CC2E5" w:themeColor="accent1" w:themeTint="99"/>
              <w:bottom w:val="nil"/>
            </w:tcBorders>
            <w:vAlign w:val="center"/>
          </w:tcPr>
          <w:p w14:paraId="0C1D5F16" w14:textId="77777777" w:rsidR="009C328A" w:rsidRPr="00D507EC" w:rsidRDefault="009C328A" w:rsidP="009C328A">
            <w:pPr>
              <w:spacing w:line="360" w:lineRule="auto"/>
              <w:jc w:val="center"/>
              <w:cnfStyle w:val="100000000000" w:firstRow="1" w:lastRow="0" w:firstColumn="0" w:lastColumn="0" w:oddVBand="0" w:evenVBand="0" w:oddHBand="0" w:evenHBand="0" w:firstRowFirstColumn="0" w:firstRowLastColumn="0" w:lastRowFirstColumn="0" w:lastRowLastColumn="0"/>
              <w:rPr>
                <w:bCs w:val="0"/>
                <w:color w:val="000000" w:themeColor="text1"/>
                <w:sz w:val="20"/>
              </w:rPr>
            </w:pPr>
            <w:r w:rsidRPr="00D507EC">
              <w:rPr>
                <w:bCs w:val="0"/>
                <w:color w:val="000000" w:themeColor="text1"/>
                <w:sz w:val="20"/>
              </w:rPr>
              <w:t>MIC</w:t>
            </w:r>
            <w:r w:rsidRPr="00D507EC">
              <w:rPr>
                <w:bCs w:val="0"/>
                <w:color w:val="000000" w:themeColor="text1"/>
                <w:sz w:val="20"/>
                <w:vertAlign w:val="subscript"/>
              </w:rPr>
              <w:t>50</w:t>
            </w:r>
          </w:p>
        </w:tc>
        <w:tc>
          <w:tcPr>
            <w:tcW w:w="853" w:type="dxa"/>
            <w:tcBorders>
              <w:top w:val="single" w:sz="4" w:space="0" w:color="9CC2E5" w:themeColor="accent1" w:themeTint="99"/>
              <w:bottom w:val="nil"/>
            </w:tcBorders>
            <w:vAlign w:val="center"/>
          </w:tcPr>
          <w:p w14:paraId="5DD57E93" w14:textId="77777777" w:rsidR="009C328A" w:rsidRPr="00D507EC" w:rsidRDefault="009C328A" w:rsidP="009C328A">
            <w:pPr>
              <w:spacing w:line="360" w:lineRule="auto"/>
              <w:jc w:val="center"/>
              <w:cnfStyle w:val="100000000000" w:firstRow="1" w:lastRow="0" w:firstColumn="0" w:lastColumn="0" w:oddVBand="0" w:evenVBand="0" w:oddHBand="0" w:evenHBand="0" w:firstRowFirstColumn="0" w:firstRowLastColumn="0" w:lastRowFirstColumn="0" w:lastRowLastColumn="0"/>
              <w:rPr>
                <w:bCs w:val="0"/>
                <w:color w:val="000000" w:themeColor="text1"/>
                <w:sz w:val="20"/>
              </w:rPr>
            </w:pPr>
            <w:r w:rsidRPr="00D507EC">
              <w:rPr>
                <w:bCs w:val="0"/>
                <w:color w:val="000000" w:themeColor="text1"/>
                <w:sz w:val="20"/>
              </w:rPr>
              <w:t>MIC</w:t>
            </w:r>
            <w:r w:rsidRPr="00D507EC">
              <w:rPr>
                <w:bCs w:val="0"/>
                <w:color w:val="000000" w:themeColor="text1"/>
                <w:sz w:val="20"/>
                <w:vertAlign w:val="subscript"/>
              </w:rPr>
              <w:t>90</w:t>
            </w:r>
          </w:p>
        </w:tc>
      </w:tr>
      <w:tr w:rsidR="009C328A" w:rsidRPr="00D507EC" w14:paraId="46A8F189" w14:textId="77777777" w:rsidTr="009C328A">
        <w:trPr>
          <w:trHeight w:val="315"/>
        </w:trPr>
        <w:tc>
          <w:tcPr>
            <w:cnfStyle w:val="001000000000" w:firstRow="0" w:lastRow="0" w:firstColumn="1" w:lastColumn="0" w:oddVBand="0" w:evenVBand="0" w:oddHBand="0" w:evenHBand="0" w:firstRowFirstColumn="0" w:firstRowLastColumn="0" w:lastRowFirstColumn="0" w:lastRowLastColumn="0"/>
            <w:tcW w:w="1102" w:type="dxa"/>
            <w:vMerge/>
            <w:tcBorders>
              <w:bottom w:val="single" w:sz="12" w:space="0" w:color="9CC2E5" w:themeColor="accent1" w:themeTint="99"/>
            </w:tcBorders>
            <w:vAlign w:val="center"/>
          </w:tcPr>
          <w:p w14:paraId="70772F0F" w14:textId="77777777" w:rsidR="009C328A" w:rsidRPr="00D507EC" w:rsidRDefault="009C328A" w:rsidP="009C328A">
            <w:pPr>
              <w:spacing w:line="360" w:lineRule="auto"/>
              <w:jc w:val="center"/>
              <w:rPr>
                <w:color w:val="000000" w:themeColor="text1"/>
                <w:sz w:val="20"/>
              </w:rPr>
            </w:pPr>
          </w:p>
        </w:tc>
        <w:tc>
          <w:tcPr>
            <w:tcW w:w="969" w:type="dxa"/>
            <w:vMerge/>
            <w:tcBorders>
              <w:bottom w:val="single" w:sz="12" w:space="0" w:color="9CC2E5" w:themeColor="accent1" w:themeTint="99"/>
            </w:tcBorders>
            <w:vAlign w:val="center"/>
          </w:tcPr>
          <w:p w14:paraId="275558A6" w14:textId="77777777" w:rsidR="009C328A" w:rsidRPr="00D507EC" w:rsidRDefault="009C328A" w:rsidP="009C328A">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p>
        </w:tc>
        <w:tc>
          <w:tcPr>
            <w:tcW w:w="427" w:type="dxa"/>
            <w:vMerge/>
            <w:tcBorders>
              <w:bottom w:val="single" w:sz="12" w:space="0" w:color="9CC2E5" w:themeColor="accent1" w:themeTint="99"/>
            </w:tcBorders>
            <w:vAlign w:val="center"/>
          </w:tcPr>
          <w:p w14:paraId="10369812" w14:textId="77777777" w:rsidR="009C328A" w:rsidRPr="00D507EC" w:rsidRDefault="009C328A" w:rsidP="009C328A">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p>
        </w:tc>
        <w:tc>
          <w:tcPr>
            <w:tcW w:w="725" w:type="dxa"/>
            <w:tcBorders>
              <w:top w:val="single" w:sz="4" w:space="0" w:color="9CC2E5" w:themeColor="accent1" w:themeTint="99"/>
              <w:bottom w:val="single" w:sz="12" w:space="0" w:color="9CC2E5" w:themeColor="accent1" w:themeTint="99"/>
            </w:tcBorders>
            <w:vAlign w:val="center"/>
          </w:tcPr>
          <w:p w14:paraId="1974B41F" w14:textId="77777777" w:rsidR="009C328A" w:rsidRPr="00D507EC" w:rsidRDefault="009C328A" w:rsidP="009C328A">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b/>
                <w:bCs/>
                <w:color w:val="000000" w:themeColor="text1"/>
                <w:sz w:val="20"/>
              </w:rPr>
              <w:t>0.125</w:t>
            </w:r>
          </w:p>
        </w:tc>
        <w:tc>
          <w:tcPr>
            <w:tcW w:w="581" w:type="dxa"/>
            <w:tcBorders>
              <w:top w:val="single" w:sz="4" w:space="0" w:color="9CC2E5" w:themeColor="accent1" w:themeTint="99"/>
              <w:bottom w:val="single" w:sz="12" w:space="0" w:color="9CC2E5" w:themeColor="accent1" w:themeTint="99"/>
            </w:tcBorders>
            <w:vAlign w:val="center"/>
          </w:tcPr>
          <w:p w14:paraId="2D2ECAFA" w14:textId="77777777" w:rsidR="009C328A" w:rsidRPr="00D507EC" w:rsidRDefault="009C328A" w:rsidP="009C328A">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b/>
                <w:bCs/>
                <w:color w:val="000000" w:themeColor="text1"/>
                <w:sz w:val="20"/>
              </w:rPr>
              <w:t>0.25</w:t>
            </w:r>
          </w:p>
        </w:tc>
        <w:tc>
          <w:tcPr>
            <w:tcW w:w="1011" w:type="dxa"/>
            <w:tcBorders>
              <w:top w:val="single" w:sz="4" w:space="0" w:color="9CC2E5" w:themeColor="accent1" w:themeTint="99"/>
              <w:bottom w:val="single" w:sz="12" w:space="0" w:color="9CC2E5" w:themeColor="accent1" w:themeTint="99"/>
            </w:tcBorders>
            <w:vAlign w:val="center"/>
          </w:tcPr>
          <w:p w14:paraId="772D97C2" w14:textId="77777777" w:rsidR="009C328A" w:rsidRPr="00D507EC" w:rsidRDefault="009C328A" w:rsidP="009C328A">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b/>
                <w:bCs/>
                <w:color w:val="000000" w:themeColor="text1"/>
                <w:sz w:val="20"/>
              </w:rPr>
              <w:t>0.5</w:t>
            </w:r>
          </w:p>
        </w:tc>
        <w:tc>
          <w:tcPr>
            <w:tcW w:w="992" w:type="dxa"/>
            <w:tcBorders>
              <w:top w:val="single" w:sz="4" w:space="0" w:color="9CC2E5" w:themeColor="accent1" w:themeTint="99"/>
              <w:bottom w:val="single" w:sz="12" w:space="0" w:color="9CC2E5" w:themeColor="accent1" w:themeTint="99"/>
            </w:tcBorders>
            <w:vAlign w:val="center"/>
          </w:tcPr>
          <w:p w14:paraId="2B23DD7F" w14:textId="77777777" w:rsidR="009C328A" w:rsidRPr="00D507EC" w:rsidRDefault="009C328A" w:rsidP="009C328A">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b/>
                <w:bCs/>
                <w:color w:val="000000" w:themeColor="text1"/>
                <w:sz w:val="20"/>
              </w:rPr>
              <w:t>1</w:t>
            </w:r>
          </w:p>
        </w:tc>
        <w:tc>
          <w:tcPr>
            <w:tcW w:w="1418" w:type="dxa"/>
            <w:tcBorders>
              <w:top w:val="single" w:sz="4" w:space="0" w:color="9CC2E5" w:themeColor="accent1" w:themeTint="99"/>
              <w:bottom w:val="single" w:sz="12" w:space="0" w:color="9CC2E5" w:themeColor="accent1" w:themeTint="99"/>
            </w:tcBorders>
            <w:vAlign w:val="center"/>
          </w:tcPr>
          <w:p w14:paraId="19F519E5" w14:textId="77777777" w:rsidR="009C328A" w:rsidRPr="00D507EC" w:rsidRDefault="009C328A" w:rsidP="009C328A">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b/>
                <w:bCs/>
                <w:color w:val="000000" w:themeColor="text1"/>
                <w:sz w:val="20"/>
              </w:rPr>
              <w:t>2</w:t>
            </w:r>
          </w:p>
        </w:tc>
        <w:tc>
          <w:tcPr>
            <w:tcW w:w="1275" w:type="dxa"/>
            <w:tcBorders>
              <w:top w:val="single" w:sz="4" w:space="0" w:color="9CC2E5" w:themeColor="accent1" w:themeTint="99"/>
              <w:bottom w:val="single" w:sz="12" w:space="0" w:color="9CC2E5" w:themeColor="accent1" w:themeTint="99"/>
            </w:tcBorders>
            <w:vAlign w:val="center"/>
          </w:tcPr>
          <w:p w14:paraId="6AEF27FA" w14:textId="77777777" w:rsidR="009C328A" w:rsidRPr="00D507EC" w:rsidRDefault="009C328A" w:rsidP="009C328A">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b/>
                <w:bCs/>
                <w:color w:val="000000" w:themeColor="text1"/>
                <w:sz w:val="20"/>
              </w:rPr>
              <w:t>4</w:t>
            </w:r>
          </w:p>
        </w:tc>
        <w:tc>
          <w:tcPr>
            <w:tcW w:w="567" w:type="dxa"/>
            <w:tcBorders>
              <w:top w:val="single" w:sz="4" w:space="0" w:color="9CC2E5" w:themeColor="accent1" w:themeTint="99"/>
              <w:bottom w:val="single" w:sz="12" w:space="0" w:color="9CC2E5" w:themeColor="accent1" w:themeTint="99"/>
            </w:tcBorders>
            <w:vAlign w:val="center"/>
          </w:tcPr>
          <w:p w14:paraId="73DD8E17" w14:textId="77777777" w:rsidR="009C328A" w:rsidRPr="00D507EC" w:rsidRDefault="009C328A" w:rsidP="009C328A">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b/>
                <w:bCs/>
                <w:color w:val="000000" w:themeColor="text1"/>
                <w:sz w:val="20"/>
              </w:rPr>
              <w:t>8</w:t>
            </w:r>
          </w:p>
        </w:tc>
        <w:tc>
          <w:tcPr>
            <w:tcW w:w="567" w:type="dxa"/>
            <w:tcBorders>
              <w:top w:val="single" w:sz="4" w:space="0" w:color="9CC2E5" w:themeColor="accent1" w:themeTint="99"/>
              <w:bottom w:val="single" w:sz="12" w:space="0" w:color="9CC2E5" w:themeColor="accent1" w:themeTint="99"/>
            </w:tcBorders>
            <w:vAlign w:val="center"/>
          </w:tcPr>
          <w:p w14:paraId="15A0F454" w14:textId="77777777" w:rsidR="009C328A" w:rsidRPr="00D507EC" w:rsidRDefault="009C328A" w:rsidP="009C328A">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b/>
                <w:bCs/>
                <w:color w:val="000000" w:themeColor="text1"/>
                <w:sz w:val="20"/>
              </w:rPr>
              <w:t>16</w:t>
            </w:r>
          </w:p>
        </w:tc>
        <w:tc>
          <w:tcPr>
            <w:tcW w:w="794" w:type="dxa"/>
            <w:tcBorders>
              <w:top w:val="nil"/>
              <w:bottom w:val="single" w:sz="12" w:space="0" w:color="9CC2E5" w:themeColor="accent1" w:themeTint="99"/>
            </w:tcBorders>
            <w:vAlign w:val="center"/>
          </w:tcPr>
          <w:p w14:paraId="5ACA0A9D" w14:textId="77777777" w:rsidR="009C328A" w:rsidRPr="00D507EC" w:rsidRDefault="009C328A" w:rsidP="009C328A">
            <w:pPr>
              <w:spacing w:line="360" w:lineRule="auto"/>
              <w:jc w:val="center"/>
              <w:cnfStyle w:val="000000000000" w:firstRow="0" w:lastRow="0" w:firstColumn="0" w:lastColumn="0" w:oddVBand="0" w:evenVBand="0" w:oddHBand="0" w:evenHBand="0" w:firstRowFirstColumn="0" w:firstRowLastColumn="0" w:lastRowFirstColumn="0" w:lastRowLastColumn="0"/>
              <w:rPr>
                <w:b/>
                <w:color w:val="000000" w:themeColor="text1"/>
                <w:sz w:val="20"/>
              </w:rPr>
            </w:pPr>
            <w:r w:rsidRPr="00D507EC">
              <w:rPr>
                <w:b/>
                <w:color w:val="000000" w:themeColor="text1"/>
                <w:sz w:val="20"/>
              </w:rPr>
              <w:t>mg/L</w:t>
            </w:r>
          </w:p>
        </w:tc>
        <w:tc>
          <w:tcPr>
            <w:tcW w:w="865" w:type="dxa"/>
            <w:gridSpan w:val="2"/>
            <w:tcBorders>
              <w:top w:val="nil"/>
              <w:bottom w:val="single" w:sz="12" w:space="0" w:color="9CC2E5" w:themeColor="accent1" w:themeTint="99"/>
            </w:tcBorders>
            <w:vAlign w:val="center"/>
          </w:tcPr>
          <w:p w14:paraId="1406098C" w14:textId="77777777" w:rsidR="009C328A" w:rsidRPr="00D507EC" w:rsidRDefault="009C328A" w:rsidP="009C328A">
            <w:pPr>
              <w:spacing w:line="360" w:lineRule="auto"/>
              <w:jc w:val="center"/>
              <w:cnfStyle w:val="000000000000" w:firstRow="0" w:lastRow="0" w:firstColumn="0" w:lastColumn="0" w:oddVBand="0" w:evenVBand="0" w:oddHBand="0" w:evenHBand="0" w:firstRowFirstColumn="0" w:firstRowLastColumn="0" w:lastRowFirstColumn="0" w:lastRowLastColumn="0"/>
              <w:rPr>
                <w:b/>
                <w:color w:val="000000" w:themeColor="text1"/>
                <w:sz w:val="20"/>
              </w:rPr>
            </w:pPr>
            <w:r w:rsidRPr="00D507EC">
              <w:rPr>
                <w:b/>
                <w:color w:val="000000" w:themeColor="text1"/>
                <w:sz w:val="20"/>
              </w:rPr>
              <w:t>mg/L</w:t>
            </w:r>
          </w:p>
        </w:tc>
      </w:tr>
      <w:tr w:rsidR="009C328A" w:rsidRPr="00D507EC" w14:paraId="4B87C14D" w14:textId="77777777" w:rsidTr="005C71D9">
        <w:trPr>
          <w:trHeight w:val="315"/>
        </w:trPr>
        <w:tc>
          <w:tcPr>
            <w:cnfStyle w:val="001000000000" w:firstRow="0" w:lastRow="0" w:firstColumn="1" w:lastColumn="0" w:oddVBand="0" w:evenVBand="0" w:oddHBand="0" w:evenHBand="0" w:firstRowFirstColumn="0" w:firstRowLastColumn="0" w:lastRowFirstColumn="0" w:lastRowLastColumn="0"/>
            <w:tcW w:w="1102" w:type="dxa"/>
            <w:vMerge w:val="restart"/>
            <w:tcBorders>
              <w:top w:val="single" w:sz="12" w:space="0" w:color="9CC2E5" w:themeColor="accent1" w:themeTint="99"/>
            </w:tcBorders>
            <w:vAlign w:val="center"/>
          </w:tcPr>
          <w:p w14:paraId="5A46FF04" w14:textId="77777777" w:rsidR="009C328A" w:rsidRPr="00D507EC" w:rsidRDefault="009C328A" w:rsidP="009C328A">
            <w:pPr>
              <w:spacing w:line="360" w:lineRule="auto"/>
              <w:jc w:val="center"/>
              <w:rPr>
                <w:color w:val="000000" w:themeColor="text1"/>
                <w:sz w:val="20"/>
              </w:rPr>
            </w:pPr>
            <w:r w:rsidRPr="00D507EC">
              <w:rPr>
                <w:color w:val="000000" w:themeColor="text1"/>
                <w:sz w:val="20"/>
              </w:rPr>
              <w:t>Finland</w:t>
            </w:r>
          </w:p>
        </w:tc>
        <w:tc>
          <w:tcPr>
            <w:tcW w:w="969" w:type="dxa"/>
            <w:tcBorders>
              <w:top w:val="single" w:sz="12" w:space="0" w:color="9CC2E5" w:themeColor="accent1" w:themeTint="99"/>
            </w:tcBorders>
            <w:vAlign w:val="center"/>
          </w:tcPr>
          <w:p w14:paraId="70B22C05" w14:textId="77777777" w:rsidR="009C328A" w:rsidRPr="00D507EC" w:rsidRDefault="009C328A" w:rsidP="009C328A">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color w:val="000000" w:themeColor="text1"/>
                <w:sz w:val="20"/>
              </w:rPr>
              <w:t>MRSP</w:t>
            </w:r>
          </w:p>
        </w:tc>
        <w:tc>
          <w:tcPr>
            <w:tcW w:w="427" w:type="dxa"/>
            <w:tcBorders>
              <w:top w:val="single" w:sz="12" w:space="0" w:color="9CC2E5" w:themeColor="accent1" w:themeTint="99"/>
            </w:tcBorders>
            <w:vAlign w:val="center"/>
          </w:tcPr>
          <w:p w14:paraId="7E4FA769" w14:textId="77777777" w:rsidR="009C328A" w:rsidRPr="00D507EC" w:rsidRDefault="009C328A" w:rsidP="009C328A">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color w:val="000000" w:themeColor="text1"/>
                <w:sz w:val="20"/>
              </w:rPr>
              <w:t>49</w:t>
            </w:r>
          </w:p>
        </w:tc>
        <w:tc>
          <w:tcPr>
            <w:tcW w:w="725" w:type="dxa"/>
            <w:tcBorders>
              <w:top w:val="single" w:sz="12" w:space="0" w:color="9CC2E5" w:themeColor="accent1" w:themeTint="99"/>
            </w:tcBorders>
          </w:tcPr>
          <w:p w14:paraId="50D6610D" w14:textId="77777777" w:rsidR="009C328A" w:rsidRPr="00D507EC" w:rsidRDefault="009C328A" w:rsidP="00DB140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color w:val="000000" w:themeColor="text1"/>
                <w:sz w:val="20"/>
              </w:rPr>
              <w:t>0</w:t>
            </w:r>
          </w:p>
        </w:tc>
        <w:tc>
          <w:tcPr>
            <w:tcW w:w="581" w:type="dxa"/>
            <w:tcBorders>
              <w:top w:val="single" w:sz="12" w:space="0" w:color="9CC2E5" w:themeColor="accent1" w:themeTint="99"/>
            </w:tcBorders>
          </w:tcPr>
          <w:p w14:paraId="4B561DF1" w14:textId="77777777" w:rsidR="009C328A" w:rsidRPr="00D507EC" w:rsidRDefault="009C328A" w:rsidP="00DB140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color w:val="000000" w:themeColor="text1"/>
                <w:sz w:val="20"/>
              </w:rPr>
              <w:t>1</w:t>
            </w:r>
          </w:p>
        </w:tc>
        <w:tc>
          <w:tcPr>
            <w:tcW w:w="1011" w:type="dxa"/>
            <w:tcBorders>
              <w:top w:val="single" w:sz="12" w:space="0" w:color="9CC2E5" w:themeColor="accent1" w:themeTint="99"/>
            </w:tcBorders>
          </w:tcPr>
          <w:p w14:paraId="41C787CF" w14:textId="77777777" w:rsidR="009C328A" w:rsidRPr="00D507EC" w:rsidRDefault="009C328A" w:rsidP="00DB140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color w:val="000000" w:themeColor="text1"/>
                <w:sz w:val="20"/>
              </w:rPr>
              <w:t>35</w:t>
            </w:r>
          </w:p>
        </w:tc>
        <w:tc>
          <w:tcPr>
            <w:tcW w:w="992" w:type="dxa"/>
            <w:tcBorders>
              <w:top w:val="single" w:sz="12" w:space="0" w:color="9CC2E5" w:themeColor="accent1" w:themeTint="99"/>
            </w:tcBorders>
          </w:tcPr>
          <w:p w14:paraId="1EB1E133" w14:textId="77777777" w:rsidR="009C328A" w:rsidRPr="00D507EC" w:rsidRDefault="009C328A"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color w:val="000000" w:themeColor="text1"/>
                <w:sz w:val="20"/>
              </w:rPr>
              <w:t>12</w:t>
            </w:r>
          </w:p>
        </w:tc>
        <w:tc>
          <w:tcPr>
            <w:tcW w:w="1418" w:type="dxa"/>
            <w:tcBorders>
              <w:top w:val="single" w:sz="12" w:space="0" w:color="9CC2E5" w:themeColor="accent1" w:themeTint="99"/>
            </w:tcBorders>
          </w:tcPr>
          <w:p w14:paraId="29192291" w14:textId="77777777" w:rsidR="009C328A" w:rsidRPr="00D507EC" w:rsidRDefault="009C328A"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color w:val="000000" w:themeColor="text1"/>
                <w:sz w:val="20"/>
              </w:rPr>
              <w:t>0</w:t>
            </w:r>
          </w:p>
        </w:tc>
        <w:tc>
          <w:tcPr>
            <w:tcW w:w="1275" w:type="dxa"/>
            <w:tcBorders>
              <w:top w:val="single" w:sz="12" w:space="0" w:color="9CC2E5" w:themeColor="accent1" w:themeTint="99"/>
            </w:tcBorders>
          </w:tcPr>
          <w:p w14:paraId="444FE1A1" w14:textId="77777777" w:rsidR="009C328A" w:rsidRPr="00D507EC" w:rsidRDefault="009C328A"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color w:val="000000" w:themeColor="text1"/>
                <w:sz w:val="20"/>
              </w:rPr>
              <w:t>1</w:t>
            </w:r>
          </w:p>
        </w:tc>
        <w:tc>
          <w:tcPr>
            <w:tcW w:w="567" w:type="dxa"/>
            <w:tcBorders>
              <w:top w:val="single" w:sz="12" w:space="0" w:color="9CC2E5" w:themeColor="accent1" w:themeTint="99"/>
            </w:tcBorders>
          </w:tcPr>
          <w:p w14:paraId="478FA5DE" w14:textId="77777777" w:rsidR="009C328A" w:rsidRPr="00D507EC" w:rsidRDefault="009C328A"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color w:val="000000" w:themeColor="text1"/>
                <w:sz w:val="20"/>
              </w:rPr>
              <w:t>0</w:t>
            </w:r>
          </w:p>
        </w:tc>
        <w:tc>
          <w:tcPr>
            <w:tcW w:w="567" w:type="dxa"/>
            <w:tcBorders>
              <w:top w:val="single" w:sz="12" w:space="0" w:color="9CC2E5" w:themeColor="accent1" w:themeTint="99"/>
            </w:tcBorders>
          </w:tcPr>
          <w:p w14:paraId="6CDB2151" w14:textId="77777777" w:rsidR="009C328A" w:rsidRPr="00D507EC" w:rsidRDefault="009C328A"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color w:val="000000" w:themeColor="text1"/>
                <w:sz w:val="20"/>
              </w:rPr>
              <w:t>0</w:t>
            </w:r>
          </w:p>
        </w:tc>
        <w:tc>
          <w:tcPr>
            <w:tcW w:w="794" w:type="dxa"/>
            <w:tcBorders>
              <w:top w:val="single" w:sz="12" w:space="0" w:color="9CC2E5" w:themeColor="accent1" w:themeTint="99"/>
            </w:tcBorders>
            <w:vAlign w:val="center"/>
          </w:tcPr>
          <w:p w14:paraId="2D9A214E" w14:textId="77777777" w:rsidR="009C328A" w:rsidRPr="00D507EC" w:rsidRDefault="009C328A" w:rsidP="009C328A">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color w:val="000000" w:themeColor="text1"/>
                <w:sz w:val="20"/>
              </w:rPr>
              <w:t>0.5</w:t>
            </w:r>
          </w:p>
        </w:tc>
        <w:tc>
          <w:tcPr>
            <w:tcW w:w="865" w:type="dxa"/>
            <w:gridSpan w:val="2"/>
            <w:tcBorders>
              <w:top w:val="single" w:sz="12" w:space="0" w:color="9CC2E5" w:themeColor="accent1" w:themeTint="99"/>
            </w:tcBorders>
            <w:vAlign w:val="center"/>
          </w:tcPr>
          <w:p w14:paraId="0CFC7100" w14:textId="77777777" w:rsidR="009C328A" w:rsidRPr="00D507EC" w:rsidRDefault="009C328A" w:rsidP="009C328A">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color w:val="000000" w:themeColor="text1"/>
                <w:sz w:val="20"/>
              </w:rPr>
              <w:t>1</w:t>
            </w:r>
          </w:p>
        </w:tc>
      </w:tr>
      <w:tr w:rsidR="009C328A" w:rsidRPr="00D507EC" w14:paraId="28983113" w14:textId="77777777" w:rsidTr="005C71D9">
        <w:trPr>
          <w:trHeight w:val="315"/>
        </w:trPr>
        <w:tc>
          <w:tcPr>
            <w:cnfStyle w:val="001000000000" w:firstRow="0" w:lastRow="0" w:firstColumn="1" w:lastColumn="0" w:oddVBand="0" w:evenVBand="0" w:oddHBand="0" w:evenHBand="0" w:firstRowFirstColumn="0" w:firstRowLastColumn="0" w:lastRowFirstColumn="0" w:lastRowLastColumn="0"/>
            <w:tcW w:w="1102" w:type="dxa"/>
            <w:vMerge/>
            <w:tcBorders>
              <w:bottom w:val="dotDotDash" w:sz="4" w:space="0" w:color="2E74B5" w:themeColor="accent1" w:themeShade="BF"/>
            </w:tcBorders>
            <w:vAlign w:val="center"/>
          </w:tcPr>
          <w:p w14:paraId="320F7892" w14:textId="77777777" w:rsidR="009C328A" w:rsidRPr="00D507EC" w:rsidRDefault="009C328A" w:rsidP="009C328A">
            <w:pPr>
              <w:spacing w:line="360" w:lineRule="auto"/>
              <w:jc w:val="center"/>
              <w:rPr>
                <w:color w:val="000000" w:themeColor="text1"/>
                <w:sz w:val="20"/>
              </w:rPr>
            </w:pPr>
          </w:p>
        </w:tc>
        <w:tc>
          <w:tcPr>
            <w:tcW w:w="969" w:type="dxa"/>
            <w:tcBorders>
              <w:bottom w:val="dotDotDash" w:sz="4" w:space="0" w:color="2E74B5" w:themeColor="accent1" w:themeShade="BF"/>
            </w:tcBorders>
            <w:vAlign w:val="center"/>
          </w:tcPr>
          <w:p w14:paraId="16914B77" w14:textId="77777777" w:rsidR="009C328A" w:rsidRPr="00D507EC" w:rsidRDefault="009C328A" w:rsidP="009C328A">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color w:val="000000" w:themeColor="text1"/>
                <w:sz w:val="20"/>
              </w:rPr>
              <w:t>MSSP</w:t>
            </w:r>
          </w:p>
        </w:tc>
        <w:tc>
          <w:tcPr>
            <w:tcW w:w="427" w:type="dxa"/>
            <w:tcBorders>
              <w:bottom w:val="dotDotDash" w:sz="4" w:space="0" w:color="2E74B5" w:themeColor="accent1" w:themeShade="BF"/>
            </w:tcBorders>
            <w:vAlign w:val="center"/>
          </w:tcPr>
          <w:p w14:paraId="5F08C036" w14:textId="77777777" w:rsidR="009C328A" w:rsidRPr="00D507EC" w:rsidRDefault="009C328A" w:rsidP="009C328A">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color w:val="000000" w:themeColor="text1"/>
                <w:sz w:val="20"/>
              </w:rPr>
              <w:t>50</w:t>
            </w:r>
          </w:p>
        </w:tc>
        <w:tc>
          <w:tcPr>
            <w:tcW w:w="725" w:type="dxa"/>
            <w:tcBorders>
              <w:bottom w:val="dotDotDash" w:sz="4" w:space="0" w:color="2E74B5" w:themeColor="accent1" w:themeShade="BF"/>
            </w:tcBorders>
          </w:tcPr>
          <w:p w14:paraId="6DC2C95B" w14:textId="77777777" w:rsidR="009C328A" w:rsidRPr="00D507EC" w:rsidRDefault="009C328A" w:rsidP="00DB140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color w:val="000000" w:themeColor="text1"/>
                <w:sz w:val="20"/>
              </w:rPr>
              <w:t>0</w:t>
            </w:r>
          </w:p>
        </w:tc>
        <w:tc>
          <w:tcPr>
            <w:tcW w:w="581" w:type="dxa"/>
            <w:tcBorders>
              <w:bottom w:val="dotDotDash" w:sz="4" w:space="0" w:color="2E74B5" w:themeColor="accent1" w:themeShade="BF"/>
            </w:tcBorders>
          </w:tcPr>
          <w:p w14:paraId="64B39DEB" w14:textId="77777777" w:rsidR="009C328A" w:rsidRPr="00D507EC" w:rsidRDefault="009C328A" w:rsidP="00DB140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color w:val="000000" w:themeColor="text1"/>
                <w:sz w:val="20"/>
              </w:rPr>
              <w:t>0</w:t>
            </w:r>
          </w:p>
        </w:tc>
        <w:tc>
          <w:tcPr>
            <w:tcW w:w="1011" w:type="dxa"/>
            <w:tcBorders>
              <w:bottom w:val="dotDotDash" w:sz="4" w:space="0" w:color="2E74B5" w:themeColor="accent1" w:themeShade="BF"/>
            </w:tcBorders>
          </w:tcPr>
          <w:p w14:paraId="59BE35EF" w14:textId="77777777" w:rsidR="009C328A" w:rsidRPr="00D507EC" w:rsidRDefault="009C328A" w:rsidP="00DB140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color w:val="000000" w:themeColor="text1"/>
                <w:sz w:val="20"/>
              </w:rPr>
              <w:t>38</w:t>
            </w:r>
          </w:p>
        </w:tc>
        <w:tc>
          <w:tcPr>
            <w:tcW w:w="992" w:type="dxa"/>
            <w:tcBorders>
              <w:bottom w:val="dotDotDash" w:sz="4" w:space="0" w:color="2E74B5" w:themeColor="accent1" w:themeShade="BF"/>
            </w:tcBorders>
          </w:tcPr>
          <w:p w14:paraId="7127EB70" w14:textId="77777777" w:rsidR="009C328A" w:rsidRPr="00D507EC" w:rsidRDefault="009C328A"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color w:val="000000" w:themeColor="text1"/>
                <w:sz w:val="20"/>
              </w:rPr>
              <w:t>12</w:t>
            </w:r>
          </w:p>
        </w:tc>
        <w:tc>
          <w:tcPr>
            <w:tcW w:w="1418" w:type="dxa"/>
            <w:tcBorders>
              <w:bottom w:val="dotDotDash" w:sz="4" w:space="0" w:color="2E74B5" w:themeColor="accent1" w:themeShade="BF"/>
            </w:tcBorders>
          </w:tcPr>
          <w:p w14:paraId="23800AD2" w14:textId="77777777" w:rsidR="009C328A" w:rsidRPr="00D507EC" w:rsidRDefault="009C328A"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color w:val="000000" w:themeColor="text1"/>
                <w:sz w:val="20"/>
              </w:rPr>
              <w:t>0</w:t>
            </w:r>
          </w:p>
        </w:tc>
        <w:tc>
          <w:tcPr>
            <w:tcW w:w="1275" w:type="dxa"/>
            <w:tcBorders>
              <w:bottom w:val="dotDotDash" w:sz="4" w:space="0" w:color="2E74B5" w:themeColor="accent1" w:themeShade="BF"/>
            </w:tcBorders>
          </w:tcPr>
          <w:p w14:paraId="022BD9C2" w14:textId="77777777" w:rsidR="009C328A" w:rsidRPr="00D507EC" w:rsidRDefault="009C328A"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color w:val="000000" w:themeColor="text1"/>
                <w:sz w:val="20"/>
              </w:rPr>
              <w:t>0</w:t>
            </w:r>
          </w:p>
        </w:tc>
        <w:tc>
          <w:tcPr>
            <w:tcW w:w="567" w:type="dxa"/>
            <w:tcBorders>
              <w:bottom w:val="dotDotDash" w:sz="4" w:space="0" w:color="2E74B5" w:themeColor="accent1" w:themeShade="BF"/>
            </w:tcBorders>
          </w:tcPr>
          <w:p w14:paraId="674D952E" w14:textId="77777777" w:rsidR="009C328A" w:rsidRPr="00D507EC" w:rsidRDefault="009C328A"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color w:val="000000" w:themeColor="text1"/>
                <w:sz w:val="20"/>
              </w:rPr>
              <w:t>0</w:t>
            </w:r>
          </w:p>
        </w:tc>
        <w:tc>
          <w:tcPr>
            <w:tcW w:w="567" w:type="dxa"/>
            <w:tcBorders>
              <w:bottom w:val="dotDotDash" w:sz="4" w:space="0" w:color="2E74B5" w:themeColor="accent1" w:themeShade="BF"/>
            </w:tcBorders>
          </w:tcPr>
          <w:p w14:paraId="2660FE46" w14:textId="77777777" w:rsidR="009C328A" w:rsidRPr="00D507EC" w:rsidRDefault="009C328A"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color w:val="000000" w:themeColor="text1"/>
                <w:sz w:val="20"/>
              </w:rPr>
              <w:t>0</w:t>
            </w:r>
          </w:p>
        </w:tc>
        <w:tc>
          <w:tcPr>
            <w:tcW w:w="794" w:type="dxa"/>
            <w:tcBorders>
              <w:bottom w:val="dotDotDash" w:sz="4" w:space="0" w:color="2E74B5" w:themeColor="accent1" w:themeShade="BF"/>
            </w:tcBorders>
            <w:vAlign w:val="center"/>
          </w:tcPr>
          <w:p w14:paraId="720797DF" w14:textId="77777777" w:rsidR="009C328A" w:rsidRPr="00D507EC" w:rsidRDefault="009C328A" w:rsidP="009C328A">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color w:val="000000" w:themeColor="text1"/>
                <w:sz w:val="20"/>
              </w:rPr>
              <w:t>0.5</w:t>
            </w:r>
          </w:p>
        </w:tc>
        <w:tc>
          <w:tcPr>
            <w:tcW w:w="865" w:type="dxa"/>
            <w:gridSpan w:val="2"/>
            <w:tcBorders>
              <w:bottom w:val="dotDotDash" w:sz="4" w:space="0" w:color="2E74B5" w:themeColor="accent1" w:themeShade="BF"/>
            </w:tcBorders>
            <w:vAlign w:val="center"/>
          </w:tcPr>
          <w:p w14:paraId="285A3B0D" w14:textId="77777777" w:rsidR="009C328A" w:rsidRPr="00D507EC" w:rsidRDefault="009C328A" w:rsidP="009C328A">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color w:val="000000" w:themeColor="text1"/>
                <w:sz w:val="20"/>
              </w:rPr>
              <w:t>1</w:t>
            </w:r>
          </w:p>
        </w:tc>
      </w:tr>
      <w:tr w:rsidR="009C328A" w:rsidRPr="00D507EC" w14:paraId="5C9266B2" w14:textId="77777777" w:rsidTr="005C71D9">
        <w:trPr>
          <w:trHeight w:val="315"/>
        </w:trPr>
        <w:tc>
          <w:tcPr>
            <w:cnfStyle w:val="001000000000" w:firstRow="0" w:lastRow="0" w:firstColumn="1" w:lastColumn="0" w:oddVBand="0" w:evenVBand="0" w:oddHBand="0" w:evenHBand="0" w:firstRowFirstColumn="0" w:firstRowLastColumn="0" w:lastRowFirstColumn="0" w:lastRowLastColumn="0"/>
            <w:tcW w:w="1102" w:type="dxa"/>
            <w:vMerge w:val="restart"/>
            <w:tcBorders>
              <w:top w:val="dotDotDash" w:sz="4" w:space="0" w:color="2E74B5" w:themeColor="accent1" w:themeShade="BF"/>
            </w:tcBorders>
            <w:vAlign w:val="center"/>
          </w:tcPr>
          <w:p w14:paraId="719F6716" w14:textId="77777777" w:rsidR="009C328A" w:rsidRPr="00D507EC" w:rsidRDefault="009C328A" w:rsidP="009C328A">
            <w:pPr>
              <w:spacing w:line="360" w:lineRule="auto"/>
              <w:jc w:val="center"/>
              <w:rPr>
                <w:color w:val="000000" w:themeColor="text1"/>
                <w:sz w:val="20"/>
              </w:rPr>
            </w:pPr>
            <w:r w:rsidRPr="00D507EC">
              <w:rPr>
                <w:color w:val="000000" w:themeColor="text1"/>
                <w:sz w:val="20"/>
              </w:rPr>
              <w:t>U.S.A.</w:t>
            </w:r>
          </w:p>
        </w:tc>
        <w:tc>
          <w:tcPr>
            <w:tcW w:w="969" w:type="dxa"/>
            <w:tcBorders>
              <w:top w:val="dotDotDash" w:sz="4" w:space="0" w:color="2E74B5" w:themeColor="accent1" w:themeShade="BF"/>
            </w:tcBorders>
            <w:vAlign w:val="center"/>
          </w:tcPr>
          <w:p w14:paraId="0B42B83F" w14:textId="77777777" w:rsidR="009C328A" w:rsidRPr="00D507EC" w:rsidRDefault="009C328A" w:rsidP="009C328A">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color w:val="000000" w:themeColor="text1"/>
                <w:sz w:val="20"/>
              </w:rPr>
              <w:t>MRSP</w:t>
            </w:r>
          </w:p>
        </w:tc>
        <w:tc>
          <w:tcPr>
            <w:tcW w:w="427" w:type="dxa"/>
            <w:tcBorders>
              <w:top w:val="dotDotDash" w:sz="4" w:space="0" w:color="2E74B5" w:themeColor="accent1" w:themeShade="BF"/>
            </w:tcBorders>
            <w:vAlign w:val="center"/>
          </w:tcPr>
          <w:p w14:paraId="19A3091A" w14:textId="77777777" w:rsidR="009C328A" w:rsidRPr="00D507EC" w:rsidRDefault="009C328A" w:rsidP="009C328A">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color w:val="000000" w:themeColor="text1"/>
                <w:sz w:val="20"/>
              </w:rPr>
              <w:t>50</w:t>
            </w:r>
          </w:p>
        </w:tc>
        <w:tc>
          <w:tcPr>
            <w:tcW w:w="725" w:type="dxa"/>
            <w:tcBorders>
              <w:top w:val="dotDotDash" w:sz="4" w:space="0" w:color="2E74B5" w:themeColor="accent1" w:themeShade="BF"/>
            </w:tcBorders>
          </w:tcPr>
          <w:p w14:paraId="1EA0F779" w14:textId="77777777" w:rsidR="009C328A" w:rsidRPr="00D507EC" w:rsidRDefault="009C328A" w:rsidP="00DB140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0</w:t>
            </w:r>
          </w:p>
        </w:tc>
        <w:tc>
          <w:tcPr>
            <w:tcW w:w="581" w:type="dxa"/>
            <w:tcBorders>
              <w:top w:val="dotDotDash" w:sz="4" w:space="0" w:color="2E74B5" w:themeColor="accent1" w:themeShade="BF"/>
            </w:tcBorders>
          </w:tcPr>
          <w:p w14:paraId="2042AC4F" w14:textId="77777777" w:rsidR="009C328A" w:rsidRPr="00D507EC" w:rsidRDefault="009C328A" w:rsidP="00DB140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0</w:t>
            </w:r>
          </w:p>
        </w:tc>
        <w:tc>
          <w:tcPr>
            <w:tcW w:w="1011" w:type="dxa"/>
            <w:tcBorders>
              <w:top w:val="dotDotDash" w:sz="4" w:space="0" w:color="2E74B5" w:themeColor="accent1" w:themeShade="BF"/>
            </w:tcBorders>
          </w:tcPr>
          <w:p w14:paraId="38D913E3" w14:textId="57EE6989" w:rsidR="009C328A" w:rsidRPr="00D507EC" w:rsidRDefault="009C328A" w:rsidP="00DB140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35</w:t>
            </w:r>
          </w:p>
          <w:p w14:paraId="7ADCC659" w14:textId="77777777" w:rsidR="009C328A" w:rsidRPr="00D507EC" w:rsidRDefault="009C328A"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 xml:space="preserve">n = 2 </w:t>
            </w:r>
            <w:r w:rsidRPr="00D507EC">
              <w:rPr>
                <w:rFonts w:ascii="Calibri" w:hAnsi="Calibri" w:cs="Calibri"/>
                <w:i/>
                <w:iCs/>
                <w:color w:val="000000" w:themeColor="text1"/>
                <w:sz w:val="20"/>
              </w:rPr>
              <w:t>smr</w:t>
            </w:r>
          </w:p>
        </w:tc>
        <w:tc>
          <w:tcPr>
            <w:tcW w:w="992" w:type="dxa"/>
            <w:tcBorders>
              <w:top w:val="dotDotDash" w:sz="4" w:space="0" w:color="2E74B5" w:themeColor="accent1" w:themeShade="BF"/>
            </w:tcBorders>
          </w:tcPr>
          <w:p w14:paraId="02B25134" w14:textId="77777777" w:rsidR="009C328A" w:rsidRPr="00D507EC" w:rsidRDefault="009C328A"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15</w:t>
            </w:r>
          </w:p>
          <w:p w14:paraId="0DE1D797" w14:textId="77777777" w:rsidR="009C328A" w:rsidRPr="00D507EC" w:rsidRDefault="009C328A"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 xml:space="preserve">n = 1 </w:t>
            </w:r>
            <w:r w:rsidRPr="00D507EC">
              <w:rPr>
                <w:rFonts w:ascii="Calibri" w:hAnsi="Calibri" w:cs="Calibri"/>
                <w:i/>
                <w:iCs/>
                <w:color w:val="000000" w:themeColor="text1"/>
                <w:sz w:val="20"/>
              </w:rPr>
              <w:t>smr</w:t>
            </w:r>
          </w:p>
        </w:tc>
        <w:tc>
          <w:tcPr>
            <w:tcW w:w="1418" w:type="dxa"/>
            <w:tcBorders>
              <w:top w:val="dotDotDash" w:sz="4" w:space="0" w:color="2E74B5" w:themeColor="accent1" w:themeShade="BF"/>
            </w:tcBorders>
          </w:tcPr>
          <w:p w14:paraId="2C1868F7" w14:textId="77777777" w:rsidR="009C328A" w:rsidRPr="00D507EC" w:rsidRDefault="009C328A"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0</w:t>
            </w:r>
          </w:p>
        </w:tc>
        <w:tc>
          <w:tcPr>
            <w:tcW w:w="1275" w:type="dxa"/>
            <w:tcBorders>
              <w:top w:val="dotDotDash" w:sz="4" w:space="0" w:color="2E74B5" w:themeColor="accent1" w:themeShade="BF"/>
            </w:tcBorders>
          </w:tcPr>
          <w:p w14:paraId="3F7FA38C" w14:textId="77777777" w:rsidR="009C328A" w:rsidRPr="00D507EC" w:rsidRDefault="009C328A"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0</w:t>
            </w:r>
          </w:p>
        </w:tc>
        <w:tc>
          <w:tcPr>
            <w:tcW w:w="567" w:type="dxa"/>
            <w:tcBorders>
              <w:top w:val="dotDotDash" w:sz="4" w:space="0" w:color="2E74B5" w:themeColor="accent1" w:themeShade="BF"/>
            </w:tcBorders>
          </w:tcPr>
          <w:p w14:paraId="1EB20734" w14:textId="77777777" w:rsidR="009C328A" w:rsidRPr="00D507EC" w:rsidRDefault="009C328A"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0</w:t>
            </w:r>
          </w:p>
        </w:tc>
        <w:tc>
          <w:tcPr>
            <w:tcW w:w="567" w:type="dxa"/>
            <w:tcBorders>
              <w:top w:val="dotDotDash" w:sz="4" w:space="0" w:color="2E74B5" w:themeColor="accent1" w:themeShade="BF"/>
            </w:tcBorders>
          </w:tcPr>
          <w:p w14:paraId="2ECB2B76" w14:textId="77777777" w:rsidR="009C328A" w:rsidRPr="00D507EC" w:rsidRDefault="009C328A"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0</w:t>
            </w:r>
          </w:p>
        </w:tc>
        <w:tc>
          <w:tcPr>
            <w:tcW w:w="794" w:type="dxa"/>
            <w:tcBorders>
              <w:top w:val="dotDotDash" w:sz="4" w:space="0" w:color="2E74B5" w:themeColor="accent1" w:themeShade="BF"/>
            </w:tcBorders>
            <w:vAlign w:val="center"/>
          </w:tcPr>
          <w:p w14:paraId="434F11FA" w14:textId="77777777" w:rsidR="009C328A" w:rsidRPr="00D507EC" w:rsidRDefault="009C328A" w:rsidP="009C328A">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color w:val="000000" w:themeColor="text1"/>
                <w:sz w:val="20"/>
              </w:rPr>
              <w:t>0.5</w:t>
            </w:r>
          </w:p>
        </w:tc>
        <w:tc>
          <w:tcPr>
            <w:tcW w:w="865" w:type="dxa"/>
            <w:gridSpan w:val="2"/>
            <w:tcBorders>
              <w:top w:val="dotDotDash" w:sz="4" w:space="0" w:color="2E74B5" w:themeColor="accent1" w:themeShade="BF"/>
            </w:tcBorders>
            <w:vAlign w:val="center"/>
          </w:tcPr>
          <w:p w14:paraId="4B7181EE" w14:textId="77777777" w:rsidR="009C328A" w:rsidRPr="00D507EC" w:rsidRDefault="009C328A" w:rsidP="009C328A">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color w:val="000000" w:themeColor="text1"/>
                <w:sz w:val="20"/>
              </w:rPr>
              <w:t>1</w:t>
            </w:r>
          </w:p>
        </w:tc>
      </w:tr>
      <w:tr w:rsidR="009C328A" w:rsidRPr="00D507EC" w14:paraId="2F55C339" w14:textId="77777777" w:rsidTr="005C71D9">
        <w:trPr>
          <w:trHeight w:val="315"/>
        </w:trPr>
        <w:tc>
          <w:tcPr>
            <w:cnfStyle w:val="001000000000" w:firstRow="0" w:lastRow="0" w:firstColumn="1" w:lastColumn="0" w:oddVBand="0" w:evenVBand="0" w:oddHBand="0" w:evenHBand="0" w:firstRowFirstColumn="0" w:firstRowLastColumn="0" w:lastRowFirstColumn="0" w:lastRowLastColumn="0"/>
            <w:tcW w:w="1102" w:type="dxa"/>
            <w:vMerge/>
            <w:tcBorders>
              <w:bottom w:val="dotDotDash" w:sz="4" w:space="0" w:color="2E74B5" w:themeColor="accent1" w:themeShade="BF"/>
            </w:tcBorders>
            <w:vAlign w:val="center"/>
          </w:tcPr>
          <w:p w14:paraId="777A8F54" w14:textId="77777777" w:rsidR="009C328A" w:rsidRPr="00D507EC" w:rsidRDefault="009C328A" w:rsidP="009C328A">
            <w:pPr>
              <w:spacing w:line="360" w:lineRule="auto"/>
              <w:jc w:val="center"/>
              <w:rPr>
                <w:color w:val="000000" w:themeColor="text1"/>
                <w:sz w:val="20"/>
              </w:rPr>
            </w:pPr>
          </w:p>
        </w:tc>
        <w:tc>
          <w:tcPr>
            <w:tcW w:w="969" w:type="dxa"/>
            <w:tcBorders>
              <w:bottom w:val="dotDotDash" w:sz="4" w:space="0" w:color="2E74B5" w:themeColor="accent1" w:themeShade="BF"/>
            </w:tcBorders>
            <w:vAlign w:val="center"/>
          </w:tcPr>
          <w:p w14:paraId="33D99376" w14:textId="77777777" w:rsidR="009C328A" w:rsidRPr="00D507EC" w:rsidRDefault="009C328A" w:rsidP="009C328A">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color w:val="000000" w:themeColor="text1"/>
                <w:sz w:val="20"/>
              </w:rPr>
              <w:t>MSSP</w:t>
            </w:r>
          </w:p>
        </w:tc>
        <w:tc>
          <w:tcPr>
            <w:tcW w:w="427" w:type="dxa"/>
            <w:tcBorders>
              <w:bottom w:val="dotDotDash" w:sz="4" w:space="0" w:color="2E74B5" w:themeColor="accent1" w:themeShade="BF"/>
            </w:tcBorders>
            <w:vAlign w:val="center"/>
          </w:tcPr>
          <w:p w14:paraId="3CFAD8C7" w14:textId="77777777" w:rsidR="009C328A" w:rsidRPr="00D507EC" w:rsidRDefault="009C328A" w:rsidP="009C328A">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color w:val="000000" w:themeColor="text1"/>
                <w:sz w:val="20"/>
              </w:rPr>
              <w:t>51</w:t>
            </w:r>
          </w:p>
        </w:tc>
        <w:tc>
          <w:tcPr>
            <w:tcW w:w="725" w:type="dxa"/>
            <w:tcBorders>
              <w:bottom w:val="dotDotDash" w:sz="4" w:space="0" w:color="2E74B5" w:themeColor="accent1" w:themeShade="BF"/>
            </w:tcBorders>
          </w:tcPr>
          <w:p w14:paraId="7E5B2BFF" w14:textId="77777777" w:rsidR="009C328A" w:rsidRPr="00D507EC" w:rsidRDefault="009C328A" w:rsidP="00DB140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0</w:t>
            </w:r>
          </w:p>
        </w:tc>
        <w:tc>
          <w:tcPr>
            <w:tcW w:w="581" w:type="dxa"/>
            <w:tcBorders>
              <w:bottom w:val="dotDotDash" w:sz="4" w:space="0" w:color="2E74B5" w:themeColor="accent1" w:themeShade="BF"/>
            </w:tcBorders>
          </w:tcPr>
          <w:p w14:paraId="0AB3D073" w14:textId="77777777" w:rsidR="009C328A" w:rsidRPr="00D507EC" w:rsidRDefault="009C328A" w:rsidP="00DB140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0</w:t>
            </w:r>
          </w:p>
        </w:tc>
        <w:tc>
          <w:tcPr>
            <w:tcW w:w="1011" w:type="dxa"/>
            <w:tcBorders>
              <w:bottom w:val="dotDotDash" w:sz="4" w:space="0" w:color="2E74B5" w:themeColor="accent1" w:themeShade="BF"/>
            </w:tcBorders>
          </w:tcPr>
          <w:p w14:paraId="2F50742A" w14:textId="77777777" w:rsidR="009C328A" w:rsidRPr="00D507EC" w:rsidRDefault="009C328A" w:rsidP="00DB140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45</w:t>
            </w:r>
          </w:p>
          <w:p w14:paraId="3C85456D" w14:textId="77777777" w:rsidR="009C328A" w:rsidRPr="00D507EC" w:rsidRDefault="009C328A"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 xml:space="preserve">n = 1 </w:t>
            </w:r>
            <w:r w:rsidRPr="00D507EC">
              <w:rPr>
                <w:rFonts w:ascii="Calibri" w:hAnsi="Calibri" w:cs="Calibri"/>
                <w:i/>
                <w:iCs/>
                <w:color w:val="000000" w:themeColor="text1"/>
                <w:sz w:val="20"/>
              </w:rPr>
              <w:t>smr</w:t>
            </w:r>
          </w:p>
        </w:tc>
        <w:tc>
          <w:tcPr>
            <w:tcW w:w="992" w:type="dxa"/>
            <w:tcBorders>
              <w:bottom w:val="dotDotDash" w:sz="4" w:space="0" w:color="2E74B5" w:themeColor="accent1" w:themeShade="BF"/>
            </w:tcBorders>
          </w:tcPr>
          <w:p w14:paraId="5FC53C17" w14:textId="77777777" w:rsidR="009C328A" w:rsidRPr="00D507EC" w:rsidRDefault="009C328A"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4</w:t>
            </w:r>
          </w:p>
        </w:tc>
        <w:tc>
          <w:tcPr>
            <w:tcW w:w="1418" w:type="dxa"/>
            <w:tcBorders>
              <w:bottom w:val="dotDotDash" w:sz="4" w:space="0" w:color="2E74B5" w:themeColor="accent1" w:themeShade="BF"/>
            </w:tcBorders>
          </w:tcPr>
          <w:p w14:paraId="2C9F21DD" w14:textId="77777777" w:rsidR="009C328A" w:rsidRPr="00D507EC" w:rsidRDefault="009C328A"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1</w:t>
            </w:r>
          </w:p>
        </w:tc>
        <w:tc>
          <w:tcPr>
            <w:tcW w:w="1275" w:type="dxa"/>
            <w:tcBorders>
              <w:bottom w:val="dotDotDash" w:sz="4" w:space="0" w:color="2E74B5" w:themeColor="accent1" w:themeShade="BF"/>
            </w:tcBorders>
          </w:tcPr>
          <w:p w14:paraId="6FE2D726" w14:textId="77777777" w:rsidR="009C328A" w:rsidRPr="00D507EC" w:rsidRDefault="009C328A"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1</w:t>
            </w:r>
          </w:p>
        </w:tc>
        <w:tc>
          <w:tcPr>
            <w:tcW w:w="567" w:type="dxa"/>
            <w:tcBorders>
              <w:bottom w:val="dotDotDash" w:sz="4" w:space="0" w:color="2E74B5" w:themeColor="accent1" w:themeShade="BF"/>
            </w:tcBorders>
          </w:tcPr>
          <w:p w14:paraId="6C64D206" w14:textId="77777777" w:rsidR="009C328A" w:rsidRPr="00D507EC" w:rsidRDefault="009C328A"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0</w:t>
            </w:r>
          </w:p>
        </w:tc>
        <w:tc>
          <w:tcPr>
            <w:tcW w:w="567" w:type="dxa"/>
            <w:tcBorders>
              <w:bottom w:val="dotDotDash" w:sz="4" w:space="0" w:color="2E74B5" w:themeColor="accent1" w:themeShade="BF"/>
            </w:tcBorders>
          </w:tcPr>
          <w:p w14:paraId="72DA2EE1" w14:textId="77777777" w:rsidR="009C328A" w:rsidRPr="00D507EC" w:rsidRDefault="009C328A"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0</w:t>
            </w:r>
          </w:p>
        </w:tc>
        <w:tc>
          <w:tcPr>
            <w:tcW w:w="794" w:type="dxa"/>
            <w:tcBorders>
              <w:bottom w:val="dotDotDash" w:sz="4" w:space="0" w:color="2E74B5" w:themeColor="accent1" w:themeShade="BF"/>
            </w:tcBorders>
            <w:vAlign w:val="center"/>
          </w:tcPr>
          <w:p w14:paraId="374573F0" w14:textId="77777777" w:rsidR="009C328A" w:rsidRPr="00D507EC" w:rsidRDefault="009C328A" w:rsidP="009C328A">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color w:val="000000" w:themeColor="text1"/>
                <w:sz w:val="20"/>
              </w:rPr>
              <w:t>0.5</w:t>
            </w:r>
          </w:p>
        </w:tc>
        <w:tc>
          <w:tcPr>
            <w:tcW w:w="865" w:type="dxa"/>
            <w:gridSpan w:val="2"/>
            <w:tcBorders>
              <w:bottom w:val="dotDotDash" w:sz="4" w:space="0" w:color="2E74B5" w:themeColor="accent1" w:themeShade="BF"/>
            </w:tcBorders>
            <w:vAlign w:val="center"/>
          </w:tcPr>
          <w:p w14:paraId="7E7D7DF3" w14:textId="77777777" w:rsidR="009C328A" w:rsidRPr="00D507EC" w:rsidRDefault="009C328A" w:rsidP="009C328A">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color w:val="000000" w:themeColor="text1"/>
                <w:sz w:val="20"/>
              </w:rPr>
              <w:t>1</w:t>
            </w:r>
          </w:p>
        </w:tc>
      </w:tr>
      <w:tr w:rsidR="009C328A" w:rsidRPr="00D507EC" w14:paraId="4351BFF7" w14:textId="77777777" w:rsidTr="005C71D9">
        <w:trPr>
          <w:trHeight w:val="315"/>
        </w:trPr>
        <w:tc>
          <w:tcPr>
            <w:cnfStyle w:val="001000000000" w:firstRow="0" w:lastRow="0" w:firstColumn="1" w:lastColumn="0" w:oddVBand="0" w:evenVBand="0" w:oddHBand="0" w:evenHBand="0" w:firstRowFirstColumn="0" w:firstRowLastColumn="0" w:lastRowFirstColumn="0" w:lastRowLastColumn="0"/>
            <w:tcW w:w="1102" w:type="dxa"/>
            <w:vMerge w:val="restart"/>
            <w:tcBorders>
              <w:top w:val="dotDotDash" w:sz="4" w:space="0" w:color="2E74B5" w:themeColor="accent1" w:themeShade="BF"/>
            </w:tcBorders>
            <w:vAlign w:val="center"/>
          </w:tcPr>
          <w:p w14:paraId="082F2393" w14:textId="77777777" w:rsidR="009C328A" w:rsidRPr="00D507EC" w:rsidRDefault="009C328A" w:rsidP="009C328A">
            <w:pPr>
              <w:spacing w:line="360" w:lineRule="auto"/>
              <w:jc w:val="center"/>
              <w:rPr>
                <w:color w:val="000000" w:themeColor="text1"/>
                <w:sz w:val="20"/>
              </w:rPr>
            </w:pPr>
            <w:r w:rsidRPr="00D507EC">
              <w:rPr>
                <w:color w:val="000000" w:themeColor="text1"/>
                <w:sz w:val="20"/>
              </w:rPr>
              <w:t>NUK</w:t>
            </w:r>
            <w:r w:rsidRPr="00D507EC">
              <w:rPr>
                <w:color w:val="000000" w:themeColor="text1"/>
                <w:sz w:val="20"/>
                <w:vertAlign w:val="superscript"/>
              </w:rPr>
              <w:t>b</w:t>
            </w:r>
          </w:p>
        </w:tc>
        <w:tc>
          <w:tcPr>
            <w:tcW w:w="969" w:type="dxa"/>
            <w:tcBorders>
              <w:top w:val="dotDotDash" w:sz="4" w:space="0" w:color="2E74B5" w:themeColor="accent1" w:themeShade="BF"/>
            </w:tcBorders>
            <w:vAlign w:val="center"/>
          </w:tcPr>
          <w:p w14:paraId="137464EB" w14:textId="77777777" w:rsidR="009C328A" w:rsidRPr="00D507EC" w:rsidRDefault="009C328A" w:rsidP="009C328A">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color w:val="000000" w:themeColor="text1"/>
                <w:sz w:val="20"/>
              </w:rPr>
              <w:t>MRSP</w:t>
            </w:r>
          </w:p>
        </w:tc>
        <w:tc>
          <w:tcPr>
            <w:tcW w:w="427" w:type="dxa"/>
            <w:tcBorders>
              <w:top w:val="dotDotDash" w:sz="4" w:space="0" w:color="2E74B5" w:themeColor="accent1" w:themeShade="BF"/>
            </w:tcBorders>
            <w:vAlign w:val="center"/>
          </w:tcPr>
          <w:p w14:paraId="73504CC8" w14:textId="77777777" w:rsidR="009C328A" w:rsidRPr="00D507EC" w:rsidRDefault="009C328A" w:rsidP="009C328A">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color w:val="000000" w:themeColor="text1"/>
                <w:sz w:val="20"/>
              </w:rPr>
              <w:t>49</w:t>
            </w:r>
          </w:p>
        </w:tc>
        <w:tc>
          <w:tcPr>
            <w:tcW w:w="725" w:type="dxa"/>
            <w:tcBorders>
              <w:top w:val="dotDotDash" w:sz="4" w:space="0" w:color="2E74B5" w:themeColor="accent1" w:themeShade="BF"/>
            </w:tcBorders>
          </w:tcPr>
          <w:p w14:paraId="6A9E8472" w14:textId="77777777" w:rsidR="009C328A" w:rsidRPr="00D507EC" w:rsidRDefault="009C328A" w:rsidP="00DB140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0</w:t>
            </w:r>
          </w:p>
        </w:tc>
        <w:tc>
          <w:tcPr>
            <w:tcW w:w="581" w:type="dxa"/>
            <w:tcBorders>
              <w:top w:val="dotDotDash" w:sz="4" w:space="0" w:color="2E74B5" w:themeColor="accent1" w:themeShade="BF"/>
            </w:tcBorders>
          </w:tcPr>
          <w:p w14:paraId="5E4C09EA" w14:textId="77777777" w:rsidR="009C328A" w:rsidRPr="00D507EC" w:rsidRDefault="009C328A" w:rsidP="00DB140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0</w:t>
            </w:r>
          </w:p>
        </w:tc>
        <w:tc>
          <w:tcPr>
            <w:tcW w:w="1011" w:type="dxa"/>
            <w:tcBorders>
              <w:top w:val="dotDotDash" w:sz="4" w:space="0" w:color="2E74B5" w:themeColor="accent1" w:themeShade="BF"/>
            </w:tcBorders>
          </w:tcPr>
          <w:p w14:paraId="2625438E" w14:textId="77777777" w:rsidR="009C328A" w:rsidRPr="00D507EC" w:rsidRDefault="009C328A" w:rsidP="00DB140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0</w:t>
            </w:r>
          </w:p>
        </w:tc>
        <w:tc>
          <w:tcPr>
            <w:tcW w:w="992" w:type="dxa"/>
            <w:tcBorders>
              <w:top w:val="dotDotDash" w:sz="4" w:space="0" w:color="2E74B5" w:themeColor="accent1" w:themeShade="BF"/>
            </w:tcBorders>
          </w:tcPr>
          <w:p w14:paraId="7E9D677D" w14:textId="77777777" w:rsidR="009C328A" w:rsidRPr="00D507EC" w:rsidRDefault="009C328A"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16</w:t>
            </w:r>
          </w:p>
        </w:tc>
        <w:tc>
          <w:tcPr>
            <w:tcW w:w="1418" w:type="dxa"/>
            <w:tcBorders>
              <w:top w:val="dotDotDash" w:sz="4" w:space="0" w:color="2E74B5" w:themeColor="accent1" w:themeShade="BF"/>
            </w:tcBorders>
          </w:tcPr>
          <w:p w14:paraId="77981C7E" w14:textId="77777777" w:rsidR="009C328A" w:rsidRPr="00D507EC" w:rsidRDefault="009C328A"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25</w:t>
            </w:r>
          </w:p>
        </w:tc>
        <w:tc>
          <w:tcPr>
            <w:tcW w:w="1275" w:type="dxa"/>
            <w:tcBorders>
              <w:top w:val="dotDotDash" w:sz="4" w:space="0" w:color="2E74B5" w:themeColor="accent1" w:themeShade="BF"/>
            </w:tcBorders>
          </w:tcPr>
          <w:p w14:paraId="218A182B" w14:textId="77777777" w:rsidR="009C328A" w:rsidRPr="00D507EC" w:rsidRDefault="009C328A"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8</w:t>
            </w:r>
          </w:p>
        </w:tc>
        <w:tc>
          <w:tcPr>
            <w:tcW w:w="567" w:type="dxa"/>
            <w:tcBorders>
              <w:top w:val="dotDotDash" w:sz="4" w:space="0" w:color="2E74B5" w:themeColor="accent1" w:themeShade="BF"/>
            </w:tcBorders>
          </w:tcPr>
          <w:p w14:paraId="49CDEFFA" w14:textId="77777777" w:rsidR="009C328A" w:rsidRPr="00D507EC" w:rsidRDefault="009C328A"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0</w:t>
            </w:r>
          </w:p>
        </w:tc>
        <w:tc>
          <w:tcPr>
            <w:tcW w:w="567" w:type="dxa"/>
            <w:tcBorders>
              <w:top w:val="dotDotDash" w:sz="4" w:space="0" w:color="2E74B5" w:themeColor="accent1" w:themeShade="BF"/>
            </w:tcBorders>
          </w:tcPr>
          <w:p w14:paraId="7C7C3929" w14:textId="77777777" w:rsidR="009C328A" w:rsidRPr="00D507EC" w:rsidRDefault="009C328A"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0</w:t>
            </w:r>
          </w:p>
        </w:tc>
        <w:tc>
          <w:tcPr>
            <w:tcW w:w="794" w:type="dxa"/>
            <w:tcBorders>
              <w:top w:val="dotDotDash" w:sz="4" w:space="0" w:color="2E74B5" w:themeColor="accent1" w:themeShade="BF"/>
            </w:tcBorders>
            <w:vAlign w:val="center"/>
          </w:tcPr>
          <w:p w14:paraId="44A9D6F3" w14:textId="77777777" w:rsidR="009C328A" w:rsidRPr="00D507EC" w:rsidRDefault="009C328A" w:rsidP="009C328A">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2</w:t>
            </w:r>
          </w:p>
        </w:tc>
        <w:tc>
          <w:tcPr>
            <w:tcW w:w="865" w:type="dxa"/>
            <w:gridSpan w:val="2"/>
            <w:tcBorders>
              <w:top w:val="dotDotDash" w:sz="4" w:space="0" w:color="2E74B5" w:themeColor="accent1" w:themeShade="BF"/>
            </w:tcBorders>
            <w:vAlign w:val="center"/>
          </w:tcPr>
          <w:p w14:paraId="42A80843" w14:textId="77777777" w:rsidR="009C328A" w:rsidRPr="00D507EC" w:rsidRDefault="009C328A" w:rsidP="009C328A">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4</w:t>
            </w:r>
          </w:p>
        </w:tc>
      </w:tr>
      <w:tr w:rsidR="009C328A" w:rsidRPr="00D507EC" w14:paraId="78F2021E" w14:textId="77777777" w:rsidTr="005C71D9">
        <w:trPr>
          <w:trHeight w:val="315"/>
        </w:trPr>
        <w:tc>
          <w:tcPr>
            <w:cnfStyle w:val="001000000000" w:firstRow="0" w:lastRow="0" w:firstColumn="1" w:lastColumn="0" w:oddVBand="0" w:evenVBand="0" w:oddHBand="0" w:evenHBand="0" w:firstRowFirstColumn="0" w:firstRowLastColumn="0" w:lastRowFirstColumn="0" w:lastRowLastColumn="0"/>
            <w:tcW w:w="1102" w:type="dxa"/>
            <w:vMerge/>
            <w:vAlign w:val="center"/>
          </w:tcPr>
          <w:p w14:paraId="323E4777" w14:textId="77777777" w:rsidR="009C328A" w:rsidRPr="00D507EC" w:rsidRDefault="009C328A" w:rsidP="009C328A">
            <w:pPr>
              <w:spacing w:line="360" w:lineRule="auto"/>
              <w:jc w:val="center"/>
              <w:rPr>
                <w:color w:val="000000" w:themeColor="text1"/>
                <w:sz w:val="20"/>
              </w:rPr>
            </w:pPr>
          </w:p>
        </w:tc>
        <w:tc>
          <w:tcPr>
            <w:tcW w:w="969" w:type="dxa"/>
            <w:vAlign w:val="center"/>
          </w:tcPr>
          <w:p w14:paraId="1A4866D1" w14:textId="77777777" w:rsidR="009C328A" w:rsidRPr="00D507EC" w:rsidRDefault="009C328A" w:rsidP="009C328A">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color w:val="000000" w:themeColor="text1"/>
                <w:sz w:val="20"/>
              </w:rPr>
              <w:t>MSSP</w:t>
            </w:r>
          </w:p>
        </w:tc>
        <w:tc>
          <w:tcPr>
            <w:tcW w:w="427" w:type="dxa"/>
            <w:vAlign w:val="center"/>
          </w:tcPr>
          <w:p w14:paraId="669D1772" w14:textId="77777777" w:rsidR="009C328A" w:rsidRPr="00D507EC" w:rsidRDefault="009C328A" w:rsidP="009C328A">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color w:val="000000" w:themeColor="text1"/>
                <w:sz w:val="20"/>
              </w:rPr>
              <w:t>50</w:t>
            </w:r>
          </w:p>
        </w:tc>
        <w:tc>
          <w:tcPr>
            <w:tcW w:w="725" w:type="dxa"/>
          </w:tcPr>
          <w:p w14:paraId="3399611B" w14:textId="77777777" w:rsidR="009C328A" w:rsidRPr="00D507EC" w:rsidRDefault="009C328A" w:rsidP="00DB140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0</w:t>
            </w:r>
          </w:p>
        </w:tc>
        <w:tc>
          <w:tcPr>
            <w:tcW w:w="581" w:type="dxa"/>
          </w:tcPr>
          <w:p w14:paraId="1E2F29D8" w14:textId="77777777" w:rsidR="009C328A" w:rsidRPr="00D507EC" w:rsidRDefault="009C328A" w:rsidP="00DB140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0</w:t>
            </w:r>
          </w:p>
        </w:tc>
        <w:tc>
          <w:tcPr>
            <w:tcW w:w="1011" w:type="dxa"/>
          </w:tcPr>
          <w:p w14:paraId="1264FF90" w14:textId="77777777" w:rsidR="009C328A" w:rsidRPr="00D507EC" w:rsidRDefault="009C328A" w:rsidP="00DB140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0</w:t>
            </w:r>
          </w:p>
        </w:tc>
        <w:tc>
          <w:tcPr>
            <w:tcW w:w="992" w:type="dxa"/>
          </w:tcPr>
          <w:p w14:paraId="47AD04B7" w14:textId="77777777" w:rsidR="009C328A" w:rsidRPr="00D507EC" w:rsidRDefault="009C328A"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36</w:t>
            </w:r>
          </w:p>
        </w:tc>
        <w:tc>
          <w:tcPr>
            <w:tcW w:w="1418" w:type="dxa"/>
          </w:tcPr>
          <w:p w14:paraId="539AAC4F" w14:textId="70539BF6" w:rsidR="009C328A" w:rsidRPr="00D507EC" w:rsidRDefault="009C328A"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14</w:t>
            </w:r>
          </w:p>
          <w:p w14:paraId="6FD125A4" w14:textId="77777777" w:rsidR="009C328A" w:rsidRPr="00D507EC" w:rsidRDefault="009C328A"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 xml:space="preserve">n = 1 </w:t>
            </w:r>
            <w:r w:rsidRPr="00D507EC">
              <w:rPr>
                <w:rFonts w:ascii="Calibri" w:hAnsi="Calibri" w:cs="Calibri"/>
                <w:i/>
                <w:iCs/>
                <w:color w:val="000000" w:themeColor="text1"/>
                <w:sz w:val="20"/>
              </w:rPr>
              <w:t>qacA/B</w:t>
            </w:r>
          </w:p>
        </w:tc>
        <w:tc>
          <w:tcPr>
            <w:tcW w:w="1275" w:type="dxa"/>
          </w:tcPr>
          <w:p w14:paraId="459E07B4" w14:textId="77777777" w:rsidR="009C328A" w:rsidRPr="00D507EC" w:rsidRDefault="009C328A"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0</w:t>
            </w:r>
          </w:p>
        </w:tc>
        <w:tc>
          <w:tcPr>
            <w:tcW w:w="567" w:type="dxa"/>
          </w:tcPr>
          <w:p w14:paraId="5A9A596F" w14:textId="77777777" w:rsidR="009C328A" w:rsidRPr="00D507EC" w:rsidRDefault="009C328A"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0</w:t>
            </w:r>
          </w:p>
        </w:tc>
        <w:tc>
          <w:tcPr>
            <w:tcW w:w="567" w:type="dxa"/>
          </w:tcPr>
          <w:p w14:paraId="6E65D761" w14:textId="77777777" w:rsidR="009C328A" w:rsidRPr="00D507EC" w:rsidRDefault="009C328A"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0</w:t>
            </w:r>
          </w:p>
        </w:tc>
        <w:tc>
          <w:tcPr>
            <w:tcW w:w="794" w:type="dxa"/>
            <w:vAlign w:val="center"/>
          </w:tcPr>
          <w:p w14:paraId="54049F32" w14:textId="77777777" w:rsidR="009C328A" w:rsidRPr="00D507EC" w:rsidRDefault="009C328A" w:rsidP="009C328A">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1</w:t>
            </w:r>
          </w:p>
        </w:tc>
        <w:tc>
          <w:tcPr>
            <w:tcW w:w="865" w:type="dxa"/>
            <w:gridSpan w:val="2"/>
            <w:vAlign w:val="center"/>
          </w:tcPr>
          <w:p w14:paraId="505C1DDA" w14:textId="77777777" w:rsidR="009C328A" w:rsidRPr="00D507EC" w:rsidRDefault="009C328A" w:rsidP="009C328A">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2</w:t>
            </w:r>
          </w:p>
        </w:tc>
      </w:tr>
      <w:tr w:rsidR="009C328A" w:rsidRPr="00D507EC" w14:paraId="71153CBF" w14:textId="77777777" w:rsidTr="005C71D9">
        <w:trPr>
          <w:trHeight w:val="315"/>
        </w:trPr>
        <w:tc>
          <w:tcPr>
            <w:cnfStyle w:val="001000000000" w:firstRow="0" w:lastRow="0" w:firstColumn="1" w:lastColumn="0" w:oddVBand="0" w:evenVBand="0" w:oddHBand="0" w:evenHBand="0" w:firstRowFirstColumn="0" w:firstRowLastColumn="0" w:lastRowFirstColumn="0" w:lastRowLastColumn="0"/>
            <w:tcW w:w="1102" w:type="dxa"/>
            <w:vMerge w:val="restart"/>
            <w:tcBorders>
              <w:top w:val="dotDotDash" w:sz="4" w:space="0" w:color="2E74B5" w:themeColor="accent1" w:themeShade="BF"/>
            </w:tcBorders>
            <w:vAlign w:val="center"/>
          </w:tcPr>
          <w:p w14:paraId="77483580" w14:textId="77777777" w:rsidR="009C328A" w:rsidRPr="00D507EC" w:rsidRDefault="009C328A" w:rsidP="009C328A">
            <w:pPr>
              <w:spacing w:line="360" w:lineRule="auto"/>
              <w:jc w:val="center"/>
              <w:rPr>
                <w:color w:val="000000" w:themeColor="text1"/>
                <w:sz w:val="20"/>
              </w:rPr>
            </w:pPr>
            <w:r w:rsidRPr="00D507EC">
              <w:rPr>
                <w:color w:val="000000" w:themeColor="text1"/>
                <w:sz w:val="20"/>
              </w:rPr>
              <w:t>SEUK</w:t>
            </w:r>
            <w:r w:rsidRPr="00D507EC">
              <w:rPr>
                <w:color w:val="000000" w:themeColor="text1"/>
                <w:sz w:val="20"/>
                <w:vertAlign w:val="superscript"/>
              </w:rPr>
              <w:t>a</w:t>
            </w:r>
          </w:p>
        </w:tc>
        <w:tc>
          <w:tcPr>
            <w:tcW w:w="969" w:type="dxa"/>
            <w:tcBorders>
              <w:top w:val="dotDotDash" w:sz="4" w:space="0" w:color="2E74B5" w:themeColor="accent1" w:themeShade="BF"/>
            </w:tcBorders>
            <w:vAlign w:val="center"/>
          </w:tcPr>
          <w:p w14:paraId="28397267" w14:textId="77777777" w:rsidR="009C328A" w:rsidRPr="00D507EC" w:rsidRDefault="009C328A" w:rsidP="009C328A">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color w:val="000000" w:themeColor="text1"/>
                <w:sz w:val="20"/>
              </w:rPr>
              <w:t>MRSP</w:t>
            </w:r>
          </w:p>
        </w:tc>
        <w:tc>
          <w:tcPr>
            <w:tcW w:w="427" w:type="dxa"/>
            <w:tcBorders>
              <w:top w:val="dotDotDash" w:sz="4" w:space="0" w:color="2E74B5" w:themeColor="accent1" w:themeShade="BF"/>
            </w:tcBorders>
            <w:vAlign w:val="center"/>
          </w:tcPr>
          <w:p w14:paraId="3EE6997B" w14:textId="77777777" w:rsidR="009C328A" w:rsidRPr="00D507EC" w:rsidRDefault="009C328A" w:rsidP="009C328A">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color w:val="000000" w:themeColor="text1"/>
                <w:sz w:val="20"/>
              </w:rPr>
              <w:t>47</w:t>
            </w:r>
          </w:p>
        </w:tc>
        <w:tc>
          <w:tcPr>
            <w:tcW w:w="725" w:type="dxa"/>
            <w:tcBorders>
              <w:top w:val="dotDotDash" w:sz="4" w:space="0" w:color="2E74B5" w:themeColor="accent1" w:themeShade="BF"/>
            </w:tcBorders>
          </w:tcPr>
          <w:p w14:paraId="2F9AE923" w14:textId="77777777" w:rsidR="009C328A" w:rsidRPr="00D507EC" w:rsidRDefault="009C328A" w:rsidP="00DB140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0</w:t>
            </w:r>
          </w:p>
        </w:tc>
        <w:tc>
          <w:tcPr>
            <w:tcW w:w="581" w:type="dxa"/>
            <w:tcBorders>
              <w:top w:val="dotDotDash" w:sz="4" w:space="0" w:color="2E74B5" w:themeColor="accent1" w:themeShade="BF"/>
            </w:tcBorders>
          </w:tcPr>
          <w:p w14:paraId="64EEBB4E" w14:textId="77777777" w:rsidR="009C328A" w:rsidRPr="00D507EC" w:rsidRDefault="009C328A" w:rsidP="00DB140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0</w:t>
            </w:r>
          </w:p>
        </w:tc>
        <w:tc>
          <w:tcPr>
            <w:tcW w:w="1011" w:type="dxa"/>
            <w:tcBorders>
              <w:top w:val="dotDotDash" w:sz="4" w:space="0" w:color="2E74B5" w:themeColor="accent1" w:themeShade="BF"/>
            </w:tcBorders>
          </w:tcPr>
          <w:p w14:paraId="35948623" w14:textId="77777777" w:rsidR="009C328A" w:rsidRPr="00D507EC" w:rsidRDefault="009C328A" w:rsidP="00DB140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0</w:t>
            </w:r>
          </w:p>
        </w:tc>
        <w:tc>
          <w:tcPr>
            <w:tcW w:w="992" w:type="dxa"/>
            <w:tcBorders>
              <w:top w:val="dotDotDash" w:sz="4" w:space="0" w:color="2E74B5" w:themeColor="accent1" w:themeShade="BF"/>
            </w:tcBorders>
          </w:tcPr>
          <w:p w14:paraId="1DEACEA6" w14:textId="77777777" w:rsidR="009C328A" w:rsidRPr="00D507EC" w:rsidRDefault="009C328A"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21</w:t>
            </w:r>
          </w:p>
        </w:tc>
        <w:tc>
          <w:tcPr>
            <w:tcW w:w="1418" w:type="dxa"/>
            <w:tcBorders>
              <w:top w:val="dotDotDash" w:sz="4" w:space="0" w:color="2E74B5" w:themeColor="accent1" w:themeShade="BF"/>
            </w:tcBorders>
          </w:tcPr>
          <w:p w14:paraId="5406794A" w14:textId="77777777" w:rsidR="009C328A" w:rsidRPr="00D507EC" w:rsidRDefault="009C328A"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23</w:t>
            </w:r>
          </w:p>
        </w:tc>
        <w:tc>
          <w:tcPr>
            <w:tcW w:w="1275" w:type="dxa"/>
            <w:tcBorders>
              <w:top w:val="dotDotDash" w:sz="4" w:space="0" w:color="2E74B5" w:themeColor="accent1" w:themeShade="BF"/>
            </w:tcBorders>
          </w:tcPr>
          <w:p w14:paraId="1767F48F" w14:textId="77777777" w:rsidR="009C328A" w:rsidRPr="00D507EC" w:rsidRDefault="009C328A"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2</w:t>
            </w:r>
          </w:p>
        </w:tc>
        <w:tc>
          <w:tcPr>
            <w:tcW w:w="567" w:type="dxa"/>
            <w:tcBorders>
              <w:top w:val="dotDotDash" w:sz="4" w:space="0" w:color="2E74B5" w:themeColor="accent1" w:themeShade="BF"/>
            </w:tcBorders>
          </w:tcPr>
          <w:p w14:paraId="0A1DE247" w14:textId="77777777" w:rsidR="009C328A" w:rsidRPr="00D507EC" w:rsidRDefault="009C328A"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1</w:t>
            </w:r>
          </w:p>
        </w:tc>
        <w:tc>
          <w:tcPr>
            <w:tcW w:w="567" w:type="dxa"/>
            <w:tcBorders>
              <w:top w:val="dotDotDash" w:sz="4" w:space="0" w:color="2E74B5" w:themeColor="accent1" w:themeShade="BF"/>
            </w:tcBorders>
          </w:tcPr>
          <w:p w14:paraId="377E667B" w14:textId="77777777" w:rsidR="009C328A" w:rsidRPr="00D507EC" w:rsidRDefault="009C328A"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0</w:t>
            </w:r>
          </w:p>
        </w:tc>
        <w:tc>
          <w:tcPr>
            <w:tcW w:w="794" w:type="dxa"/>
            <w:tcBorders>
              <w:top w:val="dotDotDash" w:sz="4" w:space="0" w:color="2E74B5" w:themeColor="accent1" w:themeShade="BF"/>
            </w:tcBorders>
            <w:vAlign w:val="center"/>
          </w:tcPr>
          <w:p w14:paraId="072E485D" w14:textId="77777777" w:rsidR="009C328A" w:rsidRPr="00D507EC" w:rsidRDefault="009C328A" w:rsidP="009C328A">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2</w:t>
            </w:r>
          </w:p>
        </w:tc>
        <w:tc>
          <w:tcPr>
            <w:tcW w:w="865" w:type="dxa"/>
            <w:gridSpan w:val="2"/>
            <w:tcBorders>
              <w:top w:val="dotDotDash" w:sz="4" w:space="0" w:color="2E74B5" w:themeColor="accent1" w:themeShade="BF"/>
            </w:tcBorders>
            <w:vAlign w:val="center"/>
          </w:tcPr>
          <w:p w14:paraId="159ADCCC" w14:textId="77777777" w:rsidR="009C328A" w:rsidRPr="00D507EC" w:rsidRDefault="009C328A" w:rsidP="009C328A">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2</w:t>
            </w:r>
          </w:p>
        </w:tc>
      </w:tr>
      <w:tr w:rsidR="009C328A" w:rsidRPr="00D507EC" w14:paraId="3A83636C" w14:textId="77777777" w:rsidTr="005C71D9">
        <w:trPr>
          <w:trHeight w:val="315"/>
        </w:trPr>
        <w:tc>
          <w:tcPr>
            <w:cnfStyle w:val="001000000000" w:firstRow="0" w:lastRow="0" w:firstColumn="1" w:lastColumn="0" w:oddVBand="0" w:evenVBand="0" w:oddHBand="0" w:evenHBand="0" w:firstRowFirstColumn="0" w:firstRowLastColumn="0" w:lastRowFirstColumn="0" w:lastRowLastColumn="0"/>
            <w:tcW w:w="1102" w:type="dxa"/>
            <w:vMerge/>
            <w:vAlign w:val="center"/>
          </w:tcPr>
          <w:p w14:paraId="56C865E5" w14:textId="77777777" w:rsidR="009C328A" w:rsidRPr="00D507EC" w:rsidRDefault="009C328A" w:rsidP="009C328A">
            <w:pPr>
              <w:spacing w:line="360" w:lineRule="auto"/>
              <w:jc w:val="center"/>
              <w:rPr>
                <w:color w:val="000000" w:themeColor="text1"/>
                <w:sz w:val="20"/>
              </w:rPr>
            </w:pPr>
          </w:p>
        </w:tc>
        <w:tc>
          <w:tcPr>
            <w:tcW w:w="969" w:type="dxa"/>
            <w:vAlign w:val="center"/>
          </w:tcPr>
          <w:p w14:paraId="60F9DB6E" w14:textId="77777777" w:rsidR="009C328A" w:rsidRPr="00D507EC" w:rsidRDefault="009C328A" w:rsidP="009C328A">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color w:val="000000" w:themeColor="text1"/>
                <w:sz w:val="20"/>
              </w:rPr>
              <w:t>MSSP</w:t>
            </w:r>
          </w:p>
        </w:tc>
        <w:tc>
          <w:tcPr>
            <w:tcW w:w="427" w:type="dxa"/>
            <w:vAlign w:val="center"/>
          </w:tcPr>
          <w:p w14:paraId="6C63F19C" w14:textId="77777777" w:rsidR="009C328A" w:rsidRPr="00D507EC" w:rsidRDefault="009C328A" w:rsidP="009C328A">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color w:val="000000" w:themeColor="text1"/>
                <w:sz w:val="20"/>
              </w:rPr>
              <w:t>44</w:t>
            </w:r>
          </w:p>
        </w:tc>
        <w:tc>
          <w:tcPr>
            <w:tcW w:w="725" w:type="dxa"/>
          </w:tcPr>
          <w:p w14:paraId="5138E807" w14:textId="77777777" w:rsidR="009C328A" w:rsidRPr="00D507EC" w:rsidRDefault="009C328A" w:rsidP="00DB140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0</w:t>
            </w:r>
          </w:p>
        </w:tc>
        <w:tc>
          <w:tcPr>
            <w:tcW w:w="581" w:type="dxa"/>
          </w:tcPr>
          <w:p w14:paraId="0F2A4636" w14:textId="77777777" w:rsidR="009C328A" w:rsidRPr="00D507EC" w:rsidRDefault="009C328A" w:rsidP="00DB140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0</w:t>
            </w:r>
          </w:p>
        </w:tc>
        <w:tc>
          <w:tcPr>
            <w:tcW w:w="1011" w:type="dxa"/>
          </w:tcPr>
          <w:p w14:paraId="63D44E25" w14:textId="77777777" w:rsidR="009C328A" w:rsidRPr="00D507EC" w:rsidRDefault="009C328A" w:rsidP="00DB140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1</w:t>
            </w:r>
          </w:p>
        </w:tc>
        <w:tc>
          <w:tcPr>
            <w:tcW w:w="992" w:type="dxa"/>
          </w:tcPr>
          <w:p w14:paraId="62C6DB0C" w14:textId="77777777" w:rsidR="009C328A" w:rsidRPr="00D507EC" w:rsidRDefault="009C328A"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22</w:t>
            </w:r>
          </w:p>
        </w:tc>
        <w:tc>
          <w:tcPr>
            <w:tcW w:w="1418" w:type="dxa"/>
          </w:tcPr>
          <w:p w14:paraId="01CE53FF" w14:textId="77777777" w:rsidR="009C328A" w:rsidRPr="00D507EC" w:rsidRDefault="009C328A"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17</w:t>
            </w:r>
          </w:p>
        </w:tc>
        <w:tc>
          <w:tcPr>
            <w:tcW w:w="1275" w:type="dxa"/>
          </w:tcPr>
          <w:p w14:paraId="6379220B" w14:textId="77777777" w:rsidR="009C328A" w:rsidRPr="00D507EC" w:rsidRDefault="009C328A"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2</w:t>
            </w:r>
          </w:p>
        </w:tc>
        <w:tc>
          <w:tcPr>
            <w:tcW w:w="567" w:type="dxa"/>
          </w:tcPr>
          <w:p w14:paraId="391BF9FC" w14:textId="77777777" w:rsidR="009C328A" w:rsidRPr="00D507EC" w:rsidRDefault="009C328A"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2</w:t>
            </w:r>
          </w:p>
        </w:tc>
        <w:tc>
          <w:tcPr>
            <w:tcW w:w="567" w:type="dxa"/>
          </w:tcPr>
          <w:p w14:paraId="0151F7F1" w14:textId="77777777" w:rsidR="009C328A" w:rsidRPr="00D507EC" w:rsidRDefault="009C328A"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0</w:t>
            </w:r>
          </w:p>
        </w:tc>
        <w:tc>
          <w:tcPr>
            <w:tcW w:w="794" w:type="dxa"/>
            <w:vAlign w:val="center"/>
          </w:tcPr>
          <w:p w14:paraId="40A17F4A" w14:textId="77777777" w:rsidR="009C328A" w:rsidRPr="00D507EC" w:rsidRDefault="009C328A" w:rsidP="009C328A">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1</w:t>
            </w:r>
          </w:p>
        </w:tc>
        <w:tc>
          <w:tcPr>
            <w:tcW w:w="865" w:type="dxa"/>
            <w:gridSpan w:val="2"/>
            <w:vAlign w:val="center"/>
          </w:tcPr>
          <w:p w14:paraId="0E9D1034" w14:textId="77777777" w:rsidR="009C328A" w:rsidRPr="00D507EC" w:rsidRDefault="009C328A" w:rsidP="009C328A">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2</w:t>
            </w:r>
          </w:p>
        </w:tc>
      </w:tr>
      <w:tr w:rsidR="009C328A" w:rsidRPr="00D507EC" w14:paraId="05CCD6D6" w14:textId="77777777" w:rsidTr="005C71D9">
        <w:trPr>
          <w:trHeight w:val="315"/>
        </w:trPr>
        <w:tc>
          <w:tcPr>
            <w:cnfStyle w:val="001000000000" w:firstRow="0" w:lastRow="0" w:firstColumn="1" w:lastColumn="0" w:oddVBand="0" w:evenVBand="0" w:oddHBand="0" w:evenHBand="0" w:firstRowFirstColumn="0" w:firstRowLastColumn="0" w:lastRowFirstColumn="0" w:lastRowLastColumn="0"/>
            <w:tcW w:w="1102" w:type="dxa"/>
            <w:vMerge/>
            <w:vAlign w:val="center"/>
          </w:tcPr>
          <w:p w14:paraId="5D89F97A" w14:textId="77777777" w:rsidR="009C328A" w:rsidRPr="00D507EC" w:rsidRDefault="009C328A" w:rsidP="009C328A">
            <w:pPr>
              <w:spacing w:line="360" w:lineRule="auto"/>
              <w:jc w:val="center"/>
              <w:rPr>
                <w:color w:val="000000" w:themeColor="text1"/>
                <w:sz w:val="20"/>
              </w:rPr>
            </w:pPr>
          </w:p>
        </w:tc>
        <w:tc>
          <w:tcPr>
            <w:tcW w:w="969" w:type="dxa"/>
            <w:vAlign w:val="center"/>
          </w:tcPr>
          <w:p w14:paraId="1134B5F5" w14:textId="77777777" w:rsidR="009C328A" w:rsidRPr="00D507EC" w:rsidRDefault="009C328A" w:rsidP="009C328A">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color w:val="000000" w:themeColor="text1"/>
                <w:sz w:val="20"/>
              </w:rPr>
              <w:t>MRSA</w:t>
            </w:r>
          </w:p>
        </w:tc>
        <w:tc>
          <w:tcPr>
            <w:tcW w:w="427" w:type="dxa"/>
            <w:vAlign w:val="center"/>
          </w:tcPr>
          <w:p w14:paraId="2E353C6A" w14:textId="77777777" w:rsidR="009C328A" w:rsidRPr="00D507EC" w:rsidRDefault="009C328A" w:rsidP="009C328A">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color w:val="000000" w:themeColor="text1"/>
                <w:sz w:val="20"/>
              </w:rPr>
              <w:t>50</w:t>
            </w:r>
          </w:p>
        </w:tc>
        <w:tc>
          <w:tcPr>
            <w:tcW w:w="725" w:type="dxa"/>
          </w:tcPr>
          <w:p w14:paraId="4B5B8221" w14:textId="77777777" w:rsidR="009C328A" w:rsidRPr="00D507EC" w:rsidRDefault="009C328A" w:rsidP="00DB140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0</w:t>
            </w:r>
          </w:p>
        </w:tc>
        <w:tc>
          <w:tcPr>
            <w:tcW w:w="581" w:type="dxa"/>
          </w:tcPr>
          <w:p w14:paraId="109BFABE" w14:textId="77777777" w:rsidR="009C328A" w:rsidRPr="00D507EC" w:rsidRDefault="009C328A" w:rsidP="00DB140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0</w:t>
            </w:r>
          </w:p>
        </w:tc>
        <w:tc>
          <w:tcPr>
            <w:tcW w:w="1011" w:type="dxa"/>
          </w:tcPr>
          <w:p w14:paraId="4AEEFAD4" w14:textId="77777777" w:rsidR="009C328A" w:rsidRPr="00D507EC" w:rsidRDefault="009C328A" w:rsidP="00DB140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0</w:t>
            </w:r>
          </w:p>
        </w:tc>
        <w:tc>
          <w:tcPr>
            <w:tcW w:w="992" w:type="dxa"/>
          </w:tcPr>
          <w:p w14:paraId="4D196C82" w14:textId="77777777" w:rsidR="009C328A" w:rsidRPr="00D507EC" w:rsidRDefault="009C328A"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0</w:t>
            </w:r>
          </w:p>
        </w:tc>
        <w:tc>
          <w:tcPr>
            <w:tcW w:w="1418" w:type="dxa"/>
          </w:tcPr>
          <w:p w14:paraId="63649ABB" w14:textId="77777777" w:rsidR="009C328A" w:rsidRPr="00D507EC" w:rsidRDefault="009C328A"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0</w:t>
            </w:r>
          </w:p>
        </w:tc>
        <w:tc>
          <w:tcPr>
            <w:tcW w:w="1275" w:type="dxa"/>
          </w:tcPr>
          <w:p w14:paraId="2590DA2B" w14:textId="77777777" w:rsidR="009C328A" w:rsidRPr="00D507EC" w:rsidRDefault="009C328A"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49</w:t>
            </w:r>
          </w:p>
        </w:tc>
        <w:tc>
          <w:tcPr>
            <w:tcW w:w="567" w:type="dxa"/>
          </w:tcPr>
          <w:p w14:paraId="410E5C1E" w14:textId="77777777" w:rsidR="009C328A" w:rsidRPr="00D507EC" w:rsidRDefault="009C328A"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1</w:t>
            </w:r>
          </w:p>
        </w:tc>
        <w:tc>
          <w:tcPr>
            <w:tcW w:w="567" w:type="dxa"/>
          </w:tcPr>
          <w:p w14:paraId="5EF0C316" w14:textId="77777777" w:rsidR="009C328A" w:rsidRPr="00D507EC" w:rsidRDefault="009C328A"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0</w:t>
            </w:r>
          </w:p>
        </w:tc>
        <w:tc>
          <w:tcPr>
            <w:tcW w:w="794" w:type="dxa"/>
            <w:vAlign w:val="center"/>
          </w:tcPr>
          <w:p w14:paraId="55791B2D" w14:textId="77777777" w:rsidR="009C328A" w:rsidRPr="00D507EC" w:rsidRDefault="009C328A" w:rsidP="009C328A">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4</w:t>
            </w:r>
          </w:p>
        </w:tc>
        <w:tc>
          <w:tcPr>
            <w:tcW w:w="865" w:type="dxa"/>
            <w:gridSpan w:val="2"/>
            <w:vAlign w:val="center"/>
          </w:tcPr>
          <w:p w14:paraId="221474AD" w14:textId="77777777" w:rsidR="009C328A" w:rsidRPr="00D507EC" w:rsidRDefault="009C328A" w:rsidP="009C328A">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4</w:t>
            </w:r>
          </w:p>
        </w:tc>
      </w:tr>
      <w:tr w:rsidR="009C328A" w:rsidRPr="00D507EC" w14:paraId="0FFACA33" w14:textId="77777777" w:rsidTr="005C71D9">
        <w:trPr>
          <w:trHeight w:val="315"/>
        </w:trPr>
        <w:tc>
          <w:tcPr>
            <w:cnfStyle w:val="001000000000" w:firstRow="0" w:lastRow="0" w:firstColumn="1" w:lastColumn="0" w:oddVBand="0" w:evenVBand="0" w:oddHBand="0" w:evenHBand="0" w:firstRowFirstColumn="0" w:firstRowLastColumn="0" w:lastRowFirstColumn="0" w:lastRowLastColumn="0"/>
            <w:tcW w:w="1102" w:type="dxa"/>
            <w:vMerge/>
            <w:tcBorders>
              <w:bottom w:val="dotDotDash" w:sz="4" w:space="0" w:color="2E74B5" w:themeColor="accent1" w:themeShade="BF"/>
            </w:tcBorders>
            <w:vAlign w:val="center"/>
          </w:tcPr>
          <w:p w14:paraId="1E5A75E2" w14:textId="77777777" w:rsidR="009C328A" w:rsidRPr="00D507EC" w:rsidRDefault="009C328A" w:rsidP="009C328A">
            <w:pPr>
              <w:spacing w:line="360" w:lineRule="auto"/>
              <w:jc w:val="center"/>
              <w:rPr>
                <w:color w:val="000000" w:themeColor="text1"/>
                <w:sz w:val="20"/>
              </w:rPr>
            </w:pPr>
          </w:p>
        </w:tc>
        <w:tc>
          <w:tcPr>
            <w:tcW w:w="969" w:type="dxa"/>
            <w:tcBorders>
              <w:bottom w:val="dotDotDash" w:sz="4" w:space="0" w:color="2E74B5" w:themeColor="accent1" w:themeShade="BF"/>
            </w:tcBorders>
            <w:vAlign w:val="center"/>
          </w:tcPr>
          <w:p w14:paraId="0F69240A" w14:textId="77777777" w:rsidR="009C328A" w:rsidRPr="00D507EC" w:rsidRDefault="009C328A" w:rsidP="009C328A">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color w:val="000000" w:themeColor="text1"/>
                <w:sz w:val="20"/>
              </w:rPr>
              <w:t>MSSA</w:t>
            </w:r>
          </w:p>
        </w:tc>
        <w:tc>
          <w:tcPr>
            <w:tcW w:w="427" w:type="dxa"/>
            <w:tcBorders>
              <w:bottom w:val="dotDotDash" w:sz="4" w:space="0" w:color="2E74B5" w:themeColor="accent1" w:themeShade="BF"/>
            </w:tcBorders>
            <w:vAlign w:val="center"/>
          </w:tcPr>
          <w:p w14:paraId="4F984B4E" w14:textId="77777777" w:rsidR="009C328A" w:rsidRPr="00D507EC" w:rsidRDefault="009C328A" w:rsidP="009C328A">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color w:val="000000" w:themeColor="text1"/>
                <w:sz w:val="20"/>
              </w:rPr>
              <w:t>50</w:t>
            </w:r>
          </w:p>
        </w:tc>
        <w:tc>
          <w:tcPr>
            <w:tcW w:w="725" w:type="dxa"/>
            <w:tcBorders>
              <w:bottom w:val="dotDotDash" w:sz="4" w:space="0" w:color="2E74B5" w:themeColor="accent1" w:themeShade="BF"/>
            </w:tcBorders>
          </w:tcPr>
          <w:p w14:paraId="208DC79B" w14:textId="77777777" w:rsidR="009C328A" w:rsidRPr="00D507EC" w:rsidRDefault="009C328A" w:rsidP="00DB140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0</w:t>
            </w:r>
          </w:p>
        </w:tc>
        <w:tc>
          <w:tcPr>
            <w:tcW w:w="581" w:type="dxa"/>
            <w:tcBorders>
              <w:bottom w:val="dotDotDash" w:sz="4" w:space="0" w:color="2E74B5" w:themeColor="accent1" w:themeShade="BF"/>
            </w:tcBorders>
          </w:tcPr>
          <w:p w14:paraId="7A2F37BB" w14:textId="77777777" w:rsidR="009C328A" w:rsidRPr="00D507EC" w:rsidRDefault="009C328A" w:rsidP="00DB140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0</w:t>
            </w:r>
          </w:p>
        </w:tc>
        <w:tc>
          <w:tcPr>
            <w:tcW w:w="1011" w:type="dxa"/>
            <w:tcBorders>
              <w:bottom w:val="dotDotDash" w:sz="4" w:space="0" w:color="2E74B5" w:themeColor="accent1" w:themeShade="BF"/>
            </w:tcBorders>
          </w:tcPr>
          <w:p w14:paraId="007A0A82" w14:textId="77777777" w:rsidR="009C328A" w:rsidRPr="00D507EC" w:rsidRDefault="009C328A" w:rsidP="00DB140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1</w:t>
            </w:r>
          </w:p>
        </w:tc>
        <w:tc>
          <w:tcPr>
            <w:tcW w:w="992" w:type="dxa"/>
            <w:tcBorders>
              <w:bottom w:val="dotDotDash" w:sz="4" w:space="0" w:color="2E74B5" w:themeColor="accent1" w:themeShade="BF"/>
            </w:tcBorders>
          </w:tcPr>
          <w:p w14:paraId="64F1BD38" w14:textId="77777777" w:rsidR="009C328A" w:rsidRPr="00D507EC" w:rsidRDefault="009C328A"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22</w:t>
            </w:r>
          </w:p>
        </w:tc>
        <w:tc>
          <w:tcPr>
            <w:tcW w:w="1418" w:type="dxa"/>
            <w:tcBorders>
              <w:bottom w:val="dotDotDash" w:sz="4" w:space="0" w:color="2E74B5" w:themeColor="accent1" w:themeShade="BF"/>
            </w:tcBorders>
          </w:tcPr>
          <w:p w14:paraId="28F4FCB1" w14:textId="77777777" w:rsidR="009C328A" w:rsidRPr="00D507EC" w:rsidRDefault="009C328A"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22</w:t>
            </w:r>
          </w:p>
        </w:tc>
        <w:tc>
          <w:tcPr>
            <w:tcW w:w="1275" w:type="dxa"/>
            <w:tcBorders>
              <w:bottom w:val="dotDotDash" w:sz="4" w:space="0" w:color="2E74B5" w:themeColor="accent1" w:themeShade="BF"/>
            </w:tcBorders>
          </w:tcPr>
          <w:p w14:paraId="598ECE18" w14:textId="52931B7C" w:rsidR="009C328A" w:rsidRPr="00D507EC" w:rsidRDefault="009C328A"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5</w:t>
            </w:r>
          </w:p>
          <w:p w14:paraId="5685469C" w14:textId="77777777" w:rsidR="009C328A" w:rsidRPr="00D507EC" w:rsidRDefault="009C328A"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themeColor="text1"/>
                <w:sz w:val="20"/>
              </w:rPr>
            </w:pPr>
            <w:r w:rsidRPr="00D507EC">
              <w:rPr>
                <w:rFonts w:ascii="Calibri" w:hAnsi="Calibri" w:cs="Calibri"/>
                <w:color w:val="000000" w:themeColor="text1"/>
                <w:sz w:val="20"/>
              </w:rPr>
              <w:t xml:space="preserve">n = 1 </w:t>
            </w:r>
            <w:r w:rsidRPr="00D507EC">
              <w:rPr>
                <w:rFonts w:ascii="Calibri" w:hAnsi="Calibri" w:cs="Calibri"/>
                <w:i/>
                <w:iCs/>
                <w:color w:val="000000" w:themeColor="text1"/>
                <w:sz w:val="20"/>
              </w:rPr>
              <w:t>qacA/B</w:t>
            </w:r>
          </w:p>
          <w:p w14:paraId="51F2AAFC" w14:textId="77777777" w:rsidR="009C328A" w:rsidRPr="00D507EC" w:rsidRDefault="009C328A"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iCs/>
                <w:color w:val="000000" w:themeColor="text1"/>
                <w:sz w:val="20"/>
              </w:rPr>
              <w:t xml:space="preserve">n = </w:t>
            </w:r>
            <w:r w:rsidRPr="00D507EC">
              <w:rPr>
                <w:rFonts w:ascii="Calibri" w:hAnsi="Calibri" w:cs="Calibri"/>
                <w:color w:val="000000" w:themeColor="text1"/>
                <w:sz w:val="20"/>
              </w:rPr>
              <w:t xml:space="preserve">1 </w:t>
            </w:r>
            <w:r w:rsidRPr="00D507EC">
              <w:rPr>
                <w:rFonts w:ascii="Calibri" w:hAnsi="Calibri" w:cs="Calibri"/>
                <w:i/>
                <w:iCs/>
                <w:color w:val="000000" w:themeColor="text1"/>
                <w:sz w:val="20"/>
              </w:rPr>
              <w:t>smr</w:t>
            </w:r>
          </w:p>
        </w:tc>
        <w:tc>
          <w:tcPr>
            <w:tcW w:w="567" w:type="dxa"/>
            <w:tcBorders>
              <w:bottom w:val="dotDotDash" w:sz="4" w:space="0" w:color="2E74B5" w:themeColor="accent1" w:themeShade="BF"/>
            </w:tcBorders>
          </w:tcPr>
          <w:p w14:paraId="659656FE" w14:textId="77777777" w:rsidR="009C328A" w:rsidRPr="00D507EC" w:rsidRDefault="009C328A"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0</w:t>
            </w:r>
          </w:p>
        </w:tc>
        <w:tc>
          <w:tcPr>
            <w:tcW w:w="567" w:type="dxa"/>
            <w:tcBorders>
              <w:bottom w:val="dotDotDash" w:sz="4" w:space="0" w:color="2E74B5" w:themeColor="accent1" w:themeShade="BF"/>
            </w:tcBorders>
          </w:tcPr>
          <w:p w14:paraId="5394391F" w14:textId="77777777" w:rsidR="009C328A" w:rsidRPr="00D507EC" w:rsidRDefault="009C328A"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0</w:t>
            </w:r>
          </w:p>
        </w:tc>
        <w:tc>
          <w:tcPr>
            <w:tcW w:w="794" w:type="dxa"/>
            <w:tcBorders>
              <w:bottom w:val="dotDotDash" w:sz="4" w:space="0" w:color="2E74B5" w:themeColor="accent1" w:themeShade="BF"/>
            </w:tcBorders>
            <w:vAlign w:val="center"/>
          </w:tcPr>
          <w:p w14:paraId="786034D9" w14:textId="77777777" w:rsidR="009C328A" w:rsidRPr="00D507EC" w:rsidRDefault="009C328A" w:rsidP="009C328A">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2</w:t>
            </w:r>
          </w:p>
        </w:tc>
        <w:tc>
          <w:tcPr>
            <w:tcW w:w="865" w:type="dxa"/>
            <w:gridSpan w:val="2"/>
            <w:tcBorders>
              <w:bottom w:val="dotDotDash" w:sz="4" w:space="0" w:color="2E74B5" w:themeColor="accent1" w:themeShade="BF"/>
            </w:tcBorders>
            <w:vAlign w:val="center"/>
          </w:tcPr>
          <w:p w14:paraId="1DD859D4" w14:textId="77777777" w:rsidR="009C328A" w:rsidRPr="00D507EC" w:rsidRDefault="009C328A" w:rsidP="009C328A">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2</w:t>
            </w:r>
          </w:p>
        </w:tc>
      </w:tr>
      <w:tr w:rsidR="009C328A" w:rsidRPr="00D507EC" w14:paraId="6A5DFF30" w14:textId="77777777" w:rsidTr="005C71D9">
        <w:trPr>
          <w:trHeight w:val="315"/>
        </w:trPr>
        <w:tc>
          <w:tcPr>
            <w:cnfStyle w:val="001000000000" w:firstRow="0" w:lastRow="0" w:firstColumn="1" w:lastColumn="0" w:oddVBand="0" w:evenVBand="0" w:oddHBand="0" w:evenHBand="0" w:firstRowFirstColumn="0" w:firstRowLastColumn="0" w:lastRowFirstColumn="0" w:lastRowLastColumn="0"/>
            <w:tcW w:w="1102" w:type="dxa"/>
            <w:vMerge w:val="restart"/>
            <w:tcBorders>
              <w:top w:val="dotDotDash" w:sz="4" w:space="0" w:color="2E74B5" w:themeColor="accent1" w:themeShade="BF"/>
            </w:tcBorders>
            <w:vAlign w:val="center"/>
          </w:tcPr>
          <w:p w14:paraId="232BB223" w14:textId="77777777" w:rsidR="009C328A" w:rsidRPr="00D507EC" w:rsidRDefault="009C328A" w:rsidP="009C328A">
            <w:pPr>
              <w:spacing w:line="360" w:lineRule="auto"/>
              <w:jc w:val="center"/>
              <w:rPr>
                <w:color w:val="000000" w:themeColor="text1"/>
                <w:sz w:val="20"/>
              </w:rPr>
            </w:pPr>
            <w:r w:rsidRPr="00D507EC">
              <w:rPr>
                <w:color w:val="000000" w:themeColor="text1"/>
                <w:sz w:val="20"/>
              </w:rPr>
              <w:t>Germany</w:t>
            </w:r>
            <w:r w:rsidRPr="00D507EC">
              <w:rPr>
                <w:color w:val="000000" w:themeColor="text1"/>
                <w:sz w:val="20"/>
                <w:vertAlign w:val="superscript"/>
              </w:rPr>
              <w:t>a</w:t>
            </w:r>
          </w:p>
        </w:tc>
        <w:tc>
          <w:tcPr>
            <w:tcW w:w="969" w:type="dxa"/>
            <w:tcBorders>
              <w:top w:val="dotDotDash" w:sz="4" w:space="0" w:color="2E74B5" w:themeColor="accent1" w:themeShade="BF"/>
            </w:tcBorders>
            <w:vAlign w:val="center"/>
          </w:tcPr>
          <w:p w14:paraId="5E5DB79D" w14:textId="77777777" w:rsidR="009C328A" w:rsidRPr="00D507EC" w:rsidRDefault="009C328A" w:rsidP="009C328A">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color w:val="000000" w:themeColor="text1"/>
                <w:sz w:val="20"/>
              </w:rPr>
              <w:t>MRSP</w:t>
            </w:r>
          </w:p>
        </w:tc>
        <w:tc>
          <w:tcPr>
            <w:tcW w:w="427" w:type="dxa"/>
            <w:tcBorders>
              <w:top w:val="dotDotDash" w:sz="4" w:space="0" w:color="2E74B5" w:themeColor="accent1" w:themeShade="BF"/>
            </w:tcBorders>
            <w:vAlign w:val="center"/>
          </w:tcPr>
          <w:p w14:paraId="4C59E624" w14:textId="77777777" w:rsidR="009C328A" w:rsidRPr="00D507EC" w:rsidRDefault="009C328A" w:rsidP="009C328A">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color w:val="000000" w:themeColor="text1"/>
                <w:sz w:val="20"/>
              </w:rPr>
              <w:t>24</w:t>
            </w:r>
          </w:p>
        </w:tc>
        <w:tc>
          <w:tcPr>
            <w:tcW w:w="725" w:type="dxa"/>
            <w:tcBorders>
              <w:top w:val="dotDotDash" w:sz="4" w:space="0" w:color="2E74B5" w:themeColor="accent1" w:themeShade="BF"/>
            </w:tcBorders>
          </w:tcPr>
          <w:p w14:paraId="2FDEC055" w14:textId="77777777" w:rsidR="009C328A" w:rsidRPr="00D507EC" w:rsidRDefault="009C328A" w:rsidP="00DB140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0</w:t>
            </w:r>
          </w:p>
        </w:tc>
        <w:tc>
          <w:tcPr>
            <w:tcW w:w="581" w:type="dxa"/>
            <w:tcBorders>
              <w:top w:val="dotDotDash" w:sz="4" w:space="0" w:color="2E74B5" w:themeColor="accent1" w:themeShade="BF"/>
            </w:tcBorders>
          </w:tcPr>
          <w:p w14:paraId="0F853AC6" w14:textId="77777777" w:rsidR="009C328A" w:rsidRPr="00D507EC" w:rsidRDefault="009C328A" w:rsidP="00DB140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0</w:t>
            </w:r>
          </w:p>
        </w:tc>
        <w:tc>
          <w:tcPr>
            <w:tcW w:w="1011" w:type="dxa"/>
            <w:tcBorders>
              <w:top w:val="dotDotDash" w:sz="4" w:space="0" w:color="2E74B5" w:themeColor="accent1" w:themeShade="BF"/>
            </w:tcBorders>
          </w:tcPr>
          <w:p w14:paraId="052C72C2" w14:textId="77777777" w:rsidR="009C328A" w:rsidRPr="00D507EC" w:rsidRDefault="009C328A" w:rsidP="00DB140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9</w:t>
            </w:r>
          </w:p>
        </w:tc>
        <w:tc>
          <w:tcPr>
            <w:tcW w:w="992" w:type="dxa"/>
            <w:tcBorders>
              <w:top w:val="dotDotDash" w:sz="4" w:space="0" w:color="2E74B5" w:themeColor="accent1" w:themeShade="BF"/>
            </w:tcBorders>
          </w:tcPr>
          <w:p w14:paraId="153B3221" w14:textId="77777777" w:rsidR="009C328A" w:rsidRPr="00D507EC" w:rsidRDefault="009C328A"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4</w:t>
            </w:r>
          </w:p>
        </w:tc>
        <w:tc>
          <w:tcPr>
            <w:tcW w:w="1418" w:type="dxa"/>
            <w:tcBorders>
              <w:top w:val="dotDotDash" w:sz="4" w:space="0" w:color="2E74B5" w:themeColor="accent1" w:themeShade="BF"/>
            </w:tcBorders>
          </w:tcPr>
          <w:p w14:paraId="1AFED191" w14:textId="77777777" w:rsidR="009C328A" w:rsidRPr="00D507EC" w:rsidRDefault="009C328A"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11</w:t>
            </w:r>
          </w:p>
        </w:tc>
        <w:tc>
          <w:tcPr>
            <w:tcW w:w="1275" w:type="dxa"/>
            <w:tcBorders>
              <w:top w:val="dotDotDash" w:sz="4" w:space="0" w:color="2E74B5" w:themeColor="accent1" w:themeShade="BF"/>
            </w:tcBorders>
          </w:tcPr>
          <w:p w14:paraId="3CBA5648" w14:textId="77777777" w:rsidR="009C328A" w:rsidRPr="00D507EC" w:rsidRDefault="009C328A"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0</w:t>
            </w:r>
          </w:p>
        </w:tc>
        <w:tc>
          <w:tcPr>
            <w:tcW w:w="567" w:type="dxa"/>
            <w:tcBorders>
              <w:top w:val="dotDotDash" w:sz="4" w:space="0" w:color="2E74B5" w:themeColor="accent1" w:themeShade="BF"/>
            </w:tcBorders>
          </w:tcPr>
          <w:p w14:paraId="538CE13F" w14:textId="77777777" w:rsidR="009C328A" w:rsidRPr="00D507EC" w:rsidRDefault="009C328A"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0</w:t>
            </w:r>
          </w:p>
        </w:tc>
        <w:tc>
          <w:tcPr>
            <w:tcW w:w="567" w:type="dxa"/>
            <w:tcBorders>
              <w:top w:val="dotDotDash" w:sz="4" w:space="0" w:color="2E74B5" w:themeColor="accent1" w:themeShade="BF"/>
            </w:tcBorders>
          </w:tcPr>
          <w:p w14:paraId="5EAA069A" w14:textId="77777777" w:rsidR="009C328A" w:rsidRPr="00D507EC" w:rsidRDefault="009C328A"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0</w:t>
            </w:r>
          </w:p>
        </w:tc>
        <w:tc>
          <w:tcPr>
            <w:tcW w:w="794" w:type="dxa"/>
            <w:tcBorders>
              <w:top w:val="dotDotDash" w:sz="4" w:space="0" w:color="2E74B5" w:themeColor="accent1" w:themeShade="BF"/>
            </w:tcBorders>
            <w:vAlign w:val="center"/>
          </w:tcPr>
          <w:p w14:paraId="3BCC1E2F" w14:textId="77777777" w:rsidR="009C328A" w:rsidRPr="00D507EC" w:rsidRDefault="009C328A" w:rsidP="009C328A">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1</w:t>
            </w:r>
          </w:p>
        </w:tc>
        <w:tc>
          <w:tcPr>
            <w:tcW w:w="865" w:type="dxa"/>
            <w:gridSpan w:val="2"/>
            <w:tcBorders>
              <w:top w:val="dotDotDash" w:sz="4" w:space="0" w:color="2E74B5" w:themeColor="accent1" w:themeShade="BF"/>
            </w:tcBorders>
            <w:vAlign w:val="center"/>
          </w:tcPr>
          <w:p w14:paraId="20AEBB8E" w14:textId="77777777" w:rsidR="009C328A" w:rsidRPr="00D507EC" w:rsidRDefault="009C328A" w:rsidP="009C328A">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2</w:t>
            </w:r>
          </w:p>
        </w:tc>
      </w:tr>
      <w:tr w:rsidR="009C328A" w:rsidRPr="00D507EC" w14:paraId="187CF4B1" w14:textId="77777777" w:rsidTr="005C71D9">
        <w:trPr>
          <w:trHeight w:val="315"/>
        </w:trPr>
        <w:tc>
          <w:tcPr>
            <w:cnfStyle w:val="001000000000" w:firstRow="0" w:lastRow="0" w:firstColumn="1" w:lastColumn="0" w:oddVBand="0" w:evenVBand="0" w:oddHBand="0" w:evenHBand="0" w:firstRowFirstColumn="0" w:firstRowLastColumn="0" w:lastRowFirstColumn="0" w:lastRowLastColumn="0"/>
            <w:tcW w:w="1102" w:type="dxa"/>
            <w:vMerge/>
            <w:vAlign w:val="center"/>
          </w:tcPr>
          <w:p w14:paraId="3313D504" w14:textId="77777777" w:rsidR="009C328A" w:rsidRPr="00D507EC" w:rsidRDefault="009C328A" w:rsidP="009C328A">
            <w:pPr>
              <w:spacing w:line="360" w:lineRule="auto"/>
              <w:jc w:val="center"/>
              <w:rPr>
                <w:color w:val="000000" w:themeColor="text1"/>
                <w:sz w:val="20"/>
              </w:rPr>
            </w:pPr>
          </w:p>
        </w:tc>
        <w:tc>
          <w:tcPr>
            <w:tcW w:w="969" w:type="dxa"/>
            <w:vAlign w:val="center"/>
          </w:tcPr>
          <w:p w14:paraId="1ADFC89B" w14:textId="77777777" w:rsidR="009C328A" w:rsidRPr="00D507EC" w:rsidRDefault="009C328A" w:rsidP="009C328A">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D507EC">
              <w:rPr>
                <w:color w:val="000000" w:themeColor="text1"/>
                <w:sz w:val="20"/>
              </w:rPr>
              <w:t>MSSP</w:t>
            </w:r>
          </w:p>
        </w:tc>
        <w:tc>
          <w:tcPr>
            <w:tcW w:w="427" w:type="dxa"/>
            <w:vAlign w:val="center"/>
          </w:tcPr>
          <w:p w14:paraId="161FA718" w14:textId="77777777" w:rsidR="009C328A" w:rsidRPr="00D507EC" w:rsidRDefault="009C328A" w:rsidP="009C328A">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color w:val="000000" w:themeColor="text1"/>
                <w:sz w:val="20"/>
              </w:rPr>
              <w:t>24</w:t>
            </w:r>
          </w:p>
        </w:tc>
        <w:tc>
          <w:tcPr>
            <w:tcW w:w="725" w:type="dxa"/>
          </w:tcPr>
          <w:p w14:paraId="575A13D1" w14:textId="77777777" w:rsidR="009C328A" w:rsidRPr="00D507EC" w:rsidRDefault="009C328A" w:rsidP="00DB140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0</w:t>
            </w:r>
          </w:p>
        </w:tc>
        <w:tc>
          <w:tcPr>
            <w:tcW w:w="581" w:type="dxa"/>
          </w:tcPr>
          <w:p w14:paraId="35B7196F" w14:textId="77777777" w:rsidR="009C328A" w:rsidRPr="00D507EC" w:rsidRDefault="009C328A" w:rsidP="00DB140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0</w:t>
            </w:r>
          </w:p>
        </w:tc>
        <w:tc>
          <w:tcPr>
            <w:tcW w:w="1011" w:type="dxa"/>
          </w:tcPr>
          <w:p w14:paraId="4C578F5D" w14:textId="77777777" w:rsidR="009C328A" w:rsidRPr="00D507EC" w:rsidRDefault="009C328A" w:rsidP="00DB140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11</w:t>
            </w:r>
          </w:p>
        </w:tc>
        <w:tc>
          <w:tcPr>
            <w:tcW w:w="992" w:type="dxa"/>
          </w:tcPr>
          <w:p w14:paraId="5623CD08" w14:textId="77777777" w:rsidR="009C328A" w:rsidRPr="00D507EC" w:rsidRDefault="009C328A"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13</w:t>
            </w:r>
          </w:p>
        </w:tc>
        <w:tc>
          <w:tcPr>
            <w:tcW w:w="1418" w:type="dxa"/>
          </w:tcPr>
          <w:p w14:paraId="367D9B7A" w14:textId="77777777" w:rsidR="009C328A" w:rsidRPr="00D507EC" w:rsidRDefault="009C328A"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0</w:t>
            </w:r>
          </w:p>
        </w:tc>
        <w:tc>
          <w:tcPr>
            <w:tcW w:w="1275" w:type="dxa"/>
          </w:tcPr>
          <w:p w14:paraId="0BC25C8F" w14:textId="77777777" w:rsidR="009C328A" w:rsidRPr="00D507EC" w:rsidRDefault="009C328A"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0</w:t>
            </w:r>
          </w:p>
        </w:tc>
        <w:tc>
          <w:tcPr>
            <w:tcW w:w="567" w:type="dxa"/>
          </w:tcPr>
          <w:p w14:paraId="3A658722" w14:textId="77777777" w:rsidR="009C328A" w:rsidRPr="00D507EC" w:rsidRDefault="009C328A"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0</w:t>
            </w:r>
          </w:p>
        </w:tc>
        <w:tc>
          <w:tcPr>
            <w:tcW w:w="567" w:type="dxa"/>
          </w:tcPr>
          <w:p w14:paraId="63FDEB22" w14:textId="77777777" w:rsidR="009C328A" w:rsidRPr="00D507EC" w:rsidRDefault="009C328A" w:rsidP="005C71D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0</w:t>
            </w:r>
          </w:p>
        </w:tc>
        <w:tc>
          <w:tcPr>
            <w:tcW w:w="794" w:type="dxa"/>
            <w:vAlign w:val="center"/>
          </w:tcPr>
          <w:p w14:paraId="1F3251A4" w14:textId="77777777" w:rsidR="009C328A" w:rsidRPr="00D507EC" w:rsidRDefault="009C328A" w:rsidP="009C328A">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1</w:t>
            </w:r>
          </w:p>
        </w:tc>
        <w:tc>
          <w:tcPr>
            <w:tcW w:w="865" w:type="dxa"/>
            <w:gridSpan w:val="2"/>
            <w:vAlign w:val="center"/>
          </w:tcPr>
          <w:p w14:paraId="6872D5B2" w14:textId="77777777" w:rsidR="009C328A" w:rsidRPr="00D507EC" w:rsidRDefault="009C328A" w:rsidP="009C328A">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rPr>
            </w:pPr>
            <w:r w:rsidRPr="00D507EC">
              <w:rPr>
                <w:rFonts w:ascii="Calibri" w:hAnsi="Calibri" w:cs="Calibri"/>
                <w:color w:val="000000" w:themeColor="text1"/>
                <w:sz w:val="20"/>
              </w:rPr>
              <w:t>1</w:t>
            </w:r>
          </w:p>
        </w:tc>
      </w:tr>
    </w:tbl>
    <w:p w14:paraId="48162674" w14:textId="23514B86" w:rsidR="009C328A" w:rsidRPr="00D507EC" w:rsidRDefault="009C328A" w:rsidP="00C5482F">
      <w:pPr>
        <w:pStyle w:val="Heading5"/>
        <w:rPr>
          <w:color w:val="000000" w:themeColor="text1"/>
        </w:rPr>
      </w:pPr>
      <w:r w:rsidRPr="00D507EC">
        <w:rPr>
          <w:color w:val="000000" w:themeColor="text1"/>
        </w:rPr>
        <w:t>b)</w:t>
      </w:r>
    </w:p>
    <w:p w14:paraId="40A3A55F" w14:textId="77777777" w:rsidR="009C328A" w:rsidRPr="00D507EC" w:rsidRDefault="009C328A" w:rsidP="00C5482F">
      <w:pPr>
        <w:pStyle w:val="Heading5"/>
        <w:rPr>
          <w:color w:val="000000" w:themeColor="text1"/>
        </w:rPr>
      </w:pPr>
    </w:p>
    <w:p w14:paraId="25439C37" w14:textId="77777777" w:rsidR="009C328A" w:rsidRPr="00D507EC" w:rsidRDefault="009C328A" w:rsidP="00C5482F">
      <w:pPr>
        <w:pStyle w:val="Heading5"/>
        <w:rPr>
          <w:color w:val="000000" w:themeColor="text1"/>
        </w:rPr>
      </w:pPr>
    </w:p>
    <w:p w14:paraId="1FC6CBE6" w14:textId="77777777" w:rsidR="009C328A" w:rsidRPr="00D507EC" w:rsidRDefault="009C328A" w:rsidP="00C5482F">
      <w:pPr>
        <w:pStyle w:val="Heading5"/>
        <w:rPr>
          <w:color w:val="000000" w:themeColor="text1"/>
        </w:rPr>
      </w:pPr>
    </w:p>
    <w:p w14:paraId="2B471B63" w14:textId="77777777" w:rsidR="009C328A" w:rsidRPr="00D507EC" w:rsidRDefault="009C328A" w:rsidP="00C5482F">
      <w:pPr>
        <w:pStyle w:val="Heading5"/>
        <w:rPr>
          <w:color w:val="000000" w:themeColor="text1"/>
        </w:rPr>
      </w:pPr>
    </w:p>
    <w:p w14:paraId="29D8B17B" w14:textId="77777777" w:rsidR="009C328A" w:rsidRPr="00D507EC" w:rsidRDefault="009C328A" w:rsidP="00C5482F">
      <w:pPr>
        <w:pStyle w:val="Heading5"/>
        <w:rPr>
          <w:color w:val="000000" w:themeColor="text1"/>
        </w:rPr>
      </w:pPr>
    </w:p>
    <w:p w14:paraId="7ED5C929" w14:textId="77777777" w:rsidR="009C328A" w:rsidRPr="00D507EC" w:rsidRDefault="009C328A" w:rsidP="00C5482F">
      <w:pPr>
        <w:pStyle w:val="Heading5"/>
        <w:rPr>
          <w:color w:val="000000" w:themeColor="text1"/>
        </w:rPr>
      </w:pPr>
    </w:p>
    <w:p w14:paraId="27D77475" w14:textId="77777777" w:rsidR="009C328A" w:rsidRPr="00D507EC" w:rsidRDefault="009C328A" w:rsidP="00C5482F">
      <w:pPr>
        <w:pStyle w:val="Heading5"/>
        <w:rPr>
          <w:color w:val="000000" w:themeColor="text1"/>
        </w:rPr>
      </w:pPr>
    </w:p>
    <w:p w14:paraId="57508B42" w14:textId="77777777" w:rsidR="009C328A" w:rsidRPr="00D507EC" w:rsidRDefault="009C328A" w:rsidP="00C5482F">
      <w:pPr>
        <w:pStyle w:val="Heading5"/>
        <w:rPr>
          <w:color w:val="000000" w:themeColor="text1"/>
        </w:rPr>
      </w:pPr>
    </w:p>
    <w:p w14:paraId="0F472DD9" w14:textId="77777777" w:rsidR="009C328A" w:rsidRPr="00D507EC" w:rsidRDefault="009C328A" w:rsidP="00C5482F">
      <w:pPr>
        <w:pStyle w:val="Heading5"/>
        <w:rPr>
          <w:color w:val="000000" w:themeColor="text1"/>
        </w:rPr>
      </w:pPr>
    </w:p>
    <w:p w14:paraId="38ECF513" w14:textId="0AA416B4" w:rsidR="009C328A" w:rsidRPr="00D507EC" w:rsidRDefault="009C328A" w:rsidP="00C5482F">
      <w:pPr>
        <w:pStyle w:val="Heading5"/>
        <w:rPr>
          <w:color w:val="000000" w:themeColor="text1"/>
        </w:rPr>
      </w:pPr>
    </w:p>
    <w:p w14:paraId="16FE6599" w14:textId="77777777" w:rsidR="009C328A" w:rsidRPr="00D507EC" w:rsidRDefault="009C328A" w:rsidP="009C328A">
      <w:pPr>
        <w:rPr>
          <w:color w:val="000000" w:themeColor="text1"/>
        </w:rPr>
      </w:pPr>
    </w:p>
    <w:p w14:paraId="7A1AFC48" w14:textId="77777777" w:rsidR="009C328A" w:rsidRPr="00D507EC" w:rsidRDefault="009C328A" w:rsidP="009C328A">
      <w:pPr>
        <w:rPr>
          <w:color w:val="000000" w:themeColor="text1"/>
        </w:rPr>
      </w:pPr>
    </w:p>
    <w:p w14:paraId="49B4BC11" w14:textId="77777777" w:rsidR="009C328A" w:rsidRPr="00D507EC" w:rsidRDefault="009C328A" w:rsidP="009C328A">
      <w:pPr>
        <w:rPr>
          <w:color w:val="000000" w:themeColor="text1"/>
        </w:rPr>
      </w:pPr>
    </w:p>
    <w:p w14:paraId="4D23769B" w14:textId="77777777" w:rsidR="009C328A" w:rsidRPr="00D507EC" w:rsidRDefault="009C328A" w:rsidP="009C328A">
      <w:pPr>
        <w:rPr>
          <w:color w:val="000000" w:themeColor="text1"/>
        </w:rPr>
      </w:pPr>
    </w:p>
    <w:p w14:paraId="1904C589" w14:textId="77777777" w:rsidR="009C328A" w:rsidRPr="00D507EC" w:rsidRDefault="009C328A" w:rsidP="009C328A">
      <w:pPr>
        <w:rPr>
          <w:color w:val="000000" w:themeColor="text1"/>
        </w:rPr>
      </w:pPr>
    </w:p>
    <w:p w14:paraId="09EC60A2" w14:textId="77777777" w:rsidR="009C328A" w:rsidRPr="00D507EC" w:rsidRDefault="009C328A" w:rsidP="009C328A">
      <w:pPr>
        <w:rPr>
          <w:color w:val="000000" w:themeColor="text1"/>
        </w:rPr>
      </w:pPr>
    </w:p>
    <w:p w14:paraId="606C6D96" w14:textId="77777777" w:rsidR="009C328A" w:rsidRPr="00D507EC" w:rsidRDefault="009C328A" w:rsidP="009C328A">
      <w:pPr>
        <w:rPr>
          <w:color w:val="000000" w:themeColor="text1"/>
        </w:rPr>
      </w:pPr>
    </w:p>
    <w:p w14:paraId="4A9720D3" w14:textId="77777777" w:rsidR="009C328A" w:rsidRPr="00D507EC" w:rsidRDefault="009C328A" w:rsidP="009C328A">
      <w:pPr>
        <w:rPr>
          <w:color w:val="000000" w:themeColor="text1"/>
        </w:rPr>
      </w:pPr>
    </w:p>
    <w:p w14:paraId="03AB9934" w14:textId="0CC3FAC7" w:rsidR="009C328A" w:rsidRPr="00D507EC" w:rsidRDefault="009C328A" w:rsidP="009C328A">
      <w:pPr>
        <w:pStyle w:val="Heading5"/>
        <w:rPr>
          <w:b/>
          <w:i/>
          <w:color w:val="000000" w:themeColor="text1"/>
        </w:rPr>
      </w:pPr>
      <w:r w:rsidRPr="00D507EC">
        <w:rPr>
          <w:color w:val="000000" w:themeColor="text1"/>
        </w:rPr>
        <w:t xml:space="preserve">MRSP: methicillin-resistant </w:t>
      </w:r>
      <w:r w:rsidRPr="00D507EC">
        <w:rPr>
          <w:i/>
          <w:color w:val="000000" w:themeColor="text1"/>
        </w:rPr>
        <w:t>Staphylococcus pseudintermedius</w:t>
      </w:r>
      <w:r w:rsidRPr="00D507EC">
        <w:rPr>
          <w:color w:val="000000" w:themeColor="text1"/>
        </w:rPr>
        <w:t xml:space="preserve">; FA-R: fusidic acid-resistant; MSSP: methicillin-sensitive </w:t>
      </w:r>
      <w:r w:rsidRPr="00D507EC">
        <w:rPr>
          <w:i/>
          <w:color w:val="000000" w:themeColor="text1"/>
        </w:rPr>
        <w:t>S. pseudintermedius</w:t>
      </w:r>
      <w:r w:rsidRPr="00D507EC">
        <w:rPr>
          <w:color w:val="000000" w:themeColor="text1"/>
        </w:rPr>
        <w:t xml:space="preserve">; NUK: North U.K.; SEUK: South-East U.K; MRSA: methicillin-resistant </w:t>
      </w:r>
      <w:r w:rsidRPr="00D507EC">
        <w:rPr>
          <w:i/>
          <w:color w:val="000000" w:themeColor="text1"/>
        </w:rPr>
        <w:t xml:space="preserve">S. aureus; </w:t>
      </w:r>
      <w:r w:rsidRPr="00D507EC">
        <w:rPr>
          <w:color w:val="000000" w:themeColor="text1"/>
        </w:rPr>
        <w:t xml:space="preserve">MSSA: methicillin-susceptible </w:t>
      </w:r>
      <w:r w:rsidRPr="00D507EC">
        <w:rPr>
          <w:i/>
          <w:color w:val="000000" w:themeColor="text1"/>
        </w:rPr>
        <w:t>S. aureus.</w:t>
      </w:r>
    </w:p>
    <w:p w14:paraId="692110BE" w14:textId="77777777" w:rsidR="009C328A" w:rsidRPr="00D507EC" w:rsidRDefault="009C328A" w:rsidP="009C328A">
      <w:pPr>
        <w:pStyle w:val="Heading5"/>
        <w:rPr>
          <w:b/>
          <w:color w:val="000000" w:themeColor="text1"/>
        </w:rPr>
      </w:pPr>
      <w:r w:rsidRPr="00D507EC">
        <w:rPr>
          <w:color w:val="000000" w:themeColor="text1"/>
          <w:vertAlign w:val="superscript"/>
        </w:rPr>
        <w:t>a</w:t>
      </w:r>
      <w:r w:rsidRPr="00D507EC">
        <w:rPr>
          <w:color w:val="000000" w:themeColor="text1"/>
        </w:rPr>
        <w:t xml:space="preserve">MICs determined as part of previous study by the authors (reference 53) </w:t>
      </w:r>
    </w:p>
    <w:p w14:paraId="5407BC66" w14:textId="348C3359" w:rsidR="009C328A" w:rsidRPr="00D507EC" w:rsidRDefault="009C328A" w:rsidP="009C328A">
      <w:pPr>
        <w:pStyle w:val="Heading5"/>
        <w:rPr>
          <w:color w:val="000000" w:themeColor="text1"/>
        </w:rPr>
      </w:pPr>
      <w:r w:rsidRPr="00D507EC">
        <w:rPr>
          <w:color w:val="000000" w:themeColor="text1"/>
          <w:vertAlign w:val="superscript"/>
        </w:rPr>
        <w:t>b</w:t>
      </w:r>
      <w:r w:rsidRPr="00D507EC">
        <w:rPr>
          <w:color w:val="000000" w:themeColor="text1"/>
        </w:rPr>
        <w:t>MICs determined as part of previous study by the authors (reference 45)</w:t>
      </w:r>
    </w:p>
    <w:p w14:paraId="23847A65" w14:textId="77777777" w:rsidR="00AE032F" w:rsidRPr="00D507EC" w:rsidRDefault="00AE032F" w:rsidP="004C7293">
      <w:pPr>
        <w:pStyle w:val="Heading4"/>
        <w:spacing w:line="360" w:lineRule="auto"/>
        <w:rPr>
          <w:color w:val="000000" w:themeColor="text1"/>
        </w:rPr>
        <w:sectPr w:rsidR="00AE032F" w:rsidRPr="00D507EC" w:rsidSect="0032412F">
          <w:type w:val="continuous"/>
          <w:pgSz w:w="16838" w:h="11906" w:orient="landscape"/>
          <w:pgMar w:top="1440" w:right="1440" w:bottom="1440" w:left="1440" w:header="708" w:footer="708" w:gutter="0"/>
          <w:lnNumType w:countBy="1" w:restart="continuous"/>
          <w:cols w:space="708"/>
          <w:docGrid w:linePitch="360"/>
        </w:sectPr>
      </w:pPr>
    </w:p>
    <w:p w14:paraId="5DEBC266" w14:textId="77777777" w:rsidR="00AE032F" w:rsidRPr="00D507EC" w:rsidRDefault="00AE032F" w:rsidP="00AE032F">
      <w:pPr>
        <w:pStyle w:val="Heading4"/>
        <w:spacing w:line="360" w:lineRule="auto"/>
        <w:rPr>
          <w:i w:val="0"/>
          <w:color w:val="000000" w:themeColor="text1"/>
        </w:rPr>
      </w:pPr>
      <w:r w:rsidRPr="00D507EC">
        <w:rPr>
          <w:i w:val="0"/>
          <w:color w:val="000000" w:themeColor="text1"/>
        </w:rPr>
        <w:t xml:space="preserve">Table 2: Six custom primers designed and used for coverage of entire </w:t>
      </w:r>
      <w:r w:rsidRPr="00D507EC">
        <w:rPr>
          <w:color w:val="000000" w:themeColor="text1"/>
        </w:rPr>
        <w:t>fusA</w:t>
      </w:r>
      <w:r w:rsidRPr="00D507EC">
        <w:rPr>
          <w:i w:val="0"/>
          <w:color w:val="000000" w:themeColor="text1"/>
        </w:rPr>
        <w:t xml:space="preserve"> PCR amplicon of staphylococci for Sanger sequencing, alongside previously described forward and reverse primers (reference 34).</w:t>
      </w:r>
    </w:p>
    <w:tbl>
      <w:tblPr>
        <w:tblStyle w:val="GridTable1Light-Accent12"/>
        <w:tblpPr w:leftFromText="180" w:rightFromText="180" w:vertAnchor="page" w:horzAnchor="margin" w:tblpY="2851"/>
        <w:tblW w:w="0" w:type="auto"/>
        <w:tblLook w:val="04A0" w:firstRow="1" w:lastRow="0" w:firstColumn="1" w:lastColumn="0" w:noHBand="0" w:noVBand="1"/>
      </w:tblPr>
      <w:tblGrid>
        <w:gridCol w:w="2019"/>
        <w:gridCol w:w="2711"/>
        <w:gridCol w:w="1844"/>
        <w:gridCol w:w="1920"/>
      </w:tblGrid>
      <w:tr w:rsidR="00AE032F" w:rsidRPr="00D507EC" w14:paraId="699FEB56" w14:textId="77777777" w:rsidTr="00AE03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9" w:type="dxa"/>
            <w:vAlign w:val="center"/>
          </w:tcPr>
          <w:p w14:paraId="561D6413" w14:textId="77777777" w:rsidR="00AE032F" w:rsidRPr="00D507EC" w:rsidRDefault="00AE032F" w:rsidP="00AE032F">
            <w:pPr>
              <w:spacing w:line="360" w:lineRule="auto"/>
              <w:jc w:val="center"/>
              <w:rPr>
                <w:color w:val="000000" w:themeColor="text1"/>
              </w:rPr>
            </w:pPr>
            <w:r w:rsidRPr="00D507EC">
              <w:rPr>
                <w:color w:val="000000" w:themeColor="text1"/>
              </w:rPr>
              <w:t>Primer Name</w:t>
            </w:r>
          </w:p>
        </w:tc>
        <w:tc>
          <w:tcPr>
            <w:tcW w:w="2711" w:type="dxa"/>
            <w:vAlign w:val="center"/>
          </w:tcPr>
          <w:p w14:paraId="409517C0" w14:textId="77777777" w:rsidR="00AE032F" w:rsidRPr="00D507EC" w:rsidRDefault="00AE032F" w:rsidP="00AE032F">
            <w:pPr>
              <w:spacing w:line="36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D507EC">
              <w:rPr>
                <w:color w:val="000000" w:themeColor="text1"/>
              </w:rPr>
              <w:t>Primer Sequence</w:t>
            </w:r>
          </w:p>
        </w:tc>
        <w:tc>
          <w:tcPr>
            <w:tcW w:w="1844" w:type="dxa"/>
            <w:vAlign w:val="center"/>
          </w:tcPr>
          <w:p w14:paraId="32BCFB57" w14:textId="77777777" w:rsidR="00AE032F" w:rsidRPr="00D507EC" w:rsidRDefault="00AE032F" w:rsidP="00AE032F">
            <w:pPr>
              <w:spacing w:line="36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D507EC">
              <w:rPr>
                <w:color w:val="000000" w:themeColor="text1"/>
              </w:rPr>
              <w:t>Forward / Reverse</w:t>
            </w:r>
          </w:p>
        </w:tc>
        <w:tc>
          <w:tcPr>
            <w:tcW w:w="1920" w:type="dxa"/>
            <w:vAlign w:val="center"/>
          </w:tcPr>
          <w:p w14:paraId="1703033D" w14:textId="77777777" w:rsidR="00AE032F" w:rsidRPr="00D507EC" w:rsidRDefault="00AE032F" w:rsidP="00AE032F">
            <w:pPr>
              <w:spacing w:line="36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D507EC">
              <w:rPr>
                <w:color w:val="000000" w:themeColor="text1"/>
              </w:rPr>
              <w:t>Base pair sequenced from</w:t>
            </w:r>
          </w:p>
        </w:tc>
      </w:tr>
      <w:tr w:rsidR="00AE032F" w:rsidRPr="00D507EC" w14:paraId="3DE21606" w14:textId="77777777" w:rsidTr="00AE032F">
        <w:tc>
          <w:tcPr>
            <w:cnfStyle w:val="001000000000" w:firstRow="0" w:lastRow="0" w:firstColumn="1" w:lastColumn="0" w:oddVBand="0" w:evenVBand="0" w:oddHBand="0" w:evenHBand="0" w:firstRowFirstColumn="0" w:firstRowLastColumn="0" w:lastRowFirstColumn="0" w:lastRowLastColumn="0"/>
            <w:tcW w:w="2019" w:type="dxa"/>
            <w:vAlign w:val="center"/>
          </w:tcPr>
          <w:p w14:paraId="37143A94" w14:textId="77777777" w:rsidR="00AE032F" w:rsidRPr="00D507EC" w:rsidRDefault="00AE032F" w:rsidP="00AE032F">
            <w:pPr>
              <w:spacing w:line="360" w:lineRule="auto"/>
              <w:jc w:val="center"/>
              <w:rPr>
                <w:color w:val="000000" w:themeColor="text1"/>
              </w:rPr>
            </w:pPr>
            <w:r w:rsidRPr="00D507EC">
              <w:rPr>
                <w:color w:val="000000" w:themeColor="text1"/>
              </w:rPr>
              <w:t>FusA_Int_A_F</w:t>
            </w:r>
          </w:p>
        </w:tc>
        <w:tc>
          <w:tcPr>
            <w:tcW w:w="2711" w:type="dxa"/>
            <w:vAlign w:val="center"/>
          </w:tcPr>
          <w:p w14:paraId="1E180EAB" w14:textId="77777777" w:rsidR="00AE032F" w:rsidRPr="00D507EC" w:rsidRDefault="00AE032F" w:rsidP="00AE032F">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D507EC">
              <w:rPr>
                <w:color w:val="000000" w:themeColor="text1"/>
              </w:rPr>
              <w:t>CGCCAACTCACGTGAAGAAA</w:t>
            </w:r>
          </w:p>
        </w:tc>
        <w:tc>
          <w:tcPr>
            <w:tcW w:w="1844" w:type="dxa"/>
            <w:vAlign w:val="center"/>
          </w:tcPr>
          <w:p w14:paraId="1BF773DD" w14:textId="77777777" w:rsidR="00AE032F" w:rsidRPr="00D507EC" w:rsidRDefault="00AE032F" w:rsidP="00AE032F">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D507EC">
              <w:rPr>
                <w:color w:val="000000" w:themeColor="text1"/>
              </w:rPr>
              <w:t>Forward</w:t>
            </w:r>
          </w:p>
        </w:tc>
        <w:tc>
          <w:tcPr>
            <w:tcW w:w="1920" w:type="dxa"/>
            <w:vAlign w:val="center"/>
          </w:tcPr>
          <w:p w14:paraId="7F24B288" w14:textId="77777777" w:rsidR="00AE032F" w:rsidRPr="00D507EC" w:rsidRDefault="00AE032F" w:rsidP="00AE032F">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D507EC">
              <w:rPr>
                <w:color w:val="000000" w:themeColor="text1"/>
              </w:rPr>
              <w:t>1077</w:t>
            </w:r>
          </w:p>
        </w:tc>
      </w:tr>
      <w:tr w:rsidR="00AE032F" w:rsidRPr="00D507EC" w14:paraId="04F7472A" w14:textId="77777777" w:rsidTr="00AE032F">
        <w:tc>
          <w:tcPr>
            <w:cnfStyle w:val="001000000000" w:firstRow="0" w:lastRow="0" w:firstColumn="1" w:lastColumn="0" w:oddVBand="0" w:evenVBand="0" w:oddHBand="0" w:evenHBand="0" w:firstRowFirstColumn="0" w:firstRowLastColumn="0" w:lastRowFirstColumn="0" w:lastRowLastColumn="0"/>
            <w:tcW w:w="2019" w:type="dxa"/>
            <w:vAlign w:val="center"/>
          </w:tcPr>
          <w:p w14:paraId="2573BF85" w14:textId="77777777" w:rsidR="00AE032F" w:rsidRPr="00D507EC" w:rsidRDefault="00AE032F" w:rsidP="00AE032F">
            <w:pPr>
              <w:spacing w:line="360" w:lineRule="auto"/>
              <w:jc w:val="center"/>
              <w:rPr>
                <w:color w:val="000000" w:themeColor="text1"/>
              </w:rPr>
            </w:pPr>
            <w:r w:rsidRPr="00D507EC">
              <w:rPr>
                <w:color w:val="000000" w:themeColor="text1"/>
              </w:rPr>
              <w:t>FusA_Int_B_R</w:t>
            </w:r>
          </w:p>
        </w:tc>
        <w:tc>
          <w:tcPr>
            <w:tcW w:w="2711" w:type="dxa"/>
            <w:vAlign w:val="center"/>
          </w:tcPr>
          <w:p w14:paraId="648714E6" w14:textId="77777777" w:rsidR="00AE032F" w:rsidRPr="00D507EC" w:rsidRDefault="00AE032F" w:rsidP="00AE032F">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D507EC">
              <w:rPr>
                <w:color w:val="000000" w:themeColor="text1"/>
              </w:rPr>
              <w:t>ATTGACCACGACCACCAGAT</w:t>
            </w:r>
          </w:p>
        </w:tc>
        <w:tc>
          <w:tcPr>
            <w:tcW w:w="1844" w:type="dxa"/>
            <w:vAlign w:val="center"/>
          </w:tcPr>
          <w:p w14:paraId="2D39B59D" w14:textId="77777777" w:rsidR="00AE032F" w:rsidRPr="00D507EC" w:rsidRDefault="00AE032F" w:rsidP="00AE032F">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D507EC">
              <w:rPr>
                <w:color w:val="000000" w:themeColor="text1"/>
              </w:rPr>
              <w:t>Reverse</w:t>
            </w:r>
          </w:p>
        </w:tc>
        <w:tc>
          <w:tcPr>
            <w:tcW w:w="1920" w:type="dxa"/>
            <w:vAlign w:val="center"/>
          </w:tcPr>
          <w:p w14:paraId="19F91DC1" w14:textId="77777777" w:rsidR="00AE032F" w:rsidRPr="00D507EC" w:rsidRDefault="00AE032F" w:rsidP="00AE032F">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D507EC">
              <w:rPr>
                <w:color w:val="000000" w:themeColor="text1"/>
              </w:rPr>
              <w:t>1516</w:t>
            </w:r>
          </w:p>
        </w:tc>
      </w:tr>
      <w:tr w:rsidR="00AE032F" w:rsidRPr="00D507EC" w14:paraId="48980EA0" w14:textId="77777777" w:rsidTr="00AE032F">
        <w:tc>
          <w:tcPr>
            <w:cnfStyle w:val="001000000000" w:firstRow="0" w:lastRow="0" w:firstColumn="1" w:lastColumn="0" w:oddVBand="0" w:evenVBand="0" w:oddHBand="0" w:evenHBand="0" w:firstRowFirstColumn="0" w:firstRowLastColumn="0" w:lastRowFirstColumn="0" w:lastRowLastColumn="0"/>
            <w:tcW w:w="2019" w:type="dxa"/>
            <w:vAlign w:val="center"/>
          </w:tcPr>
          <w:p w14:paraId="1D71C5C4" w14:textId="77777777" w:rsidR="00AE032F" w:rsidRPr="00D507EC" w:rsidRDefault="00AE032F" w:rsidP="00AE032F">
            <w:pPr>
              <w:spacing w:line="360" w:lineRule="auto"/>
              <w:jc w:val="center"/>
              <w:rPr>
                <w:color w:val="000000" w:themeColor="text1"/>
              </w:rPr>
            </w:pPr>
            <w:r w:rsidRPr="00D507EC">
              <w:rPr>
                <w:color w:val="000000" w:themeColor="text1"/>
              </w:rPr>
              <w:t>FusA_Int_C_R</w:t>
            </w:r>
          </w:p>
        </w:tc>
        <w:tc>
          <w:tcPr>
            <w:tcW w:w="2711" w:type="dxa"/>
            <w:vAlign w:val="center"/>
          </w:tcPr>
          <w:p w14:paraId="30BCA9D3" w14:textId="77777777" w:rsidR="00AE032F" w:rsidRPr="00D507EC" w:rsidRDefault="00AE032F" w:rsidP="00AE032F">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D507EC">
              <w:rPr>
                <w:color w:val="000000" w:themeColor="text1"/>
              </w:rPr>
              <w:t>TGCTTCACGTGCTTCTTCAG</w:t>
            </w:r>
          </w:p>
        </w:tc>
        <w:tc>
          <w:tcPr>
            <w:tcW w:w="1844" w:type="dxa"/>
            <w:vAlign w:val="center"/>
          </w:tcPr>
          <w:p w14:paraId="50CBD147" w14:textId="77777777" w:rsidR="00AE032F" w:rsidRPr="00D507EC" w:rsidRDefault="00AE032F" w:rsidP="00AE032F">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D507EC">
              <w:rPr>
                <w:color w:val="000000" w:themeColor="text1"/>
              </w:rPr>
              <w:t>Reverse</w:t>
            </w:r>
          </w:p>
        </w:tc>
        <w:tc>
          <w:tcPr>
            <w:tcW w:w="1920" w:type="dxa"/>
            <w:vAlign w:val="center"/>
          </w:tcPr>
          <w:p w14:paraId="36287187" w14:textId="77777777" w:rsidR="00AE032F" w:rsidRPr="00D507EC" w:rsidRDefault="00AE032F" w:rsidP="00AE032F">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D507EC">
              <w:rPr>
                <w:color w:val="000000" w:themeColor="text1"/>
              </w:rPr>
              <w:t>639</w:t>
            </w:r>
          </w:p>
        </w:tc>
      </w:tr>
      <w:tr w:rsidR="00AE032F" w:rsidRPr="00D507EC" w14:paraId="06082048" w14:textId="77777777" w:rsidTr="00AE032F">
        <w:tc>
          <w:tcPr>
            <w:cnfStyle w:val="001000000000" w:firstRow="0" w:lastRow="0" w:firstColumn="1" w:lastColumn="0" w:oddVBand="0" w:evenVBand="0" w:oddHBand="0" w:evenHBand="0" w:firstRowFirstColumn="0" w:firstRowLastColumn="0" w:lastRowFirstColumn="0" w:lastRowLastColumn="0"/>
            <w:tcW w:w="2019" w:type="dxa"/>
            <w:vAlign w:val="center"/>
          </w:tcPr>
          <w:p w14:paraId="0C75EE03" w14:textId="77777777" w:rsidR="00AE032F" w:rsidRPr="00D507EC" w:rsidRDefault="00AE032F" w:rsidP="00AE032F">
            <w:pPr>
              <w:spacing w:line="360" w:lineRule="auto"/>
              <w:jc w:val="center"/>
              <w:rPr>
                <w:color w:val="000000" w:themeColor="text1"/>
              </w:rPr>
            </w:pPr>
            <w:r w:rsidRPr="00D507EC">
              <w:rPr>
                <w:color w:val="000000" w:themeColor="text1"/>
              </w:rPr>
              <w:t>FusA_Int_D_F</w:t>
            </w:r>
          </w:p>
        </w:tc>
        <w:tc>
          <w:tcPr>
            <w:tcW w:w="2711" w:type="dxa"/>
            <w:vAlign w:val="center"/>
          </w:tcPr>
          <w:p w14:paraId="2338B36C" w14:textId="77777777" w:rsidR="00AE032F" w:rsidRPr="00D507EC" w:rsidRDefault="00AE032F" w:rsidP="00AE032F">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D507EC">
              <w:rPr>
                <w:color w:val="000000" w:themeColor="text1"/>
              </w:rPr>
              <w:t>CCAATCGGTGCTGAAGATGA</w:t>
            </w:r>
          </w:p>
        </w:tc>
        <w:tc>
          <w:tcPr>
            <w:tcW w:w="1844" w:type="dxa"/>
            <w:vAlign w:val="center"/>
          </w:tcPr>
          <w:p w14:paraId="5147F0E7" w14:textId="77777777" w:rsidR="00AE032F" w:rsidRPr="00D507EC" w:rsidRDefault="00AE032F" w:rsidP="00AE032F">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D507EC">
              <w:rPr>
                <w:color w:val="000000" w:themeColor="text1"/>
              </w:rPr>
              <w:t>Forward</w:t>
            </w:r>
          </w:p>
        </w:tc>
        <w:tc>
          <w:tcPr>
            <w:tcW w:w="1920" w:type="dxa"/>
            <w:vAlign w:val="center"/>
          </w:tcPr>
          <w:p w14:paraId="4FF1B060" w14:textId="77777777" w:rsidR="00AE032F" w:rsidRPr="00D507EC" w:rsidRDefault="00AE032F" w:rsidP="00AE032F">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D507EC">
              <w:rPr>
                <w:color w:val="000000" w:themeColor="text1"/>
              </w:rPr>
              <w:t>493</w:t>
            </w:r>
          </w:p>
        </w:tc>
      </w:tr>
      <w:tr w:rsidR="00AE032F" w:rsidRPr="00D507EC" w14:paraId="5E8F981A" w14:textId="77777777" w:rsidTr="00AE032F">
        <w:tc>
          <w:tcPr>
            <w:cnfStyle w:val="001000000000" w:firstRow="0" w:lastRow="0" w:firstColumn="1" w:lastColumn="0" w:oddVBand="0" w:evenVBand="0" w:oddHBand="0" w:evenHBand="0" w:firstRowFirstColumn="0" w:firstRowLastColumn="0" w:lastRowFirstColumn="0" w:lastRowLastColumn="0"/>
            <w:tcW w:w="2019" w:type="dxa"/>
            <w:vAlign w:val="center"/>
          </w:tcPr>
          <w:p w14:paraId="00CB0FA0" w14:textId="77777777" w:rsidR="00AE032F" w:rsidRPr="00D507EC" w:rsidRDefault="00AE032F" w:rsidP="00AE032F">
            <w:pPr>
              <w:spacing w:line="360" w:lineRule="auto"/>
              <w:jc w:val="center"/>
              <w:rPr>
                <w:color w:val="000000" w:themeColor="text1"/>
              </w:rPr>
            </w:pPr>
            <w:r w:rsidRPr="00D507EC">
              <w:rPr>
                <w:color w:val="000000" w:themeColor="text1"/>
              </w:rPr>
              <w:t>FusA_Int_E_F</w:t>
            </w:r>
          </w:p>
        </w:tc>
        <w:tc>
          <w:tcPr>
            <w:tcW w:w="2711" w:type="dxa"/>
            <w:vAlign w:val="center"/>
          </w:tcPr>
          <w:p w14:paraId="092319B6" w14:textId="77777777" w:rsidR="00AE032F" w:rsidRPr="00D507EC" w:rsidRDefault="00AE032F" w:rsidP="00AE032F">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D507EC">
              <w:rPr>
                <w:color w:val="000000" w:themeColor="text1"/>
              </w:rPr>
              <w:t>ATCTGGTGGTCGTGGTCAAT</w:t>
            </w:r>
          </w:p>
        </w:tc>
        <w:tc>
          <w:tcPr>
            <w:tcW w:w="1844" w:type="dxa"/>
            <w:vAlign w:val="center"/>
          </w:tcPr>
          <w:p w14:paraId="229E1185" w14:textId="77777777" w:rsidR="00AE032F" w:rsidRPr="00D507EC" w:rsidRDefault="00AE032F" w:rsidP="00AE032F">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D507EC">
              <w:rPr>
                <w:color w:val="000000" w:themeColor="text1"/>
              </w:rPr>
              <w:t>Forward</w:t>
            </w:r>
          </w:p>
        </w:tc>
        <w:tc>
          <w:tcPr>
            <w:tcW w:w="1920" w:type="dxa"/>
            <w:vAlign w:val="center"/>
          </w:tcPr>
          <w:p w14:paraId="2512D55A" w14:textId="77777777" w:rsidR="00AE032F" w:rsidRPr="00D507EC" w:rsidRDefault="00AE032F" w:rsidP="00AE032F">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D507EC">
              <w:rPr>
                <w:color w:val="000000" w:themeColor="text1"/>
              </w:rPr>
              <w:t>1497</w:t>
            </w:r>
          </w:p>
        </w:tc>
      </w:tr>
      <w:tr w:rsidR="00AE032F" w:rsidRPr="00D507EC" w14:paraId="1962FFB1" w14:textId="77777777" w:rsidTr="00AE032F">
        <w:tc>
          <w:tcPr>
            <w:cnfStyle w:val="001000000000" w:firstRow="0" w:lastRow="0" w:firstColumn="1" w:lastColumn="0" w:oddVBand="0" w:evenVBand="0" w:oddHBand="0" w:evenHBand="0" w:firstRowFirstColumn="0" w:firstRowLastColumn="0" w:lastRowFirstColumn="0" w:lastRowLastColumn="0"/>
            <w:tcW w:w="2019" w:type="dxa"/>
            <w:vAlign w:val="center"/>
          </w:tcPr>
          <w:p w14:paraId="45CAFAB2" w14:textId="77777777" w:rsidR="00AE032F" w:rsidRPr="00D507EC" w:rsidRDefault="00AE032F" w:rsidP="00AE032F">
            <w:pPr>
              <w:spacing w:line="360" w:lineRule="auto"/>
              <w:jc w:val="center"/>
              <w:rPr>
                <w:color w:val="000000" w:themeColor="text1"/>
              </w:rPr>
            </w:pPr>
            <w:r w:rsidRPr="00D507EC">
              <w:rPr>
                <w:color w:val="000000" w:themeColor="text1"/>
              </w:rPr>
              <w:t>FusA_Int_F_R</w:t>
            </w:r>
          </w:p>
        </w:tc>
        <w:tc>
          <w:tcPr>
            <w:tcW w:w="2711" w:type="dxa"/>
            <w:vAlign w:val="center"/>
          </w:tcPr>
          <w:p w14:paraId="17004759" w14:textId="77777777" w:rsidR="00AE032F" w:rsidRPr="00D507EC" w:rsidRDefault="00AE032F" w:rsidP="00AE032F">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D507EC">
              <w:rPr>
                <w:color w:val="000000" w:themeColor="text1"/>
              </w:rPr>
              <w:t>TGAGTTGGCTGTCATTTGTA</w:t>
            </w:r>
          </w:p>
        </w:tc>
        <w:tc>
          <w:tcPr>
            <w:tcW w:w="1844" w:type="dxa"/>
            <w:vAlign w:val="center"/>
          </w:tcPr>
          <w:p w14:paraId="00BDDC28" w14:textId="77777777" w:rsidR="00AE032F" w:rsidRPr="00D507EC" w:rsidRDefault="00AE032F" w:rsidP="00AE032F">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D507EC">
              <w:rPr>
                <w:color w:val="000000" w:themeColor="text1"/>
              </w:rPr>
              <w:t>Reverse</w:t>
            </w:r>
          </w:p>
        </w:tc>
        <w:tc>
          <w:tcPr>
            <w:tcW w:w="1920" w:type="dxa"/>
            <w:vAlign w:val="center"/>
          </w:tcPr>
          <w:p w14:paraId="0EB38E33" w14:textId="77777777" w:rsidR="00AE032F" w:rsidRPr="00D507EC" w:rsidRDefault="00AE032F" w:rsidP="00AE032F">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D507EC">
              <w:rPr>
                <w:color w:val="000000" w:themeColor="text1"/>
              </w:rPr>
              <w:t>1086</w:t>
            </w:r>
          </w:p>
        </w:tc>
      </w:tr>
      <w:tr w:rsidR="004F16CA" w:rsidRPr="00D507EC" w14:paraId="6230B1E0" w14:textId="77777777" w:rsidTr="00AE032F">
        <w:tc>
          <w:tcPr>
            <w:cnfStyle w:val="001000000000" w:firstRow="0" w:lastRow="0" w:firstColumn="1" w:lastColumn="0" w:oddVBand="0" w:evenVBand="0" w:oddHBand="0" w:evenHBand="0" w:firstRowFirstColumn="0" w:firstRowLastColumn="0" w:lastRowFirstColumn="0" w:lastRowLastColumn="0"/>
            <w:tcW w:w="2019" w:type="dxa"/>
            <w:vAlign w:val="center"/>
          </w:tcPr>
          <w:p w14:paraId="42011341" w14:textId="3D781DE9" w:rsidR="004F16CA" w:rsidRPr="00D507EC" w:rsidRDefault="004F16CA" w:rsidP="00AE032F">
            <w:pPr>
              <w:spacing w:line="360" w:lineRule="auto"/>
              <w:jc w:val="center"/>
              <w:rPr>
                <w:color w:val="000000" w:themeColor="text1"/>
              </w:rPr>
            </w:pPr>
            <w:r w:rsidRPr="00D507EC">
              <w:rPr>
                <w:color w:val="000000" w:themeColor="text1"/>
              </w:rPr>
              <w:t>FusA_F</w:t>
            </w:r>
            <w:r w:rsidRPr="00D507EC">
              <w:rPr>
                <w:color w:val="000000" w:themeColor="text1"/>
                <w:vertAlign w:val="superscript"/>
              </w:rPr>
              <w:t>a</w:t>
            </w:r>
          </w:p>
        </w:tc>
        <w:tc>
          <w:tcPr>
            <w:tcW w:w="2711" w:type="dxa"/>
            <w:vAlign w:val="center"/>
          </w:tcPr>
          <w:p w14:paraId="3E4C898B" w14:textId="2A60AED4" w:rsidR="004F16CA" w:rsidRPr="00D507EC" w:rsidRDefault="004F16CA" w:rsidP="00AE032F">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D507EC">
              <w:rPr>
                <w:rFonts w:eastAsia="Arial Unicode MS"/>
                <w:color w:val="000000" w:themeColor="text1"/>
              </w:rPr>
              <w:t>TTTACCCTGAGTGTGTTCT</w:t>
            </w:r>
          </w:p>
        </w:tc>
        <w:tc>
          <w:tcPr>
            <w:tcW w:w="1844" w:type="dxa"/>
            <w:vAlign w:val="center"/>
          </w:tcPr>
          <w:p w14:paraId="194566AD" w14:textId="03D92BAC" w:rsidR="004F16CA" w:rsidRPr="00D507EC" w:rsidRDefault="004F16CA" w:rsidP="00AE032F">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D507EC">
              <w:rPr>
                <w:color w:val="000000" w:themeColor="text1"/>
              </w:rPr>
              <w:t>Forward</w:t>
            </w:r>
          </w:p>
        </w:tc>
        <w:tc>
          <w:tcPr>
            <w:tcW w:w="1920" w:type="dxa"/>
            <w:vAlign w:val="center"/>
          </w:tcPr>
          <w:p w14:paraId="1680B1C6" w14:textId="4E90A7D9" w:rsidR="004F16CA" w:rsidRPr="00D507EC" w:rsidRDefault="004F16CA" w:rsidP="00AE032F">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D507EC">
              <w:rPr>
                <w:color w:val="000000" w:themeColor="text1"/>
              </w:rPr>
              <w:t>94</w:t>
            </w:r>
          </w:p>
        </w:tc>
      </w:tr>
      <w:tr w:rsidR="004F16CA" w:rsidRPr="00D507EC" w14:paraId="3644BBF9" w14:textId="77777777" w:rsidTr="00AE032F">
        <w:tc>
          <w:tcPr>
            <w:cnfStyle w:val="001000000000" w:firstRow="0" w:lastRow="0" w:firstColumn="1" w:lastColumn="0" w:oddVBand="0" w:evenVBand="0" w:oddHBand="0" w:evenHBand="0" w:firstRowFirstColumn="0" w:firstRowLastColumn="0" w:lastRowFirstColumn="0" w:lastRowLastColumn="0"/>
            <w:tcW w:w="2019" w:type="dxa"/>
            <w:vAlign w:val="center"/>
          </w:tcPr>
          <w:p w14:paraId="0B8B11DE" w14:textId="5B444CF7" w:rsidR="004F16CA" w:rsidRPr="00D507EC" w:rsidRDefault="004F16CA" w:rsidP="00AE032F">
            <w:pPr>
              <w:spacing w:line="360" w:lineRule="auto"/>
              <w:jc w:val="center"/>
              <w:rPr>
                <w:color w:val="000000" w:themeColor="text1"/>
              </w:rPr>
            </w:pPr>
            <w:r w:rsidRPr="00D507EC">
              <w:rPr>
                <w:color w:val="000000" w:themeColor="text1"/>
              </w:rPr>
              <w:t>FusA_R</w:t>
            </w:r>
            <w:r w:rsidRPr="00D507EC">
              <w:rPr>
                <w:color w:val="000000" w:themeColor="text1"/>
                <w:vertAlign w:val="superscript"/>
              </w:rPr>
              <w:t>a</w:t>
            </w:r>
          </w:p>
        </w:tc>
        <w:tc>
          <w:tcPr>
            <w:tcW w:w="2711" w:type="dxa"/>
            <w:vAlign w:val="center"/>
          </w:tcPr>
          <w:p w14:paraId="713921C0" w14:textId="465444D2" w:rsidR="004F16CA" w:rsidRPr="00D507EC" w:rsidRDefault="004F16CA" w:rsidP="00AE032F">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D507EC">
              <w:rPr>
                <w:rFonts w:eastAsia="Arial Unicode MS"/>
                <w:color w:val="000000" w:themeColor="text1"/>
              </w:rPr>
              <w:t>TACATTTAAGCTCACCTTGT</w:t>
            </w:r>
          </w:p>
        </w:tc>
        <w:tc>
          <w:tcPr>
            <w:tcW w:w="1844" w:type="dxa"/>
            <w:vAlign w:val="center"/>
          </w:tcPr>
          <w:p w14:paraId="37D0B41E" w14:textId="67E012C0" w:rsidR="004F16CA" w:rsidRPr="00D507EC" w:rsidRDefault="004F16CA" w:rsidP="00AE032F">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D507EC">
              <w:rPr>
                <w:color w:val="000000" w:themeColor="text1"/>
              </w:rPr>
              <w:t>Reverse</w:t>
            </w:r>
          </w:p>
        </w:tc>
        <w:tc>
          <w:tcPr>
            <w:tcW w:w="1920" w:type="dxa"/>
            <w:vAlign w:val="center"/>
          </w:tcPr>
          <w:p w14:paraId="5C9AB5FE" w14:textId="1039F6D1" w:rsidR="004F16CA" w:rsidRPr="00D507EC" w:rsidRDefault="00D77C9F" w:rsidP="00AE032F">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D507EC">
              <w:rPr>
                <w:color w:val="000000" w:themeColor="text1"/>
              </w:rPr>
              <w:t>2256</w:t>
            </w:r>
          </w:p>
        </w:tc>
      </w:tr>
    </w:tbl>
    <w:p w14:paraId="2FA6ADF3" w14:textId="78C2DFCF" w:rsidR="00AE032F" w:rsidRPr="00D507EC" w:rsidRDefault="004F16CA" w:rsidP="00AE032F">
      <w:pPr>
        <w:rPr>
          <w:color w:val="000000" w:themeColor="text1"/>
        </w:rPr>
      </w:pPr>
      <w:r w:rsidRPr="00D507EC">
        <w:rPr>
          <w:color w:val="000000" w:themeColor="text1"/>
          <w:vertAlign w:val="superscript"/>
        </w:rPr>
        <w:t>a</w:t>
      </w:r>
      <w:r w:rsidRPr="00D507EC">
        <w:rPr>
          <w:color w:val="000000" w:themeColor="text1"/>
        </w:rPr>
        <w:t>Previously described primers (reference 34)</w:t>
      </w:r>
    </w:p>
    <w:p w14:paraId="286C1626" w14:textId="77777777" w:rsidR="00AE032F" w:rsidRPr="00D507EC" w:rsidRDefault="00AE032F" w:rsidP="00AE032F">
      <w:pPr>
        <w:pStyle w:val="ListParagraph"/>
        <w:spacing w:after="100" w:afterAutospacing="1" w:line="480" w:lineRule="auto"/>
        <w:rPr>
          <w:color w:val="000000" w:themeColor="text1"/>
        </w:rPr>
      </w:pPr>
    </w:p>
    <w:p w14:paraId="2097E21C" w14:textId="77777777" w:rsidR="00AE032F" w:rsidRPr="00D507EC" w:rsidRDefault="00AE032F" w:rsidP="00AE032F">
      <w:pPr>
        <w:pStyle w:val="Heading4"/>
        <w:spacing w:line="360" w:lineRule="auto"/>
        <w:rPr>
          <w:i w:val="0"/>
          <w:color w:val="000000" w:themeColor="text1"/>
        </w:rPr>
      </w:pPr>
      <w:r w:rsidRPr="00D507EC">
        <w:rPr>
          <w:i w:val="0"/>
          <w:color w:val="000000" w:themeColor="text1"/>
        </w:rPr>
        <w:t xml:space="preserve">Table 3. Mutation sites detected in </w:t>
      </w:r>
      <w:r w:rsidRPr="00D507EC">
        <w:rPr>
          <w:color w:val="000000" w:themeColor="text1"/>
        </w:rPr>
        <w:t>fusA</w:t>
      </w:r>
      <w:r w:rsidRPr="00D507EC">
        <w:rPr>
          <w:i w:val="0"/>
          <w:color w:val="000000" w:themeColor="text1"/>
        </w:rPr>
        <w:t xml:space="preserve"> in two methicillin-resistant </w:t>
      </w:r>
      <w:r w:rsidRPr="00D507EC">
        <w:rPr>
          <w:color w:val="000000" w:themeColor="text1"/>
        </w:rPr>
        <w:t>Staphylococcus aureus</w:t>
      </w:r>
      <w:r w:rsidRPr="00D507EC">
        <w:rPr>
          <w:i w:val="0"/>
          <w:color w:val="000000" w:themeColor="text1"/>
        </w:rPr>
        <w:t xml:space="preserve"> (MRSA), 18 methicillin-resistant </w:t>
      </w:r>
      <w:r w:rsidRPr="00D507EC">
        <w:rPr>
          <w:color w:val="000000" w:themeColor="text1"/>
        </w:rPr>
        <w:t>S. pseudintermedius</w:t>
      </w:r>
      <w:r w:rsidRPr="00D507EC">
        <w:rPr>
          <w:i w:val="0"/>
          <w:color w:val="000000" w:themeColor="text1"/>
        </w:rPr>
        <w:t xml:space="preserve"> (MRSP) and 4 methicillin-sensitive </w:t>
      </w:r>
      <w:r w:rsidRPr="00D507EC">
        <w:rPr>
          <w:color w:val="000000" w:themeColor="text1"/>
        </w:rPr>
        <w:t>S. pseudintermedius</w:t>
      </w:r>
      <w:r w:rsidRPr="00D507EC">
        <w:rPr>
          <w:i w:val="0"/>
          <w:color w:val="000000" w:themeColor="text1"/>
        </w:rPr>
        <w:t xml:space="preserve"> (MSSP) isolates. </w:t>
      </w:r>
    </w:p>
    <w:tbl>
      <w:tblPr>
        <w:tblStyle w:val="GridTable1Light-Accent12"/>
        <w:tblpPr w:leftFromText="180" w:rightFromText="180" w:vertAnchor="page" w:horzAnchor="margin" w:tblpY="9811"/>
        <w:tblW w:w="9351" w:type="dxa"/>
        <w:tblLook w:val="04A0" w:firstRow="1" w:lastRow="0" w:firstColumn="1" w:lastColumn="0" w:noHBand="0" w:noVBand="1"/>
      </w:tblPr>
      <w:tblGrid>
        <w:gridCol w:w="2807"/>
        <w:gridCol w:w="2808"/>
        <w:gridCol w:w="1946"/>
        <w:gridCol w:w="1790"/>
      </w:tblGrid>
      <w:tr w:rsidR="00AE032F" w:rsidRPr="00D507EC" w14:paraId="5DA792F3" w14:textId="77777777" w:rsidTr="004F73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Align w:val="center"/>
          </w:tcPr>
          <w:p w14:paraId="0F163BC4" w14:textId="77777777" w:rsidR="00AE032F" w:rsidRPr="00D507EC" w:rsidRDefault="00AE032F" w:rsidP="000F7727">
            <w:pPr>
              <w:spacing w:line="360" w:lineRule="auto"/>
              <w:jc w:val="center"/>
              <w:rPr>
                <w:color w:val="000000" w:themeColor="text1"/>
              </w:rPr>
            </w:pPr>
            <w:r w:rsidRPr="00D507EC">
              <w:rPr>
                <w:color w:val="000000" w:themeColor="text1"/>
              </w:rPr>
              <w:t>Amino acid substitution</w:t>
            </w:r>
          </w:p>
        </w:tc>
        <w:tc>
          <w:tcPr>
            <w:tcW w:w="0" w:type="dxa"/>
            <w:vAlign w:val="center"/>
          </w:tcPr>
          <w:p w14:paraId="62FF8726" w14:textId="77777777" w:rsidR="00AE032F" w:rsidRPr="00D507EC" w:rsidRDefault="00AE032F" w:rsidP="000F7727">
            <w:pPr>
              <w:spacing w:line="36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D507EC">
              <w:rPr>
                <w:color w:val="000000" w:themeColor="text1"/>
              </w:rPr>
              <w:t>Nucleotide substitution</w:t>
            </w:r>
          </w:p>
        </w:tc>
        <w:tc>
          <w:tcPr>
            <w:tcW w:w="0" w:type="dxa"/>
            <w:vAlign w:val="center"/>
          </w:tcPr>
          <w:p w14:paraId="7FF09870" w14:textId="77777777" w:rsidR="00AE032F" w:rsidRPr="00D507EC" w:rsidRDefault="00AE032F" w:rsidP="000F7727">
            <w:pPr>
              <w:spacing w:line="36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D507EC">
              <w:rPr>
                <w:color w:val="000000" w:themeColor="text1"/>
              </w:rPr>
              <w:t>No. of isolates</w:t>
            </w:r>
          </w:p>
        </w:tc>
        <w:tc>
          <w:tcPr>
            <w:tcW w:w="0" w:type="dxa"/>
            <w:vAlign w:val="center"/>
          </w:tcPr>
          <w:p w14:paraId="4C150682" w14:textId="77777777" w:rsidR="00AE032F" w:rsidRPr="00D507EC" w:rsidRDefault="00AE032F" w:rsidP="000F7727">
            <w:pPr>
              <w:spacing w:line="36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D507EC">
              <w:rPr>
                <w:color w:val="000000" w:themeColor="text1"/>
              </w:rPr>
              <w:t>Fusidic acid MIC (mg/L)</w:t>
            </w:r>
          </w:p>
        </w:tc>
      </w:tr>
      <w:tr w:rsidR="00AE032F" w:rsidRPr="00D507EC" w14:paraId="72A8DBFD" w14:textId="77777777" w:rsidTr="004F7336">
        <w:tc>
          <w:tcPr>
            <w:cnfStyle w:val="001000000000" w:firstRow="0" w:lastRow="0" w:firstColumn="1" w:lastColumn="0" w:oddVBand="0" w:evenVBand="0" w:oddHBand="0" w:evenHBand="0" w:firstRowFirstColumn="0" w:firstRowLastColumn="0" w:lastRowFirstColumn="0" w:lastRowLastColumn="0"/>
            <w:tcW w:w="0" w:type="dxa"/>
            <w:vAlign w:val="center"/>
          </w:tcPr>
          <w:p w14:paraId="00BD596F" w14:textId="77777777" w:rsidR="00AE032F" w:rsidRPr="00D507EC" w:rsidRDefault="00AE032F" w:rsidP="000F7727">
            <w:pPr>
              <w:spacing w:line="360" w:lineRule="auto"/>
              <w:jc w:val="center"/>
              <w:rPr>
                <w:color w:val="000000" w:themeColor="text1"/>
              </w:rPr>
            </w:pPr>
            <w:r w:rsidRPr="00D507EC">
              <w:rPr>
                <w:color w:val="000000" w:themeColor="text1"/>
              </w:rPr>
              <w:t>L461K</w:t>
            </w:r>
          </w:p>
        </w:tc>
        <w:tc>
          <w:tcPr>
            <w:tcW w:w="0" w:type="dxa"/>
            <w:vAlign w:val="center"/>
          </w:tcPr>
          <w:p w14:paraId="7B1CB30A" w14:textId="77777777" w:rsidR="00AE032F" w:rsidRPr="00D507EC" w:rsidRDefault="00AE032F" w:rsidP="000F7727">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rPr>
            </w:pPr>
            <w:r w:rsidRPr="00D507EC">
              <w:rPr>
                <w:color w:val="000000" w:themeColor="text1"/>
                <w:u w:val="single"/>
              </w:rPr>
              <w:t>TT</w:t>
            </w:r>
            <w:r w:rsidRPr="00D507EC">
              <w:rPr>
                <w:color w:val="000000" w:themeColor="text1"/>
              </w:rPr>
              <w:t xml:space="preserve">A -&gt; </w:t>
            </w:r>
            <w:r w:rsidRPr="00D507EC">
              <w:rPr>
                <w:color w:val="000000" w:themeColor="text1"/>
                <w:u w:val="single"/>
              </w:rPr>
              <w:t>AA</w:t>
            </w:r>
            <w:r w:rsidRPr="00D507EC">
              <w:rPr>
                <w:color w:val="000000" w:themeColor="text1"/>
              </w:rPr>
              <w:t>A</w:t>
            </w:r>
          </w:p>
        </w:tc>
        <w:tc>
          <w:tcPr>
            <w:tcW w:w="0" w:type="dxa"/>
            <w:vAlign w:val="center"/>
          </w:tcPr>
          <w:p w14:paraId="170D7DEC" w14:textId="77777777" w:rsidR="00AE032F" w:rsidRPr="00D507EC" w:rsidRDefault="00AE032F" w:rsidP="000F7727">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D507EC">
              <w:rPr>
                <w:color w:val="000000" w:themeColor="text1"/>
              </w:rPr>
              <w:t>2 (SEUK MRSA)</w:t>
            </w:r>
          </w:p>
        </w:tc>
        <w:tc>
          <w:tcPr>
            <w:tcW w:w="0" w:type="dxa"/>
            <w:vAlign w:val="center"/>
          </w:tcPr>
          <w:p w14:paraId="7BA48C57" w14:textId="77777777" w:rsidR="00AE032F" w:rsidRPr="00D507EC" w:rsidRDefault="00AE032F" w:rsidP="000F7727">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D507EC">
              <w:rPr>
                <w:color w:val="000000" w:themeColor="text1"/>
              </w:rPr>
              <w:t>384*</w:t>
            </w:r>
          </w:p>
        </w:tc>
      </w:tr>
      <w:tr w:rsidR="00AE032F" w:rsidRPr="00D507EC" w14:paraId="4526CD2D" w14:textId="77777777" w:rsidTr="004F7336">
        <w:tc>
          <w:tcPr>
            <w:cnfStyle w:val="001000000000" w:firstRow="0" w:lastRow="0" w:firstColumn="1" w:lastColumn="0" w:oddVBand="0" w:evenVBand="0" w:oddHBand="0" w:evenHBand="0" w:firstRowFirstColumn="0" w:firstRowLastColumn="0" w:lastRowFirstColumn="0" w:lastRowLastColumn="0"/>
            <w:tcW w:w="0" w:type="dxa"/>
            <w:vAlign w:val="center"/>
          </w:tcPr>
          <w:p w14:paraId="530C78D0" w14:textId="77777777" w:rsidR="00AE032F" w:rsidRPr="00D507EC" w:rsidRDefault="00AE032F" w:rsidP="000F7727">
            <w:pPr>
              <w:spacing w:line="360" w:lineRule="auto"/>
              <w:jc w:val="center"/>
              <w:rPr>
                <w:color w:val="000000" w:themeColor="text1"/>
              </w:rPr>
            </w:pPr>
            <w:r w:rsidRPr="00D507EC">
              <w:rPr>
                <w:color w:val="000000" w:themeColor="text1"/>
              </w:rPr>
              <w:t>I461K</w:t>
            </w:r>
          </w:p>
        </w:tc>
        <w:tc>
          <w:tcPr>
            <w:tcW w:w="0" w:type="dxa"/>
            <w:vAlign w:val="center"/>
          </w:tcPr>
          <w:p w14:paraId="20839FCD" w14:textId="77777777" w:rsidR="00AE032F" w:rsidRPr="00D507EC" w:rsidRDefault="00AE032F" w:rsidP="000F7727">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rPr>
            </w:pPr>
            <w:r w:rsidRPr="00D507EC">
              <w:rPr>
                <w:color w:val="000000" w:themeColor="text1"/>
              </w:rPr>
              <w:t>A</w:t>
            </w:r>
            <w:r w:rsidRPr="00D507EC">
              <w:rPr>
                <w:color w:val="000000" w:themeColor="text1"/>
                <w:u w:val="single"/>
              </w:rPr>
              <w:t>TT</w:t>
            </w:r>
            <w:r w:rsidRPr="00D507EC">
              <w:rPr>
                <w:color w:val="000000" w:themeColor="text1"/>
              </w:rPr>
              <w:t xml:space="preserve"> -&gt; A</w:t>
            </w:r>
            <w:r w:rsidRPr="00D507EC">
              <w:rPr>
                <w:color w:val="000000" w:themeColor="text1"/>
                <w:u w:val="single"/>
              </w:rPr>
              <w:t>AA</w:t>
            </w:r>
          </w:p>
        </w:tc>
        <w:tc>
          <w:tcPr>
            <w:tcW w:w="0" w:type="dxa"/>
            <w:vAlign w:val="center"/>
          </w:tcPr>
          <w:p w14:paraId="749645F3" w14:textId="77777777" w:rsidR="00AE032F" w:rsidRPr="00D507EC" w:rsidRDefault="00AE032F" w:rsidP="000F7727">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D507EC">
              <w:rPr>
                <w:color w:val="000000" w:themeColor="text1"/>
              </w:rPr>
              <w:t>1 (NUK MSSP)</w:t>
            </w:r>
          </w:p>
        </w:tc>
        <w:tc>
          <w:tcPr>
            <w:tcW w:w="0" w:type="dxa"/>
            <w:vAlign w:val="center"/>
          </w:tcPr>
          <w:p w14:paraId="44066A3F" w14:textId="77777777" w:rsidR="00AE032F" w:rsidRPr="00D507EC" w:rsidRDefault="00AE032F" w:rsidP="000F7727">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D507EC">
              <w:rPr>
                <w:color w:val="000000" w:themeColor="text1"/>
              </w:rPr>
              <w:t>&gt; 64</w:t>
            </w:r>
          </w:p>
        </w:tc>
      </w:tr>
      <w:tr w:rsidR="00AE032F" w:rsidRPr="00D507EC" w14:paraId="61B81087" w14:textId="77777777" w:rsidTr="004F7336">
        <w:tc>
          <w:tcPr>
            <w:cnfStyle w:val="001000000000" w:firstRow="0" w:lastRow="0" w:firstColumn="1" w:lastColumn="0" w:oddVBand="0" w:evenVBand="0" w:oddHBand="0" w:evenHBand="0" w:firstRowFirstColumn="0" w:firstRowLastColumn="0" w:lastRowFirstColumn="0" w:lastRowLastColumn="0"/>
            <w:tcW w:w="0" w:type="dxa"/>
            <w:vMerge w:val="restart"/>
            <w:vAlign w:val="center"/>
          </w:tcPr>
          <w:p w14:paraId="7C9A0C76" w14:textId="77777777" w:rsidR="00AE032F" w:rsidRPr="00D507EC" w:rsidRDefault="00AE032F" w:rsidP="000F7727">
            <w:pPr>
              <w:spacing w:line="360" w:lineRule="auto"/>
              <w:jc w:val="center"/>
              <w:rPr>
                <w:color w:val="000000" w:themeColor="text1"/>
              </w:rPr>
            </w:pPr>
            <w:r w:rsidRPr="00D507EC">
              <w:rPr>
                <w:color w:val="000000" w:themeColor="text1"/>
              </w:rPr>
              <w:t>V90I / A376V / I461T</w:t>
            </w:r>
          </w:p>
        </w:tc>
        <w:tc>
          <w:tcPr>
            <w:tcW w:w="0" w:type="dxa"/>
            <w:vMerge w:val="restart"/>
            <w:vAlign w:val="center"/>
          </w:tcPr>
          <w:p w14:paraId="3CDD1842" w14:textId="77777777" w:rsidR="00AE032F" w:rsidRPr="00D507EC" w:rsidRDefault="00AE032F" w:rsidP="000F7727">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u w:val="single"/>
              </w:rPr>
            </w:pPr>
            <w:r w:rsidRPr="00D507EC">
              <w:rPr>
                <w:color w:val="000000" w:themeColor="text1"/>
                <w:u w:val="single"/>
              </w:rPr>
              <w:t>G</w:t>
            </w:r>
            <w:r w:rsidRPr="00D507EC">
              <w:rPr>
                <w:color w:val="000000" w:themeColor="text1"/>
              </w:rPr>
              <w:t xml:space="preserve">TA -&gt; </w:t>
            </w:r>
            <w:r w:rsidRPr="00D507EC">
              <w:rPr>
                <w:color w:val="000000" w:themeColor="text1"/>
                <w:u w:val="single"/>
              </w:rPr>
              <w:t>A</w:t>
            </w:r>
            <w:r w:rsidRPr="00D507EC">
              <w:rPr>
                <w:color w:val="000000" w:themeColor="text1"/>
              </w:rPr>
              <w:t>TA / G</w:t>
            </w:r>
            <w:r w:rsidRPr="00D507EC">
              <w:rPr>
                <w:color w:val="000000" w:themeColor="text1"/>
                <w:u w:val="single"/>
              </w:rPr>
              <w:t>C</w:t>
            </w:r>
            <w:r w:rsidRPr="00D507EC">
              <w:rPr>
                <w:color w:val="000000" w:themeColor="text1"/>
              </w:rPr>
              <w:t>A -&gt; G</w:t>
            </w:r>
            <w:r w:rsidRPr="00D507EC">
              <w:rPr>
                <w:color w:val="000000" w:themeColor="text1"/>
                <w:u w:val="single"/>
              </w:rPr>
              <w:t>T</w:t>
            </w:r>
            <w:r w:rsidRPr="00D507EC">
              <w:rPr>
                <w:color w:val="000000" w:themeColor="text1"/>
              </w:rPr>
              <w:t>A / A</w:t>
            </w:r>
            <w:r w:rsidRPr="00D507EC">
              <w:rPr>
                <w:color w:val="000000" w:themeColor="text1"/>
                <w:u w:val="single"/>
              </w:rPr>
              <w:t>T</w:t>
            </w:r>
            <w:r w:rsidRPr="00D507EC">
              <w:rPr>
                <w:color w:val="000000" w:themeColor="text1"/>
              </w:rPr>
              <w:t>T -&gt; A</w:t>
            </w:r>
            <w:r w:rsidRPr="00D507EC">
              <w:rPr>
                <w:color w:val="000000" w:themeColor="text1"/>
                <w:u w:val="single"/>
              </w:rPr>
              <w:t>C</w:t>
            </w:r>
            <w:r w:rsidRPr="00D507EC">
              <w:rPr>
                <w:color w:val="000000" w:themeColor="text1"/>
              </w:rPr>
              <w:t>T</w:t>
            </w:r>
          </w:p>
        </w:tc>
        <w:tc>
          <w:tcPr>
            <w:tcW w:w="0" w:type="dxa"/>
            <w:vAlign w:val="center"/>
          </w:tcPr>
          <w:p w14:paraId="08F86C87" w14:textId="77777777" w:rsidR="00AE032F" w:rsidRPr="00D507EC" w:rsidRDefault="00AE032F" w:rsidP="000F7727">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D507EC">
              <w:rPr>
                <w:color w:val="000000" w:themeColor="text1"/>
              </w:rPr>
              <w:t>1 (NUK MSSP)</w:t>
            </w:r>
          </w:p>
        </w:tc>
        <w:tc>
          <w:tcPr>
            <w:tcW w:w="0" w:type="dxa"/>
            <w:vAlign w:val="center"/>
          </w:tcPr>
          <w:p w14:paraId="3D6834A2" w14:textId="77777777" w:rsidR="00AE032F" w:rsidRPr="00D507EC" w:rsidRDefault="00AE032F" w:rsidP="000F7727">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D507EC">
              <w:rPr>
                <w:color w:val="000000" w:themeColor="text1"/>
              </w:rPr>
              <w:t>&gt; 64</w:t>
            </w:r>
          </w:p>
        </w:tc>
      </w:tr>
      <w:tr w:rsidR="00AE032F" w:rsidRPr="00D507EC" w14:paraId="36DEDDD9" w14:textId="77777777" w:rsidTr="004F7336">
        <w:tc>
          <w:tcPr>
            <w:cnfStyle w:val="001000000000" w:firstRow="0" w:lastRow="0" w:firstColumn="1" w:lastColumn="0" w:oddVBand="0" w:evenVBand="0" w:oddHBand="0" w:evenHBand="0" w:firstRowFirstColumn="0" w:firstRowLastColumn="0" w:lastRowFirstColumn="0" w:lastRowLastColumn="0"/>
            <w:tcW w:w="0" w:type="dxa"/>
            <w:vMerge/>
            <w:vAlign w:val="center"/>
          </w:tcPr>
          <w:p w14:paraId="6D5EF789" w14:textId="77777777" w:rsidR="00AE032F" w:rsidRPr="00D507EC" w:rsidRDefault="00AE032F" w:rsidP="000F7727">
            <w:pPr>
              <w:spacing w:line="360" w:lineRule="auto"/>
              <w:jc w:val="center"/>
              <w:rPr>
                <w:color w:val="000000" w:themeColor="text1"/>
              </w:rPr>
            </w:pPr>
          </w:p>
        </w:tc>
        <w:tc>
          <w:tcPr>
            <w:tcW w:w="0" w:type="dxa"/>
            <w:vMerge/>
            <w:vAlign w:val="center"/>
          </w:tcPr>
          <w:p w14:paraId="6F4B4392" w14:textId="77777777" w:rsidR="00AE032F" w:rsidRPr="00D507EC" w:rsidRDefault="00AE032F" w:rsidP="000F7727">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0" w:type="dxa"/>
            <w:vAlign w:val="center"/>
          </w:tcPr>
          <w:p w14:paraId="356C1B2C" w14:textId="77777777" w:rsidR="00AE032F" w:rsidRPr="00D507EC" w:rsidRDefault="00AE032F" w:rsidP="000F7727">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D507EC">
              <w:rPr>
                <w:color w:val="000000" w:themeColor="text1"/>
              </w:rPr>
              <w:t>20 (n = 12 FA-R Finland MRSP; n = 1 Finland MRSP, n = 2 NUK MSSP, n = 4 NUK MRSP, n = 1 SEUK MRSP)</w:t>
            </w:r>
          </w:p>
        </w:tc>
        <w:tc>
          <w:tcPr>
            <w:tcW w:w="0" w:type="dxa"/>
            <w:vAlign w:val="center"/>
          </w:tcPr>
          <w:p w14:paraId="0F5B2674" w14:textId="77777777" w:rsidR="00AE032F" w:rsidRPr="00D507EC" w:rsidRDefault="00AE032F" w:rsidP="000F7727">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D507EC">
              <w:rPr>
                <w:color w:val="000000" w:themeColor="text1"/>
              </w:rPr>
              <w:t>64</w:t>
            </w:r>
          </w:p>
        </w:tc>
      </w:tr>
    </w:tbl>
    <w:p w14:paraId="7DCA1FDD" w14:textId="77777777" w:rsidR="00AE032F" w:rsidRPr="00D507EC" w:rsidRDefault="00AE032F" w:rsidP="00AE032F">
      <w:pPr>
        <w:spacing w:after="0" w:line="360" w:lineRule="auto"/>
        <w:rPr>
          <w:color w:val="000000" w:themeColor="text1"/>
        </w:rPr>
      </w:pPr>
    </w:p>
    <w:p w14:paraId="46CA966E" w14:textId="77777777" w:rsidR="00AE032F" w:rsidRPr="00D507EC" w:rsidRDefault="00AE032F" w:rsidP="00AE032F">
      <w:pPr>
        <w:pStyle w:val="Heading6"/>
        <w:spacing w:line="360" w:lineRule="auto"/>
        <w:rPr>
          <w:color w:val="000000" w:themeColor="text1"/>
        </w:rPr>
      </w:pPr>
      <w:r w:rsidRPr="00D507EC">
        <w:rPr>
          <w:color w:val="000000" w:themeColor="text1"/>
        </w:rPr>
        <w:t>MIC: minimum inhibitory concentration; SEUK: South-East U.K.; NUK: North U.K.</w:t>
      </w:r>
    </w:p>
    <w:p w14:paraId="64F9E4BB" w14:textId="77777777" w:rsidR="00AE032F" w:rsidRPr="00D507EC" w:rsidRDefault="00AE032F" w:rsidP="00AE032F">
      <w:pPr>
        <w:pStyle w:val="Heading6"/>
        <w:spacing w:line="360" w:lineRule="auto"/>
        <w:rPr>
          <w:color w:val="000000" w:themeColor="text1"/>
        </w:rPr>
      </w:pPr>
      <w:r w:rsidRPr="00D507EC">
        <w:rPr>
          <w:color w:val="000000" w:themeColor="text1"/>
        </w:rPr>
        <w:t>*MIC determined as part of previous study (reference 53)</w:t>
      </w:r>
    </w:p>
    <w:p w14:paraId="22DD6C47" w14:textId="2DFC0B7C" w:rsidR="009E3A6B" w:rsidRPr="00D507EC" w:rsidRDefault="009E3A6B" w:rsidP="004C7293">
      <w:pPr>
        <w:pStyle w:val="Heading4"/>
        <w:spacing w:line="360" w:lineRule="auto"/>
        <w:rPr>
          <w:color w:val="000000" w:themeColor="text1"/>
        </w:rPr>
      </w:pPr>
    </w:p>
    <w:p w14:paraId="39514E44" w14:textId="2249008A" w:rsidR="001329FC" w:rsidRPr="00D507EC" w:rsidRDefault="001329FC" w:rsidP="004F7336">
      <w:pPr>
        <w:rPr>
          <w:color w:val="000000" w:themeColor="text1"/>
        </w:rPr>
      </w:pPr>
    </w:p>
    <w:p w14:paraId="65A68499" w14:textId="042B3DAE" w:rsidR="001329FC" w:rsidRPr="00D507EC" w:rsidRDefault="001329FC" w:rsidP="004F7336">
      <w:pPr>
        <w:rPr>
          <w:color w:val="000000" w:themeColor="text1"/>
        </w:rPr>
      </w:pPr>
    </w:p>
    <w:p w14:paraId="09EA0019" w14:textId="77777777" w:rsidR="001329FC" w:rsidRPr="00D507EC" w:rsidRDefault="001329FC" w:rsidP="004F7336">
      <w:pPr>
        <w:rPr>
          <w:color w:val="000000" w:themeColor="text1"/>
        </w:rPr>
      </w:pPr>
    </w:p>
    <w:p w14:paraId="24F35819" w14:textId="77777777" w:rsidR="001329FC" w:rsidRPr="00D507EC" w:rsidRDefault="001329FC" w:rsidP="001329FC">
      <w:pPr>
        <w:pStyle w:val="Heading4"/>
        <w:spacing w:line="360" w:lineRule="auto"/>
        <w:rPr>
          <w:i w:val="0"/>
          <w:color w:val="000000" w:themeColor="text1"/>
        </w:rPr>
      </w:pPr>
      <w:r w:rsidRPr="00D507EC">
        <w:rPr>
          <w:i w:val="0"/>
          <w:color w:val="000000" w:themeColor="text1"/>
        </w:rPr>
        <w:t xml:space="preserve">Table 4. Geographical origin of canine-derived staphylococci used in this study. </w:t>
      </w:r>
    </w:p>
    <w:tbl>
      <w:tblPr>
        <w:tblStyle w:val="GridTable1Light-Accent1"/>
        <w:tblW w:w="0" w:type="auto"/>
        <w:tblLook w:val="04A0" w:firstRow="1" w:lastRow="0" w:firstColumn="1" w:lastColumn="0" w:noHBand="0" w:noVBand="1"/>
      </w:tblPr>
      <w:tblGrid>
        <w:gridCol w:w="1422"/>
        <w:gridCol w:w="1280"/>
        <w:gridCol w:w="1266"/>
        <w:gridCol w:w="1334"/>
        <w:gridCol w:w="1297"/>
        <w:gridCol w:w="1271"/>
        <w:gridCol w:w="1146"/>
      </w:tblGrid>
      <w:tr w:rsidR="001329FC" w:rsidRPr="00D507EC" w14:paraId="4395E60A" w14:textId="77777777" w:rsidTr="00203D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2" w:type="dxa"/>
            <w:tcBorders>
              <w:bottom w:val="single" w:sz="12" w:space="0" w:color="BDD6EE" w:themeColor="accent1" w:themeTint="66"/>
              <w:right w:val="single" w:sz="12" w:space="0" w:color="BDD6EE" w:themeColor="accent1" w:themeTint="66"/>
            </w:tcBorders>
            <w:vAlign w:val="center"/>
          </w:tcPr>
          <w:p w14:paraId="268787C8" w14:textId="77777777" w:rsidR="001329FC" w:rsidRPr="00D507EC" w:rsidRDefault="001329FC" w:rsidP="00203DCE">
            <w:pPr>
              <w:spacing w:line="360" w:lineRule="auto"/>
              <w:jc w:val="center"/>
              <w:rPr>
                <w:color w:val="000000" w:themeColor="text1"/>
              </w:rPr>
            </w:pPr>
            <w:r w:rsidRPr="00D507EC">
              <w:rPr>
                <w:color w:val="000000" w:themeColor="text1"/>
              </w:rPr>
              <w:t>Geographical location</w:t>
            </w:r>
          </w:p>
        </w:tc>
        <w:tc>
          <w:tcPr>
            <w:tcW w:w="1280" w:type="dxa"/>
            <w:tcBorders>
              <w:left w:val="single" w:sz="12" w:space="0" w:color="BDD6EE" w:themeColor="accent1" w:themeTint="66"/>
              <w:bottom w:val="single" w:sz="12" w:space="0" w:color="BDD6EE" w:themeColor="accent1" w:themeTint="66"/>
            </w:tcBorders>
            <w:vAlign w:val="center"/>
          </w:tcPr>
          <w:p w14:paraId="3870CF2F" w14:textId="77777777" w:rsidR="001329FC" w:rsidRPr="00D507EC" w:rsidRDefault="001329FC" w:rsidP="00203DCE">
            <w:pPr>
              <w:spacing w:line="36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D507EC">
              <w:rPr>
                <w:color w:val="000000" w:themeColor="text1"/>
              </w:rPr>
              <w:t>South-East U.K.</w:t>
            </w:r>
            <w:r w:rsidRPr="00D507EC">
              <w:rPr>
                <w:color w:val="000000" w:themeColor="text1"/>
                <w:vertAlign w:val="superscript"/>
              </w:rPr>
              <w:t>a</w:t>
            </w:r>
          </w:p>
        </w:tc>
        <w:tc>
          <w:tcPr>
            <w:tcW w:w="1266" w:type="dxa"/>
            <w:tcBorders>
              <w:bottom w:val="single" w:sz="12" w:space="0" w:color="BDD6EE" w:themeColor="accent1" w:themeTint="66"/>
            </w:tcBorders>
            <w:vAlign w:val="center"/>
          </w:tcPr>
          <w:p w14:paraId="5AC91B82" w14:textId="77777777" w:rsidR="001329FC" w:rsidRPr="00D507EC" w:rsidRDefault="001329FC" w:rsidP="00203DCE">
            <w:pPr>
              <w:spacing w:line="36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D507EC">
              <w:rPr>
                <w:color w:val="000000" w:themeColor="text1"/>
              </w:rPr>
              <w:t>North U.K.</w:t>
            </w:r>
            <w:r w:rsidRPr="00D507EC">
              <w:rPr>
                <w:color w:val="000000" w:themeColor="text1"/>
                <w:vertAlign w:val="superscript"/>
              </w:rPr>
              <w:t>b</w:t>
            </w:r>
          </w:p>
        </w:tc>
        <w:tc>
          <w:tcPr>
            <w:tcW w:w="1334" w:type="dxa"/>
            <w:tcBorders>
              <w:bottom w:val="single" w:sz="12" w:space="0" w:color="BDD6EE" w:themeColor="accent1" w:themeTint="66"/>
            </w:tcBorders>
            <w:vAlign w:val="center"/>
          </w:tcPr>
          <w:p w14:paraId="70313778" w14:textId="77777777" w:rsidR="001329FC" w:rsidRPr="00D507EC" w:rsidRDefault="001329FC" w:rsidP="00203DCE">
            <w:pPr>
              <w:spacing w:line="36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D507EC">
              <w:rPr>
                <w:color w:val="000000" w:themeColor="text1"/>
              </w:rPr>
              <w:t>Germany</w:t>
            </w:r>
            <w:r w:rsidRPr="00D507EC">
              <w:rPr>
                <w:color w:val="000000" w:themeColor="text1"/>
                <w:vertAlign w:val="superscript"/>
              </w:rPr>
              <w:t>c</w:t>
            </w:r>
          </w:p>
        </w:tc>
        <w:tc>
          <w:tcPr>
            <w:tcW w:w="1297" w:type="dxa"/>
            <w:tcBorders>
              <w:bottom w:val="single" w:sz="12" w:space="0" w:color="BDD6EE" w:themeColor="accent1" w:themeTint="66"/>
            </w:tcBorders>
            <w:vAlign w:val="center"/>
          </w:tcPr>
          <w:p w14:paraId="2B29F05B" w14:textId="77777777" w:rsidR="001329FC" w:rsidRPr="00D507EC" w:rsidRDefault="001329FC" w:rsidP="00203DCE">
            <w:pPr>
              <w:spacing w:line="36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D507EC">
              <w:rPr>
                <w:color w:val="000000" w:themeColor="text1"/>
              </w:rPr>
              <w:t>Finland</w:t>
            </w:r>
            <w:r w:rsidRPr="00D507EC">
              <w:rPr>
                <w:color w:val="000000" w:themeColor="text1"/>
                <w:vertAlign w:val="superscript"/>
              </w:rPr>
              <w:t>d</w:t>
            </w:r>
          </w:p>
        </w:tc>
        <w:tc>
          <w:tcPr>
            <w:tcW w:w="1271" w:type="dxa"/>
            <w:tcBorders>
              <w:bottom w:val="single" w:sz="12" w:space="0" w:color="BDD6EE" w:themeColor="accent1" w:themeTint="66"/>
              <w:right w:val="dashed" w:sz="4" w:space="0" w:color="BDD6EE" w:themeColor="accent1" w:themeTint="66"/>
            </w:tcBorders>
            <w:vAlign w:val="center"/>
          </w:tcPr>
          <w:p w14:paraId="02F68CFB" w14:textId="77777777" w:rsidR="001329FC" w:rsidRPr="00D507EC" w:rsidRDefault="001329FC" w:rsidP="00203DCE">
            <w:pPr>
              <w:spacing w:line="36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D507EC">
              <w:rPr>
                <w:color w:val="000000" w:themeColor="text1"/>
              </w:rPr>
              <w:t>U.S.A.</w:t>
            </w:r>
            <w:r w:rsidRPr="00D507EC">
              <w:rPr>
                <w:color w:val="000000" w:themeColor="text1"/>
                <w:vertAlign w:val="superscript"/>
              </w:rPr>
              <w:t>e</w:t>
            </w:r>
          </w:p>
        </w:tc>
        <w:tc>
          <w:tcPr>
            <w:tcW w:w="1146" w:type="dxa"/>
            <w:tcBorders>
              <w:left w:val="dashed" w:sz="4" w:space="0" w:color="BDD6EE" w:themeColor="accent1" w:themeTint="66"/>
              <w:bottom w:val="single" w:sz="12" w:space="0" w:color="BDD6EE" w:themeColor="accent1" w:themeTint="66"/>
            </w:tcBorders>
            <w:vAlign w:val="center"/>
          </w:tcPr>
          <w:p w14:paraId="478B3C52" w14:textId="77777777" w:rsidR="001329FC" w:rsidRPr="00D507EC" w:rsidRDefault="001329FC" w:rsidP="00203DCE">
            <w:pPr>
              <w:spacing w:line="360" w:lineRule="auto"/>
              <w:jc w:val="center"/>
              <w:cnfStyle w:val="100000000000" w:firstRow="1" w:lastRow="0" w:firstColumn="0" w:lastColumn="0" w:oddVBand="0" w:evenVBand="0" w:oddHBand="0" w:evenHBand="0" w:firstRowFirstColumn="0" w:firstRowLastColumn="0" w:lastRowFirstColumn="0" w:lastRowLastColumn="0"/>
              <w:rPr>
                <w:i/>
                <w:color w:val="000000" w:themeColor="text1"/>
              </w:rPr>
            </w:pPr>
            <w:r w:rsidRPr="00D507EC">
              <w:rPr>
                <w:i/>
                <w:color w:val="000000" w:themeColor="text1"/>
              </w:rPr>
              <w:t>Total</w:t>
            </w:r>
          </w:p>
        </w:tc>
      </w:tr>
      <w:tr w:rsidR="001329FC" w:rsidRPr="00D507EC" w14:paraId="1B716A5B" w14:textId="77777777" w:rsidTr="00203DCE">
        <w:tc>
          <w:tcPr>
            <w:cnfStyle w:val="001000000000" w:firstRow="0" w:lastRow="0" w:firstColumn="1" w:lastColumn="0" w:oddVBand="0" w:evenVBand="0" w:oddHBand="0" w:evenHBand="0" w:firstRowFirstColumn="0" w:firstRowLastColumn="0" w:lastRowFirstColumn="0" w:lastRowLastColumn="0"/>
            <w:tcW w:w="1422" w:type="dxa"/>
            <w:tcBorders>
              <w:top w:val="single" w:sz="12" w:space="0" w:color="BDD6EE" w:themeColor="accent1" w:themeTint="66"/>
              <w:right w:val="single" w:sz="12" w:space="0" w:color="BDD6EE" w:themeColor="accent1" w:themeTint="66"/>
            </w:tcBorders>
            <w:vAlign w:val="center"/>
          </w:tcPr>
          <w:p w14:paraId="68A6ECB7" w14:textId="77777777" w:rsidR="001329FC" w:rsidRPr="00D507EC" w:rsidRDefault="001329FC" w:rsidP="00203DCE">
            <w:pPr>
              <w:spacing w:line="360" w:lineRule="auto"/>
              <w:jc w:val="center"/>
              <w:rPr>
                <w:color w:val="000000" w:themeColor="text1"/>
              </w:rPr>
            </w:pPr>
            <w:r w:rsidRPr="00D507EC">
              <w:rPr>
                <w:color w:val="000000" w:themeColor="text1"/>
              </w:rPr>
              <w:t>MRSP</w:t>
            </w:r>
          </w:p>
        </w:tc>
        <w:tc>
          <w:tcPr>
            <w:tcW w:w="1280" w:type="dxa"/>
            <w:tcBorders>
              <w:top w:val="single" w:sz="12" w:space="0" w:color="BDD6EE" w:themeColor="accent1" w:themeTint="66"/>
              <w:left w:val="single" w:sz="12" w:space="0" w:color="BDD6EE" w:themeColor="accent1" w:themeTint="66"/>
            </w:tcBorders>
            <w:vAlign w:val="center"/>
          </w:tcPr>
          <w:p w14:paraId="66D41593" w14:textId="77777777" w:rsidR="001329FC" w:rsidRPr="00D507EC" w:rsidRDefault="001329FC" w:rsidP="00203DCE">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D507EC">
              <w:rPr>
                <w:color w:val="000000" w:themeColor="text1"/>
              </w:rPr>
              <w:t>47</w:t>
            </w:r>
          </w:p>
        </w:tc>
        <w:tc>
          <w:tcPr>
            <w:tcW w:w="1266" w:type="dxa"/>
            <w:tcBorders>
              <w:top w:val="single" w:sz="12" w:space="0" w:color="BDD6EE" w:themeColor="accent1" w:themeTint="66"/>
            </w:tcBorders>
            <w:vAlign w:val="center"/>
          </w:tcPr>
          <w:p w14:paraId="714C9439" w14:textId="77777777" w:rsidR="001329FC" w:rsidRPr="00D507EC" w:rsidRDefault="001329FC" w:rsidP="00203DCE">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D507EC">
              <w:rPr>
                <w:color w:val="000000" w:themeColor="text1"/>
              </w:rPr>
              <w:t>49</w:t>
            </w:r>
          </w:p>
        </w:tc>
        <w:tc>
          <w:tcPr>
            <w:tcW w:w="1334" w:type="dxa"/>
            <w:tcBorders>
              <w:top w:val="single" w:sz="12" w:space="0" w:color="BDD6EE" w:themeColor="accent1" w:themeTint="66"/>
            </w:tcBorders>
            <w:vAlign w:val="center"/>
          </w:tcPr>
          <w:p w14:paraId="21DF3729" w14:textId="77777777" w:rsidR="001329FC" w:rsidRPr="00D507EC" w:rsidRDefault="001329FC" w:rsidP="00203DCE">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D507EC">
              <w:rPr>
                <w:color w:val="000000" w:themeColor="text1"/>
              </w:rPr>
              <w:t>24</w:t>
            </w:r>
          </w:p>
        </w:tc>
        <w:tc>
          <w:tcPr>
            <w:tcW w:w="1297" w:type="dxa"/>
            <w:tcBorders>
              <w:top w:val="single" w:sz="12" w:space="0" w:color="BDD6EE" w:themeColor="accent1" w:themeTint="66"/>
            </w:tcBorders>
            <w:vAlign w:val="center"/>
          </w:tcPr>
          <w:p w14:paraId="0B53DB77" w14:textId="77777777" w:rsidR="001329FC" w:rsidRPr="00D507EC" w:rsidRDefault="001329FC" w:rsidP="00203DCE">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D507EC">
              <w:rPr>
                <w:color w:val="000000" w:themeColor="text1"/>
              </w:rPr>
              <w:t>49</w:t>
            </w:r>
          </w:p>
        </w:tc>
        <w:tc>
          <w:tcPr>
            <w:tcW w:w="1271" w:type="dxa"/>
            <w:tcBorders>
              <w:top w:val="single" w:sz="12" w:space="0" w:color="BDD6EE" w:themeColor="accent1" w:themeTint="66"/>
              <w:right w:val="dashed" w:sz="4" w:space="0" w:color="BDD6EE" w:themeColor="accent1" w:themeTint="66"/>
            </w:tcBorders>
            <w:vAlign w:val="center"/>
          </w:tcPr>
          <w:p w14:paraId="2B172738" w14:textId="77777777" w:rsidR="001329FC" w:rsidRPr="00D507EC" w:rsidRDefault="001329FC" w:rsidP="00203DCE">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D507EC">
              <w:rPr>
                <w:color w:val="000000" w:themeColor="text1"/>
              </w:rPr>
              <w:t>50</w:t>
            </w:r>
          </w:p>
        </w:tc>
        <w:tc>
          <w:tcPr>
            <w:tcW w:w="1146" w:type="dxa"/>
            <w:tcBorders>
              <w:top w:val="single" w:sz="12" w:space="0" w:color="BDD6EE" w:themeColor="accent1" w:themeTint="66"/>
              <w:left w:val="dashed" w:sz="4" w:space="0" w:color="BDD6EE" w:themeColor="accent1" w:themeTint="66"/>
            </w:tcBorders>
          </w:tcPr>
          <w:p w14:paraId="324851A8" w14:textId="77777777" w:rsidR="001329FC" w:rsidRPr="00D507EC" w:rsidRDefault="001329FC" w:rsidP="00203DCE">
            <w:pPr>
              <w:spacing w:line="360" w:lineRule="auto"/>
              <w:jc w:val="center"/>
              <w:cnfStyle w:val="000000000000" w:firstRow="0" w:lastRow="0" w:firstColumn="0" w:lastColumn="0" w:oddVBand="0" w:evenVBand="0" w:oddHBand="0" w:evenHBand="0" w:firstRowFirstColumn="0" w:firstRowLastColumn="0" w:lastRowFirstColumn="0" w:lastRowLastColumn="0"/>
              <w:rPr>
                <w:i/>
                <w:color w:val="000000" w:themeColor="text1"/>
              </w:rPr>
            </w:pPr>
            <w:r w:rsidRPr="00D507EC">
              <w:rPr>
                <w:i/>
                <w:color w:val="000000" w:themeColor="text1"/>
              </w:rPr>
              <w:t>219</w:t>
            </w:r>
          </w:p>
        </w:tc>
      </w:tr>
      <w:tr w:rsidR="001329FC" w:rsidRPr="00D507EC" w14:paraId="1D99CB59" w14:textId="77777777" w:rsidTr="00203DCE">
        <w:tc>
          <w:tcPr>
            <w:cnfStyle w:val="001000000000" w:firstRow="0" w:lastRow="0" w:firstColumn="1" w:lastColumn="0" w:oddVBand="0" w:evenVBand="0" w:oddHBand="0" w:evenHBand="0" w:firstRowFirstColumn="0" w:firstRowLastColumn="0" w:lastRowFirstColumn="0" w:lastRowLastColumn="0"/>
            <w:tcW w:w="1422" w:type="dxa"/>
            <w:tcBorders>
              <w:right w:val="single" w:sz="12" w:space="0" w:color="BDD6EE" w:themeColor="accent1" w:themeTint="66"/>
            </w:tcBorders>
            <w:vAlign w:val="center"/>
          </w:tcPr>
          <w:p w14:paraId="6909F41B" w14:textId="77777777" w:rsidR="001329FC" w:rsidRPr="00D507EC" w:rsidRDefault="001329FC" w:rsidP="00203DCE">
            <w:pPr>
              <w:spacing w:line="360" w:lineRule="auto"/>
              <w:jc w:val="center"/>
              <w:rPr>
                <w:color w:val="000000" w:themeColor="text1"/>
              </w:rPr>
            </w:pPr>
            <w:r w:rsidRPr="00D507EC">
              <w:rPr>
                <w:color w:val="000000" w:themeColor="text1"/>
              </w:rPr>
              <w:t>FA-R MRSP</w:t>
            </w:r>
          </w:p>
        </w:tc>
        <w:tc>
          <w:tcPr>
            <w:tcW w:w="1280" w:type="dxa"/>
            <w:tcBorders>
              <w:left w:val="single" w:sz="12" w:space="0" w:color="BDD6EE" w:themeColor="accent1" w:themeTint="66"/>
            </w:tcBorders>
            <w:vAlign w:val="center"/>
          </w:tcPr>
          <w:p w14:paraId="3DE6A1DA" w14:textId="77777777" w:rsidR="001329FC" w:rsidRPr="00D507EC" w:rsidRDefault="001329FC" w:rsidP="00203DCE">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D507EC">
              <w:rPr>
                <w:color w:val="000000" w:themeColor="text1"/>
              </w:rPr>
              <w:t>0</w:t>
            </w:r>
          </w:p>
        </w:tc>
        <w:tc>
          <w:tcPr>
            <w:tcW w:w="1266" w:type="dxa"/>
            <w:vAlign w:val="center"/>
          </w:tcPr>
          <w:p w14:paraId="53DBED34" w14:textId="77777777" w:rsidR="001329FC" w:rsidRPr="00D507EC" w:rsidRDefault="001329FC" w:rsidP="00203DCE">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D507EC">
              <w:rPr>
                <w:color w:val="000000" w:themeColor="text1"/>
              </w:rPr>
              <w:t>0</w:t>
            </w:r>
          </w:p>
        </w:tc>
        <w:tc>
          <w:tcPr>
            <w:tcW w:w="1334" w:type="dxa"/>
            <w:vAlign w:val="center"/>
          </w:tcPr>
          <w:p w14:paraId="3727C8E5" w14:textId="77777777" w:rsidR="001329FC" w:rsidRPr="00D507EC" w:rsidRDefault="001329FC" w:rsidP="00203DCE">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D507EC">
              <w:rPr>
                <w:color w:val="000000" w:themeColor="text1"/>
              </w:rPr>
              <w:t>0</w:t>
            </w:r>
          </w:p>
        </w:tc>
        <w:tc>
          <w:tcPr>
            <w:tcW w:w="1297" w:type="dxa"/>
            <w:vAlign w:val="center"/>
          </w:tcPr>
          <w:p w14:paraId="0C52CD57" w14:textId="77777777" w:rsidR="001329FC" w:rsidRPr="00D507EC" w:rsidRDefault="001329FC" w:rsidP="00203DCE">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D507EC">
              <w:rPr>
                <w:color w:val="000000" w:themeColor="text1"/>
              </w:rPr>
              <w:t>40</w:t>
            </w:r>
          </w:p>
        </w:tc>
        <w:tc>
          <w:tcPr>
            <w:tcW w:w="1271" w:type="dxa"/>
            <w:tcBorders>
              <w:right w:val="dashed" w:sz="4" w:space="0" w:color="BDD6EE" w:themeColor="accent1" w:themeTint="66"/>
            </w:tcBorders>
            <w:vAlign w:val="center"/>
          </w:tcPr>
          <w:p w14:paraId="5F9C3568" w14:textId="77777777" w:rsidR="001329FC" w:rsidRPr="00D507EC" w:rsidRDefault="001329FC" w:rsidP="00203DCE">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D507EC">
              <w:rPr>
                <w:color w:val="000000" w:themeColor="text1"/>
              </w:rPr>
              <w:t>0</w:t>
            </w:r>
          </w:p>
        </w:tc>
        <w:tc>
          <w:tcPr>
            <w:tcW w:w="1146" w:type="dxa"/>
            <w:tcBorders>
              <w:left w:val="dashed" w:sz="4" w:space="0" w:color="BDD6EE" w:themeColor="accent1" w:themeTint="66"/>
            </w:tcBorders>
          </w:tcPr>
          <w:p w14:paraId="06B9B678" w14:textId="77777777" w:rsidR="001329FC" w:rsidRPr="00D507EC" w:rsidRDefault="001329FC" w:rsidP="00203DCE">
            <w:pPr>
              <w:spacing w:line="360" w:lineRule="auto"/>
              <w:jc w:val="center"/>
              <w:cnfStyle w:val="000000000000" w:firstRow="0" w:lastRow="0" w:firstColumn="0" w:lastColumn="0" w:oddVBand="0" w:evenVBand="0" w:oddHBand="0" w:evenHBand="0" w:firstRowFirstColumn="0" w:firstRowLastColumn="0" w:lastRowFirstColumn="0" w:lastRowLastColumn="0"/>
              <w:rPr>
                <w:i/>
                <w:color w:val="000000" w:themeColor="text1"/>
              </w:rPr>
            </w:pPr>
            <w:r w:rsidRPr="00D507EC">
              <w:rPr>
                <w:i/>
                <w:color w:val="000000" w:themeColor="text1"/>
              </w:rPr>
              <w:t>40</w:t>
            </w:r>
          </w:p>
        </w:tc>
      </w:tr>
      <w:tr w:rsidR="001329FC" w:rsidRPr="00D507EC" w14:paraId="07FBB14A" w14:textId="77777777" w:rsidTr="00203DCE">
        <w:tc>
          <w:tcPr>
            <w:cnfStyle w:val="001000000000" w:firstRow="0" w:lastRow="0" w:firstColumn="1" w:lastColumn="0" w:oddVBand="0" w:evenVBand="0" w:oddHBand="0" w:evenHBand="0" w:firstRowFirstColumn="0" w:firstRowLastColumn="0" w:lastRowFirstColumn="0" w:lastRowLastColumn="0"/>
            <w:tcW w:w="1422" w:type="dxa"/>
            <w:tcBorders>
              <w:right w:val="single" w:sz="12" w:space="0" w:color="BDD6EE" w:themeColor="accent1" w:themeTint="66"/>
            </w:tcBorders>
            <w:vAlign w:val="center"/>
          </w:tcPr>
          <w:p w14:paraId="301AE030" w14:textId="77777777" w:rsidR="001329FC" w:rsidRPr="00D507EC" w:rsidRDefault="001329FC" w:rsidP="00203DCE">
            <w:pPr>
              <w:spacing w:line="360" w:lineRule="auto"/>
              <w:jc w:val="center"/>
              <w:rPr>
                <w:color w:val="000000" w:themeColor="text1"/>
              </w:rPr>
            </w:pPr>
            <w:r w:rsidRPr="00D507EC">
              <w:rPr>
                <w:color w:val="000000" w:themeColor="text1"/>
              </w:rPr>
              <w:t>MSSP</w:t>
            </w:r>
          </w:p>
        </w:tc>
        <w:tc>
          <w:tcPr>
            <w:tcW w:w="1280" w:type="dxa"/>
            <w:tcBorders>
              <w:left w:val="single" w:sz="12" w:space="0" w:color="BDD6EE" w:themeColor="accent1" w:themeTint="66"/>
            </w:tcBorders>
            <w:vAlign w:val="center"/>
          </w:tcPr>
          <w:p w14:paraId="12175686" w14:textId="77777777" w:rsidR="001329FC" w:rsidRPr="00D507EC" w:rsidRDefault="001329FC" w:rsidP="00203DCE">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D507EC">
              <w:rPr>
                <w:color w:val="000000" w:themeColor="text1"/>
              </w:rPr>
              <w:t>44*</w:t>
            </w:r>
          </w:p>
        </w:tc>
        <w:tc>
          <w:tcPr>
            <w:tcW w:w="1266" w:type="dxa"/>
            <w:vAlign w:val="center"/>
          </w:tcPr>
          <w:p w14:paraId="245F184A" w14:textId="77777777" w:rsidR="001329FC" w:rsidRPr="00D507EC" w:rsidRDefault="001329FC" w:rsidP="00203DCE">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D507EC">
              <w:rPr>
                <w:color w:val="000000" w:themeColor="text1"/>
              </w:rPr>
              <w:t>50</w:t>
            </w:r>
          </w:p>
        </w:tc>
        <w:tc>
          <w:tcPr>
            <w:tcW w:w="1334" w:type="dxa"/>
            <w:vAlign w:val="center"/>
          </w:tcPr>
          <w:p w14:paraId="6F339EE7" w14:textId="77777777" w:rsidR="001329FC" w:rsidRPr="00D507EC" w:rsidRDefault="001329FC" w:rsidP="00203DCE">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D507EC">
              <w:rPr>
                <w:color w:val="000000" w:themeColor="text1"/>
              </w:rPr>
              <w:t>24</w:t>
            </w:r>
          </w:p>
        </w:tc>
        <w:tc>
          <w:tcPr>
            <w:tcW w:w="1297" w:type="dxa"/>
            <w:vAlign w:val="center"/>
          </w:tcPr>
          <w:p w14:paraId="2A6403D2" w14:textId="77777777" w:rsidR="001329FC" w:rsidRPr="00D507EC" w:rsidRDefault="001329FC" w:rsidP="00203DCE">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D507EC">
              <w:rPr>
                <w:color w:val="000000" w:themeColor="text1"/>
              </w:rPr>
              <w:t>50</w:t>
            </w:r>
          </w:p>
        </w:tc>
        <w:tc>
          <w:tcPr>
            <w:tcW w:w="1271" w:type="dxa"/>
            <w:tcBorders>
              <w:right w:val="dashed" w:sz="4" w:space="0" w:color="BDD6EE" w:themeColor="accent1" w:themeTint="66"/>
            </w:tcBorders>
            <w:vAlign w:val="center"/>
          </w:tcPr>
          <w:p w14:paraId="59F36B86" w14:textId="77777777" w:rsidR="001329FC" w:rsidRPr="00D507EC" w:rsidRDefault="001329FC" w:rsidP="00203DCE">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D507EC">
              <w:rPr>
                <w:color w:val="000000" w:themeColor="text1"/>
              </w:rPr>
              <w:t>51</w:t>
            </w:r>
          </w:p>
        </w:tc>
        <w:tc>
          <w:tcPr>
            <w:tcW w:w="1146" w:type="dxa"/>
            <w:tcBorders>
              <w:left w:val="dashed" w:sz="4" w:space="0" w:color="BDD6EE" w:themeColor="accent1" w:themeTint="66"/>
            </w:tcBorders>
          </w:tcPr>
          <w:p w14:paraId="6A70E485" w14:textId="77777777" w:rsidR="001329FC" w:rsidRPr="00D507EC" w:rsidRDefault="001329FC" w:rsidP="00203DCE">
            <w:pPr>
              <w:spacing w:line="360" w:lineRule="auto"/>
              <w:jc w:val="center"/>
              <w:cnfStyle w:val="000000000000" w:firstRow="0" w:lastRow="0" w:firstColumn="0" w:lastColumn="0" w:oddVBand="0" w:evenVBand="0" w:oddHBand="0" w:evenHBand="0" w:firstRowFirstColumn="0" w:firstRowLastColumn="0" w:lastRowFirstColumn="0" w:lastRowLastColumn="0"/>
              <w:rPr>
                <w:i/>
                <w:color w:val="000000" w:themeColor="text1"/>
              </w:rPr>
            </w:pPr>
            <w:r w:rsidRPr="00D507EC">
              <w:rPr>
                <w:i/>
                <w:color w:val="000000" w:themeColor="text1"/>
              </w:rPr>
              <w:t>219</w:t>
            </w:r>
          </w:p>
        </w:tc>
      </w:tr>
      <w:tr w:rsidR="001329FC" w:rsidRPr="00D507EC" w14:paraId="3746DCB8" w14:textId="77777777" w:rsidTr="00203DCE">
        <w:tc>
          <w:tcPr>
            <w:cnfStyle w:val="001000000000" w:firstRow="0" w:lastRow="0" w:firstColumn="1" w:lastColumn="0" w:oddVBand="0" w:evenVBand="0" w:oddHBand="0" w:evenHBand="0" w:firstRowFirstColumn="0" w:firstRowLastColumn="0" w:lastRowFirstColumn="0" w:lastRowLastColumn="0"/>
            <w:tcW w:w="1422" w:type="dxa"/>
            <w:tcBorders>
              <w:right w:val="single" w:sz="12" w:space="0" w:color="BDD6EE" w:themeColor="accent1" w:themeTint="66"/>
            </w:tcBorders>
            <w:vAlign w:val="center"/>
          </w:tcPr>
          <w:p w14:paraId="5DCD17BB" w14:textId="77777777" w:rsidR="001329FC" w:rsidRPr="00D507EC" w:rsidRDefault="001329FC" w:rsidP="00203DCE">
            <w:pPr>
              <w:spacing w:line="360" w:lineRule="auto"/>
              <w:jc w:val="center"/>
              <w:rPr>
                <w:color w:val="000000" w:themeColor="text1"/>
              </w:rPr>
            </w:pPr>
            <w:r w:rsidRPr="00D507EC">
              <w:rPr>
                <w:color w:val="000000" w:themeColor="text1"/>
              </w:rPr>
              <w:t>MRSA</w:t>
            </w:r>
          </w:p>
        </w:tc>
        <w:tc>
          <w:tcPr>
            <w:tcW w:w="1280" w:type="dxa"/>
            <w:tcBorders>
              <w:left w:val="single" w:sz="12" w:space="0" w:color="BDD6EE" w:themeColor="accent1" w:themeTint="66"/>
            </w:tcBorders>
            <w:vAlign w:val="center"/>
          </w:tcPr>
          <w:p w14:paraId="20145573" w14:textId="77777777" w:rsidR="001329FC" w:rsidRPr="00D507EC" w:rsidRDefault="001329FC" w:rsidP="00203DCE">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D507EC">
              <w:rPr>
                <w:color w:val="000000" w:themeColor="text1"/>
              </w:rPr>
              <w:t>50</w:t>
            </w:r>
          </w:p>
        </w:tc>
        <w:tc>
          <w:tcPr>
            <w:tcW w:w="1266" w:type="dxa"/>
            <w:vAlign w:val="center"/>
          </w:tcPr>
          <w:p w14:paraId="471EE190" w14:textId="77777777" w:rsidR="001329FC" w:rsidRPr="00D507EC" w:rsidRDefault="001329FC" w:rsidP="00203DCE">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D507EC">
              <w:rPr>
                <w:color w:val="000000" w:themeColor="text1"/>
              </w:rPr>
              <w:t>0</w:t>
            </w:r>
          </w:p>
        </w:tc>
        <w:tc>
          <w:tcPr>
            <w:tcW w:w="1334" w:type="dxa"/>
            <w:vAlign w:val="center"/>
          </w:tcPr>
          <w:p w14:paraId="06C0216A" w14:textId="77777777" w:rsidR="001329FC" w:rsidRPr="00D507EC" w:rsidRDefault="001329FC" w:rsidP="00203DCE">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D507EC">
              <w:rPr>
                <w:color w:val="000000" w:themeColor="text1"/>
              </w:rPr>
              <w:t>0</w:t>
            </w:r>
          </w:p>
        </w:tc>
        <w:tc>
          <w:tcPr>
            <w:tcW w:w="1297" w:type="dxa"/>
            <w:vAlign w:val="center"/>
          </w:tcPr>
          <w:p w14:paraId="13CE99A8" w14:textId="77777777" w:rsidR="001329FC" w:rsidRPr="00D507EC" w:rsidRDefault="001329FC" w:rsidP="00203DCE">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D507EC">
              <w:rPr>
                <w:color w:val="000000" w:themeColor="text1"/>
              </w:rPr>
              <w:t>0</w:t>
            </w:r>
          </w:p>
        </w:tc>
        <w:tc>
          <w:tcPr>
            <w:tcW w:w="1271" w:type="dxa"/>
            <w:tcBorders>
              <w:right w:val="dashed" w:sz="4" w:space="0" w:color="BDD6EE" w:themeColor="accent1" w:themeTint="66"/>
            </w:tcBorders>
            <w:vAlign w:val="center"/>
          </w:tcPr>
          <w:p w14:paraId="77E973B5" w14:textId="77777777" w:rsidR="001329FC" w:rsidRPr="00D507EC" w:rsidRDefault="001329FC" w:rsidP="00203DCE">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D507EC">
              <w:rPr>
                <w:color w:val="000000" w:themeColor="text1"/>
              </w:rPr>
              <w:t>0</w:t>
            </w:r>
          </w:p>
        </w:tc>
        <w:tc>
          <w:tcPr>
            <w:tcW w:w="1146" w:type="dxa"/>
            <w:tcBorders>
              <w:left w:val="dashed" w:sz="4" w:space="0" w:color="BDD6EE" w:themeColor="accent1" w:themeTint="66"/>
            </w:tcBorders>
          </w:tcPr>
          <w:p w14:paraId="5208D100" w14:textId="77777777" w:rsidR="001329FC" w:rsidRPr="00D507EC" w:rsidRDefault="001329FC" w:rsidP="00203DCE">
            <w:pPr>
              <w:spacing w:line="360" w:lineRule="auto"/>
              <w:jc w:val="center"/>
              <w:cnfStyle w:val="000000000000" w:firstRow="0" w:lastRow="0" w:firstColumn="0" w:lastColumn="0" w:oddVBand="0" w:evenVBand="0" w:oddHBand="0" w:evenHBand="0" w:firstRowFirstColumn="0" w:firstRowLastColumn="0" w:lastRowFirstColumn="0" w:lastRowLastColumn="0"/>
              <w:rPr>
                <w:i/>
                <w:color w:val="000000" w:themeColor="text1"/>
              </w:rPr>
            </w:pPr>
            <w:r w:rsidRPr="00D507EC">
              <w:rPr>
                <w:i/>
                <w:color w:val="000000" w:themeColor="text1"/>
              </w:rPr>
              <w:t>50</w:t>
            </w:r>
          </w:p>
        </w:tc>
      </w:tr>
      <w:tr w:rsidR="001329FC" w:rsidRPr="00D507EC" w14:paraId="6054A6CE" w14:textId="77777777" w:rsidTr="00203DCE">
        <w:tc>
          <w:tcPr>
            <w:cnfStyle w:val="001000000000" w:firstRow="0" w:lastRow="0" w:firstColumn="1" w:lastColumn="0" w:oddVBand="0" w:evenVBand="0" w:oddHBand="0" w:evenHBand="0" w:firstRowFirstColumn="0" w:firstRowLastColumn="0" w:lastRowFirstColumn="0" w:lastRowLastColumn="0"/>
            <w:tcW w:w="1422" w:type="dxa"/>
            <w:tcBorders>
              <w:bottom w:val="dashed" w:sz="4" w:space="0" w:color="BDD6EE" w:themeColor="accent1" w:themeTint="66"/>
              <w:right w:val="single" w:sz="12" w:space="0" w:color="BDD6EE" w:themeColor="accent1" w:themeTint="66"/>
            </w:tcBorders>
            <w:vAlign w:val="center"/>
          </w:tcPr>
          <w:p w14:paraId="348E5204" w14:textId="77777777" w:rsidR="001329FC" w:rsidRPr="00D507EC" w:rsidRDefault="001329FC" w:rsidP="00203DCE">
            <w:pPr>
              <w:spacing w:line="360" w:lineRule="auto"/>
              <w:jc w:val="center"/>
              <w:rPr>
                <w:color w:val="000000" w:themeColor="text1"/>
              </w:rPr>
            </w:pPr>
            <w:r w:rsidRPr="00D507EC">
              <w:rPr>
                <w:color w:val="000000" w:themeColor="text1"/>
              </w:rPr>
              <w:t>MSSA</w:t>
            </w:r>
          </w:p>
        </w:tc>
        <w:tc>
          <w:tcPr>
            <w:tcW w:w="1280" w:type="dxa"/>
            <w:tcBorders>
              <w:left w:val="single" w:sz="12" w:space="0" w:color="BDD6EE" w:themeColor="accent1" w:themeTint="66"/>
              <w:bottom w:val="dashed" w:sz="4" w:space="0" w:color="BDD6EE" w:themeColor="accent1" w:themeTint="66"/>
            </w:tcBorders>
            <w:vAlign w:val="center"/>
          </w:tcPr>
          <w:p w14:paraId="52ED2EC1" w14:textId="77777777" w:rsidR="001329FC" w:rsidRPr="00D507EC" w:rsidRDefault="001329FC" w:rsidP="00203DCE">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D507EC">
              <w:rPr>
                <w:color w:val="000000" w:themeColor="text1"/>
              </w:rPr>
              <w:t>50</w:t>
            </w:r>
          </w:p>
        </w:tc>
        <w:tc>
          <w:tcPr>
            <w:tcW w:w="1266" w:type="dxa"/>
            <w:tcBorders>
              <w:bottom w:val="dashed" w:sz="4" w:space="0" w:color="BDD6EE" w:themeColor="accent1" w:themeTint="66"/>
            </w:tcBorders>
            <w:vAlign w:val="center"/>
          </w:tcPr>
          <w:p w14:paraId="70279101" w14:textId="77777777" w:rsidR="001329FC" w:rsidRPr="00D507EC" w:rsidRDefault="001329FC" w:rsidP="00203DCE">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D507EC">
              <w:rPr>
                <w:color w:val="000000" w:themeColor="text1"/>
              </w:rPr>
              <w:t>0</w:t>
            </w:r>
          </w:p>
        </w:tc>
        <w:tc>
          <w:tcPr>
            <w:tcW w:w="1334" w:type="dxa"/>
            <w:tcBorders>
              <w:bottom w:val="dashed" w:sz="4" w:space="0" w:color="BDD6EE" w:themeColor="accent1" w:themeTint="66"/>
            </w:tcBorders>
            <w:vAlign w:val="center"/>
          </w:tcPr>
          <w:p w14:paraId="38F2CCF9" w14:textId="77777777" w:rsidR="001329FC" w:rsidRPr="00D507EC" w:rsidRDefault="001329FC" w:rsidP="00203DCE">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D507EC">
              <w:rPr>
                <w:color w:val="000000" w:themeColor="text1"/>
              </w:rPr>
              <w:t>0</w:t>
            </w:r>
          </w:p>
        </w:tc>
        <w:tc>
          <w:tcPr>
            <w:tcW w:w="1297" w:type="dxa"/>
            <w:tcBorders>
              <w:bottom w:val="dashed" w:sz="4" w:space="0" w:color="BDD6EE" w:themeColor="accent1" w:themeTint="66"/>
            </w:tcBorders>
            <w:vAlign w:val="center"/>
          </w:tcPr>
          <w:p w14:paraId="55AE3ECD" w14:textId="77777777" w:rsidR="001329FC" w:rsidRPr="00D507EC" w:rsidRDefault="001329FC" w:rsidP="00203DCE">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D507EC">
              <w:rPr>
                <w:color w:val="000000" w:themeColor="text1"/>
              </w:rPr>
              <w:t>0</w:t>
            </w:r>
          </w:p>
        </w:tc>
        <w:tc>
          <w:tcPr>
            <w:tcW w:w="1271" w:type="dxa"/>
            <w:tcBorders>
              <w:bottom w:val="dashed" w:sz="4" w:space="0" w:color="BDD6EE" w:themeColor="accent1" w:themeTint="66"/>
              <w:right w:val="dashed" w:sz="4" w:space="0" w:color="BDD6EE" w:themeColor="accent1" w:themeTint="66"/>
            </w:tcBorders>
            <w:vAlign w:val="center"/>
          </w:tcPr>
          <w:p w14:paraId="18AC3037" w14:textId="77777777" w:rsidR="001329FC" w:rsidRPr="00D507EC" w:rsidRDefault="001329FC" w:rsidP="00203DCE">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D507EC">
              <w:rPr>
                <w:color w:val="000000" w:themeColor="text1"/>
              </w:rPr>
              <w:t>0</w:t>
            </w:r>
          </w:p>
        </w:tc>
        <w:tc>
          <w:tcPr>
            <w:tcW w:w="1146" w:type="dxa"/>
            <w:tcBorders>
              <w:left w:val="dashed" w:sz="4" w:space="0" w:color="BDD6EE" w:themeColor="accent1" w:themeTint="66"/>
              <w:bottom w:val="dashed" w:sz="4" w:space="0" w:color="BDD6EE" w:themeColor="accent1" w:themeTint="66"/>
            </w:tcBorders>
          </w:tcPr>
          <w:p w14:paraId="20C27D7B" w14:textId="77777777" w:rsidR="001329FC" w:rsidRPr="00D507EC" w:rsidRDefault="001329FC" w:rsidP="00203DCE">
            <w:pPr>
              <w:spacing w:line="360" w:lineRule="auto"/>
              <w:jc w:val="center"/>
              <w:cnfStyle w:val="000000000000" w:firstRow="0" w:lastRow="0" w:firstColumn="0" w:lastColumn="0" w:oddVBand="0" w:evenVBand="0" w:oddHBand="0" w:evenHBand="0" w:firstRowFirstColumn="0" w:firstRowLastColumn="0" w:lastRowFirstColumn="0" w:lastRowLastColumn="0"/>
              <w:rPr>
                <w:i/>
                <w:color w:val="000000" w:themeColor="text1"/>
              </w:rPr>
            </w:pPr>
            <w:r w:rsidRPr="00D507EC">
              <w:rPr>
                <w:i/>
                <w:color w:val="000000" w:themeColor="text1"/>
              </w:rPr>
              <w:t>50</w:t>
            </w:r>
          </w:p>
        </w:tc>
      </w:tr>
      <w:tr w:rsidR="001329FC" w:rsidRPr="00D507EC" w14:paraId="556CD3D9" w14:textId="77777777" w:rsidTr="00203DCE">
        <w:tc>
          <w:tcPr>
            <w:cnfStyle w:val="001000000000" w:firstRow="0" w:lastRow="0" w:firstColumn="1" w:lastColumn="0" w:oddVBand="0" w:evenVBand="0" w:oddHBand="0" w:evenHBand="0" w:firstRowFirstColumn="0" w:firstRowLastColumn="0" w:lastRowFirstColumn="0" w:lastRowLastColumn="0"/>
            <w:tcW w:w="1422" w:type="dxa"/>
            <w:tcBorders>
              <w:top w:val="dashed" w:sz="4" w:space="0" w:color="BDD6EE" w:themeColor="accent1" w:themeTint="66"/>
              <w:right w:val="single" w:sz="12" w:space="0" w:color="BDD6EE" w:themeColor="accent1" w:themeTint="66"/>
            </w:tcBorders>
            <w:vAlign w:val="center"/>
          </w:tcPr>
          <w:p w14:paraId="2A9025D9" w14:textId="77777777" w:rsidR="001329FC" w:rsidRPr="00D507EC" w:rsidRDefault="001329FC" w:rsidP="00203DCE">
            <w:pPr>
              <w:spacing w:line="360" w:lineRule="auto"/>
              <w:jc w:val="center"/>
              <w:rPr>
                <w:i/>
                <w:color w:val="000000" w:themeColor="text1"/>
              </w:rPr>
            </w:pPr>
            <w:r w:rsidRPr="00D507EC">
              <w:rPr>
                <w:i/>
                <w:color w:val="000000" w:themeColor="text1"/>
              </w:rPr>
              <w:t>Total</w:t>
            </w:r>
          </w:p>
        </w:tc>
        <w:tc>
          <w:tcPr>
            <w:tcW w:w="1280" w:type="dxa"/>
            <w:tcBorders>
              <w:top w:val="dashed" w:sz="4" w:space="0" w:color="BDD6EE" w:themeColor="accent1" w:themeTint="66"/>
              <w:left w:val="single" w:sz="12" w:space="0" w:color="BDD6EE" w:themeColor="accent1" w:themeTint="66"/>
            </w:tcBorders>
            <w:vAlign w:val="center"/>
          </w:tcPr>
          <w:p w14:paraId="7708B6B8" w14:textId="77777777" w:rsidR="001329FC" w:rsidRPr="00D507EC" w:rsidRDefault="001329FC" w:rsidP="00203DCE">
            <w:pPr>
              <w:spacing w:line="360" w:lineRule="auto"/>
              <w:jc w:val="center"/>
              <w:cnfStyle w:val="000000000000" w:firstRow="0" w:lastRow="0" w:firstColumn="0" w:lastColumn="0" w:oddVBand="0" w:evenVBand="0" w:oddHBand="0" w:evenHBand="0" w:firstRowFirstColumn="0" w:firstRowLastColumn="0" w:lastRowFirstColumn="0" w:lastRowLastColumn="0"/>
              <w:rPr>
                <w:i/>
                <w:color w:val="000000" w:themeColor="text1"/>
              </w:rPr>
            </w:pPr>
            <w:r w:rsidRPr="00D507EC">
              <w:rPr>
                <w:i/>
                <w:color w:val="000000" w:themeColor="text1"/>
              </w:rPr>
              <w:t>191</w:t>
            </w:r>
          </w:p>
        </w:tc>
        <w:tc>
          <w:tcPr>
            <w:tcW w:w="1266" w:type="dxa"/>
            <w:tcBorders>
              <w:top w:val="dashed" w:sz="4" w:space="0" w:color="BDD6EE" w:themeColor="accent1" w:themeTint="66"/>
            </w:tcBorders>
            <w:vAlign w:val="center"/>
          </w:tcPr>
          <w:p w14:paraId="24569639" w14:textId="77777777" w:rsidR="001329FC" w:rsidRPr="00D507EC" w:rsidRDefault="001329FC" w:rsidP="00203DCE">
            <w:pPr>
              <w:spacing w:line="360" w:lineRule="auto"/>
              <w:jc w:val="center"/>
              <w:cnfStyle w:val="000000000000" w:firstRow="0" w:lastRow="0" w:firstColumn="0" w:lastColumn="0" w:oddVBand="0" w:evenVBand="0" w:oddHBand="0" w:evenHBand="0" w:firstRowFirstColumn="0" w:firstRowLastColumn="0" w:lastRowFirstColumn="0" w:lastRowLastColumn="0"/>
              <w:rPr>
                <w:i/>
                <w:color w:val="000000" w:themeColor="text1"/>
              </w:rPr>
            </w:pPr>
            <w:r w:rsidRPr="00D507EC">
              <w:rPr>
                <w:i/>
                <w:color w:val="000000" w:themeColor="text1"/>
              </w:rPr>
              <w:t>99</w:t>
            </w:r>
          </w:p>
        </w:tc>
        <w:tc>
          <w:tcPr>
            <w:tcW w:w="1334" w:type="dxa"/>
            <w:tcBorders>
              <w:top w:val="dashed" w:sz="4" w:space="0" w:color="BDD6EE" w:themeColor="accent1" w:themeTint="66"/>
            </w:tcBorders>
            <w:vAlign w:val="center"/>
          </w:tcPr>
          <w:p w14:paraId="28CDD968" w14:textId="77777777" w:rsidR="001329FC" w:rsidRPr="00D507EC" w:rsidRDefault="001329FC" w:rsidP="00203DCE">
            <w:pPr>
              <w:spacing w:line="360" w:lineRule="auto"/>
              <w:jc w:val="center"/>
              <w:cnfStyle w:val="000000000000" w:firstRow="0" w:lastRow="0" w:firstColumn="0" w:lastColumn="0" w:oddVBand="0" w:evenVBand="0" w:oddHBand="0" w:evenHBand="0" w:firstRowFirstColumn="0" w:firstRowLastColumn="0" w:lastRowFirstColumn="0" w:lastRowLastColumn="0"/>
              <w:rPr>
                <w:i/>
                <w:color w:val="000000" w:themeColor="text1"/>
              </w:rPr>
            </w:pPr>
            <w:r w:rsidRPr="00D507EC">
              <w:rPr>
                <w:i/>
                <w:color w:val="000000" w:themeColor="text1"/>
              </w:rPr>
              <w:t>48</w:t>
            </w:r>
          </w:p>
        </w:tc>
        <w:tc>
          <w:tcPr>
            <w:tcW w:w="1297" w:type="dxa"/>
            <w:tcBorders>
              <w:top w:val="dashed" w:sz="4" w:space="0" w:color="BDD6EE" w:themeColor="accent1" w:themeTint="66"/>
            </w:tcBorders>
            <w:vAlign w:val="center"/>
          </w:tcPr>
          <w:p w14:paraId="7C1A364E" w14:textId="77777777" w:rsidR="001329FC" w:rsidRPr="00D507EC" w:rsidRDefault="001329FC" w:rsidP="00203DCE">
            <w:pPr>
              <w:spacing w:line="360" w:lineRule="auto"/>
              <w:jc w:val="center"/>
              <w:cnfStyle w:val="000000000000" w:firstRow="0" w:lastRow="0" w:firstColumn="0" w:lastColumn="0" w:oddVBand="0" w:evenVBand="0" w:oddHBand="0" w:evenHBand="0" w:firstRowFirstColumn="0" w:firstRowLastColumn="0" w:lastRowFirstColumn="0" w:lastRowLastColumn="0"/>
              <w:rPr>
                <w:i/>
                <w:color w:val="000000" w:themeColor="text1"/>
              </w:rPr>
            </w:pPr>
            <w:r w:rsidRPr="00D507EC">
              <w:rPr>
                <w:i/>
                <w:color w:val="000000" w:themeColor="text1"/>
              </w:rPr>
              <w:t>139</w:t>
            </w:r>
          </w:p>
        </w:tc>
        <w:tc>
          <w:tcPr>
            <w:tcW w:w="1271" w:type="dxa"/>
            <w:tcBorders>
              <w:top w:val="dashed" w:sz="4" w:space="0" w:color="BDD6EE" w:themeColor="accent1" w:themeTint="66"/>
              <w:right w:val="dashed" w:sz="4" w:space="0" w:color="BDD6EE" w:themeColor="accent1" w:themeTint="66"/>
            </w:tcBorders>
            <w:vAlign w:val="center"/>
          </w:tcPr>
          <w:p w14:paraId="14A25223" w14:textId="77777777" w:rsidR="001329FC" w:rsidRPr="00D507EC" w:rsidRDefault="001329FC" w:rsidP="00203DCE">
            <w:pPr>
              <w:spacing w:line="360" w:lineRule="auto"/>
              <w:jc w:val="center"/>
              <w:cnfStyle w:val="000000000000" w:firstRow="0" w:lastRow="0" w:firstColumn="0" w:lastColumn="0" w:oddVBand="0" w:evenVBand="0" w:oddHBand="0" w:evenHBand="0" w:firstRowFirstColumn="0" w:firstRowLastColumn="0" w:lastRowFirstColumn="0" w:lastRowLastColumn="0"/>
              <w:rPr>
                <w:i/>
                <w:color w:val="000000" w:themeColor="text1"/>
              </w:rPr>
            </w:pPr>
            <w:r w:rsidRPr="00D507EC">
              <w:rPr>
                <w:i/>
                <w:color w:val="000000" w:themeColor="text1"/>
              </w:rPr>
              <w:t>101</w:t>
            </w:r>
          </w:p>
        </w:tc>
        <w:tc>
          <w:tcPr>
            <w:tcW w:w="1146" w:type="dxa"/>
            <w:tcBorders>
              <w:top w:val="dashed" w:sz="4" w:space="0" w:color="BDD6EE" w:themeColor="accent1" w:themeTint="66"/>
              <w:left w:val="dashed" w:sz="4" w:space="0" w:color="BDD6EE" w:themeColor="accent1" w:themeTint="66"/>
            </w:tcBorders>
          </w:tcPr>
          <w:p w14:paraId="3235CFAC" w14:textId="77777777" w:rsidR="001329FC" w:rsidRPr="00D507EC" w:rsidRDefault="001329FC" w:rsidP="00203DCE">
            <w:pPr>
              <w:spacing w:line="360" w:lineRule="auto"/>
              <w:jc w:val="center"/>
              <w:cnfStyle w:val="000000000000" w:firstRow="0" w:lastRow="0" w:firstColumn="0" w:lastColumn="0" w:oddVBand="0" w:evenVBand="0" w:oddHBand="0" w:evenHBand="0" w:firstRowFirstColumn="0" w:firstRowLastColumn="0" w:lastRowFirstColumn="0" w:lastRowLastColumn="0"/>
              <w:rPr>
                <w:b/>
                <w:i/>
                <w:color w:val="000000" w:themeColor="text1"/>
              </w:rPr>
            </w:pPr>
            <w:r w:rsidRPr="00D507EC">
              <w:rPr>
                <w:b/>
                <w:i/>
                <w:color w:val="000000" w:themeColor="text1"/>
              </w:rPr>
              <w:t>578</w:t>
            </w:r>
          </w:p>
        </w:tc>
      </w:tr>
    </w:tbl>
    <w:p w14:paraId="4B0807EB" w14:textId="77777777" w:rsidR="001329FC" w:rsidRPr="00D507EC" w:rsidRDefault="001329FC" w:rsidP="001329FC">
      <w:pPr>
        <w:pStyle w:val="Heading5"/>
        <w:spacing w:line="360" w:lineRule="auto"/>
        <w:rPr>
          <w:i/>
          <w:color w:val="000000" w:themeColor="text1"/>
        </w:rPr>
      </w:pPr>
      <w:r w:rsidRPr="00D507EC">
        <w:rPr>
          <w:color w:val="000000" w:themeColor="text1"/>
        </w:rPr>
        <w:t xml:space="preserve">MRSP: methicillin-resistant </w:t>
      </w:r>
      <w:r w:rsidRPr="00D507EC">
        <w:rPr>
          <w:i/>
          <w:color w:val="000000" w:themeColor="text1"/>
        </w:rPr>
        <w:t xml:space="preserve">S. pseudintermedius; </w:t>
      </w:r>
      <w:r w:rsidRPr="00D507EC">
        <w:rPr>
          <w:color w:val="000000" w:themeColor="text1"/>
        </w:rPr>
        <w:t xml:space="preserve">FA-R: fusidic acid resistant as defined by disk diffusion testing; MSSP: methicillin-sensitive </w:t>
      </w:r>
      <w:r w:rsidRPr="00D507EC">
        <w:rPr>
          <w:i/>
          <w:color w:val="000000" w:themeColor="text1"/>
        </w:rPr>
        <w:t xml:space="preserve">S. pseudintermedius; </w:t>
      </w:r>
      <w:r w:rsidRPr="00D507EC">
        <w:rPr>
          <w:color w:val="000000" w:themeColor="text1"/>
        </w:rPr>
        <w:t xml:space="preserve">MRSA: methicillin-resistant </w:t>
      </w:r>
      <w:r w:rsidRPr="00D507EC">
        <w:rPr>
          <w:i/>
          <w:color w:val="000000" w:themeColor="text1"/>
        </w:rPr>
        <w:t xml:space="preserve">S. aureus; </w:t>
      </w:r>
      <w:r w:rsidRPr="00D507EC">
        <w:rPr>
          <w:color w:val="000000" w:themeColor="text1"/>
        </w:rPr>
        <w:t xml:space="preserve">MSSA: methicillin-sensitive </w:t>
      </w:r>
      <w:r w:rsidRPr="00D507EC">
        <w:rPr>
          <w:i/>
          <w:color w:val="000000" w:themeColor="text1"/>
        </w:rPr>
        <w:t>S. aureus.</w:t>
      </w:r>
    </w:p>
    <w:p w14:paraId="72406729" w14:textId="77777777" w:rsidR="001329FC" w:rsidRPr="00D507EC" w:rsidRDefault="001329FC" w:rsidP="001329FC">
      <w:pPr>
        <w:pStyle w:val="Heading5"/>
        <w:spacing w:line="360" w:lineRule="auto"/>
        <w:rPr>
          <w:color w:val="000000" w:themeColor="text1"/>
        </w:rPr>
      </w:pPr>
      <w:r w:rsidRPr="00D507EC">
        <w:rPr>
          <w:color w:val="000000" w:themeColor="text1"/>
        </w:rPr>
        <w:t>All of clinical origin except * which are of clinical (n=3) and carriage (n=41) origin.</w:t>
      </w:r>
    </w:p>
    <w:p w14:paraId="2EE565A4" w14:textId="4543505B" w:rsidR="001329FC" w:rsidRPr="00D507EC" w:rsidRDefault="001329FC" w:rsidP="001329FC">
      <w:pPr>
        <w:pStyle w:val="Heading5"/>
        <w:spacing w:line="360" w:lineRule="auto"/>
        <w:rPr>
          <w:color w:val="000000" w:themeColor="text1"/>
        </w:rPr>
      </w:pPr>
      <w:r w:rsidRPr="00D507EC">
        <w:rPr>
          <w:color w:val="000000" w:themeColor="text1"/>
        </w:rPr>
        <w:t xml:space="preserve">From the authors’ collections: </w:t>
      </w:r>
      <w:r w:rsidRPr="00D507EC">
        <w:rPr>
          <w:color w:val="000000" w:themeColor="text1"/>
          <w:vertAlign w:val="superscript"/>
        </w:rPr>
        <w:t>a</w:t>
      </w:r>
      <w:r w:rsidRPr="00D507EC">
        <w:rPr>
          <w:color w:val="000000" w:themeColor="text1"/>
        </w:rPr>
        <w:t>SMF,</w:t>
      </w:r>
      <w:r w:rsidR="000A5AB7" w:rsidRPr="00D507EC">
        <w:rPr>
          <w:color w:val="000000" w:themeColor="text1"/>
        </w:rPr>
        <w:t xml:space="preserve"> </w:t>
      </w:r>
      <w:r w:rsidRPr="00D507EC">
        <w:rPr>
          <w:color w:val="000000" w:themeColor="text1"/>
        </w:rPr>
        <w:t xml:space="preserve">RB, AL; </w:t>
      </w:r>
      <w:r w:rsidRPr="00D507EC">
        <w:rPr>
          <w:color w:val="000000" w:themeColor="text1"/>
          <w:vertAlign w:val="superscript"/>
        </w:rPr>
        <w:t>b</w:t>
      </w:r>
      <w:r w:rsidRPr="00D507EC">
        <w:rPr>
          <w:color w:val="000000" w:themeColor="text1"/>
        </w:rPr>
        <w:t xml:space="preserve">DT; VMS; </w:t>
      </w:r>
      <w:r w:rsidRPr="00D507EC">
        <w:rPr>
          <w:color w:val="000000" w:themeColor="text1"/>
          <w:vertAlign w:val="superscript"/>
        </w:rPr>
        <w:t>c</w:t>
      </w:r>
      <w:r w:rsidRPr="00D507EC">
        <w:rPr>
          <w:color w:val="000000" w:themeColor="text1"/>
        </w:rPr>
        <w:t xml:space="preserve">AL; </w:t>
      </w:r>
      <w:r w:rsidRPr="00D507EC">
        <w:rPr>
          <w:color w:val="000000" w:themeColor="text1"/>
          <w:vertAlign w:val="superscript"/>
        </w:rPr>
        <w:t>d</w:t>
      </w:r>
      <w:r w:rsidRPr="00D507EC">
        <w:rPr>
          <w:color w:val="000000" w:themeColor="text1"/>
        </w:rPr>
        <w:t xml:space="preserve">MR, TG; </w:t>
      </w:r>
      <w:r w:rsidRPr="00D507EC">
        <w:rPr>
          <w:color w:val="000000" w:themeColor="text1"/>
          <w:vertAlign w:val="superscript"/>
        </w:rPr>
        <w:t>e</w:t>
      </w:r>
      <w:r w:rsidRPr="00D507EC">
        <w:rPr>
          <w:color w:val="000000" w:themeColor="text1"/>
        </w:rPr>
        <w:t>SCR, KO</w:t>
      </w:r>
    </w:p>
    <w:p w14:paraId="4C0E7C08" w14:textId="77777777" w:rsidR="001329FC" w:rsidRPr="001329FC" w:rsidRDefault="001329FC" w:rsidP="001329FC"/>
    <w:sectPr w:rsidR="001329FC" w:rsidRPr="001329FC" w:rsidSect="00AE032F">
      <w:footerReference w:type="default" r:id="rId23"/>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8651A8" w14:textId="77777777" w:rsidR="00B0711C" w:rsidRDefault="00B0711C" w:rsidP="009C328A">
      <w:pPr>
        <w:spacing w:after="0" w:line="240" w:lineRule="auto"/>
      </w:pPr>
      <w:r>
        <w:separator/>
      </w:r>
    </w:p>
  </w:endnote>
  <w:endnote w:type="continuationSeparator" w:id="0">
    <w:p w14:paraId="2732328B" w14:textId="77777777" w:rsidR="00B0711C" w:rsidRDefault="00B0711C" w:rsidP="009C3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9934236"/>
      <w:docPartObj>
        <w:docPartGallery w:val="Page Numbers (Bottom of Page)"/>
        <w:docPartUnique/>
      </w:docPartObj>
    </w:sdtPr>
    <w:sdtEndPr>
      <w:rPr>
        <w:noProof/>
      </w:rPr>
    </w:sdtEndPr>
    <w:sdtContent>
      <w:p w14:paraId="0C73544A" w14:textId="5142C9CA" w:rsidR="00B0711C" w:rsidRDefault="00B0711C">
        <w:pPr>
          <w:pStyle w:val="Footer"/>
          <w:jc w:val="right"/>
        </w:pPr>
        <w:r>
          <w:fldChar w:fldCharType="begin"/>
        </w:r>
        <w:r>
          <w:instrText xml:space="preserve"> PAGE   \* MERGEFORMAT </w:instrText>
        </w:r>
        <w:r>
          <w:fldChar w:fldCharType="separate"/>
        </w:r>
        <w:r w:rsidR="00E05066">
          <w:rPr>
            <w:noProof/>
          </w:rPr>
          <w:t>28</w:t>
        </w:r>
        <w:r>
          <w:rPr>
            <w:noProof/>
          </w:rPr>
          <w:fldChar w:fldCharType="end"/>
        </w:r>
      </w:p>
    </w:sdtContent>
  </w:sdt>
  <w:p w14:paraId="0C0A13C2" w14:textId="77777777" w:rsidR="00B0711C" w:rsidRDefault="00B071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9968772"/>
      <w:docPartObj>
        <w:docPartGallery w:val="Page Numbers (Bottom of Page)"/>
        <w:docPartUnique/>
      </w:docPartObj>
    </w:sdtPr>
    <w:sdtEndPr>
      <w:rPr>
        <w:color w:val="7F7F7F" w:themeColor="background1" w:themeShade="7F"/>
        <w:spacing w:val="60"/>
      </w:rPr>
    </w:sdtEndPr>
    <w:sdtContent>
      <w:p w14:paraId="3AD75C6F" w14:textId="704BF65A" w:rsidR="00B0711C" w:rsidRDefault="00B0711C">
        <w:pPr>
          <w:pStyle w:val="Footer"/>
          <w:pBdr>
            <w:top w:val="single" w:sz="4" w:space="1" w:color="D9D9D9" w:themeColor="background1" w:themeShade="D9"/>
          </w:pBdr>
          <w:jc w:val="right"/>
        </w:pPr>
        <w:r>
          <w:fldChar w:fldCharType="begin"/>
        </w:r>
        <w:r>
          <w:instrText xml:space="preserve"> PAGE   \* MERGEFORMAT </w:instrText>
        </w:r>
        <w:r>
          <w:fldChar w:fldCharType="separate"/>
        </w:r>
        <w:r w:rsidR="00E05066">
          <w:rPr>
            <w:noProof/>
          </w:rPr>
          <w:t>29</w:t>
        </w:r>
        <w:r>
          <w:rPr>
            <w:noProof/>
          </w:rPr>
          <w:fldChar w:fldCharType="end"/>
        </w:r>
        <w:r>
          <w:t xml:space="preserve"> | </w:t>
        </w:r>
        <w:r>
          <w:rPr>
            <w:color w:val="7F7F7F" w:themeColor="background1" w:themeShade="7F"/>
            <w:spacing w:val="60"/>
          </w:rPr>
          <w:t>Page</w:t>
        </w:r>
      </w:p>
    </w:sdtContent>
  </w:sdt>
  <w:p w14:paraId="7301DAAC" w14:textId="77777777" w:rsidR="00B0711C" w:rsidRDefault="00B071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F625F4" w14:textId="77777777" w:rsidR="00B0711C" w:rsidRDefault="00B0711C" w:rsidP="009C328A">
      <w:pPr>
        <w:spacing w:after="0" w:line="240" w:lineRule="auto"/>
      </w:pPr>
      <w:r>
        <w:separator/>
      </w:r>
    </w:p>
  </w:footnote>
  <w:footnote w:type="continuationSeparator" w:id="0">
    <w:p w14:paraId="6E849FD6" w14:textId="77777777" w:rsidR="00B0711C" w:rsidRDefault="00B0711C" w:rsidP="009C32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80A0A12"/>
    <w:multiLevelType w:val="hybridMultilevel"/>
    <w:tmpl w:val="B8CAC06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5F6E1C"/>
    <w:multiLevelType w:val="hybridMultilevel"/>
    <w:tmpl w:val="F2428E4A"/>
    <w:lvl w:ilvl="0" w:tplc="B47ED786">
      <w:start w:val="1"/>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D3188A"/>
    <w:multiLevelType w:val="hybridMultilevel"/>
    <w:tmpl w:val="062AC304"/>
    <w:lvl w:ilvl="0" w:tplc="48F672B4">
      <w:start w:val="2"/>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0D68C8"/>
    <w:multiLevelType w:val="hybridMultilevel"/>
    <w:tmpl w:val="E2BE1378"/>
    <w:lvl w:ilvl="0" w:tplc="2544F14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6F0E87"/>
    <w:multiLevelType w:val="hybridMultilevel"/>
    <w:tmpl w:val="21C017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04581D"/>
    <w:multiLevelType w:val="hybridMultilevel"/>
    <w:tmpl w:val="1160091C"/>
    <w:lvl w:ilvl="0" w:tplc="C67611C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E664E4"/>
    <w:multiLevelType w:val="multilevel"/>
    <w:tmpl w:val="76D2C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421307"/>
    <w:multiLevelType w:val="hybridMultilevel"/>
    <w:tmpl w:val="E60ACB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6021FC"/>
    <w:multiLevelType w:val="multilevel"/>
    <w:tmpl w:val="FFD8C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984E19"/>
    <w:multiLevelType w:val="hybridMultilevel"/>
    <w:tmpl w:val="BED0CEF0"/>
    <w:lvl w:ilvl="0" w:tplc="E22AE99C">
      <w:start w:val="38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D47FCB"/>
    <w:multiLevelType w:val="hybridMultilevel"/>
    <w:tmpl w:val="C654406A"/>
    <w:lvl w:ilvl="0" w:tplc="3E06E66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6253D0"/>
    <w:multiLevelType w:val="hybridMultilevel"/>
    <w:tmpl w:val="2408BEFA"/>
    <w:lvl w:ilvl="0" w:tplc="021C411C">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6F2D54"/>
    <w:multiLevelType w:val="multilevel"/>
    <w:tmpl w:val="48BA6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BD233F"/>
    <w:multiLevelType w:val="hybridMultilevel"/>
    <w:tmpl w:val="FD10FF44"/>
    <w:lvl w:ilvl="0" w:tplc="08090017">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15:restartNumberingAfterBreak="0">
    <w:nsid w:val="760B5B9A"/>
    <w:multiLevelType w:val="multilevel"/>
    <w:tmpl w:val="D2662C1E"/>
    <w:lvl w:ilvl="0">
      <w:start w:val="2"/>
      <w:numFmt w:val="decimal"/>
      <w:lvlText w:val="%1"/>
      <w:lvlJc w:val="left"/>
      <w:pPr>
        <w:ind w:left="615" w:hanging="615"/>
      </w:pPr>
      <w:rPr>
        <w:rFonts w:hint="default"/>
      </w:rPr>
    </w:lvl>
    <w:lvl w:ilvl="1">
      <w:start w:val="3"/>
      <w:numFmt w:val="decimal"/>
      <w:lvlText w:val="%1.%2"/>
      <w:lvlJc w:val="left"/>
      <w:pPr>
        <w:ind w:left="1182" w:hanging="615"/>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7BEE3E81"/>
    <w:multiLevelType w:val="hybridMultilevel"/>
    <w:tmpl w:val="2DB4AA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9"/>
  </w:num>
  <w:num w:numId="3">
    <w:abstractNumId w:val="10"/>
  </w:num>
  <w:num w:numId="4">
    <w:abstractNumId w:val="3"/>
  </w:num>
  <w:num w:numId="5">
    <w:abstractNumId w:val="5"/>
  </w:num>
  <w:num w:numId="6">
    <w:abstractNumId w:val="15"/>
  </w:num>
  <w:num w:numId="7">
    <w:abstractNumId w:val="0"/>
  </w:num>
  <w:num w:numId="8">
    <w:abstractNumId w:val="11"/>
  </w:num>
  <w:num w:numId="9">
    <w:abstractNumId w:val="7"/>
  </w:num>
  <w:num w:numId="10">
    <w:abstractNumId w:val="1"/>
  </w:num>
  <w:num w:numId="11">
    <w:abstractNumId w:val="2"/>
  </w:num>
  <w:num w:numId="12">
    <w:abstractNumId w:val="8"/>
  </w:num>
  <w:num w:numId="13">
    <w:abstractNumId w:val="4"/>
  </w:num>
  <w:num w:numId="14">
    <w:abstractNumId w:val="13"/>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2E0"/>
    <w:rsid w:val="00010256"/>
    <w:rsid w:val="00010DD7"/>
    <w:rsid w:val="00011D48"/>
    <w:rsid w:val="0001268B"/>
    <w:rsid w:val="000176DA"/>
    <w:rsid w:val="00040027"/>
    <w:rsid w:val="000417ED"/>
    <w:rsid w:val="00043FEB"/>
    <w:rsid w:val="00053D46"/>
    <w:rsid w:val="00060A5C"/>
    <w:rsid w:val="00074959"/>
    <w:rsid w:val="000833A8"/>
    <w:rsid w:val="0008446D"/>
    <w:rsid w:val="0009767F"/>
    <w:rsid w:val="000A5AB7"/>
    <w:rsid w:val="000B4756"/>
    <w:rsid w:val="000B4915"/>
    <w:rsid w:val="000C218A"/>
    <w:rsid w:val="000D13DA"/>
    <w:rsid w:val="000D4353"/>
    <w:rsid w:val="000D68D2"/>
    <w:rsid w:val="000E04BC"/>
    <w:rsid w:val="000F2744"/>
    <w:rsid w:val="000F583C"/>
    <w:rsid w:val="000F7727"/>
    <w:rsid w:val="00103F32"/>
    <w:rsid w:val="00110912"/>
    <w:rsid w:val="001208A1"/>
    <w:rsid w:val="00123DF2"/>
    <w:rsid w:val="0012665D"/>
    <w:rsid w:val="001329FC"/>
    <w:rsid w:val="00133D26"/>
    <w:rsid w:val="00135A67"/>
    <w:rsid w:val="001417DA"/>
    <w:rsid w:val="00141A0A"/>
    <w:rsid w:val="00151846"/>
    <w:rsid w:val="00156014"/>
    <w:rsid w:val="00157C2E"/>
    <w:rsid w:val="00157E85"/>
    <w:rsid w:val="00163FA4"/>
    <w:rsid w:val="0016661A"/>
    <w:rsid w:val="0017119C"/>
    <w:rsid w:val="00171401"/>
    <w:rsid w:val="0018215A"/>
    <w:rsid w:val="00187B6D"/>
    <w:rsid w:val="0019287F"/>
    <w:rsid w:val="001A27C6"/>
    <w:rsid w:val="001A58FF"/>
    <w:rsid w:val="001A5CF9"/>
    <w:rsid w:val="001B423D"/>
    <w:rsid w:val="001C3810"/>
    <w:rsid w:val="001C7529"/>
    <w:rsid w:val="001D04F2"/>
    <w:rsid w:val="001D10BA"/>
    <w:rsid w:val="001E1F45"/>
    <w:rsid w:val="001E4B74"/>
    <w:rsid w:val="001E6F2B"/>
    <w:rsid w:val="001E75E3"/>
    <w:rsid w:val="001F2BE6"/>
    <w:rsid w:val="00203DCE"/>
    <w:rsid w:val="00223F17"/>
    <w:rsid w:val="002323CC"/>
    <w:rsid w:val="002360F0"/>
    <w:rsid w:val="00241EB3"/>
    <w:rsid w:val="002436BD"/>
    <w:rsid w:val="002454F5"/>
    <w:rsid w:val="00246404"/>
    <w:rsid w:val="00251C6D"/>
    <w:rsid w:val="0025616A"/>
    <w:rsid w:val="002574F9"/>
    <w:rsid w:val="0025755C"/>
    <w:rsid w:val="0027054D"/>
    <w:rsid w:val="002752B3"/>
    <w:rsid w:val="00276E17"/>
    <w:rsid w:val="0028149C"/>
    <w:rsid w:val="00284DD1"/>
    <w:rsid w:val="00293D8D"/>
    <w:rsid w:val="002A28F4"/>
    <w:rsid w:val="002A43CC"/>
    <w:rsid w:val="002B1225"/>
    <w:rsid w:val="002B3DFE"/>
    <w:rsid w:val="002B40F3"/>
    <w:rsid w:val="002B55DE"/>
    <w:rsid w:val="002B75D4"/>
    <w:rsid w:val="002C539F"/>
    <w:rsid w:val="002C5CFB"/>
    <w:rsid w:val="002C6806"/>
    <w:rsid w:val="002D7B9E"/>
    <w:rsid w:val="002E15A1"/>
    <w:rsid w:val="002E4093"/>
    <w:rsid w:val="002E5042"/>
    <w:rsid w:val="002E62D3"/>
    <w:rsid w:val="002E6954"/>
    <w:rsid w:val="002F36C4"/>
    <w:rsid w:val="002F586D"/>
    <w:rsid w:val="002F6E0C"/>
    <w:rsid w:val="0030137F"/>
    <w:rsid w:val="003068FC"/>
    <w:rsid w:val="00306A38"/>
    <w:rsid w:val="003074B9"/>
    <w:rsid w:val="00311258"/>
    <w:rsid w:val="00315C12"/>
    <w:rsid w:val="003163A4"/>
    <w:rsid w:val="00320DCB"/>
    <w:rsid w:val="0032412F"/>
    <w:rsid w:val="003269B6"/>
    <w:rsid w:val="0034120A"/>
    <w:rsid w:val="003448C6"/>
    <w:rsid w:val="00344B04"/>
    <w:rsid w:val="00347627"/>
    <w:rsid w:val="00351111"/>
    <w:rsid w:val="00353133"/>
    <w:rsid w:val="00361475"/>
    <w:rsid w:val="003678F3"/>
    <w:rsid w:val="00371B7D"/>
    <w:rsid w:val="00375363"/>
    <w:rsid w:val="00375B89"/>
    <w:rsid w:val="00380D61"/>
    <w:rsid w:val="00384AE8"/>
    <w:rsid w:val="003973FA"/>
    <w:rsid w:val="003A51F4"/>
    <w:rsid w:val="003A7751"/>
    <w:rsid w:val="003C0160"/>
    <w:rsid w:val="003C455D"/>
    <w:rsid w:val="003E4EA0"/>
    <w:rsid w:val="003E5997"/>
    <w:rsid w:val="003E6468"/>
    <w:rsid w:val="003F7E07"/>
    <w:rsid w:val="00402D18"/>
    <w:rsid w:val="00411DB5"/>
    <w:rsid w:val="00417DE2"/>
    <w:rsid w:val="0042089F"/>
    <w:rsid w:val="00420A53"/>
    <w:rsid w:val="0042197D"/>
    <w:rsid w:val="00422D74"/>
    <w:rsid w:val="00440976"/>
    <w:rsid w:val="00444D23"/>
    <w:rsid w:val="00457D8F"/>
    <w:rsid w:val="00470E4E"/>
    <w:rsid w:val="00473F5A"/>
    <w:rsid w:val="00484F59"/>
    <w:rsid w:val="00492494"/>
    <w:rsid w:val="004955A5"/>
    <w:rsid w:val="004A7D6D"/>
    <w:rsid w:val="004B0557"/>
    <w:rsid w:val="004C0031"/>
    <w:rsid w:val="004C03C4"/>
    <w:rsid w:val="004C3563"/>
    <w:rsid w:val="004C39F9"/>
    <w:rsid w:val="004C3C70"/>
    <w:rsid w:val="004C6E3A"/>
    <w:rsid w:val="004C7293"/>
    <w:rsid w:val="004C7F7F"/>
    <w:rsid w:val="004D3268"/>
    <w:rsid w:val="004D7EE0"/>
    <w:rsid w:val="004E148C"/>
    <w:rsid w:val="004F16CA"/>
    <w:rsid w:val="004F17B1"/>
    <w:rsid w:val="004F2413"/>
    <w:rsid w:val="004F59C6"/>
    <w:rsid w:val="004F7336"/>
    <w:rsid w:val="00504B87"/>
    <w:rsid w:val="0052191C"/>
    <w:rsid w:val="00527C00"/>
    <w:rsid w:val="00534E28"/>
    <w:rsid w:val="00536331"/>
    <w:rsid w:val="005502A9"/>
    <w:rsid w:val="00554584"/>
    <w:rsid w:val="00557E22"/>
    <w:rsid w:val="0056004B"/>
    <w:rsid w:val="0056195B"/>
    <w:rsid w:val="005645B7"/>
    <w:rsid w:val="0057068C"/>
    <w:rsid w:val="00572CDE"/>
    <w:rsid w:val="00574915"/>
    <w:rsid w:val="00576E0E"/>
    <w:rsid w:val="00576F1B"/>
    <w:rsid w:val="00582838"/>
    <w:rsid w:val="005906C5"/>
    <w:rsid w:val="00592B49"/>
    <w:rsid w:val="005952C5"/>
    <w:rsid w:val="00596FE9"/>
    <w:rsid w:val="00597EC2"/>
    <w:rsid w:val="005A2890"/>
    <w:rsid w:val="005B2045"/>
    <w:rsid w:val="005B2BC9"/>
    <w:rsid w:val="005B61EB"/>
    <w:rsid w:val="005C2347"/>
    <w:rsid w:val="005C32F8"/>
    <w:rsid w:val="005C713F"/>
    <w:rsid w:val="005C71D9"/>
    <w:rsid w:val="005D010B"/>
    <w:rsid w:val="005D181F"/>
    <w:rsid w:val="005D31E9"/>
    <w:rsid w:val="005D3656"/>
    <w:rsid w:val="005E009B"/>
    <w:rsid w:val="005E2339"/>
    <w:rsid w:val="005E2514"/>
    <w:rsid w:val="005E3EB0"/>
    <w:rsid w:val="005F0F52"/>
    <w:rsid w:val="005F1376"/>
    <w:rsid w:val="005F6035"/>
    <w:rsid w:val="00602E75"/>
    <w:rsid w:val="00612F68"/>
    <w:rsid w:val="00625BA9"/>
    <w:rsid w:val="006260F9"/>
    <w:rsid w:val="006307F5"/>
    <w:rsid w:val="00646BEA"/>
    <w:rsid w:val="006522E0"/>
    <w:rsid w:val="00652467"/>
    <w:rsid w:val="0067314B"/>
    <w:rsid w:val="00673420"/>
    <w:rsid w:val="00680166"/>
    <w:rsid w:val="0069279D"/>
    <w:rsid w:val="00695A4C"/>
    <w:rsid w:val="00696CFE"/>
    <w:rsid w:val="006A28C7"/>
    <w:rsid w:val="006B2E8F"/>
    <w:rsid w:val="006C014F"/>
    <w:rsid w:val="006E0295"/>
    <w:rsid w:val="006E0350"/>
    <w:rsid w:val="006E15BB"/>
    <w:rsid w:val="006E6C07"/>
    <w:rsid w:val="006F0FDA"/>
    <w:rsid w:val="006F17AC"/>
    <w:rsid w:val="006F571E"/>
    <w:rsid w:val="006F7FF6"/>
    <w:rsid w:val="00700DEC"/>
    <w:rsid w:val="00702514"/>
    <w:rsid w:val="00707263"/>
    <w:rsid w:val="007121EB"/>
    <w:rsid w:val="007123EF"/>
    <w:rsid w:val="00713FD3"/>
    <w:rsid w:val="0072289D"/>
    <w:rsid w:val="00740566"/>
    <w:rsid w:val="00743D31"/>
    <w:rsid w:val="007461D5"/>
    <w:rsid w:val="007530BD"/>
    <w:rsid w:val="0075415A"/>
    <w:rsid w:val="00762631"/>
    <w:rsid w:val="00774B18"/>
    <w:rsid w:val="007760A0"/>
    <w:rsid w:val="00784599"/>
    <w:rsid w:val="00795AE4"/>
    <w:rsid w:val="00796A44"/>
    <w:rsid w:val="007A3E84"/>
    <w:rsid w:val="007A6367"/>
    <w:rsid w:val="007A7E91"/>
    <w:rsid w:val="007B1F99"/>
    <w:rsid w:val="007B45E4"/>
    <w:rsid w:val="007C72BA"/>
    <w:rsid w:val="007D25C7"/>
    <w:rsid w:val="007D40ED"/>
    <w:rsid w:val="007D47F1"/>
    <w:rsid w:val="007D627F"/>
    <w:rsid w:val="007D6D5A"/>
    <w:rsid w:val="007E71D9"/>
    <w:rsid w:val="008022E0"/>
    <w:rsid w:val="00804038"/>
    <w:rsid w:val="00815FA2"/>
    <w:rsid w:val="00834F1F"/>
    <w:rsid w:val="00840F8F"/>
    <w:rsid w:val="00843B9A"/>
    <w:rsid w:val="00845CA7"/>
    <w:rsid w:val="0085404B"/>
    <w:rsid w:val="00856454"/>
    <w:rsid w:val="00863455"/>
    <w:rsid w:val="008648E4"/>
    <w:rsid w:val="008654CE"/>
    <w:rsid w:val="008828D4"/>
    <w:rsid w:val="00884932"/>
    <w:rsid w:val="00886D74"/>
    <w:rsid w:val="00887664"/>
    <w:rsid w:val="00893E9E"/>
    <w:rsid w:val="008942E8"/>
    <w:rsid w:val="008964BB"/>
    <w:rsid w:val="00897122"/>
    <w:rsid w:val="008A0AEE"/>
    <w:rsid w:val="008A271C"/>
    <w:rsid w:val="008A3439"/>
    <w:rsid w:val="008B250E"/>
    <w:rsid w:val="008B4EA1"/>
    <w:rsid w:val="008B5D49"/>
    <w:rsid w:val="008C12C9"/>
    <w:rsid w:val="008D3714"/>
    <w:rsid w:val="008D6BB2"/>
    <w:rsid w:val="008E2A79"/>
    <w:rsid w:val="008E7122"/>
    <w:rsid w:val="008F27D4"/>
    <w:rsid w:val="008F2919"/>
    <w:rsid w:val="008F4F89"/>
    <w:rsid w:val="00902D26"/>
    <w:rsid w:val="009055CF"/>
    <w:rsid w:val="00905E7B"/>
    <w:rsid w:val="00905F02"/>
    <w:rsid w:val="00914942"/>
    <w:rsid w:val="00915C59"/>
    <w:rsid w:val="00927997"/>
    <w:rsid w:val="0093182E"/>
    <w:rsid w:val="009331B2"/>
    <w:rsid w:val="00935CB3"/>
    <w:rsid w:val="0093628D"/>
    <w:rsid w:val="00945276"/>
    <w:rsid w:val="0094565B"/>
    <w:rsid w:val="00956388"/>
    <w:rsid w:val="009622B4"/>
    <w:rsid w:val="00963A2B"/>
    <w:rsid w:val="00964ABE"/>
    <w:rsid w:val="00967E6E"/>
    <w:rsid w:val="009813B9"/>
    <w:rsid w:val="00982F79"/>
    <w:rsid w:val="0098393E"/>
    <w:rsid w:val="009A00F2"/>
    <w:rsid w:val="009A7C49"/>
    <w:rsid w:val="009A7E70"/>
    <w:rsid w:val="009C3262"/>
    <w:rsid w:val="009C328A"/>
    <w:rsid w:val="009D1B18"/>
    <w:rsid w:val="009D4CA0"/>
    <w:rsid w:val="009D6748"/>
    <w:rsid w:val="009E045C"/>
    <w:rsid w:val="009E3A6B"/>
    <w:rsid w:val="009E45B3"/>
    <w:rsid w:val="00A0370C"/>
    <w:rsid w:val="00A04E8C"/>
    <w:rsid w:val="00A128C0"/>
    <w:rsid w:val="00A12BE3"/>
    <w:rsid w:val="00A12E7F"/>
    <w:rsid w:val="00A13937"/>
    <w:rsid w:val="00A22620"/>
    <w:rsid w:val="00A26022"/>
    <w:rsid w:val="00A26521"/>
    <w:rsid w:val="00A26674"/>
    <w:rsid w:val="00A308ED"/>
    <w:rsid w:val="00A33E84"/>
    <w:rsid w:val="00A428F2"/>
    <w:rsid w:val="00A52E65"/>
    <w:rsid w:val="00A52EDB"/>
    <w:rsid w:val="00A60FA1"/>
    <w:rsid w:val="00A65B10"/>
    <w:rsid w:val="00A71519"/>
    <w:rsid w:val="00A7369F"/>
    <w:rsid w:val="00A74D07"/>
    <w:rsid w:val="00A8054A"/>
    <w:rsid w:val="00A810B2"/>
    <w:rsid w:val="00AA0BA0"/>
    <w:rsid w:val="00AA7C09"/>
    <w:rsid w:val="00AB1024"/>
    <w:rsid w:val="00AC2C53"/>
    <w:rsid w:val="00AC7AFB"/>
    <w:rsid w:val="00AD1072"/>
    <w:rsid w:val="00AE032F"/>
    <w:rsid w:val="00AF1A43"/>
    <w:rsid w:val="00B03870"/>
    <w:rsid w:val="00B0711C"/>
    <w:rsid w:val="00B11DC8"/>
    <w:rsid w:val="00B2411F"/>
    <w:rsid w:val="00B25B24"/>
    <w:rsid w:val="00B26735"/>
    <w:rsid w:val="00B27464"/>
    <w:rsid w:val="00B31174"/>
    <w:rsid w:val="00B35037"/>
    <w:rsid w:val="00B37584"/>
    <w:rsid w:val="00B4218B"/>
    <w:rsid w:val="00B42907"/>
    <w:rsid w:val="00B53631"/>
    <w:rsid w:val="00B566C3"/>
    <w:rsid w:val="00B679B8"/>
    <w:rsid w:val="00B7405A"/>
    <w:rsid w:val="00B753B4"/>
    <w:rsid w:val="00B80612"/>
    <w:rsid w:val="00B910FE"/>
    <w:rsid w:val="00B972F7"/>
    <w:rsid w:val="00BA00DC"/>
    <w:rsid w:val="00BA3572"/>
    <w:rsid w:val="00BA4349"/>
    <w:rsid w:val="00BA4773"/>
    <w:rsid w:val="00BA548A"/>
    <w:rsid w:val="00BA6364"/>
    <w:rsid w:val="00BB3268"/>
    <w:rsid w:val="00BB39F8"/>
    <w:rsid w:val="00BB632C"/>
    <w:rsid w:val="00BB6B6D"/>
    <w:rsid w:val="00BC56F0"/>
    <w:rsid w:val="00BC669A"/>
    <w:rsid w:val="00BD2D91"/>
    <w:rsid w:val="00BD3DA9"/>
    <w:rsid w:val="00BD6ABC"/>
    <w:rsid w:val="00BE1826"/>
    <w:rsid w:val="00BE4637"/>
    <w:rsid w:val="00BF57A1"/>
    <w:rsid w:val="00BF7990"/>
    <w:rsid w:val="00C04929"/>
    <w:rsid w:val="00C05C74"/>
    <w:rsid w:val="00C06A7A"/>
    <w:rsid w:val="00C11C6A"/>
    <w:rsid w:val="00C148E4"/>
    <w:rsid w:val="00C16537"/>
    <w:rsid w:val="00C31E8A"/>
    <w:rsid w:val="00C334E7"/>
    <w:rsid w:val="00C33AF8"/>
    <w:rsid w:val="00C35606"/>
    <w:rsid w:val="00C376A3"/>
    <w:rsid w:val="00C37759"/>
    <w:rsid w:val="00C42014"/>
    <w:rsid w:val="00C429A8"/>
    <w:rsid w:val="00C46362"/>
    <w:rsid w:val="00C47EFE"/>
    <w:rsid w:val="00C50256"/>
    <w:rsid w:val="00C5482F"/>
    <w:rsid w:val="00C57852"/>
    <w:rsid w:val="00C750A6"/>
    <w:rsid w:val="00C76E78"/>
    <w:rsid w:val="00C84BFF"/>
    <w:rsid w:val="00C854DC"/>
    <w:rsid w:val="00C953CA"/>
    <w:rsid w:val="00CB36D5"/>
    <w:rsid w:val="00CC00CA"/>
    <w:rsid w:val="00CC58D4"/>
    <w:rsid w:val="00CF1CBC"/>
    <w:rsid w:val="00CF4D30"/>
    <w:rsid w:val="00CF54CD"/>
    <w:rsid w:val="00CF77EA"/>
    <w:rsid w:val="00D0362E"/>
    <w:rsid w:val="00D061B5"/>
    <w:rsid w:val="00D07BE1"/>
    <w:rsid w:val="00D23757"/>
    <w:rsid w:val="00D27B1C"/>
    <w:rsid w:val="00D34816"/>
    <w:rsid w:val="00D41E99"/>
    <w:rsid w:val="00D507EC"/>
    <w:rsid w:val="00D56763"/>
    <w:rsid w:val="00D575BD"/>
    <w:rsid w:val="00D758CA"/>
    <w:rsid w:val="00D77C9F"/>
    <w:rsid w:val="00D94771"/>
    <w:rsid w:val="00D96C84"/>
    <w:rsid w:val="00DA0664"/>
    <w:rsid w:val="00DB06BD"/>
    <w:rsid w:val="00DB1409"/>
    <w:rsid w:val="00DB2CCD"/>
    <w:rsid w:val="00DB471A"/>
    <w:rsid w:val="00DC055C"/>
    <w:rsid w:val="00DD6FE2"/>
    <w:rsid w:val="00DD71EB"/>
    <w:rsid w:val="00DE741D"/>
    <w:rsid w:val="00DE7FCA"/>
    <w:rsid w:val="00DF5C7B"/>
    <w:rsid w:val="00E01582"/>
    <w:rsid w:val="00E02EE8"/>
    <w:rsid w:val="00E05066"/>
    <w:rsid w:val="00E12FDF"/>
    <w:rsid w:val="00E1647A"/>
    <w:rsid w:val="00E17594"/>
    <w:rsid w:val="00E20CD8"/>
    <w:rsid w:val="00E249FB"/>
    <w:rsid w:val="00E254BE"/>
    <w:rsid w:val="00E26E25"/>
    <w:rsid w:val="00E36926"/>
    <w:rsid w:val="00E369EF"/>
    <w:rsid w:val="00E377B6"/>
    <w:rsid w:val="00E37CB1"/>
    <w:rsid w:val="00E37ED2"/>
    <w:rsid w:val="00E435CD"/>
    <w:rsid w:val="00E4716F"/>
    <w:rsid w:val="00E53042"/>
    <w:rsid w:val="00E56A69"/>
    <w:rsid w:val="00E56E2A"/>
    <w:rsid w:val="00E664DC"/>
    <w:rsid w:val="00E752C8"/>
    <w:rsid w:val="00EA37D8"/>
    <w:rsid w:val="00EA5AEA"/>
    <w:rsid w:val="00EB63FF"/>
    <w:rsid w:val="00EC01E2"/>
    <w:rsid w:val="00EC1C90"/>
    <w:rsid w:val="00EC2810"/>
    <w:rsid w:val="00EC5091"/>
    <w:rsid w:val="00ED7B83"/>
    <w:rsid w:val="00EE6E92"/>
    <w:rsid w:val="00EF39A4"/>
    <w:rsid w:val="00EF4B09"/>
    <w:rsid w:val="00F00B3D"/>
    <w:rsid w:val="00F0491B"/>
    <w:rsid w:val="00F105F8"/>
    <w:rsid w:val="00F128DF"/>
    <w:rsid w:val="00F21311"/>
    <w:rsid w:val="00F259E8"/>
    <w:rsid w:val="00F32A75"/>
    <w:rsid w:val="00F32ABD"/>
    <w:rsid w:val="00F412A9"/>
    <w:rsid w:val="00F4175F"/>
    <w:rsid w:val="00F434E2"/>
    <w:rsid w:val="00F50570"/>
    <w:rsid w:val="00F511CA"/>
    <w:rsid w:val="00F6331B"/>
    <w:rsid w:val="00F6620A"/>
    <w:rsid w:val="00F67947"/>
    <w:rsid w:val="00F75998"/>
    <w:rsid w:val="00F75BF4"/>
    <w:rsid w:val="00F80600"/>
    <w:rsid w:val="00F8519B"/>
    <w:rsid w:val="00F907DD"/>
    <w:rsid w:val="00F9315F"/>
    <w:rsid w:val="00F93E24"/>
    <w:rsid w:val="00F97986"/>
    <w:rsid w:val="00FA0811"/>
    <w:rsid w:val="00FA719E"/>
    <w:rsid w:val="00FA73DE"/>
    <w:rsid w:val="00FB1342"/>
    <w:rsid w:val="00FB56F5"/>
    <w:rsid w:val="00FB6225"/>
    <w:rsid w:val="00FB6E48"/>
    <w:rsid w:val="00FC0CF4"/>
    <w:rsid w:val="00FC1461"/>
    <w:rsid w:val="00FC16AE"/>
    <w:rsid w:val="00FC7F6A"/>
    <w:rsid w:val="00FD5958"/>
    <w:rsid w:val="00FD62D0"/>
    <w:rsid w:val="00FF50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5E502"/>
  <w15:chartTrackingRefBased/>
  <w15:docId w15:val="{6DE3CB9E-C461-48CE-99A8-742544CF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A54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46BEA"/>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646BEA"/>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646BEA"/>
    <w:pPr>
      <w:keepNext/>
      <w:keepLines/>
      <w:spacing w:before="40" w:after="0" w:line="276" w:lineRule="auto"/>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646BEA"/>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46BEA"/>
    <w:pPr>
      <w:keepNext/>
      <w:keepLines/>
      <w:spacing w:before="40" w:after="0" w:line="276" w:lineRule="auto"/>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46BEA"/>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646BEA"/>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646BEA"/>
    <w:rPr>
      <w:rFonts w:asciiTheme="majorHAnsi" w:eastAsiaTheme="majorEastAsia" w:hAnsiTheme="majorHAnsi" w:cstheme="majorBidi"/>
      <w:i/>
      <w:iCs/>
      <w:color w:val="2E74B5" w:themeColor="accent1" w:themeShade="BF"/>
    </w:rPr>
  </w:style>
  <w:style w:type="character" w:customStyle="1" w:styleId="Heading6Char">
    <w:name w:val="Heading 6 Char"/>
    <w:basedOn w:val="DefaultParagraphFont"/>
    <w:link w:val="Heading6"/>
    <w:uiPriority w:val="9"/>
    <w:rsid w:val="00646BEA"/>
    <w:rPr>
      <w:rFonts w:asciiTheme="majorHAnsi" w:eastAsiaTheme="majorEastAsia" w:hAnsiTheme="majorHAnsi" w:cstheme="majorBidi"/>
      <w:color w:val="1F4D78" w:themeColor="accent1" w:themeShade="7F"/>
    </w:rPr>
  </w:style>
  <w:style w:type="table" w:customStyle="1" w:styleId="GridTable1Light-Accent12">
    <w:name w:val="Grid Table 1 Light - Accent 12"/>
    <w:basedOn w:val="TableNormal"/>
    <w:uiPriority w:val="46"/>
    <w:rsid w:val="00646BE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46BE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ing5Char">
    <w:name w:val="Heading 5 Char"/>
    <w:basedOn w:val="DefaultParagraphFont"/>
    <w:link w:val="Heading5"/>
    <w:uiPriority w:val="9"/>
    <w:rsid w:val="00646BEA"/>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053D46"/>
    <w:pPr>
      <w:ind w:left="720"/>
      <w:contextualSpacing/>
    </w:pPr>
  </w:style>
  <w:style w:type="character" w:customStyle="1" w:styleId="Heading1Char">
    <w:name w:val="Heading 1 Char"/>
    <w:basedOn w:val="DefaultParagraphFont"/>
    <w:link w:val="Heading1"/>
    <w:uiPriority w:val="9"/>
    <w:rsid w:val="00BA548A"/>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BA548A"/>
    <w:rPr>
      <w:color w:val="0000FF"/>
      <w:u w:val="single"/>
    </w:rPr>
  </w:style>
  <w:style w:type="character" w:customStyle="1" w:styleId="highlight">
    <w:name w:val="highlight"/>
    <w:basedOn w:val="DefaultParagraphFont"/>
    <w:rsid w:val="00BA548A"/>
  </w:style>
  <w:style w:type="table" w:styleId="TableGrid">
    <w:name w:val="Table Grid"/>
    <w:basedOn w:val="TableNormal"/>
    <w:uiPriority w:val="39"/>
    <w:rsid w:val="00931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0350"/>
    <w:pPr>
      <w:autoSpaceDE w:val="0"/>
      <w:autoSpaceDN w:val="0"/>
      <w:adjustRightInd w:val="0"/>
      <w:spacing w:after="0" w:line="240" w:lineRule="auto"/>
    </w:pPr>
    <w:rPr>
      <w:rFonts w:ascii="Calibri" w:hAnsi="Calibri" w:cs="Calibri"/>
      <w:color w:val="000000"/>
      <w:sz w:val="24"/>
      <w:szCs w:val="24"/>
    </w:rPr>
  </w:style>
  <w:style w:type="character" w:styleId="LineNumber">
    <w:name w:val="line number"/>
    <w:basedOn w:val="DefaultParagraphFont"/>
    <w:uiPriority w:val="99"/>
    <w:semiHidden/>
    <w:unhideWhenUsed/>
    <w:rsid w:val="00D41E99"/>
  </w:style>
  <w:style w:type="paragraph" w:styleId="BalloonText">
    <w:name w:val="Balloon Text"/>
    <w:basedOn w:val="Normal"/>
    <w:link w:val="BalloonTextChar"/>
    <w:uiPriority w:val="99"/>
    <w:semiHidden/>
    <w:unhideWhenUsed/>
    <w:rsid w:val="000176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6DA"/>
    <w:rPr>
      <w:rFonts w:ascii="Segoe UI" w:hAnsi="Segoe UI" w:cs="Segoe UI"/>
      <w:sz w:val="18"/>
      <w:szCs w:val="18"/>
    </w:rPr>
  </w:style>
  <w:style w:type="character" w:customStyle="1" w:styleId="UnresolvedMention1">
    <w:name w:val="Unresolved Mention1"/>
    <w:basedOn w:val="DefaultParagraphFont"/>
    <w:uiPriority w:val="99"/>
    <w:semiHidden/>
    <w:unhideWhenUsed/>
    <w:rsid w:val="005E2339"/>
    <w:rPr>
      <w:color w:val="808080"/>
      <w:shd w:val="clear" w:color="auto" w:fill="E6E6E6"/>
    </w:rPr>
  </w:style>
  <w:style w:type="character" w:styleId="CommentReference">
    <w:name w:val="annotation reference"/>
    <w:basedOn w:val="DefaultParagraphFont"/>
    <w:uiPriority w:val="99"/>
    <w:semiHidden/>
    <w:unhideWhenUsed/>
    <w:rsid w:val="0072289D"/>
    <w:rPr>
      <w:sz w:val="16"/>
      <w:szCs w:val="16"/>
    </w:rPr>
  </w:style>
  <w:style w:type="paragraph" w:styleId="CommentText">
    <w:name w:val="annotation text"/>
    <w:basedOn w:val="Normal"/>
    <w:link w:val="CommentTextChar"/>
    <w:uiPriority w:val="99"/>
    <w:unhideWhenUsed/>
    <w:rsid w:val="0072289D"/>
    <w:pPr>
      <w:spacing w:line="240" w:lineRule="auto"/>
    </w:pPr>
    <w:rPr>
      <w:sz w:val="20"/>
      <w:szCs w:val="20"/>
    </w:rPr>
  </w:style>
  <w:style w:type="character" w:customStyle="1" w:styleId="CommentTextChar">
    <w:name w:val="Comment Text Char"/>
    <w:basedOn w:val="DefaultParagraphFont"/>
    <w:link w:val="CommentText"/>
    <w:uiPriority w:val="99"/>
    <w:rsid w:val="0072289D"/>
    <w:rPr>
      <w:sz w:val="20"/>
      <w:szCs w:val="20"/>
    </w:rPr>
  </w:style>
  <w:style w:type="paragraph" w:styleId="CommentSubject">
    <w:name w:val="annotation subject"/>
    <w:basedOn w:val="CommentText"/>
    <w:next w:val="CommentText"/>
    <w:link w:val="CommentSubjectChar"/>
    <w:uiPriority w:val="99"/>
    <w:semiHidden/>
    <w:unhideWhenUsed/>
    <w:rsid w:val="0072289D"/>
    <w:rPr>
      <w:b/>
      <w:bCs/>
    </w:rPr>
  </w:style>
  <w:style w:type="character" w:customStyle="1" w:styleId="CommentSubjectChar">
    <w:name w:val="Comment Subject Char"/>
    <w:basedOn w:val="CommentTextChar"/>
    <w:link w:val="CommentSubject"/>
    <w:uiPriority w:val="99"/>
    <w:semiHidden/>
    <w:rsid w:val="0072289D"/>
    <w:rPr>
      <w:b/>
      <w:bCs/>
      <w:sz w:val="20"/>
      <w:szCs w:val="20"/>
    </w:rPr>
  </w:style>
  <w:style w:type="paragraph" w:styleId="Revision">
    <w:name w:val="Revision"/>
    <w:hidden/>
    <w:uiPriority w:val="99"/>
    <w:semiHidden/>
    <w:rsid w:val="00EA5AEA"/>
    <w:pPr>
      <w:spacing w:after="0" w:line="240" w:lineRule="auto"/>
    </w:pPr>
  </w:style>
  <w:style w:type="character" w:customStyle="1" w:styleId="UnresolvedMention2">
    <w:name w:val="Unresolved Mention2"/>
    <w:basedOn w:val="DefaultParagraphFont"/>
    <w:uiPriority w:val="99"/>
    <w:semiHidden/>
    <w:unhideWhenUsed/>
    <w:rsid w:val="006307F5"/>
    <w:rPr>
      <w:color w:val="808080"/>
      <w:shd w:val="clear" w:color="auto" w:fill="E6E6E6"/>
    </w:rPr>
  </w:style>
  <w:style w:type="character" w:styleId="Emphasis">
    <w:name w:val="Emphasis"/>
    <w:basedOn w:val="DefaultParagraphFont"/>
    <w:uiPriority w:val="20"/>
    <w:qFormat/>
    <w:rsid w:val="006307F5"/>
    <w:rPr>
      <w:i/>
      <w:iCs/>
    </w:rPr>
  </w:style>
  <w:style w:type="paragraph" w:styleId="Header">
    <w:name w:val="header"/>
    <w:basedOn w:val="Normal"/>
    <w:link w:val="HeaderChar"/>
    <w:uiPriority w:val="99"/>
    <w:unhideWhenUsed/>
    <w:rsid w:val="009C32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328A"/>
  </w:style>
  <w:style w:type="paragraph" w:styleId="Footer">
    <w:name w:val="footer"/>
    <w:basedOn w:val="Normal"/>
    <w:link w:val="FooterChar"/>
    <w:uiPriority w:val="99"/>
    <w:unhideWhenUsed/>
    <w:rsid w:val="009C32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328A"/>
  </w:style>
  <w:style w:type="character" w:customStyle="1" w:styleId="cit">
    <w:name w:val="cit"/>
    <w:basedOn w:val="DefaultParagraphFont"/>
    <w:rsid w:val="006522E0"/>
  </w:style>
  <w:style w:type="character" w:customStyle="1" w:styleId="fm-vol-iss-date">
    <w:name w:val="fm-vol-iss-date"/>
    <w:basedOn w:val="DefaultParagraphFont"/>
    <w:rsid w:val="006522E0"/>
  </w:style>
  <w:style w:type="character" w:customStyle="1" w:styleId="doi">
    <w:name w:val="doi"/>
    <w:basedOn w:val="DefaultParagraphFont"/>
    <w:rsid w:val="006522E0"/>
  </w:style>
  <w:style w:type="character" w:customStyle="1" w:styleId="fm-citation-ids-label">
    <w:name w:val="fm-citation-ids-label"/>
    <w:basedOn w:val="DefaultParagraphFont"/>
    <w:rsid w:val="006522E0"/>
  </w:style>
  <w:style w:type="character" w:customStyle="1" w:styleId="hiddenreadable">
    <w:name w:val="hiddenreadable"/>
    <w:basedOn w:val="DefaultParagraphFont"/>
    <w:rsid w:val="006522E0"/>
  </w:style>
  <w:style w:type="character" w:customStyle="1" w:styleId="pubdatesrow">
    <w:name w:val="pubdatesrow"/>
    <w:basedOn w:val="DefaultParagraphFont"/>
    <w:rsid w:val="006522E0"/>
  </w:style>
  <w:style w:type="character" w:customStyle="1" w:styleId="pubdateslbls">
    <w:name w:val="pubdateslbls"/>
    <w:basedOn w:val="DefaultParagraphFont"/>
    <w:rsid w:val="00652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220296">
      <w:bodyDiv w:val="1"/>
      <w:marLeft w:val="0"/>
      <w:marRight w:val="0"/>
      <w:marTop w:val="0"/>
      <w:marBottom w:val="0"/>
      <w:divBdr>
        <w:top w:val="none" w:sz="0" w:space="0" w:color="auto"/>
        <w:left w:val="none" w:sz="0" w:space="0" w:color="auto"/>
        <w:bottom w:val="none" w:sz="0" w:space="0" w:color="auto"/>
        <w:right w:val="none" w:sz="0" w:space="0" w:color="auto"/>
      </w:divBdr>
    </w:div>
    <w:div w:id="422845942">
      <w:bodyDiv w:val="1"/>
      <w:marLeft w:val="0"/>
      <w:marRight w:val="0"/>
      <w:marTop w:val="0"/>
      <w:marBottom w:val="0"/>
      <w:divBdr>
        <w:top w:val="none" w:sz="0" w:space="0" w:color="auto"/>
        <w:left w:val="none" w:sz="0" w:space="0" w:color="auto"/>
        <w:bottom w:val="none" w:sz="0" w:space="0" w:color="auto"/>
        <w:right w:val="none" w:sz="0" w:space="0" w:color="auto"/>
      </w:divBdr>
    </w:div>
    <w:div w:id="566185800">
      <w:bodyDiv w:val="1"/>
      <w:marLeft w:val="0"/>
      <w:marRight w:val="0"/>
      <w:marTop w:val="0"/>
      <w:marBottom w:val="0"/>
      <w:divBdr>
        <w:top w:val="none" w:sz="0" w:space="0" w:color="auto"/>
        <w:left w:val="none" w:sz="0" w:space="0" w:color="auto"/>
        <w:bottom w:val="none" w:sz="0" w:space="0" w:color="auto"/>
        <w:right w:val="none" w:sz="0" w:space="0" w:color="auto"/>
      </w:divBdr>
    </w:div>
    <w:div w:id="753090426">
      <w:bodyDiv w:val="1"/>
      <w:marLeft w:val="0"/>
      <w:marRight w:val="0"/>
      <w:marTop w:val="0"/>
      <w:marBottom w:val="0"/>
      <w:divBdr>
        <w:top w:val="none" w:sz="0" w:space="0" w:color="auto"/>
        <w:left w:val="none" w:sz="0" w:space="0" w:color="auto"/>
        <w:bottom w:val="none" w:sz="0" w:space="0" w:color="auto"/>
        <w:right w:val="none" w:sz="0" w:space="0" w:color="auto"/>
      </w:divBdr>
    </w:div>
    <w:div w:id="927035051">
      <w:bodyDiv w:val="1"/>
      <w:marLeft w:val="0"/>
      <w:marRight w:val="0"/>
      <w:marTop w:val="0"/>
      <w:marBottom w:val="0"/>
      <w:divBdr>
        <w:top w:val="none" w:sz="0" w:space="0" w:color="auto"/>
        <w:left w:val="none" w:sz="0" w:space="0" w:color="auto"/>
        <w:bottom w:val="none" w:sz="0" w:space="0" w:color="auto"/>
        <w:right w:val="none" w:sz="0" w:space="0" w:color="auto"/>
      </w:divBdr>
      <w:divsChild>
        <w:div w:id="850798361">
          <w:marLeft w:val="0"/>
          <w:marRight w:val="0"/>
          <w:marTop w:val="0"/>
          <w:marBottom w:val="166"/>
          <w:divBdr>
            <w:top w:val="none" w:sz="0" w:space="0" w:color="auto"/>
            <w:left w:val="none" w:sz="0" w:space="0" w:color="auto"/>
            <w:bottom w:val="none" w:sz="0" w:space="0" w:color="auto"/>
            <w:right w:val="none" w:sz="0" w:space="0" w:color="auto"/>
          </w:divBdr>
          <w:divsChild>
            <w:div w:id="874191922">
              <w:marLeft w:val="0"/>
              <w:marRight w:val="0"/>
              <w:marTop w:val="0"/>
              <w:marBottom w:val="0"/>
              <w:divBdr>
                <w:top w:val="none" w:sz="0" w:space="0" w:color="auto"/>
                <w:left w:val="none" w:sz="0" w:space="0" w:color="auto"/>
                <w:bottom w:val="none" w:sz="0" w:space="0" w:color="auto"/>
                <w:right w:val="none" w:sz="0" w:space="0" w:color="auto"/>
              </w:divBdr>
              <w:divsChild>
                <w:div w:id="1079402227">
                  <w:marLeft w:val="0"/>
                  <w:marRight w:val="0"/>
                  <w:marTop w:val="0"/>
                  <w:marBottom w:val="0"/>
                  <w:divBdr>
                    <w:top w:val="none" w:sz="0" w:space="0" w:color="auto"/>
                    <w:left w:val="none" w:sz="0" w:space="0" w:color="auto"/>
                    <w:bottom w:val="none" w:sz="0" w:space="0" w:color="auto"/>
                    <w:right w:val="none" w:sz="0" w:space="0" w:color="auto"/>
                  </w:divBdr>
                  <w:divsChild>
                    <w:div w:id="111945742">
                      <w:marLeft w:val="0"/>
                      <w:marRight w:val="0"/>
                      <w:marTop w:val="0"/>
                      <w:marBottom w:val="0"/>
                      <w:divBdr>
                        <w:top w:val="none" w:sz="0" w:space="0" w:color="auto"/>
                        <w:left w:val="none" w:sz="0" w:space="0" w:color="auto"/>
                        <w:bottom w:val="none" w:sz="0" w:space="0" w:color="auto"/>
                        <w:right w:val="none" w:sz="0" w:space="0" w:color="auto"/>
                      </w:divBdr>
                      <w:divsChild>
                        <w:div w:id="1817212704">
                          <w:marLeft w:val="0"/>
                          <w:marRight w:val="0"/>
                          <w:marTop w:val="0"/>
                          <w:marBottom w:val="0"/>
                          <w:divBdr>
                            <w:top w:val="none" w:sz="0" w:space="0" w:color="auto"/>
                            <w:left w:val="none" w:sz="0" w:space="0" w:color="auto"/>
                            <w:bottom w:val="none" w:sz="0" w:space="0" w:color="auto"/>
                            <w:right w:val="none" w:sz="0" w:space="0" w:color="auto"/>
                          </w:divBdr>
                        </w:div>
                        <w:div w:id="65041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26971">
                  <w:marLeft w:val="0"/>
                  <w:marRight w:val="0"/>
                  <w:marTop w:val="0"/>
                  <w:marBottom w:val="0"/>
                  <w:divBdr>
                    <w:top w:val="none" w:sz="0" w:space="0" w:color="auto"/>
                    <w:left w:val="none" w:sz="0" w:space="0" w:color="auto"/>
                    <w:bottom w:val="none" w:sz="0" w:space="0" w:color="auto"/>
                    <w:right w:val="none" w:sz="0" w:space="0" w:color="auto"/>
                  </w:divBdr>
                  <w:divsChild>
                    <w:div w:id="613442516">
                      <w:marLeft w:val="0"/>
                      <w:marRight w:val="0"/>
                      <w:marTop w:val="0"/>
                      <w:marBottom w:val="0"/>
                      <w:divBdr>
                        <w:top w:val="none" w:sz="0" w:space="0" w:color="auto"/>
                        <w:left w:val="none" w:sz="0" w:space="0" w:color="auto"/>
                        <w:bottom w:val="none" w:sz="0" w:space="0" w:color="auto"/>
                        <w:right w:val="none" w:sz="0" w:space="0" w:color="auto"/>
                      </w:divBdr>
                    </w:div>
                    <w:div w:id="175099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304277">
          <w:marLeft w:val="0"/>
          <w:marRight w:val="0"/>
          <w:marTop w:val="166"/>
          <w:marBottom w:val="166"/>
          <w:divBdr>
            <w:top w:val="none" w:sz="0" w:space="0" w:color="auto"/>
            <w:left w:val="none" w:sz="0" w:space="0" w:color="auto"/>
            <w:bottom w:val="none" w:sz="0" w:space="0" w:color="auto"/>
            <w:right w:val="none" w:sz="0" w:space="0" w:color="auto"/>
          </w:divBdr>
          <w:divsChild>
            <w:div w:id="26060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237297">
      <w:bodyDiv w:val="1"/>
      <w:marLeft w:val="0"/>
      <w:marRight w:val="0"/>
      <w:marTop w:val="0"/>
      <w:marBottom w:val="0"/>
      <w:divBdr>
        <w:top w:val="none" w:sz="0" w:space="0" w:color="auto"/>
        <w:left w:val="none" w:sz="0" w:space="0" w:color="auto"/>
        <w:bottom w:val="none" w:sz="0" w:space="0" w:color="auto"/>
        <w:right w:val="none" w:sz="0" w:space="0" w:color="auto"/>
      </w:divBdr>
    </w:div>
    <w:div w:id="1003778537">
      <w:bodyDiv w:val="1"/>
      <w:marLeft w:val="0"/>
      <w:marRight w:val="0"/>
      <w:marTop w:val="0"/>
      <w:marBottom w:val="0"/>
      <w:divBdr>
        <w:top w:val="none" w:sz="0" w:space="0" w:color="auto"/>
        <w:left w:val="none" w:sz="0" w:space="0" w:color="auto"/>
        <w:bottom w:val="none" w:sz="0" w:space="0" w:color="auto"/>
        <w:right w:val="none" w:sz="0" w:space="0" w:color="auto"/>
      </w:divBdr>
    </w:div>
    <w:div w:id="1008362512">
      <w:bodyDiv w:val="1"/>
      <w:marLeft w:val="0"/>
      <w:marRight w:val="0"/>
      <w:marTop w:val="0"/>
      <w:marBottom w:val="0"/>
      <w:divBdr>
        <w:top w:val="none" w:sz="0" w:space="0" w:color="auto"/>
        <w:left w:val="none" w:sz="0" w:space="0" w:color="auto"/>
        <w:bottom w:val="none" w:sz="0" w:space="0" w:color="auto"/>
        <w:right w:val="none" w:sz="0" w:space="0" w:color="auto"/>
      </w:divBdr>
    </w:div>
    <w:div w:id="1184901941">
      <w:bodyDiv w:val="1"/>
      <w:marLeft w:val="0"/>
      <w:marRight w:val="0"/>
      <w:marTop w:val="0"/>
      <w:marBottom w:val="0"/>
      <w:divBdr>
        <w:top w:val="none" w:sz="0" w:space="0" w:color="auto"/>
        <w:left w:val="none" w:sz="0" w:space="0" w:color="auto"/>
        <w:bottom w:val="none" w:sz="0" w:space="0" w:color="auto"/>
        <w:right w:val="none" w:sz="0" w:space="0" w:color="auto"/>
      </w:divBdr>
      <w:divsChild>
        <w:div w:id="877201603">
          <w:marLeft w:val="0"/>
          <w:marRight w:val="0"/>
          <w:marTop w:val="0"/>
          <w:marBottom w:val="0"/>
          <w:divBdr>
            <w:top w:val="none" w:sz="0" w:space="0" w:color="auto"/>
            <w:left w:val="none" w:sz="0" w:space="0" w:color="auto"/>
            <w:bottom w:val="none" w:sz="0" w:space="0" w:color="auto"/>
            <w:right w:val="none" w:sz="0" w:space="0" w:color="auto"/>
          </w:divBdr>
        </w:div>
        <w:div w:id="427388296">
          <w:marLeft w:val="0"/>
          <w:marRight w:val="0"/>
          <w:marTop w:val="0"/>
          <w:marBottom w:val="0"/>
          <w:divBdr>
            <w:top w:val="none" w:sz="0" w:space="0" w:color="auto"/>
            <w:left w:val="none" w:sz="0" w:space="0" w:color="auto"/>
            <w:bottom w:val="none" w:sz="0" w:space="0" w:color="auto"/>
            <w:right w:val="none" w:sz="0" w:space="0" w:color="auto"/>
          </w:divBdr>
        </w:div>
        <w:div w:id="517163282">
          <w:marLeft w:val="0"/>
          <w:marRight w:val="0"/>
          <w:marTop w:val="0"/>
          <w:marBottom w:val="0"/>
          <w:divBdr>
            <w:top w:val="none" w:sz="0" w:space="0" w:color="auto"/>
            <w:left w:val="none" w:sz="0" w:space="0" w:color="auto"/>
            <w:bottom w:val="none" w:sz="0" w:space="0" w:color="auto"/>
            <w:right w:val="none" w:sz="0" w:space="0" w:color="auto"/>
          </w:divBdr>
        </w:div>
        <w:div w:id="1186092700">
          <w:marLeft w:val="0"/>
          <w:marRight w:val="0"/>
          <w:marTop w:val="0"/>
          <w:marBottom w:val="0"/>
          <w:divBdr>
            <w:top w:val="none" w:sz="0" w:space="0" w:color="auto"/>
            <w:left w:val="none" w:sz="0" w:space="0" w:color="auto"/>
            <w:bottom w:val="none" w:sz="0" w:space="0" w:color="auto"/>
            <w:right w:val="none" w:sz="0" w:space="0" w:color="auto"/>
          </w:divBdr>
        </w:div>
        <w:div w:id="1234584201">
          <w:marLeft w:val="0"/>
          <w:marRight w:val="0"/>
          <w:marTop w:val="0"/>
          <w:marBottom w:val="0"/>
          <w:divBdr>
            <w:top w:val="none" w:sz="0" w:space="0" w:color="auto"/>
            <w:left w:val="none" w:sz="0" w:space="0" w:color="auto"/>
            <w:bottom w:val="none" w:sz="0" w:space="0" w:color="auto"/>
            <w:right w:val="none" w:sz="0" w:space="0" w:color="auto"/>
          </w:divBdr>
        </w:div>
        <w:div w:id="433090331">
          <w:marLeft w:val="0"/>
          <w:marRight w:val="0"/>
          <w:marTop w:val="0"/>
          <w:marBottom w:val="0"/>
          <w:divBdr>
            <w:top w:val="none" w:sz="0" w:space="0" w:color="auto"/>
            <w:left w:val="none" w:sz="0" w:space="0" w:color="auto"/>
            <w:bottom w:val="none" w:sz="0" w:space="0" w:color="auto"/>
            <w:right w:val="none" w:sz="0" w:space="0" w:color="auto"/>
          </w:divBdr>
        </w:div>
        <w:div w:id="1965425140">
          <w:marLeft w:val="0"/>
          <w:marRight w:val="0"/>
          <w:marTop w:val="0"/>
          <w:marBottom w:val="0"/>
          <w:divBdr>
            <w:top w:val="none" w:sz="0" w:space="0" w:color="auto"/>
            <w:left w:val="none" w:sz="0" w:space="0" w:color="auto"/>
            <w:bottom w:val="none" w:sz="0" w:space="0" w:color="auto"/>
            <w:right w:val="none" w:sz="0" w:space="0" w:color="auto"/>
          </w:divBdr>
        </w:div>
        <w:div w:id="2096512907">
          <w:marLeft w:val="0"/>
          <w:marRight w:val="0"/>
          <w:marTop w:val="0"/>
          <w:marBottom w:val="0"/>
          <w:divBdr>
            <w:top w:val="none" w:sz="0" w:space="0" w:color="auto"/>
            <w:left w:val="none" w:sz="0" w:space="0" w:color="auto"/>
            <w:bottom w:val="none" w:sz="0" w:space="0" w:color="auto"/>
            <w:right w:val="none" w:sz="0" w:space="0" w:color="auto"/>
          </w:divBdr>
        </w:div>
        <w:div w:id="1138257956">
          <w:marLeft w:val="0"/>
          <w:marRight w:val="0"/>
          <w:marTop w:val="0"/>
          <w:marBottom w:val="0"/>
          <w:divBdr>
            <w:top w:val="none" w:sz="0" w:space="0" w:color="auto"/>
            <w:left w:val="none" w:sz="0" w:space="0" w:color="auto"/>
            <w:bottom w:val="none" w:sz="0" w:space="0" w:color="auto"/>
            <w:right w:val="none" w:sz="0" w:space="0" w:color="auto"/>
          </w:divBdr>
        </w:div>
      </w:divsChild>
    </w:div>
    <w:div w:id="1255624733">
      <w:bodyDiv w:val="1"/>
      <w:marLeft w:val="0"/>
      <w:marRight w:val="0"/>
      <w:marTop w:val="0"/>
      <w:marBottom w:val="0"/>
      <w:divBdr>
        <w:top w:val="none" w:sz="0" w:space="0" w:color="auto"/>
        <w:left w:val="none" w:sz="0" w:space="0" w:color="auto"/>
        <w:bottom w:val="none" w:sz="0" w:space="0" w:color="auto"/>
        <w:right w:val="none" w:sz="0" w:space="0" w:color="auto"/>
      </w:divBdr>
      <w:divsChild>
        <w:div w:id="480541223">
          <w:marLeft w:val="0"/>
          <w:marRight w:val="0"/>
          <w:marTop w:val="264"/>
          <w:marBottom w:val="0"/>
          <w:divBdr>
            <w:top w:val="none" w:sz="0" w:space="0" w:color="auto"/>
            <w:left w:val="none" w:sz="0" w:space="0" w:color="auto"/>
            <w:bottom w:val="none" w:sz="0" w:space="0" w:color="auto"/>
            <w:right w:val="none" w:sz="0" w:space="0" w:color="auto"/>
          </w:divBdr>
        </w:div>
      </w:divsChild>
    </w:div>
    <w:div w:id="1316378104">
      <w:bodyDiv w:val="1"/>
      <w:marLeft w:val="0"/>
      <w:marRight w:val="0"/>
      <w:marTop w:val="0"/>
      <w:marBottom w:val="0"/>
      <w:divBdr>
        <w:top w:val="none" w:sz="0" w:space="0" w:color="auto"/>
        <w:left w:val="none" w:sz="0" w:space="0" w:color="auto"/>
        <w:bottom w:val="none" w:sz="0" w:space="0" w:color="auto"/>
        <w:right w:val="none" w:sz="0" w:space="0" w:color="auto"/>
      </w:divBdr>
    </w:div>
    <w:div w:id="1353993077">
      <w:bodyDiv w:val="1"/>
      <w:marLeft w:val="0"/>
      <w:marRight w:val="0"/>
      <w:marTop w:val="0"/>
      <w:marBottom w:val="0"/>
      <w:divBdr>
        <w:top w:val="none" w:sz="0" w:space="0" w:color="auto"/>
        <w:left w:val="none" w:sz="0" w:space="0" w:color="auto"/>
        <w:bottom w:val="none" w:sz="0" w:space="0" w:color="auto"/>
        <w:right w:val="none" w:sz="0" w:space="0" w:color="auto"/>
      </w:divBdr>
    </w:div>
    <w:div w:id="1389307695">
      <w:bodyDiv w:val="1"/>
      <w:marLeft w:val="0"/>
      <w:marRight w:val="0"/>
      <w:marTop w:val="0"/>
      <w:marBottom w:val="0"/>
      <w:divBdr>
        <w:top w:val="none" w:sz="0" w:space="0" w:color="auto"/>
        <w:left w:val="none" w:sz="0" w:space="0" w:color="auto"/>
        <w:bottom w:val="none" w:sz="0" w:space="0" w:color="auto"/>
        <w:right w:val="none" w:sz="0" w:space="0" w:color="auto"/>
      </w:divBdr>
    </w:div>
    <w:div w:id="1469857293">
      <w:bodyDiv w:val="1"/>
      <w:marLeft w:val="0"/>
      <w:marRight w:val="0"/>
      <w:marTop w:val="0"/>
      <w:marBottom w:val="0"/>
      <w:divBdr>
        <w:top w:val="none" w:sz="0" w:space="0" w:color="auto"/>
        <w:left w:val="none" w:sz="0" w:space="0" w:color="auto"/>
        <w:bottom w:val="none" w:sz="0" w:space="0" w:color="auto"/>
        <w:right w:val="none" w:sz="0" w:space="0" w:color="auto"/>
      </w:divBdr>
    </w:div>
    <w:div w:id="150924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frosini@rvc.ac.uk" TargetMode="External"/><Relationship Id="rId13" Type="http://schemas.openxmlformats.org/officeDocument/2006/relationships/hyperlink" Target="mailto:koshea@vet.upenn.edu" TargetMode="External"/><Relationship Id="rId18" Type="http://schemas.openxmlformats.org/officeDocument/2006/relationships/hyperlink" Target="http://www.eucast.org/fileadmin/src/media/PDFs/EUCAST_files/Breakpoint_tables/v_7.1_Breakpoint_Tables.pdf" TargetMode="External"/><Relationship Id="rId3" Type="http://schemas.openxmlformats.org/officeDocument/2006/relationships/styles" Target="styles.xml"/><Relationship Id="rId21" Type="http://schemas.openxmlformats.org/officeDocument/2006/relationships/hyperlink" Target="https://www.ncbi.nlm.nih.gov/pubmed/23890240" TargetMode="External"/><Relationship Id="rId7" Type="http://schemas.openxmlformats.org/officeDocument/2006/relationships/endnotes" Target="endnotes.xml"/><Relationship Id="rId12" Type="http://schemas.openxmlformats.org/officeDocument/2006/relationships/hyperlink" Target="mailto:srankin@vet.upenn.edu" TargetMode="External"/><Relationship Id="rId17" Type="http://schemas.openxmlformats.org/officeDocument/2006/relationships/hyperlink" Target="https://bnf.nice.org.uk/treatment-summary/mrsa.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jlindsay@sgul.ac.uk" TargetMode="External"/><Relationship Id="rId20" Type="http://schemas.openxmlformats.org/officeDocument/2006/relationships/hyperlink" Target="http://www.eucast.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homas.gronthal@helsinki.f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V.Schmidt@liverpool.ac.uk" TargetMode="External"/><Relationship Id="rId23" Type="http://schemas.openxmlformats.org/officeDocument/2006/relationships/footer" Target="footer2.xml"/><Relationship Id="rId10" Type="http://schemas.openxmlformats.org/officeDocument/2006/relationships/hyperlink" Target="mailto:merja.rantala@helsinki.fi" TargetMode="External"/><Relationship Id="rId19" Type="http://schemas.openxmlformats.org/officeDocument/2006/relationships/hyperlink" Target="http://www.eucast.org" TargetMode="External"/><Relationship Id="rId4" Type="http://schemas.openxmlformats.org/officeDocument/2006/relationships/settings" Target="settings.xml"/><Relationship Id="rId9" Type="http://schemas.openxmlformats.org/officeDocument/2006/relationships/hyperlink" Target="mailto:rbond@rvc.ac.uk" TargetMode="External"/><Relationship Id="rId14" Type="http://schemas.openxmlformats.org/officeDocument/2006/relationships/hyperlink" Target="mailto:D.Timofte@liverpool.ac.u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7A884-EF78-4242-B36D-E5112F5F7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7765</Words>
  <Characters>44262</Characters>
  <Application>Microsoft Office Word</Application>
  <DocSecurity>4</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ROYAL VETERINARY COLLEGE</Company>
  <LinksUpToDate>false</LinksUpToDate>
  <CharactersWithSpaces>51924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Frosini, Siân Marie</dc:creator>
  <cp:keywords/>
  <dc:description/>
  <cp:lastModifiedBy>Jodi Lindsay</cp:lastModifiedBy>
  <cp:revision>2</cp:revision>
  <cp:lastPrinted>2018-12-20T09:50:00Z</cp:lastPrinted>
  <dcterms:created xsi:type="dcterms:W3CDTF">2019-03-05T17:19:00Z</dcterms:created>
  <dcterms:modified xsi:type="dcterms:W3CDTF">2019-03-05T17:19:00Z</dcterms:modified>
</cp:coreProperties>
</file>