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189AF" w14:textId="77777777" w:rsidR="0068657F" w:rsidRDefault="0068657F"/>
    <w:p w14:paraId="78BBB8CA" w14:textId="77777777" w:rsidR="0068657F" w:rsidRDefault="0068657F" w:rsidP="0068657F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8657F">
        <w:t xml:space="preserve">An Audit of Brivaracetam in Patients With Drug-Resistant Epilepsy and Psychiatric Comorbidities. </w:t>
      </w:r>
    </w:p>
    <w:p w14:paraId="54AD22C1" w14:textId="77777777" w:rsidR="0068657F" w:rsidRDefault="0068657F" w:rsidP="0068657F">
      <w:pPr>
        <w:pStyle w:val="EndNoteBibliography"/>
      </w:pPr>
      <w:r w:rsidRPr="0068657F">
        <w:t xml:space="preserve">Theochari E, Cock H, </w:t>
      </w:r>
      <w:r>
        <w:t>Lozsadi D, Galtrey C, Arevalo J, Mula M</w:t>
      </w:r>
    </w:p>
    <w:p w14:paraId="111B2C3E" w14:textId="77777777" w:rsidR="0068657F" w:rsidRDefault="0068657F" w:rsidP="0068657F">
      <w:pPr>
        <w:pStyle w:val="EndNoteBibliography"/>
      </w:pPr>
    </w:p>
    <w:p w14:paraId="5A7D101A" w14:textId="77777777" w:rsidR="0068657F" w:rsidRPr="0068657F" w:rsidRDefault="0068657F" w:rsidP="0068657F">
      <w:pPr>
        <w:pStyle w:val="EndNoteBibliography"/>
      </w:pPr>
      <w:r w:rsidRPr="0068657F">
        <w:t>Purpose: This is an audit of efficacy and tolerability of Brivaracetam (BRV) in patients with drug‐resistant epilepsy and psychiatric comorbidities. Methods: Hospital notes of all patients with drug‐resistant epilepsy and psychiatric comorbidities started on BRV at  the Epilepsy Outpatient Clinics, St George's University Hospital and Frimley Health were retrospectively reviewed. Results: A total of 24 patients (19 females), mean age (SD) 39.9 (13.9), were identified. Among them, 19 had focal epilepsy, 4 had heneralised epilepsy  and 1 had unclassified epilepsy. Median number of concomitant AEDs when BRV was started was 3, median number of previously failed AEDs 4.5. Median number of comorbidities 2 (including medical, neurological and psychiatric), 70.8% had mood disorders  (depression or bipolar disorder), 16.6% intellectual disabilities with challenging behaviour and 8.3% psychoses. A total of 91.6% had received Levetiracetam (LEV) before and LEV was discontinued because of side effects in 50% of cases (in all cases depression or aggressive behaviour). In 29.1% of cases BRV was switched directly from LEV. Median BRV dose was 125 mg. A total of 33.3% of patients reported side effects. Depression was reported by 8.3%, aggressive behaviour by 12.5%, 8.3% developed acute suicidal  ideation. In the subgroup of patients who had previously discontinued LEV because of psychiatric adverse events, 8.3% developed depression and 25% developed aggressive behaviour. A total of 37.5% discontinued BRV, 44.4% because of lack of efficacy, 44.4% because of side effects, 11.1% because of lack of efficacy and side effects. In 37.5% seizure frequency remained unchanged, 37.5% had at least 50% seizure reduction but none of them became seizure free. Conclusion: BRV seems to be better tolerated than LEV in complex patients with psychiatric comorbidities, although there does not seem to be an additional benefit in terms of seizure control.</w:t>
      </w:r>
    </w:p>
    <w:p w14:paraId="0ADF9D86" w14:textId="77777777" w:rsidR="0068657F" w:rsidRPr="0068657F" w:rsidRDefault="0068657F" w:rsidP="0068657F">
      <w:pPr>
        <w:pStyle w:val="EndNoteBibliography"/>
      </w:pPr>
    </w:p>
    <w:p w14:paraId="3FAADC9F" w14:textId="77777777" w:rsidR="000F280E" w:rsidRDefault="0068657F">
      <w:r>
        <w:fldChar w:fldCharType="end"/>
      </w:r>
      <w:bookmarkStart w:id="0" w:name="_GoBack"/>
      <w:bookmarkEnd w:id="0"/>
    </w:p>
    <w:sectPr w:rsidR="000F2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dicolegal Repor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dt9s0peev99f2e9rwa5apr20vwappawdepf&quot;&gt;Hannah Library&lt;record-ids&gt;&lt;item&gt;9778&lt;/item&gt;&lt;/record-ids&gt;&lt;/item&gt;&lt;/Libraries&gt;"/>
  </w:docVars>
  <w:rsids>
    <w:rsidRoot w:val="0068657F"/>
    <w:rsid w:val="000F280E"/>
    <w:rsid w:val="006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DF31"/>
  <w15:chartTrackingRefBased/>
  <w15:docId w15:val="{70069C80-75AD-4437-A9A6-292AAA9E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8657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657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8657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8657F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Co_ck</dc:creator>
  <cp:keywords/>
  <dc:description/>
  <cp:lastModifiedBy>Hannah Co_ck</cp:lastModifiedBy>
  <cp:revision>1</cp:revision>
  <dcterms:created xsi:type="dcterms:W3CDTF">2018-12-17T10:32:00Z</dcterms:created>
  <dcterms:modified xsi:type="dcterms:W3CDTF">2018-12-17T10:36:00Z</dcterms:modified>
</cp:coreProperties>
</file>