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F7" w:rsidRDefault="00B42AF7" w:rsidP="00B42AF7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Table 5.  Summary of Genes with an Over-Representation of Ultra-Rare Variants with a MAF &lt; 0.00005 and a CADD Score &gt; 20</w:t>
      </w:r>
    </w:p>
    <w:p w:rsidR="00B42AF7" w:rsidRDefault="00B42AF7" w:rsidP="00B42AF7">
      <w:pPr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576"/>
        <w:gridCol w:w="2483"/>
        <w:gridCol w:w="4097"/>
        <w:gridCol w:w="1051"/>
        <w:gridCol w:w="828"/>
        <w:gridCol w:w="1070"/>
        <w:gridCol w:w="1110"/>
      </w:tblGrid>
      <w:tr w:rsidR="00B42AF7" w:rsidRPr="007D44F7" w:rsidTr="00307085">
        <w:trPr>
          <w:trHeight w:val="1275"/>
        </w:trPr>
        <w:tc>
          <w:tcPr>
            <w:tcW w:w="318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Gene ID</w:t>
            </w:r>
          </w:p>
        </w:tc>
        <w:tc>
          <w:tcPr>
            <w:tcW w:w="751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Gene/Protein Name</w:t>
            </w:r>
          </w:p>
        </w:tc>
        <w:tc>
          <w:tcPr>
            <w:tcW w:w="748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OMIM Disease Associations</w:t>
            </w:r>
          </w:p>
        </w:tc>
        <w:tc>
          <w:tcPr>
            <w:tcW w:w="2068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44F7">
              <w:rPr>
                <w:b/>
                <w:bCs/>
                <w:color w:val="000000"/>
              </w:rPr>
              <w:t>PathCards</w:t>
            </w:r>
            <w:proofErr w:type="spellEnd"/>
            <w:r w:rsidRPr="007D44F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44F7">
              <w:rPr>
                <w:b/>
                <w:bCs/>
                <w:color w:val="000000"/>
              </w:rPr>
              <w:t>SuperPathways</w:t>
            </w:r>
            <w:proofErr w:type="spellEnd"/>
          </w:p>
        </w:tc>
        <w:tc>
          <w:tcPr>
            <w:tcW w:w="298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44F7">
              <w:rPr>
                <w:b/>
                <w:bCs/>
                <w:color w:val="000000"/>
              </w:rPr>
              <w:t>pValue</w:t>
            </w:r>
            <w:proofErr w:type="spellEnd"/>
          </w:p>
        </w:tc>
        <w:tc>
          <w:tcPr>
            <w:tcW w:w="272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Odds Ratio (OR)</w:t>
            </w:r>
          </w:p>
        </w:tc>
        <w:tc>
          <w:tcPr>
            <w:tcW w:w="272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Number of Variant Positive Cases (n=278)</w:t>
            </w:r>
          </w:p>
        </w:tc>
        <w:tc>
          <w:tcPr>
            <w:tcW w:w="273" w:type="pct"/>
            <w:shd w:val="clear" w:color="auto" w:fill="BFBFBF"/>
            <w:hideMark/>
          </w:tcPr>
          <w:p w:rsidR="00B42AF7" w:rsidRPr="007D44F7" w:rsidRDefault="00B42AF7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Number of Variant Positive Controls (n=973)</w:t>
            </w:r>
          </w:p>
        </w:tc>
      </w:tr>
      <w:tr w:rsidR="00B42AF7" w:rsidRPr="007D44F7" w:rsidTr="00307085">
        <w:trPr>
          <w:trHeight w:val="1530"/>
        </w:trPr>
        <w:tc>
          <w:tcPr>
            <w:tcW w:w="318" w:type="pct"/>
            <w:shd w:val="clear" w:color="auto" w:fill="auto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PTPRM</w:t>
            </w:r>
          </w:p>
        </w:tc>
        <w:tc>
          <w:tcPr>
            <w:tcW w:w="751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Protein Tyrosine Phosphatase, Receptor Type M</w:t>
            </w:r>
          </w:p>
        </w:tc>
        <w:tc>
          <w:tcPr>
            <w:tcW w:w="74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6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 xml:space="preserve">1) 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Nectin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t xml:space="preserve"> adhesion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Cell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adhesion_Cadherin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t>-mediated cell adhesion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Adherens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t xml:space="preserve"> junction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4)  Adhesion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5)  Cell adhesion molecules (CAMs) </w:t>
            </w:r>
            <w:r w:rsidRPr="007D44F7">
              <w:rPr>
                <w:color w:val="000000"/>
                <w:sz w:val="20"/>
                <w:szCs w:val="20"/>
              </w:rPr>
              <w:br/>
              <w:t>6)  PAK Pathway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0.000657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21.389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 (0.1%)</w:t>
            </w:r>
          </w:p>
        </w:tc>
      </w:tr>
      <w:tr w:rsidR="00B42AF7" w:rsidRPr="007D44F7" w:rsidTr="00307085">
        <w:trPr>
          <w:trHeight w:val="2040"/>
        </w:trPr>
        <w:tc>
          <w:tcPr>
            <w:tcW w:w="318" w:type="pct"/>
            <w:shd w:val="clear" w:color="auto" w:fill="DBE5F1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CNKSR1</w:t>
            </w:r>
          </w:p>
        </w:tc>
        <w:tc>
          <w:tcPr>
            <w:tcW w:w="751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 xml:space="preserve">Connector Enhancer Of Kinase Suppressor Of </w:t>
            </w:r>
            <w:proofErr w:type="spellStart"/>
            <w:r w:rsidRPr="007D44F7">
              <w:rPr>
                <w:color w:val="333333"/>
                <w:sz w:val="20"/>
                <w:szCs w:val="20"/>
              </w:rPr>
              <w:t>Ras</w:t>
            </w:r>
            <w:proofErr w:type="spellEnd"/>
            <w:r w:rsidRPr="007D44F7">
              <w:rPr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6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 xml:space="preserve">1)  MAP2K and MAPK activation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Ceramide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Toll-Like receptor Signaling Pathways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4)  ERK Signaling </w:t>
            </w:r>
            <w:r w:rsidRPr="007D44F7">
              <w:rPr>
                <w:color w:val="000000"/>
                <w:sz w:val="20"/>
                <w:szCs w:val="20"/>
              </w:rPr>
              <w:br/>
              <w:t>5)  Developmental Biology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6)  Interleukin-3, 5 and GM-CSF signaling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7)  Immune System </w:t>
            </w:r>
            <w:r w:rsidRPr="007D44F7">
              <w:rPr>
                <w:color w:val="000000"/>
                <w:sz w:val="20"/>
                <w:szCs w:val="20"/>
              </w:rPr>
              <w:br/>
              <w:t>8)  Signaling by GPCR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 (0.21%)</w:t>
            </w:r>
          </w:p>
        </w:tc>
      </w:tr>
      <w:tr w:rsidR="00B42AF7" w:rsidRPr="007D44F7" w:rsidTr="00307085">
        <w:trPr>
          <w:trHeight w:val="1275"/>
        </w:trPr>
        <w:tc>
          <w:tcPr>
            <w:tcW w:w="318" w:type="pct"/>
            <w:shd w:val="clear" w:color="auto" w:fill="auto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KDM6B</w:t>
            </w:r>
          </w:p>
        </w:tc>
        <w:tc>
          <w:tcPr>
            <w:tcW w:w="751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Lysine Demethylase 6B</w:t>
            </w:r>
          </w:p>
        </w:tc>
        <w:tc>
          <w:tcPr>
            <w:tcW w:w="74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6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Chromatin Regulation / Acetylation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Chromatin organization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Cellular Senescence </w:t>
            </w:r>
            <w:r w:rsidRPr="007D44F7">
              <w:rPr>
                <w:color w:val="000000"/>
                <w:sz w:val="20"/>
                <w:szCs w:val="20"/>
              </w:rPr>
              <w:br/>
              <w:t>4)  Activated PKN1 stimulates transcription of AR (androgen receptor) regulated genes KLK2 and KLK3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 (0.21%)</w:t>
            </w:r>
          </w:p>
        </w:tc>
      </w:tr>
      <w:tr w:rsidR="00B42AF7" w:rsidRPr="007D44F7" w:rsidTr="00307085">
        <w:trPr>
          <w:trHeight w:val="1785"/>
        </w:trPr>
        <w:tc>
          <w:tcPr>
            <w:tcW w:w="318" w:type="pct"/>
            <w:shd w:val="clear" w:color="auto" w:fill="DBE5F1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NR3C2</w:t>
            </w:r>
          </w:p>
        </w:tc>
        <w:tc>
          <w:tcPr>
            <w:tcW w:w="751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Nuclear Receptor Subfamily 3 Group C Member 2</w:t>
            </w:r>
          </w:p>
        </w:tc>
        <w:tc>
          <w:tcPr>
            <w:tcW w:w="74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1)</w:t>
            </w:r>
            <w:proofErr w:type="spellStart"/>
            <w:r w:rsidRPr="007D44F7">
              <w:rPr>
                <w:color w:val="333333"/>
                <w:sz w:val="20"/>
                <w:szCs w:val="20"/>
              </w:rPr>
              <w:t>Pseudohypoaldosteronism</w:t>
            </w:r>
            <w:proofErr w:type="spellEnd"/>
            <w:r w:rsidRPr="007D44F7">
              <w:rPr>
                <w:color w:val="333333"/>
                <w:sz w:val="20"/>
                <w:szCs w:val="20"/>
              </w:rPr>
              <w:t xml:space="preserve"> Type I, Autosomal Dominant        </w:t>
            </w:r>
            <w:r w:rsidRPr="007D44F7">
              <w:rPr>
                <w:color w:val="333333"/>
                <w:sz w:val="20"/>
                <w:szCs w:val="20"/>
              </w:rPr>
              <w:br/>
              <w:t>2) Hypertension, Early-Onset, Autosomal Dominant, with Severe Exacerbation in Pregnancy</w:t>
            </w:r>
          </w:p>
        </w:tc>
        <w:tc>
          <w:tcPr>
            <w:tcW w:w="206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Aldosterone-regulated sodium reabsorption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Agents Acting on the Renin-Angiotensin System Pathway, Pharmacodynamics </w:t>
            </w:r>
            <w:r w:rsidRPr="007D44F7">
              <w:rPr>
                <w:color w:val="000000"/>
                <w:sz w:val="20"/>
                <w:szCs w:val="20"/>
              </w:rPr>
              <w:br/>
              <w:t>3)  Nuclear Receptor transcription pathway</w:t>
            </w:r>
            <w:r w:rsidRPr="007D44F7">
              <w:rPr>
                <w:color w:val="000000"/>
                <w:sz w:val="20"/>
                <w:szCs w:val="20"/>
              </w:rPr>
              <w:br/>
              <w:t>4)  Gene Expression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 (0.21%)</w:t>
            </w:r>
          </w:p>
        </w:tc>
      </w:tr>
      <w:tr w:rsidR="00B42AF7" w:rsidRPr="007D44F7" w:rsidTr="00307085">
        <w:trPr>
          <w:trHeight w:val="1020"/>
        </w:trPr>
        <w:tc>
          <w:tcPr>
            <w:tcW w:w="318" w:type="pct"/>
            <w:shd w:val="clear" w:color="auto" w:fill="auto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lastRenderedPageBreak/>
              <w:t>ABCA2</w:t>
            </w:r>
          </w:p>
        </w:tc>
        <w:tc>
          <w:tcPr>
            <w:tcW w:w="751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ATP Binding Cassette Subfamily A Member 2</w:t>
            </w:r>
          </w:p>
        </w:tc>
        <w:tc>
          <w:tcPr>
            <w:tcW w:w="74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1) Alzheimer Disease</w:t>
            </w:r>
          </w:p>
        </w:tc>
        <w:tc>
          <w:tcPr>
            <w:tcW w:w="206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ABC-family proteins mediated transport</w:t>
            </w:r>
            <w:r w:rsidRPr="007D44F7">
              <w:rPr>
                <w:color w:val="000000"/>
                <w:sz w:val="20"/>
                <w:szCs w:val="20"/>
              </w:rPr>
              <w:br/>
              <w:t>2)  Lysosome</w:t>
            </w:r>
            <w:r w:rsidRPr="007D44F7">
              <w:rPr>
                <w:color w:val="000000"/>
                <w:sz w:val="20"/>
                <w:szCs w:val="20"/>
              </w:rPr>
              <w:br/>
              <w:t>3)  Transport of glucose and other sugars, bile salts and organic acids, metal ions and amine compounds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 (0.21%)</w:t>
            </w:r>
          </w:p>
        </w:tc>
      </w:tr>
      <w:tr w:rsidR="00B42AF7" w:rsidRPr="007D44F7" w:rsidTr="00307085">
        <w:trPr>
          <w:trHeight w:val="255"/>
        </w:trPr>
        <w:tc>
          <w:tcPr>
            <w:tcW w:w="318" w:type="pct"/>
            <w:shd w:val="clear" w:color="auto" w:fill="DBE5F1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LHX9</w:t>
            </w:r>
          </w:p>
        </w:tc>
        <w:tc>
          <w:tcPr>
            <w:tcW w:w="751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 xml:space="preserve">LIM </w:t>
            </w:r>
            <w:proofErr w:type="spellStart"/>
            <w:r w:rsidRPr="007D44F7">
              <w:rPr>
                <w:color w:val="333333"/>
                <w:sz w:val="20"/>
                <w:szCs w:val="20"/>
              </w:rPr>
              <w:t>Homeobox</w:t>
            </w:r>
            <w:proofErr w:type="spellEnd"/>
            <w:r w:rsidRPr="007D44F7">
              <w:rPr>
                <w:color w:val="333333"/>
                <w:sz w:val="20"/>
                <w:szCs w:val="20"/>
              </w:rPr>
              <w:t xml:space="preserve"> 9</w:t>
            </w:r>
          </w:p>
        </w:tc>
        <w:tc>
          <w:tcPr>
            <w:tcW w:w="74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6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42AF7" w:rsidRPr="007D44F7" w:rsidTr="00307085">
        <w:trPr>
          <w:trHeight w:val="2295"/>
        </w:trPr>
        <w:tc>
          <w:tcPr>
            <w:tcW w:w="318" w:type="pct"/>
            <w:shd w:val="clear" w:color="auto" w:fill="auto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ABR</w:t>
            </w:r>
          </w:p>
        </w:tc>
        <w:tc>
          <w:tcPr>
            <w:tcW w:w="751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Active BCR-Related</w:t>
            </w:r>
          </w:p>
        </w:tc>
        <w:tc>
          <w:tcPr>
            <w:tcW w:w="74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6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 xml:space="preserve">1)  G-protein signaling_Rac2 regulation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Regulation of RAC1 activity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G-protein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signaling_Regulation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t xml:space="preserve"> of CDC42 activity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4)  G-protein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signaling_Regulation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t xml:space="preserve"> of RAC1 activity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5)  Regulation of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RhoA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t xml:space="preserve"> activity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6)  p75 NTR receptor-mediated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signalling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br/>
              <w:t xml:space="preserve">7)  Signaling by Rho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GTPases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br/>
              <w:t xml:space="preserve">8)  Interleukin-3, 5 and GM-CSF signaling </w:t>
            </w:r>
            <w:r w:rsidRPr="007D44F7">
              <w:rPr>
                <w:color w:val="000000"/>
                <w:sz w:val="20"/>
                <w:szCs w:val="20"/>
              </w:rPr>
              <w:br/>
              <w:t>9)  Signaling by GPCR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42AF7" w:rsidRPr="007D44F7" w:rsidTr="00307085">
        <w:trPr>
          <w:trHeight w:val="510"/>
        </w:trPr>
        <w:tc>
          <w:tcPr>
            <w:tcW w:w="318" w:type="pct"/>
            <w:shd w:val="clear" w:color="auto" w:fill="DBE5F1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ERGIC1</w:t>
            </w:r>
          </w:p>
        </w:tc>
        <w:tc>
          <w:tcPr>
            <w:tcW w:w="751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Endoplasmic Reticulum-Golgi Intermediate Compartment 1 </w:t>
            </w:r>
          </w:p>
        </w:tc>
        <w:tc>
          <w:tcPr>
            <w:tcW w:w="74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68" w:type="pct"/>
            <w:shd w:val="clear" w:color="auto" w:fill="DBE5F1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42AF7" w:rsidRPr="007D44F7" w:rsidTr="00307085">
        <w:trPr>
          <w:trHeight w:val="765"/>
        </w:trPr>
        <w:tc>
          <w:tcPr>
            <w:tcW w:w="318" w:type="pct"/>
            <w:shd w:val="clear" w:color="auto" w:fill="auto"/>
            <w:noWrap/>
            <w:hideMark/>
          </w:tcPr>
          <w:p w:rsidR="00B42AF7" w:rsidRPr="00FE7CDD" w:rsidRDefault="00B42AF7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DMGDH</w:t>
            </w:r>
          </w:p>
        </w:tc>
        <w:tc>
          <w:tcPr>
            <w:tcW w:w="751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Dimethylglycine Dehydrogenase </w:t>
            </w:r>
          </w:p>
        </w:tc>
        <w:tc>
          <w:tcPr>
            <w:tcW w:w="74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1) Dimethylglycine Dehydrogenase Deficiency Inborn Error of Metabolism</w:t>
            </w:r>
          </w:p>
        </w:tc>
        <w:tc>
          <w:tcPr>
            <w:tcW w:w="2068" w:type="pct"/>
            <w:shd w:val="clear" w:color="auto" w:fill="auto"/>
            <w:hideMark/>
          </w:tcPr>
          <w:p w:rsidR="00B42AF7" w:rsidRPr="007D44F7" w:rsidRDefault="00B42AF7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Glycine, serine and threonine metabolism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</w:t>
            </w:r>
            <w:proofErr w:type="spellStart"/>
            <w:r w:rsidRPr="007D44F7">
              <w:rPr>
                <w:color w:val="000000"/>
                <w:sz w:val="20"/>
                <w:szCs w:val="20"/>
              </w:rPr>
              <w:t>Glycerophospholipid</w:t>
            </w:r>
            <w:proofErr w:type="spellEnd"/>
            <w:r w:rsidRPr="007D44F7">
              <w:rPr>
                <w:color w:val="000000"/>
                <w:sz w:val="20"/>
                <w:szCs w:val="20"/>
              </w:rPr>
              <w:t xml:space="preserve"> biosynthesis</w:t>
            </w:r>
            <w:r w:rsidRPr="007D44F7">
              <w:rPr>
                <w:color w:val="000000"/>
                <w:sz w:val="20"/>
                <w:szCs w:val="20"/>
              </w:rPr>
              <w:br/>
              <w:t>3)  Metabolism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0.002584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42AF7" w:rsidRPr="007D44F7" w:rsidRDefault="00B42AF7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 (0.1%)</w:t>
            </w:r>
          </w:p>
        </w:tc>
      </w:tr>
    </w:tbl>
    <w:p w:rsidR="00754BD8" w:rsidRDefault="00754BD8"/>
    <w:sectPr w:rsidR="00754BD8" w:rsidSect="00B42A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F7"/>
    <w:rsid w:val="00013E48"/>
    <w:rsid w:val="00754BD8"/>
    <w:rsid w:val="00B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7A9ED-105D-48A1-86C5-DC9E8E0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Tester</dc:creator>
  <cp:lastModifiedBy>Jennifer Smith</cp:lastModifiedBy>
  <cp:revision>2</cp:revision>
  <dcterms:created xsi:type="dcterms:W3CDTF">2018-11-07T09:22:00Z</dcterms:created>
  <dcterms:modified xsi:type="dcterms:W3CDTF">2018-11-07T09:22:00Z</dcterms:modified>
</cp:coreProperties>
</file>