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A343F9" w14:textId="46C354EF" w:rsidR="00A35965" w:rsidRDefault="00A35965">
      <w:pPr>
        <w:pStyle w:val="BodyA"/>
        <w:spacing w:line="480" w:lineRule="auto"/>
        <w:rPr>
          <w:sz w:val="28"/>
          <w:szCs w:val="28"/>
        </w:rPr>
      </w:pPr>
      <w:bookmarkStart w:id="0" w:name="_GoBack"/>
      <w:bookmarkEnd w:id="0"/>
      <w:r>
        <w:rPr>
          <w:sz w:val="28"/>
          <w:szCs w:val="28"/>
        </w:rPr>
        <w:t>A</w:t>
      </w:r>
      <w:r w:rsidRPr="007E045E">
        <w:rPr>
          <w:sz w:val="28"/>
          <w:szCs w:val="28"/>
        </w:rPr>
        <w:t xml:space="preserve"> Case</w:t>
      </w:r>
      <w:r w:rsidR="006C6A24">
        <w:rPr>
          <w:sz w:val="28"/>
          <w:szCs w:val="28"/>
        </w:rPr>
        <w:t>-</w:t>
      </w:r>
      <w:r w:rsidRPr="007E045E">
        <w:rPr>
          <w:sz w:val="28"/>
          <w:szCs w:val="28"/>
        </w:rPr>
        <w:t>Control Study</w:t>
      </w:r>
      <w:r>
        <w:rPr>
          <w:sz w:val="28"/>
          <w:szCs w:val="28"/>
        </w:rPr>
        <w:t xml:space="preserve"> of t</w:t>
      </w:r>
      <w:r w:rsidR="007E045E" w:rsidRPr="007E045E">
        <w:rPr>
          <w:sz w:val="28"/>
          <w:szCs w:val="28"/>
        </w:rPr>
        <w:t>he Lymphatic Phe</w:t>
      </w:r>
      <w:r>
        <w:rPr>
          <w:sz w:val="28"/>
          <w:szCs w:val="28"/>
        </w:rPr>
        <w:t>notype of Yellow Nail Syndrome</w:t>
      </w:r>
    </w:p>
    <w:p w14:paraId="6F42A834" w14:textId="49DE0695" w:rsidR="009A2E54" w:rsidRDefault="009A2E54">
      <w:pPr>
        <w:pStyle w:val="BodyA"/>
        <w:spacing w:line="480" w:lineRule="auto"/>
      </w:pPr>
      <w:r>
        <w:t>Running title: A Case</w:t>
      </w:r>
      <w:r w:rsidR="004725E3">
        <w:t>-</w:t>
      </w:r>
      <w:r>
        <w:t>Control Study of Yellow Nail Syndrome</w:t>
      </w:r>
    </w:p>
    <w:p w14:paraId="2459199B" w14:textId="77777777" w:rsidR="00980710" w:rsidRDefault="00980710">
      <w:pPr>
        <w:pStyle w:val="BodyA"/>
        <w:spacing w:line="480" w:lineRule="auto"/>
      </w:pPr>
    </w:p>
    <w:p w14:paraId="26035FFE" w14:textId="6918A723" w:rsidR="00647AF9" w:rsidRDefault="006313F4" w:rsidP="00980710">
      <w:pPr>
        <w:pStyle w:val="BodyA"/>
        <w:spacing w:after="0" w:line="480" w:lineRule="auto"/>
        <w:rPr>
          <w:vertAlign w:val="superscript"/>
        </w:rPr>
      </w:pPr>
      <w:r>
        <w:t>E</w:t>
      </w:r>
      <w:r w:rsidR="00980710">
        <w:t>mma</w:t>
      </w:r>
      <w:r>
        <w:t xml:space="preserve"> Cousins</w:t>
      </w:r>
      <w:r w:rsidR="00980710">
        <w:t>,</w:t>
      </w:r>
      <w:r w:rsidR="009A2E54">
        <w:t xml:space="preserve"> MSc</w:t>
      </w:r>
      <w:r>
        <w:t>,</w:t>
      </w:r>
      <w:r>
        <w:rPr>
          <w:vertAlign w:val="superscript"/>
        </w:rPr>
        <w:t>1</w:t>
      </w:r>
      <w:r>
        <w:rPr>
          <w:lang w:val="it-IT"/>
        </w:rPr>
        <w:t xml:space="preserve"> V</w:t>
      </w:r>
      <w:r w:rsidR="00980710">
        <w:rPr>
          <w:lang w:val="it-IT"/>
        </w:rPr>
        <w:t>iviana</w:t>
      </w:r>
      <w:r>
        <w:rPr>
          <w:lang w:val="it-IT"/>
        </w:rPr>
        <w:t xml:space="preserve"> Cintolesi</w:t>
      </w:r>
      <w:r w:rsidR="00980710">
        <w:rPr>
          <w:lang w:val="it-IT"/>
        </w:rPr>
        <w:t>,</w:t>
      </w:r>
      <w:r w:rsidR="009A2E54">
        <w:rPr>
          <w:lang w:val="it-IT"/>
        </w:rPr>
        <w:t xml:space="preserve"> PhD</w:t>
      </w:r>
      <w:r>
        <w:rPr>
          <w:lang w:val="it-IT"/>
        </w:rPr>
        <w:t>,</w:t>
      </w:r>
      <w:r w:rsidR="00F102E6">
        <w:rPr>
          <w:lang w:val="it-IT"/>
        </w:rPr>
        <w:t xml:space="preserve"> MD,</w:t>
      </w:r>
      <w:r>
        <w:rPr>
          <w:vertAlign w:val="superscript"/>
        </w:rPr>
        <w:t>1</w:t>
      </w:r>
      <w:r>
        <w:rPr>
          <w:lang w:val="it-IT"/>
        </w:rPr>
        <w:t xml:space="preserve"> </w:t>
      </w:r>
      <w:r>
        <w:t>L</w:t>
      </w:r>
      <w:r w:rsidR="00980710">
        <w:t>aurence</w:t>
      </w:r>
      <w:r>
        <w:t xml:space="preserve"> Vass</w:t>
      </w:r>
      <w:r w:rsidR="00980710">
        <w:t>,</w:t>
      </w:r>
      <w:r w:rsidR="009A2E54">
        <w:t xml:space="preserve"> BSc</w:t>
      </w:r>
      <w:r>
        <w:t>,</w:t>
      </w:r>
      <w:r>
        <w:rPr>
          <w:vertAlign w:val="superscript"/>
        </w:rPr>
        <w:t>2</w:t>
      </w:r>
      <w:r>
        <w:rPr>
          <w:lang w:val="nl-NL"/>
        </w:rPr>
        <w:t xml:space="preserve"> </w:t>
      </w:r>
      <w:r w:rsidR="00837BC9">
        <w:rPr>
          <w:lang w:val="it-IT"/>
        </w:rPr>
        <w:t>A</w:t>
      </w:r>
      <w:r w:rsidR="00980710">
        <w:rPr>
          <w:lang w:val="it-IT"/>
        </w:rPr>
        <w:t xml:space="preserve">nthony </w:t>
      </w:r>
      <w:r w:rsidR="00837BC9">
        <w:rPr>
          <w:lang w:val="it-IT"/>
        </w:rPr>
        <w:t>W.B. Stanton</w:t>
      </w:r>
      <w:r w:rsidR="00980710">
        <w:rPr>
          <w:lang w:val="it-IT"/>
        </w:rPr>
        <w:t>,</w:t>
      </w:r>
      <w:r w:rsidR="009A2E54">
        <w:rPr>
          <w:lang w:val="it-IT"/>
        </w:rPr>
        <w:t xml:space="preserve"> PhD</w:t>
      </w:r>
      <w:r w:rsidR="00980710">
        <w:rPr>
          <w:lang w:val="it-IT"/>
        </w:rPr>
        <w:t>,</w:t>
      </w:r>
      <w:r w:rsidR="00980710" w:rsidRPr="00980710">
        <w:rPr>
          <w:lang w:val="it-IT"/>
        </w:rPr>
        <w:t xml:space="preserve"> </w:t>
      </w:r>
      <w:r w:rsidR="00980710">
        <w:rPr>
          <w:lang w:val="it-IT"/>
        </w:rPr>
        <w:t>MB BCh</w:t>
      </w:r>
      <w:r w:rsidR="00837BC9">
        <w:rPr>
          <w:lang w:val="it-IT"/>
        </w:rPr>
        <w:t>,</w:t>
      </w:r>
      <w:r w:rsidR="00837BC9">
        <w:rPr>
          <w:vertAlign w:val="superscript"/>
        </w:rPr>
        <w:t>1</w:t>
      </w:r>
      <w:r w:rsidR="00837BC9">
        <w:t xml:space="preserve"> </w:t>
      </w:r>
      <w:r>
        <w:rPr>
          <w:lang w:val="nl-NL"/>
        </w:rPr>
        <w:t>A</w:t>
      </w:r>
      <w:r w:rsidR="00980710">
        <w:rPr>
          <w:lang w:val="nl-NL"/>
        </w:rPr>
        <w:t>ndrew</w:t>
      </w:r>
      <w:r>
        <w:rPr>
          <w:lang w:val="nl-NL"/>
        </w:rPr>
        <w:t xml:space="preserve"> Irwin</w:t>
      </w:r>
      <w:r w:rsidR="00980710">
        <w:rPr>
          <w:lang w:val="nl-NL"/>
        </w:rPr>
        <w:t>,</w:t>
      </w:r>
      <w:r w:rsidR="009A2E54">
        <w:rPr>
          <w:lang w:val="nl-NL"/>
        </w:rPr>
        <w:t xml:space="preserve"> PhD</w:t>
      </w:r>
      <w:r>
        <w:rPr>
          <w:lang w:val="nl-NL"/>
        </w:rPr>
        <w:t>,</w:t>
      </w:r>
      <w:r>
        <w:rPr>
          <w:vertAlign w:val="superscript"/>
        </w:rPr>
        <w:t>2</w:t>
      </w:r>
      <w:r>
        <w:rPr>
          <w:lang w:val="nl-NL"/>
        </w:rPr>
        <w:t xml:space="preserve"> S</w:t>
      </w:r>
      <w:r w:rsidR="00980710">
        <w:rPr>
          <w:lang w:val="nl-NL"/>
        </w:rPr>
        <w:t xml:space="preserve">usan </w:t>
      </w:r>
      <w:r>
        <w:rPr>
          <w:lang w:val="nl-NL"/>
        </w:rPr>
        <w:t>D. Heenan</w:t>
      </w:r>
      <w:r w:rsidR="00600C79">
        <w:rPr>
          <w:lang w:val="nl-NL"/>
        </w:rPr>
        <w:t>, MA, FRCP, FRCR, MSc,</w:t>
      </w:r>
      <w:r>
        <w:rPr>
          <w:vertAlign w:val="superscript"/>
        </w:rPr>
        <w:t>3</w:t>
      </w:r>
      <w:r>
        <w:t xml:space="preserve"> and P</w:t>
      </w:r>
      <w:r w:rsidR="00980710">
        <w:t xml:space="preserve">eter </w:t>
      </w:r>
      <w:r>
        <w:t>S. Mortimer</w:t>
      </w:r>
      <w:r w:rsidR="00980710">
        <w:t>,</w:t>
      </w:r>
      <w:r w:rsidR="009A2E54">
        <w:t xml:space="preserve"> MD, FRCP</w:t>
      </w:r>
      <w:r>
        <w:rPr>
          <w:vertAlign w:val="superscript"/>
        </w:rPr>
        <w:t>1,4</w:t>
      </w:r>
    </w:p>
    <w:p w14:paraId="3E2BF2CC" w14:textId="77777777" w:rsidR="00980710" w:rsidRPr="00647AF9" w:rsidRDefault="00980710" w:rsidP="00980710">
      <w:pPr>
        <w:pStyle w:val="BodyA"/>
        <w:spacing w:after="0" w:line="480" w:lineRule="auto"/>
      </w:pPr>
    </w:p>
    <w:p w14:paraId="6A865522" w14:textId="1DB292BC" w:rsidR="00420594" w:rsidRDefault="006313F4">
      <w:pPr>
        <w:pStyle w:val="BodyA"/>
        <w:spacing w:after="0" w:line="480" w:lineRule="auto"/>
      </w:pPr>
      <w:r>
        <w:rPr>
          <w:vertAlign w:val="superscript"/>
        </w:rPr>
        <w:t>1</w:t>
      </w:r>
      <w:r w:rsidR="00C901D5" w:rsidRPr="00C901D5">
        <w:t>Molecular and Clinical</w:t>
      </w:r>
      <w:r w:rsidR="00EE3043">
        <w:t xml:space="preserve"> </w:t>
      </w:r>
      <w:r w:rsidR="00C901D5" w:rsidRPr="00C901D5">
        <w:t xml:space="preserve">Sciences </w:t>
      </w:r>
      <w:r w:rsidR="00F102E6">
        <w:t xml:space="preserve">Research </w:t>
      </w:r>
      <w:r w:rsidR="00C901D5" w:rsidRPr="00C901D5">
        <w:t>Institute (Dermatology Unit)</w:t>
      </w:r>
      <w:r>
        <w:t>, St George’s, University of London, Cranmer Terrace, London SW17 0RE</w:t>
      </w:r>
      <w:r w:rsidR="00682581">
        <w:t xml:space="preserve">, </w:t>
      </w:r>
      <w:r w:rsidR="00131BDB">
        <w:t>United Kingdom</w:t>
      </w:r>
      <w:r w:rsidR="007F0B2A">
        <w:t>.</w:t>
      </w:r>
    </w:p>
    <w:p w14:paraId="1B8EC449" w14:textId="027913BA" w:rsidR="00420594" w:rsidRDefault="006313F4">
      <w:pPr>
        <w:pStyle w:val="BodyA"/>
        <w:spacing w:after="0" w:line="480" w:lineRule="auto"/>
      </w:pPr>
      <w:r>
        <w:rPr>
          <w:vertAlign w:val="superscript"/>
        </w:rPr>
        <w:t>2</w:t>
      </w:r>
      <w:r w:rsidR="002645E2" w:rsidRPr="002645E2">
        <w:t>Department of Medical Physics and Clinical Engineering</w:t>
      </w:r>
      <w:r w:rsidR="00682581">
        <w:t xml:space="preserve">, St George’s University Hospitals NHS Foundation Trust, Blackshaw Road, London SW17 0QT, </w:t>
      </w:r>
      <w:r w:rsidR="00131BDB" w:rsidRPr="00131BDB">
        <w:t>United Kingdom</w:t>
      </w:r>
      <w:r w:rsidR="007F0B2A">
        <w:t>.</w:t>
      </w:r>
    </w:p>
    <w:p w14:paraId="3DBC0EA7" w14:textId="79F68655" w:rsidR="00420594" w:rsidRDefault="006313F4">
      <w:pPr>
        <w:pStyle w:val="BodyA"/>
        <w:spacing w:after="0" w:line="480" w:lineRule="auto"/>
      </w:pPr>
      <w:r>
        <w:rPr>
          <w:vertAlign w:val="superscript"/>
        </w:rPr>
        <w:t>3</w:t>
      </w:r>
      <w:r>
        <w:t>Depart</w:t>
      </w:r>
      <w:r w:rsidR="000A649C">
        <w:t>m</w:t>
      </w:r>
      <w:r>
        <w:t>ent of Radiology</w:t>
      </w:r>
      <w:r w:rsidR="00682581" w:rsidRPr="00682581">
        <w:t xml:space="preserve">, St George’s University Hospitals NHS Foundation Trust, Blackshaw Road, London SW17 0QT, </w:t>
      </w:r>
      <w:r w:rsidR="00131BDB" w:rsidRPr="00131BDB">
        <w:t>United Kingdom</w:t>
      </w:r>
      <w:r w:rsidR="007F0B2A">
        <w:t>.</w:t>
      </w:r>
    </w:p>
    <w:p w14:paraId="2ACA3BC8" w14:textId="018C5AD4" w:rsidR="00682581" w:rsidRDefault="006313F4">
      <w:pPr>
        <w:pStyle w:val="BodyA"/>
        <w:spacing w:after="0" w:line="480" w:lineRule="auto"/>
      </w:pPr>
      <w:r>
        <w:rPr>
          <w:vertAlign w:val="superscript"/>
        </w:rPr>
        <w:t>4</w:t>
      </w:r>
      <w:r>
        <w:t xml:space="preserve">Department of Dermatology, St George’s University Hospitals NHS Foundation Trust, Blackshaw Road, London SW17 0QT, </w:t>
      </w:r>
      <w:r w:rsidR="00131BDB" w:rsidRPr="00131BDB">
        <w:t>United Kingdom</w:t>
      </w:r>
      <w:r w:rsidR="007F0B2A">
        <w:t>.</w:t>
      </w:r>
    </w:p>
    <w:p w14:paraId="2B6430A3" w14:textId="77777777" w:rsidR="00857EEB" w:rsidRDefault="00857EEB">
      <w:pPr>
        <w:pStyle w:val="BodyA"/>
        <w:spacing w:after="0" w:line="480" w:lineRule="auto"/>
      </w:pPr>
    </w:p>
    <w:p w14:paraId="3DAAB3E8" w14:textId="77777777" w:rsidR="00857EEB" w:rsidRDefault="006313F4">
      <w:pPr>
        <w:pStyle w:val="BodyA"/>
        <w:spacing w:after="0" w:line="480" w:lineRule="auto"/>
      </w:pPr>
      <w:r>
        <w:t>Author for correspondence:</w:t>
      </w:r>
    </w:p>
    <w:p w14:paraId="58C4AB30" w14:textId="16F63BAD" w:rsidR="00857EEB" w:rsidRDefault="006313F4">
      <w:pPr>
        <w:pStyle w:val="BodyA"/>
        <w:spacing w:after="0" w:line="480" w:lineRule="auto"/>
        <w:rPr>
          <w:lang w:val="it-IT"/>
        </w:rPr>
      </w:pPr>
      <w:r>
        <w:rPr>
          <w:lang w:val="it-IT"/>
        </w:rPr>
        <w:t>Professor P</w:t>
      </w:r>
      <w:r w:rsidR="00E25F37">
        <w:rPr>
          <w:lang w:val="it-IT"/>
        </w:rPr>
        <w:t xml:space="preserve">eter </w:t>
      </w:r>
      <w:r>
        <w:rPr>
          <w:lang w:val="it-IT"/>
        </w:rPr>
        <w:t>S. Mortimer</w:t>
      </w:r>
    </w:p>
    <w:p w14:paraId="0C9F6C17" w14:textId="020CEEC4" w:rsidR="00885029" w:rsidRDefault="00C901D5" w:rsidP="007A4FA3">
      <w:pPr>
        <w:pStyle w:val="BodyA"/>
        <w:spacing w:after="0" w:line="480" w:lineRule="auto"/>
      </w:pPr>
      <w:r w:rsidRPr="00C901D5">
        <w:t xml:space="preserve">Molecular and Clinical Sciences </w:t>
      </w:r>
      <w:r w:rsidR="00F102E6">
        <w:t xml:space="preserve">Research </w:t>
      </w:r>
      <w:r w:rsidRPr="00C901D5">
        <w:t>Institute</w:t>
      </w:r>
      <w:r w:rsidR="000C2762">
        <w:rPr>
          <w:lang w:val="de-DE"/>
        </w:rPr>
        <w:t xml:space="preserve">, </w:t>
      </w:r>
      <w:r w:rsidR="006313F4">
        <w:rPr>
          <w:lang w:val="de-DE"/>
        </w:rPr>
        <w:t>St George</w:t>
      </w:r>
      <w:r w:rsidR="006313F4">
        <w:t>’s, University of London</w:t>
      </w:r>
      <w:r w:rsidR="000C2762">
        <w:rPr>
          <w:lang w:val="de-DE"/>
        </w:rPr>
        <w:t xml:space="preserve">, </w:t>
      </w:r>
      <w:r w:rsidR="006313F4">
        <w:rPr>
          <w:lang w:val="de-DE"/>
        </w:rPr>
        <w:t>Cranmer Terrace</w:t>
      </w:r>
      <w:r w:rsidR="000C2762">
        <w:rPr>
          <w:lang w:val="de-DE"/>
        </w:rPr>
        <w:t xml:space="preserve">, </w:t>
      </w:r>
      <w:r w:rsidR="006313F4">
        <w:rPr>
          <w:lang w:val="de-DE"/>
        </w:rPr>
        <w:t>London SW17 0RE</w:t>
      </w:r>
      <w:r w:rsidR="007438A3">
        <w:rPr>
          <w:lang w:val="de-DE"/>
        </w:rPr>
        <w:t>,</w:t>
      </w:r>
      <w:r w:rsidR="000C2762">
        <w:rPr>
          <w:lang w:val="de-DE"/>
        </w:rPr>
        <w:t xml:space="preserve"> </w:t>
      </w:r>
      <w:r w:rsidR="00131BDB" w:rsidRPr="00131BDB">
        <w:t>United Kingdom</w:t>
      </w:r>
      <w:r w:rsidR="000C2762">
        <w:rPr>
          <w:lang w:val="de-DE"/>
        </w:rPr>
        <w:t>.</w:t>
      </w:r>
    </w:p>
    <w:p w14:paraId="57EB933C" w14:textId="051F7DAD" w:rsidR="00600C79" w:rsidRDefault="006313F4" w:rsidP="007A4FA3">
      <w:pPr>
        <w:pStyle w:val="BodyA"/>
        <w:spacing w:after="0" w:line="480" w:lineRule="auto"/>
      </w:pPr>
      <w:r>
        <w:t xml:space="preserve">Telephone: </w:t>
      </w:r>
      <w:r w:rsidR="0089592E">
        <w:t>+44 (</w:t>
      </w:r>
      <w:r>
        <w:t>0</w:t>
      </w:r>
      <w:r w:rsidR="0089592E">
        <w:t>)</w:t>
      </w:r>
      <w:r>
        <w:t xml:space="preserve">20 8725 1784, fax: </w:t>
      </w:r>
      <w:r w:rsidR="0089592E">
        <w:t>+44 (</w:t>
      </w:r>
      <w:r>
        <w:t>0</w:t>
      </w:r>
      <w:r w:rsidR="0089592E">
        <w:t>)</w:t>
      </w:r>
      <w:r>
        <w:t xml:space="preserve">20 8725 5353, </w:t>
      </w:r>
      <w:r w:rsidR="000C2762">
        <w:t xml:space="preserve">email address: </w:t>
      </w:r>
      <w:r w:rsidR="007315AD" w:rsidRPr="007315AD">
        <w:t>mortimer@sgul.ac.uk</w:t>
      </w:r>
    </w:p>
    <w:p w14:paraId="124CA287" w14:textId="77777777" w:rsidR="00600C79" w:rsidRDefault="00600C79" w:rsidP="007A4FA3">
      <w:pPr>
        <w:pStyle w:val="BodyA"/>
        <w:spacing w:after="0" w:line="480" w:lineRule="auto"/>
      </w:pPr>
    </w:p>
    <w:p w14:paraId="2103C274" w14:textId="30EA30D6" w:rsidR="00600C79" w:rsidRDefault="00F56DEC" w:rsidP="007A4FA3">
      <w:pPr>
        <w:pStyle w:val="BodyA"/>
        <w:spacing w:after="0" w:line="480" w:lineRule="auto"/>
      </w:pPr>
      <w:r>
        <w:t>Source of support</w:t>
      </w:r>
      <w:r w:rsidR="00C50510">
        <w:t xml:space="preserve"> for acknowledgment</w:t>
      </w:r>
      <w:r>
        <w:t>:</w:t>
      </w:r>
      <w:r w:rsidR="007315AD">
        <w:t xml:space="preserve"> </w:t>
      </w:r>
      <w:r>
        <w:t>T</w:t>
      </w:r>
      <w:r w:rsidR="007315AD">
        <w:t>he Princes Exchange Foundation, Edinburgh, U</w:t>
      </w:r>
      <w:r w:rsidR="007F0B2A">
        <w:t>nited Kingdom.</w:t>
      </w:r>
    </w:p>
    <w:p w14:paraId="0BE83D76" w14:textId="037C5651" w:rsidR="00857EEB" w:rsidRDefault="006313F4" w:rsidP="007A4FA3">
      <w:pPr>
        <w:pStyle w:val="BodyA"/>
        <w:spacing w:after="0" w:line="480" w:lineRule="auto"/>
      </w:pPr>
      <w:r>
        <w:br w:type="page"/>
      </w:r>
    </w:p>
    <w:p w14:paraId="678A965B" w14:textId="77777777" w:rsidR="0013687F" w:rsidRDefault="0013687F" w:rsidP="00FD7F72">
      <w:pPr>
        <w:pStyle w:val="BodyA"/>
        <w:spacing w:line="480" w:lineRule="auto"/>
        <w:rPr>
          <w:sz w:val="28"/>
          <w:szCs w:val="28"/>
          <w:lang w:val="fr-FR"/>
        </w:rPr>
      </w:pPr>
      <w:r>
        <w:rPr>
          <w:sz w:val="28"/>
          <w:szCs w:val="28"/>
          <w:lang w:val="fr-FR"/>
        </w:rPr>
        <w:lastRenderedPageBreak/>
        <w:t>Abstract</w:t>
      </w:r>
    </w:p>
    <w:p w14:paraId="4AB70DA1" w14:textId="770128AB" w:rsidR="00A35965" w:rsidRPr="00F947CC" w:rsidRDefault="00C2171E" w:rsidP="00A35965">
      <w:pPr>
        <w:pStyle w:val="BodyA"/>
        <w:spacing w:line="480" w:lineRule="auto"/>
        <w:rPr>
          <w:lang w:val="en"/>
        </w:rPr>
      </w:pPr>
      <w:r>
        <w:rPr>
          <w:bCs/>
          <w:lang w:val="en"/>
        </w:rPr>
        <w:t>Background</w:t>
      </w:r>
      <w:r w:rsidR="00A35965" w:rsidRPr="00F947CC">
        <w:rPr>
          <w:bCs/>
          <w:lang w:val="en"/>
        </w:rPr>
        <w:t>:</w:t>
      </w:r>
      <w:r w:rsidR="00A35965">
        <w:rPr>
          <w:lang w:val="en"/>
        </w:rPr>
        <w:t xml:space="preserve"> Yellow nail syndrome </w:t>
      </w:r>
      <w:r w:rsidR="00EC5D2D">
        <w:rPr>
          <w:lang w:val="en"/>
        </w:rPr>
        <w:t xml:space="preserve">(YNS) </w:t>
      </w:r>
      <w:r w:rsidR="00A35965">
        <w:rPr>
          <w:lang w:val="en"/>
        </w:rPr>
        <w:t>is a rare disease manifesting as a triad of yellow-green dystrophic nails, lymphedema and chronic respiratory disease.</w:t>
      </w:r>
      <w:r w:rsidR="00A35965" w:rsidRPr="00F9493B">
        <w:t xml:space="preserve"> </w:t>
      </w:r>
      <w:r w:rsidR="00A35965">
        <w:t>The etiology of YNS is obscure and investigations are few. A single lymphatic pathogenesis has been proposed to account for all the associated features and despite the lack of evidence for a unifying lymphatic mechanism this hypothesis prevails. The objective w</w:t>
      </w:r>
      <w:r w:rsidR="004F6DB2">
        <w:t>as</w:t>
      </w:r>
      <w:r w:rsidR="00A35965">
        <w:t xml:space="preserve"> </w:t>
      </w:r>
      <w:r w:rsidR="00A35965" w:rsidRPr="00196949">
        <w:t xml:space="preserve">to </w:t>
      </w:r>
      <w:r w:rsidR="00895BE4" w:rsidRPr="00895BE4">
        <w:t xml:space="preserve">explore the lymphatic phenotype in YNS and </w:t>
      </w:r>
      <w:r w:rsidR="00114F5B">
        <w:t xml:space="preserve">to </w:t>
      </w:r>
      <w:r w:rsidR="00895BE4" w:rsidRPr="00895BE4">
        <w:t>establish whether lymphatic dysfunction could be a major contributing factor to the disease process</w:t>
      </w:r>
      <w:r w:rsidR="00895BE4">
        <w:t>.</w:t>
      </w:r>
    </w:p>
    <w:p w14:paraId="6B92BAE5" w14:textId="166D219F" w:rsidR="00E42A13" w:rsidRPr="00772681" w:rsidRDefault="00C2171E" w:rsidP="00E42A13">
      <w:pPr>
        <w:pStyle w:val="BodyA"/>
        <w:spacing w:line="480" w:lineRule="auto"/>
      </w:pPr>
      <w:r>
        <w:rPr>
          <w:bCs/>
          <w:lang w:val="en"/>
        </w:rPr>
        <w:t xml:space="preserve">Methods and </w:t>
      </w:r>
      <w:r w:rsidR="00A35965">
        <w:rPr>
          <w:bCs/>
          <w:lang w:val="en"/>
        </w:rPr>
        <w:t>R</w:t>
      </w:r>
      <w:r>
        <w:rPr>
          <w:bCs/>
          <w:lang w:val="en"/>
        </w:rPr>
        <w:t>esults</w:t>
      </w:r>
      <w:r w:rsidR="00A35965" w:rsidRPr="00F947CC">
        <w:rPr>
          <w:bCs/>
          <w:lang w:val="en"/>
        </w:rPr>
        <w:t>:</w:t>
      </w:r>
      <w:r w:rsidR="00A35965" w:rsidRPr="00F947CC">
        <w:rPr>
          <w:lang w:val="en"/>
        </w:rPr>
        <w:t xml:space="preserve"> </w:t>
      </w:r>
      <w:r w:rsidR="00895BE4">
        <w:t xml:space="preserve">Four-limb lymphoscintigraphy was performed on patients with YNS and on </w:t>
      </w:r>
      <w:r w:rsidR="00895BE4" w:rsidRPr="00196949">
        <w:t>healthy</w:t>
      </w:r>
      <w:r w:rsidR="00895BE4">
        <w:t>,</w:t>
      </w:r>
      <w:r w:rsidR="00895BE4" w:rsidRPr="00196949">
        <w:t xml:space="preserve"> age-matched </w:t>
      </w:r>
      <w:r w:rsidR="00895BE4">
        <w:t xml:space="preserve">controls. </w:t>
      </w:r>
      <w:r w:rsidR="00E42A13">
        <w:rPr>
          <w:lang w:val="en"/>
        </w:rPr>
        <w:t xml:space="preserve">All 17 patients had lower limb swelling and 14 (82%) had upper limb swelling also, including 5 (29%) with hand involvement. None of the </w:t>
      </w:r>
      <w:r w:rsidR="00895BE4">
        <w:rPr>
          <w:lang w:val="en"/>
        </w:rPr>
        <w:t xml:space="preserve">YNS </w:t>
      </w:r>
      <w:r w:rsidR="00E42A13">
        <w:rPr>
          <w:lang w:val="en"/>
        </w:rPr>
        <w:t>lymph scans w</w:t>
      </w:r>
      <w:r w:rsidR="006A658B">
        <w:rPr>
          <w:lang w:val="en"/>
        </w:rPr>
        <w:t>as</w:t>
      </w:r>
      <w:r w:rsidR="00E42A13">
        <w:rPr>
          <w:lang w:val="en"/>
        </w:rPr>
        <w:t xml:space="preserve"> completely normal. </w:t>
      </w:r>
      <w:r w:rsidR="00895BE4">
        <w:rPr>
          <w:lang w:val="en"/>
        </w:rPr>
        <w:t xml:space="preserve">Combined qualitative </w:t>
      </w:r>
      <w:r w:rsidR="00E42A13">
        <w:rPr>
          <w:lang w:val="en"/>
        </w:rPr>
        <w:t>and quantitative assessment showed that 67% of YNS scans were clearly abnormal compared with 36% of healthy control scans. Mean axillary and ilio-inguinal nodal tracer uptakes were 41–44% lower in the YNS group than in the controls (</w:t>
      </w:r>
      <w:r w:rsidR="00483F9B">
        <w:rPr>
          <w:i/>
          <w:lang w:val="en"/>
        </w:rPr>
        <w:t>p</w:t>
      </w:r>
      <w:r w:rsidR="00483F9B">
        <w:rPr>
          <w:lang w:val="en"/>
        </w:rPr>
        <w:t xml:space="preserve"> </w:t>
      </w:r>
      <w:r w:rsidR="00E42A13">
        <w:rPr>
          <w:lang w:val="en"/>
        </w:rPr>
        <w:t>&lt; 0.0001).</w:t>
      </w:r>
    </w:p>
    <w:p w14:paraId="7718C21F" w14:textId="3B264634" w:rsidR="00F700D7" w:rsidRDefault="00C2171E" w:rsidP="008C0368">
      <w:pPr>
        <w:pStyle w:val="BodyA"/>
        <w:spacing w:after="0" w:line="480" w:lineRule="auto"/>
      </w:pPr>
      <w:r>
        <w:rPr>
          <w:bCs/>
          <w:lang w:val="en"/>
        </w:rPr>
        <w:t>Conclusions</w:t>
      </w:r>
      <w:r w:rsidR="00A35965" w:rsidRPr="00F947CC">
        <w:rPr>
          <w:bCs/>
          <w:lang w:val="en"/>
        </w:rPr>
        <w:t>:</w:t>
      </w:r>
      <w:r w:rsidR="00A35965">
        <w:rPr>
          <w:bCs/>
          <w:lang w:val="en"/>
        </w:rPr>
        <w:t xml:space="preserve"> </w:t>
      </w:r>
      <w:r w:rsidR="00A35965">
        <w:t xml:space="preserve">YNS is a lymphatic phenotype because lymphatic </w:t>
      </w:r>
      <w:r w:rsidR="001C5027">
        <w:t xml:space="preserve">insufficiency </w:t>
      </w:r>
      <w:r w:rsidR="00A35965">
        <w:t xml:space="preserve">was found to exist in </w:t>
      </w:r>
      <w:r w:rsidR="004F6DB2">
        <w:t>all</w:t>
      </w:r>
      <w:r w:rsidR="00A35965">
        <w:t xml:space="preserve"> patients and </w:t>
      </w:r>
      <w:r w:rsidR="006C6BF2">
        <w:t xml:space="preserve">the </w:t>
      </w:r>
      <w:r w:rsidR="001C5027">
        <w:t xml:space="preserve">insufficiency </w:t>
      </w:r>
      <w:r w:rsidR="00A35965">
        <w:t>was widespread (upper and lower limbs)</w:t>
      </w:r>
      <w:r w:rsidR="000C0544">
        <w:t>,</w:t>
      </w:r>
      <w:r w:rsidR="00A35965">
        <w:t xml:space="preserve"> with a common mechanistic fault of poor transport. </w:t>
      </w:r>
      <w:r w:rsidR="00572247" w:rsidRPr="00572247">
        <w:t>The origin of the lymphatic fault is unclear</w:t>
      </w:r>
      <w:r w:rsidR="00A35965" w:rsidRPr="00572247">
        <w:t>.</w:t>
      </w:r>
      <w:r w:rsidR="00A35965">
        <w:t xml:space="preserve"> </w:t>
      </w:r>
      <w:r w:rsidR="009135E2">
        <w:t>In healthy individuals, l</w:t>
      </w:r>
      <w:r w:rsidR="00A35965">
        <w:t xml:space="preserve">ymphatic abnormalities </w:t>
      </w:r>
      <w:r w:rsidR="00C73096">
        <w:t xml:space="preserve">may be </w:t>
      </w:r>
      <w:r w:rsidR="00A35965">
        <w:t>relatively common the 5</w:t>
      </w:r>
      <w:r w:rsidR="00A35965" w:rsidRPr="00772681">
        <w:rPr>
          <w:vertAlign w:val="superscript"/>
        </w:rPr>
        <w:t>th</w:t>
      </w:r>
      <w:r w:rsidR="00A35965">
        <w:t xml:space="preserve"> decade</w:t>
      </w:r>
      <w:r w:rsidR="004F6DB2">
        <w:t xml:space="preserve"> </w:t>
      </w:r>
      <w:r w:rsidR="006C6BF2">
        <w:t xml:space="preserve">of life </w:t>
      </w:r>
      <w:r w:rsidR="0010748B">
        <w:t>onward</w:t>
      </w:r>
      <w:r w:rsidR="00087EBD">
        <w:t>.</w:t>
      </w:r>
    </w:p>
    <w:p w14:paraId="1E0ADBB6" w14:textId="77777777" w:rsidR="00F700D7" w:rsidRDefault="00F700D7" w:rsidP="00A77D03">
      <w:pPr>
        <w:pStyle w:val="BodyA"/>
        <w:spacing w:line="480" w:lineRule="auto"/>
      </w:pPr>
    </w:p>
    <w:p w14:paraId="7E53138D" w14:textId="76DCB736" w:rsidR="002D7AFF" w:rsidRDefault="002D7AFF" w:rsidP="002D7AFF">
      <w:pPr>
        <w:spacing w:line="480" w:lineRule="auto"/>
        <w:rPr>
          <w:rFonts w:ascii="Calibri" w:hAnsi="Calibri"/>
          <w:sz w:val="22"/>
          <w:szCs w:val="22"/>
          <w:lang w:val="en-GB"/>
        </w:rPr>
      </w:pPr>
      <w:r>
        <w:rPr>
          <w:rFonts w:ascii="Calibri" w:hAnsi="Calibri"/>
          <w:sz w:val="22"/>
          <w:szCs w:val="22"/>
          <w:lang w:val="en-GB"/>
        </w:rPr>
        <w:t xml:space="preserve">Key words: Lymphatic dysfunction, lymphedema, lymphoscintigraphy, </w:t>
      </w:r>
      <w:r w:rsidRPr="002D7AFF">
        <w:rPr>
          <w:rFonts w:ascii="Calibri" w:hAnsi="Calibri"/>
          <w:sz w:val="22"/>
          <w:szCs w:val="22"/>
          <w:lang w:val="en-GB"/>
        </w:rPr>
        <w:t>phenotype, yellow nail</w:t>
      </w:r>
      <w:r w:rsidR="00170E8F">
        <w:rPr>
          <w:rFonts w:ascii="Calibri" w:hAnsi="Calibri"/>
          <w:sz w:val="22"/>
          <w:szCs w:val="22"/>
          <w:lang w:val="en-GB"/>
        </w:rPr>
        <w:t xml:space="preserve"> </w:t>
      </w:r>
      <w:r>
        <w:rPr>
          <w:rFonts w:ascii="Calibri" w:hAnsi="Calibri"/>
          <w:sz w:val="22"/>
          <w:szCs w:val="22"/>
          <w:lang w:val="en-GB"/>
        </w:rPr>
        <w:t>s</w:t>
      </w:r>
      <w:r w:rsidRPr="002D7AFF">
        <w:rPr>
          <w:rFonts w:ascii="Calibri" w:hAnsi="Calibri"/>
          <w:sz w:val="22"/>
          <w:szCs w:val="22"/>
          <w:lang w:val="en-GB"/>
        </w:rPr>
        <w:t>yndrome</w:t>
      </w:r>
    </w:p>
    <w:p w14:paraId="773B59C7" w14:textId="5421F432" w:rsidR="00F700D7" w:rsidRPr="00E47DA5" w:rsidRDefault="00F700D7" w:rsidP="002D7AFF">
      <w:pPr>
        <w:spacing w:line="480" w:lineRule="auto"/>
        <w:rPr>
          <w:rFonts w:ascii="Calibri" w:eastAsia="Calibri" w:hAnsi="Calibri" w:cs="Calibri"/>
          <w:color w:val="000000"/>
          <w:sz w:val="22"/>
          <w:szCs w:val="22"/>
          <w:u w:color="000000"/>
          <w:lang w:eastAsia="en-GB"/>
        </w:rPr>
      </w:pPr>
      <w:r w:rsidRPr="00E47DA5">
        <w:rPr>
          <w:rFonts w:ascii="Calibri" w:hAnsi="Calibri"/>
          <w:sz w:val="22"/>
          <w:szCs w:val="22"/>
        </w:rPr>
        <w:br w:type="page"/>
      </w:r>
    </w:p>
    <w:p w14:paraId="68E0C969" w14:textId="1CC22B07" w:rsidR="00857EEB" w:rsidRDefault="00AB1D3C" w:rsidP="00DD5ADB">
      <w:pPr>
        <w:pStyle w:val="BodyA"/>
        <w:spacing w:line="480" w:lineRule="auto"/>
        <w:rPr>
          <w:sz w:val="28"/>
          <w:szCs w:val="28"/>
          <w:lang w:val="fr-FR"/>
        </w:rPr>
      </w:pPr>
      <w:r>
        <w:rPr>
          <w:sz w:val="28"/>
          <w:szCs w:val="28"/>
          <w:lang w:val="fr-FR"/>
        </w:rPr>
        <w:lastRenderedPageBreak/>
        <w:t>Introduction</w:t>
      </w:r>
    </w:p>
    <w:p w14:paraId="7C8902AC" w14:textId="165A6FDF" w:rsidR="00EB7985" w:rsidRDefault="00EB7985" w:rsidP="00B2384F">
      <w:pPr>
        <w:pStyle w:val="BodyA"/>
        <w:spacing w:line="480" w:lineRule="auto"/>
      </w:pPr>
      <w:r>
        <w:t>Samman and White originally described the “yellow nail” syndrome in 1964, the main features being slowly growing discolored (pale yellow to green) nails and edema.</w:t>
      </w:r>
      <w:r w:rsidR="00B2412D" w:rsidRPr="00F65711">
        <w:rPr>
          <w:vertAlign w:val="superscript"/>
        </w:rPr>
        <w:t>1</w:t>
      </w:r>
      <w:r>
        <w:t xml:space="preserve"> </w:t>
      </w:r>
      <w:r w:rsidR="009C6192">
        <w:t>The association of respiratory disease</w:t>
      </w:r>
      <w:r w:rsidR="00E93428">
        <w:t xml:space="preserve"> such as bronchiectasis, pleural effusions or chronic sinusitis,</w:t>
      </w:r>
      <w:r w:rsidR="009C6192">
        <w:t xml:space="preserve"> was later recognised</w:t>
      </w:r>
      <w:r w:rsidR="00F315B8">
        <w:t>.</w:t>
      </w:r>
      <w:r w:rsidR="00B2412D" w:rsidRPr="00F65711">
        <w:rPr>
          <w:vertAlign w:val="superscript"/>
        </w:rPr>
        <w:t>2–</w:t>
      </w:r>
      <w:r w:rsidR="00B2412D" w:rsidRPr="00B2412D">
        <w:rPr>
          <w:vertAlign w:val="superscript"/>
        </w:rPr>
        <w:t>6</w:t>
      </w:r>
      <w:r w:rsidR="00B2412D">
        <w:t xml:space="preserve"> </w:t>
      </w:r>
      <w:r w:rsidR="004A023E" w:rsidRPr="00B2412D">
        <w:t>Diagnosis</w:t>
      </w:r>
      <w:r w:rsidR="004A023E">
        <w:t xml:space="preserve"> can be difficult because the clinical features do not appear at the same time and </w:t>
      </w:r>
      <w:r w:rsidR="00765257">
        <w:t>can</w:t>
      </w:r>
      <w:r w:rsidR="004A023E">
        <w:t xml:space="preserve"> improve spontaneously. </w:t>
      </w:r>
      <w:r w:rsidR="00BD706E" w:rsidRPr="00362118">
        <w:t>Yellow nail syndrome</w:t>
      </w:r>
      <w:r w:rsidR="00F36AF6">
        <w:t xml:space="preserve"> (YNS)</w:t>
      </w:r>
      <w:r w:rsidR="00BD706E" w:rsidRPr="00362118">
        <w:t xml:space="preserve">, whilst rare </w:t>
      </w:r>
      <w:r w:rsidR="00BD706E">
        <w:t>with fewer than 400 cases reported</w:t>
      </w:r>
      <w:r w:rsidR="001F5353">
        <w:t xml:space="preserve"> in the literature</w:t>
      </w:r>
      <w:r w:rsidR="00BD706E">
        <w:t xml:space="preserve">, </w:t>
      </w:r>
      <w:r w:rsidR="00BD706E" w:rsidRPr="00362118">
        <w:t>is a debilitating condition that can cause premature death</w:t>
      </w:r>
      <w:r w:rsidR="00F315B8">
        <w:t>.</w:t>
      </w:r>
      <w:r w:rsidR="00B2412D" w:rsidRPr="00F65711">
        <w:rPr>
          <w:vertAlign w:val="superscript"/>
        </w:rPr>
        <w:t>6,7</w:t>
      </w:r>
      <w:r w:rsidR="00F315B8">
        <w:t xml:space="preserve"> </w:t>
      </w:r>
      <w:r w:rsidR="00A116DB">
        <w:t>YNS is cited in OMIM as a genetic disorder (OMIM 153300)</w:t>
      </w:r>
      <w:r w:rsidR="002958CE">
        <w:t>.</w:t>
      </w:r>
      <w:r w:rsidR="00A116DB">
        <w:t xml:space="preserve"> </w:t>
      </w:r>
      <w:r w:rsidR="00521DE4">
        <w:t>C</w:t>
      </w:r>
      <w:r>
        <w:t>ases are typically sporadic and affect adults later in life</w:t>
      </w:r>
      <w:r w:rsidR="00667830">
        <w:t xml:space="preserve">; </w:t>
      </w:r>
      <w:r w:rsidR="00521DE4">
        <w:t xml:space="preserve">however, </w:t>
      </w:r>
      <w:r w:rsidR="002958CE">
        <w:t>c</w:t>
      </w:r>
      <w:r>
        <w:t>ongenital cases have been reported and some with a family history</w:t>
      </w:r>
      <w:r w:rsidR="004B7175">
        <w:t>.</w:t>
      </w:r>
      <w:r w:rsidR="00B2412D" w:rsidRPr="00F65711">
        <w:rPr>
          <w:vertAlign w:val="superscript"/>
        </w:rPr>
        <w:t>8–12</w:t>
      </w:r>
      <w:r w:rsidR="004B7175">
        <w:t xml:space="preserve"> </w:t>
      </w:r>
      <w:r>
        <w:t xml:space="preserve">The </w:t>
      </w:r>
      <w:r w:rsidR="000F3A45">
        <w:t xml:space="preserve">pathophysiological basis </w:t>
      </w:r>
      <w:r>
        <w:t xml:space="preserve">of YNS is obscure and investigations are few. </w:t>
      </w:r>
      <w:r w:rsidR="00517C02">
        <w:t>The presence of lymphedema provides strong grounds for considering YNS to be a lymphatic phenotype and d</w:t>
      </w:r>
      <w:r>
        <w:t>espite the lack of</w:t>
      </w:r>
      <w:r w:rsidR="00020061">
        <w:t xml:space="preserve"> </w:t>
      </w:r>
      <w:r>
        <w:t>evidence</w:t>
      </w:r>
      <w:r w:rsidR="00517C02">
        <w:t>,</w:t>
      </w:r>
      <w:r>
        <w:t xml:space="preserve"> a unifying lymphatic mechanism </w:t>
      </w:r>
      <w:r w:rsidR="00517C02">
        <w:t xml:space="preserve">is </w:t>
      </w:r>
      <w:r w:rsidR="00653F34">
        <w:t xml:space="preserve">often </w:t>
      </w:r>
      <w:r w:rsidR="00517C02">
        <w:t>assumed</w:t>
      </w:r>
      <w:r>
        <w:t xml:space="preserve">. </w:t>
      </w:r>
      <w:r w:rsidR="00BC2D13">
        <w:t xml:space="preserve">One study investigating lymphatic involvement in YNS </w:t>
      </w:r>
      <w:r w:rsidR="00343924">
        <w:t xml:space="preserve">using the now obsolete direct contrast lymphangiography </w:t>
      </w:r>
      <w:r w:rsidR="00963427">
        <w:t xml:space="preserve">identified </w:t>
      </w:r>
      <w:r w:rsidR="00BC2D13">
        <w:t xml:space="preserve">abnormalities </w:t>
      </w:r>
      <w:r>
        <w:t>in four patients.</w:t>
      </w:r>
      <w:r w:rsidR="00B2412D" w:rsidRPr="00F65711">
        <w:rPr>
          <w:vertAlign w:val="superscript"/>
        </w:rPr>
        <w:t>1</w:t>
      </w:r>
      <w:r>
        <w:t xml:space="preserve"> Lymphoscintigraphy is </w:t>
      </w:r>
      <w:r w:rsidR="0017417A">
        <w:t xml:space="preserve">still </w:t>
      </w:r>
      <w:r>
        <w:t xml:space="preserve">the gold standard method for lymphatic investigation in humans. </w:t>
      </w:r>
      <w:r w:rsidR="00812163">
        <w:t xml:space="preserve">Bull </w:t>
      </w:r>
      <w:r w:rsidR="00812163" w:rsidRPr="00E5131F">
        <w:rPr>
          <w:i/>
        </w:rPr>
        <w:t>et al</w:t>
      </w:r>
      <w:r w:rsidR="00812163">
        <w:t>.</w:t>
      </w:r>
      <w:r>
        <w:t xml:space="preserve"> </w:t>
      </w:r>
      <w:r w:rsidR="00812163">
        <w:t xml:space="preserve">performed lymphoscintigraphy on </w:t>
      </w:r>
      <w:r>
        <w:t xml:space="preserve">17 YNS patients, all with nail </w:t>
      </w:r>
      <w:r w:rsidR="00915821">
        <w:t>abnorm</w:t>
      </w:r>
      <w:r w:rsidR="005410AE">
        <w:t>a</w:t>
      </w:r>
      <w:r w:rsidR="00915821">
        <w:t>l</w:t>
      </w:r>
      <w:r w:rsidR="005410AE">
        <w:t>ities</w:t>
      </w:r>
      <w:r w:rsidR="00E01F3F">
        <w:t>,</w:t>
      </w:r>
      <w:r w:rsidR="00812163">
        <w:t xml:space="preserve"> the ma</w:t>
      </w:r>
      <w:r w:rsidR="00946BFF">
        <w:t>jority with respiratory disease</w:t>
      </w:r>
      <w:r w:rsidR="00812163">
        <w:t xml:space="preserve"> </w:t>
      </w:r>
      <w:r>
        <w:t xml:space="preserve">and </w:t>
      </w:r>
      <w:r w:rsidR="00BE0C6E">
        <w:t xml:space="preserve">two-thirds </w:t>
      </w:r>
      <w:r>
        <w:t>with lower limb swelling</w:t>
      </w:r>
      <w:r w:rsidR="00822264">
        <w:t>.</w:t>
      </w:r>
      <w:r w:rsidR="00B2412D" w:rsidRPr="00F65711">
        <w:rPr>
          <w:vertAlign w:val="superscript"/>
        </w:rPr>
        <w:t>13</w:t>
      </w:r>
      <w:r w:rsidR="00822264">
        <w:t xml:space="preserve"> </w:t>
      </w:r>
      <w:r w:rsidR="00A72B37">
        <w:t>R</w:t>
      </w:r>
      <w:r w:rsidR="00A72B37" w:rsidRPr="00A72B37">
        <w:t xml:space="preserve">educed </w:t>
      </w:r>
      <w:r w:rsidR="00A72B37">
        <w:t xml:space="preserve">upper and lower </w:t>
      </w:r>
      <w:r w:rsidR="00A72B37" w:rsidRPr="00A72B37">
        <w:t xml:space="preserve">limb lymph drainage </w:t>
      </w:r>
      <w:r w:rsidR="00B10468">
        <w:t>(</w:t>
      </w:r>
      <w:r w:rsidR="00B10468" w:rsidRPr="00A72B37">
        <w:t xml:space="preserve">with </w:t>
      </w:r>
      <w:r w:rsidR="00B10468">
        <w:t xml:space="preserve">some </w:t>
      </w:r>
      <w:r w:rsidR="00B10468" w:rsidRPr="00A72B37">
        <w:t>variation</w:t>
      </w:r>
      <w:r w:rsidR="00B10468">
        <w:t xml:space="preserve">) </w:t>
      </w:r>
      <w:r w:rsidR="00A72B37" w:rsidRPr="00A72B37">
        <w:t xml:space="preserve">was </w:t>
      </w:r>
      <w:r w:rsidR="00B10468">
        <w:t>found, relative</w:t>
      </w:r>
      <w:r w:rsidR="00A72B37">
        <w:t xml:space="preserve"> </w:t>
      </w:r>
      <w:r w:rsidR="00B10468">
        <w:t>to</w:t>
      </w:r>
      <w:r w:rsidR="000F7EA6">
        <w:t xml:space="preserve"> </w:t>
      </w:r>
      <w:r w:rsidR="0035177E">
        <w:t xml:space="preserve">the </w:t>
      </w:r>
      <w:r w:rsidR="00A72B37">
        <w:t xml:space="preserve">normal controls. The </w:t>
      </w:r>
      <w:r w:rsidR="00E56DAB">
        <w:t>control group</w:t>
      </w:r>
      <w:r w:rsidR="00A72B37">
        <w:t xml:space="preserve"> </w:t>
      </w:r>
      <w:r w:rsidR="0035177E">
        <w:t>consisted of the clinically normal limbs of patients</w:t>
      </w:r>
      <w:r w:rsidR="00F505E0">
        <w:t xml:space="preserve"> </w:t>
      </w:r>
      <w:r w:rsidR="006C2882" w:rsidRPr="00E2269C">
        <w:t>rather than</w:t>
      </w:r>
      <w:r w:rsidR="006C2882">
        <w:t xml:space="preserve"> </w:t>
      </w:r>
      <w:r w:rsidR="00A72B37">
        <w:t xml:space="preserve">healthy </w:t>
      </w:r>
      <w:r w:rsidR="0035177E">
        <w:t>participants</w:t>
      </w:r>
      <w:r w:rsidR="000F7EA6">
        <w:t xml:space="preserve">. </w:t>
      </w:r>
      <w:r>
        <w:t>The authors proposed that any lymphatic insufficiency was functional, and inconsistent with the conventional understanding of lymphedema.</w:t>
      </w:r>
    </w:p>
    <w:p w14:paraId="2F3882C9" w14:textId="6C943FB7" w:rsidR="00EB7985" w:rsidRDefault="000130D3" w:rsidP="00A35965">
      <w:pPr>
        <w:pStyle w:val="BodyA"/>
        <w:spacing w:line="480" w:lineRule="auto"/>
        <w:ind w:firstLine="720"/>
      </w:pPr>
      <w:r>
        <w:t xml:space="preserve">The study aim was to explore the lymphatic phenotype in YNS and </w:t>
      </w:r>
      <w:r w:rsidR="00114F5B">
        <w:t xml:space="preserve">to </w:t>
      </w:r>
      <w:r>
        <w:t xml:space="preserve">establish whether lymphatic dysfunction identified by lymphoscintigraphy could be </w:t>
      </w:r>
      <w:r w:rsidR="006614A6">
        <w:t xml:space="preserve">a </w:t>
      </w:r>
      <w:r w:rsidR="004A4437">
        <w:t>major contributing factor to the disease process</w:t>
      </w:r>
      <w:r w:rsidR="00446F5F">
        <w:t>,</w:t>
      </w:r>
      <w:r>
        <w:t xml:space="preserve"> and not simply a secondary phenomenon</w:t>
      </w:r>
      <w:r w:rsidR="00AB2ABA">
        <w:t>.</w:t>
      </w:r>
      <w:r>
        <w:t xml:space="preserve"> </w:t>
      </w:r>
      <w:r w:rsidR="00AB2ABA">
        <w:t>We assessed</w:t>
      </w:r>
      <w:r w:rsidR="00EB7985">
        <w:t xml:space="preserve"> lymph </w:t>
      </w:r>
      <w:r w:rsidR="00D55393">
        <w:t>drainage in</w:t>
      </w:r>
      <w:r w:rsidR="00EB7985">
        <w:t xml:space="preserve"> the </w:t>
      </w:r>
      <w:r w:rsidR="003872DE">
        <w:t xml:space="preserve">upper and lower </w:t>
      </w:r>
      <w:r w:rsidR="00EB7985">
        <w:t xml:space="preserve">limbs of carefully </w:t>
      </w:r>
      <w:r w:rsidR="00A35965">
        <w:t xml:space="preserve">characterised </w:t>
      </w:r>
      <w:r w:rsidR="00EB7985">
        <w:t>YNS patients relative to an age-matched</w:t>
      </w:r>
      <w:r w:rsidR="00A116DB">
        <w:t>,</w:t>
      </w:r>
      <w:r w:rsidR="00EB7985">
        <w:t xml:space="preserve"> healthy </w:t>
      </w:r>
      <w:r w:rsidR="004A4437">
        <w:t>volunteer</w:t>
      </w:r>
      <w:r w:rsidR="00EB7985">
        <w:t xml:space="preserve"> </w:t>
      </w:r>
      <w:r w:rsidR="00EB7985">
        <w:lastRenderedPageBreak/>
        <w:t>group</w:t>
      </w:r>
      <w:r w:rsidR="00881005">
        <w:t xml:space="preserve"> in a case</w:t>
      </w:r>
      <w:r w:rsidR="00323C0A">
        <w:t xml:space="preserve"> </w:t>
      </w:r>
      <w:r w:rsidR="00881005">
        <w:t>control study</w:t>
      </w:r>
      <w:r w:rsidR="00A35965">
        <w:t>.</w:t>
      </w:r>
      <w:r w:rsidR="00EB7985">
        <w:t xml:space="preserve"> A secondary objective was to establish </w:t>
      </w:r>
      <w:r w:rsidR="00A35965">
        <w:t xml:space="preserve">the prevalence of lymphatic abnormalities in </w:t>
      </w:r>
      <w:r w:rsidR="00EB7985">
        <w:t>hea</w:t>
      </w:r>
      <w:r w:rsidR="00E35369">
        <w:t>l</w:t>
      </w:r>
      <w:r w:rsidR="00EB7985">
        <w:t xml:space="preserve">thy, middle-aged to elderly </w:t>
      </w:r>
      <w:r w:rsidR="00E35369">
        <w:t xml:space="preserve">controls </w:t>
      </w:r>
      <w:r w:rsidR="00A35965">
        <w:t>for which there are no published data</w:t>
      </w:r>
      <w:r w:rsidR="00EB7985">
        <w:t>.</w:t>
      </w:r>
    </w:p>
    <w:p w14:paraId="25FE2E11" w14:textId="77777777" w:rsidR="00857EEB" w:rsidRPr="006F271A" w:rsidRDefault="00857EEB">
      <w:pPr>
        <w:pStyle w:val="BodyA"/>
        <w:spacing w:after="0" w:line="480" w:lineRule="auto"/>
        <w:rPr>
          <w:rFonts w:eastAsia="Arial" w:cs="Arial"/>
        </w:rPr>
      </w:pPr>
    </w:p>
    <w:p w14:paraId="2339FBDF" w14:textId="4318464A" w:rsidR="00857EEB" w:rsidRDefault="00AB1D3C" w:rsidP="00DD5ADB">
      <w:pPr>
        <w:pStyle w:val="BodyA"/>
        <w:spacing w:line="480" w:lineRule="auto"/>
        <w:rPr>
          <w:sz w:val="28"/>
          <w:szCs w:val="28"/>
        </w:rPr>
      </w:pPr>
      <w:r>
        <w:rPr>
          <w:sz w:val="28"/>
          <w:szCs w:val="28"/>
        </w:rPr>
        <w:t xml:space="preserve">Materials and </w:t>
      </w:r>
      <w:r w:rsidR="00620305">
        <w:rPr>
          <w:sz w:val="28"/>
          <w:szCs w:val="28"/>
        </w:rPr>
        <w:t>M</w:t>
      </w:r>
      <w:r w:rsidR="006313F4">
        <w:rPr>
          <w:sz w:val="28"/>
          <w:szCs w:val="28"/>
        </w:rPr>
        <w:t>ethods</w:t>
      </w:r>
    </w:p>
    <w:p w14:paraId="02806E9C" w14:textId="77777777" w:rsidR="00857EEB" w:rsidRDefault="006313F4">
      <w:pPr>
        <w:pStyle w:val="BodyA"/>
        <w:spacing w:after="0" w:line="480" w:lineRule="auto"/>
        <w:rPr>
          <w:sz w:val="24"/>
          <w:szCs w:val="24"/>
          <w:lang w:val="fr-FR"/>
        </w:rPr>
      </w:pPr>
      <w:r>
        <w:rPr>
          <w:sz w:val="24"/>
          <w:szCs w:val="24"/>
          <w:lang w:val="fr-FR"/>
        </w:rPr>
        <w:t>Participants</w:t>
      </w:r>
    </w:p>
    <w:p w14:paraId="14200CEC" w14:textId="2F9D92CF" w:rsidR="00857EEB" w:rsidRDefault="006313F4">
      <w:pPr>
        <w:pStyle w:val="BodyA"/>
        <w:spacing w:after="0" w:line="480" w:lineRule="auto"/>
      </w:pPr>
      <w:r>
        <w:t xml:space="preserve">Seventeen patients </w:t>
      </w:r>
      <w:r w:rsidR="00443B73">
        <w:t xml:space="preserve">of mean </w:t>
      </w:r>
      <w:r>
        <w:t>age 6</w:t>
      </w:r>
      <w:r w:rsidR="005019C3">
        <w:t>4</w:t>
      </w:r>
      <w:r w:rsidR="00F97E74">
        <w:t xml:space="preserve"> </w:t>
      </w:r>
      <w:r w:rsidR="00182AE9">
        <w:t>years</w:t>
      </w:r>
      <w:r>
        <w:t xml:space="preserve"> (</w:t>
      </w:r>
      <w:r w:rsidR="00E136C3" w:rsidRPr="00056046">
        <w:t>confidence interval [</w:t>
      </w:r>
      <w:r w:rsidR="00182AE9" w:rsidRPr="00056046">
        <w:t>CI</w:t>
      </w:r>
      <w:r w:rsidR="00E136C3" w:rsidRPr="00056046">
        <w:t>]</w:t>
      </w:r>
      <w:r w:rsidR="00182AE9">
        <w:t xml:space="preserve"> 59</w:t>
      </w:r>
      <w:r w:rsidR="006E34F9">
        <w:t>–</w:t>
      </w:r>
      <w:r w:rsidR="00182AE9">
        <w:t>68 years, range 4</w:t>
      </w:r>
      <w:r w:rsidR="00755D36">
        <w:t>9</w:t>
      </w:r>
      <w:r w:rsidR="00182AE9">
        <w:t>–82 years</w:t>
      </w:r>
      <w:r>
        <w:t>)</w:t>
      </w:r>
      <w:r w:rsidR="00755D36">
        <w:t>,</w:t>
      </w:r>
      <w:r>
        <w:t xml:space="preserve"> 7 </w:t>
      </w:r>
      <w:r w:rsidR="00FB6E46">
        <w:t xml:space="preserve">men </w:t>
      </w:r>
      <w:r>
        <w:t xml:space="preserve">and 10 </w:t>
      </w:r>
      <w:r w:rsidR="00FB6E46">
        <w:t>women</w:t>
      </w:r>
      <w:r>
        <w:t xml:space="preserve">, with a diagnosis of </w:t>
      </w:r>
      <w:r w:rsidR="00D7192D">
        <w:t xml:space="preserve">YNS </w:t>
      </w:r>
      <w:r>
        <w:t xml:space="preserve">were recruited from St George’s University Hospitals NHS Foundation Trust, London; </w:t>
      </w:r>
      <w:r w:rsidR="007B7D6F">
        <w:t xml:space="preserve">Cheltenham General Hospital, Cheltenham; </w:t>
      </w:r>
      <w:r w:rsidR="007B7D6F" w:rsidRPr="007B7D6F">
        <w:t>Lytham Hospital, Lytham St Anne’s, Lanc</w:t>
      </w:r>
      <w:r w:rsidR="007B7D6F">
        <w:t>a</w:t>
      </w:r>
      <w:r w:rsidR="007B7D6F" w:rsidRPr="007B7D6F">
        <w:t>shire</w:t>
      </w:r>
      <w:r w:rsidR="007B7D6F">
        <w:t xml:space="preserve">; </w:t>
      </w:r>
      <w:r w:rsidR="007B7D6F" w:rsidRPr="007B7D6F">
        <w:t>Oxford University Hospitals NHS Foundation Trust</w:t>
      </w:r>
      <w:r w:rsidR="007B7D6F">
        <w:t xml:space="preserve">, Oxford; </w:t>
      </w:r>
      <w:r w:rsidR="007B7D6F" w:rsidRPr="007B7D6F">
        <w:t>Royal Brompton Hospital, London</w:t>
      </w:r>
      <w:r w:rsidR="007B7D6F">
        <w:t xml:space="preserve">; Royal </w:t>
      </w:r>
      <w:r w:rsidR="007B7D6F">
        <w:rPr>
          <w:lang w:val="it-IT"/>
        </w:rPr>
        <w:t>Derby</w:t>
      </w:r>
      <w:r w:rsidR="007B7D6F">
        <w:t xml:space="preserve"> Hospital, Derby; Royal Hampshire County Hospital, Winchester; Parkside Hospital, Wimbledon, London; </w:t>
      </w:r>
      <w:r>
        <w:t>University Hospitals Bristol NHS Foundation Trust, Bristol, UK</w:t>
      </w:r>
      <w:r w:rsidRPr="00F27E69">
        <w:t xml:space="preserve">. </w:t>
      </w:r>
      <w:r w:rsidR="009644CB" w:rsidRPr="002A5D04">
        <w:t xml:space="preserve">Diagnosis of the syndrome was made by </w:t>
      </w:r>
      <w:r w:rsidR="007C0C88" w:rsidRPr="002A5D04">
        <w:t xml:space="preserve">the </w:t>
      </w:r>
      <w:r w:rsidR="009644CB" w:rsidRPr="002A5D04">
        <w:t>consultant skin or chest physician but this was confirmed by clinical assessment.</w:t>
      </w:r>
      <w:r w:rsidR="009644CB">
        <w:t xml:space="preserve"> </w:t>
      </w:r>
      <w:r>
        <w:t>Fifteen healthy controls aged 65 years</w:t>
      </w:r>
      <w:r w:rsidR="00A73AF5">
        <w:t xml:space="preserve"> (CI 58</w:t>
      </w:r>
      <w:r w:rsidR="00C57F2C">
        <w:t>–</w:t>
      </w:r>
      <w:r w:rsidR="00A73AF5">
        <w:t>72 years</w:t>
      </w:r>
      <w:r w:rsidR="00706F33">
        <w:t xml:space="preserve">, </w:t>
      </w:r>
      <w:r w:rsidR="00C57F2C">
        <w:t xml:space="preserve">range </w:t>
      </w:r>
      <w:r w:rsidR="00706F33">
        <w:t>44–82 years</w:t>
      </w:r>
      <w:r w:rsidR="00A73AF5">
        <w:t>)</w:t>
      </w:r>
      <w:r>
        <w:t xml:space="preserve">, 7 </w:t>
      </w:r>
      <w:r w:rsidR="000C35FC">
        <w:t>m</w:t>
      </w:r>
      <w:r w:rsidR="00FB6E46">
        <w:t>en</w:t>
      </w:r>
      <w:r>
        <w:t xml:space="preserve"> and 8 </w:t>
      </w:r>
      <w:r w:rsidR="00FB6E46">
        <w:t>women</w:t>
      </w:r>
      <w:r>
        <w:t xml:space="preserve">, were also recruited. The controls were </w:t>
      </w:r>
      <w:r w:rsidR="00193924">
        <w:t xml:space="preserve">spouses </w:t>
      </w:r>
      <w:r>
        <w:t xml:space="preserve">or friends of the patients and had no history of limb swelling, </w:t>
      </w:r>
      <w:r w:rsidR="00CF6F49">
        <w:t xml:space="preserve">abnormal nails, </w:t>
      </w:r>
      <w:r>
        <w:t xml:space="preserve">chronic respiratory disease or venous disease. The study was approved by the Research Ethics Service </w:t>
      </w:r>
      <w:r w:rsidR="001D499C">
        <w:t xml:space="preserve">of the </w:t>
      </w:r>
      <w:r w:rsidR="0028054E">
        <w:t xml:space="preserve">Health Research Authority of the </w:t>
      </w:r>
      <w:r w:rsidR="001D499C">
        <w:t xml:space="preserve">UK </w:t>
      </w:r>
      <w:r>
        <w:t>(</w:t>
      </w:r>
      <w:r w:rsidR="001D499C">
        <w:t xml:space="preserve">reference number </w:t>
      </w:r>
      <w:r>
        <w:t>12/LO/1330)</w:t>
      </w:r>
      <w:r w:rsidR="00D05A69">
        <w:t xml:space="preserve"> and</w:t>
      </w:r>
      <w:r>
        <w:t xml:space="preserve"> </w:t>
      </w:r>
      <w:r w:rsidR="001D499C" w:rsidRPr="003146F9">
        <w:t xml:space="preserve">the </w:t>
      </w:r>
      <w:r>
        <w:t xml:space="preserve">procedures </w:t>
      </w:r>
      <w:r w:rsidR="001D499C" w:rsidRPr="003146F9">
        <w:t xml:space="preserve">followed were in accordance with the ethical standards of the responsible committee and with the </w:t>
      </w:r>
      <w:r w:rsidR="0028054E" w:rsidRPr="003146F9">
        <w:t xml:space="preserve">Declaration </w:t>
      </w:r>
      <w:r w:rsidR="0028054E">
        <w:t xml:space="preserve">of </w:t>
      </w:r>
      <w:r w:rsidR="001D499C" w:rsidRPr="003146F9">
        <w:t>Helsinki</w:t>
      </w:r>
      <w:r>
        <w:t>. The use of the radiopharmaceutical was approved by the Administration of Radioactive Substances Advisory Committee (ARSAC) (295/3230/29476). All participants gave written informed consent.</w:t>
      </w:r>
    </w:p>
    <w:p w14:paraId="2C9C80B2" w14:textId="77777777" w:rsidR="00E53F1C" w:rsidRDefault="00E53F1C" w:rsidP="00E53F1C">
      <w:pPr>
        <w:pStyle w:val="BodyA"/>
        <w:spacing w:after="0" w:line="480" w:lineRule="auto"/>
      </w:pPr>
    </w:p>
    <w:p w14:paraId="0B01F7AC" w14:textId="77777777" w:rsidR="00857EEB" w:rsidRDefault="006313F4">
      <w:pPr>
        <w:pStyle w:val="BodyA"/>
        <w:spacing w:after="0" w:line="480" w:lineRule="auto"/>
        <w:rPr>
          <w:sz w:val="24"/>
          <w:szCs w:val="24"/>
        </w:rPr>
      </w:pPr>
      <w:r>
        <w:rPr>
          <w:sz w:val="24"/>
          <w:szCs w:val="24"/>
        </w:rPr>
        <w:t>Clinical assessment</w:t>
      </w:r>
    </w:p>
    <w:p w14:paraId="65872E24" w14:textId="0D8D7979" w:rsidR="00857EEB" w:rsidRDefault="006313F4" w:rsidP="0026517F">
      <w:pPr>
        <w:pStyle w:val="NormalWeb"/>
        <w:shd w:val="clear" w:color="auto" w:fill="FFFFFF"/>
        <w:spacing w:line="480" w:lineRule="auto"/>
        <w:rPr>
          <w:rFonts w:ascii="Calibri" w:eastAsia="Calibri" w:hAnsi="Calibri" w:cs="Calibri"/>
          <w:sz w:val="22"/>
          <w:szCs w:val="22"/>
        </w:rPr>
      </w:pPr>
      <w:r>
        <w:rPr>
          <w:rFonts w:ascii="Calibri" w:eastAsia="Calibri" w:hAnsi="Calibri" w:cs="Calibri"/>
          <w:sz w:val="22"/>
          <w:szCs w:val="22"/>
        </w:rPr>
        <w:lastRenderedPageBreak/>
        <w:t xml:space="preserve">A </w:t>
      </w:r>
      <w:r w:rsidR="00FF631D">
        <w:rPr>
          <w:rFonts w:ascii="Calibri" w:eastAsia="Calibri" w:hAnsi="Calibri" w:cs="Calibri"/>
          <w:sz w:val="22"/>
          <w:szCs w:val="22"/>
        </w:rPr>
        <w:t xml:space="preserve">detailed </w:t>
      </w:r>
      <w:r>
        <w:rPr>
          <w:rFonts w:ascii="Calibri" w:eastAsia="Calibri" w:hAnsi="Calibri" w:cs="Calibri"/>
          <w:sz w:val="22"/>
          <w:szCs w:val="22"/>
        </w:rPr>
        <w:t xml:space="preserve">history was taken to </w:t>
      </w:r>
      <w:r w:rsidR="00214DEE">
        <w:rPr>
          <w:rFonts w:ascii="Calibri" w:eastAsia="Calibri" w:hAnsi="Calibri" w:cs="Calibri"/>
          <w:sz w:val="22"/>
          <w:szCs w:val="22"/>
        </w:rPr>
        <w:t>ascertain the</w:t>
      </w:r>
      <w:r>
        <w:rPr>
          <w:rFonts w:ascii="Calibri" w:eastAsia="Calibri" w:hAnsi="Calibri" w:cs="Calibri"/>
          <w:sz w:val="22"/>
          <w:szCs w:val="22"/>
        </w:rPr>
        <w:t xml:space="preserve"> YNS symptoms, when they had first occurred, their duration, whether remission had occurred, what treatments had been given, and </w:t>
      </w:r>
      <w:r w:rsidR="00214DEE">
        <w:rPr>
          <w:rFonts w:ascii="Calibri" w:eastAsia="Calibri" w:hAnsi="Calibri" w:cs="Calibri"/>
          <w:sz w:val="22"/>
          <w:szCs w:val="22"/>
        </w:rPr>
        <w:t>whether</w:t>
      </w:r>
      <w:r>
        <w:rPr>
          <w:rFonts w:ascii="Calibri" w:eastAsia="Calibri" w:hAnsi="Calibri" w:cs="Calibri"/>
          <w:sz w:val="22"/>
          <w:szCs w:val="22"/>
        </w:rPr>
        <w:t xml:space="preserve"> other conditions </w:t>
      </w:r>
      <w:r w:rsidR="00214DEE">
        <w:rPr>
          <w:rFonts w:ascii="Calibri" w:eastAsia="Calibri" w:hAnsi="Calibri" w:cs="Calibri"/>
          <w:sz w:val="22"/>
          <w:szCs w:val="22"/>
        </w:rPr>
        <w:t xml:space="preserve">such as venous disease </w:t>
      </w:r>
      <w:r>
        <w:rPr>
          <w:rFonts w:ascii="Calibri" w:eastAsia="Calibri" w:hAnsi="Calibri" w:cs="Calibri"/>
          <w:sz w:val="22"/>
          <w:szCs w:val="22"/>
        </w:rPr>
        <w:t xml:space="preserve">could account for the edema. The nails were </w:t>
      </w:r>
      <w:r w:rsidR="00193924">
        <w:rPr>
          <w:rFonts w:ascii="Calibri" w:eastAsia="Calibri" w:hAnsi="Calibri" w:cs="Calibri"/>
          <w:sz w:val="22"/>
          <w:szCs w:val="22"/>
        </w:rPr>
        <w:t xml:space="preserve">assessed </w:t>
      </w:r>
      <w:r>
        <w:rPr>
          <w:rFonts w:ascii="Calibri" w:eastAsia="Calibri" w:hAnsi="Calibri" w:cs="Calibri"/>
          <w:sz w:val="22"/>
          <w:szCs w:val="22"/>
        </w:rPr>
        <w:t xml:space="preserve">for </w:t>
      </w:r>
      <w:r w:rsidR="00193924">
        <w:rPr>
          <w:rFonts w:ascii="Calibri" w:eastAsia="Calibri" w:hAnsi="Calibri" w:cs="Calibri"/>
          <w:sz w:val="22"/>
          <w:szCs w:val="22"/>
        </w:rPr>
        <w:t xml:space="preserve">slow growth, </w:t>
      </w:r>
      <w:r>
        <w:rPr>
          <w:rFonts w:ascii="Calibri" w:eastAsia="Calibri" w:hAnsi="Calibri" w:cs="Calibri"/>
          <w:sz w:val="22"/>
          <w:szCs w:val="22"/>
        </w:rPr>
        <w:t xml:space="preserve">transverse over-curvature, thickening, onycholysis, dystrophy, colour change, and cuticle loss. </w:t>
      </w:r>
      <w:r w:rsidR="00B64FE3">
        <w:rPr>
          <w:rFonts w:ascii="Calibri" w:eastAsia="Calibri" w:hAnsi="Calibri" w:cs="Calibri"/>
          <w:sz w:val="22"/>
          <w:szCs w:val="22"/>
        </w:rPr>
        <w:t xml:space="preserve">Figure 1 shows sequence of nail images from one patient over a </w:t>
      </w:r>
      <w:r w:rsidR="00193924">
        <w:rPr>
          <w:rFonts w:ascii="Calibri" w:eastAsia="Calibri" w:hAnsi="Calibri" w:cs="Calibri"/>
          <w:sz w:val="22"/>
          <w:szCs w:val="22"/>
        </w:rPr>
        <w:t>four</w:t>
      </w:r>
      <w:r w:rsidR="00B64FE3">
        <w:rPr>
          <w:rFonts w:ascii="Calibri" w:eastAsia="Calibri" w:hAnsi="Calibri" w:cs="Calibri"/>
          <w:sz w:val="22"/>
          <w:szCs w:val="22"/>
        </w:rPr>
        <w:t xml:space="preserve"> year period. </w:t>
      </w:r>
      <w:r>
        <w:rPr>
          <w:rFonts w:ascii="Calibri" w:eastAsia="Calibri" w:hAnsi="Calibri" w:cs="Calibri"/>
          <w:sz w:val="22"/>
          <w:szCs w:val="22"/>
        </w:rPr>
        <w:t xml:space="preserve">The limbs </w:t>
      </w:r>
      <w:r w:rsidR="007862EC">
        <w:rPr>
          <w:rFonts w:ascii="Calibri" w:eastAsia="Calibri" w:hAnsi="Calibri" w:cs="Calibri"/>
          <w:sz w:val="22"/>
          <w:szCs w:val="22"/>
        </w:rPr>
        <w:t xml:space="preserve">were </w:t>
      </w:r>
      <w:r>
        <w:rPr>
          <w:rFonts w:ascii="Calibri" w:eastAsia="Calibri" w:hAnsi="Calibri" w:cs="Calibri"/>
          <w:sz w:val="22"/>
          <w:szCs w:val="22"/>
        </w:rPr>
        <w:t xml:space="preserve">examined for signs of edema </w:t>
      </w:r>
      <w:r w:rsidR="00936C48">
        <w:rPr>
          <w:rFonts w:ascii="Calibri" w:eastAsia="Calibri" w:hAnsi="Calibri" w:cs="Calibri"/>
          <w:sz w:val="22"/>
          <w:szCs w:val="22"/>
        </w:rPr>
        <w:t>(</w:t>
      </w:r>
      <w:r>
        <w:rPr>
          <w:rFonts w:ascii="Calibri" w:eastAsia="Calibri" w:hAnsi="Calibri" w:cs="Calibri"/>
          <w:sz w:val="22"/>
          <w:szCs w:val="22"/>
        </w:rPr>
        <w:t>loss of skin translucency; increased skin and subcutis thickness; pitting edema; smoothing of contours around joints</w:t>
      </w:r>
      <w:r w:rsidR="00936C48">
        <w:rPr>
          <w:rFonts w:ascii="Calibri" w:eastAsia="Calibri" w:hAnsi="Calibri" w:cs="Calibri"/>
          <w:sz w:val="22"/>
          <w:szCs w:val="22"/>
        </w:rPr>
        <w:t>)</w:t>
      </w:r>
      <w:r>
        <w:rPr>
          <w:rFonts w:ascii="Calibri" w:eastAsia="Calibri" w:hAnsi="Calibri" w:cs="Calibri"/>
          <w:sz w:val="22"/>
          <w:szCs w:val="22"/>
        </w:rPr>
        <w:t xml:space="preserve"> and the toes were tested for Stemmer’s sign</w:t>
      </w:r>
      <w:r w:rsidR="00D14DF0">
        <w:rPr>
          <w:rFonts w:ascii="Calibri" w:eastAsia="Calibri" w:hAnsi="Calibri" w:cs="Calibri"/>
          <w:sz w:val="22"/>
          <w:szCs w:val="22"/>
        </w:rPr>
        <w:t>.</w:t>
      </w:r>
      <w:r w:rsidR="00B2412D" w:rsidRPr="00F65711">
        <w:rPr>
          <w:rFonts w:ascii="Calibri" w:eastAsia="Calibri" w:hAnsi="Calibri" w:cs="Calibri"/>
          <w:sz w:val="22"/>
          <w:szCs w:val="22"/>
          <w:vertAlign w:val="superscript"/>
        </w:rPr>
        <w:t>14,15</w:t>
      </w:r>
      <w:r w:rsidR="00D14DF0">
        <w:rPr>
          <w:rFonts w:ascii="Calibri" w:eastAsia="Calibri" w:hAnsi="Calibri" w:cs="Calibri"/>
          <w:sz w:val="22"/>
          <w:szCs w:val="22"/>
        </w:rPr>
        <w:t xml:space="preserve"> </w:t>
      </w:r>
      <w:r w:rsidR="00110914">
        <w:rPr>
          <w:rFonts w:ascii="Calibri" w:eastAsia="Calibri" w:hAnsi="Calibri" w:cs="Calibri"/>
          <w:sz w:val="22"/>
          <w:szCs w:val="22"/>
        </w:rPr>
        <w:t xml:space="preserve">The </w:t>
      </w:r>
      <w:r w:rsidR="00D7192D">
        <w:rPr>
          <w:rFonts w:ascii="Calibri" w:eastAsia="Calibri" w:hAnsi="Calibri" w:cs="Calibri"/>
          <w:sz w:val="22"/>
          <w:szCs w:val="22"/>
        </w:rPr>
        <w:t xml:space="preserve">clinical </w:t>
      </w:r>
      <w:r w:rsidR="00110914">
        <w:rPr>
          <w:rFonts w:ascii="Calibri" w:eastAsia="Calibri" w:hAnsi="Calibri" w:cs="Calibri"/>
          <w:sz w:val="22"/>
          <w:szCs w:val="22"/>
        </w:rPr>
        <w:t xml:space="preserve">findings are </w:t>
      </w:r>
      <w:r w:rsidR="00D85729">
        <w:rPr>
          <w:rFonts w:ascii="Calibri" w:eastAsia="Calibri" w:hAnsi="Calibri" w:cs="Calibri"/>
          <w:sz w:val="22"/>
          <w:szCs w:val="22"/>
        </w:rPr>
        <w:t>shown</w:t>
      </w:r>
      <w:r w:rsidR="00AC71D0">
        <w:rPr>
          <w:rFonts w:ascii="Calibri" w:eastAsia="Calibri" w:hAnsi="Calibri" w:cs="Calibri"/>
          <w:sz w:val="22"/>
          <w:szCs w:val="22"/>
        </w:rPr>
        <w:t xml:space="preserve"> </w:t>
      </w:r>
      <w:r w:rsidR="00110914">
        <w:rPr>
          <w:rFonts w:ascii="Calibri" w:eastAsia="Calibri" w:hAnsi="Calibri" w:cs="Calibri"/>
          <w:sz w:val="22"/>
          <w:szCs w:val="22"/>
        </w:rPr>
        <w:t xml:space="preserve">in </w:t>
      </w:r>
      <w:r w:rsidR="0026517F">
        <w:rPr>
          <w:rFonts w:ascii="Calibri" w:eastAsia="Calibri" w:hAnsi="Calibri" w:cs="Calibri"/>
          <w:sz w:val="22"/>
          <w:szCs w:val="22"/>
        </w:rPr>
        <w:t xml:space="preserve">Table 1. </w:t>
      </w:r>
      <w:r>
        <w:rPr>
          <w:rFonts w:ascii="Calibri" w:eastAsia="Calibri" w:hAnsi="Calibri" w:cs="Calibri"/>
          <w:sz w:val="22"/>
          <w:szCs w:val="22"/>
        </w:rPr>
        <w:t>The controls were similarly assessed to exclude lymphedema</w:t>
      </w:r>
      <w:r w:rsidR="00B2789A">
        <w:rPr>
          <w:rFonts w:ascii="Calibri" w:eastAsia="Calibri" w:hAnsi="Calibri" w:cs="Calibri"/>
          <w:sz w:val="22"/>
          <w:szCs w:val="22"/>
        </w:rPr>
        <w:t xml:space="preserve"> and</w:t>
      </w:r>
      <w:r>
        <w:rPr>
          <w:rFonts w:ascii="Calibri" w:eastAsia="Calibri" w:hAnsi="Calibri" w:cs="Calibri"/>
          <w:sz w:val="22"/>
          <w:szCs w:val="22"/>
        </w:rPr>
        <w:t xml:space="preserve"> nail </w:t>
      </w:r>
      <w:r w:rsidR="005410AE">
        <w:rPr>
          <w:rFonts w:ascii="Calibri" w:eastAsia="Calibri" w:hAnsi="Calibri" w:cs="Calibri"/>
          <w:sz w:val="22"/>
          <w:szCs w:val="22"/>
        </w:rPr>
        <w:t>abnorm</w:t>
      </w:r>
      <w:r w:rsidR="00915821">
        <w:rPr>
          <w:rFonts w:ascii="Calibri" w:eastAsia="Calibri" w:hAnsi="Calibri" w:cs="Calibri"/>
          <w:sz w:val="22"/>
          <w:szCs w:val="22"/>
        </w:rPr>
        <w:t>a</w:t>
      </w:r>
      <w:r w:rsidR="005410AE">
        <w:rPr>
          <w:rFonts w:ascii="Calibri" w:eastAsia="Calibri" w:hAnsi="Calibri" w:cs="Calibri"/>
          <w:sz w:val="22"/>
          <w:szCs w:val="22"/>
        </w:rPr>
        <w:t>lities</w:t>
      </w:r>
      <w:r>
        <w:rPr>
          <w:rFonts w:ascii="Calibri" w:eastAsia="Calibri" w:hAnsi="Calibri" w:cs="Calibri"/>
          <w:sz w:val="22"/>
          <w:szCs w:val="22"/>
        </w:rPr>
        <w:t>.</w:t>
      </w:r>
    </w:p>
    <w:p w14:paraId="0E01FED0" w14:textId="77777777" w:rsidR="00857EEB" w:rsidRDefault="00857EEB">
      <w:pPr>
        <w:pStyle w:val="BodyA"/>
        <w:spacing w:after="0" w:line="480" w:lineRule="auto"/>
      </w:pPr>
    </w:p>
    <w:p w14:paraId="7D991BF8" w14:textId="77777777" w:rsidR="00857EEB" w:rsidRDefault="006313F4">
      <w:pPr>
        <w:pStyle w:val="BodyA"/>
        <w:spacing w:after="0" w:line="480" w:lineRule="auto"/>
        <w:rPr>
          <w:sz w:val="24"/>
          <w:szCs w:val="24"/>
          <w:lang w:val="nl-NL"/>
        </w:rPr>
      </w:pPr>
      <w:r>
        <w:rPr>
          <w:sz w:val="24"/>
          <w:szCs w:val="24"/>
          <w:lang w:val="nl-NL"/>
        </w:rPr>
        <w:t>Lymphoscintigraphy</w:t>
      </w:r>
    </w:p>
    <w:p w14:paraId="75D2F1F3" w14:textId="38F18F32" w:rsidR="00857EEB" w:rsidRDefault="006313F4">
      <w:pPr>
        <w:pStyle w:val="BodyA"/>
        <w:spacing w:after="0" w:line="480" w:lineRule="auto"/>
      </w:pPr>
      <w:r>
        <w:t>Four-limb lymphoscintigraphy was performed</w:t>
      </w:r>
      <w:r w:rsidR="00193924">
        <w:t xml:space="preserve"> according to standard</w:t>
      </w:r>
      <w:r w:rsidR="00F96D8D">
        <w:t xml:space="preserve"> local</w:t>
      </w:r>
      <w:r w:rsidR="00193924">
        <w:t xml:space="preserve"> procedure</w:t>
      </w:r>
      <w:r>
        <w:t xml:space="preserve">. </w:t>
      </w:r>
      <w:r>
        <w:rPr>
          <w:vertAlign w:val="superscript"/>
        </w:rPr>
        <w:t>99m</w:t>
      </w:r>
      <w:r>
        <w:t>Tc-Nanocoll (0.2 ml, 25 MBq; GE Healthcare, Little Chalfont, Buckinghamshire, UK) was injected subcutaneously into the web space between the first and second metacarpophalangeal joints of each hand and between the first and second toes of each foot. Imaging was performed using a single head Argus Epic gamma camera (MIC Ltd</w:t>
      </w:r>
      <w:r w:rsidR="00F818A6">
        <w:t>.</w:t>
      </w:r>
      <w:r>
        <w:t>, Fleet, Hampshire, UK; 128 x 128 matrix, low-energy general purpose collimator). Static images (</w:t>
      </w:r>
      <w:r w:rsidR="004A7D75">
        <w:t>2</w:t>
      </w:r>
      <w:r w:rsidR="006A59C0">
        <w:t>-</w:t>
      </w:r>
      <w:r w:rsidR="004A7D75">
        <w:t>min</w:t>
      </w:r>
      <w:r w:rsidR="006A59C0">
        <w:t>ute</w:t>
      </w:r>
      <w:r w:rsidR="004A7D75">
        <w:t xml:space="preserve"> acquisitions</w:t>
      </w:r>
      <w:r>
        <w:t xml:space="preserve">) of the hands and feet were obtained immediately post-injection and at </w:t>
      </w:r>
      <w:r w:rsidR="004A7D75">
        <w:t>1 h</w:t>
      </w:r>
      <w:r w:rsidR="006A59C0">
        <w:t>our</w:t>
      </w:r>
      <w:r>
        <w:t xml:space="preserve"> and </w:t>
      </w:r>
      <w:r w:rsidR="004A7D75">
        <w:t>2 h</w:t>
      </w:r>
      <w:r w:rsidR="006A59C0">
        <w:t>ours</w:t>
      </w:r>
      <w:r w:rsidR="006A59C0" w:rsidRPr="006A59C0">
        <w:rPr>
          <w:rFonts w:ascii="Times New Roman" w:eastAsia="Arial Unicode MS" w:hAnsi="Times New Roman" w:cs="Times New Roman"/>
          <w:color w:val="auto"/>
          <w:sz w:val="24"/>
          <w:szCs w:val="24"/>
          <w:lang w:eastAsia="en-US"/>
        </w:rPr>
        <w:t xml:space="preserve"> </w:t>
      </w:r>
      <w:r w:rsidR="006A59C0" w:rsidRPr="006A59C0">
        <w:t>post-injection</w:t>
      </w:r>
      <w:r w:rsidR="000B186C">
        <w:t>,</w:t>
      </w:r>
      <w:r>
        <w:t xml:space="preserve"> </w:t>
      </w:r>
      <w:r w:rsidR="000B186C">
        <w:t>and of</w:t>
      </w:r>
      <w:r>
        <w:t xml:space="preserve"> the axillary and ilio-inguinal lymph nodes at </w:t>
      </w:r>
      <w:r w:rsidR="004A7D75">
        <w:t>2 h</w:t>
      </w:r>
      <w:r w:rsidR="006A59C0">
        <w:t xml:space="preserve">ours </w:t>
      </w:r>
      <w:r w:rsidR="006A59C0" w:rsidRPr="006A59C0">
        <w:t>post-injection</w:t>
      </w:r>
      <w:r w:rsidR="00451F44">
        <w:t>.</w:t>
      </w:r>
      <w:r>
        <w:t xml:space="preserve"> </w:t>
      </w:r>
      <w:r w:rsidR="00451F44">
        <w:t>D</w:t>
      </w:r>
      <w:r>
        <w:t>ynamic whole body images were obtained at 15 min</w:t>
      </w:r>
      <w:r w:rsidR="006A59C0">
        <w:t>utes</w:t>
      </w:r>
      <w:r>
        <w:t xml:space="preserve"> and </w:t>
      </w:r>
      <w:r w:rsidR="004A7D75">
        <w:t>2 h</w:t>
      </w:r>
      <w:r w:rsidR="006A59C0">
        <w:t>ours</w:t>
      </w:r>
      <w:r w:rsidR="006A59C0" w:rsidRPr="006A59C0">
        <w:rPr>
          <w:rFonts w:ascii="Times New Roman" w:eastAsia="Arial Unicode MS" w:hAnsi="Times New Roman" w:cs="Times New Roman"/>
          <w:color w:val="auto"/>
          <w:sz w:val="24"/>
          <w:szCs w:val="24"/>
          <w:lang w:eastAsia="en-US"/>
        </w:rPr>
        <w:t xml:space="preserve"> </w:t>
      </w:r>
      <w:r w:rsidR="006A59C0" w:rsidRPr="006A59C0">
        <w:t>post-injection</w:t>
      </w:r>
      <w:r>
        <w:t xml:space="preserve">. Participants were sitting for hand imaging and </w:t>
      </w:r>
      <w:r w:rsidR="00BD3865">
        <w:t xml:space="preserve">otherwise </w:t>
      </w:r>
      <w:r>
        <w:t>supine. No exercise was performed.</w:t>
      </w:r>
      <w:r w:rsidR="00327100">
        <w:t xml:space="preserve"> </w:t>
      </w:r>
      <w:r w:rsidR="00725C77" w:rsidRPr="0018343E">
        <w:t>Two YNS scans and one control scan were of insufficient quality and were excluded</w:t>
      </w:r>
      <w:r w:rsidR="00725C77">
        <w:t xml:space="preserve">. </w:t>
      </w:r>
      <w:r w:rsidR="00930DE7">
        <w:t>Figure 2 shows w</w:t>
      </w:r>
      <w:r w:rsidR="006B5332">
        <w:t>hole body images</w:t>
      </w:r>
      <w:r w:rsidR="003E35E9">
        <w:t xml:space="preserve"> </w:t>
      </w:r>
      <w:r w:rsidR="00930DE7">
        <w:t xml:space="preserve">at </w:t>
      </w:r>
      <w:r w:rsidR="0008071D">
        <w:t>2 h</w:t>
      </w:r>
      <w:r w:rsidR="006A59C0">
        <w:t>ours</w:t>
      </w:r>
      <w:r w:rsidR="003E35E9">
        <w:t>.</w:t>
      </w:r>
    </w:p>
    <w:p w14:paraId="3898F708" w14:textId="77777777" w:rsidR="00857EEB" w:rsidRPr="00540D29" w:rsidRDefault="00857EEB">
      <w:pPr>
        <w:pStyle w:val="BodyA"/>
        <w:spacing w:after="0" w:line="480" w:lineRule="auto"/>
      </w:pPr>
    </w:p>
    <w:p w14:paraId="5F49BC34" w14:textId="77777777" w:rsidR="00261316" w:rsidRDefault="00261316">
      <w:pPr>
        <w:pStyle w:val="BodyA"/>
        <w:spacing w:after="0" w:line="480" w:lineRule="auto"/>
        <w:rPr>
          <w:sz w:val="24"/>
          <w:szCs w:val="24"/>
        </w:rPr>
      </w:pPr>
      <w:r>
        <w:rPr>
          <w:sz w:val="24"/>
          <w:szCs w:val="24"/>
        </w:rPr>
        <w:t>Quantitative analysis of lymph scans</w:t>
      </w:r>
    </w:p>
    <w:p w14:paraId="2AC60FFA" w14:textId="76BEEAC3" w:rsidR="00857EEB" w:rsidRDefault="00BF2A59">
      <w:pPr>
        <w:pStyle w:val="BodyA"/>
        <w:spacing w:after="0" w:line="480" w:lineRule="auto"/>
      </w:pPr>
      <w:r>
        <w:lastRenderedPageBreak/>
        <w:t>R</w:t>
      </w:r>
      <w:r w:rsidR="00261316">
        <w:t>egion</w:t>
      </w:r>
      <w:r>
        <w:t>s</w:t>
      </w:r>
      <w:r w:rsidR="00261316">
        <w:t xml:space="preserve"> of interest </w:t>
      </w:r>
      <w:r w:rsidR="00261316" w:rsidRPr="00C34E10">
        <w:t>w</w:t>
      </w:r>
      <w:r>
        <w:t xml:space="preserve">ere </w:t>
      </w:r>
      <w:r w:rsidR="00261316" w:rsidRPr="00C34E10">
        <w:t xml:space="preserve">drawn </w:t>
      </w:r>
      <w:r w:rsidR="00261316">
        <w:t>around</w:t>
      </w:r>
      <w:r w:rsidR="00261316" w:rsidRPr="00C34E10">
        <w:t xml:space="preserve"> </w:t>
      </w:r>
      <w:r w:rsidR="00B75B36">
        <w:t>the</w:t>
      </w:r>
      <w:r w:rsidR="00B75B36" w:rsidRPr="00C34E10">
        <w:t xml:space="preserve"> </w:t>
      </w:r>
      <w:r w:rsidR="00261316">
        <w:t>regional lymph node</w:t>
      </w:r>
      <w:r w:rsidR="00B75B36">
        <w:t>s</w:t>
      </w:r>
      <w:r w:rsidR="00261316">
        <w:t xml:space="preserve"> and depot</w:t>
      </w:r>
      <w:r w:rsidR="00B75B36">
        <w:t>s.</w:t>
      </w:r>
      <w:r w:rsidR="00261316">
        <w:t xml:space="preserve"> </w:t>
      </w:r>
      <w:r w:rsidR="00B75B36">
        <w:t>L</w:t>
      </w:r>
      <w:r w:rsidR="00261316">
        <w:t xml:space="preserve">ymphatic function </w:t>
      </w:r>
      <w:r w:rsidR="00B75B36">
        <w:t xml:space="preserve">was assessed </w:t>
      </w:r>
      <w:r w:rsidR="00261316">
        <w:t xml:space="preserve">quantitatively </w:t>
      </w:r>
      <w:r>
        <w:t>as the regional nodal</w:t>
      </w:r>
      <w:r w:rsidRPr="00C34E10">
        <w:t xml:space="preserve"> uptake </w:t>
      </w:r>
      <w:r>
        <w:t>at 2 h</w:t>
      </w:r>
      <w:r w:rsidR="0088454C">
        <w:t>ours</w:t>
      </w:r>
      <w:r>
        <w:t xml:space="preserve">. </w:t>
      </w:r>
      <w:r w:rsidR="00B37D96">
        <w:t>N</w:t>
      </w:r>
      <w:r w:rsidR="00F940F8">
        <w:t xml:space="preserve">odal uptake </w:t>
      </w:r>
      <w:r w:rsidR="00B75B36">
        <w:t>was</w:t>
      </w:r>
      <w:r w:rsidR="00261316" w:rsidRPr="00262FFD">
        <w:t xml:space="preserve"> </w:t>
      </w:r>
      <w:r w:rsidR="00F940F8">
        <w:t xml:space="preserve">the nodal </w:t>
      </w:r>
      <w:r w:rsidR="00152543">
        <w:t xml:space="preserve">activity </w:t>
      </w:r>
      <w:r w:rsidR="00B26FBB">
        <w:t xml:space="preserve">expressed </w:t>
      </w:r>
      <w:r w:rsidR="00F940F8">
        <w:t xml:space="preserve">as </w:t>
      </w:r>
      <w:r w:rsidR="00261316" w:rsidRPr="00262FFD">
        <w:t xml:space="preserve">a percentage of the </w:t>
      </w:r>
      <w:r w:rsidR="00261316">
        <w:t>activity in the hand or foot depot post-injection</w:t>
      </w:r>
      <w:r w:rsidR="001C5C92">
        <w:t>,</w:t>
      </w:r>
      <w:r w:rsidR="001C5C92" w:rsidRPr="001C5C92">
        <w:rPr>
          <w:rFonts w:ascii="Times New Roman" w:eastAsia="Arial Unicode MS" w:hAnsi="Times New Roman" w:cs="Times New Roman"/>
          <w:color w:val="auto"/>
          <w:sz w:val="24"/>
          <w:szCs w:val="24"/>
          <w:lang w:eastAsia="en-US"/>
        </w:rPr>
        <w:t xml:space="preserve"> </w:t>
      </w:r>
      <w:r w:rsidR="001C5C92" w:rsidRPr="001C5C92">
        <w:t>corrected for radioactive decay</w:t>
      </w:r>
      <w:r w:rsidR="00261316" w:rsidRPr="00262FFD">
        <w:t xml:space="preserve">. Reduced lymph transport was assumed if &lt; 3% of the injected radioactivity is </w:t>
      </w:r>
      <w:r w:rsidR="00261316">
        <w:t>present</w:t>
      </w:r>
      <w:r w:rsidR="00261316" w:rsidRPr="00262FFD">
        <w:t xml:space="preserve"> in the axilla</w:t>
      </w:r>
      <w:r w:rsidR="00261316">
        <w:t>ry</w:t>
      </w:r>
      <w:r w:rsidR="00261316" w:rsidRPr="00262FFD">
        <w:t xml:space="preserve"> </w:t>
      </w:r>
      <w:r w:rsidR="00261316">
        <w:t xml:space="preserve">nodes </w:t>
      </w:r>
      <w:r w:rsidR="00261316" w:rsidRPr="00262FFD">
        <w:t xml:space="preserve">and &lt; 8% in the ilio-inguinal nodes at </w:t>
      </w:r>
      <w:r w:rsidR="002A758B">
        <w:t>2 h</w:t>
      </w:r>
      <w:r w:rsidR="0088454C">
        <w:t>ours</w:t>
      </w:r>
      <w:r w:rsidR="00BB5D64">
        <w:t xml:space="preserve">, </w:t>
      </w:r>
      <w:r w:rsidR="00CA5E88">
        <w:t>thresholds</w:t>
      </w:r>
      <w:r w:rsidR="00BB5D64">
        <w:t xml:space="preserve"> </w:t>
      </w:r>
      <w:r w:rsidR="00AC0BAE">
        <w:t xml:space="preserve">obtained from normative patient data and </w:t>
      </w:r>
      <w:r w:rsidR="00BB5D64">
        <w:t>use</w:t>
      </w:r>
      <w:r w:rsidR="00CA5E88">
        <w:t>d</w:t>
      </w:r>
      <w:r w:rsidR="00BB5D64">
        <w:t xml:space="preserve"> </w:t>
      </w:r>
      <w:r w:rsidR="00CA5E88">
        <w:t xml:space="preserve">in lymph scan assessment </w:t>
      </w:r>
      <w:r w:rsidR="00BB5D64">
        <w:t>at St George’s Hospital</w:t>
      </w:r>
      <w:r w:rsidR="00606A12">
        <w:t xml:space="preserve"> </w:t>
      </w:r>
      <w:r w:rsidR="0093588E">
        <w:t>and elsewhere</w:t>
      </w:r>
      <w:r w:rsidR="00CA3D2B" w:rsidRPr="002B6340">
        <w:t>.</w:t>
      </w:r>
      <w:r w:rsidR="00B2412D" w:rsidRPr="00F65711">
        <w:rPr>
          <w:vertAlign w:val="superscript"/>
        </w:rPr>
        <w:t>16</w:t>
      </w:r>
      <w:r w:rsidR="00CA3D2B" w:rsidRPr="00262FFD">
        <w:t xml:space="preserve"> </w:t>
      </w:r>
      <w:r w:rsidR="001C5C92" w:rsidRPr="001C5C92">
        <w:t>Image analysis was performed independently by two operators to verify the nodal uptake values</w:t>
      </w:r>
      <w:r w:rsidR="00261316">
        <w:t>.</w:t>
      </w:r>
    </w:p>
    <w:p w14:paraId="0B5FB1AE" w14:textId="77777777" w:rsidR="00857EEB" w:rsidRPr="00540D29" w:rsidRDefault="00857EEB">
      <w:pPr>
        <w:pStyle w:val="NormalWeb"/>
        <w:shd w:val="clear" w:color="auto" w:fill="FFFFFF"/>
        <w:spacing w:line="480" w:lineRule="auto"/>
        <w:rPr>
          <w:rFonts w:ascii="Calibri" w:hAnsi="Calibri"/>
          <w:sz w:val="22"/>
          <w:szCs w:val="22"/>
        </w:rPr>
      </w:pPr>
    </w:p>
    <w:p w14:paraId="71301B1A" w14:textId="77777777" w:rsidR="00A16E3D" w:rsidRPr="00A16E3D" w:rsidRDefault="00A16E3D" w:rsidP="00A16E3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480" w:lineRule="auto"/>
        <w:rPr>
          <w:rFonts w:ascii="Calibri" w:eastAsia="Times New Roman" w:hAnsi="Calibri"/>
          <w:color w:val="000000"/>
          <w:bdr w:val="none" w:sz="0" w:space="0" w:color="auto"/>
          <w:lang w:val="en-GB" w:eastAsia="en-GB"/>
        </w:rPr>
      </w:pPr>
      <w:r w:rsidRPr="00A16E3D">
        <w:rPr>
          <w:rFonts w:ascii="Calibri" w:eastAsia="Times New Roman" w:hAnsi="Calibri"/>
          <w:color w:val="000000"/>
          <w:bdr w:val="none" w:sz="0" w:space="0" w:color="auto"/>
          <w:lang w:val="en-GB" w:eastAsia="en-GB"/>
        </w:rPr>
        <w:t xml:space="preserve">Combined </w:t>
      </w:r>
      <w:r w:rsidR="00375E46">
        <w:rPr>
          <w:rFonts w:ascii="Calibri" w:eastAsia="Times New Roman" w:hAnsi="Calibri"/>
          <w:color w:val="000000"/>
          <w:bdr w:val="none" w:sz="0" w:space="0" w:color="auto"/>
          <w:lang w:val="en-GB" w:eastAsia="en-GB"/>
        </w:rPr>
        <w:t>qualitative</w:t>
      </w:r>
      <w:r w:rsidR="00375E46" w:rsidRPr="00A16E3D">
        <w:rPr>
          <w:rFonts w:ascii="Calibri" w:eastAsia="Times New Roman" w:hAnsi="Calibri"/>
          <w:color w:val="000000"/>
          <w:bdr w:val="none" w:sz="0" w:space="0" w:color="auto"/>
          <w:lang w:val="en-GB" w:eastAsia="en-GB"/>
        </w:rPr>
        <w:t xml:space="preserve"> </w:t>
      </w:r>
      <w:r w:rsidRPr="00A16E3D">
        <w:rPr>
          <w:rFonts w:ascii="Calibri" w:eastAsia="Times New Roman" w:hAnsi="Calibri"/>
          <w:color w:val="000000"/>
          <w:bdr w:val="none" w:sz="0" w:space="0" w:color="auto"/>
          <w:lang w:val="en-GB" w:eastAsia="en-GB"/>
        </w:rPr>
        <w:t xml:space="preserve">and quantitative </w:t>
      </w:r>
      <w:r w:rsidR="00D572E9">
        <w:rPr>
          <w:rFonts w:ascii="Calibri" w:eastAsia="Times New Roman" w:hAnsi="Calibri"/>
          <w:color w:val="000000"/>
          <w:bdr w:val="none" w:sz="0" w:space="0" w:color="auto"/>
          <w:lang w:val="en-GB" w:eastAsia="en-GB"/>
        </w:rPr>
        <w:t>assessment</w:t>
      </w:r>
      <w:r w:rsidR="00D572E9" w:rsidRPr="00A16E3D">
        <w:rPr>
          <w:rFonts w:ascii="Calibri" w:eastAsia="Times New Roman" w:hAnsi="Calibri"/>
          <w:color w:val="000000"/>
          <w:bdr w:val="none" w:sz="0" w:space="0" w:color="auto"/>
          <w:lang w:val="en-GB" w:eastAsia="en-GB"/>
        </w:rPr>
        <w:t xml:space="preserve"> </w:t>
      </w:r>
      <w:r w:rsidRPr="00A16E3D">
        <w:rPr>
          <w:rFonts w:ascii="Calibri" w:eastAsia="Times New Roman" w:hAnsi="Calibri"/>
          <w:color w:val="000000"/>
          <w:bdr w:val="none" w:sz="0" w:space="0" w:color="auto"/>
          <w:lang w:val="en-GB" w:eastAsia="en-GB"/>
        </w:rPr>
        <w:t>of scans</w:t>
      </w:r>
    </w:p>
    <w:p w14:paraId="5D8CABCE" w14:textId="15412AA3" w:rsidR="00757CD6" w:rsidRPr="00D80350" w:rsidRDefault="00A16E3D" w:rsidP="00757CD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480" w:lineRule="auto"/>
        <w:rPr>
          <w:rFonts w:ascii="Calibri" w:eastAsia="Calibri" w:hAnsi="Calibri"/>
          <w:sz w:val="22"/>
          <w:szCs w:val="22"/>
          <w:bdr w:val="none" w:sz="0" w:space="0" w:color="auto"/>
          <w:lang w:val="en-GB" w:eastAsia="en-GB"/>
        </w:rPr>
      </w:pPr>
      <w:r w:rsidRPr="00D80350">
        <w:rPr>
          <w:rFonts w:ascii="Calibri" w:eastAsia="Times New Roman" w:hAnsi="Calibri"/>
          <w:color w:val="000000"/>
          <w:sz w:val="22"/>
          <w:szCs w:val="22"/>
          <w:bdr w:val="none" w:sz="0" w:space="0" w:color="auto"/>
          <w:lang w:val="en-GB" w:eastAsia="en-GB"/>
        </w:rPr>
        <w:t>The</w:t>
      </w:r>
      <w:r w:rsidRPr="00D80350">
        <w:rPr>
          <w:rFonts w:ascii="Calibri" w:eastAsia="Calibri" w:hAnsi="Calibri"/>
          <w:sz w:val="22"/>
          <w:szCs w:val="22"/>
          <w:bdr w:val="none" w:sz="0" w:space="0" w:color="auto"/>
          <w:lang w:val="en-GB" w:eastAsia="en-GB"/>
        </w:rPr>
        <w:t xml:space="preserve"> scans were inspected independently </w:t>
      </w:r>
      <w:r w:rsidRPr="00D80350">
        <w:rPr>
          <w:rFonts w:ascii="Calibri" w:eastAsia="Times New Roman" w:hAnsi="Calibri"/>
          <w:color w:val="000000"/>
          <w:sz w:val="22"/>
          <w:szCs w:val="22"/>
          <w:bdr w:val="none" w:sz="0" w:space="0" w:color="auto"/>
          <w:lang w:val="en-GB" w:eastAsia="en-GB"/>
        </w:rPr>
        <w:t xml:space="preserve">by </w:t>
      </w:r>
      <w:r w:rsidRPr="00D80350">
        <w:rPr>
          <w:rFonts w:ascii="Calibri" w:eastAsia="Calibri" w:hAnsi="Calibri"/>
          <w:sz w:val="22"/>
          <w:szCs w:val="22"/>
          <w:bdr w:val="none" w:sz="0" w:space="0" w:color="auto"/>
          <w:lang w:val="en-GB" w:eastAsia="en-GB"/>
        </w:rPr>
        <w:t xml:space="preserve">two consultants blinded to participant status. </w:t>
      </w:r>
      <w:r w:rsidR="00351B9C" w:rsidRPr="00D80350">
        <w:rPr>
          <w:rFonts w:ascii="Calibri" w:eastAsia="Calibri" w:hAnsi="Calibri"/>
          <w:sz w:val="22"/>
          <w:szCs w:val="22"/>
          <w:bdr w:val="none" w:sz="0" w:space="0" w:color="auto"/>
          <w:lang w:val="en-GB" w:eastAsia="en-GB"/>
        </w:rPr>
        <w:t>Abnormal m</w:t>
      </w:r>
      <w:r w:rsidRPr="00D80350">
        <w:rPr>
          <w:rFonts w:ascii="Calibri" w:eastAsia="Calibri" w:hAnsi="Calibri"/>
          <w:sz w:val="22"/>
          <w:szCs w:val="22"/>
          <w:bdr w:val="none" w:sz="0" w:space="0" w:color="auto"/>
          <w:lang w:val="en-GB" w:eastAsia="en-GB"/>
        </w:rPr>
        <w:t xml:space="preserve">orphological </w:t>
      </w:r>
      <w:r w:rsidR="00176D02" w:rsidRPr="00D80350">
        <w:rPr>
          <w:rFonts w:ascii="Calibri" w:eastAsia="Calibri" w:hAnsi="Calibri"/>
          <w:sz w:val="22"/>
          <w:szCs w:val="22"/>
          <w:bdr w:val="none" w:sz="0" w:space="0" w:color="auto"/>
          <w:lang w:val="en-GB" w:eastAsia="en-GB"/>
        </w:rPr>
        <w:t xml:space="preserve">features </w:t>
      </w:r>
      <w:r w:rsidRPr="00D80350">
        <w:rPr>
          <w:rFonts w:ascii="Calibri" w:eastAsia="Calibri" w:hAnsi="Calibri"/>
          <w:sz w:val="22"/>
          <w:szCs w:val="22"/>
          <w:bdr w:val="none" w:sz="0" w:space="0" w:color="auto"/>
          <w:lang w:val="en-GB" w:eastAsia="en-GB"/>
        </w:rPr>
        <w:t xml:space="preserve">were (i) </w:t>
      </w:r>
      <w:r w:rsidR="004B569C" w:rsidRPr="00D80350">
        <w:rPr>
          <w:rFonts w:ascii="Calibri" w:eastAsia="Calibri" w:hAnsi="Calibri"/>
          <w:sz w:val="22"/>
          <w:szCs w:val="22"/>
          <w:bdr w:val="none" w:sz="0" w:space="0" w:color="auto"/>
          <w:lang w:val="en-GB" w:eastAsia="en-GB"/>
        </w:rPr>
        <w:t xml:space="preserve">reduced </w:t>
      </w:r>
      <w:r w:rsidR="00F15865" w:rsidRPr="00D80350">
        <w:rPr>
          <w:rFonts w:ascii="Calibri" w:eastAsia="Calibri" w:hAnsi="Calibri"/>
          <w:sz w:val="22"/>
          <w:szCs w:val="22"/>
          <w:bdr w:val="none" w:sz="0" w:space="0" w:color="auto"/>
          <w:lang w:val="en-GB" w:eastAsia="en-GB"/>
        </w:rPr>
        <w:t xml:space="preserve">regional </w:t>
      </w:r>
      <w:r w:rsidR="004B569C" w:rsidRPr="00D80350">
        <w:rPr>
          <w:rFonts w:ascii="Calibri" w:eastAsia="Calibri" w:hAnsi="Calibri"/>
          <w:sz w:val="22"/>
          <w:szCs w:val="22"/>
          <w:bdr w:val="none" w:sz="0" w:space="0" w:color="auto"/>
          <w:lang w:val="en-GB" w:eastAsia="en-GB"/>
        </w:rPr>
        <w:t>nod</w:t>
      </w:r>
      <w:r w:rsidR="00F15865" w:rsidRPr="00D80350">
        <w:rPr>
          <w:rFonts w:ascii="Calibri" w:eastAsia="Calibri" w:hAnsi="Calibri"/>
          <w:sz w:val="22"/>
          <w:szCs w:val="22"/>
          <w:bdr w:val="none" w:sz="0" w:space="0" w:color="auto"/>
          <w:lang w:val="en-GB" w:eastAsia="en-GB"/>
        </w:rPr>
        <w:t>e</w:t>
      </w:r>
      <w:r w:rsidR="004B569C" w:rsidRPr="00D80350">
        <w:rPr>
          <w:rFonts w:ascii="Calibri" w:eastAsia="Calibri" w:hAnsi="Calibri"/>
          <w:sz w:val="22"/>
          <w:szCs w:val="22"/>
          <w:bdr w:val="none" w:sz="0" w:space="0" w:color="auto"/>
          <w:lang w:val="en-GB" w:eastAsia="en-GB"/>
        </w:rPr>
        <w:t xml:space="preserve"> and </w:t>
      </w:r>
      <w:r w:rsidR="00F15865" w:rsidRPr="00D80350">
        <w:rPr>
          <w:rFonts w:ascii="Calibri" w:eastAsia="Calibri" w:hAnsi="Calibri"/>
          <w:sz w:val="22"/>
          <w:szCs w:val="22"/>
          <w:bdr w:val="none" w:sz="0" w:space="0" w:color="auto"/>
          <w:lang w:val="en-GB" w:eastAsia="en-GB"/>
        </w:rPr>
        <w:t xml:space="preserve">lymphatic </w:t>
      </w:r>
      <w:r w:rsidR="00E2649B" w:rsidRPr="00D80350">
        <w:rPr>
          <w:rFonts w:ascii="Calibri" w:eastAsia="Calibri" w:hAnsi="Calibri"/>
          <w:sz w:val="22"/>
          <w:szCs w:val="22"/>
          <w:bdr w:val="none" w:sz="0" w:space="0" w:color="auto"/>
          <w:lang w:val="en-GB" w:eastAsia="en-GB"/>
        </w:rPr>
        <w:t xml:space="preserve">tract </w:t>
      </w:r>
      <w:r w:rsidR="004B569C" w:rsidRPr="00D80350">
        <w:rPr>
          <w:rFonts w:ascii="Calibri" w:eastAsia="Calibri" w:hAnsi="Calibri"/>
          <w:sz w:val="22"/>
          <w:szCs w:val="22"/>
          <w:bdr w:val="none" w:sz="0" w:space="0" w:color="auto"/>
          <w:lang w:val="en-GB" w:eastAsia="en-GB"/>
        </w:rPr>
        <w:t>imaging</w:t>
      </w:r>
      <w:r w:rsidR="00BF7A23" w:rsidRPr="00D80350">
        <w:rPr>
          <w:rFonts w:ascii="Calibri" w:eastAsia="Calibri" w:hAnsi="Calibri"/>
          <w:sz w:val="22"/>
          <w:szCs w:val="22"/>
          <w:bdr w:val="none" w:sz="0" w:space="0" w:color="auto"/>
          <w:lang w:val="en-GB" w:eastAsia="en-GB"/>
        </w:rPr>
        <w:t xml:space="preserve"> (delay)</w:t>
      </w:r>
      <w:r w:rsidR="004B569C" w:rsidRPr="00D80350">
        <w:rPr>
          <w:rFonts w:ascii="Calibri" w:eastAsia="Calibri" w:hAnsi="Calibri"/>
          <w:sz w:val="22"/>
          <w:szCs w:val="22"/>
          <w:bdr w:val="none" w:sz="0" w:space="0" w:color="auto"/>
          <w:lang w:val="en-GB" w:eastAsia="en-GB"/>
        </w:rPr>
        <w:t xml:space="preserve">, in </w:t>
      </w:r>
      <w:r w:rsidR="002534AC" w:rsidRPr="00D80350">
        <w:rPr>
          <w:rFonts w:ascii="Calibri" w:eastAsia="Calibri" w:hAnsi="Calibri"/>
          <w:sz w:val="22"/>
          <w:szCs w:val="22"/>
          <w:bdr w:val="none" w:sz="0" w:space="0" w:color="auto"/>
          <w:lang w:val="en-GB" w:eastAsia="en-GB"/>
        </w:rPr>
        <w:t xml:space="preserve">advanced </w:t>
      </w:r>
      <w:r w:rsidR="004B569C" w:rsidRPr="00D80350">
        <w:rPr>
          <w:rFonts w:ascii="Calibri" w:eastAsia="Calibri" w:hAnsi="Calibri"/>
          <w:sz w:val="22"/>
          <w:szCs w:val="22"/>
          <w:bdr w:val="none" w:sz="0" w:space="0" w:color="auto"/>
          <w:lang w:val="en-GB" w:eastAsia="en-GB"/>
        </w:rPr>
        <w:t xml:space="preserve">cases </w:t>
      </w:r>
      <w:r w:rsidR="002534AC" w:rsidRPr="00D80350">
        <w:rPr>
          <w:rFonts w:ascii="Calibri" w:eastAsia="Calibri" w:hAnsi="Calibri"/>
          <w:sz w:val="22"/>
          <w:szCs w:val="22"/>
          <w:bdr w:val="none" w:sz="0" w:space="0" w:color="auto"/>
          <w:lang w:val="en-GB" w:eastAsia="en-GB"/>
        </w:rPr>
        <w:t xml:space="preserve">functional </w:t>
      </w:r>
      <w:r w:rsidR="004B569C" w:rsidRPr="00D80350">
        <w:rPr>
          <w:rFonts w:ascii="Calibri" w:eastAsia="Calibri" w:hAnsi="Calibri"/>
          <w:sz w:val="22"/>
          <w:szCs w:val="22"/>
          <w:bdr w:val="none" w:sz="0" w:space="0" w:color="auto"/>
          <w:lang w:val="en-GB" w:eastAsia="en-GB"/>
        </w:rPr>
        <w:t>aplasia</w:t>
      </w:r>
      <w:r w:rsidR="00193924" w:rsidRPr="00D80350">
        <w:rPr>
          <w:rFonts w:ascii="Calibri" w:eastAsia="Calibri" w:hAnsi="Calibri"/>
          <w:sz w:val="22"/>
          <w:szCs w:val="22"/>
          <w:bdr w:val="none" w:sz="0" w:space="0" w:color="auto"/>
          <w:lang w:val="en-GB" w:eastAsia="en-GB"/>
        </w:rPr>
        <w:t xml:space="preserve"> (no imaging of tracks </w:t>
      </w:r>
      <w:r w:rsidR="00FB6E46" w:rsidRPr="00D80350">
        <w:rPr>
          <w:rFonts w:ascii="Calibri" w:eastAsia="Calibri" w:hAnsi="Calibri"/>
          <w:sz w:val="22"/>
          <w:szCs w:val="22"/>
          <w:bdr w:val="none" w:sz="0" w:space="0" w:color="auto"/>
          <w:lang w:val="en-GB" w:eastAsia="en-GB"/>
        </w:rPr>
        <w:t>and</w:t>
      </w:r>
      <w:r w:rsidR="00193924" w:rsidRPr="00D80350">
        <w:rPr>
          <w:rFonts w:ascii="Calibri" w:eastAsia="Calibri" w:hAnsi="Calibri"/>
          <w:sz w:val="22"/>
          <w:szCs w:val="22"/>
          <w:bdr w:val="none" w:sz="0" w:space="0" w:color="auto"/>
          <w:lang w:val="en-GB" w:eastAsia="en-GB"/>
        </w:rPr>
        <w:t xml:space="preserve"> nodes)</w:t>
      </w:r>
      <w:r w:rsidR="00DE465F" w:rsidRPr="00D80350">
        <w:rPr>
          <w:rFonts w:ascii="Calibri" w:eastAsia="Calibri" w:hAnsi="Calibri"/>
          <w:sz w:val="22"/>
          <w:szCs w:val="22"/>
          <w:bdr w:val="none" w:sz="0" w:space="0" w:color="auto"/>
          <w:lang w:val="en-GB" w:eastAsia="en-GB"/>
        </w:rPr>
        <w:t xml:space="preserve"> or functional hypoplasia (very weak imaging of tracks and nodes)</w:t>
      </w:r>
      <w:r w:rsidR="00F15865" w:rsidRPr="00D80350">
        <w:rPr>
          <w:rFonts w:ascii="Calibri" w:eastAsia="Calibri" w:hAnsi="Calibri"/>
          <w:sz w:val="22"/>
          <w:szCs w:val="22"/>
          <w:bdr w:val="none" w:sz="0" w:space="0" w:color="auto"/>
          <w:lang w:val="en-GB" w:eastAsia="en-GB"/>
        </w:rPr>
        <w:t>,</w:t>
      </w:r>
      <w:r w:rsidR="004B569C" w:rsidRPr="00D80350">
        <w:rPr>
          <w:rFonts w:ascii="Calibri" w:eastAsia="Calibri" w:hAnsi="Calibri"/>
          <w:sz w:val="22"/>
          <w:szCs w:val="22"/>
          <w:bdr w:val="none" w:sz="0" w:space="0" w:color="auto"/>
          <w:lang w:val="en-GB" w:eastAsia="en-GB"/>
        </w:rPr>
        <w:t xml:space="preserve"> at 2 h</w:t>
      </w:r>
      <w:r w:rsidR="0088454C">
        <w:rPr>
          <w:rFonts w:ascii="Calibri" w:eastAsia="Calibri" w:hAnsi="Calibri"/>
          <w:sz w:val="22"/>
          <w:szCs w:val="22"/>
          <w:bdr w:val="none" w:sz="0" w:space="0" w:color="auto"/>
          <w:lang w:val="en-GB" w:eastAsia="en-GB"/>
        </w:rPr>
        <w:t>ours</w:t>
      </w:r>
      <w:r w:rsidRPr="00D80350">
        <w:rPr>
          <w:rFonts w:ascii="Calibri" w:eastAsia="Calibri" w:hAnsi="Calibri"/>
          <w:sz w:val="22"/>
          <w:szCs w:val="22"/>
          <w:bdr w:val="none" w:sz="0" w:space="0" w:color="auto"/>
          <w:lang w:val="en-GB" w:eastAsia="en-GB"/>
        </w:rPr>
        <w:t xml:space="preserve">; (ii) </w:t>
      </w:r>
      <w:r w:rsidR="0085728A" w:rsidRPr="00D80350">
        <w:rPr>
          <w:rFonts w:ascii="Calibri" w:eastAsia="Calibri" w:hAnsi="Calibri"/>
          <w:sz w:val="22"/>
          <w:szCs w:val="22"/>
          <w:bdr w:val="none" w:sz="0" w:space="0" w:color="auto"/>
          <w:lang w:val="en-GB" w:eastAsia="en-GB"/>
        </w:rPr>
        <w:t xml:space="preserve">imaged popliteal nodes, indicating </w:t>
      </w:r>
      <w:r w:rsidRPr="00D80350">
        <w:rPr>
          <w:rFonts w:ascii="Calibri" w:eastAsia="Calibri" w:hAnsi="Calibri"/>
          <w:sz w:val="22"/>
          <w:szCs w:val="22"/>
          <w:bdr w:val="none" w:sz="0" w:space="0" w:color="auto"/>
          <w:lang w:val="en-GB" w:eastAsia="en-GB"/>
        </w:rPr>
        <w:t xml:space="preserve">lymph diversion </w:t>
      </w:r>
      <w:r w:rsidR="00BD3F7F" w:rsidRPr="00D80350">
        <w:rPr>
          <w:rFonts w:ascii="Calibri" w:eastAsia="Calibri" w:hAnsi="Calibri"/>
          <w:sz w:val="22"/>
          <w:szCs w:val="22"/>
          <w:bdr w:val="none" w:sz="0" w:space="0" w:color="auto"/>
          <w:lang w:val="en-GB" w:eastAsia="en-GB"/>
        </w:rPr>
        <w:t xml:space="preserve">via </w:t>
      </w:r>
      <w:r w:rsidRPr="00D80350">
        <w:rPr>
          <w:rFonts w:ascii="Calibri" w:eastAsia="Calibri" w:hAnsi="Calibri"/>
          <w:sz w:val="22"/>
          <w:szCs w:val="22"/>
          <w:bdr w:val="none" w:sz="0" w:space="0" w:color="auto"/>
          <w:lang w:val="en-GB" w:eastAsia="en-GB"/>
        </w:rPr>
        <w:t>the</w:t>
      </w:r>
      <w:r w:rsidR="00BD3F7F" w:rsidRPr="00D80350">
        <w:rPr>
          <w:rFonts w:ascii="Calibri" w:eastAsia="Calibri" w:hAnsi="Calibri"/>
          <w:sz w:val="22"/>
          <w:szCs w:val="22"/>
          <w:bdr w:val="none" w:sz="0" w:space="0" w:color="auto"/>
          <w:lang w:val="en-GB" w:eastAsia="en-GB"/>
        </w:rPr>
        <w:t xml:space="preserve"> </w:t>
      </w:r>
      <w:r w:rsidRPr="00D80350">
        <w:rPr>
          <w:rFonts w:ascii="Calibri" w:eastAsia="Calibri" w:hAnsi="Calibri"/>
          <w:sz w:val="22"/>
          <w:szCs w:val="22"/>
          <w:bdr w:val="none" w:sz="0" w:space="0" w:color="auto"/>
          <w:lang w:val="en-GB" w:eastAsia="en-GB"/>
        </w:rPr>
        <w:t xml:space="preserve">subfascial </w:t>
      </w:r>
      <w:r w:rsidR="00193924" w:rsidRPr="00D80350">
        <w:rPr>
          <w:rFonts w:ascii="Calibri" w:eastAsia="Calibri" w:hAnsi="Calibri"/>
          <w:sz w:val="22"/>
          <w:szCs w:val="22"/>
          <w:bdr w:val="none" w:sz="0" w:space="0" w:color="auto"/>
          <w:lang w:val="en-GB" w:eastAsia="en-GB"/>
        </w:rPr>
        <w:t xml:space="preserve">(deep muscle) </w:t>
      </w:r>
      <w:r w:rsidRPr="00D80350">
        <w:rPr>
          <w:rFonts w:ascii="Calibri" w:eastAsia="Calibri" w:hAnsi="Calibri"/>
          <w:sz w:val="22"/>
          <w:szCs w:val="22"/>
          <w:bdr w:val="none" w:sz="0" w:space="0" w:color="auto"/>
          <w:lang w:val="en-GB" w:eastAsia="en-GB"/>
        </w:rPr>
        <w:t xml:space="preserve">system; and (iii) </w:t>
      </w:r>
      <w:r w:rsidR="00193924" w:rsidRPr="00D80350">
        <w:rPr>
          <w:rFonts w:ascii="Calibri" w:eastAsia="Calibri" w:hAnsi="Calibri"/>
          <w:sz w:val="22"/>
          <w:szCs w:val="22"/>
          <w:bdr w:val="none" w:sz="0" w:space="0" w:color="auto"/>
          <w:lang w:val="en-GB" w:eastAsia="en-GB"/>
        </w:rPr>
        <w:t>dermal backflow (rerouting through the skin)</w:t>
      </w:r>
      <w:r w:rsidRPr="00D80350">
        <w:rPr>
          <w:rFonts w:ascii="Calibri" w:eastAsia="Calibri" w:hAnsi="Calibri"/>
          <w:sz w:val="22"/>
          <w:szCs w:val="22"/>
          <w:bdr w:val="none" w:sz="0" w:space="0" w:color="auto"/>
          <w:lang w:val="en-GB" w:eastAsia="en-GB"/>
        </w:rPr>
        <w:t xml:space="preserve">. </w:t>
      </w:r>
      <w:r w:rsidR="00351B9C" w:rsidRPr="00D80350">
        <w:rPr>
          <w:rFonts w:ascii="Calibri" w:eastAsia="Calibri" w:hAnsi="Calibri"/>
          <w:sz w:val="22"/>
          <w:szCs w:val="22"/>
          <w:bdr w:val="none" w:sz="0" w:space="0" w:color="auto"/>
          <w:lang w:val="en-GB" w:eastAsia="en-GB"/>
        </w:rPr>
        <w:t xml:space="preserve">Scans were assessed as either </w:t>
      </w:r>
      <w:r w:rsidR="003C6975" w:rsidRPr="00D80350">
        <w:rPr>
          <w:rFonts w:ascii="Calibri" w:eastAsia="Calibri" w:hAnsi="Calibri"/>
          <w:sz w:val="22"/>
          <w:szCs w:val="22"/>
          <w:bdr w:val="none" w:sz="0" w:space="0" w:color="auto"/>
          <w:lang w:val="en-GB" w:eastAsia="en-GB"/>
        </w:rPr>
        <w:t xml:space="preserve">clearly </w:t>
      </w:r>
      <w:r w:rsidR="00351B9C" w:rsidRPr="00D80350">
        <w:rPr>
          <w:rFonts w:ascii="Calibri" w:eastAsia="Calibri" w:hAnsi="Calibri"/>
          <w:sz w:val="22"/>
          <w:szCs w:val="22"/>
          <w:bdr w:val="none" w:sz="0" w:space="0" w:color="auto"/>
          <w:lang w:val="en-GB" w:eastAsia="en-GB"/>
        </w:rPr>
        <w:t xml:space="preserve">abnormal (major morphological abnormality </w:t>
      </w:r>
      <w:r w:rsidR="00DF4193">
        <w:rPr>
          <w:rFonts w:ascii="Calibri" w:eastAsia="Calibri" w:hAnsi="Calibri"/>
          <w:sz w:val="22"/>
          <w:szCs w:val="22"/>
          <w:bdr w:val="none" w:sz="0" w:space="0" w:color="auto"/>
          <w:lang w:val="en-GB" w:eastAsia="en-GB"/>
        </w:rPr>
        <w:t>and</w:t>
      </w:r>
      <w:r w:rsidR="00351B9C" w:rsidRPr="00D80350">
        <w:rPr>
          <w:rFonts w:ascii="Calibri" w:eastAsia="Calibri" w:hAnsi="Calibri"/>
          <w:sz w:val="22"/>
          <w:szCs w:val="22"/>
          <w:bdr w:val="none" w:sz="0" w:space="0" w:color="auto"/>
          <w:lang w:val="en-GB" w:eastAsia="en-GB"/>
        </w:rPr>
        <w:t xml:space="preserve"> reduced regional nodal uptake in the same limb), indeterminate (either a major morphological abnormality with normal uptake or normal morphology with reduced uptake) or normal (normal morphology and normal uptake)</w:t>
      </w:r>
      <w:r w:rsidR="00704DE8" w:rsidRPr="00D80350">
        <w:rPr>
          <w:rFonts w:ascii="Calibri" w:eastAsia="Calibri" w:hAnsi="Calibri"/>
          <w:sz w:val="22"/>
          <w:szCs w:val="22"/>
          <w:bdr w:val="none" w:sz="0" w:space="0" w:color="auto"/>
          <w:lang w:val="en-GB" w:eastAsia="en-GB"/>
        </w:rPr>
        <w:t>.</w:t>
      </w:r>
      <w:r w:rsidR="00B104A0" w:rsidRPr="00D80350">
        <w:rPr>
          <w:rStyle w:val="CommentReference"/>
          <w:sz w:val="22"/>
          <w:szCs w:val="22"/>
        </w:rPr>
        <w:t xml:space="preserve"> </w:t>
      </w:r>
      <w:r w:rsidR="00EC5D2D" w:rsidRPr="00D80350">
        <w:rPr>
          <w:rFonts w:ascii="Calibri" w:eastAsia="Calibri" w:hAnsi="Calibri"/>
          <w:sz w:val="22"/>
          <w:szCs w:val="22"/>
          <w:bdr w:val="none" w:sz="0" w:space="0" w:color="auto"/>
          <w:lang w:val="en-GB" w:eastAsia="en-GB"/>
        </w:rPr>
        <w:t>T</w:t>
      </w:r>
      <w:r w:rsidR="00757CD6" w:rsidRPr="00D80350">
        <w:rPr>
          <w:rFonts w:ascii="Calibri" w:eastAsia="Calibri" w:hAnsi="Calibri"/>
          <w:sz w:val="22"/>
          <w:szCs w:val="22"/>
          <w:bdr w:val="none" w:sz="0" w:space="0" w:color="auto"/>
          <w:lang w:val="en-GB" w:eastAsia="en-GB"/>
        </w:rPr>
        <w:t xml:space="preserve">hese outcome measures were considered the most discriminating and in line with </w:t>
      </w:r>
      <w:r w:rsidR="00C64CB7">
        <w:rPr>
          <w:rFonts w:ascii="Calibri" w:eastAsia="Calibri" w:hAnsi="Calibri"/>
          <w:sz w:val="22"/>
          <w:szCs w:val="22"/>
          <w:bdr w:val="none" w:sz="0" w:space="0" w:color="auto"/>
          <w:lang w:val="en-GB" w:eastAsia="en-GB"/>
        </w:rPr>
        <w:t xml:space="preserve">recently </w:t>
      </w:r>
      <w:r w:rsidR="00757CD6" w:rsidRPr="00D80350">
        <w:rPr>
          <w:rFonts w:ascii="Calibri" w:eastAsia="Calibri" w:hAnsi="Calibri"/>
          <w:sz w:val="22"/>
          <w:szCs w:val="22"/>
          <w:bdr w:val="none" w:sz="0" w:space="0" w:color="auto"/>
          <w:lang w:val="en-GB" w:eastAsia="en-GB"/>
        </w:rPr>
        <w:t>published criteria</w:t>
      </w:r>
      <w:r w:rsidR="00ED73F3" w:rsidRPr="00D80350">
        <w:rPr>
          <w:rFonts w:ascii="Calibri" w:eastAsia="Calibri" w:hAnsi="Calibri"/>
          <w:sz w:val="22"/>
          <w:szCs w:val="22"/>
          <w:bdr w:val="none" w:sz="0" w:space="0" w:color="auto"/>
          <w:lang w:val="en-GB" w:eastAsia="en-GB"/>
        </w:rPr>
        <w:t>.</w:t>
      </w:r>
      <w:r w:rsidR="00B2412D" w:rsidRPr="00F65711">
        <w:rPr>
          <w:rFonts w:ascii="Calibri" w:eastAsia="Calibri" w:hAnsi="Calibri"/>
          <w:sz w:val="22"/>
          <w:szCs w:val="22"/>
          <w:bdr w:val="none" w:sz="0" w:space="0" w:color="auto"/>
          <w:vertAlign w:val="superscript"/>
          <w:lang w:val="en-GB" w:eastAsia="en-GB"/>
        </w:rPr>
        <w:t>16</w:t>
      </w:r>
    </w:p>
    <w:p w14:paraId="78A7E54F" w14:textId="77777777" w:rsidR="00857EEB" w:rsidRPr="00D80350" w:rsidRDefault="00857EEB">
      <w:pPr>
        <w:pStyle w:val="BodyA"/>
        <w:spacing w:after="0" w:line="480" w:lineRule="auto"/>
      </w:pPr>
    </w:p>
    <w:p w14:paraId="5C1501FB" w14:textId="77777777" w:rsidR="00857EEB" w:rsidRDefault="006313F4">
      <w:pPr>
        <w:pStyle w:val="BodyA"/>
        <w:spacing w:after="0" w:line="480" w:lineRule="auto"/>
        <w:rPr>
          <w:sz w:val="24"/>
          <w:szCs w:val="24"/>
        </w:rPr>
      </w:pPr>
      <w:r>
        <w:rPr>
          <w:sz w:val="24"/>
          <w:szCs w:val="24"/>
        </w:rPr>
        <w:t>Statistical analysis</w:t>
      </w:r>
    </w:p>
    <w:p w14:paraId="2CF9E4CF" w14:textId="20A57961" w:rsidR="00857EEB" w:rsidRDefault="0017006D" w:rsidP="00C65363">
      <w:pPr>
        <w:pStyle w:val="BodyA"/>
        <w:spacing w:line="480" w:lineRule="auto"/>
      </w:pPr>
      <w:r w:rsidRPr="00D80350">
        <w:t>M</w:t>
      </w:r>
      <w:r w:rsidR="006313F4" w:rsidRPr="00D80350">
        <w:t xml:space="preserve">eans and 95% confidence intervals (CI) </w:t>
      </w:r>
      <w:r w:rsidRPr="00D80350">
        <w:t>are given</w:t>
      </w:r>
      <w:r w:rsidR="006912C6" w:rsidRPr="00D80350">
        <w:t>, with the range for ages</w:t>
      </w:r>
      <w:r w:rsidR="006313F4" w:rsidRPr="00D80350">
        <w:t xml:space="preserve">. </w:t>
      </w:r>
      <w:r w:rsidR="00DF14A9" w:rsidRPr="00D80350">
        <w:t xml:space="preserve">Standard deviations (SD) are shown in Figure 3. </w:t>
      </w:r>
      <w:r w:rsidR="006313F4" w:rsidRPr="00D80350">
        <w:t xml:space="preserve">Sample size analysis showed that </w:t>
      </w:r>
      <w:r w:rsidR="00B85A9E" w:rsidRPr="00D80350">
        <w:t xml:space="preserve">~ </w:t>
      </w:r>
      <w:r w:rsidR="006313F4" w:rsidRPr="00D80350">
        <w:t xml:space="preserve">15 participants would have ~ 75% power to detect an effect size equivalent to ~ 1 </w:t>
      </w:r>
      <w:r w:rsidR="00D97C5A" w:rsidRPr="00D80350">
        <w:t xml:space="preserve">SD </w:t>
      </w:r>
      <w:r w:rsidR="006313F4" w:rsidRPr="00D80350">
        <w:t xml:space="preserve">unit difference between a control and patient group in a two-sided test with an alpha (Type I error) rate of 0.05; despite limited available data on uptake and drainage from </w:t>
      </w:r>
      <w:r w:rsidR="006313F4" w:rsidRPr="00D80350">
        <w:lastRenderedPageBreak/>
        <w:t xml:space="preserve">healthy individuals this might be defined as clinically important. All data sets were normally distributed. </w:t>
      </w:r>
      <w:r w:rsidR="00905693" w:rsidRPr="00D80350">
        <w:t>Group comparisons were made using</w:t>
      </w:r>
      <w:r w:rsidR="009C4DD9" w:rsidRPr="00D80350">
        <w:t xml:space="preserve"> one-</w:t>
      </w:r>
      <w:r w:rsidR="00BC31FF" w:rsidRPr="00D80350">
        <w:t xml:space="preserve"> or two-</w:t>
      </w:r>
      <w:r w:rsidR="009C4DD9" w:rsidRPr="00D80350">
        <w:t xml:space="preserve">way </w:t>
      </w:r>
      <w:r w:rsidR="00BD15BC" w:rsidRPr="00D80350">
        <w:t>analysis of variance (</w:t>
      </w:r>
      <w:r w:rsidR="009C4DD9" w:rsidRPr="00D80350">
        <w:t>ANOVA</w:t>
      </w:r>
      <w:r w:rsidR="00BD15BC" w:rsidRPr="00D80350">
        <w:t>)</w:t>
      </w:r>
      <w:r w:rsidR="003332A0" w:rsidRPr="00D80350">
        <w:t xml:space="preserve"> </w:t>
      </w:r>
      <w:r w:rsidR="005D353B" w:rsidRPr="00D80350">
        <w:t xml:space="preserve">and </w:t>
      </w:r>
      <w:r w:rsidR="003332A0" w:rsidRPr="00D80350">
        <w:t>Tukey’s post-test</w:t>
      </w:r>
      <w:r w:rsidR="006313F4" w:rsidRPr="00D80350">
        <w:t xml:space="preserve">. Significance was accepted at </w:t>
      </w:r>
      <w:r w:rsidR="00F818A6">
        <w:rPr>
          <w:i/>
          <w:iCs/>
        </w:rPr>
        <w:t>p</w:t>
      </w:r>
      <w:r w:rsidR="00F818A6" w:rsidRPr="00D80350">
        <w:t xml:space="preserve"> </w:t>
      </w:r>
      <w:r w:rsidR="006313F4" w:rsidRPr="00D80350">
        <w:t>&lt; 0.05. All analysis was conducted in GraphPad Prism, version 7 (GraphPad Software, La Jolla, CA, USA).</w:t>
      </w:r>
    </w:p>
    <w:p w14:paraId="5DABB266" w14:textId="77777777" w:rsidR="006F271A" w:rsidRPr="006F271A" w:rsidRDefault="006F271A" w:rsidP="006F271A">
      <w:pPr>
        <w:pStyle w:val="BodyA"/>
        <w:spacing w:after="0" w:line="480" w:lineRule="auto"/>
        <w:rPr>
          <w:rFonts w:eastAsia="Arial" w:cs="Arial"/>
        </w:rPr>
      </w:pPr>
    </w:p>
    <w:p w14:paraId="18EB4030" w14:textId="27749A30" w:rsidR="00F93845" w:rsidRDefault="006313F4" w:rsidP="006F271A">
      <w:pPr>
        <w:pStyle w:val="BodyA"/>
        <w:spacing w:after="0" w:line="480" w:lineRule="auto"/>
      </w:pPr>
      <w:r>
        <w:rPr>
          <w:sz w:val="28"/>
          <w:szCs w:val="28"/>
        </w:rPr>
        <w:t>Results</w:t>
      </w:r>
    </w:p>
    <w:p w14:paraId="506B3D23" w14:textId="77777777" w:rsidR="00857EEB" w:rsidRDefault="006313F4" w:rsidP="001442D9">
      <w:pPr>
        <w:pStyle w:val="BodyA"/>
        <w:spacing w:after="0" w:line="480" w:lineRule="auto"/>
        <w:rPr>
          <w:sz w:val="24"/>
          <w:szCs w:val="24"/>
        </w:rPr>
      </w:pPr>
      <w:r>
        <w:rPr>
          <w:sz w:val="24"/>
          <w:szCs w:val="24"/>
        </w:rPr>
        <w:t>Clinical findings in the YNS patients</w:t>
      </w:r>
    </w:p>
    <w:p w14:paraId="3D154440" w14:textId="50FFDDBD" w:rsidR="00857EEB" w:rsidRPr="002A5D04" w:rsidRDefault="00B37955" w:rsidP="00E61DBE">
      <w:pPr>
        <w:pStyle w:val="NormalWeb"/>
        <w:spacing w:line="480" w:lineRule="auto"/>
        <w:rPr>
          <w:rFonts w:ascii="Calibri" w:eastAsia="Calibri" w:hAnsi="Calibri" w:cs="Calibri"/>
          <w:sz w:val="22"/>
          <w:szCs w:val="22"/>
        </w:rPr>
      </w:pPr>
      <w:r w:rsidRPr="002A5D04">
        <w:rPr>
          <w:rFonts w:ascii="Calibri" w:eastAsia="Calibri" w:hAnsi="Calibri" w:cs="Calibri"/>
          <w:sz w:val="22"/>
          <w:szCs w:val="22"/>
        </w:rPr>
        <w:t xml:space="preserve">On examination </w:t>
      </w:r>
      <w:r w:rsidR="006B0145" w:rsidRPr="002A5D04">
        <w:rPr>
          <w:rFonts w:ascii="Calibri" w:eastAsia="Calibri" w:hAnsi="Calibri" w:cs="Calibri"/>
          <w:sz w:val="22"/>
          <w:szCs w:val="22"/>
        </w:rPr>
        <w:t xml:space="preserve">15/17 </w:t>
      </w:r>
      <w:r w:rsidRPr="002A5D04">
        <w:rPr>
          <w:rFonts w:ascii="Calibri" w:eastAsia="Calibri" w:hAnsi="Calibri" w:cs="Calibri"/>
          <w:sz w:val="22"/>
          <w:szCs w:val="22"/>
        </w:rPr>
        <w:t xml:space="preserve">(88%) </w:t>
      </w:r>
      <w:r w:rsidR="006B0145" w:rsidRPr="002A5D04">
        <w:rPr>
          <w:rFonts w:ascii="Calibri" w:eastAsia="Calibri" w:hAnsi="Calibri" w:cs="Calibri"/>
          <w:sz w:val="22"/>
          <w:szCs w:val="22"/>
        </w:rPr>
        <w:t xml:space="preserve">patients had nail </w:t>
      </w:r>
      <w:r w:rsidR="005410AE" w:rsidRPr="002A5D04">
        <w:rPr>
          <w:rFonts w:ascii="Calibri" w:eastAsia="Calibri" w:hAnsi="Calibri" w:cs="Calibri"/>
          <w:sz w:val="22"/>
          <w:szCs w:val="22"/>
        </w:rPr>
        <w:t>abnormalities</w:t>
      </w:r>
      <w:r w:rsidR="006B0145" w:rsidRPr="002A5D04">
        <w:rPr>
          <w:rFonts w:ascii="Calibri" w:eastAsia="Calibri" w:hAnsi="Calibri" w:cs="Calibri"/>
          <w:sz w:val="22"/>
          <w:szCs w:val="22"/>
        </w:rPr>
        <w:t xml:space="preserve"> </w:t>
      </w:r>
      <w:r w:rsidR="009644CB" w:rsidRPr="002A5D04">
        <w:rPr>
          <w:rFonts w:ascii="Calibri" w:eastAsia="Calibri" w:hAnsi="Calibri" w:cs="Calibri"/>
          <w:sz w:val="22"/>
          <w:szCs w:val="22"/>
        </w:rPr>
        <w:t>consisting</w:t>
      </w:r>
      <w:r w:rsidR="00CF4008" w:rsidRPr="002A5D04">
        <w:rPr>
          <w:rFonts w:ascii="Calibri" w:eastAsia="Calibri" w:hAnsi="Calibri" w:cs="Calibri"/>
          <w:sz w:val="22"/>
          <w:szCs w:val="22"/>
        </w:rPr>
        <w:t xml:space="preserve"> of</w:t>
      </w:r>
      <w:r w:rsidR="005270CD" w:rsidRPr="002A5D04">
        <w:rPr>
          <w:rFonts w:ascii="Calibri" w:eastAsia="Calibri" w:hAnsi="Calibri" w:cs="Calibri"/>
          <w:sz w:val="22"/>
          <w:szCs w:val="22"/>
        </w:rPr>
        <w:t xml:space="preserve"> yellow-green discoloration, transverse over-curvature, thickening, </w:t>
      </w:r>
      <w:r w:rsidR="00362F5E" w:rsidRPr="002A5D04">
        <w:rPr>
          <w:rFonts w:ascii="Calibri" w:eastAsia="Calibri" w:hAnsi="Calibri" w:cs="Calibri"/>
          <w:sz w:val="22"/>
          <w:szCs w:val="22"/>
        </w:rPr>
        <w:t>onycholysis and</w:t>
      </w:r>
      <w:r w:rsidR="005270CD" w:rsidRPr="002A5D04">
        <w:rPr>
          <w:rFonts w:ascii="Calibri" w:eastAsia="Calibri" w:hAnsi="Calibri" w:cs="Calibri"/>
          <w:sz w:val="22"/>
          <w:szCs w:val="22"/>
        </w:rPr>
        <w:t xml:space="preserve"> evidence of shedding </w:t>
      </w:r>
      <w:r w:rsidR="00CF4008" w:rsidRPr="002A5D04">
        <w:rPr>
          <w:rFonts w:ascii="Calibri" w:eastAsia="Calibri" w:hAnsi="Calibri" w:cs="Calibri"/>
          <w:sz w:val="22"/>
          <w:szCs w:val="22"/>
        </w:rPr>
        <w:t xml:space="preserve">(Fig. 1). </w:t>
      </w:r>
      <w:r w:rsidR="006B0145" w:rsidRPr="002A5D04">
        <w:rPr>
          <w:rFonts w:ascii="Calibri" w:eastAsia="Calibri" w:hAnsi="Calibri" w:cs="Calibri"/>
          <w:sz w:val="22"/>
          <w:szCs w:val="22"/>
        </w:rPr>
        <w:t xml:space="preserve">The </w:t>
      </w:r>
      <w:r w:rsidR="00DE79C5" w:rsidRPr="002A5D04">
        <w:rPr>
          <w:rFonts w:ascii="Calibri" w:eastAsia="Calibri" w:hAnsi="Calibri" w:cs="Calibri"/>
          <w:sz w:val="22"/>
          <w:szCs w:val="22"/>
        </w:rPr>
        <w:t xml:space="preserve">two </w:t>
      </w:r>
      <w:r w:rsidR="006B0145" w:rsidRPr="002A5D04">
        <w:rPr>
          <w:rFonts w:ascii="Calibri" w:eastAsia="Calibri" w:hAnsi="Calibri" w:cs="Calibri"/>
          <w:sz w:val="22"/>
          <w:szCs w:val="22"/>
        </w:rPr>
        <w:t xml:space="preserve">patients with normal nails had exhibited </w:t>
      </w:r>
      <w:r w:rsidR="006313F4" w:rsidRPr="002A5D04">
        <w:rPr>
          <w:rFonts w:ascii="Calibri" w:eastAsia="Calibri" w:hAnsi="Calibri" w:cs="Calibri"/>
          <w:sz w:val="22"/>
          <w:szCs w:val="22"/>
        </w:rPr>
        <w:t xml:space="preserve">YNS nail </w:t>
      </w:r>
      <w:r w:rsidR="00A97AE2" w:rsidRPr="002A5D04">
        <w:rPr>
          <w:rFonts w:ascii="Calibri" w:eastAsia="Calibri" w:hAnsi="Calibri" w:cs="Calibri"/>
          <w:sz w:val="22"/>
          <w:szCs w:val="22"/>
        </w:rPr>
        <w:t xml:space="preserve">abnormalities </w:t>
      </w:r>
      <w:r w:rsidR="006313F4" w:rsidRPr="002A5D04">
        <w:rPr>
          <w:rFonts w:ascii="Calibri" w:eastAsia="Calibri" w:hAnsi="Calibri" w:cs="Calibri"/>
          <w:sz w:val="22"/>
          <w:szCs w:val="22"/>
        </w:rPr>
        <w:t>previously</w:t>
      </w:r>
      <w:r w:rsidR="00CF4008" w:rsidRPr="002A5D04">
        <w:rPr>
          <w:rFonts w:ascii="Calibri" w:eastAsia="Calibri" w:hAnsi="Calibri" w:cs="Calibri"/>
          <w:sz w:val="22"/>
          <w:szCs w:val="22"/>
        </w:rPr>
        <w:t xml:space="preserve"> for which documented evidence</w:t>
      </w:r>
      <w:r w:rsidR="0060521E" w:rsidRPr="002A5D04">
        <w:rPr>
          <w:rFonts w:ascii="Calibri" w:eastAsia="Calibri" w:hAnsi="Calibri" w:cs="Calibri"/>
          <w:sz w:val="22"/>
          <w:szCs w:val="22"/>
        </w:rPr>
        <w:t xml:space="preserve"> was seen</w:t>
      </w:r>
      <w:r w:rsidR="006313F4" w:rsidRPr="002A5D04">
        <w:rPr>
          <w:rFonts w:ascii="Calibri" w:eastAsia="Calibri" w:hAnsi="Calibri" w:cs="Calibri"/>
          <w:sz w:val="22"/>
          <w:szCs w:val="22"/>
        </w:rPr>
        <w:t xml:space="preserve">. </w:t>
      </w:r>
      <w:r w:rsidR="00572F55" w:rsidRPr="002A5D04">
        <w:rPr>
          <w:rFonts w:ascii="Calibri" w:eastAsia="Calibri" w:hAnsi="Calibri" w:cs="Calibri"/>
          <w:sz w:val="22"/>
          <w:szCs w:val="22"/>
        </w:rPr>
        <w:t>All patients had s</w:t>
      </w:r>
      <w:r w:rsidR="00123F20" w:rsidRPr="002A5D04">
        <w:rPr>
          <w:rFonts w:ascii="Calibri" w:eastAsia="Calibri" w:hAnsi="Calibri" w:cs="Calibri"/>
          <w:sz w:val="22"/>
          <w:szCs w:val="22"/>
        </w:rPr>
        <w:t>welling below</w:t>
      </w:r>
      <w:r w:rsidR="00572F55" w:rsidRPr="002A5D04">
        <w:rPr>
          <w:rFonts w:ascii="Calibri" w:eastAsia="Calibri" w:hAnsi="Calibri" w:cs="Calibri"/>
          <w:sz w:val="22"/>
          <w:szCs w:val="22"/>
        </w:rPr>
        <w:t xml:space="preserve"> the </w:t>
      </w:r>
      <w:r w:rsidR="00123F20" w:rsidRPr="002A5D04">
        <w:rPr>
          <w:rFonts w:ascii="Calibri" w:eastAsia="Calibri" w:hAnsi="Calibri" w:cs="Calibri"/>
          <w:sz w:val="22"/>
          <w:szCs w:val="22"/>
        </w:rPr>
        <w:t>knee</w:t>
      </w:r>
      <w:r w:rsidR="00572F55" w:rsidRPr="002A5D04">
        <w:rPr>
          <w:rFonts w:ascii="Calibri" w:eastAsia="Calibri" w:hAnsi="Calibri" w:cs="Calibri"/>
          <w:sz w:val="22"/>
          <w:szCs w:val="22"/>
        </w:rPr>
        <w:t xml:space="preserve">; </w:t>
      </w:r>
      <w:r w:rsidR="00874B19" w:rsidRPr="002A5D04">
        <w:rPr>
          <w:rFonts w:ascii="Calibri" w:eastAsia="Calibri" w:hAnsi="Calibri" w:cs="Calibri"/>
          <w:sz w:val="22"/>
          <w:szCs w:val="22"/>
        </w:rPr>
        <w:t xml:space="preserve">one patient had swelling confined to the feet and </w:t>
      </w:r>
      <w:r w:rsidR="00572F55" w:rsidRPr="002A5D04">
        <w:rPr>
          <w:rFonts w:ascii="Calibri" w:eastAsia="Calibri" w:hAnsi="Calibri" w:cs="Calibri"/>
          <w:sz w:val="22"/>
          <w:szCs w:val="22"/>
        </w:rPr>
        <w:t>one had</w:t>
      </w:r>
      <w:r w:rsidR="00123F20" w:rsidRPr="002A5D04">
        <w:rPr>
          <w:rFonts w:ascii="Calibri" w:eastAsia="Calibri" w:hAnsi="Calibri" w:cs="Calibri"/>
          <w:sz w:val="22"/>
          <w:szCs w:val="22"/>
        </w:rPr>
        <w:t xml:space="preserve"> above- and below-knee</w:t>
      </w:r>
      <w:r w:rsidR="00874B19" w:rsidRPr="002A5D04">
        <w:rPr>
          <w:rFonts w:ascii="Calibri" w:eastAsia="Calibri" w:hAnsi="Calibri" w:cs="Calibri"/>
          <w:sz w:val="22"/>
          <w:szCs w:val="22"/>
        </w:rPr>
        <w:t xml:space="preserve"> swelling</w:t>
      </w:r>
      <w:r w:rsidR="00123F20" w:rsidRPr="002A5D04">
        <w:rPr>
          <w:rFonts w:ascii="Calibri" w:eastAsia="Calibri" w:hAnsi="Calibri" w:cs="Calibri"/>
          <w:sz w:val="22"/>
          <w:szCs w:val="22"/>
        </w:rPr>
        <w:t xml:space="preserve">. </w:t>
      </w:r>
      <w:r w:rsidR="00ED5621" w:rsidRPr="002A5D04">
        <w:rPr>
          <w:rFonts w:ascii="Calibri" w:eastAsia="Calibri" w:hAnsi="Calibri" w:cs="Calibri"/>
          <w:sz w:val="22"/>
          <w:szCs w:val="22"/>
        </w:rPr>
        <w:t xml:space="preserve">Stemmer’s sign was positive in 12/17 </w:t>
      </w:r>
      <w:r w:rsidRPr="002A5D04">
        <w:rPr>
          <w:rFonts w:ascii="Calibri" w:eastAsia="Calibri" w:hAnsi="Calibri" w:cs="Calibri"/>
          <w:sz w:val="22"/>
          <w:szCs w:val="22"/>
        </w:rPr>
        <w:t xml:space="preserve">(71%) </w:t>
      </w:r>
      <w:r w:rsidR="00ED5621" w:rsidRPr="002A5D04">
        <w:rPr>
          <w:rFonts w:ascii="Calibri" w:eastAsia="Calibri" w:hAnsi="Calibri" w:cs="Calibri"/>
          <w:sz w:val="22"/>
          <w:szCs w:val="22"/>
        </w:rPr>
        <w:t>patients</w:t>
      </w:r>
      <w:r w:rsidR="00C76772" w:rsidRPr="002A5D04">
        <w:rPr>
          <w:rFonts w:ascii="Calibri" w:eastAsia="Calibri" w:hAnsi="Calibri" w:cs="Calibri"/>
          <w:sz w:val="22"/>
          <w:szCs w:val="22"/>
        </w:rPr>
        <w:t xml:space="preserve">. </w:t>
      </w:r>
      <w:r w:rsidR="008A4136">
        <w:rPr>
          <w:rFonts w:ascii="Calibri" w:eastAsia="Calibri" w:hAnsi="Calibri" w:cs="Calibri"/>
          <w:sz w:val="22"/>
          <w:szCs w:val="22"/>
        </w:rPr>
        <w:t xml:space="preserve">Three of the </w:t>
      </w:r>
      <w:r w:rsidR="00C76772" w:rsidRPr="002A5D04">
        <w:rPr>
          <w:rFonts w:ascii="Calibri" w:eastAsia="Calibri" w:hAnsi="Calibri" w:cs="Calibri"/>
          <w:sz w:val="22"/>
          <w:szCs w:val="22"/>
        </w:rPr>
        <w:t>5 patients with a negative Stemmer’s sign had documented evidence of lymphedema and had been prescribed compression garments</w:t>
      </w:r>
      <w:r w:rsidR="00470EA3" w:rsidRPr="002A5D04">
        <w:rPr>
          <w:rFonts w:ascii="Calibri" w:eastAsia="Calibri" w:hAnsi="Calibri" w:cs="Calibri"/>
          <w:sz w:val="22"/>
          <w:szCs w:val="22"/>
        </w:rPr>
        <w:t>;</w:t>
      </w:r>
      <w:r w:rsidR="00C76772" w:rsidRPr="002A5D04">
        <w:rPr>
          <w:rFonts w:ascii="Calibri" w:eastAsia="Calibri" w:hAnsi="Calibri" w:cs="Calibri"/>
          <w:sz w:val="22"/>
          <w:szCs w:val="22"/>
        </w:rPr>
        <w:t xml:space="preserve"> the other two had characteristic below-knee </w:t>
      </w:r>
      <w:r w:rsidR="00470EA3" w:rsidRPr="002A5D04">
        <w:rPr>
          <w:rFonts w:ascii="Calibri" w:eastAsia="Calibri" w:hAnsi="Calibri" w:cs="Calibri"/>
          <w:sz w:val="22"/>
          <w:szCs w:val="22"/>
        </w:rPr>
        <w:t xml:space="preserve">swelling </w:t>
      </w:r>
      <w:r w:rsidR="00F509D6" w:rsidRPr="002A5D04">
        <w:rPr>
          <w:rFonts w:ascii="Calibri" w:eastAsia="Calibri" w:hAnsi="Calibri" w:cs="Calibri"/>
          <w:sz w:val="22"/>
          <w:szCs w:val="22"/>
        </w:rPr>
        <w:t>that pitted to some extent</w:t>
      </w:r>
      <w:r w:rsidR="008A56C6" w:rsidRPr="002A5D04">
        <w:rPr>
          <w:rFonts w:ascii="Calibri" w:eastAsia="Calibri" w:hAnsi="Calibri" w:cs="Calibri"/>
          <w:sz w:val="22"/>
          <w:szCs w:val="22"/>
        </w:rPr>
        <w:t>,</w:t>
      </w:r>
      <w:r w:rsidR="0054439D" w:rsidRPr="002A5D04">
        <w:rPr>
          <w:rFonts w:ascii="Calibri" w:eastAsia="Calibri" w:hAnsi="Calibri" w:cs="Calibri"/>
          <w:sz w:val="22"/>
          <w:szCs w:val="22"/>
        </w:rPr>
        <w:t xml:space="preserve"> </w:t>
      </w:r>
      <w:r w:rsidR="00F509D6" w:rsidRPr="002A5D04">
        <w:rPr>
          <w:rFonts w:ascii="Calibri" w:eastAsia="Calibri" w:hAnsi="Calibri" w:cs="Calibri"/>
          <w:sz w:val="22"/>
          <w:szCs w:val="22"/>
        </w:rPr>
        <w:t>indica</w:t>
      </w:r>
      <w:r w:rsidR="00022040" w:rsidRPr="002A5D04">
        <w:rPr>
          <w:rFonts w:ascii="Calibri" w:eastAsia="Calibri" w:hAnsi="Calibri" w:cs="Calibri"/>
          <w:sz w:val="22"/>
          <w:szCs w:val="22"/>
        </w:rPr>
        <w:t>ting</w:t>
      </w:r>
      <w:r w:rsidR="004C1C11" w:rsidRPr="002A5D04">
        <w:rPr>
          <w:rFonts w:ascii="Calibri" w:eastAsia="Calibri" w:hAnsi="Calibri" w:cs="Calibri"/>
          <w:sz w:val="22"/>
          <w:szCs w:val="22"/>
        </w:rPr>
        <w:t xml:space="preserve"> that lymphedema was </w:t>
      </w:r>
      <w:r w:rsidR="000F1A76" w:rsidRPr="002A5D04">
        <w:rPr>
          <w:rFonts w:ascii="Calibri" w:eastAsia="Calibri" w:hAnsi="Calibri" w:cs="Calibri"/>
          <w:sz w:val="22"/>
          <w:szCs w:val="22"/>
        </w:rPr>
        <w:t xml:space="preserve">indeed </w:t>
      </w:r>
      <w:r w:rsidR="004C1C11" w:rsidRPr="002A5D04">
        <w:rPr>
          <w:rFonts w:ascii="Calibri" w:eastAsia="Calibri" w:hAnsi="Calibri" w:cs="Calibri"/>
          <w:sz w:val="22"/>
          <w:szCs w:val="22"/>
        </w:rPr>
        <w:t>present</w:t>
      </w:r>
      <w:r w:rsidR="00470EA3" w:rsidRPr="002A5D04">
        <w:rPr>
          <w:rFonts w:ascii="Calibri" w:eastAsia="Calibri" w:hAnsi="Calibri" w:cs="Calibri"/>
          <w:sz w:val="22"/>
          <w:szCs w:val="22"/>
        </w:rPr>
        <w:t xml:space="preserve">. </w:t>
      </w:r>
      <w:r w:rsidR="00470EA3" w:rsidRPr="002A5D04">
        <w:rPr>
          <w:rFonts w:ascii="Calibri" w:eastAsia="Calibri" w:hAnsi="Calibri" w:cs="Times New Roman"/>
          <w:color w:val="auto"/>
          <w:sz w:val="22"/>
          <w:szCs w:val="22"/>
          <w:bdr w:val="none" w:sz="0" w:space="0" w:color="auto"/>
          <w:lang w:val="en-GB" w:eastAsia="en-US"/>
        </w:rPr>
        <w:t>A negative Stemmer’s sign does not exclude lymphedema.</w:t>
      </w:r>
      <w:r w:rsidR="00470EA3" w:rsidRPr="002A5D04">
        <w:rPr>
          <w:rFonts w:ascii="Calibri" w:eastAsia="Calibri" w:hAnsi="Calibri" w:cs="Times New Roman"/>
          <w:color w:val="auto"/>
          <w:sz w:val="22"/>
          <w:szCs w:val="22"/>
          <w:bdr w:val="none" w:sz="0" w:space="0" w:color="auto"/>
          <w:vertAlign w:val="superscript"/>
          <w:lang w:val="en-GB" w:eastAsia="en-US"/>
        </w:rPr>
        <w:t>17</w:t>
      </w:r>
      <w:r w:rsidR="004C1C11" w:rsidRPr="002A5D04">
        <w:rPr>
          <w:rFonts w:ascii="Calibri" w:eastAsia="Calibri" w:hAnsi="Calibri" w:cs="Calibri"/>
          <w:sz w:val="22"/>
          <w:szCs w:val="22"/>
        </w:rPr>
        <w:t xml:space="preserve"> </w:t>
      </w:r>
      <w:r w:rsidR="008A4136">
        <w:rPr>
          <w:rFonts w:ascii="Calibri" w:eastAsia="Calibri" w:hAnsi="Calibri" w:cs="Calibri"/>
          <w:sz w:val="22"/>
          <w:szCs w:val="22"/>
        </w:rPr>
        <w:t xml:space="preserve">Fourteen of the </w:t>
      </w:r>
      <w:r w:rsidR="00852B39" w:rsidRPr="002A5D04">
        <w:rPr>
          <w:rFonts w:ascii="Calibri" w:eastAsia="Calibri" w:hAnsi="Calibri" w:cs="Calibri"/>
          <w:sz w:val="22"/>
          <w:szCs w:val="22"/>
        </w:rPr>
        <w:t xml:space="preserve">17 </w:t>
      </w:r>
      <w:r w:rsidR="008A4136" w:rsidRPr="002A5D04">
        <w:rPr>
          <w:rFonts w:ascii="Calibri" w:eastAsia="Calibri" w:hAnsi="Calibri" w:cs="Calibri"/>
          <w:sz w:val="22"/>
          <w:szCs w:val="22"/>
        </w:rPr>
        <w:t xml:space="preserve">patients </w:t>
      </w:r>
      <w:r w:rsidR="00852B39" w:rsidRPr="002A5D04">
        <w:rPr>
          <w:rFonts w:ascii="Calibri" w:eastAsia="Calibri" w:hAnsi="Calibri" w:cs="Calibri"/>
          <w:sz w:val="22"/>
          <w:szCs w:val="22"/>
        </w:rPr>
        <w:t xml:space="preserve">(82%) had upper limb swelling but this was mild compared with the lower limb swelling; in </w:t>
      </w:r>
      <w:r w:rsidR="001F3471" w:rsidRPr="002A5D04">
        <w:rPr>
          <w:rFonts w:ascii="Calibri" w:eastAsia="Calibri" w:hAnsi="Calibri" w:cs="Calibri"/>
          <w:sz w:val="22"/>
          <w:szCs w:val="22"/>
        </w:rPr>
        <w:t>5</w:t>
      </w:r>
      <w:r w:rsidR="00852B39" w:rsidRPr="002A5D04">
        <w:rPr>
          <w:rFonts w:ascii="Calibri" w:eastAsia="Calibri" w:hAnsi="Calibri" w:cs="Calibri"/>
          <w:sz w:val="22"/>
          <w:szCs w:val="22"/>
        </w:rPr>
        <w:t xml:space="preserve"> patients the </w:t>
      </w:r>
      <w:r w:rsidR="001F3471" w:rsidRPr="002A5D04">
        <w:rPr>
          <w:rFonts w:ascii="Calibri" w:eastAsia="Calibri" w:hAnsi="Calibri" w:cs="Calibri"/>
          <w:sz w:val="22"/>
          <w:szCs w:val="22"/>
        </w:rPr>
        <w:t xml:space="preserve">hand </w:t>
      </w:r>
      <w:r w:rsidR="00852B39" w:rsidRPr="002A5D04">
        <w:rPr>
          <w:rFonts w:ascii="Calibri" w:eastAsia="Calibri" w:hAnsi="Calibri" w:cs="Calibri"/>
          <w:sz w:val="22"/>
          <w:szCs w:val="22"/>
        </w:rPr>
        <w:t>was swollen</w:t>
      </w:r>
      <w:r w:rsidR="006313F4" w:rsidRPr="002A5D04">
        <w:rPr>
          <w:rFonts w:ascii="Calibri" w:eastAsia="Calibri" w:hAnsi="Calibri" w:cs="Calibri"/>
          <w:sz w:val="22"/>
          <w:szCs w:val="22"/>
        </w:rPr>
        <w:t xml:space="preserve">. </w:t>
      </w:r>
      <w:r w:rsidR="00364C8A" w:rsidRPr="002A5D04">
        <w:rPr>
          <w:rFonts w:ascii="Calibri" w:eastAsia="Calibri" w:hAnsi="Calibri" w:cs="Calibri"/>
          <w:sz w:val="22"/>
          <w:szCs w:val="22"/>
        </w:rPr>
        <w:t xml:space="preserve">One patient had </w:t>
      </w:r>
      <w:r w:rsidR="006B250E" w:rsidRPr="002A5D04">
        <w:rPr>
          <w:rFonts w:ascii="Calibri" w:eastAsia="Calibri" w:hAnsi="Calibri" w:cs="Calibri"/>
          <w:sz w:val="22"/>
          <w:szCs w:val="22"/>
        </w:rPr>
        <w:t xml:space="preserve">generalised </w:t>
      </w:r>
      <w:r w:rsidR="00364C8A" w:rsidRPr="002A5D04">
        <w:rPr>
          <w:rFonts w:ascii="Calibri" w:eastAsia="Calibri" w:hAnsi="Calibri" w:cs="Calibri"/>
          <w:sz w:val="22"/>
          <w:szCs w:val="22"/>
        </w:rPr>
        <w:t>truncal swelling</w:t>
      </w:r>
      <w:r w:rsidR="00703DA0" w:rsidRPr="002A5D04">
        <w:rPr>
          <w:rFonts w:ascii="Calibri" w:eastAsia="Calibri" w:hAnsi="Calibri" w:cs="Calibri"/>
          <w:sz w:val="22"/>
          <w:szCs w:val="22"/>
        </w:rPr>
        <w:t xml:space="preserve"> </w:t>
      </w:r>
      <w:r w:rsidR="00BD69D7" w:rsidRPr="002A5D04">
        <w:rPr>
          <w:rFonts w:ascii="Calibri" w:eastAsia="Calibri" w:hAnsi="Calibri" w:cs="Calibri"/>
          <w:sz w:val="22"/>
          <w:szCs w:val="22"/>
        </w:rPr>
        <w:t>and one patient</w:t>
      </w:r>
      <w:r w:rsidR="00703DA0" w:rsidRPr="002A5D04">
        <w:rPr>
          <w:rFonts w:ascii="Calibri" w:eastAsia="Calibri" w:hAnsi="Calibri" w:cs="Calibri"/>
          <w:sz w:val="22"/>
          <w:szCs w:val="22"/>
        </w:rPr>
        <w:t xml:space="preserve"> had facial swelling</w:t>
      </w:r>
      <w:r w:rsidR="00364C8A" w:rsidRPr="002A5D04">
        <w:rPr>
          <w:rFonts w:ascii="Calibri" w:eastAsia="Calibri" w:hAnsi="Calibri" w:cs="Calibri"/>
          <w:sz w:val="22"/>
          <w:szCs w:val="22"/>
        </w:rPr>
        <w:t xml:space="preserve">. </w:t>
      </w:r>
      <w:r w:rsidR="00F162F5" w:rsidRPr="002A5D04" w:rsidDel="00CF4008">
        <w:rPr>
          <w:rFonts w:ascii="Calibri" w:eastAsia="Calibri" w:hAnsi="Calibri" w:cs="Calibri"/>
          <w:sz w:val="22"/>
          <w:szCs w:val="22"/>
        </w:rPr>
        <w:t xml:space="preserve">The YNS </w:t>
      </w:r>
      <w:r w:rsidR="001968F9" w:rsidRPr="002A5D04">
        <w:rPr>
          <w:rFonts w:ascii="Calibri" w:eastAsia="Calibri" w:hAnsi="Calibri" w:cs="Calibri"/>
          <w:sz w:val="22"/>
          <w:szCs w:val="22"/>
        </w:rPr>
        <w:t xml:space="preserve">had </w:t>
      </w:r>
      <w:r w:rsidR="00F162F5" w:rsidRPr="002A5D04">
        <w:rPr>
          <w:rFonts w:ascii="Calibri" w:eastAsia="Calibri" w:hAnsi="Calibri" w:cs="Calibri"/>
          <w:sz w:val="22"/>
          <w:szCs w:val="22"/>
        </w:rPr>
        <w:t>first presented at</w:t>
      </w:r>
      <w:r w:rsidR="00F162F5" w:rsidRPr="002A5D04" w:rsidDel="00CF4008">
        <w:rPr>
          <w:rFonts w:ascii="Calibri" w:eastAsia="Calibri" w:hAnsi="Calibri" w:cs="Calibri"/>
          <w:sz w:val="22"/>
          <w:szCs w:val="22"/>
        </w:rPr>
        <w:t xml:space="preserve"> </w:t>
      </w:r>
      <w:r w:rsidR="00261983" w:rsidRPr="002A5D04">
        <w:rPr>
          <w:rFonts w:ascii="Calibri" w:eastAsia="Calibri" w:hAnsi="Calibri" w:cs="Calibri"/>
          <w:sz w:val="22"/>
          <w:szCs w:val="22"/>
        </w:rPr>
        <w:t>a mean age</w:t>
      </w:r>
      <w:r w:rsidR="00261983" w:rsidRPr="002A5D04" w:rsidDel="00CF4008">
        <w:rPr>
          <w:rFonts w:ascii="Calibri" w:eastAsia="Calibri" w:hAnsi="Calibri" w:cs="Calibri"/>
          <w:sz w:val="22"/>
          <w:szCs w:val="22"/>
        </w:rPr>
        <w:t xml:space="preserve"> </w:t>
      </w:r>
      <w:r w:rsidR="00261983" w:rsidRPr="002A5D04">
        <w:rPr>
          <w:rFonts w:ascii="Calibri" w:eastAsia="Calibri" w:hAnsi="Calibri" w:cs="Calibri"/>
          <w:sz w:val="22"/>
          <w:szCs w:val="22"/>
        </w:rPr>
        <w:t xml:space="preserve">of </w:t>
      </w:r>
      <w:r w:rsidR="00F162F5" w:rsidRPr="002A5D04" w:rsidDel="00CF4008">
        <w:rPr>
          <w:rFonts w:ascii="Calibri" w:eastAsia="Calibri" w:hAnsi="Calibri" w:cs="Calibri"/>
          <w:sz w:val="22"/>
          <w:szCs w:val="22"/>
        </w:rPr>
        <w:t>54 years (CI 49–58 years, range 39–74 years)</w:t>
      </w:r>
      <w:r w:rsidR="00F162F5" w:rsidRPr="002A5D04">
        <w:rPr>
          <w:rFonts w:ascii="Calibri" w:eastAsia="Calibri" w:hAnsi="Calibri" w:cs="Calibri"/>
          <w:sz w:val="22"/>
          <w:szCs w:val="22"/>
        </w:rPr>
        <w:t xml:space="preserve"> with</w:t>
      </w:r>
      <w:r w:rsidR="00F162F5" w:rsidRPr="002A5D04" w:rsidDel="00CF4008">
        <w:rPr>
          <w:rFonts w:ascii="Calibri" w:eastAsia="Calibri" w:hAnsi="Calibri" w:cs="Calibri"/>
          <w:sz w:val="22"/>
          <w:szCs w:val="22"/>
        </w:rPr>
        <w:t xml:space="preserve"> a nail abnormality in 5/17 (29%), lymphedema in 6/17 (35%) </w:t>
      </w:r>
      <w:r w:rsidR="00A2660B" w:rsidRPr="002A5D04">
        <w:rPr>
          <w:rFonts w:ascii="Calibri" w:eastAsia="Calibri" w:hAnsi="Calibri" w:cs="Calibri"/>
          <w:sz w:val="22"/>
          <w:szCs w:val="22"/>
        </w:rPr>
        <w:t>or</w:t>
      </w:r>
      <w:r w:rsidR="00F162F5" w:rsidRPr="002A5D04" w:rsidDel="00CF4008">
        <w:rPr>
          <w:rFonts w:ascii="Calibri" w:eastAsia="Calibri" w:hAnsi="Calibri" w:cs="Calibri"/>
          <w:sz w:val="22"/>
          <w:szCs w:val="22"/>
        </w:rPr>
        <w:t xml:space="preserve"> a respiratory manifestation such as sinusitis or chronic cough in 10/17 (59%). </w:t>
      </w:r>
      <w:r w:rsidR="008A4136">
        <w:rPr>
          <w:rFonts w:ascii="Calibri" w:eastAsia="Calibri" w:hAnsi="Calibri" w:cs="Calibri"/>
          <w:sz w:val="22"/>
          <w:szCs w:val="22"/>
        </w:rPr>
        <w:t xml:space="preserve">Four of the </w:t>
      </w:r>
      <w:r w:rsidR="00F162F5" w:rsidRPr="002A5D04" w:rsidDel="00CF4008">
        <w:rPr>
          <w:rFonts w:ascii="Calibri" w:eastAsia="Calibri" w:hAnsi="Calibri" w:cs="Calibri"/>
          <w:sz w:val="22"/>
          <w:szCs w:val="22"/>
        </w:rPr>
        <w:t xml:space="preserve">17 </w:t>
      </w:r>
      <w:r w:rsidR="008A4136">
        <w:rPr>
          <w:rFonts w:ascii="Calibri" w:eastAsia="Calibri" w:hAnsi="Calibri" w:cs="Calibri"/>
          <w:sz w:val="22"/>
          <w:szCs w:val="22"/>
        </w:rPr>
        <w:t xml:space="preserve">patients </w:t>
      </w:r>
      <w:r w:rsidR="00F162F5" w:rsidRPr="002A5D04" w:rsidDel="00CF4008">
        <w:rPr>
          <w:rFonts w:ascii="Calibri" w:eastAsia="Calibri" w:hAnsi="Calibri" w:cs="Calibri"/>
          <w:sz w:val="22"/>
          <w:szCs w:val="22"/>
        </w:rPr>
        <w:t xml:space="preserve">(24%) reported two presenting symptoms. </w:t>
      </w:r>
      <w:r w:rsidR="008A4136">
        <w:rPr>
          <w:rFonts w:ascii="Calibri" w:eastAsia="Calibri" w:hAnsi="Calibri" w:cs="Calibri"/>
          <w:sz w:val="22"/>
          <w:szCs w:val="22"/>
        </w:rPr>
        <w:t xml:space="preserve">Nine of the </w:t>
      </w:r>
      <w:r w:rsidR="00F162F5" w:rsidRPr="002A5D04">
        <w:rPr>
          <w:rFonts w:ascii="Calibri" w:eastAsia="Calibri" w:hAnsi="Calibri" w:cs="Calibri"/>
          <w:sz w:val="22"/>
          <w:szCs w:val="22"/>
        </w:rPr>
        <w:t xml:space="preserve">17 </w:t>
      </w:r>
      <w:r w:rsidR="008A4136" w:rsidRPr="002A5D04">
        <w:rPr>
          <w:rFonts w:ascii="Calibri" w:eastAsia="Calibri" w:hAnsi="Calibri" w:cs="Calibri"/>
          <w:sz w:val="22"/>
          <w:szCs w:val="22"/>
        </w:rPr>
        <w:t xml:space="preserve">patients </w:t>
      </w:r>
      <w:r w:rsidR="00F162F5" w:rsidRPr="002A5D04">
        <w:rPr>
          <w:rFonts w:ascii="Calibri" w:eastAsia="Calibri" w:hAnsi="Calibri" w:cs="Calibri"/>
          <w:sz w:val="22"/>
          <w:szCs w:val="22"/>
        </w:rPr>
        <w:t xml:space="preserve">(53%) reported spontaneous resolution of their nail abnormalities (Fig. 1). </w:t>
      </w:r>
      <w:r w:rsidR="00667830" w:rsidRPr="002A5D04">
        <w:rPr>
          <w:rFonts w:ascii="Calibri" w:eastAsia="Calibri" w:hAnsi="Calibri" w:cs="Calibri"/>
          <w:sz w:val="22"/>
          <w:szCs w:val="22"/>
        </w:rPr>
        <w:t xml:space="preserve">Swelling </w:t>
      </w:r>
      <w:r w:rsidR="006313F4" w:rsidRPr="002A5D04">
        <w:rPr>
          <w:rFonts w:ascii="Calibri" w:eastAsia="Calibri" w:hAnsi="Calibri" w:cs="Calibri"/>
          <w:sz w:val="22"/>
          <w:szCs w:val="22"/>
        </w:rPr>
        <w:t xml:space="preserve">presented initially in the ankles, feet </w:t>
      </w:r>
      <w:r w:rsidR="001203DE" w:rsidRPr="002A5D04">
        <w:rPr>
          <w:rFonts w:ascii="Calibri" w:eastAsia="Calibri" w:hAnsi="Calibri" w:cs="Calibri"/>
          <w:sz w:val="22"/>
          <w:szCs w:val="22"/>
        </w:rPr>
        <w:t xml:space="preserve">or </w:t>
      </w:r>
      <w:r w:rsidR="006313F4" w:rsidRPr="002A5D04">
        <w:rPr>
          <w:rFonts w:ascii="Calibri" w:eastAsia="Calibri" w:hAnsi="Calibri" w:cs="Calibri"/>
          <w:sz w:val="22"/>
          <w:szCs w:val="22"/>
        </w:rPr>
        <w:t>hands</w:t>
      </w:r>
      <w:r w:rsidR="002835C8" w:rsidRPr="002A5D04">
        <w:rPr>
          <w:rFonts w:ascii="Calibri" w:eastAsia="Calibri" w:hAnsi="Calibri" w:cs="Calibri"/>
          <w:sz w:val="22"/>
          <w:szCs w:val="22"/>
        </w:rPr>
        <w:t>.</w:t>
      </w:r>
      <w:r w:rsidR="00A5617C" w:rsidRPr="002A5D04">
        <w:rPr>
          <w:rFonts w:ascii="Calibri" w:eastAsia="Calibri" w:hAnsi="Calibri" w:cs="Calibri"/>
          <w:sz w:val="22"/>
          <w:szCs w:val="22"/>
        </w:rPr>
        <w:t xml:space="preserve"> </w:t>
      </w:r>
      <w:r w:rsidR="002835C8" w:rsidRPr="002A5D04">
        <w:rPr>
          <w:rFonts w:ascii="Calibri" w:eastAsia="Calibri" w:hAnsi="Calibri" w:cs="Calibri"/>
          <w:sz w:val="22"/>
          <w:szCs w:val="22"/>
        </w:rPr>
        <w:t xml:space="preserve">Hand swelling was the presenting symptom (in combination with nail abnormalities) in two patients. </w:t>
      </w:r>
      <w:r w:rsidR="002835C8" w:rsidRPr="002A5D04">
        <w:rPr>
          <w:rFonts w:ascii="Calibri" w:eastAsia="Calibri" w:hAnsi="Calibri" w:cs="Calibri"/>
          <w:sz w:val="22"/>
          <w:szCs w:val="22"/>
        </w:rPr>
        <w:lastRenderedPageBreak/>
        <w:t>F</w:t>
      </w:r>
      <w:r w:rsidR="006313F4" w:rsidRPr="002A5D04">
        <w:rPr>
          <w:rFonts w:ascii="Calibri" w:eastAsia="Calibri" w:hAnsi="Calibri" w:cs="Calibri"/>
          <w:sz w:val="22"/>
          <w:szCs w:val="22"/>
        </w:rPr>
        <w:t xml:space="preserve">luctuation </w:t>
      </w:r>
      <w:r w:rsidR="00331365" w:rsidRPr="002A5D04">
        <w:rPr>
          <w:rFonts w:ascii="Calibri" w:eastAsia="Calibri" w:hAnsi="Calibri" w:cs="Calibri"/>
          <w:sz w:val="22"/>
          <w:szCs w:val="22"/>
        </w:rPr>
        <w:t xml:space="preserve">but not complete resolution </w:t>
      </w:r>
      <w:r w:rsidR="006313F4" w:rsidRPr="002A5D04">
        <w:rPr>
          <w:rFonts w:ascii="Calibri" w:eastAsia="Calibri" w:hAnsi="Calibri" w:cs="Calibri"/>
          <w:sz w:val="22"/>
          <w:szCs w:val="22"/>
        </w:rPr>
        <w:t xml:space="preserve">of the edema was reported. </w:t>
      </w:r>
      <w:r w:rsidR="005927B7" w:rsidRPr="002A5D04">
        <w:rPr>
          <w:rFonts w:ascii="Calibri" w:eastAsia="Calibri" w:hAnsi="Calibri" w:cs="Calibri"/>
          <w:sz w:val="22"/>
          <w:szCs w:val="22"/>
        </w:rPr>
        <w:t xml:space="preserve">Cellulitis </w:t>
      </w:r>
      <w:r w:rsidR="00D91169" w:rsidRPr="002A5D04">
        <w:rPr>
          <w:rFonts w:ascii="Calibri" w:eastAsia="Calibri" w:hAnsi="Calibri" w:cs="Calibri"/>
          <w:sz w:val="22"/>
          <w:szCs w:val="22"/>
        </w:rPr>
        <w:t xml:space="preserve">affecting the lower limbs </w:t>
      </w:r>
      <w:r w:rsidR="005927B7" w:rsidRPr="002A5D04">
        <w:rPr>
          <w:rFonts w:ascii="Calibri" w:eastAsia="Calibri" w:hAnsi="Calibri" w:cs="Calibri"/>
          <w:sz w:val="22"/>
          <w:szCs w:val="22"/>
        </w:rPr>
        <w:t xml:space="preserve">was reported in </w:t>
      </w:r>
      <w:r w:rsidR="00440F4B" w:rsidRPr="002A5D04">
        <w:rPr>
          <w:rFonts w:ascii="Calibri" w:eastAsia="Calibri" w:hAnsi="Calibri" w:cs="Calibri"/>
          <w:sz w:val="22"/>
          <w:szCs w:val="22"/>
        </w:rPr>
        <w:t>4/17</w:t>
      </w:r>
      <w:r w:rsidR="006313F4" w:rsidRPr="002A5D04">
        <w:rPr>
          <w:rFonts w:ascii="Calibri" w:eastAsia="Calibri" w:hAnsi="Calibri" w:cs="Calibri"/>
          <w:sz w:val="22"/>
          <w:szCs w:val="22"/>
        </w:rPr>
        <w:t xml:space="preserve"> </w:t>
      </w:r>
      <w:r w:rsidR="00440F4B" w:rsidRPr="002A5D04">
        <w:rPr>
          <w:rFonts w:ascii="Calibri" w:eastAsia="Calibri" w:hAnsi="Calibri" w:cs="Calibri"/>
          <w:sz w:val="22"/>
          <w:szCs w:val="22"/>
        </w:rPr>
        <w:t>(24%)</w:t>
      </w:r>
      <w:r w:rsidR="00606295" w:rsidRPr="002A5D04">
        <w:rPr>
          <w:rFonts w:ascii="Calibri" w:eastAsia="Calibri" w:hAnsi="Calibri" w:cs="Calibri"/>
          <w:sz w:val="22"/>
          <w:szCs w:val="22"/>
        </w:rPr>
        <w:t xml:space="preserve"> </w:t>
      </w:r>
      <w:r w:rsidR="00B93D4D" w:rsidRPr="002A5D04">
        <w:rPr>
          <w:rFonts w:ascii="Calibri" w:eastAsia="Calibri" w:hAnsi="Calibri" w:cs="Calibri"/>
          <w:sz w:val="22"/>
          <w:szCs w:val="22"/>
        </w:rPr>
        <w:t>patients</w:t>
      </w:r>
      <w:r w:rsidR="0074003B" w:rsidRPr="002A5D04">
        <w:rPr>
          <w:rFonts w:ascii="Calibri" w:eastAsia="Calibri" w:hAnsi="Calibri" w:cs="Calibri"/>
          <w:sz w:val="22"/>
          <w:szCs w:val="22"/>
        </w:rPr>
        <w:t>,</w:t>
      </w:r>
      <w:r w:rsidR="006313F4" w:rsidRPr="002A5D04">
        <w:rPr>
          <w:rFonts w:ascii="Calibri" w:eastAsia="Calibri" w:hAnsi="Calibri" w:cs="Calibri"/>
          <w:sz w:val="22"/>
          <w:szCs w:val="22"/>
        </w:rPr>
        <w:t xml:space="preserve"> </w:t>
      </w:r>
      <w:r w:rsidR="005927B7" w:rsidRPr="002A5D04">
        <w:rPr>
          <w:rFonts w:ascii="Calibri" w:eastAsia="Calibri" w:hAnsi="Calibri" w:cs="Calibri"/>
          <w:sz w:val="22"/>
          <w:szCs w:val="22"/>
        </w:rPr>
        <w:t xml:space="preserve">bronchiectasis in </w:t>
      </w:r>
      <w:r w:rsidR="006313F4" w:rsidRPr="002A5D04">
        <w:rPr>
          <w:rFonts w:ascii="Calibri" w:eastAsia="Calibri" w:hAnsi="Calibri" w:cs="Calibri"/>
          <w:sz w:val="22"/>
          <w:szCs w:val="22"/>
        </w:rPr>
        <w:t xml:space="preserve">13/17 (76%) </w:t>
      </w:r>
      <w:r w:rsidR="0074003B" w:rsidRPr="002A5D04">
        <w:rPr>
          <w:rFonts w:ascii="Calibri" w:eastAsia="Calibri" w:hAnsi="Calibri" w:cs="Calibri"/>
          <w:sz w:val="22"/>
          <w:szCs w:val="22"/>
        </w:rPr>
        <w:t xml:space="preserve">and </w:t>
      </w:r>
      <w:r w:rsidR="005927B7" w:rsidRPr="002A5D04">
        <w:rPr>
          <w:rFonts w:ascii="Calibri" w:eastAsia="Calibri" w:hAnsi="Calibri" w:cs="Calibri"/>
          <w:sz w:val="22"/>
          <w:szCs w:val="22"/>
        </w:rPr>
        <w:t xml:space="preserve">pleural effusion in </w:t>
      </w:r>
      <w:r w:rsidR="0074003B" w:rsidRPr="002A5D04">
        <w:rPr>
          <w:rFonts w:ascii="Calibri" w:eastAsia="Calibri" w:hAnsi="Calibri" w:cs="Calibri"/>
          <w:sz w:val="22"/>
          <w:szCs w:val="22"/>
        </w:rPr>
        <w:t>1/17 (6%)</w:t>
      </w:r>
      <w:r w:rsidR="006313F4" w:rsidRPr="002A5D04">
        <w:rPr>
          <w:rFonts w:ascii="Calibri" w:eastAsia="Calibri" w:hAnsi="Calibri" w:cs="Calibri"/>
          <w:sz w:val="22"/>
          <w:szCs w:val="22"/>
        </w:rPr>
        <w:t>.</w:t>
      </w:r>
    </w:p>
    <w:p w14:paraId="73E83199" w14:textId="72231AD4" w:rsidR="00857EEB" w:rsidRPr="0054439D" w:rsidRDefault="00857EEB">
      <w:pPr>
        <w:pStyle w:val="NormalWeb"/>
        <w:shd w:val="clear" w:color="auto" w:fill="FFFFFF"/>
        <w:spacing w:line="480" w:lineRule="auto"/>
        <w:rPr>
          <w:rFonts w:ascii="Calibri" w:eastAsia="Calibri" w:hAnsi="Calibri" w:cs="Calibri"/>
          <w:sz w:val="22"/>
          <w:szCs w:val="22"/>
        </w:rPr>
      </w:pPr>
    </w:p>
    <w:p w14:paraId="2DC3BF6E" w14:textId="77777777" w:rsidR="00166288" w:rsidRPr="00A21F6F" w:rsidRDefault="006313F4">
      <w:pPr>
        <w:pStyle w:val="NormalWeb"/>
        <w:shd w:val="clear" w:color="auto" w:fill="FFFFFF"/>
        <w:spacing w:line="480" w:lineRule="auto"/>
        <w:rPr>
          <w:rFonts w:ascii="Calibri" w:eastAsia="Calibri" w:hAnsi="Calibri" w:cs="Calibri"/>
          <w:i/>
          <w:iCs/>
        </w:rPr>
      </w:pPr>
      <w:r w:rsidRPr="000A44A1">
        <w:rPr>
          <w:rFonts w:ascii="Calibri" w:eastAsia="Calibri" w:hAnsi="Calibri" w:cs="Calibri"/>
        </w:rPr>
        <w:t>Lymphatic function</w:t>
      </w:r>
    </w:p>
    <w:p w14:paraId="4993BABF" w14:textId="77777777" w:rsidR="00132DA9" w:rsidRPr="00A21F6F" w:rsidRDefault="00132DA9" w:rsidP="00132DA9">
      <w:pPr>
        <w:pStyle w:val="NormalWeb"/>
        <w:shd w:val="clear" w:color="auto" w:fill="FFFFFF"/>
        <w:spacing w:line="480" w:lineRule="auto"/>
        <w:rPr>
          <w:rFonts w:ascii="Calibri" w:eastAsia="Calibri" w:hAnsi="Calibri" w:cs="Calibri"/>
          <w:i/>
          <w:iCs/>
        </w:rPr>
      </w:pPr>
      <w:r w:rsidRPr="00A21F6F">
        <w:rPr>
          <w:rFonts w:ascii="Calibri" w:eastAsia="Calibri" w:hAnsi="Calibri" w:cs="Calibri"/>
          <w:i/>
          <w:iCs/>
        </w:rPr>
        <w:t>Combined qualitative and quantitative assessment of lymph scans</w:t>
      </w:r>
    </w:p>
    <w:p w14:paraId="43701EC8" w14:textId="102ED7F7" w:rsidR="0077529D" w:rsidRPr="000A44A1" w:rsidRDefault="0077529D" w:rsidP="0077529D">
      <w:pPr>
        <w:spacing w:line="480" w:lineRule="auto"/>
        <w:rPr>
          <w:rFonts w:ascii="Calibri" w:eastAsia="Calibri" w:hAnsi="Calibri"/>
          <w:sz w:val="22"/>
          <w:szCs w:val="22"/>
          <w:bdr w:val="none" w:sz="0" w:space="0" w:color="auto"/>
          <w:lang w:eastAsia="en-GB"/>
        </w:rPr>
      </w:pPr>
      <w:r w:rsidRPr="00451F44">
        <w:rPr>
          <w:rFonts w:ascii="Calibri" w:hAnsi="Calibri"/>
          <w:sz w:val="22"/>
          <w:szCs w:val="22"/>
        </w:rPr>
        <w:t xml:space="preserve">YNS group: 10/15 (67%) YNS scans were </w:t>
      </w:r>
      <w:r w:rsidR="00251CCE" w:rsidRPr="00451F44">
        <w:rPr>
          <w:rFonts w:ascii="Calibri" w:hAnsi="Calibri"/>
          <w:sz w:val="22"/>
          <w:szCs w:val="22"/>
        </w:rPr>
        <w:t xml:space="preserve">clearly </w:t>
      </w:r>
      <w:r w:rsidRPr="002D5BEC">
        <w:rPr>
          <w:rFonts w:ascii="Calibri" w:hAnsi="Calibri"/>
          <w:sz w:val="22"/>
          <w:szCs w:val="22"/>
        </w:rPr>
        <w:t xml:space="preserve">abnormal, 5/15 (33%) scans were indeterminate and no scan </w:t>
      </w:r>
      <w:r w:rsidR="00A03742" w:rsidRPr="002D5BEC">
        <w:rPr>
          <w:rFonts w:ascii="Calibri" w:hAnsi="Calibri"/>
          <w:sz w:val="22"/>
          <w:szCs w:val="22"/>
        </w:rPr>
        <w:t>w</w:t>
      </w:r>
      <w:r w:rsidR="00A03742">
        <w:rPr>
          <w:rFonts w:ascii="Calibri" w:hAnsi="Calibri"/>
          <w:sz w:val="22"/>
          <w:szCs w:val="22"/>
        </w:rPr>
        <w:t>as</w:t>
      </w:r>
      <w:r w:rsidR="00A03742" w:rsidRPr="002D5BEC">
        <w:rPr>
          <w:rFonts w:ascii="Calibri" w:hAnsi="Calibri"/>
          <w:sz w:val="22"/>
          <w:szCs w:val="22"/>
        </w:rPr>
        <w:t xml:space="preserve"> </w:t>
      </w:r>
      <w:r w:rsidRPr="002D5BEC">
        <w:rPr>
          <w:rFonts w:ascii="Calibri" w:hAnsi="Calibri"/>
          <w:sz w:val="22"/>
          <w:szCs w:val="22"/>
        </w:rPr>
        <w:t>normal.</w:t>
      </w:r>
      <w:r w:rsidRPr="002D5BEC">
        <w:rPr>
          <w:rFonts w:ascii="Calibri" w:eastAsia="Calibri" w:hAnsi="Calibri" w:cs="Calibri"/>
          <w:sz w:val="22"/>
          <w:szCs w:val="22"/>
        </w:rPr>
        <w:t xml:space="preserve"> </w:t>
      </w:r>
      <w:r w:rsidR="00E87FBB" w:rsidRPr="000A44A1">
        <w:rPr>
          <w:rFonts w:ascii="Calibri" w:eastAsia="Calibri" w:hAnsi="Calibri"/>
          <w:sz w:val="22"/>
          <w:szCs w:val="22"/>
          <w:bdr w:val="none" w:sz="0" w:space="0" w:color="auto"/>
          <w:lang w:eastAsia="en-GB"/>
        </w:rPr>
        <w:t>Whil</w:t>
      </w:r>
      <w:r w:rsidR="00E87FBB">
        <w:rPr>
          <w:rFonts w:ascii="Calibri" w:eastAsia="Calibri" w:hAnsi="Calibri"/>
          <w:sz w:val="22"/>
          <w:szCs w:val="22"/>
          <w:bdr w:val="none" w:sz="0" w:space="0" w:color="auto"/>
          <w:lang w:eastAsia="en-GB"/>
        </w:rPr>
        <w:t>st</w:t>
      </w:r>
      <w:r w:rsidR="00E87FBB" w:rsidRPr="000A44A1">
        <w:rPr>
          <w:rFonts w:ascii="Calibri" w:eastAsia="Calibri" w:hAnsi="Calibri"/>
          <w:sz w:val="22"/>
          <w:szCs w:val="22"/>
          <w:bdr w:val="none" w:sz="0" w:space="0" w:color="auto"/>
          <w:lang w:eastAsia="en-GB"/>
        </w:rPr>
        <w:t xml:space="preserve"> quantification was considered the more reliable outcome measure it was deemed necessary to have both abnormal qualitative and quantitative measures to be sure of a clearly abnormal scan, particularly in view of the high rates of abnormalities in the healthy controls.</w:t>
      </w:r>
      <w:r w:rsidR="00E87FBB">
        <w:rPr>
          <w:rFonts w:ascii="Calibri" w:eastAsia="Calibri" w:hAnsi="Calibri"/>
          <w:sz w:val="22"/>
          <w:szCs w:val="22"/>
          <w:bdr w:val="none" w:sz="0" w:space="0" w:color="auto"/>
          <w:lang w:eastAsia="en-GB"/>
        </w:rPr>
        <w:t xml:space="preserve"> </w:t>
      </w:r>
      <w:r w:rsidRPr="002D5BEC">
        <w:rPr>
          <w:rFonts w:ascii="Calibri" w:eastAsia="Calibri" w:hAnsi="Calibri" w:cs="Calibri"/>
          <w:sz w:val="22"/>
          <w:szCs w:val="22"/>
        </w:rPr>
        <w:t xml:space="preserve">The consistent morphological abnormality in the </w:t>
      </w:r>
      <w:r w:rsidR="005B260D">
        <w:rPr>
          <w:rFonts w:ascii="Calibri" w:eastAsia="Calibri" w:hAnsi="Calibri" w:cs="Calibri"/>
          <w:sz w:val="22"/>
          <w:szCs w:val="22"/>
        </w:rPr>
        <w:t xml:space="preserve">clearly </w:t>
      </w:r>
      <w:r w:rsidRPr="002D5BEC">
        <w:rPr>
          <w:rFonts w:ascii="Calibri" w:eastAsia="Calibri" w:hAnsi="Calibri" w:cs="Calibri"/>
          <w:sz w:val="22"/>
          <w:szCs w:val="22"/>
        </w:rPr>
        <w:t>abnormal scans</w:t>
      </w:r>
      <w:r w:rsidRPr="002D5BEC">
        <w:rPr>
          <w:rFonts w:ascii="Calibri" w:eastAsia="Calibri" w:hAnsi="Calibri"/>
          <w:sz w:val="22"/>
          <w:szCs w:val="22"/>
          <w:bdr w:val="none" w:sz="0" w:space="0" w:color="auto"/>
          <w:lang w:val="en-GB" w:eastAsia="en-GB"/>
        </w:rPr>
        <w:t xml:space="preserve"> was reduced imaging of regional nodes and lymphatic tracts</w:t>
      </w:r>
      <w:r w:rsidRPr="0054439D">
        <w:rPr>
          <w:rFonts w:ascii="Calibri" w:eastAsia="Calibri" w:hAnsi="Calibri"/>
          <w:sz w:val="22"/>
          <w:szCs w:val="22"/>
          <w:bdr w:val="none" w:sz="0" w:space="0" w:color="auto"/>
          <w:lang w:val="en-GB" w:eastAsia="en-GB"/>
        </w:rPr>
        <w:t>, and functional aplasia was evident in all four limbs of YNS-016 and in the left lower limb of YNS-030</w:t>
      </w:r>
      <w:r w:rsidRPr="000A44A1">
        <w:rPr>
          <w:rFonts w:ascii="Calibri" w:eastAsia="Calibri" w:hAnsi="Calibri" w:cs="Calibri"/>
          <w:sz w:val="22"/>
          <w:szCs w:val="22"/>
        </w:rPr>
        <w:t xml:space="preserve">. </w:t>
      </w:r>
      <w:r w:rsidRPr="000A44A1">
        <w:rPr>
          <w:rFonts w:ascii="Calibri" w:eastAsia="Calibri" w:hAnsi="Calibri"/>
          <w:sz w:val="22"/>
          <w:szCs w:val="22"/>
          <w:bdr w:val="none" w:sz="0" w:space="0" w:color="auto"/>
          <w:lang w:eastAsia="en-GB"/>
        </w:rPr>
        <w:t xml:space="preserve">Four of the 5 indeterminate </w:t>
      </w:r>
      <w:r w:rsidR="00873E37">
        <w:rPr>
          <w:rFonts w:ascii="Calibri" w:eastAsia="Calibri" w:hAnsi="Calibri"/>
          <w:sz w:val="22"/>
          <w:szCs w:val="22"/>
          <w:bdr w:val="none" w:sz="0" w:space="0" w:color="auto"/>
          <w:lang w:eastAsia="en-GB"/>
        </w:rPr>
        <w:t xml:space="preserve">YNS </w:t>
      </w:r>
      <w:r w:rsidRPr="000A44A1">
        <w:rPr>
          <w:rFonts w:ascii="Calibri" w:eastAsia="Calibri" w:hAnsi="Calibri"/>
          <w:sz w:val="22"/>
          <w:szCs w:val="22"/>
          <w:bdr w:val="none" w:sz="0" w:space="0" w:color="auto"/>
          <w:lang w:eastAsia="en-GB"/>
        </w:rPr>
        <w:t>scans showed normal morphology with reduced uptake.</w:t>
      </w:r>
    </w:p>
    <w:p w14:paraId="3F59BFFD" w14:textId="276FCAF7" w:rsidR="00694B14" w:rsidRPr="000A44A1" w:rsidRDefault="0077529D" w:rsidP="00F958F8">
      <w:pPr>
        <w:spacing w:after="240" w:line="480" w:lineRule="auto"/>
        <w:rPr>
          <w:rFonts w:ascii="Calibri" w:eastAsia="Calibri" w:hAnsi="Calibri" w:cs="Calibri"/>
          <w:sz w:val="22"/>
          <w:szCs w:val="22"/>
        </w:rPr>
      </w:pPr>
      <w:r w:rsidRPr="000A44A1">
        <w:rPr>
          <w:rFonts w:ascii="Calibri" w:hAnsi="Calibri"/>
          <w:sz w:val="22"/>
          <w:szCs w:val="22"/>
        </w:rPr>
        <w:t xml:space="preserve">Control group: 5/14 (36%) control scans were </w:t>
      </w:r>
      <w:r w:rsidR="00251CCE" w:rsidRPr="000A44A1">
        <w:rPr>
          <w:rFonts w:ascii="Calibri" w:hAnsi="Calibri"/>
          <w:sz w:val="22"/>
          <w:szCs w:val="22"/>
        </w:rPr>
        <w:t xml:space="preserve">clearly </w:t>
      </w:r>
      <w:r w:rsidRPr="000A44A1">
        <w:rPr>
          <w:rFonts w:ascii="Calibri" w:hAnsi="Calibri"/>
          <w:sz w:val="22"/>
          <w:szCs w:val="22"/>
        </w:rPr>
        <w:t>abnormal, 6/14 (43%) scans were indeterminate and 3/14 (21%) scans were normal.</w:t>
      </w:r>
      <w:r w:rsidRPr="000A44A1">
        <w:rPr>
          <w:rFonts w:ascii="Calibri" w:eastAsia="Calibri" w:hAnsi="Calibri"/>
          <w:sz w:val="22"/>
          <w:szCs w:val="22"/>
          <w:bdr w:val="none" w:sz="0" w:space="0" w:color="auto"/>
          <w:lang w:val="en-GB" w:eastAsia="en-GB"/>
        </w:rPr>
        <w:t xml:space="preserve"> </w:t>
      </w:r>
      <w:r w:rsidRPr="000A44A1">
        <w:rPr>
          <w:rFonts w:ascii="Calibri" w:hAnsi="Calibri"/>
          <w:sz w:val="22"/>
          <w:szCs w:val="22"/>
        </w:rPr>
        <w:t xml:space="preserve">The morphological abnormalities in the abnormal scans were reduced nodal imaging, bilateral popliteal node imaging and mild dermal backflow, with reduced uptake. </w:t>
      </w:r>
      <w:r w:rsidRPr="000A44A1">
        <w:rPr>
          <w:rFonts w:ascii="Calibri" w:eastAsia="Calibri" w:hAnsi="Calibri"/>
          <w:sz w:val="22"/>
          <w:szCs w:val="22"/>
          <w:bdr w:val="none" w:sz="0" w:space="0" w:color="auto"/>
          <w:lang w:val="en-GB" w:eastAsia="en-GB"/>
        </w:rPr>
        <w:t xml:space="preserve">The indeterminate </w:t>
      </w:r>
      <w:r w:rsidR="00A17BF3">
        <w:rPr>
          <w:rFonts w:ascii="Calibri" w:eastAsia="Calibri" w:hAnsi="Calibri"/>
          <w:sz w:val="22"/>
          <w:szCs w:val="22"/>
          <w:bdr w:val="none" w:sz="0" w:space="0" w:color="auto"/>
          <w:lang w:val="en-GB" w:eastAsia="en-GB"/>
        </w:rPr>
        <w:t xml:space="preserve">control </w:t>
      </w:r>
      <w:r w:rsidRPr="000A44A1">
        <w:rPr>
          <w:rFonts w:ascii="Calibri" w:eastAsia="Calibri" w:hAnsi="Calibri"/>
          <w:sz w:val="22"/>
          <w:szCs w:val="22"/>
          <w:bdr w:val="none" w:sz="0" w:space="0" w:color="auto"/>
          <w:lang w:val="en-GB" w:eastAsia="en-GB"/>
        </w:rPr>
        <w:t xml:space="preserve">scans </w:t>
      </w:r>
      <w:r w:rsidR="00A17BF3">
        <w:rPr>
          <w:rFonts w:ascii="Calibri" w:eastAsia="Calibri" w:hAnsi="Calibri"/>
          <w:sz w:val="22"/>
          <w:szCs w:val="22"/>
          <w:bdr w:val="none" w:sz="0" w:space="0" w:color="auto"/>
          <w:lang w:val="en-GB" w:eastAsia="en-GB"/>
        </w:rPr>
        <w:t>showe</w:t>
      </w:r>
      <w:r w:rsidR="00A17BF3" w:rsidRPr="000A44A1">
        <w:rPr>
          <w:rFonts w:ascii="Calibri" w:eastAsia="Calibri" w:hAnsi="Calibri"/>
          <w:sz w:val="22"/>
          <w:szCs w:val="22"/>
          <w:bdr w:val="none" w:sz="0" w:space="0" w:color="auto"/>
          <w:lang w:val="en-GB" w:eastAsia="en-GB"/>
        </w:rPr>
        <w:t xml:space="preserve">d </w:t>
      </w:r>
      <w:r w:rsidRPr="000A44A1">
        <w:rPr>
          <w:rFonts w:ascii="Calibri" w:eastAsia="Calibri" w:hAnsi="Calibri"/>
          <w:sz w:val="22"/>
          <w:szCs w:val="22"/>
          <w:bdr w:val="none" w:sz="0" w:space="0" w:color="auto"/>
          <w:lang w:val="en-GB" w:eastAsia="en-GB"/>
        </w:rPr>
        <w:t>reduced uptake only.</w:t>
      </w:r>
    </w:p>
    <w:p w14:paraId="712724E0" w14:textId="77777777" w:rsidR="0077529D" w:rsidRPr="000A44A1" w:rsidRDefault="0077529D" w:rsidP="00694B14">
      <w:pPr>
        <w:spacing w:line="480" w:lineRule="auto"/>
        <w:ind w:firstLine="720"/>
        <w:rPr>
          <w:rFonts w:ascii="Calibri" w:eastAsia="Calibri" w:hAnsi="Calibri" w:cs="Calibri"/>
          <w:sz w:val="22"/>
          <w:szCs w:val="22"/>
        </w:rPr>
      </w:pPr>
      <w:r w:rsidRPr="000A44A1">
        <w:rPr>
          <w:rFonts w:ascii="Calibri" w:eastAsia="Calibri" w:hAnsi="Calibri" w:cs="Calibri"/>
          <w:sz w:val="22"/>
          <w:szCs w:val="22"/>
        </w:rPr>
        <w:t>Figure 2 shows the whole body scans from two YNS patients (YNS-003 and YNS-030) and two controls (YNS-018 and YNS-028). Further details are given in the legend.</w:t>
      </w:r>
    </w:p>
    <w:p w14:paraId="05BE88A9" w14:textId="77777777" w:rsidR="00FB6E46" w:rsidRPr="000A44A1" w:rsidRDefault="00FB6E46" w:rsidP="00FB6E46">
      <w:pPr>
        <w:spacing w:line="480" w:lineRule="auto"/>
        <w:rPr>
          <w:rFonts w:ascii="Calibri" w:eastAsia="Calibri" w:hAnsi="Calibri"/>
          <w:sz w:val="22"/>
          <w:szCs w:val="22"/>
          <w:bdr w:val="none" w:sz="0" w:space="0" w:color="auto"/>
          <w:lang w:val="en-GB" w:eastAsia="en-GB"/>
        </w:rPr>
      </w:pPr>
    </w:p>
    <w:p w14:paraId="798D626E" w14:textId="77777777" w:rsidR="00857EEB" w:rsidRPr="00A21F6F" w:rsidRDefault="006138B3">
      <w:pPr>
        <w:pStyle w:val="NormalWeb"/>
        <w:shd w:val="clear" w:color="auto" w:fill="FFFFFF"/>
        <w:spacing w:line="480" w:lineRule="auto"/>
        <w:rPr>
          <w:rFonts w:ascii="Calibri" w:eastAsia="Calibri" w:hAnsi="Calibri" w:cs="Calibri"/>
          <w:i/>
          <w:iCs/>
        </w:rPr>
      </w:pPr>
      <w:r w:rsidRPr="00A21F6F">
        <w:rPr>
          <w:rFonts w:ascii="Calibri" w:eastAsia="Calibri" w:hAnsi="Calibri" w:cs="Calibri"/>
          <w:i/>
          <w:iCs/>
        </w:rPr>
        <w:t>Quantitative findings</w:t>
      </w:r>
    </w:p>
    <w:p w14:paraId="40060827" w14:textId="116629F8" w:rsidR="00A7393F" w:rsidRPr="000A44A1" w:rsidRDefault="009F1465" w:rsidP="00F958F8">
      <w:pPr>
        <w:pStyle w:val="NormalWeb"/>
        <w:shd w:val="clear" w:color="auto" w:fill="FFFFFF"/>
        <w:spacing w:after="240" w:line="480" w:lineRule="auto"/>
        <w:rPr>
          <w:rFonts w:ascii="Calibri" w:eastAsia="Calibri" w:hAnsi="Calibri" w:cs="Calibri"/>
          <w:sz w:val="22"/>
          <w:szCs w:val="22"/>
        </w:rPr>
      </w:pPr>
      <w:r w:rsidRPr="000A44A1">
        <w:rPr>
          <w:rFonts w:ascii="Calibri" w:eastAsia="Calibri" w:hAnsi="Calibri" w:cs="Calibri"/>
          <w:sz w:val="22"/>
          <w:szCs w:val="22"/>
        </w:rPr>
        <w:t xml:space="preserve">Figure 3 shows all the regional nodal uptake values for the upper and lower limbs of the YNS and control participants. </w:t>
      </w:r>
      <w:r w:rsidR="00A7393F" w:rsidRPr="000A44A1">
        <w:rPr>
          <w:rFonts w:ascii="Calibri" w:eastAsia="Calibri" w:hAnsi="Calibri" w:cs="Calibri"/>
          <w:sz w:val="22"/>
          <w:szCs w:val="22"/>
        </w:rPr>
        <w:t>Axillary uptake in the YNS patients (</w:t>
      </w:r>
      <w:r w:rsidR="00A7393F" w:rsidRPr="000A44A1">
        <w:rPr>
          <w:rFonts w:ascii="Calibri" w:hAnsi="Calibri"/>
          <w:sz w:val="22"/>
          <w:szCs w:val="22"/>
        </w:rPr>
        <w:t xml:space="preserve">2.1%, CI 1.3–2.8%, </w:t>
      </w:r>
      <w:r w:rsidR="00A7393F" w:rsidRPr="000A44A1">
        <w:rPr>
          <w:rFonts w:ascii="Calibri" w:hAnsi="Calibri"/>
          <w:i/>
          <w:iCs/>
          <w:sz w:val="22"/>
          <w:szCs w:val="22"/>
        </w:rPr>
        <w:t>n</w:t>
      </w:r>
      <w:r w:rsidR="00A7393F" w:rsidRPr="000A44A1">
        <w:rPr>
          <w:rFonts w:ascii="Calibri" w:hAnsi="Calibri"/>
          <w:sz w:val="22"/>
          <w:szCs w:val="22"/>
        </w:rPr>
        <w:t xml:space="preserve"> = 15</w:t>
      </w:r>
      <w:r w:rsidR="00A7393F" w:rsidRPr="000A44A1">
        <w:rPr>
          <w:rFonts w:ascii="Calibri" w:eastAsia="Calibri" w:hAnsi="Calibri" w:cs="Calibri"/>
          <w:sz w:val="22"/>
          <w:szCs w:val="22"/>
        </w:rPr>
        <w:t xml:space="preserve">) was lower than in the healthy </w:t>
      </w:r>
      <w:r w:rsidR="00A7393F" w:rsidRPr="000A44A1">
        <w:rPr>
          <w:rFonts w:ascii="Calibri" w:eastAsia="Calibri" w:hAnsi="Calibri" w:cs="Calibri"/>
          <w:sz w:val="22"/>
          <w:szCs w:val="22"/>
        </w:rPr>
        <w:lastRenderedPageBreak/>
        <w:t xml:space="preserve">control group </w:t>
      </w:r>
      <w:r w:rsidR="00A7393F" w:rsidRPr="000A44A1">
        <w:rPr>
          <w:rFonts w:ascii="Calibri" w:hAnsi="Calibri"/>
          <w:sz w:val="22"/>
          <w:szCs w:val="22"/>
        </w:rPr>
        <w:t xml:space="preserve">(3.7%, CI 2.7–4.6%, </w:t>
      </w:r>
      <w:r w:rsidR="00A7393F" w:rsidRPr="000A44A1">
        <w:rPr>
          <w:rFonts w:ascii="Calibri" w:hAnsi="Calibri"/>
          <w:i/>
          <w:iCs/>
          <w:sz w:val="22"/>
          <w:szCs w:val="22"/>
        </w:rPr>
        <w:t>n</w:t>
      </w:r>
      <w:r w:rsidR="00A7393F" w:rsidRPr="000A44A1">
        <w:rPr>
          <w:rFonts w:ascii="Calibri" w:hAnsi="Calibri"/>
          <w:sz w:val="22"/>
          <w:szCs w:val="22"/>
        </w:rPr>
        <w:t xml:space="preserve"> = 14) (right and left sides averaged), and ilio-inguinal uptake was also significantly reduced (YNS 4.6%, CI 3.0–6.3%, controls 7.8%, CI 6.2–9.4</w:t>
      </w:r>
      <w:r w:rsidR="00AB1008">
        <w:rPr>
          <w:rFonts w:ascii="Calibri" w:hAnsi="Calibri"/>
          <w:sz w:val="22"/>
          <w:szCs w:val="22"/>
        </w:rPr>
        <w:t>%</w:t>
      </w:r>
      <w:r w:rsidR="00A7393F" w:rsidRPr="000A44A1">
        <w:rPr>
          <w:rFonts w:ascii="Calibri" w:hAnsi="Calibri"/>
          <w:sz w:val="22"/>
          <w:szCs w:val="22"/>
        </w:rPr>
        <w:t xml:space="preserve">; </w:t>
      </w:r>
      <w:r w:rsidR="006912F8">
        <w:rPr>
          <w:rFonts w:ascii="Calibri" w:hAnsi="Calibri"/>
          <w:i/>
          <w:iCs/>
          <w:sz w:val="22"/>
          <w:szCs w:val="22"/>
        </w:rPr>
        <w:t>p</w:t>
      </w:r>
      <w:r w:rsidR="006912F8" w:rsidRPr="000A44A1">
        <w:rPr>
          <w:rFonts w:ascii="Calibri" w:hAnsi="Calibri"/>
          <w:sz w:val="22"/>
          <w:szCs w:val="22"/>
        </w:rPr>
        <w:t xml:space="preserve"> </w:t>
      </w:r>
      <w:r w:rsidR="00A7393F" w:rsidRPr="000A44A1">
        <w:rPr>
          <w:rFonts w:ascii="Calibri" w:hAnsi="Calibri"/>
          <w:sz w:val="22"/>
          <w:szCs w:val="22"/>
        </w:rPr>
        <w:t>= 0.0002, 2-way ANOVA). Ilio-inguinal uptake was higher than axillary uptake (</w:t>
      </w:r>
      <w:r w:rsidR="006912F8">
        <w:rPr>
          <w:rFonts w:ascii="Calibri" w:hAnsi="Calibri"/>
          <w:i/>
          <w:sz w:val="22"/>
          <w:szCs w:val="22"/>
        </w:rPr>
        <w:t>p</w:t>
      </w:r>
      <w:r w:rsidR="006912F8" w:rsidRPr="000A44A1">
        <w:rPr>
          <w:rFonts w:ascii="Calibri" w:hAnsi="Calibri"/>
          <w:sz w:val="22"/>
          <w:szCs w:val="22"/>
        </w:rPr>
        <w:t xml:space="preserve"> </w:t>
      </w:r>
      <w:r w:rsidR="00A7393F" w:rsidRPr="000A44A1">
        <w:rPr>
          <w:rFonts w:ascii="Calibri" w:hAnsi="Calibri"/>
          <w:sz w:val="22"/>
          <w:szCs w:val="22"/>
        </w:rPr>
        <w:t xml:space="preserve">&lt; 0.0001). </w:t>
      </w:r>
      <w:r w:rsidR="00A7393F" w:rsidRPr="000A44A1">
        <w:rPr>
          <w:rFonts w:ascii="Calibri" w:eastAsia="Calibri" w:hAnsi="Calibri" w:cs="Calibri"/>
          <w:sz w:val="22"/>
          <w:szCs w:val="22"/>
        </w:rPr>
        <w:t>Mean nodal uptake was thus reduced by 44% (axillary) and 41% (ilio-inguinal) in the patients relative to age-matched healthy controls.</w:t>
      </w:r>
      <w:r w:rsidR="00737E36" w:rsidRPr="00737E36">
        <w:rPr>
          <w:rFonts w:ascii="Calibri" w:eastAsia="Calibri" w:hAnsi="Calibri" w:cs="Calibri"/>
          <w:sz w:val="22"/>
          <w:szCs w:val="22"/>
        </w:rPr>
        <w:t xml:space="preserve"> </w:t>
      </w:r>
      <w:r w:rsidR="000E3C91">
        <w:rPr>
          <w:rFonts w:ascii="Calibri" w:eastAsia="Calibri" w:hAnsi="Calibri" w:cs="Calibri"/>
          <w:sz w:val="22"/>
          <w:szCs w:val="22"/>
        </w:rPr>
        <w:t>T</w:t>
      </w:r>
      <w:r w:rsidR="00737E36" w:rsidRPr="00451F44">
        <w:rPr>
          <w:rFonts w:ascii="Calibri" w:eastAsia="Calibri" w:hAnsi="Calibri" w:cs="Calibri"/>
          <w:sz w:val="22"/>
          <w:szCs w:val="22"/>
        </w:rPr>
        <w:t>he mean axillary nodal and ilio-inguinal uptakes for each limb in the YNS group were below the accepted normal values</w:t>
      </w:r>
      <w:r w:rsidR="00737E36">
        <w:rPr>
          <w:rFonts w:ascii="Calibri" w:eastAsia="Calibri" w:hAnsi="Calibri" w:cs="Calibri"/>
          <w:sz w:val="22"/>
          <w:szCs w:val="22"/>
        </w:rPr>
        <w:t>, and at least one limb of every patient showed reduced uptake</w:t>
      </w:r>
      <w:r w:rsidR="00737E36" w:rsidRPr="00451F44">
        <w:rPr>
          <w:rFonts w:ascii="Calibri" w:eastAsia="Calibri" w:hAnsi="Calibri" w:cs="Calibri"/>
          <w:sz w:val="22"/>
          <w:szCs w:val="22"/>
        </w:rPr>
        <w:t xml:space="preserve">. In the control group, surprisingly, </w:t>
      </w:r>
      <w:r w:rsidR="00737E36" w:rsidRPr="002D5BEC">
        <w:rPr>
          <w:rFonts w:ascii="Calibri" w:eastAsia="Calibri" w:hAnsi="Calibri" w:cs="Calibri"/>
          <w:sz w:val="22"/>
          <w:szCs w:val="22"/>
        </w:rPr>
        <w:t xml:space="preserve">nodal </w:t>
      </w:r>
      <w:r w:rsidR="00737E36" w:rsidRPr="0054439D">
        <w:rPr>
          <w:rFonts w:ascii="Calibri" w:eastAsia="Calibri" w:hAnsi="Calibri" w:cs="Calibri"/>
          <w:sz w:val="22"/>
          <w:szCs w:val="22"/>
        </w:rPr>
        <w:t>uptakes w</w:t>
      </w:r>
      <w:r w:rsidR="00737E36" w:rsidRPr="009F44A8">
        <w:rPr>
          <w:rFonts w:ascii="Calibri" w:eastAsia="Calibri" w:hAnsi="Calibri" w:cs="Calibri"/>
          <w:sz w:val="22"/>
          <w:szCs w:val="22"/>
        </w:rPr>
        <w:t xml:space="preserve">ere also near </w:t>
      </w:r>
      <w:r w:rsidR="00737E36" w:rsidRPr="000A44A1">
        <w:rPr>
          <w:rFonts w:ascii="Calibri" w:eastAsia="Calibri" w:hAnsi="Calibri" w:cs="Calibri"/>
          <w:sz w:val="22"/>
          <w:szCs w:val="22"/>
        </w:rPr>
        <w:t xml:space="preserve">or below what is generally considered the normal limit. The given normal </w:t>
      </w:r>
      <w:r w:rsidR="000E3C91">
        <w:rPr>
          <w:rFonts w:ascii="Calibri" w:eastAsia="Calibri" w:hAnsi="Calibri" w:cs="Calibri"/>
          <w:sz w:val="22"/>
          <w:szCs w:val="22"/>
        </w:rPr>
        <w:t>limit</w:t>
      </w:r>
      <w:r w:rsidR="00737E36" w:rsidRPr="000A44A1">
        <w:rPr>
          <w:rFonts w:ascii="Calibri" w:eastAsia="Calibri" w:hAnsi="Calibri" w:cs="Calibri"/>
          <w:sz w:val="22"/>
          <w:szCs w:val="22"/>
        </w:rPr>
        <w:t xml:space="preserve">s have been derived from a reference population of patients, not from healthy controls, and from all ages (therefore </w:t>
      </w:r>
      <w:r w:rsidR="00737E36">
        <w:rPr>
          <w:rFonts w:ascii="Calibri" w:eastAsia="Calibri" w:hAnsi="Calibri" w:cs="Calibri"/>
          <w:sz w:val="22"/>
          <w:szCs w:val="22"/>
        </w:rPr>
        <w:t>not matched with our control participants</w:t>
      </w:r>
      <w:r w:rsidR="00737E36" w:rsidRPr="000A44A1">
        <w:rPr>
          <w:rFonts w:ascii="Calibri" w:eastAsia="Calibri" w:hAnsi="Calibri" w:cs="Calibri"/>
          <w:sz w:val="22"/>
          <w:szCs w:val="22"/>
        </w:rPr>
        <w:t>).</w:t>
      </w:r>
    </w:p>
    <w:p w14:paraId="4273931D" w14:textId="4EBF7FD0" w:rsidR="00A7393F" w:rsidRPr="000A44A1" w:rsidRDefault="00694B14" w:rsidP="00C65363">
      <w:pPr>
        <w:pStyle w:val="NormalWeb"/>
        <w:shd w:val="clear" w:color="auto" w:fill="FFFFFF"/>
        <w:spacing w:after="240" w:line="480" w:lineRule="auto"/>
        <w:rPr>
          <w:rFonts w:ascii="Calibri" w:eastAsia="Calibri" w:hAnsi="Calibri" w:cs="Calibri"/>
          <w:sz w:val="22"/>
          <w:szCs w:val="22"/>
        </w:rPr>
      </w:pPr>
      <w:r w:rsidRPr="000A44A1">
        <w:rPr>
          <w:rFonts w:ascii="Calibri" w:eastAsia="Calibri" w:hAnsi="Calibri" w:cs="Calibri"/>
          <w:sz w:val="22"/>
          <w:szCs w:val="22"/>
        </w:rPr>
        <w:tab/>
      </w:r>
      <w:r w:rsidR="007B0397" w:rsidRPr="00DC33D0">
        <w:rPr>
          <w:rFonts w:ascii="Calibri" w:eastAsia="Calibri" w:hAnsi="Calibri" w:cs="Calibri"/>
          <w:sz w:val="22"/>
          <w:szCs w:val="22"/>
        </w:rPr>
        <w:t>Hand swelling is not often seen in primary lymphedema</w:t>
      </w:r>
      <w:r w:rsidR="008220C7">
        <w:rPr>
          <w:rFonts w:ascii="Calibri" w:eastAsia="Calibri" w:hAnsi="Calibri" w:cs="Calibri"/>
          <w:sz w:val="22"/>
          <w:szCs w:val="22"/>
        </w:rPr>
        <w:t>.</w:t>
      </w:r>
      <w:r w:rsidR="00D15584">
        <w:rPr>
          <w:rFonts w:ascii="Calibri" w:eastAsia="Calibri" w:hAnsi="Calibri" w:cs="Calibri"/>
          <w:sz w:val="22"/>
          <w:szCs w:val="22"/>
        </w:rPr>
        <w:t xml:space="preserve"> </w:t>
      </w:r>
      <w:r w:rsidR="007B0397" w:rsidRPr="000A44A1">
        <w:rPr>
          <w:rFonts w:ascii="Calibri" w:eastAsia="Calibri" w:hAnsi="Calibri" w:cs="Calibri"/>
          <w:sz w:val="22"/>
          <w:szCs w:val="22"/>
        </w:rPr>
        <w:t xml:space="preserve">In two patients hand swelling was one of the first manifestations of the syndrome. Axillary uptake in the 5 patients with hand swelling was therefore compared with those without hand swelling and with the controls. Axillary uptake in the swollen hand group was 67% lower than in the non-swollen hand group (right and left sides averaged; </w:t>
      </w:r>
      <w:r w:rsidR="007B0397" w:rsidRPr="000A44A1">
        <w:rPr>
          <w:rFonts w:ascii="Calibri" w:eastAsia="Calibri" w:hAnsi="Calibri" w:cs="Calibri"/>
          <w:i/>
          <w:sz w:val="22"/>
          <w:szCs w:val="22"/>
        </w:rPr>
        <w:t>n</w:t>
      </w:r>
      <w:r w:rsidR="007B0397" w:rsidRPr="000A44A1">
        <w:rPr>
          <w:rFonts w:ascii="Calibri" w:eastAsia="Calibri" w:hAnsi="Calibri" w:cs="Calibri"/>
          <w:sz w:val="22"/>
          <w:szCs w:val="22"/>
        </w:rPr>
        <w:t xml:space="preserve"> = 5 and 10, </w:t>
      </w:r>
      <w:r w:rsidR="006912F8">
        <w:rPr>
          <w:rFonts w:ascii="Calibri" w:eastAsia="Calibri" w:hAnsi="Calibri" w:cs="Calibri"/>
          <w:i/>
          <w:sz w:val="22"/>
          <w:szCs w:val="22"/>
        </w:rPr>
        <w:t>p</w:t>
      </w:r>
      <w:r w:rsidR="006912F8" w:rsidRPr="000A44A1">
        <w:rPr>
          <w:rFonts w:ascii="Calibri" w:eastAsia="Calibri" w:hAnsi="Calibri" w:cs="Calibri"/>
          <w:sz w:val="22"/>
          <w:szCs w:val="22"/>
        </w:rPr>
        <w:t xml:space="preserve"> </w:t>
      </w:r>
      <w:r w:rsidR="007B0397" w:rsidRPr="000A44A1">
        <w:rPr>
          <w:rFonts w:ascii="Calibri" w:eastAsia="Calibri" w:hAnsi="Calibri" w:cs="Calibri"/>
          <w:sz w:val="22"/>
          <w:szCs w:val="22"/>
        </w:rPr>
        <w:t>= 0.060, one-way ANOVA, Tukey’s post-test) and 76% lower than in the controls (</w:t>
      </w:r>
      <w:r w:rsidR="007B0397" w:rsidRPr="000A44A1">
        <w:rPr>
          <w:rFonts w:ascii="Calibri" w:eastAsia="Calibri" w:hAnsi="Calibri" w:cs="Calibri"/>
          <w:i/>
          <w:sz w:val="22"/>
          <w:szCs w:val="22"/>
        </w:rPr>
        <w:t>n</w:t>
      </w:r>
      <w:r w:rsidR="007B0397" w:rsidRPr="000A44A1">
        <w:rPr>
          <w:rFonts w:ascii="Calibri" w:eastAsia="Calibri" w:hAnsi="Calibri" w:cs="Calibri"/>
          <w:sz w:val="22"/>
          <w:szCs w:val="22"/>
        </w:rPr>
        <w:t xml:space="preserve"> = 14, </w:t>
      </w:r>
      <w:r w:rsidR="006912F8">
        <w:rPr>
          <w:rFonts w:ascii="Calibri" w:eastAsia="Calibri" w:hAnsi="Calibri" w:cs="Calibri"/>
          <w:i/>
          <w:sz w:val="22"/>
          <w:szCs w:val="22"/>
        </w:rPr>
        <w:t>p</w:t>
      </w:r>
      <w:r w:rsidR="006912F8" w:rsidRPr="000A44A1">
        <w:rPr>
          <w:rFonts w:ascii="Calibri" w:eastAsia="Calibri" w:hAnsi="Calibri" w:cs="Calibri"/>
          <w:sz w:val="22"/>
          <w:szCs w:val="22"/>
        </w:rPr>
        <w:t xml:space="preserve"> </w:t>
      </w:r>
      <w:r w:rsidR="007B0397" w:rsidRPr="000A44A1">
        <w:rPr>
          <w:rFonts w:ascii="Calibri" w:eastAsia="Calibri" w:hAnsi="Calibri" w:cs="Calibri"/>
          <w:sz w:val="22"/>
          <w:szCs w:val="22"/>
        </w:rPr>
        <w:t>= 0.001) (Fig. 4). Ilio-inguinal uptake in the swollen hand group showed a similar trend. Therefore, hand swelling appeared to indicate more profound lymph drainage impairment overall.</w:t>
      </w:r>
    </w:p>
    <w:p w14:paraId="3E7855AE" w14:textId="77777777" w:rsidR="006F271A" w:rsidRPr="006F271A" w:rsidRDefault="006F271A" w:rsidP="006F271A">
      <w:pPr>
        <w:pStyle w:val="BodyA"/>
        <w:spacing w:after="0" w:line="480" w:lineRule="auto"/>
        <w:rPr>
          <w:rFonts w:eastAsia="Arial" w:cs="Arial"/>
        </w:rPr>
      </w:pPr>
    </w:p>
    <w:p w14:paraId="2B7BE481" w14:textId="77777777" w:rsidR="00857EEB" w:rsidRDefault="006313F4" w:rsidP="00DD5ADB">
      <w:pPr>
        <w:pStyle w:val="BodyA"/>
        <w:spacing w:line="480" w:lineRule="auto"/>
        <w:rPr>
          <w:sz w:val="28"/>
          <w:szCs w:val="28"/>
        </w:rPr>
      </w:pPr>
      <w:r>
        <w:rPr>
          <w:sz w:val="28"/>
          <w:szCs w:val="28"/>
        </w:rPr>
        <w:t>Discussion</w:t>
      </w:r>
    </w:p>
    <w:p w14:paraId="4AF9FAFC" w14:textId="1F2A8438" w:rsidR="001C61F4" w:rsidRDefault="0019659D" w:rsidP="00711430">
      <w:pPr>
        <w:pStyle w:val="BodyA"/>
        <w:spacing w:after="0" w:line="480" w:lineRule="auto"/>
      </w:pPr>
      <w:r w:rsidRPr="008066B7">
        <w:t xml:space="preserve">There seems little doubt </w:t>
      </w:r>
      <w:r>
        <w:t xml:space="preserve">that YNS is a lymphatic phenotype because lymphatic </w:t>
      </w:r>
      <w:r w:rsidR="002323A4">
        <w:t xml:space="preserve">insufficiency </w:t>
      </w:r>
      <w:r>
        <w:t xml:space="preserve">was found to exist in all patients and </w:t>
      </w:r>
      <w:r w:rsidR="00AE06DA">
        <w:t xml:space="preserve">in the majority </w:t>
      </w:r>
      <w:r w:rsidR="002323A4">
        <w:t xml:space="preserve">the insufficiency </w:t>
      </w:r>
      <w:r>
        <w:t>was widespread</w:t>
      </w:r>
      <w:r w:rsidR="002323A4">
        <w:t>,</w:t>
      </w:r>
      <w:r>
        <w:t xml:space="preserve"> </w:t>
      </w:r>
      <w:r w:rsidR="00AE06DA">
        <w:t>including the upper limbs</w:t>
      </w:r>
      <w:r>
        <w:t xml:space="preserve">. </w:t>
      </w:r>
      <w:r w:rsidR="00C05B9F">
        <w:t xml:space="preserve">The patients were assessed carefully </w:t>
      </w:r>
      <w:r w:rsidR="008220C7">
        <w:t xml:space="preserve">on clinical grounds </w:t>
      </w:r>
      <w:r w:rsidR="00C05B9F">
        <w:t xml:space="preserve">to </w:t>
      </w:r>
      <w:r w:rsidR="00E55BBB">
        <w:t xml:space="preserve">confirm </w:t>
      </w:r>
      <w:r w:rsidR="00C05B9F">
        <w:t xml:space="preserve">the </w:t>
      </w:r>
      <w:r w:rsidR="00FC70AA">
        <w:t>diagnosis</w:t>
      </w:r>
      <w:r w:rsidR="00C05B9F">
        <w:t xml:space="preserve"> of YNS; the two patients without nail abnormalities had exhibited such abnormalities previously but these had undergone remission. </w:t>
      </w:r>
      <w:r w:rsidR="00E04764">
        <w:t xml:space="preserve">The main findings were as follows. </w:t>
      </w:r>
      <w:r w:rsidR="00E17818">
        <w:t xml:space="preserve">(i) All patients had clinical evidence of lower </w:t>
      </w:r>
      <w:r w:rsidR="00E17818">
        <w:lastRenderedPageBreak/>
        <w:t>limb lymphedema</w:t>
      </w:r>
      <w:r w:rsidR="00CD1332">
        <w:t>,</w:t>
      </w:r>
      <w:r w:rsidR="00E17818">
        <w:t xml:space="preserve"> 82% had </w:t>
      </w:r>
      <w:r w:rsidR="00683418">
        <w:t>mild</w:t>
      </w:r>
      <w:r w:rsidR="00DA5555">
        <w:t xml:space="preserve"> </w:t>
      </w:r>
      <w:r w:rsidR="00E17818">
        <w:t>upper limb involvement</w:t>
      </w:r>
      <w:r w:rsidR="00CD1332">
        <w:t xml:space="preserve"> also</w:t>
      </w:r>
      <w:r w:rsidR="00495F00">
        <w:t>, including 29% with hand swelling</w:t>
      </w:r>
      <w:r w:rsidR="00E17818">
        <w:t>. (i</w:t>
      </w:r>
      <w:r w:rsidR="004B2FFD">
        <w:t>i) U</w:t>
      </w:r>
      <w:r w:rsidR="00FA128F">
        <w:t>sing the combined qualitative and quantitative</w:t>
      </w:r>
      <w:r w:rsidR="004B2FFD">
        <w:t xml:space="preserve"> </w:t>
      </w:r>
      <w:r w:rsidR="00FA128F">
        <w:t>outcome</w:t>
      </w:r>
      <w:r w:rsidR="004B2FFD">
        <w:t xml:space="preserve"> criteria</w:t>
      </w:r>
      <w:r w:rsidR="008205FA">
        <w:t>,</w:t>
      </w:r>
      <w:r w:rsidR="004B2FFD">
        <w:t xml:space="preserve"> </w:t>
      </w:r>
      <w:r w:rsidR="00E04764">
        <w:t>67%</w:t>
      </w:r>
      <w:r w:rsidR="00BA7EFE">
        <w:t xml:space="preserve"> </w:t>
      </w:r>
      <w:r w:rsidR="00DD75E2">
        <w:t xml:space="preserve">of </w:t>
      </w:r>
      <w:r w:rsidR="00E04764" w:rsidRPr="00DE45CB">
        <w:t xml:space="preserve">scans </w:t>
      </w:r>
      <w:r w:rsidR="00DD75E2">
        <w:t>in the YNS group</w:t>
      </w:r>
      <w:r w:rsidR="00DD75E2" w:rsidRPr="00DE45CB">
        <w:t xml:space="preserve"> </w:t>
      </w:r>
      <w:r w:rsidR="00E04764" w:rsidRPr="00DE45CB">
        <w:t xml:space="preserve">were </w:t>
      </w:r>
      <w:r w:rsidR="00E60D48">
        <w:t xml:space="preserve">clearly </w:t>
      </w:r>
      <w:r w:rsidR="00E04764" w:rsidRPr="00DE45CB">
        <w:t>abnormal</w:t>
      </w:r>
      <w:r w:rsidR="004B2FFD">
        <w:t xml:space="preserve"> </w:t>
      </w:r>
      <w:r w:rsidR="00AE06DA">
        <w:t>(</w:t>
      </w:r>
      <w:r w:rsidR="005178F2" w:rsidRPr="006F271A">
        <w:rPr>
          <w:i/>
        </w:rPr>
        <w:t>i.e</w:t>
      </w:r>
      <w:r w:rsidR="005178F2">
        <w:t>.</w:t>
      </w:r>
      <w:r w:rsidR="00AE06DA">
        <w:t xml:space="preserve"> both qualitative</w:t>
      </w:r>
      <w:r w:rsidR="005178F2">
        <w:t>ly</w:t>
      </w:r>
      <w:r w:rsidR="00AE06DA">
        <w:t xml:space="preserve"> and quantitative</w:t>
      </w:r>
      <w:r w:rsidR="005178F2">
        <w:t>ly abnormal</w:t>
      </w:r>
      <w:r w:rsidR="00AE06DA">
        <w:t xml:space="preserve">) </w:t>
      </w:r>
      <w:r w:rsidR="00DD75E2">
        <w:t xml:space="preserve">and, surprisingly, </w:t>
      </w:r>
      <w:r w:rsidR="00DC0A2A">
        <w:t xml:space="preserve">36% of </w:t>
      </w:r>
      <w:r w:rsidR="00DC0A2A" w:rsidRPr="00DE45CB">
        <w:t xml:space="preserve">scans </w:t>
      </w:r>
      <w:r w:rsidR="007D3583">
        <w:t>in the control group</w:t>
      </w:r>
      <w:r w:rsidR="00E04764" w:rsidRPr="00DE45CB">
        <w:t xml:space="preserve"> were </w:t>
      </w:r>
      <w:r w:rsidR="00DD75E2">
        <w:t xml:space="preserve">also </w:t>
      </w:r>
      <w:r w:rsidR="00AE06DA">
        <w:t xml:space="preserve">clearly </w:t>
      </w:r>
      <w:r w:rsidR="00E04764" w:rsidRPr="00DE45CB">
        <w:t>abnormal</w:t>
      </w:r>
      <w:r w:rsidR="00B1267D">
        <w:t xml:space="preserve">. </w:t>
      </w:r>
      <w:r w:rsidR="00E04764">
        <w:t>(i</w:t>
      </w:r>
      <w:r w:rsidR="008979C9">
        <w:t>ii</w:t>
      </w:r>
      <w:r w:rsidR="00E04764">
        <w:t>)</w:t>
      </w:r>
      <w:r w:rsidR="00E04764" w:rsidRPr="00E04764">
        <w:t xml:space="preserve"> </w:t>
      </w:r>
      <w:r w:rsidR="000124B7">
        <w:t>Evaluation</w:t>
      </w:r>
      <w:r w:rsidR="00DD75E2">
        <w:t xml:space="preserve"> of lymphatic function by q</w:t>
      </w:r>
      <w:r w:rsidR="00FA128F">
        <w:t xml:space="preserve">uantitative </w:t>
      </w:r>
      <w:r w:rsidR="00DD75E2">
        <w:t>analysis alone showed</w:t>
      </w:r>
      <w:r w:rsidR="00B1267D">
        <w:t xml:space="preserve"> </w:t>
      </w:r>
      <w:r w:rsidR="00DD75E2">
        <w:t>that regional nodal uptake</w:t>
      </w:r>
      <w:r w:rsidR="00B1267D">
        <w:t xml:space="preserve"> was reduced </w:t>
      </w:r>
      <w:r w:rsidR="003763F6">
        <w:t xml:space="preserve">by 41–44% </w:t>
      </w:r>
      <w:r w:rsidR="00B1267D">
        <w:t xml:space="preserve">in </w:t>
      </w:r>
      <w:r w:rsidR="00AA288D">
        <w:t xml:space="preserve">both the </w:t>
      </w:r>
      <w:r w:rsidR="00B1267D">
        <w:t xml:space="preserve">upper and lower limbs </w:t>
      </w:r>
      <w:r w:rsidR="00452AFD">
        <w:t xml:space="preserve">of YNS patients </w:t>
      </w:r>
      <w:r w:rsidR="003763F6">
        <w:t>relative to the</w:t>
      </w:r>
      <w:r w:rsidR="00B1267D">
        <w:t xml:space="preserve"> control</w:t>
      </w:r>
      <w:r w:rsidR="00426198">
        <w:t xml:space="preserve"> group</w:t>
      </w:r>
      <w:r w:rsidR="00B1267D">
        <w:t>.</w:t>
      </w:r>
    </w:p>
    <w:p w14:paraId="73477388" w14:textId="77777777" w:rsidR="006F271A" w:rsidRPr="000A44A1" w:rsidRDefault="006F271A" w:rsidP="006F271A">
      <w:pPr>
        <w:spacing w:line="480" w:lineRule="auto"/>
        <w:rPr>
          <w:rFonts w:ascii="Calibri" w:eastAsia="Calibri" w:hAnsi="Calibri"/>
          <w:sz w:val="22"/>
          <w:szCs w:val="22"/>
          <w:bdr w:val="none" w:sz="0" w:space="0" w:color="auto"/>
          <w:lang w:val="en-GB" w:eastAsia="en-GB"/>
        </w:rPr>
      </w:pPr>
    </w:p>
    <w:p w14:paraId="7216F576" w14:textId="31299EE8" w:rsidR="001C61F4" w:rsidRPr="0022420B" w:rsidRDefault="001C61F4" w:rsidP="00711430">
      <w:pPr>
        <w:pStyle w:val="BodyA"/>
        <w:spacing w:after="0" w:line="480" w:lineRule="auto"/>
        <w:rPr>
          <w:sz w:val="24"/>
          <w:szCs w:val="24"/>
        </w:rPr>
      </w:pPr>
      <w:r w:rsidRPr="0022420B">
        <w:rPr>
          <w:sz w:val="24"/>
          <w:szCs w:val="24"/>
        </w:rPr>
        <w:t>Lymphatic function in the YNS patients</w:t>
      </w:r>
    </w:p>
    <w:p w14:paraId="2E152E72" w14:textId="454936E7" w:rsidR="00D5300B" w:rsidRDefault="000E79FF" w:rsidP="00426D7F">
      <w:pPr>
        <w:pStyle w:val="BodyA"/>
        <w:spacing w:line="480" w:lineRule="auto"/>
      </w:pPr>
      <w:r w:rsidRPr="002A5D04">
        <w:t xml:space="preserve">The patients </w:t>
      </w:r>
      <w:r w:rsidR="00FB5351" w:rsidRPr="002A5D04">
        <w:t>recrui</w:t>
      </w:r>
      <w:r w:rsidRPr="002A5D04">
        <w:t xml:space="preserve">ted for this study all fulfilled the </w:t>
      </w:r>
      <w:r w:rsidR="00612A09" w:rsidRPr="002A5D04">
        <w:t xml:space="preserve">three </w:t>
      </w:r>
      <w:r w:rsidR="00726F87" w:rsidRPr="002A5D04">
        <w:t xml:space="preserve">criteria for YNS, namely </w:t>
      </w:r>
      <w:r w:rsidR="00FB5351" w:rsidRPr="002A5D04">
        <w:t xml:space="preserve">the presence of </w:t>
      </w:r>
      <w:r w:rsidR="00582DD0" w:rsidRPr="002A5D04">
        <w:t>discolored, dystrophic</w:t>
      </w:r>
      <w:r w:rsidRPr="002A5D04">
        <w:t xml:space="preserve"> nails, lym</w:t>
      </w:r>
      <w:r w:rsidR="00726F87" w:rsidRPr="002A5D04">
        <w:t>phedema and respiratory disease</w:t>
      </w:r>
      <w:r w:rsidRPr="002A5D04">
        <w:t xml:space="preserve">. </w:t>
      </w:r>
      <w:r w:rsidR="00FB5351" w:rsidRPr="002A5D04">
        <w:t>The two patients without nail abnormalities had exhibited this previously</w:t>
      </w:r>
      <w:r w:rsidR="000C3AC1" w:rsidRPr="002A5D04">
        <w:t xml:space="preserve"> when the diagnosis was originally made.</w:t>
      </w:r>
      <w:r w:rsidR="00FB5351">
        <w:t xml:space="preserve"> </w:t>
      </w:r>
      <w:r w:rsidR="00093BCD">
        <w:t xml:space="preserve">The mechanism for the lymphatic </w:t>
      </w:r>
      <w:r w:rsidR="00082349">
        <w:t xml:space="preserve">insufficiency </w:t>
      </w:r>
      <w:r w:rsidR="00093BCD">
        <w:t xml:space="preserve">was consistent in all patients where it was observed, namely a failure of lymphatic transport through the main channels and not lymphatic obstruction or lymph reflux, mechanisms that are frequently observed in other forms of </w:t>
      </w:r>
      <w:r w:rsidR="00CD0B26">
        <w:t xml:space="preserve">primary </w:t>
      </w:r>
      <w:r w:rsidR="00093BCD">
        <w:t xml:space="preserve">lymphedema. This means </w:t>
      </w:r>
      <w:r w:rsidR="002723BB">
        <w:t xml:space="preserve">that </w:t>
      </w:r>
      <w:r w:rsidR="00093BCD">
        <w:t xml:space="preserve">there is either </w:t>
      </w:r>
      <w:r w:rsidR="00A328E5">
        <w:t xml:space="preserve">reduced </w:t>
      </w:r>
      <w:r w:rsidR="00093BCD">
        <w:t xml:space="preserve">uptake of material by initial lymphatics or </w:t>
      </w:r>
      <w:r w:rsidR="00A328E5">
        <w:t xml:space="preserve">reduced </w:t>
      </w:r>
      <w:r w:rsidR="00093BCD">
        <w:t>subsequent transport</w:t>
      </w:r>
      <w:r w:rsidR="00CD0B26">
        <w:t xml:space="preserve"> </w:t>
      </w:r>
      <w:r w:rsidR="00093BCD">
        <w:t>through the main collecting lymphatics adjoining the nodes.</w:t>
      </w:r>
      <w:r w:rsidR="00713FD1" w:rsidRPr="00713FD1">
        <w:t xml:space="preserve"> </w:t>
      </w:r>
      <w:r w:rsidR="00293E89">
        <w:t>Patient s</w:t>
      </w:r>
      <w:r w:rsidR="00842EDF">
        <w:t xml:space="preserve">cans with normal morphology </w:t>
      </w:r>
      <w:r w:rsidR="00E233F1">
        <w:t xml:space="preserve">of lymph drainage routes </w:t>
      </w:r>
      <w:r w:rsidR="00842EDF">
        <w:t xml:space="preserve">nevertheless all showed reduced uptake, the prevailing abnormality. </w:t>
      </w:r>
      <w:r w:rsidR="005766F1">
        <w:t xml:space="preserve">The worst </w:t>
      </w:r>
      <w:r w:rsidR="002B1287">
        <w:t>abnormality was</w:t>
      </w:r>
      <w:r w:rsidR="005766F1">
        <w:t xml:space="preserve"> functional aplasia</w:t>
      </w:r>
      <w:r w:rsidR="009522CF">
        <w:t>,</w:t>
      </w:r>
      <w:r w:rsidR="002B1287">
        <w:t xml:space="preserve"> </w:t>
      </w:r>
      <w:r w:rsidR="002B1287" w:rsidRPr="009522CF">
        <w:rPr>
          <w:i/>
        </w:rPr>
        <w:t>i.e</w:t>
      </w:r>
      <w:r w:rsidR="002B1287">
        <w:t>. no discernible drainage</w:t>
      </w:r>
      <w:r w:rsidR="002249E4">
        <w:t xml:space="preserve"> which was</w:t>
      </w:r>
      <w:r w:rsidR="00DA1A77">
        <w:t xml:space="preserve"> interpreted as </w:t>
      </w:r>
      <w:r w:rsidR="002249E4">
        <w:t>‘</w:t>
      </w:r>
      <w:r w:rsidR="00DA1A77">
        <w:t>shut down</w:t>
      </w:r>
      <w:r w:rsidR="002249E4">
        <w:t>’</w:t>
      </w:r>
      <w:r w:rsidR="00DA1A77">
        <w:t xml:space="preserve"> of main lymphatic collector </w:t>
      </w:r>
      <w:r w:rsidR="002249E4">
        <w:t xml:space="preserve">vessel </w:t>
      </w:r>
      <w:r w:rsidR="00DA1A77">
        <w:t>drainage</w:t>
      </w:r>
      <w:r w:rsidR="005766F1">
        <w:t xml:space="preserve">. </w:t>
      </w:r>
      <w:r w:rsidR="00842EDF">
        <w:t xml:space="preserve">It seems likely </w:t>
      </w:r>
      <w:r w:rsidR="00AB163B">
        <w:t xml:space="preserve">therefore </w:t>
      </w:r>
      <w:r w:rsidR="00842EDF">
        <w:t xml:space="preserve">that lymph vessel function diminishes progressively as the disease worsens, with morphological abnormalities becoming evident as the YNS becomes more advanced. </w:t>
      </w:r>
      <w:r w:rsidR="005766F1">
        <w:t xml:space="preserve">Our findings </w:t>
      </w:r>
      <w:r w:rsidR="007D0F39">
        <w:t xml:space="preserve">are consistent </w:t>
      </w:r>
      <w:r w:rsidR="005766F1">
        <w:t>with those of</w:t>
      </w:r>
      <w:r w:rsidR="005766F1" w:rsidRPr="008177A7">
        <w:t xml:space="preserve"> </w:t>
      </w:r>
      <w:r w:rsidR="005766F1">
        <w:t>Samman and White, who performed direct contrast lymphangiography on four patients with YNS and identified a consistent reduction in the number of limb lymphatic collector vessels; in one patient no main lymph vessels could be visualised.</w:t>
      </w:r>
      <w:r w:rsidR="00B2412D" w:rsidRPr="00F65711">
        <w:rPr>
          <w:vertAlign w:val="superscript"/>
        </w:rPr>
        <w:t>1</w:t>
      </w:r>
      <w:r w:rsidR="00BA2117" w:rsidRPr="00BA2117">
        <w:t xml:space="preserve"> </w:t>
      </w:r>
    </w:p>
    <w:p w14:paraId="53560876" w14:textId="5163793A" w:rsidR="009924EE" w:rsidRDefault="00052407" w:rsidP="006C4D9D">
      <w:pPr>
        <w:pStyle w:val="BodyA"/>
        <w:spacing w:line="480" w:lineRule="auto"/>
        <w:ind w:firstLine="709"/>
      </w:pPr>
      <w:r w:rsidRPr="003E7767">
        <w:lastRenderedPageBreak/>
        <w:t xml:space="preserve">From our findings it was not possible to determine whether </w:t>
      </w:r>
      <w:r w:rsidR="00170E8F" w:rsidRPr="003E7767">
        <w:t xml:space="preserve">lymphatic dysfunction </w:t>
      </w:r>
      <w:r w:rsidR="007D0F39" w:rsidRPr="003E7767">
        <w:t xml:space="preserve">is a </w:t>
      </w:r>
      <w:r w:rsidR="00D51528" w:rsidRPr="003E7767">
        <w:t>primary</w:t>
      </w:r>
      <w:r w:rsidR="007D0F39" w:rsidRPr="003E7767">
        <w:t xml:space="preserve"> phenomenon in YNS</w:t>
      </w:r>
      <w:r w:rsidR="00683B28" w:rsidRPr="0092046C">
        <w:t>.</w:t>
      </w:r>
      <w:r w:rsidR="007D0F39">
        <w:t xml:space="preserve"> </w:t>
      </w:r>
      <w:r w:rsidR="00D51528" w:rsidRPr="00093BCD">
        <w:t xml:space="preserve">In other words, is there genetic </w:t>
      </w:r>
      <w:r w:rsidR="00293E89">
        <w:t xml:space="preserve">predisposition for a </w:t>
      </w:r>
      <w:r w:rsidR="00D51528" w:rsidRPr="00093BCD">
        <w:t xml:space="preserve">weakness in lymph drainage in patients who subsequently develop the syndrome? The </w:t>
      </w:r>
      <w:r w:rsidR="006222FD">
        <w:t>occurrence</w:t>
      </w:r>
      <w:r w:rsidR="006222FD" w:rsidRPr="00093BCD">
        <w:t xml:space="preserve"> </w:t>
      </w:r>
      <w:r w:rsidR="00D51528" w:rsidRPr="00093BCD">
        <w:t xml:space="preserve">of congenital and familial forms of YNS </w:t>
      </w:r>
      <w:r w:rsidR="00D51528">
        <w:t>would support the</w:t>
      </w:r>
      <w:r w:rsidR="00D51528" w:rsidRPr="00093BCD">
        <w:t xml:space="preserve"> possibility of a genetic </w:t>
      </w:r>
      <w:r w:rsidR="00D51528">
        <w:t>etiology</w:t>
      </w:r>
      <w:r w:rsidR="00293E89">
        <w:t xml:space="preserve">, </w:t>
      </w:r>
      <w:r w:rsidR="00C461CE">
        <w:t>but</w:t>
      </w:r>
      <w:r w:rsidR="00293E89">
        <w:t xml:space="preserve"> there were no cases of a family history in the pa</w:t>
      </w:r>
      <w:r w:rsidR="00C461CE">
        <w:t>tie</w:t>
      </w:r>
      <w:r w:rsidR="00293E89">
        <w:t>nts</w:t>
      </w:r>
      <w:r w:rsidR="00D5300B">
        <w:t xml:space="preserve"> studied here</w:t>
      </w:r>
      <w:r w:rsidR="00D51528" w:rsidRPr="00093BCD">
        <w:t xml:space="preserve">. </w:t>
      </w:r>
      <w:r w:rsidR="00683B28">
        <w:t xml:space="preserve">Alternatively, </w:t>
      </w:r>
      <w:r w:rsidR="00D5300B">
        <w:t xml:space="preserve">shut down of main collector vessels, possibly as a result of </w:t>
      </w:r>
      <w:r w:rsidR="00D51528">
        <w:t>obliteration/atrophy of peripheral lymph vessels</w:t>
      </w:r>
      <w:r w:rsidR="00D5300B">
        <w:t>,</w:t>
      </w:r>
      <w:r w:rsidR="00D51528">
        <w:t xml:space="preserve"> </w:t>
      </w:r>
      <w:r w:rsidR="00683B28">
        <w:t>could occur as a result of</w:t>
      </w:r>
      <w:r w:rsidR="00D51528" w:rsidRPr="004627F2">
        <w:t xml:space="preserve"> extrinsic or environmental factors</w:t>
      </w:r>
      <w:r w:rsidR="00683B28">
        <w:t xml:space="preserve"> but such factors</w:t>
      </w:r>
      <w:r w:rsidR="00D51528" w:rsidRPr="004627F2">
        <w:t xml:space="preserve"> </w:t>
      </w:r>
      <w:r w:rsidR="00D51528">
        <w:t>are unknown.</w:t>
      </w:r>
      <w:r w:rsidR="00D51528" w:rsidRPr="004627F2">
        <w:t xml:space="preserve"> There have been anecdotal reports of toxic materials such as titanium causing YNS.</w:t>
      </w:r>
      <w:r w:rsidR="00B2412D" w:rsidRPr="00F65711">
        <w:rPr>
          <w:vertAlign w:val="superscript"/>
        </w:rPr>
        <w:t>3</w:t>
      </w:r>
    </w:p>
    <w:p w14:paraId="268F6E03" w14:textId="12A4E542" w:rsidR="00F43690" w:rsidRDefault="00D9672E" w:rsidP="00711430">
      <w:pPr>
        <w:pStyle w:val="BodyA"/>
        <w:spacing w:after="0" w:line="480" w:lineRule="auto"/>
        <w:ind w:firstLine="709"/>
      </w:pPr>
      <w:r>
        <w:t xml:space="preserve">The majority of patients </w:t>
      </w:r>
      <w:r w:rsidRPr="00563843">
        <w:t>had</w:t>
      </w:r>
      <w:r>
        <w:t xml:space="preserve"> some upper limb </w:t>
      </w:r>
      <w:r w:rsidR="008B355A">
        <w:t>involvement</w:t>
      </w:r>
      <w:r>
        <w:t>, although this was mild, and 5 of these had hand swelling</w:t>
      </w:r>
      <w:r w:rsidRPr="001D247C">
        <w:t xml:space="preserve">. </w:t>
      </w:r>
      <w:r>
        <w:t xml:space="preserve">To our knowledge, upper limb </w:t>
      </w:r>
      <w:r w:rsidR="008B355A">
        <w:t xml:space="preserve">lymphedema </w:t>
      </w:r>
      <w:r>
        <w:t xml:space="preserve">has not been </w:t>
      </w:r>
      <w:r w:rsidR="00AD6D31">
        <w:t xml:space="preserve">previously </w:t>
      </w:r>
      <w:r>
        <w:t xml:space="preserve">reported </w:t>
      </w:r>
      <w:r w:rsidR="00B25FE7">
        <w:t xml:space="preserve">in YNS. </w:t>
      </w:r>
      <w:r w:rsidR="008B355A">
        <w:t xml:space="preserve">Lymphedema </w:t>
      </w:r>
      <w:r w:rsidR="006B2D6D">
        <w:t>has been reported mainly to affect the l</w:t>
      </w:r>
      <w:r w:rsidR="000433C2">
        <w:t>ower limb</w:t>
      </w:r>
      <w:r w:rsidR="006B2D6D">
        <w:t>, but also the</w:t>
      </w:r>
      <w:r w:rsidR="000433C2">
        <w:t xml:space="preserve"> fac</w:t>
      </w:r>
      <w:r w:rsidR="006B2D6D">
        <w:t>e and genitals</w:t>
      </w:r>
      <w:r>
        <w:t>.</w:t>
      </w:r>
      <w:r w:rsidR="00B2412D" w:rsidRPr="00F65711">
        <w:rPr>
          <w:vertAlign w:val="superscript"/>
        </w:rPr>
        <w:t>1,4,7,13</w:t>
      </w:r>
      <w:r>
        <w:t xml:space="preserve"> </w:t>
      </w:r>
      <w:r w:rsidR="00AA08D8">
        <w:t>U</w:t>
      </w:r>
      <w:r w:rsidR="006012D8" w:rsidRPr="001D247C">
        <w:t>pper limb involvement</w:t>
      </w:r>
      <w:r w:rsidR="006012D8">
        <w:t xml:space="preserve"> is </w:t>
      </w:r>
      <w:r w:rsidR="00563843">
        <w:t>less common</w:t>
      </w:r>
      <w:r w:rsidR="006012D8">
        <w:t xml:space="preserve"> than lower limb involvement </w:t>
      </w:r>
      <w:r w:rsidR="00AA08D8">
        <w:t xml:space="preserve">in primary lymphedema </w:t>
      </w:r>
      <w:r w:rsidR="006012D8">
        <w:t xml:space="preserve">and the upper limb has received less attention. In a recent series of patients with </w:t>
      </w:r>
      <w:r w:rsidR="008959F5">
        <w:t xml:space="preserve">primary lymphedema (of any type) and </w:t>
      </w:r>
      <w:r w:rsidR="006012D8">
        <w:t>upper limb swelling, the hand was always involved</w:t>
      </w:r>
      <w:r w:rsidR="00AD6D31">
        <w:t>.</w:t>
      </w:r>
      <w:r w:rsidR="00CB2B17">
        <w:rPr>
          <w:vertAlign w:val="superscript"/>
        </w:rPr>
        <w:t>18</w:t>
      </w:r>
      <w:r w:rsidR="00CB2B17">
        <w:t xml:space="preserve"> </w:t>
      </w:r>
      <w:r w:rsidR="00514971">
        <w:t>Our</w:t>
      </w:r>
      <w:r w:rsidR="001D247C" w:rsidRPr="001D247C">
        <w:t xml:space="preserve"> observation of substantially reduced axillary uptake in the </w:t>
      </w:r>
      <w:r w:rsidR="00514971" w:rsidRPr="001D247C">
        <w:t xml:space="preserve">subgroup </w:t>
      </w:r>
      <w:r w:rsidR="00514971">
        <w:t xml:space="preserve">of YNS </w:t>
      </w:r>
      <w:r w:rsidR="001D247C" w:rsidRPr="001D247C">
        <w:t xml:space="preserve">patients with swollen hands is noteworthy, albeit based on a low </w:t>
      </w:r>
      <w:r w:rsidR="001D247C" w:rsidRPr="001D247C">
        <w:rPr>
          <w:i/>
        </w:rPr>
        <w:t>n</w:t>
      </w:r>
      <w:r w:rsidR="001D247C" w:rsidRPr="001D247C">
        <w:t xml:space="preserve">. </w:t>
      </w:r>
      <w:r w:rsidR="004D0306" w:rsidRPr="004D0306">
        <w:t xml:space="preserve">The evidence for </w:t>
      </w:r>
      <w:r w:rsidR="002C6231">
        <w:t>greater</w:t>
      </w:r>
      <w:r w:rsidR="004D0306" w:rsidRPr="004D0306">
        <w:t xml:space="preserve"> lymphatic </w:t>
      </w:r>
      <w:r w:rsidR="002C6231">
        <w:t>impairment</w:t>
      </w:r>
      <w:r w:rsidR="004D0306" w:rsidRPr="004D0306">
        <w:t xml:space="preserve"> in the swollen hand sub-group indi</w:t>
      </w:r>
      <w:r w:rsidR="004D0306">
        <w:t xml:space="preserve">cates that such patients </w:t>
      </w:r>
      <w:r w:rsidR="001D247C" w:rsidRPr="001D247C">
        <w:t xml:space="preserve">merit closer long-term clinical scrutiny. Lymphatic function in YNS </w:t>
      </w:r>
      <w:r w:rsidR="006C50F8">
        <w:t xml:space="preserve">(and </w:t>
      </w:r>
      <w:r w:rsidR="002C6231">
        <w:t xml:space="preserve">in </w:t>
      </w:r>
      <w:r w:rsidR="008F5345">
        <w:t xml:space="preserve">other forms of </w:t>
      </w:r>
      <w:r w:rsidR="006C50F8">
        <w:t xml:space="preserve">lymphedema) </w:t>
      </w:r>
      <w:r w:rsidR="008F5345">
        <w:t xml:space="preserve">when </w:t>
      </w:r>
      <w:r w:rsidR="001D247C" w:rsidRPr="001D247C">
        <w:t>hand swelli</w:t>
      </w:r>
      <w:r w:rsidR="001D247C">
        <w:t xml:space="preserve">ng </w:t>
      </w:r>
      <w:r w:rsidR="008F5345">
        <w:t xml:space="preserve">is present </w:t>
      </w:r>
      <w:r w:rsidR="001D247C">
        <w:t>requires further exploration</w:t>
      </w:r>
      <w:r w:rsidR="00F43690">
        <w:t>.</w:t>
      </w:r>
    </w:p>
    <w:p w14:paraId="7B853096" w14:textId="77777777" w:rsidR="006F271A" w:rsidRPr="000A44A1" w:rsidRDefault="006F271A" w:rsidP="006F271A">
      <w:pPr>
        <w:spacing w:line="480" w:lineRule="auto"/>
        <w:rPr>
          <w:rFonts w:ascii="Calibri" w:eastAsia="Calibri" w:hAnsi="Calibri"/>
          <w:sz w:val="22"/>
          <w:szCs w:val="22"/>
          <w:bdr w:val="none" w:sz="0" w:space="0" w:color="auto"/>
          <w:lang w:val="en-GB" w:eastAsia="en-GB"/>
        </w:rPr>
      </w:pPr>
    </w:p>
    <w:p w14:paraId="20CDC7ED" w14:textId="77777777" w:rsidR="001C61F4" w:rsidRPr="0022420B" w:rsidRDefault="001C61F4" w:rsidP="00711430">
      <w:pPr>
        <w:pStyle w:val="BodyA"/>
        <w:spacing w:after="0" w:line="480" w:lineRule="auto"/>
        <w:rPr>
          <w:sz w:val="24"/>
          <w:szCs w:val="24"/>
        </w:rPr>
      </w:pPr>
      <w:r w:rsidRPr="0022420B">
        <w:rPr>
          <w:sz w:val="24"/>
          <w:szCs w:val="24"/>
        </w:rPr>
        <w:t>Lymphatic function in the healthy controls</w:t>
      </w:r>
    </w:p>
    <w:p w14:paraId="117B8FD7" w14:textId="6F29BA2B" w:rsidR="00F43690" w:rsidRDefault="00B35E9B" w:rsidP="00711430">
      <w:pPr>
        <w:pStyle w:val="BodyA"/>
        <w:spacing w:after="0" w:line="480" w:lineRule="auto"/>
      </w:pPr>
      <w:r>
        <w:t>H</w:t>
      </w:r>
      <w:r w:rsidR="00DD6C6B">
        <w:t xml:space="preserve">ealthy </w:t>
      </w:r>
      <w:r w:rsidR="00F43690">
        <w:t>age</w:t>
      </w:r>
      <w:r w:rsidR="005C45FA">
        <w:t>-</w:t>
      </w:r>
      <w:r w:rsidR="00F43690">
        <w:t xml:space="preserve">matched controls were included for the first time in a </w:t>
      </w:r>
      <w:r w:rsidR="00B34E11">
        <w:t xml:space="preserve">case-control </w:t>
      </w:r>
      <w:r w:rsidR="00F43690">
        <w:t xml:space="preserve">study involving lymphoscintigraphy. </w:t>
      </w:r>
      <w:r w:rsidR="00051A2A">
        <w:t>The difficulty in recruiting healthy volunteers for l</w:t>
      </w:r>
      <w:r w:rsidR="00051A2A" w:rsidRPr="001B71A1">
        <w:t xml:space="preserve">ymphoscintigraphy </w:t>
      </w:r>
      <w:r w:rsidR="00051A2A">
        <w:t>(because of</w:t>
      </w:r>
      <w:r w:rsidR="00051A2A" w:rsidRPr="00437852">
        <w:t xml:space="preserve"> </w:t>
      </w:r>
      <w:r w:rsidR="00051A2A">
        <w:t>the</w:t>
      </w:r>
      <w:r w:rsidR="00051A2A" w:rsidRPr="00437852">
        <w:t xml:space="preserve"> radiation dose</w:t>
      </w:r>
      <w:r w:rsidR="00051A2A">
        <w:t>) was overcome by recruiting</w:t>
      </w:r>
      <w:r w:rsidR="00051A2A" w:rsidRPr="00437852">
        <w:t xml:space="preserve"> sympathetic </w:t>
      </w:r>
      <w:r w:rsidR="00051A2A">
        <w:t>s</w:t>
      </w:r>
      <w:r w:rsidR="00051A2A" w:rsidRPr="00437852">
        <w:t xml:space="preserve">pouses and friends </w:t>
      </w:r>
      <w:r w:rsidR="00051A2A">
        <w:t xml:space="preserve">of </w:t>
      </w:r>
      <w:r w:rsidR="00051A2A" w:rsidRPr="00437852">
        <w:t>the patients.</w:t>
      </w:r>
      <w:r w:rsidR="00437852" w:rsidRPr="00437852">
        <w:t xml:space="preserve"> </w:t>
      </w:r>
      <w:r w:rsidR="00F43690">
        <w:t>To</w:t>
      </w:r>
      <w:r w:rsidR="00437852">
        <w:t xml:space="preserve"> </w:t>
      </w:r>
      <w:r w:rsidR="00F43690">
        <w:t>our surprise</w:t>
      </w:r>
      <w:r w:rsidR="00DD6C6B">
        <w:t>,</w:t>
      </w:r>
      <w:r w:rsidR="00362118" w:rsidRPr="00362118">
        <w:t xml:space="preserve"> </w:t>
      </w:r>
      <w:r w:rsidR="00F562A7">
        <w:t xml:space="preserve">however, </w:t>
      </w:r>
      <w:r w:rsidR="00DD6C6B">
        <w:t>36</w:t>
      </w:r>
      <w:r w:rsidR="00362118" w:rsidRPr="00362118">
        <w:t xml:space="preserve">% </w:t>
      </w:r>
      <w:r w:rsidR="00362118">
        <w:t xml:space="preserve">of the </w:t>
      </w:r>
      <w:r w:rsidR="00362118" w:rsidRPr="00362118">
        <w:t>control scans</w:t>
      </w:r>
      <w:r w:rsidR="00DD6C6B">
        <w:t xml:space="preserve"> were </w:t>
      </w:r>
      <w:r w:rsidR="00251CCE">
        <w:t xml:space="preserve">clearly </w:t>
      </w:r>
      <w:r w:rsidR="00DD6C6B">
        <w:t>abnormal</w:t>
      </w:r>
      <w:r w:rsidR="002316F4">
        <w:t xml:space="preserve"> and </w:t>
      </w:r>
      <w:r w:rsidR="000C59DC">
        <w:t xml:space="preserve">a further 43% were </w:t>
      </w:r>
      <w:r w:rsidR="000C59DC">
        <w:lastRenderedPageBreak/>
        <w:t>indeterminate (</w:t>
      </w:r>
      <w:r w:rsidR="009C60D1" w:rsidRPr="00A8011D">
        <w:t>with a</w:t>
      </w:r>
      <w:r w:rsidR="009C60D1">
        <w:t xml:space="preserve"> </w:t>
      </w:r>
      <w:r w:rsidR="000C59DC" w:rsidRPr="000C59DC">
        <w:rPr>
          <w:lang w:val="en-GB"/>
        </w:rPr>
        <w:t xml:space="preserve">morphological abnormality </w:t>
      </w:r>
      <w:r w:rsidR="000C59DC">
        <w:rPr>
          <w:lang w:val="en-GB"/>
        </w:rPr>
        <w:t>or</w:t>
      </w:r>
      <w:r w:rsidR="000C59DC" w:rsidRPr="000C59DC">
        <w:rPr>
          <w:lang w:val="en-GB"/>
        </w:rPr>
        <w:t xml:space="preserve"> reduced uptake</w:t>
      </w:r>
      <w:r w:rsidR="000C59DC">
        <w:rPr>
          <w:lang w:val="en-GB"/>
        </w:rPr>
        <w:t>)</w:t>
      </w:r>
      <w:r w:rsidR="002316F4">
        <w:t>.</w:t>
      </w:r>
      <w:r w:rsidR="002316F4" w:rsidRPr="00362118">
        <w:t xml:space="preserve"> </w:t>
      </w:r>
      <w:r w:rsidR="001855DF">
        <w:t>The l</w:t>
      </w:r>
      <w:r w:rsidR="001855DF" w:rsidRPr="00BA0C58">
        <w:t xml:space="preserve">ymphatic </w:t>
      </w:r>
      <w:r w:rsidR="001855DF">
        <w:t>insufficiency</w:t>
      </w:r>
      <w:r w:rsidR="001855DF" w:rsidRPr="00BA0C58">
        <w:t xml:space="preserve"> detected in</w:t>
      </w:r>
      <w:r w:rsidR="001855DF" w:rsidRPr="003B0E08">
        <w:t xml:space="preserve"> </w:t>
      </w:r>
      <w:r w:rsidR="001855DF" w:rsidRPr="00A8011D">
        <w:t>the</w:t>
      </w:r>
      <w:r w:rsidR="002E7B4C" w:rsidRPr="00A8011D">
        <w:t>se</w:t>
      </w:r>
      <w:r w:rsidR="001855DF">
        <w:t xml:space="preserve"> controls</w:t>
      </w:r>
      <w:r w:rsidR="001855DF" w:rsidRPr="00BA0C58">
        <w:t xml:space="preserve"> </w:t>
      </w:r>
      <w:r w:rsidR="001855DF">
        <w:t xml:space="preserve">was not severe enough to manifest with clinical edema. </w:t>
      </w:r>
      <w:r w:rsidR="0028766C">
        <w:t xml:space="preserve">Lymphoscintigraphy is considered to be a highly sensitive </w:t>
      </w:r>
      <w:r w:rsidR="00B50848" w:rsidRPr="003E7767">
        <w:t>and reproducible</w:t>
      </w:r>
      <w:r w:rsidR="00B50848">
        <w:t xml:space="preserve"> </w:t>
      </w:r>
      <w:r w:rsidR="0028766C">
        <w:t xml:space="preserve">imaging technique for lymphatic </w:t>
      </w:r>
      <w:r w:rsidR="00CB2B17">
        <w:t>dysfunction</w:t>
      </w:r>
      <w:r w:rsidR="00CB2B17" w:rsidRPr="00F65711">
        <w:rPr>
          <w:vertAlign w:val="superscript"/>
        </w:rPr>
        <w:t>1</w:t>
      </w:r>
      <w:r w:rsidR="00CB2B17">
        <w:rPr>
          <w:vertAlign w:val="superscript"/>
        </w:rPr>
        <w:t>9</w:t>
      </w:r>
      <w:r w:rsidR="00AC367A" w:rsidRPr="00F65711">
        <w:rPr>
          <w:vertAlign w:val="superscript"/>
        </w:rPr>
        <w:t>–</w:t>
      </w:r>
      <w:r w:rsidR="00B421BA" w:rsidRPr="00F65711">
        <w:rPr>
          <w:vertAlign w:val="superscript"/>
        </w:rPr>
        <w:t>2</w:t>
      </w:r>
      <w:r w:rsidR="00B421BA">
        <w:rPr>
          <w:vertAlign w:val="superscript"/>
        </w:rPr>
        <w:t>4</w:t>
      </w:r>
      <w:r w:rsidR="00B421BA" w:rsidRPr="00051A2A">
        <w:t xml:space="preserve"> </w:t>
      </w:r>
      <w:r w:rsidR="00321915">
        <w:t>and</w:t>
      </w:r>
      <w:r w:rsidR="002316F4">
        <w:t xml:space="preserve"> the </w:t>
      </w:r>
      <w:r w:rsidR="004F6683">
        <w:t xml:space="preserve">control group </w:t>
      </w:r>
      <w:r w:rsidR="00474CBD">
        <w:t xml:space="preserve">observations </w:t>
      </w:r>
      <w:r w:rsidR="00D81FAD">
        <w:t xml:space="preserve">may be </w:t>
      </w:r>
      <w:r w:rsidR="002316F4">
        <w:t>representative of the general population in the 5</w:t>
      </w:r>
      <w:r w:rsidR="002316F4" w:rsidRPr="00375C1C">
        <w:rPr>
          <w:vertAlign w:val="superscript"/>
        </w:rPr>
        <w:t>th</w:t>
      </w:r>
      <w:r w:rsidR="002316F4">
        <w:t xml:space="preserve"> decade of life onward</w:t>
      </w:r>
      <w:r w:rsidR="002316F4" w:rsidRPr="009C0D16">
        <w:t>.</w:t>
      </w:r>
      <w:r w:rsidR="002316F4">
        <w:t xml:space="preserve"> </w:t>
      </w:r>
      <w:r w:rsidR="00E763FC">
        <w:t xml:space="preserve">In view of this unexpected finding, further </w:t>
      </w:r>
      <w:r w:rsidR="005D7CC4">
        <w:t>ex</w:t>
      </w:r>
      <w:r w:rsidR="00514971">
        <w:t>plor</w:t>
      </w:r>
      <w:r w:rsidR="005D7CC4">
        <w:t>ation</w:t>
      </w:r>
      <w:r w:rsidR="00E763FC">
        <w:t xml:space="preserve"> of lymphatic function </w:t>
      </w:r>
      <w:r w:rsidR="00557104">
        <w:t>in healthy</w:t>
      </w:r>
      <w:r w:rsidR="00514971">
        <w:t>,</w:t>
      </w:r>
      <w:r w:rsidR="00E763FC">
        <w:t xml:space="preserve"> </w:t>
      </w:r>
      <w:r w:rsidR="00D57E8D">
        <w:t xml:space="preserve">middle-aged to elderly </w:t>
      </w:r>
      <w:r w:rsidR="00557104">
        <w:t>individuals</w:t>
      </w:r>
      <w:r w:rsidR="00E763FC">
        <w:t xml:space="preserve"> </w:t>
      </w:r>
      <w:r w:rsidR="006C50F8">
        <w:t xml:space="preserve">is </w:t>
      </w:r>
      <w:r w:rsidR="004D5E86">
        <w:t xml:space="preserve">clearly </w:t>
      </w:r>
      <w:r w:rsidR="006C50F8">
        <w:t>warranted</w:t>
      </w:r>
      <w:r w:rsidR="001114FF">
        <w:t xml:space="preserve"> and </w:t>
      </w:r>
      <w:r w:rsidR="006C50F8">
        <w:t xml:space="preserve">would </w:t>
      </w:r>
      <w:r w:rsidR="001114FF">
        <w:t>provide a sounder basis for the interpretation of patient scans.</w:t>
      </w:r>
    </w:p>
    <w:p w14:paraId="6ACE1C07" w14:textId="77777777" w:rsidR="00711430" w:rsidRPr="006F271A" w:rsidRDefault="00711430" w:rsidP="00711430">
      <w:pPr>
        <w:pStyle w:val="BodyA"/>
        <w:spacing w:after="0" w:line="480" w:lineRule="auto"/>
        <w:rPr>
          <w:rFonts w:eastAsia="Arial" w:cs="Arial"/>
        </w:rPr>
      </w:pPr>
    </w:p>
    <w:p w14:paraId="62360D88" w14:textId="77303494" w:rsidR="001C61F4" w:rsidRPr="00711430" w:rsidRDefault="001C61F4" w:rsidP="00711430">
      <w:pPr>
        <w:pStyle w:val="BodyA"/>
        <w:spacing w:after="0" w:line="480" w:lineRule="auto"/>
        <w:rPr>
          <w:sz w:val="28"/>
          <w:szCs w:val="28"/>
        </w:rPr>
      </w:pPr>
      <w:r w:rsidRPr="00711430">
        <w:rPr>
          <w:sz w:val="28"/>
          <w:szCs w:val="28"/>
        </w:rPr>
        <w:t>Conclusions</w:t>
      </w:r>
    </w:p>
    <w:p w14:paraId="4EB213F0" w14:textId="5FCEF011" w:rsidR="002D2F92" w:rsidRPr="000567A5" w:rsidRDefault="00D513B1" w:rsidP="0022420B">
      <w:pPr>
        <w:pStyle w:val="BodyA"/>
        <w:spacing w:line="480" w:lineRule="auto"/>
      </w:pPr>
      <w:r>
        <w:t xml:space="preserve">A similar study published by our group in 1996 concluded </w:t>
      </w:r>
      <w:r w:rsidRPr="00471A32">
        <w:rPr>
          <w:lang w:val="en-GB"/>
        </w:rPr>
        <w:t>that the underlying cause of YNS is not pr</w:t>
      </w:r>
      <w:r>
        <w:rPr>
          <w:lang w:val="en-GB"/>
        </w:rPr>
        <w:t>imarily a lymphatic abnormality because</w:t>
      </w:r>
      <w:r w:rsidRPr="00471A32">
        <w:rPr>
          <w:lang w:val="en-GB"/>
        </w:rPr>
        <w:t xml:space="preserve"> lymphatic drainage was significantly reduced in the legs of patients with YNS but not to the level seen in lymphedema.</w:t>
      </w:r>
      <w:r w:rsidR="00B2412D" w:rsidRPr="00171C7A">
        <w:rPr>
          <w:vertAlign w:val="superscript"/>
        </w:rPr>
        <w:t>13</w:t>
      </w:r>
      <w:r>
        <w:rPr>
          <w:lang w:val="en-GB"/>
        </w:rPr>
        <w:t xml:space="preserve"> Our more modern study was more robust because of more careful assessment of patients prior to recruitment, greater numbers of patients with YNS, a more sensitive protocol for quantification of lymph transport, and inclusion of healthy volunteers as controls. </w:t>
      </w:r>
      <w:r w:rsidR="009A3D17">
        <w:t xml:space="preserve">We </w:t>
      </w:r>
      <w:r>
        <w:t xml:space="preserve">now </w:t>
      </w:r>
      <w:r w:rsidR="009A3D17">
        <w:t>conclude that l</w:t>
      </w:r>
      <w:r w:rsidR="002D2F92">
        <w:t xml:space="preserve">ymphatic </w:t>
      </w:r>
      <w:r w:rsidR="000C59DC">
        <w:t xml:space="preserve">insufficiency </w:t>
      </w:r>
      <w:r w:rsidR="00AD303A">
        <w:t xml:space="preserve">is </w:t>
      </w:r>
      <w:r w:rsidR="002D2F92">
        <w:t xml:space="preserve">a significant contributory factor to the pathogenesis of YNS and </w:t>
      </w:r>
      <w:r w:rsidR="00E1702A">
        <w:t>our</w:t>
      </w:r>
      <w:r w:rsidR="002D2F92">
        <w:t xml:space="preserve"> findings provide the strongest indication yet that YNS is a lymphatic phenotype.</w:t>
      </w:r>
      <w:r w:rsidR="00592236">
        <w:t xml:space="preserve"> </w:t>
      </w:r>
      <w:r w:rsidR="00A155A7">
        <w:t xml:space="preserve">The extent of the </w:t>
      </w:r>
      <w:r w:rsidR="00AB218B">
        <w:t>lymph</w:t>
      </w:r>
      <w:r w:rsidR="00A155A7">
        <w:t xml:space="preserve">edema, </w:t>
      </w:r>
      <w:r w:rsidR="00753040">
        <w:t xml:space="preserve">the </w:t>
      </w:r>
      <w:r w:rsidR="00A155A7">
        <w:t xml:space="preserve">presenting feature in a third of </w:t>
      </w:r>
      <w:r w:rsidR="00753040">
        <w:t xml:space="preserve">the </w:t>
      </w:r>
      <w:r w:rsidR="00A155A7">
        <w:t>patients</w:t>
      </w:r>
      <w:r w:rsidR="00753040">
        <w:t>,</w:t>
      </w:r>
      <w:r w:rsidR="00A155A7">
        <w:t xml:space="preserve"> and the identical mechanistic fault in all </w:t>
      </w:r>
      <w:r w:rsidR="000B0B45">
        <w:t>patients, together</w:t>
      </w:r>
      <w:r w:rsidR="00A155A7">
        <w:t xml:space="preserve"> indicate that lymphatic dysfunction is an integral and determining feature of YNS</w:t>
      </w:r>
      <w:r w:rsidR="00E207E1">
        <w:t xml:space="preserve">. </w:t>
      </w:r>
      <w:r w:rsidR="00D761FC" w:rsidRPr="00D761FC">
        <w:t>Future research should include genetic studies</w:t>
      </w:r>
      <w:r w:rsidR="004B6AC1">
        <w:t xml:space="preserve"> </w:t>
      </w:r>
      <w:r w:rsidR="00D761FC" w:rsidRPr="00D761FC">
        <w:t>because it is difficult to see how the cause can otherwise be determined.</w:t>
      </w:r>
    </w:p>
    <w:p w14:paraId="20B3CFDB" w14:textId="77777777" w:rsidR="00384C21" w:rsidRDefault="00384C21" w:rsidP="00384C21">
      <w:pPr>
        <w:pStyle w:val="BodyA"/>
        <w:spacing w:line="480" w:lineRule="auto"/>
      </w:pPr>
    </w:p>
    <w:p w14:paraId="3D2C5726" w14:textId="51C52334" w:rsidR="009F47F4" w:rsidRPr="008E0EB7" w:rsidRDefault="009F47F4" w:rsidP="009F47F4">
      <w:pPr>
        <w:pStyle w:val="BodyA"/>
        <w:spacing w:after="0" w:line="480" w:lineRule="auto"/>
        <w:rPr>
          <w:b/>
          <w:sz w:val="24"/>
          <w:szCs w:val="24"/>
        </w:rPr>
      </w:pPr>
      <w:r w:rsidRPr="008E0EB7">
        <w:rPr>
          <w:b/>
          <w:sz w:val="24"/>
          <w:szCs w:val="24"/>
        </w:rPr>
        <w:t>Acknowledgments</w:t>
      </w:r>
    </w:p>
    <w:p w14:paraId="30316BD8" w14:textId="289CE4E7" w:rsidR="009F47F4" w:rsidRDefault="009F47F4" w:rsidP="009F47F4">
      <w:pPr>
        <w:pStyle w:val="BodyA"/>
        <w:spacing w:after="0" w:line="480" w:lineRule="auto"/>
      </w:pPr>
      <w:r>
        <w:lastRenderedPageBreak/>
        <w:t xml:space="preserve">The research was supported by a grant from the Princes Exchange Foundation, Edinburgh </w:t>
      </w:r>
      <w:r>
        <w:rPr>
          <w:lang w:val="en-GB"/>
        </w:rPr>
        <w:t xml:space="preserve">for </w:t>
      </w:r>
      <w:r>
        <w:t>“</w:t>
      </w:r>
      <w:r>
        <w:rPr>
          <w:lang w:val="en-GB"/>
        </w:rPr>
        <w:t>t</w:t>
      </w:r>
      <w:r w:rsidRPr="00971AAA">
        <w:rPr>
          <w:lang w:val="en-GB"/>
        </w:rPr>
        <w:t>he advancement, promotion or undertaking of medical research into the detection, diagnosis, treatment, causation and prevention of Yellow Nail Syndrome and or Lymphoedema</w:t>
      </w:r>
      <w:r>
        <w:rPr>
          <w:lang w:val="en-GB"/>
        </w:rPr>
        <w:t>”</w:t>
      </w:r>
      <w:r>
        <w:t>. The grant was made possible by a legacy from a patient with yellow nail syndrome, to whom we are indebted. We thank the patients, their friends and their families. We also thank the consultant skin and chest physicians and the Lymphoedema Support Network for help with recruitment; Dr David Lovell (St George’s, University of London) for statistical advice; the staff of the Radiopharmacy Department, St George’s Hospital for radiopharmaceutical preparation; and Mick Rogers (MIC Ltd</w:t>
      </w:r>
      <w:r w:rsidR="00F818A6">
        <w:t>.</w:t>
      </w:r>
      <w:r>
        <w:t>) for gamma camera technical support.</w:t>
      </w:r>
    </w:p>
    <w:p w14:paraId="7C05EC37" w14:textId="77777777" w:rsidR="00D05A69" w:rsidRDefault="00D05A69" w:rsidP="00384C21">
      <w:pPr>
        <w:pStyle w:val="BodyA"/>
        <w:spacing w:line="480" w:lineRule="auto"/>
      </w:pPr>
    </w:p>
    <w:p w14:paraId="2DCCC1FD" w14:textId="2BB5A6F8" w:rsidR="005175A3" w:rsidRPr="005175A3" w:rsidRDefault="005175A3" w:rsidP="005175A3">
      <w:pPr>
        <w:pStyle w:val="BodyA"/>
        <w:spacing w:after="0" w:line="480" w:lineRule="auto"/>
        <w:rPr>
          <w:b/>
          <w:sz w:val="24"/>
          <w:szCs w:val="24"/>
        </w:rPr>
      </w:pPr>
      <w:r w:rsidRPr="005175A3">
        <w:rPr>
          <w:b/>
          <w:sz w:val="24"/>
          <w:szCs w:val="24"/>
        </w:rPr>
        <w:t>Author Disclosure Statement</w:t>
      </w:r>
    </w:p>
    <w:p w14:paraId="210722E1" w14:textId="71730FB7" w:rsidR="005175A3" w:rsidRDefault="005175A3" w:rsidP="009F47F4">
      <w:pPr>
        <w:pStyle w:val="BodyA"/>
        <w:spacing w:line="480" w:lineRule="auto"/>
      </w:pPr>
      <w:r w:rsidRPr="003146F9">
        <w:t>No competing financial interests exist.</w:t>
      </w:r>
    </w:p>
    <w:p w14:paraId="662EE4C7" w14:textId="77777777" w:rsidR="005175A3" w:rsidRPr="005175A3" w:rsidRDefault="005175A3" w:rsidP="009F47F4">
      <w:pPr>
        <w:pStyle w:val="BodyA"/>
        <w:spacing w:line="480" w:lineRule="auto"/>
      </w:pPr>
    </w:p>
    <w:p w14:paraId="31AE07E0" w14:textId="233AC793" w:rsidR="009F47F4" w:rsidRPr="00007A63" w:rsidRDefault="009F47F4" w:rsidP="009F47F4">
      <w:pPr>
        <w:pStyle w:val="BodyA"/>
        <w:spacing w:line="480" w:lineRule="auto"/>
        <w:rPr>
          <w:sz w:val="28"/>
          <w:szCs w:val="28"/>
        </w:rPr>
      </w:pPr>
      <w:r w:rsidRPr="00007A63">
        <w:rPr>
          <w:sz w:val="28"/>
          <w:szCs w:val="28"/>
        </w:rPr>
        <w:t>References</w:t>
      </w:r>
    </w:p>
    <w:p w14:paraId="7C70E474" w14:textId="39EDEC0A" w:rsidR="009F47F4" w:rsidRDefault="009F47F4" w:rsidP="009F47F4">
      <w:pPr>
        <w:pStyle w:val="BodyA"/>
        <w:numPr>
          <w:ilvl w:val="0"/>
          <w:numId w:val="17"/>
        </w:numPr>
        <w:spacing w:after="0" w:line="480" w:lineRule="auto"/>
        <w:rPr>
          <w:lang w:val="en-GB"/>
        </w:rPr>
      </w:pPr>
      <w:r w:rsidRPr="00AE041F">
        <w:rPr>
          <w:lang w:val="en-GB"/>
        </w:rPr>
        <w:t>S</w:t>
      </w:r>
      <w:r w:rsidRPr="00F85BDD">
        <w:rPr>
          <w:lang w:val="en-GB"/>
        </w:rPr>
        <w:t>amman</w:t>
      </w:r>
      <w:r w:rsidRPr="00AE041F">
        <w:rPr>
          <w:lang w:val="en-GB"/>
        </w:rPr>
        <w:t xml:space="preserve"> PD, </w:t>
      </w:r>
      <w:r w:rsidRPr="00F85BDD">
        <w:rPr>
          <w:lang w:val="en-GB"/>
        </w:rPr>
        <w:t>White</w:t>
      </w:r>
      <w:r w:rsidRPr="00AE041F">
        <w:rPr>
          <w:lang w:val="en-GB"/>
        </w:rPr>
        <w:t xml:space="preserve"> WF. </w:t>
      </w:r>
      <w:r w:rsidRPr="009663D5">
        <w:rPr>
          <w:lang w:val="en-GB"/>
        </w:rPr>
        <w:t>The "</w:t>
      </w:r>
      <w:r w:rsidRPr="009663D5">
        <w:rPr>
          <w:bCs/>
          <w:lang w:val="en-GB"/>
        </w:rPr>
        <w:t>yellow nail</w:t>
      </w:r>
      <w:r w:rsidRPr="009663D5">
        <w:rPr>
          <w:lang w:val="en-GB"/>
        </w:rPr>
        <w:t xml:space="preserve">" </w:t>
      </w:r>
      <w:r w:rsidRPr="009663D5">
        <w:rPr>
          <w:bCs/>
          <w:lang w:val="en-GB"/>
        </w:rPr>
        <w:t>syndrome</w:t>
      </w:r>
      <w:r w:rsidRPr="009663D5">
        <w:rPr>
          <w:lang w:val="en-GB"/>
        </w:rPr>
        <w:t>.</w:t>
      </w:r>
      <w:r w:rsidRPr="00AE041F">
        <w:rPr>
          <w:lang w:val="en-GB"/>
        </w:rPr>
        <w:t xml:space="preserve"> Br J Dermatol 1964;</w:t>
      </w:r>
      <w:r w:rsidR="00E42C67">
        <w:rPr>
          <w:lang w:val="en-GB"/>
        </w:rPr>
        <w:t xml:space="preserve"> </w:t>
      </w:r>
      <w:r w:rsidRPr="00AE041F">
        <w:rPr>
          <w:lang w:val="en-GB"/>
        </w:rPr>
        <w:t>76:153</w:t>
      </w:r>
      <w:r>
        <w:rPr>
          <w:lang w:val="en-GB"/>
        </w:rPr>
        <w:t>–</w:t>
      </w:r>
      <w:r w:rsidR="00E42C67">
        <w:rPr>
          <w:lang w:val="en-GB"/>
        </w:rPr>
        <w:t>15</w:t>
      </w:r>
      <w:r w:rsidRPr="00AE041F">
        <w:rPr>
          <w:lang w:val="en-GB"/>
        </w:rPr>
        <w:t>7.</w:t>
      </w:r>
    </w:p>
    <w:p w14:paraId="11F92C4E" w14:textId="243AFBF6" w:rsidR="009F47F4" w:rsidRPr="000A44A1" w:rsidRDefault="009F47F4" w:rsidP="009F47F4">
      <w:pPr>
        <w:pStyle w:val="BodyA"/>
        <w:widowControl w:val="0"/>
        <w:numPr>
          <w:ilvl w:val="0"/>
          <w:numId w:val="17"/>
        </w:numPr>
        <w:spacing w:before="240" w:line="480" w:lineRule="auto"/>
        <w:rPr>
          <w:lang w:val="en-GB"/>
        </w:rPr>
      </w:pPr>
      <w:r w:rsidRPr="000A44A1">
        <w:rPr>
          <w:lang w:val="en-GB"/>
        </w:rPr>
        <w:t>Emerson PA. Yellow nails, lymphoedema and pleural effusions. Thorax 1966;</w:t>
      </w:r>
      <w:r w:rsidR="00E42C67">
        <w:rPr>
          <w:lang w:val="en-GB"/>
        </w:rPr>
        <w:t xml:space="preserve"> </w:t>
      </w:r>
      <w:r w:rsidRPr="000A44A1">
        <w:rPr>
          <w:lang w:val="en-GB"/>
        </w:rPr>
        <w:t>21:247</w:t>
      </w:r>
      <w:r>
        <w:rPr>
          <w:lang w:val="en-GB"/>
        </w:rPr>
        <w:t>–</w:t>
      </w:r>
      <w:r w:rsidR="00E42C67">
        <w:rPr>
          <w:lang w:val="en-GB"/>
        </w:rPr>
        <w:t>2</w:t>
      </w:r>
      <w:r w:rsidRPr="000A44A1">
        <w:rPr>
          <w:lang w:val="en-GB"/>
        </w:rPr>
        <w:t>53.</w:t>
      </w:r>
    </w:p>
    <w:p w14:paraId="1F25710C" w14:textId="05E0CA69" w:rsidR="009F47F4" w:rsidRPr="000A44A1" w:rsidRDefault="009F47F4" w:rsidP="009F47F4">
      <w:pPr>
        <w:pStyle w:val="BodyA"/>
        <w:widowControl w:val="0"/>
        <w:numPr>
          <w:ilvl w:val="0"/>
          <w:numId w:val="17"/>
        </w:numPr>
        <w:spacing w:line="480" w:lineRule="auto"/>
        <w:rPr>
          <w:lang w:val="en-GB"/>
        </w:rPr>
      </w:pPr>
      <w:r w:rsidRPr="000A44A1">
        <w:rPr>
          <w:lang w:val="en-GB"/>
        </w:rPr>
        <w:t>Dilley JJ, Kierland RR, Randall RV, Shick RM. Primary lymphedema associated with yellow nails and pleural effusions. JAMA 1968;</w:t>
      </w:r>
      <w:r w:rsidR="00E42C67">
        <w:rPr>
          <w:lang w:val="en-GB"/>
        </w:rPr>
        <w:t xml:space="preserve"> </w:t>
      </w:r>
      <w:r w:rsidRPr="000A44A1">
        <w:rPr>
          <w:lang w:val="en-GB"/>
        </w:rPr>
        <w:t>204:670</w:t>
      </w:r>
      <w:r>
        <w:rPr>
          <w:lang w:val="en-GB"/>
        </w:rPr>
        <w:t>–</w:t>
      </w:r>
      <w:r w:rsidR="00E42C67">
        <w:rPr>
          <w:lang w:val="en-GB"/>
        </w:rPr>
        <w:t>67</w:t>
      </w:r>
      <w:r w:rsidRPr="000A44A1">
        <w:rPr>
          <w:lang w:val="en-GB"/>
        </w:rPr>
        <w:t>4.</w:t>
      </w:r>
    </w:p>
    <w:p w14:paraId="7A6EA27C" w14:textId="1BC1E0E8" w:rsidR="009F47F4" w:rsidRPr="000A44A1" w:rsidRDefault="009F47F4" w:rsidP="009F47F4">
      <w:pPr>
        <w:pStyle w:val="BodyA"/>
        <w:widowControl w:val="0"/>
        <w:numPr>
          <w:ilvl w:val="0"/>
          <w:numId w:val="17"/>
        </w:numPr>
        <w:spacing w:line="480" w:lineRule="auto"/>
        <w:rPr>
          <w:lang w:val="en-GB"/>
        </w:rPr>
      </w:pPr>
      <w:r w:rsidRPr="000A44A1">
        <w:rPr>
          <w:lang w:val="en-GB"/>
        </w:rPr>
        <w:t>Hiller E, Rosenow EC, Olsen AM. Pulmonary manifestations of the yellow nail syndrome. Chest 1972;</w:t>
      </w:r>
      <w:r w:rsidR="00E42C67">
        <w:rPr>
          <w:lang w:val="en-GB"/>
        </w:rPr>
        <w:t xml:space="preserve"> </w:t>
      </w:r>
      <w:r w:rsidRPr="000A44A1">
        <w:rPr>
          <w:lang w:val="en-GB"/>
        </w:rPr>
        <w:t>61:452</w:t>
      </w:r>
      <w:r>
        <w:rPr>
          <w:lang w:val="en-GB"/>
        </w:rPr>
        <w:t>–</w:t>
      </w:r>
      <w:r w:rsidR="00E42C67">
        <w:rPr>
          <w:lang w:val="en-GB"/>
        </w:rPr>
        <w:t>45</w:t>
      </w:r>
      <w:r w:rsidRPr="000A44A1">
        <w:rPr>
          <w:lang w:val="en-GB"/>
        </w:rPr>
        <w:t>8.</w:t>
      </w:r>
    </w:p>
    <w:p w14:paraId="015C7A0B" w14:textId="77DDF80C" w:rsidR="009F47F4" w:rsidRDefault="009F47F4" w:rsidP="009F47F4">
      <w:pPr>
        <w:pStyle w:val="BodyA"/>
        <w:widowControl w:val="0"/>
        <w:numPr>
          <w:ilvl w:val="0"/>
          <w:numId w:val="17"/>
        </w:numPr>
        <w:spacing w:line="480" w:lineRule="auto"/>
      </w:pPr>
      <w:r w:rsidRPr="000A44A1">
        <w:rPr>
          <w:lang w:val="en-GB"/>
        </w:rPr>
        <w:t>Camilleri AE. Chronic sinusitis and the yellow nail syndrome. J Laryngol Otol 1990;</w:t>
      </w:r>
      <w:r w:rsidR="00E42C67">
        <w:rPr>
          <w:lang w:val="en-GB"/>
        </w:rPr>
        <w:t xml:space="preserve"> </w:t>
      </w:r>
      <w:r w:rsidRPr="000A44A1">
        <w:rPr>
          <w:lang w:val="en-GB"/>
        </w:rPr>
        <w:t>104:811</w:t>
      </w:r>
      <w:r>
        <w:rPr>
          <w:lang w:val="en-GB"/>
        </w:rPr>
        <w:t>–</w:t>
      </w:r>
      <w:r w:rsidR="00E42C67">
        <w:rPr>
          <w:lang w:val="en-GB"/>
        </w:rPr>
        <w:t>81</w:t>
      </w:r>
      <w:r w:rsidRPr="000A44A1">
        <w:rPr>
          <w:lang w:val="en-GB"/>
        </w:rPr>
        <w:t>3.</w:t>
      </w:r>
    </w:p>
    <w:p w14:paraId="53C2A95F" w14:textId="308024FB" w:rsidR="009F47F4" w:rsidRDefault="009F47F4" w:rsidP="009F47F4">
      <w:pPr>
        <w:pStyle w:val="BodyA"/>
        <w:widowControl w:val="0"/>
        <w:numPr>
          <w:ilvl w:val="0"/>
          <w:numId w:val="17"/>
        </w:numPr>
        <w:spacing w:line="480" w:lineRule="auto"/>
        <w:rPr>
          <w:lang w:val="en-GB"/>
        </w:rPr>
      </w:pPr>
      <w:r>
        <w:rPr>
          <w:lang w:val="en-GB"/>
        </w:rPr>
        <w:lastRenderedPageBreak/>
        <w:t xml:space="preserve">Maldonado F, </w:t>
      </w:r>
      <w:r w:rsidRPr="005C41AA">
        <w:rPr>
          <w:lang w:val="en-GB"/>
        </w:rPr>
        <w:t>Tazelaar</w:t>
      </w:r>
      <w:r>
        <w:rPr>
          <w:lang w:val="en-GB"/>
        </w:rPr>
        <w:t xml:space="preserve"> HD, </w:t>
      </w:r>
      <w:r w:rsidRPr="005C41AA">
        <w:rPr>
          <w:lang w:val="en-GB"/>
        </w:rPr>
        <w:t xml:space="preserve">Wang </w:t>
      </w:r>
      <w:r>
        <w:rPr>
          <w:lang w:val="en-GB"/>
        </w:rPr>
        <w:t>C</w:t>
      </w:r>
      <w:r w:rsidRPr="005C41AA">
        <w:rPr>
          <w:lang w:val="en-GB"/>
        </w:rPr>
        <w:t>-</w:t>
      </w:r>
      <w:r>
        <w:rPr>
          <w:lang w:val="en-GB"/>
        </w:rPr>
        <w:t xml:space="preserve">W, </w:t>
      </w:r>
      <w:r w:rsidRPr="005C41AA">
        <w:rPr>
          <w:lang w:val="en-GB"/>
        </w:rPr>
        <w:t xml:space="preserve">Ryu </w:t>
      </w:r>
      <w:r>
        <w:rPr>
          <w:lang w:val="en-GB"/>
        </w:rPr>
        <w:t>JH. Yellow nail syndrome. Analysis of 41 consecutive p</w:t>
      </w:r>
      <w:r w:rsidRPr="005C41AA">
        <w:rPr>
          <w:lang w:val="en-GB"/>
        </w:rPr>
        <w:t>atients</w:t>
      </w:r>
      <w:r>
        <w:rPr>
          <w:lang w:val="en-GB"/>
        </w:rPr>
        <w:t>. Chest 2008;134:375–</w:t>
      </w:r>
      <w:r w:rsidR="00E42C67">
        <w:rPr>
          <w:lang w:val="en-GB"/>
        </w:rPr>
        <w:t>3</w:t>
      </w:r>
      <w:r w:rsidRPr="005C41AA">
        <w:rPr>
          <w:lang w:val="en-GB"/>
        </w:rPr>
        <w:t>81</w:t>
      </w:r>
      <w:r>
        <w:rPr>
          <w:lang w:val="en-GB"/>
        </w:rPr>
        <w:t>.</w:t>
      </w:r>
    </w:p>
    <w:p w14:paraId="6DE89640" w14:textId="64DA6C65" w:rsidR="009F47F4" w:rsidRDefault="009F47F4" w:rsidP="009F47F4">
      <w:pPr>
        <w:pStyle w:val="BodyA"/>
        <w:widowControl w:val="0"/>
        <w:numPr>
          <w:ilvl w:val="0"/>
          <w:numId w:val="17"/>
        </w:numPr>
        <w:spacing w:line="480" w:lineRule="auto"/>
        <w:rPr>
          <w:lang w:val="en-GB"/>
        </w:rPr>
      </w:pPr>
      <w:r>
        <w:rPr>
          <w:lang w:val="en-GB"/>
        </w:rPr>
        <w:t>V</w:t>
      </w:r>
      <w:r w:rsidRPr="00CD1E8A">
        <w:rPr>
          <w:lang w:val="en-GB"/>
        </w:rPr>
        <w:t>ignes S, Baran R. Yellow nail syndrome: a review. Orphanet J Rare Dis 2017;</w:t>
      </w:r>
      <w:r w:rsidR="00E42C67">
        <w:rPr>
          <w:lang w:val="en-GB"/>
        </w:rPr>
        <w:t xml:space="preserve"> </w:t>
      </w:r>
      <w:r w:rsidRPr="00CD1E8A">
        <w:rPr>
          <w:lang w:val="en-GB"/>
        </w:rPr>
        <w:t>12:42–51.</w:t>
      </w:r>
    </w:p>
    <w:p w14:paraId="0ED8FA68" w14:textId="27977526" w:rsidR="009F47F4" w:rsidRDefault="009F47F4" w:rsidP="009F47F4">
      <w:pPr>
        <w:pStyle w:val="BodyA"/>
        <w:numPr>
          <w:ilvl w:val="0"/>
          <w:numId w:val="17"/>
        </w:numPr>
        <w:spacing w:before="240" w:after="0" w:line="480" w:lineRule="auto"/>
        <w:rPr>
          <w:lang w:val="en-GB"/>
        </w:rPr>
      </w:pPr>
      <w:r w:rsidRPr="0021214A">
        <w:rPr>
          <w:lang w:val="en-GB"/>
        </w:rPr>
        <w:t xml:space="preserve">Govaert P, Leroy JG, Pauwels R, Vanhaesebrouck P, De Praeter C, Van Kets H, Goeteyn M. </w:t>
      </w:r>
      <w:r w:rsidRPr="0021214A">
        <w:rPr>
          <w:bCs/>
          <w:lang w:val="en-GB"/>
        </w:rPr>
        <w:t>Perinatal manifestations of maternal yellow nail syndrome.</w:t>
      </w:r>
      <w:r w:rsidRPr="0021214A">
        <w:rPr>
          <w:lang w:val="en-GB"/>
        </w:rPr>
        <w:t xml:space="preserve"> Pediatrics 1992;</w:t>
      </w:r>
      <w:r w:rsidR="00E42C67">
        <w:rPr>
          <w:lang w:val="en-GB"/>
        </w:rPr>
        <w:t xml:space="preserve"> </w:t>
      </w:r>
      <w:r w:rsidRPr="0021214A">
        <w:rPr>
          <w:lang w:val="en-GB"/>
        </w:rPr>
        <w:t>89:1016</w:t>
      </w:r>
      <w:r>
        <w:rPr>
          <w:lang w:val="en-GB"/>
        </w:rPr>
        <w:t>–</w:t>
      </w:r>
      <w:r w:rsidR="00E42C67">
        <w:rPr>
          <w:lang w:val="en-GB"/>
        </w:rPr>
        <w:t>101</w:t>
      </w:r>
      <w:r w:rsidRPr="0021214A">
        <w:rPr>
          <w:lang w:val="en-GB"/>
        </w:rPr>
        <w:t>8.</w:t>
      </w:r>
    </w:p>
    <w:p w14:paraId="350B23A6" w14:textId="2A7D4EDC" w:rsidR="009F47F4" w:rsidRDefault="009F47F4" w:rsidP="009F47F4">
      <w:pPr>
        <w:pStyle w:val="BodyA"/>
        <w:numPr>
          <w:ilvl w:val="0"/>
          <w:numId w:val="17"/>
        </w:numPr>
        <w:spacing w:before="240" w:after="0" w:line="480" w:lineRule="auto"/>
      </w:pPr>
      <w:r w:rsidRPr="0021214A">
        <w:t>Slee J, Nelson J, Dickinson J, Kendall P, Halbert A. Yellow nail syndrome presenting as non-immune hydrops: second case report. Am J Med Genet 2000;</w:t>
      </w:r>
      <w:r w:rsidR="00E42C67">
        <w:t xml:space="preserve"> </w:t>
      </w:r>
      <w:r w:rsidRPr="0021214A">
        <w:t>93:1–4.</w:t>
      </w:r>
    </w:p>
    <w:p w14:paraId="0763762B" w14:textId="2447248A" w:rsidR="009F47F4" w:rsidRDefault="009F47F4" w:rsidP="009F47F4">
      <w:pPr>
        <w:pStyle w:val="BodyA"/>
        <w:numPr>
          <w:ilvl w:val="0"/>
          <w:numId w:val="17"/>
        </w:numPr>
        <w:spacing w:before="240" w:after="0" w:line="480" w:lineRule="auto"/>
      </w:pPr>
      <w:r w:rsidRPr="00B96F71">
        <w:t xml:space="preserve">Paradisis M, Van Asperen P. Yellow nail syndrome in infancy. </w:t>
      </w:r>
      <w:r>
        <w:t>J Paediatr Child Health 1997;</w:t>
      </w:r>
      <w:r w:rsidR="00E42C67">
        <w:t xml:space="preserve"> </w:t>
      </w:r>
      <w:r>
        <w:t>33</w:t>
      </w:r>
      <w:r w:rsidRPr="00B96F71">
        <w:t>:454–</w:t>
      </w:r>
      <w:r w:rsidR="00E42C67">
        <w:t>45</w:t>
      </w:r>
      <w:r w:rsidRPr="00B96F71">
        <w:t>7.</w:t>
      </w:r>
    </w:p>
    <w:p w14:paraId="0DB90174" w14:textId="09B426FA" w:rsidR="009F47F4" w:rsidRDefault="009F47F4" w:rsidP="009F47F4">
      <w:pPr>
        <w:pStyle w:val="BodyA"/>
        <w:numPr>
          <w:ilvl w:val="0"/>
          <w:numId w:val="17"/>
        </w:numPr>
        <w:spacing w:before="240" w:after="0" w:line="480" w:lineRule="auto"/>
      </w:pPr>
      <w:r w:rsidRPr="0021214A">
        <w:t>Lambert EM, Dziura J, Kauls L, Mercurio M, Antaya RJ. Yellow nail syndrome in three siblings: a randomized double-blind trial of topical vitamin</w:t>
      </w:r>
      <w:r>
        <w:t xml:space="preserve"> E. Pediatr Dermatol</w:t>
      </w:r>
      <w:r w:rsidRPr="0021214A">
        <w:t xml:space="preserve"> 2006;</w:t>
      </w:r>
      <w:r w:rsidR="00E42C67">
        <w:t xml:space="preserve"> </w:t>
      </w:r>
      <w:r w:rsidRPr="0021214A">
        <w:t>23:390–</w:t>
      </w:r>
      <w:r w:rsidR="00E42C67">
        <w:t>39</w:t>
      </w:r>
      <w:r w:rsidRPr="0021214A">
        <w:t>5.</w:t>
      </w:r>
    </w:p>
    <w:p w14:paraId="0D796A9A" w14:textId="49E991B5" w:rsidR="009F47F4" w:rsidRDefault="009F47F4" w:rsidP="009F47F4">
      <w:pPr>
        <w:pStyle w:val="BodyA"/>
        <w:numPr>
          <w:ilvl w:val="0"/>
          <w:numId w:val="17"/>
        </w:numPr>
        <w:spacing w:before="240" w:after="0" w:line="480" w:lineRule="auto"/>
      </w:pPr>
      <w:r w:rsidRPr="00B96F71">
        <w:t xml:space="preserve">Cecchini M, Doumit J, Kanigsberg N. Atypical presentation of congenital yellow nail syndrome in a 2-year-old female. J Cutan Med </w:t>
      </w:r>
      <w:r>
        <w:t>Surg</w:t>
      </w:r>
      <w:r w:rsidRPr="00B96F71">
        <w:t xml:space="preserve"> 2013</w:t>
      </w:r>
      <w:r>
        <w:t>;</w:t>
      </w:r>
      <w:r w:rsidR="00E42C67">
        <w:t xml:space="preserve"> </w:t>
      </w:r>
      <w:r>
        <w:t>17</w:t>
      </w:r>
      <w:r w:rsidRPr="00B96F71">
        <w:t>:66–</w:t>
      </w:r>
      <w:r w:rsidR="00E42C67">
        <w:t>6</w:t>
      </w:r>
      <w:r w:rsidRPr="00B96F71">
        <w:t>8.</w:t>
      </w:r>
    </w:p>
    <w:p w14:paraId="05FB56E9" w14:textId="2087B4C2" w:rsidR="009F47F4" w:rsidRDefault="009F47F4" w:rsidP="009F47F4">
      <w:pPr>
        <w:pStyle w:val="BodyA"/>
        <w:numPr>
          <w:ilvl w:val="0"/>
          <w:numId w:val="17"/>
        </w:numPr>
        <w:spacing w:before="240" w:after="0" w:line="480" w:lineRule="auto"/>
      </w:pPr>
      <w:r w:rsidRPr="00B96F71">
        <w:t>Bull RH, Fenton DA, Mortimer PS. Lymphatic function in the yellow nail syndrome. Br J Derm</w:t>
      </w:r>
      <w:r>
        <w:t>atol 1996;</w:t>
      </w:r>
      <w:r w:rsidR="00E42C67">
        <w:t xml:space="preserve"> </w:t>
      </w:r>
      <w:r>
        <w:t>134</w:t>
      </w:r>
      <w:r w:rsidRPr="00B96F71">
        <w:t>:307–</w:t>
      </w:r>
      <w:r w:rsidR="00E42C67">
        <w:t>3</w:t>
      </w:r>
      <w:r w:rsidRPr="00B96F71">
        <w:t>12.</w:t>
      </w:r>
    </w:p>
    <w:p w14:paraId="1641EEA1" w14:textId="2DC88CFA" w:rsidR="009F47F4" w:rsidRDefault="009F47F4" w:rsidP="009F47F4">
      <w:pPr>
        <w:pStyle w:val="BodyA"/>
        <w:numPr>
          <w:ilvl w:val="0"/>
          <w:numId w:val="17"/>
        </w:numPr>
        <w:spacing w:before="240" w:after="0" w:line="480" w:lineRule="auto"/>
      </w:pPr>
      <w:r w:rsidRPr="00FE2762">
        <w:t>Stanton A, Modi S, Mellor R, Levick R, Mortimer P. Diagnosing breast cancer-related lymphoedema in t</w:t>
      </w:r>
      <w:r>
        <w:t>he arm. J Lymphoedema 2006;</w:t>
      </w:r>
      <w:r w:rsidR="00E42C67">
        <w:t xml:space="preserve"> </w:t>
      </w:r>
      <w:r>
        <w:t>1</w:t>
      </w:r>
      <w:r w:rsidRPr="00FE2762">
        <w:t>:12–</w:t>
      </w:r>
      <w:r w:rsidR="00E42C67">
        <w:t>1</w:t>
      </w:r>
      <w:r w:rsidRPr="00FE2762">
        <w:t>5.</w:t>
      </w:r>
    </w:p>
    <w:p w14:paraId="7A6C62FD" w14:textId="112E2E74" w:rsidR="009F47F4" w:rsidRDefault="009F47F4" w:rsidP="009F47F4">
      <w:pPr>
        <w:pStyle w:val="BodyA"/>
        <w:numPr>
          <w:ilvl w:val="0"/>
          <w:numId w:val="17"/>
        </w:numPr>
        <w:spacing w:before="240" w:after="0" w:line="480" w:lineRule="auto"/>
      </w:pPr>
      <w:r w:rsidRPr="00D869FC">
        <w:t xml:space="preserve">Stemmer R. </w:t>
      </w:r>
      <w:r>
        <w:t>[</w:t>
      </w:r>
      <w:r w:rsidRPr="00D869FC">
        <w:t>Stemmer's sign--possibilities and limits of c</w:t>
      </w:r>
      <w:r>
        <w:t>linical diagnosis of lymphedema]</w:t>
      </w:r>
      <w:r w:rsidRPr="00D869FC">
        <w:t>.</w:t>
      </w:r>
      <w:r>
        <w:t xml:space="preserve"> </w:t>
      </w:r>
      <w:r w:rsidRPr="00D869FC">
        <w:t xml:space="preserve">Wien </w:t>
      </w:r>
      <w:r>
        <w:t>Med Wochenschr 1999;</w:t>
      </w:r>
      <w:r w:rsidR="00E42C67">
        <w:t xml:space="preserve"> </w:t>
      </w:r>
      <w:r>
        <w:t>149:85–</w:t>
      </w:r>
      <w:r w:rsidR="00E42C67">
        <w:t>8</w:t>
      </w:r>
      <w:r w:rsidRPr="00D869FC">
        <w:t>6.</w:t>
      </w:r>
    </w:p>
    <w:p w14:paraId="2B1E6F36" w14:textId="6018350A" w:rsidR="009F47F4" w:rsidRDefault="009F47F4" w:rsidP="009F47F4">
      <w:pPr>
        <w:pStyle w:val="BodyA"/>
        <w:numPr>
          <w:ilvl w:val="0"/>
          <w:numId w:val="17"/>
        </w:numPr>
        <w:spacing w:before="240" w:after="0" w:line="480" w:lineRule="auto"/>
        <w:rPr>
          <w:lang w:val="en-GB"/>
        </w:rPr>
      </w:pPr>
      <w:r w:rsidRPr="00FE2762">
        <w:rPr>
          <w:lang w:val="en-GB"/>
        </w:rPr>
        <w:lastRenderedPageBreak/>
        <w:t>Keramida G, Winterman N, Wroe E, Aplin M, Peters AM. Importance of accurate ilio-inguinal quantification in lower extremity lymphoscintigraphy. Nucl Med Comm 2017</w:t>
      </w:r>
      <w:r>
        <w:rPr>
          <w:lang w:val="en-GB"/>
        </w:rPr>
        <w:t>;</w:t>
      </w:r>
      <w:r w:rsidR="00E42C67">
        <w:rPr>
          <w:lang w:val="en-GB"/>
        </w:rPr>
        <w:t xml:space="preserve"> </w:t>
      </w:r>
      <w:r w:rsidRPr="00FE2762">
        <w:rPr>
          <w:lang w:val="en-GB"/>
        </w:rPr>
        <w:t>38:209–</w:t>
      </w:r>
      <w:r w:rsidR="00E42C67">
        <w:rPr>
          <w:lang w:val="en-GB"/>
        </w:rPr>
        <w:t>2</w:t>
      </w:r>
      <w:r w:rsidRPr="00FE2762">
        <w:rPr>
          <w:lang w:val="en-GB"/>
        </w:rPr>
        <w:t>14.</w:t>
      </w:r>
    </w:p>
    <w:p w14:paraId="5F16795E" w14:textId="5DA74D02" w:rsidR="00A25F57" w:rsidRPr="00A25F57" w:rsidRDefault="00046B52" w:rsidP="00046B52">
      <w:pPr>
        <w:pStyle w:val="BodyA"/>
        <w:numPr>
          <w:ilvl w:val="0"/>
          <w:numId w:val="17"/>
        </w:numPr>
        <w:spacing w:before="240" w:line="480" w:lineRule="auto"/>
        <w:rPr>
          <w:b/>
          <w:lang w:val="en-GB"/>
        </w:rPr>
      </w:pPr>
      <w:r w:rsidRPr="003E7767">
        <w:rPr>
          <w:lang w:val="en-GB"/>
        </w:rPr>
        <w:t>Pannier F, Hoffmann B, Stang A, Jöckel K-H, Rabe E.</w:t>
      </w:r>
      <w:r w:rsidRPr="0092046C">
        <w:rPr>
          <w:lang w:val="en-GB"/>
        </w:rPr>
        <w:t xml:space="preserve"> </w:t>
      </w:r>
      <w:r w:rsidR="00A25F57" w:rsidRPr="002A5D04">
        <w:rPr>
          <w:lang w:val="en-GB"/>
        </w:rPr>
        <w:t>Prevalence of Stemmer's sign in the general population. Results from the Bonn Vein Study. Phlebologie 2007; 36:289–292.</w:t>
      </w:r>
    </w:p>
    <w:p w14:paraId="499D224A" w14:textId="0712E2C0" w:rsidR="009F47F4" w:rsidRPr="00994A66" w:rsidRDefault="009F47F4" w:rsidP="009F47F4">
      <w:pPr>
        <w:pStyle w:val="BodyA"/>
        <w:widowControl w:val="0"/>
        <w:numPr>
          <w:ilvl w:val="0"/>
          <w:numId w:val="17"/>
        </w:numPr>
        <w:spacing w:before="240" w:line="480" w:lineRule="auto"/>
        <w:rPr>
          <w:lang w:val="en-GB"/>
        </w:rPr>
      </w:pPr>
      <w:r w:rsidRPr="00994A66">
        <w:rPr>
          <w:lang w:val="en-GB"/>
        </w:rPr>
        <w:t>Vignes</w:t>
      </w:r>
      <w:r>
        <w:rPr>
          <w:lang w:val="en-GB"/>
        </w:rPr>
        <w:t xml:space="preserve"> S, </w:t>
      </w:r>
      <w:r w:rsidRPr="00994A66">
        <w:rPr>
          <w:lang w:val="en-GB"/>
        </w:rPr>
        <w:t>Arrault</w:t>
      </w:r>
      <w:r>
        <w:rPr>
          <w:lang w:val="en-GB"/>
        </w:rPr>
        <w:t xml:space="preserve"> M, Yannoutsos A, </w:t>
      </w:r>
      <w:r w:rsidRPr="00994A66">
        <w:rPr>
          <w:lang w:val="en-GB"/>
        </w:rPr>
        <w:t>Blanchard</w:t>
      </w:r>
      <w:r>
        <w:rPr>
          <w:lang w:val="en-GB"/>
        </w:rPr>
        <w:t xml:space="preserve"> M. </w:t>
      </w:r>
      <w:r w:rsidRPr="00994A66">
        <w:rPr>
          <w:lang w:val="en-GB"/>
        </w:rPr>
        <w:t>Primary upper-limb lymphoedema</w:t>
      </w:r>
      <w:r>
        <w:rPr>
          <w:lang w:val="en-GB"/>
        </w:rPr>
        <w:t>. Br J Dermatol 2013;</w:t>
      </w:r>
      <w:r w:rsidR="00E42C67">
        <w:rPr>
          <w:lang w:val="en-GB"/>
        </w:rPr>
        <w:t xml:space="preserve"> </w:t>
      </w:r>
      <w:r>
        <w:rPr>
          <w:lang w:val="en-GB"/>
        </w:rPr>
        <w:t>168:272–</w:t>
      </w:r>
      <w:r w:rsidR="00E42C67">
        <w:rPr>
          <w:lang w:val="en-GB"/>
        </w:rPr>
        <w:t>27</w:t>
      </w:r>
      <w:r w:rsidRPr="00994A66">
        <w:rPr>
          <w:lang w:val="en-GB"/>
        </w:rPr>
        <w:t>6</w:t>
      </w:r>
      <w:r>
        <w:rPr>
          <w:lang w:val="en-GB"/>
        </w:rPr>
        <w:t>.</w:t>
      </w:r>
    </w:p>
    <w:p w14:paraId="2C394926" w14:textId="3AE57246" w:rsidR="009F47F4" w:rsidRDefault="009F47F4" w:rsidP="009F47F4">
      <w:pPr>
        <w:pStyle w:val="BodyA"/>
        <w:widowControl w:val="0"/>
        <w:numPr>
          <w:ilvl w:val="0"/>
          <w:numId w:val="17"/>
        </w:numPr>
        <w:spacing w:before="240" w:line="480" w:lineRule="auto"/>
        <w:rPr>
          <w:lang w:val="en-GB"/>
        </w:rPr>
      </w:pPr>
      <w:r w:rsidRPr="00DB550C">
        <w:rPr>
          <w:lang w:val="en-GB"/>
        </w:rPr>
        <w:t>Weissleder H, Weissleder R. Lymphedema: evaluation of qualitative and</w:t>
      </w:r>
      <w:r>
        <w:rPr>
          <w:lang w:val="en-GB"/>
        </w:rPr>
        <w:t xml:space="preserve"> </w:t>
      </w:r>
      <w:r w:rsidRPr="00DB550C">
        <w:rPr>
          <w:lang w:val="en-GB"/>
        </w:rPr>
        <w:t>quantitative lymphoscintigraphy in 238 patients. Radiology 1988;</w:t>
      </w:r>
      <w:r w:rsidR="00E42C67">
        <w:rPr>
          <w:lang w:val="en-GB"/>
        </w:rPr>
        <w:t xml:space="preserve"> </w:t>
      </w:r>
      <w:r w:rsidRPr="00DB550C">
        <w:rPr>
          <w:lang w:val="en-GB"/>
        </w:rPr>
        <w:t>167:729–</w:t>
      </w:r>
      <w:r w:rsidR="00E42C67">
        <w:rPr>
          <w:lang w:val="en-GB"/>
        </w:rPr>
        <w:t>7</w:t>
      </w:r>
      <w:r w:rsidRPr="00DB550C">
        <w:rPr>
          <w:lang w:val="en-GB"/>
        </w:rPr>
        <w:t>35.</w:t>
      </w:r>
    </w:p>
    <w:p w14:paraId="2CB80F99" w14:textId="53942919" w:rsidR="009F47F4" w:rsidRDefault="009F47F4" w:rsidP="009F47F4">
      <w:pPr>
        <w:pStyle w:val="BodyA"/>
        <w:widowControl w:val="0"/>
        <w:numPr>
          <w:ilvl w:val="0"/>
          <w:numId w:val="17"/>
        </w:numPr>
        <w:spacing w:line="480" w:lineRule="auto"/>
        <w:rPr>
          <w:lang w:val="en-GB"/>
        </w:rPr>
      </w:pPr>
      <w:r>
        <w:rPr>
          <w:lang w:val="en-GB"/>
        </w:rPr>
        <w:t xml:space="preserve">Lee BB, Laredo J. </w:t>
      </w:r>
      <w:r w:rsidRPr="00DB550C">
        <w:rPr>
          <w:lang w:val="en-GB"/>
        </w:rPr>
        <w:t>Contemporary role of lymphoscintigraphy: we can</w:t>
      </w:r>
      <w:r>
        <w:rPr>
          <w:lang w:val="en-GB"/>
        </w:rPr>
        <w:t xml:space="preserve"> </w:t>
      </w:r>
      <w:r w:rsidRPr="00DB550C">
        <w:rPr>
          <w:lang w:val="en-GB"/>
        </w:rPr>
        <w:t>no longer afford to ignore!</w:t>
      </w:r>
      <w:r>
        <w:rPr>
          <w:lang w:val="en-GB"/>
        </w:rPr>
        <w:t xml:space="preserve"> </w:t>
      </w:r>
      <w:r w:rsidRPr="00DB550C">
        <w:rPr>
          <w:lang w:val="en-GB"/>
        </w:rPr>
        <w:t>Phlebology 2011;</w:t>
      </w:r>
      <w:r w:rsidR="00E42C67">
        <w:rPr>
          <w:lang w:val="en-GB"/>
        </w:rPr>
        <w:t xml:space="preserve"> </w:t>
      </w:r>
      <w:r w:rsidRPr="00DB550C">
        <w:rPr>
          <w:lang w:val="en-GB"/>
        </w:rPr>
        <w:t>26</w:t>
      </w:r>
      <w:r>
        <w:rPr>
          <w:lang w:val="en-GB"/>
        </w:rPr>
        <w:t>:177–</w:t>
      </w:r>
      <w:r w:rsidR="00E42C67">
        <w:rPr>
          <w:lang w:val="en-GB"/>
        </w:rPr>
        <w:t>17</w:t>
      </w:r>
      <w:r w:rsidRPr="00DB550C">
        <w:rPr>
          <w:lang w:val="en-GB"/>
        </w:rPr>
        <w:t>8</w:t>
      </w:r>
      <w:r>
        <w:rPr>
          <w:lang w:val="en-GB"/>
        </w:rPr>
        <w:t>.</w:t>
      </w:r>
    </w:p>
    <w:p w14:paraId="2C3B1D6D" w14:textId="54473493" w:rsidR="009F47F4" w:rsidRDefault="009F47F4" w:rsidP="009F47F4">
      <w:pPr>
        <w:pStyle w:val="BodyA"/>
        <w:widowControl w:val="0"/>
        <w:numPr>
          <w:ilvl w:val="0"/>
          <w:numId w:val="17"/>
        </w:numPr>
        <w:spacing w:line="480" w:lineRule="auto"/>
        <w:rPr>
          <w:lang w:val="en-GB"/>
        </w:rPr>
      </w:pPr>
      <w:r w:rsidRPr="00DB550C">
        <w:rPr>
          <w:lang w:val="en-GB"/>
        </w:rPr>
        <w:t>Dylke ES, McEntee MF, Schembri GP, Brennan PC, Bailey E, Ward</w:t>
      </w:r>
      <w:r>
        <w:rPr>
          <w:lang w:val="en-GB"/>
        </w:rPr>
        <w:t xml:space="preserve"> </w:t>
      </w:r>
      <w:r w:rsidRPr="00DB550C">
        <w:rPr>
          <w:lang w:val="en-GB"/>
        </w:rPr>
        <w:t xml:space="preserve">LC, </w:t>
      </w:r>
      <w:r>
        <w:rPr>
          <w:lang w:val="en-GB"/>
        </w:rPr>
        <w:t>Kilbreath SL</w:t>
      </w:r>
      <w:r w:rsidRPr="00DB550C">
        <w:rPr>
          <w:lang w:val="en-GB"/>
        </w:rPr>
        <w:t>. Reliability of a radiological grading system for dermal</w:t>
      </w:r>
      <w:r>
        <w:rPr>
          <w:lang w:val="en-GB"/>
        </w:rPr>
        <w:t xml:space="preserve"> </w:t>
      </w:r>
      <w:r w:rsidRPr="00DB550C">
        <w:rPr>
          <w:lang w:val="en-GB"/>
        </w:rPr>
        <w:t>backflow in lymphoscintigraphy imaging. Acad Radiol</w:t>
      </w:r>
      <w:r>
        <w:rPr>
          <w:lang w:val="en-GB"/>
        </w:rPr>
        <w:t xml:space="preserve"> </w:t>
      </w:r>
      <w:r w:rsidRPr="00DB550C">
        <w:rPr>
          <w:lang w:val="en-GB"/>
        </w:rPr>
        <w:t>2013;</w:t>
      </w:r>
      <w:r w:rsidR="00E42C67">
        <w:rPr>
          <w:lang w:val="en-GB"/>
        </w:rPr>
        <w:t xml:space="preserve"> </w:t>
      </w:r>
      <w:r w:rsidRPr="00DB550C">
        <w:rPr>
          <w:lang w:val="en-GB"/>
        </w:rPr>
        <w:t>20:758–</w:t>
      </w:r>
      <w:r w:rsidR="00E42C67">
        <w:rPr>
          <w:lang w:val="en-GB"/>
        </w:rPr>
        <w:t>7</w:t>
      </w:r>
      <w:r w:rsidRPr="00DB550C">
        <w:rPr>
          <w:lang w:val="en-GB"/>
        </w:rPr>
        <w:t>63.</w:t>
      </w:r>
    </w:p>
    <w:p w14:paraId="5A480A4B" w14:textId="77777777" w:rsidR="00B50848" w:rsidRPr="00B50848" w:rsidRDefault="009F47F4" w:rsidP="009F47F4">
      <w:pPr>
        <w:pStyle w:val="BodyA"/>
        <w:widowControl w:val="0"/>
        <w:numPr>
          <w:ilvl w:val="0"/>
          <w:numId w:val="17"/>
        </w:numPr>
        <w:spacing w:line="480" w:lineRule="auto"/>
        <w:rPr>
          <w:lang w:val="en-GB"/>
        </w:rPr>
      </w:pPr>
      <w:r w:rsidRPr="0021139A">
        <w:rPr>
          <w:lang w:val="en-GB"/>
        </w:rPr>
        <w:t>Hassanein AH, Maclellan RA, Grant FD, G</w:t>
      </w:r>
      <w:r w:rsidRPr="00D1222A">
        <w:rPr>
          <w:lang w:val="en-GB"/>
        </w:rPr>
        <w:t xml:space="preserve">reene AK. </w:t>
      </w:r>
      <w:r>
        <w:rPr>
          <w:lang w:val="en-GB"/>
        </w:rPr>
        <w:t>Diagnostic accuracy of l</w:t>
      </w:r>
      <w:r w:rsidRPr="0021139A">
        <w:rPr>
          <w:lang w:val="en-GB"/>
        </w:rPr>
        <w:t>ymphoscintigraphy for</w:t>
      </w:r>
      <w:r>
        <w:rPr>
          <w:lang w:val="en-GB"/>
        </w:rPr>
        <w:t xml:space="preserve"> lymphedema and analysis of false-negative t</w:t>
      </w:r>
      <w:r w:rsidRPr="0021139A">
        <w:rPr>
          <w:lang w:val="en-GB"/>
        </w:rPr>
        <w:t>ests. Plast Reconstr Surg Glob Open 2017;</w:t>
      </w:r>
      <w:r w:rsidR="00E42C67">
        <w:rPr>
          <w:lang w:val="en-GB"/>
        </w:rPr>
        <w:t xml:space="preserve"> </w:t>
      </w:r>
      <w:r w:rsidRPr="0021139A">
        <w:rPr>
          <w:lang w:val="en-GB"/>
        </w:rPr>
        <w:t>5:e1396.</w:t>
      </w:r>
      <w:r w:rsidR="00890885" w:rsidDel="00890885">
        <w:rPr>
          <w:lang w:val="en-GB"/>
        </w:rPr>
        <w:t xml:space="preserve"> </w:t>
      </w:r>
      <w:r w:rsidR="00C61A82" w:rsidRPr="00C61A82">
        <w:rPr>
          <w:iCs/>
          <w:lang w:val="en-GB"/>
        </w:rPr>
        <w:t>doi: 10.1097/GOX.0000000000001396</w:t>
      </w:r>
      <w:r w:rsidR="00C61A82">
        <w:rPr>
          <w:iCs/>
          <w:lang w:val="en-GB"/>
        </w:rPr>
        <w:t>.</w:t>
      </w:r>
    </w:p>
    <w:p w14:paraId="574AFE26" w14:textId="262F77D3" w:rsidR="00B50848" w:rsidRPr="003E7767" w:rsidRDefault="00B50848" w:rsidP="009F47F4">
      <w:pPr>
        <w:pStyle w:val="BodyA"/>
        <w:widowControl w:val="0"/>
        <w:numPr>
          <w:ilvl w:val="0"/>
          <w:numId w:val="17"/>
        </w:numPr>
        <w:spacing w:line="480" w:lineRule="auto"/>
        <w:rPr>
          <w:lang w:val="en-GB"/>
        </w:rPr>
      </w:pPr>
      <w:r w:rsidRPr="003E7767">
        <w:rPr>
          <w:rFonts w:cs="Times New Roman"/>
          <w:color w:val="auto"/>
          <w:bdr w:val="none" w:sz="0" w:space="0" w:color="auto"/>
          <w:lang w:val="en-GB" w:eastAsia="en-US"/>
        </w:rPr>
        <w:t>Hvidsten S, Toyserkani NM, Sørensen JA, Høilund-Carlsen PF, Simonsen JA. A scintigraphic method for quantitation of lymphatic function in arm lymphedema. Lymphat Res Biol 2018 Jan 18. doi: 10.1089/lrb.2017.0054.</w:t>
      </w:r>
    </w:p>
    <w:p w14:paraId="72E4A4F4" w14:textId="686E167F" w:rsidR="009F47F4" w:rsidRPr="003E7767" w:rsidRDefault="00B50848" w:rsidP="003E7767">
      <w:pPr>
        <w:pStyle w:val="BodyA"/>
        <w:widowControl w:val="0"/>
        <w:numPr>
          <w:ilvl w:val="0"/>
          <w:numId w:val="17"/>
        </w:numPr>
        <w:spacing w:line="480" w:lineRule="auto"/>
        <w:rPr>
          <w:b/>
          <w:lang w:val="en-GB"/>
        </w:rPr>
      </w:pPr>
      <w:r w:rsidRPr="003E7767">
        <w:rPr>
          <w:rFonts w:cs="Times New Roman"/>
          <w:color w:val="auto"/>
          <w:bdr w:val="none" w:sz="0" w:space="0" w:color="auto"/>
          <w:lang w:val="en-GB" w:eastAsia="en-US"/>
        </w:rPr>
        <w:t xml:space="preserve">Devoogdt N, Van den Wyngaert T, Bourgeois P, Lambrechts M, Van Kampen M, De Groef A, Geraerts I, Neven P, Vergote I, Tjalma W, Christiaens MR, Stroobants S. Reproducibility of lymphoscintigraphic </w:t>
      </w:r>
      <w:r w:rsidRPr="003E7767">
        <w:rPr>
          <w:rFonts w:cs="Times New Roman"/>
          <w:color w:val="auto"/>
          <w:bdr w:val="none" w:sz="0" w:space="0" w:color="auto"/>
          <w:lang w:val="en-GB" w:eastAsia="en-US"/>
        </w:rPr>
        <w:lastRenderedPageBreak/>
        <w:t>evaluation of the upper limb. Lymphat Res Biol 2014; 12:175–184.</w:t>
      </w:r>
      <w:r w:rsidR="009F47F4" w:rsidRPr="003E7767">
        <w:rPr>
          <w:b/>
          <w:lang w:val="en-GB"/>
        </w:rPr>
        <w:br w:type="page"/>
      </w:r>
    </w:p>
    <w:p w14:paraId="7C45D575" w14:textId="77777777" w:rsidR="00CA3BC9" w:rsidRDefault="00CA3BC9" w:rsidP="00CA3BC9">
      <w:pPr>
        <w:pStyle w:val="NormalWeb"/>
        <w:spacing w:line="480" w:lineRule="auto"/>
        <w:rPr>
          <w:rFonts w:ascii="Calibri" w:eastAsia="Calibri" w:hAnsi="Calibri" w:cs="Calibri"/>
          <w:sz w:val="28"/>
          <w:szCs w:val="28"/>
        </w:rPr>
      </w:pPr>
      <w:r>
        <w:rPr>
          <w:rFonts w:ascii="Calibri" w:eastAsia="Calibri" w:hAnsi="Calibri" w:cs="Calibri"/>
          <w:sz w:val="28"/>
          <w:szCs w:val="28"/>
        </w:rPr>
        <w:lastRenderedPageBreak/>
        <w:t>Legends</w:t>
      </w:r>
    </w:p>
    <w:p w14:paraId="1E1AE19E" w14:textId="443441B9" w:rsidR="00CA3BC9" w:rsidRDefault="00CA3BC9" w:rsidP="00CA3BC9">
      <w:pPr>
        <w:pStyle w:val="NormalWeb"/>
        <w:spacing w:line="480" w:lineRule="auto"/>
        <w:rPr>
          <w:rFonts w:ascii="Calibri" w:eastAsia="Calibri" w:hAnsi="Calibri" w:cs="Calibri"/>
          <w:sz w:val="22"/>
          <w:szCs w:val="22"/>
        </w:rPr>
      </w:pPr>
      <w:r>
        <w:rPr>
          <w:rFonts w:ascii="Calibri" w:eastAsia="Calibri" w:hAnsi="Calibri" w:cs="Calibri"/>
          <w:sz w:val="22"/>
          <w:szCs w:val="22"/>
        </w:rPr>
        <w:t>F</w:t>
      </w:r>
      <w:r w:rsidR="00AC4E52">
        <w:rPr>
          <w:rFonts w:ascii="Calibri" w:eastAsia="Calibri" w:hAnsi="Calibri" w:cs="Calibri"/>
          <w:sz w:val="22"/>
          <w:szCs w:val="22"/>
        </w:rPr>
        <w:t>IG.</w:t>
      </w:r>
      <w:r>
        <w:rPr>
          <w:rFonts w:ascii="Calibri" w:eastAsia="Calibri" w:hAnsi="Calibri" w:cs="Calibri"/>
          <w:sz w:val="22"/>
          <w:szCs w:val="22"/>
        </w:rPr>
        <w:t xml:space="preserve"> 1. The left hand </w:t>
      </w:r>
      <w:r w:rsidRPr="000D2C9E">
        <w:rPr>
          <w:rFonts w:ascii="Calibri" w:eastAsia="Calibri" w:hAnsi="Calibri" w:cs="Calibri"/>
          <w:sz w:val="22"/>
          <w:szCs w:val="22"/>
        </w:rPr>
        <w:t>of a patient with yellow nail syndrome (YNS-011)</w:t>
      </w:r>
      <w:r>
        <w:rPr>
          <w:rFonts w:ascii="Calibri" w:eastAsia="Calibri" w:hAnsi="Calibri" w:cs="Calibri"/>
          <w:sz w:val="22"/>
          <w:szCs w:val="22"/>
        </w:rPr>
        <w:t xml:space="preserve"> over a four-year period</w:t>
      </w:r>
      <w:r w:rsidRPr="000D2C9E">
        <w:rPr>
          <w:rFonts w:ascii="Calibri" w:eastAsia="Calibri" w:hAnsi="Calibri" w:cs="Calibri"/>
          <w:sz w:val="22"/>
          <w:szCs w:val="22"/>
        </w:rPr>
        <w:t xml:space="preserve">. </w:t>
      </w:r>
      <w:r>
        <w:rPr>
          <w:rFonts w:ascii="Calibri" w:eastAsia="Calibri" w:hAnsi="Calibri" w:cs="Calibri"/>
          <w:sz w:val="22"/>
          <w:szCs w:val="22"/>
        </w:rPr>
        <w:t xml:space="preserve">In </w:t>
      </w:r>
      <w:r w:rsidRPr="00026D06">
        <w:rPr>
          <w:rFonts w:ascii="Calibri" w:eastAsia="Calibri" w:hAnsi="Calibri" w:cs="Calibri"/>
          <w:b/>
          <w:sz w:val="22"/>
          <w:szCs w:val="22"/>
        </w:rPr>
        <w:t>a</w:t>
      </w:r>
      <w:r w:rsidRPr="000D2C9E">
        <w:rPr>
          <w:rFonts w:ascii="Calibri" w:eastAsia="Calibri" w:hAnsi="Calibri" w:cs="Calibri"/>
          <w:sz w:val="22"/>
          <w:szCs w:val="22"/>
        </w:rPr>
        <w:t xml:space="preserve"> (taken in 2009) and </w:t>
      </w:r>
      <w:r w:rsidRPr="00026D06">
        <w:rPr>
          <w:rFonts w:ascii="Calibri" w:eastAsia="Calibri" w:hAnsi="Calibri" w:cs="Calibri"/>
          <w:b/>
          <w:sz w:val="22"/>
          <w:szCs w:val="22"/>
        </w:rPr>
        <w:t>b</w:t>
      </w:r>
      <w:r w:rsidRPr="000D2C9E">
        <w:rPr>
          <w:rFonts w:ascii="Calibri" w:eastAsia="Calibri" w:hAnsi="Calibri" w:cs="Calibri"/>
          <w:sz w:val="22"/>
          <w:szCs w:val="22"/>
        </w:rPr>
        <w:t xml:space="preserve"> (early 2013) </w:t>
      </w:r>
      <w:r>
        <w:rPr>
          <w:rFonts w:ascii="Calibri" w:eastAsia="Calibri" w:hAnsi="Calibri" w:cs="Calibri"/>
          <w:sz w:val="22"/>
          <w:szCs w:val="22"/>
        </w:rPr>
        <w:t>there is evidence of</w:t>
      </w:r>
      <w:r w:rsidRPr="000D2C9E">
        <w:rPr>
          <w:rFonts w:ascii="Calibri" w:eastAsia="Calibri" w:hAnsi="Calibri" w:cs="Calibri"/>
          <w:sz w:val="22"/>
          <w:szCs w:val="22"/>
        </w:rPr>
        <w:t xml:space="preserve"> </w:t>
      </w:r>
      <w:r w:rsidRPr="000D2C9E">
        <w:rPr>
          <w:rFonts w:ascii="Calibri" w:eastAsia="Calibri" w:hAnsi="Calibri" w:cs="Calibri"/>
          <w:iCs/>
          <w:sz w:val="22"/>
          <w:szCs w:val="22"/>
        </w:rPr>
        <w:t xml:space="preserve">poor </w:t>
      </w:r>
      <w:r>
        <w:rPr>
          <w:rFonts w:ascii="Calibri" w:eastAsia="Calibri" w:hAnsi="Calibri" w:cs="Calibri"/>
          <w:iCs/>
          <w:sz w:val="22"/>
          <w:szCs w:val="22"/>
        </w:rPr>
        <w:t xml:space="preserve">nail </w:t>
      </w:r>
      <w:r w:rsidRPr="000D2C9E">
        <w:rPr>
          <w:rFonts w:ascii="Calibri" w:eastAsia="Calibri" w:hAnsi="Calibri" w:cs="Calibri"/>
          <w:iCs/>
          <w:sz w:val="22"/>
          <w:szCs w:val="22"/>
        </w:rPr>
        <w:t>growth, horizontal over-curvature of a thickened discoloured nail plate, loss of cuticle and swollen proximal nail folds</w:t>
      </w:r>
      <w:r>
        <w:rPr>
          <w:rFonts w:ascii="Calibri" w:eastAsia="Calibri" w:hAnsi="Calibri" w:cs="Calibri"/>
          <w:iCs/>
          <w:sz w:val="22"/>
          <w:szCs w:val="22"/>
        </w:rPr>
        <w:t>;</w:t>
      </w:r>
      <w:r w:rsidRPr="000D2C9E">
        <w:rPr>
          <w:rFonts w:ascii="Calibri" w:eastAsia="Calibri" w:hAnsi="Calibri" w:cs="Calibri"/>
          <w:iCs/>
          <w:sz w:val="22"/>
          <w:szCs w:val="22"/>
        </w:rPr>
        <w:t xml:space="preserve"> </w:t>
      </w:r>
      <w:r w:rsidRPr="006738E6">
        <w:rPr>
          <w:rFonts w:ascii="Calibri" w:eastAsia="Calibri" w:hAnsi="Calibri" w:cs="Calibri"/>
          <w:b/>
          <w:sz w:val="22"/>
          <w:szCs w:val="22"/>
        </w:rPr>
        <w:t>b</w:t>
      </w:r>
      <w:r w:rsidRPr="000D2C9E">
        <w:rPr>
          <w:rFonts w:ascii="Calibri" w:eastAsia="Calibri" w:hAnsi="Calibri" w:cs="Calibri"/>
          <w:sz w:val="22"/>
          <w:szCs w:val="22"/>
        </w:rPr>
        <w:t xml:space="preserve"> also shows secondary infection. </w:t>
      </w:r>
      <w:r>
        <w:rPr>
          <w:rFonts w:ascii="Calibri" w:eastAsia="Calibri" w:hAnsi="Calibri" w:cs="Calibri"/>
          <w:sz w:val="22"/>
          <w:szCs w:val="22"/>
        </w:rPr>
        <w:t xml:space="preserve">In </w:t>
      </w:r>
      <w:r w:rsidRPr="00026D06">
        <w:rPr>
          <w:rFonts w:ascii="Calibri" w:eastAsia="Calibri" w:hAnsi="Calibri" w:cs="Calibri"/>
          <w:b/>
          <w:sz w:val="22"/>
          <w:szCs w:val="22"/>
        </w:rPr>
        <w:t>c</w:t>
      </w:r>
      <w:r w:rsidRPr="000D2C9E">
        <w:rPr>
          <w:rFonts w:ascii="Calibri" w:eastAsia="Calibri" w:hAnsi="Calibri" w:cs="Calibri"/>
          <w:sz w:val="22"/>
          <w:szCs w:val="22"/>
        </w:rPr>
        <w:t xml:space="preserve"> (September 2013) some nails have recovered, </w:t>
      </w:r>
      <w:r>
        <w:rPr>
          <w:rFonts w:ascii="Calibri" w:eastAsia="Calibri" w:hAnsi="Calibri" w:cs="Calibri"/>
          <w:sz w:val="22"/>
          <w:szCs w:val="22"/>
        </w:rPr>
        <w:t xml:space="preserve">with </w:t>
      </w:r>
      <w:r w:rsidRPr="000D2C9E">
        <w:rPr>
          <w:rFonts w:ascii="Calibri" w:eastAsia="Calibri" w:hAnsi="Calibri" w:cs="Calibri"/>
          <w:sz w:val="22"/>
          <w:szCs w:val="22"/>
        </w:rPr>
        <w:t>fractur</w:t>
      </w:r>
      <w:r>
        <w:rPr>
          <w:rFonts w:ascii="Calibri" w:eastAsia="Calibri" w:hAnsi="Calibri" w:cs="Calibri"/>
          <w:sz w:val="22"/>
          <w:szCs w:val="22"/>
        </w:rPr>
        <w:t>ing and shedding of some</w:t>
      </w:r>
      <w:r w:rsidRPr="000D2C9E">
        <w:rPr>
          <w:rFonts w:ascii="Calibri" w:eastAsia="Calibri" w:hAnsi="Calibri" w:cs="Calibri"/>
          <w:sz w:val="22"/>
          <w:szCs w:val="22"/>
        </w:rPr>
        <w:t xml:space="preserve"> </w:t>
      </w:r>
      <w:r>
        <w:rPr>
          <w:rFonts w:ascii="Calibri" w:eastAsia="Calibri" w:hAnsi="Calibri" w:cs="Calibri"/>
          <w:sz w:val="22"/>
          <w:szCs w:val="22"/>
        </w:rPr>
        <w:t>nail plates.</w:t>
      </w:r>
    </w:p>
    <w:p w14:paraId="084E2479" w14:textId="77777777" w:rsidR="00CA3BC9" w:rsidRDefault="00CA3BC9" w:rsidP="00CA3BC9">
      <w:pPr>
        <w:pStyle w:val="NormalWeb"/>
        <w:spacing w:line="480" w:lineRule="auto"/>
        <w:rPr>
          <w:rFonts w:ascii="Calibri" w:eastAsia="Calibri" w:hAnsi="Calibri" w:cs="Calibri"/>
          <w:sz w:val="22"/>
          <w:szCs w:val="22"/>
        </w:rPr>
      </w:pPr>
    </w:p>
    <w:p w14:paraId="38D9E0AB" w14:textId="197426DE" w:rsidR="00CA3BC9" w:rsidRDefault="00CA3BC9" w:rsidP="00CA3BC9">
      <w:pPr>
        <w:pStyle w:val="BodyA"/>
        <w:spacing w:after="0" w:line="480" w:lineRule="auto"/>
      </w:pPr>
      <w:r>
        <w:t>F</w:t>
      </w:r>
      <w:r w:rsidR="00AC4E52">
        <w:t>IG.</w:t>
      </w:r>
      <w:r>
        <w:t xml:space="preserve"> 2. Four-limb lymph scans </w:t>
      </w:r>
      <w:r w:rsidR="00240C06">
        <w:t xml:space="preserve">obtained </w:t>
      </w:r>
      <w:r w:rsidR="00D80203">
        <w:t xml:space="preserve">2 hours after injection of radiotracer </w:t>
      </w:r>
      <w:r>
        <w:t xml:space="preserve">from two </w:t>
      </w:r>
      <w:r w:rsidRPr="002D28A9">
        <w:t xml:space="preserve">patients with yellow nail syndrome (YNS) </w:t>
      </w:r>
      <w:r>
        <w:t>and two healthy controls. Left side of image = right side of participant. Patient YNS-003: reduced regional node and lymphatic tract imaging (delay) in all four limbs; right (R) axilla = 0.9%, left (L) axilla = 0.6%, R groin = 2.5%, L groin = 0.9%</w:t>
      </w:r>
      <w:r w:rsidRPr="00AE4627">
        <w:t>.</w:t>
      </w:r>
      <w:r>
        <w:t xml:space="preserve"> This patient was very slim and the upper limbs are positioned at the sides of the body (in the other images they are held across the abdomen). Patient YNS-030: asymmetric nodal uptake (1), limited aplasia (2) and tortuous tracts (3); R axilla = 0%, L axilla = 0%, R groin = 1.7%, L groin = 1.7%. Control YNS-018: tortuous tracts (3) and popliteal nodes (4); R axilla = 5.4%, L axilla = 5.4%, R groin = 15.2%, L groin = 5.6%. Control YNS-028: normal scan; R axilla = 2.1%, L axilla = 1.8%, R groin = 12.1%, L groin = 8.0%.</w:t>
      </w:r>
    </w:p>
    <w:p w14:paraId="198CC821" w14:textId="77777777" w:rsidR="00CA3BC9" w:rsidRDefault="00CA3BC9" w:rsidP="00CA3BC9">
      <w:pPr>
        <w:pStyle w:val="BodyA"/>
        <w:spacing w:after="0" w:line="480" w:lineRule="auto"/>
      </w:pPr>
    </w:p>
    <w:p w14:paraId="48E662D2" w14:textId="66A604B9" w:rsidR="00CA3BC9" w:rsidRPr="0069147C" w:rsidRDefault="00CA3BC9" w:rsidP="00CA3BC9">
      <w:pPr>
        <w:pStyle w:val="NormalWeb"/>
        <w:spacing w:line="480" w:lineRule="auto"/>
        <w:rPr>
          <w:rFonts w:ascii="Calibri" w:eastAsia="Calibri" w:hAnsi="Calibri" w:cs="Calibri"/>
          <w:sz w:val="22"/>
          <w:szCs w:val="22"/>
        </w:rPr>
      </w:pPr>
      <w:r w:rsidRPr="0069147C">
        <w:rPr>
          <w:rFonts w:ascii="Calibri" w:eastAsia="Calibri" w:hAnsi="Calibri" w:cs="Calibri"/>
          <w:sz w:val="22"/>
          <w:szCs w:val="22"/>
        </w:rPr>
        <w:t>F</w:t>
      </w:r>
      <w:r w:rsidR="00AC4E52">
        <w:rPr>
          <w:rFonts w:ascii="Calibri" w:eastAsia="Calibri" w:hAnsi="Calibri" w:cs="Calibri"/>
          <w:sz w:val="22"/>
          <w:szCs w:val="22"/>
        </w:rPr>
        <w:t>IG.</w:t>
      </w:r>
      <w:r w:rsidRPr="0069147C">
        <w:rPr>
          <w:rFonts w:ascii="Calibri" w:eastAsia="Calibri" w:hAnsi="Calibri" w:cs="Calibri"/>
          <w:sz w:val="22"/>
          <w:szCs w:val="22"/>
        </w:rPr>
        <w:t xml:space="preserve"> 3. Axillary and ilio-inguinal nodal uptakes in patients with yellow nail syndrome (YNS) and healthy controls. </w:t>
      </w:r>
      <w:r>
        <w:rPr>
          <w:rFonts w:ascii="Calibri" w:eastAsia="Calibri" w:hAnsi="Calibri" w:cs="Calibri"/>
          <w:sz w:val="22"/>
          <w:szCs w:val="22"/>
        </w:rPr>
        <w:t>Nodal uptak</w:t>
      </w:r>
      <w:r w:rsidRPr="0069147C">
        <w:rPr>
          <w:rFonts w:ascii="Calibri" w:eastAsia="Calibri" w:hAnsi="Calibri" w:cs="Calibri"/>
          <w:sz w:val="22"/>
          <w:szCs w:val="22"/>
        </w:rPr>
        <w:t xml:space="preserve">es </w:t>
      </w:r>
      <w:r>
        <w:rPr>
          <w:rFonts w:ascii="Calibri" w:eastAsia="Calibri" w:hAnsi="Calibri" w:cs="Calibri"/>
          <w:sz w:val="22"/>
          <w:szCs w:val="22"/>
        </w:rPr>
        <w:t xml:space="preserve">(%) </w:t>
      </w:r>
      <w:r w:rsidRPr="0069147C">
        <w:rPr>
          <w:rFonts w:ascii="Calibri" w:eastAsia="Calibri" w:hAnsi="Calibri" w:cs="Calibri"/>
          <w:sz w:val="22"/>
          <w:szCs w:val="22"/>
        </w:rPr>
        <w:t xml:space="preserve">for </w:t>
      </w:r>
      <w:r>
        <w:rPr>
          <w:rFonts w:ascii="Calibri" w:eastAsia="Calibri" w:hAnsi="Calibri" w:cs="Calibri"/>
          <w:sz w:val="22"/>
          <w:szCs w:val="22"/>
        </w:rPr>
        <w:t xml:space="preserve">the </w:t>
      </w:r>
      <w:r w:rsidRPr="0069147C">
        <w:rPr>
          <w:rFonts w:ascii="Calibri" w:eastAsia="Calibri" w:hAnsi="Calibri" w:cs="Calibri"/>
          <w:sz w:val="22"/>
          <w:szCs w:val="22"/>
        </w:rPr>
        <w:t xml:space="preserve">right and left upper and lower limbs of individual participants </w:t>
      </w:r>
      <w:r>
        <w:rPr>
          <w:rFonts w:ascii="Calibri" w:eastAsia="Calibri" w:hAnsi="Calibri" w:cs="Calibri"/>
          <w:sz w:val="22"/>
          <w:szCs w:val="22"/>
        </w:rPr>
        <w:t xml:space="preserve">are </w:t>
      </w:r>
      <w:r w:rsidRPr="0069147C">
        <w:rPr>
          <w:rFonts w:ascii="Calibri" w:eastAsia="Calibri" w:hAnsi="Calibri" w:cs="Calibri"/>
          <w:sz w:val="22"/>
          <w:szCs w:val="22"/>
        </w:rPr>
        <w:t>shown (</w:t>
      </w:r>
      <w:r w:rsidRPr="0069147C">
        <w:rPr>
          <w:rFonts w:ascii="Calibri" w:eastAsia="Calibri" w:hAnsi="Calibri" w:cs="Calibri"/>
          <w:i/>
          <w:sz w:val="22"/>
          <w:szCs w:val="22"/>
        </w:rPr>
        <w:t>n</w:t>
      </w:r>
      <w:r w:rsidRPr="0069147C">
        <w:rPr>
          <w:rFonts w:ascii="Calibri" w:eastAsia="Calibri" w:hAnsi="Calibri" w:cs="Calibri"/>
          <w:sz w:val="22"/>
          <w:szCs w:val="22"/>
        </w:rPr>
        <w:t xml:space="preserve"> = 15 for YNS and </w:t>
      </w:r>
      <w:r w:rsidRPr="0069147C">
        <w:rPr>
          <w:rFonts w:ascii="Calibri" w:eastAsia="Calibri" w:hAnsi="Calibri" w:cs="Calibri"/>
          <w:i/>
          <w:sz w:val="22"/>
          <w:szCs w:val="22"/>
        </w:rPr>
        <w:t>n</w:t>
      </w:r>
      <w:r w:rsidRPr="0069147C">
        <w:rPr>
          <w:rFonts w:ascii="Calibri" w:eastAsia="Calibri" w:hAnsi="Calibri" w:cs="Calibri"/>
          <w:sz w:val="22"/>
          <w:szCs w:val="22"/>
        </w:rPr>
        <w:t xml:space="preserve"> = 14 for controls)</w:t>
      </w:r>
      <w:r>
        <w:rPr>
          <w:rFonts w:ascii="Calibri" w:eastAsia="Calibri" w:hAnsi="Calibri" w:cs="Calibri"/>
          <w:sz w:val="22"/>
          <w:szCs w:val="22"/>
        </w:rPr>
        <w:t>,</w:t>
      </w:r>
      <w:r w:rsidRPr="0069147C">
        <w:rPr>
          <w:rFonts w:ascii="Calibri" w:eastAsia="Calibri" w:hAnsi="Calibri" w:cs="Calibri"/>
          <w:sz w:val="22"/>
          <w:szCs w:val="22"/>
        </w:rPr>
        <w:t xml:space="preserve"> </w:t>
      </w:r>
      <w:r>
        <w:rPr>
          <w:rFonts w:ascii="Calibri" w:eastAsia="Calibri" w:hAnsi="Calibri" w:cs="Calibri"/>
          <w:sz w:val="22"/>
          <w:szCs w:val="22"/>
        </w:rPr>
        <w:t xml:space="preserve">together </w:t>
      </w:r>
      <w:r w:rsidRPr="0069147C">
        <w:rPr>
          <w:rFonts w:ascii="Calibri" w:eastAsia="Calibri" w:hAnsi="Calibri" w:cs="Calibri"/>
          <w:sz w:val="22"/>
          <w:szCs w:val="22"/>
        </w:rPr>
        <w:t xml:space="preserve">with the means and SD. The dotted </w:t>
      </w:r>
      <w:r>
        <w:rPr>
          <w:rFonts w:ascii="Calibri" w:eastAsia="Calibri" w:hAnsi="Calibri" w:cs="Calibri"/>
          <w:sz w:val="22"/>
          <w:szCs w:val="22"/>
        </w:rPr>
        <w:t xml:space="preserve">horizontal </w:t>
      </w:r>
      <w:r w:rsidRPr="0069147C">
        <w:rPr>
          <w:rFonts w:ascii="Calibri" w:eastAsia="Calibri" w:hAnsi="Calibri" w:cs="Calibri"/>
          <w:sz w:val="22"/>
          <w:szCs w:val="22"/>
        </w:rPr>
        <w:t>lines represent the normal lower limits of 3% for axillary uptake and 8% for ilio-inguinal uptake. Axillary uptake and ilio-inguinal uptake were both significantly lower in the YNS than the control group (</w:t>
      </w:r>
      <w:r w:rsidR="006912F8">
        <w:rPr>
          <w:rFonts w:ascii="Calibri" w:eastAsia="Calibri" w:hAnsi="Calibri" w:cs="Calibri"/>
          <w:i/>
          <w:sz w:val="22"/>
          <w:szCs w:val="22"/>
        </w:rPr>
        <w:t>p</w:t>
      </w:r>
      <w:r w:rsidR="006912F8" w:rsidRPr="0069147C">
        <w:rPr>
          <w:rFonts w:ascii="Calibri" w:eastAsia="Calibri" w:hAnsi="Calibri" w:cs="Calibri"/>
          <w:sz w:val="22"/>
          <w:szCs w:val="22"/>
        </w:rPr>
        <w:t xml:space="preserve"> </w:t>
      </w:r>
      <w:r w:rsidRPr="0069147C">
        <w:rPr>
          <w:rFonts w:ascii="Calibri" w:eastAsia="Calibri" w:hAnsi="Calibri" w:cs="Calibri"/>
          <w:sz w:val="22"/>
          <w:szCs w:val="22"/>
        </w:rPr>
        <w:t>&lt; 0.001 for averaged right and left values; see text).</w:t>
      </w:r>
    </w:p>
    <w:p w14:paraId="4969DB0B" w14:textId="77777777" w:rsidR="00CA3BC9" w:rsidRDefault="00CA3BC9" w:rsidP="00CA3BC9">
      <w:pPr>
        <w:pStyle w:val="NormalWeb"/>
        <w:spacing w:line="480" w:lineRule="auto"/>
        <w:rPr>
          <w:rFonts w:ascii="Calibri" w:eastAsia="Calibri" w:hAnsi="Calibri" w:cs="Calibri"/>
          <w:sz w:val="22"/>
          <w:szCs w:val="22"/>
        </w:rPr>
      </w:pPr>
    </w:p>
    <w:p w14:paraId="1069EDE0" w14:textId="28C58F0D" w:rsidR="003E7767" w:rsidRDefault="00CA3BC9" w:rsidP="00A069FB">
      <w:pPr>
        <w:pStyle w:val="BodyA"/>
        <w:spacing w:line="480" w:lineRule="auto"/>
      </w:pPr>
      <w:r w:rsidRPr="00F838BF">
        <w:lastRenderedPageBreak/>
        <w:t>F</w:t>
      </w:r>
      <w:r w:rsidR="00AC4E52">
        <w:t>IG.</w:t>
      </w:r>
      <w:r w:rsidRPr="00F838BF">
        <w:t xml:space="preserve"> 4.</w:t>
      </w:r>
      <w:r>
        <w:t xml:space="preserve"> Axillary nodal uptakes in participants with and without hand swelling. Axillary uptakes (%) were compared in </w:t>
      </w:r>
      <w:r w:rsidRPr="00AF0EAA">
        <w:t>yellow n</w:t>
      </w:r>
      <w:r>
        <w:t>ail syndrome patients with and without swollen hands and in controls (</w:t>
      </w:r>
      <w:r w:rsidRPr="003B7FAB">
        <w:rPr>
          <w:i/>
        </w:rPr>
        <w:t>n</w:t>
      </w:r>
      <w:r>
        <w:t xml:space="preserve"> = 5, 10 and 14 respectively, right and left sides averaged,</w:t>
      </w:r>
      <w:r w:rsidRPr="00347C47">
        <w:t xml:space="preserve"> </w:t>
      </w:r>
      <w:r>
        <w:t>m</w:t>
      </w:r>
      <w:r w:rsidRPr="00347C47">
        <w:t xml:space="preserve">eans and </w:t>
      </w:r>
      <w:r>
        <w:t>95% CI</w:t>
      </w:r>
      <w:r w:rsidRPr="00347C47">
        <w:t xml:space="preserve"> shown</w:t>
      </w:r>
      <w:r>
        <w:t>). Uptake was substantially lower in the swollen hand group than in both the non-swollen hand group (</w:t>
      </w:r>
      <w:r w:rsidR="006912F8">
        <w:rPr>
          <w:i/>
        </w:rPr>
        <w:t>p</w:t>
      </w:r>
      <w:r w:rsidR="006912F8">
        <w:t xml:space="preserve"> </w:t>
      </w:r>
      <w:r>
        <w:t>= 0.060) and the control group (</w:t>
      </w:r>
      <w:r w:rsidR="006912F8">
        <w:rPr>
          <w:i/>
          <w:iCs/>
        </w:rPr>
        <w:t>p</w:t>
      </w:r>
      <w:r w:rsidR="006912F8">
        <w:t xml:space="preserve"> </w:t>
      </w:r>
      <w:r>
        <w:t>= 0.001, one-way ANOVA, Tukey’s post-test).</w:t>
      </w:r>
    </w:p>
    <w:p w14:paraId="3E0D9DC5" w14:textId="77777777" w:rsidR="003E7767" w:rsidRDefault="003E7767">
      <w:pPr>
        <w:rPr>
          <w:rFonts w:ascii="Calibri" w:eastAsia="Calibri" w:hAnsi="Calibri" w:cs="Calibri"/>
          <w:color w:val="000000"/>
          <w:sz w:val="22"/>
          <w:szCs w:val="22"/>
          <w:u w:color="000000"/>
          <w:lang w:eastAsia="en-GB"/>
        </w:rPr>
      </w:pPr>
      <w:r>
        <w:br w:type="page"/>
      </w:r>
    </w:p>
    <w:p w14:paraId="556D22CC" w14:textId="5389CE25" w:rsidR="003E7767" w:rsidRDefault="003E7767" w:rsidP="00A069FB">
      <w:pPr>
        <w:pStyle w:val="BodyA"/>
        <w:spacing w:line="480" w:lineRule="auto"/>
      </w:pPr>
      <w:r w:rsidRPr="003E7767">
        <w:rPr>
          <w:noProof/>
          <w:lang w:val="en-GB"/>
        </w:rPr>
        <w:lastRenderedPageBreak/>
        <w:drawing>
          <wp:inline distT="0" distB="0" distL="0" distR="0" wp14:anchorId="207C2E84" wp14:editId="47E811C9">
            <wp:extent cx="5943600" cy="3343275"/>
            <wp:effectExtent l="0" t="0" r="0" b="9525"/>
            <wp:docPr id="1" name="Picture 1" descr="C:\Users\Anthony\Desktop\YNS\Paper\New version\Key files\Figure 1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Desktop\YNS\Paper\New version\Key files\Figure 1ab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8B652BB" w14:textId="569BFEF9" w:rsidR="003E7767" w:rsidRDefault="003E7767" w:rsidP="00A069FB">
      <w:pPr>
        <w:pStyle w:val="BodyA"/>
        <w:spacing w:line="480" w:lineRule="auto"/>
      </w:pPr>
      <w:r>
        <w:t>Figure 1.</w:t>
      </w:r>
    </w:p>
    <w:p w14:paraId="56DCCE7D" w14:textId="0A5133DF" w:rsidR="003E7767" w:rsidRDefault="003E7767" w:rsidP="00A069FB">
      <w:pPr>
        <w:pStyle w:val="BodyA"/>
        <w:spacing w:line="480" w:lineRule="auto"/>
      </w:pPr>
      <w:r w:rsidRPr="003E7767">
        <w:rPr>
          <w:noProof/>
          <w:lang w:val="en-GB"/>
        </w:rPr>
        <w:lastRenderedPageBreak/>
        <w:drawing>
          <wp:inline distT="0" distB="0" distL="0" distR="0" wp14:anchorId="51B97705" wp14:editId="47012DAF">
            <wp:extent cx="5943600" cy="4443638"/>
            <wp:effectExtent l="0" t="0" r="0" b="0"/>
            <wp:docPr id="2" name="Picture 2" descr="C:\Users\Anthony\Desktop\YNS\Paper\New version\Key files\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thony\Desktop\YNS\Paper\New version\Key files\Figure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43638"/>
                    </a:xfrm>
                    <a:prstGeom prst="rect">
                      <a:avLst/>
                    </a:prstGeom>
                    <a:noFill/>
                    <a:ln>
                      <a:noFill/>
                    </a:ln>
                  </pic:spPr>
                </pic:pic>
              </a:graphicData>
            </a:graphic>
          </wp:inline>
        </w:drawing>
      </w:r>
    </w:p>
    <w:p w14:paraId="39918461" w14:textId="622EC64A" w:rsidR="003E7767" w:rsidRDefault="003E7767" w:rsidP="00A069FB">
      <w:pPr>
        <w:pStyle w:val="BodyA"/>
        <w:spacing w:line="480" w:lineRule="auto"/>
      </w:pPr>
      <w:r>
        <w:t>Figure 2.</w:t>
      </w:r>
    </w:p>
    <w:p w14:paraId="642107A2" w14:textId="77777777" w:rsidR="003E7767" w:rsidRDefault="003E7767" w:rsidP="00A069FB">
      <w:pPr>
        <w:pStyle w:val="BodyA"/>
        <w:spacing w:line="480" w:lineRule="auto"/>
      </w:pPr>
    </w:p>
    <w:p w14:paraId="7714E6DD" w14:textId="7A5A9097" w:rsidR="003E7767" w:rsidRDefault="003E7767" w:rsidP="00A069FB">
      <w:pPr>
        <w:pStyle w:val="BodyA"/>
        <w:spacing w:line="480" w:lineRule="auto"/>
      </w:pPr>
      <w:r w:rsidRPr="003E7767">
        <w:rPr>
          <w:noProof/>
          <w:lang w:val="en-GB"/>
        </w:rPr>
        <w:lastRenderedPageBreak/>
        <w:drawing>
          <wp:inline distT="0" distB="0" distL="0" distR="0" wp14:anchorId="464C1ECF" wp14:editId="0E4BD576">
            <wp:extent cx="5943600" cy="2741300"/>
            <wp:effectExtent l="0" t="0" r="0" b="1905"/>
            <wp:docPr id="3" name="Picture 3" descr="C:\Users\Anthony\Desktop\YNS\Paper\New version\Key fil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thony\Desktop\YNS\Paper\New version\Key files\Figure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41300"/>
                    </a:xfrm>
                    <a:prstGeom prst="rect">
                      <a:avLst/>
                    </a:prstGeom>
                    <a:noFill/>
                    <a:ln>
                      <a:noFill/>
                    </a:ln>
                  </pic:spPr>
                </pic:pic>
              </a:graphicData>
            </a:graphic>
          </wp:inline>
        </w:drawing>
      </w:r>
    </w:p>
    <w:p w14:paraId="3779E910" w14:textId="1A9D135E" w:rsidR="003E7767" w:rsidRDefault="003E7767" w:rsidP="00A069FB">
      <w:pPr>
        <w:pStyle w:val="BodyA"/>
        <w:spacing w:line="480" w:lineRule="auto"/>
      </w:pPr>
      <w:r>
        <w:t xml:space="preserve">Figure 3. </w:t>
      </w:r>
    </w:p>
    <w:p w14:paraId="0E48B9E8" w14:textId="77777777" w:rsidR="003E7767" w:rsidRDefault="003E7767" w:rsidP="00A069FB">
      <w:pPr>
        <w:pStyle w:val="BodyA"/>
        <w:spacing w:line="480" w:lineRule="auto"/>
      </w:pPr>
    </w:p>
    <w:p w14:paraId="242A3133" w14:textId="5CD811C3" w:rsidR="003E7767" w:rsidRDefault="003E7767" w:rsidP="00A069FB">
      <w:pPr>
        <w:pStyle w:val="BodyA"/>
        <w:spacing w:line="480" w:lineRule="auto"/>
      </w:pPr>
      <w:r w:rsidRPr="003E7767">
        <w:rPr>
          <w:noProof/>
          <w:lang w:val="en-GB"/>
        </w:rPr>
        <w:drawing>
          <wp:inline distT="0" distB="0" distL="0" distR="0" wp14:anchorId="730CDA2F" wp14:editId="5FA52061">
            <wp:extent cx="3514725" cy="3333750"/>
            <wp:effectExtent l="0" t="0" r="9525" b="0"/>
            <wp:docPr id="4" name="Picture 4" descr="C:\Users\Anthony\Desktop\YNS\Paper\New version\Key fil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hony\Desktop\YNS\Paper\New version\Key files\Figure 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14725" cy="3333750"/>
                    </a:xfrm>
                    <a:prstGeom prst="rect">
                      <a:avLst/>
                    </a:prstGeom>
                    <a:noFill/>
                    <a:ln>
                      <a:noFill/>
                    </a:ln>
                  </pic:spPr>
                </pic:pic>
              </a:graphicData>
            </a:graphic>
          </wp:inline>
        </w:drawing>
      </w:r>
    </w:p>
    <w:p w14:paraId="25DE1C29" w14:textId="77777777" w:rsidR="0059145F" w:rsidRDefault="003E7767" w:rsidP="0059145F">
      <w:pPr>
        <w:pStyle w:val="BodyA"/>
        <w:spacing w:line="480" w:lineRule="auto"/>
        <w:sectPr w:rsidR="0059145F" w:rsidSect="0028054E">
          <w:footerReference w:type="default" r:id="rId12"/>
          <w:pgSz w:w="12240" w:h="15840" w:code="1"/>
          <w:pgMar w:top="1440" w:right="1440" w:bottom="1440" w:left="1440" w:header="709" w:footer="709" w:gutter="0"/>
          <w:cols w:space="720"/>
          <w:docGrid w:linePitch="326"/>
        </w:sectPr>
      </w:pPr>
      <w:r>
        <w:t>Figure 4.</w:t>
      </w:r>
      <w:r w:rsidR="0059145F">
        <w:br w:type="page"/>
      </w:r>
    </w:p>
    <w:p w14:paraId="60672C25" w14:textId="77777777" w:rsidR="0059145F" w:rsidRPr="008B1E6A" w:rsidRDefault="0059145F" w:rsidP="0059145F">
      <w:pPr>
        <w:spacing w:after="200" w:line="480" w:lineRule="auto"/>
        <w:ind w:left="-284"/>
        <w:contextualSpacing/>
        <w:rPr>
          <w:rFonts w:ascii="Calibri" w:eastAsia="Calibri" w:hAnsi="Calibri"/>
        </w:rPr>
      </w:pPr>
      <w:r w:rsidRPr="008B1E6A">
        <w:rPr>
          <w:rFonts w:ascii="Calibri" w:eastAsia="Calibri" w:hAnsi="Calibri"/>
        </w:rPr>
        <w:lastRenderedPageBreak/>
        <w:t>Table 1. Clinical Features of the Patients with Yellow Nail Syndrome.</w:t>
      </w:r>
    </w:p>
    <w:p w14:paraId="71157D73" w14:textId="77777777" w:rsidR="0059145F" w:rsidRPr="00276028" w:rsidRDefault="0059145F" w:rsidP="0059145F">
      <w:pPr>
        <w:spacing w:after="200" w:line="480" w:lineRule="auto"/>
        <w:ind w:left="-284"/>
        <w:contextualSpacing/>
        <w:rPr>
          <w:rFonts w:ascii="Calibri" w:eastAsia="Calibri" w:hAnsi="Calibri"/>
          <w:b/>
          <w:sz w:val="20"/>
          <w:szCs w:val="20"/>
          <w:u w:val="thick"/>
        </w:rPr>
      </w:pP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r w:rsidRPr="00276028">
        <w:rPr>
          <w:rFonts w:ascii="Calibri" w:eastAsia="Calibri" w:hAnsi="Calibri"/>
          <w:b/>
          <w:sz w:val="20"/>
          <w:szCs w:val="20"/>
          <w:u w:val="thick"/>
        </w:rPr>
        <w:tab/>
      </w:r>
    </w:p>
    <w:p w14:paraId="607AA833" w14:textId="77777777" w:rsidR="0059145F" w:rsidRPr="00276028" w:rsidRDefault="0059145F" w:rsidP="0059145F">
      <w:pPr>
        <w:spacing w:after="200" w:line="480" w:lineRule="auto"/>
        <w:ind w:left="-284"/>
        <w:contextualSpacing/>
        <w:rPr>
          <w:rFonts w:ascii="Calibri" w:eastAsia="Calibri" w:hAnsi="Calibri"/>
          <w:b/>
          <w:sz w:val="20"/>
          <w:szCs w:val="20"/>
        </w:rPr>
      </w:pPr>
      <w:r w:rsidRPr="00276028">
        <w:rPr>
          <w:rFonts w:ascii="Calibri" w:eastAsia="Calibri" w:hAnsi="Calibri"/>
          <w:b/>
          <w:sz w:val="20"/>
          <w:szCs w:val="20"/>
        </w:rPr>
        <w:t>Patient ID</w:t>
      </w:r>
      <w:r w:rsidRPr="00276028">
        <w:rPr>
          <w:rFonts w:ascii="Calibri" w:eastAsia="Calibri" w:hAnsi="Calibri"/>
          <w:b/>
          <w:sz w:val="20"/>
          <w:szCs w:val="20"/>
        </w:rPr>
        <w:tab/>
        <w:t>Gender</w:t>
      </w:r>
      <w:r w:rsidRPr="00276028">
        <w:rPr>
          <w:rFonts w:ascii="Calibri" w:eastAsia="Calibri" w:hAnsi="Calibri"/>
          <w:b/>
          <w:sz w:val="20"/>
          <w:szCs w:val="20"/>
        </w:rPr>
        <w:tab/>
        <w:t>Age</w:t>
      </w:r>
      <w:r w:rsidRPr="00276028">
        <w:rPr>
          <w:rFonts w:ascii="Calibri" w:eastAsia="Calibri" w:hAnsi="Calibri"/>
          <w:b/>
          <w:sz w:val="20"/>
          <w:szCs w:val="20"/>
        </w:rPr>
        <w:tab/>
        <w:t>Age at</w:t>
      </w:r>
      <w:r w:rsidRPr="00276028">
        <w:rPr>
          <w:rFonts w:ascii="Calibri" w:eastAsia="Calibri" w:hAnsi="Calibri"/>
          <w:b/>
          <w:sz w:val="20"/>
          <w:szCs w:val="20"/>
        </w:rPr>
        <w:tab/>
      </w:r>
      <w:r w:rsidRPr="00276028">
        <w:rPr>
          <w:rFonts w:ascii="Calibri" w:eastAsia="Calibri" w:hAnsi="Calibri"/>
          <w:b/>
          <w:sz w:val="20"/>
          <w:szCs w:val="20"/>
        </w:rPr>
        <w:tab/>
        <w:t>Sites of lymphedema</w:t>
      </w:r>
      <w:r w:rsidRPr="00276028">
        <w:rPr>
          <w:rFonts w:ascii="Calibri" w:eastAsia="Calibri" w:hAnsi="Calibri"/>
          <w:b/>
          <w:sz w:val="20"/>
          <w:szCs w:val="20"/>
        </w:rPr>
        <w:tab/>
      </w:r>
      <w:r w:rsidRPr="00276028">
        <w:rPr>
          <w:rFonts w:ascii="Calibri" w:eastAsia="Calibri" w:hAnsi="Calibri"/>
          <w:b/>
          <w:sz w:val="20"/>
          <w:szCs w:val="20"/>
        </w:rPr>
        <w:tab/>
      </w:r>
      <w:r w:rsidRPr="00276028">
        <w:rPr>
          <w:rFonts w:ascii="Calibri" w:eastAsia="Calibri" w:hAnsi="Calibri"/>
          <w:b/>
          <w:sz w:val="20"/>
          <w:szCs w:val="20"/>
        </w:rPr>
        <w:tab/>
      </w:r>
      <w:r w:rsidRPr="00276028">
        <w:rPr>
          <w:rFonts w:ascii="Calibri" w:eastAsia="Calibri" w:hAnsi="Calibri"/>
          <w:b/>
          <w:sz w:val="20"/>
          <w:szCs w:val="20"/>
        </w:rPr>
        <w:tab/>
        <w:t>Nail</w:t>
      </w:r>
      <w:r w:rsidRPr="00276028">
        <w:rPr>
          <w:rFonts w:ascii="Calibri" w:eastAsia="Calibri" w:hAnsi="Calibri"/>
          <w:b/>
          <w:sz w:val="20"/>
          <w:szCs w:val="20"/>
        </w:rPr>
        <w:tab/>
      </w:r>
      <w:r w:rsidRPr="00276028">
        <w:rPr>
          <w:rFonts w:ascii="Calibri" w:eastAsia="Calibri" w:hAnsi="Calibri"/>
          <w:b/>
          <w:sz w:val="20"/>
          <w:szCs w:val="20"/>
        </w:rPr>
        <w:tab/>
        <w:t>Bronchiectasis</w:t>
      </w:r>
      <w:r w:rsidRPr="00276028">
        <w:rPr>
          <w:rFonts w:ascii="Calibri" w:eastAsia="Calibri" w:hAnsi="Calibri"/>
          <w:b/>
          <w:sz w:val="20"/>
          <w:szCs w:val="20"/>
        </w:rPr>
        <w:tab/>
        <w:t>Other respiratory</w:t>
      </w:r>
    </w:p>
    <w:p w14:paraId="5C939D71" w14:textId="77777777" w:rsidR="0059145F" w:rsidRPr="00276028" w:rsidRDefault="0059145F" w:rsidP="0059145F">
      <w:pPr>
        <w:spacing w:after="200" w:line="480" w:lineRule="auto"/>
        <w:ind w:left="-284"/>
        <w:contextualSpacing/>
        <w:rPr>
          <w:rFonts w:ascii="Calibri" w:eastAsia="Calibri" w:hAnsi="Calibri"/>
          <w:sz w:val="20"/>
          <w:szCs w:val="20"/>
          <w:u w:val="single"/>
        </w:rPr>
      </w:pPr>
      <w:r w:rsidRPr="00276028">
        <w:rPr>
          <w:rFonts w:ascii="Calibri" w:eastAsia="Calibri" w:hAnsi="Calibri"/>
          <w:b/>
          <w:sz w:val="20"/>
          <w:szCs w:val="20"/>
          <w:u w:val="single"/>
        </w:rPr>
        <w:tab/>
      </w:r>
      <w:r w:rsidRPr="00276028">
        <w:rPr>
          <w:rFonts w:ascii="Calibri" w:eastAsia="Calibri" w:hAnsi="Calibri"/>
          <w:b/>
          <w:sz w:val="20"/>
          <w:szCs w:val="20"/>
          <w:u w:val="single"/>
        </w:rPr>
        <w:tab/>
      </w:r>
      <w:r w:rsidRPr="00276028">
        <w:rPr>
          <w:rFonts w:ascii="Calibri" w:eastAsia="Calibri" w:hAnsi="Calibri"/>
          <w:b/>
          <w:sz w:val="20"/>
          <w:szCs w:val="20"/>
          <w:u w:val="single"/>
        </w:rPr>
        <w:tab/>
        <w:t>(years)</w:t>
      </w:r>
      <w:r w:rsidRPr="00276028">
        <w:rPr>
          <w:rFonts w:ascii="Calibri" w:eastAsia="Calibri" w:hAnsi="Calibri"/>
          <w:b/>
          <w:sz w:val="20"/>
          <w:szCs w:val="20"/>
          <w:u w:val="single"/>
        </w:rPr>
        <w:tab/>
        <w:t>onset (years)</w:t>
      </w:r>
      <w:r w:rsidRPr="00276028">
        <w:rPr>
          <w:rFonts w:ascii="Calibri" w:eastAsia="Calibri" w:hAnsi="Calibri"/>
          <w:b/>
          <w:sz w:val="20"/>
          <w:szCs w:val="20"/>
          <w:u w:val="single"/>
        </w:rPr>
        <w:tab/>
      </w:r>
      <w:r w:rsidRPr="00276028">
        <w:rPr>
          <w:rFonts w:ascii="Calibri" w:eastAsia="Calibri" w:hAnsi="Calibri"/>
          <w:b/>
          <w:sz w:val="20"/>
          <w:szCs w:val="20"/>
          <w:u w:val="single"/>
        </w:rPr>
        <w:tab/>
      </w:r>
      <w:r w:rsidRPr="00276028">
        <w:rPr>
          <w:rFonts w:ascii="Calibri" w:eastAsia="Calibri" w:hAnsi="Calibri"/>
          <w:b/>
          <w:sz w:val="20"/>
          <w:szCs w:val="20"/>
          <w:u w:val="single"/>
        </w:rPr>
        <w:tab/>
      </w:r>
      <w:r w:rsidRPr="00276028">
        <w:rPr>
          <w:rFonts w:ascii="Calibri" w:eastAsia="Calibri" w:hAnsi="Calibri"/>
          <w:b/>
          <w:sz w:val="20"/>
          <w:szCs w:val="20"/>
          <w:u w:val="single"/>
        </w:rPr>
        <w:tab/>
      </w:r>
      <w:r w:rsidRPr="00276028">
        <w:rPr>
          <w:rFonts w:ascii="Calibri" w:eastAsia="Calibri" w:hAnsi="Calibri"/>
          <w:b/>
          <w:sz w:val="20"/>
          <w:szCs w:val="20"/>
          <w:u w:val="single"/>
        </w:rPr>
        <w:tab/>
      </w:r>
      <w:r w:rsidRPr="00276028">
        <w:rPr>
          <w:rFonts w:ascii="Calibri" w:eastAsia="Calibri" w:hAnsi="Calibri"/>
          <w:b/>
          <w:sz w:val="20"/>
          <w:szCs w:val="20"/>
          <w:u w:val="single"/>
        </w:rPr>
        <w:tab/>
      </w:r>
      <w:r w:rsidRPr="00276028">
        <w:rPr>
          <w:rFonts w:ascii="Calibri" w:eastAsia="Calibri" w:hAnsi="Calibri"/>
          <w:b/>
          <w:sz w:val="20"/>
          <w:szCs w:val="20"/>
          <w:u w:val="single"/>
        </w:rPr>
        <w:tab/>
        <w:t>abnormalities</w:t>
      </w:r>
      <w:r w:rsidRPr="00276028">
        <w:rPr>
          <w:rFonts w:ascii="Calibri" w:eastAsia="Calibri" w:hAnsi="Calibri"/>
          <w:b/>
          <w:sz w:val="20"/>
          <w:szCs w:val="20"/>
          <w:u w:val="single"/>
        </w:rPr>
        <w:tab/>
      </w:r>
      <w:r w:rsidRPr="00276028">
        <w:rPr>
          <w:rFonts w:ascii="Calibri" w:eastAsia="Calibri" w:hAnsi="Calibri"/>
          <w:b/>
          <w:sz w:val="20"/>
          <w:szCs w:val="20"/>
          <w:u w:val="single"/>
        </w:rPr>
        <w:tab/>
      </w:r>
      <w:r w:rsidRPr="00276028">
        <w:rPr>
          <w:rFonts w:ascii="Calibri" w:eastAsia="Calibri" w:hAnsi="Calibri"/>
          <w:b/>
          <w:sz w:val="20"/>
          <w:szCs w:val="20"/>
          <w:u w:val="single"/>
        </w:rPr>
        <w:tab/>
        <w:t>disease</w:t>
      </w:r>
      <w:r w:rsidRPr="00276028">
        <w:rPr>
          <w:rFonts w:ascii="Calibri" w:eastAsia="Calibri" w:hAnsi="Calibri"/>
          <w:b/>
          <w:sz w:val="20"/>
          <w:szCs w:val="20"/>
          <w:u w:val="single"/>
        </w:rPr>
        <w:tab/>
      </w:r>
      <w:r w:rsidRPr="00276028">
        <w:rPr>
          <w:rFonts w:ascii="Calibri" w:eastAsia="Calibri" w:hAnsi="Calibri"/>
          <w:b/>
          <w:sz w:val="20"/>
          <w:szCs w:val="20"/>
          <w:u w:val="single"/>
        </w:rPr>
        <w:tab/>
      </w:r>
      <w:r w:rsidRPr="00276028">
        <w:rPr>
          <w:rFonts w:ascii="Calibri" w:eastAsia="Calibri" w:hAnsi="Calibri"/>
          <w:b/>
          <w:sz w:val="20"/>
          <w:szCs w:val="20"/>
          <w:u w:val="single"/>
        </w:rPr>
        <w:tab/>
      </w:r>
    </w:p>
    <w:p w14:paraId="260BEDFD" w14:textId="77777777" w:rsidR="0059145F" w:rsidRPr="00276028" w:rsidRDefault="0059145F" w:rsidP="0059145F">
      <w:pPr>
        <w:spacing w:after="200" w:line="480" w:lineRule="auto"/>
        <w:ind w:left="-284"/>
        <w:contextualSpacing/>
        <w:rPr>
          <w:rFonts w:ascii="Calibri" w:eastAsia="Calibri" w:hAnsi="Calibri"/>
          <w:sz w:val="20"/>
          <w:szCs w:val="20"/>
        </w:rPr>
      </w:pPr>
      <w:r w:rsidRPr="00276028">
        <w:rPr>
          <w:rFonts w:ascii="Calibri" w:eastAsia="Calibri" w:hAnsi="Calibri"/>
          <w:sz w:val="20"/>
          <w:szCs w:val="20"/>
        </w:rPr>
        <w:t>YNS-001</w:t>
      </w:r>
      <w:r w:rsidRPr="00276028">
        <w:rPr>
          <w:rFonts w:ascii="Calibri" w:eastAsia="Calibri" w:hAnsi="Calibri"/>
          <w:sz w:val="20"/>
          <w:szCs w:val="20"/>
        </w:rPr>
        <w:tab/>
        <w:t>F</w:t>
      </w:r>
      <w:r w:rsidRPr="00276028">
        <w:rPr>
          <w:rFonts w:ascii="Calibri" w:eastAsia="Calibri" w:hAnsi="Calibri"/>
          <w:sz w:val="20"/>
          <w:szCs w:val="20"/>
        </w:rPr>
        <w:tab/>
        <w:t>65</w:t>
      </w:r>
      <w:r w:rsidRPr="00276028">
        <w:rPr>
          <w:rFonts w:ascii="Calibri" w:eastAsia="Calibri" w:hAnsi="Calibri"/>
          <w:sz w:val="20"/>
          <w:szCs w:val="20"/>
        </w:rPr>
        <w:tab/>
        <w:t>50</w:t>
      </w:r>
      <w:r w:rsidRPr="00276028">
        <w:rPr>
          <w:rFonts w:ascii="Calibri" w:eastAsia="Calibri" w:hAnsi="Calibri"/>
          <w:sz w:val="20"/>
          <w:szCs w:val="20"/>
        </w:rPr>
        <w:tab/>
      </w:r>
      <w:r w:rsidRPr="00276028">
        <w:rPr>
          <w:rFonts w:ascii="Calibri" w:eastAsia="Calibri" w:hAnsi="Calibri"/>
          <w:sz w:val="20"/>
          <w:szCs w:val="20"/>
        </w:rPr>
        <w:tab/>
        <w:t>R upper limb, R &amp; L lower limb, trunk</w:t>
      </w:r>
      <w:r w:rsidRPr="00276028">
        <w:rPr>
          <w:rFonts w:ascii="Calibri" w:eastAsia="Calibri" w:hAnsi="Calibri"/>
          <w:sz w:val="20"/>
          <w:szCs w:val="20"/>
        </w:rPr>
        <w:tab/>
      </w:r>
      <w:r w:rsidRPr="00276028">
        <w:rPr>
          <w:rFonts w:ascii="Calibri" w:eastAsia="Calibri" w:hAnsi="Calibri"/>
          <w:sz w:val="20"/>
          <w:szCs w:val="20"/>
        </w:rPr>
        <w:tab/>
        <w:t>Hands &amp; feet</w:t>
      </w:r>
      <w:r w:rsidRPr="00276028">
        <w:rPr>
          <w:rFonts w:ascii="Calibri" w:eastAsia="Calibri" w:hAnsi="Calibri"/>
          <w:sz w:val="20"/>
          <w:szCs w:val="20"/>
        </w:rPr>
        <w:tab/>
        <w:t>Y</w:t>
      </w:r>
      <w:r w:rsidRPr="00276028">
        <w:rPr>
          <w:rFonts w:ascii="Calibri" w:eastAsia="Calibri" w:hAnsi="Calibri"/>
          <w:sz w:val="20"/>
          <w:szCs w:val="20"/>
        </w:rPr>
        <w:tab/>
      </w:r>
      <w:r w:rsidRPr="00276028">
        <w:rPr>
          <w:rFonts w:ascii="Calibri" w:eastAsia="Calibri" w:hAnsi="Calibri"/>
          <w:sz w:val="20"/>
          <w:szCs w:val="20"/>
        </w:rPr>
        <w:tab/>
        <w:t>Sinusitis</w:t>
      </w:r>
    </w:p>
    <w:p w14:paraId="32B5D901" w14:textId="77777777" w:rsidR="0059145F" w:rsidRPr="00276028" w:rsidRDefault="0059145F" w:rsidP="0059145F">
      <w:pPr>
        <w:spacing w:line="480" w:lineRule="auto"/>
        <w:ind w:left="-284"/>
        <w:rPr>
          <w:rFonts w:ascii="Calibri" w:eastAsia="Calibri" w:hAnsi="Calibri"/>
          <w:sz w:val="20"/>
          <w:szCs w:val="20"/>
        </w:rPr>
      </w:pPr>
      <w:r w:rsidRPr="00276028">
        <w:rPr>
          <w:rFonts w:ascii="Calibri" w:eastAsia="Calibri" w:hAnsi="Calibri"/>
          <w:sz w:val="20"/>
          <w:szCs w:val="20"/>
        </w:rPr>
        <w:t>YNS-002</w:t>
      </w:r>
      <w:r w:rsidRPr="00276028">
        <w:rPr>
          <w:rFonts w:ascii="Calibri" w:eastAsia="Calibri" w:hAnsi="Calibri"/>
          <w:sz w:val="20"/>
          <w:szCs w:val="20"/>
        </w:rPr>
        <w:tab/>
        <w:t>F</w:t>
      </w:r>
      <w:r w:rsidRPr="00276028">
        <w:rPr>
          <w:rFonts w:ascii="Calibri" w:eastAsia="Calibri" w:hAnsi="Calibri"/>
          <w:sz w:val="20"/>
          <w:szCs w:val="20"/>
        </w:rPr>
        <w:tab/>
        <w:t>64</w:t>
      </w:r>
      <w:r w:rsidRPr="00276028">
        <w:rPr>
          <w:rFonts w:ascii="Calibri" w:eastAsia="Calibri" w:hAnsi="Calibri"/>
          <w:sz w:val="20"/>
          <w:szCs w:val="20"/>
        </w:rPr>
        <w:tab/>
        <w:t>55</w:t>
      </w:r>
      <w:r w:rsidRPr="00276028">
        <w:rPr>
          <w:rFonts w:ascii="Calibri" w:eastAsia="Calibri" w:hAnsi="Calibri"/>
          <w:sz w:val="20"/>
          <w:szCs w:val="20"/>
        </w:rPr>
        <w:tab/>
      </w:r>
      <w:r w:rsidRPr="00276028">
        <w:rPr>
          <w:rFonts w:ascii="Calibri" w:eastAsia="Calibri" w:hAnsi="Calibri"/>
          <w:sz w:val="20"/>
          <w:szCs w:val="20"/>
        </w:rPr>
        <w:tab/>
        <w:t>L upper limb, R &amp; L lower limb, feet</w:t>
      </w:r>
      <w:r w:rsidRPr="00276028">
        <w:rPr>
          <w:rFonts w:ascii="Calibri" w:eastAsia="Calibri" w:hAnsi="Calibri"/>
          <w:sz w:val="20"/>
          <w:szCs w:val="20"/>
        </w:rPr>
        <w:tab/>
      </w:r>
      <w:r w:rsidRPr="00276028">
        <w:rPr>
          <w:rFonts w:ascii="Calibri" w:eastAsia="Calibri" w:hAnsi="Calibri"/>
          <w:sz w:val="20"/>
          <w:szCs w:val="20"/>
        </w:rPr>
        <w:tab/>
      </w:r>
      <w:r>
        <w:rPr>
          <w:rFonts w:ascii="Calibri" w:eastAsia="Calibri" w:hAnsi="Calibri"/>
          <w:sz w:val="20"/>
          <w:szCs w:val="20"/>
        </w:rPr>
        <w:tab/>
      </w:r>
      <w:r w:rsidRPr="00276028">
        <w:rPr>
          <w:rFonts w:ascii="Calibri" w:eastAsia="Calibri" w:hAnsi="Calibri"/>
          <w:sz w:val="20"/>
          <w:szCs w:val="20"/>
        </w:rPr>
        <w:t>Hands &amp; feet*</w:t>
      </w:r>
      <w:r w:rsidRPr="00276028">
        <w:rPr>
          <w:rFonts w:ascii="Calibri" w:eastAsia="Calibri" w:hAnsi="Calibri"/>
          <w:sz w:val="20"/>
          <w:szCs w:val="20"/>
        </w:rPr>
        <w:tab/>
        <w:t>Y</w:t>
      </w:r>
      <w:r w:rsidRPr="00276028">
        <w:rPr>
          <w:rFonts w:ascii="Calibri" w:eastAsia="Calibri" w:hAnsi="Calibri"/>
          <w:sz w:val="20"/>
          <w:szCs w:val="20"/>
        </w:rPr>
        <w:tab/>
      </w:r>
      <w:r w:rsidRPr="00276028">
        <w:rPr>
          <w:rFonts w:ascii="Calibri" w:eastAsia="Calibri" w:hAnsi="Calibri"/>
          <w:sz w:val="20"/>
          <w:szCs w:val="20"/>
        </w:rPr>
        <w:tab/>
        <w:t>Asthma, sinusitis</w:t>
      </w:r>
    </w:p>
    <w:p w14:paraId="0552C9E4" w14:textId="77777777" w:rsidR="0059145F" w:rsidRPr="00276028" w:rsidRDefault="0059145F" w:rsidP="0059145F">
      <w:pPr>
        <w:spacing w:after="200" w:line="480" w:lineRule="auto"/>
        <w:ind w:left="-284"/>
        <w:contextualSpacing/>
        <w:rPr>
          <w:rFonts w:ascii="Calibri" w:eastAsia="Calibri" w:hAnsi="Calibri"/>
          <w:sz w:val="20"/>
          <w:szCs w:val="20"/>
        </w:rPr>
      </w:pPr>
      <w:r w:rsidRPr="00276028">
        <w:rPr>
          <w:rFonts w:ascii="Calibri" w:eastAsia="Calibri" w:hAnsi="Calibri"/>
          <w:sz w:val="20"/>
          <w:szCs w:val="20"/>
        </w:rPr>
        <w:t>YNS-003</w:t>
      </w:r>
      <w:r w:rsidRPr="00276028">
        <w:rPr>
          <w:rFonts w:ascii="Calibri" w:eastAsia="Calibri" w:hAnsi="Calibri"/>
          <w:sz w:val="20"/>
          <w:szCs w:val="20"/>
        </w:rPr>
        <w:tab/>
        <w:t>F</w:t>
      </w:r>
      <w:r w:rsidRPr="00276028">
        <w:rPr>
          <w:rFonts w:ascii="Calibri" w:eastAsia="Calibri" w:hAnsi="Calibri"/>
          <w:sz w:val="20"/>
          <w:szCs w:val="20"/>
        </w:rPr>
        <w:tab/>
        <w:t>60</w:t>
      </w:r>
      <w:r w:rsidRPr="00276028">
        <w:rPr>
          <w:rFonts w:ascii="Calibri" w:eastAsia="Calibri" w:hAnsi="Calibri"/>
          <w:sz w:val="20"/>
          <w:szCs w:val="20"/>
        </w:rPr>
        <w:tab/>
        <w:t>54</w:t>
      </w:r>
      <w:r w:rsidRPr="00276028">
        <w:rPr>
          <w:rFonts w:ascii="Calibri" w:eastAsia="Calibri" w:hAnsi="Calibri"/>
          <w:sz w:val="20"/>
          <w:szCs w:val="20"/>
        </w:rPr>
        <w:tab/>
      </w:r>
      <w:r w:rsidRPr="00276028">
        <w:rPr>
          <w:rFonts w:ascii="Calibri" w:eastAsia="Calibri" w:hAnsi="Calibri"/>
          <w:sz w:val="20"/>
          <w:szCs w:val="20"/>
        </w:rPr>
        <w:tab/>
        <w:t>L upper limb, R &amp; L lower limb, feet</w:t>
      </w:r>
      <w:r w:rsidRPr="00276028">
        <w:rPr>
          <w:rFonts w:ascii="Calibri" w:eastAsia="Calibri" w:hAnsi="Calibri"/>
          <w:sz w:val="20"/>
          <w:szCs w:val="20"/>
        </w:rPr>
        <w:tab/>
      </w:r>
      <w:r w:rsidRPr="00276028">
        <w:rPr>
          <w:rFonts w:ascii="Calibri" w:eastAsia="Calibri" w:hAnsi="Calibri"/>
          <w:sz w:val="20"/>
          <w:szCs w:val="20"/>
        </w:rPr>
        <w:tab/>
      </w:r>
      <w:r>
        <w:rPr>
          <w:rFonts w:ascii="Calibri" w:eastAsia="Calibri" w:hAnsi="Calibri"/>
          <w:sz w:val="20"/>
          <w:szCs w:val="20"/>
        </w:rPr>
        <w:tab/>
      </w:r>
      <w:r w:rsidRPr="00276028">
        <w:rPr>
          <w:rFonts w:ascii="Calibri" w:eastAsia="Calibri" w:hAnsi="Calibri"/>
          <w:sz w:val="20"/>
          <w:szCs w:val="20"/>
        </w:rPr>
        <w:t>Feet*</w:t>
      </w:r>
      <w:r w:rsidRPr="00276028">
        <w:rPr>
          <w:rFonts w:ascii="Calibri" w:eastAsia="Calibri" w:hAnsi="Calibri"/>
          <w:sz w:val="20"/>
          <w:szCs w:val="20"/>
        </w:rPr>
        <w:tab/>
      </w:r>
      <w:r w:rsidRPr="00276028">
        <w:rPr>
          <w:rFonts w:ascii="Calibri" w:eastAsia="Calibri" w:hAnsi="Calibri"/>
          <w:sz w:val="20"/>
          <w:szCs w:val="20"/>
        </w:rPr>
        <w:tab/>
        <w:t>Y</w:t>
      </w:r>
      <w:r w:rsidRPr="00276028">
        <w:rPr>
          <w:rFonts w:ascii="Calibri" w:eastAsia="Calibri" w:hAnsi="Calibri"/>
          <w:sz w:val="20"/>
          <w:szCs w:val="20"/>
        </w:rPr>
        <w:tab/>
      </w:r>
      <w:r w:rsidRPr="00276028">
        <w:rPr>
          <w:rFonts w:ascii="Calibri" w:eastAsia="Calibri" w:hAnsi="Calibri"/>
          <w:sz w:val="20"/>
          <w:szCs w:val="20"/>
        </w:rPr>
        <w:tab/>
        <w:t>None</w:t>
      </w:r>
    </w:p>
    <w:p w14:paraId="5417F117" w14:textId="77777777" w:rsidR="0059145F" w:rsidRPr="00276028" w:rsidRDefault="0059145F" w:rsidP="0059145F">
      <w:pPr>
        <w:spacing w:after="200" w:line="480" w:lineRule="auto"/>
        <w:ind w:left="-284"/>
        <w:contextualSpacing/>
        <w:rPr>
          <w:rFonts w:ascii="Calibri" w:eastAsia="Calibri" w:hAnsi="Calibri"/>
          <w:sz w:val="20"/>
          <w:szCs w:val="20"/>
        </w:rPr>
      </w:pPr>
      <w:r w:rsidRPr="00276028">
        <w:rPr>
          <w:rFonts w:ascii="Calibri" w:eastAsia="Calibri" w:hAnsi="Calibri"/>
          <w:sz w:val="20"/>
          <w:szCs w:val="20"/>
        </w:rPr>
        <w:t>YNS-005</w:t>
      </w:r>
      <w:r w:rsidRPr="00276028">
        <w:rPr>
          <w:rFonts w:ascii="Calibri" w:eastAsia="Calibri" w:hAnsi="Calibri"/>
          <w:sz w:val="20"/>
          <w:szCs w:val="20"/>
        </w:rPr>
        <w:tab/>
        <w:t>F</w:t>
      </w:r>
      <w:r w:rsidRPr="00276028">
        <w:rPr>
          <w:rFonts w:ascii="Calibri" w:eastAsia="Calibri" w:hAnsi="Calibri"/>
          <w:sz w:val="20"/>
          <w:szCs w:val="20"/>
        </w:rPr>
        <w:tab/>
        <w:t>67</w:t>
      </w:r>
      <w:r w:rsidRPr="00276028">
        <w:rPr>
          <w:rFonts w:ascii="Calibri" w:eastAsia="Calibri" w:hAnsi="Calibri"/>
          <w:sz w:val="20"/>
          <w:szCs w:val="20"/>
        </w:rPr>
        <w:tab/>
        <w:t>48</w:t>
      </w:r>
      <w:r w:rsidRPr="00276028">
        <w:rPr>
          <w:rFonts w:ascii="Calibri" w:eastAsia="Calibri" w:hAnsi="Calibri"/>
          <w:sz w:val="20"/>
          <w:szCs w:val="20"/>
        </w:rPr>
        <w:tab/>
      </w:r>
      <w:r w:rsidRPr="00276028">
        <w:rPr>
          <w:rFonts w:ascii="Calibri" w:eastAsia="Calibri" w:hAnsi="Calibri"/>
          <w:sz w:val="20"/>
          <w:szCs w:val="20"/>
        </w:rPr>
        <w:tab/>
        <w:t>R &amp; L lower limb, wrists, feet</w:t>
      </w:r>
      <w:r w:rsidRPr="00276028">
        <w:rPr>
          <w:rFonts w:ascii="Calibri" w:eastAsia="Calibri" w:hAnsi="Calibri"/>
          <w:sz w:val="20"/>
          <w:szCs w:val="20"/>
        </w:rPr>
        <w:tab/>
      </w:r>
      <w:r w:rsidRPr="00276028">
        <w:rPr>
          <w:rFonts w:ascii="Calibri" w:eastAsia="Calibri" w:hAnsi="Calibri"/>
          <w:sz w:val="20"/>
          <w:szCs w:val="20"/>
        </w:rPr>
        <w:tab/>
      </w:r>
      <w:r w:rsidRPr="00276028">
        <w:rPr>
          <w:rFonts w:ascii="Calibri" w:eastAsia="Calibri" w:hAnsi="Calibri"/>
          <w:sz w:val="20"/>
          <w:szCs w:val="20"/>
        </w:rPr>
        <w:tab/>
        <w:t>Feet*</w:t>
      </w:r>
      <w:r w:rsidRPr="00276028">
        <w:rPr>
          <w:rFonts w:ascii="Calibri" w:eastAsia="Calibri" w:hAnsi="Calibri"/>
          <w:sz w:val="20"/>
          <w:szCs w:val="20"/>
        </w:rPr>
        <w:tab/>
        <w:t xml:space="preserve"> </w:t>
      </w:r>
      <w:r w:rsidRPr="00276028">
        <w:rPr>
          <w:rFonts w:ascii="Calibri" w:eastAsia="Calibri" w:hAnsi="Calibri"/>
          <w:sz w:val="20"/>
          <w:szCs w:val="20"/>
        </w:rPr>
        <w:tab/>
        <w:t>Y</w:t>
      </w:r>
      <w:r w:rsidRPr="00276028">
        <w:rPr>
          <w:rFonts w:ascii="Calibri" w:eastAsia="Calibri" w:hAnsi="Calibri"/>
          <w:sz w:val="20"/>
          <w:szCs w:val="20"/>
        </w:rPr>
        <w:tab/>
      </w:r>
      <w:r w:rsidRPr="00276028">
        <w:rPr>
          <w:rFonts w:ascii="Calibri" w:eastAsia="Calibri" w:hAnsi="Calibri"/>
          <w:sz w:val="20"/>
          <w:szCs w:val="20"/>
        </w:rPr>
        <w:tab/>
        <w:t>Sinusitis</w:t>
      </w:r>
    </w:p>
    <w:p w14:paraId="3588E136" w14:textId="77777777" w:rsidR="0059145F" w:rsidRPr="00276028" w:rsidRDefault="0059145F" w:rsidP="0059145F">
      <w:pPr>
        <w:spacing w:after="200" w:line="480" w:lineRule="auto"/>
        <w:ind w:left="-284"/>
        <w:contextualSpacing/>
        <w:rPr>
          <w:rFonts w:ascii="Calibri" w:eastAsia="Calibri" w:hAnsi="Calibri"/>
          <w:sz w:val="20"/>
          <w:szCs w:val="20"/>
        </w:rPr>
      </w:pPr>
      <w:r w:rsidRPr="00276028">
        <w:rPr>
          <w:rFonts w:ascii="Calibri" w:eastAsia="Calibri" w:hAnsi="Calibri"/>
          <w:sz w:val="20"/>
          <w:szCs w:val="20"/>
        </w:rPr>
        <w:t>YNS-007</w:t>
      </w:r>
      <w:r w:rsidRPr="00276028">
        <w:rPr>
          <w:rFonts w:ascii="Calibri" w:eastAsia="Calibri" w:hAnsi="Calibri"/>
          <w:sz w:val="20"/>
          <w:szCs w:val="20"/>
        </w:rPr>
        <w:tab/>
        <w:t>M</w:t>
      </w:r>
      <w:r w:rsidRPr="00276028">
        <w:rPr>
          <w:rFonts w:ascii="Calibri" w:eastAsia="Calibri" w:hAnsi="Calibri"/>
          <w:sz w:val="20"/>
          <w:szCs w:val="20"/>
        </w:rPr>
        <w:tab/>
        <w:t>49</w:t>
      </w:r>
      <w:r w:rsidRPr="00276028">
        <w:rPr>
          <w:rFonts w:ascii="Calibri" w:eastAsia="Calibri" w:hAnsi="Calibri"/>
          <w:sz w:val="20"/>
          <w:szCs w:val="20"/>
        </w:rPr>
        <w:tab/>
        <w:t>45</w:t>
      </w:r>
      <w:r w:rsidRPr="00276028">
        <w:rPr>
          <w:rFonts w:ascii="Calibri" w:eastAsia="Calibri" w:hAnsi="Calibri"/>
          <w:sz w:val="20"/>
          <w:szCs w:val="20"/>
        </w:rPr>
        <w:tab/>
      </w:r>
      <w:r w:rsidRPr="00276028">
        <w:rPr>
          <w:rFonts w:ascii="Calibri" w:eastAsia="Calibri" w:hAnsi="Calibri"/>
          <w:sz w:val="20"/>
          <w:szCs w:val="20"/>
        </w:rPr>
        <w:tab/>
        <w:t>R &amp; L lower limb</w:t>
      </w:r>
      <w:r w:rsidRPr="00276028">
        <w:rPr>
          <w:rFonts w:ascii="Calibri" w:eastAsia="Calibri" w:hAnsi="Calibri"/>
          <w:sz w:val="20"/>
          <w:szCs w:val="20"/>
        </w:rPr>
        <w:tab/>
      </w:r>
      <w:r w:rsidRPr="00276028">
        <w:rPr>
          <w:rFonts w:ascii="Calibri" w:eastAsia="Calibri" w:hAnsi="Calibri"/>
          <w:sz w:val="20"/>
          <w:szCs w:val="20"/>
        </w:rPr>
        <w:tab/>
      </w:r>
      <w:r w:rsidRPr="00276028">
        <w:rPr>
          <w:rFonts w:ascii="Calibri" w:eastAsia="Calibri" w:hAnsi="Calibri"/>
          <w:sz w:val="20"/>
          <w:szCs w:val="20"/>
        </w:rPr>
        <w:tab/>
      </w:r>
      <w:r w:rsidRPr="00276028">
        <w:rPr>
          <w:rFonts w:ascii="Calibri" w:eastAsia="Calibri" w:hAnsi="Calibri"/>
          <w:sz w:val="20"/>
          <w:szCs w:val="20"/>
        </w:rPr>
        <w:tab/>
      </w:r>
      <w:r>
        <w:rPr>
          <w:rFonts w:ascii="Calibri" w:eastAsia="Calibri" w:hAnsi="Calibri"/>
          <w:sz w:val="20"/>
          <w:szCs w:val="20"/>
        </w:rPr>
        <w:tab/>
      </w:r>
      <w:r w:rsidRPr="00276028">
        <w:rPr>
          <w:rFonts w:ascii="Calibri" w:eastAsia="Calibri" w:hAnsi="Calibri"/>
          <w:sz w:val="20"/>
          <w:szCs w:val="20"/>
        </w:rPr>
        <w:t>Feet*</w:t>
      </w:r>
      <w:r w:rsidRPr="00276028">
        <w:rPr>
          <w:rFonts w:ascii="Calibri" w:eastAsia="Calibri" w:hAnsi="Calibri"/>
          <w:sz w:val="20"/>
          <w:szCs w:val="20"/>
        </w:rPr>
        <w:tab/>
      </w:r>
      <w:r w:rsidRPr="00276028">
        <w:rPr>
          <w:rFonts w:ascii="Calibri" w:eastAsia="Calibri" w:hAnsi="Calibri"/>
          <w:sz w:val="20"/>
          <w:szCs w:val="20"/>
        </w:rPr>
        <w:tab/>
        <w:t>N</w:t>
      </w:r>
      <w:r w:rsidRPr="00276028">
        <w:rPr>
          <w:rFonts w:ascii="Calibri" w:eastAsia="Calibri" w:hAnsi="Calibri"/>
          <w:sz w:val="20"/>
          <w:szCs w:val="20"/>
        </w:rPr>
        <w:tab/>
      </w:r>
      <w:r w:rsidRPr="00276028">
        <w:rPr>
          <w:rFonts w:ascii="Calibri" w:eastAsia="Calibri" w:hAnsi="Calibri"/>
          <w:sz w:val="20"/>
          <w:szCs w:val="20"/>
        </w:rPr>
        <w:tab/>
        <w:t>COPD, lung collapse</w:t>
      </w:r>
    </w:p>
    <w:p w14:paraId="5F34B6FF" w14:textId="77777777" w:rsidR="0059145F" w:rsidRPr="00276028" w:rsidRDefault="0059145F" w:rsidP="0059145F">
      <w:pPr>
        <w:spacing w:after="200" w:line="480" w:lineRule="auto"/>
        <w:ind w:left="-284"/>
        <w:contextualSpacing/>
        <w:rPr>
          <w:rFonts w:ascii="Calibri" w:eastAsia="Calibri" w:hAnsi="Calibri"/>
          <w:sz w:val="20"/>
          <w:szCs w:val="20"/>
        </w:rPr>
      </w:pPr>
      <w:r w:rsidRPr="00276028">
        <w:rPr>
          <w:rFonts w:ascii="Calibri" w:eastAsia="Calibri" w:hAnsi="Calibri"/>
          <w:sz w:val="20"/>
          <w:szCs w:val="20"/>
        </w:rPr>
        <w:t>YNS-008</w:t>
      </w:r>
      <w:r w:rsidRPr="00276028">
        <w:rPr>
          <w:rFonts w:ascii="Calibri" w:eastAsia="Calibri" w:hAnsi="Calibri"/>
          <w:sz w:val="20"/>
          <w:szCs w:val="20"/>
        </w:rPr>
        <w:tab/>
        <w:t>M</w:t>
      </w:r>
      <w:r w:rsidRPr="00276028">
        <w:rPr>
          <w:rFonts w:ascii="Calibri" w:eastAsia="Calibri" w:hAnsi="Calibri"/>
          <w:sz w:val="20"/>
          <w:szCs w:val="20"/>
        </w:rPr>
        <w:tab/>
        <w:t>75</w:t>
      </w:r>
      <w:r w:rsidRPr="00276028">
        <w:rPr>
          <w:rFonts w:ascii="Calibri" w:eastAsia="Calibri" w:hAnsi="Calibri"/>
          <w:sz w:val="20"/>
          <w:szCs w:val="20"/>
        </w:rPr>
        <w:tab/>
        <w:t>67</w:t>
      </w:r>
      <w:r w:rsidRPr="00276028">
        <w:rPr>
          <w:rFonts w:ascii="Calibri" w:eastAsia="Calibri" w:hAnsi="Calibri"/>
          <w:sz w:val="20"/>
          <w:szCs w:val="20"/>
        </w:rPr>
        <w:tab/>
      </w:r>
      <w:r w:rsidRPr="00276028">
        <w:rPr>
          <w:rFonts w:ascii="Calibri" w:eastAsia="Calibri" w:hAnsi="Calibri"/>
          <w:sz w:val="20"/>
          <w:szCs w:val="20"/>
        </w:rPr>
        <w:tab/>
        <w:t>R upper limb, feet</w:t>
      </w:r>
      <w:r w:rsidRPr="00276028">
        <w:rPr>
          <w:rFonts w:ascii="Calibri" w:eastAsia="Calibri" w:hAnsi="Calibri"/>
          <w:sz w:val="20"/>
          <w:szCs w:val="20"/>
        </w:rPr>
        <w:tab/>
      </w:r>
      <w:r w:rsidRPr="00276028">
        <w:rPr>
          <w:rFonts w:ascii="Calibri" w:eastAsia="Calibri" w:hAnsi="Calibri"/>
          <w:sz w:val="20"/>
          <w:szCs w:val="20"/>
        </w:rPr>
        <w:tab/>
      </w:r>
      <w:r w:rsidRPr="00276028">
        <w:rPr>
          <w:rFonts w:ascii="Calibri" w:eastAsia="Calibri" w:hAnsi="Calibri"/>
          <w:sz w:val="20"/>
          <w:szCs w:val="20"/>
        </w:rPr>
        <w:tab/>
      </w:r>
      <w:r w:rsidRPr="00276028">
        <w:rPr>
          <w:rFonts w:ascii="Calibri" w:eastAsia="Calibri" w:hAnsi="Calibri"/>
          <w:sz w:val="20"/>
          <w:szCs w:val="20"/>
        </w:rPr>
        <w:tab/>
        <w:t>R hand &amp; feet*</w:t>
      </w:r>
      <w:r w:rsidRPr="00276028">
        <w:rPr>
          <w:rFonts w:ascii="Calibri" w:eastAsia="Calibri" w:hAnsi="Calibri"/>
          <w:sz w:val="20"/>
          <w:szCs w:val="20"/>
        </w:rPr>
        <w:tab/>
        <w:t>Y</w:t>
      </w:r>
      <w:r w:rsidRPr="00276028">
        <w:rPr>
          <w:rFonts w:ascii="Calibri" w:eastAsia="Calibri" w:hAnsi="Calibri"/>
          <w:sz w:val="20"/>
          <w:szCs w:val="20"/>
        </w:rPr>
        <w:tab/>
      </w:r>
      <w:r w:rsidRPr="00276028">
        <w:rPr>
          <w:rFonts w:ascii="Calibri" w:eastAsia="Calibri" w:hAnsi="Calibri"/>
          <w:sz w:val="20"/>
          <w:szCs w:val="20"/>
        </w:rPr>
        <w:tab/>
        <w:t>None</w:t>
      </w:r>
    </w:p>
    <w:p w14:paraId="045D4170" w14:textId="77777777" w:rsidR="0059145F" w:rsidRPr="00276028" w:rsidRDefault="0059145F" w:rsidP="0059145F">
      <w:pPr>
        <w:spacing w:after="200" w:line="480" w:lineRule="auto"/>
        <w:ind w:left="-284"/>
        <w:contextualSpacing/>
        <w:rPr>
          <w:rFonts w:ascii="Calibri" w:eastAsia="Calibri" w:hAnsi="Calibri"/>
          <w:sz w:val="20"/>
          <w:szCs w:val="20"/>
        </w:rPr>
      </w:pPr>
      <w:r w:rsidRPr="00276028">
        <w:rPr>
          <w:rFonts w:ascii="Calibri" w:eastAsia="Calibri" w:hAnsi="Calibri"/>
          <w:sz w:val="20"/>
          <w:szCs w:val="20"/>
        </w:rPr>
        <w:t>YNS-010</w:t>
      </w:r>
      <w:r w:rsidRPr="00276028">
        <w:rPr>
          <w:rFonts w:ascii="Calibri" w:eastAsia="Calibri" w:hAnsi="Calibri"/>
          <w:sz w:val="20"/>
          <w:szCs w:val="20"/>
        </w:rPr>
        <w:tab/>
        <w:t>M</w:t>
      </w:r>
      <w:r w:rsidRPr="00276028">
        <w:rPr>
          <w:rFonts w:ascii="Calibri" w:eastAsia="Calibri" w:hAnsi="Calibri"/>
          <w:sz w:val="20"/>
          <w:szCs w:val="20"/>
        </w:rPr>
        <w:tab/>
        <w:t>57</w:t>
      </w:r>
      <w:r w:rsidRPr="00276028">
        <w:rPr>
          <w:rFonts w:ascii="Calibri" w:eastAsia="Calibri" w:hAnsi="Calibri"/>
          <w:sz w:val="20"/>
          <w:szCs w:val="20"/>
        </w:rPr>
        <w:tab/>
        <w:t>50</w:t>
      </w:r>
      <w:r w:rsidRPr="00276028">
        <w:rPr>
          <w:rFonts w:ascii="Calibri" w:eastAsia="Calibri" w:hAnsi="Calibri"/>
          <w:sz w:val="20"/>
          <w:szCs w:val="20"/>
        </w:rPr>
        <w:tab/>
      </w:r>
      <w:r w:rsidRPr="00276028">
        <w:rPr>
          <w:rFonts w:ascii="Calibri" w:eastAsia="Calibri" w:hAnsi="Calibri"/>
          <w:sz w:val="20"/>
          <w:szCs w:val="20"/>
        </w:rPr>
        <w:tab/>
        <w:t>R &amp; L upper limb, R &amp; L lower limb, hands</w:t>
      </w:r>
      <w:r w:rsidRPr="00276028">
        <w:rPr>
          <w:rFonts w:ascii="Calibri" w:eastAsia="Calibri" w:hAnsi="Calibri"/>
          <w:sz w:val="20"/>
          <w:szCs w:val="20"/>
        </w:rPr>
        <w:tab/>
      </w:r>
      <w:r>
        <w:rPr>
          <w:rFonts w:ascii="Calibri" w:eastAsia="Calibri" w:hAnsi="Calibri"/>
          <w:sz w:val="20"/>
          <w:szCs w:val="20"/>
        </w:rPr>
        <w:tab/>
      </w:r>
      <w:r w:rsidRPr="00276028">
        <w:rPr>
          <w:rFonts w:ascii="Calibri" w:eastAsia="Calibri" w:hAnsi="Calibri"/>
          <w:sz w:val="20"/>
          <w:szCs w:val="20"/>
        </w:rPr>
        <w:t>Hands &amp; feet</w:t>
      </w:r>
      <w:r w:rsidRPr="00276028">
        <w:rPr>
          <w:rFonts w:ascii="Calibri" w:eastAsia="Calibri" w:hAnsi="Calibri"/>
          <w:sz w:val="20"/>
          <w:szCs w:val="20"/>
        </w:rPr>
        <w:tab/>
        <w:t>Y</w:t>
      </w:r>
      <w:r w:rsidRPr="00276028">
        <w:rPr>
          <w:rFonts w:ascii="Calibri" w:eastAsia="Calibri" w:hAnsi="Calibri"/>
          <w:sz w:val="20"/>
          <w:szCs w:val="20"/>
        </w:rPr>
        <w:tab/>
      </w:r>
      <w:r w:rsidRPr="00276028">
        <w:rPr>
          <w:rFonts w:ascii="Calibri" w:eastAsia="Calibri" w:hAnsi="Calibri"/>
          <w:sz w:val="20"/>
          <w:szCs w:val="20"/>
        </w:rPr>
        <w:tab/>
        <w:t>None</w:t>
      </w:r>
    </w:p>
    <w:p w14:paraId="08A40F47" w14:textId="77777777" w:rsidR="0059145F" w:rsidRPr="00276028" w:rsidRDefault="0059145F" w:rsidP="0059145F">
      <w:pPr>
        <w:spacing w:after="200" w:line="480" w:lineRule="auto"/>
        <w:ind w:left="-284"/>
        <w:contextualSpacing/>
        <w:rPr>
          <w:rFonts w:ascii="Calibri" w:eastAsia="Calibri" w:hAnsi="Calibri"/>
          <w:sz w:val="20"/>
          <w:szCs w:val="20"/>
        </w:rPr>
      </w:pPr>
      <w:r w:rsidRPr="00276028">
        <w:rPr>
          <w:rFonts w:ascii="Calibri" w:eastAsia="Calibri" w:hAnsi="Calibri"/>
          <w:sz w:val="20"/>
          <w:szCs w:val="20"/>
        </w:rPr>
        <w:t>YNS-011</w:t>
      </w:r>
      <w:r w:rsidRPr="00276028">
        <w:rPr>
          <w:rFonts w:ascii="Calibri" w:eastAsia="Calibri" w:hAnsi="Calibri"/>
          <w:sz w:val="20"/>
          <w:szCs w:val="20"/>
        </w:rPr>
        <w:tab/>
        <w:t>F</w:t>
      </w:r>
      <w:r w:rsidRPr="00276028">
        <w:rPr>
          <w:rFonts w:ascii="Calibri" w:eastAsia="Calibri" w:hAnsi="Calibri"/>
          <w:sz w:val="20"/>
          <w:szCs w:val="20"/>
        </w:rPr>
        <w:tab/>
        <w:t>58</w:t>
      </w:r>
      <w:r w:rsidRPr="00276028">
        <w:rPr>
          <w:rFonts w:ascii="Calibri" w:eastAsia="Calibri" w:hAnsi="Calibri"/>
          <w:sz w:val="20"/>
          <w:szCs w:val="20"/>
        </w:rPr>
        <w:tab/>
        <w:t>45</w:t>
      </w:r>
      <w:r w:rsidRPr="00276028">
        <w:rPr>
          <w:rFonts w:ascii="Calibri" w:eastAsia="Calibri" w:hAnsi="Calibri"/>
          <w:sz w:val="20"/>
          <w:szCs w:val="20"/>
        </w:rPr>
        <w:tab/>
      </w:r>
      <w:r w:rsidRPr="00276028">
        <w:rPr>
          <w:rFonts w:ascii="Calibri" w:eastAsia="Calibri" w:hAnsi="Calibri"/>
          <w:sz w:val="20"/>
          <w:szCs w:val="20"/>
        </w:rPr>
        <w:tab/>
        <w:t>R &amp; L upper limb, R &amp; L lower limb</w:t>
      </w:r>
      <w:r w:rsidRPr="00276028">
        <w:rPr>
          <w:rFonts w:ascii="Calibri" w:eastAsia="Calibri" w:hAnsi="Calibri"/>
          <w:sz w:val="20"/>
          <w:szCs w:val="20"/>
        </w:rPr>
        <w:tab/>
      </w:r>
      <w:r w:rsidRPr="00276028">
        <w:rPr>
          <w:rFonts w:ascii="Calibri" w:eastAsia="Calibri" w:hAnsi="Calibri"/>
          <w:sz w:val="20"/>
          <w:szCs w:val="20"/>
        </w:rPr>
        <w:tab/>
      </w:r>
      <w:r>
        <w:rPr>
          <w:rFonts w:ascii="Calibri" w:eastAsia="Calibri" w:hAnsi="Calibri"/>
          <w:sz w:val="20"/>
          <w:szCs w:val="20"/>
        </w:rPr>
        <w:tab/>
      </w:r>
      <w:r w:rsidRPr="00276028">
        <w:rPr>
          <w:rFonts w:ascii="Calibri" w:eastAsia="Calibri" w:hAnsi="Calibri"/>
          <w:sz w:val="20"/>
          <w:szCs w:val="20"/>
        </w:rPr>
        <w:t>Hands &amp; feet*</w:t>
      </w:r>
      <w:r w:rsidRPr="00276028">
        <w:rPr>
          <w:rFonts w:ascii="Calibri" w:eastAsia="Calibri" w:hAnsi="Calibri"/>
          <w:sz w:val="20"/>
          <w:szCs w:val="20"/>
        </w:rPr>
        <w:tab/>
        <w:t>Y</w:t>
      </w:r>
      <w:r w:rsidRPr="00276028">
        <w:rPr>
          <w:rFonts w:ascii="Calibri" w:eastAsia="Calibri" w:hAnsi="Calibri"/>
          <w:sz w:val="20"/>
          <w:szCs w:val="20"/>
        </w:rPr>
        <w:tab/>
      </w:r>
      <w:r w:rsidRPr="00276028">
        <w:rPr>
          <w:rFonts w:ascii="Calibri" w:eastAsia="Calibri" w:hAnsi="Calibri"/>
          <w:sz w:val="20"/>
          <w:szCs w:val="20"/>
        </w:rPr>
        <w:tab/>
        <w:t>Sinusitis</w:t>
      </w:r>
    </w:p>
    <w:p w14:paraId="18EAC301" w14:textId="77777777" w:rsidR="0059145F" w:rsidRPr="00276028" w:rsidRDefault="0059145F" w:rsidP="0059145F">
      <w:pPr>
        <w:spacing w:after="200" w:line="480" w:lineRule="auto"/>
        <w:ind w:left="-284"/>
        <w:contextualSpacing/>
        <w:rPr>
          <w:rFonts w:ascii="Calibri" w:eastAsia="Calibri" w:hAnsi="Calibri"/>
          <w:sz w:val="20"/>
          <w:szCs w:val="20"/>
        </w:rPr>
      </w:pPr>
      <w:r w:rsidRPr="00276028">
        <w:rPr>
          <w:rFonts w:ascii="Calibri" w:eastAsia="Calibri" w:hAnsi="Calibri"/>
          <w:sz w:val="20"/>
          <w:szCs w:val="20"/>
        </w:rPr>
        <w:t>YNS-012</w:t>
      </w:r>
      <w:r w:rsidRPr="00276028">
        <w:rPr>
          <w:rFonts w:ascii="Calibri" w:eastAsia="Calibri" w:hAnsi="Calibri"/>
          <w:sz w:val="20"/>
          <w:szCs w:val="20"/>
        </w:rPr>
        <w:tab/>
        <w:t>F</w:t>
      </w:r>
      <w:r w:rsidRPr="00276028">
        <w:rPr>
          <w:rFonts w:ascii="Calibri" w:eastAsia="Calibri" w:hAnsi="Calibri"/>
          <w:sz w:val="20"/>
          <w:szCs w:val="20"/>
        </w:rPr>
        <w:tab/>
        <w:t>67</w:t>
      </w:r>
      <w:r w:rsidRPr="00276028">
        <w:rPr>
          <w:rFonts w:ascii="Calibri" w:eastAsia="Calibri" w:hAnsi="Calibri"/>
          <w:sz w:val="20"/>
          <w:szCs w:val="20"/>
        </w:rPr>
        <w:tab/>
        <w:t>58</w:t>
      </w:r>
      <w:r w:rsidRPr="00276028">
        <w:rPr>
          <w:rFonts w:ascii="Calibri" w:eastAsia="Calibri" w:hAnsi="Calibri"/>
          <w:sz w:val="20"/>
          <w:szCs w:val="20"/>
        </w:rPr>
        <w:tab/>
      </w:r>
      <w:r w:rsidRPr="00276028">
        <w:rPr>
          <w:rFonts w:ascii="Calibri" w:eastAsia="Calibri" w:hAnsi="Calibri"/>
          <w:sz w:val="20"/>
          <w:szCs w:val="20"/>
        </w:rPr>
        <w:tab/>
        <w:t>R upper limb, R &amp; L lower limb</w:t>
      </w:r>
      <w:r w:rsidRPr="00276028">
        <w:rPr>
          <w:rFonts w:ascii="Calibri" w:eastAsia="Calibri" w:hAnsi="Calibri"/>
          <w:sz w:val="20"/>
          <w:szCs w:val="20"/>
        </w:rPr>
        <w:tab/>
      </w:r>
      <w:r w:rsidRPr="00276028">
        <w:rPr>
          <w:rFonts w:ascii="Calibri" w:eastAsia="Calibri" w:hAnsi="Calibri"/>
          <w:sz w:val="20"/>
          <w:szCs w:val="20"/>
        </w:rPr>
        <w:tab/>
      </w:r>
      <w:r w:rsidRPr="00276028">
        <w:rPr>
          <w:rFonts w:ascii="Calibri" w:eastAsia="Calibri" w:hAnsi="Calibri"/>
          <w:sz w:val="20"/>
          <w:szCs w:val="20"/>
        </w:rPr>
        <w:tab/>
        <w:t>N*</w:t>
      </w:r>
      <w:r w:rsidRPr="00276028">
        <w:rPr>
          <w:rFonts w:ascii="Calibri" w:eastAsia="Calibri" w:hAnsi="Calibri"/>
          <w:sz w:val="20"/>
          <w:szCs w:val="20"/>
        </w:rPr>
        <w:tab/>
      </w:r>
      <w:r w:rsidRPr="00276028">
        <w:rPr>
          <w:rFonts w:ascii="Calibri" w:eastAsia="Calibri" w:hAnsi="Calibri"/>
          <w:sz w:val="20"/>
          <w:szCs w:val="20"/>
        </w:rPr>
        <w:tab/>
        <w:t>Y</w:t>
      </w:r>
      <w:r w:rsidRPr="00276028">
        <w:rPr>
          <w:rFonts w:ascii="Calibri" w:eastAsia="Calibri" w:hAnsi="Calibri"/>
          <w:sz w:val="20"/>
          <w:szCs w:val="20"/>
        </w:rPr>
        <w:tab/>
      </w:r>
      <w:r w:rsidRPr="00276028">
        <w:rPr>
          <w:rFonts w:ascii="Calibri" w:eastAsia="Calibri" w:hAnsi="Calibri"/>
          <w:sz w:val="20"/>
          <w:szCs w:val="20"/>
        </w:rPr>
        <w:tab/>
        <w:t>Sinusitis</w:t>
      </w:r>
    </w:p>
    <w:p w14:paraId="0147B749" w14:textId="77777777" w:rsidR="0059145F" w:rsidRPr="00276028" w:rsidRDefault="0059145F" w:rsidP="0059145F">
      <w:pPr>
        <w:spacing w:after="200" w:line="480" w:lineRule="auto"/>
        <w:ind w:left="-284"/>
        <w:contextualSpacing/>
        <w:rPr>
          <w:rFonts w:ascii="Calibri" w:eastAsia="Calibri" w:hAnsi="Calibri"/>
          <w:sz w:val="20"/>
          <w:szCs w:val="20"/>
        </w:rPr>
      </w:pPr>
      <w:r w:rsidRPr="00276028">
        <w:rPr>
          <w:rFonts w:ascii="Calibri" w:eastAsia="Calibri" w:hAnsi="Calibri"/>
          <w:sz w:val="20"/>
          <w:szCs w:val="20"/>
        </w:rPr>
        <w:t>YNS-014</w:t>
      </w:r>
      <w:r w:rsidRPr="00276028">
        <w:rPr>
          <w:rFonts w:ascii="Calibri" w:eastAsia="Calibri" w:hAnsi="Calibri"/>
          <w:sz w:val="20"/>
          <w:szCs w:val="20"/>
        </w:rPr>
        <w:tab/>
        <w:t>F</w:t>
      </w:r>
      <w:r w:rsidRPr="00276028">
        <w:rPr>
          <w:rFonts w:ascii="Calibri" w:eastAsia="Calibri" w:hAnsi="Calibri"/>
          <w:sz w:val="20"/>
          <w:szCs w:val="20"/>
        </w:rPr>
        <w:tab/>
        <w:t>50</w:t>
      </w:r>
      <w:r w:rsidRPr="00276028">
        <w:rPr>
          <w:rFonts w:ascii="Calibri" w:eastAsia="Calibri" w:hAnsi="Calibri"/>
          <w:sz w:val="20"/>
          <w:szCs w:val="20"/>
        </w:rPr>
        <w:tab/>
        <w:t>39</w:t>
      </w:r>
      <w:r w:rsidRPr="00276028">
        <w:rPr>
          <w:rFonts w:ascii="Calibri" w:eastAsia="Calibri" w:hAnsi="Calibri"/>
          <w:sz w:val="20"/>
          <w:szCs w:val="20"/>
        </w:rPr>
        <w:tab/>
      </w:r>
      <w:r w:rsidRPr="00276028">
        <w:rPr>
          <w:rFonts w:ascii="Calibri" w:eastAsia="Calibri" w:hAnsi="Calibri"/>
          <w:sz w:val="20"/>
          <w:szCs w:val="20"/>
        </w:rPr>
        <w:tab/>
        <w:t>R &amp; L lower limb</w:t>
      </w:r>
      <w:r w:rsidRPr="00276028">
        <w:rPr>
          <w:rFonts w:ascii="Calibri" w:eastAsia="Calibri" w:hAnsi="Calibri"/>
          <w:sz w:val="20"/>
          <w:szCs w:val="20"/>
        </w:rPr>
        <w:tab/>
      </w:r>
      <w:r w:rsidRPr="00276028">
        <w:rPr>
          <w:rFonts w:ascii="Calibri" w:eastAsia="Calibri" w:hAnsi="Calibri"/>
          <w:sz w:val="20"/>
          <w:szCs w:val="20"/>
        </w:rPr>
        <w:tab/>
      </w:r>
      <w:r w:rsidRPr="00276028">
        <w:rPr>
          <w:rFonts w:ascii="Calibri" w:eastAsia="Calibri" w:hAnsi="Calibri"/>
          <w:sz w:val="20"/>
          <w:szCs w:val="20"/>
        </w:rPr>
        <w:tab/>
      </w:r>
      <w:r w:rsidRPr="00276028">
        <w:rPr>
          <w:rFonts w:ascii="Calibri" w:eastAsia="Calibri" w:hAnsi="Calibri"/>
          <w:sz w:val="20"/>
          <w:szCs w:val="20"/>
        </w:rPr>
        <w:tab/>
      </w:r>
      <w:r>
        <w:rPr>
          <w:rFonts w:ascii="Calibri" w:eastAsia="Calibri" w:hAnsi="Calibri"/>
          <w:sz w:val="20"/>
          <w:szCs w:val="20"/>
        </w:rPr>
        <w:tab/>
      </w:r>
      <w:r w:rsidRPr="00276028">
        <w:rPr>
          <w:rFonts w:ascii="Calibri" w:eastAsia="Calibri" w:hAnsi="Calibri"/>
          <w:sz w:val="20"/>
          <w:szCs w:val="20"/>
        </w:rPr>
        <w:t>N*</w:t>
      </w:r>
      <w:r w:rsidRPr="00276028">
        <w:rPr>
          <w:rFonts w:ascii="Calibri" w:eastAsia="Calibri" w:hAnsi="Calibri"/>
          <w:sz w:val="20"/>
          <w:szCs w:val="20"/>
        </w:rPr>
        <w:tab/>
      </w:r>
      <w:r w:rsidRPr="00276028">
        <w:rPr>
          <w:rFonts w:ascii="Calibri" w:eastAsia="Calibri" w:hAnsi="Calibri"/>
          <w:sz w:val="20"/>
          <w:szCs w:val="20"/>
        </w:rPr>
        <w:tab/>
        <w:t>Y</w:t>
      </w:r>
      <w:r w:rsidRPr="00276028">
        <w:rPr>
          <w:rFonts w:ascii="Calibri" w:eastAsia="Calibri" w:hAnsi="Calibri"/>
          <w:sz w:val="20"/>
          <w:szCs w:val="20"/>
        </w:rPr>
        <w:tab/>
      </w:r>
      <w:r w:rsidRPr="00276028">
        <w:rPr>
          <w:rFonts w:ascii="Calibri" w:eastAsia="Calibri" w:hAnsi="Calibri"/>
          <w:sz w:val="20"/>
          <w:szCs w:val="20"/>
        </w:rPr>
        <w:tab/>
        <w:t>Sinusitis</w:t>
      </w:r>
    </w:p>
    <w:p w14:paraId="374F2EA8" w14:textId="77777777" w:rsidR="0059145F" w:rsidRPr="00276028" w:rsidRDefault="0059145F" w:rsidP="0059145F">
      <w:pPr>
        <w:spacing w:after="200" w:line="480" w:lineRule="auto"/>
        <w:ind w:left="-284"/>
        <w:contextualSpacing/>
        <w:rPr>
          <w:rFonts w:ascii="Calibri" w:eastAsia="Calibri" w:hAnsi="Calibri"/>
          <w:sz w:val="20"/>
          <w:szCs w:val="20"/>
        </w:rPr>
      </w:pPr>
      <w:r w:rsidRPr="00276028">
        <w:rPr>
          <w:rFonts w:ascii="Calibri" w:eastAsia="Calibri" w:hAnsi="Calibri"/>
          <w:sz w:val="20"/>
          <w:szCs w:val="20"/>
        </w:rPr>
        <w:t>YNS-015</w:t>
      </w:r>
      <w:r w:rsidRPr="00276028">
        <w:rPr>
          <w:rFonts w:ascii="Calibri" w:eastAsia="Calibri" w:hAnsi="Calibri"/>
          <w:sz w:val="20"/>
          <w:szCs w:val="20"/>
        </w:rPr>
        <w:tab/>
        <w:t>F</w:t>
      </w:r>
      <w:r w:rsidRPr="00276028">
        <w:rPr>
          <w:rFonts w:ascii="Calibri" w:eastAsia="Calibri" w:hAnsi="Calibri"/>
          <w:sz w:val="20"/>
          <w:szCs w:val="20"/>
        </w:rPr>
        <w:tab/>
        <w:t>57</w:t>
      </w:r>
      <w:r w:rsidRPr="00276028">
        <w:rPr>
          <w:rFonts w:ascii="Calibri" w:eastAsia="Calibri" w:hAnsi="Calibri"/>
          <w:sz w:val="20"/>
          <w:szCs w:val="20"/>
        </w:rPr>
        <w:tab/>
        <w:t>47</w:t>
      </w:r>
      <w:r w:rsidRPr="00276028">
        <w:rPr>
          <w:rFonts w:ascii="Calibri" w:eastAsia="Calibri" w:hAnsi="Calibri"/>
          <w:sz w:val="20"/>
          <w:szCs w:val="20"/>
        </w:rPr>
        <w:tab/>
      </w:r>
      <w:r w:rsidRPr="00276028">
        <w:rPr>
          <w:rFonts w:ascii="Calibri" w:eastAsia="Calibri" w:hAnsi="Calibri"/>
          <w:sz w:val="20"/>
          <w:szCs w:val="20"/>
        </w:rPr>
        <w:tab/>
        <w:t>R &amp; L upper limb, R &amp; L lower limb, hands, feet</w:t>
      </w:r>
      <w:r w:rsidRPr="00276028">
        <w:rPr>
          <w:rFonts w:ascii="Calibri" w:eastAsia="Calibri" w:hAnsi="Calibri"/>
          <w:sz w:val="20"/>
          <w:szCs w:val="20"/>
        </w:rPr>
        <w:tab/>
        <w:t>Feet*</w:t>
      </w:r>
      <w:r w:rsidRPr="00276028">
        <w:rPr>
          <w:rFonts w:ascii="Calibri" w:eastAsia="Calibri" w:hAnsi="Calibri"/>
          <w:sz w:val="20"/>
          <w:szCs w:val="20"/>
        </w:rPr>
        <w:tab/>
      </w:r>
      <w:r w:rsidRPr="00276028">
        <w:rPr>
          <w:rFonts w:ascii="Calibri" w:eastAsia="Calibri" w:hAnsi="Calibri"/>
          <w:sz w:val="20"/>
          <w:szCs w:val="20"/>
        </w:rPr>
        <w:tab/>
        <w:t>Y</w:t>
      </w:r>
      <w:r w:rsidRPr="00276028">
        <w:rPr>
          <w:rFonts w:ascii="Calibri" w:eastAsia="Calibri" w:hAnsi="Calibri"/>
          <w:sz w:val="20"/>
          <w:szCs w:val="20"/>
        </w:rPr>
        <w:tab/>
      </w:r>
      <w:r w:rsidRPr="00276028">
        <w:rPr>
          <w:rFonts w:ascii="Calibri" w:eastAsia="Calibri" w:hAnsi="Calibri"/>
          <w:sz w:val="20"/>
          <w:szCs w:val="20"/>
        </w:rPr>
        <w:tab/>
        <w:t>None</w:t>
      </w:r>
    </w:p>
    <w:p w14:paraId="73BDB347" w14:textId="77777777" w:rsidR="0059145F" w:rsidRPr="00276028" w:rsidRDefault="0059145F" w:rsidP="0059145F">
      <w:pPr>
        <w:spacing w:after="200" w:line="480" w:lineRule="auto"/>
        <w:ind w:left="-284"/>
        <w:contextualSpacing/>
        <w:rPr>
          <w:rFonts w:ascii="Calibri" w:eastAsia="Calibri" w:hAnsi="Calibri"/>
          <w:sz w:val="20"/>
          <w:szCs w:val="20"/>
        </w:rPr>
      </w:pPr>
      <w:r w:rsidRPr="00276028">
        <w:rPr>
          <w:rFonts w:ascii="Calibri" w:eastAsia="Calibri" w:hAnsi="Calibri"/>
          <w:sz w:val="20"/>
          <w:szCs w:val="20"/>
        </w:rPr>
        <w:t>YNS-016</w:t>
      </w:r>
      <w:r w:rsidRPr="00276028">
        <w:rPr>
          <w:rFonts w:ascii="Calibri" w:eastAsia="Calibri" w:hAnsi="Calibri"/>
          <w:sz w:val="20"/>
          <w:szCs w:val="20"/>
        </w:rPr>
        <w:tab/>
        <w:t>M</w:t>
      </w:r>
      <w:r w:rsidRPr="00276028">
        <w:rPr>
          <w:rFonts w:ascii="Calibri" w:eastAsia="Calibri" w:hAnsi="Calibri"/>
          <w:sz w:val="20"/>
          <w:szCs w:val="20"/>
        </w:rPr>
        <w:tab/>
        <w:t>68</w:t>
      </w:r>
      <w:r w:rsidRPr="00276028">
        <w:rPr>
          <w:rFonts w:ascii="Calibri" w:eastAsia="Calibri" w:hAnsi="Calibri"/>
          <w:sz w:val="20"/>
          <w:szCs w:val="20"/>
        </w:rPr>
        <w:tab/>
        <w:t>60</w:t>
      </w:r>
      <w:r w:rsidRPr="00276028">
        <w:rPr>
          <w:rFonts w:ascii="Calibri" w:eastAsia="Calibri" w:hAnsi="Calibri"/>
          <w:sz w:val="20"/>
          <w:szCs w:val="20"/>
        </w:rPr>
        <w:tab/>
      </w:r>
      <w:r w:rsidRPr="00276028">
        <w:rPr>
          <w:rFonts w:ascii="Calibri" w:eastAsia="Calibri" w:hAnsi="Calibri"/>
          <w:sz w:val="20"/>
          <w:szCs w:val="20"/>
        </w:rPr>
        <w:tab/>
        <w:t>R &amp; L lower limb, hands, feet, face</w:t>
      </w:r>
      <w:r w:rsidRPr="00276028">
        <w:rPr>
          <w:rFonts w:ascii="Calibri" w:eastAsia="Calibri" w:hAnsi="Calibri"/>
          <w:sz w:val="20"/>
          <w:szCs w:val="20"/>
        </w:rPr>
        <w:tab/>
      </w:r>
      <w:r w:rsidRPr="00276028">
        <w:rPr>
          <w:rFonts w:ascii="Calibri" w:eastAsia="Calibri" w:hAnsi="Calibri"/>
          <w:sz w:val="20"/>
          <w:szCs w:val="20"/>
        </w:rPr>
        <w:tab/>
      </w:r>
      <w:r>
        <w:rPr>
          <w:rFonts w:ascii="Calibri" w:eastAsia="Calibri" w:hAnsi="Calibri"/>
          <w:sz w:val="20"/>
          <w:szCs w:val="20"/>
        </w:rPr>
        <w:tab/>
      </w:r>
      <w:r w:rsidRPr="00276028">
        <w:rPr>
          <w:rFonts w:ascii="Calibri" w:eastAsia="Calibri" w:hAnsi="Calibri"/>
          <w:sz w:val="20"/>
          <w:szCs w:val="20"/>
        </w:rPr>
        <w:t>Hands &amp; feet</w:t>
      </w:r>
      <w:r w:rsidRPr="00276028">
        <w:rPr>
          <w:rFonts w:ascii="Calibri" w:eastAsia="Calibri" w:hAnsi="Calibri"/>
          <w:sz w:val="20"/>
          <w:szCs w:val="20"/>
        </w:rPr>
        <w:tab/>
        <w:t>N</w:t>
      </w:r>
      <w:r w:rsidRPr="00276028">
        <w:rPr>
          <w:rFonts w:ascii="Calibri" w:eastAsia="Calibri" w:hAnsi="Calibri"/>
          <w:sz w:val="20"/>
          <w:szCs w:val="20"/>
        </w:rPr>
        <w:tab/>
      </w:r>
      <w:r w:rsidRPr="00276028">
        <w:rPr>
          <w:rFonts w:ascii="Calibri" w:eastAsia="Calibri" w:hAnsi="Calibri"/>
          <w:sz w:val="20"/>
          <w:szCs w:val="20"/>
        </w:rPr>
        <w:tab/>
        <w:t>Pleural effusion, sinusitis</w:t>
      </w:r>
    </w:p>
    <w:p w14:paraId="4F93A4B3" w14:textId="77777777" w:rsidR="0059145F" w:rsidRPr="00276028" w:rsidRDefault="0059145F" w:rsidP="0059145F">
      <w:pPr>
        <w:spacing w:after="200" w:line="480" w:lineRule="auto"/>
        <w:ind w:left="-284"/>
        <w:contextualSpacing/>
        <w:rPr>
          <w:rFonts w:ascii="Calibri" w:eastAsia="Calibri" w:hAnsi="Calibri"/>
          <w:sz w:val="20"/>
          <w:szCs w:val="20"/>
        </w:rPr>
      </w:pPr>
      <w:r w:rsidRPr="00276028">
        <w:rPr>
          <w:rFonts w:ascii="Calibri" w:eastAsia="Calibri" w:hAnsi="Calibri"/>
          <w:sz w:val="20"/>
          <w:szCs w:val="20"/>
        </w:rPr>
        <w:t>YNS-022</w:t>
      </w:r>
      <w:r w:rsidRPr="00276028">
        <w:rPr>
          <w:rFonts w:ascii="Calibri" w:eastAsia="Calibri" w:hAnsi="Calibri"/>
          <w:sz w:val="20"/>
          <w:szCs w:val="20"/>
        </w:rPr>
        <w:tab/>
        <w:t>M</w:t>
      </w:r>
      <w:r w:rsidRPr="00276028">
        <w:rPr>
          <w:rFonts w:ascii="Calibri" w:eastAsia="Calibri" w:hAnsi="Calibri"/>
          <w:sz w:val="20"/>
          <w:szCs w:val="20"/>
        </w:rPr>
        <w:tab/>
        <w:t>82</w:t>
      </w:r>
      <w:r w:rsidRPr="00276028">
        <w:rPr>
          <w:rFonts w:ascii="Calibri" w:eastAsia="Calibri" w:hAnsi="Calibri"/>
          <w:sz w:val="20"/>
          <w:szCs w:val="20"/>
        </w:rPr>
        <w:tab/>
        <w:t>74</w:t>
      </w:r>
      <w:r w:rsidRPr="00276028">
        <w:rPr>
          <w:rFonts w:ascii="Calibri" w:eastAsia="Calibri" w:hAnsi="Calibri"/>
          <w:sz w:val="20"/>
          <w:szCs w:val="20"/>
        </w:rPr>
        <w:tab/>
      </w:r>
      <w:r w:rsidRPr="00276028">
        <w:rPr>
          <w:rFonts w:ascii="Calibri" w:eastAsia="Calibri" w:hAnsi="Calibri"/>
          <w:sz w:val="20"/>
          <w:szCs w:val="20"/>
        </w:rPr>
        <w:tab/>
        <w:t>R &amp; L upper limb, R &amp; L lower limb, feet</w:t>
      </w:r>
      <w:r w:rsidRPr="00276028">
        <w:rPr>
          <w:rFonts w:ascii="Calibri" w:eastAsia="Calibri" w:hAnsi="Calibri"/>
          <w:sz w:val="20"/>
          <w:szCs w:val="20"/>
        </w:rPr>
        <w:tab/>
      </w:r>
      <w:r w:rsidRPr="00276028">
        <w:rPr>
          <w:rFonts w:ascii="Calibri" w:eastAsia="Calibri" w:hAnsi="Calibri"/>
          <w:sz w:val="20"/>
          <w:szCs w:val="20"/>
        </w:rPr>
        <w:tab/>
        <w:t>Hands &amp; feet</w:t>
      </w:r>
      <w:r w:rsidRPr="00276028">
        <w:rPr>
          <w:rFonts w:ascii="Calibri" w:eastAsia="Calibri" w:hAnsi="Calibri"/>
          <w:sz w:val="20"/>
          <w:szCs w:val="20"/>
        </w:rPr>
        <w:tab/>
        <w:t>Y</w:t>
      </w:r>
      <w:r w:rsidRPr="00276028">
        <w:rPr>
          <w:rFonts w:ascii="Calibri" w:eastAsia="Calibri" w:hAnsi="Calibri"/>
          <w:sz w:val="20"/>
          <w:szCs w:val="20"/>
        </w:rPr>
        <w:tab/>
      </w:r>
      <w:r w:rsidRPr="00276028">
        <w:rPr>
          <w:rFonts w:ascii="Calibri" w:eastAsia="Calibri" w:hAnsi="Calibri"/>
          <w:sz w:val="20"/>
          <w:szCs w:val="20"/>
        </w:rPr>
        <w:tab/>
        <w:t>Sinusitis</w:t>
      </w:r>
    </w:p>
    <w:p w14:paraId="6E22553F" w14:textId="77777777" w:rsidR="0059145F" w:rsidRPr="00276028" w:rsidRDefault="0059145F" w:rsidP="0059145F">
      <w:pPr>
        <w:spacing w:after="200" w:line="480" w:lineRule="auto"/>
        <w:ind w:left="-284"/>
        <w:contextualSpacing/>
        <w:rPr>
          <w:rFonts w:ascii="Calibri" w:eastAsia="Calibri" w:hAnsi="Calibri"/>
          <w:sz w:val="20"/>
          <w:szCs w:val="20"/>
        </w:rPr>
      </w:pPr>
      <w:r w:rsidRPr="00276028">
        <w:rPr>
          <w:rFonts w:ascii="Calibri" w:eastAsia="Calibri" w:hAnsi="Calibri"/>
          <w:sz w:val="20"/>
          <w:szCs w:val="20"/>
        </w:rPr>
        <w:t>YNS-024</w:t>
      </w:r>
      <w:r w:rsidRPr="00276028">
        <w:rPr>
          <w:rFonts w:ascii="Calibri" w:eastAsia="Calibri" w:hAnsi="Calibri"/>
          <w:sz w:val="20"/>
          <w:szCs w:val="20"/>
        </w:rPr>
        <w:tab/>
        <w:t>F</w:t>
      </w:r>
      <w:r w:rsidRPr="00276028">
        <w:rPr>
          <w:rFonts w:ascii="Calibri" w:eastAsia="Calibri" w:hAnsi="Calibri"/>
          <w:sz w:val="20"/>
          <w:szCs w:val="20"/>
        </w:rPr>
        <w:tab/>
        <w:t>67</w:t>
      </w:r>
      <w:r w:rsidRPr="00276028">
        <w:rPr>
          <w:rFonts w:ascii="Calibri" w:eastAsia="Calibri" w:hAnsi="Calibri"/>
          <w:sz w:val="20"/>
          <w:szCs w:val="20"/>
        </w:rPr>
        <w:tab/>
        <w:t>44</w:t>
      </w:r>
      <w:r w:rsidRPr="00276028">
        <w:rPr>
          <w:rFonts w:ascii="Calibri" w:eastAsia="Calibri" w:hAnsi="Calibri"/>
          <w:sz w:val="20"/>
          <w:szCs w:val="20"/>
        </w:rPr>
        <w:tab/>
      </w:r>
      <w:r w:rsidRPr="00276028">
        <w:rPr>
          <w:rFonts w:ascii="Calibri" w:eastAsia="Calibri" w:hAnsi="Calibri"/>
          <w:sz w:val="20"/>
          <w:szCs w:val="20"/>
        </w:rPr>
        <w:tab/>
        <w:t>R &amp; L lower limb, feet</w:t>
      </w:r>
      <w:r w:rsidRPr="00276028">
        <w:rPr>
          <w:rFonts w:ascii="Calibri" w:eastAsia="Calibri" w:hAnsi="Calibri"/>
          <w:sz w:val="20"/>
          <w:szCs w:val="20"/>
        </w:rPr>
        <w:tab/>
      </w:r>
      <w:r w:rsidRPr="00276028">
        <w:rPr>
          <w:rFonts w:ascii="Calibri" w:eastAsia="Calibri" w:hAnsi="Calibri"/>
          <w:sz w:val="20"/>
          <w:szCs w:val="20"/>
        </w:rPr>
        <w:tab/>
      </w:r>
      <w:r w:rsidRPr="00276028">
        <w:rPr>
          <w:rFonts w:ascii="Calibri" w:eastAsia="Calibri" w:hAnsi="Calibri"/>
          <w:sz w:val="20"/>
          <w:szCs w:val="20"/>
        </w:rPr>
        <w:tab/>
      </w:r>
      <w:r w:rsidRPr="00276028">
        <w:rPr>
          <w:rFonts w:ascii="Calibri" w:eastAsia="Calibri" w:hAnsi="Calibri"/>
          <w:sz w:val="20"/>
          <w:szCs w:val="20"/>
        </w:rPr>
        <w:tab/>
        <w:t>Hands &amp; feet</w:t>
      </w:r>
      <w:r w:rsidRPr="00276028">
        <w:rPr>
          <w:rFonts w:ascii="Calibri" w:eastAsia="Calibri" w:hAnsi="Calibri"/>
          <w:sz w:val="20"/>
          <w:szCs w:val="20"/>
        </w:rPr>
        <w:tab/>
        <w:t>Y</w:t>
      </w:r>
      <w:r w:rsidRPr="00276028">
        <w:rPr>
          <w:rFonts w:ascii="Calibri" w:eastAsia="Calibri" w:hAnsi="Calibri"/>
          <w:sz w:val="20"/>
          <w:szCs w:val="20"/>
        </w:rPr>
        <w:tab/>
      </w:r>
      <w:r w:rsidRPr="00276028">
        <w:rPr>
          <w:rFonts w:ascii="Calibri" w:eastAsia="Calibri" w:hAnsi="Calibri"/>
          <w:sz w:val="20"/>
          <w:szCs w:val="20"/>
        </w:rPr>
        <w:tab/>
        <w:t>Sinusitis</w:t>
      </w:r>
    </w:p>
    <w:p w14:paraId="362D3325" w14:textId="77777777" w:rsidR="0059145F" w:rsidRPr="00276028" w:rsidRDefault="0059145F" w:rsidP="0059145F">
      <w:pPr>
        <w:spacing w:after="200" w:line="480" w:lineRule="auto"/>
        <w:ind w:left="-284"/>
        <w:contextualSpacing/>
        <w:rPr>
          <w:rFonts w:ascii="Calibri" w:eastAsia="Calibri" w:hAnsi="Calibri"/>
          <w:sz w:val="20"/>
          <w:szCs w:val="20"/>
        </w:rPr>
      </w:pPr>
      <w:r w:rsidRPr="00276028">
        <w:rPr>
          <w:rFonts w:ascii="Calibri" w:eastAsia="Calibri" w:hAnsi="Calibri"/>
          <w:sz w:val="20"/>
          <w:szCs w:val="20"/>
        </w:rPr>
        <w:t>YNS-027</w:t>
      </w:r>
      <w:r w:rsidRPr="00276028">
        <w:rPr>
          <w:rFonts w:ascii="Calibri" w:eastAsia="Calibri" w:hAnsi="Calibri"/>
          <w:sz w:val="20"/>
          <w:szCs w:val="20"/>
        </w:rPr>
        <w:tab/>
        <w:t>M</w:t>
      </w:r>
      <w:r w:rsidRPr="00276028">
        <w:rPr>
          <w:rFonts w:ascii="Calibri" w:eastAsia="Calibri" w:hAnsi="Calibri"/>
          <w:sz w:val="20"/>
          <w:szCs w:val="20"/>
        </w:rPr>
        <w:tab/>
        <w:t>65</w:t>
      </w:r>
      <w:r w:rsidRPr="00276028">
        <w:rPr>
          <w:rFonts w:ascii="Calibri" w:eastAsia="Calibri" w:hAnsi="Calibri"/>
          <w:sz w:val="20"/>
          <w:szCs w:val="20"/>
        </w:rPr>
        <w:tab/>
        <w:t>60</w:t>
      </w:r>
      <w:r w:rsidRPr="00276028">
        <w:rPr>
          <w:rFonts w:ascii="Calibri" w:eastAsia="Calibri" w:hAnsi="Calibri"/>
          <w:sz w:val="20"/>
          <w:szCs w:val="20"/>
        </w:rPr>
        <w:tab/>
      </w:r>
      <w:r w:rsidRPr="00276028">
        <w:rPr>
          <w:rFonts w:ascii="Calibri" w:eastAsia="Calibri" w:hAnsi="Calibri"/>
          <w:sz w:val="20"/>
          <w:szCs w:val="20"/>
        </w:rPr>
        <w:tab/>
        <w:t>R &amp; L lower limb, hands, feet</w:t>
      </w:r>
      <w:r w:rsidRPr="00276028">
        <w:rPr>
          <w:rFonts w:ascii="Calibri" w:eastAsia="Calibri" w:hAnsi="Calibri"/>
          <w:sz w:val="20"/>
          <w:szCs w:val="20"/>
        </w:rPr>
        <w:tab/>
      </w:r>
      <w:r w:rsidRPr="00276028">
        <w:rPr>
          <w:rFonts w:ascii="Calibri" w:eastAsia="Calibri" w:hAnsi="Calibri"/>
          <w:sz w:val="20"/>
          <w:szCs w:val="20"/>
        </w:rPr>
        <w:tab/>
      </w:r>
      <w:r w:rsidRPr="00276028">
        <w:rPr>
          <w:rFonts w:ascii="Calibri" w:eastAsia="Calibri" w:hAnsi="Calibri"/>
          <w:sz w:val="20"/>
          <w:szCs w:val="20"/>
        </w:rPr>
        <w:tab/>
        <w:t>Hands &amp; feet</w:t>
      </w:r>
      <w:r w:rsidRPr="00276028">
        <w:rPr>
          <w:rFonts w:ascii="Calibri" w:eastAsia="Calibri" w:hAnsi="Calibri"/>
          <w:sz w:val="20"/>
          <w:szCs w:val="20"/>
        </w:rPr>
        <w:tab/>
        <w:t>N</w:t>
      </w:r>
      <w:r w:rsidRPr="00276028">
        <w:rPr>
          <w:rFonts w:ascii="Calibri" w:eastAsia="Calibri" w:hAnsi="Calibri"/>
          <w:sz w:val="20"/>
          <w:szCs w:val="20"/>
        </w:rPr>
        <w:tab/>
      </w:r>
      <w:r w:rsidRPr="00276028">
        <w:rPr>
          <w:rFonts w:ascii="Calibri" w:eastAsia="Calibri" w:hAnsi="Calibri"/>
          <w:sz w:val="20"/>
          <w:szCs w:val="20"/>
        </w:rPr>
        <w:tab/>
        <w:t>Infections, sinusitis</w:t>
      </w:r>
    </w:p>
    <w:p w14:paraId="7F0FE396" w14:textId="77777777" w:rsidR="0059145F" w:rsidRPr="00276028" w:rsidRDefault="0059145F" w:rsidP="0059145F">
      <w:pPr>
        <w:spacing w:after="200" w:line="480" w:lineRule="auto"/>
        <w:ind w:left="-284"/>
        <w:contextualSpacing/>
        <w:rPr>
          <w:rFonts w:ascii="Calibri" w:eastAsia="Calibri" w:hAnsi="Calibri"/>
          <w:sz w:val="20"/>
          <w:szCs w:val="20"/>
        </w:rPr>
      </w:pPr>
      <w:r w:rsidRPr="00276028">
        <w:rPr>
          <w:rFonts w:ascii="Calibri" w:eastAsia="Calibri" w:hAnsi="Calibri"/>
          <w:sz w:val="20"/>
          <w:szCs w:val="20"/>
        </w:rPr>
        <w:lastRenderedPageBreak/>
        <w:t>YNS-029</w:t>
      </w:r>
      <w:r w:rsidRPr="00276028">
        <w:rPr>
          <w:rFonts w:ascii="Calibri" w:eastAsia="Calibri" w:hAnsi="Calibri"/>
          <w:sz w:val="20"/>
          <w:szCs w:val="20"/>
        </w:rPr>
        <w:tab/>
        <w:t>M</w:t>
      </w:r>
      <w:r w:rsidRPr="00276028">
        <w:rPr>
          <w:rFonts w:ascii="Calibri" w:eastAsia="Calibri" w:hAnsi="Calibri"/>
          <w:sz w:val="20"/>
          <w:szCs w:val="20"/>
        </w:rPr>
        <w:tab/>
        <w:t>60</w:t>
      </w:r>
      <w:r w:rsidRPr="00276028">
        <w:rPr>
          <w:rFonts w:ascii="Calibri" w:eastAsia="Calibri" w:hAnsi="Calibri"/>
          <w:sz w:val="20"/>
          <w:szCs w:val="20"/>
        </w:rPr>
        <w:tab/>
        <w:t>56</w:t>
      </w:r>
      <w:r w:rsidRPr="00276028">
        <w:rPr>
          <w:rFonts w:ascii="Calibri" w:eastAsia="Calibri" w:hAnsi="Calibri"/>
          <w:sz w:val="20"/>
          <w:szCs w:val="20"/>
        </w:rPr>
        <w:tab/>
      </w:r>
      <w:r w:rsidRPr="00276028">
        <w:rPr>
          <w:rFonts w:ascii="Calibri" w:eastAsia="Calibri" w:hAnsi="Calibri"/>
          <w:sz w:val="20"/>
          <w:szCs w:val="20"/>
        </w:rPr>
        <w:tab/>
        <w:t>R &amp; L upper limb, R &amp; L lower limb, feet</w:t>
      </w:r>
      <w:r w:rsidRPr="00276028">
        <w:rPr>
          <w:rFonts w:ascii="Calibri" w:eastAsia="Calibri" w:hAnsi="Calibri"/>
          <w:sz w:val="20"/>
          <w:szCs w:val="20"/>
        </w:rPr>
        <w:tab/>
      </w:r>
      <w:r w:rsidRPr="00276028">
        <w:rPr>
          <w:rFonts w:ascii="Calibri" w:eastAsia="Calibri" w:hAnsi="Calibri"/>
          <w:sz w:val="20"/>
          <w:szCs w:val="20"/>
        </w:rPr>
        <w:tab/>
        <w:t>Hands &amp; feet</w:t>
      </w:r>
      <w:r w:rsidRPr="00276028">
        <w:rPr>
          <w:rFonts w:ascii="Calibri" w:eastAsia="Calibri" w:hAnsi="Calibri"/>
          <w:sz w:val="20"/>
          <w:szCs w:val="20"/>
        </w:rPr>
        <w:tab/>
        <w:t>N</w:t>
      </w:r>
      <w:r w:rsidRPr="00276028">
        <w:rPr>
          <w:rFonts w:ascii="Calibri" w:eastAsia="Calibri" w:hAnsi="Calibri"/>
          <w:sz w:val="20"/>
          <w:szCs w:val="20"/>
        </w:rPr>
        <w:tab/>
      </w:r>
      <w:r w:rsidRPr="00276028">
        <w:rPr>
          <w:rFonts w:ascii="Calibri" w:eastAsia="Calibri" w:hAnsi="Calibri"/>
          <w:sz w:val="20"/>
          <w:szCs w:val="20"/>
        </w:rPr>
        <w:tab/>
        <w:t>Infections</w:t>
      </w:r>
    </w:p>
    <w:p w14:paraId="1F9AE6D5" w14:textId="77777777" w:rsidR="0059145F" w:rsidRPr="00276028" w:rsidRDefault="0059145F" w:rsidP="0059145F">
      <w:pPr>
        <w:spacing w:after="200" w:line="480" w:lineRule="auto"/>
        <w:ind w:left="-284"/>
        <w:contextualSpacing/>
        <w:rPr>
          <w:rFonts w:ascii="Calibri" w:eastAsia="Calibri" w:hAnsi="Calibri"/>
          <w:sz w:val="20"/>
          <w:szCs w:val="20"/>
          <w:u w:val="thick"/>
        </w:rPr>
      </w:pPr>
      <w:r w:rsidRPr="00276028">
        <w:rPr>
          <w:rFonts w:ascii="Calibri" w:eastAsia="Calibri" w:hAnsi="Calibri"/>
          <w:sz w:val="20"/>
          <w:szCs w:val="20"/>
          <w:u w:val="thick"/>
        </w:rPr>
        <w:t>YNS-030</w:t>
      </w:r>
      <w:r w:rsidRPr="00276028">
        <w:rPr>
          <w:rFonts w:ascii="Calibri" w:eastAsia="Calibri" w:hAnsi="Calibri"/>
          <w:sz w:val="20"/>
          <w:szCs w:val="20"/>
          <w:u w:val="thick"/>
        </w:rPr>
        <w:tab/>
        <w:t>F</w:t>
      </w:r>
      <w:r w:rsidRPr="00276028">
        <w:rPr>
          <w:rFonts w:ascii="Calibri" w:eastAsia="Calibri" w:hAnsi="Calibri"/>
          <w:sz w:val="20"/>
          <w:szCs w:val="20"/>
          <w:u w:val="thick"/>
        </w:rPr>
        <w:tab/>
        <w:t>70</w:t>
      </w:r>
      <w:r w:rsidRPr="00276028">
        <w:rPr>
          <w:rFonts w:ascii="Calibri" w:eastAsia="Calibri" w:hAnsi="Calibri"/>
          <w:sz w:val="20"/>
          <w:szCs w:val="20"/>
          <w:u w:val="thick"/>
        </w:rPr>
        <w:tab/>
        <w:t>62</w:t>
      </w:r>
      <w:r w:rsidRPr="00276028">
        <w:rPr>
          <w:rFonts w:ascii="Calibri" w:eastAsia="Calibri" w:hAnsi="Calibri"/>
          <w:sz w:val="20"/>
          <w:szCs w:val="20"/>
          <w:u w:val="thick"/>
        </w:rPr>
        <w:tab/>
      </w:r>
      <w:r w:rsidRPr="00276028">
        <w:rPr>
          <w:rFonts w:ascii="Calibri" w:eastAsia="Calibri" w:hAnsi="Calibri"/>
          <w:sz w:val="20"/>
          <w:szCs w:val="20"/>
          <w:u w:val="thick"/>
        </w:rPr>
        <w:tab/>
        <w:t>R &amp; L upper limb, R &amp; L lower limb, fingers</w:t>
      </w:r>
      <w:r w:rsidRPr="00276028">
        <w:rPr>
          <w:rFonts w:ascii="Calibri" w:eastAsia="Calibri" w:hAnsi="Calibri"/>
          <w:sz w:val="20"/>
          <w:szCs w:val="20"/>
          <w:u w:val="thick"/>
        </w:rPr>
        <w:tab/>
      </w:r>
      <w:r>
        <w:rPr>
          <w:rFonts w:ascii="Calibri" w:eastAsia="Calibri" w:hAnsi="Calibri"/>
          <w:sz w:val="20"/>
          <w:szCs w:val="20"/>
          <w:u w:val="thick"/>
        </w:rPr>
        <w:tab/>
      </w:r>
      <w:r w:rsidRPr="00276028">
        <w:rPr>
          <w:rFonts w:ascii="Calibri" w:eastAsia="Calibri" w:hAnsi="Calibri"/>
          <w:sz w:val="20"/>
          <w:szCs w:val="20"/>
          <w:u w:val="thick"/>
        </w:rPr>
        <w:t>Hands &amp; feet</w:t>
      </w:r>
      <w:r w:rsidRPr="00276028">
        <w:rPr>
          <w:rFonts w:ascii="Calibri" w:eastAsia="Calibri" w:hAnsi="Calibri"/>
          <w:sz w:val="20"/>
          <w:szCs w:val="20"/>
          <w:u w:val="thick"/>
        </w:rPr>
        <w:tab/>
        <w:t>Y</w:t>
      </w:r>
      <w:r w:rsidRPr="00276028">
        <w:rPr>
          <w:rFonts w:ascii="Calibri" w:eastAsia="Calibri" w:hAnsi="Calibri"/>
          <w:sz w:val="20"/>
          <w:szCs w:val="20"/>
          <w:u w:val="thick"/>
        </w:rPr>
        <w:tab/>
      </w:r>
      <w:r w:rsidRPr="00276028">
        <w:rPr>
          <w:rFonts w:ascii="Calibri" w:eastAsia="Calibri" w:hAnsi="Calibri"/>
          <w:sz w:val="20"/>
          <w:szCs w:val="20"/>
          <w:u w:val="thick"/>
        </w:rPr>
        <w:tab/>
        <w:t>Rhinosinusitis</w:t>
      </w:r>
      <w:r w:rsidRPr="00276028">
        <w:rPr>
          <w:rFonts w:ascii="Calibri" w:eastAsia="Calibri" w:hAnsi="Calibri"/>
          <w:sz w:val="20"/>
          <w:szCs w:val="20"/>
          <w:u w:val="thick"/>
        </w:rPr>
        <w:tab/>
      </w:r>
      <w:r w:rsidRPr="00276028">
        <w:rPr>
          <w:rFonts w:ascii="Calibri" w:eastAsia="Calibri" w:hAnsi="Calibri"/>
          <w:sz w:val="20"/>
          <w:szCs w:val="20"/>
          <w:u w:val="thick"/>
        </w:rPr>
        <w:tab/>
      </w:r>
    </w:p>
    <w:p w14:paraId="14963E3E" w14:textId="77777777" w:rsidR="0059145F" w:rsidRPr="00276028" w:rsidRDefault="0059145F" w:rsidP="0059145F">
      <w:pPr>
        <w:spacing w:line="480" w:lineRule="auto"/>
        <w:ind w:right="-81"/>
        <w:rPr>
          <w:sz w:val="20"/>
          <w:szCs w:val="20"/>
        </w:rPr>
      </w:pPr>
      <w:r w:rsidRPr="00276028">
        <w:rPr>
          <w:rFonts w:ascii="Calibri" w:eastAsia="Calibri" w:hAnsi="Calibri"/>
          <w:sz w:val="20"/>
          <w:szCs w:val="20"/>
        </w:rPr>
        <w:t>R, right; L, left; Y, yes; N, no; COPD, chronic obstructive pulmonary disease. *Resolution of nail abnormalities was reported. Patients YNS-001, -002, -007, -008 and -012 reported venous disease also. Treatment information not shown.</w:t>
      </w:r>
    </w:p>
    <w:p w14:paraId="78962E95" w14:textId="77777777" w:rsidR="003E7767" w:rsidRPr="00FE6F33" w:rsidRDefault="003E7767" w:rsidP="0059145F">
      <w:pPr>
        <w:pStyle w:val="BodyA"/>
        <w:spacing w:line="480" w:lineRule="auto"/>
      </w:pPr>
    </w:p>
    <w:sectPr w:rsidR="003E7767" w:rsidRPr="00FE6F33" w:rsidSect="00E70467">
      <w:pgSz w:w="15840" w:h="12240" w:orient="landscape" w:code="1"/>
      <w:pgMar w:top="1440" w:right="1381"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7CE3E" w14:textId="77777777" w:rsidR="00F24B32" w:rsidRDefault="00F24B32">
      <w:r>
        <w:separator/>
      </w:r>
    </w:p>
  </w:endnote>
  <w:endnote w:type="continuationSeparator" w:id="0">
    <w:p w14:paraId="0503EFF9" w14:textId="77777777" w:rsidR="00F24B32" w:rsidRDefault="00F24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Malgun Gothic"/>
    <w:charset w:val="00"/>
    <w:family w:val="auto"/>
    <w:pitch w:val="variable"/>
    <w:sig w:usb0="00000003"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A2123" w14:textId="398A32E5" w:rsidR="00E2749A" w:rsidRDefault="00E2749A">
    <w:pPr>
      <w:pStyle w:val="Footer"/>
      <w:jc w:val="right"/>
    </w:pPr>
    <w:r>
      <w:fldChar w:fldCharType="begin"/>
    </w:r>
    <w:r>
      <w:instrText xml:space="preserve"> PAGE </w:instrText>
    </w:r>
    <w:r>
      <w:fldChar w:fldCharType="separate"/>
    </w:r>
    <w:r w:rsidR="009D373C">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DFAE1" w14:textId="77777777" w:rsidR="00F24B32" w:rsidRDefault="00F24B32">
      <w:r>
        <w:separator/>
      </w:r>
    </w:p>
  </w:footnote>
  <w:footnote w:type="continuationSeparator" w:id="0">
    <w:p w14:paraId="4D213492" w14:textId="77777777" w:rsidR="00F24B32" w:rsidRDefault="00F24B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A1B66"/>
    <w:multiLevelType w:val="hybridMultilevel"/>
    <w:tmpl w:val="2244EAF0"/>
    <w:lvl w:ilvl="0" w:tplc="A814A7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42003D"/>
    <w:multiLevelType w:val="hybridMultilevel"/>
    <w:tmpl w:val="39FAA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103620"/>
    <w:multiLevelType w:val="hybridMultilevel"/>
    <w:tmpl w:val="F0BC26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D7468E"/>
    <w:multiLevelType w:val="hybridMultilevel"/>
    <w:tmpl w:val="F4F05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097C2F"/>
    <w:multiLevelType w:val="hybridMultilevel"/>
    <w:tmpl w:val="97484EE2"/>
    <w:lvl w:ilvl="0" w:tplc="B3C07434">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B2613DD"/>
    <w:multiLevelType w:val="multilevel"/>
    <w:tmpl w:val="5C48D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9E33B6"/>
    <w:multiLevelType w:val="hybridMultilevel"/>
    <w:tmpl w:val="F5567A6A"/>
    <w:lvl w:ilvl="0" w:tplc="A814A7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430BD9"/>
    <w:multiLevelType w:val="hybridMultilevel"/>
    <w:tmpl w:val="1BFA9CFA"/>
    <w:lvl w:ilvl="0" w:tplc="A814A79C">
      <w:start w:val="1"/>
      <w:numFmt w:val="decimal"/>
      <w:lvlText w:val="%1."/>
      <w:lvlJc w:val="left"/>
      <w:pPr>
        <w:ind w:left="1005" w:hanging="64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D2F36EE"/>
    <w:multiLevelType w:val="hybridMultilevel"/>
    <w:tmpl w:val="5E7E6F48"/>
    <w:lvl w:ilvl="0" w:tplc="66D2210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671759"/>
    <w:multiLevelType w:val="hybridMultilevel"/>
    <w:tmpl w:val="B2BC52A4"/>
    <w:styleLink w:val="ImportedStyle1"/>
    <w:lvl w:ilvl="0" w:tplc="C952D03E">
      <w:start w:val="1"/>
      <w:numFmt w:val="decimal"/>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5284FA5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FCA3D5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12EAC1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B80463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CA8D2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15EC51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5DED0C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4F66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9FD7DB1"/>
    <w:multiLevelType w:val="hybridMultilevel"/>
    <w:tmpl w:val="B2BC52A4"/>
    <w:numStyleLink w:val="ImportedStyle1"/>
  </w:abstractNum>
  <w:abstractNum w:abstractNumId="11" w15:restartNumberingAfterBreak="0">
    <w:nsid w:val="5E176768"/>
    <w:multiLevelType w:val="hybridMultilevel"/>
    <w:tmpl w:val="D4A44AC6"/>
    <w:lvl w:ilvl="0" w:tplc="0A50F566">
      <w:start w:val="3"/>
      <w:numFmt w:val="bullet"/>
      <w:lvlText w:val="-"/>
      <w:lvlJc w:val="left"/>
      <w:pPr>
        <w:ind w:left="720" w:hanging="360"/>
      </w:pPr>
      <w:rPr>
        <w:rFonts w:ascii="Times New Roman" w:eastAsia="Arial Unicode M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466826"/>
    <w:multiLevelType w:val="multilevel"/>
    <w:tmpl w:val="9AA2C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6634A2"/>
    <w:multiLevelType w:val="hybridMultilevel"/>
    <w:tmpl w:val="2E9C7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773346"/>
    <w:multiLevelType w:val="hybridMultilevel"/>
    <w:tmpl w:val="80C80248"/>
    <w:lvl w:ilvl="0" w:tplc="C6344D36">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C042B0C"/>
    <w:multiLevelType w:val="hybridMultilevel"/>
    <w:tmpl w:val="4A3E882E"/>
    <w:lvl w:ilvl="0" w:tplc="A814A79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4E417F8"/>
    <w:multiLevelType w:val="hybridMultilevel"/>
    <w:tmpl w:val="B2BC52A4"/>
    <w:lvl w:ilvl="0" w:tplc="500C2E5C">
      <w:start w:val="1"/>
      <w:numFmt w:val="decimal"/>
      <w:lvlText w:val="%1."/>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0C2E811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9B03AF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2100AC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E7243E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540B3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6587D9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6A01A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6B60AC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9"/>
  </w:num>
  <w:num w:numId="2">
    <w:abstractNumId w:val="10"/>
  </w:num>
  <w:num w:numId="3">
    <w:abstractNumId w:val="7"/>
  </w:num>
  <w:num w:numId="4">
    <w:abstractNumId w:val="15"/>
  </w:num>
  <w:num w:numId="5">
    <w:abstractNumId w:val="0"/>
  </w:num>
  <w:num w:numId="6">
    <w:abstractNumId w:val="14"/>
  </w:num>
  <w:num w:numId="7">
    <w:abstractNumId w:val="6"/>
  </w:num>
  <w:num w:numId="8">
    <w:abstractNumId w:val="11"/>
  </w:num>
  <w:num w:numId="9">
    <w:abstractNumId w:val="16"/>
  </w:num>
  <w:num w:numId="10">
    <w:abstractNumId w:val="1"/>
  </w:num>
  <w:num w:numId="11">
    <w:abstractNumId w:val="3"/>
  </w:num>
  <w:num w:numId="12">
    <w:abstractNumId w:val="8"/>
  </w:num>
  <w:num w:numId="13">
    <w:abstractNumId w:val="12"/>
  </w:num>
  <w:num w:numId="14">
    <w:abstractNumId w:val="13"/>
  </w:num>
  <w:num w:numId="15">
    <w:abstractNumId w:val="2"/>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nl-NL"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EEB"/>
    <w:rsid w:val="0000048E"/>
    <w:rsid w:val="0000219F"/>
    <w:rsid w:val="00003BC7"/>
    <w:rsid w:val="00005311"/>
    <w:rsid w:val="0000535D"/>
    <w:rsid w:val="00006677"/>
    <w:rsid w:val="00006DAF"/>
    <w:rsid w:val="00007A63"/>
    <w:rsid w:val="00007DDC"/>
    <w:rsid w:val="000103FA"/>
    <w:rsid w:val="00010B6A"/>
    <w:rsid w:val="000114E9"/>
    <w:rsid w:val="000116AE"/>
    <w:rsid w:val="00011D5A"/>
    <w:rsid w:val="0001200E"/>
    <w:rsid w:val="000120E1"/>
    <w:rsid w:val="000121BA"/>
    <w:rsid w:val="000124B7"/>
    <w:rsid w:val="00012DFD"/>
    <w:rsid w:val="000130D3"/>
    <w:rsid w:val="00015EDC"/>
    <w:rsid w:val="0001654A"/>
    <w:rsid w:val="0001673B"/>
    <w:rsid w:val="00016B8B"/>
    <w:rsid w:val="00016C11"/>
    <w:rsid w:val="00017472"/>
    <w:rsid w:val="000178CB"/>
    <w:rsid w:val="00017A65"/>
    <w:rsid w:val="00020061"/>
    <w:rsid w:val="000200C2"/>
    <w:rsid w:val="000206C4"/>
    <w:rsid w:val="00020894"/>
    <w:rsid w:val="000214E1"/>
    <w:rsid w:val="00022040"/>
    <w:rsid w:val="000224AB"/>
    <w:rsid w:val="00023258"/>
    <w:rsid w:val="0002523F"/>
    <w:rsid w:val="00025483"/>
    <w:rsid w:val="00026847"/>
    <w:rsid w:val="00026D06"/>
    <w:rsid w:val="00027498"/>
    <w:rsid w:val="00027B73"/>
    <w:rsid w:val="000302E2"/>
    <w:rsid w:val="0003055A"/>
    <w:rsid w:val="00031CC5"/>
    <w:rsid w:val="00032EE6"/>
    <w:rsid w:val="0003440C"/>
    <w:rsid w:val="00035C57"/>
    <w:rsid w:val="0003678C"/>
    <w:rsid w:val="00037DE1"/>
    <w:rsid w:val="00042A25"/>
    <w:rsid w:val="00042B32"/>
    <w:rsid w:val="000433C2"/>
    <w:rsid w:val="00043FF4"/>
    <w:rsid w:val="00044790"/>
    <w:rsid w:val="000447D5"/>
    <w:rsid w:val="00044EA4"/>
    <w:rsid w:val="00046B52"/>
    <w:rsid w:val="000471E9"/>
    <w:rsid w:val="000476A8"/>
    <w:rsid w:val="00050056"/>
    <w:rsid w:val="0005047C"/>
    <w:rsid w:val="00050629"/>
    <w:rsid w:val="000509FB"/>
    <w:rsid w:val="00051A2A"/>
    <w:rsid w:val="00051C99"/>
    <w:rsid w:val="00052342"/>
    <w:rsid w:val="00052407"/>
    <w:rsid w:val="00053F7B"/>
    <w:rsid w:val="00055F7C"/>
    <w:rsid w:val="00056046"/>
    <w:rsid w:val="000567A5"/>
    <w:rsid w:val="000569AD"/>
    <w:rsid w:val="00056AA7"/>
    <w:rsid w:val="00056FDE"/>
    <w:rsid w:val="0005742B"/>
    <w:rsid w:val="000608FD"/>
    <w:rsid w:val="000613F5"/>
    <w:rsid w:val="00062385"/>
    <w:rsid w:val="000626E3"/>
    <w:rsid w:val="00063426"/>
    <w:rsid w:val="0006498A"/>
    <w:rsid w:val="00064D9B"/>
    <w:rsid w:val="00064FD3"/>
    <w:rsid w:val="00065E8D"/>
    <w:rsid w:val="00066D64"/>
    <w:rsid w:val="00070B7A"/>
    <w:rsid w:val="00071DC2"/>
    <w:rsid w:val="00073170"/>
    <w:rsid w:val="000732A6"/>
    <w:rsid w:val="00074C49"/>
    <w:rsid w:val="000757CD"/>
    <w:rsid w:val="00075DD8"/>
    <w:rsid w:val="00076597"/>
    <w:rsid w:val="000803CD"/>
    <w:rsid w:val="0008071D"/>
    <w:rsid w:val="0008086B"/>
    <w:rsid w:val="0008091D"/>
    <w:rsid w:val="00082349"/>
    <w:rsid w:val="00082ABA"/>
    <w:rsid w:val="0008500C"/>
    <w:rsid w:val="000862D7"/>
    <w:rsid w:val="00086598"/>
    <w:rsid w:val="00086C70"/>
    <w:rsid w:val="00086E5D"/>
    <w:rsid w:val="00086EFE"/>
    <w:rsid w:val="00086F50"/>
    <w:rsid w:val="00087D3D"/>
    <w:rsid w:val="00087EBD"/>
    <w:rsid w:val="00090A2A"/>
    <w:rsid w:val="00090D24"/>
    <w:rsid w:val="0009241B"/>
    <w:rsid w:val="00092F1E"/>
    <w:rsid w:val="00093196"/>
    <w:rsid w:val="00093356"/>
    <w:rsid w:val="00093BCD"/>
    <w:rsid w:val="0009497C"/>
    <w:rsid w:val="00094B1F"/>
    <w:rsid w:val="000958B8"/>
    <w:rsid w:val="00095A1F"/>
    <w:rsid w:val="00095AB7"/>
    <w:rsid w:val="000977C9"/>
    <w:rsid w:val="000A02AD"/>
    <w:rsid w:val="000A0434"/>
    <w:rsid w:val="000A0608"/>
    <w:rsid w:val="000A09C9"/>
    <w:rsid w:val="000A1801"/>
    <w:rsid w:val="000A1D81"/>
    <w:rsid w:val="000A1DD3"/>
    <w:rsid w:val="000A291F"/>
    <w:rsid w:val="000A343E"/>
    <w:rsid w:val="000A448B"/>
    <w:rsid w:val="000A44A1"/>
    <w:rsid w:val="000A478E"/>
    <w:rsid w:val="000A57F2"/>
    <w:rsid w:val="000A649C"/>
    <w:rsid w:val="000A67C9"/>
    <w:rsid w:val="000A684C"/>
    <w:rsid w:val="000A6F0D"/>
    <w:rsid w:val="000A7515"/>
    <w:rsid w:val="000A78A0"/>
    <w:rsid w:val="000B0B14"/>
    <w:rsid w:val="000B0B45"/>
    <w:rsid w:val="000B11CD"/>
    <w:rsid w:val="000B1562"/>
    <w:rsid w:val="000B186C"/>
    <w:rsid w:val="000B2BA1"/>
    <w:rsid w:val="000B34A2"/>
    <w:rsid w:val="000B364C"/>
    <w:rsid w:val="000B3AF2"/>
    <w:rsid w:val="000B403F"/>
    <w:rsid w:val="000B6456"/>
    <w:rsid w:val="000B7364"/>
    <w:rsid w:val="000B7612"/>
    <w:rsid w:val="000C0544"/>
    <w:rsid w:val="000C0643"/>
    <w:rsid w:val="000C0D04"/>
    <w:rsid w:val="000C1E17"/>
    <w:rsid w:val="000C2026"/>
    <w:rsid w:val="000C269A"/>
    <w:rsid w:val="000C2762"/>
    <w:rsid w:val="000C2993"/>
    <w:rsid w:val="000C35FC"/>
    <w:rsid w:val="000C3AC1"/>
    <w:rsid w:val="000C47DC"/>
    <w:rsid w:val="000C52A4"/>
    <w:rsid w:val="000C59DC"/>
    <w:rsid w:val="000C5E9B"/>
    <w:rsid w:val="000C6065"/>
    <w:rsid w:val="000C6340"/>
    <w:rsid w:val="000D13B1"/>
    <w:rsid w:val="000D1A41"/>
    <w:rsid w:val="000D1B23"/>
    <w:rsid w:val="000D2166"/>
    <w:rsid w:val="000D252F"/>
    <w:rsid w:val="000D2C9E"/>
    <w:rsid w:val="000D432E"/>
    <w:rsid w:val="000D4B48"/>
    <w:rsid w:val="000D5196"/>
    <w:rsid w:val="000D54EE"/>
    <w:rsid w:val="000D5C39"/>
    <w:rsid w:val="000D5ED9"/>
    <w:rsid w:val="000D70EF"/>
    <w:rsid w:val="000D7334"/>
    <w:rsid w:val="000E0256"/>
    <w:rsid w:val="000E038C"/>
    <w:rsid w:val="000E130A"/>
    <w:rsid w:val="000E1A6F"/>
    <w:rsid w:val="000E2605"/>
    <w:rsid w:val="000E3018"/>
    <w:rsid w:val="000E32C5"/>
    <w:rsid w:val="000E3C91"/>
    <w:rsid w:val="000E4F82"/>
    <w:rsid w:val="000E5432"/>
    <w:rsid w:val="000E5774"/>
    <w:rsid w:val="000E621A"/>
    <w:rsid w:val="000E6BB9"/>
    <w:rsid w:val="000E7041"/>
    <w:rsid w:val="000E73BB"/>
    <w:rsid w:val="000E75E6"/>
    <w:rsid w:val="000E79FF"/>
    <w:rsid w:val="000E7DB9"/>
    <w:rsid w:val="000F1857"/>
    <w:rsid w:val="000F1A76"/>
    <w:rsid w:val="000F1D3F"/>
    <w:rsid w:val="000F26EC"/>
    <w:rsid w:val="000F2CB4"/>
    <w:rsid w:val="000F3752"/>
    <w:rsid w:val="000F3A45"/>
    <w:rsid w:val="000F3BD6"/>
    <w:rsid w:val="000F4C09"/>
    <w:rsid w:val="000F4E6D"/>
    <w:rsid w:val="000F546C"/>
    <w:rsid w:val="000F69BF"/>
    <w:rsid w:val="000F6DF5"/>
    <w:rsid w:val="000F716C"/>
    <w:rsid w:val="000F732B"/>
    <w:rsid w:val="000F7EA6"/>
    <w:rsid w:val="000F7F10"/>
    <w:rsid w:val="001000CE"/>
    <w:rsid w:val="00101E8F"/>
    <w:rsid w:val="0010414D"/>
    <w:rsid w:val="00104FC3"/>
    <w:rsid w:val="00106DD3"/>
    <w:rsid w:val="00107010"/>
    <w:rsid w:val="0010748B"/>
    <w:rsid w:val="0010785E"/>
    <w:rsid w:val="00107E81"/>
    <w:rsid w:val="00110914"/>
    <w:rsid w:val="001114FF"/>
    <w:rsid w:val="0011169C"/>
    <w:rsid w:val="00112BD9"/>
    <w:rsid w:val="00112E11"/>
    <w:rsid w:val="001136A1"/>
    <w:rsid w:val="0011434D"/>
    <w:rsid w:val="00114F5B"/>
    <w:rsid w:val="00115C7E"/>
    <w:rsid w:val="00116A21"/>
    <w:rsid w:val="00117560"/>
    <w:rsid w:val="00117C69"/>
    <w:rsid w:val="001202AC"/>
    <w:rsid w:val="001203DE"/>
    <w:rsid w:val="001204FA"/>
    <w:rsid w:val="0012156F"/>
    <w:rsid w:val="00121ED0"/>
    <w:rsid w:val="00122588"/>
    <w:rsid w:val="00123F20"/>
    <w:rsid w:val="00124D64"/>
    <w:rsid w:val="00126686"/>
    <w:rsid w:val="001270BF"/>
    <w:rsid w:val="00131663"/>
    <w:rsid w:val="00131A9E"/>
    <w:rsid w:val="00131BDB"/>
    <w:rsid w:val="001324F5"/>
    <w:rsid w:val="00132DA9"/>
    <w:rsid w:val="00133B8D"/>
    <w:rsid w:val="0013416E"/>
    <w:rsid w:val="0013444B"/>
    <w:rsid w:val="00136373"/>
    <w:rsid w:val="0013687F"/>
    <w:rsid w:val="001371BD"/>
    <w:rsid w:val="00141B90"/>
    <w:rsid w:val="00142097"/>
    <w:rsid w:val="00142E26"/>
    <w:rsid w:val="00143B0C"/>
    <w:rsid w:val="00143C52"/>
    <w:rsid w:val="001442D9"/>
    <w:rsid w:val="001449A0"/>
    <w:rsid w:val="00145CEE"/>
    <w:rsid w:val="00146C1D"/>
    <w:rsid w:val="001470CE"/>
    <w:rsid w:val="001479A8"/>
    <w:rsid w:val="00150F5A"/>
    <w:rsid w:val="00152543"/>
    <w:rsid w:val="00152E05"/>
    <w:rsid w:val="00153926"/>
    <w:rsid w:val="00153EDB"/>
    <w:rsid w:val="00153FCF"/>
    <w:rsid w:val="00154271"/>
    <w:rsid w:val="001548F9"/>
    <w:rsid w:val="00154C73"/>
    <w:rsid w:val="00154E99"/>
    <w:rsid w:val="00155168"/>
    <w:rsid w:val="001553A6"/>
    <w:rsid w:val="0015543F"/>
    <w:rsid w:val="00156020"/>
    <w:rsid w:val="00156737"/>
    <w:rsid w:val="00156A5A"/>
    <w:rsid w:val="00156CD2"/>
    <w:rsid w:val="00157A7C"/>
    <w:rsid w:val="0016094A"/>
    <w:rsid w:val="001619BF"/>
    <w:rsid w:val="00162568"/>
    <w:rsid w:val="00162A82"/>
    <w:rsid w:val="0016369D"/>
    <w:rsid w:val="00163A14"/>
    <w:rsid w:val="00163D61"/>
    <w:rsid w:val="00166288"/>
    <w:rsid w:val="001671E9"/>
    <w:rsid w:val="00167855"/>
    <w:rsid w:val="00167A75"/>
    <w:rsid w:val="0017006D"/>
    <w:rsid w:val="00170E8F"/>
    <w:rsid w:val="00171430"/>
    <w:rsid w:val="00171B3A"/>
    <w:rsid w:val="001725B1"/>
    <w:rsid w:val="001739BB"/>
    <w:rsid w:val="0017417A"/>
    <w:rsid w:val="00176D02"/>
    <w:rsid w:val="00176D5B"/>
    <w:rsid w:val="001776C5"/>
    <w:rsid w:val="001803E0"/>
    <w:rsid w:val="00180651"/>
    <w:rsid w:val="001807EE"/>
    <w:rsid w:val="001819FA"/>
    <w:rsid w:val="00181AF2"/>
    <w:rsid w:val="00181B75"/>
    <w:rsid w:val="00181EBB"/>
    <w:rsid w:val="001826DA"/>
    <w:rsid w:val="00182AE9"/>
    <w:rsid w:val="0018343E"/>
    <w:rsid w:val="00184E8A"/>
    <w:rsid w:val="001851F6"/>
    <w:rsid w:val="0018556E"/>
    <w:rsid w:val="001855DF"/>
    <w:rsid w:val="00185888"/>
    <w:rsid w:val="001859E0"/>
    <w:rsid w:val="00186026"/>
    <w:rsid w:val="001867B2"/>
    <w:rsid w:val="00186ED3"/>
    <w:rsid w:val="00187023"/>
    <w:rsid w:val="00187D88"/>
    <w:rsid w:val="00190750"/>
    <w:rsid w:val="00190B04"/>
    <w:rsid w:val="00190CE8"/>
    <w:rsid w:val="00190E76"/>
    <w:rsid w:val="00191AA3"/>
    <w:rsid w:val="00191C29"/>
    <w:rsid w:val="0019255B"/>
    <w:rsid w:val="001929E8"/>
    <w:rsid w:val="001936E5"/>
    <w:rsid w:val="00193924"/>
    <w:rsid w:val="00193A9E"/>
    <w:rsid w:val="001950B5"/>
    <w:rsid w:val="00195C25"/>
    <w:rsid w:val="00196181"/>
    <w:rsid w:val="0019659D"/>
    <w:rsid w:val="001968F9"/>
    <w:rsid w:val="00196949"/>
    <w:rsid w:val="001A05CA"/>
    <w:rsid w:val="001A17BB"/>
    <w:rsid w:val="001A2EA1"/>
    <w:rsid w:val="001A3803"/>
    <w:rsid w:val="001A3B25"/>
    <w:rsid w:val="001A3EB1"/>
    <w:rsid w:val="001A4AF1"/>
    <w:rsid w:val="001A4D4A"/>
    <w:rsid w:val="001A6363"/>
    <w:rsid w:val="001A6478"/>
    <w:rsid w:val="001A6555"/>
    <w:rsid w:val="001A7220"/>
    <w:rsid w:val="001A733D"/>
    <w:rsid w:val="001A77A6"/>
    <w:rsid w:val="001B0F0A"/>
    <w:rsid w:val="001B27E1"/>
    <w:rsid w:val="001B3618"/>
    <w:rsid w:val="001B46D9"/>
    <w:rsid w:val="001B48B2"/>
    <w:rsid w:val="001B6787"/>
    <w:rsid w:val="001B68CF"/>
    <w:rsid w:val="001B6ABA"/>
    <w:rsid w:val="001B75EE"/>
    <w:rsid w:val="001C022A"/>
    <w:rsid w:val="001C051A"/>
    <w:rsid w:val="001C0C4A"/>
    <w:rsid w:val="001C1B9E"/>
    <w:rsid w:val="001C1F02"/>
    <w:rsid w:val="001C21FC"/>
    <w:rsid w:val="001C3BF9"/>
    <w:rsid w:val="001C4B82"/>
    <w:rsid w:val="001C4E78"/>
    <w:rsid w:val="001C5027"/>
    <w:rsid w:val="001C5161"/>
    <w:rsid w:val="001C5C92"/>
    <w:rsid w:val="001C61F4"/>
    <w:rsid w:val="001C72B7"/>
    <w:rsid w:val="001D04B9"/>
    <w:rsid w:val="001D1ABF"/>
    <w:rsid w:val="001D1DE5"/>
    <w:rsid w:val="001D247C"/>
    <w:rsid w:val="001D2619"/>
    <w:rsid w:val="001D268C"/>
    <w:rsid w:val="001D2754"/>
    <w:rsid w:val="001D2A8F"/>
    <w:rsid w:val="001D3592"/>
    <w:rsid w:val="001D392E"/>
    <w:rsid w:val="001D3B88"/>
    <w:rsid w:val="001D499C"/>
    <w:rsid w:val="001D5405"/>
    <w:rsid w:val="001D561B"/>
    <w:rsid w:val="001D5DD2"/>
    <w:rsid w:val="001D61B6"/>
    <w:rsid w:val="001D78DE"/>
    <w:rsid w:val="001D7BED"/>
    <w:rsid w:val="001D7F3B"/>
    <w:rsid w:val="001E06CA"/>
    <w:rsid w:val="001E194A"/>
    <w:rsid w:val="001E1C31"/>
    <w:rsid w:val="001E35C7"/>
    <w:rsid w:val="001E4554"/>
    <w:rsid w:val="001E4A83"/>
    <w:rsid w:val="001E678F"/>
    <w:rsid w:val="001E6E0A"/>
    <w:rsid w:val="001E7511"/>
    <w:rsid w:val="001E76AA"/>
    <w:rsid w:val="001F0311"/>
    <w:rsid w:val="001F20E5"/>
    <w:rsid w:val="001F342B"/>
    <w:rsid w:val="001F3471"/>
    <w:rsid w:val="001F3A22"/>
    <w:rsid w:val="001F3A40"/>
    <w:rsid w:val="001F3AF8"/>
    <w:rsid w:val="001F3B37"/>
    <w:rsid w:val="001F3F9F"/>
    <w:rsid w:val="001F403A"/>
    <w:rsid w:val="001F40AD"/>
    <w:rsid w:val="001F45B2"/>
    <w:rsid w:val="001F514A"/>
    <w:rsid w:val="001F5353"/>
    <w:rsid w:val="001F53FF"/>
    <w:rsid w:val="001F6F72"/>
    <w:rsid w:val="002005C8"/>
    <w:rsid w:val="0020070D"/>
    <w:rsid w:val="00201207"/>
    <w:rsid w:val="002018F6"/>
    <w:rsid w:val="0020460A"/>
    <w:rsid w:val="00204D2E"/>
    <w:rsid w:val="0020513B"/>
    <w:rsid w:val="00205828"/>
    <w:rsid w:val="00205A19"/>
    <w:rsid w:val="00205F8E"/>
    <w:rsid w:val="0020661A"/>
    <w:rsid w:val="0020751D"/>
    <w:rsid w:val="00207A20"/>
    <w:rsid w:val="002102ED"/>
    <w:rsid w:val="0021066C"/>
    <w:rsid w:val="002109C6"/>
    <w:rsid w:val="0021139A"/>
    <w:rsid w:val="002119A7"/>
    <w:rsid w:val="00212133"/>
    <w:rsid w:val="0021214A"/>
    <w:rsid w:val="00212628"/>
    <w:rsid w:val="00212C75"/>
    <w:rsid w:val="0021311C"/>
    <w:rsid w:val="002148DF"/>
    <w:rsid w:val="00214A24"/>
    <w:rsid w:val="00214C1A"/>
    <w:rsid w:val="00214DEE"/>
    <w:rsid w:val="00215075"/>
    <w:rsid w:val="00215242"/>
    <w:rsid w:val="0021632D"/>
    <w:rsid w:val="00216BFE"/>
    <w:rsid w:val="0021710C"/>
    <w:rsid w:val="00217800"/>
    <w:rsid w:val="0022093C"/>
    <w:rsid w:val="00221148"/>
    <w:rsid w:val="0022346E"/>
    <w:rsid w:val="0022375D"/>
    <w:rsid w:val="0022420B"/>
    <w:rsid w:val="002249E4"/>
    <w:rsid w:val="002265EA"/>
    <w:rsid w:val="00226CC5"/>
    <w:rsid w:val="00227A06"/>
    <w:rsid w:val="00230B15"/>
    <w:rsid w:val="00230F86"/>
    <w:rsid w:val="002316F4"/>
    <w:rsid w:val="002323A4"/>
    <w:rsid w:val="002325D4"/>
    <w:rsid w:val="00232F3E"/>
    <w:rsid w:val="002331CF"/>
    <w:rsid w:val="00233B3E"/>
    <w:rsid w:val="00233FE9"/>
    <w:rsid w:val="00234B40"/>
    <w:rsid w:val="002362BB"/>
    <w:rsid w:val="0023645C"/>
    <w:rsid w:val="00236CD5"/>
    <w:rsid w:val="00237888"/>
    <w:rsid w:val="0024021E"/>
    <w:rsid w:val="00240526"/>
    <w:rsid w:val="00240C06"/>
    <w:rsid w:val="00241E02"/>
    <w:rsid w:val="00242167"/>
    <w:rsid w:val="002425E3"/>
    <w:rsid w:val="00242CD7"/>
    <w:rsid w:val="00243B7D"/>
    <w:rsid w:val="00244239"/>
    <w:rsid w:val="0024499E"/>
    <w:rsid w:val="00244DF8"/>
    <w:rsid w:val="00247C85"/>
    <w:rsid w:val="00250F65"/>
    <w:rsid w:val="00251701"/>
    <w:rsid w:val="00251C29"/>
    <w:rsid w:val="00251CCE"/>
    <w:rsid w:val="002534AC"/>
    <w:rsid w:val="00254871"/>
    <w:rsid w:val="002559F5"/>
    <w:rsid w:val="00256A67"/>
    <w:rsid w:val="00256BD4"/>
    <w:rsid w:val="00256C45"/>
    <w:rsid w:val="00256FE9"/>
    <w:rsid w:val="002574AA"/>
    <w:rsid w:val="002575EE"/>
    <w:rsid w:val="00257723"/>
    <w:rsid w:val="00260FDB"/>
    <w:rsid w:val="00261316"/>
    <w:rsid w:val="002615FD"/>
    <w:rsid w:val="00261983"/>
    <w:rsid w:val="002635BE"/>
    <w:rsid w:val="00263BD2"/>
    <w:rsid w:val="00264336"/>
    <w:rsid w:val="002645E2"/>
    <w:rsid w:val="0026517F"/>
    <w:rsid w:val="002656FB"/>
    <w:rsid w:val="00267E61"/>
    <w:rsid w:val="002706C6"/>
    <w:rsid w:val="00270C42"/>
    <w:rsid w:val="0027213F"/>
    <w:rsid w:val="002723BB"/>
    <w:rsid w:val="00272F22"/>
    <w:rsid w:val="002731C7"/>
    <w:rsid w:val="00273590"/>
    <w:rsid w:val="00274A65"/>
    <w:rsid w:val="00275326"/>
    <w:rsid w:val="00275F61"/>
    <w:rsid w:val="00276CDC"/>
    <w:rsid w:val="00277155"/>
    <w:rsid w:val="002777AD"/>
    <w:rsid w:val="00280394"/>
    <w:rsid w:val="0028054E"/>
    <w:rsid w:val="002806F0"/>
    <w:rsid w:val="00281292"/>
    <w:rsid w:val="002825D7"/>
    <w:rsid w:val="00282C61"/>
    <w:rsid w:val="00282D69"/>
    <w:rsid w:val="002835C8"/>
    <w:rsid w:val="00283724"/>
    <w:rsid w:val="0028533C"/>
    <w:rsid w:val="00285D34"/>
    <w:rsid w:val="0028629F"/>
    <w:rsid w:val="0028766C"/>
    <w:rsid w:val="00292040"/>
    <w:rsid w:val="00292361"/>
    <w:rsid w:val="00292AFB"/>
    <w:rsid w:val="00293BD9"/>
    <w:rsid w:val="00293E89"/>
    <w:rsid w:val="00294195"/>
    <w:rsid w:val="002943C7"/>
    <w:rsid w:val="00294988"/>
    <w:rsid w:val="002958CE"/>
    <w:rsid w:val="00296BF0"/>
    <w:rsid w:val="00296C2C"/>
    <w:rsid w:val="00296E6C"/>
    <w:rsid w:val="00296FB8"/>
    <w:rsid w:val="002974EA"/>
    <w:rsid w:val="002A0E94"/>
    <w:rsid w:val="002A2929"/>
    <w:rsid w:val="002A31BA"/>
    <w:rsid w:val="002A3539"/>
    <w:rsid w:val="002A3A72"/>
    <w:rsid w:val="002A505F"/>
    <w:rsid w:val="002A5B12"/>
    <w:rsid w:val="002A5D04"/>
    <w:rsid w:val="002A758B"/>
    <w:rsid w:val="002B1287"/>
    <w:rsid w:val="002B256A"/>
    <w:rsid w:val="002B2AC4"/>
    <w:rsid w:val="002B3178"/>
    <w:rsid w:val="002B338E"/>
    <w:rsid w:val="002B3FF6"/>
    <w:rsid w:val="002B626B"/>
    <w:rsid w:val="002B637D"/>
    <w:rsid w:val="002B731D"/>
    <w:rsid w:val="002B7ADD"/>
    <w:rsid w:val="002B7DA2"/>
    <w:rsid w:val="002B7FF8"/>
    <w:rsid w:val="002C07FA"/>
    <w:rsid w:val="002C0A7F"/>
    <w:rsid w:val="002C19A4"/>
    <w:rsid w:val="002C1C64"/>
    <w:rsid w:val="002C2676"/>
    <w:rsid w:val="002C2B8A"/>
    <w:rsid w:val="002C4F8A"/>
    <w:rsid w:val="002C5AA0"/>
    <w:rsid w:val="002C6231"/>
    <w:rsid w:val="002C676C"/>
    <w:rsid w:val="002C773A"/>
    <w:rsid w:val="002D09B1"/>
    <w:rsid w:val="002D0E4F"/>
    <w:rsid w:val="002D121E"/>
    <w:rsid w:val="002D179F"/>
    <w:rsid w:val="002D2088"/>
    <w:rsid w:val="002D28A9"/>
    <w:rsid w:val="002D2A90"/>
    <w:rsid w:val="002D2F92"/>
    <w:rsid w:val="002D37F0"/>
    <w:rsid w:val="002D3DBF"/>
    <w:rsid w:val="002D5BEC"/>
    <w:rsid w:val="002D5CD5"/>
    <w:rsid w:val="002D5D05"/>
    <w:rsid w:val="002D5E50"/>
    <w:rsid w:val="002D6237"/>
    <w:rsid w:val="002D67BC"/>
    <w:rsid w:val="002D72AD"/>
    <w:rsid w:val="002D7AFF"/>
    <w:rsid w:val="002E0320"/>
    <w:rsid w:val="002E03E6"/>
    <w:rsid w:val="002E0D17"/>
    <w:rsid w:val="002E0FC7"/>
    <w:rsid w:val="002E118A"/>
    <w:rsid w:val="002E1215"/>
    <w:rsid w:val="002E1613"/>
    <w:rsid w:val="002E2236"/>
    <w:rsid w:val="002E2D66"/>
    <w:rsid w:val="002E3CEF"/>
    <w:rsid w:val="002E5367"/>
    <w:rsid w:val="002E56BD"/>
    <w:rsid w:val="002E5787"/>
    <w:rsid w:val="002E662F"/>
    <w:rsid w:val="002E7549"/>
    <w:rsid w:val="002E7B4C"/>
    <w:rsid w:val="002F04A2"/>
    <w:rsid w:val="002F13F7"/>
    <w:rsid w:val="002F1BB2"/>
    <w:rsid w:val="002F2A75"/>
    <w:rsid w:val="002F43C4"/>
    <w:rsid w:val="002F472E"/>
    <w:rsid w:val="002F533D"/>
    <w:rsid w:val="002F58B7"/>
    <w:rsid w:val="002F5FE7"/>
    <w:rsid w:val="002F6417"/>
    <w:rsid w:val="002F701C"/>
    <w:rsid w:val="00300984"/>
    <w:rsid w:val="00300AA6"/>
    <w:rsid w:val="00300C5F"/>
    <w:rsid w:val="00301E27"/>
    <w:rsid w:val="00302206"/>
    <w:rsid w:val="003022B9"/>
    <w:rsid w:val="00302E33"/>
    <w:rsid w:val="00303801"/>
    <w:rsid w:val="00305D65"/>
    <w:rsid w:val="00305F0D"/>
    <w:rsid w:val="00306500"/>
    <w:rsid w:val="00307A3D"/>
    <w:rsid w:val="003106D0"/>
    <w:rsid w:val="00314052"/>
    <w:rsid w:val="00314950"/>
    <w:rsid w:val="003149BC"/>
    <w:rsid w:val="003150BB"/>
    <w:rsid w:val="00315773"/>
    <w:rsid w:val="0031636F"/>
    <w:rsid w:val="003171FF"/>
    <w:rsid w:val="00317617"/>
    <w:rsid w:val="00320ADA"/>
    <w:rsid w:val="00320CA1"/>
    <w:rsid w:val="0032172C"/>
    <w:rsid w:val="00321915"/>
    <w:rsid w:val="00321F12"/>
    <w:rsid w:val="003228DF"/>
    <w:rsid w:val="0032299E"/>
    <w:rsid w:val="00322BBF"/>
    <w:rsid w:val="00322C7A"/>
    <w:rsid w:val="00322EAB"/>
    <w:rsid w:val="00323312"/>
    <w:rsid w:val="003234F6"/>
    <w:rsid w:val="00323800"/>
    <w:rsid w:val="00323C0A"/>
    <w:rsid w:val="00324869"/>
    <w:rsid w:val="00324DCC"/>
    <w:rsid w:val="00325A7C"/>
    <w:rsid w:val="003266B7"/>
    <w:rsid w:val="003268FE"/>
    <w:rsid w:val="00327100"/>
    <w:rsid w:val="003272AB"/>
    <w:rsid w:val="00330FFB"/>
    <w:rsid w:val="003311BA"/>
    <w:rsid w:val="00331365"/>
    <w:rsid w:val="0033149C"/>
    <w:rsid w:val="003315CC"/>
    <w:rsid w:val="00331BDB"/>
    <w:rsid w:val="0033250A"/>
    <w:rsid w:val="00332833"/>
    <w:rsid w:val="003329A6"/>
    <w:rsid w:val="00332ADF"/>
    <w:rsid w:val="003332A0"/>
    <w:rsid w:val="00333AB4"/>
    <w:rsid w:val="00333E41"/>
    <w:rsid w:val="00333F40"/>
    <w:rsid w:val="0033557A"/>
    <w:rsid w:val="0033597F"/>
    <w:rsid w:val="00335D2F"/>
    <w:rsid w:val="00336787"/>
    <w:rsid w:val="00336822"/>
    <w:rsid w:val="003372D3"/>
    <w:rsid w:val="003374B1"/>
    <w:rsid w:val="0034022B"/>
    <w:rsid w:val="00341052"/>
    <w:rsid w:val="0034196A"/>
    <w:rsid w:val="00342583"/>
    <w:rsid w:val="00342A8F"/>
    <w:rsid w:val="003438F1"/>
    <w:rsid w:val="00343922"/>
    <w:rsid w:val="00343924"/>
    <w:rsid w:val="003445E3"/>
    <w:rsid w:val="00346D15"/>
    <w:rsid w:val="00346F8E"/>
    <w:rsid w:val="00347C47"/>
    <w:rsid w:val="00350247"/>
    <w:rsid w:val="00350678"/>
    <w:rsid w:val="0035118E"/>
    <w:rsid w:val="0035177E"/>
    <w:rsid w:val="003519B3"/>
    <w:rsid w:val="00351B9C"/>
    <w:rsid w:val="00351D38"/>
    <w:rsid w:val="00352DAF"/>
    <w:rsid w:val="00353881"/>
    <w:rsid w:val="00353F39"/>
    <w:rsid w:val="00354C9D"/>
    <w:rsid w:val="0035551F"/>
    <w:rsid w:val="00355728"/>
    <w:rsid w:val="00355A50"/>
    <w:rsid w:val="00356913"/>
    <w:rsid w:val="00356A67"/>
    <w:rsid w:val="003578E5"/>
    <w:rsid w:val="00357C57"/>
    <w:rsid w:val="00360ED2"/>
    <w:rsid w:val="0036116E"/>
    <w:rsid w:val="00362118"/>
    <w:rsid w:val="00362F5E"/>
    <w:rsid w:val="003635C8"/>
    <w:rsid w:val="00363E19"/>
    <w:rsid w:val="00363F69"/>
    <w:rsid w:val="0036435C"/>
    <w:rsid w:val="00364C8A"/>
    <w:rsid w:val="00365A85"/>
    <w:rsid w:val="00366693"/>
    <w:rsid w:val="00366DC9"/>
    <w:rsid w:val="00366FB7"/>
    <w:rsid w:val="00367D20"/>
    <w:rsid w:val="00371C94"/>
    <w:rsid w:val="0037219A"/>
    <w:rsid w:val="0037358B"/>
    <w:rsid w:val="003736E8"/>
    <w:rsid w:val="00374924"/>
    <w:rsid w:val="00375C1C"/>
    <w:rsid w:val="00375E46"/>
    <w:rsid w:val="003763F6"/>
    <w:rsid w:val="00376746"/>
    <w:rsid w:val="0037736B"/>
    <w:rsid w:val="00377B4E"/>
    <w:rsid w:val="00380FFB"/>
    <w:rsid w:val="00381305"/>
    <w:rsid w:val="00382967"/>
    <w:rsid w:val="003847B2"/>
    <w:rsid w:val="00384C21"/>
    <w:rsid w:val="00386E8A"/>
    <w:rsid w:val="003872DE"/>
    <w:rsid w:val="003877F3"/>
    <w:rsid w:val="003907DA"/>
    <w:rsid w:val="0039131A"/>
    <w:rsid w:val="003919CF"/>
    <w:rsid w:val="0039267B"/>
    <w:rsid w:val="00393E64"/>
    <w:rsid w:val="00394BBE"/>
    <w:rsid w:val="00394FCB"/>
    <w:rsid w:val="00395F82"/>
    <w:rsid w:val="003A1351"/>
    <w:rsid w:val="003A1545"/>
    <w:rsid w:val="003A17DD"/>
    <w:rsid w:val="003A187C"/>
    <w:rsid w:val="003A1DB2"/>
    <w:rsid w:val="003A2488"/>
    <w:rsid w:val="003A323D"/>
    <w:rsid w:val="003A5D76"/>
    <w:rsid w:val="003A5E1E"/>
    <w:rsid w:val="003A612C"/>
    <w:rsid w:val="003A64AB"/>
    <w:rsid w:val="003A655D"/>
    <w:rsid w:val="003B0678"/>
    <w:rsid w:val="003B096A"/>
    <w:rsid w:val="003B0B50"/>
    <w:rsid w:val="003B0E08"/>
    <w:rsid w:val="003B2049"/>
    <w:rsid w:val="003B2E6A"/>
    <w:rsid w:val="003B3305"/>
    <w:rsid w:val="003B3C37"/>
    <w:rsid w:val="003B4A0F"/>
    <w:rsid w:val="003B4DB3"/>
    <w:rsid w:val="003B6EEA"/>
    <w:rsid w:val="003B7C7F"/>
    <w:rsid w:val="003B7FAB"/>
    <w:rsid w:val="003C137C"/>
    <w:rsid w:val="003C14C7"/>
    <w:rsid w:val="003C191E"/>
    <w:rsid w:val="003C2341"/>
    <w:rsid w:val="003C3103"/>
    <w:rsid w:val="003C3497"/>
    <w:rsid w:val="003C4014"/>
    <w:rsid w:val="003C4E82"/>
    <w:rsid w:val="003C6975"/>
    <w:rsid w:val="003C6A24"/>
    <w:rsid w:val="003C7930"/>
    <w:rsid w:val="003C7AE3"/>
    <w:rsid w:val="003D15F8"/>
    <w:rsid w:val="003D18ED"/>
    <w:rsid w:val="003D4D1E"/>
    <w:rsid w:val="003D4EB8"/>
    <w:rsid w:val="003D6D14"/>
    <w:rsid w:val="003D7C21"/>
    <w:rsid w:val="003D7C8F"/>
    <w:rsid w:val="003D7E79"/>
    <w:rsid w:val="003E0782"/>
    <w:rsid w:val="003E157D"/>
    <w:rsid w:val="003E233B"/>
    <w:rsid w:val="003E2A36"/>
    <w:rsid w:val="003E3501"/>
    <w:rsid w:val="003E35E9"/>
    <w:rsid w:val="003E3C82"/>
    <w:rsid w:val="003E4129"/>
    <w:rsid w:val="003E69F7"/>
    <w:rsid w:val="003E7005"/>
    <w:rsid w:val="003E7767"/>
    <w:rsid w:val="003E7E5C"/>
    <w:rsid w:val="003F05C0"/>
    <w:rsid w:val="003F0949"/>
    <w:rsid w:val="003F0F67"/>
    <w:rsid w:val="003F2B34"/>
    <w:rsid w:val="003F2C3E"/>
    <w:rsid w:val="003F2F40"/>
    <w:rsid w:val="003F32B5"/>
    <w:rsid w:val="003F34C0"/>
    <w:rsid w:val="003F44AA"/>
    <w:rsid w:val="003F461E"/>
    <w:rsid w:val="003F4727"/>
    <w:rsid w:val="003F5678"/>
    <w:rsid w:val="003F5DF7"/>
    <w:rsid w:val="003F6265"/>
    <w:rsid w:val="003F7BB5"/>
    <w:rsid w:val="00400179"/>
    <w:rsid w:val="004008DE"/>
    <w:rsid w:val="0040321A"/>
    <w:rsid w:val="00403EB1"/>
    <w:rsid w:val="004053A6"/>
    <w:rsid w:val="004053D5"/>
    <w:rsid w:val="0040770B"/>
    <w:rsid w:val="00407723"/>
    <w:rsid w:val="00407F1F"/>
    <w:rsid w:val="00410781"/>
    <w:rsid w:val="004110A0"/>
    <w:rsid w:val="004110A8"/>
    <w:rsid w:val="00411C07"/>
    <w:rsid w:val="0041275B"/>
    <w:rsid w:val="00412F5B"/>
    <w:rsid w:val="004130DC"/>
    <w:rsid w:val="00413F3B"/>
    <w:rsid w:val="00414646"/>
    <w:rsid w:val="00414F25"/>
    <w:rsid w:val="00415D52"/>
    <w:rsid w:val="00415F8F"/>
    <w:rsid w:val="004163B9"/>
    <w:rsid w:val="00416EDE"/>
    <w:rsid w:val="00420594"/>
    <w:rsid w:val="00420720"/>
    <w:rsid w:val="0042132F"/>
    <w:rsid w:val="004215CB"/>
    <w:rsid w:val="00421DCC"/>
    <w:rsid w:val="00423A9A"/>
    <w:rsid w:val="00424022"/>
    <w:rsid w:val="004243FA"/>
    <w:rsid w:val="00424E6A"/>
    <w:rsid w:val="00425BF1"/>
    <w:rsid w:val="00426198"/>
    <w:rsid w:val="00426D7F"/>
    <w:rsid w:val="00427F1B"/>
    <w:rsid w:val="004303E2"/>
    <w:rsid w:val="0043080A"/>
    <w:rsid w:val="00431C92"/>
    <w:rsid w:val="00432E03"/>
    <w:rsid w:val="00433657"/>
    <w:rsid w:val="00433801"/>
    <w:rsid w:val="004353F7"/>
    <w:rsid w:val="004354A2"/>
    <w:rsid w:val="00435A27"/>
    <w:rsid w:val="0043659F"/>
    <w:rsid w:val="00437852"/>
    <w:rsid w:val="00440505"/>
    <w:rsid w:val="004408BC"/>
    <w:rsid w:val="00440900"/>
    <w:rsid w:val="004409B4"/>
    <w:rsid w:val="00440F4B"/>
    <w:rsid w:val="00442271"/>
    <w:rsid w:val="004424F1"/>
    <w:rsid w:val="0044250B"/>
    <w:rsid w:val="00442F19"/>
    <w:rsid w:val="00443B73"/>
    <w:rsid w:val="00444605"/>
    <w:rsid w:val="00445881"/>
    <w:rsid w:val="004458F2"/>
    <w:rsid w:val="00446F5F"/>
    <w:rsid w:val="00450B3F"/>
    <w:rsid w:val="00450BD2"/>
    <w:rsid w:val="00451F44"/>
    <w:rsid w:val="00452AFD"/>
    <w:rsid w:val="0045426D"/>
    <w:rsid w:val="00456DAD"/>
    <w:rsid w:val="004572F4"/>
    <w:rsid w:val="00457969"/>
    <w:rsid w:val="00457C82"/>
    <w:rsid w:val="00457EFD"/>
    <w:rsid w:val="00457F7C"/>
    <w:rsid w:val="00460C2B"/>
    <w:rsid w:val="0046148B"/>
    <w:rsid w:val="00461CA7"/>
    <w:rsid w:val="00462751"/>
    <w:rsid w:val="004627F2"/>
    <w:rsid w:val="0046323A"/>
    <w:rsid w:val="00464650"/>
    <w:rsid w:val="00465153"/>
    <w:rsid w:val="0046587D"/>
    <w:rsid w:val="00465F27"/>
    <w:rsid w:val="00466038"/>
    <w:rsid w:val="004674E0"/>
    <w:rsid w:val="004677B9"/>
    <w:rsid w:val="00467968"/>
    <w:rsid w:val="00470324"/>
    <w:rsid w:val="00470EA3"/>
    <w:rsid w:val="00471A32"/>
    <w:rsid w:val="004725E3"/>
    <w:rsid w:val="00472C16"/>
    <w:rsid w:val="0047307E"/>
    <w:rsid w:val="00473C46"/>
    <w:rsid w:val="00474CBD"/>
    <w:rsid w:val="00474CFE"/>
    <w:rsid w:val="004754D2"/>
    <w:rsid w:val="00475B0A"/>
    <w:rsid w:val="00476651"/>
    <w:rsid w:val="0047722F"/>
    <w:rsid w:val="00480CA7"/>
    <w:rsid w:val="00481007"/>
    <w:rsid w:val="00482C7F"/>
    <w:rsid w:val="00482FAE"/>
    <w:rsid w:val="00483E27"/>
    <w:rsid w:val="00483F9B"/>
    <w:rsid w:val="004846D9"/>
    <w:rsid w:val="004850CE"/>
    <w:rsid w:val="00487AB1"/>
    <w:rsid w:val="004904CC"/>
    <w:rsid w:val="00491C47"/>
    <w:rsid w:val="00492C8D"/>
    <w:rsid w:val="00493754"/>
    <w:rsid w:val="00493789"/>
    <w:rsid w:val="00493F34"/>
    <w:rsid w:val="004948F0"/>
    <w:rsid w:val="00495F00"/>
    <w:rsid w:val="00495FC3"/>
    <w:rsid w:val="00497567"/>
    <w:rsid w:val="00497CED"/>
    <w:rsid w:val="004A006A"/>
    <w:rsid w:val="004A023E"/>
    <w:rsid w:val="004A228C"/>
    <w:rsid w:val="004A3980"/>
    <w:rsid w:val="004A410D"/>
    <w:rsid w:val="004A4437"/>
    <w:rsid w:val="004A4BBA"/>
    <w:rsid w:val="004A5C71"/>
    <w:rsid w:val="004A7708"/>
    <w:rsid w:val="004A7D75"/>
    <w:rsid w:val="004B0698"/>
    <w:rsid w:val="004B0A84"/>
    <w:rsid w:val="004B2E5F"/>
    <w:rsid w:val="004B2FFD"/>
    <w:rsid w:val="004B4E59"/>
    <w:rsid w:val="004B569C"/>
    <w:rsid w:val="004B6AC1"/>
    <w:rsid w:val="004B6BAB"/>
    <w:rsid w:val="004B6F64"/>
    <w:rsid w:val="004B7175"/>
    <w:rsid w:val="004C1877"/>
    <w:rsid w:val="004C191B"/>
    <w:rsid w:val="004C19AC"/>
    <w:rsid w:val="004C1C11"/>
    <w:rsid w:val="004C1D0C"/>
    <w:rsid w:val="004C1F7B"/>
    <w:rsid w:val="004C20B2"/>
    <w:rsid w:val="004C246E"/>
    <w:rsid w:val="004C2F9E"/>
    <w:rsid w:val="004C3409"/>
    <w:rsid w:val="004C4BA1"/>
    <w:rsid w:val="004C7686"/>
    <w:rsid w:val="004C7AE0"/>
    <w:rsid w:val="004C7FC3"/>
    <w:rsid w:val="004D0306"/>
    <w:rsid w:val="004D1494"/>
    <w:rsid w:val="004D2BEB"/>
    <w:rsid w:val="004D2D39"/>
    <w:rsid w:val="004D3758"/>
    <w:rsid w:val="004D492F"/>
    <w:rsid w:val="004D4E77"/>
    <w:rsid w:val="004D5E01"/>
    <w:rsid w:val="004D5E86"/>
    <w:rsid w:val="004D6924"/>
    <w:rsid w:val="004E06A0"/>
    <w:rsid w:val="004E1713"/>
    <w:rsid w:val="004E1892"/>
    <w:rsid w:val="004E3107"/>
    <w:rsid w:val="004E37F0"/>
    <w:rsid w:val="004E3DDA"/>
    <w:rsid w:val="004E4256"/>
    <w:rsid w:val="004E444D"/>
    <w:rsid w:val="004E4C6E"/>
    <w:rsid w:val="004E5DEE"/>
    <w:rsid w:val="004E642B"/>
    <w:rsid w:val="004E71AB"/>
    <w:rsid w:val="004E7D0F"/>
    <w:rsid w:val="004F1173"/>
    <w:rsid w:val="004F1E4E"/>
    <w:rsid w:val="004F216C"/>
    <w:rsid w:val="004F3FB5"/>
    <w:rsid w:val="004F4375"/>
    <w:rsid w:val="004F4E73"/>
    <w:rsid w:val="004F5202"/>
    <w:rsid w:val="004F5A55"/>
    <w:rsid w:val="004F5A7C"/>
    <w:rsid w:val="004F6683"/>
    <w:rsid w:val="004F6B9D"/>
    <w:rsid w:val="004F6DB2"/>
    <w:rsid w:val="004F7493"/>
    <w:rsid w:val="004F758B"/>
    <w:rsid w:val="004F7814"/>
    <w:rsid w:val="004F7B40"/>
    <w:rsid w:val="00500719"/>
    <w:rsid w:val="00500AD5"/>
    <w:rsid w:val="005019C3"/>
    <w:rsid w:val="00503AD2"/>
    <w:rsid w:val="00503EAC"/>
    <w:rsid w:val="00503EE9"/>
    <w:rsid w:val="0050456C"/>
    <w:rsid w:val="0050566E"/>
    <w:rsid w:val="00510BE3"/>
    <w:rsid w:val="005111D5"/>
    <w:rsid w:val="00511267"/>
    <w:rsid w:val="005115B3"/>
    <w:rsid w:val="00511933"/>
    <w:rsid w:val="0051229E"/>
    <w:rsid w:val="00512923"/>
    <w:rsid w:val="00512CD2"/>
    <w:rsid w:val="00513293"/>
    <w:rsid w:val="00513AB9"/>
    <w:rsid w:val="00514971"/>
    <w:rsid w:val="00515AEA"/>
    <w:rsid w:val="00516522"/>
    <w:rsid w:val="0051672F"/>
    <w:rsid w:val="00516914"/>
    <w:rsid w:val="005175A3"/>
    <w:rsid w:val="005178F2"/>
    <w:rsid w:val="00517C02"/>
    <w:rsid w:val="005200EA"/>
    <w:rsid w:val="005209FD"/>
    <w:rsid w:val="00520FEE"/>
    <w:rsid w:val="00521DE4"/>
    <w:rsid w:val="00523F96"/>
    <w:rsid w:val="00525E1F"/>
    <w:rsid w:val="00526458"/>
    <w:rsid w:val="00526AFC"/>
    <w:rsid w:val="00526DB8"/>
    <w:rsid w:val="00526FDB"/>
    <w:rsid w:val="005270CD"/>
    <w:rsid w:val="0052737F"/>
    <w:rsid w:val="00530058"/>
    <w:rsid w:val="00530982"/>
    <w:rsid w:val="00530CAB"/>
    <w:rsid w:val="005310B5"/>
    <w:rsid w:val="00532364"/>
    <w:rsid w:val="00532D3C"/>
    <w:rsid w:val="005342BE"/>
    <w:rsid w:val="005353D4"/>
    <w:rsid w:val="005355B6"/>
    <w:rsid w:val="00535C4E"/>
    <w:rsid w:val="00535DD2"/>
    <w:rsid w:val="0053668E"/>
    <w:rsid w:val="0053792A"/>
    <w:rsid w:val="00540D29"/>
    <w:rsid w:val="00540DDA"/>
    <w:rsid w:val="0054104F"/>
    <w:rsid w:val="005410AE"/>
    <w:rsid w:val="00542BDD"/>
    <w:rsid w:val="0054323D"/>
    <w:rsid w:val="0054381C"/>
    <w:rsid w:val="0054439D"/>
    <w:rsid w:val="0054546F"/>
    <w:rsid w:val="00546F19"/>
    <w:rsid w:val="00547E84"/>
    <w:rsid w:val="0055126D"/>
    <w:rsid w:val="00552763"/>
    <w:rsid w:val="0055355B"/>
    <w:rsid w:val="00555647"/>
    <w:rsid w:val="00555AA7"/>
    <w:rsid w:val="00556DAB"/>
    <w:rsid w:val="00557104"/>
    <w:rsid w:val="0055715A"/>
    <w:rsid w:val="005609D4"/>
    <w:rsid w:val="005617A8"/>
    <w:rsid w:val="0056195F"/>
    <w:rsid w:val="00561CB3"/>
    <w:rsid w:val="00561E1D"/>
    <w:rsid w:val="00563843"/>
    <w:rsid w:val="00564122"/>
    <w:rsid w:val="00564B97"/>
    <w:rsid w:val="00566D02"/>
    <w:rsid w:val="00567519"/>
    <w:rsid w:val="005679DE"/>
    <w:rsid w:val="00571418"/>
    <w:rsid w:val="00571719"/>
    <w:rsid w:val="00571773"/>
    <w:rsid w:val="00571D10"/>
    <w:rsid w:val="00572247"/>
    <w:rsid w:val="00572F55"/>
    <w:rsid w:val="005734D5"/>
    <w:rsid w:val="00573A29"/>
    <w:rsid w:val="005748AE"/>
    <w:rsid w:val="0057545F"/>
    <w:rsid w:val="00575696"/>
    <w:rsid w:val="005760D6"/>
    <w:rsid w:val="00576327"/>
    <w:rsid w:val="005766F1"/>
    <w:rsid w:val="005774DE"/>
    <w:rsid w:val="00580C7C"/>
    <w:rsid w:val="00582139"/>
    <w:rsid w:val="005826A3"/>
    <w:rsid w:val="00582DD0"/>
    <w:rsid w:val="00583305"/>
    <w:rsid w:val="005838CE"/>
    <w:rsid w:val="00583A14"/>
    <w:rsid w:val="0058448D"/>
    <w:rsid w:val="00584C54"/>
    <w:rsid w:val="00584F04"/>
    <w:rsid w:val="00585E69"/>
    <w:rsid w:val="00586211"/>
    <w:rsid w:val="00590494"/>
    <w:rsid w:val="00590911"/>
    <w:rsid w:val="00590D46"/>
    <w:rsid w:val="00590F19"/>
    <w:rsid w:val="00590F7E"/>
    <w:rsid w:val="0059145F"/>
    <w:rsid w:val="00592236"/>
    <w:rsid w:val="005927B7"/>
    <w:rsid w:val="00592852"/>
    <w:rsid w:val="00592A25"/>
    <w:rsid w:val="00593A38"/>
    <w:rsid w:val="00595282"/>
    <w:rsid w:val="005958E2"/>
    <w:rsid w:val="0059670E"/>
    <w:rsid w:val="0059676D"/>
    <w:rsid w:val="0059728B"/>
    <w:rsid w:val="00597B05"/>
    <w:rsid w:val="00597C60"/>
    <w:rsid w:val="005A13C5"/>
    <w:rsid w:val="005A3873"/>
    <w:rsid w:val="005A4580"/>
    <w:rsid w:val="005A45A4"/>
    <w:rsid w:val="005A4723"/>
    <w:rsid w:val="005A6AAC"/>
    <w:rsid w:val="005A7466"/>
    <w:rsid w:val="005B010A"/>
    <w:rsid w:val="005B0EDF"/>
    <w:rsid w:val="005B1109"/>
    <w:rsid w:val="005B12AD"/>
    <w:rsid w:val="005B1606"/>
    <w:rsid w:val="005B16B2"/>
    <w:rsid w:val="005B260D"/>
    <w:rsid w:val="005B2BFB"/>
    <w:rsid w:val="005B5C6B"/>
    <w:rsid w:val="005B6025"/>
    <w:rsid w:val="005B62DE"/>
    <w:rsid w:val="005B64A9"/>
    <w:rsid w:val="005C1183"/>
    <w:rsid w:val="005C12E3"/>
    <w:rsid w:val="005C2144"/>
    <w:rsid w:val="005C2B9B"/>
    <w:rsid w:val="005C2D47"/>
    <w:rsid w:val="005C3024"/>
    <w:rsid w:val="005C3BED"/>
    <w:rsid w:val="005C3FAD"/>
    <w:rsid w:val="005C41AA"/>
    <w:rsid w:val="005C4206"/>
    <w:rsid w:val="005C45FA"/>
    <w:rsid w:val="005C4EE0"/>
    <w:rsid w:val="005C58DB"/>
    <w:rsid w:val="005C6181"/>
    <w:rsid w:val="005C6745"/>
    <w:rsid w:val="005C701B"/>
    <w:rsid w:val="005C7D6F"/>
    <w:rsid w:val="005D0420"/>
    <w:rsid w:val="005D1756"/>
    <w:rsid w:val="005D23A7"/>
    <w:rsid w:val="005D2B10"/>
    <w:rsid w:val="005D328E"/>
    <w:rsid w:val="005D353B"/>
    <w:rsid w:val="005D3F6C"/>
    <w:rsid w:val="005D4133"/>
    <w:rsid w:val="005D4191"/>
    <w:rsid w:val="005D47E1"/>
    <w:rsid w:val="005D6AA0"/>
    <w:rsid w:val="005D7A03"/>
    <w:rsid w:val="005D7A3B"/>
    <w:rsid w:val="005D7CC4"/>
    <w:rsid w:val="005E0394"/>
    <w:rsid w:val="005E11F4"/>
    <w:rsid w:val="005E1783"/>
    <w:rsid w:val="005E21AE"/>
    <w:rsid w:val="005E39B6"/>
    <w:rsid w:val="005E5C9A"/>
    <w:rsid w:val="005E5F3F"/>
    <w:rsid w:val="005E65CB"/>
    <w:rsid w:val="005E79C6"/>
    <w:rsid w:val="005F0772"/>
    <w:rsid w:val="005F0A0B"/>
    <w:rsid w:val="005F2F3C"/>
    <w:rsid w:val="005F4684"/>
    <w:rsid w:val="005F4E53"/>
    <w:rsid w:val="005F573B"/>
    <w:rsid w:val="005F66BC"/>
    <w:rsid w:val="005F6B41"/>
    <w:rsid w:val="005F7842"/>
    <w:rsid w:val="005F78B6"/>
    <w:rsid w:val="0060024D"/>
    <w:rsid w:val="006002A0"/>
    <w:rsid w:val="00600C79"/>
    <w:rsid w:val="006012D8"/>
    <w:rsid w:val="0060145C"/>
    <w:rsid w:val="00601B6E"/>
    <w:rsid w:val="00601BAB"/>
    <w:rsid w:val="00601E39"/>
    <w:rsid w:val="00601E5C"/>
    <w:rsid w:val="00601FDB"/>
    <w:rsid w:val="0060275F"/>
    <w:rsid w:val="006039AE"/>
    <w:rsid w:val="00603D8D"/>
    <w:rsid w:val="0060433B"/>
    <w:rsid w:val="00604C64"/>
    <w:rsid w:val="0060521E"/>
    <w:rsid w:val="00606295"/>
    <w:rsid w:val="006069E1"/>
    <w:rsid w:val="00606A12"/>
    <w:rsid w:val="006075E9"/>
    <w:rsid w:val="00607B3B"/>
    <w:rsid w:val="00610755"/>
    <w:rsid w:val="00611BCF"/>
    <w:rsid w:val="006129A4"/>
    <w:rsid w:val="00612A09"/>
    <w:rsid w:val="00613373"/>
    <w:rsid w:val="006138B3"/>
    <w:rsid w:val="00617967"/>
    <w:rsid w:val="006200B6"/>
    <w:rsid w:val="00620305"/>
    <w:rsid w:val="0062036A"/>
    <w:rsid w:val="00620F5F"/>
    <w:rsid w:val="00621E51"/>
    <w:rsid w:val="006222FD"/>
    <w:rsid w:val="00622AFB"/>
    <w:rsid w:val="00622FF7"/>
    <w:rsid w:val="006234B0"/>
    <w:rsid w:val="006237EB"/>
    <w:rsid w:val="006252A7"/>
    <w:rsid w:val="00625A54"/>
    <w:rsid w:val="00625ACB"/>
    <w:rsid w:val="00626495"/>
    <w:rsid w:val="0062679C"/>
    <w:rsid w:val="00627702"/>
    <w:rsid w:val="0062783C"/>
    <w:rsid w:val="00627BBF"/>
    <w:rsid w:val="00630ACF"/>
    <w:rsid w:val="006313F4"/>
    <w:rsid w:val="00632770"/>
    <w:rsid w:val="006336A9"/>
    <w:rsid w:val="00633F32"/>
    <w:rsid w:val="00634345"/>
    <w:rsid w:val="006349A5"/>
    <w:rsid w:val="006355B3"/>
    <w:rsid w:val="00635A64"/>
    <w:rsid w:val="0063634D"/>
    <w:rsid w:val="0063643C"/>
    <w:rsid w:val="00640EA8"/>
    <w:rsid w:val="00640F3B"/>
    <w:rsid w:val="0064139B"/>
    <w:rsid w:val="006422CB"/>
    <w:rsid w:val="00642B2D"/>
    <w:rsid w:val="00642E61"/>
    <w:rsid w:val="00642E7B"/>
    <w:rsid w:val="00643F4A"/>
    <w:rsid w:val="00644915"/>
    <w:rsid w:val="00644EB3"/>
    <w:rsid w:val="00645551"/>
    <w:rsid w:val="00646581"/>
    <w:rsid w:val="00646900"/>
    <w:rsid w:val="00647834"/>
    <w:rsid w:val="00647AF9"/>
    <w:rsid w:val="0065190C"/>
    <w:rsid w:val="00651ADF"/>
    <w:rsid w:val="00651CD8"/>
    <w:rsid w:val="00651D88"/>
    <w:rsid w:val="006536A4"/>
    <w:rsid w:val="00653CC3"/>
    <w:rsid w:val="00653F34"/>
    <w:rsid w:val="00655197"/>
    <w:rsid w:val="00655A3E"/>
    <w:rsid w:val="006561EF"/>
    <w:rsid w:val="00656581"/>
    <w:rsid w:val="00657145"/>
    <w:rsid w:val="00657150"/>
    <w:rsid w:val="00657393"/>
    <w:rsid w:val="006575CB"/>
    <w:rsid w:val="00657A9D"/>
    <w:rsid w:val="00660C14"/>
    <w:rsid w:val="00660EA2"/>
    <w:rsid w:val="006614A6"/>
    <w:rsid w:val="00662314"/>
    <w:rsid w:val="0066277B"/>
    <w:rsid w:val="00663B3B"/>
    <w:rsid w:val="00663DB5"/>
    <w:rsid w:val="00663EB2"/>
    <w:rsid w:val="00664DA8"/>
    <w:rsid w:val="006654BF"/>
    <w:rsid w:val="0066598B"/>
    <w:rsid w:val="00665D87"/>
    <w:rsid w:val="00665E28"/>
    <w:rsid w:val="00667311"/>
    <w:rsid w:val="00667830"/>
    <w:rsid w:val="00671DE5"/>
    <w:rsid w:val="00672386"/>
    <w:rsid w:val="006723B8"/>
    <w:rsid w:val="006734B8"/>
    <w:rsid w:val="006737FB"/>
    <w:rsid w:val="006738E6"/>
    <w:rsid w:val="00674456"/>
    <w:rsid w:val="00674FA2"/>
    <w:rsid w:val="006752B3"/>
    <w:rsid w:val="00675DF4"/>
    <w:rsid w:val="00677165"/>
    <w:rsid w:val="00677867"/>
    <w:rsid w:val="006817BE"/>
    <w:rsid w:val="00681FC7"/>
    <w:rsid w:val="00682581"/>
    <w:rsid w:val="00683418"/>
    <w:rsid w:val="00683B28"/>
    <w:rsid w:val="00685B11"/>
    <w:rsid w:val="00685D23"/>
    <w:rsid w:val="00686A05"/>
    <w:rsid w:val="00686DBC"/>
    <w:rsid w:val="00687083"/>
    <w:rsid w:val="00687612"/>
    <w:rsid w:val="0068764A"/>
    <w:rsid w:val="00687E06"/>
    <w:rsid w:val="00690BA7"/>
    <w:rsid w:val="00690C71"/>
    <w:rsid w:val="00690DAC"/>
    <w:rsid w:val="006912C6"/>
    <w:rsid w:val="006912F8"/>
    <w:rsid w:val="0069147C"/>
    <w:rsid w:val="00691BE1"/>
    <w:rsid w:val="00693288"/>
    <w:rsid w:val="006934E5"/>
    <w:rsid w:val="006937B9"/>
    <w:rsid w:val="00693E7D"/>
    <w:rsid w:val="006947A5"/>
    <w:rsid w:val="00694B14"/>
    <w:rsid w:val="00694FA2"/>
    <w:rsid w:val="006959ED"/>
    <w:rsid w:val="00695C93"/>
    <w:rsid w:val="00696376"/>
    <w:rsid w:val="0069771C"/>
    <w:rsid w:val="006A009A"/>
    <w:rsid w:val="006A0D79"/>
    <w:rsid w:val="006A2093"/>
    <w:rsid w:val="006A30DA"/>
    <w:rsid w:val="006A33DB"/>
    <w:rsid w:val="006A3F38"/>
    <w:rsid w:val="006A4835"/>
    <w:rsid w:val="006A4B63"/>
    <w:rsid w:val="006A51DF"/>
    <w:rsid w:val="006A5317"/>
    <w:rsid w:val="006A599E"/>
    <w:rsid w:val="006A59C0"/>
    <w:rsid w:val="006A5B61"/>
    <w:rsid w:val="006A658B"/>
    <w:rsid w:val="006A738A"/>
    <w:rsid w:val="006B0145"/>
    <w:rsid w:val="006B234D"/>
    <w:rsid w:val="006B250E"/>
    <w:rsid w:val="006B288C"/>
    <w:rsid w:val="006B2D6D"/>
    <w:rsid w:val="006B30D8"/>
    <w:rsid w:val="006B311C"/>
    <w:rsid w:val="006B429E"/>
    <w:rsid w:val="006B42C6"/>
    <w:rsid w:val="006B5332"/>
    <w:rsid w:val="006B5BC9"/>
    <w:rsid w:val="006B6DD1"/>
    <w:rsid w:val="006B72A2"/>
    <w:rsid w:val="006C0367"/>
    <w:rsid w:val="006C0CB8"/>
    <w:rsid w:val="006C0EC8"/>
    <w:rsid w:val="006C122E"/>
    <w:rsid w:val="006C2360"/>
    <w:rsid w:val="006C2882"/>
    <w:rsid w:val="006C2BB6"/>
    <w:rsid w:val="006C34C4"/>
    <w:rsid w:val="006C3B09"/>
    <w:rsid w:val="006C3CEE"/>
    <w:rsid w:val="006C3E66"/>
    <w:rsid w:val="006C3EA4"/>
    <w:rsid w:val="006C4161"/>
    <w:rsid w:val="006C4D9D"/>
    <w:rsid w:val="006C50F8"/>
    <w:rsid w:val="006C5952"/>
    <w:rsid w:val="006C66A7"/>
    <w:rsid w:val="006C6A24"/>
    <w:rsid w:val="006C6BF2"/>
    <w:rsid w:val="006C6D15"/>
    <w:rsid w:val="006C767C"/>
    <w:rsid w:val="006D1C1B"/>
    <w:rsid w:val="006D1D10"/>
    <w:rsid w:val="006D2AF4"/>
    <w:rsid w:val="006D32A1"/>
    <w:rsid w:val="006D4119"/>
    <w:rsid w:val="006D573D"/>
    <w:rsid w:val="006D6248"/>
    <w:rsid w:val="006D7543"/>
    <w:rsid w:val="006D7B74"/>
    <w:rsid w:val="006E0167"/>
    <w:rsid w:val="006E17B7"/>
    <w:rsid w:val="006E2524"/>
    <w:rsid w:val="006E34F9"/>
    <w:rsid w:val="006E4D09"/>
    <w:rsid w:val="006E61D4"/>
    <w:rsid w:val="006E65E2"/>
    <w:rsid w:val="006F0811"/>
    <w:rsid w:val="006F271A"/>
    <w:rsid w:val="006F311A"/>
    <w:rsid w:val="006F37FA"/>
    <w:rsid w:val="006F52ED"/>
    <w:rsid w:val="006F5BF8"/>
    <w:rsid w:val="006F6410"/>
    <w:rsid w:val="006F6816"/>
    <w:rsid w:val="006F7314"/>
    <w:rsid w:val="006F7E0C"/>
    <w:rsid w:val="0070037A"/>
    <w:rsid w:val="0070096E"/>
    <w:rsid w:val="007013F9"/>
    <w:rsid w:val="00702921"/>
    <w:rsid w:val="00703DA0"/>
    <w:rsid w:val="00703DEB"/>
    <w:rsid w:val="00703E52"/>
    <w:rsid w:val="00704DE8"/>
    <w:rsid w:val="00705BCE"/>
    <w:rsid w:val="00706720"/>
    <w:rsid w:val="00706F33"/>
    <w:rsid w:val="00711430"/>
    <w:rsid w:val="00711612"/>
    <w:rsid w:val="007138F4"/>
    <w:rsid w:val="00713BA4"/>
    <w:rsid w:val="00713FD1"/>
    <w:rsid w:val="0071432C"/>
    <w:rsid w:val="00714A77"/>
    <w:rsid w:val="00716D67"/>
    <w:rsid w:val="00720126"/>
    <w:rsid w:val="007213D9"/>
    <w:rsid w:val="007240AE"/>
    <w:rsid w:val="00724370"/>
    <w:rsid w:val="00724620"/>
    <w:rsid w:val="00724629"/>
    <w:rsid w:val="00724951"/>
    <w:rsid w:val="00725300"/>
    <w:rsid w:val="00725C77"/>
    <w:rsid w:val="00726610"/>
    <w:rsid w:val="00726F87"/>
    <w:rsid w:val="0072705C"/>
    <w:rsid w:val="007274A2"/>
    <w:rsid w:val="007274F5"/>
    <w:rsid w:val="00730E75"/>
    <w:rsid w:val="0073128A"/>
    <w:rsid w:val="007315AD"/>
    <w:rsid w:val="00731923"/>
    <w:rsid w:val="00731980"/>
    <w:rsid w:val="00731A30"/>
    <w:rsid w:val="00731D2D"/>
    <w:rsid w:val="00731DDA"/>
    <w:rsid w:val="007325A7"/>
    <w:rsid w:val="00732B23"/>
    <w:rsid w:val="007343FD"/>
    <w:rsid w:val="00734F13"/>
    <w:rsid w:val="007354BB"/>
    <w:rsid w:val="007362AC"/>
    <w:rsid w:val="0073797F"/>
    <w:rsid w:val="00737E0C"/>
    <w:rsid w:val="00737E36"/>
    <w:rsid w:val="0074003B"/>
    <w:rsid w:val="00740769"/>
    <w:rsid w:val="007413C6"/>
    <w:rsid w:val="0074145F"/>
    <w:rsid w:val="00741553"/>
    <w:rsid w:val="00741632"/>
    <w:rsid w:val="007438A3"/>
    <w:rsid w:val="00743DEB"/>
    <w:rsid w:val="00745544"/>
    <w:rsid w:val="00745C39"/>
    <w:rsid w:val="007461F0"/>
    <w:rsid w:val="00747735"/>
    <w:rsid w:val="00747A9C"/>
    <w:rsid w:val="00750921"/>
    <w:rsid w:val="0075099F"/>
    <w:rsid w:val="007522C2"/>
    <w:rsid w:val="007523D3"/>
    <w:rsid w:val="00752C26"/>
    <w:rsid w:val="00753040"/>
    <w:rsid w:val="007532FF"/>
    <w:rsid w:val="00753918"/>
    <w:rsid w:val="00754566"/>
    <w:rsid w:val="007550AC"/>
    <w:rsid w:val="00755A9E"/>
    <w:rsid w:val="00755D36"/>
    <w:rsid w:val="0075679F"/>
    <w:rsid w:val="00756BD0"/>
    <w:rsid w:val="00757382"/>
    <w:rsid w:val="00757AC9"/>
    <w:rsid w:val="00757CD6"/>
    <w:rsid w:val="00757F5B"/>
    <w:rsid w:val="00757F66"/>
    <w:rsid w:val="00761660"/>
    <w:rsid w:val="00761686"/>
    <w:rsid w:val="00761A40"/>
    <w:rsid w:val="0076225F"/>
    <w:rsid w:val="007631D8"/>
    <w:rsid w:val="00763843"/>
    <w:rsid w:val="007649A6"/>
    <w:rsid w:val="00765257"/>
    <w:rsid w:val="00766B10"/>
    <w:rsid w:val="00766BDB"/>
    <w:rsid w:val="007671C0"/>
    <w:rsid w:val="0076721B"/>
    <w:rsid w:val="00767B81"/>
    <w:rsid w:val="007704DB"/>
    <w:rsid w:val="0077181E"/>
    <w:rsid w:val="00771CD0"/>
    <w:rsid w:val="0077231F"/>
    <w:rsid w:val="007736F8"/>
    <w:rsid w:val="007740E2"/>
    <w:rsid w:val="00774557"/>
    <w:rsid w:val="007745EF"/>
    <w:rsid w:val="00774EBF"/>
    <w:rsid w:val="0077529D"/>
    <w:rsid w:val="00775397"/>
    <w:rsid w:val="0077578D"/>
    <w:rsid w:val="007760F8"/>
    <w:rsid w:val="00776562"/>
    <w:rsid w:val="00780450"/>
    <w:rsid w:val="007832A0"/>
    <w:rsid w:val="00783684"/>
    <w:rsid w:val="007858DC"/>
    <w:rsid w:val="00785D78"/>
    <w:rsid w:val="007862EC"/>
    <w:rsid w:val="00786947"/>
    <w:rsid w:val="00787337"/>
    <w:rsid w:val="00787542"/>
    <w:rsid w:val="00790568"/>
    <w:rsid w:val="00790633"/>
    <w:rsid w:val="00790CE4"/>
    <w:rsid w:val="00790E19"/>
    <w:rsid w:val="00790FED"/>
    <w:rsid w:val="007912CD"/>
    <w:rsid w:val="007913A7"/>
    <w:rsid w:val="007914D5"/>
    <w:rsid w:val="00791AA4"/>
    <w:rsid w:val="007926F8"/>
    <w:rsid w:val="0079342B"/>
    <w:rsid w:val="00793949"/>
    <w:rsid w:val="00793CA2"/>
    <w:rsid w:val="00794DF5"/>
    <w:rsid w:val="0079520A"/>
    <w:rsid w:val="007952D3"/>
    <w:rsid w:val="0079553B"/>
    <w:rsid w:val="0079553C"/>
    <w:rsid w:val="00796606"/>
    <w:rsid w:val="0079677C"/>
    <w:rsid w:val="00797044"/>
    <w:rsid w:val="007970EB"/>
    <w:rsid w:val="00797C0B"/>
    <w:rsid w:val="007A03E7"/>
    <w:rsid w:val="007A1232"/>
    <w:rsid w:val="007A2810"/>
    <w:rsid w:val="007A31DF"/>
    <w:rsid w:val="007A42B2"/>
    <w:rsid w:val="007A4E01"/>
    <w:rsid w:val="007A4FA3"/>
    <w:rsid w:val="007A5929"/>
    <w:rsid w:val="007A5C24"/>
    <w:rsid w:val="007A6A0C"/>
    <w:rsid w:val="007A7F98"/>
    <w:rsid w:val="007B0397"/>
    <w:rsid w:val="007B0F0C"/>
    <w:rsid w:val="007B1564"/>
    <w:rsid w:val="007B29B3"/>
    <w:rsid w:val="007B3B08"/>
    <w:rsid w:val="007B4029"/>
    <w:rsid w:val="007B4666"/>
    <w:rsid w:val="007B4BFD"/>
    <w:rsid w:val="007B546F"/>
    <w:rsid w:val="007B622F"/>
    <w:rsid w:val="007B6BC2"/>
    <w:rsid w:val="007B6EF7"/>
    <w:rsid w:val="007B7D6F"/>
    <w:rsid w:val="007C0C88"/>
    <w:rsid w:val="007C0DA4"/>
    <w:rsid w:val="007C0FFA"/>
    <w:rsid w:val="007C1B74"/>
    <w:rsid w:val="007C2E4D"/>
    <w:rsid w:val="007C4375"/>
    <w:rsid w:val="007C7A83"/>
    <w:rsid w:val="007D0057"/>
    <w:rsid w:val="007D0F39"/>
    <w:rsid w:val="007D215D"/>
    <w:rsid w:val="007D23E3"/>
    <w:rsid w:val="007D3583"/>
    <w:rsid w:val="007D39EC"/>
    <w:rsid w:val="007D3A5A"/>
    <w:rsid w:val="007D4003"/>
    <w:rsid w:val="007D40AD"/>
    <w:rsid w:val="007D410F"/>
    <w:rsid w:val="007D41B3"/>
    <w:rsid w:val="007D4549"/>
    <w:rsid w:val="007D52AD"/>
    <w:rsid w:val="007D5F3D"/>
    <w:rsid w:val="007D6259"/>
    <w:rsid w:val="007D66C4"/>
    <w:rsid w:val="007D700F"/>
    <w:rsid w:val="007D7F4A"/>
    <w:rsid w:val="007E045E"/>
    <w:rsid w:val="007E0873"/>
    <w:rsid w:val="007E12F9"/>
    <w:rsid w:val="007E211A"/>
    <w:rsid w:val="007E31EB"/>
    <w:rsid w:val="007E3361"/>
    <w:rsid w:val="007E3411"/>
    <w:rsid w:val="007E3E0D"/>
    <w:rsid w:val="007E4E19"/>
    <w:rsid w:val="007E6530"/>
    <w:rsid w:val="007E6BB5"/>
    <w:rsid w:val="007E7091"/>
    <w:rsid w:val="007E7BD2"/>
    <w:rsid w:val="007E7D30"/>
    <w:rsid w:val="007E7DD7"/>
    <w:rsid w:val="007E7F0F"/>
    <w:rsid w:val="007E7FD8"/>
    <w:rsid w:val="007F03CD"/>
    <w:rsid w:val="007F0B2A"/>
    <w:rsid w:val="007F119A"/>
    <w:rsid w:val="007F1287"/>
    <w:rsid w:val="007F32B4"/>
    <w:rsid w:val="007F37EC"/>
    <w:rsid w:val="007F3A55"/>
    <w:rsid w:val="007F3D75"/>
    <w:rsid w:val="007F4B3C"/>
    <w:rsid w:val="007F4BB9"/>
    <w:rsid w:val="007F4BF5"/>
    <w:rsid w:val="007F5CCC"/>
    <w:rsid w:val="007F5FB8"/>
    <w:rsid w:val="007F667B"/>
    <w:rsid w:val="007F7021"/>
    <w:rsid w:val="007F72BD"/>
    <w:rsid w:val="00800307"/>
    <w:rsid w:val="00802344"/>
    <w:rsid w:val="008024DC"/>
    <w:rsid w:val="0080299E"/>
    <w:rsid w:val="0080526B"/>
    <w:rsid w:val="0080559F"/>
    <w:rsid w:val="00805806"/>
    <w:rsid w:val="00806193"/>
    <w:rsid w:val="008065EC"/>
    <w:rsid w:val="00806641"/>
    <w:rsid w:val="00806813"/>
    <w:rsid w:val="00806C1E"/>
    <w:rsid w:val="00810E6B"/>
    <w:rsid w:val="00812163"/>
    <w:rsid w:val="008125BD"/>
    <w:rsid w:val="00813993"/>
    <w:rsid w:val="00813B68"/>
    <w:rsid w:val="00814A30"/>
    <w:rsid w:val="00815222"/>
    <w:rsid w:val="00815573"/>
    <w:rsid w:val="008156BC"/>
    <w:rsid w:val="008169B7"/>
    <w:rsid w:val="00816A08"/>
    <w:rsid w:val="00816E65"/>
    <w:rsid w:val="008175F4"/>
    <w:rsid w:val="00817768"/>
    <w:rsid w:val="008205FA"/>
    <w:rsid w:val="008208A5"/>
    <w:rsid w:val="00821AFF"/>
    <w:rsid w:val="008220C7"/>
    <w:rsid w:val="00822264"/>
    <w:rsid w:val="00822C4C"/>
    <w:rsid w:val="0082538F"/>
    <w:rsid w:val="008253BC"/>
    <w:rsid w:val="00825BAA"/>
    <w:rsid w:val="00825C2C"/>
    <w:rsid w:val="0082678A"/>
    <w:rsid w:val="00826964"/>
    <w:rsid w:val="00827496"/>
    <w:rsid w:val="008308E9"/>
    <w:rsid w:val="00831FD0"/>
    <w:rsid w:val="008332FB"/>
    <w:rsid w:val="00833BED"/>
    <w:rsid w:val="00833CC4"/>
    <w:rsid w:val="00834305"/>
    <w:rsid w:val="00834D20"/>
    <w:rsid w:val="00835A07"/>
    <w:rsid w:val="00835F37"/>
    <w:rsid w:val="008372D7"/>
    <w:rsid w:val="00837BC9"/>
    <w:rsid w:val="008408E7"/>
    <w:rsid w:val="00841651"/>
    <w:rsid w:val="008416F2"/>
    <w:rsid w:val="008418C1"/>
    <w:rsid w:val="00841BA1"/>
    <w:rsid w:val="00841F97"/>
    <w:rsid w:val="0084229C"/>
    <w:rsid w:val="00842EDF"/>
    <w:rsid w:val="00843AD6"/>
    <w:rsid w:val="00844067"/>
    <w:rsid w:val="0084428B"/>
    <w:rsid w:val="0084614C"/>
    <w:rsid w:val="00847511"/>
    <w:rsid w:val="00847E69"/>
    <w:rsid w:val="00851339"/>
    <w:rsid w:val="00851B9C"/>
    <w:rsid w:val="00852B39"/>
    <w:rsid w:val="008538A4"/>
    <w:rsid w:val="0085401A"/>
    <w:rsid w:val="008547FF"/>
    <w:rsid w:val="008565F6"/>
    <w:rsid w:val="00856D6F"/>
    <w:rsid w:val="0085728A"/>
    <w:rsid w:val="00857345"/>
    <w:rsid w:val="00857EEB"/>
    <w:rsid w:val="00863E1D"/>
    <w:rsid w:val="0086511B"/>
    <w:rsid w:val="0086581E"/>
    <w:rsid w:val="008667F6"/>
    <w:rsid w:val="00867D02"/>
    <w:rsid w:val="00870058"/>
    <w:rsid w:val="00870CAA"/>
    <w:rsid w:val="00871454"/>
    <w:rsid w:val="008716E4"/>
    <w:rsid w:val="00871A66"/>
    <w:rsid w:val="00871F78"/>
    <w:rsid w:val="00872334"/>
    <w:rsid w:val="008732BF"/>
    <w:rsid w:val="00873E37"/>
    <w:rsid w:val="00874056"/>
    <w:rsid w:val="00874605"/>
    <w:rsid w:val="00874B19"/>
    <w:rsid w:val="008751C9"/>
    <w:rsid w:val="00875314"/>
    <w:rsid w:val="008757A6"/>
    <w:rsid w:val="00875CE9"/>
    <w:rsid w:val="00875E0D"/>
    <w:rsid w:val="00875EE3"/>
    <w:rsid w:val="00875FB5"/>
    <w:rsid w:val="00877C3B"/>
    <w:rsid w:val="00877DB9"/>
    <w:rsid w:val="00881005"/>
    <w:rsid w:val="00881814"/>
    <w:rsid w:val="0088454C"/>
    <w:rsid w:val="008848D7"/>
    <w:rsid w:val="00885029"/>
    <w:rsid w:val="00885511"/>
    <w:rsid w:val="00886262"/>
    <w:rsid w:val="008868F2"/>
    <w:rsid w:val="00886E78"/>
    <w:rsid w:val="00890885"/>
    <w:rsid w:val="00891BC9"/>
    <w:rsid w:val="00892223"/>
    <w:rsid w:val="00892256"/>
    <w:rsid w:val="00892A95"/>
    <w:rsid w:val="00893C0B"/>
    <w:rsid w:val="008954FA"/>
    <w:rsid w:val="0089592E"/>
    <w:rsid w:val="008959F5"/>
    <w:rsid w:val="00895BE4"/>
    <w:rsid w:val="00897054"/>
    <w:rsid w:val="00897902"/>
    <w:rsid w:val="008979C9"/>
    <w:rsid w:val="00897FA6"/>
    <w:rsid w:val="008A12AD"/>
    <w:rsid w:val="008A291B"/>
    <w:rsid w:val="008A2B0A"/>
    <w:rsid w:val="008A4136"/>
    <w:rsid w:val="008A4CC5"/>
    <w:rsid w:val="008A56C6"/>
    <w:rsid w:val="008A5C62"/>
    <w:rsid w:val="008A6952"/>
    <w:rsid w:val="008A73A9"/>
    <w:rsid w:val="008B0A5B"/>
    <w:rsid w:val="008B0EC5"/>
    <w:rsid w:val="008B10D0"/>
    <w:rsid w:val="008B1198"/>
    <w:rsid w:val="008B1783"/>
    <w:rsid w:val="008B2858"/>
    <w:rsid w:val="008B355A"/>
    <w:rsid w:val="008B3F10"/>
    <w:rsid w:val="008B4ACC"/>
    <w:rsid w:val="008B5520"/>
    <w:rsid w:val="008B6790"/>
    <w:rsid w:val="008B7068"/>
    <w:rsid w:val="008B7FD4"/>
    <w:rsid w:val="008C0368"/>
    <w:rsid w:val="008C122F"/>
    <w:rsid w:val="008C1F1D"/>
    <w:rsid w:val="008C219F"/>
    <w:rsid w:val="008C2F6E"/>
    <w:rsid w:val="008C30FE"/>
    <w:rsid w:val="008C31DD"/>
    <w:rsid w:val="008C3C55"/>
    <w:rsid w:val="008C4018"/>
    <w:rsid w:val="008C476D"/>
    <w:rsid w:val="008C491E"/>
    <w:rsid w:val="008C549A"/>
    <w:rsid w:val="008C582F"/>
    <w:rsid w:val="008C5E90"/>
    <w:rsid w:val="008C6C4A"/>
    <w:rsid w:val="008C6FB5"/>
    <w:rsid w:val="008C77A4"/>
    <w:rsid w:val="008C7A1F"/>
    <w:rsid w:val="008D0260"/>
    <w:rsid w:val="008D048D"/>
    <w:rsid w:val="008D04BD"/>
    <w:rsid w:val="008D0E69"/>
    <w:rsid w:val="008D12F6"/>
    <w:rsid w:val="008D1A50"/>
    <w:rsid w:val="008D1F7E"/>
    <w:rsid w:val="008D2799"/>
    <w:rsid w:val="008D2986"/>
    <w:rsid w:val="008D2F6B"/>
    <w:rsid w:val="008D42E4"/>
    <w:rsid w:val="008D45AB"/>
    <w:rsid w:val="008D4948"/>
    <w:rsid w:val="008D6350"/>
    <w:rsid w:val="008D6700"/>
    <w:rsid w:val="008E0640"/>
    <w:rsid w:val="008E0952"/>
    <w:rsid w:val="008E0D91"/>
    <w:rsid w:val="008E0EB7"/>
    <w:rsid w:val="008E0F4B"/>
    <w:rsid w:val="008E11E4"/>
    <w:rsid w:val="008E2F0E"/>
    <w:rsid w:val="008E3096"/>
    <w:rsid w:val="008E3738"/>
    <w:rsid w:val="008E3AF8"/>
    <w:rsid w:val="008E4674"/>
    <w:rsid w:val="008E56D9"/>
    <w:rsid w:val="008E5BE9"/>
    <w:rsid w:val="008E74AE"/>
    <w:rsid w:val="008F0A2B"/>
    <w:rsid w:val="008F0DCD"/>
    <w:rsid w:val="008F2650"/>
    <w:rsid w:val="008F343E"/>
    <w:rsid w:val="008F3682"/>
    <w:rsid w:val="008F42A2"/>
    <w:rsid w:val="008F45F5"/>
    <w:rsid w:val="008F5345"/>
    <w:rsid w:val="008F5ED9"/>
    <w:rsid w:val="008F655C"/>
    <w:rsid w:val="008F67CA"/>
    <w:rsid w:val="008F69FD"/>
    <w:rsid w:val="008F6DA7"/>
    <w:rsid w:val="00900471"/>
    <w:rsid w:val="009008F6"/>
    <w:rsid w:val="00901228"/>
    <w:rsid w:val="00902801"/>
    <w:rsid w:val="00902CC6"/>
    <w:rsid w:val="009033DE"/>
    <w:rsid w:val="00904A80"/>
    <w:rsid w:val="00904D5E"/>
    <w:rsid w:val="00905693"/>
    <w:rsid w:val="00905F83"/>
    <w:rsid w:val="00906B73"/>
    <w:rsid w:val="00906D70"/>
    <w:rsid w:val="0090765C"/>
    <w:rsid w:val="00907826"/>
    <w:rsid w:val="00907C62"/>
    <w:rsid w:val="00911B7F"/>
    <w:rsid w:val="00911D7D"/>
    <w:rsid w:val="009135E2"/>
    <w:rsid w:val="00913F5C"/>
    <w:rsid w:val="00915795"/>
    <w:rsid w:val="00915821"/>
    <w:rsid w:val="009174AB"/>
    <w:rsid w:val="00917A74"/>
    <w:rsid w:val="0092046C"/>
    <w:rsid w:val="00920C77"/>
    <w:rsid w:val="009214BB"/>
    <w:rsid w:val="009221BB"/>
    <w:rsid w:val="00922362"/>
    <w:rsid w:val="00922A9E"/>
    <w:rsid w:val="00923154"/>
    <w:rsid w:val="00924ABC"/>
    <w:rsid w:val="00924B7F"/>
    <w:rsid w:val="00925F3B"/>
    <w:rsid w:val="00926031"/>
    <w:rsid w:val="0092623C"/>
    <w:rsid w:val="00926F6E"/>
    <w:rsid w:val="00927414"/>
    <w:rsid w:val="00927536"/>
    <w:rsid w:val="009277EA"/>
    <w:rsid w:val="009278CB"/>
    <w:rsid w:val="009309EB"/>
    <w:rsid w:val="00930DE7"/>
    <w:rsid w:val="00931078"/>
    <w:rsid w:val="00931412"/>
    <w:rsid w:val="00932E5A"/>
    <w:rsid w:val="00935658"/>
    <w:rsid w:val="0093588E"/>
    <w:rsid w:val="00935DA8"/>
    <w:rsid w:val="00936C48"/>
    <w:rsid w:val="009424F0"/>
    <w:rsid w:val="0094307B"/>
    <w:rsid w:val="009432C7"/>
    <w:rsid w:val="009433AF"/>
    <w:rsid w:val="009437F6"/>
    <w:rsid w:val="00943937"/>
    <w:rsid w:val="00945033"/>
    <w:rsid w:val="00946BFF"/>
    <w:rsid w:val="00950221"/>
    <w:rsid w:val="0095044E"/>
    <w:rsid w:val="00950450"/>
    <w:rsid w:val="009506F2"/>
    <w:rsid w:val="009508C7"/>
    <w:rsid w:val="009513FA"/>
    <w:rsid w:val="009522CF"/>
    <w:rsid w:val="00952500"/>
    <w:rsid w:val="0095252F"/>
    <w:rsid w:val="009537D4"/>
    <w:rsid w:val="00953BD1"/>
    <w:rsid w:val="00953ED5"/>
    <w:rsid w:val="00954259"/>
    <w:rsid w:val="0095434B"/>
    <w:rsid w:val="00955ACF"/>
    <w:rsid w:val="00955FBE"/>
    <w:rsid w:val="0095602E"/>
    <w:rsid w:val="0095767F"/>
    <w:rsid w:val="00957C17"/>
    <w:rsid w:val="009619E2"/>
    <w:rsid w:val="0096257E"/>
    <w:rsid w:val="00963121"/>
    <w:rsid w:val="00963427"/>
    <w:rsid w:val="009636CE"/>
    <w:rsid w:val="009637F2"/>
    <w:rsid w:val="0096385B"/>
    <w:rsid w:val="0096427A"/>
    <w:rsid w:val="00964444"/>
    <w:rsid w:val="009644CB"/>
    <w:rsid w:val="009663D5"/>
    <w:rsid w:val="00966EA9"/>
    <w:rsid w:val="009677B1"/>
    <w:rsid w:val="009703D6"/>
    <w:rsid w:val="00970F35"/>
    <w:rsid w:val="00971747"/>
    <w:rsid w:val="00971AAA"/>
    <w:rsid w:val="0097209D"/>
    <w:rsid w:val="00972429"/>
    <w:rsid w:val="00972CC2"/>
    <w:rsid w:val="00973CF8"/>
    <w:rsid w:val="009742FE"/>
    <w:rsid w:val="00974D32"/>
    <w:rsid w:val="009758F4"/>
    <w:rsid w:val="00975E70"/>
    <w:rsid w:val="00975F28"/>
    <w:rsid w:val="009768B8"/>
    <w:rsid w:val="00976C27"/>
    <w:rsid w:val="0097717F"/>
    <w:rsid w:val="00980710"/>
    <w:rsid w:val="00980766"/>
    <w:rsid w:val="00981357"/>
    <w:rsid w:val="009814BA"/>
    <w:rsid w:val="00982333"/>
    <w:rsid w:val="00984308"/>
    <w:rsid w:val="0098564F"/>
    <w:rsid w:val="009866EC"/>
    <w:rsid w:val="009873FB"/>
    <w:rsid w:val="00987E9C"/>
    <w:rsid w:val="00990239"/>
    <w:rsid w:val="00990C28"/>
    <w:rsid w:val="00990CC7"/>
    <w:rsid w:val="009914E6"/>
    <w:rsid w:val="00991A2D"/>
    <w:rsid w:val="00991C9C"/>
    <w:rsid w:val="009924EE"/>
    <w:rsid w:val="009929CA"/>
    <w:rsid w:val="00992FB2"/>
    <w:rsid w:val="009932D8"/>
    <w:rsid w:val="00993893"/>
    <w:rsid w:val="0099497B"/>
    <w:rsid w:val="00994A66"/>
    <w:rsid w:val="00996DA2"/>
    <w:rsid w:val="00997982"/>
    <w:rsid w:val="00997B70"/>
    <w:rsid w:val="00997EC9"/>
    <w:rsid w:val="009A04BD"/>
    <w:rsid w:val="009A093D"/>
    <w:rsid w:val="009A0A9F"/>
    <w:rsid w:val="009A1398"/>
    <w:rsid w:val="009A1777"/>
    <w:rsid w:val="009A240D"/>
    <w:rsid w:val="009A2E54"/>
    <w:rsid w:val="009A3925"/>
    <w:rsid w:val="009A3D17"/>
    <w:rsid w:val="009A522F"/>
    <w:rsid w:val="009A6422"/>
    <w:rsid w:val="009A6D61"/>
    <w:rsid w:val="009A72B6"/>
    <w:rsid w:val="009A75CF"/>
    <w:rsid w:val="009B0F28"/>
    <w:rsid w:val="009B1969"/>
    <w:rsid w:val="009B1CD4"/>
    <w:rsid w:val="009B23ED"/>
    <w:rsid w:val="009B4FFA"/>
    <w:rsid w:val="009B55F5"/>
    <w:rsid w:val="009B5968"/>
    <w:rsid w:val="009B5B5A"/>
    <w:rsid w:val="009B5BF9"/>
    <w:rsid w:val="009B5D70"/>
    <w:rsid w:val="009B612B"/>
    <w:rsid w:val="009B6880"/>
    <w:rsid w:val="009C082E"/>
    <w:rsid w:val="009C098C"/>
    <w:rsid w:val="009C0D16"/>
    <w:rsid w:val="009C1624"/>
    <w:rsid w:val="009C21E1"/>
    <w:rsid w:val="009C24CF"/>
    <w:rsid w:val="009C29EB"/>
    <w:rsid w:val="009C46D0"/>
    <w:rsid w:val="009C4CDB"/>
    <w:rsid w:val="009C4DD9"/>
    <w:rsid w:val="009C5586"/>
    <w:rsid w:val="009C5BDD"/>
    <w:rsid w:val="009C605D"/>
    <w:rsid w:val="009C60D1"/>
    <w:rsid w:val="009C6192"/>
    <w:rsid w:val="009C7250"/>
    <w:rsid w:val="009D0184"/>
    <w:rsid w:val="009D15A3"/>
    <w:rsid w:val="009D15B1"/>
    <w:rsid w:val="009D1897"/>
    <w:rsid w:val="009D1D1D"/>
    <w:rsid w:val="009D2F27"/>
    <w:rsid w:val="009D34A8"/>
    <w:rsid w:val="009D373C"/>
    <w:rsid w:val="009D5E0E"/>
    <w:rsid w:val="009D6718"/>
    <w:rsid w:val="009D71BC"/>
    <w:rsid w:val="009D745C"/>
    <w:rsid w:val="009E0280"/>
    <w:rsid w:val="009E0C70"/>
    <w:rsid w:val="009E0DA8"/>
    <w:rsid w:val="009E1358"/>
    <w:rsid w:val="009E160C"/>
    <w:rsid w:val="009E2D75"/>
    <w:rsid w:val="009E3AFB"/>
    <w:rsid w:val="009E4176"/>
    <w:rsid w:val="009E5726"/>
    <w:rsid w:val="009E5EB7"/>
    <w:rsid w:val="009E66B8"/>
    <w:rsid w:val="009F00EE"/>
    <w:rsid w:val="009F1465"/>
    <w:rsid w:val="009F3218"/>
    <w:rsid w:val="009F33B5"/>
    <w:rsid w:val="009F425D"/>
    <w:rsid w:val="009F44A8"/>
    <w:rsid w:val="009F47F4"/>
    <w:rsid w:val="009F484A"/>
    <w:rsid w:val="009F4AB3"/>
    <w:rsid w:val="009F563B"/>
    <w:rsid w:val="009F5841"/>
    <w:rsid w:val="009F6CA3"/>
    <w:rsid w:val="009F6E86"/>
    <w:rsid w:val="009F7A1B"/>
    <w:rsid w:val="00A00A32"/>
    <w:rsid w:val="00A00AC3"/>
    <w:rsid w:val="00A0203C"/>
    <w:rsid w:val="00A02611"/>
    <w:rsid w:val="00A02EC3"/>
    <w:rsid w:val="00A03742"/>
    <w:rsid w:val="00A03ED4"/>
    <w:rsid w:val="00A041FB"/>
    <w:rsid w:val="00A04909"/>
    <w:rsid w:val="00A0494E"/>
    <w:rsid w:val="00A05522"/>
    <w:rsid w:val="00A05C9A"/>
    <w:rsid w:val="00A069FB"/>
    <w:rsid w:val="00A102F5"/>
    <w:rsid w:val="00A116DB"/>
    <w:rsid w:val="00A11EC3"/>
    <w:rsid w:val="00A1207D"/>
    <w:rsid w:val="00A1242B"/>
    <w:rsid w:val="00A13CA7"/>
    <w:rsid w:val="00A1426D"/>
    <w:rsid w:val="00A1455E"/>
    <w:rsid w:val="00A155A7"/>
    <w:rsid w:val="00A15E4A"/>
    <w:rsid w:val="00A15F97"/>
    <w:rsid w:val="00A1646C"/>
    <w:rsid w:val="00A16E3D"/>
    <w:rsid w:val="00A17BF3"/>
    <w:rsid w:val="00A20F0D"/>
    <w:rsid w:val="00A216B8"/>
    <w:rsid w:val="00A21F6F"/>
    <w:rsid w:val="00A22ECC"/>
    <w:rsid w:val="00A243EC"/>
    <w:rsid w:val="00A24420"/>
    <w:rsid w:val="00A2461F"/>
    <w:rsid w:val="00A25F57"/>
    <w:rsid w:val="00A26068"/>
    <w:rsid w:val="00A261CD"/>
    <w:rsid w:val="00A2660B"/>
    <w:rsid w:val="00A26622"/>
    <w:rsid w:val="00A279F3"/>
    <w:rsid w:val="00A27BC4"/>
    <w:rsid w:val="00A30E51"/>
    <w:rsid w:val="00A30E5C"/>
    <w:rsid w:val="00A32250"/>
    <w:rsid w:val="00A3254C"/>
    <w:rsid w:val="00A328E5"/>
    <w:rsid w:val="00A32D08"/>
    <w:rsid w:val="00A34048"/>
    <w:rsid w:val="00A3414E"/>
    <w:rsid w:val="00A34392"/>
    <w:rsid w:val="00A344C8"/>
    <w:rsid w:val="00A35965"/>
    <w:rsid w:val="00A35D63"/>
    <w:rsid w:val="00A35DB1"/>
    <w:rsid w:val="00A36AA4"/>
    <w:rsid w:val="00A377BD"/>
    <w:rsid w:val="00A37CAD"/>
    <w:rsid w:val="00A404FD"/>
    <w:rsid w:val="00A41747"/>
    <w:rsid w:val="00A41E01"/>
    <w:rsid w:val="00A42834"/>
    <w:rsid w:val="00A42A4A"/>
    <w:rsid w:val="00A42C46"/>
    <w:rsid w:val="00A434B9"/>
    <w:rsid w:val="00A4396F"/>
    <w:rsid w:val="00A44163"/>
    <w:rsid w:val="00A44688"/>
    <w:rsid w:val="00A45861"/>
    <w:rsid w:val="00A46B9D"/>
    <w:rsid w:val="00A478F9"/>
    <w:rsid w:val="00A51153"/>
    <w:rsid w:val="00A51CA2"/>
    <w:rsid w:val="00A5507E"/>
    <w:rsid w:val="00A551A3"/>
    <w:rsid w:val="00A5565E"/>
    <w:rsid w:val="00A55EE6"/>
    <w:rsid w:val="00A5617C"/>
    <w:rsid w:val="00A56289"/>
    <w:rsid w:val="00A5791D"/>
    <w:rsid w:val="00A600BC"/>
    <w:rsid w:val="00A60227"/>
    <w:rsid w:val="00A602B2"/>
    <w:rsid w:val="00A60D11"/>
    <w:rsid w:val="00A610C8"/>
    <w:rsid w:val="00A61449"/>
    <w:rsid w:val="00A61BBC"/>
    <w:rsid w:val="00A62484"/>
    <w:rsid w:val="00A626E1"/>
    <w:rsid w:val="00A63C89"/>
    <w:rsid w:val="00A64913"/>
    <w:rsid w:val="00A64D73"/>
    <w:rsid w:val="00A6668E"/>
    <w:rsid w:val="00A66D91"/>
    <w:rsid w:val="00A67CE8"/>
    <w:rsid w:val="00A67F5C"/>
    <w:rsid w:val="00A70894"/>
    <w:rsid w:val="00A720AD"/>
    <w:rsid w:val="00A7285B"/>
    <w:rsid w:val="00A72B37"/>
    <w:rsid w:val="00A72D3C"/>
    <w:rsid w:val="00A7390F"/>
    <w:rsid w:val="00A7393F"/>
    <w:rsid w:val="00A73AF5"/>
    <w:rsid w:val="00A73E5F"/>
    <w:rsid w:val="00A74002"/>
    <w:rsid w:val="00A7499D"/>
    <w:rsid w:val="00A761D8"/>
    <w:rsid w:val="00A765DE"/>
    <w:rsid w:val="00A7670A"/>
    <w:rsid w:val="00A76816"/>
    <w:rsid w:val="00A76B0D"/>
    <w:rsid w:val="00A76E99"/>
    <w:rsid w:val="00A7754F"/>
    <w:rsid w:val="00A77663"/>
    <w:rsid w:val="00A77D03"/>
    <w:rsid w:val="00A8011D"/>
    <w:rsid w:val="00A8026F"/>
    <w:rsid w:val="00A810B6"/>
    <w:rsid w:val="00A82898"/>
    <w:rsid w:val="00A82C4B"/>
    <w:rsid w:val="00A8358A"/>
    <w:rsid w:val="00A839DE"/>
    <w:rsid w:val="00A83A1E"/>
    <w:rsid w:val="00A840C9"/>
    <w:rsid w:val="00A84164"/>
    <w:rsid w:val="00A845FB"/>
    <w:rsid w:val="00A85185"/>
    <w:rsid w:val="00A851A8"/>
    <w:rsid w:val="00A85BBD"/>
    <w:rsid w:val="00A90ED9"/>
    <w:rsid w:val="00A91A31"/>
    <w:rsid w:val="00A93558"/>
    <w:rsid w:val="00A94088"/>
    <w:rsid w:val="00A941EA"/>
    <w:rsid w:val="00A94381"/>
    <w:rsid w:val="00A96871"/>
    <w:rsid w:val="00A96AAC"/>
    <w:rsid w:val="00A97126"/>
    <w:rsid w:val="00A97AE2"/>
    <w:rsid w:val="00AA08D6"/>
    <w:rsid w:val="00AA08D8"/>
    <w:rsid w:val="00AA181A"/>
    <w:rsid w:val="00AA1946"/>
    <w:rsid w:val="00AA19C0"/>
    <w:rsid w:val="00AA1D3D"/>
    <w:rsid w:val="00AA288D"/>
    <w:rsid w:val="00AA2978"/>
    <w:rsid w:val="00AA4559"/>
    <w:rsid w:val="00AA54B2"/>
    <w:rsid w:val="00AB0051"/>
    <w:rsid w:val="00AB0F48"/>
    <w:rsid w:val="00AB1008"/>
    <w:rsid w:val="00AB163B"/>
    <w:rsid w:val="00AB18FA"/>
    <w:rsid w:val="00AB1D3C"/>
    <w:rsid w:val="00AB218B"/>
    <w:rsid w:val="00AB2337"/>
    <w:rsid w:val="00AB2ABA"/>
    <w:rsid w:val="00AB2B45"/>
    <w:rsid w:val="00AB3A8C"/>
    <w:rsid w:val="00AB467A"/>
    <w:rsid w:val="00AB4C49"/>
    <w:rsid w:val="00AB52D2"/>
    <w:rsid w:val="00AB62CA"/>
    <w:rsid w:val="00AB6DB8"/>
    <w:rsid w:val="00AB7342"/>
    <w:rsid w:val="00AB760C"/>
    <w:rsid w:val="00AC0BAE"/>
    <w:rsid w:val="00AC14D2"/>
    <w:rsid w:val="00AC186E"/>
    <w:rsid w:val="00AC1ACF"/>
    <w:rsid w:val="00AC367A"/>
    <w:rsid w:val="00AC381A"/>
    <w:rsid w:val="00AC400A"/>
    <w:rsid w:val="00AC4E52"/>
    <w:rsid w:val="00AC58F1"/>
    <w:rsid w:val="00AC5BF7"/>
    <w:rsid w:val="00AC6BA5"/>
    <w:rsid w:val="00AC71D0"/>
    <w:rsid w:val="00AD0FF9"/>
    <w:rsid w:val="00AD2101"/>
    <w:rsid w:val="00AD221C"/>
    <w:rsid w:val="00AD22FF"/>
    <w:rsid w:val="00AD2B20"/>
    <w:rsid w:val="00AD303A"/>
    <w:rsid w:val="00AD3774"/>
    <w:rsid w:val="00AD4DBF"/>
    <w:rsid w:val="00AD5182"/>
    <w:rsid w:val="00AD5B57"/>
    <w:rsid w:val="00AD6D31"/>
    <w:rsid w:val="00AD7566"/>
    <w:rsid w:val="00AD7875"/>
    <w:rsid w:val="00AE041F"/>
    <w:rsid w:val="00AE06DA"/>
    <w:rsid w:val="00AE09F6"/>
    <w:rsid w:val="00AE109A"/>
    <w:rsid w:val="00AE1440"/>
    <w:rsid w:val="00AE4466"/>
    <w:rsid w:val="00AE4627"/>
    <w:rsid w:val="00AE499C"/>
    <w:rsid w:val="00AE5BF2"/>
    <w:rsid w:val="00AE7963"/>
    <w:rsid w:val="00AF0EAA"/>
    <w:rsid w:val="00AF107F"/>
    <w:rsid w:val="00AF19AC"/>
    <w:rsid w:val="00AF1B8C"/>
    <w:rsid w:val="00AF3DC7"/>
    <w:rsid w:val="00AF3F2C"/>
    <w:rsid w:val="00AF440F"/>
    <w:rsid w:val="00AF54A5"/>
    <w:rsid w:val="00AF6411"/>
    <w:rsid w:val="00AF6444"/>
    <w:rsid w:val="00B0040D"/>
    <w:rsid w:val="00B00434"/>
    <w:rsid w:val="00B005E0"/>
    <w:rsid w:val="00B015DA"/>
    <w:rsid w:val="00B019FC"/>
    <w:rsid w:val="00B024BE"/>
    <w:rsid w:val="00B0411D"/>
    <w:rsid w:val="00B04724"/>
    <w:rsid w:val="00B07777"/>
    <w:rsid w:val="00B07C9F"/>
    <w:rsid w:val="00B10468"/>
    <w:rsid w:val="00B104A0"/>
    <w:rsid w:val="00B1063F"/>
    <w:rsid w:val="00B109D6"/>
    <w:rsid w:val="00B10CF3"/>
    <w:rsid w:val="00B10EDF"/>
    <w:rsid w:val="00B11419"/>
    <w:rsid w:val="00B12416"/>
    <w:rsid w:val="00B1252E"/>
    <w:rsid w:val="00B1267D"/>
    <w:rsid w:val="00B128BE"/>
    <w:rsid w:val="00B12EF7"/>
    <w:rsid w:val="00B1365F"/>
    <w:rsid w:val="00B137CB"/>
    <w:rsid w:val="00B1454E"/>
    <w:rsid w:val="00B1513D"/>
    <w:rsid w:val="00B159DC"/>
    <w:rsid w:val="00B15E56"/>
    <w:rsid w:val="00B166B6"/>
    <w:rsid w:val="00B216CB"/>
    <w:rsid w:val="00B22199"/>
    <w:rsid w:val="00B22503"/>
    <w:rsid w:val="00B2277A"/>
    <w:rsid w:val="00B22E32"/>
    <w:rsid w:val="00B22EE1"/>
    <w:rsid w:val="00B233DF"/>
    <w:rsid w:val="00B23754"/>
    <w:rsid w:val="00B2384F"/>
    <w:rsid w:val="00B2412D"/>
    <w:rsid w:val="00B25FE7"/>
    <w:rsid w:val="00B26FBB"/>
    <w:rsid w:val="00B2789A"/>
    <w:rsid w:val="00B27D72"/>
    <w:rsid w:val="00B31875"/>
    <w:rsid w:val="00B31D6F"/>
    <w:rsid w:val="00B327AA"/>
    <w:rsid w:val="00B32BBD"/>
    <w:rsid w:val="00B34E11"/>
    <w:rsid w:val="00B34E43"/>
    <w:rsid w:val="00B35722"/>
    <w:rsid w:val="00B35E9B"/>
    <w:rsid w:val="00B37955"/>
    <w:rsid w:val="00B37D96"/>
    <w:rsid w:val="00B37DC7"/>
    <w:rsid w:val="00B37E2A"/>
    <w:rsid w:val="00B4059F"/>
    <w:rsid w:val="00B40D31"/>
    <w:rsid w:val="00B421BA"/>
    <w:rsid w:val="00B4238F"/>
    <w:rsid w:val="00B42752"/>
    <w:rsid w:val="00B429AD"/>
    <w:rsid w:val="00B43525"/>
    <w:rsid w:val="00B43C8B"/>
    <w:rsid w:val="00B443B4"/>
    <w:rsid w:val="00B44C9D"/>
    <w:rsid w:val="00B44F24"/>
    <w:rsid w:val="00B459AA"/>
    <w:rsid w:val="00B474E0"/>
    <w:rsid w:val="00B47A1D"/>
    <w:rsid w:val="00B50020"/>
    <w:rsid w:val="00B50848"/>
    <w:rsid w:val="00B51173"/>
    <w:rsid w:val="00B532F4"/>
    <w:rsid w:val="00B53BB1"/>
    <w:rsid w:val="00B5520E"/>
    <w:rsid w:val="00B5554C"/>
    <w:rsid w:val="00B55A7B"/>
    <w:rsid w:val="00B55F98"/>
    <w:rsid w:val="00B57251"/>
    <w:rsid w:val="00B600CC"/>
    <w:rsid w:val="00B61165"/>
    <w:rsid w:val="00B612D9"/>
    <w:rsid w:val="00B6154D"/>
    <w:rsid w:val="00B616B0"/>
    <w:rsid w:val="00B635E3"/>
    <w:rsid w:val="00B64226"/>
    <w:rsid w:val="00B64867"/>
    <w:rsid w:val="00B648D3"/>
    <w:rsid w:val="00B64FE3"/>
    <w:rsid w:val="00B65482"/>
    <w:rsid w:val="00B66311"/>
    <w:rsid w:val="00B66B41"/>
    <w:rsid w:val="00B67649"/>
    <w:rsid w:val="00B67F61"/>
    <w:rsid w:val="00B704E0"/>
    <w:rsid w:val="00B70692"/>
    <w:rsid w:val="00B7194A"/>
    <w:rsid w:val="00B71CFB"/>
    <w:rsid w:val="00B71E52"/>
    <w:rsid w:val="00B72502"/>
    <w:rsid w:val="00B74A0D"/>
    <w:rsid w:val="00B751AF"/>
    <w:rsid w:val="00B757D3"/>
    <w:rsid w:val="00B75B36"/>
    <w:rsid w:val="00B76427"/>
    <w:rsid w:val="00B76A0B"/>
    <w:rsid w:val="00B772EA"/>
    <w:rsid w:val="00B77B73"/>
    <w:rsid w:val="00B828DB"/>
    <w:rsid w:val="00B82FD0"/>
    <w:rsid w:val="00B82FF9"/>
    <w:rsid w:val="00B852EE"/>
    <w:rsid w:val="00B85A9E"/>
    <w:rsid w:val="00B8615B"/>
    <w:rsid w:val="00B870EE"/>
    <w:rsid w:val="00B8762D"/>
    <w:rsid w:val="00B900D8"/>
    <w:rsid w:val="00B9032D"/>
    <w:rsid w:val="00B90705"/>
    <w:rsid w:val="00B9184F"/>
    <w:rsid w:val="00B92B30"/>
    <w:rsid w:val="00B9399D"/>
    <w:rsid w:val="00B93D4D"/>
    <w:rsid w:val="00B942FE"/>
    <w:rsid w:val="00B94932"/>
    <w:rsid w:val="00B94C5D"/>
    <w:rsid w:val="00B94CA7"/>
    <w:rsid w:val="00B94D13"/>
    <w:rsid w:val="00B95546"/>
    <w:rsid w:val="00B95757"/>
    <w:rsid w:val="00B958CD"/>
    <w:rsid w:val="00B9692F"/>
    <w:rsid w:val="00B96BE9"/>
    <w:rsid w:val="00B96F71"/>
    <w:rsid w:val="00B970FB"/>
    <w:rsid w:val="00BA0C58"/>
    <w:rsid w:val="00BA0CCC"/>
    <w:rsid w:val="00BA1591"/>
    <w:rsid w:val="00BA2117"/>
    <w:rsid w:val="00BA26CF"/>
    <w:rsid w:val="00BA3330"/>
    <w:rsid w:val="00BA7A86"/>
    <w:rsid w:val="00BA7EFE"/>
    <w:rsid w:val="00BA7FE0"/>
    <w:rsid w:val="00BB1FD0"/>
    <w:rsid w:val="00BB29E7"/>
    <w:rsid w:val="00BB31CB"/>
    <w:rsid w:val="00BB3B4B"/>
    <w:rsid w:val="00BB446A"/>
    <w:rsid w:val="00BB46C0"/>
    <w:rsid w:val="00BB55F3"/>
    <w:rsid w:val="00BB5768"/>
    <w:rsid w:val="00BB5D64"/>
    <w:rsid w:val="00BB64BA"/>
    <w:rsid w:val="00BB664E"/>
    <w:rsid w:val="00BC0A2A"/>
    <w:rsid w:val="00BC2659"/>
    <w:rsid w:val="00BC27E0"/>
    <w:rsid w:val="00BC2AAD"/>
    <w:rsid w:val="00BC2D13"/>
    <w:rsid w:val="00BC2E64"/>
    <w:rsid w:val="00BC31FF"/>
    <w:rsid w:val="00BC34A7"/>
    <w:rsid w:val="00BC44B2"/>
    <w:rsid w:val="00BC60D6"/>
    <w:rsid w:val="00BC640E"/>
    <w:rsid w:val="00BC6653"/>
    <w:rsid w:val="00BC73E9"/>
    <w:rsid w:val="00BC7867"/>
    <w:rsid w:val="00BD0B92"/>
    <w:rsid w:val="00BD12C9"/>
    <w:rsid w:val="00BD1364"/>
    <w:rsid w:val="00BD15BC"/>
    <w:rsid w:val="00BD2E6E"/>
    <w:rsid w:val="00BD3865"/>
    <w:rsid w:val="00BD3E58"/>
    <w:rsid w:val="00BD3F7F"/>
    <w:rsid w:val="00BD602A"/>
    <w:rsid w:val="00BD69D7"/>
    <w:rsid w:val="00BD6EE5"/>
    <w:rsid w:val="00BD706E"/>
    <w:rsid w:val="00BD725E"/>
    <w:rsid w:val="00BD76BA"/>
    <w:rsid w:val="00BD7C60"/>
    <w:rsid w:val="00BE0072"/>
    <w:rsid w:val="00BE0938"/>
    <w:rsid w:val="00BE0C6E"/>
    <w:rsid w:val="00BE105D"/>
    <w:rsid w:val="00BE118C"/>
    <w:rsid w:val="00BE2209"/>
    <w:rsid w:val="00BE33AA"/>
    <w:rsid w:val="00BE45DE"/>
    <w:rsid w:val="00BE483F"/>
    <w:rsid w:val="00BE55AE"/>
    <w:rsid w:val="00BE5996"/>
    <w:rsid w:val="00BE70A1"/>
    <w:rsid w:val="00BE7CBC"/>
    <w:rsid w:val="00BF1150"/>
    <w:rsid w:val="00BF2A59"/>
    <w:rsid w:val="00BF2C64"/>
    <w:rsid w:val="00BF315B"/>
    <w:rsid w:val="00BF3306"/>
    <w:rsid w:val="00BF36E7"/>
    <w:rsid w:val="00BF3EBA"/>
    <w:rsid w:val="00BF4A13"/>
    <w:rsid w:val="00BF5C43"/>
    <w:rsid w:val="00BF5E49"/>
    <w:rsid w:val="00BF6289"/>
    <w:rsid w:val="00BF7490"/>
    <w:rsid w:val="00BF78A0"/>
    <w:rsid w:val="00BF7A23"/>
    <w:rsid w:val="00C007ED"/>
    <w:rsid w:val="00C009DE"/>
    <w:rsid w:val="00C02EAD"/>
    <w:rsid w:val="00C03400"/>
    <w:rsid w:val="00C03F8D"/>
    <w:rsid w:val="00C04231"/>
    <w:rsid w:val="00C05345"/>
    <w:rsid w:val="00C055B9"/>
    <w:rsid w:val="00C056A6"/>
    <w:rsid w:val="00C05B9F"/>
    <w:rsid w:val="00C06EBD"/>
    <w:rsid w:val="00C10616"/>
    <w:rsid w:val="00C109C4"/>
    <w:rsid w:val="00C10AB2"/>
    <w:rsid w:val="00C11ABB"/>
    <w:rsid w:val="00C11B3A"/>
    <w:rsid w:val="00C12000"/>
    <w:rsid w:val="00C12209"/>
    <w:rsid w:val="00C13118"/>
    <w:rsid w:val="00C1344D"/>
    <w:rsid w:val="00C134EE"/>
    <w:rsid w:val="00C13B03"/>
    <w:rsid w:val="00C1483F"/>
    <w:rsid w:val="00C1544B"/>
    <w:rsid w:val="00C15544"/>
    <w:rsid w:val="00C15E6D"/>
    <w:rsid w:val="00C16B1F"/>
    <w:rsid w:val="00C16F94"/>
    <w:rsid w:val="00C17122"/>
    <w:rsid w:val="00C17B1D"/>
    <w:rsid w:val="00C2171E"/>
    <w:rsid w:val="00C22904"/>
    <w:rsid w:val="00C23387"/>
    <w:rsid w:val="00C234D8"/>
    <w:rsid w:val="00C23DE5"/>
    <w:rsid w:val="00C24066"/>
    <w:rsid w:val="00C268E7"/>
    <w:rsid w:val="00C2729E"/>
    <w:rsid w:val="00C30979"/>
    <w:rsid w:val="00C31CB8"/>
    <w:rsid w:val="00C33965"/>
    <w:rsid w:val="00C3535F"/>
    <w:rsid w:val="00C359EB"/>
    <w:rsid w:val="00C3613F"/>
    <w:rsid w:val="00C3645F"/>
    <w:rsid w:val="00C3708F"/>
    <w:rsid w:val="00C37660"/>
    <w:rsid w:val="00C37D9A"/>
    <w:rsid w:val="00C4020D"/>
    <w:rsid w:val="00C40EAE"/>
    <w:rsid w:val="00C41999"/>
    <w:rsid w:val="00C42C86"/>
    <w:rsid w:val="00C43144"/>
    <w:rsid w:val="00C43BD7"/>
    <w:rsid w:val="00C43D9C"/>
    <w:rsid w:val="00C44C3F"/>
    <w:rsid w:val="00C461CE"/>
    <w:rsid w:val="00C463AB"/>
    <w:rsid w:val="00C465B0"/>
    <w:rsid w:val="00C471A1"/>
    <w:rsid w:val="00C47E70"/>
    <w:rsid w:val="00C50264"/>
    <w:rsid w:val="00C50377"/>
    <w:rsid w:val="00C50510"/>
    <w:rsid w:val="00C52039"/>
    <w:rsid w:val="00C533DB"/>
    <w:rsid w:val="00C53A1F"/>
    <w:rsid w:val="00C54958"/>
    <w:rsid w:val="00C555C4"/>
    <w:rsid w:val="00C559EB"/>
    <w:rsid w:val="00C5608B"/>
    <w:rsid w:val="00C57E1D"/>
    <w:rsid w:val="00C57F2C"/>
    <w:rsid w:val="00C61A82"/>
    <w:rsid w:val="00C61F21"/>
    <w:rsid w:val="00C628C2"/>
    <w:rsid w:val="00C62B77"/>
    <w:rsid w:val="00C63605"/>
    <w:rsid w:val="00C6379E"/>
    <w:rsid w:val="00C6383C"/>
    <w:rsid w:val="00C63999"/>
    <w:rsid w:val="00C64A63"/>
    <w:rsid w:val="00C64CB7"/>
    <w:rsid w:val="00C65363"/>
    <w:rsid w:val="00C6554A"/>
    <w:rsid w:val="00C65620"/>
    <w:rsid w:val="00C66582"/>
    <w:rsid w:val="00C66D86"/>
    <w:rsid w:val="00C70A77"/>
    <w:rsid w:val="00C711CF"/>
    <w:rsid w:val="00C713BE"/>
    <w:rsid w:val="00C724C3"/>
    <w:rsid w:val="00C726EE"/>
    <w:rsid w:val="00C73096"/>
    <w:rsid w:val="00C733FF"/>
    <w:rsid w:val="00C73704"/>
    <w:rsid w:val="00C73D3E"/>
    <w:rsid w:val="00C74903"/>
    <w:rsid w:val="00C74BF8"/>
    <w:rsid w:val="00C74CC6"/>
    <w:rsid w:val="00C75AD0"/>
    <w:rsid w:val="00C75F35"/>
    <w:rsid w:val="00C766F6"/>
    <w:rsid w:val="00C76711"/>
    <w:rsid w:val="00C76772"/>
    <w:rsid w:val="00C76996"/>
    <w:rsid w:val="00C77F0A"/>
    <w:rsid w:val="00C819BB"/>
    <w:rsid w:val="00C82396"/>
    <w:rsid w:val="00C8275F"/>
    <w:rsid w:val="00C828EA"/>
    <w:rsid w:val="00C83570"/>
    <w:rsid w:val="00C84F23"/>
    <w:rsid w:val="00C8629C"/>
    <w:rsid w:val="00C86AFD"/>
    <w:rsid w:val="00C8768E"/>
    <w:rsid w:val="00C877F7"/>
    <w:rsid w:val="00C87CE9"/>
    <w:rsid w:val="00C87F75"/>
    <w:rsid w:val="00C901D5"/>
    <w:rsid w:val="00C9053B"/>
    <w:rsid w:val="00C9057E"/>
    <w:rsid w:val="00C90880"/>
    <w:rsid w:val="00C92CF5"/>
    <w:rsid w:val="00C950B6"/>
    <w:rsid w:val="00C972E2"/>
    <w:rsid w:val="00C97864"/>
    <w:rsid w:val="00CA0069"/>
    <w:rsid w:val="00CA185F"/>
    <w:rsid w:val="00CA1CBC"/>
    <w:rsid w:val="00CA1F56"/>
    <w:rsid w:val="00CA249A"/>
    <w:rsid w:val="00CA2C64"/>
    <w:rsid w:val="00CA3528"/>
    <w:rsid w:val="00CA3BC9"/>
    <w:rsid w:val="00CA3C52"/>
    <w:rsid w:val="00CA3D2B"/>
    <w:rsid w:val="00CA4240"/>
    <w:rsid w:val="00CA4E2F"/>
    <w:rsid w:val="00CA4E89"/>
    <w:rsid w:val="00CA514A"/>
    <w:rsid w:val="00CA597E"/>
    <w:rsid w:val="00CA5E88"/>
    <w:rsid w:val="00CA60B0"/>
    <w:rsid w:val="00CA6540"/>
    <w:rsid w:val="00CA6919"/>
    <w:rsid w:val="00CB088C"/>
    <w:rsid w:val="00CB1020"/>
    <w:rsid w:val="00CB1B42"/>
    <w:rsid w:val="00CB2B17"/>
    <w:rsid w:val="00CB2FE5"/>
    <w:rsid w:val="00CB30EB"/>
    <w:rsid w:val="00CB41B4"/>
    <w:rsid w:val="00CB4EC7"/>
    <w:rsid w:val="00CB57DB"/>
    <w:rsid w:val="00CB5A75"/>
    <w:rsid w:val="00CB5E86"/>
    <w:rsid w:val="00CC0DBE"/>
    <w:rsid w:val="00CC28F6"/>
    <w:rsid w:val="00CC298C"/>
    <w:rsid w:val="00CC4808"/>
    <w:rsid w:val="00CC5C56"/>
    <w:rsid w:val="00CC6EBC"/>
    <w:rsid w:val="00CC70BE"/>
    <w:rsid w:val="00CC747A"/>
    <w:rsid w:val="00CC762A"/>
    <w:rsid w:val="00CD0615"/>
    <w:rsid w:val="00CD0B26"/>
    <w:rsid w:val="00CD0C18"/>
    <w:rsid w:val="00CD0C47"/>
    <w:rsid w:val="00CD1332"/>
    <w:rsid w:val="00CD1785"/>
    <w:rsid w:val="00CD1BFC"/>
    <w:rsid w:val="00CD1CBF"/>
    <w:rsid w:val="00CD1E8A"/>
    <w:rsid w:val="00CD2DE6"/>
    <w:rsid w:val="00CD3829"/>
    <w:rsid w:val="00CD7786"/>
    <w:rsid w:val="00CE26C3"/>
    <w:rsid w:val="00CE2ABE"/>
    <w:rsid w:val="00CE3538"/>
    <w:rsid w:val="00CE395C"/>
    <w:rsid w:val="00CE3C2C"/>
    <w:rsid w:val="00CE488C"/>
    <w:rsid w:val="00CE4EA4"/>
    <w:rsid w:val="00CE4FC9"/>
    <w:rsid w:val="00CE4FF9"/>
    <w:rsid w:val="00CE5165"/>
    <w:rsid w:val="00CE520C"/>
    <w:rsid w:val="00CF24D9"/>
    <w:rsid w:val="00CF32AA"/>
    <w:rsid w:val="00CF3CDD"/>
    <w:rsid w:val="00CF4008"/>
    <w:rsid w:val="00CF41FB"/>
    <w:rsid w:val="00CF4CF4"/>
    <w:rsid w:val="00CF6226"/>
    <w:rsid w:val="00CF6883"/>
    <w:rsid w:val="00CF6F49"/>
    <w:rsid w:val="00CF7570"/>
    <w:rsid w:val="00CF7FA0"/>
    <w:rsid w:val="00D00416"/>
    <w:rsid w:val="00D006A0"/>
    <w:rsid w:val="00D02DDC"/>
    <w:rsid w:val="00D03891"/>
    <w:rsid w:val="00D04355"/>
    <w:rsid w:val="00D0488C"/>
    <w:rsid w:val="00D048D7"/>
    <w:rsid w:val="00D05A69"/>
    <w:rsid w:val="00D05B00"/>
    <w:rsid w:val="00D06DF9"/>
    <w:rsid w:val="00D06E9E"/>
    <w:rsid w:val="00D07475"/>
    <w:rsid w:val="00D102FE"/>
    <w:rsid w:val="00D1087B"/>
    <w:rsid w:val="00D108C2"/>
    <w:rsid w:val="00D109B3"/>
    <w:rsid w:val="00D1119D"/>
    <w:rsid w:val="00D1175B"/>
    <w:rsid w:val="00D11C03"/>
    <w:rsid w:val="00D14157"/>
    <w:rsid w:val="00D14473"/>
    <w:rsid w:val="00D14DF0"/>
    <w:rsid w:val="00D15584"/>
    <w:rsid w:val="00D15C34"/>
    <w:rsid w:val="00D16012"/>
    <w:rsid w:val="00D16200"/>
    <w:rsid w:val="00D166FF"/>
    <w:rsid w:val="00D17145"/>
    <w:rsid w:val="00D173CC"/>
    <w:rsid w:val="00D174A6"/>
    <w:rsid w:val="00D17B9A"/>
    <w:rsid w:val="00D17FD1"/>
    <w:rsid w:val="00D20971"/>
    <w:rsid w:val="00D20AC1"/>
    <w:rsid w:val="00D213D9"/>
    <w:rsid w:val="00D22371"/>
    <w:rsid w:val="00D227EA"/>
    <w:rsid w:val="00D23917"/>
    <w:rsid w:val="00D23DFB"/>
    <w:rsid w:val="00D23FE9"/>
    <w:rsid w:val="00D2415A"/>
    <w:rsid w:val="00D26ACF"/>
    <w:rsid w:val="00D26C6A"/>
    <w:rsid w:val="00D26CB4"/>
    <w:rsid w:val="00D2735E"/>
    <w:rsid w:val="00D27A49"/>
    <w:rsid w:val="00D27ED9"/>
    <w:rsid w:val="00D310C7"/>
    <w:rsid w:val="00D32C87"/>
    <w:rsid w:val="00D349E2"/>
    <w:rsid w:val="00D350C0"/>
    <w:rsid w:val="00D365C3"/>
    <w:rsid w:val="00D36C0D"/>
    <w:rsid w:val="00D37966"/>
    <w:rsid w:val="00D41182"/>
    <w:rsid w:val="00D42B21"/>
    <w:rsid w:val="00D42D1E"/>
    <w:rsid w:val="00D43368"/>
    <w:rsid w:val="00D433AF"/>
    <w:rsid w:val="00D438E4"/>
    <w:rsid w:val="00D43BD9"/>
    <w:rsid w:val="00D4549B"/>
    <w:rsid w:val="00D465AA"/>
    <w:rsid w:val="00D465C2"/>
    <w:rsid w:val="00D4691C"/>
    <w:rsid w:val="00D4764C"/>
    <w:rsid w:val="00D47864"/>
    <w:rsid w:val="00D47949"/>
    <w:rsid w:val="00D507B5"/>
    <w:rsid w:val="00D508DD"/>
    <w:rsid w:val="00D513B1"/>
    <w:rsid w:val="00D514E1"/>
    <w:rsid w:val="00D51528"/>
    <w:rsid w:val="00D51FE5"/>
    <w:rsid w:val="00D52D04"/>
    <w:rsid w:val="00D5300B"/>
    <w:rsid w:val="00D53276"/>
    <w:rsid w:val="00D53B3D"/>
    <w:rsid w:val="00D53B61"/>
    <w:rsid w:val="00D53DD4"/>
    <w:rsid w:val="00D544B1"/>
    <w:rsid w:val="00D55393"/>
    <w:rsid w:val="00D55857"/>
    <w:rsid w:val="00D572E9"/>
    <w:rsid w:val="00D57E8D"/>
    <w:rsid w:val="00D60309"/>
    <w:rsid w:val="00D61AF0"/>
    <w:rsid w:val="00D62289"/>
    <w:rsid w:val="00D62738"/>
    <w:rsid w:val="00D63817"/>
    <w:rsid w:val="00D63AAB"/>
    <w:rsid w:val="00D63CC5"/>
    <w:rsid w:val="00D64E5B"/>
    <w:rsid w:val="00D6510A"/>
    <w:rsid w:val="00D66DC4"/>
    <w:rsid w:val="00D70388"/>
    <w:rsid w:val="00D7078F"/>
    <w:rsid w:val="00D7096D"/>
    <w:rsid w:val="00D7192D"/>
    <w:rsid w:val="00D7387E"/>
    <w:rsid w:val="00D741CF"/>
    <w:rsid w:val="00D742FC"/>
    <w:rsid w:val="00D74363"/>
    <w:rsid w:val="00D74C8E"/>
    <w:rsid w:val="00D74EFD"/>
    <w:rsid w:val="00D750E1"/>
    <w:rsid w:val="00D752EE"/>
    <w:rsid w:val="00D7575E"/>
    <w:rsid w:val="00D761FC"/>
    <w:rsid w:val="00D768F2"/>
    <w:rsid w:val="00D77917"/>
    <w:rsid w:val="00D80203"/>
    <w:rsid w:val="00D80350"/>
    <w:rsid w:val="00D80B35"/>
    <w:rsid w:val="00D80FB4"/>
    <w:rsid w:val="00D816DD"/>
    <w:rsid w:val="00D81739"/>
    <w:rsid w:val="00D81FAD"/>
    <w:rsid w:val="00D821AE"/>
    <w:rsid w:val="00D82717"/>
    <w:rsid w:val="00D82D29"/>
    <w:rsid w:val="00D83EF9"/>
    <w:rsid w:val="00D85729"/>
    <w:rsid w:val="00D859C5"/>
    <w:rsid w:val="00D85D08"/>
    <w:rsid w:val="00D8608B"/>
    <w:rsid w:val="00D864D3"/>
    <w:rsid w:val="00D87236"/>
    <w:rsid w:val="00D90839"/>
    <w:rsid w:val="00D91169"/>
    <w:rsid w:val="00D911EC"/>
    <w:rsid w:val="00D91B39"/>
    <w:rsid w:val="00D93819"/>
    <w:rsid w:val="00D93C3E"/>
    <w:rsid w:val="00D947F3"/>
    <w:rsid w:val="00D94D60"/>
    <w:rsid w:val="00D964D7"/>
    <w:rsid w:val="00D9672E"/>
    <w:rsid w:val="00D977EA"/>
    <w:rsid w:val="00D97C5A"/>
    <w:rsid w:val="00D97DC7"/>
    <w:rsid w:val="00DA0C6D"/>
    <w:rsid w:val="00DA0E73"/>
    <w:rsid w:val="00DA1A77"/>
    <w:rsid w:val="00DA1AB4"/>
    <w:rsid w:val="00DA289F"/>
    <w:rsid w:val="00DA2F28"/>
    <w:rsid w:val="00DA3AC8"/>
    <w:rsid w:val="00DA4968"/>
    <w:rsid w:val="00DA4ADD"/>
    <w:rsid w:val="00DA5161"/>
    <w:rsid w:val="00DA5555"/>
    <w:rsid w:val="00DA56CF"/>
    <w:rsid w:val="00DA64A3"/>
    <w:rsid w:val="00DA6C64"/>
    <w:rsid w:val="00DB0032"/>
    <w:rsid w:val="00DB0530"/>
    <w:rsid w:val="00DB097C"/>
    <w:rsid w:val="00DB0ED2"/>
    <w:rsid w:val="00DB18BD"/>
    <w:rsid w:val="00DB1CC5"/>
    <w:rsid w:val="00DB1FB2"/>
    <w:rsid w:val="00DB325D"/>
    <w:rsid w:val="00DB4492"/>
    <w:rsid w:val="00DB550C"/>
    <w:rsid w:val="00DB5A5B"/>
    <w:rsid w:val="00DB6DB5"/>
    <w:rsid w:val="00DB6F91"/>
    <w:rsid w:val="00DB7283"/>
    <w:rsid w:val="00DC0A2A"/>
    <w:rsid w:val="00DC0C7A"/>
    <w:rsid w:val="00DC0DEF"/>
    <w:rsid w:val="00DC0F68"/>
    <w:rsid w:val="00DC0FD4"/>
    <w:rsid w:val="00DC1043"/>
    <w:rsid w:val="00DC1693"/>
    <w:rsid w:val="00DC1A9C"/>
    <w:rsid w:val="00DC2915"/>
    <w:rsid w:val="00DC33D0"/>
    <w:rsid w:val="00DC3773"/>
    <w:rsid w:val="00DC38CF"/>
    <w:rsid w:val="00DC3A35"/>
    <w:rsid w:val="00DC43E4"/>
    <w:rsid w:val="00DC44BF"/>
    <w:rsid w:val="00DC4B00"/>
    <w:rsid w:val="00DC5646"/>
    <w:rsid w:val="00DC5AF7"/>
    <w:rsid w:val="00DC5F1F"/>
    <w:rsid w:val="00DC5F5C"/>
    <w:rsid w:val="00DC6711"/>
    <w:rsid w:val="00DC6835"/>
    <w:rsid w:val="00DC7390"/>
    <w:rsid w:val="00DC7807"/>
    <w:rsid w:val="00DD0007"/>
    <w:rsid w:val="00DD004D"/>
    <w:rsid w:val="00DD1382"/>
    <w:rsid w:val="00DD1BEA"/>
    <w:rsid w:val="00DD21C9"/>
    <w:rsid w:val="00DD21D2"/>
    <w:rsid w:val="00DD2525"/>
    <w:rsid w:val="00DD26A6"/>
    <w:rsid w:val="00DD36A8"/>
    <w:rsid w:val="00DD3B58"/>
    <w:rsid w:val="00DD3C9B"/>
    <w:rsid w:val="00DD5360"/>
    <w:rsid w:val="00DD53C7"/>
    <w:rsid w:val="00DD5508"/>
    <w:rsid w:val="00DD58F3"/>
    <w:rsid w:val="00DD58F6"/>
    <w:rsid w:val="00DD5ADB"/>
    <w:rsid w:val="00DD6923"/>
    <w:rsid w:val="00DD6C6B"/>
    <w:rsid w:val="00DD6FEA"/>
    <w:rsid w:val="00DD73BC"/>
    <w:rsid w:val="00DD75E2"/>
    <w:rsid w:val="00DE0608"/>
    <w:rsid w:val="00DE0C4D"/>
    <w:rsid w:val="00DE1459"/>
    <w:rsid w:val="00DE1A54"/>
    <w:rsid w:val="00DE1CF7"/>
    <w:rsid w:val="00DE333C"/>
    <w:rsid w:val="00DE379A"/>
    <w:rsid w:val="00DE3A3C"/>
    <w:rsid w:val="00DE3B5C"/>
    <w:rsid w:val="00DE4397"/>
    <w:rsid w:val="00DE45CB"/>
    <w:rsid w:val="00DE465F"/>
    <w:rsid w:val="00DE5614"/>
    <w:rsid w:val="00DE6395"/>
    <w:rsid w:val="00DE70A2"/>
    <w:rsid w:val="00DE79C5"/>
    <w:rsid w:val="00DF12E8"/>
    <w:rsid w:val="00DF14A9"/>
    <w:rsid w:val="00DF19E9"/>
    <w:rsid w:val="00DF1C48"/>
    <w:rsid w:val="00DF2473"/>
    <w:rsid w:val="00DF297F"/>
    <w:rsid w:val="00DF312C"/>
    <w:rsid w:val="00DF4176"/>
    <w:rsid w:val="00DF4193"/>
    <w:rsid w:val="00DF468F"/>
    <w:rsid w:val="00DF4751"/>
    <w:rsid w:val="00DF5039"/>
    <w:rsid w:val="00DF5DDA"/>
    <w:rsid w:val="00DF7E85"/>
    <w:rsid w:val="00E003A2"/>
    <w:rsid w:val="00E01E62"/>
    <w:rsid w:val="00E01F3F"/>
    <w:rsid w:val="00E03F84"/>
    <w:rsid w:val="00E0446A"/>
    <w:rsid w:val="00E04764"/>
    <w:rsid w:val="00E04F77"/>
    <w:rsid w:val="00E057D8"/>
    <w:rsid w:val="00E05990"/>
    <w:rsid w:val="00E061FA"/>
    <w:rsid w:val="00E075D4"/>
    <w:rsid w:val="00E07881"/>
    <w:rsid w:val="00E07B90"/>
    <w:rsid w:val="00E1090C"/>
    <w:rsid w:val="00E10D4D"/>
    <w:rsid w:val="00E10F63"/>
    <w:rsid w:val="00E131AE"/>
    <w:rsid w:val="00E136C3"/>
    <w:rsid w:val="00E13CC5"/>
    <w:rsid w:val="00E14A8C"/>
    <w:rsid w:val="00E1632A"/>
    <w:rsid w:val="00E16F18"/>
    <w:rsid w:val="00E1702A"/>
    <w:rsid w:val="00E17330"/>
    <w:rsid w:val="00E17818"/>
    <w:rsid w:val="00E17AA3"/>
    <w:rsid w:val="00E207E1"/>
    <w:rsid w:val="00E208FF"/>
    <w:rsid w:val="00E20E6D"/>
    <w:rsid w:val="00E20FE3"/>
    <w:rsid w:val="00E21CDF"/>
    <w:rsid w:val="00E2269C"/>
    <w:rsid w:val="00E233F1"/>
    <w:rsid w:val="00E23716"/>
    <w:rsid w:val="00E24782"/>
    <w:rsid w:val="00E25F37"/>
    <w:rsid w:val="00E2649B"/>
    <w:rsid w:val="00E26AF2"/>
    <w:rsid w:val="00E26C2C"/>
    <w:rsid w:val="00E273E7"/>
    <w:rsid w:val="00E2749A"/>
    <w:rsid w:val="00E274BA"/>
    <w:rsid w:val="00E27612"/>
    <w:rsid w:val="00E31582"/>
    <w:rsid w:val="00E31AB1"/>
    <w:rsid w:val="00E31EA8"/>
    <w:rsid w:val="00E327EA"/>
    <w:rsid w:val="00E333BF"/>
    <w:rsid w:val="00E346CF"/>
    <w:rsid w:val="00E34A94"/>
    <w:rsid w:val="00E35369"/>
    <w:rsid w:val="00E3722F"/>
    <w:rsid w:val="00E37970"/>
    <w:rsid w:val="00E37BD3"/>
    <w:rsid w:val="00E40298"/>
    <w:rsid w:val="00E412D4"/>
    <w:rsid w:val="00E42A13"/>
    <w:rsid w:val="00E42C67"/>
    <w:rsid w:val="00E43573"/>
    <w:rsid w:val="00E43F5C"/>
    <w:rsid w:val="00E4429E"/>
    <w:rsid w:val="00E46E9B"/>
    <w:rsid w:val="00E47DA5"/>
    <w:rsid w:val="00E50EF2"/>
    <w:rsid w:val="00E5131F"/>
    <w:rsid w:val="00E525D0"/>
    <w:rsid w:val="00E52A4D"/>
    <w:rsid w:val="00E52F32"/>
    <w:rsid w:val="00E53989"/>
    <w:rsid w:val="00E53F1C"/>
    <w:rsid w:val="00E54163"/>
    <w:rsid w:val="00E55350"/>
    <w:rsid w:val="00E556B6"/>
    <w:rsid w:val="00E55BBB"/>
    <w:rsid w:val="00E56DAB"/>
    <w:rsid w:val="00E56FE4"/>
    <w:rsid w:val="00E576DE"/>
    <w:rsid w:val="00E60D48"/>
    <w:rsid w:val="00E61B6A"/>
    <w:rsid w:val="00E61DBE"/>
    <w:rsid w:val="00E62E91"/>
    <w:rsid w:val="00E63122"/>
    <w:rsid w:val="00E63899"/>
    <w:rsid w:val="00E63FE3"/>
    <w:rsid w:val="00E67CCF"/>
    <w:rsid w:val="00E703C0"/>
    <w:rsid w:val="00E706B6"/>
    <w:rsid w:val="00E718FB"/>
    <w:rsid w:val="00E725CC"/>
    <w:rsid w:val="00E731BA"/>
    <w:rsid w:val="00E73B47"/>
    <w:rsid w:val="00E73F6F"/>
    <w:rsid w:val="00E74FB9"/>
    <w:rsid w:val="00E755AC"/>
    <w:rsid w:val="00E763FC"/>
    <w:rsid w:val="00E76537"/>
    <w:rsid w:val="00E76866"/>
    <w:rsid w:val="00E76E54"/>
    <w:rsid w:val="00E77961"/>
    <w:rsid w:val="00E8093C"/>
    <w:rsid w:val="00E81280"/>
    <w:rsid w:val="00E81582"/>
    <w:rsid w:val="00E816E7"/>
    <w:rsid w:val="00E8260E"/>
    <w:rsid w:val="00E82E3E"/>
    <w:rsid w:val="00E82EAE"/>
    <w:rsid w:val="00E8360D"/>
    <w:rsid w:val="00E84035"/>
    <w:rsid w:val="00E84764"/>
    <w:rsid w:val="00E84FDF"/>
    <w:rsid w:val="00E85DB8"/>
    <w:rsid w:val="00E86108"/>
    <w:rsid w:val="00E87FBB"/>
    <w:rsid w:val="00E9067B"/>
    <w:rsid w:val="00E9095F"/>
    <w:rsid w:val="00E91428"/>
    <w:rsid w:val="00E914E0"/>
    <w:rsid w:val="00E91A48"/>
    <w:rsid w:val="00E925A4"/>
    <w:rsid w:val="00E93428"/>
    <w:rsid w:val="00E936DD"/>
    <w:rsid w:val="00E93999"/>
    <w:rsid w:val="00E9417C"/>
    <w:rsid w:val="00E9424F"/>
    <w:rsid w:val="00E942C2"/>
    <w:rsid w:val="00E9474B"/>
    <w:rsid w:val="00E94A55"/>
    <w:rsid w:val="00E95529"/>
    <w:rsid w:val="00E96B4A"/>
    <w:rsid w:val="00E96E17"/>
    <w:rsid w:val="00E972E4"/>
    <w:rsid w:val="00E97791"/>
    <w:rsid w:val="00E97D74"/>
    <w:rsid w:val="00E97F1D"/>
    <w:rsid w:val="00EA0479"/>
    <w:rsid w:val="00EA2006"/>
    <w:rsid w:val="00EA24B5"/>
    <w:rsid w:val="00EA2620"/>
    <w:rsid w:val="00EA3C57"/>
    <w:rsid w:val="00EA46F1"/>
    <w:rsid w:val="00EA4C71"/>
    <w:rsid w:val="00EA53FC"/>
    <w:rsid w:val="00EA5B9F"/>
    <w:rsid w:val="00EA639A"/>
    <w:rsid w:val="00EA6617"/>
    <w:rsid w:val="00EA6D6B"/>
    <w:rsid w:val="00EA76A6"/>
    <w:rsid w:val="00EA76BC"/>
    <w:rsid w:val="00EA798C"/>
    <w:rsid w:val="00EA7BCD"/>
    <w:rsid w:val="00EB0011"/>
    <w:rsid w:val="00EB05E1"/>
    <w:rsid w:val="00EB0777"/>
    <w:rsid w:val="00EB0F4A"/>
    <w:rsid w:val="00EB22E0"/>
    <w:rsid w:val="00EB237D"/>
    <w:rsid w:val="00EB2EA1"/>
    <w:rsid w:val="00EB2EF8"/>
    <w:rsid w:val="00EB314D"/>
    <w:rsid w:val="00EB3527"/>
    <w:rsid w:val="00EB4E8C"/>
    <w:rsid w:val="00EB4EB7"/>
    <w:rsid w:val="00EB5251"/>
    <w:rsid w:val="00EB53E4"/>
    <w:rsid w:val="00EB58BF"/>
    <w:rsid w:val="00EB5AC4"/>
    <w:rsid w:val="00EB5BBF"/>
    <w:rsid w:val="00EB5F39"/>
    <w:rsid w:val="00EB647D"/>
    <w:rsid w:val="00EB790A"/>
    <w:rsid w:val="00EB7985"/>
    <w:rsid w:val="00EC05C5"/>
    <w:rsid w:val="00EC09B4"/>
    <w:rsid w:val="00EC0F64"/>
    <w:rsid w:val="00EC34F0"/>
    <w:rsid w:val="00EC381D"/>
    <w:rsid w:val="00EC3995"/>
    <w:rsid w:val="00EC39B7"/>
    <w:rsid w:val="00EC3AF8"/>
    <w:rsid w:val="00EC43DD"/>
    <w:rsid w:val="00EC5D2D"/>
    <w:rsid w:val="00EC5DDD"/>
    <w:rsid w:val="00ED100B"/>
    <w:rsid w:val="00ED10DB"/>
    <w:rsid w:val="00ED1FF2"/>
    <w:rsid w:val="00ED2246"/>
    <w:rsid w:val="00ED5621"/>
    <w:rsid w:val="00ED604F"/>
    <w:rsid w:val="00ED62C3"/>
    <w:rsid w:val="00ED62E5"/>
    <w:rsid w:val="00ED7116"/>
    <w:rsid w:val="00ED73F3"/>
    <w:rsid w:val="00EE00C1"/>
    <w:rsid w:val="00EE1835"/>
    <w:rsid w:val="00EE1E3F"/>
    <w:rsid w:val="00EE26A1"/>
    <w:rsid w:val="00EE26E0"/>
    <w:rsid w:val="00EE3043"/>
    <w:rsid w:val="00EE39A8"/>
    <w:rsid w:val="00EE3FCE"/>
    <w:rsid w:val="00EE5230"/>
    <w:rsid w:val="00EE5842"/>
    <w:rsid w:val="00EE7846"/>
    <w:rsid w:val="00EF18A3"/>
    <w:rsid w:val="00EF1AA7"/>
    <w:rsid w:val="00EF1C2D"/>
    <w:rsid w:val="00EF1FC6"/>
    <w:rsid w:val="00EF32B5"/>
    <w:rsid w:val="00EF3798"/>
    <w:rsid w:val="00EF53AD"/>
    <w:rsid w:val="00EF5970"/>
    <w:rsid w:val="00EF60C9"/>
    <w:rsid w:val="00EF638E"/>
    <w:rsid w:val="00EF6BCD"/>
    <w:rsid w:val="00EF6BD5"/>
    <w:rsid w:val="00F00B5A"/>
    <w:rsid w:val="00F021B9"/>
    <w:rsid w:val="00F025CE"/>
    <w:rsid w:val="00F04105"/>
    <w:rsid w:val="00F044D6"/>
    <w:rsid w:val="00F051E0"/>
    <w:rsid w:val="00F067B0"/>
    <w:rsid w:val="00F06A64"/>
    <w:rsid w:val="00F07189"/>
    <w:rsid w:val="00F07449"/>
    <w:rsid w:val="00F07B37"/>
    <w:rsid w:val="00F102E6"/>
    <w:rsid w:val="00F111A8"/>
    <w:rsid w:val="00F11998"/>
    <w:rsid w:val="00F1263B"/>
    <w:rsid w:val="00F13B6B"/>
    <w:rsid w:val="00F14724"/>
    <w:rsid w:val="00F15865"/>
    <w:rsid w:val="00F15D4A"/>
    <w:rsid w:val="00F162F5"/>
    <w:rsid w:val="00F17A66"/>
    <w:rsid w:val="00F20409"/>
    <w:rsid w:val="00F204DD"/>
    <w:rsid w:val="00F207BF"/>
    <w:rsid w:val="00F21792"/>
    <w:rsid w:val="00F21BAA"/>
    <w:rsid w:val="00F233C4"/>
    <w:rsid w:val="00F23947"/>
    <w:rsid w:val="00F2399D"/>
    <w:rsid w:val="00F24B32"/>
    <w:rsid w:val="00F25014"/>
    <w:rsid w:val="00F250FD"/>
    <w:rsid w:val="00F252FD"/>
    <w:rsid w:val="00F25847"/>
    <w:rsid w:val="00F25DEB"/>
    <w:rsid w:val="00F26147"/>
    <w:rsid w:val="00F27E69"/>
    <w:rsid w:val="00F306CD"/>
    <w:rsid w:val="00F3152D"/>
    <w:rsid w:val="00F315B8"/>
    <w:rsid w:val="00F32A31"/>
    <w:rsid w:val="00F3315D"/>
    <w:rsid w:val="00F35485"/>
    <w:rsid w:val="00F354C8"/>
    <w:rsid w:val="00F3609F"/>
    <w:rsid w:val="00F361AC"/>
    <w:rsid w:val="00F3686C"/>
    <w:rsid w:val="00F36AF6"/>
    <w:rsid w:val="00F37C29"/>
    <w:rsid w:val="00F37F46"/>
    <w:rsid w:val="00F407E6"/>
    <w:rsid w:val="00F41649"/>
    <w:rsid w:val="00F41E99"/>
    <w:rsid w:val="00F4241C"/>
    <w:rsid w:val="00F434AD"/>
    <w:rsid w:val="00F43690"/>
    <w:rsid w:val="00F43C7E"/>
    <w:rsid w:val="00F44007"/>
    <w:rsid w:val="00F44631"/>
    <w:rsid w:val="00F44741"/>
    <w:rsid w:val="00F447DB"/>
    <w:rsid w:val="00F44964"/>
    <w:rsid w:val="00F464B3"/>
    <w:rsid w:val="00F465C1"/>
    <w:rsid w:val="00F505E0"/>
    <w:rsid w:val="00F509D4"/>
    <w:rsid w:val="00F509D6"/>
    <w:rsid w:val="00F52DA9"/>
    <w:rsid w:val="00F53224"/>
    <w:rsid w:val="00F53C20"/>
    <w:rsid w:val="00F54382"/>
    <w:rsid w:val="00F54B39"/>
    <w:rsid w:val="00F561DD"/>
    <w:rsid w:val="00F562A7"/>
    <w:rsid w:val="00F56732"/>
    <w:rsid w:val="00F56DEC"/>
    <w:rsid w:val="00F57CC4"/>
    <w:rsid w:val="00F604BE"/>
    <w:rsid w:val="00F606D2"/>
    <w:rsid w:val="00F61444"/>
    <w:rsid w:val="00F620CF"/>
    <w:rsid w:val="00F62767"/>
    <w:rsid w:val="00F63BDA"/>
    <w:rsid w:val="00F64386"/>
    <w:rsid w:val="00F64584"/>
    <w:rsid w:val="00F65454"/>
    <w:rsid w:val="00F65676"/>
    <w:rsid w:val="00F65711"/>
    <w:rsid w:val="00F6658C"/>
    <w:rsid w:val="00F670F6"/>
    <w:rsid w:val="00F6717C"/>
    <w:rsid w:val="00F671BE"/>
    <w:rsid w:val="00F67623"/>
    <w:rsid w:val="00F700D7"/>
    <w:rsid w:val="00F71327"/>
    <w:rsid w:val="00F71816"/>
    <w:rsid w:val="00F72853"/>
    <w:rsid w:val="00F72B45"/>
    <w:rsid w:val="00F72DBE"/>
    <w:rsid w:val="00F7320C"/>
    <w:rsid w:val="00F73874"/>
    <w:rsid w:val="00F74D70"/>
    <w:rsid w:val="00F74EC7"/>
    <w:rsid w:val="00F753DF"/>
    <w:rsid w:val="00F757D4"/>
    <w:rsid w:val="00F76A42"/>
    <w:rsid w:val="00F76FD6"/>
    <w:rsid w:val="00F77475"/>
    <w:rsid w:val="00F77A50"/>
    <w:rsid w:val="00F8019F"/>
    <w:rsid w:val="00F808BF"/>
    <w:rsid w:val="00F80B19"/>
    <w:rsid w:val="00F80CB7"/>
    <w:rsid w:val="00F8131C"/>
    <w:rsid w:val="00F814BA"/>
    <w:rsid w:val="00F818A6"/>
    <w:rsid w:val="00F82A81"/>
    <w:rsid w:val="00F82D32"/>
    <w:rsid w:val="00F83637"/>
    <w:rsid w:val="00F838BF"/>
    <w:rsid w:val="00F839A5"/>
    <w:rsid w:val="00F83BCC"/>
    <w:rsid w:val="00F83DBA"/>
    <w:rsid w:val="00F8421E"/>
    <w:rsid w:val="00F845D4"/>
    <w:rsid w:val="00F84E59"/>
    <w:rsid w:val="00F84FAF"/>
    <w:rsid w:val="00F854D0"/>
    <w:rsid w:val="00F85BDD"/>
    <w:rsid w:val="00F85FC2"/>
    <w:rsid w:val="00F90090"/>
    <w:rsid w:val="00F9087A"/>
    <w:rsid w:val="00F9099E"/>
    <w:rsid w:val="00F91FB0"/>
    <w:rsid w:val="00F93313"/>
    <w:rsid w:val="00F93659"/>
    <w:rsid w:val="00F93845"/>
    <w:rsid w:val="00F940F8"/>
    <w:rsid w:val="00F946A6"/>
    <w:rsid w:val="00F947CC"/>
    <w:rsid w:val="00F9493B"/>
    <w:rsid w:val="00F94C7D"/>
    <w:rsid w:val="00F958F8"/>
    <w:rsid w:val="00F96D8D"/>
    <w:rsid w:val="00F976FA"/>
    <w:rsid w:val="00F97DA3"/>
    <w:rsid w:val="00F97E74"/>
    <w:rsid w:val="00FA00F5"/>
    <w:rsid w:val="00FA10AE"/>
    <w:rsid w:val="00FA1203"/>
    <w:rsid w:val="00FA128F"/>
    <w:rsid w:val="00FA13FD"/>
    <w:rsid w:val="00FA1475"/>
    <w:rsid w:val="00FA2C08"/>
    <w:rsid w:val="00FA30FE"/>
    <w:rsid w:val="00FA325C"/>
    <w:rsid w:val="00FA33B3"/>
    <w:rsid w:val="00FA4CE9"/>
    <w:rsid w:val="00FA50D2"/>
    <w:rsid w:val="00FA60E6"/>
    <w:rsid w:val="00FA6A80"/>
    <w:rsid w:val="00FB004F"/>
    <w:rsid w:val="00FB0259"/>
    <w:rsid w:val="00FB0F16"/>
    <w:rsid w:val="00FB1338"/>
    <w:rsid w:val="00FB170F"/>
    <w:rsid w:val="00FB1719"/>
    <w:rsid w:val="00FB1C52"/>
    <w:rsid w:val="00FB2343"/>
    <w:rsid w:val="00FB2716"/>
    <w:rsid w:val="00FB5351"/>
    <w:rsid w:val="00FB6D2D"/>
    <w:rsid w:val="00FB6E46"/>
    <w:rsid w:val="00FC01BB"/>
    <w:rsid w:val="00FC05FB"/>
    <w:rsid w:val="00FC06B1"/>
    <w:rsid w:val="00FC07C3"/>
    <w:rsid w:val="00FC1310"/>
    <w:rsid w:val="00FC2149"/>
    <w:rsid w:val="00FC260B"/>
    <w:rsid w:val="00FC37A3"/>
    <w:rsid w:val="00FC3F9E"/>
    <w:rsid w:val="00FC5B8E"/>
    <w:rsid w:val="00FC6C49"/>
    <w:rsid w:val="00FC6FEB"/>
    <w:rsid w:val="00FC7092"/>
    <w:rsid w:val="00FC70AA"/>
    <w:rsid w:val="00FC7198"/>
    <w:rsid w:val="00FD1BAD"/>
    <w:rsid w:val="00FD35F8"/>
    <w:rsid w:val="00FD5721"/>
    <w:rsid w:val="00FD6D45"/>
    <w:rsid w:val="00FD6EE9"/>
    <w:rsid w:val="00FD6F3E"/>
    <w:rsid w:val="00FD71AA"/>
    <w:rsid w:val="00FD751E"/>
    <w:rsid w:val="00FD79BA"/>
    <w:rsid w:val="00FD7B0C"/>
    <w:rsid w:val="00FD7F72"/>
    <w:rsid w:val="00FD7FE9"/>
    <w:rsid w:val="00FE0150"/>
    <w:rsid w:val="00FE06C0"/>
    <w:rsid w:val="00FE100D"/>
    <w:rsid w:val="00FE2592"/>
    <w:rsid w:val="00FE25F3"/>
    <w:rsid w:val="00FE2762"/>
    <w:rsid w:val="00FE3277"/>
    <w:rsid w:val="00FE4A64"/>
    <w:rsid w:val="00FE5528"/>
    <w:rsid w:val="00FE6F33"/>
    <w:rsid w:val="00FE7314"/>
    <w:rsid w:val="00FE7476"/>
    <w:rsid w:val="00FE74D3"/>
    <w:rsid w:val="00FE76A2"/>
    <w:rsid w:val="00FF04C8"/>
    <w:rsid w:val="00FF0D02"/>
    <w:rsid w:val="00FF1DF3"/>
    <w:rsid w:val="00FF2401"/>
    <w:rsid w:val="00FF388F"/>
    <w:rsid w:val="00FF3B50"/>
    <w:rsid w:val="00FF3DF0"/>
    <w:rsid w:val="00FF4331"/>
    <w:rsid w:val="00FF43D3"/>
    <w:rsid w:val="00FF5E1F"/>
    <w:rsid w:val="00FF631D"/>
    <w:rsid w:val="00FF6582"/>
    <w:rsid w:val="00FF6824"/>
    <w:rsid w:val="00FF78AC"/>
    <w:rsid w:val="00FF7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63CAE"/>
  <w15:docId w15:val="{EFE32045-2AF7-46E0-A525-1DDBE03C7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44790"/>
    <w:rPr>
      <w:sz w:val="24"/>
      <w:szCs w:val="24"/>
      <w:lang w:val="en-US" w:eastAsia="en-US"/>
    </w:rPr>
  </w:style>
  <w:style w:type="paragraph" w:styleId="Heading1">
    <w:name w:val="heading 1"/>
    <w:basedOn w:val="Normal"/>
    <w:link w:val="Heading1Char"/>
    <w:uiPriority w:val="9"/>
    <w:qFormat/>
    <w:rsid w:val="00AE041F"/>
    <w:pPr>
      <w:pBdr>
        <w:top w:val="none" w:sz="0" w:space="0" w:color="auto"/>
        <w:left w:val="none" w:sz="0" w:space="0" w:color="auto"/>
        <w:bottom w:val="none" w:sz="0" w:space="0" w:color="auto"/>
        <w:right w:val="none" w:sz="0" w:space="0" w:color="auto"/>
        <w:between w:val="none" w:sz="0" w:space="0" w:color="auto"/>
        <w:bar w:val="none" w:sz="0" w:color="auto"/>
      </w:pBdr>
      <w:spacing w:before="240" w:after="120"/>
      <w:outlineLvl w:val="0"/>
    </w:pPr>
    <w:rPr>
      <w:rFonts w:eastAsia="Times New Roman"/>
      <w:b/>
      <w:bCs/>
      <w:color w:val="000000"/>
      <w:kern w:val="36"/>
      <w:sz w:val="33"/>
      <w:szCs w:val="33"/>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A">
    <w:name w:val="Body A"/>
    <w:pPr>
      <w:spacing w:after="200" w:line="276" w:lineRule="auto"/>
    </w:pPr>
    <w:rPr>
      <w:rFonts w:ascii="Calibri" w:eastAsia="Calibri" w:hAnsi="Calibri" w:cs="Calibri"/>
      <w:color w:val="000000"/>
      <w:sz w:val="22"/>
      <w:szCs w:val="22"/>
      <w:u w:color="000000"/>
      <w:lang w:val="en-US"/>
    </w:rPr>
  </w:style>
  <w:style w:type="paragraph" w:customStyle="1" w:styleId="Default">
    <w:name w:val="Default"/>
    <w:rPr>
      <w:rFonts w:ascii="Helvetica Neue" w:eastAsia="Helvetica Neue" w:hAnsi="Helvetica Neue" w:cs="Helvetica Neue"/>
      <w:color w:val="000000"/>
      <w:sz w:val="22"/>
      <w:szCs w:val="22"/>
      <w:u w:color="000000"/>
      <w:lang w:val="en-US"/>
    </w:r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lang w:val="en-US"/>
    </w:rPr>
  </w:style>
  <w:style w:type="numbering" w:customStyle="1" w:styleId="ImportedStyle1">
    <w:name w:val="Imported Style 1"/>
    <w:pPr>
      <w:numPr>
        <w:numId w:val="1"/>
      </w:numPr>
    </w:pPr>
  </w:style>
  <w:style w:type="paragraph" w:styleId="NormalWeb">
    <w:name w:val="Normal (Web)"/>
    <w:rPr>
      <w:rFonts w:cs="Arial Unicode MS"/>
      <w:color w:val="000000"/>
      <w:sz w:val="24"/>
      <w:szCs w:val="24"/>
      <w:u w:color="000000"/>
      <w:lang w:val="en-US"/>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458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861"/>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1A3803"/>
    <w:rPr>
      <w:b/>
      <w:bCs/>
    </w:rPr>
  </w:style>
  <w:style w:type="character" w:customStyle="1" w:styleId="CommentSubjectChar">
    <w:name w:val="Comment Subject Char"/>
    <w:basedOn w:val="CommentTextChar"/>
    <w:link w:val="CommentSubject"/>
    <w:uiPriority w:val="99"/>
    <w:semiHidden/>
    <w:rsid w:val="001A3803"/>
    <w:rPr>
      <w:b/>
      <w:bCs/>
      <w:lang w:val="en-US" w:eastAsia="en-US"/>
    </w:rPr>
  </w:style>
  <w:style w:type="character" w:customStyle="1" w:styleId="Heading1Char">
    <w:name w:val="Heading 1 Char"/>
    <w:basedOn w:val="DefaultParagraphFont"/>
    <w:link w:val="Heading1"/>
    <w:uiPriority w:val="9"/>
    <w:rsid w:val="00AE041F"/>
    <w:rPr>
      <w:rFonts w:eastAsia="Times New Roman"/>
      <w:b/>
      <w:bCs/>
      <w:color w:val="000000"/>
      <w:kern w:val="36"/>
      <w:sz w:val="33"/>
      <w:szCs w:val="33"/>
      <w:bdr w:val="none" w:sz="0" w:space="0" w:color="auto"/>
    </w:rPr>
  </w:style>
  <w:style w:type="character" w:customStyle="1" w:styleId="highlight2">
    <w:name w:val="highlight2"/>
    <w:basedOn w:val="DefaultParagraphFont"/>
    <w:rsid w:val="00AE041F"/>
  </w:style>
  <w:style w:type="table" w:customStyle="1" w:styleId="TableGrid1">
    <w:name w:val="Table Grid1"/>
    <w:basedOn w:val="TableNormal"/>
    <w:next w:val="TableGrid"/>
    <w:uiPriority w:val="39"/>
    <w:rsid w:val="000C606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C6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3659"/>
    <w:pPr>
      <w:tabs>
        <w:tab w:val="center" w:pos="4513"/>
        <w:tab w:val="right" w:pos="9026"/>
      </w:tabs>
    </w:pPr>
  </w:style>
  <w:style w:type="character" w:customStyle="1" w:styleId="HeaderChar">
    <w:name w:val="Header Char"/>
    <w:basedOn w:val="DefaultParagraphFont"/>
    <w:link w:val="Header"/>
    <w:uiPriority w:val="99"/>
    <w:rsid w:val="00F93659"/>
    <w:rPr>
      <w:sz w:val="24"/>
      <w:szCs w:val="24"/>
      <w:lang w:val="en-US" w:eastAsia="en-US"/>
    </w:rPr>
  </w:style>
  <w:style w:type="paragraph" w:styleId="Revision">
    <w:name w:val="Revision"/>
    <w:hidden/>
    <w:uiPriority w:val="99"/>
    <w:semiHidden/>
    <w:rsid w:val="000A44A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551875">
      <w:bodyDiv w:val="1"/>
      <w:marLeft w:val="0"/>
      <w:marRight w:val="0"/>
      <w:marTop w:val="0"/>
      <w:marBottom w:val="0"/>
      <w:divBdr>
        <w:top w:val="none" w:sz="0" w:space="0" w:color="auto"/>
        <w:left w:val="none" w:sz="0" w:space="0" w:color="auto"/>
        <w:bottom w:val="none" w:sz="0" w:space="0" w:color="auto"/>
        <w:right w:val="none" w:sz="0" w:space="0" w:color="auto"/>
      </w:divBdr>
      <w:divsChild>
        <w:div w:id="1177770918">
          <w:marLeft w:val="0"/>
          <w:marRight w:val="1"/>
          <w:marTop w:val="0"/>
          <w:marBottom w:val="0"/>
          <w:divBdr>
            <w:top w:val="none" w:sz="0" w:space="0" w:color="auto"/>
            <w:left w:val="none" w:sz="0" w:space="0" w:color="auto"/>
            <w:bottom w:val="none" w:sz="0" w:space="0" w:color="auto"/>
            <w:right w:val="none" w:sz="0" w:space="0" w:color="auto"/>
          </w:divBdr>
          <w:divsChild>
            <w:div w:id="1640303952">
              <w:marLeft w:val="0"/>
              <w:marRight w:val="0"/>
              <w:marTop w:val="0"/>
              <w:marBottom w:val="0"/>
              <w:divBdr>
                <w:top w:val="none" w:sz="0" w:space="0" w:color="auto"/>
                <w:left w:val="none" w:sz="0" w:space="0" w:color="auto"/>
                <w:bottom w:val="none" w:sz="0" w:space="0" w:color="auto"/>
                <w:right w:val="none" w:sz="0" w:space="0" w:color="auto"/>
              </w:divBdr>
              <w:divsChild>
                <w:div w:id="568078162">
                  <w:marLeft w:val="0"/>
                  <w:marRight w:val="1"/>
                  <w:marTop w:val="0"/>
                  <w:marBottom w:val="0"/>
                  <w:divBdr>
                    <w:top w:val="none" w:sz="0" w:space="0" w:color="auto"/>
                    <w:left w:val="none" w:sz="0" w:space="0" w:color="auto"/>
                    <w:bottom w:val="none" w:sz="0" w:space="0" w:color="auto"/>
                    <w:right w:val="none" w:sz="0" w:space="0" w:color="auto"/>
                  </w:divBdr>
                  <w:divsChild>
                    <w:div w:id="254870422">
                      <w:marLeft w:val="0"/>
                      <w:marRight w:val="0"/>
                      <w:marTop w:val="0"/>
                      <w:marBottom w:val="0"/>
                      <w:divBdr>
                        <w:top w:val="none" w:sz="0" w:space="0" w:color="auto"/>
                        <w:left w:val="none" w:sz="0" w:space="0" w:color="auto"/>
                        <w:bottom w:val="none" w:sz="0" w:space="0" w:color="auto"/>
                        <w:right w:val="none" w:sz="0" w:space="0" w:color="auto"/>
                      </w:divBdr>
                      <w:divsChild>
                        <w:div w:id="990869012">
                          <w:marLeft w:val="0"/>
                          <w:marRight w:val="0"/>
                          <w:marTop w:val="0"/>
                          <w:marBottom w:val="0"/>
                          <w:divBdr>
                            <w:top w:val="none" w:sz="0" w:space="0" w:color="auto"/>
                            <w:left w:val="none" w:sz="0" w:space="0" w:color="auto"/>
                            <w:bottom w:val="none" w:sz="0" w:space="0" w:color="auto"/>
                            <w:right w:val="none" w:sz="0" w:space="0" w:color="auto"/>
                          </w:divBdr>
                          <w:divsChild>
                            <w:div w:id="849874740">
                              <w:marLeft w:val="0"/>
                              <w:marRight w:val="0"/>
                              <w:marTop w:val="120"/>
                              <w:marBottom w:val="360"/>
                              <w:divBdr>
                                <w:top w:val="none" w:sz="0" w:space="0" w:color="auto"/>
                                <w:left w:val="none" w:sz="0" w:space="0" w:color="auto"/>
                                <w:bottom w:val="none" w:sz="0" w:space="0" w:color="auto"/>
                                <w:right w:val="none" w:sz="0" w:space="0" w:color="auto"/>
                              </w:divBdr>
                              <w:divsChild>
                                <w:div w:id="1221482435">
                                  <w:marLeft w:val="0"/>
                                  <w:marRight w:val="0"/>
                                  <w:marTop w:val="0"/>
                                  <w:marBottom w:val="0"/>
                                  <w:divBdr>
                                    <w:top w:val="none" w:sz="0" w:space="0" w:color="auto"/>
                                    <w:left w:val="none" w:sz="0" w:space="0" w:color="auto"/>
                                    <w:bottom w:val="none" w:sz="0" w:space="0" w:color="auto"/>
                                    <w:right w:val="none" w:sz="0" w:space="0" w:color="auto"/>
                                  </w:divBdr>
                                </w:div>
                                <w:div w:id="169811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237493">
      <w:bodyDiv w:val="1"/>
      <w:marLeft w:val="0"/>
      <w:marRight w:val="0"/>
      <w:marTop w:val="0"/>
      <w:marBottom w:val="0"/>
      <w:divBdr>
        <w:top w:val="none" w:sz="0" w:space="0" w:color="auto"/>
        <w:left w:val="none" w:sz="0" w:space="0" w:color="auto"/>
        <w:bottom w:val="none" w:sz="0" w:space="0" w:color="auto"/>
        <w:right w:val="none" w:sz="0" w:space="0" w:color="auto"/>
      </w:divBdr>
    </w:div>
    <w:div w:id="489366517">
      <w:bodyDiv w:val="1"/>
      <w:marLeft w:val="0"/>
      <w:marRight w:val="0"/>
      <w:marTop w:val="0"/>
      <w:marBottom w:val="0"/>
      <w:divBdr>
        <w:top w:val="none" w:sz="0" w:space="0" w:color="auto"/>
        <w:left w:val="none" w:sz="0" w:space="0" w:color="auto"/>
        <w:bottom w:val="none" w:sz="0" w:space="0" w:color="auto"/>
        <w:right w:val="none" w:sz="0" w:space="0" w:color="auto"/>
      </w:divBdr>
    </w:div>
    <w:div w:id="572541747">
      <w:bodyDiv w:val="1"/>
      <w:marLeft w:val="0"/>
      <w:marRight w:val="0"/>
      <w:marTop w:val="0"/>
      <w:marBottom w:val="0"/>
      <w:divBdr>
        <w:top w:val="none" w:sz="0" w:space="0" w:color="auto"/>
        <w:left w:val="none" w:sz="0" w:space="0" w:color="auto"/>
        <w:bottom w:val="none" w:sz="0" w:space="0" w:color="auto"/>
        <w:right w:val="none" w:sz="0" w:space="0" w:color="auto"/>
      </w:divBdr>
      <w:divsChild>
        <w:div w:id="1936161384">
          <w:marLeft w:val="0"/>
          <w:marRight w:val="0"/>
          <w:marTop w:val="0"/>
          <w:marBottom w:val="0"/>
          <w:divBdr>
            <w:top w:val="none" w:sz="0" w:space="0" w:color="auto"/>
            <w:left w:val="none" w:sz="0" w:space="0" w:color="auto"/>
            <w:bottom w:val="none" w:sz="0" w:space="0" w:color="auto"/>
            <w:right w:val="none" w:sz="0" w:space="0" w:color="auto"/>
          </w:divBdr>
          <w:divsChild>
            <w:div w:id="1423601848">
              <w:marLeft w:val="0"/>
              <w:marRight w:val="0"/>
              <w:marTop w:val="100"/>
              <w:marBottom w:val="100"/>
              <w:divBdr>
                <w:top w:val="none" w:sz="0" w:space="0" w:color="auto"/>
                <w:left w:val="none" w:sz="0" w:space="0" w:color="auto"/>
                <w:bottom w:val="none" w:sz="0" w:space="0" w:color="auto"/>
                <w:right w:val="none" w:sz="0" w:space="0" w:color="auto"/>
              </w:divBdr>
              <w:divsChild>
                <w:div w:id="709457997">
                  <w:marLeft w:val="0"/>
                  <w:marRight w:val="0"/>
                  <w:marTop w:val="0"/>
                  <w:marBottom w:val="0"/>
                  <w:divBdr>
                    <w:top w:val="none" w:sz="0" w:space="0" w:color="auto"/>
                    <w:left w:val="none" w:sz="0" w:space="0" w:color="auto"/>
                    <w:bottom w:val="none" w:sz="0" w:space="0" w:color="auto"/>
                    <w:right w:val="none" w:sz="0" w:space="0" w:color="auto"/>
                  </w:divBdr>
                  <w:divsChild>
                    <w:div w:id="1963682464">
                      <w:marLeft w:val="0"/>
                      <w:marRight w:val="0"/>
                      <w:marTop w:val="0"/>
                      <w:marBottom w:val="0"/>
                      <w:divBdr>
                        <w:top w:val="none" w:sz="0" w:space="0" w:color="auto"/>
                        <w:left w:val="none" w:sz="0" w:space="0" w:color="auto"/>
                        <w:bottom w:val="none" w:sz="0" w:space="0" w:color="auto"/>
                        <w:right w:val="none" w:sz="0" w:space="0" w:color="auto"/>
                      </w:divBdr>
                      <w:divsChild>
                        <w:div w:id="2367603">
                          <w:marLeft w:val="0"/>
                          <w:marRight w:val="0"/>
                          <w:marTop w:val="0"/>
                          <w:marBottom w:val="540"/>
                          <w:divBdr>
                            <w:top w:val="none" w:sz="0" w:space="0" w:color="auto"/>
                            <w:left w:val="none" w:sz="0" w:space="0" w:color="auto"/>
                            <w:bottom w:val="none" w:sz="0" w:space="0" w:color="auto"/>
                            <w:right w:val="none" w:sz="0" w:space="0" w:color="auto"/>
                          </w:divBdr>
                          <w:divsChild>
                            <w:div w:id="749352023">
                              <w:marLeft w:val="0"/>
                              <w:marRight w:val="0"/>
                              <w:marTop w:val="0"/>
                              <w:marBottom w:val="0"/>
                              <w:divBdr>
                                <w:top w:val="none" w:sz="0" w:space="0" w:color="auto"/>
                                <w:left w:val="none" w:sz="0" w:space="0" w:color="auto"/>
                                <w:bottom w:val="none" w:sz="0" w:space="0" w:color="auto"/>
                                <w:right w:val="none" w:sz="0" w:space="0" w:color="auto"/>
                              </w:divBdr>
                              <w:divsChild>
                                <w:div w:id="32775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853834">
      <w:bodyDiv w:val="1"/>
      <w:marLeft w:val="0"/>
      <w:marRight w:val="0"/>
      <w:marTop w:val="0"/>
      <w:marBottom w:val="0"/>
      <w:divBdr>
        <w:top w:val="none" w:sz="0" w:space="0" w:color="auto"/>
        <w:left w:val="none" w:sz="0" w:space="0" w:color="auto"/>
        <w:bottom w:val="none" w:sz="0" w:space="0" w:color="auto"/>
        <w:right w:val="none" w:sz="0" w:space="0" w:color="auto"/>
      </w:divBdr>
    </w:div>
    <w:div w:id="1151291608">
      <w:bodyDiv w:val="1"/>
      <w:marLeft w:val="0"/>
      <w:marRight w:val="0"/>
      <w:marTop w:val="0"/>
      <w:marBottom w:val="0"/>
      <w:divBdr>
        <w:top w:val="none" w:sz="0" w:space="0" w:color="auto"/>
        <w:left w:val="none" w:sz="0" w:space="0" w:color="auto"/>
        <w:bottom w:val="none" w:sz="0" w:space="0" w:color="auto"/>
        <w:right w:val="none" w:sz="0" w:space="0" w:color="auto"/>
      </w:divBdr>
      <w:divsChild>
        <w:div w:id="191768083">
          <w:marLeft w:val="0"/>
          <w:marRight w:val="0"/>
          <w:marTop w:val="0"/>
          <w:marBottom w:val="0"/>
          <w:divBdr>
            <w:top w:val="none" w:sz="0" w:space="0" w:color="auto"/>
            <w:left w:val="none" w:sz="0" w:space="0" w:color="auto"/>
            <w:bottom w:val="none" w:sz="0" w:space="0" w:color="auto"/>
            <w:right w:val="none" w:sz="0" w:space="0" w:color="auto"/>
          </w:divBdr>
          <w:divsChild>
            <w:div w:id="73818479">
              <w:marLeft w:val="0"/>
              <w:marRight w:val="0"/>
              <w:marTop w:val="100"/>
              <w:marBottom w:val="100"/>
              <w:divBdr>
                <w:top w:val="none" w:sz="0" w:space="0" w:color="auto"/>
                <w:left w:val="none" w:sz="0" w:space="0" w:color="auto"/>
                <w:bottom w:val="none" w:sz="0" w:space="0" w:color="auto"/>
                <w:right w:val="none" w:sz="0" w:space="0" w:color="auto"/>
              </w:divBdr>
              <w:divsChild>
                <w:div w:id="1197621436">
                  <w:marLeft w:val="0"/>
                  <w:marRight w:val="0"/>
                  <w:marTop w:val="0"/>
                  <w:marBottom w:val="0"/>
                  <w:divBdr>
                    <w:top w:val="none" w:sz="0" w:space="0" w:color="auto"/>
                    <w:left w:val="none" w:sz="0" w:space="0" w:color="auto"/>
                    <w:bottom w:val="none" w:sz="0" w:space="0" w:color="auto"/>
                    <w:right w:val="none" w:sz="0" w:space="0" w:color="auto"/>
                  </w:divBdr>
                  <w:divsChild>
                    <w:div w:id="1459370587">
                      <w:marLeft w:val="0"/>
                      <w:marRight w:val="0"/>
                      <w:marTop w:val="0"/>
                      <w:marBottom w:val="0"/>
                      <w:divBdr>
                        <w:top w:val="none" w:sz="0" w:space="0" w:color="auto"/>
                        <w:left w:val="none" w:sz="0" w:space="0" w:color="auto"/>
                        <w:bottom w:val="none" w:sz="0" w:space="0" w:color="auto"/>
                        <w:right w:val="none" w:sz="0" w:space="0" w:color="auto"/>
                      </w:divBdr>
                      <w:divsChild>
                        <w:div w:id="1705519983">
                          <w:marLeft w:val="0"/>
                          <w:marRight w:val="0"/>
                          <w:marTop w:val="0"/>
                          <w:marBottom w:val="540"/>
                          <w:divBdr>
                            <w:top w:val="none" w:sz="0" w:space="0" w:color="auto"/>
                            <w:left w:val="none" w:sz="0" w:space="0" w:color="auto"/>
                            <w:bottom w:val="none" w:sz="0" w:space="0" w:color="auto"/>
                            <w:right w:val="none" w:sz="0" w:space="0" w:color="auto"/>
                          </w:divBdr>
                          <w:divsChild>
                            <w:div w:id="225071486">
                              <w:marLeft w:val="0"/>
                              <w:marRight w:val="0"/>
                              <w:marTop w:val="0"/>
                              <w:marBottom w:val="0"/>
                              <w:divBdr>
                                <w:top w:val="none" w:sz="0" w:space="0" w:color="auto"/>
                                <w:left w:val="none" w:sz="0" w:space="0" w:color="auto"/>
                                <w:bottom w:val="none" w:sz="0" w:space="0" w:color="auto"/>
                                <w:right w:val="none" w:sz="0" w:space="0" w:color="auto"/>
                              </w:divBdr>
                              <w:divsChild>
                                <w:div w:id="17462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082687">
      <w:bodyDiv w:val="1"/>
      <w:marLeft w:val="0"/>
      <w:marRight w:val="0"/>
      <w:marTop w:val="0"/>
      <w:marBottom w:val="0"/>
      <w:divBdr>
        <w:top w:val="none" w:sz="0" w:space="0" w:color="auto"/>
        <w:left w:val="none" w:sz="0" w:space="0" w:color="auto"/>
        <w:bottom w:val="none" w:sz="0" w:space="0" w:color="auto"/>
        <w:right w:val="none" w:sz="0" w:space="0" w:color="auto"/>
      </w:divBdr>
    </w:div>
    <w:div w:id="1224291137">
      <w:bodyDiv w:val="1"/>
      <w:marLeft w:val="0"/>
      <w:marRight w:val="0"/>
      <w:marTop w:val="0"/>
      <w:marBottom w:val="0"/>
      <w:divBdr>
        <w:top w:val="none" w:sz="0" w:space="0" w:color="auto"/>
        <w:left w:val="none" w:sz="0" w:space="0" w:color="auto"/>
        <w:bottom w:val="none" w:sz="0" w:space="0" w:color="auto"/>
        <w:right w:val="none" w:sz="0" w:space="0" w:color="auto"/>
      </w:divBdr>
      <w:divsChild>
        <w:div w:id="683169867">
          <w:marLeft w:val="0"/>
          <w:marRight w:val="0"/>
          <w:marTop w:val="0"/>
          <w:marBottom w:val="0"/>
          <w:divBdr>
            <w:top w:val="none" w:sz="0" w:space="0" w:color="auto"/>
            <w:left w:val="none" w:sz="0" w:space="0" w:color="auto"/>
            <w:bottom w:val="none" w:sz="0" w:space="0" w:color="auto"/>
            <w:right w:val="none" w:sz="0" w:space="0" w:color="auto"/>
          </w:divBdr>
          <w:divsChild>
            <w:div w:id="1313869422">
              <w:marLeft w:val="0"/>
              <w:marRight w:val="0"/>
              <w:marTop w:val="100"/>
              <w:marBottom w:val="100"/>
              <w:divBdr>
                <w:top w:val="none" w:sz="0" w:space="0" w:color="auto"/>
                <w:left w:val="none" w:sz="0" w:space="0" w:color="auto"/>
                <w:bottom w:val="none" w:sz="0" w:space="0" w:color="auto"/>
                <w:right w:val="none" w:sz="0" w:space="0" w:color="auto"/>
              </w:divBdr>
              <w:divsChild>
                <w:div w:id="1743914009">
                  <w:marLeft w:val="0"/>
                  <w:marRight w:val="0"/>
                  <w:marTop w:val="0"/>
                  <w:marBottom w:val="0"/>
                  <w:divBdr>
                    <w:top w:val="none" w:sz="0" w:space="0" w:color="auto"/>
                    <w:left w:val="none" w:sz="0" w:space="0" w:color="auto"/>
                    <w:bottom w:val="none" w:sz="0" w:space="0" w:color="auto"/>
                    <w:right w:val="none" w:sz="0" w:space="0" w:color="auto"/>
                  </w:divBdr>
                  <w:divsChild>
                    <w:div w:id="851531942">
                      <w:marLeft w:val="0"/>
                      <w:marRight w:val="0"/>
                      <w:marTop w:val="0"/>
                      <w:marBottom w:val="0"/>
                      <w:divBdr>
                        <w:top w:val="none" w:sz="0" w:space="0" w:color="auto"/>
                        <w:left w:val="none" w:sz="0" w:space="0" w:color="auto"/>
                        <w:bottom w:val="none" w:sz="0" w:space="0" w:color="auto"/>
                        <w:right w:val="none" w:sz="0" w:space="0" w:color="auto"/>
                      </w:divBdr>
                      <w:divsChild>
                        <w:div w:id="1512989607">
                          <w:marLeft w:val="0"/>
                          <w:marRight w:val="0"/>
                          <w:marTop w:val="0"/>
                          <w:marBottom w:val="540"/>
                          <w:divBdr>
                            <w:top w:val="none" w:sz="0" w:space="0" w:color="auto"/>
                            <w:left w:val="none" w:sz="0" w:space="0" w:color="auto"/>
                            <w:bottom w:val="none" w:sz="0" w:space="0" w:color="auto"/>
                            <w:right w:val="none" w:sz="0" w:space="0" w:color="auto"/>
                          </w:divBdr>
                          <w:divsChild>
                            <w:div w:id="1037505463">
                              <w:marLeft w:val="0"/>
                              <w:marRight w:val="0"/>
                              <w:marTop w:val="0"/>
                              <w:marBottom w:val="0"/>
                              <w:divBdr>
                                <w:top w:val="none" w:sz="0" w:space="0" w:color="auto"/>
                                <w:left w:val="none" w:sz="0" w:space="0" w:color="auto"/>
                                <w:bottom w:val="none" w:sz="0" w:space="0" w:color="auto"/>
                                <w:right w:val="none" w:sz="0" w:space="0" w:color="auto"/>
                              </w:divBdr>
                              <w:divsChild>
                                <w:div w:id="3902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1489353">
      <w:bodyDiv w:val="1"/>
      <w:marLeft w:val="0"/>
      <w:marRight w:val="0"/>
      <w:marTop w:val="0"/>
      <w:marBottom w:val="0"/>
      <w:divBdr>
        <w:top w:val="none" w:sz="0" w:space="0" w:color="auto"/>
        <w:left w:val="none" w:sz="0" w:space="0" w:color="auto"/>
        <w:bottom w:val="none" w:sz="0" w:space="0" w:color="auto"/>
        <w:right w:val="none" w:sz="0" w:space="0" w:color="auto"/>
      </w:divBdr>
      <w:divsChild>
        <w:div w:id="781001062">
          <w:marLeft w:val="0"/>
          <w:marRight w:val="1"/>
          <w:marTop w:val="0"/>
          <w:marBottom w:val="0"/>
          <w:divBdr>
            <w:top w:val="none" w:sz="0" w:space="0" w:color="auto"/>
            <w:left w:val="none" w:sz="0" w:space="0" w:color="auto"/>
            <w:bottom w:val="none" w:sz="0" w:space="0" w:color="auto"/>
            <w:right w:val="none" w:sz="0" w:space="0" w:color="auto"/>
          </w:divBdr>
          <w:divsChild>
            <w:div w:id="1425304788">
              <w:marLeft w:val="0"/>
              <w:marRight w:val="0"/>
              <w:marTop w:val="0"/>
              <w:marBottom w:val="0"/>
              <w:divBdr>
                <w:top w:val="none" w:sz="0" w:space="0" w:color="auto"/>
                <w:left w:val="none" w:sz="0" w:space="0" w:color="auto"/>
                <w:bottom w:val="none" w:sz="0" w:space="0" w:color="auto"/>
                <w:right w:val="none" w:sz="0" w:space="0" w:color="auto"/>
              </w:divBdr>
              <w:divsChild>
                <w:div w:id="1513909458">
                  <w:marLeft w:val="0"/>
                  <w:marRight w:val="1"/>
                  <w:marTop w:val="0"/>
                  <w:marBottom w:val="0"/>
                  <w:divBdr>
                    <w:top w:val="none" w:sz="0" w:space="0" w:color="auto"/>
                    <w:left w:val="none" w:sz="0" w:space="0" w:color="auto"/>
                    <w:bottom w:val="none" w:sz="0" w:space="0" w:color="auto"/>
                    <w:right w:val="none" w:sz="0" w:space="0" w:color="auto"/>
                  </w:divBdr>
                  <w:divsChild>
                    <w:div w:id="1964966594">
                      <w:marLeft w:val="0"/>
                      <w:marRight w:val="0"/>
                      <w:marTop w:val="0"/>
                      <w:marBottom w:val="0"/>
                      <w:divBdr>
                        <w:top w:val="none" w:sz="0" w:space="0" w:color="auto"/>
                        <w:left w:val="none" w:sz="0" w:space="0" w:color="auto"/>
                        <w:bottom w:val="none" w:sz="0" w:space="0" w:color="auto"/>
                        <w:right w:val="none" w:sz="0" w:space="0" w:color="auto"/>
                      </w:divBdr>
                      <w:divsChild>
                        <w:div w:id="558322210">
                          <w:marLeft w:val="0"/>
                          <w:marRight w:val="0"/>
                          <w:marTop w:val="0"/>
                          <w:marBottom w:val="0"/>
                          <w:divBdr>
                            <w:top w:val="none" w:sz="0" w:space="0" w:color="auto"/>
                            <w:left w:val="none" w:sz="0" w:space="0" w:color="auto"/>
                            <w:bottom w:val="none" w:sz="0" w:space="0" w:color="auto"/>
                            <w:right w:val="none" w:sz="0" w:space="0" w:color="auto"/>
                          </w:divBdr>
                          <w:divsChild>
                            <w:div w:id="305933242">
                              <w:marLeft w:val="0"/>
                              <w:marRight w:val="0"/>
                              <w:marTop w:val="120"/>
                              <w:marBottom w:val="360"/>
                              <w:divBdr>
                                <w:top w:val="none" w:sz="0" w:space="0" w:color="auto"/>
                                <w:left w:val="none" w:sz="0" w:space="0" w:color="auto"/>
                                <w:bottom w:val="none" w:sz="0" w:space="0" w:color="auto"/>
                                <w:right w:val="none" w:sz="0" w:space="0" w:color="auto"/>
                              </w:divBdr>
                              <w:divsChild>
                                <w:div w:id="1252543003">
                                  <w:marLeft w:val="420"/>
                                  <w:marRight w:val="0"/>
                                  <w:marTop w:val="0"/>
                                  <w:marBottom w:val="0"/>
                                  <w:divBdr>
                                    <w:top w:val="none" w:sz="0" w:space="0" w:color="auto"/>
                                    <w:left w:val="none" w:sz="0" w:space="0" w:color="auto"/>
                                    <w:bottom w:val="none" w:sz="0" w:space="0" w:color="auto"/>
                                    <w:right w:val="none" w:sz="0" w:space="0" w:color="auto"/>
                                  </w:divBdr>
                                  <w:divsChild>
                                    <w:div w:id="11653386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5628540">
      <w:bodyDiv w:val="1"/>
      <w:marLeft w:val="0"/>
      <w:marRight w:val="0"/>
      <w:marTop w:val="0"/>
      <w:marBottom w:val="0"/>
      <w:divBdr>
        <w:top w:val="none" w:sz="0" w:space="0" w:color="auto"/>
        <w:left w:val="none" w:sz="0" w:space="0" w:color="auto"/>
        <w:bottom w:val="none" w:sz="0" w:space="0" w:color="auto"/>
        <w:right w:val="none" w:sz="0" w:space="0" w:color="auto"/>
      </w:divBdr>
      <w:divsChild>
        <w:div w:id="1117681825">
          <w:marLeft w:val="0"/>
          <w:marRight w:val="1"/>
          <w:marTop w:val="0"/>
          <w:marBottom w:val="0"/>
          <w:divBdr>
            <w:top w:val="none" w:sz="0" w:space="0" w:color="auto"/>
            <w:left w:val="none" w:sz="0" w:space="0" w:color="auto"/>
            <w:bottom w:val="none" w:sz="0" w:space="0" w:color="auto"/>
            <w:right w:val="none" w:sz="0" w:space="0" w:color="auto"/>
          </w:divBdr>
          <w:divsChild>
            <w:div w:id="1993632253">
              <w:marLeft w:val="0"/>
              <w:marRight w:val="0"/>
              <w:marTop w:val="0"/>
              <w:marBottom w:val="0"/>
              <w:divBdr>
                <w:top w:val="none" w:sz="0" w:space="0" w:color="auto"/>
                <w:left w:val="none" w:sz="0" w:space="0" w:color="auto"/>
                <w:bottom w:val="none" w:sz="0" w:space="0" w:color="auto"/>
                <w:right w:val="none" w:sz="0" w:space="0" w:color="auto"/>
              </w:divBdr>
              <w:divsChild>
                <w:div w:id="545947480">
                  <w:marLeft w:val="0"/>
                  <w:marRight w:val="1"/>
                  <w:marTop w:val="0"/>
                  <w:marBottom w:val="0"/>
                  <w:divBdr>
                    <w:top w:val="none" w:sz="0" w:space="0" w:color="auto"/>
                    <w:left w:val="none" w:sz="0" w:space="0" w:color="auto"/>
                    <w:bottom w:val="none" w:sz="0" w:space="0" w:color="auto"/>
                    <w:right w:val="none" w:sz="0" w:space="0" w:color="auto"/>
                  </w:divBdr>
                  <w:divsChild>
                    <w:div w:id="396587367">
                      <w:marLeft w:val="0"/>
                      <w:marRight w:val="0"/>
                      <w:marTop w:val="0"/>
                      <w:marBottom w:val="0"/>
                      <w:divBdr>
                        <w:top w:val="none" w:sz="0" w:space="0" w:color="auto"/>
                        <w:left w:val="none" w:sz="0" w:space="0" w:color="auto"/>
                        <w:bottom w:val="none" w:sz="0" w:space="0" w:color="auto"/>
                        <w:right w:val="none" w:sz="0" w:space="0" w:color="auto"/>
                      </w:divBdr>
                      <w:divsChild>
                        <w:div w:id="1215121287">
                          <w:marLeft w:val="0"/>
                          <w:marRight w:val="0"/>
                          <w:marTop w:val="0"/>
                          <w:marBottom w:val="0"/>
                          <w:divBdr>
                            <w:top w:val="none" w:sz="0" w:space="0" w:color="auto"/>
                            <w:left w:val="none" w:sz="0" w:space="0" w:color="auto"/>
                            <w:bottom w:val="none" w:sz="0" w:space="0" w:color="auto"/>
                            <w:right w:val="none" w:sz="0" w:space="0" w:color="auto"/>
                          </w:divBdr>
                          <w:divsChild>
                            <w:div w:id="607589236">
                              <w:marLeft w:val="0"/>
                              <w:marRight w:val="0"/>
                              <w:marTop w:val="120"/>
                              <w:marBottom w:val="360"/>
                              <w:divBdr>
                                <w:top w:val="none" w:sz="0" w:space="0" w:color="auto"/>
                                <w:left w:val="none" w:sz="0" w:space="0" w:color="auto"/>
                                <w:bottom w:val="none" w:sz="0" w:space="0" w:color="auto"/>
                                <w:right w:val="none" w:sz="0" w:space="0" w:color="auto"/>
                              </w:divBdr>
                              <w:divsChild>
                                <w:div w:id="1402024137">
                                  <w:marLeft w:val="0"/>
                                  <w:marRight w:val="0"/>
                                  <w:marTop w:val="0"/>
                                  <w:marBottom w:val="0"/>
                                  <w:divBdr>
                                    <w:top w:val="none" w:sz="0" w:space="0" w:color="auto"/>
                                    <w:left w:val="none" w:sz="0" w:space="0" w:color="auto"/>
                                    <w:bottom w:val="none" w:sz="0" w:space="0" w:color="auto"/>
                                    <w:right w:val="none" w:sz="0" w:space="0" w:color="auto"/>
                                  </w:divBdr>
                                  <w:divsChild>
                                    <w:div w:id="99634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106952">
      <w:bodyDiv w:val="1"/>
      <w:marLeft w:val="0"/>
      <w:marRight w:val="0"/>
      <w:marTop w:val="0"/>
      <w:marBottom w:val="0"/>
      <w:divBdr>
        <w:top w:val="none" w:sz="0" w:space="0" w:color="auto"/>
        <w:left w:val="none" w:sz="0" w:space="0" w:color="auto"/>
        <w:bottom w:val="none" w:sz="0" w:space="0" w:color="auto"/>
        <w:right w:val="none" w:sz="0" w:space="0" w:color="auto"/>
      </w:divBdr>
    </w:div>
    <w:div w:id="1640720054">
      <w:bodyDiv w:val="1"/>
      <w:marLeft w:val="0"/>
      <w:marRight w:val="0"/>
      <w:marTop w:val="0"/>
      <w:marBottom w:val="0"/>
      <w:divBdr>
        <w:top w:val="none" w:sz="0" w:space="0" w:color="auto"/>
        <w:left w:val="none" w:sz="0" w:space="0" w:color="auto"/>
        <w:bottom w:val="none" w:sz="0" w:space="0" w:color="auto"/>
        <w:right w:val="none" w:sz="0" w:space="0" w:color="auto"/>
      </w:divBdr>
      <w:divsChild>
        <w:div w:id="230894457">
          <w:marLeft w:val="0"/>
          <w:marRight w:val="1"/>
          <w:marTop w:val="0"/>
          <w:marBottom w:val="0"/>
          <w:divBdr>
            <w:top w:val="none" w:sz="0" w:space="0" w:color="auto"/>
            <w:left w:val="none" w:sz="0" w:space="0" w:color="auto"/>
            <w:bottom w:val="none" w:sz="0" w:space="0" w:color="auto"/>
            <w:right w:val="none" w:sz="0" w:space="0" w:color="auto"/>
          </w:divBdr>
          <w:divsChild>
            <w:div w:id="1875389176">
              <w:marLeft w:val="0"/>
              <w:marRight w:val="0"/>
              <w:marTop w:val="0"/>
              <w:marBottom w:val="0"/>
              <w:divBdr>
                <w:top w:val="none" w:sz="0" w:space="0" w:color="auto"/>
                <w:left w:val="none" w:sz="0" w:space="0" w:color="auto"/>
                <w:bottom w:val="none" w:sz="0" w:space="0" w:color="auto"/>
                <w:right w:val="none" w:sz="0" w:space="0" w:color="auto"/>
              </w:divBdr>
              <w:divsChild>
                <w:div w:id="618879872">
                  <w:marLeft w:val="0"/>
                  <w:marRight w:val="1"/>
                  <w:marTop w:val="0"/>
                  <w:marBottom w:val="0"/>
                  <w:divBdr>
                    <w:top w:val="none" w:sz="0" w:space="0" w:color="auto"/>
                    <w:left w:val="none" w:sz="0" w:space="0" w:color="auto"/>
                    <w:bottom w:val="none" w:sz="0" w:space="0" w:color="auto"/>
                    <w:right w:val="none" w:sz="0" w:space="0" w:color="auto"/>
                  </w:divBdr>
                  <w:divsChild>
                    <w:div w:id="364060598">
                      <w:marLeft w:val="0"/>
                      <w:marRight w:val="0"/>
                      <w:marTop w:val="0"/>
                      <w:marBottom w:val="0"/>
                      <w:divBdr>
                        <w:top w:val="none" w:sz="0" w:space="0" w:color="auto"/>
                        <w:left w:val="none" w:sz="0" w:space="0" w:color="auto"/>
                        <w:bottom w:val="none" w:sz="0" w:space="0" w:color="auto"/>
                        <w:right w:val="none" w:sz="0" w:space="0" w:color="auto"/>
                      </w:divBdr>
                      <w:divsChild>
                        <w:div w:id="1688941465">
                          <w:marLeft w:val="0"/>
                          <w:marRight w:val="0"/>
                          <w:marTop w:val="0"/>
                          <w:marBottom w:val="0"/>
                          <w:divBdr>
                            <w:top w:val="none" w:sz="0" w:space="0" w:color="auto"/>
                            <w:left w:val="none" w:sz="0" w:space="0" w:color="auto"/>
                            <w:bottom w:val="none" w:sz="0" w:space="0" w:color="auto"/>
                            <w:right w:val="none" w:sz="0" w:space="0" w:color="auto"/>
                          </w:divBdr>
                          <w:divsChild>
                            <w:div w:id="985627572">
                              <w:marLeft w:val="0"/>
                              <w:marRight w:val="0"/>
                              <w:marTop w:val="120"/>
                              <w:marBottom w:val="360"/>
                              <w:divBdr>
                                <w:top w:val="none" w:sz="0" w:space="0" w:color="auto"/>
                                <w:left w:val="none" w:sz="0" w:space="0" w:color="auto"/>
                                <w:bottom w:val="none" w:sz="0" w:space="0" w:color="auto"/>
                                <w:right w:val="none" w:sz="0" w:space="0" w:color="auto"/>
                              </w:divBdr>
                              <w:divsChild>
                                <w:div w:id="310453005">
                                  <w:marLeft w:val="0"/>
                                  <w:marRight w:val="0"/>
                                  <w:marTop w:val="0"/>
                                  <w:marBottom w:val="0"/>
                                  <w:divBdr>
                                    <w:top w:val="none" w:sz="0" w:space="0" w:color="auto"/>
                                    <w:left w:val="none" w:sz="0" w:space="0" w:color="auto"/>
                                    <w:bottom w:val="none" w:sz="0" w:space="0" w:color="auto"/>
                                    <w:right w:val="none" w:sz="0" w:space="0" w:color="auto"/>
                                  </w:divBdr>
                                  <w:divsChild>
                                    <w:div w:id="207100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5518400">
      <w:bodyDiv w:val="1"/>
      <w:marLeft w:val="0"/>
      <w:marRight w:val="0"/>
      <w:marTop w:val="0"/>
      <w:marBottom w:val="0"/>
      <w:divBdr>
        <w:top w:val="none" w:sz="0" w:space="0" w:color="auto"/>
        <w:left w:val="none" w:sz="0" w:space="0" w:color="auto"/>
        <w:bottom w:val="none" w:sz="0" w:space="0" w:color="auto"/>
        <w:right w:val="none" w:sz="0" w:space="0" w:color="auto"/>
      </w:divBdr>
    </w:div>
    <w:div w:id="1927683963">
      <w:bodyDiv w:val="1"/>
      <w:marLeft w:val="0"/>
      <w:marRight w:val="0"/>
      <w:marTop w:val="0"/>
      <w:marBottom w:val="0"/>
      <w:divBdr>
        <w:top w:val="none" w:sz="0" w:space="0" w:color="auto"/>
        <w:left w:val="none" w:sz="0" w:space="0" w:color="auto"/>
        <w:bottom w:val="none" w:sz="0" w:space="0" w:color="auto"/>
        <w:right w:val="none" w:sz="0" w:space="0" w:color="auto"/>
      </w:divBdr>
    </w:div>
    <w:div w:id="2070768349">
      <w:bodyDiv w:val="1"/>
      <w:marLeft w:val="0"/>
      <w:marRight w:val="0"/>
      <w:marTop w:val="0"/>
      <w:marBottom w:val="0"/>
      <w:divBdr>
        <w:top w:val="none" w:sz="0" w:space="0" w:color="auto"/>
        <w:left w:val="none" w:sz="0" w:space="0" w:color="auto"/>
        <w:bottom w:val="none" w:sz="0" w:space="0" w:color="auto"/>
        <w:right w:val="none" w:sz="0" w:space="0" w:color="auto"/>
      </w:divBdr>
      <w:divsChild>
        <w:div w:id="299045269">
          <w:marLeft w:val="0"/>
          <w:marRight w:val="1"/>
          <w:marTop w:val="0"/>
          <w:marBottom w:val="0"/>
          <w:divBdr>
            <w:top w:val="none" w:sz="0" w:space="0" w:color="auto"/>
            <w:left w:val="none" w:sz="0" w:space="0" w:color="auto"/>
            <w:bottom w:val="none" w:sz="0" w:space="0" w:color="auto"/>
            <w:right w:val="none" w:sz="0" w:space="0" w:color="auto"/>
          </w:divBdr>
          <w:divsChild>
            <w:div w:id="288778418">
              <w:marLeft w:val="0"/>
              <w:marRight w:val="0"/>
              <w:marTop w:val="0"/>
              <w:marBottom w:val="0"/>
              <w:divBdr>
                <w:top w:val="none" w:sz="0" w:space="0" w:color="auto"/>
                <w:left w:val="none" w:sz="0" w:space="0" w:color="auto"/>
                <w:bottom w:val="none" w:sz="0" w:space="0" w:color="auto"/>
                <w:right w:val="none" w:sz="0" w:space="0" w:color="auto"/>
              </w:divBdr>
              <w:divsChild>
                <w:div w:id="386609659">
                  <w:marLeft w:val="0"/>
                  <w:marRight w:val="1"/>
                  <w:marTop w:val="0"/>
                  <w:marBottom w:val="0"/>
                  <w:divBdr>
                    <w:top w:val="none" w:sz="0" w:space="0" w:color="auto"/>
                    <w:left w:val="none" w:sz="0" w:space="0" w:color="auto"/>
                    <w:bottom w:val="none" w:sz="0" w:space="0" w:color="auto"/>
                    <w:right w:val="none" w:sz="0" w:space="0" w:color="auto"/>
                  </w:divBdr>
                  <w:divsChild>
                    <w:div w:id="1946421633">
                      <w:marLeft w:val="0"/>
                      <w:marRight w:val="0"/>
                      <w:marTop w:val="0"/>
                      <w:marBottom w:val="0"/>
                      <w:divBdr>
                        <w:top w:val="none" w:sz="0" w:space="0" w:color="auto"/>
                        <w:left w:val="none" w:sz="0" w:space="0" w:color="auto"/>
                        <w:bottom w:val="none" w:sz="0" w:space="0" w:color="auto"/>
                        <w:right w:val="none" w:sz="0" w:space="0" w:color="auto"/>
                      </w:divBdr>
                      <w:divsChild>
                        <w:div w:id="976371879">
                          <w:marLeft w:val="0"/>
                          <w:marRight w:val="0"/>
                          <w:marTop w:val="0"/>
                          <w:marBottom w:val="0"/>
                          <w:divBdr>
                            <w:top w:val="none" w:sz="0" w:space="0" w:color="auto"/>
                            <w:left w:val="none" w:sz="0" w:space="0" w:color="auto"/>
                            <w:bottom w:val="none" w:sz="0" w:space="0" w:color="auto"/>
                            <w:right w:val="none" w:sz="0" w:space="0" w:color="auto"/>
                          </w:divBdr>
                          <w:divsChild>
                            <w:div w:id="1251353033">
                              <w:marLeft w:val="0"/>
                              <w:marRight w:val="0"/>
                              <w:marTop w:val="120"/>
                              <w:marBottom w:val="360"/>
                              <w:divBdr>
                                <w:top w:val="none" w:sz="0" w:space="0" w:color="auto"/>
                                <w:left w:val="none" w:sz="0" w:space="0" w:color="auto"/>
                                <w:bottom w:val="none" w:sz="0" w:space="0" w:color="auto"/>
                                <w:right w:val="none" w:sz="0" w:space="0" w:color="auto"/>
                              </w:divBdr>
                              <w:divsChild>
                                <w:div w:id="599722343">
                                  <w:marLeft w:val="0"/>
                                  <w:marRight w:val="0"/>
                                  <w:marTop w:val="0"/>
                                  <w:marBottom w:val="0"/>
                                  <w:divBdr>
                                    <w:top w:val="none" w:sz="0" w:space="0" w:color="auto"/>
                                    <w:left w:val="none" w:sz="0" w:space="0" w:color="auto"/>
                                    <w:bottom w:val="none" w:sz="0" w:space="0" w:color="auto"/>
                                    <w:right w:val="none" w:sz="0" w:space="0" w:color="auto"/>
                                  </w:divBdr>
                                  <w:divsChild>
                                    <w:div w:id="34205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765256">
      <w:bodyDiv w:val="1"/>
      <w:marLeft w:val="0"/>
      <w:marRight w:val="0"/>
      <w:marTop w:val="0"/>
      <w:marBottom w:val="0"/>
      <w:divBdr>
        <w:top w:val="none" w:sz="0" w:space="0" w:color="auto"/>
        <w:left w:val="none" w:sz="0" w:space="0" w:color="auto"/>
        <w:bottom w:val="none" w:sz="0" w:space="0" w:color="auto"/>
        <w:right w:val="none" w:sz="0" w:space="0" w:color="auto"/>
      </w:divBdr>
      <w:divsChild>
        <w:div w:id="1574318804">
          <w:marLeft w:val="0"/>
          <w:marRight w:val="1"/>
          <w:marTop w:val="0"/>
          <w:marBottom w:val="0"/>
          <w:divBdr>
            <w:top w:val="none" w:sz="0" w:space="0" w:color="auto"/>
            <w:left w:val="none" w:sz="0" w:space="0" w:color="auto"/>
            <w:bottom w:val="none" w:sz="0" w:space="0" w:color="auto"/>
            <w:right w:val="none" w:sz="0" w:space="0" w:color="auto"/>
          </w:divBdr>
          <w:divsChild>
            <w:div w:id="968894452">
              <w:marLeft w:val="0"/>
              <w:marRight w:val="0"/>
              <w:marTop w:val="0"/>
              <w:marBottom w:val="0"/>
              <w:divBdr>
                <w:top w:val="none" w:sz="0" w:space="0" w:color="auto"/>
                <w:left w:val="none" w:sz="0" w:space="0" w:color="auto"/>
                <w:bottom w:val="none" w:sz="0" w:space="0" w:color="auto"/>
                <w:right w:val="none" w:sz="0" w:space="0" w:color="auto"/>
              </w:divBdr>
              <w:divsChild>
                <w:div w:id="1357999477">
                  <w:marLeft w:val="0"/>
                  <w:marRight w:val="1"/>
                  <w:marTop w:val="0"/>
                  <w:marBottom w:val="0"/>
                  <w:divBdr>
                    <w:top w:val="none" w:sz="0" w:space="0" w:color="auto"/>
                    <w:left w:val="none" w:sz="0" w:space="0" w:color="auto"/>
                    <w:bottom w:val="none" w:sz="0" w:space="0" w:color="auto"/>
                    <w:right w:val="none" w:sz="0" w:space="0" w:color="auto"/>
                  </w:divBdr>
                  <w:divsChild>
                    <w:div w:id="1530143485">
                      <w:marLeft w:val="0"/>
                      <w:marRight w:val="0"/>
                      <w:marTop w:val="0"/>
                      <w:marBottom w:val="0"/>
                      <w:divBdr>
                        <w:top w:val="none" w:sz="0" w:space="0" w:color="auto"/>
                        <w:left w:val="none" w:sz="0" w:space="0" w:color="auto"/>
                        <w:bottom w:val="none" w:sz="0" w:space="0" w:color="auto"/>
                        <w:right w:val="none" w:sz="0" w:space="0" w:color="auto"/>
                      </w:divBdr>
                      <w:divsChild>
                        <w:div w:id="308555648">
                          <w:marLeft w:val="0"/>
                          <w:marRight w:val="0"/>
                          <w:marTop w:val="0"/>
                          <w:marBottom w:val="0"/>
                          <w:divBdr>
                            <w:top w:val="none" w:sz="0" w:space="0" w:color="auto"/>
                            <w:left w:val="none" w:sz="0" w:space="0" w:color="auto"/>
                            <w:bottom w:val="none" w:sz="0" w:space="0" w:color="auto"/>
                            <w:right w:val="none" w:sz="0" w:space="0" w:color="auto"/>
                          </w:divBdr>
                          <w:divsChild>
                            <w:div w:id="1583366723">
                              <w:marLeft w:val="0"/>
                              <w:marRight w:val="0"/>
                              <w:marTop w:val="120"/>
                              <w:marBottom w:val="360"/>
                              <w:divBdr>
                                <w:top w:val="none" w:sz="0" w:space="0" w:color="auto"/>
                                <w:left w:val="none" w:sz="0" w:space="0" w:color="auto"/>
                                <w:bottom w:val="none" w:sz="0" w:space="0" w:color="auto"/>
                                <w:right w:val="none" w:sz="0" w:space="0" w:color="auto"/>
                              </w:divBdr>
                              <w:divsChild>
                                <w:div w:id="1044914898">
                                  <w:marLeft w:val="0"/>
                                  <w:marRight w:val="0"/>
                                  <w:marTop w:val="0"/>
                                  <w:marBottom w:val="0"/>
                                  <w:divBdr>
                                    <w:top w:val="none" w:sz="0" w:space="0" w:color="auto"/>
                                    <w:left w:val="none" w:sz="0" w:space="0" w:color="auto"/>
                                    <w:bottom w:val="none" w:sz="0" w:space="0" w:color="auto"/>
                                    <w:right w:val="none" w:sz="0" w:space="0" w:color="auto"/>
                                  </w:divBdr>
                                  <w:divsChild>
                                    <w:div w:id="579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9A9B2-AB1D-4BE7-8B41-54FBD5ABB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4655</Words>
  <Characters>26537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dc:creator>
  <cp:lastModifiedBy>Jennifer Smith</cp:lastModifiedBy>
  <cp:revision>2</cp:revision>
  <cp:lastPrinted>2018-02-03T12:13:00Z</cp:lastPrinted>
  <dcterms:created xsi:type="dcterms:W3CDTF">2018-10-30T15:12:00Z</dcterms:created>
  <dcterms:modified xsi:type="dcterms:W3CDTF">2018-10-30T15:12:00Z</dcterms:modified>
</cp:coreProperties>
</file>