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99" w:rsidRDefault="00B12699">
      <w:bookmarkStart w:id="0" w:name="_GoBack"/>
      <w:bookmarkEnd w:id="0"/>
    </w:p>
    <w:tbl>
      <w:tblPr>
        <w:tblpPr w:leftFromText="180" w:rightFromText="180" w:horzAnchor="margin" w:tblpY="825"/>
        <w:tblW w:w="12333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559"/>
        <w:gridCol w:w="850"/>
        <w:gridCol w:w="2268"/>
        <w:gridCol w:w="993"/>
      </w:tblGrid>
      <w:tr w:rsidR="00B12699" w:rsidRPr="008E5560" w:rsidTr="008B1F99">
        <w:trPr>
          <w:cantSplit/>
          <w:trHeight w:val="721"/>
        </w:trPr>
        <w:tc>
          <w:tcPr>
            <w:tcW w:w="123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2699" w:rsidRPr="00145623" w:rsidRDefault="00B12699" w:rsidP="007E6A53">
            <w:pPr>
              <w:keepNext/>
              <w:outlineLvl w:val="0"/>
            </w:pPr>
            <w:r w:rsidRPr="008E5560">
              <w:rPr>
                <w:b/>
                <w:lang w:val="en-US"/>
              </w:rPr>
              <w:t xml:space="preserve">Table </w:t>
            </w:r>
            <w:r w:rsidR="00D807F9">
              <w:rPr>
                <w:b/>
                <w:lang w:val="en-US"/>
              </w:rPr>
              <w:t>II</w:t>
            </w:r>
            <w:r w:rsidRPr="008E5560">
              <w:rPr>
                <w:b/>
                <w:lang w:val="en-US"/>
              </w:rPr>
              <w:t>.</w:t>
            </w:r>
            <w:r w:rsidRPr="008E5560">
              <w:rPr>
                <w:lang w:val="en-US"/>
              </w:rPr>
              <w:t xml:space="preserve">  </w:t>
            </w:r>
            <w:r>
              <w:rPr>
                <w:lang w:val="en-US"/>
              </w:rPr>
              <w:t>Comparison of d</w:t>
            </w:r>
            <w:r w:rsidRPr="00D760CF">
              <w:rPr>
                <w:lang w:val="en-US"/>
              </w:rPr>
              <w:t xml:space="preserve">iagnostic classifications for </w:t>
            </w:r>
            <w:r w:rsidRPr="00D760CF">
              <w:t>patients in 2013-2015 and 2016</w:t>
            </w:r>
            <w:r w:rsidR="003B22C9">
              <w:t>-2017</w:t>
            </w:r>
            <w:r w:rsidRPr="00D760CF">
              <w:t xml:space="preserve"> cohorts</w:t>
            </w:r>
            <w:r w:rsidR="00347644">
              <w:t xml:space="preserve"> according to </w:t>
            </w:r>
            <w:r w:rsidR="00C166C6" w:rsidRPr="00C166C6">
              <w:t>broad symptomatic class</w:t>
            </w:r>
            <w:r>
              <w:t>.</w:t>
            </w:r>
            <w:r w:rsidR="00576073">
              <w:t xml:space="preserve">    </w:t>
            </w:r>
          </w:p>
        </w:tc>
      </w:tr>
      <w:tr w:rsidR="00B12699" w:rsidRPr="008E5560" w:rsidTr="008B1F99">
        <w:trPr>
          <w:cantSplit/>
          <w:trHeight w:val="749"/>
        </w:trPr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12699" w:rsidRPr="002F12A4" w:rsidRDefault="00B12699" w:rsidP="003608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67DA" w:rsidRPr="002F12A4" w:rsidRDefault="003267DA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12699" w:rsidRPr="002F12A4" w:rsidRDefault="003B22C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sz w:val="22"/>
                <w:szCs w:val="22"/>
                <w:lang w:val="en-US"/>
              </w:rPr>
              <w:t>2</w:t>
            </w:r>
            <w:r w:rsidR="00B12699" w:rsidRPr="002F12A4">
              <w:rPr>
                <w:sz w:val="22"/>
                <w:szCs w:val="22"/>
                <w:lang w:val="en-US"/>
              </w:rPr>
              <w:t xml:space="preserve">013-2015 </w:t>
            </w:r>
          </w:p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sz w:val="22"/>
                <w:szCs w:val="22"/>
                <w:lang w:val="en-US"/>
              </w:rPr>
              <w:t>(</w:t>
            </w:r>
            <w:r w:rsidRPr="002F12A4">
              <w:rPr>
                <w:i/>
                <w:sz w:val="22"/>
                <w:szCs w:val="22"/>
                <w:lang w:val="en-US"/>
              </w:rPr>
              <w:t xml:space="preserve">n </w:t>
            </w:r>
            <w:r w:rsidRPr="002F12A4">
              <w:rPr>
                <w:sz w:val="22"/>
                <w:szCs w:val="22"/>
                <w:lang w:val="en-US"/>
              </w:rPr>
              <w:t>= 31</w:t>
            </w:r>
            <w:r w:rsidR="00B82FCE">
              <w:rPr>
                <w:sz w:val="22"/>
                <w:szCs w:val="22"/>
                <w:lang w:val="en-US"/>
              </w:rPr>
              <w:t>5</w:t>
            </w:r>
            <w:r w:rsidRPr="002F12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267DA" w:rsidRPr="002F12A4" w:rsidRDefault="003267DA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sz w:val="22"/>
                <w:szCs w:val="22"/>
                <w:lang w:val="en-US"/>
              </w:rPr>
              <w:t>2016</w:t>
            </w:r>
            <w:r w:rsidR="003267DA" w:rsidRPr="002F12A4">
              <w:rPr>
                <w:sz w:val="22"/>
                <w:szCs w:val="22"/>
                <w:lang w:val="en-US"/>
              </w:rPr>
              <w:t>-2017</w:t>
            </w:r>
          </w:p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sz w:val="22"/>
                <w:szCs w:val="22"/>
                <w:lang w:val="en-US"/>
              </w:rPr>
              <w:t>(</w:t>
            </w:r>
            <w:r w:rsidRPr="002F12A4">
              <w:rPr>
                <w:i/>
                <w:sz w:val="22"/>
                <w:szCs w:val="22"/>
                <w:lang w:val="en-US"/>
              </w:rPr>
              <w:t xml:space="preserve">n </w:t>
            </w:r>
            <w:r w:rsidRPr="002F12A4">
              <w:rPr>
                <w:sz w:val="22"/>
                <w:szCs w:val="22"/>
                <w:lang w:val="en-US"/>
              </w:rPr>
              <w:t>= 3</w:t>
            </w:r>
            <w:r w:rsidR="00B82FCE">
              <w:rPr>
                <w:sz w:val="22"/>
                <w:szCs w:val="22"/>
                <w:lang w:val="en-US"/>
              </w:rPr>
              <w:t>20</w:t>
            </w:r>
            <w:r w:rsidRPr="002F12A4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2699" w:rsidRPr="00F7406A" w:rsidTr="008B1F99">
        <w:trPr>
          <w:cantSplit/>
          <w:trHeight w:hRule="exact" w:val="299"/>
        </w:trPr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2F12A4">
              <w:rPr>
                <w:i/>
                <w:sz w:val="22"/>
                <w:szCs w:val="22"/>
              </w:rPr>
              <w:t>n</w:t>
            </w:r>
            <w:proofErr w:type="gramEnd"/>
            <w:r w:rsidRPr="002F12A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F12A4">
              <w:rPr>
                <w:i/>
                <w:sz w:val="22"/>
                <w:szCs w:val="22"/>
              </w:rPr>
              <w:t>n</w:t>
            </w:r>
            <w:proofErr w:type="gramEnd"/>
            <w:r w:rsidRPr="002F12A4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iCs/>
                <w:sz w:val="22"/>
                <w:szCs w:val="22"/>
              </w:rPr>
              <w:t>χ</w:t>
            </w:r>
            <w:r w:rsidRPr="002F12A4">
              <w:rPr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2F12A4">
              <w:rPr>
                <w:sz w:val="22"/>
                <w:szCs w:val="22"/>
                <w:lang w:val="en-US"/>
              </w:rPr>
              <w:t>OR (95% CI)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12699" w:rsidRPr="002F12A4" w:rsidRDefault="009E07AC" w:rsidP="0036080A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2F12A4">
              <w:rPr>
                <w:i/>
                <w:sz w:val="22"/>
                <w:szCs w:val="22"/>
                <w:lang w:val="en-US"/>
              </w:rPr>
              <w:t>P</w:t>
            </w:r>
          </w:p>
        </w:tc>
      </w:tr>
      <w:tr w:rsidR="00B12699" w:rsidRPr="00F7406A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2F12A4" w:rsidRDefault="00C166C6" w:rsidP="0036080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Symptomatic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2F12A4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2699" w:rsidRPr="0067731F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rPr>
                <w:b/>
                <w:sz w:val="22"/>
                <w:szCs w:val="22"/>
              </w:rPr>
            </w:pPr>
            <w:r w:rsidRPr="004347E6">
              <w:rPr>
                <w:b/>
                <w:sz w:val="22"/>
                <w:szCs w:val="22"/>
              </w:rPr>
              <w:t>Neuropathic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22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1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(70.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2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178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 xml:space="preserve"> (5</w:t>
            </w:r>
            <w:r w:rsidRPr="004347E6">
              <w:rPr>
                <w:b/>
                <w:sz w:val="22"/>
                <w:szCs w:val="22"/>
                <w:lang w:val="en-US"/>
              </w:rPr>
              <w:t>5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>.</w:t>
            </w:r>
            <w:r w:rsidRPr="004347E6">
              <w:rPr>
                <w:b/>
                <w:sz w:val="22"/>
                <w:szCs w:val="22"/>
                <w:lang w:val="en-US"/>
              </w:rPr>
              <w:t>6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4</w:t>
            </w:r>
            <w:r w:rsidRPr="004347E6">
              <w:rPr>
                <w:b/>
                <w:sz w:val="22"/>
                <w:szCs w:val="22"/>
                <w:lang w:val="en-US"/>
              </w:rPr>
              <w:t>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0.5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(0.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38</w:t>
            </w:r>
            <w:r w:rsidRPr="004347E6">
              <w:rPr>
                <w:b/>
                <w:sz w:val="22"/>
                <w:szCs w:val="22"/>
                <w:lang w:val="en-US"/>
              </w:rPr>
              <w:t>,0.7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4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36080A" w:rsidP="0036080A">
            <w:pPr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&lt;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>0.001</w:t>
            </w:r>
          </w:p>
        </w:tc>
      </w:tr>
      <w:tr w:rsidR="00B12699" w:rsidRPr="0067731F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36080A" w:rsidP="0036080A">
            <w:pPr>
              <w:rPr>
                <w:b/>
                <w:sz w:val="22"/>
                <w:szCs w:val="22"/>
              </w:rPr>
            </w:pPr>
            <w:r w:rsidRPr="004347E6">
              <w:rPr>
                <w:b/>
                <w:sz w:val="22"/>
                <w:szCs w:val="22"/>
              </w:rPr>
              <w:t>Musculoskeletal (Temporomandibular Disorders)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 xml:space="preserve">  82 (2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6</w:t>
            </w:r>
            <w:r w:rsidRPr="004347E6">
              <w:rPr>
                <w:b/>
                <w:sz w:val="22"/>
                <w:szCs w:val="22"/>
                <w:lang w:val="en-US"/>
              </w:rPr>
              <w:t>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0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18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(3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6</w:t>
            </w:r>
            <w:r w:rsidRPr="004347E6">
              <w:rPr>
                <w:b/>
                <w:sz w:val="22"/>
                <w:szCs w:val="22"/>
                <w:lang w:val="en-US"/>
              </w:rPr>
              <w:t>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8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>.6</w:t>
            </w:r>
            <w:r w:rsidRPr="004347E6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1.6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6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(1.1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8</w:t>
            </w:r>
            <w:r w:rsidRPr="004347E6">
              <w:rPr>
                <w:b/>
                <w:sz w:val="22"/>
                <w:szCs w:val="22"/>
                <w:lang w:val="en-US"/>
              </w:rPr>
              <w:t>,2.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</w:t>
            </w:r>
            <w:r w:rsidRPr="004347E6">
              <w:rPr>
                <w:b/>
                <w:sz w:val="22"/>
                <w:szCs w:val="22"/>
                <w:lang w:val="en-US"/>
              </w:rPr>
              <w:t>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0.00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12699" w:rsidRPr="0067731F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4347E6" w:rsidRDefault="00164812" w:rsidP="0036080A">
            <w:pPr>
              <w:rPr>
                <w:b/>
                <w:sz w:val="22"/>
                <w:szCs w:val="22"/>
              </w:rPr>
            </w:pPr>
            <w:r w:rsidRPr="004347E6">
              <w:rPr>
                <w:b/>
                <w:sz w:val="22"/>
                <w:szCs w:val="22"/>
              </w:rPr>
              <w:t>Neurovascular (Headache D</w:t>
            </w:r>
            <w:r w:rsidR="00B12699" w:rsidRPr="004347E6">
              <w:rPr>
                <w:b/>
                <w:sz w:val="22"/>
                <w:szCs w:val="22"/>
              </w:rPr>
              <w:t>isorders)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 xml:space="preserve">  60 (19.0)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88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(27.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5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6</w:t>
            </w:r>
            <w:r w:rsidR="00B12699" w:rsidRPr="004347E6">
              <w:rPr>
                <w:b/>
                <w:sz w:val="22"/>
                <w:szCs w:val="22"/>
                <w:lang w:val="en-US"/>
              </w:rPr>
              <w:t>.</w:t>
            </w:r>
            <w:r w:rsidRPr="004347E6"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1.6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1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(1.1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1</w:t>
            </w:r>
            <w:r w:rsidRPr="004347E6">
              <w:rPr>
                <w:b/>
                <w:sz w:val="22"/>
                <w:szCs w:val="22"/>
                <w:lang w:val="en-US"/>
              </w:rPr>
              <w:t>,2.3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4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0.0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12</w:t>
            </w:r>
          </w:p>
        </w:tc>
      </w:tr>
      <w:tr w:rsidR="00B12699" w:rsidRPr="00F7406A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4347E6" w:rsidRDefault="00B12699" w:rsidP="0036080A">
            <w:pPr>
              <w:ind w:left="113"/>
              <w:rPr>
                <w:sz w:val="22"/>
                <w:szCs w:val="22"/>
              </w:rPr>
            </w:pPr>
            <w:r w:rsidRPr="004347E6">
              <w:rPr>
                <w:sz w:val="22"/>
                <w:szCs w:val="22"/>
              </w:rPr>
              <w:t xml:space="preserve">Trigeminal Autonomic </w:t>
            </w:r>
            <w:proofErr w:type="spellStart"/>
            <w:r w:rsidRPr="004347E6">
              <w:rPr>
                <w:sz w:val="22"/>
                <w:szCs w:val="22"/>
              </w:rPr>
              <w:t>Cephalalgia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 xml:space="preserve"> 9 (2.</w:t>
            </w:r>
            <w:r w:rsidR="00C97010" w:rsidRPr="004347E6">
              <w:rPr>
                <w:sz w:val="22"/>
                <w:szCs w:val="22"/>
                <w:lang w:val="en-US"/>
              </w:rPr>
              <w:t>9</w:t>
            </w:r>
            <w:r w:rsidRPr="004347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18</w:t>
            </w:r>
            <w:r w:rsidR="00B12699" w:rsidRPr="004347E6">
              <w:rPr>
                <w:sz w:val="22"/>
                <w:szCs w:val="22"/>
                <w:lang w:val="en-US"/>
              </w:rPr>
              <w:t xml:space="preserve"> (5.</w:t>
            </w:r>
            <w:r w:rsidRPr="004347E6">
              <w:rPr>
                <w:sz w:val="22"/>
                <w:szCs w:val="22"/>
                <w:lang w:val="en-US"/>
              </w:rPr>
              <w:t>6</w:t>
            </w:r>
            <w:r w:rsidR="00B12699" w:rsidRPr="004347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2</w:t>
            </w:r>
            <w:r w:rsidR="00B12699" w:rsidRPr="004347E6">
              <w:rPr>
                <w:sz w:val="22"/>
                <w:szCs w:val="22"/>
                <w:lang w:val="en-US"/>
              </w:rPr>
              <w:t>.</w:t>
            </w:r>
            <w:r w:rsidRPr="004347E6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2.0</w:t>
            </w:r>
            <w:r w:rsidR="00C97010" w:rsidRPr="004347E6">
              <w:rPr>
                <w:sz w:val="22"/>
                <w:szCs w:val="22"/>
                <w:lang w:val="en-US"/>
              </w:rPr>
              <w:t>3</w:t>
            </w:r>
            <w:r w:rsidRPr="004347E6">
              <w:rPr>
                <w:sz w:val="22"/>
                <w:szCs w:val="22"/>
                <w:lang w:val="en-US"/>
              </w:rPr>
              <w:t xml:space="preserve"> (0.</w:t>
            </w:r>
            <w:r w:rsidR="00C97010" w:rsidRPr="004347E6">
              <w:rPr>
                <w:sz w:val="22"/>
                <w:szCs w:val="22"/>
                <w:lang w:val="en-US"/>
              </w:rPr>
              <w:t>90</w:t>
            </w:r>
            <w:r w:rsidRPr="004347E6">
              <w:rPr>
                <w:sz w:val="22"/>
                <w:szCs w:val="22"/>
                <w:lang w:val="en-US"/>
              </w:rPr>
              <w:t>,4.</w:t>
            </w:r>
            <w:r w:rsidR="00C97010" w:rsidRPr="004347E6">
              <w:rPr>
                <w:sz w:val="22"/>
                <w:szCs w:val="22"/>
                <w:lang w:val="en-US"/>
              </w:rPr>
              <w:t>58</w:t>
            </w:r>
            <w:r w:rsidRPr="004347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0.0</w:t>
            </w:r>
            <w:r w:rsidR="00C97010" w:rsidRPr="004347E6">
              <w:rPr>
                <w:sz w:val="22"/>
                <w:szCs w:val="22"/>
                <w:lang w:val="en-US"/>
              </w:rPr>
              <w:t>84</w:t>
            </w:r>
          </w:p>
        </w:tc>
      </w:tr>
      <w:tr w:rsidR="00B12699" w:rsidRPr="00F7406A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4347E6" w:rsidRDefault="00B12699" w:rsidP="0036080A">
            <w:pPr>
              <w:ind w:left="113"/>
              <w:rPr>
                <w:sz w:val="22"/>
                <w:szCs w:val="22"/>
              </w:rPr>
            </w:pPr>
            <w:r w:rsidRPr="004347E6">
              <w:rPr>
                <w:sz w:val="22"/>
                <w:szCs w:val="22"/>
              </w:rPr>
              <w:t>Migraine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 xml:space="preserve"> 37 (11.7)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 xml:space="preserve"> </w:t>
            </w:r>
            <w:r w:rsidR="00C97010" w:rsidRPr="004347E6">
              <w:rPr>
                <w:sz w:val="22"/>
                <w:szCs w:val="22"/>
                <w:lang w:val="en-US"/>
              </w:rPr>
              <w:t>46</w:t>
            </w:r>
            <w:r w:rsidRPr="004347E6">
              <w:rPr>
                <w:sz w:val="22"/>
                <w:szCs w:val="22"/>
                <w:lang w:val="en-US"/>
              </w:rPr>
              <w:t xml:space="preserve"> (1</w:t>
            </w:r>
            <w:r w:rsidR="00C97010" w:rsidRPr="004347E6">
              <w:rPr>
                <w:sz w:val="22"/>
                <w:szCs w:val="22"/>
                <w:lang w:val="en-US"/>
              </w:rPr>
              <w:t>4</w:t>
            </w:r>
            <w:r w:rsidRPr="004347E6">
              <w:rPr>
                <w:sz w:val="22"/>
                <w:szCs w:val="22"/>
                <w:lang w:val="en-US"/>
              </w:rPr>
              <w:t>.</w:t>
            </w:r>
            <w:r w:rsidR="00C97010" w:rsidRPr="004347E6">
              <w:rPr>
                <w:sz w:val="22"/>
                <w:szCs w:val="22"/>
                <w:lang w:val="en-US"/>
              </w:rPr>
              <w:t>4</w:t>
            </w:r>
            <w:r w:rsidRPr="004347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C97010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0</w:t>
            </w:r>
            <w:r w:rsidR="00B12699" w:rsidRPr="004347E6">
              <w:rPr>
                <w:sz w:val="22"/>
                <w:szCs w:val="22"/>
                <w:lang w:val="en-US"/>
              </w:rPr>
              <w:t>.</w:t>
            </w:r>
            <w:r w:rsidRPr="004347E6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1.</w:t>
            </w:r>
            <w:r w:rsidR="00C97010" w:rsidRPr="004347E6">
              <w:rPr>
                <w:sz w:val="22"/>
                <w:szCs w:val="22"/>
                <w:lang w:val="en-US"/>
              </w:rPr>
              <w:t>26</w:t>
            </w:r>
            <w:r w:rsidRPr="004347E6">
              <w:rPr>
                <w:sz w:val="22"/>
                <w:szCs w:val="22"/>
                <w:lang w:val="en-US"/>
              </w:rPr>
              <w:t xml:space="preserve"> (0.</w:t>
            </w:r>
            <w:r w:rsidR="00C97010" w:rsidRPr="004347E6">
              <w:rPr>
                <w:sz w:val="22"/>
                <w:szCs w:val="22"/>
                <w:lang w:val="en-US"/>
              </w:rPr>
              <w:t>79</w:t>
            </w:r>
            <w:r w:rsidRPr="004347E6">
              <w:rPr>
                <w:sz w:val="22"/>
                <w:szCs w:val="22"/>
                <w:lang w:val="en-US"/>
              </w:rPr>
              <w:t>,2.</w:t>
            </w:r>
            <w:r w:rsidR="00C97010" w:rsidRPr="004347E6">
              <w:rPr>
                <w:sz w:val="22"/>
                <w:szCs w:val="22"/>
                <w:lang w:val="en-US"/>
              </w:rPr>
              <w:t>01</w:t>
            </w:r>
            <w:r w:rsidRPr="004347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sz w:val="22"/>
                <w:szCs w:val="22"/>
                <w:lang w:val="en-US"/>
              </w:rPr>
            </w:pPr>
            <w:r w:rsidRPr="004347E6">
              <w:rPr>
                <w:sz w:val="22"/>
                <w:szCs w:val="22"/>
                <w:lang w:val="en-US"/>
              </w:rPr>
              <w:t>0.</w:t>
            </w:r>
            <w:r w:rsidR="00C97010" w:rsidRPr="004347E6">
              <w:rPr>
                <w:sz w:val="22"/>
                <w:szCs w:val="22"/>
                <w:lang w:val="en-US"/>
              </w:rPr>
              <w:t>326</w:t>
            </w:r>
          </w:p>
        </w:tc>
      </w:tr>
      <w:tr w:rsidR="00B12699" w:rsidRPr="0067731F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4347E6" w:rsidRDefault="00B12699" w:rsidP="00164812">
            <w:pPr>
              <w:ind w:left="113"/>
              <w:rPr>
                <w:b/>
                <w:sz w:val="22"/>
                <w:szCs w:val="22"/>
              </w:rPr>
            </w:pPr>
            <w:r w:rsidRPr="004347E6">
              <w:rPr>
                <w:b/>
                <w:sz w:val="22"/>
                <w:szCs w:val="22"/>
              </w:rPr>
              <w:t>Other</w:t>
            </w:r>
            <w:r w:rsidR="00164812" w:rsidRPr="004347E6">
              <w:rPr>
                <w:b/>
                <w:sz w:val="22"/>
                <w:szCs w:val="22"/>
              </w:rPr>
              <w:t xml:space="preserve"> P</w:t>
            </w:r>
            <w:r w:rsidRPr="004347E6">
              <w:rPr>
                <w:b/>
                <w:sz w:val="22"/>
                <w:szCs w:val="22"/>
              </w:rPr>
              <w:t>rimary/</w:t>
            </w:r>
            <w:r w:rsidR="00164812" w:rsidRPr="004347E6">
              <w:rPr>
                <w:b/>
                <w:sz w:val="22"/>
                <w:szCs w:val="22"/>
              </w:rPr>
              <w:t>S</w:t>
            </w:r>
            <w:r w:rsidRPr="004347E6">
              <w:rPr>
                <w:b/>
                <w:sz w:val="22"/>
                <w:szCs w:val="22"/>
              </w:rPr>
              <w:t>econdary headaches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17 (5.4)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 xml:space="preserve"> 4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0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(12.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5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9.8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2.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50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(1.3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9</w:t>
            </w:r>
            <w:r w:rsidRPr="004347E6">
              <w:rPr>
                <w:b/>
                <w:sz w:val="22"/>
                <w:szCs w:val="22"/>
                <w:lang w:val="en-US"/>
              </w:rPr>
              <w:t>,4.</w:t>
            </w:r>
            <w:r w:rsidR="00995C09" w:rsidRPr="004347E6">
              <w:rPr>
                <w:b/>
                <w:sz w:val="22"/>
                <w:szCs w:val="22"/>
                <w:lang w:val="en-US"/>
              </w:rPr>
              <w:t>52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0.002</w:t>
            </w:r>
          </w:p>
        </w:tc>
      </w:tr>
      <w:tr w:rsidR="00B12699" w:rsidRPr="0067731F" w:rsidTr="008B1F99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699" w:rsidRPr="004347E6" w:rsidRDefault="000A72ED" w:rsidP="000A72ED">
            <w:pPr>
              <w:rPr>
                <w:b/>
                <w:sz w:val="22"/>
                <w:szCs w:val="22"/>
              </w:rPr>
            </w:pPr>
            <w:r w:rsidRPr="004347E6">
              <w:rPr>
                <w:b/>
                <w:sz w:val="22"/>
                <w:szCs w:val="22"/>
              </w:rPr>
              <w:t xml:space="preserve">Atypical/Idiopathic </w:t>
            </w:r>
            <w:r w:rsidR="00700D07" w:rsidRPr="004347E6">
              <w:rPr>
                <w:b/>
                <w:sz w:val="22"/>
                <w:szCs w:val="22"/>
              </w:rPr>
              <w:t>P</w:t>
            </w:r>
            <w:r w:rsidR="00B12699" w:rsidRPr="004347E6">
              <w:rPr>
                <w:b/>
                <w:sz w:val="22"/>
                <w:szCs w:val="22"/>
              </w:rPr>
              <w:t>ain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17 (5.4)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 xml:space="preserve"> 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4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(1.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8.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0.2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2</w:t>
            </w:r>
            <w:r w:rsidRPr="004347E6">
              <w:rPr>
                <w:b/>
                <w:sz w:val="22"/>
                <w:szCs w:val="22"/>
                <w:lang w:val="en-US"/>
              </w:rPr>
              <w:t xml:space="preserve"> (0.0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7</w:t>
            </w:r>
            <w:r w:rsidRPr="004347E6">
              <w:rPr>
                <w:b/>
                <w:sz w:val="22"/>
                <w:szCs w:val="22"/>
                <w:lang w:val="en-US"/>
              </w:rPr>
              <w:t>,0.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67</w:t>
            </w:r>
            <w:r w:rsidRPr="004347E6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699" w:rsidRPr="004347E6" w:rsidRDefault="00B12699" w:rsidP="00360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347E6">
              <w:rPr>
                <w:b/>
                <w:sz w:val="22"/>
                <w:szCs w:val="22"/>
                <w:lang w:val="en-US"/>
              </w:rPr>
              <w:t>0.00</w:t>
            </w:r>
            <w:r w:rsidR="00C97010" w:rsidRPr="004347E6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12699" w:rsidRPr="0067731F" w:rsidTr="008B1F99">
        <w:trPr>
          <w:cantSplit/>
          <w:trHeight w:hRule="exact" w:val="958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699" w:rsidRPr="0067731F" w:rsidRDefault="00B12699" w:rsidP="00C166C6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C4424E">
              <w:rPr>
                <w:sz w:val="18"/>
                <w:szCs w:val="18"/>
                <w:lang w:val="en-US"/>
              </w:rPr>
              <w:t xml:space="preserve">Notes: </w:t>
            </w:r>
            <w:r w:rsidR="00347644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  <w:lang w:val="en-US"/>
              </w:rPr>
              <w:t xml:space="preserve">lassifications </w:t>
            </w:r>
            <w:r w:rsidR="00347644">
              <w:rPr>
                <w:sz w:val="18"/>
                <w:szCs w:val="18"/>
                <w:lang w:val="en-US"/>
              </w:rPr>
              <w:t xml:space="preserve">under </w:t>
            </w:r>
            <w:r w:rsidR="00C166C6">
              <w:rPr>
                <w:sz w:val="18"/>
                <w:szCs w:val="18"/>
                <w:lang w:val="en-US"/>
              </w:rPr>
              <w:t xml:space="preserve">symptomatic class </w:t>
            </w:r>
            <w:r w:rsidR="00347644">
              <w:rPr>
                <w:sz w:val="18"/>
                <w:szCs w:val="18"/>
                <w:lang w:val="en-US"/>
              </w:rPr>
              <w:t xml:space="preserve">headings </w:t>
            </w:r>
            <w:r w:rsidRPr="006E39BB">
              <w:rPr>
                <w:sz w:val="18"/>
                <w:szCs w:val="18"/>
                <w:lang w:val="en-US"/>
              </w:rPr>
              <w:t xml:space="preserve">are not mutually exclusive </w:t>
            </w:r>
            <w:r>
              <w:rPr>
                <w:sz w:val="18"/>
                <w:szCs w:val="18"/>
                <w:lang w:val="en-US"/>
              </w:rPr>
              <w:t xml:space="preserve">across patients </w:t>
            </w:r>
            <w:r w:rsidRPr="006E39BB">
              <w:rPr>
                <w:sz w:val="18"/>
                <w:szCs w:val="18"/>
                <w:lang w:val="en-US"/>
              </w:rPr>
              <w:t xml:space="preserve">(64 and </w:t>
            </w:r>
            <w:r w:rsidR="00E73D0C">
              <w:rPr>
                <w:sz w:val="18"/>
                <w:szCs w:val="18"/>
                <w:lang w:val="en-US"/>
              </w:rPr>
              <w:t>84</w:t>
            </w:r>
            <w:r w:rsidRPr="006E39BB">
              <w:rPr>
                <w:sz w:val="18"/>
                <w:szCs w:val="18"/>
                <w:lang w:val="en-US"/>
              </w:rPr>
              <w:t xml:space="preserve"> patients had received more than one </w:t>
            </w:r>
            <w:r>
              <w:rPr>
                <w:sz w:val="18"/>
                <w:szCs w:val="18"/>
                <w:lang w:val="en-US"/>
              </w:rPr>
              <w:t>diagnosi</w:t>
            </w:r>
            <w:r w:rsidRPr="006E39BB">
              <w:rPr>
                <w:sz w:val="18"/>
                <w:szCs w:val="18"/>
                <w:lang w:val="en-US"/>
              </w:rPr>
              <w:t>s in the 2013-2015 and 2016 cohorts, respectively) - as such, percentages in each column do not add up to 100%</w:t>
            </w:r>
            <w:r>
              <w:rPr>
                <w:sz w:val="18"/>
                <w:szCs w:val="18"/>
                <w:lang w:val="en-US"/>
              </w:rPr>
              <w:t>; Chi-square tests were administered for comparisons; OR = odds ratio, CI = confidence interval</w:t>
            </w:r>
            <w:r>
              <w:rPr>
                <w:sz w:val="18"/>
                <w:szCs w:val="18"/>
              </w:rPr>
              <w:t>; All significant group differences are highlighted in bold.</w:t>
            </w:r>
          </w:p>
        </w:tc>
      </w:tr>
      <w:tr w:rsidR="00B12699" w:rsidRPr="008E5560" w:rsidTr="008B1F99">
        <w:trPr>
          <w:cantSplit/>
          <w:trHeight w:hRule="exact" w:val="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spacing w:before="120" w:after="120"/>
              <w:ind w:left="284"/>
              <w:rPr>
                <w:rFonts w:ascii="Times" w:hAnsi="Times" w:cs="Times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rPr>
                <w:rFonts w:ascii="Times" w:hAnsi="Times" w:cs="Times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12699" w:rsidRPr="008E5560" w:rsidRDefault="00B12699" w:rsidP="0036080A">
            <w:pPr>
              <w:spacing w:before="120"/>
              <w:rPr>
                <w:rFonts w:ascii="Times" w:hAnsi="Times" w:cs="Times"/>
                <w:lang w:val="en-US"/>
              </w:rPr>
            </w:pPr>
          </w:p>
        </w:tc>
      </w:tr>
    </w:tbl>
    <w:p w:rsidR="00B12699" w:rsidRDefault="00B12699"/>
    <w:sectPr w:rsidR="00B12699" w:rsidSect="0036080A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7"/>
    <w:rsid w:val="00012C79"/>
    <w:rsid w:val="000A72ED"/>
    <w:rsid w:val="000B1914"/>
    <w:rsid w:val="00105689"/>
    <w:rsid w:val="001142BC"/>
    <w:rsid w:val="001435FE"/>
    <w:rsid w:val="0014688E"/>
    <w:rsid w:val="00164812"/>
    <w:rsid w:val="001668DA"/>
    <w:rsid w:val="001A6E8C"/>
    <w:rsid w:val="001C0427"/>
    <w:rsid w:val="00225773"/>
    <w:rsid w:val="0024296A"/>
    <w:rsid w:val="00255B91"/>
    <w:rsid w:val="0025631F"/>
    <w:rsid w:val="0026086E"/>
    <w:rsid w:val="002A6552"/>
    <w:rsid w:val="002B4A9B"/>
    <w:rsid w:val="002E44DD"/>
    <w:rsid w:val="002F04AF"/>
    <w:rsid w:val="002F12A4"/>
    <w:rsid w:val="003267DA"/>
    <w:rsid w:val="00347644"/>
    <w:rsid w:val="0036080A"/>
    <w:rsid w:val="003B22C9"/>
    <w:rsid w:val="003D61AA"/>
    <w:rsid w:val="00417C18"/>
    <w:rsid w:val="00424451"/>
    <w:rsid w:val="004347E6"/>
    <w:rsid w:val="00492F86"/>
    <w:rsid w:val="005425A0"/>
    <w:rsid w:val="00576073"/>
    <w:rsid w:val="00585509"/>
    <w:rsid w:val="005B20FD"/>
    <w:rsid w:val="005E3475"/>
    <w:rsid w:val="00624F08"/>
    <w:rsid w:val="00666084"/>
    <w:rsid w:val="0067731F"/>
    <w:rsid w:val="006A51FE"/>
    <w:rsid w:val="006B4D67"/>
    <w:rsid w:val="006E39BB"/>
    <w:rsid w:val="00700D07"/>
    <w:rsid w:val="00701422"/>
    <w:rsid w:val="00715856"/>
    <w:rsid w:val="0072505B"/>
    <w:rsid w:val="00762D1D"/>
    <w:rsid w:val="00790A3C"/>
    <w:rsid w:val="007B0CCA"/>
    <w:rsid w:val="007B1503"/>
    <w:rsid w:val="007D211E"/>
    <w:rsid w:val="007E6A53"/>
    <w:rsid w:val="00840BDC"/>
    <w:rsid w:val="00864FFF"/>
    <w:rsid w:val="00896217"/>
    <w:rsid w:val="008A74F8"/>
    <w:rsid w:val="008B1F99"/>
    <w:rsid w:val="00911F07"/>
    <w:rsid w:val="00935A93"/>
    <w:rsid w:val="009856C2"/>
    <w:rsid w:val="00995C09"/>
    <w:rsid w:val="009E07AC"/>
    <w:rsid w:val="009E5E3D"/>
    <w:rsid w:val="00A110C8"/>
    <w:rsid w:val="00A11EF9"/>
    <w:rsid w:val="00A21C3E"/>
    <w:rsid w:val="00A341F4"/>
    <w:rsid w:val="00A35268"/>
    <w:rsid w:val="00A728BA"/>
    <w:rsid w:val="00A85946"/>
    <w:rsid w:val="00A94A25"/>
    <w:rsid w:val="00AB3437"/>
    <w:rsid w:val="00AC69D0"/>
    <w:rsid w:val="00AD271A"/>
    <w:rsid w:val="00AD4208"/>
    <w:rsid w:val="00B11F0F"/>
    <w:rsid w:val="00B12699"/>
    <w:rsid w:val="00B3129E"/>
    <w:rsid w:val="00B31D74"/>
    <w:rsid w:val="00B438FF"/>
    <w:rsid w:val="00B82FCE"/>
    <w:rsid w:val="00B93547"/>
    <w:rsid w:val="00B964CF"/>
    <w:rsid w:val="00BA2EB9"/>
    <w:rsid w:val="00BB156C"/>
    <w:rsid w:val="00C166C6"/>
    <w:rsid w:val="00C6045F"/>
    <w:rsid w:val="00C63EC8"/>
    <w:rsid w:val="00C64AC0"/>
    <w:rsid w:val="00C80CB5"/>
    <w:rsid w:val="00C8354C"/>
    <w:rsid w:val="00C97010"/>
    <w:rsid w:val="00CB55A9"/>
    <w:rsid w:val="00CD6971"/>
    <w:rsid w:val="00D124DA"/>
    <w:rsid w:val="00D2340D"/>
    <w:rsid w:val="00D760CF"/>
    <w:rsid w:val="00D807F9"/>
    <w:rsid w:val="00DA6489"/>
    <w:rsid w:val="00DB0383"/>
    <w:rsid w:val="00DB4909"/>
    <w:rsid w:val="00DF628A"/>
    <w:rsid w:val="00E14757"/>
    <w:rsid w:val="00E50D65"/>
    <w:rsid w:val="00E73D0C"/>
    <w:rsid w:val="00E93116"/>
    <w:rsid w:val="00EF517E"/>
    <w:rsid w:val="00F075B2"/>
    <w:rsid w:val="00F21537"/>
    <w:rsid w:val="00F5112A"/>
    <w:rsid w:val="00F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E2BE-FC91-4919-BEDC-B3A989C1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0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427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samina karamat</cp:lastModifiedBy>
  <cp:revision>2</cp:revision>
  <dcterms:created xsi:type="dcterms:W3CDTF">2018-09-13T19:40:00Z</dcterms:created>
  <dcterms:modified xsi:type="dcterms:W3CDTF">2018-09-13T19:40:00Z</dcterms:modified>
</cp:coreProperties>
</file>