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EF4" w:rsidRPr="004D3B0C" w:rsidRDefault="00581EF4" w:rsidP="00581EF4">
      <w:pPr>
        <w:shd w:val="clear" w:color="auto" w:fill="FFFFFF"/>
        <w:spacing w:before="100" w:beforeAutospacing="1" w:after="100" w:afterAutospacing="1" w:line="300" w:lineRule="atLeast"/>
        <w:jc w:val="center"/>
        <w:textAlignment w:val="baseline"/>
        <w:outlineLvl w:val="2"/>
        <w:rPr>
          <w:rFonts w:cs="Arial"/>
          <w:b/>
          <w:bCs/>
          <w:sz w:val="28"/>
          <w:szCs w:val="28"/>
        </w:rPr>
      </w:pPr>
      <w:bookmarkStart w:id="0" w:name="_Hlk509488315"/>
      <w:r w:rsidRPr="004D3B0C">
        <w:rPr>
          <w:rFonts w:cs="Arial"/>
          <w:b/>
          <w:bCs/>
          <w:sz w:val="28"/>
          <w:szCs w:val="28"/>
        </w:rPr>
        <w:t>Abstract</w:t>
      </w:r>
    </w:p>
    <w:bookmarkEnd w:id="0"/>
    <w:p w:rsidR="00581EF4" w:rsidRPr="004D3B0C" w:rsidRDefault="00581EF4" w:rsidP="00581EF4">
      <w:pPr>
        <w:spacing w:line="480" w:lineRule="auto"/>
        <w:rPr>
          <w:rFonts w:cs="Calibri"/>
          <w:sz w:val="28"/>
          <w:szCs w:val="28"/>
        </w:rPr>
      </w:pPr>
      <w:r w:rsidRPr="004D3B0C">
        <w:rPr>
          <w:rFonts w:cs="Calibri"/>
          <w:i/>
          <w:iCs/>
          <w:sz w:val="28"/>
          <w:szCs w:val="28"/>
          <w:shd w:val="clear" w:color="auto" w:fill="FFFFFF"/>
        </w:rPr>
        <w:t xml:space="preserve">Objective: </w:t>
      </w:r>
      <w:r w:rsidRPr="004D3B0C">
        <w:rPr>
          <w:rFonts w:cs="Calibri"/>
          <w:iCs/>
          <w:sz w:val="28"/>
          <w:szCs w:val="28"/>
          <w:shd w:val="clear" w:color="auto" w:fill="FFFFFF"/>
        </w:rPr>
        <w:t>The Personal Problems Questionnaire (</w:t>
      </w:r>
      <w:r w:rsidRPr="004D3B0C">
        <w:rPr>
          <w:rStyle w:val="il"/>
          <w:rFonts w:cs="Calibri"/>
          <w:iCs/>
          <w:sz w:val="28"/>
          <w:szCs w:val="28"/>
          <w:shd w:val="clear" w:color="auto" w:fill="FFFFFF"/>
        </w:rPr>
        <w:t>PPQ</w:t>
      </w:r>
      <w:r w:rsidRPr="004D3B0C">
        <w:rPr>
          <w:rFonts w:cs="Calibri"/>
          <w:iCs/>
          <w:sz w:val="28"/>
          <w:szCs w:val="28"/>
          <w:shd w:val="clear" w:color="auto" w:fill="FFFFFF"/>
        </w:rPr>
        <w:t xml:space="preserve">) is a measure designed to assess acquired cognitive, emotional and physical complaints. </w:t>
      </w:r>
      <w:r w:rsidRPr="004D3B0C">
        <w:rPr>
          <w:rFonts w:cs="Calibri"/>
          <w:sz w:val="28"/>
          <w:szCs w:val="28"/>
        </w:rPr>
        <w:t xml:space="preserve">The present study sought to develop a normative database to allow clinicians and researchers to assess self-reported complaints among people with disabilities, and evaluate the response consistency and validity of their self-report. </w:t>
      </w:r>
    </w:p>
    <w:p w:rsidR="00581EF4" w:rsidRPr="004D3B0C" w:rsidRDefault="00581EF4" w:rsidP="00581EF4">
      <w:pPr>
        <w:spacing w:line="480" w:lineRule="auto"/>
        <w:rPr>
          <w:rFonts w:cs="Calibri"/>
          <w:sz w:val="28"/>
          <w:szCs w:val="28"/>
        </w:rPr>
      </w:pPr>
      <w:r w:rsidRPr="004D3B0C">
        <w:rPr>
          <w:rFonts w:cs="Calibri"/>
          <w:i/>
          <w:sz w:val="28"/>
          <w:szCs w:val="28"/>
        </w:rPr>
        <w:t>Method:</w:t>
      </w:r>
      <w:r w:rsidRPr="004D3B0C">
        <w:rPr>
          <w:rFonts w:cs="Calibri"/>
          <w:iCs/>
          <w:sz w:val="28"/>
          <w:szCs w:val="28"/>
          <w:shd w:val="clear" w:color="auto" w:fill="FFFFFF"/>
        </w:rPr>
        <w:t xml:space="preserve"> 404 </w:t>
      </w:r>
      <w:r w:rsidRPr="004D3B0C">
        <w:rPr>
          <w:rFonts w:cs="Calibri"/>
          <w:sz w:val="28"/>
          <w:szCs w:val="28"/>
        </w:rPr>
        <w:t>community-dwelling participants (</w:t>
      </w:r>
      <w:r w:rsidR="00F43C3A" w:rsidRPr="004D3B0C">
        <w:rPr>
          <w:rFonts w:cs="Calibri"/>
          <w:i/>
          <w:sz w:val="28"/>
          <w:szCs w:val="28"/>
        </w:rPr>
        <w:t>n</w:t>
      </w:r>
      <w:r w:rsidR="00F43C3A" w:rsidRPr="004D3B0C">
        <w:rPr>
          <w:rFonts w:cs="Calibri"/>
          <w:sz w:val="28"/>
          <w:szCs w:val="28"/>
        </w:rPr>
        <w:t xml:space="preserve"> </w:t>
      </w:r>
      <w:r w:rsidRPr="004D3B0C">
        <w:rPr>
          <w:rFonts w:cs="Calibri"/>
          <w:sz w:val="28"/>
          <w:szCs w:val="28"/>
        </w:rPr>
        <w:t>200 males, 204 females) completed the PPQ, as well as an a</w:t>
      </w:r>
      <w:r w:rsidRPr="004D3B0C">
        <w:rPr>
          <w:rFonts w:cs="Calibri"/>
          <w:iCs/>
          <w:sz w:val="28"/>
          <w:szCs w:val="28"/>
          <w:shd w:val="clear" w:color="auto" w:fill="FFFFFF"/>
        </w:rPr>
        <w:t>cquired brain injury (ABI) group (</w:t>
      </w:r>
      <w:r w:rsidRPr="004D3B0C">
        <w:rPr>
          <w:rFonts w:cs="Calibri"/>
          <w:i/>
          <w:iCs/>
          <w:sz w:val="28"/>
          <w:szCs w:val="28"/>
          <w:shd w:val="clear" w:color="auto" w:fill="FFFFFF"/>
        </w:rPr>
        <w:t>n</w:t>
      </w:r>
      <w:r w:rsidRPr="004D3B0C">
        <w:rPr>
          <w:rFonts w:cs="Calibri"/>
          <w:iCs/>
          <w:sz w:val="28"/>
          <w:szCs w:val="28"/>
          <w:shd w:val="clear" w:color="auto" w:fill="FFFFFF"/>
        </w:rPr>
        <w:t xml:space="preserve"> 59), mainly following stroke and traumatic brain injuries, and seen for clinical (i.e. non-forensic) evaluations. </w:t>
      </w:r>
      <w:r w:rsidRPr="004D3B0C">
        <w:rPr>
          <w:rFonts w:cs="Calibri"/>
          <w:sz w:val="28"/>
          <w:szCs w:val="28"/>
        </w:rPr>
        <w:t>Multiple regression analyses were conducted to derive norms from the healthy community sample taking into account age, gender, and educational level.</w:t>
      </w:r>
    </w:p>
    <w:p w:rsidR="00581EF4" w:rsidRPr="004D3B0C" w:rsidRDefault="00581EF4" w:rsidP="00581EF4">
      <w:pPr>
        <w:spacing w:line="480" w:lineRule="auto"/>
        <w:rPr>
          <w:rFonts w:cs="Calibri"/>
          <w:sz w:val="28"/>
          <w:szCs w:val="28"/>
        </w:rPr>
      </w:pPr>
      <w:r w:rsidRPr="004D3B0C">
        <w:rPr>
          <w:rFonts w:cs="Calibri"/>
          <w:i/>
          <w:sz w:val="28"/>
          <w:szCs w:val="28"/>
        </w:rPr>
        <w:t>Results:</w:t>
      </w:r>
      <w:r w:rsidRPr="004D3B0C">
        <w:rPr>
          <w:rFonts w:cs="Calibri"/>
          <w:sz w:val="28"/>
          <w:szCs w:val="28"/>
        </w:rPr>
        <w:t xml:space="preserve"> Normative </w:t>
      </w:r>
      <w:r w:rsidRPr="004D3B0C">
        <w:rPr>
          <w:rFonts w:cs="Calibri"/>
          <w:i/>
          <w:iCs/>
          <w:sz w:val="28"/>
          <w:szCs w:val="28"/>
          <w:shd w:val="clear" w:color="auto" w:fill="FFFFFF"/>
        </w:rPr>
        <w:t>T</w:t>
      </w:r>
      <w:r w:rsidRPr="004D3B0C">
        <w:rPr>
          <w:rFonts w:cs="Calibri"/>
          <w:iCs/>
          <w:sz w:val="28"/>
          <w:szCs w:val="28"/>
          <w:shd w:val="clear" w:color="auto" w:fill="FFFFFF"/>
        </w:rPr>
        <w:t xml:space="preserve"> scores and cut-off points for the Clinical and Validity scales were derived, respectively, and </w:t>
      </w:r>
      <w:r w:rsidRPr="004D3B0C">
        <w:rPr>
          <w:rFonts w:cs="Calibri"/>
          <w:sz w:val="28"/>
          <w:szCs w:val="28"/>
        </w:rPr>
        <w:t>used to assess the responses of the ABI group. The results</w:t>
      </w:r>
      <w:r w:rsidRPr="004D3B0C">
        <w:rPr>
          <w:rFonts w:cs="Calibri"/>
          <w:iCs/>
          <w:sz w:val="28"/>
          <w:szCs w:val="28"/>
          <w:shd w:val="clear" w:color="auto" w:fill="FFFFFF"/>
        </w:rPr>
        <w:t xml:space="preserve"> indicated that the ABI group showed good response consistency and elevated scores on the Clinical scales, indicating that the </w:t>
      </w:r>
      <w:r w:rsidRPr="004D3B0C">
        <w:rPr>
          <w:rStyle w:val="il"/>
          <w:rFonts w:cs="Calibri"/>
          <w:iCs/>
          <w:sz w:val="28"/>
          <w:szCs w:val="28"/>
          <w:shd w:val="clear" w:color="auto" w:fill="FFFFFF"/>
        </w:rPr>
        <w:t>PPQ</w:t>
      </w:r>
      <w:r w:rsidRPr="004D3B0C">
        <w:rPr>
          <w:rFonts w:cs="Calibri"/>
          <w:iCs/>
          <w:sz w:val="28"/>
          <w:szCs w:val="28"/>
          <w:shd w:val="clear" w:color="auto" w:fill="FFFFFF"/>
        </w:rPr>
        <w:t> is likely to be useful in detecting acquired disabilities. On the other hand, scores on the Validity scales were not elevated, indicating that the measures were unaffected by the ABI participants’ cognitive difficulties.</w:t>
      </w:r>
      <w:r w:rsidRPr="004D3B0C">
        <w:rPr>
          <w:rFonts w:cs="Calibri"/>
          <w:sz w:val="28"/>
          <w:szCs w:val="28"/>
        </w:rPr>
        <w:t xml:space="preserve"> </w:t>
      </w:r>
    </w:p>
    <w:p w:rsidR="00581EF4" w:rsidRPr="004D3B0C" w:rsidRDefault="00581EF4" w:rsidP="00581EF4">
      <w:pPr>
        <w:spacing w:line="480" w:lineRule="auto"/>
        <w:rPr>
          <w:rFonts w:cs="Calibri"/>
          <w:sz w:val="28"/>
          <w:szCs w:val="28"/>
        </w:rPr>
      </w:pPr>
      <w:r w:rsidRPr="004D3B0C">
        <w:rPr>
          <w:rFonts w:cs="Calibri"/>
          <w:i/>
          <w:sz w:val="28"/>
          <w:szCs w:val="28"/>
        </w:rPr>
        <w:lastRenderedPageBreak/>
        <w:t>Conclusions:</w:t>
      </w:r>
      <w:r w:rsidRPr="004D3B0C">
        <w:rPr>
          <w:rFonts w:cs="Calibri"/>
          <w:sz w:val="28"/>
          <w:szCs w:val="28"/>
        </w:rPr>
        <w:t xml:space="preserve"> The PPQ provides a comprehensive assessment of complaints and response validity and the present study provides further data to assist with its use and interpretation.</w:t>
      </w:r>
    </w:p>
    <w:p w:rsidR="00581EF4" w:rsidRPr="004D3B0C" w:rsidRDefault="00581EF4" w:rsidP="00581EF4">
      <w:pPr>
        <w:pStyle w:val="Heading3"/>
        <w:shd w:val="clear" w:color="auto" w:fill="FFFFFF"/>
        <w:spacing w:line="300" w:lineRule="atLeast"/>
        <w:textAlignment w:val="baseline"/>
        <w:rPr>
          <w:rFonts w:asciiTheme="minorHAnsi" w:hAnsiTheme="minorHAnsi" w:cs="Arial"/>
          <w:sz w:val="28"/>
          <w:szCs w:val="28"/>
        </w:rPr>
      </w:pPr>
      <w:r w:rsidRPr="004D3B0C">
        <w:rPr>
          <w:rFonts w:asciiTheme="minorHAnsi" w:hAnsiTheme="minorHAnsi" w:cs="Arial"/>
          <w:sz w:val="28"/>
          <w:szCs w:val="28"/>
        </w:rPr>
        <w:t>Key words</w:t>
      </w:r>
    </w:p>
    <w:p w:rsidR="00581EF4" w:rsidRPr="004D3B0C" w:rsidRDefault="00581EF4" w:rsidP="00581EF4">
      <w:pPr>
        <w:shd w:val="clear" w:color="auto" w:fill="FFFFFF"/>
        <w:spacing w:after="120" w:line="408" w:lineRule="atLeast"/>
        <w:textAlignment w:val="baseline"/>
        <w:rPr>
          <w:sz w:val="28"/>
          <w:szCs w:val="28"/>
          <w:u w:val="single"/>
        </w:rPr>
      </w:pPr>
      <w:r w:rsidRPr="004D3B0C">
        <w:rPr>
          <w:rFonts w:eastAsia="Times New Roman" w:cs="Times New Roman"/>
          <w:sz w:val="28"/>
          <w:szCs w:val="28"/>
          <w:lang w:eastAsia="en-GB"/>
        </w:rPr>
        <w:t xml:space="preserve">Assessment; </w:t>
      </w:r>
      <w:r w:rsidR="008120B5" w:rsidRPr="004D3B0C">
        <w:rPr>
          <w:rFonts w:eastAsia="Times New Roman" w:cs="Times New Roman"/>
          <w:sz w:val="28"/>
          <w:szCs w:val="28"/>
          <w:lang w:eastAsia="en-GB"/>
        </w:rPr>
        <w:t xml:space="preserve">malingering; </w:t>
      </w:r>
      <w:r w:rsidRPr="004D3B0C">
        <w:rPr>
          <w:rFonts w:eastAsia="Times New Roman" w:cs="Times New Roman"/>
          <w:sz w:val="28"/>
          <w:szCs w:val="28"/>
          <w:lang w:eastAsia="en-GB"/>
        </w:rPr>
        <w:t>symptom validity testing; traumatic brain injury</w:t>
      </w:r>
      <w:r w:rsidR="008120B5" w:rsidRPr="004D3B0C">
        <w:rPr>
          <w:rFonts w:eastAsia="Times New Roman" w:cs="Times New Roman"/>
          <w:sz w:val="28"/>
          <w:szCs w:val="28"/>
          <w:lang w:eastAsia="en-GB"/>
        </w:rPr>
        <w:t>; normative studies; everyday functioning</w:t>
      </w:r>
      <w:r w:rsidRPr="004D3B0C">
        <w:rPr>
          <w:rFonts w:eastAsia="Times New Roman" w:cs="Times New Roman"/>
          <w:sz w:val="28"/>
          <w:szCs w:val="28"/>
          <w:lang w:eastAsia="en-GB"/>
        </w:rPr>
        <w:t xml:space="preserve"> </w:t>
      </w:r>
      <w:r w:rsidRPr="004D3B0C">
        <w:rPr>
          <w:sz w:val="28"/>
          <w:szCs w:val="28"/>
          <w:u w:val="single"/>
        </w:rPr>
        <w:br w:type="page"/>
      </w:r>
    </w:p>
    <w:p w:rsidR="00581EF4" w:rsidRPr="004D3B0C" w:rsidRDefault="00581EF4" w:rsidP="00581EF4">
      <w:pPr>
        <w:spacing w:line="480" w:lineRule="auto"/>
        <w:jc w:val="center"/>
        <w:rPr>
          <w:b/>
          <w:sz w:val="28"/>
          <w:szCs w:val="28"/>
        </w:rPr>
      </w:pPr>
      <w:r w:rsidRPr="004D3B0C">
        <w:rPr>
          <w:b/>
          <w:sz w:val="28"/>
          <w:szCs w:val="28"/>
        </w:rPr>
        <w:lastRenderedPageBreak/>
        <w:t>Introduction</w:t>
      </w:r>
    </w:p>
    <w:p w:rsidR="00420955" w:rsidRPr="004D3B0C" w:rsidRDefault="00420955" w:rsidP="001528B6">
      <w:pPr>
        <w:spacing w:line="480" w:lineRule="auto"/>
        <w:ind w:firstLine="720"/>
        <w:rPr>
          <w:sz w:val="28"/>
          <w:szCs w:val="28"/>
        </w:rPr>
      </w:pPr>
      <w:r w:rsidRPr="004D3B0C">
        <w:rPr>
          <w:sz w:val="28"/>
          <w:szCs w:val="28"/>
        </w:rPr>
        <w:t>The Personal Problems Questionnaire (PPQ: van den Broek, Monaci</w:t>
      </w:r>
      <w:r w:rsidR="00D11FFC" w:rsidRPr="004D3B0C">
        <w:rPr>
          <w:sz w:val="28"/>
          <w:szCs w:val="28"/>
        </w:rPr>
        <w:t xml:space="preserve"> &amp; </w:t>
      </w:r>
      <w:r w:rsidRPr="004D3B0C">
        <w:rPr>
          <w:sz w:val="28"/>
          <w:szCs w:val="28"/>
        </w:rPr>
        <w:t>Smith, 2012) is</w:t>
      </w:r>
      <w:r w:rsidR="0060051F" w:rsidRPr="004D3B0C">
        <w:rPr>
          <w:sz w:val="28"/>
          <w:szCs w:val="28"/>
        </w:rPr>
        <w:t xml:space="preserve"> an instrument </w:t>
      </w:r>
      <w:r w:rsidRPr="004D3B0C">
        <w:rPr>
          <w:sz w:val="28"/>
          <w:szCs w:val="28"/>
        </w:rPr>
        <w:t xml:space="preserve">designed to assess patients’ self-identified cognitive, emotional and physical complaints. It comprises 156 questions and 12 Clinical subscales relating to common </w:t>
      </w:r>
      <w:r w:rsidR="00A36E82" w:rsidRPr="004D3B0C">
        <w:rPr>
          <w:sz w:val="28"/>
          <w:szCs w:val="28"/>
        </w:rPr>
        <w:t xml:space="preserve">difficulties </w:t>
      </w:r>
      <w:r w:rsidRPr="004D3B0C">
        <w:rPr>
          <w:sz w:val="28"/>
          <w:szCs w:val="28"/>
        </w:rPr>
        <w:t xml:space="preserve">in disabled populations. Four Clinical subscales </w:t>
      </w:r>
      <w:r w:rsidR="00A52307" w:rsidRPr="004D3B0C">
        <w:rPr>
          <w:sz w:val="28"/>
          <w:szCs w:val="28"/>
        </w:rPr>
        <w:t>relate to e</w:t>
      </w:r>
      <w:r w:rsidRPr="004D3B0C">
        <w:rPr>
          <w:sz w:val="28"/>
          <w:szCs w:val="28"/>
        </w:rPr>
        <w:t>motional</w:t>
      </w:r>
      <w:r w:rsidR="00A36E82" w:rsidRPr="004D3B0C">
        <w:rPr>
          <w:sz w:val="28"/>
          <w:szCs w:val="28"/>
        </w:rPr>
        <w:t xml:space="preserve"> complaints</w:t>
      </w:r>
      <w:r w:rsidRPr="004D3B0C">
        <w:rPr>
          <w:sz w:val="28"/>
          <w:szCs w:val="28"/>
        </w:rPr>
        <w:t xml:space="preserve"> in</w:t>
      </w:r>
      <w:r w:rsidR="00A52307" w:rsidRPr="004D3B0C">
        <w:rPr>
          <w:sz w:val="28"/>
          <w:szCs w:val="28"/>
        </w:rPr>
        <w:t xml:space="preserve">cluding </w:t>
      </w:r>
      <w:r w:rsidRPr="004D3B0C">
        <w:rPr>
          <w:sz w:val="28"/>
          <w:szCs w:val="28"/>
        </w:rPr>
        <w:t>Anger, Anxiety, Depression and Stress</w:t>
      </w:r>
      <w:r w:rsidR="00A52307" w:rsidRPr="004D3B0C">
        <w:rPr>
          <w:sz w:val="28"/>
          <w:szCs w:val="28"/>
        </w:rPr>
        <w:t>, four to c</w:t>
      </w:r>
      <w:r w:rsidR="00A36E82" w:rsidRPr="004D3B0C">
        <w:rPr>
          <w:sz w:val="28"/>
          <w:szCs w:val="28"/>
        </w:rPr>
        <w:t xml:space="preserve">ognitive limitations </w:t>
      </w:r>
      <w:r w:rsidRPr="004D3B0C">
        <w:rPr>
          <w:sz w:val="28"/>
          <w:szCs w:val="28"/>
        </w:rPr>
        <w:t>relating to Memory, Concentration, Language and Communication</w:t>
      </w:r>
      <w:r w:rsidR="0002486A" w:rsidRPr="004D3B0C">
        <w:rPr>
          <w:sz w:val="28"/>
          <w:szCs w:val="28"/>
        </w:rPr>
        <w:t>,</w:t>
      </w:r>
      <w:r w:rsidRPr="004D3B0C">
        <w:rPr>
          <w:sz w:val="28"/>
          <w:szCs w:val="28"/>
        </w:rPr>
        <w:t xml:space="preserve"> and Executive functions, and four to </w:t>
      </w:r>
      <w:r w:rsidR="00A52307" w:rsidRPr="004D3B0C">
        <w:rPr>
          <w:sz w:val="28"/>
          <w:szCs w:val="28"/>
        </w:rPr>
        <w:t>p</w:t>
      </w:r>
      <w:r w:rsidRPr="004D3B0C">
        <w:rPr>
          <w:sz w:val="28"/>
          <w:szCs w:val="28"/>
        </w:rPr>
        <w:t>hysical</w:t>
      </w:r>
      <w:r w:rsidR="00A36E82" w:rsidRPr="004D3B0C">
        <w:rPr>
          <w:sz w:val="28"/>
          <w:szCs w:val="28"/>
        </w:rPr>
        <w:t xml:space="preserve"> issues</w:t>
      </w:r>
      <w:r w:rsidRPr="004D3B0C">
        <w:rPr>
          <w:sz w:val="28"/>
          <w:szCs w:val="28"/>
        </w:rPr>
        <w:t>, that is, Pain, Neurological Complaints, Somatic</w:t>
      </w:r>
      <w:r w:rsidR="00BD5A93" w:rsidRPr="004D3B0C">
        <w:rPr>
          <w:sz w:val="28"/>
          <w:szCs w:val="28"/>
        </w:rPr>
        <w:t xml:space="preserve"> complaints</w:t>
      </w:r>
      <w:r w:rsidRPr="004D3B0C">
        <w:rPr>
          <w:sz w:val="28"/>
          <w:szCs w:val="28"/>
        </w:rPr>
        <w:t xml:space="preserve">, </w:t>
      </w:r>
      <w:r w:rsidR="0060051F" w:rsidRPr="004D3B0C">
        <w:rPr>
          <w:sz w:val="28"/>
          <w:szCs w:val="28"/>
        </w:rPr>
        <w:t xml:space="preserve">and </w:t>
      </w:r>
      <w:r w:rsidRPr="004D3B0C">
        <w:rPr>
          <w:sz w:val="28"/>
          <w:szCs w:val="28"/>
        </w:rPr>
        <w:t>Disability and Restrictions. In addition, there are three Total Clinical scales that are composite scales for each of the clinical domains</w:t>
      </w:r>
      <w:r w:rsidR="00A52307" w:rsidRPr="004D3B0C">
        <w:rPr>
          <w:sz w:val="28"/>
          <w:szCs w:val="28"/>
        </w:rPr>
        <w:t xml:space="preserve"> (see Table 1)</w:t>
      </w:r>
      <w:r w:rsidRPr="004D3B0C">
        <w:rPr>
          <w:sz w:val="28"/>
          <w:szCs w:val="28"/>
        </w:rPr>
        <w:t xml:space="preserve">. </w:t>
      </w:r>
      <w:r w:rsidR="00A36E82" w:rsidRPr="004D3B0C">
        <w:rPr>
          <w:sz w:val="28"/>
          <w:szCs w:val="28"/>
        </w:rPr>
        <w:t xml:space="preserve">Patients </w:t>
      </w:r>
      <w:r w:rsidRPr="004D3B0C">
        <w:rPr>
          <w:sz w:val="28"/>
          <w:szCs w:val="28"/>
        </w:rPr>
        <w:t>are presented with a series of questions relating to each type of complaint and asked to rate the degree to which they have experienced the problem in the preceding month. The PPQ was not developed to represent a particular factor structure at the level of the scale themselves, but essentially follows clinical reasoning about physical, emotional and cognitive complaints, and atheoretical diagnostic criteria, in particular the DSM system (American Psychiatric Association, 2013).</w:t>
      </w:r>
    </w:p>
    <w:p w:rsidR="00420955" w:rsidRPr="004D3B0C" w:rsidRDefault="00420955" w:rsidP="00581EF4">
      <w:pPr>
        <w:spacing w:line="480" w:lineRule="auto"/>
        <w:rPr>
          <w:sz w:val="28"/>
          <w:szCs w:val="28"/>
        </w:rPr>
      </w:pPr>
    </w:p>
    <w:p w:rsidR="00581EF4" w:rsidRPr="004D3B0C" w:rsidRDefault="00A52307" w:rsidP="009F7A9E">
      <w:pPr>
        <w:spacing w:line="480" w:lineRule="auto"/>
        <w:ind w:firstLine="720"/>
        <w:rPr>
          <w:sz w:val="28"/>
          <w:szCs w:val="28"/>
        </w:rPr>
      </w:pPr>
      <w:r w:rsidRPr="004D3B0C">
        <w:rPr>
          <w:sz w:val="28"/>
          <w:szCs w:val="28"/>
        </w:rPr>
        <w:lastRenderedPageBreak/>
        <w:t xml:space="preserve">A key issue when assessing self-report is determining whether an individual’s responses are valid with </w:t>
      </w:r>
      <w:r w:rsidR="00581EF4" w:rsidRPr="004D3B0C">
        <w:rPr>
          <w:sz w:val="28"/>
          <w:szCs w:val="28"/>
        </w:rPr>
        <w:t xml:space="preserve">an international consensus having emerged that assessing response validity should be a feature of clinical assessments (American Academy of Clinical Neuropsychology Board of Directors, 2007; British Psychological Society, BPS, 2009; Bush et al., 2005; Heilbronner, Sweet, Morgan, Larrabee &amp; Millis, 2009; van den Broek and Sembi, 2017). Non-credible presentations are a feature of those with </w:t>
      </w:r>
      <w:r w:rsidR="00B44F05" w:rsidRPr="00B44F05">
        <w:rPr>
          <w:color w:val="FF0000"/>
          <w:sz w:val="28"/>
          <w:szCs w:val="28"/>
        </w:rPr>
        <w:t xml:space="preserve">psychogenic </w:t>
      </w:r>
      <w:r w:rsidR="00581EF4" w:rsidRPr="00B44F05">
        <w:rPr>
          <w:color w:val="FF0000"/>
          <w:sz w:val="28"/>
          <w:szCs w:val="28"/>
        </w:rPr>
        <w:t xml:space="preserve">non-epileptic </w:t>
      </w:r>
      <w:r w:rsidR="00B44F05" w:rsidRPr="00B44F05">
        <w:rPr>
          <w:color w:val="FF0000"/>
          <w:sz w:val="28"/>
          <w:szCs w:val="28"/>
        </w:rPr>
        <w:t>attacks</w:t>
      </w:r>
      <w:r w:rsidR="00581EF4" w:rsidRPr="004D3B0C">
        <w:rPr>
          <w:sz w:val="28"/>
          <w:szCs w:val="28"/>
        </w:rPr>
        <w:t>, pain, somatisation and medically unexplained symptoms (</w:t>
      </w:r>
      <w:r w:rsidR="00581EF4" w:rsidRPr="004D3B0C">
        <w:rPr>
          <w:sz w:val="28"/>
          <w:szCs w:val="28"/>
          <w:lang w:val="en"/>
        </w:rPr>
        <w:t xml:space="preserve">Cragar, Berry, Fakhoury, Cibula &amp; Schmitt, 2006; </w:t>
      </w:r>
      <w:r w:rsidR="00581EF4" w:rsidRPr="004D3B0C">
        <w:rPr>
          <w:sz w:val="28"/>
          <w:szCs w:val="28"/>
        </w:rPr>
        <w:t>Etherton, Bianchini, Ciota, Heinly, &amp; Gr</w:t>
      </w:r>
      <w:bookmarkStart w:id="1" w:name="_GoBack"/>
      <w:bookmarkEnd w:id="1"/>
      <w:r w:rsidR="00581EF4" w:rsidRPr="004D3B0C">
        <w:rPr>
          <w:sz w:val="28"/>
          <w:szCs w:val="28"/>
        </w:rPr>
        <w:t>eve, 2006), as well as those involved in litigation (Larrabee, 2003; Greve et al., 2006; Young, 2014). Patients may present with either under-performance on cognitive tests or over-reporting on self-report measures or a combination of the two. A wide range of stand-alone performance validity tests (PVTs) are now available to delineate under-performance, such as the Word Memory Test (Green, 2003) and the Test of Memory Malingering (Tombaugh, 1996), as well as embedded measures like those included in the Advanced Clinical Solutions battery (Holdnack, Whipple Drozdick, Weiss &amp; Iverson, 2013). Over-reporting can be delineated using questionnaires like the Minnesota Multiphasic Personality Inventory-2-Restructured Form (MMPI-2-RF; Ben-Porath &amp; Tellegen, 2008</w:t>
      </w:r>
      <w:r w:rsidR="00A36E82" w:rsidRPr="004D3B0C">
        <w:rPr>
          <w:sz w:val="28"/>
          <w:szCs w:val="28"/>
        </w:rPr>
        <w:t>),</w:t>
      </w:r>
      <w:r w:rsidR="00581EF4" w:rsidRPr="004D3B0C">
        <w:rPr>
          <w:sz w:val="28"/>
          <w:szCs w:val="28"/>
        </w:rPr>
        <w:t xml:space="preserve"> the Personality Assessment Inventory (Morey, 1991)</w:t>
      </w:r>
      <w:r w:rsidR="00A36E82" w:rsidRPr="004D3B0C">
        <w:rPr>
          <w:sz w:val="28"/>
          <w:szCs w:val="28"/>
        </w:rPr>
        <w:t xml:space="preserve"> and the Neurobeh</w:t>
      </w:r>
      <w:r w:rsidR="00CD66C7" w:rsidRPr="004D3B0C">
        <w:rPr>
          <w:sz w:val="28"/>
          <w:szCs w:val="28"/>
        </w:rPr>
        <w:t>a</w:t>
      </w:r>
      <w:r w:rsidR="00A36E82" w:rsidRPr="004D3B0C">
        <w:rPr>
          <w:sz w:val="28"/>
          <w:szCs w:val="28"/>
        </w:rPr>
        <w:t xml:space="preserve">vioral Symptom </w:t>
      </w:r>
      <w:r w:rsidR="00A36E82" w:rsidRPr="004D3B0C">
        <w:rPr>
          <w:sz w:val="28"/>
          <w:szCs w:val="28"/>
        </w:rPr>
        <w:lastRenderedPageBreak/>
        <w:t>Inventory (</w:t>
      </w:r>
      <w:r w:rsidR="00027230" w:rsidRPr="004D3B0C">
        <w:rPr>
          <w:sz w:val="28"/>
          <w:szCs w:val="28"/>
        </w:rPr>
        <w:t xml:space="preserve">Bodapati et al., 2018; Meyers, English, </w:t>
      </w:r>
      <w:r w:rsidR="00A36E82" w:rsidRPr="004D3B0C">
        <w:rPr>
          <w:sz w:val="28"/>
          <w:szCs w:val="28"/>
        </w:rPr>
        <w:t xml:space="preserve">Miller </w:t>
      </w:r>
      <w:r w:rsidR="002678A6" w:rsidRPr="004D3B0C">
        <w:rPr>
          <w:sz w:val="28"/>
          <w:szCs w:val="28"/>
        </w:rPr>
        <w:t xml:space="preserve">&amp; </w:t>
      </w:r>
      <w:r w:rsidR="00A36E82" w:rsidRPr="004D3B0C">
        <w:rPr>
          <w:sz w:val="28"/>
          <w:szCs w:val="28"/>
        </w:rPr>
        <w:t>Lee, 2015)</w:t>
      </w:r>
      <w:r w:rsidR="001A1D4C" w:rsidRPr="004D3B0C">
        <w:rPr>
          <w:sz w:val="28"/>
          <w:szCs w:val="28"/>
        </w:rPr>
        <w:t>,</w:t>
      </w:r>
      <w:r w:rsidR="00A36E82" w:rsidRPr="004D3B0C">
        <w:rPr>
          <w:sz w:val="28"/>
          <w:szCs w:val="28"/>
        </w:rPr>
        <w:t xml:space="preserve"> </w:t>
      </w:r>
      <w:r w:rsidR="00581EF4" w:rsidRPr="004D3B0C">
        <w:rPr>
          <w:sz w:val="28"/>
          <w:szCs w:val="28"/>
        </w:rPr>
        <w:t>with elevated scores on validity scales potentially indicating exaggerated complaints.</w:t>
      </w:r>
    </w:p>
    <w:p w:rsidR="00581EF4" w:rsidRPr="004D3B0C" w:rsidRDefault="00581EF4" w:rsidP="00581EF4">
      <w:pPr>
        <w:spacing w:line="480" w:lineRule="auto"/>
        <w:ind w:firstLine="720"/>
        <w:rPr>
          <w:sz w:val="28"/>
          <w:szCs w:val="28"/>
        </w:rPr>
      </w:pPr>
      <w:r w:rsidRPr="004D3B0C">
        <w:rPr>
          <w:sz w:val="28"/>
          <w:szCs w:val="28"/>
        </w:rPr>
        <w:t>van den Broek, Monaci and Smith (2012) pointed out that PVTs focus on cognitive issues alone, particularly memory problems, and so do not address the full range of complaints (cognitive, emotional and physical) that are potentially reported by disabled individuals, particularly those with acquired brain injuries. On the other hand, questionnaires tend to have psychopathology as their primary focus and rely on ascertaining the degree to which complaints are endorsed. Exaggeration or over-reporting is inferred when patients endorse an excessive number of complaints both exceeding that of healthy normal subjects and appropriate patient comparison groups. However, interpretation can be complicated as elevated scores</w:t>
      </w:r>
      <w:r w:rsidR="0060051F" w:rsidRPr="004D3B0C">
        <w:rPr>
          <w:sz w:val="28"/>
          <w:szCs w:val="28"/>
        </w:rPr>
        <w:t xml:space="preserve"> can </w:t>
      </w:r>
      <w:r w:rsidRPr="004D3B0C">
        <w:rPr>
          <w:sz w:val="28"/>
          <w:szCs w:val="28"/>
        </w:rPr>
        <w:t xml:space="preserve">also be found in those with severe, but genuine psychopathology, so attenuating the utility of the method (Ben-Porath &amp; Tellegen, 2008). Multi-dimensional questionnaires can also be taxing to complete and involve lengthy administration times which affect their utility in some settings, such as busy outpatient clinics where briefer measures may be preferable and more acceptable to patients. One such measure that screens for distorted symptoms is the Self-Report Symptom Inventory (SRSI; Merten, Merckelbach, Giger, &amp; Stevens, 2016). However, in-depth analysis of the genuine symptom scales is </w:t>
      </w:r>
      <w:r w:rsidRPr="004D3B0C">
        <w:rPr>
          <w:sz w:val="28"/>
          <w:szCs w:val="28"/>
        </w:rPr>
        <w:lastRenderedPageBreak/>
        <w:t xml:space="preserve">lacking to date, rendering findings concerning symptom validity difficult to interpret. </w:t>
      </w:r>
    </w:p>
    <w:p w:rsidR="00581EF4" w:rsidRPr="004D3B0C" w:rsidRDefault="00581EF4" w:rsidP="00581EF4">
      <w:pPr>
        <w:spacing w:line="480" w:lineRule="auto"/>
        <w:ind w:firstLine="720"/>
        <w:rPr>
          <w:sz w:val="28"/>
          <w:szCs w:val="28"/>
        </w:rPr>
      </w:pPr>
      <w:r w:rsidRPr="004D3B0C">
        <w:rPr>
          <w:sz w:val="28"/>
          <w:szCs w:val="28"/>
        </w:rPr>
        <w:t>van den Broek and colleagues (2012) previously</w:t>
      </w:r>
      <w:r w:rsidR="00472611" w:rsidRPr="004D3B0C">
        <w:rPr>
          <w:sz w:val="28"/>
          <w:szCs w:val="28"/>
        </w:rPr>
        <w:t xml:space="preserve"> </w:t>
      </w:r>
      <w:r w:rsidR="0060051F" w:rsidRPr="004D3B0C">
        <w:rPr>
          <w:sz w:val="28"/>
          <w:szCs w:val="28"/>
        </w:rPr>
        <w:t>evaluated the utility of the PP</w:t>
      </w:r>
      <w:r w:rsidR="00472611" w:rsidRPr="004D3B0C">
        <w:rPr>
          <w:sz w:val="28"/>
          <w:szCs w:val="28"/>
        </w:rPr>
        <w:t xml:space="preserve">Q in addressing </w:t>
      </w:r>
      <w:r w:rsidRPr="004D3B0C">
        <w:rPr>
          <w:sz w:val="28"/>
          <w:szCs w:val="28"/>
        </w:rPr>
        <w:t xml:space="preserve">some of these limitations. The PPQ incorporates concepts developed by </w:t>
      </w:r>
      <w:r w:rsidRPr="004D3B0C">
        <w:rPr>
          <w:rFonts w:eastAsia="Calibri"/>
          <w:sz w:val="28"/>
          <w:szCs w:val="28"/>
        </w:rPr>
        <w:t>Rogers (2008) who outlined two broad strategies that can be used to identify people who present with non-valid symptoms: amplified presentations and unlikely presentations. The first involves monitoring possible over-reporting of symptom frequency, duration and severity of symptoms through the indiscriminate endorsement of problems</w:t>
      </w:r>
      <w:r w:rsidR="001A1D4C" w:rsidRPr="004D3B0C">
        <w:rPr>
          <w:rFonts w:eastAsia="Calibri"/>
          <w:sz w:val="28"/>
          <w:szCs w:val="28"/>
        </w:rPr>
        <w:t>,</w:t>
      </w:r>
      <w:r w:rsidRPr="004D3B0C">
        <w:rPr>
          <w:rFonts w:eastAsia="Calibri"/>
          <w:sz w:val="28"/>
          <w:szCs w:val="28"/>
        </w:rPr>
        <w:t xml:space="preserve"> and the second involves monitoring for symptoms that are rarel</w:t>
      </w:r>
      <w:r w:rsidR="00472611" w:rsidRPr="004D3B0C">
        <w:rPr>
          <w:rFonts w:eastAsia="Calibri"/>
          <w:sz w:val="28"/>
          <w:szCs w:val="28"/>
        </w:rPr>
        <w:t>y reported by honest responders</w:t>
      </w:r>
      <w:r w:rsidRPr="004D3B0C">
        <w:rPr>
          <w:rFonts w:eastAsia="Calibri"/>
          <w:sz w:val="28"/>
          <w:szCs w:val="28"/>
        </w:rPr>
        <w:t>,</w:t>
      </w:r>
      <w:r w:rsidR="00472611" w:rsidRPr="004D3B0C">
        <w:rPr>
          <w:rFonts w:eastAsia="Calibri"/>
          <w:sz w:val="28"/>
          <w:szCs w:val="28"/>
        </w:rPr>
        <w:t xml:space="preserve"> symptoms </w:t>
      </w:r>
      <w:r w:rsidRPr="004D3B0C">
        <w:rPr>
          <w:rFonts w:eastAsia="Calibri"/>
          <w:sz w:val="28"/>
          <w:szCs w:val="28"/>
        </w:rPr>
        <w:t>that are implausible</w:t>
      </w:r>
      <w:r w:rsidR="00472611" w:rsidRPr="004D3B0C">
        <w:rPr>
          <w:rFonts w:eastAsia="Calibri"/>
          <w:sz w:val="28"/>
          <w:szCs w:val="28"/>
        </w:rPr>
        <w:t>,</w:t>
      </w:r>
      <w:r w:rsidRPr="004D3B0C">
        <w:rPr>
          <w:rFonts w:eastAsia="Calibri"/>
          <w:sz w:val="28"/>
          <w:szCs w:val="28"/>
        </w:rPr>
        <w:t xml:space="preserve"> and improbable symptom combinations</w:t>
      </w:r>
      <w:r w:rsidR="00783C6F" w:rsidRPr="004D3B0C">
        <w:rPr>
          <w:rFonts w:eastAsia="Calibri"/>
          <w:sz w:val="28"/>
          <w:szCs w:val="28"/>
        </w:rPr>
        <w:t>, that is, symptoms that are common, but rarely occur together</w:t>
      </w:r>
      <w:r w:rsidRPr="004D3B0C">
        <w:rPr>
          <w:rFonts w:eastAsia="Calibri"/>
          <w:sz w:val="28"/>
          <w:szCs w:val="28"/>
        </w:rPr>
        <w:t>. These strategies generally monitor for negative symptom distortion as both involve the endorsement of symptoms (Rogers, 2008).</w:t>
      </w:r>
      <w:r w:rsidRPr="004D3B0C">
        <w:rPr>
          <w:sz w:val="28"/>
          <w:szCs w:val="28"/>
        </w:rPr>
        <w:t xml:space="preserve"> For each </w:t>
      </w:r>
      <w:r w:rsidR="00472611" w:rsidRPr="004D3B0C">
        <w:rPr>
          <w:sz w:val="28"/>
          <w:szCs w:val="28"/>
        </w:rPr>
        <w:t xml:space="preserve">PPQ </w:t>
      </w:r>
      <w:r w:rsidRPr="004D3B0C">
        <w:rPr>
          <w:sz w:val="28"/>
          <w:szCs w:val="28"/>
        </w:rPr>
        <w:t xml:space="preserve">Clinical domain, there is a corresponding Validity scale </w:t>
      </w:r>
      <w:r w:rsidR="00472611" w:rsidRPr="004D3B0C">
        <w:rPr>
          <w:sz w:val="28"/>
          <w:szCs w:val="28"/>
        </w:rPr>
        <w:t xml:space="preserve">of unique, non-overlapping items </w:t>
      </w:r>
      <w:r w:rsidRPr="004D3B0C">
        <w:rPr>
          <w:sz w:val="28"/>
          <w:szCs w:val="28"/>
        </w:rPr>
        <w:t>to check the validity of the patients’ self-report</w:t>
      </w:r>
      <w:r w:rsidR="00472611" w:rsidRPr="004D3B0C">
        <w:rPr>
          <w:sz w:val="28"/>
          <w:szCs w:val="28"/>
        </w:rPr>
        <w:t xml:space="preserve"> (see Table 1)</w:t>
      </w:r>
      <w:r w:rsidRPr="004D3B0C">
        <w:rPr>
          <w:sz w:val="28"/>
          <w:szCs w:val="28"/>
        </w:rPr>
        <w:t xml:space="preserve">. They comprise items that are implausible, overly specified, overly severe, or involve unusual symptom combinations that would not be endorsed by normal individuals, those with a neurological disability or any other disorder. van den Broek and colleagues (2012) examined the utility of the PPQ in differentiating between patients with acquired brain injuries, healthy community-dwelling </w:t>
      </w:r>
      <w:r w:rsidRPr="004D3B0C">
        <w:rPr>
          <w:sz w:val="28"/>
          <w:szCs w:val="28"/>
        </w:rPr>
        <w:lastRenderedPageBreak/>
        <w:t>subjects, and control subjects asked to simulate an acquired brain injury. The Clinical scales satisfactorily differentiated between the groups and the Validity measures had good sensitivity (Cognitive Validity 0.70; Emotional Validity 0.90; Physical Validity 0.90) and high specificity (Cognitive Validity 0.97; Emotional Validity 0.95; Physical Validity 0.98) when detecting simulated complaints.</w:t>
      </w:r>
    </w:p>
    <w:p w:rsidR="00581EF4" w:rsidRPr="004D3B0C" w:rsidRDefault="00581EF4" w:rsidP="00581EF4">
      <w:pPr>
        <w:spacing w:line="480" w:lineRule="auto"/>
        <w:ind w:firstLine="720"/>
        <w:rPr>
          <w:sz w:val="28"/>
          <w:szCs w:val="28"/>
        </w:rPr>
      </w:pPr>
      <w:r w:rsidRPr="004D3B0C">
        <w:rPr>
          <w:sz w:val="28"/>
          <w:szCs w:val="28"/>
        </w:rPr>
        <w:t xml:space="preserve">The present investigation sought to further advance the utility of the PPQ in a number of respects. First, the aim was to develop a normative database for the PPQ by recruiting a representative sample of healthy normal adults living in the community, so allowing clinicians to compare patients’ responses on the Clinical and Validity scales against those found in the normal population. </w:t>
      </w:r>
      <w:r w:rsidR="007C237B" w:rsidRPr="004D3B0C">
        <w:rPr>
          <w:sz w:val="28"/>
          <w:szCs w:val="28"/>
        </w:rPr>
        <w:t>Second</w:t>
      </w:r>
      <w:r w:rsidR="0060051F" w:rsidRPr="004D3B0C">
        <w:rPr>
          <w:sz w:val="28"/>
          <w:szCs w:val="28"/>
        </w:rPr>
        <w:t xml:space="preserve">, a measure of response consistency was developed to check that semantically similar items in the questionnaire were responded to in a consistent manner. </w:t>
      </w:r>
      <w:r w:rsidR="007C237B" w:rsidRPr="004D3B0C">
        <w:rPr>
          <w:sz w:val="28"/>
          <w:szCs w:val="28"/>
        </w:rPr>
        <w:t>Third</w:t>
      </w:r>
      <w:r w:rsidRPr="004D3B0C">
        <w:rPr>
          <w:sz w:val="28"/>
          <w:szCs w:val="28"/>
        </w:rPr>
        <w:t xml:space="preserve">, the role of demographic factors that potentially influence responding on the PPQ was also examined. </w:t>
      </w:r>
      <w:r w:rsidR="007C237B" w:rsidRPr="004D3B0C">
        <w:rPr>
          <w:sz w:val="28"/>
          <w:szCs w:val="28"/>
        </w:rPr>
        <w:t>Fourth</w:t>
      </w:r>
      <w:r w:rsidRPr="004D3B0C">
        <w:rPr>
          <w:sz w:val="28"/>
          <w:szCs w:val="28"/>
        </w:rPr>
        <w:t xml:space="preserve">, a group of patients with acquired brain injuries (ABI) were studied to provide additional confirmatory support for the clinical use of the measure. In particular, it was anticipated that the ABI group would differ from community subjects on the Clinical Scales but, for the method to be useful, they would not differ in their endorsement of items on the Validity </w:t>
      </w:r>
      <w:r w:rsidR="0060051F" w:rsidRPr="004D3B0C">
        <w:rPr>
          <w:sz w:val="28"/>
          <w:szCs w:val="28"/>
        </w:rPr>
        <w:t xml:space="preserve">and Consistency </w:t>
      </w:r>
      <w:r w:rsidRPr="004D3B0C">
        <w:rPr>
          <w:sz w:val="28"/>
          <w:szCs w:val="28"/>
        </w:rPr>
        <w:t xml:space="preserve">scales when appropriate cut-off scores were set. Finally, with the development of a normative database, </w:t>
      </w:r>
      <w:r w:rsidRPr="004D3B0C">
        <w:rPr>
          <w:sz w:val="28"/>
          <w:szCs w:val="28"/>
        </w:rPr>
        <w:lastRenderedPageBreak/>
        <w:t>it was intended to provide guidelines for the interpretation of the questionnaire in clinical practice.</w:t>
      </w:r>
    </w:p>
    <w:p w:rsidR="00581EF4" w:rsidRPr="004D3B0C" w:rsidRDefault="00581EF4" w:rsidP="00581EF4">
      <w:pPr>
        <w:spacing w:line="480" w:lineRule="auto"/>
        <w:jc w:val="center"/>
        <w:rPr>
          <w:b/>
          <w:sz w:val="28"/>
          <w:szCs w:val="28"/>
        </w:rPr>
      </w:pPr>
      <w:r w:rsidRPr="004D3B0C">
        <w:rPr>
          <w:b/>
          <w:sz w:val="28"/>
          <w:szCs w:val="28"/>
        </w:rPr>
        <w:t>Method</w:t>
      </w:r>
    </w:p>
    <w:p w:rsidR="00581EF4" w:rsidRPr="004D3B0C" w:rsidRDefault="00581EF4" w:rsidP="00581EF4">
      <w:pPr>
        <w:spacing w:after="0" w:line="480" w:lineRule="auto"/>
        <w:rPr>
          <w:rFonts w:cs="Times New Roman"/>
          <w:i/>
          <w:sz w:val="28"/>
          <w:szCs w:val="28"/>
        </w:rPr>
      </w:pPr>
      <w:r w:rsidRPr="004D3B0C">
        <w:rPr>
          <w:rFonts w:cs="Times New Roman"/>
          <w:i/>
          <w:sz w:val="28"/>
          <w:szCs w:val="28"/>
        </w:rPr>
        <w:t>Participants</w:t>
      </w:r>
    </w:p>
    <w:p w:rsidR="00581EF4" w:rsidRPr="004D3B0C" w:rsidRDefault="00581EF4" w:rsidP="00581EF4">
      <w:pPr>
        <w:pStyle w:val="CommentText"/>
        <w:spacing w:line="480" w:lineRule="auto"/>
        <w:ind w:firstLine="720"/>
        <w:rPr>
          <w:sz w:val="28"/>
          <w:szCs w:val="28"/>
          <w:lang w:val="en-US"/>
        </w:rPr>
      </w:pPr>
      <w:r w:rsidRPr="004D3B0C">
        <w:rPr>
          <w:sz w:val="28"/>
          <w:szCs w:val="28"/>
        </w:rPr>
        <w:t xml:space="preserve">Healthy community-dwelling participants (Community group) were included in the study provided they were able to understand and read English and complete the PPQ. Exclusion criteria were as follows: </w:t>
      </w:r>
      <w:r w:rsidRPr="004D3B0C">
        <w:rPr>
          <w:sz w:val="28"/>
          <w:szCs w:val="28"/>
          <w:lang w:val="en-US"/>
        </w:rPr>
        <w:t xml:space="preserve">uncorrected visual impairment; undergoing treatment for alcohol/drug dependency; consuming </w:t>
      </w:r>
      <w:r w:rsidRPr="004D3B0C">
        <w:rPr>
          <w:sz w:val="28"/>
          <w:szCs w:val="28"/>
          <w:u w:val="single"/>
          <w:lang w:val="en-US"/>
        </w:rPr>
        <w:t>&gt;</w:t>
      </w:r>
      <w:r w:rsidRPr="004D3B0C">
        <w:rPr>
          <w:sz w:val="28"/>
          <w:szCs w:val="28"/>
          <w:lang w:val="en-US"/>
        </w:rPr>
        <w:t xml:space="preserve">3 alcoholic drinks on two or more nights per week; having sought attention from a professional for memory or cognitive problems; having a history of traumatic brain injury involving loss of consciousness for </w:t>
      </w:r>
      <w:r w:rsidRPr="004D3B0C">
        <w:rPr>
          <w:sz w:val="28"/>
          <w:szCs w:val="28"/>
          <w:u w:val="single"/>
          <w:lang w:val="en-US"/>
        </w:rPr>
        <w:t>&gt;</w:t>
      </w:r>
      <w:r w:rsidRPr="004D3B0C">
        <w:rPr>
          <w:sz w:val="28"/>
          <w:szCs w:val="28"/>
          <w:lang w:val="en-US"/>
        </w:rPr>
        <w:t xml:space="preserve"> 5 minutes and/or requiring hospitalisation &gt; 24 hours; any other medical or psychiatric condition that could affect cognitive functioning (e.g., stroke, epilepsy, brain surgery, encephalitis, meningitis, multiple sclerosis, Parkinson’s disease, Huntington’s disease, Alzheimer’s disease, schizophrenia or bipolar disorder); currently receiving treatment for a psychiatric condition.</w:t>
      </w:r>
    </w:p>
    <w:p w:rsidR="00581EF4" w:rsidRPr="004D3B0C" w:rsidRDefault="00581EF4" w:rsidP="00581EF4">
      <w:pPr>
        <w:spacing w:after="0" w:line="480" w:lineRule="auto"/>
        <w:ind w:firstLine="720"/>
        <w:rPr>
          <w:rFonts w:cs="Times New Roman"/>
          <w:sz w:val="28"/>
          <w:szCs w:val="28"/>
        </w:rPr>
      </w:pPr>
      <w:bookmarkStart w:id="2" w:name="_Hlk509488298"/>
      <w:r w:rsidRPr="004D3B0C">
        <w:rPr>
          <w:rFonts w:cs="Times New Roman"/>
          <w:sz w:val="28"/>
          <w:szCs w:val="28"/>
        </w:rPr>
        <w:t xml:space="preserve">A total of 404 community-dwelling participants (200 males, 204 females) were recruited via opportunistic sampling over a three-year period (2009-2012). This was more than the suggested (minimum) criterion of 400 total participants needed for a sufficiently precise estimate of population reliability </w:t>
      </w:r>
      <w:r w:rsidRPr="004D3B0C">
        <w:rPr>
          <w:rFonts w:cs="Times New Roman"/>
          <w:sz w:val="28"/>
          <w:szCs w:val="28"/>
        </w:rPr>
        <w:lastRenderedPageBreak/>
        <w:t xml:space="preserve">(Charter, 1999), although, the regression-based norming procedure adopted here typically requires a smaller sample than traditional discrete-based methods to obtain equally precise norms (Oosterhuis, van der Ark, &amp; Sijtsma, 2016). Participants were sampled so that the </w:t>
      </w:r>
      <w:r w:rsidRPr="004D3B0C">
        <w:rPr>
          <w:sz w:val="28"/>
          <w:szCs w:val="28"/>
        </w:rPr>
        <w:t>age range and gender were representative of the UK population</w:t>
      </w:r>
      <w:r w:rsidRPr="004D3B0C">
        <w:rPr>
          <w:rFonts w:cs="Times New Roman"/>
          <w:sz w:val="28"/>
          <w:szCs w:val="28"/>
        </w:rPr>
        <w:t xml:space="preserve"> and all participated on a voluntary basis. Their mean age was 40.7 years (</w:t>
      </w:r>
      <w:r w:rsidRPr="004D3B0C">
        <w:rPr>
          <w:rFonts w:cs="Times New Roman"/>
          <w:i/>
          <w:sz w:val="28"/>
          <w:szCs w:val="28"/>
        </w:rPr>
        <w:t>SD</w:t>
      </w:r>
      <w:r w:rsidRPr="004D3B0C">
        <w:rPr>
          <w:rFonts w:cs="Times New Roman"/>
          <w:sz w:val="28"/>
          <w:szCs w:val="28"/>
        </w:rPr>
        <w:t xml:space="preserve"> = 14.3, range = 18-69). Most participants (250; 62%) were educated to a high level (i.e., Diploma or Degree qualification), 122 (30.2%) had completed school-level qualifications only (General Certificate of Secondary Education and/or A-Level; US equivalent grade 10-12) and 31 (8%) had no school qualifications. In addition, 59 participants with acquired brain injuries (ABI; 37 males, 22 females) were recruited from inpatient and outpatient clinics of a Regional Neuropsychology service. The distribution of ages in the ABI group was comparable to Community participants (mean age was 43.6 years, </w:t>
      </w:r>
      <w:r w:rsidRPr="004D3B0C">
        <w:rPr>
          <w:rFonts w:cs="Times New Roman"/>
          <w:i/>
          <w:sz w:val="28"/>
          <w:szCs w:val="28"/>
        </w:rPr>
        <w:t>SD</w:t>
      </w:r>
      <w:r w:rsidRPr="004D3B0C">
        <w:rPr>
          <w:rFonts w:cs="Times New Roman"/>
          <w:sz w:val="28"/>
          <w:szCs w:val="28"/>
        </w:rPr>
        <w:t xml:space="preserve"> = 14.8, range = 20-69; </w:t>
      </w:r>
      <w:r w:rsidRPr="004D3B0C">
        <w:rPr>
          <w:rFonts w:cs="Times New Roman"/>
          <w:i/>
          <w:sz w:val="28"/>
          <w:szCs w:val="28"/>
        </w:rPr>
        <w:t>p</w:t>
      </w:r>
      <w:r w:rsidRPr="004D3B0C">
        <w:rPr>
          <w:rFonts w:cs="Times New Roman"/>
          <w:sz w:val="28"/>
          <w:szCs w:val="28"/>
        </w:rPr>
        <w:t xml:space="preserve"> = .160), although there was a trend for ABI participants to be less well-educated (High-level education </w:t>
      </w:r>
      <w:r w:rsidRPr="004D3B0C">
        <w:rPr>
          <w:rFonts w:cs="Times New Roman"/>
          <w:i/>
          <w:sz w:val="28"/>
          <w:szCs w:val="28"/>
        </w:rPr>
        <w:t>n</w:t>
      </w:r>
      <w:r w:rsidRPr="004D3B0C">
        <w:rPr>
          <w:rFonts w:cs="Times New Roman"/>
          <w:sz w:val="28"/>
          <w:szCs w:val="28"/>
        </w:rPr>
        <w:t xml:space="preserve"> = 28 or 47.5%; school-level qualifications only</w:t>
      </w:r>
      <w:r w:rsidRPr="004D3B0C">
        <w:rPr>
          <w:rFonts w:cs="Times New Roman"/>
          <w:i/>
          <w:sz w:val="28"/>
          <w:szCs w:val="28"/>
        </w:rPr>
        <w:t xml:space="preserve"> n</w:t>
      </w:r>
      <w:r w:rsidRPr="004D3B0C">
        <w:rPr>
          <w:rFonts w:cs="Times New Roman"/>
          <w:sz w:val="28"/>
          <w:szCs w:val="28"/>
        </w:rPr>
        <w:t xml:space="preserve"> = 26 or 44%; no school qualifications</w:t>
      </w:r>
      <w:r w:rsidRPr="004D3B0C">
        <w:rPr>
          <w:rFonts w:cs="Times New Roman"/>
          <w:i/>
          <w:sz w:val="28"/>
          <w:szCs w:val="28"/>
        </w:rPr>
        <w:t xml:space="preserve"> n</w:t>
      </w:r>
      <w:r w:rsidRPr="004D3B0C">
        <w:rPr>
          <w:rFonts w:cs="Times New Roman"/>
          <w:sz w:val="28"/>
          <w:szCs w:val="28"/>
        </w:rPr>
        <w:t xml:space="preserve"> = 5 or 9%; </w:t>
      </w:r>
      <w:r w:rsidRPr="004D3B0C">
        <w:rPr>
          <w:rFonts w:cs="Times New Roman"/>
          <w:i/>
          <w:sz w:val="28"/>
          <w:szCs w:val="28"/>
        </w:rPr>
        <w:t>p</w:t>
      </w:r>
      <w:r w:rsidRPr="004D3B0C">
        <w:rPr>
          <w:rFonts w:cs="Times New Roman"/>
          <w:sz w:val="28"/>
          <w:szCs w:val="28"/>
        </w:rPr>
        <w:t xml:space="preserve"> = .086).</w:t>
      </w:r>
    </w:p>
    <w:p w:rsidR="00581EF4" w:rsidRPr="004D3B0C" w:rsidRDefault="00581EF4" w:rsidP="00581EF4">
      <w:pPr>
        <w:spacing w:after="0" w:line="480" w:lineRule="auto"/>
        <w:ind w:firstLine="720"/>
        <w:rPr>
          <w:rFonts w:cs="Times New Roman"/>
          <w:sz w:val="28"/>
          <w:szCs w:val="28"/>
        </w:rPr>
      </w:pPr>
      <w:r w:rsidRPr="004D3B0C">
        <w:rPr>
          <w:rFonts w:cs="Times New Roman"/>
          <w:sz w:val="28"/>
          <w:szCs w:val="28"/>
        </w:rPr>
        <w:t>The ABI group comprised patients with traumatic brain injuries (</w:t>
      </w:r>
      <w:r w:rsidRPr="004D3B0C">
        <w:rPr>
          <w:rFonts w:cs="Times New Roman"/>
          <w:i/>
          <w:iCs/>
          <w:sz w:val="28"/>
          <w:szCs w:val="28"/>
        </w:rPr>
        <w:t>n</w:t>
      </w:r>
      <w:r w:rsidRPr="004D3B0C">
        <w:rPr>
          <w:rFonts w:cs="Times New Roman"/>
          <w:sz w:val="28"/>
          <w:szCs w:val="28"/>
        </w:rPr>
        <w:t> = 22 or 37%; 12 severe, 5 moderate, 5 mild; defined by DSM 5 criteria; American Psychiatric Association, 2013), cerebral vascular accident (</w:t>
      </w:r>
      <w:r w:rsidRPr="004D3B0C">
        <w:rPr>
          <w:rFonts w:cs="Times New Roman"/>
          <w:i/>
          <w:iCs/>
          <w:sz w:val="28"/>
          <w:szCs w:val="28"/>
        </w:rPr>
        <w:t>n</w:t>
      </w:r>
      <w:r w:rsidRPr="004D3B0C">
        <w:rPr>
          <w:rFonts w:cs="Times New Roman"/>
          <w:sz w:val="28"/>
          <w:szCs w:val="28"/>
        </w:rPr>
        <w:t> = 28 or 49%), encephalitis (</w:t>
      </w:r>
      <w:r w:rsidRPr="004D3B0C">
        <w:rPr>
          <w:rFonts w:cs="Times New Roman"/>
          <w:i/>
          <w:iCs/>
          <w:sz w:val="28"/>
          <w:szCs w:val="28"/>
        </w:rPr>
        <w:t>n</w:t>
      </w:r>
      <w:r w:rsidRPr="004D3B0C">
        <w:rPr>
          <w:rFonts w:cs="Times New Roman"/>
          <w:sz w:val="28"/>
          <w:szCs w:val="28"/>
        </w:rPr>
        <w:t> = 3), multiple sclerosis (</w:t>
      </w:r>
      <w:r w:rsidRPr="004D3B0C">
        <w:rPr>
          <w:rFonts w:cs="Times New Roman"/>
          <w:i/>
          <w:iCs/>
          <w:sz w:val="28"/>
          <w:szCs w:val="28"/>
        </w:rPr>
        <w:t>n</w:t>
      </w:r>
      <w:r w:rsidRPr="004D3B0C">
        <w:rPr>
          <w:rFonts w:cs="Times New Roman"/>
          <w:sz w:val="28"/>
          <w:szCs w:val="28"/>
        </w:rPr>
        <w:t> = 3), cerebral tumour (</w:t>
      </w:r>
      <w:r w:rsidRPr="004D3B0C">
        <w:rPr>
          <w:rFonts w:cs="Times New Roman"/>
          <w:i/>
          <w:iCs/>
          <w:sz w:val="28"/>
          <w:szCs w:val="28"/>
        </w:rPr>
        <w:t>n</w:t>
      </w:r>
      <w:r w:rsidRPr="004D3B0C">
        <w:rPr>
          <w:rFonts w:cs="Times New Roman"/>
          <w:sz w:val="28"/>
          <w:szCs w:val="28"/>
        </w:rPr>
        <w:t xml:space="preserve"> = 2), </w:t>
      </w:r>
      <w:r w:rsidRPr="004D3B0C">
        <w:rPr>
          <w:rFonts w:cs="Times New Roman"/>
          <w:sz w:val="28"/>
          <w:szCs w:val="28"/>
        </w:rPr>
        <w:lastRenderedPageBreak/>
        <w:t>and hydrocephalus (</w:t>
      </w:r>
      <w:r w:rsidRPr="004D3B0C">
        <w:rPr>
          <w:rFonts w:cs="Times New Roman"/>
          <w:i/>
          <w:iCs/>
          <w:sz w:val="28"/>
          <w:szCs w:val="28"/>
        </w:rPr>
        <w:t>n</w:t>
      </w:r>
      <w:r w:rsidRPr="004D3B0C">
        <w:rPr>
          <w:rFonts w:cs="Times New Roman"/>
          <w:sz w:val="28"/>
          <w:szCs w:val="28"/>
        </w:rPr>
        <w:t xml:space="preserve"> = 1). </w:t>
      </w:r>
      <w:bookmarkEnd w:id="2"/>
      <w:r w:rsidRPr="004D3B0C">
        <w:rPr>
          <w:rFonts w:cs="Times New Roman"/>
          <w:sz w:val="28"/>
          <w:szCs w:val="28"/>
        </w:rPr>
        <w:t>Exclusion criteria were as follows: uncorrected visual impairment; significant cognitive impairment precluding administration of the PPQ; undergoing treatment for alcohol/drug dependency; current treatment for severe mental illness; involvement in personal injury litigation.</w:t>
      </w:r>
    </w:p>
    <w:p w:rsidR="00581EF4" w:rsidRPr="004D3B0C" w:rsidRDefault="00581EF4" w:rsidP="00581EF4">
      <w:pPr>
        <w:pStyle w:val="ListParagraph"/>
        <w:spacing w:before="100" w:beforeAutospacing="1" w:after="100" w:afterAutospacing="1" w:line="480" w:lineRule="auto"/>
        <w:ind w:left="0" w:firstLine="720"/>
        <w:outlineLvl w:val="0"/>
        <w:rPr>
          <w:rFonts w:asciiTheme="minorHAnsi" w:hAnsiTheme="minorHAnsi"/>
          <w:sz w:val="28"/>
          <w:szCs w:val="28"/>
        </w:rPr>
      </w:pPr>
      <w:r w:rsidRPr="004D3B0C">
        <w:rPr>
          <w:rFonts w:asciiTheme="minorHAnsi" w:hAnsiTheme="minorHAnsi"/>
          <w:sz w:val="28"/>
          <w:szCs w:val="28"/>
        </w:rPr>
        <w:t>The study was approved by the Ethical Committee of Wandsworth National Research Ethic Service (</w:t>
      </w:r>
      <w:r w:rsidRPr="004D3B0C">
        <w:rPr>
          <w:rFonts w:asciiTheme="minorHAnsi" w:hAnsiTheme="minorHAnsi"/>
          <w:sz w:val="28"/>
          <w:szCs w:val="28"/>
          <w:lang w:val="en-US"/>
        </w:rPr>
        <w:t>NRES;</w:t>
      </w:r>
      <w:r w:rsidRPr="004D3B0C">
        <w:rPr>
          <w:rFonts w:ascii="Sabon LT Std" w:eastAsiaTheme="minorHAnsi" w:hAnsi="Sabon LT Std" w:cs="Sabon LT Std"/>
          <w:sz w:val="20"/>
          <w:szCs w:val="20"/>
          <w:lang w:eastAsia="en-US"/>
        </w:rPr>
        <w:t xml:space="preserve"> </w:t>
      </w:r>
      <w:r w:rsidRPr="004D3B0C">
        <w:rPr>
          <w:rFonts w:asciiTheme="minorHAnsi" w:hAnsiTheme="minorHAnsi"/>
          <w:sz w:val="28"/>
          <w:szCs w:val="28"/>
        </w:rPr>
        <w:t>Reference number 08/H0803/138</w:t>
      </w:r>
      <w:r w:rsidRPr="004D3B0C">
        <w:rPr>
          <w:rFonts w:asciiTheme="minorHAnsi" w:hAnsiTheme="minorHAnsi"/>
          <w:sz w:val="28"/>
          <w:szCs w:val="28"/>
          <w:lang w:val="en-US"/>
        </w:rPr>
        <w:t xml:space="preserve">) and the </w:t>
      </w:r>
      <w:r w:rsidRPr="004D3B0C">
        <w:rPr>
          <w:rFonts w:asciiTheme="minorHAnsi" w:hAnsiTheme="minorHAnsi"/>
          <w:sz w:val="28"/>
          <w:szCs w:val="28"/>
        </w:rPr>
        <w:t>Research and Development Office, St. George’s Hospital, London.</w:t>
      </w:r>
    </w:p>
    <w:p w:rsidR="00581EF4" w:rsidRPr="004D3B0C" w:rsidRDefault="00581EF4" w:rsidP="00581EF4">
      <w:pPr>
        <w:spacing w:after="0" w:line="480" w:lineRule="auto"/>
        <w:rPr>
          <w:rFonts w:cs="Times New Roman"/>
          <w:i/>
          <w:sz w:val="28"/>
          <w:szCs w:val="28"/>
        </w:rPr>
      </w:pPr>
      <w:r w:rsidRPr="004D3B0C">
        <w:rPr>
          <w:rFonts w:cs="Times New Roman"/>
          <w:i/>
          <w:sz w:val="28"/>
          <w:szCs w:val="28"/>
        </w:rPr>
        <w:t>Measures</w:t>
      </w:r>
    </w:p>
    <w:p w:rsidR="00581EF4" w:rsidRPr="004D3B0C" w:rsidRDefault="00581EF4" w:rsidP="00581EF4">
      <w:pPr>
        <w:spacing w:after="0" w:line="480" w:lineRule="auto"/>
        <w:ind w:firstLine="720"/>
        <w:rPr>
          <w:rFonts w:cs="Times New Roman"/>
          <w:sz w:val="28"/>
          <w:szCs w:val="28"/>
        </w:rPr>
      </w:pPr>
      <w:r w:rsidRPr="004D3B0C">
        <w:rPr>
          <w:rFonts w:cs="Times New Roman"/>
          <w:sz w:val="28"/>
          <w:szCs w:val="28"/>
        </w:rPr>
        <w:t>After obtaining informed consent to participate</w:t>
      </w:r>
      <w:bookmarkStart w:id="3" w:name="_Hlk509488617"/>
      <w:r w:rsidRPr="004D3B0C">
        <w:rPr>
          <w:rFonts w:cs="Times New Roman"/>
          <w:sz w:val="28"/>
          <w:szCs w:val="28"/>
        </w:rPr>
        <w:t xml:space="preserve">, demographic details </w:t>
      </w:r>
      <w:bookmarkEnd w:id="3"/>
      <w:r w:rsidRPr="004D3B0C">
        <w:rPr>
          <w:rFonts w:cs="Times New Roman"/>
          <w:sz w:val="28"/>
          <w:szCs w:val="28"/>
        </w:rPr>
        <w:t xml:space="preserve">were collected on each subject (age, sex, educational qualifications) and, in the case of the ABI group, the patient’s diagnosis was extracted from the clinical record. Participants were asked to read the PPQ instructions which indicated that they should respond to the questions by indicating the degree to which they had experienced each problem during the preceding month on a 3 point rating scale: </w:t>
      </w:r>
      <w:r w:rsidRPr="004D3B0C">
        <w:rPr>
          <w:rFonts w:cs="Times New Roman"/>
          <w:i/>
          <w:sz w:val="28"/>
          <w:szCs w:val="28"/>
        </w:rPr>
        <w:t>Never</w:t>
      </w:r>
      <w:r w:rsidRPr="004D3B0C">
        <w:rPr>
          <w:rFonts w:cs="Times New Roman"/>
          <w:sz w:val="28"/>
          <w:szCs w:val="28"/>
        </w:rPr>
        <w:t xml:space="preserve"> (scored 0), </w:t>
      </w:r>
      <w:r w:rsidRPr="004D3B0C">
        <w:rPr>
          <w:rFonts w:cs="Times New Roman"/>
          <w:i/>
          <w:sz w:val="28"/>
          <w:szCs w:val="28"/>
        </w:rPr>
        <w:t>Sometimes</w:t>
      </w:r>
      <w:r w:rsidRPr="004D3B0C">
        <w:rPr>
          <w:rFonts w:cs="Times New Roman"/>
          <w:sz w:val="28"/>
          <w:szCs w:val="28"/>
        </w:rPr>
        <w:t xml:space="preserve"> (scored 1) and </w:t>
      </w:r>
      <w:r w:rsidRPr="004D3B0C">
        <w:rPr>
          <w:rFonts w:cs="Times New Roman"/>
          <w:i/>
          <w:sz w:val="28"/>
          <w:szCs w:val="28"/>
        </w:rPr>
        <w:t>Often</w:t>
      </w:r>
      <w:r w:rsidRPr="004D3B0C">
        <w:rPr>
          <w:rFonts w:cs="Times New Roman"/>
          <w:sz w:val="28"/>
          <w:szCs w:val="28"/>
        </w:rPr>
        <w:t xml:space="preserve"> (scored 2). The scores on the 12 Clinical Scales therefore ra</w:t>
      </w:r>
      <w:r w:rsidR="00AA0625" w:rsidRPr="004D3B0C">
        <w:rPr>
          <w:rFonts w:cs="Times New Roman"/>
          <w:sz w:val="28"/>
          <w:szCs w:val="28"/>
        </w:rPr>
        <w:t>nged between 0 and 2</w:t>
      </w:r>
      <w:r w:rsidRPr="004D3B0C">
        <w:rPr>
          <w:rFonts w:cs="Times New Roman"/>
          <w:sz w:val="28"/>
          <w:szCs w:val="28"/>
        </w:rPr>
        <w:t xml:space="preserve">0 and on the Validity Scales from 0 to 24. An index of </w:t>
      </w:r>
      <w:r w:rsidR="00F96341" w:rsidRPr="004D3B0C">
        <w:rPr>
          <w:rFonts w:cs="Times New Roman"/>
          <w:sz w:val="28"/>
          <w:szCs w:val="28"/>
        </w:rPr>
        <w:t xml:space="preserve">variable </w:t>
      </w:r>
      <w:r w:rsidRPr="004D3B0C">
        <w:rPr>
          <w:rFonts w:cs="Times New Roman"/>
          <w:sz w:val="28"/>
          <w:szCs w:val="28"/>
        </w:rPr>
        <w:t xml:space="preserve">response consistency </w:t>
      </w:r>
      <w:r w:rsidR="007E547E" w:rsidRPr="004D3B0C">
        <w:rPr>
          <w:rFonts w:cs="Times New Roman"/>
          <w:sz w:val="28"/>
          <w:szCs w:val="28"/>
        </w:rPr>
        <w:t xml:space="preserve">(comparable to VRIN in the MMPI family of tests: </w:t>
      </w:r>
      <w:r w:rsidR="00027230" w:rsidRPr="004D3B0C">
        <w:rPr>
          <w:rFonts w:cs="Times New Roman"/>
          <w:sz w:val="28"/>
          <w:szCs w:val="28"/>
        </w:rPr>
        <w:t xml:space="preserve">Ben-Porath &amp; Tellegen, 2008; Butcher, Dahlstrom, Graham, Tellegen &amp; Kaemmer, 1989; </w:t>
      </w:r>
      <w:r w:rsidR="007E547E" w:rsidRPr="004D3B0C">
        <w:rPr>
          <w:rFonts w:cs="Times New Roman"/>
          <w:sz w:val="28"/>
          <w:szCs w:val="28"/>
        </w:rPr>
        <w:t>Hathaway &amp; McKinley,</w:t>
      </w:r>
      <w:r w:rsidR="00947726" w:rsidRPr="004D3B0C">
        <w:rPr>
          <w:rFonts w:cs="Times New Roman"/>
          <w:sz w:val="28"/>
          <w:szCs w:val="28"/>
        </w:rPr>
        <w:t xml:space="preserve"> 1943</w:t>
      </w:r>
      <w:r w:rsidR="007E547E" w:rsidRPr="004D3B0C">
        <w:rPr>
          <w:rFonts w:cs="Times New Roman"/>
          <w:sz w:val="28"/>
          <w:szCs w:val="28"/>
        </w:rPr>
        <w:t xml:space="preserve">) </w:t>
      </w:r>
      <w:r w:rsidRPr="004D3B0C">
        <w:rPr>
          <w:rFonts w:cs="Times New Roman"/>
          <w:sz w:val="28"/>
          <w:szCs w:val="28"/>
        </w:rPr>
        <w:t xml:space="preserve">was also developed by matching nine pairs of items that were </w:t>
      </w:r>
      <w:r w:rsidRPr="004D3B0C">
        <w:rPr>
          <w:rFonts w:cs="Times New Roman"/>
          <w:sz w:val="28"/>
          <w:szCs w:val="28"/>
        </w:rPr>
        <w:lastRenderedPageBreak/>
        <w:t>semantically similar in content (i.e., the construct the items were written to measure). Discrepant responses on each of the pairs were scored by taking the absolute difference between item scores.</w:t>
      </w:r>
    </w:p>
    <w:p w:rsidR="00581EF4" w:rsidRPr="004D3B0C" w:rsidRDefault="00581EF4" w:rsidP="00581EF4">
      <w:pPr>
        <w:spacing w:after="0" w:line="480" w:lineRule="auto"/>
        <w:jc w:val="both"/>
        <w:rPr>
          <w:rFonts w:cs="Times New Roman"/>
          <w:i/>
          <w:sz w:val="28"/>
          <w:szCs w:val="28"/>
        </w:rPr>
      </w:pPr>
      <w:r w:rsidRPr="004D3B0C">
        <w:rPr>
          <w:rFonts w:cs="Times New Roman"/>
          <w:i/>
          <w:sz w:val="28"/>
          <w:szCs w:val="28"/>
        </w:rPr>
        <w:t>Statistical analysis</w:t>
      </w:r>
    </w:p>
    <w:p w:rsidR="00D11FFC" w:rsidRPr="004D3B0C" w:rsidRDefault="00581EF4" w:rsidP="00581EF4">
      <w:pPr>
        <w:spacing w:after="0" w:line="480" w:lineRule="auto"/>
        <w:ind w:firstLine="720"/>
        <w:rPr>
          <w:rFonts w:cs="Times New Roman"/>
          <w:sz w:val="28"/>
          <w:szCs w:val="28"/>
        </w:rPr>
      </w:pPr>
      <w:r w:rsidRPr="004D3B0C">
        <w:rPr>
          <w:rFonts w:cs="Times New Roman"/>
          <w:sz w:val="28"/>
          <w:szCs w:val="28"/>
        </w:rPr>
        <w:t xml:space="preserve">Internal consistency of the PPQ scales and subscales was assessed separately for control and ABI participants </w:t>
      </w:r>
      <w:bookmarkStart w:id="4" w:name="_Hlk509488675"/>
      <w:r w:rsidRPr="004D3B0C">
        <w:rPr>
          <w:rFonts w:cs="Times New Roman"/>
          <w:sz w:val="28"/>
          <w:szCs w:val="28"/>
        </w:rPr>
        <w:t xml:space="preserve">using Cronbach’s alphas </w:t>
      </w:r>
      <w:bookmarkEnd w:id="4"/>
      <w:r w:rsidRPr="004D3B0C">
        <w:rPr>
          <w:rFonts w:cs="Times New Roman"/>
          <w:sz w:val="28"/>
          <w:szCs w:val="28"/>
        </w:rPr>
        <w:t xml:space="preserve">calculated from participants who provided responses to all items on the relevant (sub)scale. With respect to response consistency, differences for all index pairs in the control group were summed and a </w:t>
      </w:r>
      <w:r w:rsidRPr="004D3B0C">
        <w:rPr>
          <w:rFonts w:cs="Times New Roman"/>
          <w:i/>
          <w:sz w:val="28"/>
          <w:szCs w:val="28"/>
        </w:rPr>
        <w:t>T</w:t>
      </w:r>
      <w:r w:rsidRPr="004D3B0C">
        <w:rPr>
          <w:rFonts w:cs="Times New Roman"/>
          <w:sz w:val="28"/>
          <w:szCs w:val="28"/>
        </w:rPr>
        <w:t xml:space="preserve"> score derived from the (raw) inconsistency total scores. Subsequently, the </w:t>
      </w:r>
      <w:r w:rsidRPr="004D3B0C">
        <w:rPr>
          <w:rFonts w:cs="Times New Roman"/>
          <w:i/>
          <w:sz w:val="28"/>
          <w:szCs w:val="28"/>
        </w:rPr>
        <w:t>T</w:t>
      </w:r>
      <w:r w:rsidRPr="004D3B0C">
        <w:rPr>
          <w:rFonts w:cs="Times New Roman"/>
          <w:sz w:val="28"/>
          <w:szCs w:val="28"/>
        </w:rPr>
        <w:t xml:space="preserve"> scores were applied to the raw total scores of the ABI group. A </w:t>
      </w:r>
      <w:r w:rsidRPr="004D3B0C">
        <w:rPr>
          <w:rFonts w:cs="Times New Roman"/>
          <w:i/>
          <w:sz w:val="28"/>
          <w:szCs w:val="28"/>
        </w:rPr>
        <w:t>T</w:t>
      </w:r>
      <w:r w:rsidRPr="004D3B0C">
        <w:rPr>
          <w:rFonts w:cs="Times New Roman"/>
          <w:sz w:val="28"/>
          <w:szCs w:val="28"/>
        </w:rPr>
        <w:t xml:space="preserve"> score of 80 or higher was adopted to indicate excessive variable response inconsistency</w:t>
      </w:r>
      <w:r w:rsidR="00407CE8" w:rsidRPr="004D3B0C">
        <w:rPr>
          <w:rFonts w:cs="Times New Roman"/>
          <w:sz w:val="28"/>
          <w:szCs w:val="28"/>
        </w:rPr>
        <w:t>,</w:t>
      </w:r>
      <w:r w:rsidR="00D11FFC" w:rsidRPr="004D3B0C">
        <w:rPr>
          <w:rFonts w:cs="Times New Roman"/>
          <w:sz w:val="28"/>
          <w:szCs w:val="28"/>
        </w:rPr>
        <w:t xml:space="preserve"> in line with comparable measures (e</w:t>
      </w:r>
      <w:r w:rsidR="00407CE8" w:rsidRPr="004D3B0C">
        <w:rPr>
          <w:rFonts w:cs="Times New Roman"/>
          <w:sz w:val="28"/>
          <w:szCs w:val="28"/>
        </w:rPr>
        <w:t>.</w:t>
      </w:r>
      <w:r w:rsidR="00D11FFC" w:rsidRPr="004D3B0C">
        <w:rPr>
          <w:rFonts w:cs="Times New Roman"/>
          <w:sz w:val="28"/>
          <w:szCs w:val="28"/>
        </w:rPr>
        <w:t>g.</w:t>
      </w:r>
      <w:r w:rsidR="00407CE8" w:rsidRPr="004D3B0C">
        <w:rPr>
          <w:rFonts w:cs="Times New Roman"/>
          <w:sz w:val="28"/>
          <w:szCs w:val="28"/>
        </w:rPr>
        <w:t>,</w:t>
      </w:r>
      <w:r w:rsidR="00D11FFC" w:rsidRPr="004D3B0C">
        <w:rPr>
          <w:rFonts w:cs="Times New Roman"/>
          <w:sz w:val="28"/>
          <w:szCs w:val="28"/>
        </w:rPr>
        <w:t xml:space="preserve"> MMPI-2-RF VRIN; </w:t>
      </w:r>
      <w:bookmarkStart w:id="5" w:name="_Hlk509488701"/>
      <w:r w:rsidR="00D11FFC" w:rsidRPr="004D3B0C">
        <w:rPr>
          <w:rFonts w:cs="Times New Roman"/>
          <w:sz w:val="28"/>
          <w:szCs w:val="28"/>
        </w:rPr>
        <w:t xml:space="preserve">Ben-Porath &amp; Tellegen, 2008). </w:t>
      </w:r>
    </w:p>
    <w:p w:rsidR="00581EF4" w:rsidRPr="004D3B0C" w:rsidRDefault="00581EF4" w:rsidP="00581EF4">
      <w:pPr>
        <w:spacing w:after="0" w:line="480" w:lineRule="auto"/>
        <w:ind w:firstLine="720"/>
        <w:rPr>
          <w:rFonts w:cs="Times New Roman"/>
          <w:sz w:val="28"/>
          <w:szCs w:val="28"/>
        </w:rPr>
      </w:pPr>
      <w:r w:rsidRPr="004D3B0C">
        <w:rPr>
          <w:rFonts w:cs="Times New Roman"/>
          <w:sz w:val="28"/>
          <w:szCs w:val="28"/>
        </w:rPr>
        <w:t xml:space="preserve">To derive norms from the healthy sample, multiple regression analyses were conducted. </w:t>
      </w:r>
      <w:bookmarkStart w:id="6" w:name="_Hlk509488884"/>
      <w:bookmarkEnd w:id="5"/>
      <w:r w:rsidRPr="004D3B0C">
        <w:rPr>
          <w:rFonts w:cs="Times New Roman"/>
          <w:sz w:val="28"/>
          <w:szCs w:val="28"/>
        </w:rPr>
        <w:t xml:space="preserve">Scores on the PPQ scales were the dependent variables while age, gender, and educational level were included as independent variables. </w:t>
      </w:r>
      <w:bookmarkEnd w:id="6"/>
      <w:r w:rsidRPr="004D3B0C">
        <w:rPr>
          <w:rFonts w:cs="Times New Roman"/>
          <w:sz w:val="28"/>
          <w:szCs w:val="28"/>
        </w:rPr>
        <w:t xml:space="preserve">Because scores on all three Clinical scales (Cognitive, Emotional, Physical) had positively skewed distributions, scores were transformed by taking the square root before entering into linear regression analyses. The distribution of the Validity scale (Cognitive, Emotional, Physical) scores were extremely skewed, restricted to a small part of the possible range of values (80% of Community </w:t>
      </w:r>
      <w:r w:rsidRPr="004D3B0C">
        <w:rPr>
          <w:rFonts w:cs="Times New Roman"/>
          <w:sz w:val="28"/>
          <w:szCs w:val="28"/>
        </w:rPr>
        <w:lastRenderedPageBreak/>
        <w:t xml:space="preserve">participants scored 0, 1, or 2 on each scale). Consequently, the risk of violating the normality of residuals assumption was high using linear regression (Fox, 1997). As such, scores were dichotomised according to a ‘likely non-credible’ classification (based on a cut-off score that yielded approximately 90% specificity) and analysed using binary logistic regression. In all models, dummy coding was used for categorical predictors: gender was coded with female = 1 and male = 0; educational level (Low = none; Medium = GSCEs, A Levels, or Other; US equivalent grade 10-12; High = Diploma or Degree) was coded with two dummies (Low and High) and Medium as the reference category. Linear and quadratic terms were included for the quantitative predictors of age to examine linear and curvilinear age-trajectories (in years minus the mean of 40.72, to prevent collinearity between the linear and quadratic term). In the absence of hypotheses about interaction between demographics variables, no interactions were included. Each </w:t>
      </w:r>
      <w:r w:rsidRPr="004D3B0C">
        <w:rPr>
          <w:rFonts w:cs="Times New Roman"/>
          <w:sz w:val="28"/>
          <w:szCs w:val="28"/>
          <w:lang w:val="en-US"/>
        </w:rPr>
        <w:t xml:space="preserve">model was reduced in a stepwise way by eliminating the least significant predictor if its two-tailed </w:t>
      </w:r>
      <w:r w:rsidRPr="004D3B0C">
        <w:rPr>
          <w:rFonts w:cs="Times New Roman"/>
          <w:i/>
          <w:sz w:val="28"/>
          <w:szCs w:val="28"/>
          <w:lang w:val="en-US"/>
        </w:rPr>
        <w:t>p</w:t>
      </w:r>
      <w:r w:rsidRPr="004D3B0C">
        <w:rPr>
          <w:rFonts w:cs="Times New Roman"/>
          <w:sz w:val="28"/>
          <w:szCs w:val="28"/>
          <w:lang w:val="en-US"/>
        </w:rPr>
        <w:t xml:space="preserve"> value was above .05. The dummy variables Education–Low and Education-High were always both included if either was significant, while a predictor was not removed from the model if it was included in a higher order term (e.g., Age and Age</w:t>
      </w:r>
      <w:r w:rsidRPr="004D3B0C">
        <w:rPr>
          <w:rFonts w:cs="Times New Roman"/>
          <w:sz w:val="28"/>
          <w:szCs w:val="28"/>
          <w:vertAlign w:val="superscript"/>
          <w:lang w:val="en-US"/>
        </w:rPr>
        <w:t>2</w:t>
      </w:r>
      <w:r w:rsidRPr="004D3B0C">
        <w:rPr>
          <w:rFonts w:cs="Times New Roman"/>
          <w:sz w:val="28"/>
          <w:szCs w:val="28"/>
          <w:lang w:val="en-US"/>
        </w:rPr>
        <w:t>).</w:t>
      </w:r>
      <w:r w:rsidRPr="004D3B0C">
        <w:rPr>
          <w:rFonts w:cs="Times New Roman"/>
          <w:sz w:val="28"/>
          <w:szCs w:val="28"/>
        </w:rPr>
        <w:t xml:space="preserve"> A number of model checks were carried out (Parmenter, Testa, Schretlen, Weinstock-Guttman &amp; Benedict, 2010; Roelofs et al., 2011; van der Elst, Van Boxtel , Van Breukelen &amp; Jolles, 2006). For regression models of Clinical scales, </w:t>
      </w:r>
      <w:r w:rsidRPr="004D3B0C">
        <w:rPr>
          <w:rFonts w:cs="Times New Roman"/>
          <w:sz w:val="28"/>
          <w:szCs w:val="28"/>
        </w:rPr>
        <w:lastRenderedPageBreak/>
        <w:t>homoscedasticity was evaluated by grouping participants into quartiles of the predicted scores and applying the Levene test to the residuals. Kolmogorov–Smirnov tests were administered on the residual values to establish that they approximately followed a normal distribution. The occurrence of multicollinearity was checked by calculating the Variance Inflation Factors (VIFs) in regression models of Clinical scales (Belsley, Kuh, &amp; Welsch, 1980) and standard errors for beta coefficients in regression models of Validity scales. Calculation of Cook’s distances was performed to identify possible influential cases in both model types (Cook &amp; Weisberg, 1982). Consequently, a regression model was developed for each Clinical index through which it was possible to compute demographically-predicted scores. The raw residual or prediction error was calculated, which was the difference between each participant’s observed and predicted scale score. Next, participants’ standardised residuals were computed by dividing raw residuals by the standard deviation of the control group’s raw residuals.  Finally, the standardised residuals (</w:t>
      </w:r>
      <w:r w:rsidRPr="004D3B0C">
        <w:rPr>
          <w:rFonts w:cs="Times New Roman"/>
          <w:i/>
          <w:sz w:val="28"/>
          <w:szCs w:val="28"/>
        </w:rPr>
        <w:t>z</w:t>
      </w:r>
      <w:r w:rsidRPr="004D3B0C">
        <w:rPr>
          <w:rFonts w:cs="Times New Roman"/>
          <w:sz w:val="28"/>
          <w:szCs w:val="28"/>
        </w:rPr>
        <w:t xml:space="preserve"> scores) were transformed into </w:t>
      </w:r>
      <w:r w:rsidRPr="004D3B0C">
        <w:rPr>
          <w:rFonts w:cs="Times New Roman"/>
          <w:i/>
          <w:sz w:val="28"/>
          <w:szCs w:val="28"/>
        </w:rPr>
        <w:t>T</w:t>
      </w:r>
      <w:r w:rsidRPr="004D3B0C">
        <w:rPr>
          <w:rFonts w:cs="Times New Roman"/>
          <w:sz w:val="28"/>
          <w:szCs w:val="28"/>
        </w:rPr>
        <w:t xml:space="preserve"> scores so that each test had a mean of 50 and an </w:t>
      </w:r>
      <w:r w:rsidRPr="004D3B0C">
        <w:rPr>
          <w:rFonts w:cs="Times New Roman"/>
          <w:i/>
          <w:sz w:val="28"/>
          <w:szCs w:val="28"/>
        </w:rPr>
        <w:t>SD</w:t>
      </w:r>
      <w:r w:rsidRPr="004D3B0C">
        <w:rPr>
          <w:rFonts w:cs="Times New Roman"/>
          <w:sz w:val="28"/>
          <w:szCs w:val="28"/>
        </w:rPr>
        <w:t xml:space="preserve"> of 10. For the Validity scales, the final logistic models were used to determine independent variables that affected scores and produce normative cumulative frequency tables for each relevant subgroup.  </w:t>
      </w:r>
    </w:p>
    <w:p w:rsidR="00581EF4" w:rsidRPr="004D3B0C" w:rsidRDefault="00581EF4" w:rsidP="00581EF4">
      <w:pPr>
        <w:spacing w:after="0" w:line="480" w:lineRule="auto"/>
        <w:ind w:firstLine="720"/>
        <w:rPr>
          <w:rFonts w:eastAsia="Times New Roman" w:cs="Times New Roman"/>
          <w:sz w:val="28"/>
          <w:szCs w:val="28"/>
          <w:lang w:eastAsia="en-GB"/>
        </w:rPr>
      </w:pPr>
      <w:r w:rsidRPr="004D3B0C">
        <w:rPr>
          <w:rFonts w:cs="Times New Roman"/>
          <w:sz w:val="28"/>
          <w:szCs w:val="28"/>
        </w:rPr>
        <w:lastRenderedPageBreak/>
        <w:t xml:space="preserve">The multiple regression equations derived from healthy controls were subsequently applied to compute demographically predicted Clinical scale scores for the ABI participants. These were subtracted from observed scores and standardised then converted to </w:t>
      </w:r>
      <w:r w:rsidRPr="004D3B0C">
        <w:rPr>
          <w:rFonts w:cs="Times New Roman"/>
          <w:i/>
          <w:sz w:val="28"/>
          <w:szCs w:val="28"/>
        </w:rPr>
        <w:t>T</w:t>
      </w:r>
      <w:r w:rsidRPr="004D3B0C">
        <w:rPr>
          <w:rFonts w:cs="Times New Roman"/>
          <w:sz w:val="28"/>
          <w:szCs w:val="28"/>
        </w:rPr>
        <w:t xml:space="preserve"> scores in the manner described above.  Independent-group </w:t>
      </w:r>
      <w:r w:rsidRPr="004D3B0C">
        <w:rPr>
          <w:rFonts w:cs="Times New Roman"/>
          <w:i/>
          <w:sz w:val="28"/>
          <w:szCs w:val="28"/>
        </w:rPr>
        <w:t>t</w:t>
      </w:r>
      <w:r w:rsidRPr="004D3B0C">
        <w:rPr>
          <w:rFonts w:cs="Times New Roman"/>
          <w:sz w:val="28"/>
          <w:szCs w:val="28"/>
        </w:rPr>
        <w:t xml:space="preserve">-tests were administered to compare scores with the Community group </w:t>
      </w:r>
      <w:r w:rsidR="00393968" w:rsidRPr="004D3B0C">
        <w:rPr>
          <w:rFonts w:cs="Times New Roman"/>
          <w:sz w:val="28"/>
          <w:szCs w:val="28"/>
        </w:rPr>
        <w:t xml:space="preserve">(homogeneity of variance was examined using Levene’s tests) </w:t>
      </w:r>
      <w:r w:rsidRPr="004D3B0C">
        <w:rPr>
          <w:rFonts w:cs="Times New Roman"/>
          <w:sz w:val="28"/>
          <w:szCs w:val="28"/>
        </w:rPr>
        <w:t xml:space="preserve">and chi-square tests used to compare proportions scoring abnormally high (i.e., </w:t>
      </w:r>
      <w:r w:rsidRPr="004D3B0C">
        <w:rPr>
          <w:rFonts w:cs="Times New Roman"/>
          <w:i/>
          <w:sz w:val="28"/>
          <w:szCs w:val="28"/>
        </w:rPr>
        <w:t>T</w:t>
      </w:r>
      <w:r w:rsidRPr="004D3B0C">
        <w:rPr>
          <w:rFonts w:cs="Times New Roman"/>
          <w:sz w:val="28"/>
          <w:szCs w:val="28"/>
        </w:rPr>
        <w:t xml:space="preserve"> score </w:t>
      </w:r>
      <w:r w:rsidRPr="004D3B0C">
        <w:rPr>
          <w:rFonts w:cs="Times New Roman"/>
          <w:iCs/>
          <w:sz w:val="28"/>
          <w:szCs w:val="28"/>
        </w:rPr>
        <w:t>≥ 65)</w:t>
      </w:r>
      <w:r w:rsidRPr="004D3B0C">
        <w:rPr>
          <w:rFonts w:cs="Times New Roman"/>
          <w:sz w:val="28"/>
          <w:szCs w:val="28"/>
        </w:rPr>
        <w:t>. Cumulative frequency tables for each Validity scale were calculated for ABI participants and the proportion classified as ‘likely non-credible’ compared with the Community group controlling for independent variables that affected scores in the latter group.</w:t>
      </w:r>
      <w:r w:rsidRPr="004D3B0C">
        <w:rPr>
          <w:rFonts w:eastAsia="Times New Roman" w:cs="Times New Roman"/>
          <w:sz w:val="28"/>
          <w:szCs w:val="28"/>
          <w:lang w:eastAsia="en-GB"/>
        </w:rPr>
        <w:t xml:space="preserve"> The threshold for statistical significance in group comparisons and regression analyses was </w:t>
      </w:r>
      <w:r w:rsidRPr="004D3B0C">
        <w:rPr>
          <w:rFonts w:eastAsia="Times New Roman" w:cs="Times New Roman"/>
          <w:i/>
          <w:sz w:val="28"/>
          <w:szCs w:val="28"/>
          <w:lang w:eastAsia="en-GB"/>
        </w:rPr>
        <w:t>p</w:t>
      </w:r>
      <w:r w:rsidRPr="004D3B0C">
        <w:rPr>
          <w:rFonts w:eastAsia="Times New Roman" w:cs="Times New Roman"/>
          <w:sz w:val="28"/>
          <w:szCs w:val="28"/>
          <w:lang w:eastAsia="en-GB"/>
        </w:rPr>
        <w:t xml:space="preserve"> &lt; .05. All statistical analyses were completed with the Statistical Package for the Social Sciences, Release 22.0 (SPSS, IBM).</w:t>
      </w:r>
    </w:p>
    <w:p w:rsidR="00581EF4" w:rsidRPr="004D3B0C" w:rsidRDefault="00581EF4" w:rsidP="00581EF4">
      <w:pPr>
        <w:spacing w:after="0" w:line="480" w:lineRule="auto"/>
        <w:ind w:firstLine="720"/>
        <w:rPr>
          <w:rFonts w:eastAsia="Times New Roman" w:cs="Times New Roman"/>
          <w:sz w:val="28"/>
          <w:szCs w:val="28"/>
          <w:lang w:eastAsia="en-GB"/>
        </w:rPr>
      </w:pPr>
    </w:p>
    <w:p w:rsidR="00581EF4" w:rsidRPr="004D3B0C" w:rsidRDefault="00581EF4" w:rsidP="00581EF4">
      <w:pPr>
        <w:spacing w:after="0" w:line="480" w:lineRule="auto"/>
        <w:jc w:val="center"/>
        <w:rPr>
          <w:rFonts w:cs="Times New Roman"/>
          <w:b/>
          <w:sz w:val="28"/>
          <w:szCs w:val="28"/>
        </w:rPr>
      </w:pPr>
      <w:r w:rsidRPr="004D3B0C">
        <w:rPr>
          <w:rFonts w:cs="Times New Roman"/>
          <w:b/>
          <w:sz w:val="28"/>
          <w:szCs w:val="28"/>
        </w:rPr>
        <w:t>Results</w:t>
      </w:r>
    </w:p>
    <w:p w:rsidR="00581EF4" w:rsidRPr="004D3B0C" w:rsidRDefault="00581EF4" w:rsidP="00581EF4">
      <w:pPr>
        <w:spacing w:after="0" w:line="480" w:lineRule="auto"/>
        <w:rPr>
          <w:rFonts w:cs="Times New Roman"/>
          <w:i/>
          <w:sz w:val="28"/>
          <w:szCs w:val="28"/>
        </w:rPr>
      </w:pPr>
      <w:r w:rsidRPr="004D3B0C">
        <w:rPr>
          <w:rFonts w:cs="Times New Roman"/>
          <w:i/>
          <w:sz w:val="28"/>
          <w:szCs w:val="28"/>
        </w:rPr>
        <w:t>Summary Data for Clinical and Validity Scales of the PPQ</w:t>
      </w:r>
    </w:p>
    <w:p w:rsidR="00581EF4" w:rsidRPr="004D3B0C" w:rsidRDefault="00581EF4" w:rsidP="00581EF4">
      <w:pPr>
        <w:spacing w:after="0" w:line="480" w:lineRule="auto"/>
        <w:rPr>
          <w:rFonts w:cs="Times New Roman"/>
          <w:sz w:val="28"/>
          <w:szCs w:val="28"/>
        </w:rPr>
      </w:pPr>
      <w:r w:rsidRPr="004D3B0C">
        <w:rPr>
          <w:rFonts w:cs="Times New Roman"/>
          <w:sz w:val="28"/>
          <w:szCs w:val="28"/>
        </w:rPr>
        <w:tab/>
        <w:t xml:space="preserve">The mean Total Clinical index (the sum of the 4 subscales in each of the three domains), Clinical scale and Validity scale scores for the Community sample are reported in Table </w:t>
      </w:r>
      <w:r w:rsidR="00BD5A93" w:rsidRPr="004D3B0C">
        <w:rPr>
          <w:rFonts w:cs="Times New Roman"/>
          <w:sz w:val="28"/>
          <w:szCs w:val="28"/>
        </w:rPr>
        <w:t>2</w:t>
      </w:r>
      <w:r w:rsidRPr="004D3B0C">
        <w:rPr>
          <w:rFonts w:cs="Times New Roman"/>
          <w:sz w:val="28"/>
          <w:szCs w:val="28"/>
        </w:rPr>
        <w:t xml:space="preserve">. Generally, scores on subscales were low, reflecting few reported problems within the sample. Clinical scale totals </w:t>
      </w:r>
      <w:r w:rsidRPr="004D3B0C">
        <w:rPr>
          <w:rFonts w:cs="Times New Roman"/>
          <w:sz w:val="28"/>
          <w:szCs w:val="28"/>
        </w:rPr>
        <w:lastRenderedPageBreak/>
        <w:t>tended to be higher for cognitive and emotional domains compared with physical problems (</w:t>
      </w:r>
      <w:r w:rsidRPr="004D3B0C">
        <w:rPr>
          <w:rFonts w:cs="Times New Roman"/>
          <w:i/>
          <w:sz w:val="28"/>
          <w:szCs w:val="28"/>
        </w:rPr>
        <w:t>p</w:t>
      </w:r>
      <w:r w:rsidRPr="004D3B0C">
        <w:rPr>
          <w:rFonts w:cs="Times New Roman"/>
          <w:sz w:val="28"/>
          <w:szCs w:val="28"/>
        </w:rPr>
        <w:t xml:space="preserve"> &lt;.001).  Overall, the Clinical scales showed strong internal consistency of comprising items (α &gt; .90). The subtests also evidenced adequate internal reliability (range .67-.83, median = .78). Consistent with the previous simulation study using the PPQ (van den Broek et al., 2012), scores on Validity scales were very low, confined predominantly to 0, 1 or 2 on each scale.  The Validity scales also showed adequate internal consistency (α &gt; .70). Notably, response consistency was high; the mean score on the index (0-18) was 2.44 (SD = 1.94) with 75% of scores between 0 and 4. Only one control participant (i</w:t>
      </w:r>
      <w:r w:rsidR="000D3FE6" w:rsidRPr="004D3B0C">
        <w:rPr>
          <w:rFonts w:cs="Times New Roman"/>
          <w:sz w:val="28"/>
          <w:szCs w:val="28"/>
        </w:rPr>
        <w:t>.</w:t>
      </w:r>
      <w:r w:rsidRPr="004D3B0C">
        <w:rPr>
          <w:rFonts w:cs="Times New Roman"/>
          <w:sz w:val="28"/>
          <w:szCs w:val="28"/>
        </w:rPr>
        <w:t>e.</w:t>
      </w:r>
      <w:r w:rsidR="000D3FE6" w:rsidRPr="004D3B0C">
        <w:rPr>
          <w:rFonts w:cs="Times New Roman"/>
          <w:sz w:val="28"/>
          <w:szCs w:val="28"/>
        </w:rPr>
        <w:t>,</w:t>
      </w:r>
      <w:r w:rsidRPr="004D3B0C">
        <w:rPr>
          <w:rFonts w:cs="Times New Roman"/>
          <w:sz w:val="28"/>
          <w:szCs w:val="28"/>
        </w:rPr>
        <w:t xml:space="preserve"> 0.25% of the sample) had an inconsistency </w:t>
      </w:r>
      <w:r w:rsidRPr="004D3B0C">
        <w:rPr>
          <w:rFonts w:cs="Times New Roman"/>
          <w:i/>
          <w:sz w:val="28"/>
          <w:szCs w:val="28"/>
        </w:rPr>
        <w:t>T</w:t>
      </w:r>
      <w:r w:rsidRPr="004D3B0C">
        <w:rPr>
          <w:rFonts w:cs="Times New Roman"/>
          <w:sz w:val="28"/>
          <w:szCs w:val="28"/>
        </w:rPr>
        <w:t xml:space="preserve"> score of more than 80.</w:t>
      </w:r>
    </w:p>
    <w:p w:rsidR="00581EF4" w:rsidRPr="004D3B0C" w:rsidRDefault="00581EF4" w:rsidP="00581EF4">
      <w:pPr>
        <w:spacing w:after="0" w:line="480" w:lineRule="auto"/>
        <w:ind w:firstLine="720"/>
        <w:rPr>
          <w:rFonts w:cs="Times New Roman"/>
          <w:sz w:val="28"/>
          <w:szCs w:val="28"/>
        </w:rPr>
      </w:pPr>
      <w:r w:rsidRPr="004D3B0C">
        <w:rPr>
          <w:rFonts w:cs="Times New Roman"/>
          <w:sz w:val="28"/>
          <w:szCs w:val="28"/>
        </w:rPr>
        <w:t xml:space="preserve">Previous research on symptom validity and malingering has established a convention that the specificity of the measure should be approximately </w:t>
      </w:r>
      <w:r w:rsidRPr="004D3B0C">
        <w:rPr>
          <w:rFonts w:cs="Times New Roman"/>
          <w:sz w:val="28"/>
          <w:szCs w:val="28"/>
          <w:u w:val="single"/>
        </w:rPr>
        <w:t>&gt;</w:t>
      </w:r>
      <w:r w:rsidRPr="004D3B0C">
        <w:rPr>
          <w:rFonts w:cs="Times New Roman"/>
          <w:sz w:val="28"/>
          <w:szCs w:val="28"/>
        </w:rPr>
        <w:t xml:space="preserve"> 90% (Boone, 2007; Larrabee, 2007; Morgan &amp; Sweet, 2009). The cum</w:t>
      </w:r>
      <w:r w:rsidR="00BD5A93" w:rsidRPr="004D3B0C">
        <w:rPr>
          <w:rFonts w:cs="Times New Roman"/>
          <w:sz w:val="28"/>
          <w:szCs w:val="28"/>
        </w:rPr>
        <w:t>ulative frequency table (Table 3</w:t>
      </w:r>
      <w:r w:rsidRPr="004D3B0C">
        <w:rPr>
          <w:rFonts w:cs="Times New Roman"/>
          <w:sz w:val="28"/>
          <w:szCs w:val="28"/>
        </w:rPr>
        <w:t xml:space="preserve">) indicates that a cut-off score of </w:t>
      </w:r>
      <w:r w:rsidRPr="004D3B0C">
        <w:rPr>
          <w:rFonts w:cs="Times New Roman"/>
          <w:sz w:val="28"/>
          <w:szCs w:val="28"/>
          <w:u w:val="single"/>
        </w:rPr>
        <w:t>&gt;</w:t>
      </w:r>
      <w:r w:rsidRPr="004D3B0C">
        <w:rPr>
          <w:rFonts w:cs="Times New Roman"/>
          <w:sz w:val="28"/>
          <w:szCs w:val="28"/>
        </w:rPr>
        <w:t xml:space="preserve"> 4 yields a satisfactory level of specificity and </w:t>
      </w:r>
      <w:r w:rsidRPr="004D3B0C">
        <w:rPr>
          <w:rFonts w:cs="Times New Roman"/>
          <w:sz w:val="28"/>
          <w:szCs w:val="28"/>
          <w:u w:val="single"/>
        </w:rPr>
        <w:t>&gt;</w:t>
      </w:r>
      <w:r w:rsidRPr="004D3B0C">
        <w:rPr>
          <w:rFonts w:cs="Times New Roman"/>
          <w:sz w:val="28"/>
          <w:szCs w:val="28"/>
        </w:rPr>
        <w:t xml:space="preserve"> 5 provides an excellent level and so the latter was adopted as a cut-off for the classification of likely non-credible.</w:t>
      </w:r>
    </w:p>
    <w:p w:rsidR="00581EF4" w:rsidRPr="004D3B0C" w:rsidRDefault="00581EF4" w:rsidP="00581EF4">
      <w:pPr>
        <w:spacing w:after="0" w:line="480" w:lineRule="auto"/>
        <w:rPr>
          <w:rFonts w:cs="Times New Roman"/>
          <w:i/>
          <w:sz w:val="28"/>
          <w:szCs w:val="28"/>
        </w:rPr>
      </w:pPr>
      <w:r w:rsidRPr="004D3B0C">
        <w:rPr>
          <w:rFonts w:cs="Times New Roman"/>
          <w:i/>
          <w:sz w:val="28"/>
          <w:szCs w:val="28"/>
        </w:rPr>
        <w:t>Predictors of PPQ scores and Normative Data</w:t>
      </w:r>
    </w:p>
    <w:p w:rsidR="00027230" w:rsidRPr="004D3B0C" w:rsidRDefault="00581EF4" w:rsidP="00027230">
      <w:pPr>
        <w:spacing w:after="0" w:line="480" w:lineRule="auto"/>
        <w:ind w:firstLine="720"/>
        <w:rPr>
          <w:rFonts w:cs="Times New Roman"/>
          <w:sz w:val="28"/>
          <w:szCs w:val="28"/>
        </w:rPr>
      </w:pPr>
      <w:r w:rsidRPr="004D3B0C">
        <w:rPr>
          <w:rFonts w:cs="Times New Roman"/>
          <w:sz w:val="28"/>
          <w:szCs w:val="28"/>
        </w:rPr>
        <w:t>The linear regression models for the Total Cognitive, Emotional, and Physical Clinical sca</w:t>
      </w:r>
      <w:r w:rsidR="00BD5A93" w:rsidRPr="004D3B0C">
        <w:rPr>
          <w:rFonts w:cs="Times New Roman"/>
          <w:sz w:val="28"/>
          <w:szCs w:val="28"/>
        </w:rPr>
        <w:t>les are presented in Table 4</w:t>
      </w:r>
      <w:r w:rsidRPr="004D3B0C">
        <w:rPr>
          <w:rFonts w:cs="Times New Roman"/>
          <w:sz w:val="28"/>
          <w:szCs w:val="28"/>
        </w:rPr>
        <w:t>. Skewness and kurtosis values (&gt; -.2 and &lt; .2) indicated an approximately normal distribution</w:t>
      </w:r>
      <w:r w:rsidRPr="004D3B0C">
        <w:rPr>
          <w:rFonts w:ascii="Times-Roman" w:hAnsi="Times-Roman" w:cs="Times-Roman"/>
          <w:sz w:val="16"/>
          <w:szCs w:val="16"/>
        </w:rPr>
        <w:t xml:space="preserve"> </w:t>
      </w:r>
      <w:r w:rsidRPr="004D3B0C">
        <w:rPr>
          <w:rFonts w:cs="Times New Roman"/>
          <w:sz w:val="28"/>
          <w:szCs w:val="28"/>
        </w:rPr>
        <w:t xml:space="preserve">of the residuals </w:t>
      </w:r>
      <w:r w:rsidRPr="004D3B0C">
        <w:rPr>
          <w:rFonts w:cs="Times New Roman"/>
          <w:sz w:val="28"/>
          <w:szCs w:val="28"/>
        </w:rPr>
        <w:lastRenderedPageBreak/>
        <w:t>of the normative sample; the normality assumption was specifically tested with Kolmogorov-Smirnov tests and not rejected (</w:t>
      </w:r>
      <w:r w:rsidRPr="004D3B0C">
        <w:rPr>
          <w:rFonts w:cs="Times New Roman"/>
          <w:i/>
          <w:sz w:val="28"/>
          <w:szCs w:val="28"/>
        </w:rPr>
        <w:t>p</w:t>
      </w:r>
      <w:r w:rsidRPr="004D3B0C">
        <w:rPr>
          <w:rFonts w:cs="Times New Roman"/>
          <w:sz w:val="28"/>
          <w:szCs w:val="28"/>
        </w:rPr>
        <w:t xml:space="preserve"> &gt; .01 for all Clinical scales).  The homoscedasticity assumption was satisfied; Levene tests applied to the residual variance of sample quartiles yielded nonsignificant differences for each Clinical scale (</w:t>
      </w:r>
      <w:r w:rsidRPr="004D3B0C">
        <w:rPr>
          <w:rFonts w:cs="Times New Roman"/>
          <w:i/>
          <w:sz w:val="28"/>
          <w:szCs w:val="28"/>
        </w:rPr>
        <w:t>p</w:t>
      </w:r>
      <w:r w:rsidRPr="004D3B0C">
        <w:rPr>
          <w:rFonts w:cs="Times New Roman"/>
          <w:sz w:val="28"/>
          <w:szCs w:val="28"/>
        </w:rPr>
        <w:t xml:space="preserve"> &gt; .458). Therefore, the overall residual standard deviation was used to compute participants’ standardised residuals. The maximum VIF for the final models was 1.209 indicating no multicollinearity and there was no serious influence of outliers (maximum Cook’s distance for the final models equalled .057). </w:t>
      </w:r>
    </w:p>
    <w:p w:rsidR="00581EF4" w:rsidRPr="004D3B0C" w:rsidRDefault="00581EF4" w:rsidP="00027230">
      <w:pPr>
        <w:spacing w:after="0" w:line="480" w:lineRule="auto"/>
        <w:ind w:firstLine="720"/>
        <w:rPr>
          <w:rFonts w:cs="Times New Roman"/>
          <w:sz w:val="28"/>
          <w:szCs w:val="28"/>
        </w:rPr>
      </w:pPr>
      <w:r w:rsidRPr="004D3B0C">
        <w:rPr>
          <w:rFonts w:cs="Times New Roman"/>
          <w:sz w:val="28"/>
          <w:szCs w:val="28"/>
        </w:rPr>
        <w:t xml:space="preserve">The models show that female participants evidenced higher scores than males on Cognitive and Emotional scales. In addition to linear age effects on Cognitive and Emotional scales, suggesting younger participants indicated greater difficulties in these domains, there was a marked quadratic effect of age on all scales, reflecting higher scores for the youngest (18-29 years) and oldest (60-69 years) participants. Participants with low levels of education also reported more difficulties across all domains. The raw scores on each of the Total Clinical scales were converted to </w:t>
      </w:r>
      <w:r w:rsidRPr="004D3B0C">
        <w:rPr>
          <w:rFonts w:cs="Times New Roman"/>
          <w:i/>
          <w:sz w:val="28"/>
          <w:szCs w:val="28"/>
        </w:rPr>
        <w:t>T</w:t>
      </w:r>
      <w:r w:rsidRPr="004D3B0C">
        <w:rPr>
          <w:rFonts w:cs="Times New Roman"/>
          <w:sz w:val="28"/>
          <w:szCs w:val="28"/>
        </w:rPr>
        <w:t xml:space="preserve"> scores based on the regression-based norming procedure described earlier. As an example, consider a 38 year old female with a high level of education (Diploma or Degree qualification) who scores 13 on the Total Emotional scale. This yields a </w:t>
      </w:r>
      <w:r w:rsidRPr="004D3B0C">
        <w:rPr>
          <w:rFonts w:cs="Times New Roman"/>
          <w:i/>
          <w:sz w:val="28"/>
          <w:szCs w:val="28"/>
        </w:rPr>
        <w:t>T</w:t>
      </w:r>
      <w:r w:rsidRPr="004D3B0C">
        <w:rPr>
          <w:rFonts w:cs="Times New Roman"/>
          <w:sz w:val="28"/>
          <w:szCs w:val="28"/>
        </w:rPr>
        <w:t xml:space="preserve"> score equivalent of </w:t>
      </w:r>
      <w:r w:rsidRPr="004D3B0C">
        <w:rPr>
          <w:rFonts w:cs="Times New Roman"/>
          <w:sz w:val="28"/>
          <w:szCs w:val="28"/>
        </w:rPr>
        <w:lastRenderedPageBreak/>
        <w:t>51.36</w:t>
      </w:r>
      <w:r w:rsidRPr="004D3B0C">
        <w:rPr>
          <w:rFonts w:cs="Times New Roman"/>
          <w:sz w:val="28"/>
          <w:szCs w:val="28"/>
          <w:vertAlign w:val="superscript"/>
        </w:rPr>
        <w:footnoteReference w:id="1"/>
      </w:r>
      <w:r w:rsidRPr="004D3B0C">
        <w:rPr>
          <w:rFonts w:cs="Times New Roman"/>
          <w:sz w:val="28"/>
          <w:szCs w:val="28"/>
        </w:rPr>
        <w:t xml:space="preserve"> which is very close to the mean accounting for their socio-demographic profile. On the other hand, if a woman of the same age, but with a low level of education, obtained an Emotional scale score of 13, the calculated </w:t>
      </w:r>
      <w:r w:rsidRPr="004D3B0C">
        <w:rPr>
          <w:rFonts w:cs="Times New Roman"/>
          <w:i/>
          <w:sz w:val="28"/>
          <w:szCs w:val="28"/>
        </w:rPr>
        <w:t>T</w:t>
      </w:r>
      <w:r w:rsidRPr="004D3B0C">
        <w:rPr>
          <w:rFonts w:cs="Times New Roman"/>
          <w:sz w:val="28"/>
          <w:szCs w:val="28"/>
        </w:rPr>
        <w:t xml:space="preserve"> score would be 46.19, slightly less than half a standard deviation below the mean, revealing the influence of low education level in the observed model.</w:t>
      </w:r>
    </w:p>
    <w:p w:rsidR="00151A92" w:rsidRPr="004D3B0C" w:rsidRDefault="008B1015" w:rsidP="00151A92">
      <w:pPr>
        <w:spacing w:after="0" w:line="480" w:lineRule="auto"/>
        <w:ind w:firstLine="720"/>
        <w:rPr>
          <w:rFonts w:cs="Times New Roman"/>
          <w:sz w:val="28"/>
          <w:szCs w:val="28"/>
        </w:rPr>
      </w:pPr>
      <w:r w:rsidRPr="004D3B0C">
        <w:rPr>
          <w:rFonts w:cs="Times New Roman"/>
          <w:sz w:val="28"/>
          <w:szCs w:val="28"/>
        </w:rPr>
        <w:t>Although methodologically advantageous, t</w:t>
      </w:r>
      <w:r w:rsidR="00151A92" w:rsidRPr="004D3B0C">
        <w:rPr>
          <w:rFonts w:cs="Times New Roman"/>
          <w:sz w:val="28"/>
          <w:szCs w:val="28"/>
        </w:rPr>
        <w:t xml:space="preserve">he </w:t>
      </w:r>
      <w:r w:rsidRPr="004D3B0C">
        <w:rPr>
          <w:rFonts w:cs="Times New Roman"/>
          <w:sz w:val="28"/>
          <w:szCs w:val="28"/>
        </w:rPr>
        <w:t>approach</w:t>
      </w:r>
      <w:r w:rsidR="00151A92" w:rsidRPr="004D3B0C">
        <w:rPr>
          <w:rFonts w:cs="Times New Roman"/>
          <w:sz w:val="28"/>
          <w:szCs w:val="28"/>
        </w:rPr>
        <w:t xml:space="preserve"> adopted here </w:t>
      </w:r>
      <w:r w:rsidRPr="004D3B0C">
        <w:rPr>
          <w:rFonts w:cs="Times New Roman"/>
          <w:sz w:val="28"/>
          <w:szCs w:val="28"/>
        </w:rPr>
        <w:t xml:space="preserve">to derive normative data </w:t>
      </w:r>
      <w:r w:rsidR="00151A92" w:rsidRPr="004D3B0C">
        <w:rPr>
          <w:rFonts w:cs="Times New Roman"/>
          <w:sz w:val="28"/>
          <w:szCs w:val="28"/>
        </w:rPr>
        <w:t xml:space="preserve">- based on </w:t>
      </w:r>
      <w:r w:rsidRPr="004D3B0C">
        <w:rPr>
          <w:rFonts w:cs="Times New Roman"/>
          <w:sz w:val="28"/>
          <w:szCs w:val="28"/>
        </w:rPr>
        <w:t xml:space="preserve">a multi-step procedure using regression equations </w:t>
      </w:r>
      <w:r w:rsidR="00151A92" w:rsidRPr="004D3B0C">
        <w:rPr>
          <w:rFonts w:cs="Times New Roman"/>
          <w:sz w:val="28"/>
          <w:szCs w:val="28"/>
        </w:rPr>
        <w:t xml:space="preserve">to calculate </w:t>
      </w:r>
      <w:r w:rsidR="00151A92" w:rsidRPr="004D3B0C">
        <w:rPr>
          <w:rFonts w:cs="Times New Roman"/>
          <w:i/>
          <w:sz w:val="28"/>
          <w:szCs w:val="28"/>
        </w:rPr>
        <w:t>T</w:t>
      </w:r>
      <w:r w:rsidR="00DB3498" w:rsidRPr="004D3B0C">
        <w:rPr>
          <w:rFonts w:cs="Times New Roman"/>
          <w:sz w:val="28"/>
          <w:szCs w:val="28"/>
        </w:rPr>
        <w:t xml:space="preserve"> </w:t>
      </w:r>
      <w:r w:rsidR="00151A92" w:rsidRPr="004D3B0C">
        <w:rPr>
          <w:rFonts w:cs="Times New Roman"/>
          <w:sz w:val="28"/>
          <w:szCs w:val="28"/>
        </w:rPr>
        <w:t xml:space="preserve">scores </w:t>
      </w:r>
      <w:r w:rsidRPr="004D3B0C">
        <w:rPr>
          <w:rFonts w:cs="Times New Roman"/>
          <w:sz w:val="28"/>
          <w:szCs w:val="28"/>
        </w:rPr>
        <w:t xml:space="preserve">- </w:t>
      </w:r>
      <w:r w:rsidR="00151A92" w:rsidRPr="004D3B0C">
        <w:rPr>
          <w:rFonts w:cs="Times New Roman"/>
          <w:sz w:val="28"/>
          <w:szCs w:val="28"/>
        </w:rPr>
        <w:t>is not always user-friendly for typical users of an instrument (Van Breukelen &amp; Vlaeyen, 200</w:t>
      </w:r>
      <w:r w:rsidR="00067360" w:rsidRPr="004D3B0C">
        <w:rPr>
          <w:rFonts w:cs="Times New Roman"/>
          <w:sz w:val="28"/>
          <w:szCs w:val="28"/>
        </w:rPr>
        <w:t>5</w:t>
      </w:r>
      <w:r w:rsidR="00151A92" w:rsidRPr="004D3B0C">
        <w:rPr>
          <w:rFonts w:cs="Times New Roman"/>
          <w:sz w:val="28"/>
          <w:szCs w:val="28"/>
        </w:rPr>
        <w:t>)</w:t>
      </w:r>
      <w:r w:rsidRPr="004D3B0C">
        <w:rPr>
          <w:rFonts w:cs="Times New Roman"/>
          <w:sz w:val="28"/>
          <w:szCs w:val="28"/>
        </w:rPr>
        <w:t xml:space="preserve">. The </w:t>
      </w:r>
      <w:r w:rsidR="00151A92" w:rsidRPr="004D3B0C">
        <w:rPr>
          <w:rFonts w:cs="Times New Roman"/>
          <w:sz w:val="28"/>
          <w:szCs w:val="28"/>
        </w:rPr>
        <w:t xml:space="preserve">provision of normative data tables can increase both accessibility and utility of derived norms (Van der Elst et al., 2006). Supplementary Tables </w:t>
      </w:r>
      <w:r w:rsidR="007B36FC" w:rsidRPr="004D3B0C">
        <w:rPr>
          <w:rFonts w:cs="Times New Roman"/>
          <w:sz w:val="28"/>
          <w:szCs w:val="28"/>
        </w:rPr>
        <w:t>1</w:t>
      </w:r>
      <w:r w:rsidR="00151A92" w:rsidRPr="004D3B0C">
        <w:rPr>
          <w:rFonts w:cs="Times New Roman"/>
          <w:sz w:val="28"/>
          <w:szCs w:val="28"/>
        </w:rPr>
        <w:t xml:space="preserve">-3 provide normative tables for the Cognitive, Emotional and Physical Clinical scales of the PPQ based on the regression models presented in Table </w:t>
      </w:r>
      <w:r w:rsidR="00BD5A93" w:rsidRPr="004D3B0C">
        <w:rPr>
          <w:rFonts w:cs="Times New Roman"/>
          <w:sz w:val="28"/>
          <w:szCs w:val="28"/>
        </w:rPr>
        <w:t>4</w:t>
      </w:r>
      <w:r w:rsidR="00151A92" w:rsidRPr="004D3B0C">
        <w:rPr>
          <w:rFonts w:cs="Times New Roman"/>
          <w:sz w:val="28"/>
          <w:szCs w:val="28"/>
        </w:rPr>
        <w:t xml:space="preserve">, stratified by the significant sociodemographic predictors. The tables present raw scores that correspond to percentiles 5, 10, 20, 30, 40, 50, 60, 70, 80, 90, and 95 (and associated </w:t>
      </w:r>
      <w:r w:rsidR="00151A92" w:rsidRPr="004D3B0C">
        <w:rPr>
          <w:rFonts w:cs="Times New Roman"/>
          <w:i/>
          <w:sz w:val="28"/>
          <w:szCs w:val="28"/>
        </w:rPr>
        <w:t>T</w:t>
      </w:r>
      <w:r w:rsidR="00DB3498" w:rsidRPr="004D3B0C">
        <w:rPr>
          <w:rFonts w:cs="Times New Roman"/>
          <w:sz w:val="28"/>
          <w:szCs w:val="28"/>
        </w:rPr>
        <w:t xml:space="preserve"> </w:t>
      </w:r>
      <w:r w:rsidR="00151A92" w:rsidRPr="004D3B0C">
        <w:rPr>
          <w:rFonts w:cs="Times New Roman"/>
          <w:sz w:val="28"/>
          <w:szCs w:val="28"/>
        </w:rPr>
        <w:t>scores), with values calculated using the multiple regression equations derived from the heathy control group. Raw scores rounded to the nearest integer, rather than square root transformed scores on which the calculations were based, are presented for ease of use. Where an individual</w:t>
      </w:r>
      <w:r w:rsidR="005A4FC7" w:rsidRPr="004D3B0C">
        <w:rPr>
          <w:rFonts w:cs="Times New Roman"/>
          <w:sz w:val="28"/>
          <w:szCs w:val="28"/>
        </w:rPr>
        <w:t xml:space="preserve">’s age falls between </w:t>
      </w:r>
      <w:r w:rsidR="00151A92" w:rsidRPr="004D3B0C">
        <w:rPr>
          <w:rFonts w:cs="Times New Roman"/>
          <w:sz w:val="28"/>
          <w:szCs w:val="28"/>
        </w:rPr>
        <w:lastRenderedPageBreak/>
        <w:t xml:space="preserve">the stated </w:t>
      </w:r>
      <w:r w:rsidR="005A4FC7" w:rsidRPr="004D3B0C">
        <w:rPr>
          <w:rFonts w:cs="Times New Roman"/>
          <w:sz w:val="28"/>
          <w:szCs w:val="28"/>
        </w:rPr>
        <w:t>values, then</w:t>
      </w:r>
      <w:r w:rsidR="00151A92" w:rsidRPr="004D3B0C">
        <w:rPr>
          <w:rFonts w:cs="Times New Roman"/>
          <w:sz w:val="28"/>
          <w:szCs w:val="28"/>
        </w:rPr>
        <w:t xml:space="preserve"> we recommend the individual’s age should be rounded to the </w:t>
      </w:r>
      <w:r w:rsidR="005A4FC7" w:rsidRPr="004D3B0C">
        <w:rPr>
          <w:rFonts w:cs="Times New Roman"/>
          <w:sz w:val="28"/>
          <w:szCs w:val="28"/>
        </w:rPr>
        <w:t>nearest</w:t>
      </w:r>
      <w:r w:rsidR="00151A92" w:rsidRPr="004D3B0C">
        <w:rPr>
          <w:rFonts w:cs="Times New Roman"/>
          <w:sz w:val="28"/>
          <w:szCs w:val="28"/>
        </w:rPr>
        <w:t xml:space="preserve"> value. Further, in cases where an individual’s score is borderline abnormal (e.g., </w:t>
      </w:r>
      <w:r w:rsidR="00151A92" w:rsidRPr="004D3B0C">
        <w:rPr>
          <w:rFonts w:cs="Times New Roman"/>
          <w:i/>
          <w:sz w:val="28"/>
          <w:szCs w:val="28"/>
        </w:rPr>
        <w:t>T</w:t>
      </w:r>
      <w:r w:rsidR="00151A92" w:rsidRPr="004D3B0C">
        <w:rPr>
          <w:rFonts w:cs="Times New Roman"/>
          <w:sz w:val="28"/>
          <w:szCs w:val="28"/>
        </w:rPr>
        <w:t xml:space="preserve"> score between 62.8 and 66.5), then calculation using the equations derived the regression models (Table </w:t>
      </w:r>
      <w:r w:rsidR="00BD5A93" w:rsidRPr="004D3B0C">
        <w:rPr>
          <w:rFonts w:cs="Times New Roman"/>
          <w:sz w:val="28"/>
          <w:szCs w:val="28"/>
        </w:rPr>
        <w:t>4</w:t>
      </w:r>
      <w:r w:rsidR="00151A92" w:rsidRPr="004D3B0C">
        <w:rPr>
          <w:rFonts w:cs="Times New Roman"/>
          <w:sz w:val="28"/>
          <w:szCs w:val="28"/>
        </w:rPr>
        <w:t xml:space="preserve">) can be made to establish the precise </w:t>
      </w:r>
      <w:r w:rsidR="00151A92" w:rsidRPr="004D3B0C">
        <w:rPr>
          <w:rFonts w:cs="Times New Roman"/>
          <w:i/>
          <w:sz w:val="28"/>
          <w:szCs w:val="28"/>
        </w:rPr>
        <w:t>T</w:t>
      </w:r>
      <w:r w:rsidR="00151A92" w:rsidRPr="004D3B0C">
        <w:rPr>
          <w:rFonts w:cs="Times New Roman"/>
          <w:sz w:val="28"/>
          <w:szCs w:val="28"/>
        </w:rPr>
        <w:t xml:space="preserve"> score</w:t>
      </w:r>
      <w:r w:rsidR="0084716E" w:rsidRPr="004D3B0C">
        <w:rPr>
          <w:rFonts w:cs="Times New Roman"/>
          <w:sz w:val="28"/>
          <w:szCs w:val="28"/>
        </w:rPr>
        <w:t xml:space="preserve"> (Van der Elst et al., 2006)</w:t>
      </w:r>
      <w:r w:rsidR="00151A92" w:rsidRPr="004D3B0C">
        <w:rPr>
          <w:rFonts w:cs="Times New Roman"/>
          <w:sz w:val="28"/>
          <w:szCs w:val="28"/>
        </w:rPr>
        <w:t xml:space="preserve">.     </w:t>
      </w:r>
    </w:p>
    <w:p w:rsidR="00581EF4" w:rsidRPr="004D3B0C" w:rsidRDefault="00581EF4" w:rsidP="00581EF4">
      <w:pPr>
        <w:spacing w:after="0" w:line="480" w:lineRule="auto"/>
        <w:ind w:firstLine="720"/>
        <w:rPr>
          <w:rFonts w:cs="Times New Roman"/>
          <w:sz w:val="28"/>
          <w:szCs w:val="28"/>
        </w:rPr>
      </w:pPr>
      <w:r w:rsidRPr="004D3B0C">
        <w:rPr>
          <w:rFonts w:cs="Times New Roman"/>
          <w:sz w:val="28"/>
          <w:szCs w:val="28"/>
        </w:rPr>
        <w:t xml:space="preserve">The final logistic regression models for the Validity scales (at a cut-off score of </w:t>
      </w:r>
      <w:r w:rsidR="00BD5A93" w:rsidRPr="004D3B0C">
        <w:rPr>
          <w:rFonts w:cs="Times New Roman"/>
          <w:iCs/>
          <w:sz w:val="28"/>
          <w:szCs w:val="28"/>
        </w:rPr>
        <w:t>≥ 5) are shown in Table 5</w:t>
      </w:r>
      <w:r w:rsidRPr="004D3B0C">
        <w:rPr>
          <w:rFonts w:cs="Times New Roman"/>
          <w:iCs/>
          <w:sz w:val="28"/>
          <w:szCs w:val="28"/>
        </w:rPr>
        <w:t xml:space="preserve">. </w:t>
      </w:r>
      <w:r w:rsidRPr="004D3B0C">
        <w:rPr>
          <w:rFonts w:cs="Times New Roman"/>
          <w:sz w:val="28"/>
          <w:szCs w:val="28"/>
        </w:rPr>
        <w:t>Multicollinearity was within acceptable limits (n</w:t>
      </w:r>
      <w:r w:rsidRPr="004D3B0C">
        <w:rPr>
          <w:rFonts w:cs="Times New Roman"/>
          <w:sz w:val="28"/>
          <w:szCs w:val="28"/>
          <w:lang w:val="en-US"/>
        </w:rPr>
        <w:t>one of the independent variables had a standard error larger than 1.0</w:t>
      </w:r>
      <w:r w:rsidRPr="004D3B0C">
        <w:rPr>
          <w:rFonts w:cs="Times New Roman"/>
          <w:sz w:val="28"/>
          <w:szCs w:val="28"/>
        </w:rPr>
        <w:t xml:space="preserve">) and there was no serious influence of outliers (maximum Cook’s distance for the final models equalled .50). There was no gender effect on Validity scale scores in any domain. Age had a significant curvilinear effect on Validity scale scores in cognitive and emotional domains, reflecting a greater likelihood for participants in the youngest (18-29 years) and oldest age groups (60-69 years) to evidence scores </w:t>
      </w:r>
      <w:r w:rsidRPr="004D3B0C">
        <w:rPr>
          <w:rFonts w:cs="Times New Roman"/>
          <w:iCs/>
          <w:sz w:val="28"/>
          <w:szCs w:val="28"/>
        </w:rPr>
        <w:t>≥ 5</w:t>
      </w:r>
      <w:r w:rsidRPr="004D3B0C">
        <w:rPr>
          <w:rFonts w:cs="Times New Roman"/>
          <w:sz w:val="28"/>
          <w:szCs w:val="28"/>
        </w:rPr>
        <w:t xml:space="preserve">. Low education levels were linked with high scores on all Validity scales; a cut-off score of 5 yielded 29.0%, 19.4%, and 25.8% of participants as ‘likely non-credible’ on Cognitive, Emotional and Physical Validity scales, respectively, indicating poor specificity in this group. Specificity improved to 87.1%, 87.1% and 90.3% on Cognitive, Emotional and Physical Validity scales, respectively, when a cut-off score of 8 was adopted.  The impact of age on scale scores within this group is unclear due to small numbers, although it was notable that of the 11 low education participants in </w:t>
      </w:r>
      <w:r w:rsidRPr="004D3B0C">
        <w:rPr>
          <w:rFonts w:cs="Times New Roman"/>
          <w:sz w:val="28"/>
          <w:szCs w:val="28"/>
        </w:rPr>
        <w:lastRenderedPageBreak/>
        <w:t xml:space="preserve">the oldest age group (60-69 years), 5 (45.4%), 3 (27.3%) and 4 (36.4%) scored </w:t>
      </w:r>
      <w:r w:rsidRPr="004D3B0C">
        <w:rPr>
          <w:rFonts w:cs="Times New Roman"/>
          <w:iCs/>
          <w:sz w:val="28"/>
          <w:szCs w:val="28"/>
        </w:rPr>
        <w:t xml:space="preserve">≥ 5 on Cognitive, Emotional and Physical Validity scales, respectively, suggestive of a potentially high rate of false positives in this group. </w:t>
      </w:r>
      <w:r w:rsidRPr="004D3B0C">
        <w:rPr>
          <w:rFonts w:cs="Times New Roman"/>
          <w:sz w:val="28"/>
          <w:szCs w:val="28"/>
        </w:rPr>
        <w:t>Cumulative percentages for the observed values of the raw Validity scale scores as a function of significant predictors in logistic regre</w:t>
      </w:r>
      <w:r w:rsidR="00665389" w:rsidRPr="004D3B0C">
        <w:rPr>
          <w:rFonts w:cs="Times New Roman"/>
          <w:sz w:val="28"/>
          <w:szCs w:val="28"/>
        </w:rPr>
        <w:t>ssion models are provided in Supplementary T</w:t>
      </w:r>
      <w:r w:rsidRPr="004D3B0C">
        <w:rPr>
          <w:rFonts w:cs="Times New Roman"/>
          <w:sz w:val="28"/>
          <w:szCs w:val="28"/>
        </w:rPr>
        <w:t xml:space="preserve">able </w:t>
      </w:r>
      <w:r w:rsidR="00665389" w:rsidRPr="004D3B0C">
        <w:rPr>
          <w:rFonts w:cs="Times New Roman"/>
          <w:sz w:val="28"/>
          <w:szCs w:val="28"/>
        </w:rPr>
        <w:t>4</w:t>
      </w:r>
      <w:r w:rsidRPr="004D3B0C">
        <w:rPr>
          <w:rFonts w:cs="Times New Roman"/>
          <w:sz w:val="28"/>
          <w:szCs w:val="28"/>
        </w:rPr>
        <w:t xml:space="preserve">. </w:t>
      </w:r>
    </w:p>
    <w:p w:rsidR="00581EF4" w:rsidRPr="004D3B0C" w:rsidRDefault="00581EF4" w:rsidP="00581EF4">
      <w:pPr>
        <w:spacing w:after="0" w:line="480" w:lineRule="auto"/>
        <w:rPr>
          <w:rFonts w:cs="Times New Roman"/>
          <w:i/>
          <w:sz w:val="28"/>
          <w:szCs w:val="28"/>
        </w:rPr>
      </w:pPr>
      <w:r w:rsidRPr="004D3B0C">
        <w:rPr>
          <w:rFonts w:cs="Times New Roman"/>
          <w:i/>
          <w:sz w:val="28"/>
          <w:szCs w:val="28"/>
        </w:rPr>
        <w:t>Comparison of Norms with ABI Participants</w:t>
      </w:r>
    </w:p>
    <w:p w:rsidR="00581EF4" w:rsidRPr="004D3B0C" w:rsidRDefault="00581EF4" w:rsidP="00581EF4">
      <w:pPr>
        <w:spacing w:after="0" w:line="480" w:lineRule="auto"/>
        <w:rPr>
          <w:rFonts w:cs="Times New Roman"/>
          <w:sz w:val="28"/>
          <w:szCs w:val="28"/>
        </w:rPr>
      </w:pPr>
      <w:r w:rsidRPr="004D3B0C">
        <w:rPr>
          <w:rFonts w:cs="Times New Roman"/>
          <w:sz w:val="28"/>
          <w:szCs w:val="28"/>
        </w:rPr>
        <w:tab/>
        <w:t>The mean Clinical index and subtest scores and Validity scale scores for ABI participants are re</w:t>
      </w:r>
      <w:r w:rsidR="00BD5A93" w:rsidRPr="004D3B0C">
        <w:rPr>
          <w:rFonts w:cs="Times New Roman"/>
          <w:sz w:val="28"/>
          <w:szCs w:val="28"/>
        </w:rPr>
        <w:t>ported in Table 6</w:t>
      </w:r>
      <w:r w:rsidRPr="004D3B0C">
        <w:rPr>
          <w:rFonts w:cs="Times New Roman"/>
          <w:sz w:val="28"/>
          <w:szCs w:val="28"/>
        </w:rPr>
        <w:t xml:space="preserve">. As with the Community group, Clinical scales and subtests and Validity scales all showed adequate internal consistency of comprising items (α &gt;.70). ABI participants showed acceptable response consistency; the mean score on the response consistency index was 3.53 (SD = 2.27) with 75% of scores between 0 and 5. Further, no ABI participant had an inconsistency </w:t>
      </w:r>
      <w:r w:rsidRPr="004D3B0C">
        <w:rPr>
          <w:rFonts w:cs="Times New Roman"/>
          <w:i/>
          <w:sz w:val="28"/>
          <w:szCs w:val="28"/>
        </w:rPr>
        <w:t>T</w:t>
      </w:r>
      <w:r w:rsidRPr="004D3B0C">
        <w:rPr>
          <w:rFonts w:cs="Times New Roman"/>
          <w:sz w:val="28"/>
          <w:szCs w:val="28"/>
        </w:rPr>
        <w:t xml:space="preserve"> score of more than 80, indicating an absence of excessive variable response inconsistency in the group. </w:t>
      </w:r>
    </w:p>
    <w:p w:rsidR="00581EF4" w:rsidRPr="004D3B0C" w:rsidRDefault="00581EF4" w:rsidP="00581EF4">
      <w:pPr>
        <w:spacing w:after="0" w:line="480" w:lineRule="auto"/>
        <w:ind w:firstLine="720"/>
        <w:rPr>
          <w:rFonts w:cs="Times New Roman"/>
          <w:sz w:val="28"/>
          <w:szCs w:val="28"/>
        </w:rPr>
      </w:pPr>
      <w:r w:rsidRPr="004D3B0C">
        <w:rPr>
          <w:rFonts w:cs="Times New Roman"/>
          <w:sz w:val="28"/>
          <w:szCs w:val="28"/>
        </w:rPr>
        <w:t xml:space="preserve">Raw scores on Clinical subscales were, generally speaking, </w:t>
      </w:r>
      <w:r w:rsidR="000F493D" w:rsidRPr="004D3B0C">
        <w:rPr>
          <w:rFonts w:cs="Times New Roman"/>
          <w:sz w:val="28"/>
          <w:szCs w:val="28"/>
        </w:rPr>
        <w:t xml:space="preserve">positively </w:t>
      </w:r>
      <w:r w:rsidRPr="004D3B0C">
        <w:rPr>
          <w:rFonts w:cs="Times New Roman"/>
          <w:sz w:val="28"/>
          <w:szCs w:val="28"/>
        </w:rPr>
        <w:t>skewed</w:t>
      </w:r>
      <w:r w:rsidR="000F493D" w:rsidRPr="004D3B0C">
        <w:rPr>
          <w:rFonts w:cs="Times New Roman"/>
          <w:sz w:val="28"/>
          <w:szCs w:val="28"/>
        </w:rPr>
        <w:t>,</w:t>
      </w:r>
      <w:r w:rsidRPr="004D3B0C">
        <w:rPr>
          <w:rFonts w:cs="Times New Roman"/>
          <w:sz w:val="28"/>
          <w:szCs w:val="28"/>
        </w:rPr>
        <w:t xml:space="preserve"> although all were numerically greater than those of Community</w:t>
      </w:r>
      <w:r w:rsidR="00BD5A93" w:rsidRPr="004D3B0C">
        <w:rPr>
          <w:rFonts w:cs="Times New Roman"/>
          <w:sz w:val="28"/>
          <w:szCs w:val="28"/>
        </w:rPr>
        <w:t xml:space="preserve"> participants (Table 2</w:t>
      </w:r>
      <w:r w:rsidRPr="004D3B0C">
        <w:rPr>
          <w:rFonts w:cs="Times New Roman"/>
          <w:sz w:val="28"/>
          <w:szCs w:val="28"/>
        </w:rPr>
        <w:t xml:space="preserve">) with wider ranges. The mean </w:t>
      </w:r>
      <w:r w:rsidRPr="004D3B0C">
        <w:rPr>
          <w:rFonts w:cs="Times New Roman"/>
          <w:i/>
          <w:sz w:val="28"/>
          <w:szCs w:val="28"/>
        </w:rPr>
        <w:t>T</w:t>
      </w:r>
      <w:r w:rsidRPr="004D3B0C">
        <w:rPr>
          <w:rFonts w:cs="Times New Roman"/>
          <w:sz w:val="28"/>
          <w:szCs w:val="28"/>
        </w:rPr>
        <w:t xml:space="preserve"> scores for the Clinical scales, calculated using the regression-based norming procedure described earlier, indicated higher </w:t>
      </w:r>
      <w:r w:rsidRPr="004D3B0C">
        <w:rPr>
          <w:rFonts w:cs="Times New Roman"/>
          <w:i/>
          <w:sz w:val="28"/>
          <w:szCs w:val="28"/>
        </w:rPr>
        <w:t>T</w:t>
      </w:r>
      <w:r w:rsidRPr="004D3B0C">
        <w:rPr>
          <w:rFonts w:cs="Times New Roman"/>
          <w:sz w:val="28"/>
          <w:szCs w:val="28"/>
        </w:rPr>
        <w:t xml:space="preserve"> scores (than norms) on all scales (</w:t>
      </w:r>
      <w:r w:rsidRPr="004D3B0C">
        <w:rPr>
          <w:rFonts w:cs="Times New Roman"/>
          <w:i/>
          <w:sz w:val="28"/>
          <w:szCs w:val="28"/>
        </w:rPr>
        <w:t>p</w:t>
      </w:r>
      <w:r w:rsidRPr="004D3B0C">
        <w:rPr>
          <w:rFonts w:cs="Times New Roman"/>
          <w:sz w:val="28"/>
          <w:szCs w:val="28"/>
        </w:rPr>
        <w:t xml:space="preserve"> &lt; .001</w:t>
      </w:r>
      <w:r w:rsidR="00DC123F" w:rsidRPr="004D3B0C">
        <w:rPr>
          <w:rFonts w:cs="Times New Roman"/>
          <w:sz w:val="28"/>
          <w:szCs w:val="28"/>
        </w:rPr>
        <w:t xml:space="preserve">; the </w:t>
      </w:r>
      <w:r w:rsidR="00BD5A93" w:rsidRPr="004D3B0C">
        <w:rPr>
          <w:rFonts w:cs="Times New Roman"/>
          <w:sz w:val="28"/>
          <w:szCs w:val="28"/>
        </w:rPr>
        <w:t xml:space="preserve">assumption of homogeneity of variance was not </w:t>
      </w:r>
      <w:r w:rsidR="00DC123F" w:rsidRPr="004D3B0C">
        <w:rPr>
          <w:rFonts w:cs="Times New Roman"/>
          <w:sz w:val="28"/>
          <w:szCs w:val="28"/>
        </w:rPr>
        <w:t>violated in any comparison</w:t>
      </w:r>
      <w:r w:rsidR="000D3FE6" w:rsidRPr="004D3B0C">
        <w:rPr>
          <w:rFonts w:cs="Times New Roman"/>
          <w:sz w:val="28"/>
          <w:szCs w:val="28"/>
        </w:rPr>
        <w:t xml:space="preserve"> -</w:t>
      </w:r>
      <w:r w:rsidR="00393968" w:rsidRPr="004D3B0C">
        <w:rPr>
          <w:rFonts w:cs="Times New Roman"/>
          <w:sz w:val="28"/>
          <w:szCs w:val="28"/>
        </w:rPr>
        <w:t xml:space="preserve"> </w:t>
      </w:r>
      <w:r w:rsidR="00393968" w:rsidRPr="004D3B0C">
        <w:rPr>
          <w:rFonts w:cs="Times New Roman"/>
          <w:sz w:val="28"/>
          <w:szCs w:val="28"/>
        </w:rPr>
        <w:lastRenderedPageBreak/>
        <w:t xml:space="preserve">for all comparisons, </w:t>
      </w:r>
      <w:r w:rsidR="00393968" w:rsidRPr="004D3B0C">
        <w:rPr>
          <w:rFonts w:cs="Times New Roman"/>
          <w:i/>
          <w:sz w:val="28"/>
          <w:szCs w:val="28"/>
        </w:rPr>
        <w:t>p</w:t>
      </w:r>
      <w:r w:rsidR="00393968" w:rsidRPr="004D3B0C">
        <w:rPr>
          <w:rFonts w:cs="Times New Roman"/>
          <w:sz w:val="28"/>
          <w:szCs w:val="28"/>
        </w:rPr>
        <w:t xml:space="preserve"> &gt; .142 </w:t>
      </w:r>
      <w:r w:rsidR="00DC123F" w:rsidRPr="004D3B0C">
        <w:rPr>
          <w:rFonts w:cs="Times New Roman"/>
          <w:sz w:val="28"/>
          <w:szCs w:val="28"/>
        </w:rPr>
        <w:t>)</w:t>
      </w:r>
      <w:r w:rsidRPr="004D3B0C">
        <w:rPr>
          <w:rFonts w:cs="Times New Roman"/>
          <w:sz w:val="28"/>
          <w:szCs w:val="28"/>
        </w:rPr>
        <w:t>. The proportions of ABI participants exhibiting high numbers of problems (</w:t>
      </w:r>
      <w:r w:rsidRPr="004D3B0C">
        <w:rPr>
          <w:rFonts w:cs="Times New Roman"/>
          <w:i/>
          <w:sz w:val="28"/>
          <w:szCs w:val="28"/>
        </w:rPr>
        <w:t>T</w:t>
      </w:r>
      <w:r w:rsidRPr="004D3B0C">
        <w:rPr>
          <w:rFonts w:cs="Times New Roman"/>
          <w:sz w:val="28"/>
          <w:szCs w:val="28"/>
        </w:rPr>
        <w:t xml:space="preserve"> score ≥ 65) on Cognitive (39.7%), Emotional (19.0%) and Physical Clinical scales (50.0%) were markedly greater than Community participants (6.9%, 5.2% and 7.2%, respectively; for all group comparisons </w:t>
      </w:r>
      <w:r w:rsidRPr="004D3B0C">
        <w:rPr>
          <w:rFonts w:cs="Times New Roman"/>
          <w:i/>
          <w:sz w:val="28"/>
          <w:szCs w:val="28"/>
        </w:rPr>
        <w:t>p</w:t>
      </w:r>
      <w:r w:rsidRPr="004D3B0C">
        <w:rPr>
          <w:rFonts w:cs="Times New Roman"/>
          <w:sz w:val="28"/>
          <w:szCs w:val="28"/>
        </w:rPr>
        <w:t xml:space="preserve"> &lt; .001). Within-group comparisons of </w:t>
      </w:r>
      <w:r w:rsidRPr="004D3B0C">
        <w:rPr>
          <w:rFonts w:cs="Times New Roman"/>
          <w:i/>
          <w:sz w:val="28"/>
          <w:szCs w:val="28"/>
        </w:rPr>
        <w:t>T</w:t>
      </w:r>
      <w:r w:rsidRPr="004D3B0C">
        <w:rPr>
          <w:rFonts w:cs="Times New Roman"/>
          <w:sz w:val="28"/>
          <w:szCs w:val="28"/>
        </w:rPr>
        <w:t xml:space="preserve"> scores indicated more severe problems in the cognitive and physical domains rather than with emotions (</w:t>
      </w:r>
      <w:r w:rsidRPr="004D3B0C">
        <w:rPr>
          <w:rFonts w:cs="Times New Roman"/>
          <w:i/>
          <w:sz w:val="28"/>
          <w:szCs w:val="28"/>
        </w:rPr>
        <w:t>p</w:t>
      </w:r>
      <w:r w:rsidRPr="004D3B0C">
        <w:rPr>
          <w:rFonts w:cs="Times New Roman"/>
          <w:sz w:val="28"/>
          <w:szCs w:val="28"/>
        </w:rPr>
        <w:t xml:space="preserve"> &lt; .001).  </w:t>
      </w:r>
    </w:p>
    <w:p w:rsidR="00581EF4" w:rsidRPr="004D3B0C" w:rsidRDefault="00581EF4" w:rsidP="00581EF4">
      <w:pPr>
        <w:spacing w:after="0" w:line="480" w:lineRule="auto"/>
        <w:ind w:firstLine="720"/>
        <w:rPr>
          <w:rFonts w:cs="Times New Roman"/>
          <w:b/>
          <w:sz w:val="28"/>
          <w:szCs w:val="28"/>
        </w:rPr>
      </w:pPr>
      <w:r w:rsidRPr="004D3B0C">
        <w:rPr>
          <w:rFonts w:cs="Times New Roman"/>
          <w:sz w:val="28"/>
          <w:szCs w:val="28"/>
        </w:rPr>
        <w:t>Mean Validity scale totals were low in the ABI group, with the majority of scores on each scale f</w:t>
      </w:r>
      <w:r w:rsidR="00BD5A93" w:rsidRPr="004D3B0C">
        <w:rPr>
          <w:rFonts w:cs="Times New Roman"/>
          <w:sz w:val="28"/>
          <w:szCs w:val="28"/>
        </w:rPr>
        <w:t>alling in the 0-2 range (Table 7</w:t>
      </w:r>
      <w:r w:rsidRPr="004D3B0C">
        <w:rPr>
          <w:rFonts w:cs="Times New Roman"/>
          <w:sz w:val="28"/>
          <w:szCs w:val="28"/>
        </w:rPr>
        <w:t>).  At the cut-off score of 5, specificity was 85% and 90% on the Cognitive Validity and Physical Validity scales</w:t>
      </w:r>
      <w:r w:rsidR="00104C4B" w:rsidRPr="004D3B0C">
        <w:rPr>
          <w:rFonts w:cs="Times New Roman"/>
          <w:sz w:val="28"/>
          <w:szCs w:val="28"/>
        </w:rPr>
        <w:t>, respectively,</w:t>
      </w:r>
      <w:r w:rsidRPr="004D3B0C">
        <w:rPr>
          <w:rFonts w:cs="Times New Roman"/>
          <w:sz w:val="28"/>
          <w:szCs w:val="28"/>
        </w:rPr>
        <w:t xml:space="preserve"> and slightly less than 80% on the Emotional Validity scale. After adjusting for significant demographic predictors (control group), there was a significant difference in the proportion of ABI participants classified as ‘likely non-credible’ compared with the control group on the Emotional Validity scale (</w:t>
      </w:r>
      <w:r w:rsidRPr="004D3B0C">
        <w:rPr>
          <w:rFonts w:cs="Times New Roman"/>
          <w:i/>
          <w:sz w:val="28"/>
          <w:szCs w:val="28"/>
        </w:rPr>
        <w:t>p</w:t>
      </w:r>
      <w:r w:rsidRPr="004D3B0C">
        <w:rPr>
          <w:rFonts w:cs="Times New Roman"/>
          <w:sz w:val="28"/>
          <w:szCs w:val="28"/>
        </w:rPr>
        <w:t xml:space="preserve"> = .005, odds ratio = 2.931, 95% CI = 1.383-6.211), but not on Cognitive Validity (</w:t>
      </w:r>
      <w:r w:rsidRPr="004D3B0C">
        <w:rPr>
          <w:rFonts w:cs="Times New Roman"/>
          <w:i/>
          <w:sz w:val="28"/>
          <w:szCs w:val="28"/>
        </w:rPr>
        <w:t>p</w:t>
      </w:r>
      <w:r w:rsidRPr="004D3B0C">
        <w:rPr>
          <w:rFonts w:cs="Times New Roman"/>
          <w:sz w:val="28"/>
          <w:szCs w:val="28"/>
        </w:rPr>
        <w:t xml:space="preserve"> = .219) or Physical Validity scales (</w:t>
      </w:r>
      <w:r w:rsidRPr="004D3B0C">
        <w:rPr>
          <w:rFonts w:cs="Times New Roman"/>
          <w:i/>
          <w:sz w:val="28"/>
          <w:szCs w:val="28"/>
        </w:rPr>
        <w:t>p</w:t>
      </w:r>
      <w:r w:rsidRPr="004D3B0C">
        <w:rPr>
          <w:rFonts w:cs="Times New Roman"/>
          <w:sz w:val="28"/>
          <w:szCs w:val="28"/>
        </w:rPr>
        <w:t xml:space="preserve"> = .183).</w:t>
      </w:r>
      <w:r w:rsidRPr="004D3B0C">
        <w:rPr>
          <w:rFonts w:cs="Times New Roman"/>
          <w:b/>
          <w:sz w:val="28"/>
          <w:szCs w:val="28"/>
        </w:rPr>
        <w:t xml:space="preserve"> </w:t>
      </w:r>
    </w:p>
    <w:p w:rsidR="00581EF4" w:rsidRPr="004D3B0C" w:rsidRDefault="00581EF4" w:rsidP="00581EF4">
      <w:pPr>
        <w:spacing w:after="0" w:line="480" w:lineRule="auto"/>
        <w:rPr>
          <w:rFonts w:cs="Times New Roman"/>
          <w:b/>
          <w:sz w:val="28"/>
          <w:szCs w:val="28"/>
        </w:rPr>
      </w:pPr>
    </w:p>
    <w:p w:rsidR="00581EF4" w:rsidRPr="004D3B0C" w:rsidRDefault="00581EF4" w:rsidP="00581EF4">
      <w:pPr>
        <w:spacing w:after="0" w:line="480" w:lineRule="auto"/>
        <w:jc w:val="center"/>
        <w:rPr>
          <w:rFonts w:cstheme="minorHAnsi"/>
          <w:b/>
          <w:sz w:val="28"/>
          <w:szCs w:val="28"/>
        </w:rPr>
      </w:pPr>
      <w:r w:rsidRPr="004D3B0C">
        <w:rPr>
          <w:rFonts w:cstheme="minorHAnsi"/>
          <w:b/>
          <w:sz w:val="28"/>
          <w:szCs w:val="28"/>
        </w:rPr>
        <w:t>Discussion</w:t>
      </w:r>
    </w:p>
    <w:p w:rsidR="00581EF4" w:rsidRPr="004D3B0C" w:rsidRDefault="00581EF4" w:rsidP="00581EF4">
      <w:pPr>
        <w:spacing w:after="0" w:line="480" w:lineRule="auto"/>
        <w:ind w:firstLine="720"/>
        <w:rPr>
          <w:rFonts w:cs="Times New Roman"/>
          <w:sz w:val="28"/>
          <w:szCs w:val="28"/>
        </w:rPr>
      </w:pPr>
      <w:bookmarkStart w:id="7" w:name="_Hlk509489011"/>
      <w:r w:rsidRPr="004D3B0C">
        <w:rPr>
          <w:rFonts w:cs="Times New Roman"/>
          <w:sz w:val="28"/>
          <w:szCs w:val="28"/>
        </w:rPr>
        <w:t xml:space="preserve">The present study sought to develop a normative database that will allow clinicians and researchers to use the PPQ with patients with disabilities </w:t>
      </w:r>
      <w:r w:rsidR="007945B7" w:rsidRPr="004D3B0C">
        <w:rPr>
          <w:rFonts w:cs="Times New Roman"/>
          <w:sz w:val="28"/>
          <w:szCs w:val="28"/>
        </w:rPr>
        <w:t xml:space="preserve">and cognitive impairments </w:t>
      </w:r>
      <w:r w:rsidRPr="004D3B0C">
        <w:rPr>
          <w:rFonts w:cs="Times New Roman"/>
          <w:sz w:val="28"/>
          <w:szCs w:val="28"/>
        </w:rPr>
        <w:t xml:space="preserve">and assess their complaints, as well as the validity </w:t>
      </w:r>
      <w:r w:rsidRPr="004D3B0C">
        <w:rPr>
          <w:rFonts w:cs="Times New Roman"/>
          <w:sz w:val="28"/>
          <w:szCs w:val="28"/>
        </w:rPr>
        <w:lastRenderedPageBreak/>
        <w:t xml:space="preserve">of their self-report. </w:t>
      </w:r>
      <w:bookmarkEnd w:id="7"/>
      <w:r w:rsidRPr="004D3B0C">
        <w:rPr>
          <w:rFonts w:cs="Times New Roman"/>
          <w:sz w:val="28"/>
          <w:szCs w:val="28"/>
        </w:rPr>
        <w:t>The data from the community sample provides the basis for interpreting the various PPQ scales</w:t>
      </w:r>
      <w:r w:rsidR="002D6DBC" w:rsidRPr="004D3B0C">
        <w:rPr>
          <w:rFonts w:cs="Times New Roman"/>
          <w:sz w:val="28"/>
          <w:szCs w:val="28"/>
        </w:rPr>
        <w:t xml:space="preserve">, including ascertaining the demographic factors that potentially influence responding, </w:t>
      </w:r>
      <w:r w:rsidRPr="004D3B0C">
        <w:rPr>
          <w:rFonts w:cs="Times New Roman"/>
          <w:sz w:val="28"/>
          <w:szCs w:val="28"/>
        </w:rPr>
        <w:t xml:space="preserve">and allows clinicians to determine whether scores are elevated or within normal limits relative to community-dwelling, non-disabled individuals. The community sample endorsed few items on the Clinical Scales, this being in line with what would be expected given that the sample were individuals with no neurological or psychiatric conditions and none were undergoing treatment or attending clinical services. In contrast, the ABI group obtained elevated </w:t>
      </w:r>
      <w:r w:rsidRPr="004D3B0C">
        <w:rPr>
          <w:rFonts w:cs="Times New Roman"/>
          <w:i/>
          <w:sz w:val="28"/>
          <w:szCs w:val="28"/>
        </w:rPr>
        <w:t>T</w:t>
      </w:r>
      <w:r w:rsidRPr="004D3B0C">
        <w:rPr>
          <w:rFonts w:cs="Times New Roman"/>
          <w:sz w:val="28"/>
          <w:szCs w:val="28"/>
        </w:rPr>
        <w:t xml:space="preserve"> scores on the Total Clinical scales, this being consistent with expectation. Using a cut-off of </w:t>
      </w:r>
      <w:r w:rsidRPr="004D3B0C">
        <w:rPr>
          <w:rFonts w:cs="Times New Roman"/>
          <w:i/>
          <w:sz w:val="28"/>
          <w:szCs w:val="28"/>
        </w:rPr>
        <w:t>T</w:t>
      </w:r>
      <w:r w:rsidRPr="004D3B0C">
        <w:rPr>
          <w:rFonts w:cs="Times New Roman"/>
          <w:sz w:val="28"/>
          <w:szCs w:val="28"/>
        </w:rPr>
        <w:t xml:space="preserve"> </w:t>
      </w:r>
      <w:r w:rsidRPr="004D3B0C">
        <w:rPr>
          <w:rFonts w:cs="Times New Roman"/>
          <w:sz w:val="28"/>
          <w:szCs w:val="28"/>
          <w:u w:val="single"/>
        </w:rPr>
        <w:t>&gt;</w:t>
      </w:r>
      <w:r w:rsidRPr="004D3B0C">
        <w:rPr>
          <w:rFonts w:cs="Times New Roman"/>
          <w:sz w:val="28"/>
          <w:szCs w:val="28"/>
        </w:rPr>
        <w:t xml:space="preserve"> 65 to define a significant elevation, then between 19% and 50% of the ABI group exceeded that level on the Total Clinical scales indicating that they had significant difficulties in those areas.</w:t>
      </w:r>
      <w:r w:rsidR="00FD197B" w:rsidRPr="004D3B0C">
        <w:rPr>
          <w:rFonts w:cs="Times New Roman"/>
          <w:sz w:val="28"/>
          <w:szCs w:val="28"/>
        </w:rPr>
        <w:t xml:space="preserve"> It is to be expected that a substantial proportion do not exceed the cut-offs bearing in mind the heterogeneous nature of the clinical sample. </w:t>
      </w:r>
      <w:r w:rsidRPr="004D3B0C">
        <w:rPr>
          <w:rFonts w:cs="Times New Roman"/>
          <w:sz w:val="28"/>
          <w:szCs w:val="28"/>
        </w:rPr>
        <w:t xml:space="preserve">In both groups, response consistency was high with no case of excessive variable response inconsistency in the ABI sample. This confirms that the Clinical scales are sensitive to the cognitive, emotional and physical issues with which ABI patients present and that the questionnaire is likely to be useful in a clinical context, such as an outpatient or rehabilitation setting. The satisfactory response consistency in the ABI group also indicates that responding to the questionnaire is not adversely affected by cognitive </w:t>
      </w:r>
      <w:r w:rsidRPr="004D3B0C">
        <w:rPr>
          <w:rFonts w:cs="Times New Roman"/>
          <w:sz w:val="28"/>
          <w:szCs w:val="28"/>
        </w:rPr>
        <w:lastRenderedPageBreak/>
        <w:t xml:space="preserve">difficulties, an important consideration when assessing over-reporting in a brain injury population. </w:t>
      </w:r>
    </w:p>
    <w:p w:rsidR="00581EF4" w:rsidRPr="004D3B0C" w:rsidRDefault="00581EF4" w:rsidP="00581EF4">
      <w:pPr>
        <w:spacing w:after="0" w:line="480" w:lineRule="auto"/>
        <w:ind w:firstLine="720"/>
        <w:rPr>
          <w:rFonts w:cs="Times New Roman"/>
          <w:sz w:val="28"/>
          <w:szCs w:val="28"/>
        </w:rPr>
      </w:pPr>
      <w:r w:rsidRPr="004D3B0C">
        <w:rPr>
          <w:rFonts w:cs="Times New Roman"/>
          <w:sz w:val="28"/>
          <w:szCs w:val="28"/>
        </w:rPr>
        <w:t xml:space="preserve">The factors influencing responding on the Total Clinical scales were multifactorial with gender, age and educational level each contributing, and regression equations were developed for predicting </w:t>
      </w:r>
      <w:r w:rsidRPr="004D3B0C">
        <w:rPr>
          <w:rFonts w:cs="Times New Roman"/>
          <w:i/>
          <w:sz w:val="28"/>
          <w:szCs w:val="28"/>
        </w:rPr>
        <w:t>T</w:t>
      </w:r>
      <w:r w:rsidRPr="004D3B0C">
        <w:rPr>
          <w:rFonts w:cs="Times New Roman"/>
          <w:sz w:val="28"/>
          <w:szCs w:val="28"/>
        </w:rPr>
        <w:t xml:space="preserve"> scores in each of the three domains which take into account their influence in contributing to self-report on the questionnaire. The relevance of sociodemographic factors for PPQ Clinical scale scores is not surprising. It is well established that poor self-reported health is more prevalent in individuals with low levels of education (Borgonovi &amp; Pokropek, 2016; Schutte,</w:t>
      </w:r>
      <w:r w:rsidRPr="004D3B0C">
        <w:t xml:space="preserve"> </w:t>
      </w:r>
      <w:r w:rsidRPr="004D3B0C">
        <w:rPr>
          <w:rFonts w:cs="Times New Roman"/>
          <w:sz w:val="28"/>
          <w:szCs w:val="28"/>
        </w:rPr>
        <w:t>Chastang, Parent-Thirion, Vermeylen, &amp; Niedhammer, 2013), with evidence that less educated r</w:t>
      </w:r>
      <w:r w:rsidR="00BD5A93" w:rsidRPr="004D3B0C">
        <w:rPr>
          <w:rFonts w:cs="Times New Roman"/>
          <w:sz w:val="28"/>
          <w:szCs w:val="28"/>
        </w:rPr>
        <w:t>espondents tend to endorse more</w:t>
      </w:r>
      <w:r w:rsidRPr="004D3B0C">
        <w:rPr>
          <w:rFonts w:cs="Times New Roman"/>
          <w:sz w:val="28"/>
          <w:szCs w:val="28"/>
        </w:rPr>
        <w:t xml:space="preserve"> symptoms on questionnaires (Ladwig, Marten-Mittag, Formanek, &amp; Dammann, 2000; Merten et al., 2016). The observed curvilinear effect of age in cognitive and emotional clinical domains is also supported by literature suggesting that middle-aged adults report higher levels of emotional, social, and psychological well-being than younger and older adults (Carstensen, Pasupathi, Mayr, &amp; Nesselroade, 2000; Webster,</w:t>
      </w:r>
      <w:r w:rsidRPr="004D3B0C">
        <w:rPr>
          <w:rFonts w:ascii="Times New Roman" w:eastAsia="Times New Roman" w:hAnsi="Times New Roman" w:cs="Times New Roman"/>
          <w:sz w:val="24"/>
          <w:szCs w:val="24"/>
          <w:lang w:eastAsia="en-GB"/>
        </w:rPr>
        <w:t xml:space="preserve"> </w:t>
      </w:r>
      <w:r w:rsidRPr="004D3B0C">
        <w:rPr>
          <w:rFonts w:cs="Times New Roman"/>
          <w:sz w:val="28"/>
          <w:szCs w:val="28"/>
        </w:rPr>
        <w:t>Westerhof, &amp; Bohlmeijer, 2012).</w:t>
      </w:r>
    </w:p>
    <w:p w:rsidR="00581EF4" w:rsidRPr="004D3B0C" w:rsidRDefault="00581EF4" w:rsidP="00581EF4">
      <w:pPr>
        <w:spacing w:after="0" w:line="480" w:lineRule="auto"/>
        <w:ind w:firstLine="720"/>
        <w:rPr>
          <w:rFonts w:cs="Times New Roman"/>
          <w:sz w:val="28"/>
          <w:szCs w:val="28"/>
        </w:rPr>
      </w:pPr>
      <w:r w:rsidRPr="004D3B0C">
        <w:rPr>
          <w:rFonts w:cs="Times New Roman"/>
          <w:sz w:val="28"/>
          <w:szCs w:val="28"/>
        </w:rPr>
        <w:t xml:space="preserve">As expected, the community sample had uniformly low scores on the Validity scales, as did the majority of the ABI group whose scores on each fell predominantly in the 0-2 range. When appropriate adjustments were made for </w:t>
      </w:r>
      <w:r w:rsidRPr="004D3B0C">
        <w:rPr>
          <w:rFonts w:cs="Times New Roman"/>
          <w:sz w:val="28"/>
          <w:szCs w:val="28"/>
        </w:rPr>
        <w:lastRenderedPageBreak/>
        <w:t xml:space="preserve">the demographic predictors, there was no significant difference between the Cognitive and Physical Validity scales for the ABI and Community groups, although the ABI group differed on the Emotional Validity scale. However, in practical terms this was a minor difference, the equivalent of endorsing “sometimes” on only one of the validity items, and readily addressed by raising the cut-off to </w:t>
      </w:r>
      <w:r w:rsidRPr="004D3B0C">
        <w:rPr>
          <w:rFonts w:cs="Times New Roman"/>
          <w:sz w:val="28"/>
          <w:szCs w:val="28"/>
          <w:u w:val="single"/>
        </w:rPr>
        <w:t>&gt;</w:t>
      </w:r>
      <w:r w:rsidRPr="004D3B0C">
        <w:rPr>
          <w:rFonts w:cs="Times New Roman"/>
          <w:sz w:val="28"/>
          <w:szCs w:val="28"/>
        </w:rPr>
        <w:t xml:space="preserve"> 6. These findings are reassuring and indicate that despite having had a neurological injury, and potentially having cognitive impairments, the ABI participants did not endorse having non-valid symptoms, which confirms the utility of the questionnaire.</w:t>
      </w:r>
    </w:p>
    <w:p w:rsidR="00581EF4" w:rsidRPr="004D3B0C" w:rsidRDefault="00783C6F" w:rsidP="003170E1">
      <w:pPr>
        <w:spacing w:after="0" w:line="480" w:lineRule="auto"/>
        <w:ind w:firstLine="720"/>
        <w:rPr>
          <w:rFonts w:cs="Times New Roman"/>
          <w:sz w:val="28"/>
          <w:szCs w:val="28"/>
        </w:rPr>
      </w:pPr>
      <w:r w:rsidRPr="004D3B0C">
        <w:rPr>
          <w:rFonts w:cs="Times New Roman"/>
          <w:sz w:val="28"/>
          <w:szCs w:val="28"/>
        </w:rPr>
        <w:t>Generally speaking, S</w:t>
      </w:r>
      <w:r w:rsidR="00581EF4" w:rsidRPr="004D3B0C">
        <w:rPr>
          <w:rFonts w:cs="Times New Roman"/>
          <w:sz w:val="28"/>
          <w:szCs w:val="28"/>
        </w:rPr>
        <w:t xml:space="preserve">VTs should be able to detect non-credible symptom reporting while being relatively insensitive to sociodemographic indicators. Interestingly, across all three Validity scale domains, </w:t>
      </w:r>
      <w:r w:rsidRPr="004D3B0C">
        <w:rPr>
          <w:rFonts w:cs="Times New Roman"/>
          <w:sz w:val="28"/>
          <w:szCs w:val="28"/>
        </w:rPr>
        <w:t>control</w:t>
      </w:r>
      <w:r w:rsidR="00581EF4" w:rsidRPr="004D3B0C">
        <w:rPr>
          <w:rFonts w:cs="Times New Roman"/>
          <w:sz w:val="28"/>
          <w:szCs w:val="28"/>
        </w:rPr>
        <w:t xml:space="preserve"> participants with low education were more likely to endorse items. The results of the consistency index suggest that it is unlikely these participants simply failed to understand items. However, it is worth considering that </w:t>
      </w:r>
      <w:r w:rsidR="002C5660" w:rsidRPr="004D3B0C">
        <w:rPr>
          <w:rFonts w:cs="Times New Roman"/>
          <w:sz w:val="28"/>
          <w:szCs w:val="28"/>
        </w:rPr>
        <w:t>education level has been (inversely) associated with over-reporting of symptoms on the Structured Inventory of Malingered Symptomatology (</w:t>
      </w:r>
      <w:bookmarkStart w:id="8" w:name="_Hlk518312012"/>
      <w:r w:rsidR="002C5660" w:rsidRPr="004D3B0C">
        <w:rPr>
          <w:rFonts w:cs="Times New Roman"/>
          <w:sz w:val="28"/>
          <w:szCs w:val="28"/>
        </w:rPr>
        <w:t>Dandachi-Fitzgerald, 2017</w:t>
      </w:r>
      <w:bookmarkEnd w:id="8"/>
      <w:r w:rsidR="002C5660" w:rsidRPr="004D3B0C">
        <w:rPr>
          <w:rFonts w:cs="Times New Roman"/>
          <w:sz w:val="28"/>
          <w:szCs w:val="28"/>
        </w:rPr>
        <w:t xml:space="preserve">) and with </w:t>
      </w:r>
      <w:r w:rsidR="00581EF4" w:rsidRPr="004D3B0C">
        <w:rPr>
          <w:rFonts w:cs="Times New Roman"/>
          <w:sz w:val="28"/>
          <w:szCs w:val="28"/>
        </w:rPr>
        <w:t xml:space="preserve">‘pseudosymptom’ endorsement </w:t>
      </w:r>
      <w:r w:rsidR="002C5660" w:rsidRPr="004D3B0C">
        <w:rPr>
          <w:rFonts w:cs="Times New Roman"/>
          <w:sz w:val="28"/>
          <w:szCs w:val="28"/>
        </w:rPr>
        <w:t xml:space="preserve">on the </w:t>
      </w:r>
      <w:r w:rsidR="00581EF4" w:rsidRPr="004D3B0C">
        <w:rPr>
          <w:rFonts w:cs="Times New Roman"/>
          <w:sz w:val="28"/>
          <w:szCs w:val="28"/>
        </w:rPr>
        <w:t xml:space="preserve">recently developed SRSI (Merten et al., 2016). </w:t>
      </w:r>
      <w:r w:rsidR="0086175C" w:rsidRPr="004D3B0C">
        <w:rPr>
          <w:rFonts w:cs="Times New Roman"/>
          <w:sz w:val="28"/>
          <w:szCs w:val="28"/>
        </w:rPr>
        <w:t xml:space="preserve">It </w:t>
      </w:r>
      <w:r w:rsidR="003170E1" w:rsidRPr="004D3B0C">
        <w:rPr>
          <w:rFonts w:cs="Times New Roman"/>
          <w:sz w:val="28"/>
          <w:szCs w:val="28"/>
        </w:rPr>
        <w:t>is</w:t>
      </w:r>
      <w:r w:rsidR="0086175C" w:rsidRPr="004D3B0C">
        <w:rPr>
          <w:rFonts w:cs="Times New Roman"/>
          <w:sz w:val="28"/>
          <w:szCs w:val="28"/>
        </w:rPr>
        <w:t xml:space="preserve"> possible less educated </w:t>
      </w:r>
      <w:r w:rsidR="003170E1" w:rsidRPr="004D3B0C">
        <w:rPr>
          <w:rFonts w:cs="Times New Roman"/>
          <w:sz w:val="28"/>
          <w:szCs w:val="28"/>
        </w:rPr>
        <w:t>people are</w:t>
      </w:r>
      <w:r w:rsidR="0086175C" w:rsidRPr="004D3B0C">
        <w:rPr>
          <w:rFonts w:cs="Times New Roman"/>
          <w:sz w:val="28"/>
          <w:szCs w:val="28"/>
        </w:rPr>
        <w:t xml:space="preserve"> more likely to feign or overreport symptoms in a more </w:t>
      </w:r>
      <w:r w:rsidR="003170E1" w:rsidRPr="004D3B0C">
        <w:rPr>
          <w:rFonts w:cs="Times New Roman"/>
          <w:sz w:val="28"/>
          <w:szCs w:val="28"/>
        </w:rPr>
        <w:t>obvious manner than those with higher levels of education</w:t>
      </w:r>
      <w:r w:rsidR="0086175C" w:rsidRPr="004D3B0C">
        <w:rPr>
          <w:rFonts w:cs="Times New Roman"/>
          <w:sz w:val="28"/>
          <w:szCs w:val="28"/>
        </w:rPr>
        <w:t xml:space="preserve">, </w:t>
      </w:r>
      <w:r w:rsidR="003170E1" w:rsidRPr="004D3B0C">
        <w:rPr>
          <w:rFonts w:cs="Times New Roman"/>
          <w:sz w:val="28"/>
          <w:szCs w:val="28"/>
        </w:rPr>
        <w:t>who may tend towards more subtle methods of feigning or over-</w:t>
      </w:r>
      <w:r w:rsidR="003170E1" w:rsidRPr="004D3B0C">
        <w:rPr>
          <w:rFonts w:cs="Times New Roman"/>
          <w:sz w:val="28"/>
          <w:szCs w:val="28"/>
        </w:rPr>
        <w:lastRenderedPageBreak/>
        <w:t>reporting</w:t>
      </w:r>
      <w:r w:rsidR="0086175C" w:rsidRPr="004D3B0C">
        <w:rPr>
          <w:rFonts w:cs="Times New Roman"/>
          <w:sz w:val="28"/>
          <w:szCs w:val="28"/>
        </w:rPr>
        <w:t xml:space="preserve"> (</w:t>
      </w:r>
      <w:r w:rsidR="00B41ACF" w:rsidRPr="004D3B0C">
        <w:rPr>
          <w:rFonts w:cs="Times New Roman"/>
          <w:sz w:val="28"/>
          <w:szCs w:val="28"/>
        </w:rPr>
        <w:t xml:space="preserve">Dandachi-Fitzgerald, 2017; </w:t>
      </w:r>
      <w:r w:rsidR="0086175C" w:rsidRPr="004D3B0C">
        <w:rPr>
          <w:rFonts w:cs="Times New Roman"/>
          <w:sz w:val="28"/>
          <w:szCs w:val="28"/>
        </w:rPr>
        <w:t>Solomon, Boone, Miora, &amp;</w:t>
      </w:r>
      <w:r w:rsidR="003170E1" w:rsidRPr="004D3B0C">
        <w:rPr>
          <w:rFonts w:cs="Times New Roman"/>
          <w:sz w:val="28"/>
          <w:szCs w:val="28"/>
        </w:rPr>
        <w:t xml:space="preserve"> </w:t>
      </w:r>
      <w:r w:rsidR="0086175C" w:rsidRPr="004D3B0C">
        <w:rPr>
          <w:rFonts w:cs="Times New Roman"/>
          <w:sz w:val="28"/>
          <w:szCs w:val="28"/>
        </w:rPr>
        <w:t xml:space="preserve">Skidmore, 2010). </w:t>
      </w:r>
      <w:r w:rsidR="00B4385B" w:rsidRPr="004D3B0C">
        <w:rPr>
          <w:rFonts w:cs="Times New Roman"/>
          <w:sz w:val="28"/>
          <w:szCs w:val="28"/>
        </w:rPr>
        <w:t>A</w:t>
      </w:r>
      <w:r w:rsidR="00581EF4" w:rsidRPr="004D3B0C">
        <w:rPr>
          <w:rFonts w:cs="Times New Roman"/>
          <w:sz w:val="28"/>
          <w:szCs w:val="28"/>
        </w:rPr>
        <w:t xml:space="preserve">ssessing symptom validity in participants with low education using dedicated scales may therefore present a unique challenge, with an elevated risk of false-positive classifications unless appropriate threshold adjustments are made. The interpretation of the curvilinear relationship of age with performance validity is unclear. Age effects have been observed on PVTS such as the WMT in patients with traumatic brain injury (Sherer et al., 2015), although not often (Green, 2003). Clearly, future work is needed to address age differences in Validity scale responses and their relationship with education level. </w:t>
      </w:r>
    </w:p>
    <w:p w:rsidR="00581EF4" w:rsidRPr="004D3B0C" w:rsidRDefault="00581EF4" w:rsidP="007823F2">
      <w:pPr>
        <w:spacing w:after="0" w:line="480" w:lineRule="auto"/>
        <w:ind w:firstLine="720"/>
        <w:rPr>
          <w:rFonts w:cs="Times New Roman"/>
          <w:i/>
          <w:sz w:val="28"/>
          <w:szCs w:val="28"/>
          <w:u w:val="single"/>
        </w:rPr>
      </w:pPr>
      <w:r w:rsidRPr="004D3B0C">
        <w:rPr>
          <w:rFonts w:cs="Times New Roman"/>
          <w:sz w:val="28"/>
          <w:szCs w:val="28"/>
        </w:rPr>
        <w:t xml:space="preserve">Nevertheless, interpretation of the PPQ can follow a clear course with the clinician initially examining the Consistency measure to confirm that the questionnaire has been responded to in a reliable manner. Unreliable responding (i.e. Consistency </w:t>
      </w:r>
      <w:r w:rsidRPr="004D3B0C">
        <w:rPr>
          <w:rFonts w:cs="Times New Roman"/>
          <w:i/>
          <w:sz w:val="28"/>
          <w:szCs w:val="28"/>
        </w:rPr>
        <w:t>T</w:t>
      </w:r>
      <w:r w:rsidRPr="004D3B0C">
        <w:rPr>
          <w:rFonts w:cs="Times New Roman"/>
          <w:sz w:val="28"/>
          <w:szCs w:val="28"/>
        </w:rPr>
        <w:t xml:space="preserve"> score &gt;80) would indicate that, for whatever reason, the examinee has not responded to the PPQ consistently, and further interpretation should not be pursued. Assuming there are no concerns about the reliability of responding, then the three Validity scales should be examined to determine whether one or more are elevated, the most straightforward method being to examine the cu</w:t>
      </w:r>
      <w:r w:rsidR="00783C6F" w:rsidRPr="004D3B0C">
        <w:rPr>
          <w:rFonts w:cs="Times New Roman"/>
          <w:sz w:val="28"/>
          <w:szCs w:val="28"/>
        </w:rPr>
        <w:t xml:space="preserve">mulative percentages of scores in Table </w:t>
      </w:r>
      <w:r w:rsidR="00BD5A93" w:rsidRPr="004D3B0C">
        <w:rPr>
          <w:rFonts w:cs="Times New Roman"/>
          <w:sz w:val="28"/>
          <w:szCs w:val="28"/>
        </w:rPr>
        <w:t>3</w:t>
      </w:r>
      <w:r w:rsidRPr="004D3B0C">
        <w:rPr>
          <w:rFonts w:cs="Times New Roman"/>
          <w:sz w:val="28"/>
          <w:szCs w:val="28"/>
        </w:rPr>
        <w:t xml:space="preserve"> and deciding on a level of specificity suited to the clinicians’ particular setting and requirements. A cut-off score of </w:t>
      </w:r>
      <w:r w:rsidRPr="004D3B0C">
        <w:rPr>
          <w:rFonts w:cs="Times New Roman"/>
          <w:sz w:val="28"/>
          <w:szCs w:val="28"/>
          <w:u w:val="single"/>
        </w:rPr>
        <w:t>&gt;</w:t>
      </w:r>
      <w:r w:rsidRPr="004D3B0C">
        <w:rPr>
          <w:rFonts w:cs="Times New Roman"/>
          <w:sz w:val="28"/>
          <w:szCs w:val="28"/>
        </w:rPr>
        <w:t xml:space="preserve"> 5 provides satisfactory specificity, that is </w:t>
      </w:r>
      <w:r w:rsidRPr="004D3B0C">
        <w:rPr>
          <w:rFonts w:cs="Times New Roman"/>
          <w:sz w:val="28"/>
          <w:szCs w:val="28"/>
          <w:u w:val="single"/>
        </w:rPr>
        <w:t>&gt;</w:t>
      </w:r>
      <w:r w:rsidRPr="004D3B0C">
        <w:rPr>
          <w:rFonts w:cs="Times New Roman"/>
          <w:sz w:val="28"/>
          <w:szCs w:val="28"/>
        </w:rPr>
        <w:t xml:space="preserve"> </w:t>
      </w:r>
      <w:r w:rsidRPr="004D3B0C">
        <w:rPr>
          <w:rFonts w:cs="Times New Roman"/>
          <w:sz w:val="28"/>
          <w:szCs w:val="28"/>
        </w:rPr>
        <w:lastRenderedPageBreak/>
        <w:t xml:space="preserve">90%, for the Cognitive and Physical Validity scales. Elevated scores beyond this cut-off call into question the validity of the patient’s self-report and </w:t>
      </w:r>
      <w:r w:rsidRPr="004D3B0C">
        <w:rPr>
          <w:rFonts w:cs="Times New Roman"/>
          <w:sz w:val="28"/>
          <w:szCs w:val="28"/>
          <w:u w:val="single"/>
        </w:rPr>
        <w:t>&gt;</w:t>
      </w:r>
      <w:r w:rsidRPr="004D3B0C">
        <w:rPr>
          <w:rFonts w:cs="Times New Roman"/>
          <w:sz w:val="28"/>
          <w:szCs w:val="28"/>
        </w:rPr>
        <w:t xml:space="preserve"> 6 provides excellent specificity for both the community and patient sample, wi</w:t>
      </w:r>
      <w:r w:rsidR="00783C6F" w:rsidRPr="004D3B0C">
        <w:rPr>
          <w:rFonts w:cs="Times New Roman"/>
          <w:sz w:val="28"/>
          <w:szCs w:val="28"/>
        </w:rPr>
        <w:t>th significant elevations (e.g.</w:t>
      </w:r>
      <w:r w:rsidRPr="004D3B0C">
        <w:rPr>
          <w:rFonts w:cs="Times New Roman"/>
          <w:sz w:val="28"/>
          <w:szCs w:val="28"/>
        </w:rPr>
        <w:t xml:space="preserve"> </w:t>
      </w:r>
      <w:r w:rsidRPr="004D3B0C">
        <w:rPr>
          <w:rFonts w:cs="Times New Roman"/>
          <w:sz w:val="28"/>
          <w:szCs w:val="28"/>
          <w:u w:val="single"/>
        </w:rPr>
        <w:t>&gt;</w:t>
      </w:r>
      <w:r w:rsidRPr="004D3B0C">
        <w:rPr>
          <w:rFonts w:cs="Times New Roman"/>
          <w:sz w:val="28"/>
          <w:szCs w:val="28"/>
        </w:rPr>
        <w:t xml:space="preserve"> 8) being particularly unlikely and non-credible. Clinicians can also take into account the patient’s educational level, and with those with a low level of education, a cut-off of </w:t>
      </w:r>
      <w:r w:rsidRPr="004D3B0C">
        <w:rPr>
          <w:rFonts w:cs="Times New Roman"/>
          <w:sz w:val="28"/>
          <w:szCs w:val="28"/>
          <w:u w:val="single"/>
        </w:rPr>
        <w:t>&gt;</w:t>
      </w:r>
      <w:r w:rsidRPr="004D3B0C">
        <w:rPr>
          <w:rFonts w:cs="Times New Roman"/>
          <w:sz w:val="28"/>
          <w:szCs w:val="28"/>
        </w:rPr>
        <w:t xml:space="preserve"> 8 would be appropriate, although given the limited number of those with low education, interpretation should be undertaken cautiously. Elevations on one Validity scale, but not others, may indicate that the respondent is responding selectively in a non-credible manner and call into question their reporting in that area, but potentially not in others, and the associated Clinical scales might be treated with circumspection. In such circumstances, elevated Clinical scales likely reflect over-reporting, rather than true impairment. On the other hand, when all the Validity scales are within normal limits, the Total Clinical scales are each interpretable. </w:t>
      </w:r>
      <w:r w:rsidR="00BD5A93" w:rsidRPr="004D3B0C">
        <w:rPr>
          <w:rFonts w:cs="Times New Roman"/>
          <w:sz w:val="28"/>
          <w:szCs w:val="28"/>
        </w:rPr>
        <w:t>For example,</w:t>
      </w:r>
      <w:r w:rsidR="0040035C" w:rsidRPr="004D3B0C">
        <w:rPr>
          <w:rFonts w:cs="Times New Roman"/>
          <w:sz w:val="28"/>
          <w:szCs w:val="28"/>
        </w:rPr>
        <w:t xml:space="preserve"> a </w:t>
      </w:r>
      <w:r w:rsidR="00BD5A93" w:rsidRPr="004D3B0C">
        <w:rPr>
          <w:rFonts w:cs="Times New Roman"/>
          <w:sz w:val="28"/>
          <w:szCs w:val="28"/>
        </w:rPr>
        <w:t>20-year-old man</w:t>
      </w:r>
      <w:r w:rsidR="0040035C" w:rsidRPr="004D3B0C">
        <w:rPr>
          <w:rFonts w:cs="Times New Roman"/>
          <w:sz w:val="28"/>
          <w:szCs w:val="28"/>
        </w:rPr>
        <w:t xml:space="preserve"> with</w:t>
      </w:r>
      <w:r w:rsidR="00216E0D" w:rsidRPr="004D3B0C">
        <w:rPr>
          <w:rFonts w:cs="Times New Roman"/>
          <w:sz w:val="28"/>
          <w:szCs w:val="28"/>
        </w:rPr>
        <w:t xml:space="preserve"> brain trauma </w:t>
      </w:r>
      <w:r w:rsidR="0040035C" w:rsidRPr="004D3B0C">
        <w:rPr>
          <w:rFonts w:cs="Times New Roman"/>
          <w:sz w:val="28"/>
          <w:szCs w:val="28"/>
        </w:rPr>
        <w:t xml:space="preserve">and a high educational background </w:t>
      </w:r>
      <w:r w:rsidR="00BD5A93" w:rsidRPr="004D3B0C">
        <w:rPr>
          <w:rFonts w:cs="Times New Roman"/>
          <w:sz w:val="28"/>
          <w:szCs w:val="28"/>
        </w:rPr>
        <w:t>who obtained a</w:t>
      </w:r>
      <w:r w:rsidR="0040035C" w:rsidRPr="004D3B0C">
        <w:rPr>
          <w:rFonts w:cs="Times New Roman"/>
          <w:sz w:val="28"/>
          <w:szCs w:val="28"/>
        </w:rPr>
        <w:t xml:space="preserve"> Total Cognitive score of 38, Emotional score of 23 and Physical score of 6, </w:t>
      </w:r>
      <w:r w:rsidR="00BD5A93" w:rsidRPr="004D3B0C">
        <w:rPr>
          <w:rFonts w:cs="Times New Roman"/>
          <w:sz w:val="28"/>
          <w:szCs w:val="28"/>
        </w:rPr>
        <w:t>would have corresponding</w:t>
      </w:r>
      <w:r w:rsidR="0040035C" w:rsidRPr="004D3B0C">
        <w:rPr>
          <w:rFonts w:cs="Times New Roman"/>
          <w:sz w:val="28"/>
          <w:szCs w:val="28"/>
        </w:rPr>
        <w:t xml:space="preserve"> </w:t>
      </w:r>
      <w:r w:rsidR="0040035C" w:rsidRPr="004D3B0C">
        <w:rPr>
          <w:rFonts w:cs="Times New Roman"/>
          <w:i/>
          <w:sz w:val="28"/>
          <w:szCs w:val="28"/>
        </w:rPr>
        <w:t>T</w:t>
      </w:r>
      <w:r w:rsidR="0040035C" w:rsidRPr="004D3B0C">
        <w:rPr>
          <w:rFonts w:cs="Times New Roman"/>
          <w:sz w:val="28"/>
          <w:szCs w:val="28"/>
        </w:rPr>
        <w:t xml:space="preserve"> scores of 62.8 (90</w:t>
      </w:r>
      <w:r w:rsidR="0040035C" w:rsidRPr="004D3B0C">
        <w:rPr>
          <w:rFonts w:cs="Times New Roman"/>
          <w:sz w:val="28"/>
          <w:szCs w:val="28"/>
          <w:vertAlign w:val="superscript"/>
        </w:rPr>
        <w:t>th</w:t>
      </w:r>
      <w:r w:rsidR="0040035C" w:rsidRPr="004D3B0C">
        <w:rPr>
          <w:rFonts w:cs="Times New Roman"/>
          <w:sz w:val="28"/>
          <w:szCs w:val="28"/>
        </w:rPr>
        <w:t xml:space="preserve"> percentile), 55.2 (70</w:t>
      </w:r>
      <w:r w:rsidR="0040035C" w:rsidRPr="004D3B0C">
        <w:rPr>
          <w:rFonts w:cs="Times New Roman"/>
          <w:sz w:val="28"/>
          <w:szCs w:val="28"/>
          <w:vertAlign w:val="superscript"/>
        </w:rPr>
        <w:t>th</w:t>
      </w:r>
      <w:r w:rsidR="0040035C" w:rsidRPr="004D3B0C">
        <w:rPr>
          <w:rFonts w:cs="Times New Roman"/>
          <w:sz w:val="28"/>
          <w:szCs w:val="28"/>
        </w:rPr>
        <w:t xml:space="preserve"> percentile) and </w:t>
      </w:r>
      <w:r w:rsidR="00216E0D" w:rsidRPr="004D3B0C">
        <w:rPr>
          <w:rFonts w:cs="Times New Roman"/>
          <w:sz w:val="28"/>
          <w:szCs w:val="28"/>
        </w:rPr>
        <w:t>47.5</w:t>
      </w:r>
      <w:r w:rsidR="0040035C" w:rsidRPr="004D3B0C">
        <w:rPr>
          <w:rFonts w:cs="Times New Roman"/>
          <w:sz w:val="28"/>
          <w:szCs w:val="28"/>
        </w:rPr>
        <w:t xml:space="preserve"> (40</w:t>
      </w:r>
      <w:r w:rsidR="0040035C" w:rsidRPr="004D3B0C">
        <w:rPr>
          <w:rFonts w:cs="Times New Roman"/>
          <w:sz w:val="28"/>
          <w:szCs w:val="28"/>
          <w:vertAlign w:val="superscript"/>
        </w:rPr>
        <w:t>th</w:t>
      </w:r>
      <w:r w:rsidR="0040035C" w:rsidRPr="004D3B0C">
        <w:rPr>
          <w:rFonts w:cs="Times New Roman"/>
          <w:sz w:val="28"/>
          <w:szCs w:val="28"/>
        </w:rPr>
        <w:t xml:space="preserve"> percentile)</w:t>
      </w:r>
      <w:r w:rsidR="001F005B" w:rsidRPr="004D3B0C">
        <w:rPr>
          <w:rFonts w:cs="Times New Roman"/>
          <w:sz w:val="28"/>
          <w:szCs w:val="28"/>
        </w:rPr>
        <w:t>,</w:t>
      </w:r>
      <w:r w:rsidR="0040035C" w:rsidRPr="004D3B0C">
        <w:rPr>
          <w:rFonts w:cs="Times New Roman"/>
          <w:sz w:val="28"/>
          <w:szCs w:val="28"/>
        </w:rPr>
        <w:t xml:space="preserve"> respectively, indicating that his difficulties were predominantly cognitive and emotional and he had little in the way of physical disability </w:t>
      </w:r>
      <w:r w:rsidR="00BD5A93" w:rsidRPr="004D3B0C">
        <w:rPr>
          <w:rFonts w:cs="Times New Roman"/>
          <w:sz w:val="28"/>
          <w:szCs w:val="28"/>
        </w:rPr>
        <w:t>(see Supplementary Table</w:t>
      </w:r>
      <w:r w:rsidR="0040035C" w:rsidRPr="004D3B0C">
        <w:rPr>
          <w:rFonts w:cs="Times New Roman"/>
          <w:sz w:val="28"/>
          <w:szCs w:val="28"/>
        </w:rPr>
        <w:t>s 1-</w:t>
      </w:r>
      <w:r w:rsidR="00BD5A93" w:rsidRPr="004D3B0C">
        <w:rPr>
          <w:rFonts w:cs="Times New Roman"/>
          <w:sz w:val="28"/>
          <w:szCs w:val="28"/>
        </w:rPr>
        <w:t xml:space="preserve">3). In </w:t>
      </w:r>
      <w:r w:rsidRPr="004D3B0C">
        <w:rPr>
          <w:rFonts w:cs="Times New Roman"/>
          <w:sz w:val="28"/>
          <w:szCs w:val="28"/>
        </w:rPr>
        <w:t xml:space="preserve">the event that a Total Clinical scale is elevated, the 4 individual subscales can </w:t>
      </w:r>
      <w:r w:rsidRPr="004D3B0C">
        <w:rPr>
          <w:rFonts w:cs="Times New Roman"/>
          <w:sz w:val="28"/>
          <w:szCs w:val="28"/>
        </w:rPr>
        <w:lastRenderedPageBreak/>
        <w:t xml:space="preserve">be examined to determine the source of the elevation and the particular area of difficulty. </w:t>
      </w:r>
      <w:r w:rsidR="007823F2" w:rsidRPr="004D3B0C">
        <w:rPr>
          <w:rFonts w:cs="Times New Roman"/>
          <w:sz w:val="28"/>
          <w:szCs w:val="28"/>
        </w:rPr>
        <w:t>A unique advantage of the PPQ compared with other multidimensional measures is that elevations on the validity scales represents prima facie evidence of non-credible responding, whereas over-reporting on other measures, such as the PAI, may be consistent with the severity of the individual’s disorder</w:t>
      </w:r>
      <w:r w:rsidR="006F73AD" w:rsidRPr="004D3B0C">
        <w:rPr>
          <w:rFonts w:cs="Times New Roman"/>
          <w:sz w:val="28"/>
          <w:szCs w:val="28"/>
        </w:rPr>
        <w:t>,</w:t>
      </w:r>
      <w:r w:rsidR="007823F2" w:rsidRPr="004D3B0C">
        <w:rPr>
          <w:rFonts w:cs="Times New Roman"/>
          <w:sz w:val="28"/>
          <w:szCs w:val="28"/>
        </w:rPr>
        <w:t xml:space="preserve"> as</w:t>
      </w:r>
      <w:r w:rsidR="00E33121" w:rsidRPr="004D3B0C">
        <w:rPr>
          <w:rFonts w:cs="Times New Roman"/>
          <w:sz w:val="28"/>
          <w:szCs w:val="28"/>
        </w:rPr>
        <w:t xml:space="preserve"> typically they </w:t>
      </w:r>
      <w:r w:rsidR="007823F2" w:rsidRPr="004D3B0C">
        <w:rPr>
          <w:rFonts w:cs="Times New Roman"/>
          <w:sz w:val="28"/>
          <w:szCs w:val="28"/>
        </w:rPr>
        <w:t xml:space="preserve">involve a frequency count of genuine symptoms. In the case of the PPQ, where the </w:t>
      </w:r>
      <w:r w:rsidR="00E33121" w:rsidRPr="004D3B0C">
        <w:rPr>
          <w:rFonts w:cs="Times New Roman"/>
          <w:sz w:val="28"/>
          <w:szCs w:val="28"/>
        </w:rPr>
        <w:t xml:space="preserve">validity </w:t>
      </w:r>
      <w:r w:rsidR="007823F2" w:rsidRPr="004D3B0C">
        <w:rPr>
          <w:rFonts w:cs="Times New Roman"/>
          <w:sz w:val="28"/>
          <w:szCs w:val="28"/>
        </w:rPr>
        <w:t xml:space="preserve">symptoms are </w:t>
      </w:r>
      <w:r w:rsidR="00E33121" w:rsidRPr="004D3B0C">
        <w:rPr>
          <w:rFonts w:cs="Times New Roman"/>
          <w:sz w:val="28"/>
          <w:szCs w:val="28"/>
        </w:rPr>
        <w:t xml:space="preserve">a priori </w:t>
      </w:r>
      <w:r w:rsidR="007823F2" w:rsidRPr="004D3B0C">
        <w:rPr>
          <w:rFonts w:cs="Times New Roman"/>
          <w:sz w:val="28"/>
          <w:szCs w:val="28"/>
        </w:rPr>
        <w:t>implausible, then</w:t>
      </w:r>
      <w:r w:rsidR="00E33121" w:rsidRPr="004D3B0C">
        <w:rPr>
          <w:rFonts w:cs="Times New Roman"/>
          <w:sz w:val="28"/>
          <w:szCs w:val="28"/>
        </w:rPr>
        <w:t xml:space="preserve"> their endorsement </w:t>
      </w:r>
      <w:r w:rsidR="007823F2" w:rsidRPr="004D3B0C">
        <w:rPr>
          <w:rFonts w:cs="Times New Roman"/>
          <w:sz w:val="28"/>
          <w:szCs w:val="28"/>
        </w:rPr>
        <w:t>is inherently inconsistent with a valid condition.</w:t>
      </w:r>
    </w:p>
    <w:p w:rsidR="00581EF4" w:rsidRPr="004D3B0C" w:rsidRDefault="00581EF4" w:rsidP="00581EF4">
      <w:pPr>
        <w:spacing w:after="0" w:line="480" w:lineRule="auto"/>
        <w:rPr>
          <w:rFonts w:cs="Times New Roman"/>
          <w:sz w:val="28"/>
          <w:szCs w:val="28"/>
        </w:rPr>
      </w:pPr>
      <w:r w:rsidRPr="004D3B0C">
        <w:rPr>
          <w:rFonts w:cs="Times New Roman"/>
          <w:i/>
          <w:sz w:val="28"/>
          <w:szCs w:val="28"/>
        </w:rPr>
        <w:t>Limitations and future studies</w:t>
      </w:r>
    </w:p>
    <w:p w:rsidR="00581EF4" w:rsidRPr="004D3B0C" w:rsidRDefault="00581EF4" w:rsidP="00C31584">
      <w:pPr>
        <w:spacing w:after="0" w:line="480" w:lineRule="auto"/>
        <w:ind w:firstLine="720"/>
        <w:rPr>
          <w:rFonts w:ascii="Calibri" w:eastAsia="Times New Roman" w:hAnsi="Calibri" w:cs="Times New Roman"/>
          <w:sz w:val="28"/>
          <w:szCs w:val="27"/>
          <w:lang w:eastAsia="en-GB"/>
        </w:rPr>
      </w:pPr>
      <w:bookmarkStart w:id="9" w:name="_Hlk509489132"/>
      <w:r w:rsidRPr="004D3B0C">
        <w:rPr>
          <w:rFonts w:cs="Times New Roman"/>
          <w:sz w:val="28"/>
          <w:szCs w:val="28"/>
        </w:rPr>
        <w:t xml:space="preserve">The PPQ is shorter than other multidimensional measures, while nevertheless allowing a broad assessment of patients’ complaints and including measures that assess response validity, and the present study provides potentially useful data to assist with its use and interpretation. </w:t>
      </w:r>
      <w:bookmarkEnd w:id="9"/>
      <w:r w:rsidRPr="004D3B0C">
        <w:rPr>
          <w:rFonts w:cs="Times New Roman"/>
          <w:sz w:val="28"/>
          <w:szCs w:val="28"/>
        </w:rPr>
        <w:t xml:space="preserve">Clearly, research on the PPQ is in its early phase with more work </w:t>
      </w:r>
      <w:r w:rsidR="00783C6F" w:rsidRPr="004D3B0C">
        <w:rPr>
          <w:rFonts w:cs="Times New Roman"/>
          <w:sz w:val="28"/>
          <w:szCs w:val="28"/>
        </w:rPr>
        <w:t xml:space="preserve">is </w:t>
      </w:r>
      <w:r w:rsidRPr="004D3B0C">
        <w:rPr>
          <w:rFonts w:cs="Times New Roman"/>
          <w:sz w:val="28"/>
          <w:szCs w:val="28"/>
        </w:rPr>
        <w:t xml:space="preserve">needed. </w:t>
      </w:r>
      <w:r w:rsidR="00B97C30" w:rsidRPr="004D3B0C">
        <w:rPr>
          <w:rFonts w:cs="Times New Roman"/>
          <w:sz w:val="28"/>
          <w:szCs w:val="28"/>
        </w:rPr>
        <w:t>The ABI sample was a heterogenous group with a range of neurological conditions which may be useful as an omnibus clinical sample, but future investigation might look at a more uniform group such as TBI patients in both clinical and forensic settings. In addition,</w:t>
      </w:r>
      <w:r w:rsidRPr="004D3B0C">
        <w:rPr>
          <w:rFonts w:cs="Times New Roman"/>
          <w:sz w:val="28"/>
          <w:szCs w:val="28"/>
        </w:rPr>
        <w:t xml:space="preserve"> concomitant neuropsychological test data and data from an established personality scale which contains emotional, cognitive and physical item scales and validity scales for each of these areas </w:t>
      </w:r>
      <w:r w:rsidRPr="004D3B0C">
        <w:rPr>
          <w:rFonts w:cs="Times New Roman"/>
          <w:sz w:val="28"/>
          <w:szCs w:val="28"/>
        </w:rPr>
        <w:lastRenderedPageBreak/>
        <w:t>(e.g., MMPI-2-RF) is needed to allow examination of the relationship of PPQ scales to established tests of actual ability/impairment and personality. Further research is also required to examine its utility in assessing over-reporting in other populations, such as those with chronic pain</w:t>
      </w:r>
      <w:r w:rsidR="00BD5A93" w:rsidRPr="004D3B0C">
        <w:rPr>
          <w:rFonts w:cs="Times New Roman"/>
          <w:sz w:val="28"/>
          <w:szCs w:val="28"/>
        </w:rPr>
        <w:t xml:space="preserve"> and </w:t>
      </w:r>
      <w:r w:rsidR="00010510" w:rsidRPr="004D3B0C">
        <w:rPr>
          <w:rFonts w:cs="Times New Roman"/>
          <w:sz w:val="28"/>
          <w:szCs w:val="28"/>
        </w:rPr>
        <w:t>illness behaviour, such as somatisation and non-epileptic attack disorder</w:t>
      </w:r>
      <w:r w:rsidRPr="004D3B0C">
        <w:rPr>
          <w:rFonts w:cs="Times New Roman"/>
          <w:sz w:val="28"/>
          <w:szCs w:val="28"/>
        </w:rPr>
        <w:t>.</w:t>
      </w:r>
      <w:r w:rsidR="00C31584" w:rsidRPr="004D3B0C">
        <w:rPr>
          <w:rFonts w:cs="Times New Roman"/>
          <w:sz w:val="28"/>
          <w:szCs w:val="28"/>
        </w:rPr>
        <w:t xml:space="preserve"> The present study</w:t>
      </w:r>
      <w:r w:rsidR="00010510" w:rsidRPr="004D3B0C">
        <w:rPr>
          <w:rFonts w:cs="Times New Roman"/>
          <w:sz w:val="28"/>
          <w:szCs w:val="28"/>
        </w:rPr>
        <w:t xml:space="preserve"> </w:t>
      </w:r>
      <w:r w:rsidR="00C31584" w:rsidRPr="004D3B0C">
        <w:rPr>
          <w:rFonts w:cs="Times New Roman"/>
          <w:sz w:val="28"/>
          <w:szCs w:val="28"/>
        </w:rPr>
        <w:t>involved a relatively small clinical sample of whom a subset had traumatic brain injuries, a group that is of particular interest</w:t>
      </w:r>
      <w:r w:rsidR="00010510" w:rsidRPr="004D3B0C">
        <w:rPr>
          <w:rFonts w:cs="Times New Roman"/>
          <w:sz w:val="28"/>
          <w:szCs w:val="28"/>
        </w:rPr>
        <w:t xml:space="preserve"> in </w:t>
      </w:r>
      <w:r w:rsidR="00C31584" w:rsidRPr="004D3B0C">
        <w:rPr>
          <w:rFonts w:cs="Times New Roman"/>
          <w:sz w:val="28"/>
          <w:szCs w:val="28"/>
        </w:rPr>
        <w:t>medico-legal</w:t>
      </w:r>
      <w:r w:rsidR="00010510" w:rsidRPr="004D3B0C">
        <w:rPr>
          <w:rFonts w:cs="Times New Roman"/>
          <w:sz w:val="28"/>
          <w:szCs w:val="28"/>
        </w:rPr>
        <w:t xml:space="preserve"> settings</w:t>
      </w:r>
      <w:r w:rsidR="00C31584" w:rsidRPr="004D3B0C">
        <w:rPr>
          <w:rFonts w:cs="Times New Roman"/>
          <w:sz w:val="28"/>
          <w:szCs w:val="28"/>
        </w:rPr>
        <w:t>. van den Broek and colleagues (2012) found that the validity scales</w:t>
      </w:r>
      <w:r w:rsidR="00010510" w:rsidRPr="004D3B0C">
        <w:rPr>
          <w:rFonts w:cs="Times New Roman"/>
          <w:sz w:val="28"/>
          <w:szCs w:val="28"/>
        </w:rPr>
        <w:t xml:space="preserve"> had </w:t>
      </w:r>
      <w:r w:rsidR="00C31584" w:rsidRPr="004D3B0C">
        <w:rPr>
          <w:rFonts w:cs="Times New Roman"/>
          <w:sz w:val="28"/>
          <w:szCs w:val="28"/>
        </w:rPr>
        <w:t>good sensitivity and specificity when discriminating between simulated brain trauma, patients with acquired brain injuries and controls. The present study sought to</w:t>
      </w:r>
      <w:r w:rsidR="00B6755E" w:rsidRPr="004D3B0C">
        <w:rPr>
          <w:rFonts w:cs="Times New Roman"/>
          <w:sz w:val="28"/>
          <w:szCs w:val="28"/>
        </w:rPr>
        <w:t xml:space="preserve"> establish </w:t>
      </w:r>
      <w:r w:rsidR="00C31584" w:rsidRPr="004D3B0C">
        <w:rPr>
          <w:rFonts w:cs="Times New Roman"/>
          <w:sz w:val="28"/>
          <w:szCs w:val="28"/>
        </w:rPr>
        <w:t xml:space="preserve">that the validity measures were unaffected by neuropathology in a non-forensic sample, and this was </w:t>
      </w:r>
      <w:r w:rsidR="006F73AD" w:rsidRPr="004D3B0C">
        <w:rPr>
          <w:rFonts w:cs="Times New Roman"/>
          <w:sz w:val="28"/>
          <w:szCs w:val="28"/>
        </w:rPr>
        <w:t xml:space="preserve">largely </w:t>
      </w:r>
      <w:r w:rsidR="00C31584" w:rsidRPr="004D3B0C">
        <w:rPr>
          <w:rFonts w:cs="Times New Roman"/>
          <w:sz w:val="28"/>
          <w:szCs w:val="28"/>
        </w:rPr>
        <w:t>confirmed</w:t>
      </w:r>
      <w:r w:rsidR="00010510" w:rsidRPr="004D3B0C">
        <w:rPr>
          <w:rFonts w:cs="Times New Roman"/>
          <w:sz w:val="28"/>
          <w:szCs w:val="28"/>
        </w:rPr>
        <w:t>, but</w:t>
      </w:r>
      <w:r w:rsidR="00C31584" w:rsidRPr="004D3B0C">
        <w:rPr>
          <w:rFonts w:cs="Times New Roman"/>
          <w:sz w:val="28"/>
          <w:szCs w:val="28"/>
        </w:rPr>
        <w:t xml:space="preserve"> additional investigation is required to</w:t>
      </w:r>
      <w:r w:rsidR="00B6755E" w:rsidRPr="004D3B0C">
        <w:rPr>
          <w:rFonts w:cs="Times New Roman"/>
          <w:sz w:val="28"/>
          <w:szCs w:val="28"/>
        </w:rPr>
        <w:t xml:space="preserve"> evaluate </w:t>
      </w:r>
      <w:r w:rsidR="00C31584" w:rsidRPr="004D3B0C">
        <w:rPr>
          <w:rFonts w:cs="Times New Roman"/>
          <w:sz w:val="28"/>
          <w:szCs w:val="28"/>
        </w:rPr>
        <w:t>the utility of the</w:t>
      </w:r>
      <w:r w:rsidR="00010510" w:rsidRPr="004D3B0C">
        <w:rPr>
          <w:rFonts w:cs="Times New Roman"/>
          <w:sz w:val="28"/>
          <w:szCs w:val="28"/>
        </w:rPr>
        <w:t xml:space="preserve"> scales with </w:t>
      </w:r>
      <w:r w:rsidR="00C31584" w:rsidRPr="004D3B0C">
        <w:rPr>
          <w:rFonts w:cs="Times New Roman"/>
          <w:sz w:val="28"/>
          <w:szCs w:val="28"/>
        </w:rPr>
        <w:t>real-life TBI patients involved in</w:t>
      </w:r>
      <w:r w:rsidR="00010510" w:rsidRPr="004D3B0C">
        <w:rPr>
          <w:rFonts w:cs="Times New Roman"/>
          <w:sz w:val="28"/>
          <w:szCs w:val="28"/>
        </w:rPr>
        <w:t xml:space="preserve"> personal injury</w:t>
      </w:r>
      <w:r w:rsidR="00C31584" w:rsidRPr="004D3B0C">
        <w:rPr>
          <w:rFonts w:cs="Times New Roman"/>
          <w:sz w:val="28"/>
          <w:szCs w:val="28"/>
        </w:rPr>
        <w:t xml:space="preserve"> litigation</w:t>
      </w:r>
      <w:r w:rsidR="00010510" w:rsidRPr="004D3B0C">
        <w:rPr>
          <w:rFonts w:cs="Times New Roman"/>
          <w:sz w:val="28"/>
          <w:szCs w:val="28"/>
        </w:rPr>
        <w:t>.</w:t>
      </w:r>
    </w:p>
    <w:p w:rsidR="00581EF4" w:rsidRPr="004D3B0C" w:rsidRDefault="00581EF4" w:rsidP="00581EF4">
      <w:pPr>
        <w:spacing w:after="0" w:line="480" w:lineRule="auto"/>
        <w:rPr>
          <w:rFonts w:eastAsia="Times New Roman" w:cs="Times New Roman"/>
          <w:b/>
          <w:sz w:val="27"/>
          <w:szCs w:val="27"/>
          <w:lang w:eastAsia="en-GB"/>
        </w:rPr>
      </w:pPr>
    </w:p>
    <w:p w:rsidR="00581EF4" w:rsidRPr="004D3B0C" w:rsidRDefault="00581EF4" w:rsidP="00581EF4">
      <w:pPr>
        <w:spacing w:after="0" w:line="480" w:lineRule="auto"/>
        <w:rPr>
          <w:rFonts w:eastAsia="Times New Roman" w:cs="Times New Roman"/>
          <w:b/>
          <w:sz w:val="27"/>
          <w:szCs w:val="27"/>
          <w:lang w:eastAsia="en-GB"/>
        </w:rPr>
      </w:pPr>
    </w:p>
    <w:p w:rsidR="00581EF4" w:rsidRPr="004D3B0C" w:rsidRDefault="00581EF4" w:rsidP="00581EF4">
      <w:pPr>
        <w:spacing w:after="0" w:line="480" w:lineRule="auto"/>
        <w:rPr>
          <w:rFonts w:eastAsia="Times New Roman" w:cs="Times New Roman"/>
          <w:b/>
          <w:sz w:val="27"/>
          <w:szCs w:val="27"/>
          <w:lang w:eastAsia="en-GB"/>
        </w:rPr>
      </w:pPr>
    </w:p>
    <w:p w:rsidR="00581EF4" w:rsidRPr="004D3B0C" w:rsidRDefault="00581EF4" w:rsidP="00581EF4">
      <w:pPr>
        <w:spacing w:after="0" w:line="480" w:lineRule="auto"/>
        <w:rPr>
          <w:rFonts w:eastAsia="Times New Roman" w:cs="Times New Roman"/>
          <w:b/>
          <w:sz w:val="27"/>
          <w:szCs w:val="27"/>
          <w:lang w:eastAsia="en-GB"/>
        </w:rPr>
      </w:pPr>
      <w:r w:rsidRPr="004D3B0C">
        <w:rPr>
          <w:rFonts w:eastAsia="Times New Roman" w:cs="Times New Roman"/>
          <w:b/>
          <w:sz w:val="27"/>
          <w:szCs w:val="27"/>
          <w:lang w:eastAsia="en-GB"/>
        </w:rPr>
        <w:t xml:space="preserve">Funding </w:t>
      </w:r>
    </w:p>
    <w:p w:rsidR="00D46414" w:rsidRPr="004D3B0C" w:rsidRDefault="00D46414" w:rsidP="00581EF4">
      <w:pPr>
        <w:spacing w:after="0" w:line="480" w:lineRule="auto"/>
        <w:rPr>
          <w:rFonts w:cs="Times New Roman"/>
          <w:sz w:val="28"/>
          <w:szCs w:val="28"/>
        </w:rPr>
      </w:pPr>
      <w:r w:rsidRPr="004D3B0C">
        <w:rPr>
          <w:rFonts w:cs="Times New Roman"/>
          <w:sz w:val="28"/>
          <w:szCs w:val="28"/>
        </w:rPr>
        <w:t>None.</w:t>
      </w:r>
      <w:r w:rsidRPr="004D3B0C">
        <w:rPr>
          <w:rFonts w:eastAsia="Times New Roman" w:cs="Times New Roman"/>
          <w:sz w:val="27"/>
          <w:szCs w:val="27"/>
          <w:lang w:eastAsia="en-GB"/>
        </w:rPr>
        <w:t xml:space="preserve"> The authors have no conflicts of interest to declare.</w:t>
      </w:r>
    </w:p>
    <w:p w:rsidR="00D46414" w:rsidRPr="004D3B0C" w:rsidRDefault="00D46414" w:rsidP="00581EF4">
      <w:pPr>
        <w:shd w:val="clear" w:color="auto" w:fill="FFFFFF"/>
        <w:spacing w:after="120" w:line="480" w:lineRule="auto"/>
        <w:textAlignment w:val="baseline"/>
        <w:rPr>
          <w:rFonts w:eastAsia="Times New Roman" w:cs="Times New Roman"/>
          <w:b/>
          <w:sz w:val="27"/>
          <w:szCs w:val="27"/>
          <w:lang w:eastAsia="en-GB"/>
        </w:rPr>
      </w:pPr>
    </w:p>
    <w:p w:rsidR="00581EF4" w:rsidRPr="004D3B0C" w:rsidRDefault="00581EF4" w:rsidP="00581EF4">
      <w:pPr>
        <w:spacing w:after="0" w:line="480" w:lineRule="auto"/>
        <w:ind w:firstLine="720"/>
        <w:rPr>
          <w:rFonts w:cs="Times New Roman"/>
          <w:sz w:val="28"/>
          <w:szCs w:val="28"/>
        </w:rPr>
      </w:pPr>
    </w:p>
    <w:p w:rsidR="00581EF4" w:rsidRPr="004D3B0C" w:rsidRDefault="00581EF4" w:rsidP="00581EF4">
      <w:pPr>
        <w:rPr>
          <w:sz w:val="28"/>
          <w:szCs w:val="28"/>
          <w:u w:val="single"/>
        </w:rPr>
      </w:pPr>
      <w:r w:rsidRPr="004D3B0C">
        <w:rPr>
          <w:sz w:val="28"/>
          <w:szCs w:val="28"/>
          <w:u w:val="single"/>
        </w:rPr>
        <w:lastRenderedPageBreak/>
        <w:br w:type="page"/>
      </w:r>
    </w:p>
    <w:p w:rsidR="00581EF4" w:rsidRPr="004D3B0C" w:rsidRDefault="00581EF4" w:rsidP="00581EF4">
      <w:pPr>
        <w:spacing w:after="120" w:line="480" w:lineRule="auto"/>
        <w:jc w:val="center"/>
        <w:rPr>
          <w:b/>
          <w:sz w:val="28"/>
          <w:szCs w:val="28"/>
        </w:rPr>
      </w:pPr>
      <w:r w:rsidRPr="004D3B0C">
        <w:rPr>
          <w:b/>
          <w:sz w:val="28"/>
          <w:szCs w:val="28"/>
        </w:rPr>
        <w:lastRenderedPageBreak/>
        <w:t>References</w:t>
      </w:r>
    </w:p>
    <w:p w:rsidR="00581EF4" w:rsidRPr="004D3B0C" w:rsidRDefault="00581EF4" w:rsidP="00581EF4">
      <w:pPr>
        <w:spacing w:after="120" w:line="480" w:lineRule="auto"/>
        <w:rPr>
          <w:sz w:val="28"/>
          <w:szCs w:val="28"/>
        </w:rPr>
      </w:pPr>
      <w:r w:rsidRPr="004D3B0C">
        <w:rPr>
          <w:sz w:val="28"/>
          <w:szCs w:val="28"/>
        </w:rPr>
        <w:t xml:space="preserve">American Academy of Clinical Neuropsychology Board of Directors. (2007). American Academy of Clinical Neuropsychology (AACN) practice guidelines for neuropsychological assessment and consultation. </w:t>
      </w:r>
      <w:r w:rsidRPr="004D3B0C">
        <w:rPr>
          <w:i/>
          <w:sz w:val="28"/>
          <w:szCs w:val="28"/>
        </w:rPr>
        <w:t>The Clinical Neuropsychologist</w:t>
      </w:r>
      <w:r w:rsidRPr="004D3B0C">
        <w:rPr>
          <w:sz w:val="28"/>
          <w:szCs w:val="28"/>
        </w:rPr>
        <w:t>, 21, 209-231.</w:t>
      </w:r>
    </w:p>
    <w:p w:rsidR="00581EF4" w:rsidRPr="004D3B0C" w:rsidRDefault="00581EF4" w:rsidP="00581EF4">
      <w:pPr>
        <w:spacing w:after="120" w:line="480" w:lineRule="auto"/>
        <w:rPr>
          <w:sz w:val="28"/>
          <w:szCs w:val="28"/>
        </w:rPr>
      </w:pPr>
    </w:p>
    <w:p w:rsidR="00581EF4" w:rsidRPr="004D3B0C" w:rsidRDefault="00581EF4" w:rsidP="00581EF4">
      <w:pPr>
        <w:spacing w:after="120" w:line="480" w:lineRule="auto"/>
        <w:rPr>
          <w:sz w:val="28"/>
          <w:szCs w:val="28"/>
        </w:rPr>
      </w:pPr>
      <w:r w:rsidRPr="004D3B0C">
        <w:rPr>
          <w:sz w:val="28"/>
          <w:szCs w:val="28"/>
        </w:rPr>
        <w:t xml:space="preserve">American Psychiatric Association (2013). </w:t>
      </w:r>
      <w:r w:rsidRPr="004D3B0C">
        <w:rPr>
          <w:i/>
          <w:sz w:val="28"/>
          <w:szCs w:val="28"/>
        </w:rPr>
        <w:t>Diagnostic and Statistical Manual of Mental Disorders</w:t>
      </w:r>
      <w:r w:rsidRPr="004D3B0C">
        <w:rPr>
          <w:sz w:val="28"/>
          <w:szCs w:val="28"/>
        </w:rPr>
        <w:t>, Fifth Edition.</w:t>
      </w:r>
    </w:p>
    <w:p w:rsidR="00581EF4" w:rsidRPr="004D3B0C" w:rsidRDefault="00581EF4" w:rsidP="00581EF4">
      <w:pPr>
        <w:spacing w:after="120" w:line="480" w:lineRule="auto"/>
        <w:rPr>
          <w:sz w:val="28"/>
          <w:szCs w:val="28"/>
        </w:rPr>
      </w:pPr>
    </w:p>
    <w:p w:rsidR="00581EF4" w:rsidRPr="004D3B0C" w:rsidRDefault="00581EF4" w:rsidP="00581EF4">
      <w:pPr>
        <w:spacing w:after="120" w:line="480" w:lineRule="auto"/>
        <w:rPr>
          <w:i/>
          <w:iCs/>
          <w:sz w:val="28"/>
          <w:szCs w:val="28"/>
        </w:rPr>
      </w:pPr>
      <w:r w:rsidRPr="004D3B0C">
        <w:rPr>
          <w:sz w:val="28"/>
          <w:szCs w:val="28"/>
        </w:rPr>
        <w:t xml:space="preserve">Belsley, D. A., Kuh, E., &amp; Welsch, R. E. (1980). </w:t>
      </w:r>
      <w:r w:rsidRPr="004D3B0C">
        <w:rPr>
          <w:i/>
          <w:iCs/>
          <w:sz w:val="28"/>
          <w:szCs w:val="28"/>
        </w:rPr>
        <w:t>Regression diagnostics:</w:t>
      </w:r>
    </w:p>
    <w:p w:rsidR="00581EF4" w:rsidRPr="004D3B0C" w:rsidRDefault="00581EF4" w:rsidP="00581EF4">
      <w:pPr>
        <w:spacing w:after="120" w:line="480" w:lineRule="auto"/>
        <w:rPr>
          <w:sz w:val="28"/>
          <w:szCs w:val="28"/>
        </w:rPr>
      </w:pPr>
      <w:r w:rsidRPr="004D3B0C">
        <w:rPr>
          <w:i/>
          <w:iCs/>
          <w:sz w:val="28"/>
          <w:szCs w:val="28"/>
        </w:rPr>
        <w:t>Identifying influential data and sources of collinearity</w:t>
      </w:r>
      <w:r w:rsidRPr="004D3B0C">
        <w:rPr>
          <w:sz w:val="28"/>
          <w:szCs w:val="28"/>
        </w:rPr>
        <w:t>. New York, NY: Wiley.</w:t>
      </w:r>
    </w:p>
    <w:p w:rsidR="00A36E82" w:rsidRPr="004D3B0C" w:rsidRDefault="00A36E82" w:rsidP="00581EF4">
      <w:pPr>
        <w:spacing w:after="120" w:line="480" w:lineRule="auto"/>
        <w:rPr>
          <w:sz w:val="28"/>
          <w:szCs w:val="28"/>
        </w:rPr>
      </w:pPr>
    </w:p>
    <w:p w:rsidR="00581EF4" w:rsidRPr="004D3B0C" w:rsidRDefault="00581EF4" w:rsidP="00CD66C7">
      <w:pPr>
        <w:spacing w:after="120" w:line="480" w:lineRule="auto"/>
        <w:rPr>
          <w:rFonts w:cs="Times New Roman"/>
          <w:sz w:val="28"/>
          <w:szCs w:val="28"/>
        </w:rPr>
      </w:pPr>
      <w:r w:rsidRPr="004D3B0C">
        <w:rPr>
          <w:rFonts w:cs="Times New Roman"/>
          <w:sz w:val="28"/>
          <w:szCs w:val="28"/>
        </w:rPr>
        <w:t xml:space="preserve">Ben-Porath, Y.S., and Tellegen, A. (2008). MMPI-2-RF. </w:t>
      </w:r>
      <w:r w:rsidRPr="004D3B0C">
        <w:rPr>
          <w:rFonts w:cs="Times New Roman"/>
          <w:i/>
          <w:sz w:val="28"/>
          <w:szCs w:val="28"/>
        </w:rPr>
        <w:t>Minnesota Multiphasic Personality Inventory – 2 Restructured Form: Manual for administration, scoring, and interpretation</w:t>
      </w:r>
      <w:r w:rsidRPr="004D3B0C">
        <w:rPr>
          <w:rFonts w:cs="Times New Roman"/>
          <w:sz w:val="28"/>
          <w:szCs w:val="28"/>
        </w:rPr>
        <w:t>. Minneapolis: University of Minnesota Press.</w:t>
      </w:r>
    </w:p>
    <w:p w:rsidR="00CD66C7" w:rsidRPr="004D3B0C" w:rsidRDefault="00CD66C7" w:rsidP="00CD66C7">
      <w:pPr>
        <w:autoSpaceDE w:val="0"/>
        <w:autoSpaceDN w:val="0"/>
        <w:adjustRightInd w:val="0"/>
        <w:spacing w:after="0" w:line="480" w:lineRule="auto"/>
        <w:rPr>
          <w:rFonts w:cs="ArialMT"/>
          <w:b/>
          <w:bCs/>
          <w:sz w:val="28"/>
          <w:szCs w:val="28"/>
        </w:rPr>
      </w:pPr>
    </w:p>
    <w:p w:rsidR="00CD66C7" w:rsidRPr="004D3B0C" w:rsidRDefault="00CC5477" w:rsidP="00CD66C7">
      <w:pPr>
        <w:autoSpaceDE w:val="0"/>
        <w:autoSpaceDN w:val="0"/>
        <w:adjustRightInd w:val="0"/>
        <w:spacing w:after="0" w:line="480" w:lineRule="auto"/>
        <w:rPr>
          <w:rFonts w:cs="ArialMT"/>
          <w:sz w:val="28"/>
          <w:szCs w:val="28"/>
        </w:rPr>
      </w:pPr>
      <w:hyperlink r:id="rId8" w:history="1">
        <w:r w:rsidR="00CD66C7" w:rsidRPr="004D3B0C">
          <w:rPr>
            <w:rFonts w:cs="ArialMT"/>
            <w:sz w:val="28"/>
            <w:szCs w:val="28"/>
            <w:u w:color="262626"/>
          </w:rPr>
          <w:t>Bodapati, A.S</w:t>
        </w:r>
      </w:hyperlink>
      <w:r w:rsidR="00CD66C7" w:rsidRPr="004D3B0C">
        <w:rPr>
          <w:rFonts w:cs="ArialMT"/>
          <w:b/>
          <w:bCs/>
          <w:sz w:val="28"/>
          <w:szCs w:val="28"/>
        </w:rPr>
        <w:t xml:space="preserve">., </w:t>
      </w:r>
      <w:hyperlink r:id="rId9" w:history="1">
        <w:r w:rsidR="00CD66C7" w:rsidRPr="004D3B0C">
          <w:rPr>
            <w:rFonts w:cs="ArialMT"/>
            <w:sz w:val="28"/>
            <w:szCs w:val="28"/>
            <w:u w:color="262626"/>
          </w:rPr>
          <w:t>Combs, H. L.,</w:t>
        </w:r>
      </w:hyperlink>
      <w:r w:rsidR="00CD66C7" w:rsidRPr="004D3B0C">
        <w:rPr>
          <w:rFonts w:cs="ArialMT"/>
          <w:sz w:val="28"/>
          <w:szCs w:val="28"/>
        </w:rPr>
        <w:t xml:space="preserve"> </w:t>
      </w:r>
      <w:hyperlink r:id="rId10" w:history="1">
        <w:r w:rsidR="00CD66C7" w:rsidRPr="004D3B0C">
          <w:rPr>
            <w:rFonts w:cs="ArialMT"/>
            <w:sz w:val="28"/>
            <w:szCs w:val="28"/>
            <w:u w:color="262626"/>
          </w:rPr>
          <w:t>Pastorek, N. J.,</w:t>
        </w:r>
      </w:hyperlink>
      <w:r w:rsidR="00CD66C7" w:rsidRPr="004D3B0C">
        <w:rPr>
          <w:rFonts w:cs="ArialMT"/>
          <w:sz w:val="28"/>
          <w:szCs w:val="28"/>
        </w:rPr>
        <w:t xml:space="preserve"> </w:t>
      </w:r>
      <w:hyperlink r:id="rId11" w:history="1">
        <w:r w:rsidR="00CD66C7" w:rsidRPr="004D3B0C">
          <w:rPr>
            <w:rFonts w:cs="ArialMT"/>
            <w:sz w:val="28"/>
            <w:szCs w:val="28"/>
            <w:u w:color="262626"/>
          </w:rPr>
          <w:t>Miller, B.,</w:t>
        </w:r>
      </w:hyperlink>
      <w:r w:rsidR="00CD66C7" w:rsidRPr="004D3B0C">
        <w:rPr>
          <w:rFonts w:cs="ArialMT"/>
          <w:sz w:val="28"/>
          <w:szCs w:val="28"/>
        </w:rPr>
        <w:t xml:space="preserve"> </w:t>
      </w:r>
      <w:hyperlink r:id="rId12" w:history="1">
        <w:r w:rsidR="00CD66C7" w:rsidRPr="004D3B0C">
          <w:rPr>
            <w:rFonts w:cs="ArialMT"/>
            <w:sz w:val="28"/>
            <w:szCs w:val="28"/>
            <w:u w:color="262626"/>
          </w:rPr>
          <w:t>Troyanskaya, M.,</w:t>
        </w:r>
      </w:hyperlink>
      <w:r w:rsidR="00CD66C7" w:rsidRPr="004D3B0C">
        <w:rPr>
          <w:rFonts w:cs="ArialMT"/>
          <w:sz w:val="28"/>
          <w:szCs w:val="28"/>
        </w:rPr>
        <w:t xml:space="preserve"> </w:t>
      </w:r>
      <w:hyperlink r:id="rId13" w:history="1">
        <w:r w:rsidR="00CD66C7" w:rsidRPr="004D3B0C">
          <w:rPr>
            <w:rFonts w:cs="ArialMT"/>
            <w:sz w:val="28"/>
            <w:szCs w:val="28"/>
            <w:u w:color="262626"/>
          </w:rPr>
          <w:t>Romesser. J.,</w:t>
        </w:r>
      </w:hyperlink>
      <w:r w:rsidR="00CD66C7" w:rsidRPr="004D3B0C">
        <w:rPr>
          <w:rFonts w:cs="ArialMT"/>
          <w:sz w:val="28"/>
          <w:szCs w:val="28"/>
        </w:rPr>
        <w:t xml:space="preserve"> </w:t>
      </w:r>
      <w:hyperlink r:id="rId14" w:history="1">
        <w:r w:rsidR="00CD66C7" w:rsidRPr="004D3B0C">
          <w:rPr>
            <w:rFonts w:cs="ArialMT"/>
            <w:sz w:val="28"/>
            <w:szCs w:val="28"/>
            <w:u w:color="262626"/>
          </w:rPr>
          <w:t xml:space="preserve">Sim,A., </w:t>
        </w:r>
      </w:hyperlink>
      <w:r w:rsidR="00CD66C7" w:rsidRPr="004D3B0C">
        <w:rPr>
          <w:rFonts w:cs="ArialMT"/>
          <w:sz w:val="28"/>
          <w:szCs w:val="28"/>
        </w:rPr>
        <w:t xml:space="preserve">&amp; </w:t>
      </w:r>
      <w:hyperlink r:id="rId15" w:history="1">
        <w:r w:rsidR="00CD66C7" w:rsidRPr="004D3B0C">
          <w:rPr>
            <w:rFonts w:cs="ArialMT"/>
            <w:sz w:val="28"/>
            <w:szCs w:val="28"/>
            <w:u w:color="262626"/>
          </w:rPr>
          <w:t>Linck, J</w:t>
        </w:r>
      </w:hyperlink>
      <w:r w:rsidR="00CD66C7" w:rsidRPr="004D3B0C">
        <w:rPr>
          <w:rFonts w:cs="ArialMT"/>
          <w:sz w:val="28"/>
          <w:szCs w:val="28"/>
        </w:rPr>
        <w:t xml:space="preserve">. (2018). </w:t>
      </w:r>
      <w:r w:rsidR="00CD66C7" w:rsidRPr="004D3B0C">
        <w:rPr>
          <w:rFonts w:cs="ArialMT"/>
          <w:bCs/>
          <w:sz w:val="28"/>
          <w:szCs w:val="28"/>
        </w:rPr>
        <w:t xml:space="preserve">Detection of symptom over-reporting </w:t>
      </w:r>
      <w:r w:rsidR="00CD66C7" w:rsidRPr="004D3B0C">
        <w:rPr>
          <w:rFonts w:cs="ArialMT"/>
          <w:bCs/>
          <w:sz w:val="28"/>
          <w:szCs w:val="28"/>
        </w:rPr>
        <w:lastRenderedPageBreak/>
        <w:t>on the Neurobehavioral Symptom Inventory in OEF/OIF/OND veterans with history of mild TBI.</w:t>
      </w:r>
      <w:r w:rsidR="00CD66C7" w:rsidRPr="004D3B0C">
        <w:rPr>
          <w:rFonts w:cs="ArialMT"/>
          <w:sz w:val="28"/>
          <w:szCs w:val="28"/>
        </w:rPr>
        <w:t xml:space="preserve"> </w:t>
      </w:r>
      <w:r w:rsidR="00CD66C7" w:rsidRPr="004D3B0C">
        <w:rPr>
          <w:rFonts w:cs="ArialMT"/>
          <w:i/>
          <w:sz w:val="28"/>
          <w:szCs w:val="28"/>
        </w:rPr>
        <w:t>The Clinical Neuropsychologist</w:t>
      </w:r>
      <w:r w:rsidR="00CD66C7" w:rsidRPr="004D3B0C">
        <w:rPr>
          <w:rFonts w:cs="ArialMT"/>
          <w:sz w:val="28"/>
          <w:szCs w:val="28"/>
        </w:rPr>
        <w:t>, 5, 1-18.</w:t>
      </w:r>
    </w:p>
    <w:p w:rsidR="00581EF4" w:rsidRPr="004D3B0C" w:rsidRDefault="00CD66C7" w:rsidP="00CD66C7">
      <w:pPr>
        <w:spacing w:after="120" w:line="480" w:lineRule="auto"/>
        <w:rPr>
          <w:rFonts w:cs="Times New Roman"/>
          <w:sz w:val="28"/>
          <w:szCs w:val="28"/>
        </w:rPr>
      </w:pPr>
      <w:r w:rsidRPr="004D3B0C">
        <w:rPr>
          <w:sz w:val="28"/>
          <w:szCs w:val="28"/>
        </w:rPr>
        <w:t xml:space="preserve"> </w:t>
      </w:r>
    </w:p>
    <w:p w:rsidR="00581EF4" w:rsidRPr="004D3B0C" w:rsidRDefault="00581EF4" w:rsidP="00581EF4">
      <w:pPr>
        <w:spacing w:after="120" w:line="480" w:lineRule="auto"/>
        <w:rPr>
          <w:rFonts w:cs="Times New Roman"/>
          <w:sz w:val="28"/>
          <w:szCs w:val="28"/>
        </w:rPr>
      </w:pPr>
      <w:r w:rsidRPr="004D3B0C">
        <w:rPr>
          <w:rFonts w:cs="Times New Roman"/>
          <w:sz w:val="28"/>
          <w:szCs w:val="28"/>
        </w:rPr>
        <w:t xml:space="preserve">Boone, K.B. (2009). The need for continuous and comprehensive sampling of effort/response bias during neuropsychological examinations. </w:t>
      </w:r>
      <w:r w:rsidRPr="004D3B0C">
        <w:rPr>
          <w:rFonts w:cs="Times New Roman"/>
          <w:i/>
          <w:sz w:val="28"/>
          <w:szCs w:val="28"/>
        </w:rPr>
        <w:t>The Clinical Neuropsychologist, 23</w:t>
      </w:r>
      <w:r w:rsidRPr="004D3B0C">
        <w:rPr>
          <w:rFonts w:cs="Times New Roman"/>
          <w:sz w:val="28"/>
          <w:szCs w:val="28"/>
        </w:rPr>
        <w:t>, 729–741.</w:t>
      </w:r>
    </w:p>
    <w:p w:rsidR="00581EF4" w:rsidRPr="004D3B0C" w:rsidRDefault="00581EF4" w:rsidP="00581EF4">
      <w:pPr>
        <w:spacing w:after="120" w:line="480" w:lineRule="auto"/>
        <w:rPr>
          <w:rFonts w:cs="Times New Roman"/>
          <w:sz w:val="28"/>
          <w:szCs w:val="28"/>
        </w:rPr>
      </w:pPr>
    </w:p>
    <w:p w:rsidR="00581EF4" w:rsidRPr="004D3B0C" w:rsidRDefault="00581EF4" w:rsidP="00581EF4">
      <w:pPr>
        <w:spacing w:after="120" w:line="480" w:lineRule="auto"/>
        <w:rPr>
          <w:rFonts w:cs="Times New Roman"/>
          <w:sz w:val="28"/>
          <w:szCs w:val="28"/>
        </w:rPr>
      </w:pPr>
      <w:r w:rsidRPr="004D3B0C">
        <w:rPr>
          <w:rFonts w:cs="Times New Roman"/>
          <w:sz w:val="28"/>
          <w:szCs w:val="28"/>
        </w:rPr>
        <w:t xml:space="preserve">Borgonovi, F., &amp; Pokropek, A. (2016). Education and self-reported health: Evidence from 23 countries on the role of years of schooling, cognitive skills and social capital. </w:t>
      </w:r>
      <w:r w:rsidRPr="004D3B0C">
        <w:rPr>
          <w:rFonts w:cs="Times New Roman"/>
          <w:i/>
          <w:iCs/>
          <w:sz w:val="28"/>
          <w:szCs w:val="28"/>
        </w:rPr>
        <w:t>PloS one</w:t>
      </w:r>
      <w:r w:rsidRPr="004D3B0C">
        <w:rPr>
          <w:rFonts w:cs="Times New Roman"/>
          <w:sz w:val="28"/>
          <w:szCs w:val="28"/>
        </w:rPr>
        <w:t xml:space="preserve">, </w:t>
      </w:r>
      <w:r w:rsidRPr="004D3B0C">
        <w:rPr>
          <w:rFonts w:cs="Times New Roman"/>
          <w:i/>
          <w:iCs/>
          <w:sz w:val="28"/>
          <w:szCs w:val="28"/>
        </w:rPr>
        <w:t>11</w:t>
      </w:r>
      <w:r w:rsidRPr="004D3B0C">
        <w:rPr>
          <w:rFonts w:cs="Times New Roman"/>
          <w:sz w:val="28"/>
          <w:szCs w:val="28"/>
        </w:rPr>
        <w:t>(2), e0149716.</w:t>
      </w:r>
    </w:p>
    <w:p w:rsidR="00581EF4" w:rsidRPr="004D3B0C" w:rsidRDefault="00581EF4" w:rsidP="00581EF4">
      <w:pPr>
        <w:spacing w:after="120" w:line="480" w:lineRule="auto"/>
        <w:rPr>
          <w:rFonts w:cs="Times New Roman"/>
          <w:sz w:val="28"/>
          <w:szCs w:val="28"/>
        </w:rPr>
      </w:pPr>
    </w:p>
    <w:p w:rsidR="00581EF4" w:rsidRPr="004D3B0C" w:rsidRDefault="00581EF4" w:rsidP="00581EF4">
      <w:pPr>
        <w:spacing w:after="120" w:line="480" w:lineRule="auto"/>
        <w:rPr>
          <w:rFonts w:cs="Times New Roman"/>
          <w:sz w:val="28"/>
          <w:szCs w:val="28"/>
        </w:rPr>
      </w:pPr>
      <w:r w:rsidRPr="004D3B0C">
        <w:rPr>
          <w:rFonts w:cs="Times New Roman"/>
          <w:sz w:val="28"/>
          <w:szCs w:val="28"/>
        </w:rPr>
        <w:t xml:space="preserve">British Psychological Society, (2009). </w:t>
      </w:r>
      <w:r w:rsidRPr="004D3B0C">
        <w:rPr>
          <w:rFonts w:cs="Times New Roman"/>
          <w:i/>
          <w:sz w:val="28"/>
          <w:szCs w:val="28"/>
        </w:rPr>
        <w:t>The assessment of effort in clinical testing of cognitive functioning for adults</w:t>
      </w:r>
      <w:r w:rsidRPr="004D3B0C">
        <w:rPr>
          <w:rFonts w:cs="Times New Roman"/>
          <w:sz w:val="28"/>
          <w:szCs w:val="28"/>
        </w:rPr>
        <w:t>. Professional Practice Board.</w:t>
      </w:r>
    </w:p>
    <w:p w:rsidR="00581EF4" w:rsidRPr="004D3B0C" w:rsidRDefault="00581EF4" w:rsidP="00581EF4">
      <w:pPr>
        <w:spacing w:after="120" w:line="480" w:lineRule="auto"/>
        <w:rPr>
          <w:rFonts w:cs="Times New Roman"/>
          <w:sz w:val="28"/>
          <w:szCs w:val="28"/>
        </w:rPr>
      </w:pPr>
    </w:p>
    <w:p w:rsidR="00581EF4" w:rsidRPr="004D3B0C" w:rsidRDefault="00581EF4" w:rsidP="00581EF4">
      <w:pPr>
        <w:spacing w:after="120" w:line="480" w:lineRule="auto"/>
        <w:rPr>
          <w:rFonts w:cs="Times New Roman"/>
          <w:sz w:val="28"/>
          <w:szCs w:val="28"/>
        </w:rPr>
      </w:pPr>
      <w:r w:rsidRPr="004D3B0C">
        <w:rPr>
          <w:rFonts w:cs="Times New Roman"/>
          <w:sz w:val="28"/>
          <w:szCs w:val="28"/>
        </w:rPr>
        <w:t xml:space="preserve">Bush, S.S., Ruff, R.M., Troster, A.I., Barth, J.T., Koffler, S.P., Pliskin, N.H., et al (2005). Symptom validity assessment: practice issues and medical necessity: NAN Policy and Planning Committee. </w:t>
      </w:r>
      <w:r w:rsidRPr="004D3B0C">
        <w:rPr>
          <w:rFonts w:cs="Times New Roman"/>
          <w:i/>
          <w:sz w:val="28"/>
          <w:szCs w:val="28"/>
        </w:rPr>
        <w:t>Archives of Clinical Neuropsychology</w:t>
      </w:r>
      <w:r w:rsidRPr="004D3B0C">
        <w:rPr>
          <w:rFonts w:cs="Times New Roman"/>
          <w:sz w:val="28"/>
          <w:szCs w:val="28"/>
        </w:rPr>
        <w:t>, 20, 419-426.</w:t>
      </w:r>
    </w:p>
    <w:p w:rsidR="00581EF4" w:rsidRPr="004D3B0C" w:rsidRDefault="00581EF4" w:rsidP="00581EF4">
      <w:pPr>
        <w:spacing w:after="120" w:line="480" w:lineRule="auto"/>
        <w:rPr>
          <w:rFonts w:cs="Times New Roman"/>
          <w:sz w:val="28"/>
          <w:szCs w:val="28"/>
        </w:rPr>
      </w:pPr>
    </w:p>
    <w:p w:rsidR="007E547E" w:rsidRPr="004D3B0C" w:rsidRDefault="007E547E" w:rsidP="007E547E">
      <w:pPr>
        <w:spacing w:after="120" w:line="480" w:lineRule="auto"/>
        <w:rPr>
          <w:sz w:val="28"/>
          <w:szCs w:val="28"/>
        </w:rPr>
      </w:pPr>
      <w:r w:rsidRPr="004D3B0C">
        <w:rPr>
          <w:rFonts w:cs="Times New Roman"/>
          <w:sz w:val="28"/>
          <w:szCs w:val="28"/>
        </w:rPr>
        <w:lastRenderedPageBreak/>
        <w:t xml:space="preserve">Butcher, J. N., Dahlstrom, W. G., Graham, J. R., Tellegen, A., &amp; Kaemmer, B. (1989). </w:t>
      </w:r>
      <w:r w:rsidRPr="004D3B0C">
        <w:rPr>
          <w:rFonts w:cs="Times New Roman"/>
          <w:i/>
          <w:sz w:val="28"/>
          <w:szCs w:val="28"/>
        </w:rPr>
        <w:t xml:space="preserve">Manual for the Re-Standardised Minnesota Multiphasic Personality Inventory: </w:t>
      </w:r>
      <w:r w:rsidRPr="004D3B0C">
        <w:rPr>
          <w:rFonts w:cs="Times New Roman"/>
          <w:sz w:val="28"/>
          <w:szCs w:val="28"/>
        </w:rPr>
        <w:t xml:space="preserve">MMPI-2. Minneapolis: University of Minnesota Press. </w:t>
      </w:r>
    </w:p>
    <w:p w:rsidR="007E547E" w:rsidRPr="004D3B0C" w:rsidRDefault="007E547E" w:rsidP="00581EF4">
      <w:pPr>
        <w:spacing w:after="120" w:line="480" w:lineRule="auto"/>
        <w:rPr>
          <w:rFonts w:cs="Times New Roman"/>
          <w:sz w:val="28"/>
          <w:szCs w:val="28"/>
        </w:rPr>
      </w:pPr>
    </w:p>
    <w:p w:rsidR="00581EF4" w:rsidRPr="004D3B0C" w:rsidRDefault="00581EF4" w:rsidP="00581EF4">
      <w:pPr>
        <w:spacing w:after="120" w:line="480" w:lineRule="auto"/>
        <w:rPr>
          <w:rFonts w:cs="Times New Roman"/>
          <w:sz w:val="28"/>
          <w:szCs w:val="28"/>
        </w:rPr>
      </w:pPr>
      <w:r w:rsidRPr="004D3B0C">
        <w:rPr>
          <w:rFonts w:cs="Times New Roman"/>
          <w:sz w:val="28"/>
          <w:szCs w:val="28"/>
        </w:rPr>
        <w:t xml:space="preserve">Carstensen, L. L., Pasupathi, M., Mayr, U., &amp; Nesselroade, J. R. (2000). Emotional experience in everyday life across the adult life span. </w:t>
      </w:r>
      <w:r w:rsidRPr="004D3B0C">
        <w:rPr>
          <w:rFonts w:cs="Times New Roman"/>
          <w:i/>
          <w:iCs/>
          <w:sz w:val="28"/>
          <w:szCs w:val="28"/>
        </w:rPr>
        <w:t>Journal of Personality and Social Psychology</w:t>
      </w:r>
      <w:r w:rsidRPr="004D3B0C">
        <w:rPr>
          <w:rFonts w:cs="Times New Roman"/>
          <w:sz w:val="28"/>
          <w:szCs w:val="28"/>
        </w:rPr>
        <w:t xml:space="preserve">, </w:t>
      </w:r>
      <w:r w:rsidRPr="004D3B0C">
        <w:rPr>
          <w:rFonts w:cs="Times New Roman"/>
          <w:i/>
          <w:iCs/>
          <w:sz w:val="28"/>
          <w:szCs w:val="28"/>
        </w:rPr>
        <w:t>79</w:t>
      </w:r>
      <w:r w:rsidRPr="004D3B0C">
        <w:rPr>
          <w:rFonts w:cs="Times New Roman"/>
          <w:sz w:val="28"/>
          <w:szCs w:val="28"/>
        </w:rPr>
        <w:t>(4), 644.</w:t>
      </w:r>
    </w:p>
    <w:p w:rsidR="00581EF4" w:rsidRPr="004D3B0C" w:rsidRDefault="00581EF4" w:rsidP="00581EF4">
      <w:pPr>
        <w:spacing w:after="120" w:line="480" w:lineRule="auto"/>
        <w:rPr>
          <w:rFonts w:cs="Times New Roman"/>
          <w:sz w:val="28"/>
          <w:szCs w:val="28"/>
        </w:rPr>
      </w:pPr>
    </w:p>
    <w:p w:rsidR="00581EF4" w:rsidRPr="004D3B0C" w:rsidRDefault="00581EF4" w:rsidP="00581EF4">
      <w:pPr>
        <w:spacing w:after="120" w:line="480" w:lineRule="auto"/>
        <w:rPr>
          <w:rFonts w:cs="Times New Roman"/>
          <w:sz w:val="28"/>
          <w:szCs w:val="28"/>
        </w:rPr>
      </w:pPr>
      <w:r w:rsidRPr="004D3B0C">
        <w:rPr>
          <w:rFonts w:cs="Times New Roman"/>
          <w:sz w:val="28"/>
          <w:szCs w:val="28"/>
        </w:rPr>
        <w:t xml:space="preserve">Charter, R. A. (1999). Sample size requirements for precise estimates of reliability, generalizability, and validity coefficients. </w:t>
      </w:r>
      <w:r w:rsidRPr="004D3B0C">
        <w:rPr>
          <w:rFonts w:cs="Times New Roman"/>
          <w:i/>
          <w:iCs/>
          <w:sz w:val="28"/>
          <w:szCs w:val="28"/>
        </w:rPr>
        <w:t>Journal of Clinical and Experimental Neuropsychology</w:t>
      </w:r>
      <w:r w:rsidRPr="004D3B0C">
        <w:rPr>
          <w:rFonts w:cs="Times New Roman"/>
          <w:sz w:val="28"/>
          <w:szCs w:val="28"/>
        </w:rPr>
        <w:t xml:space="preserve">, </w:t>
      </w:r>
      <w:r w:rsidRPr="004D3B0C">
        <w:rPr>
          <w:rFonts w:cs="Times New Roman"/>
          <w:i/>
          <w:iCs/>
          <w:sz w:val="28"/>
          <w:szCs w:val="28"/>
        </w:rPr>
        <w:t>21</w:t>
      </w:r>
      <w:r w:rsidRPr="004D3B0C">
        <w:rPr>
          <w:rFonts w:cs="Times New Roman"/>
          <w:sz w:val="28"/>
          <w:szCs w:val="28"/>
        </w:rPr>
        <w:t>(4), 559-566.</w:t>
      </w:r>
    </w:p>
    <w:p w:rsidR="00581EF4" w:rsidRPr="004D3B0C" w:rsidRDefault="00581EF4" w:rsidP="00581EF4">
      <w:pPr>
        <w:spacing w:after="120" w:line="480" w:lineRule="auto"/>
        <w:rPr>
          <w:rFonts w:cs="Times New Roman"/>
          <w:sz w:val="28"/>
          <w:szCs w:val="28"/>
        </w:rPr>
      </w:pPr>
    </w:p>
    <w:p w:rsidR="00581EF4" w:rsidRPr="004D3B0C" w:rsidRDefault="00581EF4" w:rsidP="00581EF4">
      <w:pPr>
        <w:spacing w:after="120" w:line="480" w:lineRule="auto"/>
        <w:rPr>
          <w:rFonts w:cs="Times New Roman"/>
          <w:i/>
          <w:iCs/>
          <w:sz w:val="28"/>
          <w:szCs w:val="28"/>
        </w:rPr>
      </w:pPr>
      <w:r w:rsidRPr="004D3B0C">
        <w:rPr>
          <w:rFonts w:cs="Times New Roman"/>
          <w:sz w:val="28"/>
          <w:szCs w:val="28"/>
        </w:rPr>
        <w:t xml:space="preserve">Cook, R. D., &amp; Weisberg, S. (1982). </w:t>
      </w:r>
      <w:r w:rsidRPr="004D3B0C">
        <w:rPr>
          <w:rFonts w:cs="Times New Roman"/>
          <w:i/>
          <w:iCs/>
          <w:sz w:val="28"/>
          <w:szCs w:val="28"/>
        </w:rPr>
        <w:t>Residuals and influence in regression.</w:t>
      </w:r>
    </w:p>
    <w:p w:rsidR="00581EF4" w:rsidRPr="004D3B0C" w:rsidRDefault="00581EF4" w:rsidP="00581EF4">
      <w:pPr>
        <w:spacing w:after="120" w:line="480" w:lineRule="auto"/>
        <w:rPr>
          <w:rFonts w:cs="Times New Roman"/>
          <w:sz w:val="28"/>
          <w:szCs w:val="28"/>
        </w:rPr>
      </w:pPr>
      <w:r w:rsidRPr="004D3B0C">
        <w:rPr>
          <w:rFonts w:cs="Times New Roman"/>
          <w:sz w:val="28"/>
          <w:szCs w:val="28"/>
        </w:rPr>
        <w:t>London: Chapman and Hall.</w:t>
      </w:r>
    </w:p>
    <w:p w:rsidR="00581EF4" w:rsidRPr="004D3B0C" w:rsidRDefault="00581EF4" w:rsidP="00581EF4">
      <w:pPr>
        <w:spacing w:after="120" w:line="480" w:lineRule="auto"/>
        <w:rPr>
          <w:rFonts w:cs="Times New Roman"/>
          <w:sz w:val="28"/>
          <w:szCs w:val="28"/>
          <w:lang w:val="en"/>
        </w:rPr>
      </w:pPr>
    </w:p>
    <w:p w:rsidR="00581EF4" w:rsidRPr="004D3B0C" w:rsidRDefault="00581EF4" w:rsidP="00581EF4">
      <w:pPr>
        <w:spacing w:after="120" w:line="480" w:lineRule="auto"/>
        <w:rPr>
          <w:rFonts w:cs="Times New Roman"/>
          <w:sz w:val="28"/>
          <w:szCs w:val="28"/>
          <w:lang w:val="en"/>
        </w:rPr>
      </w:pPr>
      <w:r w:rsidRPr="004D3B0C">
        <w:rPr>
          <w:rFonts w:cs="Times New Roman"/>
          <w:sz w:val="28"/>
          <w:szCs w:val="28"/>
          <w:lang w:val="en"/>
        </w:rPr>
        <w:t xml:space="preserve">Cragar, D. E., Berry, D. T., Fakhoury, T. A., Cibula, J. E., &amp; Schmitt, F. A. (2006). Performance of patients with epilepsy or psychogenic non-epileptic seizures on four measures of effort. </w:t>
      </w:r>
      <w:r w:rsidRPr="004D3B0C">
        <w:rPr>
          <w:rFonts w:cs="Times New Roman"/>
          <w:i/>
          <w:sz w:val="28"/>
          <w:szCs w:val="28"/>
          <w:lang w:val="en"/>
        </w:rPr>
        <w:t>Clinical Neuropsychologist, 20</w:t>
      </w:r>
      <w:r w:rsidRPr="004D3B0C">
        <w:rPr>
          <w:rFonts w:cs="Times New Roman"/>
          <w:sz w:val="28"/>
          <w:szCs w:val="28"/>
          <w:lang w:val="en"/>
        </w:rPr>
        <w:t>, 552–566.</w:t>
      </w:r>
    </w:p>
    <w:p w:rsidR="00581EF4" w:rsidRPr="004D3B0C" w:rsidRDefault="00581EF4" w:rsidP="00581EF4">
      <w:pPr>
        <w:spacing w:after="120" w:line="480" w:lineRule="auto"/>
        <w:rPr>
          <w:sz w:val="28"/>
          <w:szCs w:val="28"/>
        </w:rPr>
      </w:pPr>
    </w:p>
    <w:p w:rsidR="008B6FB8" w:rsidRPr="004D3B0C" w:rsidRDefault="008B6FB8" w:rsidP="00581EF4">
      <w:pPr>
        <w:spacing w:after="120" w:line="480" w:lineRule="auto"/>
        <w:rPr>
          <w:sz w:val="28"/>
          <w:szCs w:val="28"/>
        </w:rPr>
      </w:pPr>
      <w:r w:rsidRPr="004D3B0C">
        <w:rPr>
          <w:sz w:val="28"/>
          <w:szCs w:val="28"/>
        </w:rPr>
        <w:lastRenderedPageBreak/>
        <w:t xml:space="preserve">Dandachi-Fitzgerald, B. (2017). </w:t>
      </w:r>
      <w:r w:rsidRPr="004D3B0C">
        <w:rPr>
          <w:i/>
          <w:iCs/>
          <w:sz w:val="28"/>
          <w:szCs w:val="28"/>
        </w:rPr>
        <w:t>Symptom validity in clinical assessments</w:t>
      </w:r>
      <w:r w:rsidRPr="004D3B0C">
        <w:rPr>
          <w:sz w:val="28"/>
          <w:szCs w:val="28"/>
        </w:rPr>
        <w:t xml:space="preserve"> (Doctoral dissertation, Maastricht University).</w:t>
      </w:r>
    </w:p>
    <w:p w:rsidR="00665389" w:rsidRPr="004D3B0C" w:rsidRDefault="00665389" w:rsidP="00581EF4">
      <w:pPr>
        <w:spacing w:after="120" w:line="480" w:lineRule="auto"/>
        <w:rPr>
          <w:sz w:val="28"/>
          <w:szCs w:val="28"/>
        </w:rPr>
      </w:pPr>
    </w:p>
    <w:p w:rsidR="00581EF4" w:rsidRPr="004D3B0C" w:rsidRDefault="00581EF4" w:rsidP="00581EF4">
      <w:pPr>
        <w:spacing w:after="120" w:line="480" w:lineRule="auto"/>
        <w:rPr>
          <w:sz w:val="28"/>
          <w:szCs w:val="28"/>
        </w:rPr>
      </w:pPr>
      <w:r w:rsidRPr="004D3B0C">
        <w:rPr>
          <w:sz w:val="28"/>
          <w:szCs w:val="28"/>
        </w:rPr>
        <w:t xml:space="preserve">Etherton, J. L., Bianchini, K. J., Ciota, M. A., Heinly, M. T., Greve, K. W. (2006). Pain, malingering, and the WAIS-III Working Memory Index. </w:t>
      </w:r>
      <w:r w:rsidRPr="004D3B0C">
        <w:rPr>
          <w:i/>
          <w:sz w:val="28"/>
          <w:szCs w:val="28"/>
        </w:rPr>
        <w:t>Spine Journal, 6</w:t>
      </w:r>
      <w:r w:rsidRPr="004D3B0C">
        <w:rPr>
          <w:sz w:val="28"/>
          <w:szCs w:val="28"/>
        </w:rPr>
        <w:t>, 61-71.</w:t>
      </w:r>
    </w:p>
    <w:p w:rsidR="00581EF4" w:rsidRPr="004D3B0C" w:rsidRDefault="00581EF4" w:rsidP="00581EF4">
      <w:pPr>
        <w:spacing w:after="120" w:line="480" w:lineRule="auto"/>
        <w:rPr>
          <w:sz w:val="28"/>
          <w:szCs w:val="28"/>
        </w:rPr>
      </w:pPr>
    </w:p>
    <w:p w:rsidR="00581EF4" w:rsidRPr="004D3B0C" w:rsidRDefault="00581EF4" w:rsidP="00581EF4">
      <w:pPr>
        <w:spacing w:after="120" w:line="480" w:lineRule="auto"/>
        <w:rPr>
          <w:sz w:val="28"/>
          <w:szCs w:val="28"/>
        </w:rPr>
      </w:pPr>
      <w:r w:rsidRPr="004D3B0C">
        <w:rPr>
          <w:sz w:val="28"/>
          <w:szCs w:val="28"/>
        </w:rPr>
        <w:t xml:space="preserve">Feldt, L. S. (1965). The approximate sampling distribution of Kuder-Richardson Reliability Coefficient Testing. </w:t>
      </w:r>
      <w:r w:rsidRPr="004D3B0C">
        <w:rPr>
          <w:i/>
          <w:sz w:val="28"/>
          <w:szCs w:val="28"/>
        </w:rPr>
        <w:t>Psychometrika, 30</w:t>
      </w:r>
      <w:r w:rsidRPr="004D3B0C">
        <w:rPr>
          <w:sz w:val="28"/>
          <w:szCs w:val="28"/>
        </w:rPr>
        <w:t>, 357-370.</w:t>
      </w:r>
    </w:p>
    <w:p w:rsidR="00581EF4" w:rsidRPr="004D3B0C" w:rsidRDefault="00581EF4" w:rsidP="00581EF4">
      <w:pPr>
        <w:spacing w:after="120" w:line="480" w:lineRule="auto"/>
        <w:rPr>
          <w:sz w:val="28"/>
          <w:szCs w:val="28"/>
        </w:rPr>
      </w:pPr>
    </w:p>
    <w:p w:rsidR="00581EF4" w:rsidRPr="004D3B0C" w:rsidRDefault="00581EF4" w:rsidP="00581EF4">
      <w:pPr>
        <w:spacing w:after="120" w:line="480" w:lineRule="auto"/>
        <w:rPr>
          <w:sz w:val="28"/>
          <w:szCs w:val="28"/>
        </w:rPr>
      </w:pPr>
      <w:r w:rsidRPr="004D3B0C">
        <w:rPr>
          <w:sz w:val="28"/>
          <w:szCs w:val="28"/>
        </w:rPr>
        <w:t xml:space="preserve">Green, P. (2003). </w:t>
      </w:r>
      <w:r w:rsidRPr="004D3B0C">
        <w:rPr>
          <w:i/>
          <w:sz w:val="28"/>
          <w:szCs w:val="28"/>
        </w:rPr>
        <w:t xml:space="preserve">Word Memory Test. </w:t>
      </w:r>
      <w:r w:rsidRPr="004D3B0C">
        <w:rPr>
          <w:sz w:val="28"/>
          <w:szCs w:val="28"/>
        </w:rPr>
        <w:t>Edmonton, Alberta, Canada: Green’s Publishing.</w:t>
      </w:r>
    </w:p>
    <w:p w:rsidR="00581EF4" w:rsidRPr="004D3B0C" w:rsidRDefault="00581EF4" w:rsidP="00581EF4">
      <w:pPr>
        <w:spacing w:after="120" w:line="480" w:lineRule="auto"/>
        <w:rPr>
          <w:sz w:val="28"/>
          <w:szCs w:val="28"/>
        </w:rPr>
      </w:pPr>
    </w:p>
    <w:p w:rsidR="00581EF4" w:rsidRPr="004D3B0C" w:rsidRDefault="00581EF4" w:rsidP="00581EF4">
      <w:pPr>
        <w:spacing w:after="120" w:line="480" w:lineRule="auto"/>
        <w:rPr>
          <w:i/>
          <w:iCs/>
          <w:sz w:val="28"/>
          <w:szCs w:val="28"/>
        </w:rPr>
      </w:pPr>
      <w:r w:rsidRPr="004D3B0C">
        <w:rPr>
          <w:sz w:val="28"/>
          <w:szCs w:val="28"/>
        </w:rPr>
        <w:t xml:space="preserve">Fox, J. (1997). </w:t>
      </w:r>
      <w:r w:rsidRPr="004D3B0C">
        <w:rPr>
          <w:i/>
          <w:iCs/>
          <w:sz w:val="28"/>
          <w:szCs w:val="28"/>
        </w:rPr>
        <w:t>Applied regression analysis, linear models, and related</w:t>
      </w:r>
    </w:p>
    <w:p w:rsidR="00581EF4" w:rsidRPr="004D3B0C" w:rsidRDefault="00581EF4" w:rsidP="00581EF4">
      <w:pPr>
        <w:spacing w:after="120" w:line="480" w:lineRule="auto"/>
        <w:rPr>
          <w:sz w:val="28"/>
          <w:szCs w:val="28"/>
        </w:rPr>
      </w:pPr>
      <w:r w:rsidRPr="004D3B0C">
        <w:rPr>
          <w:i/>
          <w:iCs/>
          <w:sz w:val="28"/>
          <w:szCs w:val="28"/>
        </w:rPr>
        <w:t xml:space="preserve">methods. </w:t>
      </w:r>
      <w:r w:rsidRPr="004D3B0C">
        <w:rPr>
          <w:sz w:val="28"/>
          <w:szCs w:val="28"/>
        </w:rPr>
        <w:t>Thousand Oaks, CA: Sage.</w:t>
      </w:r>
    </w:p>
    <w:p w:rsidR="00581EF4" w:rsidRPr="004D3B0C" w:rsidRDefault="00581EF4" w:rsidP="00581EF4">
      <w:pPr>
        <w:spacing w:after="120" w:line="480" w:lineRule="auto"/>
        <w:rPr>
          <w:sz w:val="28"/>
          <w:szCs w:val="28"/>
        </w:rPr>
      </w:pPr>
    </w:p>
    <w:p w:rsidR="00581EF4" w:rsidRPr="004D3B0C" w:rsidRDefault="00581EF4" w:rsidP="00581EF4">
      <w:pPr>
        <w:spacing w:after="120" w:line="480" w:lineRule="auto"/>
        <w:rPr>
          <w:sz w:val="28"/>
          <w:szCs w:val="28"/>
        </w:rPr>
      </w:pPr>
      <w:r w:rsidRPr="004D3B0C">
        <w:rPr>
          <w:sz w:val="28"/>
          <w:szCs w:val="28"/>
        </w:rPr>
        <w:t xml:space="preserve">Greve, K.W., Bianchini,K.J., Black, F.W., Heinly,M.T., Love, J.M., Swift, D.A., et al. (2006). The prevalence of cognitive malingering in persons reporting </w:t>
      </w:r>
      <w:r w:rsidRPr="004D3B0C">
        <w:rPr>
          <w:sz w:val="28"/>
          <w:szCs w:val="28"/>
        </w:rPr>
        <w:lastRenderedPageBreak/>
        <w:t xml:space="preserve">exposure to occupational and environmental substances. </w:t>
      </w:r>
      <w:r w:rsidRPr="004D3B0C">
        <w:rPr>
          <w:i/>
          <w:sz w:val="28"/>
          <w:szCs w:val="28"/>
        </w:rPr>
        <w:t>NeuroToxicology</w:t>
      </w:r>
      <w:r w:rsidRPr="004D3B0C">
        <w:rPr>
          <w:sz w:val="28"/>
          <w:szCs w:val="28"/>
        </w:rPr>
        <w:t>, 27, 940-950.</w:t>
      </w:r>
    </w:p>
    <w:p w:rsidR="00947726" w:rsidRPr="004D3B0C" w:rsidRDefault="00947726" w:rsidP="00581EF4">
      <w:pPr>
        <w:spacing w:after="120" w:line="480" w:lineRule="auto"/>
        <w:rPr>
          <w:sz w:val="28"/>
          <w:szCs w:val="28"/>
        </w:rPr>
      </w:pPr>
    </w:p>
    <w:p w:rsidR="007E547E" w:rsidRPr="004D3B0C" w:rsidRDefault="007E547E" w:rsidP="00581EF4">
      <w:pPr>
        <w:spacing w:after="120" w:line="480" w:lineRule="auto"/>
        <w:rPr>
          <w:rFonts w:cs="Times New Roman"/>
          <w:sz w:val="28"/>
          <w:szCs w:val="28"/>
        </w:rPr>
      </w:pPr>
      <w:r w:rsidRPr="004D3B0C">
        <w:rPr>
          <w:rFonts w:cs="Times New Roman"/>
          <w:sz w:val="28"/>
          <w:szCs w:val="28"/>
        </w:rPr>
        <w:t>Hathaway,</w:t>
      </w:r>
      <w:r w:rsidR="00947726" w:rsidRPr="004D3B0C">
        <w:rPr>
          <w:rFonts w:cs="Times New Roman"/>
          <w:sz w:val="28"/>
          <w:szCs w:val="28"/>
        </w:rPr>
        <w:t xml:space="preserve"> S.R.,</w:t>
      </w:r>
      <w:r w:rsidRPr="004D3B0C">
        <w:rPr>
          <w:rFonts w:cs="Times New Roman"/>
          <w:sz w:val="28"/>
          <w:szCs w:val="28"/>
        </w:rPr>
        <w:t xml:space="preserve"> &amp; McKinley, </w:t>
      </w:r>
      <w:r w:rsidR="00947726" w:rsidRPr="004D3B0C">
        <w:rPr>
          <w:rFonts w:cs="Times New Roman"/>
          <w:sz w:val="28"/>
          <w:szCs w:val="28"/>
        </w:rPr>
        <w:t xml:space="preserve">J. C. (1943). </w:t>
      </w:r>
      <w:r w:rsidR="00947726" w:rsidRPr="004D3B0C">
        <w:rPr>
          <w:rFonts w:cs="Times New Roman"/>
          <w:i/>
          <w:sz w:val="28"/>
          <w:szCs w:val="28"/>
        </w:rPr>
        <w:t>The Minnesota Multiphasic Personality Inventory</w:t>
      </w:r>
      <w:r w:rsidR="00947726" w:rsidRPr="004D3B0C">
        <w:rPr>
          <w:rFonts w:cs="Times New Roman"/>
          <w:sz w:val="28"/>
          <w:szCs w:val="28"/>
        </w:rPr>
        <w:t>. Minneapolis: University of Minnesota Press.</w:t>
      </w:r>
      <w:r w:rsidRPr="004D3B0C">
        <w:rPr>
          <w:rFonts w:cs="Times New Roman"/>
          <w:sz w:val="28"/>
          <w:szCs w:val="28"/>
        </w:rPr>
        <w:t xml:space="preserve"> </w:t>
      </w:r>
    </w:p>
    <w:p w:rsidR="007E547E" w:rsidRPr="004D3B0C" w:rsidRDefault="007E547E" w:rsidP="00581EF4">
      <w:pPr>
        <w:spacing w:after="120" w:line="480" w:lineRule="auto"/>
        <w:rPr>
          <w:rFonts w:cs="Times New Roman"/>
          <w:sz w:val="28"/>
          <w:szCs w:val="28"/>
        </w:rPr>
      </w:pPr>
    </w:p>
    <w:p w:rsidR="00581EF4" w:rsidRPr="004D3B0C" w:rsidRDefault="00581EF4" w:rsidP="00581EF4">
      <w:pPr>
        <w:spacing w:after="120" w:line="480" w:lineRule="auto"/>
        <w:rPr>
          <w:sz w:val="28"/>
          <w:szCs w:val="28"/>
        </w:rPr>
      </w:pPr>
      <w:r w:rsidRPr="004D3B0C">
        <w:rPr>
          <w:sz w:val="28"/>
          <w:szCs w:val="28"/>
        </w:rPr>
        <w:t xml:space="preserve">Heilbronner, R.L., Sweet, J.J., Morgan, J.E., Larrabee, G.J., Millis, S.R., &amp; Conference Participants. (2009). American Academy of Clinical Neuropsychology Consensus Conference Statement on the neuropsychological assessment of effort, response bias, and malingering. </w:t>
      </w:r>
      <w:r w:rsidRPr="004D3B0C">
        <w:rPr>
          <w:i/>
          <w:sz w:val="28"/>
          <w:szCs w:val="28"/>
        </w:rPr>
        <w:t>The Clinical Neuropsychologist</w:t>
      </w:r>
      <w:r w:rsidRPr="004D3B0C">
        <w:rPr>
          <w:sz w:val="28"/>
          <w:szCs w:val="28"/>
        </w:rPr>
        <w:t>, 23, 1093-1129.</w:t>
      </w:r>
    </w:p>
    <w:p w:rsidR="00581EF4" w:rsidRPr="004D3B0C" w:rsidRDefault="00581EF4" w:rsidP="00581EF4">
      <w:pPr>
        <w:spacing w:after="120" w:line="480" w:lineRule="auto"/>
        <w:rPr>
          <w:sz w:val="28"/>
          <w:szCs w:val="28"/>
        </w:rPr>
      </w:pPr>
    </w:p>
    <w:p w:rsidR="00581EF4" w:rsidRPr="004D3B0C" w:rsidRDefault="00581EF4" w:rsidP="00581EF4">
      <w:pPr>
        <w:spacing w:after="120" w:line="480" w:lineRule="auto"/>
        <w:rPr>
          <w:sz w:val="28"/>
          <w:szCs w:val="28"/>
        </w:rPr>
      </w:pPr>
      <w:r w:rsidRPr="004D3B0C">
        <w:rPr>
          <w:sz w:val="28"/>
          <w:szCs w:val="28"/>
        </w:rPr>
        <w:t xml:space="preserve">Holdnack, J.A., Whipple Drozdick, L., Weiss, L.G., &amp; Iverson, G.L. (2013). </w:t>
      </w:r>
      <w:r w:rsidRPr="004D3B0C">
        <w:rPr>
          <w:i/>
          <w:sz w:val="28"/>
          <w:szCs w:val="28"/>
        </w:rPr>
        <w:t>WAIS-IV,WMS-IV, and ACS: Advanced Clinical Interpretation</w:t>
      </w:r>
      <w:r w:rsidRPr="004D3B0C">
        <w:rPr>
          <w:sz w:val="28"/>
          <w:szCs w:val="28"/>
        </w:rPr>
        <w:t>. Academic Press.</w:t>
      </w:r>
    </w:p>
    <w:p w:rsidR="00581EF4" w:rsidRPr="004D3B0C" w:rsidRDefault="00581EF4" w:rsidP="00581EF4">
      <w:pPr>
        <w:spacing w:after="120" w:line="480" w:lineRule="auto"/>
        <w:rPr>
          <w:sz w:val="28"/>
          <w:szCs w:val="28"/>
        </w:rPr>
      </w:pPr>
    </w:p>
    <w:p w:rsidR="00581EF4" w:rsidRPr="004D3B0C" w:rsidRDefault="00581EF4" w:rsidP="00581EF4">
      <w:pPr>
        <w:spacing w:after="120" w:line="480" w:lineRule="auto"/>
        <w:rPr>
          <w:sz w:val="28"/>
          <w:szCs w:val="28"/>
        </w:rPr>
      </w:pPr>
      <w:r w:rsidRPr="004D3B0C">
        <w:rPr>
          <w:sz w:val="28"/>
          <w:szCs w:val="28"/>
          <w:lang w:val="sv-SE"/>
        </w:rPr>
        <w:t xml:space="preserve">Ladwig, K. H., Marten-Mittag, B., Formanek, B., &amp; Dammann, G. (2000). </w:t>
      </w:r>
      <w:r w:rsidRPr="004D3B0C">
        <w:rPr>
          <w:sz w:val="28"/>
          <w:szCs w:val="28"/>
        </w:rPr>
        <w:t xml:space="preserve">Gender differences of symptom reporting and medical health care utilization in the German population. </w:t>
      </w:r>
      <w:r w:rsidRPr="004D3B0C">
        <w:rPr>
          <w:i/>
          <w:iCs/>
          <w:sz w:val="28"/>
          <w:szCs w:val="28"/>
        </w:rPr>
        <w:t>European journal of epidemiology</w:t>
      </w:r>
      <w:r w:rsidRPr="004D3B0C">
        <w:rPr>
          <w:sz w:val="28"/>
          <w:szCs w:val="28"/>
        </w:rPr>
        <w:t xml:space="preserve">, </w:t>
      </w:r>
      <w:r w:rsidRPr="004D3B0C">
        <w:rPr>
          <w:i/>
          <w:iCs/>
          <w:sz w:val="28"/>
          <w:szCs w:val="28"/>
        </w:rPr>
        <w:t>16</w:t>
      </w:r>
      <w:r w:rsidRPr="004D3B0C">
        <w:rPr>
          <w:sz w:val="28"/>
          <w:szCs w:val="28"/>
        </w:rPr>
        <w:t>(6), 511-518.</w:t>
      </w:r>
    </w:p>
    <w:p w:rsidR="00581EF4" w:rsidRPr="004D3B0C" w:rsidRDefault="00581EF4" w:rsidP="00581EF4">
      <w:pPr>
        <w:spacing w:after="120" w:line="480" w:lineRule="auto"/>
        <w:rPr>
          <w:sz w:val="28"/>
          <w:szCs w:val="28"/>
        </w:rPr>
      </w:pPr>
    </w:p>
    <w:p w:rsidR="00581EF4" w:rsidRPr="004D3B0C" w:rsidRDefault="00581EF4" w:rsidP="00581EF4">
      <w:pPr>
        <w:spacing w:after="120" w:line="480" w:lineRule="auto"/>
        <w:rPr>
          <w:sz w:val="28"/>
          <w:szCs w:val="28"/>
        </w:rPr>
      </w:pPr>
      <w:r w:rsidRPr="004D3B0C">
        <w:rPr>
          <w:sz w:val="28"/>
          <w:szCs w:val="28"/>
        </w:rPr>
        <w:lastRenderedPageBreak/>
        <w:t>Larrabee, G.J. (2003). Detection of malingering using atypical performance patterns on standard neuropsychological tests.</w:t>
      </w:r>
      <w:r w:rsidRPr="004D3B0C">
        <w:rPr>
          <w:i/>
          <w:sz w:val="28"/>
          <w:szCs w:val="28"/>
        </w:rPr>
        <w:t xml:space="preserve"> The Clinical Neuropsychologist, </w:t>
      </w:r>
      <w:r w:rsidRPr="004D3B0C">
        <w:rPr>
          <w:sz w:val="28"/>
          <w:szCs w:val="28"/>
        </w:rPr>
        <w:t>17, 410-425.</w:t>
      </w:r>
    </w:p>
    <w:p w:rsidR="00581EF4" w:rsidRPr="004D3B0C" w:rsidRDefault="00581EF4" w:rsidP="00581EF4">
      <w:pPr>
        <w:spacing w:after="120" w:line="480" w:lineRule="auto"/>
        <w:rPr>
          <w:sz w:val="28"/>
          <w:szCs w:val="28"/>
        </w:rPr>
      </w:pPr>
    </w:p>
    <w:p w:rsidR="00581EF4" w:rsidRPr="004D3B0C" w:rsidRDefault="00581EF4" w:rsidP="00581EF4">
      <w:pPr>
        <w:spacing w:after="120" w:line="480" w:lineRule="auto"/>
        <w:rPr>
          <w:sz w:val="28"/>
          <w:szCs w:val="28"/>
        </w:rPr>
      </w:pPr>
      <w:r w:rsidRPr="004D3B0C">
        <w:rPr>
          <w:sz w:val="28"/>
          <w:szCs w:val="28"/>
        </w:rPr>
        <w:t xml:space="preserve">Larrabee, G.J. (2007). </w:t>
      </w:r>
      <w:r w:rsidRPr="004D3B0C">
        <w:rPr>
          <w:i/>
          <w:sz w:val="28"/>
          <w:szCs w:val="28"/>
        </w:rPr>
        <w:t>Assessment of malingered neuropsychological deficits.</w:t>
      </w:r>
      <w:r w:rsidRPr="004D3B0C">
        <w:rPr>
          <w:sz w:val="28"/>
          <w:szCs w:val="28"/>
        </w:rPr>
        <w:t xml:space="preserve"> New York: Oxford University Press.</w:t>
      </w:r>
    </w:p>
    <w:p w:rsidR="00A36E82" w:rsidRPr="004D3B0C" w:rsidRDefault="00A36E82" w:rsidP="00581EF4">
      <w:pPr>
        <w:spacing w:after="120" w:line="480" w:lineRule="auto"/>
        <w:rPr>
          <w:sz w:val="28"/>
          <w:szCs w:val="28"/>
        </w:rPr>
      </w:pPr>
    </w:p>
    <w:p w:rsidR="00581EF4" w:rsidRPr="004D3B0C" w:rsidRDefault="00A36E82" w:rsidP="00581EF4">
      <w:pPr>
        <w:spacing w:after="120" w:line="480" w:lineRule="auto"/>
        <w:rPr>
          <w:sz w:val="28"/>
          <w:szCs w:val="28"/>
        </w:rPr>
      </w:pPr>
      <w:r w:rsidRPr="004D3B0C">
        <w:rPr>
          <w:sz w:val="28"/>
          <w:szCs w:val="28"/>
        </w:rPr>
        <w:t xml:space="preserve">Meyers, J.E., English, J., Miller, R.M., &amp; Lee, AJ. (2015). Normative data for the Neurorebehavioral Symptom Inventory. </w:t>
      </w:r>
      <w:r w:rsidRPr="004D3B0C">
        <w:rPr>
          <w:i/>
          <w:sz w:val="28"/>
          <w:szCs w:val="28"/>
        </w:rPr>
        <w:t>Applied Neuropsychology: Adult</w:t>
      </w:r>
      <w:r w:rsidRPr="004D3B0C">
        <w:rPr>
          <w:sz w:val="28"/>
          <w:szCs w:val="28"/>
        </w:rPr>
        <w:t>, 22 (6): 427-434.</w:t>
      </w:r>
    </w:p>
    <w:p w:rsidR="00A36E82" w:rsidRPr="004D3B0C" w:rsidRDefault="00A36E82" w:rsidP="00581EF4">
      <w:pPr>
        <w:spacing w:after="120" w:line="480" w:lineRule="auto"/>
        <w:rPr>
          <w:sz w:val="28"/>
          <w:szCs w:val="28"/>
        </w:rPr>
      </w:pPr>
    </w:p>
    <w:p w:rsidR="00581EF4" w:rsidRPr="004D3B0C" w:rsidRDefault="00581EF4" w:rsidP="00581EF4">
      <w:pPr>
        <w:spacing w:after="120" w:line="480" w:lineRule="auto"/>
        <w:rPr>
          <w:sz w:val="28"/>
          <w:szCs w:val="28"/>
        </w:rPr>
      </w:pPr>
      <w:r w:rsidRPr="004D3B0C">
        <w:rPr>
          <w:sz w:val="28"/>
          <w:szCs w:val="28"/>
        </w:rPr>
        <w:t xml:space="preserve">Morey, L.C. (1991). </w:t>
      </w:r>
      <w:r w:rsidRPr="004D3B0C">
        <w:rPr>
          <w:i/>
          <w:sz w:val="28"/>
          <w:szCs w:val="28"/>
        </w:rPr>
        <w:t>Personality Assessment Inventory Professional Manual</w:t>
      </w:r>
      <w:r w:rsidRPr="004D3B0C">
        <w:rPr>
          <w:sz w:val="28"/>
          <w:szCs w:val="28"/>
        </w:rPr>
        <w:t>. Odessa, FL: Psychological Assessment Resources.</w:t>
      </w:r>
    </w:p>
    <w:p w:rsidR="00581EF4" w:rsidRPr="004D3B0C" w:rsidRDefault="00581EF4" w:rsidP="00581EF4">
      <w:pPr>
        <w:spacing w:after="120" w:line="480" w:lineRule="auto"/>
        <w:rPr>
          <w:sz w:val="28"/>
          <w:szCs w:val="28"/>
        </w:rPr>
      </w:pPr>
    </w:p>
    <w:p w:rsidR="00581EF4" w:rsidRPr="004D3B0C" w:rsidRDefault="00581EF4" w:rsidP="00581EF4">
      <w:pPr>
        <w:spacing w:after="120" w:line="480" w:lineRule="auto"/>
        <w:rPr>
          <w:sz w:val="28"/>
          <w:szCs w:val="28"/>
        </w:rPr>
      </w:pPr>
      <w:r w:rsidRPr="004D3B0C">
        <w:rPr>
          <w:sz w:val="28"/>
          <w:szCs w:val="28"/>
        </w:rPr>
        <w:t xml:space="preserve">Merten, T., Merckelbach, H., Giger, P., &amp; Stevens, A. (2016). The Self-Report Symptom Inventory (SRSI): A new instrument for the assessment of distorted symptom endorsement. </w:t>
      </w:r>
      <w:r w:rsidRPr="004D3B0C">
        <w:rPr>
          <w:i/>
          <w:iCs/>
          <w:sz w:val="28"/>
          <w:szCs w:val="28"/>
        </w:rPr>
        <w:t>Psychological Injury and Law</w:t>
      </w:r>
      <w:r w:rsidRPr="004D3B0C">
        <w:rPr>
          <w:sz w:val="28"/>
          <w:szCs w:val="28"/>
        </w:rPr>
        <w:t xml:space="preserve">, </w:t>
      </w:r>
      <w:r w:rsidRPr="004D3B0C">
        <w:rPr>
          <w:i/>
          <w:iCs/>
          <w:sz w:val="28"/>
          <w:szCs w:val="28"/>
        </w:rPr>
        <w:t>9</w:t>
      </w:r>
      <w:r w:rsidRPr="004D3B0C">
        <w:rPr>
          <w:sz w:val="28"/>
          <w:szCs w:val="28"/>
        </w:rPr>
        <w:t>(2), 102-111.</w:t>
      </w:r>
    </w:p>
    <w:p w:rsidR="00581EF4" w:rsidRPr="004D3B0C" w:rsidRDefault="00581EF4" w:rsidP="00581EF4">
      <w:pPr>
        <w:spacing w:after="120" w:line="480" w:lineRule="auto"/>
        <w:rPr>
          <w:sz w:val="28"/>
          <w:szCs w:val="28"/>
        </w:rPr>
      </w:pPr>
    </w:p>
    <w:p w:rsidR="00581EF4" w:rsidRPr="004D3B0C" w:rsidRDefault="00581EF4" w:rsidP="00581EF4">
      <w:pPr>
        <w:spacing w:after="120" w:line="480" w:lineRule="auto"/>
        <w:rPr>
          <w:sz w:val="28"/>
          <w:szCs w:val="28"/>
        </w:rPr>
      </w:pPr>
      <w:r w:rsidRPr="004D3B0C">
        <w:rPr>
          <w:sz w:val="28"/>
          <w:szCs w:val="28"/>
        </w:rPr>
        <w:lastRenderedPageBreak/>
        <w:t xml:space="preserve">Morgan, J.E., &amp; Sweet, J.J. (2009). </w:t>
      </w:r>
      <w:r w:rsidRPr="004D3B0C">
        <w:rPr>
          <w:i/>
          <w:sz w:val="28"/>
          <w:szCs w:val="28"/>
        </w:rPr>
        <w:t>Neuropsychology of malingering casebook</w:t>
      </w:r>
      <w:r w:rsidRPr="004D3B0C">
        <w:rPr>
          <w:sz w:val="28"/>
          <w:szCs w:val="28"/>
        </w:rPr>
        <w:t>. New York: Psychology Press.</w:t>
      </w:r>
    </w:p>
    <w:p w:rsidR="00581EF4" w:rsidRPr="004D3B0C" w:rsidRDefault="00581EF4" w:rsidP="00581EF4">
      <w:pPr>
        <w:spacing w:after="120" w:line="480" w:lineRule="auto"/>
        <w:rPr>
          <w:sz w:val="28"/>
          <w:szCs w:val="28"/>
        </w:rPr>
      </w:pPr>
    </w:p>
    <w:p w:rsidR="00581EF4" w:rsidRPr="004D3B0C" w:rsidRDefault="00581EF4" w:rsidP="00581EF4">
      <w:pPr>
        <w:spacing w:after="120" w:line="480" w:lineRule="auto"/>
        <w:rPr>
          <w:sz w:val="28"/>
          <w:szCs w:val="28"/>
        </w:rPr>
      </w:pPr>
      <w:r w:rsidRPr="004D3B0C">
        <w:rPr>
          <w:sz w:val="28"/>
          <w:szCs w:val="28"/>
        </w:rPr>
        <w:t xml:space="preserve">Oosterhuis, H. E., van der Ark, L. A., &amp; Sijtsma, K. (2016). Sample size requirements for traditional and regression-based norms. </w:t>
      </w:r>
      <w:r w:rsidRPr="004D3B0C">
        <w:rPr>
          <w:i/>
          <w:iCs/>
          <w:sz w:val="28"/>
          <w:szCs w:val="28"/>
        </w:rPr>
        <w:t>Assessment</w:t>
      </w:r>
      <w:r w:rsidRPr="004D3B0C">
        <w:rPr>
          <w:sz w:val="28"/>
          <w:szCs w:val="28"/>
        </w:rPr>
        <w:t xml:space="preserve">, </w:t>
      </w:r>
      <w:r w:rsidRPr="004D3B0C">
        <w:rPr>
          <w:i/>
          <w:iCs/>
          <w:sz w:val="28"/>
          <w:szCs w:val="28"/>
        </w:rPr>
        <w:t>23</w:t>
      </w:r>
      <w:r w:rsidRPr="004D3B0C">
        <w:rPr>
          <w:sz w:val="28"/>
          <w:szCs w:val="28"/>
        </w:rPr>
        <w:t>(2), 191-202.</w:t>
      </w:r>
    </w:p>
    <w:p w:rsidR="00581EF4" w:rsidRPr="004D3B0C" w:rsidRDefault="00581EF4" w:rsidP="00581EF4">
      <w:pPr>
        <w:spacing w:after="120" w:line="480" w:lineRule="auto"/>
        <w:rPr>
          <w:sz w:val="28"/>
          <w:szCs w:val="28"/>
        </w:rPr>
      </w:pPr>
    </w:p>
    <w:p w:rsidR="00581EF4" w:rsidRPr="004D3B0C" w:rsidRDefault="00581EF4" w:rsidP="00581EF4">
      <w:pPr>
        <w:spacing w:after="120" w:line="480" w:lineRule="auto"/>
        <w:rPr>
          <w:sz w:val="28"/>
          <w:szCs w:val="28"/>
        </w:rPr>
      </w:pPr>
      <w:r w:rsidRPr="004D3B0C">
        <w:rPr>
          <w:sz w:val="28"/>
          <w:szCs w:val="28"/>
        </w:rPr>
        <w:t xml:space="preserve">Parmenter, B. A., Testa, S. M., Schretlen, D. J., Weinstock-Guttman, B., &amp; Benedict, R. H. (2010). The utility of regression-based norms in interpreting the minimal assessment of cognitive function in multiple sclerosis (MACFIMS). </w:t>
      </w:r>
      <w:r w:rsidRPr="004D3B0C">
        <w:rPr>
          <w:i/>
          <w:sz w:val="28"/>
          <w:szCs w:val="28"/>
        </w:rPr>
        <w:t>Journal of the International Neuropsychological Society, 16</w:t>
      </w:r>
      <w:r w:rsidRPr="004D3B0C">
        <w:rPr>
          <w:sz w:val="28"/>
          <w:szCs w:val="28"/>
        </w:rPr>
        <w:t>, 6–16.</w:t>
      </w:r>
    </w:p>
    <w:p w:rsidR="00581EF4" w:rsidRPr="004D3B0C" w:rsidRDefault="00581EF4" w:rsidP="00581EF4">
      <w:pPr>
        <w:spacing w:after="120" w:line="480" w:lineRule="auto"/>
        <w:rPr>
          <w:sz w:val="28"/>
          <w:szCs w:val="28"/>
        </w:rPr>
      </w:pPr>
    </w:p>
    <w:p w:rsidR="00581EF4" w:rsidRPr="004D3B0C" w:rsidRDefault="00581EF4" w:rsidP="00581EF4">
      <w:pPr>
        <w:spacing w:after="120" w:line="480" w:lineRule="auto"/>
        <w:rPr>
          <w:sz w:val="28"/>
          <w:szCs w:val="28"/>
        </w:rPr>
      </w:pPr>
      <w:r w:rsidRPr="004D3B0C">
        <w:rPr>
          <w:sz w:val="28"/>
          <w:szCs w:val="28"/>
        </w:rPr>
        <w:t xml:space="preserve">Roelofs, J., van Breukelen, G., Sluiter, J., Frings-Dresen, M. H., Goossens, M., Thibault, P., Boersma, K., &amp; Vlaeyen, J. W. (2011). Norming of the Tampa scale for kinesiophobia across pain diagnoses and various countries. </w:t>
      </w:r>
      <w:r w:rsidRPr="004D3B0C">
        <w:rPr>
          <w:i/>
          <w:sz w:val="28"/>
          <w:szCs w:val="28"/>
        </w:rPr>
        <w:t>Pain, 152</w:t>
      </w:r>
      <w:r w:rsidRPr="004D3B0C">
        <w:rPr>
          <w:sz w:val="28"/>
          <w:szCs w:val="28"/>
        </w:rPr>
        <w:t>, 1090–5.</w:t>
      </w:r>
    </w:p>
    <w:p w:rsidR="002A1F38" w:rsidRPr="004D3B0C" w:rsidRDefault="002A1F38" w:rsidP="00581EF4">
      <w:pPr>
        <w:spacing w:after="120" w:line="480" w:lineRule="auto"/>
        <w:rPr>
          <w:sz w:val="28"/>
          <w:szCs w:val="28"/>
        </w:rPr>
      </w:pPr>
    </w:p>
    <w:p w:rsidR="002A1F38" w:rsidRPr="004D3B0C" w:rsidRDefault="002A1F38" w:rsidP="002A1F38">
      <w:pPr>
        <w:spacing w:after="120" w:line="480" w:lineRule="auto"/>
        <w:rPr>
          <w:sz w:val="28"/>
          <w:szCs w:val="28"/>
        </w:rPr>
      </w:pPr>
      <w:smartTag w:uri="urn:schemas-microsoft-com:office:smarttags" w:element="place">
        <w:smartTag w:uri="urn:schemas-microsoft-com:office:smarttags" w:element="City">
          <w:r w:rsidRPr="004D3B0C">
            <w:rPr>
              <w:sz w:val="28"/>
              <w:szCs w:val="28"/>
            </w:rPr>
            <w:lastRenderedPageBreak/>
            <w:t>Rogers</w:t>
          </w:r>
        </w:smartTag>
      </w:smartTag>
      <w:r w:rsidRPr="004D3B0C">
        <w:rPr>
          <w:sz w:val="28"/>
          <w:szCs w:val="28"/>
        </w:rPr>
        <w:t>, R. Detection strategies for Maling</w:t>
      </w:r>
      <w:smartTag w:uri="urn:schemas-microsoft-com:office:smarttags" w:element="PersonName">
        <w:r w:rsidRPr="004D3B0C">
          <w:rPr>
            <w:sz w:val="28"/>
            <w:szCs w:val="28"/>
          </w:rPr>
          <w:t>erin</w:t>
        </w:r>
      </w:smartTag>
      <w:r w:rsidRPr="004D3B0C">
        <w:rPr>
          <w:sz w:val="28"/>
          <w:szCs w:val="28"/>
        </w:rPr>
        <w:t xml:space="preserve">g and Defensiveness. In, Rogers, R. (Ed) (2008) </w:t>
      </w:r>
      <w:r w:rsidRPr="004D3B0C">
        <w:rPr>
          <w:i/>
          <w:sz w:val="28"/>
          <w:szCs w:val="28"/>
        </w:rPr>
        <w:t>Clinical Assessment of Maling</w:t>
      </w:r>
      <w:smartTag w:uri="urn:schemas-microsoft-com:office:smarttags" w:element="PersonName">
        <w:r w:rsidRPr="004D3B0C">
          <w:rPr>
            <w:i/>
            <w:sz w:val="28"/>
            <w:szCs w:val="28"/>
          </w:rPr>
          <w:t>erin</w:t>
        </w:r>
      </w:smartTag>
      <w:r w:rsidRPr="004D3B0C">
        <w:rPr>
          <w:i/>
          <w:sz w:val="28"/>
          <w:szCs w:val="28"/>
        </w:rPr>
        <w:t>g and Deception</w:t>
      </w:r>
      <w:r w:rsidRPr="004D3B0C">
        <w:rPr>
          <w:sz w:val="28"/>
          <w:szCs w:val="28"/>
        </w:rPr>
        <w:t>. 3rd edition. The Guilford Press, pp 14-35.</w:t>
      </w:r>
    </w:p>
    <w:p w:rsidR="00581EF4" w:rsidRPr="004D3B0C" w:rsidRDefault="00581EF4" w:rsidP="00581EF4">
      <w:pPr>
        <w:spacing w:after="120" w:line="480" w:lineRule="auto"/>
        <w:rPr>
          <w:sz w:val="28"/>
          <w:szCs w:val="28"/>
        </w:rPr>
      </w:pPr>
    </w:p>
    <w:p w:rsidR="00581EF4" w:rsidRPr="004D3B0C" w:rsidRDefault="00581EF4" w:rsidP="00581EF4">
      <w:pPr>
        <w:spacing w:after="120" w:line="480" w:lineRule="auto"/>
        <w:rPr>
          <w:sz w:val="28"/>
          <w:szCs w:val="28"/>
        </w:rPr>
      </w:pPr>
      <w:r w:rsidRPr="004D3B0C">
        <w:rPr>
          <w:sz w:val="28"/>
          <w:szCs w:val="28"/>
        </w:rPr>
        <w:t xml:space="preserve">Schütte, S., Chastang, J. F., Parent-Thirion, A., Vermeylen, G., &amp; Niedhammer, I. (2013). Social differences in self-reported health among men and women in 31 countries in Europe. </w:t>
      </w:r>
      <w:r w:rsidRPr="004D3B0C">
        <w:rPr>
          <w:i/>
          <w:iCs/>
          <w:sz w:val="28"/>
          <w:szCs w:val="28"/>
        </w:rPr>
        <w:t>Scandinavian Journal of Public Health</w:t>
      </w:r>
      <w:r w:rsidRPr="004D3B0C">
        <w:rPr>
          <w:sz w:val="28"/>
          <w:szCs w:val="28"/>
        </w:rPr>
        <w:t xml:space="preserve">, </w:t>
      </w:r>
      <w:r w:rsidRPr="004D3B0C">
        <w:rPr>
          <w:i/>
          <w:iCs/>
          <w:sz w:val="28"/>
          <w:szCs w:val="28"/>
        </w:rPr>
        <w:t>41</w:t>
      </w:r>
      <w:r w:rsidRPr="004D3B0C">
        <w:rPr>
          <w:sz w:val="28"/>
          <w:szCs w:val="28"/>
        </w:rPr>
        <w:t>(1), 51-57.</w:t>
      </w:r>
    </w:p>
    <w:p w:rsidR="00581EF4" w:rsidRPr="004D3B0C" w:rsidRDefault="00581EF4" w:rsidP="00581EF4">
      <w:pPr>
        <w:spacing w:after="120" w:line="480" w:lineRule="auto"/>
        <w:rPr>
          <w:sz w:val="28"/>
          <w:szCs w:val="28"/>
        </w:rPr>
      </w:pPr>
    </w:p>
    <w:p w:rsidR="00581EF4" w:rsidRPr="004D3B0C" w:rsidRDefault="00581EF4" w:rsidP="00581EF4">
      <w:pPr>
        <w:spacing w:after="120" w:line="480" w:lineRule="auto"/>
        <w:rPr>
          <w:sz w:val="28"/>
          <w:szCs w:val="28"/>
        </w:rPr>
      </w:pPr>
      <w:r w:rsidRPr="004D3B0C">
        <w:rPr>
          <w:sz w:val="28"/>
          <w:szCs w:val="28"/>
        </w:rPr>
        <w:t xml:space="preserve">Sherer, M., Davis, L. C., Sander, A. M., Nick, T. G., Luo, C., Pastorek, N., &amp; Hanks, R. (2015). Factors associated with Word Memory Test performance in persons with medically documented traumatic brain injury. </w:t>
      </w:r>
      <w:r w:rsidRPr="004D3B0C">
        <w:rPr>
          <w:i/>
          <w:iCs/>
          <w:sz w:val="28"/>
          <w:szCs w:val="28"/>
        </w:rPr>
        <w:t>The Clinical Neuropsychologist</w:t>
      </w:r>
      <w:r w:rsidRPr="004D3B0C">
        <w:rPr>
          <w:sz w:val="28"/>
          <w:szCs w:val="28"/>
        </w:rPr>
        <w:t xml:space="preserve">, </w:t>
      </w:r>
      <w:r w:rsidRPr="004D3B0C">
        <w:rPr>
          <w:i/>
          <w:iCs/>
          <w:sz w:val="28"/>
          <w:szCs w:val="28"/>
        </w:rPr>
        <w:t>29</w:t>
      </w:r>
      <w:r w:rsidRPr="004D3B0C">
        <w:rPr>
          <w:sz w:val="28"/>
          <w:szCs w:val="28"/>
        </w:rPr>
        <w:t>(4), 522-541.</w:t>
      </w:r>
    </w:p>
    <w:p w:rsidR="00581EF4" w:rsidRPr="004D3B0C" w:rsidRDefault="00581EF4" w:rsidP="00581EF4">
      <w:pPr>
        <w:spacing w:after="120" w:line="480" w:lineRule="auto"/>
        <w:rPr>
          <w:sz w:val="28"/>
          <w:szCs w:val="28"/>
        </w:rPr>
      </w:pPr>
    </w:p>
    <w:p w:rsidR="00CB06BA" w:rsidRPr="004D3B0C" w:rsidRDefault="00CB06BA" w:rsidP="00CB06BA">
      <w:pPr>
        <w:spacing w:after="120" w:line="480" w:lineRule="auto"/>
        <w:rPr>
          <w:sz w:val="28"/>
          <w:szCs w:val="28"/>
        </w:rPr>
      </w:pPr>
      <w:r w:rsidRPr="004D3B0C">
        <w:rPr>
          <w:sz w:val="28"/>
          <w:szCs w:val="28"/>
        </w:rPr>
        <w:t xml:space="preserve">Solomon, R.E., Boone, K.B., Miora, D., &amp; Skidmore, S. (2010). Use of the Picture Completion Subtest as an embedded measure of effort; Abstracts of Division 40 Annual Meeting. </w:t>
      </w:r>
      <w:r w:rsidRPr="004D3B0C">
        <w:rPr>
          <w:i/>
          <w:iCs/>
          <w:sz w:val="28"/>
          <w:szCs w:val="28"/>
        </w:rPr>
        <w:t>The Clinical Neuropsychologist, 24</w:t>
      </w:r>
      <w:r w:rsidRPr="004D3B0C">
        <w:rPr>
          <w:sz w:val="28"/>
          <w:szCs w:val="28"/>
        </w:rPr>
        <w:t>, 936.</w:t>
      </w:r>
    </w:p>
    <w:p w:rsidR="00CB06BA" w:rsidRPr="004D3B0C" w:rsidRDefault="00CB06BA" w:rsidP="00CB06BA">
      <w:pPr>
        <w:spacing w:after="120" w:line="480" w:lineRule="auto"/>
        <w:rPr>
          <w:sz w:val="28"/>
          <w:szCs w:val="28"/>
        </w:rPr>
      </w:pPr>
    </w:p>
    <w:p w:rsidR="00581EF4" w:rsidRPr="004D3B0C" w:rsidRDefault="00581EF4" w:rsidP="00581EF4">
      <w:pPr>
        <w:spacing w:after="120" w:line="480" w:lineRule="auto"/>
        <w:rPr>
          <w:sz w:val="28"/>
          <w:szCs w:val="28"/>
        </w:rPr>
      </w:pPr>
      <w:r w:rsidRPr="004D3B0C">
        <w:rPr>
          <w:sz w:val="28"/>
          <w:szCs w:val="28"/>
        </w:rPr>
        <w:t xml:space="preserve">Tombaugh, T.N.(1996). </w:t>
      </w:r>
      <w:r w:rsidRPr="004D3B0C">
        <w:rPr>
          <w:i/>
          <w:sz w:val="28"/>
          <w:szCs w:val="28"/>
        </w:rPr>
        <w:t>TOMM: Test of Memory Malingering</w:t>
      </w:r>
      <w:r w:rsidRPr="004D3B0C">
        <w:rPr>
          <w:sz w:val="28"/>
          <w:szCs w:val="28"/>
        </w:rPr>
        <w:t>. New York: Multi-Health Systems.</w:t>
      </w:r>
    </w:p>
    <w:p w:rsidR="00067360" w:rsidRPr="004D3B0C" w:rsidRDefault="00067360" w:rsidP="00581EF4">
      <w:pPr>
        <w:spacing w:after="120" w:line="480" w:lineRule="auto"/>
        <w:rPr>
          <w:sz w:val="28"/>
          <w:szCs w:val="28"/>
        </w:rPr>
      </w:pPr>
    </w:p>
    <w:p w:rsidR="00581EF4" w:rsidRPr="004D3B0C" w:rsidRDefault="00067360" w:rsidP="00581EF4">
      <w:pPr>
        <w:spacing w:after="120" w:line="480" w:lineRule="auto"/>
        <w:rPr>
          <w:sz w:val="28"/>
          <w:szCs w:val="28"/>
        </w:rPr>
      </w:pPr>
      <w:r w:rsidRPr="004D3B0C">
        <w:rPr>
          <w:sz w:val="28"/>
          <w:szCs w:val="28"/>
        </w:rPr>
        <w:t xml:space="preserve">Van Breukelen, G. J., &amp; Vlaeyen, J. W. (2005). Norming clinical questionnaires with multiple regression: the Pain Cognition List. </w:t>
      </w:r>
      <w:r w:rsidRPr="004D3B0C">
        <w:rPr>
          <w:i/>
          <w:iCs/>
          <w:sz w:val="28"/>
          <w:szCs w:val="28"/>
        </w:rPr>
        <w:t>Psychological Assessment</w:t>
      </w:r>
      <w:r w:rsidRPr="004D3B0C">
        <w:rPr>
          <w:sz w:val="28"/>
          <w:szCs w:val="28"/>
        </w:rPr>
        <w:t xml:space="preserve">, </w:t>
      </w:r>
      <w:r w:rsidRPr="004D3B0C">
        <w:rPr>
          <w:i/>
          <w:iCs/>
          <w:sz w:val="28"/>
          <w:szCs w:val="28"/>
        </w:rPr>
        <w:t>17</w:t>
      </w:r>
      <w:r w:rsidRPr="004D3B0C">
        <w:rPr>
          <w:sz w:val="28"/>
          <w:szCs w:val="28"/>
        </w:rPr>
        <w:t>(3), 336</w:t>
      </w:r>
      <w:r w:rsidR="009B7923" w:rsidRPr="004D3B0C">
        <w:rPr>
          <w:sz w:val="28"/>
          <w:szCs w:val="28"/>
        </w:rPr>
        <w:t>-344</w:t>
      </w:r>
      <w:r w:rsidRPr="004D3B0C">
        <w:rPr>
          <w:sz w:val="28"/>
          <w:szCs w:val="28"/>
        </w:rPr>
        <w:t>.</w:t>
      </w:r>
    </w:p>
    <w:p w:rsidR="00067360" w:rsidRPr="004D3B0C" w:rsidRDefault="00067360" w:rsidP="00581EF4">
      <w:pPr>
        <w:spacing w:after="120" w:line="480" w:lineRule="auto"/>
        <w:rPr>
          <w:sz w:val="28"/>
          <w:szCs w:val="28"/>
        </w:rPr>
      </w:pPr>
    </w:p>
    <w:p w:rsidR="00581EF4" w:rsidRPr="004D3B0C" w:rsidRDefault="00581EF4" w:rsidP="00581EF4">
      <w:pPr>
        <w:spacing w:after="120" w:line="480" w:lineRule="auto"/>
        <w:rPr>
          <w:sz w:val="28"/>
          <w:szCs w:val="28"/>
        </w:rPr>
      </w:pPr>
      <w:r w:rsidRPr="004D3B0C">
        <w:rPr>
          <w:sz w:val="28"/>
          <w:szCs w:val="28"/>
          <w:lang w:val="sv-SE"/>
        </w:rPr>
        <w:t xml:space="preserve">Van der Elst, W., Van Boxtel , M.P.J. , Van Breukelen , G.J.P. , &amp; Jolles , J . </w:t>
      </w:r>
      <w:r w:rsidRPr="004D3B0C">
        <w:rPr>
          <w:sz w:val="28"/>
          <w:szCs w:val="28"/>
        </w:rPr>
        <w:t xml:space="preserve">(2006). The Concept Shifting Test: Adult normative data. </w:t>
      </w:r>
      <w:r w:rsidRPr="004D3B0C">
        <w:rPr>
          <w:i/>
          <w:iCs/>
          <w:sz w:val="28"/>
          <w:szCs w:val="28"/>
        </w:rPr>
        <w:t xml:space="preserve">Psychological Assessment, 18 </w:t>
      </w:r>
      <w:r w:rsidRPr="004D3B0C">
        <w:rPr>
          <w:iCs/>
          <w:sz w:val="28"/>
          <w:szCs w:val="28"/>
        </w:rPr>
        <w:t>(4)</w:t>
      </w:r>
      <w:r w:rsidRPr="004D3B0C">
        <w:rPr>
          <w:sz w:val="28"/>
          <w:szCs w:val="28"/>
        </w:rPr>
        <w:t>, 424 –432.</w:t>
      </w:r>
    </w:p>
    <w:p w:rsidR="00581EF4" w:rsidRPr="004D3B0C" w:rsidRDefault="00581EF4" w:rsidP="00581EF4">
      <w:pPr>
        <w:spacing w:after="120" w:line="480" w:lineRule="auto"/>
        <w:rPr>
          <w:sz w:val="28"/>
          <w:szCs w:val="28"/>
        </w:rPr>
      </w:pPr>
    </w:p>
    <w:p w:rsidR="00581EF4" w:rsidRPr="004D3B0C" w:rsidRDefault="00581EF4" w:rsidP="00581EF4">
      <w:pPr>
        <w:spacing w:line="480" w:lineRule="auto"/>
        <w:rPr>
          <w:sz w:val="28"/>
          <w:szCs w:val="28"/>
        </w:rPr>
      </w:pPr>
      <w:r w:rsidRPr="004D3B0C">
        <w:rPr>
          <w:sz w:val="28"/>
          <w:szCs w:val="28"/>
        </w:rPr>
        <w:t xml:space="preserve">van den Broek, M.D., Monaci, L., &amp; Smith, J.G. (2012). Clinical Utility of the Personal Problems Questionnaire (PPQ) in the assessment of non-credible complaints. </w:t>
      </w:r>
      <w:r w:rsidRPr="004D3B0C">
        <w:rPr>
          <w:i/>
          <w:sz w:val="28"/>
          <w:szCs w:val="28"/>
        </w:rPr>
        <w:t>Journal of Experimental Psychopathology</w:t>
      </w:r>
      <w:r w:rsidRPr="004D3B0C">
        <w:rPr>
          <w:sz w:val="28"/>
          <w:szCs w:val="28"/>
        </w:rPr>
        <w:t>, 3 (5), 825-834.</w:t>
      </w:r>
    </w:p>
    <w:p w:rsidR="00581EF4" w:rsidRPr="004D3B0C" w:rsidRDefault="00581EF4" w:rsidP="00581EF4">
      <w:pPr>
        <w:spacing w:line="480" w:lineRule="auto"/>
        <w:rPr>
          <w:sz w:val="28"/>
          <w:szCs w:val="28"/>
        </w:rPr>
      </w:pPr>
    </w:p>
    <w:p w:rsidR="00581EF4" w:rsidRPr="004D3B0C" w:rsidRDefault="00581EF4" w:rsidP="00581EF4">
      <w:pPr>
        <w:spacing w:line="480" w:lineRule="auto"/>
        <w:rPr>
          <w:sz w:val="28"/>
          <w:szCs w:val="28"/>
        </w:rPr>
      </w:pPr>
      <w:r w:rsidRPr="004D3B0C">
        <w:rPr>
          <w:sz w:val="28"/>
          <w:szCs w:val="28"/>
        </w:rPr>
        <w:t xml:space="preserve">van den Broek, M.D., &amp; Sembi, S. (2017). </w:t>
      </w:r>
      <w:r w:rsidRPr="004D3B0C">
        <w:rPr>
          <w:sz w:val="28"/>
          <w:szCs w:val="28"/>
          <w:lang w:val="sv-SE"/>
        </w:rPr>
        <w:t>Malingering and Exaggeration. In, van den Broek, M.D., &amp; Sembi, S. (Eds).</w:t>
      </w:r>
      <w:r w:rsidRPr="004D3B0C">
        <w:rPr>
          <w:i/>
          <w:sz w:val="28"/>
          <w:szCs w:val="28"/>
          <w:lang w:val="sv-SE"/>
        </w:rPr>
        <w:t xml:space="preserve"> </w:t>
      </w:r>
      <w:r w:rsidRPr="004D3B0C">
        <w:rPr>
          <w:i/>
          <w:sz w:val="28"/>
          <w:szCs w:val="28"/>
        </w:rPr>
        <w:t>Brain Injury Claims</w:t>
      </w:r>
      <w:r w:rsidRPr="004D3B0C">
        <w:rPr>
          <w:sz w:val="28"/>
          <w:szCs w:val="28"/>
        </w:rPr>
        <w:t>. Sweet &amp; Maxwell, London.</w:t>
      </w:r>
    </w:p>
    <w:p w:rsidR="00581EF4" w:rsidRPr="004D3B0C" w:rsidRDefault="00581EF4" w:rsidP="00581EF4">
      <w:pPr>
        <w:spacing w:line="480" w:lineRule="auto"/>
        <w:rPr>
          <w:sz w:val="28"/>
          <w:szCs w:val="28"/>
        </w:rPr>
      </w:pPr>
    </w:p>
    <w:p w:rsidR="00581EF4" w:rsidRPr="004D3B0C" w:rsidRDefault="00581EF4" w:rsidP="00581EF4">
      <w:pPr>
        <w:spacing w:after="0" w:line="480" w:lineRule="auto"/>
        <w:rPr>
          <w:rFonts w:cs="Times New Roman"/>
          <w:sz w:val="28"/>
          <w:szCs w:val="28"/>
        </w:rPr>
      </w:pPr>
      <w:r w:rsidRPr="004D3B0C">
        <w:rPr>
          <w:rFonts w:cs="Times New Roman"/>
          <w:sz w:val="28"/>
          <w:szCs w:val="28"/>
        </w:rPr>
        <w:lastRenderedPageBreak/>
        <w:t xml:space="preserve">Webster, J. D., Westerhof, G. J., &amp; Bohlmeijer, E. T. (2012). Wisdom and mental health across the lifespan. </w:t>
      </w:r>
      <w:r w:rsidRPr="004D3B0C">
        <w:rPr>
          <w:rFonts w:cs="Times New Roman"/>
          <w:i/>
          <w:iCs/>
          <w:sz w:val="28"/>
          <w:szCs w:val="28"/>
        </w:rPr>
        <w:t>The Journals of Gerontology Series B: Psychological Sciences and Social Sciences</w:t>
      </w:r>
      <w:r w:rsidRPr="004D3B0C">
        <w:rPr>
          <w:rFonts w:cs="Times New Roman"/>
          <w:sz w:val="28"/>
          <w:szCs w:val="28"/>
        </w:rPr>
        <w:t>, gbs121.</w:t>
      </w:r>
    </w:p>
    <w:p w:rsidR="00581EF4" w:rsidRPr="004D3B0C" w:rsidRDefault="00581EF4" w:rsidP="00581EF4">
      <w:pPr>
        <w:spacing w:after="0" w:line="480" w:lineRule="auto"/>
        <w:rPr>
          <w:rFonts w:cs="Times New Roman"/>
          <w:sz w:val="28"/>
          <w:szCs w:val="28"/>
        </w:rPr>
      </w:pPr>
    </w:p>
    <w:p w:rsidR="003C3970" w:rsidRPr="004D3B0C" w:rsidRDefault="00581EF4" w:rsidP="00754795">
      <w:pPr>
        <w:spacing w:after="0" w:line="480" w:lineRule="auto"/>
      </w:pPr>
      <w:r w:rsidRPr="004D3B0C">
        <w:rPr>
          <w:rFonts w:cs="Times New Roman"/>
          <w:sz w:val="28"/>
          <w:szCs w:val="28"/>
        </w:rPr>
        <w:t xml:space="preserve">Young, G. (2014). </w:t>
      </w:r>
      <w:r w:rsidRPr="004D3B0C">
        <w:rPr>
          <w:rFonts w:cs="Times New Roman"/>
          <w:i/>
          <w:sz w:val="28"/>
          <w:szCs w:val="28"/>
        </w:rPr>
        <w:t>Malingering, feigning, and response bias in psychiatric/psychological injury: implications for practice and court</w:t>
      </w:r>
      <w:r w:rsidRPr="004D3B0C">
        <w:rPr>
          <w:rFonts w:cs="Times New Roman"/>
          <w:sz w:val="28"/>
          <w:szCs w:val="28"/>
        </w:rPr>
        <w:t>. Springer, New York.</w:t>
      </w:r>
    </w:p>
    <w:sectPr w:rsidR="003C3970" w:rsidRPr="004D3B0C" w:rsidSect="002D6DBC">
      <w:headerReference w:type="default" r:id="rId16"/>
      <w:footerReference w:type="default" r:id="rId17"/>
      <w:pgSz w:w="11906" w:h="16838"/>
      <w:pgMar w:top="1276" w:right="1440" w:bottom="1276"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EF4" w:rsidRDefault="00581EF4" w:rsidP="00581EF4">
      <w:pPr>
        <w:spacing w:after="0" w:line="240" w:lineRule="auto"/>
      </w:pPr>
      <w:r>
        <w:separator/>
      </w:r>
    </w:p>
  </w:endnote>
  <w:endnote w:type="continuationSeparator" w:id="0">
    <w:p w:rsidR="00581EF4" w:rsidRDefault="00581EF4" w:rsidP="0058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abon LT Std">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810706"/>
      <w:docPartObj>
        <w:docPartGallery w:val="Page Numbers (Bottom of Page)"/>
        <w:docPartUnique/>
      </w:docPartObj>
    </w:sdtPr>
    <w:sdtEndPr>
      <w:rPr>
        <w:noProof/>
      </w:rPr>
    </w:sdtEndPr>
    <w:sdtContent>
      <w:p w:rsidR="00CC2640" w:rsidRDefault="00CC2640">
        <w:pPr>
          <w:pStyle w:val="Footer"/>
          <w:jc w:val="center"/>
        </w:pPr>
        <w:r>
          <w:fldChar w:fldCharType="begin"/>
        </w:r>
        <w:r>
          <w:instrText xml:space="preserve"> PAGE   \* MERGEFORMAT </w:instrText>
        </w:r>
        <w:r>
          <w:fldChar w:fldCharType="separate"/>
        </w:r>
        <w:r w:rsidR="00D270D1">
          <w:rPr>
            <w:noProof/>
          </w:rPr>
          <w:t>33</w:t>
        </w:r>
        <w:r>
          <w:rPr>
            <w:noProof/>
          </w:rPr>
          <w:fldChar w:fldCharType="end"/>
        </w:r>
      </w:p>
    </w:sdtContent>
  </w:sdt>
  <w:p w:rsidR="00CC2640" w:rsidRDefault="00CC2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EF4" w:rsidRDefault="00581EF4" w:rsidP="00581EF4">
      <w:pPr>
        <w:spacing w:after="0" w:line="240" w:lineRule="auto"/>
      </w:pPr>
      <w:r>
        <w:separator/>
      </w:r>
    </w:p>
  </w:footnote>
  <w:footnote w:type="continuationSeparator" w:id="0">
    <w:p w:rsidR="00581EF4" w:rsidRDefault="00581EF4" w:rsidP="00581EF4">
      <w:pPr>
        <w:spacing w:after="0" w:line="240" w:lineRule="auto"/>
      </w:pPr>
      <w:r>
        <w:continuationSeparator/>
      </w:r>
    </w:p>
  </w:footnote>
  <w:footnote w:id="1">
    <w:p w:rsidR="00581EF4" w:rsidRDefault="00581EF4" w:rsidP="00581EF4">
      <w:pPr>
        <w:pStyle w:val="FootnoteText"/>
      </w:pPr>
      <w:r>
        <w:rPr>
          <w:rStyle w:val="FootnoteReference"/>
        </w:rPr>
        <w:footnoteRef/>
      </w:r>
      <w:r>
        <w:t xml:space="preserve"> Ta</w:t>
      </w:r>
      <w:r w:rsidRPr="00581242">
        <w:t xml:space="preserve">ble </w:t>
      </w:r>
      <w:r w:rsidR="000011A3">
        <w:t>4</w:t>
      </w:r>
      <w:r>
        <w:t xml:space="preserve"> </w:t>
      </w:r>
      <w:r w:rsidRPr="00581242">
        <w:t xml:space="preserve">gives a (square-root) prediction score for the </w:t>
      </w:r>
      <w:r>
        <w:t>Emotional</w:t>
      </w:r>
      <w:r w:rsidRPr="00581242">
        <w:t xml:space="preserve"> Scale of </w:t>
      </w:r>
      <w:r>
        <w:t>3.403 [</w:t>
      </w:r>
      <w:r w:rsidRPr="00581242">
        <w:t>2.</w:t>
      </w:r>
      <w:r>
        <w:t>704</w:t>
      </w:r>
      <w:r w:rsidRPr="00581242">
        <w:t xml:space="preserve"> </w:t>
      </w:r>
      <w:r>
        <w:t>+ -</w:t>
      </w:r>
      <w:r w:rsidRPr="00581242">
        <w:t>0.0</w:t>
      </w:r>
      <w:r>
        <w:t>18</w:t>
      </w:r>
      <w:r w:rsidRPr="00581242">
        <w:t>(</w:t>
      </w:r>
      <w:r>
        <w:t>38</w:t>
      </w:r>
      <w:r w:rsidRPr="00581242">
        <w:t>-40.</w:t>
      </w:r>
      <w:r>
        <w:t>72</w:t>
      </w:r>
      <w:r w:rsidRPr="00581242">
        <w:t>) + 0.002((</w:t>
      </w:r>
      <w:r>
        <w:t>38</w:t>
      </w:r>
      <w:r w:rsidRPr="00581242">
        <w:t>–40.</w:t>
      </w:r>
      <w:r>
        <w:t>72</w:t>
      </w:r>
      <w:r w:rsidRPr="00581242">
        <w:t>)²) + 0.</w:t>
      </w:r>
      <w:r>
        <w:t>370</w:t>
      </w:r>
      <w:r w:rsidRPr="00581242">
        <w:t xml:space="preserve">(1) + </w:t>
      </w:r>
      <w:r>
        <w:t>1</w:t>
      </w:r>
      <w:r w:rsidRPr="00581242">
        <w:t>.</w:t>
      </w:r>
      <w:r>
        <w:t>035</w:t>
      </w:r>
      <w:r w:rsidRPr="00581242">
        <w:t>(</w:t>
      </w:r>
      <w:r>
        <w:t>0</w:t>
      </w:r>
      <w:r w:rsidRPr="00581242">
        <w:t>) + 0.2</w:t>
      </w:r>
      <w:r>
        <w:t>65</w:t>
      </w:r>
      <w:r w:rsidRPr="00581242">
        <w:t>(1)</w:t>
      </w:r>
      <w:r>
        <w:t>]</w:t>
      </w:r>
      <w:r w:rsidRPr="00581242">
        <w:t>.</w:t>
      </w:r>
      <w:r>
        <w:t xml:space="preserve"> The residual, therefore, equals 0.203 (√13 - 3.4030) and divided by the standard deviation of the residual (1.490 or √2.219) yields a </w:t>
      </w:r>
      <w:r w:rsidRPr="00C543F1">
        <w:rPr>
          <w:i/>
        </w:rPr>
        <w:t>z</w:t>
      </w:r>
      <w:r>
        <w:t xml:space="preserve"> score of 0.136, which equals a </w:t>
      </w:r>
      <w:r w:rsidRPr="00C543F1">
        <w:rPr>
          <w:i/>
        </w:rPr>
        <w:t>T</w:t>
      </w:r>
      <w:r>
        <w:t xml:space="preserve"> score of 51.36.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C70" w:rsidRPr="003F2C70" w:rsidRDefault="003F2C70" w:rsidP="003F2C70">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3361"/>
    <w:multiLevelType w:val="multilevel"/>
    <w:tmpl w:val="B14E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C66CC"/>
    <w:multiLevelType w:val="multilevel"/>
    <w:tmpl w:val="E25E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B4ED0"/>
    <w:multiLevelType w:val="hybridMultilevel"/>
    <w:tmpl w:val="6C626868"/>
    <w:lvl w:ilvl="0" w:tplc="C0609A84">
      <w:start w:val="1"/>
      <w:numFmt w:val="bullet"/>
      <w:lvlText w:val=""/>
      <w:lvlJc w:val="left"/>
      <w:pPr>
        <w:tabs>
          <w:tab w:val="num" w:pos="720"/>
        </w:tabs>
        <w:ind w:left="720" w:hanging="360"/>
      </w:pPr>
      <w:rPr>
        <w:rFonts w:ascii="Wingdings" w:hAnsi="Wingdings" w:hint="default"/>
      </w:rPr>
    </w:lvl>
    <w:lvl w:ilvl="1" w:tplc="274E2440">
      <w:start w:val="1"/>
      <w:numFmt w:val="bullet"/>
      <w:lvlText w:val=""/>
      <w:lvlJc w:val="left"/>
      <w:pPr>
        <w:tabs>
          <w:tab w:val="num" w:pos="1440"/>
        </w:tabs>
        <w:ind w:left="1440" w:hanging="360"/>
      </w:pPr>
      <w:rPr>
        <w:rFonts w:ascii="Wingdings" w:hAnsi="Wingdings" w:hint="default"/>
      </w:rPr>
    </w:lvl>
    <w:lvl w:ilvl="2" w:tplc="20B2CECC" w:tentative="1">
      <w:start w:val="1"/>
      <w:numFmt w:val="bullet"/>
      <w:lvlText w:val=""/>
      <w:lvlJc w:val="left"/>
      <w:pPr>
        <w:tabs>
          <w:tab w:val="num" w:pos="2160"/>
        </w:tabs>
        <w:ind w:left="2160" w:hanging="360"/>
      </w:pPr>
      <w:rPr>
        <w:rFonts w:ascii="Wingdings" w:hAnsi="Wingdings" w:hint="default"/>
      </w:rPr>
    </w:lvl>
    <w:lvl w:ilvl="3" w:tplc="F7003C36" w:tentative="1">
      <w:start w:val="1"/>
      <w:numFmt w:val="bullet"/>
      <w:lvlText w:val=""/>
      <w:lvlJc w:val="left"/>
      <w:pPr>
        <w:tabs>
          <w:tab w:val="num" w:pos="2880"/>
        </w:tabs>
        <w:ind w:left="2880" w:hanging="360"/>
      </w:pPr>
      <w:rPr>
        <w:rFonts w:ascii="Wingdings" w:hAnsi="Wingdings" w:hint="default"/>
      </w:rPr>
    </w:lvl>
    <w:lvl w:ilvl="4" w:tplc="3572C79C" w:tentative="1">
      <w:start w:val="1"/>
      <w:numFmt w:val="bullet"/>
      <w:lvlText w:val=""/>
      <w:lvlJc w:val="left"/>
      <w:pPr>
        <w:tabs>
          <w:tab w:val="num" w:pos="3600"/>
        </w:tabs>
        <w:ind w:left="3600" w:hanging="360"/>
      </w:pPr>
      <w:rPr>
        <w:rFonts w:ascii="Wingdings" w:hAnsi="Wingdings" w:hint="default"/>
      </w:rPr>
    </w:lvl>
    <w:lvl w:ilvl="5" w:tplc="6630B540" w:tentative="1">
      <w:start w:val="1"/>
      <w:numFmt w:val="bullet"/>
      <w:lvlText w:val=""/>
      <w:lvlJc w:val="left"/>
      <w:pPr>
        <w:tabs>
          <w:tab w:val="num" w:pos="4320"/>
        </w:tabs>
        <w:ind w:left="4320" w:hanging="360"/>
      </w:pPr>
      <w:rPr>
        <w:rFonts w:ascii="Wingdings" w:hAnsi="Wingdings" w:hint="default"/>
      </w:rPr>
    </w:lvl>
    <w:lvl w:ilvl="6" w:tplc="DDBE7B50" w:tentative="1">
      <w:start w:val="1"/>
      <w:numFmt w:val="bullet"/>
      <w:lvlText w:val=""/>
      <w:lvlJc w:val="left"/>
      <w:pPr>
        <w:tabs>
          <w:tab w:val="num" w:pos="5040"/>
        </w:tabs>
        <w:ind w:left="5040" w:hanging="360"/>
      </w:pPr>
      <w:rPr>
        <w:rFonts w:ascii="Wingdings" w:hAnsi="Wingdings" w:hint="default"/>
      </w:rPr>
    </w:lvl>
    <w:lvl w:ilvl="7" w:tplc="0FFCA988" w:tentative="1">
      <w:start w:val="1"/>
      <w:numFmt w:val="bullet"/>
      <w:lvlText w:val=""/>
      <w:lvlJc w:val="left"/>
      <w:pPr>
        <w:tabs>
          <w:tab w:val="num" w:pos="5760"/>
        </w:tabs>
        <w:ind w:left="5760" w:hanging="360"/>
      </w:pPr>
      <w:rPr>
        <w:rFonts w:ascii="Wingdings" w:hAnsi="Wingdings" w:hint="default"/>
      </w:rPr>
    </w:lvl>
    <w:lvl w:ilvl="8" w:tplc="71EE46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43351E"/>
    <w:multiLevelType w:val="multilevel"/>
    <w:tmpl w:val="EE12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1346A2"/>
    <w:multiLevelType w:val="multilevel"/>
    <w:tmpl w:val="E824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8235CB"/>
    <w:multiLevelType w:val="multilevel"/>
    <w:tmpl w:val="F832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9B606C9-2652-47C4-99B9-6F54B3BDE99E}"/>
    <w:docVar w:name="dgnword-eventsink" w:val="175409424"/>
    <w:docVar w:name="dgnword-lastRevisionsView" w:val="0"/>
  </w:docVars>
  <w:rsids>
    <w:rsidRoot w:val="00581EF4"/>
    <w:rsid w:val="000011A3"/>
    <w:rsid w:val="00010510"/>
    <w:rsid w:val="0002486A"/>
    <w:rsid w:val="00027230"/>
    <w:rsid w:val="00067360"/>
    <w:rsid w:val="000D3FE6"/>
    <w:rsid w:val="000F493D"/>
    <w:rsid w:val="00104C4B"/>
    <w:rsid w:val="00144D83"/>
    <w:rsid w:val="00151A92"/>
    <w:rsid w:val="001528B6"/>
    <w:rsid w:val="001A1D4C"/>
    <w:rsid w:val="001C6FDB"/>
    <w:rsid w:val="001F005B"/>
    <w:rsid w:val="00216E0D"/>
    <w:rsid w:val="002330DB"/>
    <w:rsid w:val="002678A6"/>
    <w:rsid w:val="002A1F38"/>
    <w:rsid w:val="002C5660"/>
    <w:rsid w:val="002D6DBC"/>
    <w:rsid w:val="002F2E9F"/>
    <w:rsid w:val="003170E1"/>
    <w:rsid w:val="00326E8F"/>
    <w:rsid w:val="00330D33"/>
    <w:rsid w:val="00342BC4"/>
    <w:rsid w:val="0035395F"/>
    <w:rsid w:val="00393968"/>
    <w:rsid w:val="003F2C70"/>
    <w:rsid w:val="0040035C"/>
    <w:rsid w:val="00407CE8"/>
    <w:rsid w:val="00420955"/>
    <w:rsid w:val="00452D6D"/>
    <w:rsid w:val="00472611"/>
    <w:rsid w:val="004D3B0C"/>
    <w:rsid w:val="00581EF4"/>
    <w:rsid w:val="005A15E1"/>
    <w:rsid w:val="005A4FC7"/>
    <w:rsid w:val="005C5A9B"/>
    <w:rsid w:val="005D5353"/>
    <w:rsid w:val="0060051F"/>
    <w:rsid w:val="00665389"/>
    <w:rsid w:val="006833FF"/>
    <w:rsid w:val="006F73AD"/>
    <w:rsid w:val="00715DE0"/>
    <w:rsid w:val="00754795"/>
    <w:rsid w:val="00765D01"/>
    <w:rsid w:val="007823F2"/>
    <w:rsid w:val="00783C6F"/>
    <w:rsid w:val="007845CB"/>
    <w:rsid w:val="00784717"/>
    <w:rsid w:val="007945B7"/>
    <w:rsid w:val="007B36FC"/>
    <w:rsid w:val="007C237B"/>
    <w:rsid w:val="007E547E"/>
    <w:rsid w:val="008120B5"/>
    <w:rsid w:val="00835844"/>
    <w:rsid w:val="0084716E"/>
    <w:rsid w:val="0086175C"/>
    <w:rsid w:val="008760E4"/>
    <w:rsid w:val="008916FD"/>
    <w:rsid w:val="008B1015"/>
    <w:rsid w:val="008B6FB8"/>
    <w:rsid w:val="00944A54"/>
    <w:rsid w:val="00947726"/>
    <w:rsid w:val="009657DA"/>
    <w:rsid w:val="009B7923"/>
    <w:rsid w:val="009F7A9E"/>
    <w:rsid w:val="00A15D69"/>
    <w:rsid w:val="00A35268"/>
    <w:rsid w:val="00A36E82"/>
    <w:rsid w:val="00A52307"/>
    <w:rsid w:val="00A55A72"/>
    <w:rsid w:val="00A90403"/>
    <w:rsid w:val="00AA0625"/>
    <w:rsid w:val="00B41ACF"/>
    <w:rsid w:val="00B4385B"/>
    <w:rsid w:val="00B44F05"/>
    <w:rsid w:val="00B6755E"/>
    <w:rsid w:val="00B764ED"/>
    <w:rsid w:val="00B97C30"/>
    <w:rsid w:val="00BC2A47"/>
    <w:rsid w:val="00BD5A93"/>
    <w:rsid w:val="00C20C5D"/>
    <w:rsid w:val="00C31584"/>
    <w:rsid w:val="00C541C7"/>
    <w:rsid w:val="00C63EC8"/>
    <w:rsid w:val="00CB06BA"/>
    <w:rsid w:val="00CC2640"/>
    <w:rsid w:val="00CC5477"/>
    <w:rsid w:val="00CD66C7"/>
    <w:rsid w:val="00D11FFC"/>
    <w:rsid w:val="00D270D1"/>
    <w:rsid w:val="00D314EE"/>
    <w:rsid w:val="00D46414"/>
    <w:rsid w:val="00D65496"/>
    <w:rsid w:val="00D90886"/>
    <w:rsid w:val="00DB3498"/>
    <w:rsid w:val="00DC123F"/>
    <w:rsid w:val="00E33121"/>
    <w:rsid w:val="00E56F84"/>
    <w:rsid w:val="00EA16FE"/>
    <w:rsid w:val="00EE1C22"/>
    <w:rsid w:val="00F43C3A"/>
    <w:rsid w:val="00F96341"/>
    <w:rsid w:val="00FC12A6"/>
    <w:rsid w:val="00FD19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3197B3E"/>
  <w15:docId w15:val="{6D7CC200-D79F-4DF6-81AB-2A36C7DA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EF4"/>
    <w:pPr>
      <w:spacing w:after="200" w:line="276" w:lineRule="auto"/>
    </w:pPr>
  </w:style>
  <w:style w:type="paragraph" w:styleId="Heading3">
    <w:name w:val="heading 3"/>
    <w:basedOn w:val="Normal"/>
    <w:link w:val="Heading3Char"/>
    <w:uiPriority w:val="9"/>
    <w:qFormat/>
    <w:rsid w:val="00581E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1EF4"/>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581EF4"/>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81EF4"/>
    <w:rPr>
      <w:sz w:val="16"/>
      <w:szCs w:val="16"/>
    </w:rPr>
  </w:style>
  <w:style w:type="paragraph" w:styleId="CommentText">
    <w:name w:val="annotation text"/>
    <w:basedOn w:val="Normal"/>
    <w:link w:val="CommentTextChar"/>
    <w:unhideWhenUsed/>
    <w:rsid w:val="00581EF4"/>
    <w:pPr>
      <w:spacing w:line="240" w:lineRule="auto"/>
    </w:pPr>
    <w:rPr>
      <w:sz w:val="20"/>
      <w:szCs w:val="20"/>
    </w:rPr>
  </w:style>
  <w:style w:type="character" w:customStyle="1" w:styleId="CommentTextChar">
    <w:name w:val="Comment Text Char"/>
    <w:basedOn w:val="DefaultParagraphFont"/>
    <w:link w:val="CommentText"/>
    <w:rsid w:val="00581EF4"/>
    <w:rPr>
      <w:sz w:val="20"/>
      <w:szCs w:val="20"/>
    </w:rPr>
  </w:style>
  <w:style w:type="paragraph" w:styleId="CommentSubject">
    <w:name w:val="annotation subject"/>
    <w:basedOn w:val="CommentText"/>
    <w:next w:val="CommentText"/>
    <w:link w:val="CommentSubjectChar"/>
    <w:uiPriority w:val="99"/>
    <w:semiHidden/>
    <w:unhideWhenUsed/>
    <w:rsid w:val="00581EF4"/>
    <w:rPr>
      <w:b/>
      <w:bCs/>
    </w:rPr>
  </w:style>
  <w:style w:type="character" w:customStyle="1" w:styleId="CommentSubjectChar">
    <w:name w:val="Comment Subject Char"/>
    <w:basedOn w:val="CommentTextChar"/>
    <w:link w:val="CommentSubject"/>
    <w:uiPriority w:val="99"/>
    <w:semiHidden/>
    <w:rsid w:val="00581EF4"/>
    <w:rPr>
      <w:b/>
      <w:bCs/>
      <w:sz w:val="20"/>
      <w:szCs w:val="20"/>
    </w:rPr>
  </w:style>
  <w:style w:type="paragraph" w:styleId="BalloonText">
    <w:name w:val="Balloon Text"/>
    <w:basedOn w:val="Normal"/>
    <w:link w:val="BalloonTextChar"/>
    <w:uiPriority w:val="99"/>
    <w:semiHidden/>
    <w:unhideWhenUsed/>
    <w:rsid w:val="00581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EF4"/>
    <w:rPr>
      <w:rFonts w:ascii="Tahoma" w:hAnsi="Tahoma" w:cs="Tahoma"/>
      <w:sz w:val="16"/>
      <w:szCs w:val="16"/>
    </w:rPr>
  </w:style>
  <w:style w:type="paragraph" w:styleId="Header">
    <w:name w:val="header"/>
    <w:basedOn w:val="Normal"/>
    <w:link w:val="HeaderChar"/>
    <w:uiPriority w:val="99"/>
    <w:unhideWhenUsed/>
    <w:rsid w:val="00581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EF4"/>
  </w:style>
  <w:style w:type="paragraph" w:styleId="Footer">
    <w:name w:val="footer"/>
    <w:basedOn w:val="Normal"/>
    <w:link w:val="FooterChar"/>
    <w:uiPriority w:val="99"/>
    <w:unhideWhenUsed/>
    <w:rsid w:val="00581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EF4"/>
  </w:style>
  <w:style w:type="paragraph" w:styleId="NoSpacing">
    <w:name w:val="No Spacing"/>
    <w:uiPriority w:val="1"/>
    <w:qFormat/>
    <w:rsid w:val="00581EF4"/>
    <w:pPr>
      <w:spacing w:after="0" w:line="240" w:lineRule="auto"/>
    </w:pPr>
    <w:rPr>
      <w:rFonts w:eastAsiaTheme="minorEastAsia"/>
      <w:sz w:val="24"/>
      <w:szCs w:val="24"/>
      <w:lang w:val="en-US"/>
    </w:rPr>
  </w:style>
  <w:style w:type="paragraph" w:styleId="FootnoteText">
    <w:name w:val="footnote text"/>
    <w:basedOn w:val="Normal"/>
    <w:link w:val="FootnoteTextChar"/>
    <w:uiPriority w:val="99"/>
    <w:semiHidden/>
    <w:unhideWhenUsed/>
    <w:rsid w:val="00581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EF4"/>
    <w:rPr>
      <w:sz w:val="20"/>
      <w:szCs w:val="20"/>
    </w:rPr>
  </w:style>
  <w:style w:type="character" w:styleId="FootnoteReference">
    <w:name w:val="footnote reference"/>
    <w:basedOn w:val="DefaultParagraphFont"/>
    <w:uiPriority w:val="99"/>
    <w:semiHidden/>
    <w:unhideWhenUsed/>
    <w:rsid w:val="00581EF4"/>
    <w:rPr>
      <w:vertAlign w:val="superscript"/>
    </w:rPr>
  </w:style>
  <w:style w:type="paragraph" w:styleId="NormalWeb">
    <w:name w:val="Normal (Web)"/>
    <w:basedOn w:val="Normal"/>
    <w:uiPriority w:val="99"/>
    <w:semiHidden/>
    <w:unhideWhenUsed/>
    <w:rsid w:val="00581E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81EF4"/>
    <w:rPr>
      <w:color w:val="0000FF"/>
      <w:u w:val="single"/>
    </w:rPr>
  </w:style>
  <w:style w:type="character" w:styleId="Emphasis">
    <w:name w:val="Emphasis"/>
    <w:basedOn w:val="DefaultParagraphFont"/>
    <w:uiPriority w:val="20"/>
    <w:qFormat/>
    <w:rsid w:val="00581EF4"/>
    <w:rPr>
      <w:i/>
      <w:iCs/>
    </w:rPr>
  </w:style>
  <w:style w:type="character" w:styleId="Strong">
    <w:name w:val="Strong"/>
    <w:basedOn w:val="DefaultParagraphFont"/>
    <w:uiPriority w:val="22"/>
    <w:qFormat/>
    <w:rsid w:val="00581EF4"/>
    <w:rPr>
      <w:b/>
      <w:bCs/>
    </w:rPr>
  </w:style>
  <w:style w:type="character" w:customStyle="1" w:styleId="il">
    <w:name w:val="il"/>
    <w:basedOn w:val="DefaultParagraphFont"/>
    <w:rsid w:val="00581EF4"/>
  </w:style>
  <w:style w:type="character" w:customStyle="1" w:styleId="UnresolvedMention1">
    <w:name w:val="Unresolved Mention1"/>
    <w:basedOn w:val="DefaultParagraphFont"/>
    <w:uiPriority w:val="99"/>
    <w:semiHidden/>
    <w:unhideWhenUsed/>
    <w:rsid w:val="00581E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0684">
      <w:bodyDiv w:val="1"/>
      <w:marLeft w:val="0"/>
      <w:marRight w:val="0"/>
      <w:marTop w:val="0"/>
      <w:marBottom w:val="0"/>
      <w:divBdr>
        <w:top w:val="none" w:sz="0" w:space="0" w:color="auto"/>
        <w:left w:val="none" w:sz="0" w:space="0" w:color="auto"/>
        <w:bottom w:val="none" w:sz="0" w:space="0" w:color="auto"/>
        <w:right w:val="none" w:sz="0" w:space="0" w:color="auto"/>
      </w:divBdr>
      <w:divsChild>
        <w:div w:id="853347943">
          <w:marLeft w:val="0"/>
          <w:marRight w:val="0"/>
          <w:marTop w:val="0"/>
          <w:marBottom w:val="0"/>
          <w:divBdr>
            <w:top w:val="none" w:sz="0" w:space="0" w:color="auto"/>
            <w:left w:val="none" w:sz="0" w:space="0" w:color="auto"/>
            <w:bottom w:val="none" w:sz="0" w:space="0" w:color="auto"/>
            <w:right w:val="none" w:sz="0" w:space="0" w:color="auto"/>
          </w:divBdr>
          <w:divsChild>
            <w:div w:id="380599803">
              <w:marLeft w:val="0"/>
              <w:marRight w:val="0"/>
              <w:marTop w:val="0"/>
              <w:marBottom w:val="0"/>
              <w:divBdr>
                <w:top w:val="none" w:sz="0" w:space="0" w:color="auto"/>
                <w:left w:val="none" w:sz="0" w:space="0" w:color="auto"/>
                <w:bottom w:val="none" w:sz="0" w:space="0" w:color="auto"/>
                <w:right w:val="none" w:sz="0" w:space="0" w:color="auto"/>
              </w:divBdr>
              <w:divsChild>
                <w:div w:id="735861730">
                  <w:marLeft w:val="0"/>
                  <w:marRight w:val="0"/>
                  <w:marTop w:val="0"/>
                  <w:marBottom w:val="0"/>
                  <w:divBdr>
                    <w:top w:val="none" w:sz="0" w:space="0" w:color="auto"/>
                    <w:left w:val="none" w:sz="0" w:space="0" w:color="auto"/>
                    <w:bottom w:val="none" w:sz="0" w:space="0" w:color="auto"/>
                    <w:right w:val="none" w:sz="0" w:space="0" w:color="auto"/>
                  </w:divBdr>
                  <w:divsChild>
                    <w:div w:id="1118839311">
                      <w:marLeft w:val="0"/>
                      <w:marRight w:val="0"/>
                      <w:marTop w:val="0"/>
                      <w:marBottom w:val="0"/>
                      <w:divBdr>
                        <w:top w:val="none" w:sz="0" w:space="0" w:color="auto"/>
                        <w:left w:val="none" w:sz="0" w:space="0" w:color="auto"/>
                        <w:bottom w:val="none" w:sz="0" w:space="0" w:color="auto"/>
                        <w:right w:val="none" w:sz="0" w:space="0" w:color="auto"/>
                      </w:divBdr>
                      <w:divsChild>
                        <w:div w:id="1589386504">
                          <w:marLeft w:val="0"/>
                          <w:marRight w:val="0"/>
                          <w:marTop w:val="0"/>
                          <w:marBottom w:val="0"/>
                          <w:divBdr>
                            <w:top w:val="none" w:sz="0" w:space="0" w:color="auto"/>
                            <w:left w:val="none" w:sz="0" w:space="0" w:color="auto"/>
                            <w:bottom w:val="none" w:sz="0" w:space="0" w:color="auto"/>
                            <w:right w:val="none" w:sz="0" w:space="0" w:color="auto"/>
                          </w:divBdr>
                          <w:divsChild>
                            <w:div w:id="1456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Bodapati%20AS%5BAuthor%5D&amp;cauthor=true&amp;cauthor_uid=29865932" TargetMode="External"/><Relationship Id="rId13" Type="http://schemas.openxmlformats.org/officeDocument/2006/relationships/hyperlink" Target="https://www.ncbi.nlm.nih.gov/pubmed/?term=Romesser%20J%5BAuthor%5D&amp;cauthor=true&amp;cauthor_uid=2986593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Troyanskaya%20M%5BAuthor%5D&amp;cauthor=true&amp;cauthor_uid=2986593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Miller%20B%5BAuthor%5D&amp;cauthor=true&amp;cauthor_uid=29865932" TargetMode="External"/><Relationship Id="rId5" Type="http://schemas.openxmlformats.org/officeDocument/2006/relationships/webSettings" Target="webSettings.xml"/><Relationship Id="rId15" Type="http://schemas.openxmlformats.org/officeDocument/2006/relationships/hyperlink" Target="https://www.ncbi.nlm.nih.gov/pubmed/?term=Linck%20J%5BAuthor%5D&amp;cauthor=true&amp;cauthor_uid=29865932" TargetMode="External"/><Relationship Id="rId10" Type="http://schemas.openxmlformats.org/officeDocument/2006/relationships/hyperlink" Target="https://www.ncbi.nlm.nih.gov/pubmed/?term=Pastorek%20NJ%5BAuthor%5D&amp;cauthor=true&amp;cauthor_uid=298659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bi.nlm.nih.gov/pubmed/?term=Combs%20HL%5BAuthor%5D&amp;cauthor=true&amp;cauthor_uid=29865932" TargetMode="External"/><Relationship Id="rId14" Type="http://schemas.openxmlformats.org/officeDocument/2006/relationships/hyperlink" Target="https://www.ncbi.nlm.nih.gov/pubmed/?term=Sim%20A%5BAuthor%5D&amp;cauthor=true&amp;cauthor_uid=29865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682E0-E7B1-409C-BE11-3930D3A0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38</Pages>
  <Words>7087</Words>
  <Characters>40399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47392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Smith</dc:creator>
  <cp:lastModifiedBy>Smith, Jared</cp:lastModifiedBy>
  <cp:revision>6</cp:revision>
  <cp:lastPrinted>2018-06-09T15:26:00Z</cp:lastPrinted>
  <dcterms:created xsi:type="dcterms:W3CDTF">2018-07-03T11:00:00Z</dcterms:created>
  <dcterms:modified xsi:type="dcterms:W3CDTF">2018-07-25T11:01:00Z</dcterms:modified>
</cp:coreProperties>
</file>