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2E78" w14:textId="5F4FF2C4" w:rsidR="000F2556" w:rsidRPr="005425EA" w:rsidRDefault="005425EA" w:rsidP="005425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F06892" w:rsidRPr="00DE1F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usceptibility testing of </w:t>
      </w:r>
      <w:proofErr w:type="spellStart"/>
      <w:r w:rsidR="009010A6" w:rsidRPr="00DE1F6E">
        <w:rPr>
          <w:rFonts w:ascii="Times New Roman" w:hAnsi="Times New Roman" w:cs="Times New Roman"/>
          <w:b/>
          <w:i/>
          <w:sz w:val="24"/>
          <w:szCs w:val="24"/>
          <w:lang w:val="en-GB"/>
        </w:rPr>
        <w:t>K</w:t>
      </w:r>
      <w:r w:rsidR="00F06892" w:rsidRPr="00DE1F6E">
        <w:rPr>
          <w:rFonts w:ascii="Times New Roman" w:hAnsi="Times New Roman" w:cs="Times New Roman"/>
          <w:b/>
          <w:i/>
          <w:sz w:val="24"/>
          <w:szCs w:val="24"/>
          <w:lang w:val="en-GB"/>
        </w:rPr>
        <w:t>ingella</w:t>
      </w:r>
      <w:proofErr w:type="spellEnd"/>
      <w:r w:rsidR="009010A6" w:rsidRPr="00DE1F6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9010A6" w:rsidRPr="00DE1F6E">
        <w:rPr>
          <w:rFonts w:ascii="Times New Roman" w:hAnsi="Times New Roman" w:cs="Times New Roman"/>
          <w:b/>
          <w:i/>
          <w:sz w:val="24"/>
          <w:szCs w:val="24"/>
          <w:lang w:val="en-GB"/>
        </w:rPr>
        <w:t>kingae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cefazolin</w:t>
      </w:r>
      <w:proofErr w:type="spellEnd"/>
    </w:p>
    <w:p w14:paraId="23858AE9" w14:textId="7C4709C4" w:rsidR="005A0762" w:rsidRPr="00B03B41" w:rsidRDefault="005A0762" w:rsidP="005425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B41">
        <w:rPr>
          <w:rFonts w:ascii="Times New Roman" w:hAnsi="Times New Roman" w:cs="Times New Roman"/>
          <w:sz w:val="24"/>
          <w:szCs w:val="24"/>
        </w:rPr>
        <w:t>Violaine</w:t>
      </w:r>
      <w:r w:rsidR="00F06892" w:rsidRPr="00B0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92" w:rsidRPr="00B03B41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="00F06892" w:rsidRPr="00B03B41">
        <w:rPr>
          <w:rFonts w:ascii="Times New Roman" w:hAnsi="Times New Roman" w:cs="Times New Roman"/>
          <w:sz w:val="24"/>
          <w:szCs w:val="24"/>
        </w:rPr>
        <w:t xml:space="preserve"> Quang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B41">
        <w:rPr>
          <w:rFonts w:ascii="Times New Roman" w:hAnsi="Times New Roman" w:cs="Times New Roman"/>
          <w:sz w:val="24"/>
          <w:szCs w:val="24"/>
        </w:rPr>
        <w:t>, P</w:t>
      </w:r>
      <w:r w:rsidR="00F06892" w:rsidRPr="00B03B41">
        <w:rPr>
          <w:rFonts w:ascii="Times New Roman" w:hAnsi="Times New Roman" w:cs="Times New Roman"/>
          <w:sz w:val="24"/>
          <w:szCs w:val="24"/>
        </w:rPr>
        <w:t>hilippe</w:t>
      </w:r>
      <w:r w:rsidRPr="00B03B41">
        <w:rPr>
          <w:rFonts w:ascii="Times New Roman" w:hAnsi="Times New Roman" w:cs="Times New Roman"/>
          <w:sz w:val="24"/>
          <w:szCs w:val="24"/>
        </w:rPr>
        <w:t xml:space="preserve"> Bidet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B03B41">
        <w:rPr>
          <w:rFonts w:ascii="Times New Roman" w:hAnsi="Times New Roman" w:cs="Times New Roman"/>
          <w:sz w:val="24"/>
          <w:szCs w:val="24"/>
        </w:rPr>
        <w:t>, A</w:t>
      </w:r>
      <w:r w:rsidR="00F06892" w:rsidRPr="00B03B41">
        <w:rPr>
          <w:rFonts w:ascii="Times New Roman" w:hAnsi="Times New Roman" w:cs="Times New Roman"/>
          <w:sz w:val="24"/>
          <w:szCs w:val="24"/>
        </w:rPr>
        <w:t>ndré Birgy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F06892" w:rsidRPr="00B03B41">
        <w:rPr>
          <w:rFonts w:ascii="Times New Roman" w:hAnsi="Times New Roman" w:cs="Times New Roman"/>
          <w:sz w:val="24"/>
          <w:szCs w:val="24"/>
        </w:rPr>
        <w:t xml:space="preserve">, Marion </w:t>
      </w:r>
      <w:r w:rsidR="00DF4800" w:rsidRPr="00B03B41">
        <w:rPr>
          <w:rFonts w:ascii="Times New Roman" w:hAnsi="Times New Roman" w:cs="Times New Roman"/>
          <w:sz w:val="24"/>
          <w:szCs w:val="24"/>
        </w:rPr>
        <w:t>Caseris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4800" w:rsidRPr="00B03B41">
        <w:rPr>
          <w:rFonts w:ascii="Times New Roman" w:hAnsi="Times New Roman" w:cs="Times New Roman"/>
          <w:sz w:val="24"/>
          <w:szCs w:val="24"/>
        </w:rPr>
        <w:t xml:space="preserve">, </w:t>
      </w:r>
      <w:r w:rsidR="00F06892" w:rsidRPr="00B03B41">
        <w:rPr>
          <w:rFonts w:ascii="Times New Roman" w:hAnsi="Times New Roman" w:cs="Times New Roman"/>
          <w:sz w:val="24"/>
          <w:szCs w:val="24"/>
        </w:rPr>
        <w:t>Romain</w:t>
      </w:r>
      <w:r w:rsidR="00047F62" w:rsidRPr="00B03B41">
        <w:rPr>
          <w:rFonts w:ascii="Times New Roman" w:hAnsi="Times New Roman" w:cs="Times New Roman"/>
          <w:sz w:val="24"/>
          <w:szCs w:val="24"/>
        </w:rPr>
        <w:t xml:space="preserve"> </w:t>
      </w:r>
      <w:r w:rsidRPr="00B03B41">
        <w:rPr>
          <w:rFonts w:ascii="Times New Roman" w:hAnsi="Times New Roman" w:cs="Times New Roman"/>
          <w:sz w:val="24"/>
          <w:szCs w:val="24"/>
        </w:rPr>
        <w:t>Basmaci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3B41">
        <w:rPr>
          <w:rFonts w:ascii="Times New Roman" w:hAnsi="Times New Roman" w:cs="Times New Roman"/>
          <w:sz w:val="24"/>
          <w:szCs w:val="24"/>
        </w:rPr>
        <w:t>, S</w:t>
      </w:r>
      <w:r w:rsidR="00F06892" w:rsidRPr="00B03B41">
        <w:rPr>
          <w:rFonts w:ascii="Times New Roman" w:hAnsi="Times New Roman" w:cs="Times New Roman"/>
          <w:sz w:val="24"/>
          <w:szCs w:val="24"/>
        </w:rPr>
        <w:t>téphane</w:t>
      </w:r>
      <w:r w:rsidRPr="00B03B41">
        <w:rPr>
          <w:rFonts w:ascii="Times New Roman" w:hAnsi="Times New Roman" w:cs="Times New Roman"/>
          <w:sz w:val="24"/>
          <w:szCs w:val="24"/>
        </w:rPr>
        <w:t xml:space="preserve"> Bonacorsi</w:t>
      </w:r>
      <w:r w:rsidR="00984BC9" w:rsidRPr="00B03B4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DE1F6E" w:rsidRPr="00B03B4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2BD8AB4" w14:textId="77777777" w:rsidR="00984BC9" w:rsidRPr="00B03B41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098B155" w14:textId="102A9BFC" w:rsidR="00984BC9" w:rsidRPr="00B03B41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B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B41">
        <w:rPr>
          <w:rFonts w:ascii="Times New Roman" w:hAnsi="Times New Roman" w:cs="Times New Roman"/>
          <w:sz w:val="24"/>
          <w:szCs w:val="24"/>
        </w:rPr>
        <w:t xml:space="preserve">Service de Microbiologie, Hôpital Robert-Debré, AP-HP, Centre National de Référence associé </w:t>
      </w:r>
      <w:r w:rsidRPr="00B03B41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B03B41">
        <w:rPr>
          <w:rFonts w:ascii="Times New Roman" w:hAnsi="Times New Roman" w:cs="Times New Roman"/>
          <w:sz w:val="24"/>
          <w:szCs w:val="24"/>
        </w:rPr>
        <w:t>, Paris, France</w:t>
      </w:r>
    </w:p>
    <w:p w14:paraId="4DAED96E" w14:textId="51B79955" w:rsidR="00984BC9" w:rsidRPr="00B03B41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3B41">
        <w:rPr>
          <w:rFonts w:ascii="Times New Roman" w:hAnsi="Times New Roman" w:cs="Times New Roman"/>
          <w:sz w:val="24"/>
          <w:szCs w:val="24"/>
        </w:rPr>
        <w:t>IAME, UMR 1137, INSERM, Université Paris Diderot, Sorbonne Paris Cité, France</w:t>
      </w:r>
    </w:p>
    <w:p w14:paraId="4BBA4574" w14:textId="1413ABEF" w:rsidR="00984BC9" w:rsidRPr="00B03B41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3B41">
        <w:rPr>
          <w:rFonts w:ascii="Times New Roman" w:hAnsi="Times New Roman" w:cs="Times New Roman"/>
          <w:sz w:val="24"/>
          <w:szCs w:val="24"/>
        </w:rPr>
        <w:t>Service de Pédiatrie Générale, Equipe Opérationnelle d’Infectiologie, Hôpital Robert-Debré, AP-HP, F-75019 Paris, France</w:t>
      </w:r>
    </w:p>
    <w:p w14:paraId="4C7EF621" w14:textId="77777777" w:rsidR="00984BC9" w:rsidRPr="00B03B41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4A525B" w14:textId="6A426642" w:rsidR="00984BC9" w:rsidRPr="0079339D" w:rsidRDefault="00DE1F6E" w:rsidP="005425E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9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9339D">
        <w:rPr>
          <w:rFonts w:ascii="Times New Roman" w:hAnsi="Times New Roman" w:cs="Times New Roman"/>
          <w:sz w:val="24"/>
          <w:szCs w:val="24"/>
          <w:u w:val="single"/>
        </w:rPr>
        <w:t>Corresponding</w:t>
      </w:r>
      <w:proofErr w:type="spellEnd"/>
      <w:r w:rsidRPr="007933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339D">
        <w:rPr>
          <w:rFonts w:ascii="Times New Roman" w:hAnsi="Times New Roman" w:cs="Times New Roman"/>
          <w:sz w:val="24"/>
          <w:szCs w:val="24"/>
          <w:u w:val="single"/>
        </w:rPr>
        <w:t>author</w:t>
      </w:r>
      <w:proofErr w:type="spellEnd"/>
      <w:r w:rsidRPr="0079339D">
        <w:rPr>
          <w:rFonts w:ascii="Times New Roman" w:hAnsi="Times New Roman" w:cs="Times New Roman"/>
          <w:sz w:val="24"/>
          <w:szCs w:val="24"/>
        </w:rPr>
        <w:t xml:space="preserve">: </w:t>
      </w:r>
      <w:r w:rsidR="00ED54ED" w:rsidRPr="0079339D">
        <w:rPr>
          <w:rFonts w:ascii="Times New Roman" w:hAnsi="Times New Roman" w:cs="Times New Roman"/>
          <w:sz w:val="24"/>
          <w:szCs w:val="24"/>
        </w:rPr>
        <w:t xml:space="preserve">Prof. </w:t>
      </w:r>
      <w:r w:rsidR="00984BC9" w:rsidRPr="0079339D">
        <w:rPr>
          <w:rFonts w:ascii="Times New Roman" w:hAnsi="Times New Roman" w:cs="Times New Roman"/>
          <w:sz w:val="24"/>
          <w:szCs w:val="24"/>
        </w:rPr>
        <w:t xml:space="preserve">Stéphane </w:t>
      </w:r>
      <w:proofErr w:type="spellStart"/>
      <w:r w:rsidR="00984BC9" w:rsidRPr="0079339D">
        <w:rPr>
          <w:rFonts w:ascii="Times New Roman" w:hAnsi="Times New Roman" w:cs="Times New Roman"/>
          <w:sz w:val="24"/>
          <w:szCs w:val="24"/>
        </w:rPr>
        <w:t>Bonacorsi</w:t>
      </w:r>
      <w:proofErr w:type="spellEnd"/>
      <w:r w:rsidR="00984BC9" w:rsidRPr="0079339D">
        <w:rPr>
          <w:rFonts w:ascii="Times New Roman" w:hAnsi="Times New Roman" w:cs="Times New Roman"/>
          <w:sz w:val="24"/>
          <w:szCs w:val="24"/>
        </w:rPr>
        <w:t>, Service de Microbiologie, Hôpital Robert Debré, 48 Boulevard Sérurier, 75019 Paris, France, stephane.bonacorsi@rdb.aphp.fr, phone: 33 (0)1 40 03 57 92, fax: 33 (0)1 40 03 24 50.</w:t>
      </w:r>
    </w:p>
    <w:p w14:paraId="017C168E" w14:textId="2FF4E358" w:rsidR="00DE1F6E" w:rsidRPr="00DE1F6E" w:rsidRDefault="00984BC9" w:rsidP="005425E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u w:val="single"/>
          <w:lang w:val="en-GB"/>
        </w:rPr>
        <w:t>Running title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DE1F6E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Kingella</w:t>
      </w:r>
      <w:proofErr w:type="spellEnd"/>
      <w:r w:rsidR="00DE1F6E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E1F6E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DE1F6E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E1F6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susceptibility to </w:t>
      </w:r>
      <w:proofErr w:type="spellStart"/>
      <w:r w:rsidR="00DE1F6E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</w:p>
    <w:p w14:paraId="39AB699F" w14:textId="77777777" w:rsidR="00DE1F6E" w:rsidRPr="00DE1F6E" w:rsidRDefault="00DE1F6E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u w:val="single"/>
          <w:lang w:val="en-GB"/>
        </w:rPr>
        <w:t>Key words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Kingella</w:t>
      </w:r>
      <w:proofErr w:type="spellEnd"/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F6E">
        <w:rPr>
          <w:rFonts w:ascii="Times New Roman" w:hAnsi="Times New Roman" w:cs="Times New Roman"/>
          <w:sz w:val="24"/>
          <w:szCs w:val="24"/>
          <w:lang w:val="en-GB"/>
        </w:rPr>
        <w:t>osteo</w:t>
      </w:r>
      <w:proofErr w:type="spellEnd"/>
      <w:r w:rsidRPr="00DE1F6E">
        <w:rPr>
          <w:rFonts w:ascii="Times New Roman" w:hAnsi="Times New Roman" w:cs="Times New Roman"/>
          <w:sz w:val="24"/>
          <w:szCs w:val="24"/>
          <w:lang w:val="en-GB"/>
        </w:rPr>
        <w:t>-articular infections, antimicrobial susceptibility test, antibiotic therapy, children</w:t>
      </w:r>
    </w:p>
    <w:p w14:paraId="54021E9A" w14:textId="77777777" w:rsidR="00984BC9" w:rsidRPr="00DE1F6E" w:rsidRDefault="00984BC9" w:rsidP="005425E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61E7B59" w14:textId="2D81ACFA" w:rsidR="00DF4800" w:rsidRPr="00DE1F6E" w:rsidRDefault="005425EA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Sir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3A6EE9BD" w14:textId="66701E5D" w:rsidR="00FE6F71" w:rsidRPr="00DE1F6E" w:rsidRDefault="00EF4AA4" w:rsidP="00977E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read with great interest the article </w:t>
      </w:r>
      <w:r w:rsidRPr="00035931">
        <w:rPr>
          <w:rFonts w:ascii="Times New Roman" w:hAnsi="Times New Roman" w:cs="Times New Roman"/>
          <w:sz w:val="24"/>
          <w:szCs w:val="24"/>
          <w:lang w:val="en-GB"/>
        </w:rPr>
        <w:t>entitled “</w:t>
      </w:r>
      <w:r w:rsidRPr="0003593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Antimicrobial susceptibility testing of </w:t>
      </w:r>
      <w:proofErr w:type="spellStart"/>
      <w:r w:rsidRPr="00035931">
        <w:rPr>
          <w:rFonts w:ascii="Times New Roman" w:hAnsi="Times New Roman" w:cs="Times New Roman"/>
          <w:bCs/>
          <w:i/>
          <w:sz w:val="24"/>
          <w:szCs w:val="24"/>
          <w:lang w:val="en-GB"/>
        </w:rPr>
        <w:t>Kingella</w:t>
      </w:r>
      <w:proofErr w:type="spellEnd"/>
      <w:r w:rsidRPr="0003593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035931">
        <w:rPr>
          <w:rFonts w:ascii="Times New Roman" w:hAnsi="Times New Roman" w:cs="Times New Roman"/>
          <w:bCs/>
          <w:i/>
          <w:sz w:val="24"/>
          <w:szCs w:val="24"/>
          <w:lang w:val="en-GB"/>
        </w:rPr>
        <w:t>kingae</w:t>
      </w:r>
      <w:proofErr w:type="spellEnd"/>
      <w:r w:rsidRPr="0003593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broth </w:t>
      </w:r>
      <w:proofErr w:type="spellStart"/>
      <w:r w:rsidRPr="00035931">
        <w:rPr>
          <w:rFonts w:ascii="Times New Roman" w:hAnsi="Times New Roman" w:cs="Times New Roman"/>
          <w:bCs/>
          <w:sz w:val="24"/>
          <w:szCs w:val="24"/>
          <w:lang w:val="en-GB"/>
        </w:rPr>
        <w:t>microdilution</w:t>
      </w:r>
      <w:proofErr w:type="spellEnd"/>
      <w:r w:rsidRPr="0003593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disk diffusion using EUCAST recommended media”</w:t>
      </w:r>
      <w:r w:rsidRPr="00035931">
        <w:rPr>
          <w:rFonts w:ascii="Times New Roman" w:hAnsi="Times New Roman" w:cs="Times New Roman"/>
          <w:sz w:val="24"/>
          <w:szCs w:val="24"/>
          <w:lang w:val="en-GB"/>
        </w:rPr>
        <w:t xml:space="preserve"> published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Matuschek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="000359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931" w:rsidRP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3593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7FFC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Kingella</w:t>
      </w:r>
      <w:proofErr w:type="spellEnd"/>
      <w:r w:rsidR="00C57FFC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C57FFC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6D10E9" w:rsidRPr="00DE1F6E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is now recognized as the first pathogen causing septic arthritis and osteomyelitis in children betw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een 6 months and 4 years of age</w:t>
      </w:r>
      <w:r w:rsidR="004909B5" w:rsidRPr="004909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in several countries,</w:t>
      </w:r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preceding </w:t>
      </w:r>
      <w:r w:rsidR="00C57FFC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Staphylococcus </w:t>
      </w:r>
      <w:proofErr w:type="spellStart"/>
      <w:r w:rsidR="00C57FFC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F06892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0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>Empiric treatment should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therefore</w:t>
      </w:r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>cover</w:t>
      </w:r>
      <w:r w:rsidR="00C57FFC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both pathogens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and amoxicillin plus </w:t>
      </w:r>
      <w:proofErr w:type="spellStart"/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>clavula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>nate</w:t>
      </w:r>
      <w:proofErr w:type="spellEnd"/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or second</w:t>
      </w:r>
      <w:r w:rsidR="000D6CA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or third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generation </w:t>
      </w:r>
      <w:proofErr w:type="spellStart"/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>cephalosporins</w:t>
      </w:r>
      <w:proofErr w:type="spellEnd"/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have been recommended</w:t>
      </w:r>
      <w:r w:rsidR="00F0689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931" w:rsidRP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2,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035931" w:rsidRP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EC21DA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010535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010535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is not fully susceptible to </w:t>
      </w:r>
      <w:proofErr w:type="spellStart"/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>oxacillin</w:t>
      </w:r>
      <w:proofErr w:type="spellEnd"/>
      <w:r w:rsidR="00057BCE">
        <w:rPr>
          <w:rFonts w:ascii="Times New Roman" w:hAnsi="Times New Roman" w:cs="Times New Roman"/>
          <w:sz w:val="24"/>
          <w:szCs w:val="24"/>
          <w:lang w:val="en-GB"/>
        </w:rPr>
        <w:t xml:space="preserve"> (minimum inhibitory concentration [MIC]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>: MIC</w:t>
      </w:r>
      <w:r w:rsidR="00977EC6" w:rsidRPr="00977EC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 xml:space="preserve"> = 3 mg/L and MIC</w:t>
      </w:r>
      <w:r w:rsidR="00977EC6" w:rsidRPr="00977EC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90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 xml:space="preserve"> = 6 mg/L</w:t>
      </w:r>
      <w:r w:rsidR="00057BC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931" w:rsidRP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which is frequently used as first line treatment in some countries</w:t>
      </w:r>
      <w:r w:rsidR="00B11B32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 w:rsidR="00413CB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generation </w:t>
      </w:r>
      <w:proofErr w:type="spellStart"/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>cephalosporin</w:t>
      </w:r>
      <w:r w:rsidR="000D6C1C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EC21D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F9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proofErr w:type="spellStart"/>
      <w:r w:rsidR="00283F99" w:rsidRPr="00DE1F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>efazolin</w:t>
      </w:r>
      <w:proofErr w:type="spellEnd"/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6C1C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recognized </w:t>
      </w:r>
      <w:r w:rsidR="00B11B32" w:rsidRPr="00DE1F6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F31BB8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 long time 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31BB8" w:rsidRPr="00DE1F6E">
        <w:rPr>
          <w:rFonts w:ascii="Times New Roman" w:hAnsi="Times New Roman" w:cs="Times New Roman"/>
          <w:sz w:val="24"/>
          <w:szCs w:val="24"/>
          <w:lang w:val="en-GB"/>
        </w:rPr>
        <w:t>cure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1BB8" w:rsidRPr="00DE1F6E">
        <w:rPr>
          <w:rFonts w:ascii="Times New Roman" w:hAnsi="Times New Roman" w:cs="Times New Roman"/>
          <w:sz w:val="24"/>
          <w:szCs w:val="24"/>
          <w:lang w:val="en-GB"/>
        </w:rPr>
        <w:t>bone and joint infections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due to</w:t>
      </w:r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S. </w:t>
      </w:r>
      <w:proofErr w:type="spellStart"/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F5099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F9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3593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283F9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F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even </w:t>
      </w:r>
      <w:r w:rsidR="00283F9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recommended </w:t>
      </w:r>
      <w:r w:rsidR="00047F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in prosthetic joint infection treatment due </w:t>
      </w:r>
      <w:r w:rsidR="00B11B3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D6CA0" w:rsidRPr="00DE1F6E">
        <w:rPr>
          <w:rFonts w:ascii="Times New Roman" w:hAnsi="Times New Roman" w:cs="Times New Roman"/>
          <w:sz w:val="24"/>
          <w:szCs w:val="24"/>
          <w:lang w:val="en-GB"/>
        </w:rPr>
        <w:t>methicillin</w:t>
      </w:r>
      <w:r w:rsidR="00047F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-susceptible </w:t>
      </w:r>
      <w:r w:rsidR="00047F62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S. </w:t>
      </w:r>
      <w:proofErr w:type="spellStart"/>
      <w:r w:rsidR="00047F62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984BC9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047F62" w:rsidRPr="00DE1F6E">
        <w:rPr>
          <w:rFonts w:ascii="Times New Roman" w:hAnsi="Times New Roman" w:cs="Times New Roman"/>
          <w:sz w:val="24"/>
          <w:szCs w:val="24"/>
          <w:lang w:val="en-GB"/>
        </w:rPr>
        <w:t>. H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>owever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 susceptibility of </w:t>
      </w:r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to this drug has not been investigated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yet, and </w:t>
      </w:r>
      <w:r w:rsidR="00504C81">
        <w:rPr>
          <w:rFonts w:ascii="Times New Roman" w:hAnsi="Times New Roman" w:cs="Times New Roman"/>
          <w:sz w:val="24"/>
          <w:szCs w:val="24"/>
          <w:lang w:val="en-GB"/>
        </w:rPr>
        <w:t>neither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breakpoints</w:t>
      </w:r>
      <w:proofErr w:type="gramEnd"/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were provided in the recent publication of the European Committee on Antimicrobial Susceptibility Testing</w:t>
      </w:r>
      <w:r w:rsidR="009E55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(EUCAST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77EC6" w:rsidRPr="00977EC6">
        <w:rPr>
          <w:rFonts w:ascii="Times New Roman" w:hAnsi="Times New Roman" w:cs="Times New Roman"/>
          <w:sz w:val="24"/>
          <w:szCs w:val="24"/>
          <w:lang w:val="en-GB"/>
        </w:rPr>
        <w:t xml:space="preserve">Clinical Breakpoint 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>Tables v</w:t>
      </w:r>
      <w:r w:rsidR="00977EC6" w:rsidRPr="00977EC6">
        <w:rPr>
          <w:rFonts w:ascii="Times New Roman" w:hAnsi="Times New Roman" w:cs="Times New Roman"/>
          <w:sz w:val="24"/>
          <w:szCs w:val="24"/>
          <w:lang w:val="en-GB"/>
        </w:rPr>
        <w:t>7.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65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77EC6">
        <w:rPr>
          <w:rFonts w:ascii="Times New Roman" w:hAnsi="Times New Roman" w:cs="Times New Roman"/>
          <w:sz w:val="24"/>
          <w:szCs w:val="24"/>
          <w:lang w:val="en-GB"/>
        </w:rPr>
        <w:t xml:space="preserve">March 2017, </w:t>
      </w:r>
      <w:r w:rsidR="00977EC6" w:rsidRPr="00977EC6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t>http://</w:t>
      </w:r>
      <w:hyperlink r:id="rId8" w:history="1">
        <w:r w:rsidR="00977EC6" w:rsidRPr="00977EC6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www.eucast.org/</w:t>
        </w:r>
      </w:hyperlink>
      <w:r w:rsidR="00977EC6">
        <w:rPr>
          <w:rFonts w:ascii="Times New Roman" w:hAnsi="Times New Roman" w:cs="Times New Roman"/>
          <w:sz w:val="24"/>
          <w:szCs w:val="24"/>
          <w:lang w:val="en-GB"/>
        </w:rPr>
        <w:t>) nor MICs</w:t>
      </w:r>
      <w:r w:rsidR="00504C81">
        <w:rPr>
          <w:rFonts w:ascii="Times New Roman" w:hAnsi="Times New Roman" w:cs="Times New Roman"/>
          <w:sz w:val="24"/>
          <w:szCs w:val="24"/>
          <w:lang w:val="en-GB"/>
        </w:rPr>
        <w:t xml:space="preserve"> distribution by </w:t>
      </w:r>
      <w:proofErr w:type="spellStart"/>
      <w:r w:rsidR="00504C81">
        <w:rPr>
          <w:rFonts w:ascii="Times New Roman" w:hAnsi="Times New Roman" w:cs="Times New Roman"/>
          <w:sz w:val="24"/>
          <w:szCs w:val="24"/>
          <w:lang w:val="en-GB"/>
        </w:rPr>
        <w:t>Matuschek</w:t>
      </w:r>
      <w:proofErr w:type="spellEnd"/>
      <w:r w:rsidR="00504C81"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="000359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F96138" w14:textId="0305240D" w:rsidR="009010A6" w:rsidRPr="00DE1F6E" w:rsidRDefault="00006CBD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lang w:val="en-GB"/>
        </w:rPr>
        <w:t>Forty clinical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0A6" w:rsidRPr="00DE1F6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FE6F71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9010A6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010A6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isolates 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geograp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hical locations and representative of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>diversity of the species in terms of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pathogen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icity and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genotypes, based on </w:t>
      </w:r>
      <w:proofErr w:type="spellStart"/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multilocus</w:t>
      </w:r>
      <w:proofErr w:type="spellEnd"/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sequence typ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ML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ST)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analysis 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4F695E" w:rsidRPr="00DE1F6E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="003F665D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>for susceptibility testing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he reference type strain ATCC 23330 from Norway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was also included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40 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clinical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isolates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were from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USA (n=5), Canada (n=5), Spain (n=6), Israel (n=10), Iceland (n=2) and France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(n=12). The major sequence type complexes STc-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6, 14, 23, 25, 3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were represented with 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11, 8, 5, 6,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strains respectively. </w:t>
      </w:r>
      <w:r w:rsidR="00A508F1" w:rsidRPr="00DE1F6E">
        <w:rPr>
          <w:rFonts w:ascii="Times New Roman" w:hAnsi="Times New Roman" w:cs="Times New Roman"/>
          <w:sz w:val="24"/>
          <w:szCs w:val="24"/>
          <w:lang w:val="en-GB"/>
        </w:rPr>
        <w:t>Twenty-nine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strains were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involved in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>osteo</w:t>
      </w:r>
      <w:proofErr w:type="spellEnd"/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-articular infections, 4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occult </w:t>
      </w:r>
      <w:r w:rsidR="00DE1F6E" w:rsidRPr="00DE1F6E">
        <w:rPr>
          <w:rFonts w:ascii="Times New Roman" w:hAnsi="Times New Roman" w:cs="Times New Roman"/>
          <w:sz w:val="24"/>
          <w:szCs w:val="24"/>
          <w:lang w:val="en-GB"/>
        </w:rPr>
        <w:t>bacteraemia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, 3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endocarditis,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1 in infection 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unknown site, and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finally 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were isolated from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 xml:space="preserve">healthy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carri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="005A0762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Nine strains </w:t>
      </w:r>
      <w:r w:rsidR="00A508F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produced a </w:t>
      </w:r>
      <w:proofErr w:type="spellStart"/>
      <w:r w:rsidR="00A508F1" w:rsidRPr="00DE1F6E">
        <w:rPr>
          <w:rFonts w:ascii="Times New Roman" w:hAnsi="Times New Roman" w:cs="Times New Roman"/>
          <w:sz w:val="24"/>
          <w:szCs w:val="24"/>
          <w:lang w:val="en-GB"/>
        </w:rPr>
        <w:t>penicillinase</w:t>
      </w:r>
      <w:proofErr w:type="spellEnd"/>
      <w:r w:rsidR="00A508F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and were 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USA, Iceland, Israel and France </w:t>
      </w:r>
      <w:r w:rsidR="00035931" w:rsidRP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="00FE6F71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MICs using E</w:t>
      </w:r>
      <w:r w:rsidR="00535132" w:rsidRPr="00DE1F6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test method 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were determined 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on M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ueller-Hinton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-F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agar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Biomerieux</w:t>
      </w:r>
      <w:proofErr w:type="spellEnd"/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, Marcy-l’-</w:t>
      </w:r>
      <w:proofErr w:type="spellStart"/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Etoile</w:t>
      </w:r>
      <w:proofErr w:type="spellEnd"/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, France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) with a</w:t>
      </w:r>
      <w:r w:rsidR="00413CB4" w:rsidRPr="00DE1F6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inoculum of</w:t>
      </w:r>
      <w:r w:rsidR="00EB18D4">
        <w:rPr>
          <w:rFonts w:ascii="Times New Roman" w:hAnsi="Times New Roman" w:cs="Times New Roman"/>
          <w:sz w:val="24"/>
          <w:szCs w:val="24"/>
          <w:lang w:val="en-GB"/>
        </w:rPr>
        <w:t xml:space="preserve"> McFarland 0.5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18D4">
        <w:rPr>
          <w:rFonts w:ascii="Times New Roman" w:hAnsi="Times New Roman" w:cs="Times New Roman"/>
          <w:sz w:val="24"/>
          <w:szCs w:val="24"/>
          <w:lang w:val="en-GB"/>
        </w:rPr>
        <w:t xml:space="preserve">(corresponding to </w:t>
      </w:r>
      <w:r w:rsidR="00EB18D4" w:rsidRPr="00DE1F6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EB18D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="00EB18D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FU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/ml</w:t>
      </w:r>
      <w:r w:rsidR="00EB18D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>, as recommended by EUCAST</w:t>
      </w:r>
      <w:r w:rsidR="009010A6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 reference strains </w:t>
      </w:r>
      <w:r w:rsidR="001B56A6" w:rsidRPr="00DE1F6E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6D07F9" w:rsidRPr="00DE1F6E">
        <w:rPr>
          <w:rFonts w:ascii="Times New Roman" w:hAnsi="Times New Roman" w:cs="Times New Roman"/>
          <w:i/>
          <w:sz w:val="24"/>
          <w:szCs w:val="24"/>
          <w:lang w:val="en-GB"/>
        </w:rPr>
        <w:t>scherichia</w:t>
      </w:r>
      <w:r w:rsidR="001B56A6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coli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ATCC 25922 and </w:t>
      </w:r>
      <w:r w:rsidR="001B56A6" w:rsidRPr="00DE1F6E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413CB4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1B56A6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B56A6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00D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ATCC </w:t>
      </w:r>
      <w:r w:rsidR="001B56A6" w:rsidRPr="00DE1F6E">
        <w:rPr>
          <w:rFonts w:ascii="Times New Roman" w:hAnsi="Times New Roman" w:cs="Times New Roman"/>
          <w:sz w:val="24"/>
          <w:szCs w:val="24"/>
          <w:lang w:val="en-GB"/>
        </w:rPr>
        <w:t>29213 were used as control.</w:t>
      </w:r>
    </w:p>
    <w:p w14:paraId="53136D52" w14:textId="03022FD2" w:rsidR="001B56A6" w:rsidRPr="00DE1F6E" w:rsidRDefault="00CC0943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lang w:val="en-GB"/>
        </w:rPr>
        <w:t>MIC</w:t>
      </w:r>
      <w:r w:rsidRPr="00057BC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>MIC</w:t>
      </w:r>
      <w:r w:rsidR="00191561" w:rsidRPr="00057BC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90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were 0.38 and 0.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respectively (range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>0.19 to 0.75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695E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). The nine beta-lactamase</w:t>
      </w:r>
      <w:r w:rsidR="00413CB4" w:rsidRPr="00DE1F6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producing </w:t>
      </w:r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413CB4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isolates 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had similar </w:t>
      </w:r>
      <w:proofErr w:type="spellStart"/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MIC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compare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their </w:t>
      </w:r>
      <w:r w:rsidR="00604D24" w:rsidRPr="00DE1F6E">
        <w:rPr>
          <w:rFonts w:ascii="Times New Roman" w:hAnsi="Times New Roman" w:cs="Times New Roman"/>
          <w:sz w:val="24"/>
          <w:szCs w:val="24"/>
          <w:lang w:val="en-GB"/>
        </w:rPr>
        <w:t>non-produc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ers</w:t>
      </w:r>
      <w:r w:rsidR="00604D2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counterpart</w:t>
      </w:r>
      <w:r w:rsidR="00604D24" w:rsidRPr="00DE1F6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>MIC</w:t>
      </w:r>
      <w:r w:rsidR="006D07F9" w:rsidRPr="00057BC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= 0.50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>g/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[range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0.25-0.75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vs.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MIC</w:t>
      </w:r>
      <w:r w:rsidR="006D07F9" w:rsidRPr="00057BCE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0.38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mg/L 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range: 0.19-0.75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6D07F9" w:rsidRPr="00DE1F6E">
        <w:rPr>
          <w:rFonts w:ascii="Times New Roman" w:hAnsi="Times New Roman" w:cs="Times New Roman"/>
          <w:sz w:val="24"/>
          <w:szCs w:val="24"/>
          <w:lang w:val="en-GB"/>
        </w:rPr>
        <w:t>, respectively, p=</w:t>
      </w:r>
      <w:r w:rsidR="00B55D44" w:rsidRPr="00DE1F6E">
        <w:rPr>
          <w:rFonts w:ascii="Times New Roman" w:hAnsi="Times New Roman" w:cs="Times New Roman"/>
          <w:sz w:val="24"/>
          <w:szCs w:val="24"/>
          <w:lang w:val="en-GB"/>
        </w:rPr>
        <w:t>0.31</w:t>
      </w:r>
      <w:r w:rsidR="004F695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by Mann-Whitney U test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MICs of the reference strains </w:t>
      </w:r>
      <w:r w:rsidR="00B52A1B" w:rsidRPr="00DE1F6E">
        <w:rPr>
          <w:rFonts w:ascii="Times New Roman" w:hAnsi="Times New Roman" w:cs="Times New Roman"/>
          <w:i/>
          <w:sz w:val="24"/>
          <w:szCs w:val="24"/>
          <w:lang w:val="en-GB"/>
        </w:rPr>
        <w:t>Escherichia coli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ATCC 25922 and </w:t>
      </w:r>
      <w:r w:rsidR="00B52A1B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S. </w:t>
      </w:r>
      <w:proofErr w:type="spellStart"/>
      <w:r w:rsidR="00B52A1B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00D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ATCC 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29213 were 2 and 0.38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, respectively. 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>All the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A1B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B52A1B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strains had a </w:t>
      </w:r>
      <w:proofErr w:type="spellStart"/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MIC under </w:t>
      </w:r>
      <w:r w:rsidR="00F64026" w:rsidRPr="00DE1F6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>non-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="00B52A1B" w:rsidRPr="00DE1F6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MIC breakpoints (1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F64026" w:rsidRPr="00DE1F6E">
        <w:rPr>
          <w:rFonts w:ascii="Times New Roman" w:hAnsi="Times New Roman" w:cs="Times New Roman"/>
          <w:sz w:val="24"/>
          <w:szCs w:val="24"/>
          <w:lang w:val="en-GB"/>
        </w:rPr>
        <w:t>as proposed by EUCAST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>. Moreover the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MICs </w:t>
      </w:r>
      <w:r w:rsidR="00EC00D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EC00D6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EC00D6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EC00D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isolates 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53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lower than 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="00F6402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444A2E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4A2E" w:rsidRPr="00DE1F6E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9F290E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444A2E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44A2E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584041" w:rsidRPr="00DE1F6E"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="00F64026" w:rsidRPr="00DE1F6E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58404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F64026" w:rsidRPr="00DE1F6E">
        <w:rPr>
          <w:rFonts w:ascii="Times New Roman" w:hAnsi="Times New Roman" w:cs="Times New Roman"/>
          <w:sz w:val="24"/>
          <w:szCs w:val="24"/>
          <w:lang w:val="en-GB"/>
        </w:rPr>
        <w:t>the epidemiological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cut-off is 2 </w:t>
      </w:r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mg/L</w:t>
      </w:r>
      <w:r w:rsidR="002B7B7A" w:rsidRPr="00DE1F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87819B" w14:textId="33750F6F" w:rsidR="00261BE0" w:rsidRPr="00DE1F6E" w:rsidRDefault="00A508F1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he recent description of </w:t>
      </w:r>
      <w:proofErr w:type="spellStart"/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>penicillinase</w:t>
      </w:r>
      <w:proofErr w:type="spellEnd"/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-producing </w:t>
      </w:r>
      <w:r w:rsidR="002A2785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2A2785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strains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1BE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with the potential risk of a global emergence and dissemination </w:t>
      </w:r>
      <w:r w:rsidR="0003593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="00261BE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A2785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as well as the necessity to cover </w:t>
      </w:r>
      <w:r w:rsidR="002A2785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S. </w:t>
      </w:r>
      <w:proofErr w:type="spellStart"/>
      <w:r w:rsidR="002A2785" w:rsidRPr="00DE1F6E">
        <w:rPr>
          <w:rFonts w:ascii="Times New Roman" w:hAnsi="Times New Roman" w:cs="Times New Roman"/>
          <w:i/>
          <w:sz w:val="24"/>
          <w:szCs w:val="24"/>
          <w:lang w:val="en-GB"/>
        </w:rPr>
        <w:t>aureus</w:t>
      </w:r>
      <w:proofErr w:type="spellEnd"/>
      <w:r w:rsidR="00261BE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in case of culture and PCR negative septic arthritis, lead to reconsider the first-line treatment. </w:t>
      </w:r>
      <w:proofErr w:type="spellStart"/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191561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appears well active among </w:t>
      </w:r>
      <w:r w:rsidR="00191561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191561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CF2775">
        <w:rPr>
          <w:rFonts w:ascii="Times New Roman" w:hAnsi="Times New Roman" w:cs="Times New Roman"/>
          <w:sz w:val="24"/>
          <w:szCs w:val="24"/>
          <w:lang w:val="en-GB"/>
        </w:rPr>
        <w:t xml:space="preserve"> beta-lactamase producers.</w:t>
      </w:r>
    </w:p>
    <w:p w14:paraId="2B55C3AC" w14:textId="30D44BE8" w:rsidR="00797AEF" w:rsidRDefault="00C76873" w:rsidP="005425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Although beta-lactamase producing </w:t>
      </w:r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strains remain uncommon, international collaboration to monitor </w:t>
      </w:r>
      <w:r w:rsidR="00A508F1" w:rsidRPr="00DE1F6E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spread is crucial. 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>The present study investigat</w:t>
      </w:r>
      <w:r w:rsidR="004F695E" w:rsidRPr="00DE1F6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 sample of </w:t>
      </w:r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K. </w:t>
      </w:r>
      <w:proofErr w:type="spellStart"/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>strains representative of the diversity of the species throughout the world</w:t>
      </w:r>
      <w:r w:rsidR="004F695E" w:rsidRPr="00DE1F6E">
        <w:rPr>
          <w:rFonts w:ascii="Times New Roman" w:hAnsi="Times New Roman" w:cs="Times New Roman"/>
          <w:sz w:val="24"/>
          <w:szCs w:val="24"/>
          <w:lang w:val="en-GB"/>
        </w:rPr>
        <w:t>. Our results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indicate that </w:t>
      </w:r>
      <w:r w:rsidR="00797AEF" w:rsidRPr="00DE1F6E">
        <w:rPr>
          <w:rFonts w:ascii="Times New Roman" w:hAnsi="Times New Roman" w:cs="Times New Roman"/>
          <w:i/>
          <w:sz w:val="24"/>
          <w:szCs w:val="24"/>
          <w:lang w:val="en-GB"/>
        </w:rPr>
        <w:t>in vitro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susceptibility 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F4800" w:rsidRPr="00DE1F6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413CB4" w:rsidRPr="00DE1F6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DF4800" w:rsidRPr="00DE1F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F4800" w:rsidRPr="00DE1F6E">
        <w:rPr>
          <w:rFonts w:ascii="Times New Roman" w:hAnsi="Times New Roman" w:cs="Times New Roman"/>
          <w:i/>
          <w:sz w:val="24"/>
          <w:szCs w:val="24"/>
          <w:lang w:val="en-GB"/>
        </w:rPr>
        <w:t>kingae</w:t>
      </w:r>
      <w:proofErr w:type="spellEnd"/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65D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proofErr w:type="spellStart"/>
      <w:r w:rsidR="003F665D" w:rsidRPr="00DE1F6E">
        <w:rPr>
          <w:rFonts w:ascii="Times New Roman" w:hAnsi="Times New Roman" w:cs="Times New Roman"/>
          <w:sz w:val="24"/>
          <w:szCs w:val="24"/>
          <w:lang w:val="en-GB"/>
        </w:rPr>
        <w:t>cefazolin</w:t>
      </w:r>
      <w:proofErr w:type="spellEnd"/>
      <w:r w:rsidR="003F665D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is compatible with 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use</w:t>
      </w:r>
      <w:r w:rsidR="000219C9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F665D" w:rsidRPr="00DE1F6E">
        <w:rPr>
          <w:rFonts w:ascii="Times New Roman" w:hAnsi="Times New Roman" w:cs="Times New Roman"/>
          <w:sz w:val="24"/>
          <w:szCs w:val="24"/>
          <w:lang w:val="en-GB"/>
        </w:rPr>
        <w:t>this drug</w:t>
      </w:r>
      <w:r w:rsidR="00797AEF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B0236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probabilistic treatment of bone </w:t>
      </w:r>
      <w:r w:rsidR="000219C9" w:rsidRPr="00DE1F6E">
        <w:rPr>
          <w:rFonts w:ascii="Times New Roman" w:hAnsi="Times New Roman" w:cs="Times New Roman"/>
          <w:sz w:val="24"/>
          <w:szCs w:val="24"/>
          <w:lang w:val="en-GB"/>
        </w:rPr>
        <w:t>and joint infection</w:t>
      </w:r>
      <w:r w:rsidR="004909B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F4800"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in young infants.</w:t>
      </w:r>
    </w:p>
    <w:bookmarkEnd w:id="0"/>
    <w:p w14:paraId="6398FF24" w14:textId="77777777" w:rsidR="00F91F84" w:rsidRDefault="00F91F84" w:rsidP="00F91F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6298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Conflict of interest</w:t>
      </w:r>
      <w:r w:rsidRPr="00C6298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authors have no conflict of interest to disclose</w:t>
      </w:r>
    </w:p>
    <w:p w14:paraId="7F80EA28" w14:textId="77777777" w:rsidR="00F91F84" w:rsidRPr="00DE1F6E" w:rsidRDefault="00F91F84" w:rsidP="00F91F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298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Funding</w:t>
      </w:r>
      <w:r w:rsidRPr="00C6298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E1F6E">
        <w:rPr>
          <w:rFonts w:ascii="Times New Roman" w:hAnsi="Times New Roman" w:cs="Times New Roman"/>
          <w:sz w:val="24"/>
          <w:szCs w:val="24"/>
          <w:lang w:val="en-GB"/>
        </w:rPr>
        <w:t xml:space="preserve"> no external funding</w:t>
      </w:r>
    </w:p>
    <w:p w14:paraId="19959C6D" w14:textId="77777777" w:rsidR="00D62CBE" w:rsidRPr="00DE1F6E" w:rsidRDefault="00D62CBE" w:rsidP="00BE13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F025CE" w14:textId="4273F9A0" w:rsidR="00F06892" w:rsidRPr="00BE1383" w:rsidRDefault="00F5099A" w:rsidP="00BE138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1383">
        <w:rPr>
          <w:rFonts w:ascii="Times New Roman" w:hAnsi="Times New Roman" w:cs="Times New Roman"/>
          <w:b/>
          <w:sz w:val="24"/>
          <w:szCs w:val="24"/>
          <w:lang w:val="en-GB"/>
        </w:rPr>
        <w:t>Re</w:t>
      </w:r>
      <w:r w:rsidR="00D62CBE" w:rsidRPr="00BE1383">
        <w:rPr>
          <w:rFonts w:ascii="Times New Roman" w:hAnsi="Times New Roman" w:cs="Times New Roman"/>
          <w:b/>
          <w:sz w:val="24"/>
          <w:szCs w:val="24"/>
          <w:lang w:val="en-GB"/>
        </w:rPr>
        <w:t>ferences</w:t>
      </w:r>
    </w:p>
    <w:p w14:paraId="5574F975" w14:textId="65D37404" w:rsidR="00035931" w:rsidRPr="00035931" w:rsidRDefault="00035931" w:rsidP="00035931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1F84">
        <w:rPr>
          <w:rFonts w:ascii="Times New Roman" w:hAnsi="Times New Roman" w:cs="Times New Roman"/>
          <w:sz w:val="24"/>
          <w:szCs w:val="24"/>
        </w:rPr>
        <w:t>Matuschek E, Åhman J, Kahlmeter G, Yagupsky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91F84">
        <w:rPr>
          <w:rFonts w:ascii="Times New Roman" w:hAnsi="Times New Roman" w:cs="Times New Roman"/>
          <w:sz w:val="24"/>
          <w:szCs w:val="24"/>
        </w:rPr>
        <w:t xml:space="preserve">Antimicrobial susceptibility testing of </w:t>
      </w:r>
      <w:r w:rsidRPr="00F91F84">
        <w:rPr>
          <w:rFonts w:ascii="Times New Roman" w:hAnsi="Times New Roman" w:cs="Times New Roman"/>
          <w:bCs/>
          <w:i/>
          <w:sz w:val="24"/>
          <w:szCs w:val="24"/>
        </w:rPr>
        <w:t>Kingella kingae</w:t>
      </w:r>
      <w:r w:rsidRPr="00F91F84">
        <w:rPr>
          <w:rFonts w:ascii="Times New Roman" w:hAnsi="Times New Roman" w:cs="Times New Roman"/>
          <w:sz w:val="24"/>
          <w:szCs w:val="24"/>
        </w:rPr>
        <w:t xml:space="preserve"> with broth microdilution and disk diffusion using EUCAST recommended media. </w:t>
      </w:r>
      <w:r w:rsidRPr="00F91F84">
        <w:rPr>
          <w:rFonts w:ascii="Times New Roman" w:hAnsi="Times New Roman" w:cs="Times New Roman"/>
          <w:i/>
          <w:sz w:val="24"/>
          <w:szCs w:val="24"/>
        </w:rPr>
        <w:t>Clin Microbiol Infect</w:t>
      </w:r>
      <w:r w:rsidRPr="00F91F84">
        <w:rPr>
          <w:rFonts w:ascii="Times New Roman" w:hAnsi="Times New Roman" w:cs="Times New Roman"/>
          <w:sz w:val="24"/>
          <w:szCs w:val="24"/>
        </w:rPr>
        <w:t>. 2017; doi: 10.1016/j.cmi.2017.07.019. [Epub ahead of print]</w:t>
      </w:r>
    </w:p>
    <w:p w14:paraId="50514A83" w14:textId="1FEDEDA8" w:rsidR="00BE1383" w:rsidRPr="00BE1383" w:rsidRDefault="00F06892" w:rsidP="00BE138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138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BE138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BE138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5931">
        <w:rPr>
          <w:rFonts w:ascii="Times New Roman" w:hAnsi="Times New Roman" w:cs="Times New Roman"/>
          <w:sz w:val="24"/>
          <w:szCs w:val="24"/>
        </w:rPr>
        <w:t>2</w:t>
      </w:r>
      <w:r w:rsidR="00BE1383" w:rsidRPr="00BE1383">
        <w:rPr>
          <w:rFonts w:ascii="Times New Roman" w:hAnsi="Times New Roman" w:cs="Times New Roman"/>
          <w:sz w:val="24"/>
          <w:szCs w:val="24"/>
        </w:rPr>
        <w:t>.</w:t>
      </w:r>
      <w:r w:rsidR="00BE1383" w:rsidRPr="00BE1383">
        <w:rPr>
          <w:rFonts w:ascii="Times New Roman" w:hAnsi="Times New Roman" w:cs="Times New Roman"/>
          <w:sz w:val="24"/>
          <w:szCs w:val="24"/>
        </w:rPr>
        <w:tab/>
        <w:t xml:space="preserve">Yagupsky P.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>Kingella kingae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: carriage, transmission, and disease.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 xml:space="preserve">Clinical microbiology reviews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2015; </w:t>
      </w:r>
      <w:r w:rsidR="00BE1383" w:rsidRPr="00BE1383">
        <w:rPr>
          <w:rFonts w:ascii="Times New Roman" w:hAnsi="Times New Roman" w:cs="Times New Roman"/>
          <w:b/>
          <w:sz w:val="24"/>
          <w:szCs w:val="24"/>
        </w:rPr>
        <w:t>28</w:t>
      </w:r>
      <w:r w:rsidR="00BE1383" w:rsidRPr="00BE1383">
        <w:rPr>
          <w:rFonts w:ascii="Times New Roman" w:hAnsi="Times New Roman" w:cs="Times New Roman"/>
          <w:sz w:val="24"/>
          <w:szCs w:val="24"/>
        </w:rPr>
        <w:t>: 54-79.</w:t>
      </w:r>
    </w:p>
    <w:p w14:paraId="13618276" w14:textId="6E87F2C3" w:rsidR="00BE1383" w:rsidRPr="00BE1383" w:rsidRDefault="00035931" w:rsidP="00BE138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383" w:rsidRPr="00BE1383">
        <w:rPr>
          <w:rFonts w:ascii="Times New Roman" w:hAnsi="Times New Roman" w:cs="Times New Roman"/>
          <w:sz w:val="24"/>
          <w:szCs w:val="24"/>
        </w:rPr>
        <w:t>.</w:t>
      </w:r>
      <w:r w:rsidR="00BE1383" w:rsidRPr="00BE1383">
        <w:rPr>
          <w:rFonts w:ascii="Times New Roman" w:hAnsi="Times New Roman" w:cs="Times New Roman"/>
          <w:sz w:val="24"/>
          <w:szCs w:val="24"/>
        </w:rPr>
        <w:tab/>
        <w:t xml:space="preserve">Paakkonen M, Peltola H. Management of a child with suspected acute septic arthritis.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 xml:space="preserve">Archives of disease in childhood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2012; </w:t>
      </w:r>
      <w:r w:rsidR="00BE1383" w:rsidRPr="00BE1383">
        <w:rPr>
          <w:rFonts w:ascii="Times New Roman" w:hAnsi="Times New Roman" w:cs="Times New Roman"/>
          <w:b/>
          <w:sz w:val="24"/>
          <w:szCs w:val="24"/>
        </w:rPr>
        <w:t>97</w:t>
      </w:r>
      <w:r w:rsidR="00BE1383" w:rsidRPr="00BE1383">
        <w:rPr>
          <w:rFonts w:ascii="Times New Roman" w:hAnsi="Times New Roman" w:cs="Times New Roman"/>
          <w:sz w:val="24"/>
          <w:szCs w:val="24"/>
        </w:rPr>
        <w:t>: 287-92.</w:t>
      </w:r>
    </w:p>
    <w:p w14:paraId="2B8BDE62" w14:textId="4B057450" w:rsidR="00BE1383" w:rsidRPr="000D6C1C" w:rsidRDefault="00035931" w:rsidP="00BE138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383" w:rsidRPr="00BE1383">
        <w:rPr>
          <w:rFonts w:ascii="Times New Roman" w:hAnsi="Times New Roman" w:cs="Times New Roman"/>
          <w:sz w:val="24"/>
          <w:szCs w:val="24"/>
        </w:rPr>
        <w:t>.</w:t>
      </w:r>
      <w:r w:rsidR="00BE1383" w:rsidRPr="00BE1383">
        <w:rPr>
          <w:rFonts w:ascii="Times New Roman" w:hAnsi="Times New Roman" w:cs="Times New Roman"/>
          <w:sz w:val="24"/>
          <w:szCs w:val="24"/>
        </w:rPr>
        <w:tab/>
        <w:t xml:space="preserve">Osmon DR, Berbari EF, Berendt AR et al. Diagnosis and management of prosthetic joint infection: clinical practice guidelines by the Infectious Diseases Society of America. </w:t>
      </w:r>
      <w:r w:rsidR="00BE1383" w:rsidRPr="000D6C1C">
        <w:rPr>
          <w:rFonts w:ascii="Times New Roman" w:hAnsi="Times New Roman" w:cs="Times New Roman"/>
          <w:i/>
          <w:sz w:val="24"/>
          <w:szCs w:val="24"/>
          <w:lang w:val="fr-FR"/>
        </w:rPr>
        <w:t xml:space="preserve">Clin Infect Dis </w:t>
      </w:r>
      <w:r w:rsidR="00BE1383" w:rsidRPr="000D6C1C">
        <w:rPr>
          <w:rFonts w:ascii="Times New Roman" w:hAnsi="Times New Roman" w:cs="Times New Roman"/>
          <w:sz w:val="24"/>
          <w:szCs w:val="24"/>
          <w:lang w:val="fr-FR"/>
        </w:rPr>
        <w:t xml:space="preserve">2013; </w:t>
      </w:r>
      <w:r w:rsidR="00BE1383" w:rsidRPr="000D6C1C">
        <w:rPr>
          <w:rFonts w:ascii="Times New Roman" w:hAnsi="Times New Roman" w:cs="Times New Roman"/>
          <w:b/>
          <w:sz w:val="24"/>
          <w:szCs w:val="24"/>
          <w:lang w:val="fr-FR"/>
        </w:rPr>
        <w:t>56</w:t>
      </w:r>
      <w:r w:rsidR="00BE1383" w:rsidRPr="000D6C1C">
        <w:rPr>
          <w:rFonts w:ascii="Times New Roman" w:hAnsi="Times New Roman" w:cs="Times New Roman"/>
          <w:sz w:val="24"/>
          <w:szCs w:val="24"/>
          <w:lang w:val="fr-FR"/>
        </w:rPr>
        <w:t>: e1-e25.</w:t>
      </w:r>
    </w:p>
    <w:p w14:paraId="2B94A016" w14:textId="2DFA1670" w:rsidR="00BE1383" w:rsidRPr="00BE1383" w:rsidRDefault="00035931" w:rsidP="00BE1383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BE1383" w:rsidRPr="000D6C1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E1383" w:rsidRPr="000D6C1C">
        <w:rPr>
          <w:rFonts w:ascii="Times New Roman" w:hAnsi="Times New Roman" w:cs="Times New Roman"/>
          <w:sz w:val="24"/>
          <w:szCs w:val="24"/>
          <w:lang w:val="fr-FR"/>
        </w:rPr>
        <w:tab/>
        <w:t xml:space="preserve">Basmaci R, Bidet P, Yagupsky P et al.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Major Intercontinentally Distributed Sequence Types of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 xml:space="preserve">Kingella kingae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and Development of a Rapid Molecular Typing Tool.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 xml:space="preserve">J Clin Microbiol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2014; </w:t>
      </w:r>
      <w:r w:rsidR="00BE1383" w:rsidRPr="00BE1383">
        <w:rPr>
          <w:rFonts w:ascii="Times New Roman" w:hAnsi="Times New Roman" w:cs="Times New Roman"/>
          <w:b/>
          <w:sz w:val="24"/>
          <w:szCs w:val="24"/>
        </w:rPr>
        <w:t>52</w:t>
      </w:r>
      <w:r w:rsidR="00BE1383" w:rsidRPr="00BE1383">
        <w:rPr>
          <w:rFonts w:ascii="Times New Roman" w:hAnsi="Times New Roman" w:cs="Times New Roman"/>
          <w:sz w:val="24"/>
          <w:szCs w:val="24"/>
        </w:rPr>
        <w:t>: 3890-7.</w:t>
      </w:r>
    </w:p>
    <w:p w14:paraId="7903DD9F" w14:textId="5DB96B26" w:rsidR="00BE1383" w:rsidRPr="00BE1383" w:rsidRDefault="00035931" w:rsidP="00BE1383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1383" w:rsidRPr="00BE1383">
        <w:rPr>
          <w:rFonts w:ascii="Times New Roman" w:hAnsi="Times New Roman" w:cs="Times New Roman"/>
          <w:sz w:val="24"/>
          <w:szCs w:val="24"/>
        </w:rPr>
        <w:t>.</w:t>
      </w:r>
      <w:r w:rsidR="00BE1383" w:rsidRPr="00BE1383">
        <w:rPr>
          <w:rFonts w:ascii="Times New Roman" w:hAnsi="Times New Roman" w:cs="Times New Roman"/>
          <w:sz w:val="24"/>
          <w:szCs w:val="24"/>
        </w:rPr>
        <w:tab/>
        <w:t xml:space="preserve">Basmaci R, Bonacorsi S, Bidet P et al. Genotyping, Local Prevalence, and International Dissemination of beta-Lactamase-Producing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>Kingella kingae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 Strains. </w:t>
      </w:r>
      <w:r w:rsidR="00BE1383" w:rsidRPr="00BE1383">
        <w:rPr>
          <w:rFonts w:ascii="Times New Roman" w:hAnsi="Times New Roman" w:cs="Times New Roman"/>
          <w:i/>
          <w:sz w:val="24"/>
          <w:szCs w:val="24"/>
        </w:rPr>
        <w:t xml:space="preserve">Clin Microbiol Infect </w:t>
      </w:r>
      <w:r w:rsidR="00BE1383" w:rsidRPr="00BE1383">
        <w:rPr>
          <w:rFonts w:ascii="Times New Roman" w:hAnsi="Times New Roman" w:cs="Times New Roman"/>
          <w:sz w:val="24"/>
          <w:szCs w:val="24"/>
        </w:rPr>
        <w:t xml:space="preserve">2014; </w:t>
      </w:r>
      <w:r w:rsidR="00BE1383" w:rsidRPr="00BE1383">
        <w:rPr>
          <w:rFonts w:ascii="Times New Roman" w:hAnsi="Times New Roman" w:cs="Times New Roman"/>
          <w:b/>
          <w:sz w:val="24"/>
          <w:szCs w:val="24"/>
        </w:rPr>
        <w:t>20</w:t>
      </w:r>
      <w:r w:rsidR="00BE1383" w:rsidRPr="00BE1383">
        <w:rPr>
          <w:rFonts w:ascii="Times New Roman" w:hAnsi="Times New Roman" w:cs="Times New Roman"/>
          <w:sz w:val="24"/>
          <w:szCs w:val="24"/>
        </w:rPr>
        <w:t>: O811-7.</w:t>
      </w:r>
    </w:p>
    <w:p w14:paraId="1E3C6343" w14:textId="23185F11" w:rsidR="00816FAC" w:rsidRPr="00BE1383" w:rsidRDefault="00F06892" w:rsidP="00BE1383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138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816FAC" w:rsidRPr="00BE1383" w:rsidSect="00984BC9"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8170" w14:textId="77777777" w:rsidR="00881FA3" w:rsidRDefault="00881FA3" w:rsidP="00F07328">
      <w:pPr>
        <w:spacing w:after="0" w:line="240" w:lineRule="auto"/>
      </w:pPr>
      <w:r>
        <w:separator/>
      </w:r>
    </w:p>
  </w:endnote>
  <w:endnote w:type="continuationSeparator" w:id="0">
    <w:p w14:paraId="31396DCB" w14:textId="77777777" w:rsidR="00881FA3" w:rsidRDefault="00881FA3" w:rsidP="00F0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19E5" w14:textId="77777777" w:rsidR="00881FA3" w:rsidRDefault="00881FA3" w:rsidP="00F07328">
      <w:pPr>
        <w:spacing w:after="0" w:line="240" w:lineRule="auto"/>
      </w:pPr>
      <w:r>
        <w:separator/>
      </w:r>
    </w:p>
  </w:footnote>
  <w:footnote w:type="continuationSeparator" w:id="0">
    <w:p w14:paraId="1D62C0F6" w14:textId="77777777" w:rsidR="00881FA3" w:rsidRDefault="00881FA3" w:rsidP="00F0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010A6"/>
    <w:rsid w:val="000036B9"/>
    <w:rsid w:val="00006CBD"/>
    <w:rsid w:val="00010535"/>
    <w:rsid w:val="000219C9"/>
    <w:rsid w:val="00035931"/>
    <w:rsid w:val="00047F62"/>
    <w:rsid w:val="00057BCE"/>
    <w:rsid w:val="000D6C1C"/>
    <w:rsid w:val="000D6CA0"/>
    <w:rsid w:val="000F2556"/>
    <w:rsid w:val="00191561"/>
    <w:rsid w:val="001B56A6"/>
    <w:rsid w:val="00261BE0"/>
    <w:rsid w:val="00283F99"/>
    <w:rsid w:val="002A2785"/>
    <w:rsid w:val="002B7B7A"/>
    <w:rsid w:val="002F3084"/>
    <w:rsid w:val="00382077"/>
    <w:rsid w:val="003F665D"/>
    <w:rsid w:val="00413CB4"/>
    <w:rsid w:val="00444A2E"/>
    <w:rsid w:val="00454B8C"/>
    <w:rsid w:val="004909B5"/>
    <w:rsid w:val="004A5B0C"/>
    <w:rsid w:val="004F695E"/>
    <w:rsid w:val="00504C81"/>
    <w:rsid w:val="005273FB"/>
    <w:rsid w:val="00535132"/>
    <w:rsid w:val="005425EA"/>
    <w:rsid w:val="00584041"/>
    <w:rsid w:val="00594E16"/>
    <w:rsid w:val="005A0762"/>
    <w:rsid w:val="005B0236"/>
    <w:rsid w:val="005D62EF"/>
    <w:rsid w:val="00604D24"/>
    <w:rsid w:val="00646646"/>
    <w:rsid w:val="006654DE"/>
    <w:rsid w:val="006830D1"/>
    <w:rsid w:val="006A44F4"/>
    <w:rsid w:val="006D07F9"/>
    <w:rsid w:val="006D10E9"/>
    <w:rsid w:val="00704C2D"/>
    <w:rsid w:val="00753EF9"/>
    <w:rsid w:val="00780AAF"/>
    <w:rsid w:val="0079339D"/>
    <w:rsid w:val="00797AEF"/>
    <w:rsid w:val="007B5B02"/>
    <w:rsid w:val="007E3AFA"/>
    <w:rsid w:val="00816FAC"/>
    <w:rsid w:val="00833197"/>
    <w:rsid w:val="00845297"/>
    <w:rsid w:val="00881FA3"/>
    <w:rsid w:val="008850B2"/>
    <w:rsid w:val="00900F20"/>
    <w:rsid w:val="009010A6"/>
    <w:rsid w:val="00917048"/>
    <w:rsid w:val="00922FA0"/>
    <w:rsid w:val="0093158F"/>
    <w:rsid w:val="00962241"/>
    <w:rsid w:val="00977EC6"/>
    <w:rsid w:val="00984BC9"/>
    <w:rsid w:val="009E557A"/>
    <w:rsid w:val="009F290E"/>
    <w:rsid w:val="00A126C2"/>
    <w:rsid w:val="00A508F1"/>
    <w:rsid w:val="00A52BCB"/>
    <w:rsid w:val="00AD0769"/>
    <w:rsid w:val="00B03B41"/>
    <w:rsid w:val="00B10E9C"/>
    <w:rsid w:val="00B11B32"/>
    <w:rsid w:val="00B51C54"/>
    <w:rsid w:val="00B52A1B"/>
    <w:rsid w:val="00B55D44"/>
    <w:rsid w:val="00BE1383"/>
    <w:rsid w:val="00C57FFC"/>
    <w:rsid w:val="00C6298D"/>
    <w:rsid w:val="00C76873"/>
    <w:rsid w:val="00CC0943"/>
    <w:rsid w:val="00CF2775"/>
    <w:rsid w:val="00D32CAF"/>
    <w:rsid w:val="00D350F8"/>
    <w:rsid w:val="00D62CBE"/>
    <w:rsid w:val="00DE1F6E"/>
    <w:rsid w:val="00DF4800"/>
    <w:rsid w:val="00E92BBF"/>
    <w:rsid w:val="00EB18D4"/>
    <w:rsid w:val="00EC00D6"/>
    <w:rsid w:val="00EC21DA"/>
    <w:rsid w:val="00ED54ED"/>
    <w:rsid w:val="00EF4AA4"/>
    <w:rsid w:val="00F06892"/>
    <w:rsid w:val="00F07328"/>
    <w:rsid w:val="00F31BB8"/>
    <w:rsid w:val="00F5099A"/>
    <w:rsid w:val="00F630C0"/>
    <w:rsid w:val="00F64026"/>
    <w:rsid w:val="00F91F8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9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F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B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0689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F0689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892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F06892"/>
    <w:rPr>
      <w:rFonts w:ascii="Calibri" w:hAnsi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29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29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29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29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290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0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328"/>
  </w:style>
  <w:style w:type="paragraph" w:styleId="Pieddepage">
    <w:name w:val="footer"/>
    <w:basedOn w:val="Normal"/>
    <w:link w:val="PieddepageCar"/>
    <w:uiPriority w:val="99"/>
    <w:unhideWhenUsed/>
    <w:rsid w:val="00F0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328"/>
  </w:style>
  <w:style w:type="character" w:styleId="Lienhypertextesuivivisit">
    <w:name w:val="FollowedHyperlink"/>
    <w:basedOn w:val="Policepardfaut"/>
    <w:uiPriority w:val="99"/>
    <w:semiHidden/>
    <w:unhideWhenUsed/>
    <w:rsid w:val="00F5099A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98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F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B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0689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F0689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892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F06892"/>
    <w:rPr>
      <w:rFonts w:ascii="Calibri" w:hAnsi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29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29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29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29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290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0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328"/>
  </w:style>
  <w:style w:type="paragraph" w:styleId="Pieddepage">
    <w:name w:val="footer"/>
    <w:basedOn w:val="Normal"/>
    <w:link w:val="PieddepageCar"/>
    <w:uiPriority w:val="99"/>
    <w:unhideWhenUsed/>
    <w:rsid w:val="00F0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328"/>
  </w:style>
  <w:style w:type="character" w:styleId="Lienhypertextesuivivisit">
    <w:name w:val="FollowedHyperlink"/>
    <w:basedOn w:val="Policepardfaut"/>
    <w:uiPriority w:val="99"/>
    <w:semiHidden/>
    <w:unhideWhenUsed/>
    <w:rsid w:val="00F5099A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9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as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D303-AFD2-4674-B901-716870C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Bonacorsi</dc:creator>
  <cp:lastModifiedBy>BASMACI Romain</cp:lastModifiedBy>
  <cp:revision>4</cp:revision>
  <dcterms:created xsi:type="dcterms:W3CDTF">2017-09-22T09:57:00Z</dcterms:created>
  <dcterms:modified xsi:type="dcterms:W3CDTF">2017-09-22T10:17:00Z</dcterms:modified>
</cp:coreProperties>
</file>