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EF7C" w14:textId="219E8D39" w:rsidR="00A76C62" w:rsidRPr="00F64CFD" w:rsidRDefault="002D550E" w:rsidP="00CC7C2F">
      <w:bookmarkStart w:id="0" w:name="_GoBack"/>
      <w:bookmarkEnd w:id="0"/>
      <w:r w:rsidRPr="00D474C8">
        <w:rPr>
          <w:rFonts w:ascii="Arial" w:hAnsi="Arial" w:cs="Arial"/>
          <w:b/>
          <w:sz w:val="24"/>
          <w:szCs w:val="28"/>
        </w:rPr>
        <w:t>Characteristics and serotype distribution of childhood cases of invasive pneumococcal disease following pneumococcal conjugate vaccination in</w:t>
      </w:r>
      <w:r w:rsidR="00721A03" w:rsidRPr="00FB49B7">
        <w:rPr>
          <w:rFonts w:ascii="Arial" w:hAnsi="Arial" w:cs="Arial"/>
          <w:b/>
          <w:sz w:val="24"/>
          <w:szCs w:val="28"/>
        </w:rPr>
        <w:t xml:space="preserve"> England and Wales</w:t>
      </w:r>
      <w:r w:rsidR="007F56CC" w:rsidRPr="00FB49B7">
        <w:rPr>
          <w:rFonts w:ascii="Arial" w:hAnsi="Arial" w:cs="Arial"/>
          <w:b/>
          <w:sz w:val="24"/>
          <w:szCs w:val="28"/>
        </w:rPr>
        <w:t>, 2006-14</w:t>
      </w:r>
    </w:p>
    <w:p w14:paraId="62DD63AD" w14:textId="77777777" w:rsidR="00FF69FF" w:rsidRPr="00555367" w:rsidRDefault="00FF69FF" w:rsidP="00285CC2">
      <w:pPr>
        <w:spacing w:after="0" w:line="360" w:lineRule="auto"/>
        <w:rPr>
          <w:rFonts w:ascii="Arial" w:hAnsi="Arial" w:cs="Arial"/>
          <w:b/>
          <w:sz w:val="20"/>
        </w:rPr>
      </w:pPr>
    </w:p>
    <w:p w14:paraId="6245D8F5" w14:textId="77777777" w:rsidR="00FC13CB" w:rsidRPr="0001032E" w:rsidRDefault="00FF69FF" w:rsidP="00285CC2">
      <w:pPr>
        <w:spacing w:after="0" w:line="360" w:lineRule="auto"/>
        <w:rPr>
          <w:rFonts w:ascii="Arial" w:hAnsi="Arial" w:cs="Arial"/>
          <w:b/>
        </w:rPr>
      </w:pPr>
      <w:r w:rsidRPr="0001032E">
        <w:rPr>
          <w:rFonts w:ascii="Arial" w:hAnsi="Arial" w:cs="Arial"/>
          <w:b/>
        </w:rPr>
        <w:t>God</w:t>
      </w:r>
      <w:r w:rsidR="00F86EB8" w:rsidRPr="0001032E">
        <w:rPr>
          <w:rFonts w:ascii="Arial" w:hAnsi="Arial" w:cs="Arial"/>
          <w:b/>
        </w:rPr>
        <w:t>w</w:t>
      </w:r>
      <w:r w:rsidRPr="0001032E">
        <w:rPr>
          <w:rFonts w:ascii="Arial" w:hAnsi="Arial" w:cs="Arial"/>
          <w:b/>
        </w:rPr>
        <w:t>in Oligbu</w:t>
      </w:r>
      <w:r w:rsidR="00B57FD9" w:rsidRPr="0001032E">
        <w:rPr>
          <w:rFonts w:ascii="Arial" w:hAnsi="Arial" w:cs="Arial"/>
          <w:b/>
        </w:rPr>
        <w:t xml:space="preserve"> MRCPCH</w:t>
      </w:r>
      <w:r w:rsidR="00B57FD9" w:rsidRPr="0001032E">
        <w:rPr>
          <w:rFonts w:ascii="Arial" w:hAnsi="Arial" w:cs="Arial"/>
          <w:b/>
          <w:vertAlign w:val="superscript"/>
        </w:rPr>
        <w:t xml:space="preserve"> </w:t>
      </w:r>
      <w:r w:rsidR="00555367" w:rsidRPr="0001032E">
        <w:rPr>
          <w:rFonts w:ascii="Arial" w:hAnsi="Arial" w:cs="Arial"/>
          <w:b/>
          <w:vertAlign w:val="superscript"/>
        </w:rPr>
        <w:t>1</w:t>
      </w:r>
      <w:r w:rsidRPr="0001032E">
        <w:rPr>
          <w:rFonts w:ascii="Arial" w:hAnsi="Arial" w:cs="Arial"/>
          <w:b/>
        </w:rPr>
        <w:t>, Sarah Collins</w:t>
      </w:r>
      <w:r w:rsidR="00F86EB8" w:rsidRPr="0001032E">
        <w:rPr>
          <w:rFonts w:ascii="Arial" w:hAnsi="Arial" w:cs="Arial"/>
          <w:b/>
        </w:rPr>
        <w:t xml:space="preserve"> MPH</w:t>
      </w:r>
      <w:r w:rsidRPr="0001032E">
        <w:rPr>
          <w:rFonts w:ascii="Arial" w:hAnsi="Arial" w:cs="Arial"/>
          <w:b/>
        </w:rPr>
        <w:t xml:space="preserve"> (corresponding author),</w:t>
      </w:r>
      <w:r w:rsidR="00243476" w:rsidRPr="0001032E">
        <w:rPr>
          <w:rFonts w:ascii="Arial" w:hAnsi="Arial" w:cs="Arial"/>
          <w:b/>
          <w:vertAlign w:val="superscript"/>
        </w:rPr>
        <w:t>2</w:t>
      </w:r>
      <w:r w:rsidR="00243476" w:rsidRPr="0001032E">
        <w:rPr>
          <w:rFonts w:ascii="Arial" w:hAnsi="Arial" w:cs="Arial"/>
          <w:b/>
        </w:rPr>
        <w:t xml:space="preserve"> </w:t>
      </w:r>
      <w:r w:rsidRPr="0001032E">
        <w:rPr>
          <w:rFonts w:ascii="Arial" w:hAnsi="Arial" w:cs="Arial"/>
          <w:b/>
        </w:rPr>
        <w:t xml:space="preserve"> Nick Andrews</w:t>
      </w:r>
      <w:r w:rsidR="00F86EB8" w:rsidRPr="0001032E">
        <w:rPr>
          <w:rFonts w:ascii="Arial" w:hAnsi="Arial" w:cs="Arial"/>
          <w:b/>
        </w:rPr>
        <w:t xml:space="preserve"> PhD</w:t>
      </w:r>
      <w:r w:rsidR="00243476">
        <w:rPr>
          <w:rFonts w:ascii="Arial" w:hAnsi="Arial" w:cs="Arial"/>
          <w:b/>
        </w:rPr>
        <w:t>,</w:t>
      </w:r>
      <w:r w:rsidR="00555367" w:rsidRPr="0001032E">
        <w:rPr>
          <w:rFonts w:ascii="Arial" w:hAnsi="Arial" w:cs="Arial"/>
          <w:b/>
          <w:vertAlign w:val="superscript"/>
        </w:rPr>
        <w:t>3</w:t>
      </w:r>
      <w:r w:rsidRPr="0001032E">
        <w:rPr>
          <w:rFonts w:ascii="Arial" w:hAnsi="Arial" w:cs="Arial"/>
          <w:b/>
        </w:rPr>
        <w:t xml:space="preserve"> Carmen </w:t>
      </w:r>
      <w:r w:rsidR="00F86EB8" w:rsidRPr="0001032E">
        <w:rPr>
          <w:rFonts w:ascii="Arial" w:hAnsi="Arial" w:cs="Arial"/>
          <w:b/>
        </w:rPr>
        <w:t xml:space="preserve">L. </w:t>
      </w:r>
      <w:r w:rsidRPr="0001032E">
        <w:rPr>
          <w:rFonts w:ascii="Arial" w:hAnsi="Arial" w:cs="Arial"/>
          <w:b/>
        </w:rPr>
        <w:t>Sheppard</w:t>
      </w:r>
      <w:r w:rsidR="00F86EB8" w:rsidRPr="0001032E">
        <w:rPr>
          <w:rFonts w:ascii="Arial" w:hAnsi="Arial" w:cs="Arial"/>
          <w:b/>
        </w:rPr>
        <w:t xml:space="preserve"> PhD</w:t>
      </w:r>
      <w:r w:rsidR="00243476">
        <w:rPr>
          <w:rFonts w:ascii="Arial" w:hAnsi="Arial" w:cs="Arial"/>
          <w:b/>
        </w:rPr>
        <w:t>,</w:t>
      </w:r>
      <w:r w:rsidR="00555367" w:rsidRPr="0001032E">
        <w:rPr>
          <w:rFonts w:ascii="Arial" w:hAnsi="Arial" w:cs="Arial"/>
          <w:b/>
          <w:vertAlign w:val="superscript"/>
        </w:rPr>
        <w:t>4</w:t>
      </w:r>
      <w:r w:rsidRPr="0001032E">
        <w:rPr>
          <w:rFonts w:ascii="Arial" w:hAnsi="Arial" w:cs="Arial"/>
          <w:b/>
        </w:rPr>
        <w:t xml:space="preserve"> Norman </w:t>
      </w:r>
      <w:r w:rsidR="00F86EB8" w:rsidRPr="0001032E">
        <w:rPr>
          <w:rFonts w:ascii="Arial" w:hAnsi="Arial" w:cs="Arial"/>
          <w:b/>
        </w:rPr>
        <w:t xml:space="preserve">K. </w:t>
      </w:r>
      <w:r w:rsidRPr="0001032E">
        <w:rPr>
          <w:rFonts w:ascii="Arial" w:hAnsi="Arial" w:cs="Arial"/>
          <w:b/>
        </w:rPr>
        <w:t>Fry</w:t>
      </w:r>
      <w:r w:rsidR="00F86EB8" w:rsidRPr="0001032E">
        <w:rPr>
          <w:rFonts w:ascii="Arial" w:hAnsi="Arial" w:cs="Arial"/>
          <w:b/>
        </w:rPr>
        <w:t xml:space="preserve"> PhD</w:t>
      </w:r>
      <w:r w:rsidR="00243476">
        <w:rPr>
          <w:rFonts w:ascii="Arial" w:hAnsi="Arial" w:cs="Arial"/>
          <w:b/>
        </w:rPr>
        <w:t>,</w:t>
      </w:r>
      <w:r w:rsidR="00555367" w:rsidRPr="0001032E">
        <w:rPr>
          <w:rFonts w:ascii="Arial" w:hAnsi="Arial" w:cs="Arial"/>
          <w:b/>
          <w:vertAlign w:val="superscript"/>
        </w:rPr>
        <w:t>4</w:t>
      </w:r>
      <w:r w:rsidRPr="0001032E">
        <w:rPr>
          <w:rFonts w:ascii="Arial" w:hAnsi="Arial" w:cs="Arial"/>
          <w:b/>
        </w:rPr>
        <w:t xml:space="preserve"> Mary </w:t>
      </w:r>
      <w:r w:rsidR="00555367" w:rsidRPr="0001032E">
        <w:rPr>
          <w:rFonts w:ascii="Arial" w:hAnsi="Arial" w:cs="Arial"/>
          <w:b/>
        </w:rPr>
        <w:t xml:space="preserve">P.E. </w:t>
      </w:r>
      <w:r w:rsidRPr="0001032E">
        <w:rPr>
          <w:rFonts w:ascii="Arial" w:hAnsi="Arial" w:cs="Arial"/>
          <w:b/>
        </w:rPr>
        <w:t>Slack</w:t>
      </w:r>
      <w:r w:rsidR="00F86EB8" w:rsidRPr="0001032E">
        <w:rPr>
          <w:rFonts w:ascii="Arial" w:hAnsi="Arial" w:cs="Arial"/>
          <w:b/>
        </w:rPr>
        <w:t xml:space="preserve"> FRCPATH</w:t>
      </w:r>
      <w:r w:rsidR="00243476">
        <w:rPr>
          <w:rFonts w:ascii="Arial" w:hAnsi="Arial" w:cs="Arial"/>
          <w:b/>
        </w:rPr>
        <w:t>,</w:t>
      </w:r>
      <w:r w:rsidR="00555367" w:rsidRPr="0001032E">
        <w:rPr>
          <w:rFonts w:ascii="Arial" w:hAnsi="Arial" w:cs="Arial"/>
          <w:b/>
          <w:vertAlign w:val="superscript"/>
        </w:rPr>
        <w:t>5</w:t>
      </w:r>
      <w:r w:rsidR="00C26C19" w:rsidRPr="0001032E">
        <w:rPr>
          <w:rFonts w:ascii="Arial" w:hAnsi="Arial" w:cs="Arial"/>
          <w:b/>
          <w:vertAlign w:val="superscript"/>
        </w:rPr>
        <w:t>,6</w:t>
      </w:r>
      <w:r w:rsidRPr="0001032E">
        <w:rPr>
          <w:rFonts w:ascii="Arial" w:hAnsi="Arial" w:cs="Arial"/>
          <w:b/>
        </w:rPr>
        <w:t xml:space="preserve"> Ray Borrow</w:t>
      </w:r>
      <w:r w:rsidR="00F86EB8" w:rsidRPr="0001032E">
        <w:rPr>
          <w:rFonts w:ascii="Arial" w:hAnsi="Arial" w:cs="Arial"/>
          <w:b/>
        </w:rPr>
        <w:t xml:space="preserve"> </w:t>
      </w:r>
      <w:r w:rsidR="00F86EB8" w:rsidRPr="0001032E">
        <w:rPr>
          <w:rFonts w:ascii="Arial" w:hAnsi="Arial" w:cs="Arial"/>
          <w:b/>
          <w:shd w:val="clear" w:color="auto" w:fill="FFFFFF"/>
        </w:rPr>
        <w:t xml:space="preserve">PhD </w:t>
      </w:r>
      <w:r w:rsidR="00C26C19" w:rsidRPr="0001032E">
        <w:rPr>
          <w:rFonts w:ascii="Arial" w:hAnsi="Arial" w:cs="Arial"/>
          <w:b/>
          <w:shd w:val="clear" w:color="auto" w:fill="FFFFFF"/>
        </w:rPr>
        <w:t>FRCPath</w:t>
      </w:r>
      <w:r w:rsidR="00243476">
        <w:rPr>
          <w:rFonts w:ascii="Arial" w:hAnsi="Arial" w:cs="Arial"/>
          <w:b/>
          <w:shd w:val="clear" w:color="auto" w:fill="FFFFFF"/>
        </w:rPr>
        <w:t>,</w:t>
      </w:r>
      <w:r w:rsidR="00C26C19" w:rsidRPr="0001032E">
        <w:rPr>
          <w:rFonts w:ascii="Arial" w:hAnsi="Arial" w:cs="Arial"/>
          <w:b/>
          <w:vertAlign w:val="superscript"/>
        </w:rPr>
        <w:t>7</w:t>
      </w:r>
      <w:r w:rsidRPr="0001032E">
        <w:rPr>
          <w:rFonts w:ascii="Arial" w:hAnsi="Arial" w:cs="Arial"/>
          <w:b/>
        </w:rPr>
        <w:t xml:space="preserve"> Shamez </w:t>
      </w:r>
      <w:r w:rsidR="00555367" w:rsidRPr="0001032E">
        <w:rPr>
          <w:rFonts w:ascii="Arial" w:hAnsi="Arial" w:cs="Arial"/>
          <w:b/>
        </w:rPr>
        <w:t xml:space="preserve">N. </w:t>
      </w:r>
      <w:r w:rsidRPr="0001032E">
        <w:rPr>
          <w:rFonts w:ascii="Arial" w:hAnsi="Arial" w:cs="Arial"/>
          <w:b/>
        </w:rPr>
        <w:t>Ladhani</w:t>
      </w:r>
      <w:r w:rsidR="00F86EB8" w:rsidRPr="0001032E">
        <w:rPr>
          <w:rFonts w:ascii="Arial" w:hAnsi="Arial" w:cs="Arial"/>
          <w:b/>
        </w:rPr>
        <w:t xml:space="preserve"> PhD MRCPCH</w:t>
      </w:r>
      <w:r w:rsidR="00243476">
        <w:rPr>
          <w:rFonts w:ascii="Arial" w:hAnsi="Arial" w:cs="Arial"/>
          <w:b/>
        </w:rPr>
        <w:t>.</w:t>
      </w:r>
      <w:r w:rsidR="00555367" w:rsidRPr="0001032E">
        <w:rPr>
          <w:rFonts w:ascii="Arial" w:hAnsi="Arial" w:cs="Arial"/>
          <w:b/>
          <w:vertAlign w:val="superscript"/>
        </w:rPr>
        <w:t>1,2</w:t>
      </w:r>
    </w:p>
    <w:p w14:paraId="2CA12B89" w14:textId="77777777" w:rsidR="00285CC2" w:rsidRDefault="00285CC2" w:rsidP="00285CC2">
      <w:pPr>
        <w:suppressLineNumbers/>
        <w:spacing w:after="0" w:line="360" w:lineRule="auto"/>
        <w:rPr>
          <w:rFonts w:ascii="Arial" w:hAnsi="Arial" w:cs="Arial"/>
          <w:color w:val="000000"/>
          <w:vertAlign w:val="superscript"/>
        </w:rPr>
      </w:pPr>
    </w:p>
    <w:p w14:paraId="3E0FFC43" w14:textId="77777777" w:rsidR="006E21E8" w:rsidRPr="0001032E" w:rsidRDefault="006E21E8" w:rsidP="00285CC2">
      <w:pPr>
        <w:suppressLineNumbers/>
        <w:spacing w:after="0" w:line="360" w:lineRule="auto"/>
        <w:rPr>
          <w:rFonts w:ascii="Arial" w:hAnsi="Arial" w:cs="Arial"/>
          <w:b/>
          <w:color w:val="000000"/>
          <w:vertAlign w:val="superscript"/>
        </w:rPr>
      </w:pPr>
      <w:r w:rsidRPr="0001032E">
        <w:rPr>
          <w:rFonts w:ascii="Arial" w:hAnsi="Arial" w:cs="Arial"/>
          <w:color w:val="000000"/>
          <w:vertAlign w:val="superscript"/>
        </w:rPr>
        <w:t xml:space="preserve">1 </w:t>
      </w:r>
      <w:r w:rsidRPr="0001032E">
        <w:rPr>
          <w:rFonts w:ascii="Arial" w:hAnsi="Arial" w:cs="Arial"/>
          <w:color w:val="000000"/>
          <w:shd w:val="clear" w:color="auto" w:fill="FFFFFF"/>
        </w:rPr>
        <w:t>Paediatric Infectious Diseases Research Group, Institute for Infection and Immunity, St. George's, University of London, UK</w:t>
      </w:r>
    </w:p>
    <w:p w14:paraId="064D79D9" w14:textId="77777777" w:rsidR="00C26C19" w:rsidRPr="0001032E" w:rsidRDefault="006E21E8" w:rsidP="00285CC2">
      <w:pPr>
        <w:suppressLineNumbers/>
        <w:spacing w:after="0" w:line="360" w:lineRule="auto"/>
        <w:rPr>
          <w:rFonts w:ascii="Arial" w:hAnsi="Arial" w:cs="Arial"/>
          <w:color w:val="000000"/>
        </w:rPr>
      </w:pPr>
      <w:r w:rsidRPr="0001032E">
        <w:rPr>
          <w:rFonts w:ascii="Arial" w:hAnsi="Arial" w:cs="Arial"/>
          <w:color w:val="000000"/>
          <w:vertAlign w:val="superscript"/>
        </w:rPr>
        <w:t xml:space="preserve">2 </w:t>
      </w:r>
      <w:r w:rsidRPr="0001032E">
        <w:rPr>
          <w:rFonts w:ascii="Arial" w:hAnsi="Arial" w:cs="Arial"/>
          <w:color w:val="000000"/>
        </w:rPr>
        <w:t>Immunisation</w:t>
      </w:r>
      <w:r w:rsidR="00F86EB8" w:rsidRPr="0001032E">
        <w:rPr>
          <w:rFonts w:ascii="Arial" w:hAnsi="Arial" w:cs="Arial"/>
          <w:color w:val="000000"/>
        </w:rPr>
        <w:t>, Hepatitis and Blood Safety Department (IHBSD), Public Health England, 61 Colindale Avenue, London NW9 5EQ, UK</w:t>
      </w:r>
    </w:p>
    <w:p w14:paraId="654835B3" w14:textId="77777777" w:rsidR="00F86EB8" w:rsidRPr="0001032E" w:rsidRDefault="00C26C19" w:rsidP="00285CC2">
      <w:pPr>
        <w:suppressLineNumbers/>
        <w:spacing w:after="0" w:line="360" w:lineRule="auto"/>
        <w:rPr>
          <w:rFonts w:ascii="Arial" w:hAnsi="Arial" w:cs="Arial"/>
          <w:color w:val="000000"/>
        </w:rPr>
      </w:pPr>
      <w:r w:rsidRPr="0001032E">
        <w:rPr>
          <w:rFonts w:ascii="Arial" w:hAnsi="Arial" w:cs="Arial"/>
          <w:vertAlign w:val="superscript"/>
        </w:rPr>
        <w:t>3</w:t>
      </w:r>
      <w:r w:rsidR="00F86EB8" w:rsidRPr="0001032E">
        <w:rPr>
          <w:rFonts w:ascii="Arial" w:hAnsi="Arial" w:cs="Arial"/>
          <w:vertAlign w:val="superscript"/>
        </w:rPr>
        <w:t xml:space="preserve"> </w:t>
      </w:r>
      <w:r w:rsidRPr="0001032E">
        <w:rPr>
          <w:rFonts w:ascii="Arial" w:hAnsi="Arial" w:cs="Arial"/>
          <w:shd w:val="clear" w:color="auto" w:fill="FFFFFF"/>
        </w:rPr>
        <w:t>Statistics, Modelling and Economics Department</w:t>
      </w:r>
      <w:r w:rsidR="00F86EB8" w:rsidRPr="0001032E">
        <w:rPr>
          <w:rFonts w:ascii="Arial" w:hAnsi="Arial" w:cs="Arial"/>
        </w:rPr>
        <w:t>, Public Health England</w:t>
      </w:r>
      <w:r w:rsidR="00F86EB8" w:rsidRPr="0001032E">
        <w:rPr>
          <w:rFonts w:ascii="Arial" w:hAnsi="Arial" w:cs="Arial"/>
          <w:color w:val="000000"/>
        </w:rPr>
        <w:t>, 61 Colindale Avenue, London NW9 5EQ, UK</w:t>
      </w:r>
    </w:p>
    <w:p w14:paraId="1E40F2E4" w14:textId="77777777" w:rsidR="00F86EB8" w:rsidRPr="0001032E" w:rsidRDefault="00F86EB8" w:rsidP="00285CC2">
      <w:pPr>
        <w:suppressLineNumbers/>
        <w:spacing w:after="0" w:line="360" w:lineRule="auto"/>
        <w:rPr>
          <w:rFonts w:ascii="Arial" w:hAnsi="Arial" w:cs="Arial"/>
          <w:color w:val="000000"/>
        </w:rPr>
      </w:pPr>
      <w:r w:rsidRPr="0001032E">
        <w:rPr>
          <w:rFonts w:ascii="Arial" w:hAnsi="Arial" w:cs="Arial"/>
          <w:color w:val="000000"/>
          <w:vertAlign w:val="superscript"/>
        </w:rPr>
        <w:t>4</w:t>
      </w:r>
      <w:r w:rsidRPr="0001032E">
        <w:rPr>
          <w:rFonts w:ascii="Arial" w:hAnsi="Arial" w:cs="Arial"/>
          <w:color w:val="000000"/>
          <w:vertAlign w:val="subscript"/>
        </w:rPr>
        <w:t xml:space="preserve"> </w:t>
      </w:r>
      <w:r w:rsidRPr="0001032E">
        <w:rPr>
          <w:rFonts w:ascii="Arial" w:hAnsi="Arial" w:cs="Arial"/>
          <w:color w:val="000000"/>
        </w:rPr>
        <w:t>Respiratory and Vaccine Preventable Bacterial Reference Unit (RVPBRU), Public Health England, 61 Colindale Avenue, London NW9 5EQ, UK</w:t>
      </w:r>
    </w:p>
    <w:p w14:paraId="3CB2C6A8" w14:textId="77777777" w:rsidR="00C26C19" w:rsidRPr="0001032E" w:rsidRDefault="00C26C19" w:rsidP="00285CC2">
      <w:pPr>
        <w:spacing w:after="0" w:line="360" w:lineRule="auto"/>
        <w:rPr>
          <w:rFonts w:ascii="Arial" w:hAnsi="Arial" w:cs="Arial"/>
        </w:rPr>
      </w:pPr>
      <w:r w:rsidRPr="0001032E">
        <w:rPr>
          <w:rFonts w:ascii="Arial" w:hAnsi="Arial" w:cs="Arial"/>
          <w:vertAlign w:val="superscript"/>
        </w:rPr>
        <w:t xml:space="preserve">5 </w:t>
      </w:r>
      <w:r w:rsidRPr="0001032E">
        <w:rPr>
          <w:rFonts w:ascii="Arial" w:hAnsi="Arial" w:cs="Arial"/>
        </w:rPr>
        <w:t>Institute of Hygiene and Microbiology, University of Wuerzburg, Wuerzburg, Germany,</w:t>
      </w:r>
    </w:p>
    <w:p w14:paraId="317BECDB" w14:textId="77777777" w:rsidR="00C26C19" w:rsidRPr="0001032E" w:rsidRDefault="00C26C19" w:rsidP="00285CC2">
      <w:pPr>
        <w:spacing w:after="0" w:line="360" w:lineRule="auto"/>
        <w:rPr>
          <w:rFonts w:ascii="Arial" w:hAnsi="Arial" w:cs="Arial"/>
        </w:rPr>
      </w:pPr>
      <w:r w:rsidRPr="0001032E">
        <w:rPr>
          <w:rFonts w:ascii="Arial" w:hAnsi="Arial" w:cs="Arial"/>
          <w:vertAlign w:val="superscript"/>
        </w:rPr>
        <w:t xml:space="preserve">6 </w:t>
      </w:r>
      <w:r w:rsidRPr="0001032E">
        <w:rPr>
          <w:rFonts w:ascii="Arial" w:hAnsi="Arial" w:cs="Arial"/>
        </w:rPr>
        <w:t>School of Medicine, Griffith University Gold Coast Campus, Queensland, Australia  </w:t>
      </w:r>
    </w:p>
    <w:p w14:paraId="7A3A4E85" w14:textId="77777777" w:rsidR="00C26C19" w:rsidRPr="0001032E" w:rsidRDefault="006E21E8" w:rsidP="00285CC2">
      <w:pPr>
        <w:suppressLineNumbers/>
        <w:spacing w:after="0" w:line="360" w:lineRule="auto"/>
        <w:rPr>
          <w:rFonts w:ascii="Arial" w:hAnsi="Arial" w:cs="Arial"/>
        </w:rPr>
      </w:pPr>
      <w:r w:rsidRPr="0001032E">
        <w:rPr>
          <w:rFonts w:ascii="Arial" w:hAnsi="Arial" w:cs="Arial"/>
          <w:vertAlign w:val="superscript"/>
        </w:rPr>
        <w:t xml:space="preserve">7 </w:t>
      </w:r>
      <w:r w:rsidRPr="0001032E">
        <w:rPr>
          <w:rFonts w:ascii="Arial" w:hAnsi="Arial" w:cs="Arial"/>
          <w:shd w:val="clear" w:color="auto" w:fill="FFFFFF"/>
        </w:rPr>
        <w:t>Vaccine Evaluation Unit, Public Health England, Manchester Royal Infirmary, Manchester, UK</w:t>
      </w:r>
    </w:p>
    <w:p w14:paraId="29E330AA" w14:textId="77777777" w:rsidR="00285CC2" w:rsidRDefault="00285CC2" w:rsidP="00285CC2">
      <w:pPr>
        <w:suppressLineNumbers/>
        <w:spacing w:after="0" w:line="360" w:lineRule="auto"/>
        <w:rPr>
          <w:rFonts w:ascii="Arial" w:hAnsi="Arial" w:cs="Arial"/>
          <w:b/>
        </w:rPr>
      </w:pPr>
    </w:p>
    <w:p w14:paraId="0BCEB66A" w14:textId="77777777" w:rsidR="00285CC2" w:rsidRDefault="002F3534" w:rsidP="00285CC2">
      <w:pPr>
        <w:suppressLineNumbers/>
        <w:spacing w:after="0" w:line="360" w:lineRule="auto"/>
        <w:rPr>
          <w:rFonts w:ascii="Arial" w:hAnsi="Arial" w:cs="Arial"/>
        </w:rPr>
      </w:pPr>
      <w:r>
        <w:rPr>
          <w:rFonts w:ascii="Arial" w:hAnsi="Arial" w:cs="Arial"/>
          <w:b/>
        </w:rPr>
        <w:t xml:space="preserve">Short title: </w:t>
      </w:r>
      <w:r>
        <w:rPr>
          <w:rFonts w:ascii="Arial" w:hAnsi="Arial" w:cs="Arial"/>
        </w:rPr>
        <w:t xml:space="preserve"> Pneumococcal conjugate vaccine failure </w:t>
      </w:r>
    </w:p>
    <w:p w14:paraId="1438AD05" w14:textId="77777777" w:rsidR="00285CC2" w:rsidRDefault="00285CC2" w:rsidP="00285CC2">
      <w:pPr>
        <w:suppressLineNumbers/>
        <w:spacing w:after="0" w:line="360" w:lineRule="auto"/>
        <w:rPr>
          <w:rFonts w:ascii="Arial" w:hAnsi="Arial" w:cs="Arial"/>
        </w:rPr>
      </w:pPr>
    </w:p>
    <w:p w14:paraId="5D52483F" w14:textId="77777777" w:rsidR="00285CC2" w:rsidRDefault="00F86EB8" w:rsidP="00285CC2">
      <w:pPr>
        <w:suppressLineNumbers/>
        <w:spacing w:after="0" w:line="360" w:lineRule="auto"/>
        <w:rPr>
          <w:rFonts w:ascii="Arial" w:hAnsi="Arial" w:cs="Arial"/>
        </w:rPr>
      </w:pPr>
      <w:r w:rsidRPr="0001032E">
        <w:rPr>
          <w:rFonts w:ascii="Arial" w:hAnsi="Arial" w:cs="Arial"/>
          <w:b/>
        </w:rPr>
        <w:t>Key words</w:t>
      </w:r>
      <w:r w:rsidR="00C26C19" w:rsidRPr="0001032E">
        <w:rPr>
          <w:rFonts w:ascii="Arial" w:hAnsi="Arial" w:cs="Arial"/>
          <w:b/>
        </w:rPr>
        <w:t>:</w:t>
      </w:r>
      <w:r w:rsidRPr="0001032E">
        <w:rPr>
          <w:rFonts w:ascii="Arial" w:hAnsi="Arial" w:cs="Arial"/>
        </w:rPr>
        <w:t xml:space="preserve"> Invasive pneumococcal disease, vaccine failure, </w:t>
      </w:r>
      <w:r w:rsidR="00C26C19" w:rsidRPr="0001032E">
        <w:rPr>
          <w:rFonts w:ascii="Arial" w:hAnsi="Arial" w:cs="Arial"/>
        </w:rPr>
        <w:t>pneumococcal conjugate vaccine</w:t>
      </w:r>
      <w:r w:rsidRPr="0001032E">
        <w:rPr>
          <w:rFonts w:ascii="Arial" w:hAnsi="Arial" w:cs="Arial"/>
        </w:rPr>
        <w:t xml:space="preserve">, epidemiology, </w:t>
      </w:r>
      <w:r w:rsidR="006E21E8" w:rsidRPr="0001032E">
        <w:rPr>
          <w:rFonts w:ascii="Arial" w:hAnsi="Arial" w:cs="Arial"/>
        </w:rPr>
        <w:t xml:space="preserve">risk factors, </w:t>
      </w:r>
      <w:r w:rsidRPr="0001032E">
        <w:rPr>
          <w:rFonts w:ascii="Arial" w:hAnsi="Arial" w:cs="Arial"/>
        </w:rPr>
        <w:t>outcome</w:t>
      </w:r>
    </w:p>
    <w:p w14:paraId="38AA71E7" w14:textId="77777777" w:rsidR="00285CC2" w:rsidRPr="00285CC2" w:rsidRDefault="00285CC2" w:rsidP="00285CC2">
      <w:pPr>
        <w:suppressLineNumbers/>
        <w:spacing w:after="0" w:line="360" w:lineRule="auto"/>
        <w:rPr>
          <w:rFonts w:ascii="Arial" w:hAnsi="Arial" w:cs="Arial"/>
        </w:rPr>
      </w:pPr>
    </w:p>
    <w:p w14:paraId="7DE07CA9" w14:textId="77777777" w:rsidR="00F86EB8" w:rsidRDefault="00F86EB8" w:rsidP="00285CC2">
      <w:pPr>
        <w:suppressLineNumbers/>
        <w:spacing w:after="0" w:line="360" w:lineRule="auto"/>
        <w:rPr>
          <w:rFonts w:ascii="Arial" w:hAnsi="Arial" w:cs="Arial"/>
        </w:rPr>
      </w:pPr>
      <w:r w:rsidRPr="0001032E">
        <w:rPr>
          <w:rFonts w:ascii="Arial" w:hAnsi="Arial" w:cs="Arial"/>
          <w:b/>
          <w:color w:val="000000"/>
        </w:rPr>
        <w:t>Corresponding Author:</w:t>
      </w:r>
      <w:r w:rsidRPr="0001032E">
        <w:rPr>
          <w:rFonts w:ascii="Arial" w:hAnsi="Arial" w:cs="Arial"/>
          <w:color w:val="000000"/>
        </w:rPr>
        <w:t xml:space="preserve"> </w:t>
      </w:r>
      <w:r w:rsidR="00C26C19" w:rsidRPr="0001032E">
        <w:rPr>
          <w:rFonts w:ascii="Arial" w:hAnsi="Arial" w:cs="Arial"/>
          <w:color w:val="000000"/>
        </w:rPr>
        <w:t>Sarah Collins</w:t>
      </w:r>
      <w:r w:rsidRPr="0001032E">
        <w:rPr>
          <w:rFonts w:ascii="Arial" w:hAnsi="Arial" w:cs="Arial"/>
          <w:color w:val="000000"/>
        </w:rPr>
        <w:t xml:space="preserve">; </w:t>
      </w:r>
      <w:r w:rsidR="00C26C19" w:rsidRPr="0001032E">
        <w:rPr>
          <w:rFonts w:ascii="Arial" w:hAnsi="Arial" w:cs="Arial"/>
          <w:color w:val="000000"/>
        </w:rPr>
        <w:t>National Infection Service</w:t>
      </w:r>
      <w:r w:rsidRPr="0001032E">
        <w:rPr>
          <w:rFonts w:ascii="Arial" w:hAnsi="Arial" w:cs="Arial"/>
          <w:color w:val="000000"/>
        </w:rPr>
        <w:t xml:space="preserve">; Immunisation, Hepatitis, and Blood Safety department; </w:t>
      </w:r>
      <w:r w:rsidRPr="0001032E">
        <w:rPr>
          <w:rFonts w:ascii="Arial" w:hAnsi="Arial" w:cs="Arial"/>
        </w:rPr>
        <w:t>Public Health England</w:t>
      </w:r>
      <w:r w:rsidRPr="0001032E">
        <w:rPr>
          <w:rFonts w:ascii="Arial" w:hAnsi="Arial" w:cs="Arial"/>
          <w:color w:val="000000"/>
        </w:rPr>
        <w:t xml:space="preserve">, 61Colindale Avenue; London NW9 5EQ, UK. Email: </w:t>
      </w:r>
      <w:hyperlink r:id="rId8" w:history="1">
        <w:r w:rsidR="00C26C19" w:rsidRPr="0001032E">
          <w:rPr>
            <w:rStyle w:val="Hyperlink"/>
            <w:rFonts w:ascii="Arial" w:hAnsi="Arial" w:cs="Arial"/>
          </w:rPr>
          <w:t>sarah.collins@phe.gov.uk</w:t>
        </w:r>
      </w:hyperlink>
      <w:r w:rsidR="00C26C19" w:rsidRPr="0001032E">
        <w:rPr>
          <w:rStyle w:val="Hyperlink"/>
          <w:rFonts w:ascii="Arial" w:hAnsi="Arial" w:cs="Arial"/>
          <w:color w:val="auto"/>
          <w:u w:val="none"/>
        </w:rPr>
        <w:t xml:space="preserve"> </w:t>
      </w:r>
      <w:r w:rsidR="00AC0BF9" w:rsidRPr="0001032E">
        <w:rPr>
          <w:rStyle w:val="Hyperlink"/>
          <w:rFonts w:ascii="Arial" w:hAnsi="Arial" w:cs="Arial"/>
          <w:color w:val="auto"/>
          <w:u w:val="none"/>
        </w:rPr>
        <w:t xml:space="preserve"> Tel: +44 2083277621 </w:t>
      </w:r>
      <w:r w:rsidR="00084F9C">
        <w:rPr>
          <w:rStyle w:val="Hyperlink"/>
          <w:rFonts w:ascii="Arial" w:hAnsi="Arial" w:cs="Arial"/>
          <w:color w:val="auto"/>
          <w:u w:val="none"/>
        </w:rPr>
        <w:t xml:space="preserve"> </w:t>
      </w:r>
      <w:r w:rsidR="00AC0BF9" w:rsidRPr="0001032E">
        <w:rPr>
          <w:rStyle w:val="Hyperlink"/>
          <w:rFonts w:ascii="Arial" w:hAnsi="Arial" w:cs="Arial"/>
          <w:color w:val="auto"/>
          <w:u w:val="none"/>
        </w:rPr>
        <w:t xml:space="preserve"> Fax: +44 2083277404</w:t>
      </w:r>
      <w:r w:rsidR="00C26C19" w:rsidRPr="0001032E">
        <w:rPr>
          <w:rFonts w:ascii="Arial" w:hAnsi="Arial" w:cs="Arial"/>
        </w:rPr>
        <w:t xml:space="preserve">  </w:t>
      </w:r>
      <w:r w:rsidRPr="0001032E">
        <w:rPr>
          <w:rFonts w:ascii="Arial" w:hAnsi="Arial" w:cs="Arial"/>
        </w:rPr>
        <w:t xml:space="preserve"> </w:t>
      </w:r>
    </w:p>
    <w:p w14:paraId="281B661E" w14:textId="77777777" w:rsidR="00285CC2" w:rsidRPr="0001032E" w:rsidRDefault="00285CC2" w:rsidP="00285CC2">
      <w:pPr>
        <w:suppressLineNumbers/>
        <w:spacing w:after="0" w:line="360" w:lineRule="auto"/>
        <w:rPr>
          <w:rFonts w:ascii="Arial" w:hAnsi="Arial" w:cs="Arial"/>
          <w:b/>
          <w:color w:val="000000"/>
        </w:rPr>
      </w:pPr>
      <w:r w:rsidRPr="0001032E">
        <w:rPr>
          <w:rFonts w:ascii="Arial" w:hAnsi="Arial" w:cs="Arial"/>
          <w:b/>
          <w:color w:val="000000"/>
        </w:rPr>
        <w:t xml:space="preserve">Total word count: </w:t>
      </w:r>
      <w:r w:rsidR="00D71C8C">
        <w:rPr>
          <w:rFonts w:ascii="Arial" w:hAnsi="Arial" w:cs="Arial"/>
          <w:color w:val="000000"/>
        </w:rPr>
        <w:t xml:space="preserve">2,998 </w:t>
      </w:r>
      <w:r w:rsidRPr="0001032E">
        <w:rPr>
          <w:rFonts w:ascii="Arial" w:hAnsi="Arial" w:cs="Arial"/>
          <w:color w:val="000000"/>
        </w:rPr>
        <w:t>words</w:t>
      </w:r>
    </w:p>
    <w:p w14:paraId="3E295727" w14:textId="77777777" w:rsidR="00285CC2" w:rsidRDefault="00285CC2" w:rsidP="00285CC2">
      <w:pPr>
        <w:suppressLineNumbers/>
        <w:spacing w:after="0" w:line="360" w:lineRule="auto"/>
        <w:rPr>
          <w:rFonts w:ascii="Arial" w:hAnsi="Arial" w:cs="Arial"/>
        </w:rPr>
      </w:pPr>
    </w:p>
    <w:p w14:paraId="53014D3B" w14:textId="77777777" w:rsidR="00694ECD" w:rsidRPr="0001032E" w:rsidRDefault="00694ECD" w:rsidP="00285CC2">
      <w:pPr>
        <w:suppressLineNumbers/>
        <w:spacing w:after="0" w:line="360" w:lineRule="auto"/>
        <w:rPr>
          <w:rFonts w:ascii="Arial" w:hAnsi="Arial" w:cs="Arial"/>
        </w:rPr>
      </w:pPr>
      <w:r w:rsidRPr="00285CC2">
        <w:rPr>
          <w:rFonts w:ascii="Arial" w:hAnsi="Arial" w:cs="Arial"/>
          <w:b/>
        </w:rPr>
        <w:t>Key Points:</w:t>
      </w:r>
      <w:r>
        <w:rPr>
          <w:rFonts w:ascii="Arial" w:hAnsi="Arial" w:cs="Arial"/>
        </w:rPr>
        <w:t xml:space="preserve"> </w:t>
      </w:r>
      <w:r w:rsidRPr="00FA6AF0">
        <w:rPr>
          <w:rFonts w:ascii="Arial" w:hAnsi="Arial" w:cs="Arial"/>
        </w:rPr>
        <w:t>We compare</w:t>
      </w:r>
      <w:r>
        <w:rPr>
          <w:rFonts w:ascii="Arial" w:hAnsi="Arial" w:cs="Arial"/>
        </w:rPr>
        <w:t>d</w:t>
      </w:r>
      <w:r w:rsidRPr="0068290F">
        <w:rPr>
          <w:rFonts w:ascii="Arial" w:hAnsi="Arial" w:cs="Arial"/>
        </w:rPr>
        <w:t xml:space="preserve"> </w:t>
      </w:r>
      <w:r>
        <w:rPr>
          <w:rFonts w:ascii="Arial" w:hAnsi="Arial" w:cs="Arial"/>
        </w:rPr>
        <w:t xml:space="preserve">children with </w:t>
      </w:r>
      <w:r w:rsidRPr="0068290F">
        <w:rPr>
          <w:rFonts w:ascii="Arial" w:hAnsi="Arial" w:cs="Arial"/>
        </w:rPr>
        <w:t>PCV13 and PCV7 vaccine failure</w:t>
      </w:r>
      <w:r>
        <w:rPr>
          <w:rFonts w:ascii="Arial" w:hAnsi="Arial" w:cs="Arial"/>
        </w:rPr>
        <w:t xml:space="preserve"> </w:t>
      </w:r>
      <w:r w:rsidR="002F3534">
        <w:rPr>
          <w:rFonts w:ascii="Arial" w:hAnsi="Arial" w:cs="Arial"/>
        </w:rPr>
        <w:t>in the UK</w:t>
      </w:r>
      <w:r>
        <w:rPr>
          <w:rFonts w:ascii="Arial" w:hAnsi="Arial" w:cs="Arial"/>
        </w:rPr>
        <w:t>. V</w:t>
      </w:r>
      <w:r w:rsidRPr="00FB49B7">
        <w:rPr>
          <w:rFonts w:ascii="Arial" w:hAnsi="Arial" w:cs="Arial"/>
          <w:szCs w:val="24"/>
        </w:rPr>
        <w:t xml:space="preserve">accine failure </w:t>
      </w:r>
      <w:r>
        <w:rPr>
          <w:rFonts w:ascii="Arial" w:hAnsi="Arial" w:cs="Arial"/>
          <w:szCs w:val="24"/>
        </w:rPr>
        <w:t xml:space="preserve">was rare </w:t>
      </w:r>
      <w:r w:rsidRPr="00FB49B7">
        <w:rPr>
          <w:rFonts w:ascii="Arial" w:eastAsia="Times New Roman" w:hAnsi="Arial" w:cs="Arial"/>
          <w:color w:val="000000"/>
          <w:szCs w:val="24"/>
        </w:rPr>
        <w:t xml:space="preserve">and, compared to PCV7 serotypes, the additional PCV13 serotypes are more likely to cause </w:t>
      </w:r>
      <w:r>
        <w:rPr>
          <w:rFonts w:ascii="Arial" w:eastAsia="Times New Roman" w:hAnsi="Arial" w:cs="Arial"/>
          <w:color w:val="000000"/>
          <w:szCs w:val="24"/>
        </w:rPr>
        <w:t xml:space="preserve">lower respiratory tract infections </w:t>
      </w:r>
      <w:r w:rsidRPr="00FB49B7">
        <w:rPr>
          <w:rFonts w:ascii="Arial" w:eastAsia="Times New Roman" w:hAnsi="Arial" w:cs="Arial"/>
          <w:color w:val="000000"/>
          <w:szCs w:val="24"/>
        </w:rPr>
        <w:t>and empyema in healthy vaccinated children</w:t>
      </w:r>
      <w:r>
        <w:rPr>
          <w:rFonts w:ascii="Arial" w:eastAsia="Times New Roman" w:hAnsi="Arial" w:cs="Arial"/>
          <w:color w:val="000000"/>
          <w:szCs w:val="24"/>
        </w:rPr>
        <w:t>.</w:t>
      </w:r>
    </w:p>
    <w:p w14:paraId="73FCB702" w14:textId="77777777" w:rsidR="007F56CC" w:rsidRPr="00555367" w:rsidRDefault="007F56CC" w:rsidP="00285CC2">
      <w:pPr>
        <w:spacing w:after="0" w:line="480" w:lineRule="auto"/>
        <w:rPr>
          <w:rFonts w:ascii="Arial" w:hAnsi="Arial" w:cs="Arial"/>
          <w:b/>
          <w:sz w:val="20"/>
        </w:rPr>
      </w:pPr>
    </w:p>
    <w:p w14:paraId="4105BB1E" w14:textId="77777777" w:rsidR="007F56CC" w:rsidRPr="00555367" w:rsidRDefault="00555367" w:rsidP="00285CC2">
      <w:pPr>
        <w:pageBreakBefore/>
        <w:spacing w:after="0" w:line="480" w:lineRule="auto"/>
        <w:rPr>
          <w:rFonts w:ascii="Arial" w:hAnsi="Arial" w:cs="Arial"/>
          <w:b/>
          <w:sz w:val="24"/>
          <w:szCs w:val="28"/>
        </w:rPr>
      </w:pPr>
      <w:r w:rsidRPr="00555367">
        <w:rPr>
          <w:rFonts w:ascii="Arial" w:hAnsi="Arial" w:cs="Arial"/>
          <w:b/>
          <w:sz w:val="24"/>
          <w:szCs w:val="28"/>
        </w:rPr>
        <w:lastRenderedPageBreak/>
        <w:t>ABSTRACT</w:t>
      </w:r>
    </w:p>
    <w:p w14:paraId="13E83D40" w14:textId="77777777" w:rsidR="00285CC2" w:rsidRDefault="00285CC2" w:rsidP="00285CC2">
      <w:pPr>
        <w:spacing w:after="0" w:line="480" w:lineRule="auto"/>
        <w:rPr>
          <w:rFonts w:ascii="Arial" w:hAnsi="Arial" w:cs="Arial"/>
          <w:b/>
          <w:sz w:val="24"/>
          <w:szCs w:val="28"/>
        </w:rPr>
      </w:pPr>
    </w:p>
    <w:p w14:paraId="4F828170" w14:textId="77777777" w:rsidR="00CF1396" w:rsidRPr="00CF1396" w:rsidRDefault="00DB1727" w:rsidP="00285CC2">
      <w:pPr>
        <w:spacing w:after="0" w:line="480" w:lineRule="auto"/>
        <w:rPr>
          <w:rFonts w:ascii="Arial" w:hAnsi="Arial" w:cs="Arial"/>
          <w:b/>
          <w:szCs w:val="28"/>
        </w:rPr>
      </w:pPr>
      <w:r>
        <w:rPr>
          <w:rFonts w:ascii="Arial" w:hAnsi="Arial" w:cs="Arial"/>
          <w:b/>
          <w:sz w:val="24"/>
          <w:szCs w:val="28"/>
        </w:rPr>
        <w:t>Back</w:t>
      </w:r>
      <w:r w:rsidR="00FA6AF0">
        <w:rPr>
          <w:rFonts w:ascii="Arial" w:hAnsi="Arial" w:cs="Arial"/>
          <w:b/>
          <w:sz w:val="24"/>
          <w:szCs w:val="28"/>
        </w:rPr>
        <w:t>g</w:t>
      </w:r>
      <w:r>
        <w:rPr>
          <w:rFonts w:ascii="Arial" w:hAnsi="Arial" w:cs="Arial"/>
          <w:b/>
          <w:sz w:val="24"/>
          <w:szCs w:val="28"/>
        </w:rPr>
        <w:t>round</w:t>
      </w:r>
      <w:r>
        <w:rPr>
          <w:rFonts w:ascii="Arial" w:hAnsi="Arial" w:cs="Arial"/>
          <w:szCs w:val="28"/>
        </w:rPr>
        <w:t xml:space="preserve"> </w:t>
      </w:r>
      <w:r w:rsidR="003D0778" w:rsidRPr="00555367">
        <w:rPr>
          <w:rFonts w:ascii="Arial" w:hAnsi="Arial" w:cs="Arial"/>
          <w:szCs w:val="28"/>
        </w:rPr>
        <w:t>The 7-valent (PCV7) and 13-valent (PCV13) p</w:t>
      </w:r>
      <w:r w:rsidR="00A50E91" w:rsidRPr="00555367">
        <w:rPr>
          <w:rFonts w:ascii="Arial" w:hAnsi="Arial" w:cs="Arial"/>
          <w:szCs w:val="28"/>
        </w:rPr>
        <w:t xml:space="preserve">neumococcal conjugate vaccines are highly effective in preventing invasive pneumococcal disease (IPD) caused by </w:t>
      </w:r>
      <w:r w:rsidR="00F45D6A" w:rsidRPr="00555367">
        <w:rPr>
          <w:rFonts w:ascii="Arial" w:hAnsi="Arial" w:cs="Arial"/>
          <w:szCs w:val="28"/>
        </w:rPr>
        <w:t xml:space="preserve">vaccine </w:t>
      </w:r>
      <w:r w:rsidR="00A50E91" w:rsidRPr="00555367">
        <w:rPr>
          <w:rFonts w:ascii="Arial" w:hAnsi="Arial" w:cs="Arial"/>
          <w:szCs w:val="28"/>
        </w:rPr>
        <w:t>serotypes</w:t>
      </w:r>
      <w:r w:rsidR="001626F6">
        <w:rPr>
          <w:rFonts w:ascii="Arial" w:hAnsi="Arial" w:cs="Arial"/>
          <w:szCs w:val="28"/>
        </w:rPr>
        <w:t>. V</w:t>
      </w:r>
      <w:r w:rsidR="003D0778" w:rsidRPr="00555367">
        <w:rPr>
          <w:rFonts w:ascii="Arial" w:hAnsi="Arial" w:cs="Arial"/>
          <w:szCs w:val="28"/>
        </w:rPr>
        <w:t>accine failure (</w:t>
      </w:r>
      <w:r w:rsidR="00A50E91" w:rsidRPr="00555367">
        <w:rPr>
          <w:rFonts w:ascii="Arial" w:hAnsi="Arial" w:cs="Arial"/>
          <w:szCs w:val="28"/>
        </w:rPr>
        <w:t xml:space="preserve">vaccine-type IPD </w:t>
      </w:r>
      <w:r w:rsidR="004B2D46" w:rsidRPr="00555367">
        <w:rPr>
          <w:rFonts w:ascii="Arial" w:hAnsi="Arial" w:cs="Arial"/>
          <w:szCs w:val="28"/>
        </w:rPr>
        <w:t>after age-appropriate immunisation</w:t>
      </w:r>
      <w:r w:rsidR="003D0778" w:rsidRPr="00555367">
        <w:rPr>
          <w:rFonts w:ascii="Arial" w:hAnsi="Arial" w:cs="Arial"/>
          <w:szCs w:val="28"/>
        </w:rPr>
        <w:t>)</w:t>
      </w:r>
      <w:r w:rsidR="00F45D6A" w:rsidRPr="00555367">
        <w:rPr>
          <w:rFonts w:ascii="Arial" w:hAnsi="Arial" w:cs="Arial"/>
          <w:szCs w:val="28"/>
        </w:rPr>
        <w:t xml:space="preserve"> is rare.</w:t>
      </w:r>
      <w:r w:rsidR="004B2D46" w:rsidRPr="00555367">
        <w:rPr>
          <w:rFonts w:ascii="Arial" w:hAnsi="Arial" w:cs="Arial"/>
          <w:szCs w:val="28"/>
        </w:rPr>
        <w:t xml:space="preserve"> Little is known about the risk, clinical characteris</w:t>
      </w:r>
      <w:r w:rsidR="00A50E91" w:rsidRPr="00555367">
        <w:rPr>
          <w:rFonts w:ascii="Arial" w:hAnsi="Arial" w:cs="Arial"/>
          <w:szCs w:val="28"/>
        </w:rPr>
        <w:t>tics or outcome</w:t>
      </w:r>
      <w:r w:rsidR="00F86918" w:rsidRPr="00555367">
        <w:rPr>
          <w:rFonts w:ascii="Arial" w:hAnsi="Arial" w:cs="Arial"/>
          <w:szCs w:val="28"/>
        </w:rPr>
        <w:t>s</w:t>
      </w:r>
      <w:r w:rsidR="00A50E91" w:rsidRPr="00555367">
        <w:rPr>
          <w:rFonts w:ascii="Arial" w:hAnsi="Arial" w:cs="Arial"/>
          <w:szCs w:val="28"/>
        </w:rPr>
        <w:t xml:space="preserve"> of PCV13</w:t>
      </w:r>
      <w:r w:rsidR="004B2D46" w:rsidRPr="00555367">
        <w:rPr>
          <w:rFonts w:ascii="Arial" w:hAnsi="Arial" w:cs="Arial"/>
          <w:szCs w:val="28"/>
        </w:rPr>
        <w:t xml:space="preserve"> compared to </w:t>
      </w:r>
      <w:r w:rsidR="00A50E91" w:rsidRPr="00555367">
        <w:rPr>
          <w:rFonts w:ascii="Arial" w:hAnsi="Arial" w:cs="Arial"/>
          <w:szCs w:val="28"/>
        </w:rPr>
        <w:t>PCV7</w:t>
      </w:r>
      <w:r w:rsidR="00A05938" w:rsidRPr="00555367">
        <w:rPr>
          <w:rFonts w:ascii="Arial" w:hAnsi="Arial" w:cs="Arial"/>
          <w:szCs w:val="28"/>
        </w:rPr>
        <w:t xml:space="preserve"> </w:t>
      </w:r>
      <w:r w:rsidR="004E4EEC">
        <w:rPr>
          <w:rFonts w:ascii="Arial" w:hAnsi="Arial" w:cs="Arial"/>
          <w:szCs w:val="28"/>
        </w:rPr>
        <w:t xml:space="preserve">vaccine </w:t>
      </w:r>
      <w:r w:rsidR="00A05938" w:rsidRPr="00555367">
        <w:rPr>
          <w:rFonts w:ascii="Arial" w:hAnsi="Arial" w:cs="Arial"/>
          <w:szCs w:val="28"/>
        </w:rPr>
        <w:t>failure</w:t>
      </w:r>
      <w:r w:rsidR="00A50E91" w:rsidRPr="00DB1727">
        <w:rPr>
          <w:rFonts w:ascii="Arial" w:hAnsi="Arial" w:cs="Arial"/>
          <w:szCs w:val="28"/>
        </w:rPr>
        <w:t>.</w:t>
      </w:r>
      <w:r w:rsidRPr="00FA6AF0">
        <w:rPr>
          <w:rFonts w:ascii="Arial" w:hAnsi="Arial" w:cs="Arial"/>
          <w:sz w:val="24"/>
          <w:szCs w:val="28"/>
        </w:rPr>
        <w:t xml:space="preserve"> </w:t>
      </w:r>
    </w:p>
    <w:p w14:paraId="5CAC8093" w14:textId="77777777" w:rsidR="00F04981" w:rsidRPr="00FA6AF0" w:rsidRDefault="00DB1727" w:rsidP="00285CC2">
      <w:pPr>
        <w:spacing w:after="0" w:line="480" w:lineRule="auto"/>
        <w:rPr>
          <w:rFonts w:ascii="Arial" w:hAnsi="Arial" w:cs="Arial"/>
          <w:lang w:val="en-US"/>
        </w:rPr>
      </w:pPr>
      <w:r>
        <w:rPr>
          <w:rFonts w:ascii="Arial" w:hAnsi="Arial" w:cs="Arial"/>
          <w:b/>
          <w:sz w:val="24"/>
          <w:szCs w:val="28"/>
        </w:rPr>
        <w:t>Methods</w:t>
      </w:r>
      <w:r w:rsidRPr="00FA6AF0">
        <w:rPr>
          <w:rFonts w:ascii="Arial" w:hAnsi="Arial" w:cs="Arial"/>
          <w:sz w:val="24"/>
          <w:szCs w:val="28"/>
        </w:rPr>
        <w:t xml:space="preserve"> </w:t>
      </w:r>
      <w:r w:rsidR="009C6CAF" w:rsidRPr="00DB1727">
        <w:rPr>
          <w:rFonts w:ascii="Arial" w:hAnsi="Arial" w:cs="Arial"/>
          <w:bCs/>
          <w:szCs w:val="28"/>
          <w:lang w:val="en-US"/>
        </w:rPr>
        <w:t>P</w:t>
      </w:r>
      <w:r w:rsidR="009C6CAF" w:rsidRPr="00DB1727">
        <w:rPr>
          <w:rFonts w:ascii="Arial" w:hAnsi="Arial" w:cs="Arial"/>
          <w:bCs/>
          <w:lang w:val="en-US"/>
        </w:rPr>
        <w:t xml:space="preserve">ublic Health England conducts </w:t>
      </w:r>
      <w:r w:rsidR="004E4EEC">
        <w:rPr>
          <w:rFonts w:ascii="Arial" w:hAnsi="Arial" w:cs="Arial"/>
          <w:bCs/>
          <w:lang w:val="en-US"/>
        </w:rPr>
        <w:t xml:space="preserve">IPD </w:t>
      </w:r>
      <w:r w:rsidR="009C6CAF" w:rsidRPr="00DB1727">
        <w:rPr>
          <w:rFonts w:ascii="Arial" w:hAnsi="Arial" w:cs="Arial"/>
          <w:bCs/>
          <w:lang w:val="en-US"/>
        </w:rPr>
        <w:t>surveillance and provides a national reference service for serotyping pneumococcal isolates</w:t>
      </w:r>
      <w:r w:rsidRPr="0068290F">
        <w:rPr>
          <w:rFonts w:ascii="Arial" w:hAnsi="Arial" w:cs="Arial"/>
          <w:bCs/>
          <w:lang w:val="en-US"/>
        </w:rPr>
        <w:t xml:space="preserve"> in England and Wales</w:t>
      </w:r>
      <w:r w:rsidR="009C6CAF" w:rsidRPr="00CC6E19">
        <w:rPr>
          <w:rFonts w:ascii="Arial" w:hAnsi="Arial" w:cs="Arial"/>
          <w:bCs/>
          <w:lang w:val="en-US"/>
        </w:rPr>
        <w:t>.</w:t>
      </w:r>
      <w:r w:rsidR="009C6CAF" w:rsidRPr="00CC6E19">
        <w:rPr>
          <w:rFonts w:ascii="Arial" w:hAnsi="Arial" w:cs="Arial"/>
          <w:bCs/>
          <w:lang w:eastAsia="en-GB"/>
        </w:rPr>
        <w:t xml:space="preserve"> </w:t>
      </w:r>
      <w:r w:rsidR="00CC6E19" w:rsidRPr="00FA6AF0">
        <w:rPr>
          <w:rFonts w:ascii="Arial" w:hAnsi="Arial" w:cs="Arial"/>
        </w:rPr>
        <w:t>We compare</w:t>
      </w:r>
      <w:r w:rsidR="00CC6E19">
        <w:rPr>
          <w:rFonts w:ascii="Arial" w:hAnsi="Arial" w:cs="Arial"/>
        </w:rPr>
        <w:t>d</w:t>
      </w:r>
      <w:r w:rsidR="00CC6E19" w:rsidRPr="0068290F">
        <w:rPr>
          <w:rFonts w:ascii="Arial" w:hAnsi="Arial" w:cs="Arial"/>
        </w:rPr>
        <w:t xml:space="preserve"> the epidemiology, </w:t>
      </w:r>
      <w:r w:rsidR="00CC6E19">
        <w:rPr>
          <w:rFonts w:ascii="Arial" w:hAnsi="Arial" w:cs="Arial"/>
        </w:rPr>
        <w:t xml:space="preserve">rates, </w:t>
      </w:r>
      <w:r w:rsidR="00CC6E19" w:rsidRPr="0068290F">
        <w:rPr>
          <w:rFonts w:ascii="Arial" w:hAnsi="Arial" w:cs="Arial"/>
        </w:rPr>
        <w:t xml:space="preserve">risk factors, </w:t>
      </w:r>
      <w:r w:rsidR="00CC6E19">
        <w:rPr>
          <w:rFonts w:ascii="Arial" w:hAnsi="Arial" w:cs="Arial"/>
        </w:rPr>
        <w:t xml:space="preserve">serotype distribution, </w:t>
      </w:r>
      <w:r w:rsidR="00CC6E19" w:rsidRPr="0068290F">
        <w:rPr>
          <w:rFonts w:ascii="Arial" w:hAnsi="Arial" w:cs="Arial"/>
        </w:rPr>
        <w:t xml:space="preserve">clinical characteristics, and outcomes of </w:t>
      </w:r>
      <w:r w:rsidR="00CC6E19">
        <w:rPr>
          <w:rFonts w:ascii="Arial" w:hAnsi="Arial" w:cs="Arial"/>
        </w:rPr>
        <w:t xml:space="preserve">IPD in </w:t>
      </w:r>
      <w:r w:rsidR="00CC6E19" w:rsidRPr="0068290F">
        <w:rPr>
          <w:rFonts w:ascii="Arial" w:hAnsi="Arial" w:cs="Arial"/>
        </w:rPr>
        <w:t>children with PCV13 and PCV7 vaccine failure.</w:t>
      </w:r>
      <w:r w:rsidR="00CC6E19">
        <w:rPr>
          <w:rFonts w:ascii="Arial" w:hAnsi="Arial" w:cs="Arial"/>
        </w:rPr>
        <w:t xml:space="preserve"> </w:t>
      </w:r>
      <w:r w:rsidR="00CC6E19" w:rsidRPr="0068290F">
        <w:rPr>
          <w:rFonts w:ascii="Arial" w:hAnsi="Arial" w:cs="Arial"/>
        </w:rPr>
        <w:t xml:space="preserve">  </w:t>
      </w:r>
    </w:p>
    <w:p w14:paraId="60CD6DE7" w14:textId="6CE69041" w:rsidR="00CB46AD" w:rsidRPr="00BC092E" w:rsidRDefault="001626F6" w:rsidP="00285CC2">
      <w:pPr>
        <w:spacing w:after="0" w:line="480" w:lineRule="auto"/>
        <w:rPr>
          <w:rFonts w:ascii="Arial" w:hAnsi="Arial" w:cs="Arial"/>
          <w:bCs/>
          <w:szCs w:val="24"/>
        </w:rPr>
      </w:pPr>
      <w:r>
        <w:rPr>
          <w:rFonts w:ascii="Arial" w:hAnsi="Arial" w:cs="Arial"/>
          <w:b/>
          <w:sz w:val="24"/>
          <w:szCs w:val="28"/>
        </w:rPr>
        <w:t>Results</w:t>
      </w:r>
      <w:r>
        <w:rPr>
          <w:rFonts w:ascii="Arial" w:hAnsi="Arial" w:cs="Arial"/>
          <w:szCs w:val="24"/>
        </w:rPr>
        <w:t xml:space="preserve"> </w:t>
      </w:r>
      <w:r w:rsidR="00A717D1" w:rsidRPr="00FB49B7">
        <w:rPr>
          <w:rFonts w:ascii="Arial" w:hAnsi="Arial" w:cs="Arial"/>
          <w:szCs w:val="24"/>
        </w:rPr>
        <w:t xml:space="preserve">A total of </w:t>
      </w:r>
      <w:r w:rsidR="00A879D7" w:rsidRPr="00FB49B7">
        <w:rPr>
          <w:rFonts w:ascii="Arial" w:hAnsi="Arial" w:cs="Arial"/>
          <w:szCs w:val="24"/>
        </w:rPr>
        <w:t xml:space="preserve">163 </w:t>
      </w:r>
      <w:r w:rsidR="00A717D1" w:rsidRPr="00FB49B7">
        <w:rPr>
          <w:rFonts w:ascii="Arial" w:hAnsi="Arial" w:cs="Arial"/>
          <w:szCs w:val="24"/>
        </w:rPr>
        <w:t xml:space="preserve">episodes of </w:t>
      </w:r>
      <w:r w:rsidR="00A879D7" w:rsidRPr="00FB49B7">
        <w:rPr>
          <w:rFonts w:ascii="Arial" w:hAnsi="Arial" w:cs="Arial"/>
          <w:szCs w:val="24"/>
        </w:rPr>
        <w:t xml:space="preserve">PCV </w:t>
      </w:r>
      <w:r w:rsidR="00A717D1" w:rsidRPr="00FB49B7">
        <w:rPr>
          <w:rFonts w:ascii="Arial" w:hAnsi="Arial" w:cs="Arial"/>
          <w:szCs w:val="24"/>
        </w:rPr>
        <w:t>failure</w:t>
      </w:r>
      <w:r w:rsidR="00A879D7" w:rsidRPr="00FB49B7">
        <w:rPr>
          <w:rFonts w:ascii="Arial" w:hAnsi="Arial" w:cs="Arial"/>
          <w:szCs w:val="24"/>
        </w:rPr>
        <w:t xml:space="preserve"> were confirmed in 161 children </w:t>
      </w:r>
      <w:r w:rsidR="00A717D1" w:rsidRPr="00FB49B7">
        <w:rPr>
          <w:rFonts w:ascii="Arial" w:hAnsi="Arial" w:cs="Arial"/>
          <w:szCs w:val="24"/>
        </w:rPr>
        <w:t>over eight years (04 September 2006 to 03 September 2014) in</w:t>
      </w:r>
      <w:r w:rsidR="00A879D7" w:rsidRPr="00FB49B7">
        <w:rPr>
          <w:rFonts w:ascii="Arial" w:hAnsi="Arial" w:cs="Arial"/>
          <w:szCs w:val="24"/>
        </w:rPr>
        <w:t xml:space="preserve"> ten birth cohorts</w:t>
      </w:r>
      <w:r w:rsidR="004E4EEC">
        <w:rPr>
          <w:rFonts w:ascii="Arial" w:hAnsi="Arial" w:cs="Arial"/>
          <w:szCs w:val="24"/>
        </w:rPr>
        <w:t xml:space="preserve">. After three vaccine doses, </w:t>
      </w:r>
      <w:r w:rsidR="00DC5D4A" w:rsidRPr="00FB49B7">
        <w:rPr>
          <w:rFonts w:ascii="Arial" w:hAnsi="Arial" w:cs="Arial"/>
        </w:rPr>
        <w:t>PCV</w:t>
      </w:r>
      <w:r w:rsidR="00DC5D4A">
        <w:rPr>
          <w:rFonts w:ascii="Arial" w:hAnsi="Arial" w:cs="Arial"/>
        </w:rPr>
        <w:t>7</w:t>
      </w:r>
      <w:r w:rsidR="00DC5D4A" w:rsidRPr="00FB49B7">
        <w:rPr>
          <w:rFonts w:ascii="Arial" w:hAnsi="Arial" w:cs="Arial"/>
        </w:rPr>
        <w:t xml:space="preserve"> </w:t>
      </w:r>
      <w:r w:rsidR="00DA0D3E">
        <w:rPr>
          <w:rFonts w:ascii="Arial" w:hAnsi="Arial" w:cs="Arial"/>
        </w:rPr>
        <w:t xml:space="preserve">and PCV13 </w:t>
      </w:r>
      <w:r w:rsidR="00DC5D4A" w:rsidRPr="00FB49B7">
        <w:rPr>
          <w:rFonts w:ascii="Arial" w:hAnsi="Arial" w:cs="Arial"/>
        </w:rPr>
        <w:t xml:space="preserve">failure </w:t>
      </w:r>
      <w:r w:rsidR="00DA0D3E">
        <w:rPr>
          <w:rFonts w:ascii="Arial" w:hAnsi="Arial" w:cs="Arial"/>
        </w:rPr>
        <w:t>rates were</w:t>
      </w:r>
      <w:r w:rsidR="00DC5D4A" w:rsidRPr="00F022A5">
        <w:rPr>
          <w:rFonts w:ascii="Arial" w:hAnsi="Arial" w:cs="Arial"/>
        </w:rPr>
        <w:t xml:space="preserve"> </w:t>
      </w:r>
      <w:r w:rsidR="006B6EE3" w:rsidRPr="00D71C8C">
        <w:rPr>
          <w:rFonts w:ascii="Arial" w:hAnsi="Arial" w:cs="Arial"/>
        </w:rPr>
        <w:t>0.</w:t>
      </w:r>
      <w:r w:rsidR="006B6EE3" w:rsidRPr="00575D02">
        <w:rPr>
          <w:rFonts w:ascii="Arial" w:hAnsi="Arial" w:cs="Arial"/>
        </w:rPr>
        <w:t>19</w:t>
      </w:r>
      <w:r w:rsidR="00DC5D4A" w:rsidRPr="00575D02">
        <w:rPr>
          <w:rFonts w:ascii="Arial" w:hAnsi="Arial" w:cs="Arial"/>
        </w:rPr>
        <w:t>/100,000 (</w:t>
      </w:r>
      <w:r w:rsidR="00DC5D4A" w:rsidRPr="00D474C8">
        <w:rPr>
          <w:rFonts w:ascii="Arial" w:hAnsi="Arial" w:cs="Arial"/>
        </w:rPr>
        <w:t xml:space="preserve">95% CI, </w:t>
      </w:r>
      <w:r w:rsidR="00F54738" w:rsidRPr="00D474C8">
        <w:rPr>
          <w:rFonts w:ascii="Arial" w:hAnsi="Arial" w:cs="Arial"/>
        </w:rPr>
        <w:t>0.10</w:t>
      </w:r>
      <w:r w:rsidR="00DC5D4A" w:rsidRPr="00F022A5">
        <w:rPr>
          <w:rFonts w:ascii="Arial" w:hAnsi="Arial" w:cs="Arial"/>
        </w:rPr>
        <w:t>-</w:t>
      </w:r>
      <w:r w:rsidR="00F54738" w:rsidRPr="00D474C8">
        <w:rPr>
          <w:rFonts w:ascii="Arial" w:hAnsi="Arial" w:cs="Arial"/>
        </w:rPr>
        <w:t>0.33</w:t>
      </w:r>
      <w:r w:rsidR="0069784B">
        <w:rPr>
          <w:rFonts w:ascii="Arial" w:hAnsi="Arial" w:cs="Arial"/>
        </w:rPr>
        <w:t>; 57 cases</w:t>
      </w:r>
      <w:r w:rsidR="00DC5D4A" w:rsidRPr="00F022A5">
        <w:rPr>
          <w:rFonts w:ascii="Arial" w:hAnsi="Arial" w:cs="Arial"/>
        </w:rPr>
        <w:t xml:space="preserve">) </w:t>
      </w:r>
      <w:r w:rsidR="00DA0D3E">
        <w:rPr>
          <w:rFonts w:ascii="Arial" w:hAnsi="Arial" w:cs="Arial"/>
        </w:rPr>
        <w:t xml:space="preserve">and </w:t>
      </w:r>
      <w:r w:rsidR="00DE5AAF" w:rsidRPr="00F022A5">
        <w:rPr>
          <w:rFonts w:ascii="Arial" w:hAnsi="Arial" w:cs="Arial"/>
        </w:rPr>
        <w:t>0.66</w:t>
      </w:r>
      <w:r w:rsidR="00DC5D4A" w:rsidRPr="00D71C8C">
        <w:rPr>
          <w:rFonts w:ascii="Arial" w:hAnsi="Arial" w:cs="Arial"/>
        </w:rPr>
        <w:t xml:space="preserve">/100,000 </w:t>
      </w:r>
      <w:r w:rsidR="00DC5D4A" w:rsidRPr="00575D02">
        <w:rPr>
          <w:rFonts w:ascii="Arial" w:hAnsi="Arial" w:cs="Arial"/>
        </w:rPr>
        <w:t xml:space="preserve">(95% CI, </w:t>
      </w:r>
      <w:r w:rsidR="00F54738" w:rsidRPr="00D474C8">
        <w:rPr>
          <w:rFonts w:ascii="Arial" w:hAnsi="Arial" w:cs="Arial"/>
        </w:rPr>
        <w:t>0.44</w:t>
      </w:r>
      <w:r w:rsidR="00DC5D4A" w:rsidRPr="00F022A5">
        <w:rPr>
          <w:rFonts w:ascii="Arial" w:hAnsi="Arial" w:cs="Arial"/>
        </w:rPr>
        <w:t>-</w:t>
      </w:r>
      <w:r w:rsidR="00F54738" w:rsidRPr="00D474C8">
        <w:rPr>
          <w:rFonts w:ascii="Arial" w:hAnsi="Arial" w:cs="Arial"/>
        </w:rPr>
        <w:t>0.99</w:t>
      </w:r>
      <w:r w:rsidR="0069784B">
        <w:rPr>
          <w:rFonts w:ascii="Arial" w:hAnsi="Arial" w:cs="Arial"/>
        </w:rPr>
        <w:t>; 104 cases</w:t>
      </w:r>
      <w:r w:rsidR="00DC5D4A" w:rsidRPr="00F022A5">
        <w:rPr>
          <w:rFonts w:ascii="Arial" w:hAnsi="Arial" w:cs="Arial"/>
        </w:rPr>
        <w:t xml:space="preserve">) </w:t>
      </w:r>
      <w:r w:rsidR="004E4EEC">
        <w:rPr>
          <w:rFonts w:ascii="Arial" w:hAnsi="Arial" w:cs="Arial"/>
        </w:rPr>
        <w:t xml:space="preserve">vaccinated </w:t>
      </w:r>
      <w:r w:rsidR="004E4EEC" w:rsidRPr="009D4692">
        <w:rPr>
          <w:rFonts w:ascii="Arial" w:hAnsi="Arial" w:cs="Arial"/>
        </w:rPr>
        <w:t>person-years</w:t>
      </w:r>
      <w:r w:rsidR="00DA0D3E">
        <w:rPr>
          <w:rFonts w:ascii="Arial" w:hAnsi="Arial" w:cs="Arial"/>
        </w:rPr>
        <w:t>, respectively</w:t>
      </w:r>
      <w:r w:rsidR="00F54738">
        <w:rPr>
          <w:rFonts w:ascii="Arial" w:hAnsi="Arial" w:cs="Arial"/>
        </w:rPr>
        <w:t xml:space="preserve">. </w:t>
      </w:r>
      <w:r w:rsidR="00A717D1" w:rsidRPr="00FB49B7">
        <w:rPr>
          <w:rFonts w:ascii="Arial" w:hAnsi="Arial" w:cs="Arial"/>
          <w:szCs w:val="24"/>
        </w:rPr>
        <w:t xml:space="preserve">Children with PCV13 failure were more likely to </w:t>
      </w:r>
      <w:r w:rsidR="002B5109" w:rsidRPr="00FB49B7">
        <w:rPr>
          <w:rFonts w:ascii="Arial" w:hAnsi="Arial" w:cs="Arial"/>
          <w:szCs w:val="24"/>
        </w:rPr>
        <w:t xml:space="preserve">be </w:t>
      </w:r>
      <w:r w:rsidR="00A717D1" w:rsidRPr="00FB49B7">
        <w:rPr>
          <w:rFonts w:ascii="Arial" w:hAnsi="Arial" w:cs="Arial"/>
          <w:szCs w:val="24"/>
        </w:rPr>
        <w:t>healthy (87/105 [</w:t>
      </w:r>
      <w:r w:rsidR="00674831" w:rsidRPr="00FB49B7">
        <w:rPr>
          <w:rFonts w:ascii="Arial" w:hAnsi="Arial" w:cs="Arial"/>
          <w:szCs w:val="24"/>
        </w:rPr>
        <w:t>8</w:t>
      </w:r>
      <w:r w:rsidR="00674831">
        <w:rPr>
          <w:rFonts w:ascii="Arial" w:hAnsi="Arial" w:cs="Arial"/>
          <w:szCs w:val="24"/>
        </w:rPr>
        <w:t>2.9</w:t>
      </w:r>
      <w:r w:rsidR="00A717D1" w:rsidRPr="00FB49B7">
        <w:rPr>
          <w:rFonts w:ascii="Arial" w:hAnsi="Arial" w:cs="Arial"/>
          <w:szCs w:val="24"/>
        </w:rPr>
        <w:t>%]</w:t>
      </w:r>
      <w:r w:rsidR="002B5109" w:rsidRPr="00FB49B7">
        <w:rPr>
          <w:rFonts w:ascii="Arial" w:hAnsi="Arial" w:cs="Arial"/>
          <w:szCs w:val="24"/>
        </w:rPr>
        <w:t xml:space="preserve"> vs. 37/56 [66</w:t>
      </w:r>
      <w:r w:rsidR="00674831">
        <w:rPr>
          <w:rFonts w:ascii="Arial" w:hAnsi="Arial" w:cs="Arial"/>
          <w:szCs w:val="24"/>
        </w:rPr>
        <w:t>.1</w:t>
      </w:r>
      <w:r w:rsidR="002B5109" w:rsidRPr="00FB49B7">
        <w:rPr>
          <w:rFonts w:ascii="Arial" w:hAnsi="Arial" w:cs="Arial"/>
          <w:szCs w:val="24"/>
        </w:rPr>
        <w:t>%]</w:t>
      </w:r>
      <w:r w:rsidR="00A717D1" w:rsidRPr="00FB49B7">
        <w:rPr>
          <w:rFonts w:ascii="Arial" w:hAnsi="Arial" w:cs="Arial"/>
          <w:szCs w:val="24"/>
        </w:rPr>
        <w:t xml:space="preserve">; </w:t>
      </w:r>
      <w:r w:rsidR="00E27860" w:rsidRPr="00E27860">
        <w:rPr>
          <w:rFonts w:ascii="Arial" w:hAnsi="Arial" w:cs="Arial"/>
          <w:i/>
          <w:szCs w:val="24"/>
        </w:rPr>
        <w:t>P=</w:t>
      </w:r>
      <w:r w:rsidR="00A717D1" w:rsidRPr="00FB49B7">
        <w:rPr>
          <w:rFonts w:ascii="Arial" w:hAnsi="Arial" w:cs="Arial"/>
          <w:szCs w:val="24"/>
        </w:rPr>
        <w:t>0.</w:t>
      </w:r>
      <w:r w:rsidR="00674831" w:rsidRPr="00FB49B7">
        <w:rPr>
          <w:rFonts w:ascii="Arial" w:hAnsi="Arial" w:cs="Arial"/>
          <w:szCs w:val="24"/>
        </w:rPr>
        <w:t>0</w:t>
      </w:r>
      <w:r w:rsidR="00674831">
        <w:rPr>
          <w:rFonts w:ascii="Arial" w:hAnsi="Arial" w:cs="Arial"/>
          <w:szCs w:val="24"/>
        </w:rPr>
        <w:t>2</w:t>
      </w:r>
      <w:r w:rsidR="00A717D1" w:rsidRPr="00FB49B7">
        <w:rPr>
          <w:rFonts w:ascii="Arial" w:hAnsi="Arial" w:cs="Arial"/>
          <w:szCs w:val="24"/>
        </w:rPr>
        <w:t xml:space="preserve">), present with </w:t>
      </w:r>
      <w:r w:rsidR="00E871BC">
        <w:rPr>
          <w:rFonts w:ascii="Arial" w:hAnsi="Arial" w:cs="Arial"/>
          <w:szCs w:val="24"/>
        </w:rPr>
        <w:t xml:space="preserve">bacteremic </w:t>
      </w:r>
      <w:r w:rsidR="002B5109" w:rsidRPr="00FB49B7">
        <w:rPr>
          <w:rFonts w:ascii="Arial" w:hAnsi="Arial" w:cs="Arial"/>
          <w:szCs w:val="24"/>
        </w:rPr>
        <w:t>lower respiratory tract infection (</w:t>
      </w:r>
      <w:r w:rsidR="002B5109" w:rsidRPr="00FB49B7">
        <w:rPr>
          <w:rFonts w:ascii="Arial" w:eastAsia="Times New Roman" w:hAnsi="Arial" w:cs="Arial"/>
          <w:color w:val="000000"/>
          <w:szCs w:val="24"/>
        </w:rPr>
        <w:t>61/105 [58</w:t>
      </w:r>
      <w:r w:rsidR="00674831">
        <w:rPr>
          <w:rFonts w:ascii="Arial" w:eastAsia="Times New Roman" w:hAnsi="Arial" w:cs="Arial"/>
          <w:color w:val="000000"/>
          <w:szCs w:val="24"/>
        </w:rPr>
        <w:t>.1</w:t>
      </w:r>
      <w:r w:rsidR="002B5109" w:rsidRPr="00FB49B7">
        <w:rPr>
          <w:rFonts w:ascii="Arial" w:eastAsia="Times New Roman" w:hAnsi="Arial" w:cs="Arial"/>
          <w:color w:val="000000"/>
          <w:szCs w:val="24"/>
        </w:rPr>
        <w:t>%]</w:t>
      </w:r>
      <w:r w:rsidR="004E4EEC">
        <w:rPr>
          <w:rFonts w:ascii="Arial" w:eastAsia="Times New Roman" w:hAnsi="Arial" w:cs="Arial"/>
          <w:color w:val="000000"/>
          <w:szCs w:val="24"/>
        </w:rPr>
        <w:t xml:space="preserve"> </w:t>
      </w:r>
      <w:r w:rsidR="002B5109" w:rsidRPr="00FB49B7">
        <w:rPr>
          <w:rFonts w:ascii="Arial" w:eastAsia="Times New Roman" w:hAnsi="Arial" w:cs="Arial"/>
          <w:color w:val="000000"/>
          <w:szCs w:val="24"/>
        </w:rPr>
        <w:t>vs. 11/56 [</w:t>
      </w:r>
      <w:r w:rsidR="00674831">
        <w:rPr>
          <w:rFonts w:ascii="Arial" w:eastAsia="Times New Roman" w:hAnsi="Arial" w:cs="Arial"/>
          <w:color w:val="000000"/>
          <w:szCs w:val="24"/>
        </w:rPr>
        <w:t>19.6</w:t>
      </w:r>
      <w:r w:rsidR="002B5109" w:rsidRPr="00FB49B7">
        <w:rPr>
          <w:rFonts w:ascii="Arial" w:eastAsia="Times New Roman" w:hAnsi="Arial" w:cs="Arial"/>
          <w:color w:val="000000"/>
          <w:szCs w:val="24"/>
        </w:rPr>
        <w:t>%]</w:t>
      </w:r>
      <w:r w:rsidR="00EA4DE5" w:rsidRPr="00FB49B7">
        <w:rPr>
          <w:rFonts w:ascii="Arial" w:eastAsia="Times New Roman" w:hAnsi="Arial" w:cs="Arial"/>
          <w:color w:val="000000"/>
          <w:szCs w:val="24"/>
        </w:rPr>
        <w:t xml:space="preserve">; </w:t>
      </w:r>
      <w:r w:rsidR="00E27860" w:rsidRPr="00E27860">
        <w:rPr>
          <w:rFonts w:ascii="Arial" w:eastAsia="Times New Roman" w:hAnsi="Arial" w:cs="Arial"/>
          <w:i/>
          <w:color w:val="000000"/>
          <w:szCs w:val="24"/>
        </w:rPr>
        <w:t>P&lt;</w:t>
      </w:r>
      <w:r w:rsidR="00EA4DE5" w:rsidRPr="00FB49B7">
        <w:rPr>
          <w:rFonts w:ascii="Arial" w:eastAsia="Times New Roman" w:hAnsi="Arial" w:cs="Arial"/>
          <w:color w:val="000000"/>
          <w:szCs w:val="24"/>
        </w:rPr>
        <w:t xml:space="preserve">0.001) </w:t>
      </w:r>
      <w:r w:rsidR="00A717D1" w:rsidRPr="00FB49B7">
        <w:rPr>
          <w:rFonts w:ascii="Arial" w:hAnsi="Arial" w:cs="Arial"/>
          <w:szCs w:val="24"/>
        </w:rPr>
        <w:t xml:space="preserve">and develop empyema </w:t>
      </w:r>
      <w:r w:rsidR="002B5109" w:rsidRPr="00FB49B7">
        <w:rPr>
          <w:rFonts w:ascii="Arial" w:hAnsi="Arial" w:cs="Arial"/>
          <w:szCs w:val="24"/>
        </w:rPr>
        <w:t>(</w:t>
      </w:r>
      <w:r w:rsidR="00B75E05" w:rsidRPr="00FB49B7">
        <w:rPr>
          <w:rFonts w:ascii="Arial" w:eastAsia="Times New Roman" w:hAnsi="Arial" w:cs="Arial"/>
          <w:color w:val="000000"/>
          <w:szCs w:val="24"/>
        </w:rPr>
        <w:t>41/61 [67</w:t>
      </w:r>
      <w:r w:rsidR="00674831">
        <w:rPr>
          <w:rFonts w:ascii="Arial" w:eastAsia="Times New Roman" w:hAnsi="Arial" w:cs="Arial"/>
          <w:color w:val="000000"/>
          <w:szCs w:val="24"/>
        </w:rPr>
        <w:t>.2</w:t>
      </w:r>
      <w:r w:rsidR="00B75E05" w:rsidRPr="00FB49B7">
        <w:rPr>
          <w:rFonts w:ascii="Arial" w:eastAsia="Times New Roman" w:hAnsi="Arial" w:cs="Arial"/>
          <w:color w:val="000000"/>
          <w:szCs w:val="24"/>
        </w:rPr>
        <w:t>%]</w:t>
      </w:r>
      <w:r w:rsidR="002B5109" w:rsidRPr="00FB49B7">
        <w:rPr>
          <w:rFonts w:ascii="Arial" w:eastAsia="Times New Roman" w:hAnsi="Arial" w:cs="Arial"/>
          <w:color w:val="000000"/>
          <w:szCs w:val="24"/>
        </w:rPr>
        <w:t xml:space="preserve"> vs. 1/11 [9</w:t>
      </w:r>
      <w:r w:rsidR="00674831">
        <w:rPr>
          <w:rFonts w:ascii="Arial" w:eastAsia="Times New Roman" w:hAnsi="Arial" w:cs="Arial"/>
          <w:color w:val="000000"/>
          <w:szCs w:val="24"/>
        </w:rPr>
        <w:t>.1</w:t>
      </w:r>
      <w:r w:rsidR="002B5109" w:rsidRPr="00FB49B7">
        <w:rPr>
          <w:rFonts w:ascii="Arial" w:eastAsia="Times New Roman" w:hAnsi="Arial" w:cs="Arial"/>
          <w:color w:val="000000"/>
          <w:szCs w:val="24"/>
        </w:rPr>
        <w:t>%]</w:t>
      </w:r>
      <w:r w:rsidR="00B75E05" w:rsidRPr="00FB49B7">
        <w:rPr>
          <w:rFonts w:ascii="Arial" w:eastAsia="Times New Roman" w:hAnsi="Arial" w:cs="Arial"/>
          <w:color w:val="000000"/>
          <w:szCs w:val="24"/>
        </w:rPr>
        <w:t xml:space="preserve">; </w:t>
      </w:r>
      <w:r w:rsidR="00E27860" w:rsidRPr="00E27860">
        <w:rPr>
          <w:rFonts w:ascii="Arial" w:eastAsia="Times New Roman" w:hAnsi="Arial" w:cs="Arial"/>
          <w:i/>
          <w:color w:val="000000"/>
          <w:szCs w:val="24"/>
        </w:rPr>
        <w:t>P&lt;</w:t>
      </w:r>
      <w:r w:rsidR="00B75E05" w:rsidRPr="00FB49B7">
        <w:rPr>
          <w:rFonts w:ascii="Arial" w:eastAsia="Times New Roman" w:hAnsi="Arial" w:cs="Arial"/>
          <w:color w:val="000000"/>
          <w:szCs w:val="24"/>
        </w:rPr>
        <w:t xml:space="preserve">0.001) </w:t>
      </w:r>
      <w:r w:rsidR="00A717D1" w:rsidRPr="00FB49B7">
        <w:rPr>
          <w:rFonts w:ascii="Arial" w:hAnsi="Arial" w:cs="Arial"/>
          <w:szCs w:val="24"/>
        </w:rPr>
        <w:t>compared to PCV7 failures.</w:t>
      </w:r>
      <w:r w:rsidR="00F45D6A" w:rsidRPr="00FB49B7">
        <w:rPr>
          <w:rFonts w:ascii="Arial" w:hAnsi="Arial" w:cs="Arial"/>
          <w:szCs w:val="24"/>
        </w:rPr>
        <w:t xml:space="preserve"> </w:t>
      </w:r>
      <w:r w:rsidR="00B57FD9">
        <w:rPr>
          <w:rFonts w:ascii="Arial" w:hAnsi="Arial" w:cs="Arial"/>
          <w:szCs w:val="24"/>
        </w:rPr>
        <w:t xml:space="preserve">Serotypes 3 (n=38, 36.2%) and 19A (n=30, 28.6%) were responsible for </w:t>
      </w:r>
      <w:r>
        <w:rPr>
          <w:rFonts w:ascii="Arial" w:hAnsi="Arial" w:cs="Arial"/>
          <w:szCs w:val="24"/>
        </w:rPr>
        <w:t>most</w:t>
      </w:r>
      <w:r w:rsidR="00B57FD9">
        <w:rPr>
          <w:rFonts w:ascii="Arial" w:hAnsi="Arial" w:cs="Arial"/>
          <w:szCs w:val="24"/>
        </w:rPr>
        <w:t xml:space="preserve"> PCV13 failures. </w:t>
      </w:r>
      <w:r w:rsidR="003D0778" w:rsidRPr="00FB49B7">
        <w:rPr>
          <w:rFonts w:ascii="Arial" w:hAnsi="Arial" w:cs="Arial"/>
          <w:bCs/>
          <w:szCs w:val="24"/>
        </w:rPr>
        <w:t>Five children died (3.1%</w:t>
      </w:r>
      <w:r w:rsidR="00BC092E">
        <w:rPr>
          <w:rFonts w:ascii="Arial" w:hAnsi="Arial" w:cs="Arial"/>
          <w:bCs/>
          <w:szCs w:val="24"/>
        </w:rPr>
        <w:t xml:space="preserve">; </w:t>
      </w:r>
      <w:r w:rsidR="00BC092E" w:rsidRPr="00BC092E">
        <w:rPr>
          <w:rFonts w:ascii="Arial" w:eastAsia="Times New Roman" w:hAnsi="Arial" w:cs="Arial"/>
          <w:lang w:eastAsia="en-GB"/>
        </w:rPr>
        <w:t>95% CI, 1.0-7.1%</w:t>
      </w:r>
      <w:r w:rsidR="003D0778" w:rsidRPr="00FB49B7">
        <w:rPr>
          <w:rFonts w:ascii="Arial" w:hAnsi="Arial" w:cs="Arial"/>
          <w:bCs/>
          <w:szCs w:val="24"/>
        </w:rPr>
        <w:t>), i</w:t>
      </w:r>
      <w:r w:rsidR="00EA4DE5" w:rsidRPr="00FB49B7">
        <w:rPr>
          <w:rFonts w:ascii="Arial" w:hAnsi="Arial" w:cs="Arial"/>
          <w:bCs/>
          <w:szCs w:val="24"/>
        </w:rPr>
        <w:t>ncluding four with co-morbidities.</w:t>
      </w:r>
      <w:r w:rsidR="00CB46AD" w:rsidRPr="00FB49B7">
        <w:rPr>
          <w:rFonts w:ascii="Arial" w:hAnsi="Arial" w:cs="Arial"/>
          <w:bCs/>
          <w:szCs w:val="24"/>
        </w:rPr>
        <w:t xml:space="preserve"> </w:t>
      </w:r>
    </w:p>
    <w:p w14:paraId="43FE2357" w14:textId="43F54B12" w:rsidR="00A717D1" w:rsidRPr="00FB49B7" w:rsidRDefault="001626F6" w:rsidP="00285CC2">
      <w:pPr>
        <w:spacing w:after="0" w:line="480" w:lineRule="auto"/>
        <w:rPr>
          <w:rFonts w:ascii="Arial" w:eastAsia="Times New Roman" w:hAnsi="Arial" w:cs="Arial"/>
          <w:color w:val="000000"/>
          <w:szCs w:val="24"/>
        </w:rPr>
      </w:pPr>
      <w:r>
        <w:rPr>
          <w:rFonts w:ascii="Arial" w:hAnsi="Arial" w:cs="Arial"/>
          <w:b/>
          <w:sz w:val="24"/>
          <w:szCs w:val="28"/>
        </w:rPr>
        <w:t>Conclusions</w:t>
      </w:r>
      <w:r>
        <w:rPr>
          <w:rFonts w:ascii="Arial" w:eastAsia="Times New Roman" w:hAnsi="Arial" w:cs="Arial"/>
          <w:color w:val="000000"/>
          <w:szCs w:val="24"/>
        </w:rPr>
        <w:t xml:space="preserve"> </w:t>
      </w:r>
      <w:r w:rsidR="00F45D6A" w:rsidRPr="00FB49B7">
        <w:rPr>
          <w:rFonts w:ascii="Arial" w:eastAsia="Times New Roman" w:hAnsi="Arial" w:cs="Arial"/>
          <w:color w:val="000000"/>
          <w:szCs w:val="24"/>
        </w:rPr>
        <w:t xml:space="preserve">PCV failure is rare and, compared to PCV7 serotypes, the additional PCV13 serotypes are more likely to cause </w:t>
      </w:r>
      <w:r w:rsidR="00E871BC">
        <w:rPr>
          <w:rFonts w:ascii="Arial" w:eastAsia="Times New Roman" w:hAnsi="Arial" w:cs="Arial"/>
          <w:color w:val="000000"/>
          <w:szCs w:val="24"/>
        </w:rPr>
        <w:t>bacteremic lower respiratory tract infection</w:t>
      </w:r>
      <w:r w:rsidR="00E871BC" w:rsidRPr="00FB49B7">
        <w:rPr>
          <w:rFonts w:ascii="Arial" w:eastAsia="Times New Roman" w:hAnsi="Arial" w:cs="Arial"/>
          <w:color w:val="000000"/>
          <w:szCs w:val="24"/>
        </w:rPr>
        <w:t xml:space="preserve"> </w:t>
      </w:r>
      <w:r w:rsidR="00F45D6A" w:rsidRPr="00FB49B7">
        <w:rPr>
          <w:rFonts w:ascii="Arial" w:eastAsia="Times New Roman" w:hAnsi="Arial" w:cs="Arial"/>
          <w:color w:val="000000"/>
          <w:szCs w:val="24"/>
        </w:rPr>
        <w:t>and empyema in healthy vaccinated children</w:t>
      </w:r>
      <w:r>
        <w:rPr>
          <w:rFonts w:ascii="Arial" w:eastAsia="Times New Roman" w:hAnsi="Arial" w:cs="Arial"/>
          <w:color w:val="000000"/>
          <w:szCs w:val="24"/>
        </w:rPr>
        <w:t>.</w:t>
      </w:r>
    </w:p>
    <w:p w14:paraId="079E9414" w14:textId="77777777" w:rsidR="00344577" w:rsidRPr="00FB49B7" w:rsidRDefault="00344577" w:rsidP="00285CC2">
      <w:pPr>
        <w:spacing w:after="0" w:line="480" w:lineRule="auto"/>
        <w:rPr>
          <w:rFonts w:ascii="Arial" w:hAnsi="Arial" w:cs="Arial"/>
          <w:b/>
          <w:sz w:val="24"/>
          <w:szCs w:val="28"/>
        </w:rPr>
      </w:pPr>
    </w:p>
    <w:p w14:paraId="69A38414" w14:textId="77777777" w:rsidR="001626F6" w:rsidRDefault="001626F6" w:rsidP="00285CC2">
      <w:pPr>
        <w:spacing w:line="480" w:lineRule="auto"/>
        <w:rPr>
          <w:rFonts w:ascii="Arial" w:hAnsi="Arial" w:cs="Arial"/>
          <w:b/>
        </w:rPr>
      </w:pPr>
      <w:r>
        <w:rPr>
          <w:rFonts w:ascii="Arial" w:hAnsi="Arial" w:cs="Arial"/>
          <w:b/>
        </w:rPr>
        <w:br w:type="page"/>
      </w:r>
    </w:p>
    <w:p w14:paraId="410ED1AD" w14:textId="77777777" w:rsidR="00FC13CB" w:rsidRPr="00FB49B7" w:rsidRDefault="00555367" w:rsidP="00D474C8">
      <w:pPr>
        <w:pageBreakBefore/>
        <w:spacing w:line="480" w:lineRule="auto"/>
        <w:rPr>
          <w:rFonts w:ascii="Arial" w:hAnsi="Arial" w:cs="Arial"/>
          <w:b/>
        </w:rPr>
      </w:pPr>
      <w:r w:rsidRPr="00FB49B7">
        <w:rPr>
          <w:rFonts w:ascii="Arial" w:hAnsi="Arial" w:cs="Arial"/>
          <w:b/>
        </w:rPr>
        <w:lastRenderedPageBreak/>
        <w:t>INTRODUCTION</w:t>
      </w:r>
    </w:p>
    <w:p w14:paraId="708EAE97" w14:textId="77777777" w:rsidR="0098330B" w:rsidRPr="00FB49B7" w:rsidRDefault="0098330B" w:rsidP="00D474C8">
      <w:pPr>
        <w:spacing w:line="480" w:lineRule="auto"/>
        <w:rPr>
          <w:rFonts w:ascii="Arial" w:hAnsi="Arial" w:cs="Arial"/>
          <w:bCs/>
        </w:rPr>
      </w:pPr>
      <w:r w:rsidRPr="00FB49B7">
        <w:rPr>
          <w:rFonts w:ascii="Arial" w:hAnsi="Arial" w:cs="Arial"/>
        </w:rPr>
        <w:t xml:space="preserve">In the United Kingdom, the 7-valent pneumococcal conjugate vaccine (PCV7) was introduced in September 2006 as a 2+1 schedule for all infants at 2, 4 and 12 months alongside a 12-month limited catch-up for </w:t>
      </w:r>
      <w:r w:rsidR="00300C5B">
        <w:rPr>
          <w:rFonts w:ascii="Arial" w:hAnsi="Arial" w:cs="Arial"/>
        </w:rPr>
        <w:t>&lt;</w:t>
      </w:r>
      <w:r w:rsidRPr="00FB49B7">
        <w:rPr>
          <w:rFonts w:ascii="Arial" w:hAnsi="Arial" w:cs="Arial"/>
        </w:rPr>
        <w:t>2 year-olds</w:t>
      </w:r>
      <w:r w:rsidR="001A49F1">
        <w:rPr>
          <w:rFonts w:ascii="Arial" w:hAnsi="Arial" w:cs="Arial"/>
        </w:rPr>
        <w:t xml:space="preserve"> </w:t>
      </w:r>
      <w:r w:rsidR="00D03F6E">
        <w:rPr>
          <w:rFonts w:ascii="Arial" w:hAnsi="Arial" w:cs="Arial"/>
        </w:rPr>
        <w:fldChar w:fldCharType="begin"/>
      </w:r>
      <w:r w:rsidR="00082523">
        <w:rPr>
          <w:rFonts w:ascii="Arial" w:hAnsi="Arial" w:cs="Arial"/>
        </w:rPr>
        <w:instrText xml:space="preserve"> ADDIN EN.CITE &lt;EndNote&gt;&lt;Cite&gt;&lt;Author&gt;Department of Health&lt;/Author&gt;&lt;Year&gt;2006&lt;/Year&gt;&lt;RecNum&gt;6&lt;/RecNum&gt;&lt;DisplayText&gt;[1]&lt;/DisplayText&gt;&lt;record&gt;&lt;rec-number&gt;6&lt;/rec-number&gt;&lt;foreign-keys&gt;&lt;key app="EN" db-id="rxxppfvvjfas5yeas2cx599btv52trewxvr5" timestamp="1473771418"&gt;6&lt;/key&gt;&lt;/foreign-keys&gt;&lt;ref-type name="Journal Article"&gt;17&lt;/ref-type&gt;&lt;contributors&gt;&lt;authors&gt;&lt;author&gt;Department of Health,&lt;/author&gt;&lt;/authors&gt;&lt;/contributors&gt;&lt;titles&gt;&lt;title&gt;Planned changes to the routine Childhood Immunisation Programme&lt;/title&gt;&lt;/titles&gt;&lt;dates&gt;&lt;year&gt;2006&lt;/year&gt;&lt;/dates&gt;&lt;urls&gt;&lt;related-urls&gt;&lt;url&gt;http://webarchive.nationalarchives.gov.uk/20130107105354/http://www.dh.gov.uk/prod_consum_dh/groups/dh_digitalassets/@dh/@en/documents/digitalasset/dh_4128121.pdf  &lt;/url&gt;&lt;/related-urls&gt;&lt;/urls&gt;&lt;/record&gt;&lt;/Cite&gt;&lt;/EndNote&gt;</w:instrText>
      </w:r>
      <w:r w:rsidR="00D03F6E">
        <w:rPr>
          <w:rFonts w:ascii="Arial" w:hAnsi="Arial" w:cs="Arial"/>
        </w:rPr>
        <w:fldChar w:fldCharType="separate"/>
      </w:r>
      <w:r w:rsidR="00082523">
        <w:rPr>
          <w:rFonts w:ascii="Arial" w:hAnsi="Arial" w:cs="Arial"/>
          <w:noProof/>
        </w:rPr>
        <w:t>[1]</w:t>
      </w:r>
      <w:r w:rsidR="00D03F6E">
        <w:rPr>
          <w:rFonts w:ascii="Arial" w:hAnsi="Arial" w:cs="Arial"/>
        </w:rPr>
        <w:fldChar w:fldCharType="end"/>
      </w:r>
      <w:r w:rsidR="001A49F1">
        <w:rPr>
          <w:rFonts w:ascii="Arial" w:hAnsi="Arial" w:cs="Arial"/>
        </w:rPr>
        <w:t>.</w:t>
      </w:r>
      <w:r w:rsidRPr="00FB49B7">
        <w:rPr>
          <w:rFonts w:ascii="Arial" w:hAnsi="Arial" w:cs="Arial"/>
        </w:rPr>
        <w:t xml:space="preserve"> The programme led to a rapid decline in invasive pneumococcal disease (IPD) and, since young children are the main carriers of </w:t>
      </w:r>
      <w:r w:rsidRPr="00FB49B7">
        <w:rPr>
          <w:rFonts w:ascii="Arial" w:hAnsi="Arial" w:cs="Arial"/>
          <w:i/>
        </w:rPr>
        <w:t>S. pneumoniae</w:t>
      </w:r>
      <w:r w:rsidRPr="00FB49B7">
        <w:rPr>
          <w:rFonts w:ascii="Arial" w:hAnsi="Arial" w:cs="Arial"/>
        </w:rPr>
        <w:t xml:space="preserve"> and PCV7 reduces carriage acquisition</w:t>
      </w:r>
      <w:r w:rsidR="000F1170">
        <w:rPr>
          <w:rFonts w:ascii="Arial" w:hAnsi="Arial" w:cs="Arial"/>
        </w:rPr>
        <w:t xml:space="preserve"> </w:t>
      </w:r>
      <w:r w:rsidR="00D03F6E">
        <w:rPr>
          <w:rFonts w:ascii="Arial" w:hAnsi="Arial" w:cs="Arial"/>
        </w:rPr>
        <w:fldChar w:fldCharType="begin"/>
      </w:r>
      <w:r w:rsidR="00082523">
        <w:rPr>
          <w:rFonts w:ascii="Arial" w:hAnsi="Arial" w:cs="Arial"/>
        </w:rPr>
        <w:instrText xml:space="preserve"> ADDIN EN.CITE &lt;EndNote&gt;&lt;Cite&gt;&lt;Author&gt;van Hoek&lt;/Author&gt;&lt;Year&gt;2012&lt;/Year&gt;&lt;RecNum&gt;14&lt;/RecNum&gt;&lt;DisplayText&gt;[2]&lt;/DisplayText&gt;&lt;record&gt;&lt;rec-number&gt;14&lt;/rec-number&gt;&lt;foreign-keys&gt;&lt;key app="EN" db-id="w9ttzze5rv9rz0e0s0rxzzxeav225d0x0sfp" timestamp="1445608262"&gt;14&lt;/key&gt;&lt;/foreign-keys&gt;&lt;ref-type name="Journal Article"&gt;17&lt;/ref-type&gt;&lt;contributors&gt;&lt;authors&gt;&lt;author&gt;van Hoek, Albert Jan&lt;/author&gt;&lt;author&gt;Andrews, Nick&lt;/author&gt;&lt;author&gt;Waight, Pauline A.&lt;/author&gt;&lt;author&gt;Stowe, Julia&lt;/author&gt;&lt;author&gt;Gates, Peter&lt;/author&gt;&lt;author&gt;George, Robert&lt;/author&gt;&lt;author&gt;Miller, Elizabeth&lt;/author&gt;&lt;/authors&gt;&lt;/contributors&gt;&lt;auth-address&gt;Immunisation, Hepatitis and Blood Safety Department, Health Protection Services, Colindale, Health Protection Agency, 61 Colindale Avenue, London NW9 5EQ, United Kingdom. albertjan.vanhoek@hpa.org.uk&lt;/auth-address&gt;&lt;titles&gt;&lt;title&gt;The effect of underlying clinical conditions on the risk of developing invasive pneumococcal disease in England&lt;/title&gt;&lt;secondary-title&gt;The Journal of infection&lt;/secondary-title&gt;&lt;alt-title&gt;J Infect&lt;/alt-title&gt;&lt;/titles&gt;&lt;periodical&gt;&lt;full-title&gt;The Journal of infection&lt;/full-title&gt;&lt;abbr-1&gt;J Infect&lt;/abbr-1&gt;&lt;/periodical&gt;&lt;alt-periodical&gt;&lt;full-title&gt;The Journal of infection&lt;/full-title&gt;&lt;abbr-1&gt;J Infect&lt;/abbr-1&gt;&lt;/alt-periodical&gt;&lt;pages&gt;17-24&lt;/pages&gt;&lt;volume&gt;65&lt;/volume&gt;&lt;number&gt;1&lt;/number&gt;&lt;dates&gt;&lt;year&gt;2012&lt;/year&gt;&lt;pub-dates&gt;&lt;date&gt;2012/07//&lt;/date&gt;&lt;/pub-dates&gt;&lt;/dates&gt;&lt;isbn&gt;0163-4453&lt;/isbn&gt;&lt;accession-num&gt;22394683&lt;/accession-num&gt;&lt;urls&gt;&lt;related-urls&gt;&lt;url&gt;http://europepmc.org/abstract/MED/22394683&lt;/url&gt;&lt;url&gt;http://dx.doi.org/10.1016/j.jinf.2012.02.017&lt;/url&gt;&lt;/related-urls&gt;&lt;/urls&gt;&lt;electronic-resource-num&gt;10.1016/j.jinf.2012.02.017&lt;/electronic-resource-num&gt;&lt;remote-database-name&gt;PubMed&lt;/remote-database-name&gt;&lt;language&gt;eng&lt;/language&gt;&lt;/record&gt;&lt;/Cite&gt;&lt;/EndNote&gt;</w:instrText>
      </w:r>
      <w:r w:rsidR="00D03F6E">
        <w:rPr>
          <w:rFonts w:ascii="Arial" w:hAnsi="Arial" w:cs="Arial"/>
        </w:rPr>
        <w:fldChar w:fldCharType="separate"/>
      </w:r>
      <w:r w:rsidR="00082523">
        <w:rPr>
          <w:rFonts w:ascii="Arial" w:hAnsi="Arial" w:cs="Arial"/>
          <w:noProof/>
        </w:rPr>
        <w:t>[2]</w:t>
      </w:r>
      <w:r w:rsidR="00D03F6E">
        <w:rPr>
          <w:rFonts w:ascii="Arial" w:hAnsi="Arial" w:cs="Arial"/>
        </w:rPr>
        <w:fldChar w:fldCharType="end"/>
      </w:r>
      <w:r w:rsidR="000F1170">
        <w:rPr>
          <w:rFonts w:ascii="Arial" w:hAnsi="Arial" w:cs="Arial"/>
        </w:rPr>
        <w:t>,</w:t>
      </w:r>
      <w:r w:rsidRPr="00FB49B7">
        <w:rPr>
          <w:rFonts w:ascii="Arial" w:hAnsi="Arial" w:cs="Arial"/>
        </w:rPr>
        <w:t xml:space="preserve"> significant reductions in PCV7-type IPD were observed across all age-groups, with overall IPD rates falling by 34%</w:t>
      </w:r>
      <w:r w:rsidR="00082CFF">
        <w:rPr>
          <w:rFonts w:ascii="Arial" w:hAnsi="Arial" w:cs="Arial"/>
        </w:rPr>
        <w:t xml:space="preserve"> </w:t>
      </w:r>
      <w:r w:rsidR="00D03F6E">
        <w:rPr>
          <w:rFonts w:ascii="Arial" w:hAnsi="Arial" w:cs="Arial"/>
        </w:rPr>
        <w:fldChar w:fldCharType="begin"/>
      </w:r>
      <w:r w:rsidR="00082523">
        <w:rPr>
          <w:rFonts w:ascii="Arial" w:hAnsi="Arial" w:cs="Arial"/>
        </w:rPr>
        <w:instrText xml:space="preserve"> ADDIN EN.CITE &lt;EndNote&gt;&lt;Cite&gt;&lt;Author&gt;Miller&lt;/Author&gt;&lt;Year&gt;2011&lt;/Year&gt;&lt;RecNum&gt;2&lt;/RecNum&gt;&lt;DisplayText&gt;[3]&lt;/DisplayText&gt;&lt;record&gt;&lt;rec-number&gt;2&lt;/rec-number&gt;&lt;foreign-keys&gt;&lt;key app="EN" db-id="rxxppfvvjfas5yeas2cx599btv52trewxvr5" timestamp="1473770934"&gt;2&lt;/key&gt;&lt;/foreign-keys&gt;&lt;ref-type name="Journal Article"&gt;17&lt;/ref-type&gt;&lt;contributors&gt;&lt;authors&gt;&lt;author&gt;Miller, Elizabeth&lt;/author&gt;&lt;author&gt;Andrews, Nicholas J.&lt;/author&gt;&lt;author&gt;Waight, Pauline A.&lt;/author&gt;&lt;author&gt;Slack, Mary Pe&lt;/author&gt;&lt;author&gt;George, Robert C.&lt;/author&gt;&lt;/authors&gt;&lt;/contributors&gt;&lt;auth-address&gt;Immunisation, Hepatitis and Blood Safety Department, Health Protection Agency, Colindale, London, UK. liz.miller@hpa.org.uk&lt;/auth-address&gt;&lt;titles&gt;&lt;title&gt;Herd immunity and serotype replacement 4 years after seven-valent pneumococcal conjugate vaccination in England and Wales: an observational cohort study&lt;/title&gt;&lt;secondary-title&gt;The Lancet. Infectious diseases&lt;/secondary-title&gt;&lt;alt-title&gt;Lancet Infect Dis&lt;/alt-title&gt;&lt;/titles&gt;&lt;periodical&gt;&lt;full-title&gt;The Lancet. Infectious diseases&lt;/full-title&gt;&lt;abbr-1&gt;Lancet Infect Dis&lt;/abbr-1&gt;&lt;/periodical&gt;&lt;alt-periodical&gt;&lt;full-title&gt;The Lancet. Infectious diseases&lt;/full-title&gt;&lt;abbr-1&gt;Lancet Infect Dis&lt;/abbr-1&gt;&lt;/alt-periodical&gt;&lt;pages&gt;760-768&lt;/pages&gt;&lt;volume&gt;11&lt;/volume&gt;&lt;number&gt;10&lt;/number&gt;&lt;keywords&gt;&lt;keyword&gt;Immunity, Herd&lt;/keyword&gt;&lt;/keywords&gt;&lt;dates&gt;&lt;year&gt;2011&lt;/year&gt;&lt;pub-dates&gt;&lt;date&gt;2011/10//&lt;/date&gt;&lt;/pub-dates&gt;&lt;/dates&gt;&lt;isbn&gt;1473-3099&lt;/isbn&gt;&lt;accession-num&gt;21621466&lt;/accession-num&gt;&lt;urls&gt;&lt;related-urls&gt;&lt;url&gt;http://europepmc.org/abstract/MED/21621466&lt;/url&gt;&lt;url&gt;http://dx.doi.org/10.1016/S1473-3099(11)70090-1&lt;/url&gt;&lt;/related-urls&gt;&lt;/urls&gt;&lt;electronic-resource-num&gt;10.1016/s1473-3099(11)70090-1&lt;/electronic-resource-num&gt;&lt;remote-database-name&gt;PubMed&lt;/remote-database-name&gt;&lt;language&gt;eng&lt;/language&gt;&lt;/record&gt;&lt;/Cite&gt;&lt;/EndNote&gt;</w:instrText>
      </w:r>
      <w:r w:rsidR="00D03F6E">
        <w:rPr>
          <w:rFonts w:ascii="Arial" w:hAnsi="Arial" w:cs="Arial"/>
        </w:rPr>
        <w:fldChar w:fldCharType="separate"/>
      </w:r>
      <w:r w:rsidR="00082523">
        <w:rPr>
          <w:rFonts w:ascii="Arial" w:hAnsi="Arial" w:cs="Arial"/>
          <w:noProof/>
        </w:rPr>
        <w:t>[3]</w:t>
      </w:r>
      <w:r w:rsidR="00D03F6E">
        <w:rPr>
          <w:rFonts w:ascii="Arial" w:hAnsi="Arial" w:cs="Arial"/>
        </w:rPr>
        <w:fldChar w:fldCharType="end"/>
      </w:r>
      <w:r w:rsidR="00082CFF">
        <w:rPr>
          <w:rFonts w:ascii="Arial" w:hAnsi="Arial" w:cs="Arial"/>
        </w:rPr>
        <w:t>.</w:t>
      </w:r>
      <w:r w:rsidR="00542CC5" w:rsidRPr="00FB49B7">
        <w:rPr>
          <w:rFonts w:ascii="Arial" w:hAnsi="Arial" w:cs="Arial"/>
        </w:rPr>
        <w:t xml:space="preserve"> </w:t>
      </w:r>
      <w:r w:rsidRPr="00FB49B7">
        <w:rPr>
          <w:rFonts w:ascii="Arial" w:hAnsi="Arial" w:cs="Arial"/>
        </w:rPr>
        <w:t xml:space="preserve">From April 2010, PCV7 was replaced by a 13-valent PCV (PCV13) without any catch-up and, by 2013/14, IPD incidence had fallen by a further 32% because of continued reduction in PCV7-type IPD and a 69% reduction in </w:t>
      </w:r>
      <w:r w:rsidR="00082CFF">
        <w:rPr>
          <w:rFonts w:ascii="Arial" w:hAnsi="Arial" w:cs="Arial"/>
        </w:rPr>
        <w:t xml:space="preserve">PCV13-type </w:t>
      </w:r>
      <w:r w:rsidRPr="00FB49B7">
        <w:rPr>
          <w:rFonts w:ascii="Arial" w:hAnsi="Arial" w:cs="Arial"/>
        </w:rPr>
        <w:t>IPD</w:t>
      </w:r>
      <w:r w:rsidR="00082CFF">
        <w:rPr>
          <w:rFonts w:ascii="Arial" w:hAnsi="Arial" w:cs="Arial"/>
        </w:rPr>
        <w:t xml:space="preserve"> </w:t>
      </w:r>
      <w:r w:rsidR="00D03F6E">
        <w:rPr>
          <w:rFonts w:ascii="Arial" w:hAnsi="Arial" w:cs="Arial"/>
        </w:rPr>
        <w:fldChar w:fldCharType="begin"/>
      </w:r>
      <w:r w:rsidR="00082523">
        <w:rPr>
          <w:rFonts w:ascii="Arial" w:hAnsi="Arial" w:cs="Arial"/>
        </w:rPr>
        <w:instrText xml:space="preserve"> ADDIN EN.CITE &lt;EndNote&gt;&lt;Cite&gt;&lt;Author&gt;Waight&lt;/Author&gt;&lt;Year&gt;2015&lt;/Year&gt;&lt;RecNum&gt;3&lt;/RecNum&gt;&lt;DisplayText&gt;[4]&lt;/DisplayText&gt;&lt;record&gt;&lt;rec-number&gt;3&lt;/rec-number&gt;&lt;foreign-keys&gt;&lt;key app="EN" db-id="rxxppfvvjfas5yeas2cx599btv52trewxvr5" timestamp="1473770985"&gt;3&lt;/key&gt;&lt;/foreign-keys&gt;&lt;ref-type name="Journal Article"&gt;17&lt;/ref-type&gt;&lt;contributors&gt;&lt;authors&gt;&lt;author&gt;Waight, Pauline A.&lt;/author&gt;&lt;author&gt;Andrews, Nicholas J.&lt;/author&gt;&lt;author&gt;Ladhani, Shamez N.&lt;/author&gt;&lt;author&gt;Sheppard, Carmen L.&lt;/author&gt;&lt;author&gt;Slack, Mary P. E.&lt;/author&gt;&lt;author&gt;Miller, Elizabeth&lt;/author&gt;&lt;/authors&gt;&lt;/contributors&gt;&lt;auth-address&gt;Immunisation, Hepatitis, and Blood Safety Department, Health Protection Services, Public Health England, London, UK. Electronic address: Pauline.Kaye@phe.gov.uk.&lt;/auth-address&gt;&lt;titles&gt;&lt;title&gt;Effect of the 13-valent pneumococcal conjugate vaccine on invasive pneumococcal disease in England and Wales 4 years after its introduction: an observational cohort study&lt;/title&gt;&lt;secondary-title&gt;The Lancet. Infectious diseases&lt;/secondary-title&gt;&lt;alt-title&gt;Lancet Infect Dis&lt;/alt-title&gt;&lt;/titles&gt;&lt;periodical&gt;&lt;full-title&gt;The Lancet. Infectious diseases&lt;/full-title&gt;&lt;abbr-1&gt;Lancet Infect Dis&lt;/abbr-1&gt;&lt;/periodical&gt;&lt;alt-periodical&gt;&lt;full-title&gt;The Lancet. Infectious diseases&lt;/full-title&gt;&lt;abbr-1&gt;Lancet Infect Dis&lt;/abbr-1&gt;&lt;/alt-periodical&gt;&lt;pages&gt;535-543&lt;/pages&gt;&lt;volume&gt;15&lt;/volume&gt;&lt;number&gt;5&lt;/number&gt;&lt;dates&gt;&lt;year&gt;2015&lt;/year&gt;&lt;pub-dates&gt;&lt;date&gt;2015/05//&lt;/date&gt;&lt;/pub-dates&gt;&lt;/dates&gt;&lt;isbn&gt;1473-3099&lt;/isbn&gt;&lt;accession-num&gt;25801458&lt;/accession-num&gt;&lt;urls&gt;&lt;related-urls&gt;&lt;url&gt;http://europepmc.org/abstract/MED/25801458&lt;/url&gt;&lt;url&gt;http://dx.doi.org/10.1016/S1473-3099(15)70044-7&lt;/url&gt;&lt;/related-urls&gt;&lt;/urls&gt;&lt;electronic-resource-num&gt;10.1016/s1473-3099(15)70044-7&lt;/electronic-resource-num&gt;&lt;remote-database-name&gt;PubMed&lt;/remote-database-name&gt;&lt;language&gt;eng&lt;/language&gt;&lt;/record&gt;&lt;/Cite&gt;&lt;/EndNote&gt;</w:instrText>
      </w:r>
      <w:r w:rsidR="00D03F6E">
        <w:rPr>
          <w:rFonts w:ascii="Arial" w:hAnsi="Arial" w:cs="Arial"/>
        </w:rPr>
        <w:fldChar w:fldCharType="separate"/>
      </w:r>
      <w:r w:rsidR="00082523">
        <w:rPr>
          <w:rFonts w:ascii="Arial" w:hAnsi="Arial" w:cs="Arial"/>
          <w:noProof/>
        </w:rPr>
        <w:t>[4]</w:t>
      </w:r>
      <w:r w:rsidR="00D03F6E">
        <w:rPr>
          <w:rFonts w:ascii="Arial" w:hAnsi="Arial" w:cs="Arial"/>
        </w:rPr>
        <w:fldChar w:fldCharType="end"/>
      </w:r>
      <w:r w:rsidR="00082CFF">
        <w:rPr>
          <w:rFonts w:ascii="Arial" w:hAnsi="Arial" w:cs="Arial"/>
        </w:rPr>
        <w:t>.</w:t>
      </w:r>
      <w:r w:rsidRPr="00FB49B7">
        <w:rPr>
          <w:rFonts w:ascii="Arial" w:hAnsi="Arial" w:cs="Arial"/>
        </w:rPr>
        <w:t xml:space="preserve"> </w:t>
      </w:r>
    </w:p>
    <w:p w14:paraId="2CCCC168" w14:textId="1C2C8F26" w:rsidR="002F3025" w:rsidRPr="00FB49B7" w:rsidRDefault="002F3025" w:rsidP="00D474C8">
      <w:pPr>
        <w:spacing w:line="480" w:lineRule="auto"/>
        <w:rPr>
          <w:rFonts w:ascii="Arial" w:hAnsi="Arial" w:cs="Arial"/>
        </w:rPr>
      </w:pPr>
      <w:r w:rsidRPr="00FB49B7">
        <w:rPr>
          <w:rFonts w:ascii="Arial" w:hAnsi="Arial" w:cs="Arial"/>
        </w:rPr>
        <w:t xml:space="preserve">The development of </w:t>
      </w:r>
      <w:r w:rsidR="00DC515E">
        <w:rPr>
          <w:rFonts w:ascii="Arial" w:hAnsi="Arial" w:cs="Arial"/>
        </w:rPr>
        <w:t xml:space="preserve">vaccine-serotype </w:t>
      </w:r>
      <w:r w:rsidRPr="00FB49B7">
        <w:rPr>
          <w:rFonts w:ascii="Arial" w:hAnsi="Arial" w:cs="Arial"/>
        </w:rPr>
        <w:t xml:space="preserve">IPD in a </w:t>
      </w:r>
      <w:r w:rsidR="00DC515E">
        <w:rPr>
          <w:rFonts w:ascii="Arial" w:hAnsi="Arial" w:cs="Arial"/>
        </w:rPr>
        <w:t xml:space="preserve">PCV-immunised </w:t>
      </w:r>
      <w:r w:rsidRPr="00FB49B7">
        <w:rPr>
          <w:rFonts w:ascii="Arial" w:hAnsi="Arial" w:cs="Arial"/>
        </w:rPr>
        <w:t xml:space="preserve">child </w:t>
      </w:r>
      <w:r w:rsidR="0021655B" w:rsidRPr="00FB49B7">
        <w:rPr>
          <w:rFonts w:ascii="Arial" w:hAnsi="Arial" w:cs="Arial"/>
        </w:rPr>
        <w:t xml:space="preserve">(i.e. vaccine failure) </w:t>
      </w:r>
      <w:r w:rsidRPr="00FB49B7">
        <w:rPr>
          <w:rFonts w:ascii="Arial" w:hAnsi="Arial" w:cs="Arial"/>
        </w:rPr>
        <w:t>is rar</w:t>
      </w:r>
      <w:r w:rsidR="00DC515E">
        <w:rPr>
          <w:rFonts w:ascii="Arial" w:hAnsi="Arial" w:cs="Arial"/>
        </w:rPr>
        <w:t>e</w:t>
      </w:r>
      <w:r w:rsidR="001B3D52">
        <w:rPr>
          <w:rFonts w:ascii="Arial" w:hAnsi="Arial" w:cs="Arial"/>
        </w:rPr>
        <w:t xml:space="preserve"> </w:t>
      </w:r>
      <w:r w:rsidR="00D03F6E">
        <w:rPr>
          <w:rFonts w:ascii="Arial" w:hAnsi="Arial" w:cs="Arial"/>
        </w:rPr>
        <w:fldChar w:fldCharType="begin"/>
      </w:r>
      <w:r w:rsidR="00082523">
        <w:rPr>
          <w:rFonts w:ascii="Arial" w:hAnsi="Arial" w:cs="Arial"/>
        </w:rPr>
        <w:instrText xml:space="preserve"> ADDIN EN.CITE &lt;EndNote&gt;&lt;Cite&gt;&lt;Author&gt;Ladhani&lt;/Author&gt;&lt;Year&gt;2013&lt;/Year&gt;&lt;RecNum&gt;4&lt;/RecNum&gt;&lt;DisplayText&gt;[5]&lt;/DisplayText&gt;&lt;record&gt;&lt;rec-number&gt;4&lt;/rec-number&gt;&lt;foreign-keys&gt;&lt;key app="EN" db-id="rxxppfvvjfas5yeas2cx599btv52trewxvr5" timestamp="1473771021"&gt;4&lt;/key&gt;&lt;/foreign-keys&gt;&lt;ref-type name="Journal Article"&gt;17&lt;/ref-type&gt;&lt;contributors&gt;&lt;authors&gt;&lt;author&gt;Ladhani, Shamez N.&lt;/author&gt;&lt;author&gt;Slack, Mary P. E.&lt;/author&gt;&lt;author&gt;Andrews, Nick J.&lt;/author&gt;&lt;author&gt;Waight, Pauline A.&lt;/author&gt;&lt;author&gt;Borrow, Ray&lt;/author&gt;&lt;author&gt;Miller, Elizabeth&lt;/author&gt;&lt;/authors&gt;&lt;/contributors&gt;&lt;auth-address&gt;Immunisation Department, Health Protection Agency Colindale, London, UK. shamez.ladhani@hpa.org.uk&lt;/auth-address&gt;&lt;titles&gt;&lt;title&gt;Invasive pneumococcal disease after routine pneumococcal conjugate vaccination in children, England and Wales&lt;/title&gt;&lt;secondary-title&gt;Emerging infectious diseases&lt;/secondary-title&gt;&lt;alt-title&gt;Emerg Infect Dis&lt;/alt-title&gt;&lt;/titles&gt;&lt;periodical&gt;&lt;full-title&gt;Emerging infectious diseases&lt;/full-title&gt;&lt;abbr-1&gt;Emerg Infect Dis&lt;/abbr-1&gt;&lt;/periodical&gt;&lt;alt-periodical&gt;&lt;full-title&gt;Emerging infectious diseases&lt;/full-title&gt;&lt;abbr-1&gt;Emerg Infect Dis&lt;/abbr-1&gt;&lt;/alt-periodical&gt;&lt;pages&gt;61-68&lt;/pages&gt;&lt;volume&gt;19&lt;/volume&gt;&lt;number&gt;1&lt;/number&gt;&lt;dates&gt;&lt;year&gt;2013&lt;/year&gt;&lt;pub-dates&gt;&lt;date&gt;2013/01//&lt;/date&gt;&lt;/pub-dates&gt;&lt;/dates&gt;&lt;isbn&gt;1080-6040&lt;/isbn&gt;&lt;accession-num&gt;23259937&lt;/accession-num&gt;&lt;urls&gt;&lt;related-urls&gt;&lt;url&gt;http://europepmc.org/abstract/MED/23259937&lt;/url&gt;&lt;url&gt;http://europepmc.org/articles/PMC3557991?pdf=render&lt;/url&gt;&lt;url&gt;http://europepmc.org/articles/PMC3557991&lt;/url&gt;&lt;url&gt;http://www.pubmedcentral.nih.gov/picrender.fcgi?tool=EBI&amp;amp;pubmedid=23259937&amp;amp;action=stream&amp;amp;blobtype=pdf&lt;/url&gt;&lt;url&gt;http://www.pubmedcentral.nih.gov/articlerender.fcgi?tool=EBI&amp;amp;pubmedid=23259937&lt;/url&gt;&lt;url&gt;http://dx.doi.org/10.3201/eid1901.120741&lt;/url&gt;&lt;/related-urls&gt;&lt;/urls&gt;&lt;electronic-resource-num&gt;10.3201/eid1901.120741&lt;/electronic-resource-num&gt;&lt;remote-database-name&gt;PubMed&lt;/remote-database-name&gt;&lt;language&gt;eng&lt;/language&gt;&lt;/record&gt;&lt;/Cite&gt;&lt;/EndNote&gt;</w:instrText>
      </w:r>
      <w:r w:rsidR="00D03F6E">
        <w:rPr>
          <w:rFonts w:ascii="Arial" w:hAnsi="Arial" w:cs="Arial"/>
        </w:rPr>
        <w:fldChar w:fldCharType="separate"/>
      </w:r>
      <w:r w:rsidR="00082523">
        <w:rPr>
          <w:rFonts w:ascii="Arial" w:hAnsi="Arial" w:cs="Arial"/>
          <w:noProof/>
        </w:rPr>
        <w:t>[5]</w:t>
      </w:r>
      <w:r w:rsidR="00D03F6E">
        <w:rPr>
          <w:rFonts w:ascii="Arial" w:hAnsi="Arial" w:cs="Arial"/>
        </w:rPr>
        <w:fldChar w:fldCharType="end"/>
      </w:r>
      <w:r w:rsidR="001B3D52">
        <w:rPr>
          <w:rFonts w:ascii="Arial" w:hAnsi="Arial" w:cs="Arial"/>
        </w:rPr>
        <w:t>.</w:t>
      </w:r>
      <w:r w:rsidR="007F56CC" w:rsidRPr="00FB49B7">
        <w:rPr>
          <w:rFonts w:ascii="Arial" w:hAnsi="Arial" w:cs="Arial"/>
        </w:rPr>
        <w:t xml:space="preserve"> Although </w:t>
      </w:r>
      <w:r w:rsidR="00B863BD" w:rsidRPr="00FB49B7">
        <w:rPr>
          <w:rFonts w:ascii="Arial" w:hAnsi="Arial" w:cs="Arial"/>
        </w:rPr>
        <w:t xml:space="preserve">a number of studies have described children with PCV7 failure, little is known about PCV13 failure. </w:t>
      </w:r>
      <w:r w:rsidR="007F56CC" w:rsidRPr="00FB49B7">
        <w:rPr>
          <w:rFonts w:ascii="Arial" w:hAnsi="Arial" w:cs="Arial"/>
        </w:rPr>
        <w:t>Since individual pneumococcal serotypes have different propensities for invasiveness and disease</w:t>
      </w:r>
      <w:r w:rsidR="00DC515E">
        <w:rPr>
          <w:rFonts w:ascii="Arial" w:hAnsi="Arial" w:cs="Arial"/>
        </w:rPr>
        <w:t>,</w:t>
      </w:r>
      <w:r w:rsidR="00CD2634">
        <w:rPr>
          <w:rFonts w:ascii="Arial" w:hAnsi="Arial" w:cs="Arial"/>
        </w:rPr>
        <w:t xml:space="preserve"> and </w:t>
      </w:r>
      <w:r w:rsidR="00DC515E">
        <w:rPr>
          <w:rFonts w:ascii="Arial" w:hAnsi="Arial" w:cs="Arial"/>
        </w:rPr>
        <w:t xml:space="preserve">since </w:t>
      </w:r>
      <w:r w:rsidR="00CD2634">
        <w:rPr>
          <w:rFonts w:ascii="Arial" w:hAnsi="Arial" w:cs="Arial"/>
        </w:rPr>
        <w:t>vaccine immunogenicity varies for the different serotypes</w:t>
      </w:r>
      <w:r w:rsidR="007F56CC" w:rsidRPr="00FB49B7">
        <w:rPr>
          <w:rFonts w:ascii="Arial" w:hAnsi="Arial" w:cs="Arial"/>
        </w:rPr>
        <w:t xml:space="preserve">, it is </w:t>
      </w:r>
      <w:r w:rsidR="00E2721F" w:rsidRPr="00FB49B7">
        <w:rPr>
          <w:rFonts w:ascii="Arial" w:hAnsi="Arial" w:cs="Arial"/>
        </w:rPr>
        <w:t>likely</w:t>
      </w:r>
      <w:r w:rsidR="007F56CC" w:rsidRPr="00FB49B7">
        <w:rPr>
          <w:rFonts w:ascii="Arial" w:hAnsi="Arial" w:cs="Arial"/>
        </w:rPr>
        <w:t xml:space="preserve"> that the characteristics of children </w:t>
      </w:r>
      <w:r w:rsidR="000E0DF3">
        <w:rPr>
          <w:rFonts w:ascii="Arial" w:hAnsi="Arial" w:cs="Arial"/>
        </w:rPr>
        <w:t xml:space="preserve">with </w:t>
      </w:r>
      <w:r w:rsidR="007F56CC" w:rsidRPr="00FB49B7">
        <w:rPr>
          <w:rFonts w:ascii="Arial" w:hAnsi="Arial" w:cs="Arial"/>
        </w:rPr>
        <w:t xml:space="preserve">PCV13 </w:t>
      </w:r>
      <w:r w:rsidR="00CD2634">
        <w:rPr>
          <w:rFonts w:ascii="Arial" w:hAnsi="Arial" w:cs="Arial"/>
        </w:rPr>
        <w:t xml:space="preserve">failure </w:t>
      </w:r>
      <w:r w:rsidR="007F56CC" w:rsidRPr="00FB49B7">
        <w:rPr>
          <w:rFonts w:ascii="Arial" w:hAnsi="Arial" w:cs="Arial"/>
        </w:rPr>
        <w:t>are different to tho</w:t>
      </w:r>
      <w:r w:rsidR="00E2721F" w:rsidRPr="00FB49B7">
        <w:rPr>
          <w:rFonts w:ascii="Arial" w:hAnsi="Arial" w:cs="Arial"/>
        </w:rPr>
        <w:t xml:space="preserve">se with PCV7 </w:t>
      </w:r>
      <w:r w:rsidR="007F56CC" w:rsidRPr="00FB49B7">
        <w:rPr>
          <w:rFonts w:ascii="Arial" w:hAnsi="Arial" w:cs="Arial"/>
        </w:rPr>
        <w:t xml:space="preserve">failure. </w:t>
      </w:r>
      <w:r w:rsidR="00A8732E">
        <w:rPr>
          <w:rFonts w:ascii="Arial" w:hAnsi="Arial" w:cs="Arial"/>
        </w:rPr>
        <w:t xml:space="preserve">This study </w:t>
      </w:r>
      <w:r w:rsidR="000A589D">
        <w:rPr>
          <w:rFonts w:ascii="Arial" w:hAnsi="Arial" w:cs="Arial"/>
        </w:rPr>
        <w:t xml:space="preserve">aimed </w:t>
      </w:r>
      <w:r w:rsidR="00A8732E">
        <w:rPr>
          <w:rFonts w:ascii="Arial" w:hAnsi="Arial" w:cs="Arial"/>
        </w:rPr>
        <w:t>to</w:t>
      </w:r>
      <w:r w:rsidR="0085780B" w:rsidRPr="00FB49B7">
        <w:rPr>
          <w:rFonts w:ascii="Arial" w:hAnsi="Arial" w:cs="Arial"/>
        </w:rPr>
        <w:t xml:space="preserve"> describe</w:t>
      </w:r>
      <w:r w:rsidR="00B863BD" w:rsidRPr="00FB49B7">
        <w:rPr>
          <w:rFonts w:ascii="Arial" w:hAnsi="Arial" w:cs="Arial"/>
        </w:rPr>
        <w:t xml:space="preserve"> the </w:t>
      </w:r>
      <w:r w:rsidR="000A589D">
        <w:rPr>
          <w:rFonts w:ascii="Arial" w:hAnsi="Arial" w:cs="Arial"/>
        </w:rPr>
        <w:t xml:space="preserve">rate, </w:t>
      </w:r>
      <w:r w:rsidR="00B863BD" w:rsidRPr="00FB49B7">
        <w:rPr>
          <w:rFonts w:ascii="Arial" w:hAnsi="Arial" w:cs="Arial"/>
        </w:rPr>
        <w:t>vaccination status, serot</w:t>
      </w:r>
      <w:r w:rsidR="00814969">
        <w:rPr>
          <w:rFonts w:ascii="Arial" w:hAnsi="Arial" w:cs="Arial"/>
        </w:rPr>
        <w:t xml:space="preserve">ype distribution, </w:t>
      </w:r>
      <w:r w:rsidR="00B863BD" w:rsidRPr="00FB49B7">
        <w:rPr>
          <w:rFonts w:ascii="Arial" w:hAnsi="Arial" w:cs="Arial"/>
        </w:rPr>
        <w:t xml:space="preserve">clinical characteristics and outcomes of children </w:t>
      </w:r>
      <w:r w:rsidR="00CD2634">
        <w:rPr>
          <w:rFonts w:ascii="Arial" w:hAnsi="Arial" w:cs="Arial"/>
        </w:rPr>
        <w:t>aged &lt;</w:t>
      </w:r>
      <w:r w:rsidR="00B863BD" w:rsidRPr="00FB49B7">
        <w:rPr>
          <w:rFonts w:ascii="Arial" w:hAnsi="Arial" w:cs="Arial"/>
        </w:rPr>
        <w:t>5 years with PCV7 and PCV13 failure in England and Wales over</w:t>
      </w:r>
      <w:r w:rsidR="00C435F5" w:rsidRPr="00FB49B7">
        <w:rPr>
          <w:rFonts w:ascii="Arial" w:hAnsi="Arial" w:cs="Arial"/>
        </w:rPr>
        <w:t xml:space="preserve"> an eight-</w:t>
      </w:r>
      <w:r w:rsidR="00B863BD" w:rsidRPr="00FB49B7">
        <w:rPr>
          <w:rFonts w:ascii="Arial" w:hAnsi="Arial" w:cs="Arial"/>
        </w:rPr>
        <w:t>year</w:t>
      </w:r>
      <w:r w:rsidR="00C435F5" w:rsidRPr="00FB49B7">
        <w:rPr>
          <w:rFonts w:ascii="Arial" w:hAnsi="Arial" w:cs="Arial"/>
        </w:rPr>
        <w:t xml:space="preserve"> period</w:t>
      </w:r>
      <w:r w:rsidR="00B863BD" w:rsidRPr="00FB49B7">
        <w:rPr>
          <w:rFonts w:ascii="Arial" w:hAnsi="Arial" w:cs="Arial"/>
        </w:rPr>
        <w:t>.</w:t>
      </w:r>
    </w:p>
    <w:p w14:paraId="462471A5" w14:textId="77777777" w:rsidR="00355A60" w:rsidRPr="00FB49B7" w:rsidRDefault="00355A60" w:rsidP="00D474C8">
      <w:pPr>
        <w:spacing w:line="480" w:lineRule="auto"/>
        <w:rPr>
          <w:rFonts w:ascii="Arial" w:hAnsi="Arial" w:cs="Arial"/>
        </w:rPr>
      </w:pPr>
    </w:p>
    <w:p w14:paraId="7F28AFFD" w14:textId="77777777" w:rsidR="004A7838" w:rsidRDefault="004A7838" w:rsidP="009841E5">
      <w:pPr>
        <w:rPr>
          <w:rFonts w:ascii="Arial" w:hAnsi="Arial" w:cs="Arial"/>
          <w:b/>
          <w:sz w:val="24"/>
        </w:rPr>
      </w:pPr>
      <w:r>
        <w:rPr>
          <w:rFonts w:ascii="Arial" w:hAnsi="Arial" w:cs="Arial"/>
          <w:b/>
          <w:sz w:val="24"/>
        </w:rPr>
        <w:br w:type="page"/>
      </w:r>
    </w:p>
    <w:p w14:paraId="56F47013" w14:textId="77777777" w:rsidR="00355A60" w:rsidRPr="00FB49B7" w:rsidRDefault="00FB49B7" w:rsidP="00D474C8">
      <w:pPr>
        <w:spacing w:line="480" w:lineRule="auto"/>
        <w:rPr>
          <w:rFonts w:ascii="Arial" w:hAnsi="Arial" w:cs="Arial"/>
          <w:b/>
          <w:sz w:val="24"/>
        </w:rPr>
      </w:pPr>
      <w:r w:rsidRPr="00FB49B7">
        <w:rPr>
          <w:rFonts w:ascii="Arial" w:hAnsi="Arial" w:cs="Arial"/>
          <w:b/>
          <w:sz w:val="24"/>
        </w:rPr>
        <w:lastRenderedPageBreak/>
        <w:t>METHODS</w:t>
      </w:r>
    </w:p>
    <w:p w14:paraId="7A7C69C8" w14:textId="77777777" w:rsidR="00B863BD" w:rsidRPr="00FB49B7" w:rsidRDefault="007D4360" w:rsidP="00D474C8">
      <w:pPr>
        <w:spacing w:line="480" w:lineRule="auto"/>
        <w:rPr>
          <w:rFonts w:ascii="Arial" w:hAnsi="Arial" w:cs="Arial"/>
        </w:rPr>
      </w:pPr>
      <w:r w:rsidRPr="00FB49B7">
        <w:rPr>
          <w:rFonts w:ascii="Arial" w:hAnsi="Arial" w:cs="Arial"/>
        </w:rPr>
        <w:t>Public Health England (PHE) conducts enhanced national surveillance of IPD in England and Wales and, since PCV7 introduction, collected clinical and epidemiological information for all laboratory-confirmed IPD cases in &lt;5 year-olds</w:t>
      </w:r>
      <w:r w:rsidR="0020476B">
        <w:rPr>
          <w:rFonts w:ascii="Arial" w:hAnsi="Arial" w:cs="Arial"/>
        </w:rPr>
        <w:t xml:space="preserve"> </w:t>
      </w:r>
      <w:r w:rsidR="00D03F6E">
        <w:rPr>
          <w:rFonts w:ascii="Arial" w:hAnsi="Arial" w:cs="Arial"/>
        </w:rPr>
        <w:fldChar w:fldCharType="begin"/>
      </w:r>
      <w:r w:rsidR="00082523">
        <w:rPr>
          <w:rFonts w:ascii="Arial" w:hAnsi="Arial" w:cs="Arial"/>
        </w:rPr>
        <w:instrText xml:space="preserve"> ADDIN EN.CITE &lt;EndNote&gt;&lt;Cite&gt;&lt;Author&gt;Miller&lt;/Author&gt;&lt;Year&gt;2011&lt;/Year&gt;&lt;RecNum&gt;2&lt;/RecNum&gt;&lt;DisplayText&gt;[3]&lt;/DisplayText&gt;&lt;record&gt;&lt;rec-number&gt;2&lt;/rec-number&gt;&lt;foreign-keys&gt;&lt;key app="EN" db-id="rxxppfvvjfas5yeas2cx599btv52trewxvr5" timestamp="1473770934"&gt;2&lt;/key&gt;&lt;/foreign-keys&gt;&lt;ref-type name="Journal Article"&gt;17&lt;/ref-type&gt;&lt;contributors&gt;&lt;authors&gt;&lt;author&gt;Miller, Elizabeth&lt;/author&gt;&lt;author&gt;Andrews, Nicholas J.&lt;/author&gt;&lt;author&gt;Waight, Pauline A.&lt;/author&gt;&lt;author&gt;Slack, Mary Pe&lt;/author&gt;&lt;author&gt;George, Robert C.&lt;/author&gt;&lt;/authors&gt;&lt;/contributors&gt;&lt;auth-address&gt;Immunisation, Hepatitis and Blood Safety Department, Health Protection Agency, Colindale, London, UK. liz.miller@hpa.org.uk&lt;/auth-address&gt;&lt;titles&gt;&lt;title&gt;Herd immunity and serotype replacement 4 years after seven-valent pneumococcal conjugate vaccination in England and Wales: an observational cohort study&lt;/title&gt;&lt;secondary-title&gt;The Lancet. Infectious diseases&lt;/secondary-title&gt;&lt;alt-title&gt;Lancet Infect Dis&lt;/alt-title&gt;&lt;/titles&gt;&lt;periodical&gt;&lt;full-title&gt;The Lancet. Infectious diseases&lt;/full-title&gt;&lt;abbr-1&gt;Lancet Infect Dis&lt;/abbr-1&gt;&lt;/periodical&gt;&lt;alt-periodical&gt;&lt;full-title&gt;The Lancet. Infectious diseases&lt;/full-title&gt;&lt;abbr-1&gt;Lancet Infect Dis&lt;/abbr-1&gt;&lt;/alt-periodical&gt;&lt;pages&gt;760-768&lt;/pages&gt;&lt;volume&gt;11&lt;/volume&gt;&lt;number&gt;10&lt;/number&gt;&lt;keywords&gt;&lt;keyword&gt;Immunity, Herd&lt;/keyword&gt;&lt;/keywords&gt;&lt;dates&gt;&lt;year&gt;2011&lt;/year&gt;&lt;pub-dates&gt;&lt;date&gt;2011/10//&lt;/date&gt;&lt;/pub-dates&gt;&lt;/dates&gt;&lt;isbn&gt;1473-3099&lt;/isbn&gt;&lt;accession-num&gt;21621466&lt;/accession-num&gt;&lt;urls&gt;&lt;related-urls&gt;&lt;url&gt;http://europepmc.org/abstract/MED/21621466&lt;/url&gt;&lt;url&gt;http://dx.doi.org/10.1016/S1473-3099(11)70090-1&lt;/url&gt;&lt;/related-urls&gt;&lt;/urls&gt;&lt;electronic-resource-num&gt;10.1016/s1473-3099(11)70090-1&lt;/electronic-resource-num&gt;&lt;remote-database-name&gt;PubMed&lt;/remote-database-name&gt;&lt;language&gt;eng&lt;/language&gt;&lt;/record&gt;&lt;/Cite&gt;&lt;/EndNote&gt;</w:instrText>
      </w:r>
      <w:r w:rsidR="00D03F6E">
        <w:rPr>
          <w:rFonts w:ascii="Arial" w:hAnsi="Arial" w:cs="Arial"/>
        </w:rPr>
        <w:fldChar w:fldCharType="separate"/>
      </w:r>
      <w:r w:rsidR="00082523">
        <w:rPr>
          <w:rFonts w:ascii="Arial" w:hAnsi="Arial" w:cs="Arial"/>
          <w:noProof/>
        </w:rPr>
        <w:t>[3]</w:t>
      </w:r>
      <w:r w:rsidR="00D03F6E">
        <w:rPr>
          <w:rFonts w:ascii="Arial" w:hAnsi="Arial" w:cs="Arial"/>
        </w:rPr>
        <w:fldChar w:fldCharType="end"/>
      </w:r>
      <w:r w:rsidR="0020476B">
        <w:rPr>
          <w:rFonts w:ascii="Arial" w:hAnsi="Arial" w:cs="Arial"/>
        </w:rPr>
        <w:t>.</w:t>
      </w:r>
      <w:r w:rsidRPr="00FB49B7">
        <w:rPr>
          <w:rFonts w:ascii="Arial" w:hAnsi="Arial" w:cs="Arial"/>
        </w:rPr>
        <w:t xml:space="preserve"> </w:t>
      </w:r>
      <w:r w:rsidR="00C435F5" w:rsidRPr="00FB49B7">
        <w:rPr>
          <w:rFonts w:ascii="Arial" w:hAnsi="Arial" w:cs="Arial"/>
        </w:rPr>
        <w:t>Briefly, h</w:t>
      </w:r>
      <w:r w:rsidR="00B863BD" w:rsidRPr="00FB49B7">
        <w:rPr>
          <w:rFonts w:ascii="Arial" w:hAnsi="Arial" w:cs="Arial"/>
        </w:rPr>
        <w:t>ospital laboratories routinely report clinically significant infection</w:t>
      </w:r>
      <w:r w:rsidR="00C435F5" w:rsidRPr="00FB49B7">
        <w:rPr>
          <w:rFonts w:ascii="Arial" w:hAnsi="Arial" w:cs="Arial"/>
        </w:rPr>
        <w:t>s</w:t>
      </w:r>
      <w:r w:rsidR="00B863BD" w:rsidRPr="00FB49B7">
        <w:rPr>
          <w:rFonts w:ascii="Arial" w:hAnsi="Arial" w:cs="Arial"/>
        </w:rPr>
        <w:t xml:space="preserve"> to PHE electronically </w:t>
      </w:r>
      <w:r w:rsidR="004F12DF" w:rsidRPr="00FB49B7">
        <w:rPr>
          <w:rFonts w:ascii="Arial" w:hAnsi="Arial" w:cs="Arial"/>
        </w:rPr>
        <w:t xml:space="preserve">and </w:t>
      </w:r>
      <w:r w:rsidR="00B863BD" w:rsidRPr="00FB49B7">
        <w:rPr>
          <w:rFonts w:ascii="Arial" w:hAnsi="Arial" w:cs="Arial"/>
        </w:rPr>
        <w:t xml:space="preserve">submit </w:t>
      </w:r>
      <w:r w:rsidR="009A6C4C" w:rsidRPr="00FB49B7">
        <w:rPr>
          <w:rFonts w:ascii="Arial" w:hAnsi="Arial" w:cs="Arial"/>
        </w:rPr>
        <w:t xml:space="preserve">invasive pneumococcal isolates </w:t>
      </w:r>
      <w:r w:rsidR="00BC123E" w:rsidRPr="00FB49B7">
        <w:rPr>
          <w:rFonts w:ascii="Arial" w:hAnsi="Arial" w:cs="Arial"/>
        </w:rPr>
        <w:t>to</w:t>
      </w:r>
      <w:r w:rsidR="004C69E3" w:rsidRPr="00FB49B7">
        <w:rPr>
          <w:rFonts w:ascii="Arial" w:hAnsi="Arial" w:cs="Arial"/>
        </w:rPr>
        <w:t xml:space="preserve"> </w:t>
      </w:r>
      <w:r w:rsidR="00B863BD" w:rsidRPr="00FB49B7">
        <w:rPr>
          <w:rFonts w:ascii="Arial" w:hAnsi="Arial" w:cs="Arial"/>
        </w:rPr>
        <w:t xml:space="preserve">the </w:t>
      </w:r>
      <w:r w:rsidR="004F12DF" w:rsidRPr="00FB49B7">
        <w:rPr>
          <w:rFonts w:ascii="Arial" w:hAnsi="Arial" w:cs="Arial"/>
        </w:rPr>
        <w:t xml:space="preserve">national </w:t>
      </w:r>
      <w:r w:rsidR="00B863BD" w:rsidRPr="00FB49B7">
        <w:rPr>
          <w:rFonts w:ascii="Arial" w:hAnsi="Arial" w:cs="Arial"/>
        </w:rPr>
        <w:t xml:space="preserve">PHE </w:t>
      </w:r>
      <w:r w:rsidR="004C69E3" w:rsidRPr="00FB49B7">
        <w:rPr>
          <w:rFonts w:ascii="Arial" w:hAnsi="Arial" w:cs="Arial"/>
        </w:rPr>
        <w:t>Referenc</w:t>
      </w:r>
      <w:r w:rsidR="00A27BE7" w:rsidRPr="00FB49B7">
        <w:rPr>
          <w:rFonts w:ascii="Arial" w:hAnsi="Arial" w:cs="Arial"/>
        </w:rPr>
        <w:t xml:space="preserve">e Laboratory for </w:t>
      </w:r>
      <w:r w:rsidR="00B863BD" w:rsidRPr="00FB49B7">
        <w:rPr>
          <w:rFonts w:ascii="Arial" w:hAnsi="Arial" w:cs="Arial"/>
        </w:rPr>
        <w:t xml:space="preserve">confirmation and </w:t>
      </w:r>
      <w:r w:rsidR="00A27BE7" w:rsidRPr="00FB49B7">
        <w:rPr>
          <w:rFonts w:ascii="Arial" w:hAnsi="Arial" w:cs="Arial"/>
        </w:rPr>
        <w:t xml:space="preserve">serotyping. </w:t>
      </w:r>
      <w:r w:rsidR="00B863BD" w:rsidRPr="00FB49B7">
        <w:rPr>
          <w:rFonts w:ascii="Arial" w:hAnsi="Arial" w:cs="Arial"/>
        </w:rPr>
        <w:t>As part of enhanc</w:t>
      </w:r>
      <w:r w:rsidR="004F12DF" w:rsidRPr="00FB49B7">
        <w:rPr>
          <w:rFonts w:ascii="Arial" w:hAnsi="Arial" w:cs="Arial"/>
        </w:rPr>
        <w:t xml:space="preserve">ed national surveillance, </w:t>
      </w:r>
      <w:r w:rsidR="00C435F5" w:rsidRPr="00FB49B7">
        <w:rPr>
          <w:rFonts w:ascii="Arial" w:hAnsi="Arial" w:cs="Arial"/>
        </w:rPr>
        <w:t>general practitioners (GPs)</w:t>
      </w:r>
      <w:r w:rsidR="00B863BD" w:rsidRPr="00FB49B7">
        <w:rPr>
          <w:rFonts w:ascii="Arial" w:hAnsi="Arial" w:cs="Arial"/>
        </w:rPr>
        <w:t xml:space="preserve"> and hospital paediatricians for </w:t>
      </w:r>
      <w:r w:rsidR="004F12DF" w:rsidRPr="00FB49B7">
        <w:rPr>
          <w:rFonts w:ascii="Arial" w:hAnsi="Arial" w:cs="Arial"/>
        </w:rPr>
        <w:t>&lt;</w:t>
      </w:r>
      <w:r w:rsidR="00B863BD" w:rsidRPr="00FB49B7">
        <w:rPr>
          <w:rFonts w:ascii="Arial" w:hAnsi="Arial" w:cs="Arial"/>
        </w:rPr>
        <w:t>5 year</w:t>
      </w:r>
      <w:r w:rsidR="000A589D">
        <w:rPr>
          <w:rFonts w:ascii="Arial" w:hAnsi="Arial" w:cs="Arial"/>
        </w:rPr>
        <w:t>-old</w:t>
      </w:r>
      <w:r w:rsidR="00B863BD" w:rsidRPr="00FB49B7">
        <w:rPr>
          <w:rFonts w:ascii="Arial" w:hAnsi="Arial" w:cs="Arial"/>
        </w:rPr>
        <w:t xml:space="preserve">s </w:t>
      </w:r>
      <w:r w:rsidR="004F12DF" w:rsidRPr="00FB49B7">
        <w:rPr>
          <w:rFonts w:ascii="Arial" w:hAnsi="Arial" w:cs="Arial"/>
        </w:rPr>
        <w:t>with laboratory-</w:t>
      </w:r>
      <w:r w:rsidR="00A27BE7" w:rsidRPr="00FB49B7">
        <w:rPr>
          <w:rFonts w:ascii="Arial" w:hAnsi="Arial" w:cs="Arial"/>
        </w:rPr>
        <w:t xml:space="preserve">confirmed IPD </w:t>
      </w:r>
      <w:r w:rsidR="00C56416" w:rsidRPr="00FB49B7">
        <w:rPr>
          <w:rFonts w:ascii="Arial" w:hAnsi="Arial" w:cs="Arial"/>
        </w:rPr>
        <w:t>complete</w:t>
      </w:r>
      <w:r w:rsidR="00CD2634">
        <w:rPr>
          <w:rFonts w:ascii="Arial" w:hAnsi="Arial" w:cs="Arial"/>
        </w:rPr>
        <w:t>d</w:t>
      </w:r>
      <w:r w:rsidR="00C56416" w:rsidRPr="00FB49B7">
        <w:rPr>
          <w:rFonts w:ascii="Arial" w:hAnsi="Arial" w:cs="Arial"/>
        </w:rPr>
        <w:t xml:space="preserve"> a short questionnaire </w:t>
      </w:r>
      <w:r w:rsidR="00CD2634">
        <w:rPr>
          <w:rFonts w:ascii="Arial" w:hAnsi="Arial" w:cs="Arial"/>
        </w:rPr>
        <w:t>on</w:t>
      </w:r>
      <w:r w:rsidR="00CD2634" w:rsidRPr="00FB49B7">
        <w:rPr>
          <w:rFonts w:ascii="Arial" w:hAnsi="Arial" w:cs="Arial"/>
        </w:rPr>
        <w:t xml:space="preserve"> </w:t>
      </w:r>
      <w:r w:rsidR="00C56416" w:rsidRPr="00FB49B7">
        <w:rPr>
          <w:rFonts w:ascii="Arial" w:hAnsi="Arial" w:cs="Arial"/>
        </w:rPr>
        <w:t xml:space="preserve">vaccination history, </w:t>
      </w:r>
      <w:r w:rsidR="00663545">
        <w:rPr>
          <w:rFonts w:ascii="Arial" w:hAnsi="Arial" w:cs="Arial"/>
        </w:rPr>
        <w:t xml:space="preserve">known </w:t>
      </w:r>
      <w:r w:rsidR="00C56416" w:rsidRPr="00FB49B7">
        <w:rPr>
          <w:rFonts w:ascii="Arial" w:hAnsi="Arial" w:cs="Arial"/>
        </w:rPr>
        <w:t>co-morbidities</w:t>
      </w:r>
      <w:r w:rsidR="00663545">
        <w:rPr>
          <w:rFonts w:ascii="Arial" w:hAnsi="Arial" w:cs="Arial"/>
        </w:rPr>
        <w:t xml:space="preserve"> at the time of IPD</w:t>
      </w:r>
      <w:r w:rsidR="00C56416" w:rsidRPr="00FB49B7">
        <w:rPr>
          <w:rFonts w:ascii="Arial" w:hAnsi="Arial" w:cs="Arial"/>
        </w:rPr>
        <w:t xml:space="preserve">, complications and outcomes. </w:t>
      </w:r>
      <w:r w:rsidR="00027CD3">
        <w:rPr>
          <w:rFonts w:ascii="Arial" w:hAnsi="Arial" w:cs="Arial"/>
        </w:rPr>
        <w:t xml:space="preserve">In the UK, </w:t>
      </w:r>
      <w:r w:rsidR="00663545">
        <w:rPr>
          <w:rFonts w:ascii="Arial" w:hAnsi="Arial" w:cs="Arial"/>
        </w:rPr>
        <w:t xml:space="preserve">children </w:t>
      </w:r>
      <w:r w:rsidR="00027CD3">
        <w:rPr>
          <w:rFonts w:ascii="Arial" w:hAnsi="Arial" w:cs="Arial"/>
        </w:rPr>
        <w:t xml:space="preserve">are </w:t>
      </w:r>
      <w:r w:rsidR="00663545">
        <w:rPr>
          <w:rFonts w:ascii="Arial" w:hAnsi="Arial" w:cs="Arial"/>
        </w:rPr>
        <w:t xml:space="preserve">actively called and </w:t>
      </w:r>
      <w:r w:rsidR="00027CD3">
        <w:rPr>
          <w:rFonts w:ascii="Arial" w:hAnsi="Arial" w:cs="Arial"/>
        </w:rPr>
        <w:t xml:space="preserve">immunised </w:t>
      </w:r>
      <w:r w:rsidR="00663545">
        <w:rPr>
          <w:rFonts w:ascii="Arial" w:hAnsi="Arial" w:cs="Arial"/>
        </w:rPr>
        <w:t xml:space="preserve">by their GPs, and their vaccinations documented in their individual electronic records. </w:t>
      </w:r>
      <w:r w:rsidR="00C56416" w:rsidRPr="00FB49B7">
        <w:rPr>
          <w:rFonts w:ascii="Arial" w:hAnsi="Arial" w:cs="Arial"/>
        </w:rPr>
        <w:t>For this study, all children born since 04 September 2004 (i.e</w:t>
      </w:r>
      <w:r w:rsidR="00C435F5" w:rsidRPr="00FB49B7">
        <w:rPr>
          <w:rFonts w:ascii="Arial" w:hAnsi="Arial" w:cs="Arial"/>
        </w:rPr>
        <w:t>.</w:t>
      </w:r>
      <w:r w:rsidR="00C56416" w:rsidRPr="00FB49B7">
        <w:rPr>
          <w:rFonts w:ascii="Arial" w:hAnsi="Arial" w:cs="Arial"/>
        </w:rPr>
        <w:t xml:space="preserve"> </w:t>
      </w:r>
      <w:r w:rsidR="004F12DF" w:rsidRPr="00FB49B7">
        <w:rPr>
          <w:rFonts w:ascii="Arial" w:hAnsi="Arial" w:cs="Arial"/>
        </w:rPr>
        <w:t xml:space="preserve">including </w:t>
      </w:r>
      <w:r w:rsidR="000A589D">
        <w:rPr>
          <w:rFonts w:ascii="Arial" w:hAnsi="Arial" w:cs="Arial"/>
        </w:rPr>
        <w:t>&lt;</w:t>
      </w:r>
      <w:r w:rsidR="00C56416" w:rsidRPr="00FB49B7">
        <w:rPr>
          <w:rFonts w:ascii="Arial" w:hAnsi="Arial" w:cs="Arial"/>
        </w:rPr>
        <w:t>2 year-old</w:t>
      </w:r>
      <w:r w:rsidR="00CD2634">
        <w:rPr>
          <w:rFonts w:ascii="Arial" w:hAnsi="Arial" w:cs="Arial"/>
        </w:rPr>
        <w:t>s</w:t>
      </w:r>
      <w:r w:rsidR="004F12DF" w:rsidRPr="00FB49B7">
        <w:rPr>
          <w:rFonts w:ascii="Arial" w:hAnsi="Arial" w:cs="Arial"/>
        </w:rPr>
        <w:t xml:space="preserve"> eligible for the initial catch-up</w:t>
      </w:r>
      <w:r w:rsidR="00C56416" w:rsidRPr="00FB49B7">
        <w:rPr>
          <w:rFonts w:ascii="Arial" w:hAnsi="Arial" w:cs="Arial"/>
        </w:rPr>
        <w:t xml:space="preserve">) </w:t>
      </w:r>
      <w:r w:rsidR="00C435F5" w:rsidRPr="00FB49B7">
        <w:rPr>
          <w:rFonts w:ascii="Arial" w:hAnsi="Arial" w:cs="Arial"/>
        </w:rPr>
        <w:t xml:space="preserve">with </w:t>
      </w:r>
      <w:r w:rsidR="001917A7" w:rsidRPr="00FB49B7">
        <w:rPr>
          <w:rFonts w:ascii="Arial" w:hAnsi="Arial" w:cs="Arial"/>
        </w:rPr>
        <w:t>PCV</w:t>
      </w:r>
      <w:r w:rsidR="00C435F5" w:rsidRPr="00FB49B7">
        <w:rPr>
          <w:rFonts w:ascii="Arial" w:hAnsi="Arial" w:cs="Arial"/>
        </w:rPr>
        <w:t xml:space="preserve"> failure diagnosed during 04 September 2006 to 03 September 2014</w:t>
      </w:r>
      <w:r w:rsidR="00C56416" w:rsidRPr="00FB49B7">
        <w:rPr>
          <w:rFonts w:ascii="Arial" w:hAnsi="Arial" w:cs="Arial"/>
        </w:rPr>
        <w:t xml:space="preserve"> </w:t>
      </w:r>
      <w:r w:rsidR="00C435F5" w:rsidRPr="00FB49B7">
        <w:rPr>
          <w:rFonts w:ascii="Arial" w:hAnsi="Arial" w:cs="Arial"/>
        </w:rPr>
        <w:t xml:space="preserve">(i.e. 8-year period) </w:t>
      </w:r>
      <w:r w:rsidR="00C56416" w:rsidRPr="00FB49B7">
        <w:rPr>
          <w:rFonts w:ascii="Arial" w:hAnsi="Arial" w:cs="Arial"/>
        </w:rPr>
        <w:t>were included.</w:t>
      </w:r>
    </w:p>
    <w:p w14:paraId="11F3188B" w14:textId="77777777" w:rsidR="00F92EC6" w:rsidRPr="00BE2C5E" w:rsidRDefault="00F92EC6" w:rsidP="00D474C8">
      <w:pPr>
        <w:spacing w:before="120" w:line="480" w:lineRule="auto"/>
        <w:rPr>
          <w:rFonts w:ascii="Arial" w:hAnsi="Arial" w:cs="Arial"/>
          <w:b/>
          <w:sz w:val="24"/>
        </w:rPr>
      </w:pPr>
      <w:r w:rsidRPr="00BE2C5E">
        <w:rPr>
          <w:rFonts w:ascii="Arial" w:hAnsi="Arial" w:cs="Arial"/>
          <w:b/>
          <w:sz w:val="24"/>
        </w:rPr>
        <w:t>Definitions</w:t>
      </w:r>
    </w:p>
    <w:p w14:paraId="36013BC7" w14:textId="2B3DBA7E" w:rsidR="005D6EA6" w:rsidRPr="00FB49B7" w:rsidRDefault="00A27BE7" w:rsidP="00D474C8">
      <w:pPr>
        <w:spacing w:line="480" w:lineRule="auto"/>
        <w:rPr>
          <w:rFonts w:ascii="Arial" w:hAnsi="Arial" w:cs="Arial"/>
        </w:rPr>
      </w:pPr>
      <w:r w:rsidRPr="00FB49B7">
        <w:rPr>
          <w:rFonts w:ascii="Arial" w:hAnsi="Arial" w:cs="Arial"/>
        </w:rPr>
        <w:t xml:space="preserve"> </w:t>
      </w:r>
      <w:r w:rsidR="00C435F5" w:rsidRPr="00FB49B7">
        <w:rPr>
          <w:rFonts w:ascii="Arial" w:hAnsi="Arial" w:cs="Arial"/>
        </w:rPr>
        <w:t xml:space="preserve">IPD </w:t>
      </w:r>
      <w:r w:rsidR="00857392" w:rsidRPr="00FB49B7">
        <w:rPr>
          <w:rFonts w:ascii="Arial" w:hAnsi="Arial" w:cs="Arial"/>
        </w:rPr>
        <w:t xml:space="preserve">was defined </w:t>
      </w:r>
      <w:r w:rsidR="00C435F5" w:rsidRPr="00FB49B7">
        <w:rPr>
          <w:rFonts w:ascii="Arial" w:hAnsi="Arial" w:cs="Arial"/>
        </w:rPr>
        <w:t xml:space="preserve">as </w:t>
      </w:r>
      <w:r w:rsidR="001917A7" w:rsidRPr="00FB49B7">
        <w:rPr>
          <w:rFonts w:ascii="Arial" w:hAnsi="Arial" w:cs="Arial"/>
          <w:i/>
        </w:rPr>
        <w:t>S.</w:t>
      </w:r>
      <w:r w:rsidR="00A8732E">
        <w:rPr>
          <w:rFonts w:ascii="Arial" w:hAnsi="Arial" w:cs="Arial"/>
          <w:i/>
        </w:rPr>
        <w:t xml:space="preserve"> </w:t>
      </w:r>
      <w:r w:rsidR="00C435F5" w:rsidRPr="00FB49B7">
        <w:rPr>
          <w:rFonts w:ascii="Arial" w:hAnsi="Arial" w:cs="Arial"/>
          <w:i/>
        </w:rPr>
        <w:t>pneumoniae</w:t>
      </w:r>
      <w:r w:rsidR="00C435F5" w:rsidRPr="00FB49B7">
        <w:rPr>
          <w:rFonts w:ascii="Arial" w:hAnsi="Arial" w:cs="Arial"/>
        </w:rPr>
        <w:t xml:space="preserve"> cultured </w:t>
      </w:r>
      <w:r w:rsidR="00C56416" w:rsidRPr="00FB49B7">
        <w:rPr>
          <w:rFonts w:ascii="Arial" w:hAnsi="Arial" w:cs="Arial"/>
        </w:rPr>
        <w:t xml:space="preserve">from a normally sterile site or pneumococcal </w:t>
      </w:r>
      <w:r w:rsidR="00686517" w:rsidRPr="00FB49B7">
        <w:rPr>
          <w:rFonts w:ascii="Arial" w:hAnsi="Arial" w:cs="Arial"/>
        </w:rPr>
        <w:t xml:space="preserve">DNA </w:t>
      </w:r>
      <w:r w:rsidR="000A589D">
        <w:rPr>
          <w:rFonts w:ascii="Arial" w:hAnsi="Arial" w:cs="Arial"/>
        </w:rPr>
        <w:t xml:space="preserve">detected </w:t>
      </w:r>
      <w:r w:rsidR="00686517" w:rsidRPr="00FB49B7">
        <w:rPr>
          <w:rFonts w:ascii="Arial" w:hAnsi="Arial" w:cs="Arial"/>
        </w:rPr>
        <w:t>in cerebrospinal fluid</w:t>
      </w:r>
      <w:r w:rsidR="00C56416" w:rsidRPr="00FB49B7">
        <w:rPr>
          <w:rFonts w:ascii="Arial" w:hAnsi="Arial" w:cs="Arial"/>
        </w:rPr>
        <w:t xml:space="preserve"> (CSF) or </w:t>
      </w:r>
      <w:r w:rsidR="00734F8F" w:rsidRPr="00FB49B7">
        <w:rPr>
          <w:rFonts w:ascii="Arial" w:hAnsi="Arial" w:cs="Arial"/>
        </w:rPr>
        <w:t>pleural fluid</w:t>
      </w:r>
      <w:r w:rsidR="00427A55" w:rsidRPr="00FB49B7">
        <w:rPr>
          <w:rFonts w:ascii="Arial" w:hAnsi="Arial" w:cs="Arial"/>
        </w:rPr>
        <w:t xml:space="preserve">. </w:t>
      </w:r>
      <w:r w:rsidR="00734F8F" w:rsidRPr="00FB49B7">
        <w:rPr>
          <w:rFonts w:ascii="Arial" w:hAnsi="Arial" w:cs="Arial"/>
        </w:rPr>
        <w:t xml:space="preserve">Meningitis was defined as </w:t>
      </w:r>
      <w:r w:rsidR="00632BFB" w:rsidRPr="00FB49B7">
        <w:rPr>
          <w:rFonts w:ascii="Arial" w:hAnsi="Arial" w:cs="Arial"/>
          <w:i/>
        </w:rPr>
        <w:t>S. pneumoniae</w:t>
      </w:r>
      <w:r w:rsidR="00632BFB" w:rsidRPr="00FB49B7">
        <w:rPr>
          <w:rFonts w:ascii="Arial" w:hAnsi="Arial" w:cs="Arial"/>
        </w:rPr>
        <w:t xml:space="preserve"> </w:t>
      </w:r>
      <w:r w:rsidR="00C435F5" w:rsidRPr="00FB49B7">
        <w:rPr>
          <w:rFonts w:ascii="Arial" w:hAnsi="Arial" w:cs="Arial"/>
        </w:rPr>
        <w:t xml:space="preserve">identified </w:t>
      </w:r>
      <w:r w:rsidR="001917A7" w:rsidRPr="00FB49B7">
        <w:rPr>
          <w:rFonts w:ascii="Arial" w:hAnsi="Arial" w:cs="Arial"/>
        </w:rPr>
        <w:t>(culture/</w:t>
      </w:r>
      <w:r w:rsidR="00C435F5" w:rsidRPr="00FB49B7">
        <w:rPr>
          <w:rFonts w:ascii="Arial" w:hAnsi="Arial" w:cs="Arial"/>
        </w:rPr>
        <w:t>PCR</w:t>
      </w:r>
      <w:r w:rsidR="001917A7" w:rsidRPr="00FB49B7">
        <w:rPr>
          <w:rFonts w:ascii="Arial" w:hAnsi="Arial" w:cs="Arial"/>
        </w:rPr>
        <w:t>)</w:t>
      </w:r>
      <w:r w:rsidR="00C435F5" w:rsidRPr="00FB49B7">
        <w:rPr>
          <w:rFonts w:ascii="Arial" w:hAnsi="Arial" w:cs="Arial"/>
        </w:rPr>
        <w:t xml:space="preserve"> in </w:t>
      </w:r>
      <w:r w:rsidR="00632BFB" w:rsidRPr="00FB49B7">
        <w:rPr>
          <w:rFonts w:ascii="Arial" w:hAnsi="Arial" w:cs="Arial"/>
        </w:rPr>
        <w:t xml:space="preserve">the CSF or </w:t>
      </w:r>
      <w:r w:rsidR="001917A7" w:rsidRPr="00FB49B7">
        <w:rPr>
          <w:rFonts w:ascii="Arial" w:hAnsi="Arial" w:cs="Arial"/>
          <w:i/>
        </w:rPr>
        <w:t>S.</w:t>
      </w:r>
      <w:r w:rsidR="00A8732E">
        <w:rPr>
          <w:rFonts w:ascii="Arial" w:hAnsi="Arial" w:cs="Arial"/>
          <w:i/>
        </w:rPr>
        <w:t xml:space="preserve"> </w:t>
      </w:r>
      <w:r w:rsidR="00C435F5" w:rsidRPr="00FB49B7">
        <w:rPr>
          <w:rFonts w:ascii="Arial" w:hAnsi="Arial" w:cs="Arial"/>
          <w:i/>
        </w:rPr>
        <w:t>pneumoniae</w:t>
      </w:r>
      <w:r w:rsidR="00632BFB" w:rsidRPr="00FB49B7">
        <w:rPr>
          <w:rFonts w:ascii="Arial" w:hAnsi="Arial" w:cs="Arial"/>
        </w:rPr>
        <w:t xml:space="preserve"> cultured from blood with radiological </w:t>
      </w:r>
      <w:r w:rsidR="00D52554" w:rsidRPr="00FB49B7">
        <w:rPr>
          <w:rFonts w:ascii="Arial" w:hAnsi="Arial" w:cs="Arial"/>
        </w:rPr>
        <w:t xml:space="preserve">and/or clinical </w:t>
      </w:r>
      <w:r w:rsidR="00632BFB" w:rsidRPr="00FB49B7">
        <w:rPr>
          <w:rFonts w:ascii="Arial" w:hAnsi="Arial" w:cs="Arial"/>
        </w:rPr>
        <w:t xml:space="preserve">features of meningitis.  </w:t>
      </w:r>
      <w:r w:rsidR="001303F3" w:rsidRPr="00FB49B7">
        <w:rPr>
          <w:rFonts w:ascii="Arial" w:hAnsi="Arial" w:cs="Arial"/>
        </w:rPr>
        <w:t>Lower respiratory tract (LRTI)</w:t>
      </w:r>
      <w:r w:rsidR="00632BFB" w:rsidRPr="00FB49B7">
        <w:rPr>
          <w:rFonts w:ascii="Arial" w:hAnsi="Arial" w:cs="Arial"/>
        </w:rPr>
        <w:t xml:space="preserve"> was defined as </w:t>
      </w:r>
      <w:r w:rsidR="00632BFB" w:rsidRPr="00FB49B7">
        <w:rPr>
          <w:rFonts w:ascii="Arial" w:hAnsi="Arial" w:cs="Arial"/>
          <w:i/>
        </w:rPr>
        <w:t>S. pneumoniae</w:t>
      </w:r>
      <w:r w:rsidR="00632BFB" w:rsidRPr="00FB49B7">
        <w:rPr>
          <w:rFonts w:ascii="Arial" w:hAnsi="Arial" w:cs="Arial"/>
        </w:rPr>
        <w:t xml:space="preserve"> </w:t>
      </w:r>
      <w:r w:rsidR="00C435F5" w:rsidRPr="00FB49B7">
        <w:rPr>
          <w:rFonts w:ascii="Arial" w:hAnsi="Arial" w:cs="Arial"/>
        </w:rPr>
        <w:t xml:space="preserve">identified </w:t>
      </w:r>
      <w:r w:rsidR="00632BFB" w:rsidRPr="00FB49B7">
        <w:rPr>
          <w:rFonts w:ascii="Arial" w:hAnsi="Arial" w:cs="Arial"/>
        </w:rPr>
        <w:t>in pleural</w:t>
      </w:r>
      <w:r w:rsidR="00CD2634">
        <w:rPr>
          <w:rFonts w:ascii="Arial" w:hAnsi="Arial" w:cs="Arial"/>
        </w:rPr>
        <w:t>/</w:t>
      </w:r>
      <w:r w:rsidR="00632BFB" w:rsidRPr="00FB49B7">
        <w:rPr>
          <w:rFonts w:ascii="Arial" w:hAnsi="Arial" w:cs="Arial"/>
        </w:rPr>
        <w:t>empyema fluid or in blood with a radiological and/or clinical diagnosis of pneumonia.</w:t>
      </w:r>
      <w:r w:rsidR="00632BFB" w:rsidRPr="00FB49B7" w:rsidDel="00632BFB">
        <w:rPr>
          <w:rFonts w:ascii="Arial" w:hAnsi="Arial" w:cs="Arial"/>
        </w:rPr>
        <w:t xml:space="preserve"> </w:t>
      </w:r>
      <w:r w:rsidR="00474601" w:rsidRPr="00FB49B7">
        <w:rPr>
          <w:rFonts w:ascii="Arial" w:hAnsi="Arial" w:cs="Arial"/>
        </w:rPr>
        <w:t>Septicaemia</w:t>
      </w:r>
      <w:r w:rsidR="00857392" w:rsidRPr="00FB49B7">
        <w:rPr>
          <w:rFonts w:ascii="Arial" w:hAnsi="Arial" w:cs="Arial"/>
        </w:rPr>
        <w:t xml:space="preserve"> was defined as </w:t>
      </w:r>
      <w:r w:rsidR="00857392" w:rsidRPr="00FB49B7">
        <w:rPr>
          <w:rFonts w:ascii="Arial" w:hAnsi="Arial" w:cs="Arial"/>
          <w:i/>
        </w:rPr>
        <w:t>S. pneumonia</w:t>
      </w:r>
      <w:r w:rsidR="00632BFB" w:rsidRPr="00FB49B7">
        <w:rPr>
          <w:rFonts w:ascii="Arial" w:hAnsi="Arial" w:cs="Arial"/>
          <w:i/>
        </w:rPr>
        <w:t>e</w:t>
      </w:r>
      <w:r w:rsidR="00857392" w:rsidRPr="00FB49B7">
        <w:rPr>
          <w:rFonts w:ascii="Arial" w:hAnsi="Arial" w:cs="Arial"/>
        </w:rPr>
        <w:t xml:space="preserve"> cultured in blood with </w:t>
      </w:r>
      <w:r w:rsidR="0090697D" w:rsidRPr="00FB49B7">
        <w:rPr>
          <w:rFonts w:ascii="Arial" w:hAnsi="Arial" w:cs="Arial"/>
        </w:rPr>
        <w:t>no clear focus of infection</w:t>
      </w:r>
      <w:r w:rsidR="00632BFB" w:rsidRPr="00FB49B7">
        <w:rPr>
          <w:rFonts w:ascii="Arial" w:hAnsi="Arial" w:cs="Arial"/>
        </w:rPr>
        <w:t xml:space="preserve">. </w:t>
      </w:r>
      <w:r w:rsidR="00C56416" w:rsidRPr="00FB49B7">
        <w:rPr>
          <w:rFonts w:ascii="Arial" w:hAnsi="Arial" w:cs="Arial"/>
        </w:rPr>
        <w:t>Co</w:t>
      </w:r>
      <w:r w:rsidR="00D52554" w:rsidRPr="00FB49B7">
        <w:rPr>
          <w:rFonts w:ascii="Arial" w:hAnsi="Arial" w:cs="Arial"/>
        </w:rPr>
        <w:t>-</w:t>
      </w:r>
      <w:r w:rsidR="00C56416" w:rsidRPr="00FB49B7">
        <w:rPr>
          <w:rFonts w:ascii="Arial" w:hAnsi="Arial" w:cs="Arial"/>
        </w:rPr>
        <w:t>morbidity was define</w:t>
      </w:r>
      <w:r w:rsidR="001917A7" w:rsidRPr="00FB49B7">
        <w:rPr>
          <w:rFonts w:ascii="Arial" w:hAnsi="Arial" w:cs="Arial"/>
        </w:rPr>
        <w:t xml:space="preserve">d as presence of a high-risk </w:t>
      </w:r>
      <w:r w:rsidR="00C56416" w:rsidRPr="00FB49B7">
        <w:rPr>
          <w:rFonts w:ascii="Arial" w:hAnsi="Arial" w:cs="Arial"/>
        </w:rPr>
        <w:t>condition as defined in the Green Book on Immunisation</w:t>
      </w:r>
      <w:r w:rsidR="00177A39">
        <w:rPr>
          <w:rFonts w:ascii="Arial" w:hAnsi="Arial" w:cs="Arial"/>
        </w:rPr>
        <w:t xml:space="preserve"> </w:t>
      </w:r>
      <w:r w:rsidR="00D03F6E">
        <w:rPr>
          <w:rFonts w:ascii="Arial" w:hAnsi="Arial" w:cs="Arial"/>
        </w:rPr>
        <w:fldChar w:fldCharType="begin"/>
      </w:r>
      <w:r w:rsidR="00082523">
        <w:rPr>
          <w:rFonts w:ascii="Arial" w:hAnsi="Arial" w:cs="Arial"/>
        </w:rPr>
        <w:instrText xml:space="preserve"> ADDIN EN.CITE &lt;EndNote&gt;&lt;Cite&gt;&lt;Author&gt;Salisbury&lt;/Author&gt;&lt;Year&gt;2006&lt;/Year&gt;&lt;RecNum&gt;27&lt;/RecNum&gt;&lt;DisplayText&gt;[6]&lt;/DisplayText&gt;&lt;record&gt;&lt;rec-number&gt;27&lt;/rec-number&gt;&lt;foreign-keys&gt;&lt;key app="EN" db-id="w9ttzze5rv9rz0e0s0rxzzxeav225d0x0sfp" timestamp="1445619325"&gt;27&lt;/key&gt;&lt;/foreign-keys&gt;&lt;ref-type name="Book"&gt;6&lt;/ref-type&gt;&lt;contributors&gt;&lt;authors&gt;&lt;author&gt;Salisbury, David&lt;/author&gt;&lt;author&gt;Ramsay, Mary&lt;/author&gt;&lt;author&gt;Noakes, Karen&lt;/author&gt;&lt;/authors&gt;&lt;/contributors&gt;&lt;titles&gt;&lt;title&gt;Immunisation against infectious disease&lt;/title&gt;&lt;/titles&gt;&lt;dates&gt;&lt;year&gt;2006&lt;/year&gt;&lt;/dates&gt;&lt;publisher&gt;The Stationery Office&lt;/publisher&gt;&lt;isbn&gt;0113225288&lt;/isbn&gt;&lt;urls&gt;&lt;/urls&gt;&lt;/record&gt;&lt;/Cite&gt;&lt;/EndNote&gt;</w:instrText>
      </w:r>
      <w:r w:rsidR="00D03F6E">
        <w:rPr>
          <w:rFonts w:ascii="Arial" w:hAnsi="Arial" w:cs="Arial"/>
        </w:rPr>
        <w:fldChar w:fldCharType="separate"/>
      </w:r>
      <w:r w:rsidR="00082523">
        <w:rPr>
          <w:rFonts w:ascii="Arial" w:hAnsi="Arial" w:cs="Arial"/>
          <w:noProof/>
        </w:rPr>
        <w:t>[6]</w:t>
      </w:r>
      <w:r w:rsidR="00D03F6E">
        <w:rPr>
          <w:rFonts w:ascii="Arial" w:hAnsi="Arial" w:cs="Arial"/>
        </w:rPr>
        <w:fldChar w:fldCharType="end"/>
      </w:r>
      <w:r w:rsidR="00177A39">
        <w:rPr>
          <w:rFonts w:ascii="Arial" w:hAnsi="Arial" w:cs="Arial"/>
        </w:rPr>
        <w:t>.</w:t>
      </w:r>
      <w:r w:rsidR="00C56416" w:rsidRPr="00FB49B7">
        <w:rPr>
          <w:rFonts w:ascii="Arial" w:hAnsi="Arial" w:cs="Arial"/>
        </w:rPr>
        <w:t xml:space="preserve"> </w:t>
      </w:r>
      <w:r w:rsidR="00632BFB" w:rsidRPr="00FB49B7">
        <w:rPr>
          <w:rFonts w:ascii="Arial" w:hAnsi="Arial" w:cs="Arial"/>
        </w:rPr>
        <w:t>For children with &gt;1 IPD episode, only the first episode was included in the primary analysis</w:t>
      </w:r>
      <w:r w:rsidR="00FB3BBE">
        <w:rPr>
          <w:rFonts w:ascii="Arial" w:hAnsi="Arial" w:cs="Arial"/>
        </w:rPr>
        <w:t>;</w:t>
      </w:r>
      <w:r w:rsidR="00FB3BBE" w:rsidRPr="00FB49B7">
        <w:rPr>
          <w:rFonts w:ascii="Arial" w:hAnsi="Arial" w:cs="Arial"/>
        </w:rPr>
        <w:t xml:space="preserve"> </w:t>
      </w:r>
      <w:r w:rsidR="00FB3BBE">
        <w:rPr>
          <w:rFonts w:ascii="Arial" w:hAnsi="Arial" w:cs="Arial"/>
        </w:rPr>
        <w:t>s</w:t>
      </w:r>
      <w:r w:rsidR="00632BFB" w:rsidRPr="00FB49B7">
        <w:rPr>
          <w:rFonts w:ascii="Arial" w:hAnsi="Arial" w:cs="Arial"/>
        </w:rPr>
        <w:t xml:space="preserve">ubsequent episodes are described separately. </w:t>
      </w:r>
    </w:p>
    <w:p w14:paraId="685F0C5E" w14:textId="18D30958" w:rsidR="00632BFB" w:rsidRDefault="00D52554" w:rsidP="00D474C8">
      <w:pPr>
        <w:spacing w:line="480" w:lineRule="auto"/>
        <w:rPr>
          <w:rFonts w:ascii="Arial" w:hAnsi="Arial" w:cs="Arial"/>
        </w:rPr>
      </w:pPr>
      <w:r w:rsidRPr="00FB49B7">
        <w:rPr>
          <w:rFonts w:ascii="Arial" w:hAnsi="Arial" w:cs="Arial"/>
        </w:rPr>
        <w:t xml:space="preserve">Of </w:t>
      </w:r>
      <w:r w:rsidR="00D80618">
        <w:rPr>
          <w:rFonts w:ascii="Arial" w:hAnsi="Arial" w:cs="Arial"/>
        </w:rPr>
        <w:t xml:space="preserve">the </w:t>
      </w:r>
      <w:r w:rsidR="00FB3BBE">
        <w:rPr>
          <w:rFonts w:ascii="Arial" w:hAnsi="Arial" w:cs="Arial"/>
        </w:rPr>
        <w:t>cases</w:t>
      </w:r>
      <w:r w:rsidR="007D7D32" w:rsidRPr="00FB49B7">
        <w:rPr>
          <w:rFonts w:ascii="Arial" w:hAnsi="Arial" w:cs="Arial"/>
        </w:rPr>
        <w:t xml:space="preserve"> eligible for PCV7 only</w:t>
      </w:r>
      <w:r w:rsidRPr="00FB49B7">
        <w:rPr>
          <w:rFonts w:ascii="Arial" w:hAnsi="Arial" w:cs="Arial"/>
        </w:rPr>
        <w:t xml:space="preserve">, the </w:t>
      </w:r>
      <w:r w:rsidR="001303F3" w:rsidRPr="00FB49B7">
        <w:rPr>
          <w:rFonts w:ascii="Arial" w:hAnsi="Arial" w:cs="Arial"/>
        </w:rPr>
        <w:t xml:space="preserve">vaccine failure </w:t>
      </w:r>
      <w:r w:rsidR="00F92EC6" w:rsidRPr="00FB49B7">
        <w:rPr>
          <w:rFonts w:ascii="Arial" w:hAnsi="Arial" w:cs="Arial"/>
        </w:rPr>
        <w:t>group was composed of three cohorts</w:t>
      </w:r>
      <w:r w:rsidR="006B48F1">
        <w:rPr>
          <w:rFonts w:ascii="Arial" w:hAnsi="Arial" w:cs="Arial"/>
        </w:rPr>
        <w:t xml:space="preserve"> aged &lt;5 years</w:t>
      </w:r>
      <w:r w:rsidR="007850C3">
        <w:rPr>
          <w:rFonts w:ascii="Arial" w:hAnsi="Arial" w:cs="Arial"/>
        </w:rPr>
        <w:t xml:space="preserve"> at diagnosis</w:t>
      </w:r>
      <w:r w:rsidR="00F92EC6" w:rsidRPr="00FB49B7">
        <w:rPr>
          <w:rFonts w:ascii="Arial" w:hAnsi="Arial" w:cs="Arial"/>
        </w:rPr>
        <w:t xml:space="preserve">: </w:t>
      </w:r>
      <w:r w:rsidR="001303F3" w:rsidRPr="00FB49B7">
        <w:rPr>
          <w:rFonts w:ascii="Arial" w:hAnsi="Arial" w:cs="Arial"/>
        </w:rPr>
        <w:t xml:space="preserve">PCV7-type IPD </w:t>
      </w:r>
      <w:r w:rsidR="00F92EC6" w:rsidRPr="00FB49B7">
        <w:rPr>
          <w:rFonts w:ascii="Arial" w:hAnsi="Arial" w:cs="Arial"/>
        </w:rPr>
        <w:t xml:space="preserve">in a child (i) </w:t>
      </w:r>
      <m:oMath>
        <m:r>
          <w:rPr>
            <w:rFonts w:ascii="Cambria Math" w:hAnsi="Cambria Math" w:cs="Arial"/>
          </w:rPr>
          <m:t>≥</m:t>
        </m:r>
      </m:oMath>
      <w:r w:rsidR="001303F3" w:rsidRPr="00FB49B7">
        <w:rPr>
          <w:rFonts w:ascii="Arial" w:hAnsi="Arial" w:cs="Arial"/>
        </w:rPr>
        <w:t>14 days after two dose</w:t>
      </w:r>
      <w:r w:rsidR="00913719" w:rsidRPr="00FB49B7">
        <w:rPr>
          <w:rFonts w:ascii="Arial" w:hAnsi="Arial" w:cs="Arial"/>
        </w:rPr>
        <w:t xml:space="preserve">s </w:t>
      </w:r>
      <w:r w:rsidR="001A2CC7">
        <w:rPr>
          <w:rFonts w:ascii="Arial" w:hAnsi="Arial" w:cs="Arial"/>
        </w:rPr>
        <w:t xml:space="preserve">in </w:t>
      </w:r>
      <w:r w:rsidR="00913719" w:rsidRPr="00FB49B7">
        <w:rPr>
          <w:rFonts w:ascii="Arial" w:hAnsi="Arial" w:cs="Arial"/>
        </w:rPr>
        <w:t>&lt;12 month-olds</w:t>
      </w:r>
      <w:r w:rsidR="001303F3" w:rsidRPr="00FB49B7">
        <w:rPr>
          <w:rFonts w:ascii="Arial" w:hAnsi="Arial" w:cs="Arial"/>
        </w:rPr>
        <w:t xml:space="preserve"> (</w:t>
      </w:r>
      <w:r w:rsidR="001303F3" w:rsidRPr="00FB49B7">
        <w:rPr>
          <w:rFonts w:ascii="Arial" w:hAnsi="Arial" w:cs="Arial"/>
          <w:color w:val="FF0000"/>
        </w:rPr>
        <w:t>PCV7-PCV7</w:t>
      </w:r>
      <w:r w:rsidR="001303F3" w:rsidRPr="00FB49B7">
        <w:rPr>
          <w:rFonts w:ascii="Arial" w:hAnsi="Arial" w:cs="Arial"/>
        </w:rPr>
        <w:t xml:space="preserve">), </w:t>
      </w:r>
      <w:r w:rsidR="00F92EC6" w:rsidRPr="00FB49B7">
        <w:rPr>
          <w:rFonts w:ascii="Arial" w:hAnsi="Arial" w:cs="Arial"/>
        </w:rPr>
        <w:t xml:space="preserve">(ii) </w:t>
      </w:r>
      <m:oMath>
        <m:r>
          <w:rPr>
            <w:rFonts w:ascii="Cambria Math" w:hAnsi="Cambria Math" w:cs="Arial"/>
          </w:rPr>
          <m:t>≥</m:t>
        </m:r>
      </m:oMath>
      <w:r w:rsidR="00C50093" w:rsidRPr="00FB49B7">
        <w:rPr>
          <w:rFonts w:ascii="Arial" w:hAnsi="Arial" w:cs="Arial"/>
        </w:rPr>
        <w:t xml:space="preserve">7 days </w:t>
      </w:r>
      <w:r w:rsidR="001303F3" w:rsidRPr="00FB49B7">
        <w:rPr>
          <w:rFonts w:ascii="Arial" w:hAnsi="Arial" w:cs="Arial"/>
        </w:rPr>
        <w:t>after a single PCV7 dose in ≥12 month</w:t>
      </w:r>
      <w:r w:rsidR="001A2CC7">
        <w:rPr>
          <w:rFonts w:ascii="Arial" w:hAnsi="Arial" w:cs="Arial"/>
        </w:rPr>
        <w:t>-old</w:t>
      </w:r>
      <w:r w:rsidR="001303F3" w:rsidRPr="00FB49B7">
        <w:rPr>
          <w:rFonts w:ascii="Arial" w:hAnsi="Arial" w:cs="Arial"/>
        </w:rPr>
        <w:t>s (</w:t>
      </w:r>
      <w:r w:rsidR="001303F3" w:rsidRPr="00FB49B7">
        <w:rPr>
          <w:rFonts w:ascii="Arial" w:hAnsi="Arial" w:cs="Arial"/>
          <w:color w:val="FF0000"/>
        </w:rPr>
        <w:t>PCV7</w:t>
      </w:r>
      <w:r w:rsidR="00F92EC6" w:rsidRPr="00FB49B7">
        <w:rPr>
          <w:rFonts w:ascii="Arial" w:hAnsi="Arial" w:cs="Arial"/>
          <w:color w:val="FF0000"/>
        </w:rPr>
        <w:t xml:space="preserve"> </w:t>
      </w:r>
      <w:r w:rsidR="001303F3" w:rsidRPr="00FB49B7">
        <w:rPr>
          <w:rFonts w:ascii="Arial" w:hAnsi="Arial" w:cs="Arial"/>
          <w:color w:val="FF0000"/>
        </w:rPr>
        <w:t>catch-up</w:t>
      </w:r>
      <w:r w:rsidR="001303F3" w:rsidRPr="00FB49B7">
        <w:rPr>
          <w:rFonts w:ascii="Arial" w:hAnsi="Arial" w:cs="Arial"/>
        </w:rPr>
        <w:t>)</w:t>
      </w:r>
      <w:r w:rsidR="00F92EC6" w:rsidRPr="00FB49B7">
        <w:rPr>
          <w:rFonts w:ascii="Arial" w:hAnsi="Arial" w:cs="Arial"/>
        </w:rPr>
        <w:t>;</w:t>
      </w:r>
      <w:r w:rsidR="001303F3" w:rsidRPr="00FB49B7">
        <w:rPr>
          <w:rFonts w:ascii="Arial" w:hAnsi="Arial" w:cs="Arial"/>
        </w:rPr>
        <w:t xml:space="preserve"> or </w:t>
      </w:r>
      <w:r w:rsidR="00F92EC6" w:rsidRPr="00FB49B7">
        <w:rPr>
          <w:rFonts w:ascii="Arial" w:hAnsi="Arial" w:cs="Arial"/>
        </w:rPr>
        <w:t xml:space="preserve">(iii) </w:t>
      </w:r>
      <m:oMath>
        <m:r>
          <w:rPr>
            <w:rFonts w:ascii="Cambria Math" w:hAnsi="Cambria Math" w:cs="Arial"/>
          </w:rPr>
          <m:t>≥</m:t>
        </m:r>
      </m:oMath>
      <w:r w:rsidR="00C50093" w:rsidRPr="00FB49B7">
        <w:rPr>
          <w:rFonts w:ascii="Arial" w:hAnsi="Arial" w:cs="Arial"/>
        </w:rPr>
        <w:t xml:space="preserve">7 days </w:t>
      </w:r>
      <w:r w:rsidR="00F92EC6" w:rsidRPr="00FB49B7">
        <w:rPr>
          <w:rFonts w:ascii="Arial" w:hAnsi="Arial" w:cs="Arial"/>
        </w:rPr>
        <w:t>after three PCV7</w:t>
      </w:r>
      <w:r w:rsidR="001303F3" w:rsidRPr="00FB49B7">
        <w:rPr>
          <w:rFonts w:ascii="Arial" w:hAnsi="Arial" w:cs="Arial"/>
        </w:rPr>
        <w:t xml:space="preserve"> doses </w:t>
      </w:r>
      <w:r w:rsidRPr="00FB49B7">
        <w:rPr>
          <w:rFonts w:ascii="Arial" w:hAnsi="Arial" w:cs="Arial"/>
        </w:rPr>
        <w:t xml:space="preserve">including the 12-month booster </w:t>
      </w:r>
      <w:r w:rsidR="001303F3" w:rsidRPr="00FB49B7">
        <w:rPr>
          <w:rFonts w:ascii="Arial" w:hAnsi="Arial" w:cs="Arial"/>
        </w:rPr>
        <w:t>(</w:t>
      </w:r>
      <w:r w:rsidR="001303F3" w:rsidRPr="00FB49B7">
        <w:rPr>
          <w:rFonts w:ascii="Arial" w:hAnsi="Arial" w:cs="Arial"/>
          <w:color w:val="FF0000"/>
        </w:rPr>
        <w:t>PCV7-PCV7-PCV7</w:t>
      </w:r>
      <w:r w:rsidR="001303F3" w:rsidRPr="00FB49B7">
        <w:rPr>
          <w:rFonts w:ascii="Arial" w:hAnsi="Arial" w:cs="Arial"/>
        </w:rPr>
        <w:t xml:space="preserve">). </w:t>
      </w:r>
      <w:r w:rsidR="00D80618">
        <w:rPr>
          <w:rFonts w:ascii="Arial" w:hAnsi="Arial" w:cs="Arial"/>
        </w:rPr>
        <w:t xml:space="preserve">By definition, these cohorts could still be diagnosed </w:t>
      </w:r>
      <w:r w:rsidR="00C64317">
        <w:rPr>
          <w:rFonts w:ascii="Arial" w:hAnsi="Arial" w:cs="Arial"/>
        </w:rPr>
        <w:t xml:space="preserve">even </w:t>
      </w:r>
      <w:r w:rsidR="00D80618">
        <w:rPr>
          <w:rFonts w:ascii="Arial" w:hAnsi="Arial" w:cs="Arial"/>
        </w:rPr>
        <w:t xml:space="preserve">after PCV13 introduction if they only received PCV7, were diagnosed with PCV7-type IPD and were aged &lt;5 years at diagnosis. </w:t>
      </w:r>
      <w:r w:rsidR="00F92EC6" w:rsidRPr="00FB49B7">
        <w:rPr>
          <w:rFonts w:ascii="Arial" w:hAnsi="Arial" w:cs="Arial"/>
        </w:rPr>
        <w:t xml:space="preserve">The </w:t>
      </w:r>
      <w:r w:rsidRPr="00FB49B7">
        <w:rPr>
          <w:rFonts w:ascii="Arial" w:hAnsi="Arial" w:cs="Arial"/>
        </w:rPr>
        <w:t xml:space="preserve">vaccine failure group that was eligible for </w:t>
      </w:r>
      <w:r w:rsidR="00CD2634">
        <w:rPr>
          <w:rFonts w:ascii="Arial" w:hAnsi="Arial" w:cs="Arial"/>
        </w:rPr>
        <w:t xml:space="preserve">≥1 </w:t>
      </w:r>
      <w:r w:rsidR="00F92EC6" w:rsidRPr="00FB49B7">
        <w:rPr>
          <w:rFonts w:ascii="Arial" w:hAnsi="Arial" w:cs="Arial"/>
        </w:rPr>
        <w:t xml:space="preserve">PCV13 </w:t>
      </w:r>
      <w:r w:rsidRPr="00FB49B7">
        <w:rPr>
          <w:rFonts w:ascii="Arial" w:hAnsi="Arial" w:cs="Arial"/>
        </w:rPr>
        <w:t>dose</w:t>
      </w:r>
      <w:r w:rsidR="00F92EC6" w:rsidRPr="00FB49B7">
        <w:rPr>
          <w:rFonts w:ascii="Arial" w:hAnsi="Arial" w:cs="Arial"/>
        </w:rPr>
        <w:t xml:space="preserve"> also included three cohorts</w:t>
      </w:r>
      <w:r w:rsidR="007850C3">
        <w:rPr>
          <w:rFonts w:ascii="Arial" w:hAnsi="Arial" w:cs="Arial"/>
        </w:rPr>
        <w:t xml:space="preserve"> aged &lt;5 years at diagnosis</w:t>
      </w:r>
      <w:r w:rsidR="00F92EC6" w:rsidRPr="00FB49B7">
        <w:rPr>
          <w:rFonts w:ascii="Arial" w:hAnsi="Arial" w:cs="Arial"/>
        </w:rPr>
        <w:t>: IPD caused by the additional PCV13 serotypes (1, 3, 5, 6A,</w:t>
      </w:r>
      <w:r w:rsidR="00913719" w:rsidRPr="00FB49B7">
        <w:rPr>
          <w:rFonts w:ascii="Arial" w:hAnsi="Arial" w:cs="Arial"/>
        </w:rPr>
        <w:t xml:space="preserve"> 7F and 19A) (i) </w:t>
      </w:r>
      <m:oMath>
        <m:r>
          <w:rPr>
            <w:rFonts w:ascii="Cambria Math" w:hAnsi="Cambria Math" w:cs="Arial"/>
          </w:rPr>
          <m:t>≥</m:t>
        </m:r>
      </m:oMath>
      <w:r w:rsidR="00913719" w:rsidRPr="00FB49B7">
        <w:rPr>
          <w:rFonts w:ascii="Arial" w:hAnsi="Arial" w:cs="Arial"/>
        </w:rPr>
        <w:t>14</w:t>
      </w:r>
      <w:r w:rsidR="00F92EC6" w:rsidRPr="00FB49B7">
        <w:rPr>
          <w:rFonts w:ascii="Arial" w:hAnsi="Arial" w:cs="Arial"/>
        </w:rPr>
        <w:t xml:space="preserve"> days after two doses in </w:t>
      </w:r>
      <w:r w:rsidR="00913719" w:rsidRPr="00FB49B7">
        <w:rPr>
          <w:rFonts w:ascii="Arial" w:hAnsi="Arial" w:cs="Arial"/>
        </w:rPr>
        <w:t>&lt;12 month-olds</w:t>
      </w:r>
      <w:r w:rsidR="00F92EC6" w:rsidRPr="00FB49B7">
        <w:rPr>
          <w:rFonts w:ascii="Arial" w:hAnsi="Arial" w:cs="Arial"/>
        </w:rPr>
        <w:t xml:space="preserve"> (</w:t>
      </w:r>
      <w:r w:rsidR="00F92EC6" w:rsidRPr="00FB49B7">
        <w:rPr>
          <w:rFonts w:ascii="Arial" w:hAnsi="Arial" w:cs="Arial"/>
          <w:color w:val="FF0000"/>
        </w:rPr>
        <w:t>PCV13-PCV13</w:t>
      </w:r>
      <w:r w:rsidR="00F92EC6" w:rsidRPr="00FB49B7">
        <w:rPr>
          <w:rFonts w:ascii="Arial" w:hAnsi="Arial" w:cs="Arial"/>
        </w:rPr>
        <w:t xml:space="preserve">); (ii) </w:t>
      </w:r>
      <m:oMath>
        <m:r>
          <w:rPr>
            <w:rFonts w:ascii="Cambria Math" w:hAnsi="Cambria Math" w:cs="Arial"/>
          </w:rPr>
          <m:t>≥</m:t>
        </m:r>
      </m:oMath>
      <w:r w:rsidR="00C50093" w:rsidRPr="00FB49B7">
        <w:rPr>
          <w:rFonts w:ascii="Arial" w:hAnsi="Arial" w:cs="Arial"/>
        </w:rPr>
        <w:t xml:space="preserve">7 days </w:t>
      </w:r>
      <w:r w:rsidR="00913719" w:rsidRPr="00FB49B7">
        <w:rPr>
          <w:rFonts w:ascii="Arial" w:hAnsi="Arial" w:cs="Arial"/>
        </w:rPr>
        <w:t xml:space="preserve">after </w:t>
      </w:r>
      <w:r w:rsidR="00F92EC6" w:rsidRPr="00FB49B7">
        <w:rPr>
          <w:rFonts w:ascii="Arial" w:hAnsi="Arial" w:cs="Arial"/>
        </w:rPr>
        <w:t xml:space="preserve">PCV7 in infancy with a </w:t>
      </w:r>
      <w:r w:rsidR="00CD2634">
        <w:rPr>
          <w:rFonts w:ascii="Arial" w:hAnsi="Arial" w:cs="Arial"/>
        </w:rPr>
        <w:t xml:space="preserve">12-month </w:t>
      </w:r>
      <w:r w:rsidR="00F92EC6" w:rsidRPr="00FB49B7">
        <w:rPr>
          <w:rFonts w:ascii="Arial" w:hAnsi="Arial" w:cs="Arial"/>
        </w:rPr>
        <w:t>PCV13 booster (</w:t>
      </w:r>
      <w:r w:rsidR="00F92EC6" w:rsidRPr="00FB49B7">
        <w:rPr>
          <w:rFonts w:ascii="Arial" w:hAnsi="Arial" w:cs="Arial"/>
          <w:color w:val="FF0000"/>
        </w:rPr>
        <w:t>PCV13 catch-up</w:t>
      </w:r>
      <w:r w:rsidR="00F92EC6" w:rsidRPr="00FB49B7">
        <w:rPr>
          <w:rFonts w:ascii="Arial" w:hAnsi="Arial" w:cs="Arial"/>
        </w:rPr>
        <w:t xml:space="preserve">); and (iii) </w:t>
      </w:r>
      <m:oMath>
        <m:r>
          <w:rPr>
            <w:rFonts w:ascii="Cambria Math" w:hAnsi="Cambria Math" w:cs="Arial"/>
          </w:rPr>
          <m:t>≥</m:t>
        </m:r>
      </m:oMath>
      <w:r w:rsidR="00C50093" w:rsidRPr="00FB49B7">
        <w:rPr>
          <w:rFonts w:ascii="Arial" w:hAnsi="Arial" w:cs="Arial"/>
        </w:rPr>
        <w:t xml:space="preserve">7 days </w:t>
      </w:r>
      <w:r w:rsidR="00F92EC6" w:rsidRPr="00FB49B7">
        <w:rPr>
          <w:rFonts w:ascii="Arial" w:hAnsi="Arial" w:cs="Arial"/>
        </w:rPr>
        <w:t xml:space="preserve">after three PCV13 doses </w:t>
      </w:r>
      <w:r w:rsidR="00913719" w:rsidRPr="00FB49B7">
        <w:rPr>
          <w:rFonts w:ascii="Arial" w:hAnsi="Arial" w:cs="Arial"/>
        </w:rPr>
        <w:t xml:space="preserve">including the </w:t>
      </w:r>
      <w:r w:rsidRPr="00FB49B7">
        <w:rPr>
          <w:rFonts w:ascii="Arial" w:hAnsi="Arial" w:cs="Arial"/>
        </w:rPr>
        <w:t xml:space="preserve">12-month booster </w:t>
      </w:r>
      <w:r w:rsidR="00F92EC6" w:rsidRPr="00FB49B7">
        <w:rPr>
          <w:rFonts w:ascii="Arial" w:hAnsi="Arial" w:cs="Arial"/>
        </w:rPr>
        <w:t>(</w:t>
      </w:r>
      <w:r w:rsidR="00F92EC6" w:rsidRPr="00FB49B7">
        <w:rPr>
          <w:rFonts w:ascii="Arial" w:hAnsi="Arial" w:cs="Arial"/>
          <w:color w:val="FF0000"/>
        </w:rPr>
        <w:t>PCV13-PCV13-PCV13</w:t>
      </w:r>
      <w:r w:rsidR="00F92EC6" w:rsidRPr="00FB49B7">
        <w:rPr>
          <w:rFonts w:ascii="Arial" w:hAnsi="Arial" w:cs="Arial"/>
        </w:rPr>
        <w:t>).</w:t>
      </w:r>
      <w:r w:rsidR="00D80618">
        <w:rPr>
          <w:rFonts w:ascii="Arial" w:hAnsi="Arial" w:cs="Arial"/>
        </w:rPr>
        <w:t xml:space="preserve"> </w:t>
      </w:r>
    </w:p>
    <w:p w14:paraId="216A7281" w14:textId="77777777" w:rsidR="00857392" w:rsidRPr="00CF1396" w:rsidRDefault="00857392" w:rsidP="00793FCE">
      <w:pPr>
        <w:spacing w:before="120" w:line="480" w:lineRule="auto"/>
        <w:rPr>
          <w:rFonts w:ascii="Arial" w:hAnsi="Arial" w:cs="Arial"/>
          <w:b/>
          <w:sz w:val="24"/>
          <w:szCs w:val="24"/>
        </w:rPr>
      </w:pPr>
      <w:r w:rsidRPr="00CF1396">
        <w:rPr>
          <w:rFonts w:ascii="Arial" w:hAnsi="Arial" w:cs="Arial"/>
          <w:b/>
          <w:sz w:val="24"/>
          <w:szCs w:val="24"/>
        </w:rPr>
        <w:t>Data Analysis</w:t>
      </w:r>
    </w:p>
    <w:p w14:paraId="255E67C4" w14:textId="344DCB28" w:rsidR="004A7838" w:rsidRDefault="001A2CC7" w:rsidP="009966FF">
      <w:pPr>
        <w:spacing w:line="480" w:lineRule="auto"/>
        <w:rPr>
          <w:rFonts w:ascii="Arial" w:hAnsi="Arial" w:cs="Arial"/>
          <w:b/>
          <w:sz w:val="24"/>
        </w:rPr>
      </w:pPr>
      <w:r>
        <w:rPr>
          <w:rFonts w:ascii="Arial" w:hAnsi="Arial" w:cs="Arial"/>
        </w:rPr>
        <w:t>D</w:t>
      </w:r>
      <w:r w:rsidR="009F6621" w:rsidRPr="00FB49B7">
        <w:rPr>
          <w:rFonts w:ascii="Arial" w:hAnsi="Arial" w:cs="Arial"/>
        </w:rPr>
        <w:t xml:space="preserve">ata </w:t>
      </w:r>
      <w:r w:rsidR="00D52554" w:rsidRPr="00FB49B7">
        <w:rPr>
          <w:rFonts w:ascii="Arial" w:hAnsi="Arial" w:cs="Arial"/>
        </w:rPr>
        <w:t xml:space="preserve">were </w:t>
      </w:r>
      <w:r>
        <w:rPr>
          <w:rFonts w:ascii="Arial" w:hAnsi="Arial" w:cs="Arial"/>
        </w:rPr>
        <w:t xml:space="preserve">analysed using </w:t>
      </w:r>
      <w:r w:rsidR="00D52554" w:rsidRPr="00FB49B7">
        <w:rPr>
          <w:rFonts w:ascii="Arial" w:hAnsi="Arial" w:cs="Arial"/>
        </w:rPr>
        <w:t>Stata™ v.</w:t>
      </w:r>
      <w:r w:rsidR="009F6621" w:rsidRPr="00FB49B7">
        <w:rPr>
          <w:rFonts w:ascii="Arial" w:hAnsi="Arial" w:cs="Arial"/>
        </w:rPr>
        <w:t xml:space="preserve">11.0 </w:t>
      </w:r>
      <w:r w:rsidR="00D52554" w:rsidRPr="00FB49B7">
        <w:rPr>
          <w:rFonts w:ascii="Arial" w:hAnsi="Arial" w:cs="Arial"/>
        </w:rPr>
        <w:t xml:space="preserve">(Statcorp, Texas) </w:t>
      </w:r>
      <w:r>
        <w:rPr>
          <w:rFonts w:ascii="Arial" w:hAnsi="Arial" w:cs="Arial"/>
        </w:rPr>
        <w:t xml:space="preserve">and are </w:t>
      </w:r>
      <w:r w:rsidR="00B50283" w:rsidRPr="00FB49B7">
        <w:rPr>
          <w:rFonts w:ascii="Arial" w:hAnsi="Arial" w:cs="Arial"/>
        </w:rPr>
        <w:t>mainly descriptive</w:t>
      </w:r>
      <w:r w:rsidR="006C307E">
        <w:rPr>
          <w:rFonts w:ascii="Arial" w:hAnsi="Arial" w:cs="Arial"/>
        </w:rPr>
        <w:t>.</w:t>
      </w:r>
      <w:r w:rsidR="00B50283" w:rsidRPr="00FB49B7">
        <w:rPr>
          <w:rFonts w:ascii="Arial" w:hAnsi="Arial" w:cs="Arial"/>
        </w:rPr>
        <w:t xml:space="preserve"> </w:t>
      </w:r>
      <w:r w:rsidR="006C307E">
        <w:rPr>
          <w:rFonts w:ascii="Arial" w:hAnsi="Arial" w:cs="Arial"/>
        </w:rPr>
        <w:t xml:space="preserve">The </w:t>
      </w:r>
      <w:r w:rsidR="006C307E" w:rsidRPr="001D7360">
        <w:rPr>
          <w:rFonts w:ascii="Arial" w:hAnsi="Arial" w:cs="Arial"/>
        </w:rPr>
        <w:t xml:space="preserve">denominator for the vaccine failure rate was calculated by multiplying the number of children </w:t>
      </w:r>
      <w:r w:rsidR="00FF7BBE">
        <w:rPr>
          <w:rFonts w:ascii="Arial" w:hAnsi="Arial" w:cs="Arial"/>
        </w:rPr>
        <w:t>aged &lt;5 years who were</w:t>
      </w:r>
      <w:r w:rsidR="006C307E" w:rsidRPr="001D7360">
        <w:rPr>
          <w:rFonts w:ascii="Arial" w:hAnsi="Arial" w:cs="Arial"/>
        </w:rPr>
        <w:t xml:space="preserve"> eligible for a specific vaccine schedule </w:t>
      </w:r>
      <w:r w:rsidR="00FF7BBE">
        <w:rPr>
          <w:rFonts w:ascii="Arial" w:hAnsi="Arial" w:cs="Arial"/>
        </w:rPr>
        <w:t xml:space="preserve">nationally </w:t>
      </w:r>
      <w:r w:rsidR="006C307E" w:rsidRPr="001D7360">
        <w:rPr>
          <w:rFonts w:ascii="Arial" w:hAnsi="Arial" w:cs="Arial"/>
        </w:rPr>
        <w:t>(</w:t>
      </w:r>
      <w:hyperlink r:id="rId9" w:history="1">
        <w:r w:rsidR="006C307E" w:rsidRPr="001D7360">
          <w:rPr>
            <w:rStyle w:val="Hyperlink"/>
            <w:rFonts w:ascii="Arial" w:hAnsi="Arial" w:cs="Arial"/>
          </w:rPr>
          <w:t>www.statistics.gov.uk</w:t>
        </w:r>
      </w:hyperlink>
      <w:r w:rsidR="006C307E" w:rsidRPr="001D7360">
        <w:rPr>
          <w:rFonts w:ascii="Arial" w:hAnsi="Arial" w:cs="Arial"/>
        </w:rPr>
        <w:t>) with the vaccine coverage</w:t>
      </w:r>
      <w:r w:rsidR="00CB15B0">
        <w:rPr>
          <w:rFonts w:ascii="Arial" w:hAnsi="Arial" w:cs="Arial"/>
        </w:rPr>
        <w:t xml:space="preserve"> </w:t>
      </w:r>
      <w:r w:rsidR="006C307E" w:rsidRPr="00CA3201">
        <w:rPr>
          <w:rFonts w:ascii="Arial" w:hAnsi="Arial" w:cs="Arial"/>
        </w:rPr>
        <w:t xml:space="preserve">and the eligible time-period for that schedule. </w:t>
      </w:r>
      <w:r w:rsidR="003A1206" w:rsidRPr="00D474C8">
        <w:rPr>
          <w:rFonts w:ascii="Arial" w:hAnsi="Arial" w:cs="Arial"/>
        </w:rPr>
        <w:t xml:space="preserve">Childhood vaccine coverage for both PCV7 and PCV13 has remained consistently high (&gt;90%) over the years </w:t>
      </w:r>
      <w:r w:rsidR="00430FC6" w:rsidRPr="00D474C8">
        <w:rPr>
          <w:rFonts w:ascii="Arial" w:hAnsi="Arial" w:cs="Arial"/>
        </w:rPr>
        <w:t>(</w:t>
      </w:r>
      <w:hyperlink r:id="rId10" w:history="1">
        <w:r w:rsidR="00430FC6" w:rsidRPr="00CA3201">
          <w:rPr>
            <w:rStyle w:val="Hyperlink"/>
            <w:rFonts w:ascii="Arial" w:hAnsi="Arial" w:cs="Arial"/>
          </w:rPr>
          <w:t>https://www.gov.uk/government/collections/immunisation</w:t>
        </w:r>
      </w:hyperlink>
      <w:r w:rsidR="00430FC6" w:rsidRPr="00D474C8">
        <w:rPr>
          <w:rFonts w:ascii="Arial" w:hAnsi="Arial" w:cs="Arial"/>
        </w:rPr>
        <w:t>)</w:t>
      </w:r>
      <w:r w:rsidR="007C14E8">
        <w:rPr>
          <w:rFonts w:ascii="Arial" w:hAnsi="Arial" w:cs="Arial"/>
        </w:rPr>
        <w:t xml:space="preserve"> </w:t>
      </w:r>
      <w:r w:rsidR="00D40C16">
        <w:rPr>
          <w:rFonts w:ascii="Arial" w:hAnsi="Arial" w:cs="Arial"/>
        </w:rPr>
        <w:fldChar w:fldCharType="begin"/>
      </w:r>
      <w:r w:rsidR="00D40C16">
        <w:rPr>
          <w:rFonts w:ascii="Arial" w:hAnsi="Arial" w:cs="Arial"/>
        </w:rPr>
        <w:instrText xml:space="preserve"> ADDIN EN.CITE &lt;EndNote&gt;&lt;Cite&gt;&lt;Author&gt;Public Health England&lt;/Author&gt;&lt;Year&gt;2016&lt;/Year&gt;&lt;RecNum&gt;50&lt;/RecNum&gt;&lt;DisplayText&gt;[7]&lt;/DisplayText&gt;&lt;record&gt;&lt;rec-number&gt;50&lt;/rec-number&gt;&lt;foreign-keys&gt;&lt;key app="EN" db-id="rxxppfvvjfas5yeas2cx599btv52trewxvr5" timestamp="1486981870"&gt;50&lt;/key&gt;&lt;/foreign-keys&gt;&lt;ref-type name="Electronic Article"&gt;43&lt;/ref-type&gt;&lt;contributors&gt;&lt;authors&gt;&lt;author&gt;Public Health England,&lt;/author&gt;&lt;/authors&gt;&lt;/contributors&gt;&lt;titles&gt;&lt;title&gt;Quarterly vaccine coverage data tables.&lt;/title&gt;&lt;/titles&gt;&lt;dates&gt;&lt;year&gt;2016&lt;/year&gt;&lt;/dates&gt;&lt;urls&gt;&lt;related-urls&gt;&lt;url&gt;https://www.gov.uk/government/statistics/cover-of-vaccination-evaluated-rapidly-cover-programme-2015-to-2016-quarterly-data&lt;/url&gt;&lt;/related-urls&gt;&lt;/urls&gt;&lt;/record&gt;&lt;/Cite&gt;&lt;/EndNote&gt;</w:instrText>
      </w:r>
      <w:r w:rsidR="00D40C16">
        <w:rPr>
          <w:rFonts w:ascii="Arial" w:hAnsi="Arial" w:cs="Arial"/>
        </w:rPr>
        <w:fldChar w:fldCharType="separate"/>
      </w:r>
      <w:r w:rsidR="00D40C16">
        <w:rPr>
          <w:rFonts w:ascii="Arial" w:hAnsi="Arial" w:cs="Arial"/>
          <w:noProof/>
        </w:rPr>
        <w:t>[7]</w:t>
      </w:r>
      <w:r w:rsidR="00D40C16">
        <w:rPr>
          <w:rFonts w:ascii="Arial" w:hAnsi="Arial" w:cs="Arial"/>
        </w:rPr>
        <w:fldChar w:fldCharType="end"/>
      </w:r>
      <w:r w:rsidR="003A1206" w:rsidRPr="00D474C8">
        <w:rPr>
          <w:rFonts w:ascii="Arial" w:hAnsi="Arial" w:cs="Arial"/>
        </w:rPr>
        <w:t xml:space="preserve">. </w:t>
      </w:r>
      <w:r w:rsidR="006C307E" w:rsidRPr="00CA3201">
        <w:rPr>
          <w:rFonts w:ascii="Arial" w:hAnsi="Arial" w:cs="Arial"/>
        </w:rPr>
        <w:t>C</w:t>
      </w:r>
      <w:r w:rsidR="00303BF2" w:rsidRPr="00CA3201">
        <w:rPr>
          <w:rFonts w:ascii="Arial" w:hAnsi="Arial" w:cs="Arial"/>
        </w:rPr>
        <w:t xml:space="preserve">ategorical variables </w:t>
      </w:r>
      <w:r w:rsidR="00A8732E" w:rsidRPr="00CA3201">
        <w:rPr>
          <w:rFonts w:ascii="Arial" w:hAnsi="Arial" w:cs="Arial"/>
        </w:rPr>
        <w:t xml:space="preserve">were </w:t>
      </w:r>
      <w:r w:rsidR="00303BF2" w:rsidRPr="00CA3201">
        <w:rPr>
          <w:rFonts w:ascii="Arial" w:hAnsi="Arial" w:cs="Arial"/>
        </w:rPr>
        <w:t xml:space="preserve">described as </w:t>
      </w:r>
      <w:r w:rsidR="00B50283" w:rsidRPr="00CA3201">
        <w:rPr>
          <w:rFonts w:ascii="Arial" w:hAnsi="Arial" w:cs="Arial"/>
        </w:rPr>
        <w:t>p</w:t>
      </w:r>
      <w:r w:rsidR="00C87EF5" w:rsidRPr="00CA3201">
        <w:rPr>
          <w:rFonts w:ascii="Arial" w:hAnsi="Arial" w:cs="Arial"/>
        </w:rPr>
        <w:t xml:space="preserve">ercentages </w:t>
      </w:r>
      <w:r w:rsidR="00447107" w:rsidRPr="00CA3201">
        <w:rPr>
          <w:rFonts w:ascii="Arial" w:hAnsi="Arial" w:cs="Arial"/>
        </w:rPr>
        <w:t xml:space="preserve">with binomial 95% confidence intervals (95% CI) </w:t>
      </w:r>
      <w:r w:rsidR="00303BF2" w:rsidRPr="00CA3201">
        <w:rPr>
          <w:rFonts w:ascii="Arial" w:hAnsi="Arial" w:cs="Arial"/>
        </w:rPr>
        <w:t xml:space="preserve">and </w:t>
      </w:r>
      <w:r w:rsidR="00B50283" w:rsidRPr="00CA3201">
        <w:rPr>
          <w:rFonts w:ascii="Arial" w:hAnsi="Arial" w:cs="Arial"/>
        </w:rPr>
        <w:t>compared using the chi-squared</w:t>
      </w:r>
      <w:r w:rsidR="00B50283" w:rsidRPr="00FB49B7">
        <w:rPr>
          <w:rFonts w:ascii="Arial" w:hAnsi="Arial" w:cs="Arial"/>
        </w:rPr>
        <w:t xml:space="preserve"> test or </w:t>
      </w:r>
      <w:r w:rsidR="004833E2">
        <w:rPr>
          <w:rFonts w:ascii="Arial" w:hAnsi="Arial" w:cs="Arial"/>
        </w:rPr>
        <w:t xml:space="preserve">two-tailed </w:t>
      </w:r>
      <w:r w:rsidR="00B50283" w:rsidRPr="00FB49B7">
        <w:rPr>
          <w:rFonts w:ascii="Arial" w:hAnsi="Arial" w:cs="Arial"/>
        </w:rPr>
        <w:t>Fisher</w:t>
      </w:r>
      <w:r>
        <w:rPr>
          <w:rFonts w:ascii="Arial" w:hAnsi="Arial" w:cs="Arial"/>
        </w:rPr>
        <w:t>’s</w:t>
      </w:r>
      <w:r w:rsidR="00B50283" w:rsidRPr="00FB49B7">
        <w:rPr>
          <w:rFonts w:ascii="Arial" w:hAnsi="Arial" w:cs="Arial"/>
        </w:rPr>
        <w:t xml:space="preserve"> Exact test</w:t>
      </w:r>
      <w:r w:rsidR="009F6621" w:rsidRPr="00FB49B7">
        <w:rPr>
          <w:rFonts w:ascii="Arial" w:hAnsi="Arial" w:cs="Arial"/>
        </w:rPr>
        <w:t>. Conti</w:t>
      </w:r>
      <w:r w:rsidR="00C36529" w:rsidRPr="00FB49B7">
        <w:rPr>
          <w:rFonts w:ascii="Arial" w:hAnsi="Arial" w:cs="Arial"/>
        </w:rPr>
        <w:t>n</w:t>
      </w:r>
      <w:r w:rsidR="00303BF2" w:rsidRPr="00FB49B7">
        <w:rPr>
          <w:rFonts w:ascii="Arial" w:hAnsi="Arial" w:cs="Arial"/>
        </w:rPr>
        <w:t>u</w:t>
      </w:r>
      <w:r w:rsidR="00C36529" w:rsidRPr="00FB49B7">
        <w:rPr>
          <w:rFonts w:ascii="Arial" w:hAnsi="Arial" w:cs="Arial"/>
        </w:rPr>
        <w:t>ous variables that did not</w:t>
      </w:r>
      <w:r w:rsidR="00303BF2" w:rsidRPr="00FB49B7">
        <w:rPr>
          <w:rFonts w:ascii="Arial" w:hAnsi="Arial" w:cs="Arial"/>
        </w:rPr>
        <w:t xml:space="preserve"> follow a normal distribution </w:t>
      </w:r>
      <w:r w:rsidR="00A8732E">
        <w:rPr>
          <w:rFonts w:ascii="Arial" w:hAnsi="Arial" w:cs="Arial"/>
        </w:rPr>
        <w:t>were</w:t>
      </w:r>
      <w:r w:rsidR="00A8732E" w:rsidRPr="00FB49B7">
        <w:rPr>
          <w:rFonts w:ascii="Arial" w:hAnsi="Arial" w:cs="Arial"/>
        </w:rPr>
        <w:t xml:space="preserve"> </w:t>
      </w:r>
      <w:r w:rsidR="009F6621" w:rsidRPr="008C6D8D">
        <w:rPr>
          <w:rFonts w:ascii="Arial" w:hAnsi="Arial" w:cs="Arial"/>
        </w:rPr>
        <w:t>described as median</w:t>
      </w:r>
      <w:r w:rsidR="00B50283" w:rsidRPr="008C6D8D">
        <w:rPr>
          <w:rFonts w:ascii="Arial" w:hAnsi="Arial" w:cs="Arial"/>
        </w:rPr>
        <w:t>s</w:t>
      </w:r>
      <w:r w:rsidR="009F6621" w:rsidRPr="008C6D8D">
        <w:rPr>
          <w:rFonts w:ascii="Arial" w:hAnsi="Arial" w:cs="Arial"/>
        </w:rPr>
        <w:t xml:space="preserve"> </w:t>
      </w:r>
      <w:r w:rsidR="00B50283" w:rsidRPr="008C6D8D">
        <w:rPr>
          <w:rFonts w:ascii="Arial" w:hAnsi="Arial" w:cs="Arial"/>
        </w:rPr>
        <w:t xml:space="preserve">with </w:t>
      </w:r>
      <w:r w:rsidR="009F6621" w:rsidRPr="008C6D8D">
        <w:rPr>
          <w:rFonts w:ascii="Arial" w:hAnsi="Arial" w:cs="Arial"/>
        </w:rPr>
        <w:t>interqua</w:t>
      </w:r>
      <w:r w:rsidR="009E56EC" w:rsidRPr="00202655">
        <w:rPr>
          <w:rFonts w:ascii="Arial" w:hAnsi="Arial" w:cs="Arial"/>
        </w:rPr>
        <w:t>r</w:t>
      </w:r>
      <w:r w:rsidR="009F6621" w:rsidRPr="00202655">
        <w:rPr>
          <w:rFonts w:ascii="Arial" w:hAnsi="Arial" w:cs="Arial"/>
        </w:rPr>
        <w:t>tile ranges</w:t>
      </w:r>
      <w:r w:rsidR="00B50283" w:rsidRPr="00054FDF">
        <w:rPr>
          <w:rFonts w:ascii="Arial" w:hAnsi="Arial" w:cs="Arial"/>
        </w:rPr>
        <w:t xml:space="preserve"> </w:t>
      </w:r>
      <w:r w:rsidR="00C701C4" w:rsidRPr="00054FDF">
        <w:rPr>
          <w:rFonts w:ascii="Arial" w:hAnsi="Arial" w:cs="Arial"/>
        </w:rPr>
        <w:t xml:space="preserve">(IQR) </w:t>
      </w:r>
      <w:r w:rsidR="00B50283" w:rsidRPr="00054FDF">
        <w:rPr>
          <w:rFonts w:ascii="Arial" w:hAnsi="Arial" w:cs="Arial"/>
        </w:rPr>
        <w:t>and compared using the Mann-Whitney U test</w:t>
      </w:r>
      <w:r w:rsidR="00C36529" w:rsidRPr="00525C2D">
        <w:rPr>
          <w:rFonts w:ascii="Arial" w:hAnsi="Arial" w:cs="Arial"/>
        </w:rPr>
        <w:t xml:space="preserve">. </w:t>
      </w:r>
      <w:r w:rsidR="00734681">
        <w:rPr>
          <w:rFonts w:ascii="Arial" w:hAnsi="Arial" w:cs="Arial"/>
        </w:rPr>
        <w:t>Multivariabl</w:t>
      </w:r>
      <w:r w:rsidR="008C6D8D" w:rsidRPr="008C6D8D">
        <w:rPr>
          <w:rFonts w:ascii="Arial" w:hAnsi="Arial" w:cs="Arial"/>
        </w:rPr>
        <w:t>e logistic regression was used to investigate relationships between variables using the largest group as the baseline</w:t>
      </w:r>
      <w:r w:rsidR="004833E2">
        <w:rPr>
          <w:rFonts w:ascii="Arial" w:hAnsi="Arial" w:cs="Arial"/>
        </w:rPr>
        <w:t xml:space="preserve"> and adjusting for age</w:t>
      </w:r>
      <w:r w:rsidR="00321641">
        <w:rPr>
          <w:rFonts w:ascii="Arial" w:hAnsi="Arial" w:cs="Arial"/>
        </w:rPr>
        <w:t xml:space="preserve"> as a continuous variable</w:t>
      </w:r>
      <w:r w:rsidR="00677852">
        <w:rPr>
          <w:rFonts w:ascii="Arial" w:hAnsi="Arial" w:cs="Arial"/>
        </w:rPr>
        <w:t>,</w:t>
      </w:r>
      <w:r w:rsidR="004833E2">
        <w:rPr>
          <w:rFonts w:ascii="Arial" w:hAnsi="Arial" w:cs="Arial"/>
        </w:rPr>
        <w:t xml:space="preserve"> gender</w:t>
      </w:r>
      <w:r w:rsidR="00677852">
        <w:rPr>
          <w:rFonts w:ascii="Arial" w:hAnsi="Arial" w:cs="Arial"/>
        </w:rPr>
        <w:t xml:space="preserve"> and </w:t>
      </w:r>
      <w:r w:rsidR="0075091E">
        <w:rPr>
          <w:rFonts w:ascii="Arial" w:hAnsi="Arial" w:cs="Arial"/>
        </w:rPr>
        <w:t>co-morbidity status</w:t>
      </w:r>
      <w:r w:rsidR="008C6D8D" w:rsidRPr="006E13A1">
        <w:rPr>
          <w:rFonts w:cs="Calibri"/>
        </w:rPr>
        <w:t>.</w:t>
      </w:r>
      <w:r w:rsidR="008C6D8D" w:rsidRPr="001D055C">
        <w:rPr>
          <w:rFonts w:cs="Calibri"/>
        </w:rPr>
        <w:t xml:space="preserve"> </w:t>
      </w:r>
      <w:r w:rsidR="00303BF2" w:rsidRPr="00FB49B7">
        <w:rPr>
          <w:rFonts w:ascii="Arial" w:hAnsi="Arial" w:cs="Arial"/>
        </w:rPr>
        <w:t>The serotype distribution among vaccine failure cases were compared to overall laboratory-confirmed IPD cases in the same age group in the nearest complete epidemiological year before the introduction of the relevant PCV (i.e. 2005/06 for PCV7 failures and 2009/10 for PCV13 failure</w:t>
      </w:r>
      <w:r w:rsidR="00CD2634">
        <w:rPr>
          <w:rFonts w:ascii="Arial" w:hAnsi="Arial" w:cs="Arial"/>
        </w:rPr>
        <w:t>s</w:t>
      </w:r>
      <w:r w:rsidR="00303BF2" w:rsidRPr="00FB49B7">
        <w:rPr>
          <w:rFonts w:ascii="Arial" w:hAnsi="Arial" w:cs="Arial"/>
        </w:rPr>
        <w:t>).</w:t>
      </w:r>
      <w:r w:rsidR="001365D3">
        <w:rPr>
          <w:rFonts w:ascii="Arial" w:hAnsi="Arial" w:cs="Arial"/>
        </w:rPr>
        <w:t xml:space="preserve"> </w:t>
      </w:r>
      <w:r w:rsidR="004B1A67">
        <w:rPr>
          <w:rFonts w:ascii="Arial" w:hAnsi="Arial" w:cs="Arial"/>
        </w:rPr>
        <w:t>A p value of &lt;0.05 was considered statistically significant; in Table 2, t</w:t>
      </w:r>
      <w:r w:rsidR="007A01A5">
        <w:rPr>
          <w:rFonts w:ascii="Arial" w:hAnsi="Arial" w:cs="Arial"/>
        </w:rPr>
        <w:t>he</w:t>
      </w:r>
      <w:r w:rsidR="005641EC">
        <w:rPr>
          <w:rFonts w:ascii="Arial" w:hAnsi="Arial" w:cs="Arial"/>
        </w:rPr>
        <w:t xml:space="preserve"> Bonferroni correction was applied </w:t>
      </w:r>
      <w:r w:rsidR="0095737A">
        <w:rPr>
          <w:rFonts w:ascii="Arial" w:hAnsi="Arial" w:cs="Arial"/>
        </w:rPr>
        <w:t xml:space="preserve">for multiple comparisons </w:t>
      </w:r>
      <w:r w:rsidR="00793FCE">
        <w:rPr>
          <w:rFonts w:ascii="Arial" w:hAnsi="Arial" w:cs="Arial"/>
        </w:rPr>
        <w:t>among</w:t>
      </w:r>
      <w:r w:rsidR="00286E37">
        <w:rPr>
          <w:rFonts w:ascii="Arial" w:hAnsi="Arial" w:cs="Arial"/>
        </w:rPr>
        <w:t xml:space="preserve"> PCV7 a</w:t>
      </w:r>
      <w:r w:rsidR="00C654D2">
        <w:rPr>
          <w:rFonts w:ascii="Arial" w:hAnsi="Arial" w:cs="Arial"/>
        </w:rPr>
        <w:t>nd PCV13 serotypes</w:t>
      </w:r>
      <w:r w:rsidR="005641EC">
        <w:rPr>
          <w:rFonts w:ascii="Arial" w:hAnsi="Arial" w:cs="Arial"/>
        </w:rPr>
        <w:t>.</w:t>
      </w:r>
      <w:r w:rsidR="004A7838">
        <w:rPr>
          <w:rFonts w:ascii="Arial" w:hAnsi="Arial" w:cs="Arial"/>
          <w:b/>
          <w:sz w:val="24"/>
        </w:rPr>
        <w:br w:type="page"/>
      </w:r>
    </w:p>
    <w:p w14:paraId="31BF8EEA" w14:textId="77777777" w:rsidR="00A23132" w:rsidRPr="00CF1396" w:rsidRDefault="00FB49B7" w:rsidP="00D474C8">
      <w:pPr>
        <w:spacing w:line="480" w:lineRule="auto"/>
        <w:rPr>
          <w:rFonts w:ascii="Arial" w:hAnsi="Arial" w:cs="Arial"/>
          <w:b/>
          <w:sz w:val="24"/>
        </w:rPr>
      </w:pPr>
      <w:r w:rsidRPr="00CF1396">
        <w:rPr>
          <w:rFonts w:ascii="Arial" w:hAnsi="Arial" w:cs="Arial"/>
          <w:b/>
          <w:sz w:val="24"/>
        </w:rPr>
        <w:t>RESULTS</w:t>
      </w:r>
    </w:p>
    <w:p w14:paraId="1CDA7024" w14:textId="77777777" w:rsidR="00C701C4" w:rsidRDefault="002F131A" w:rsidP="00D474C8">
      <w:pPr>
        <w:spacing w:line="480" w:lineRule="auto"/>
        <w:rPr>
          <w:rFonts w:ascii="Arial" w:hAnsi="Arial" w:cs="Arial"/>
        </w:rPr>
      </w:pPr>
      <w:r>
        <w:rPr>
          <w:rFonts w:ascii="Arial" w:hAnsi="Arial" w:cs="Arial"/>
        </w:rPr>
        <w:t>Over the eight-year surveillance period (</w:t>
      </w:r>
      <w:r w:rsidR="007E08E1" w:rsidRPr="00FB49B7">
        <w:rPr>
          <w:rFonts w:ascii="Arial" w:hAnsi="Arial" w:cs="Arial"/>
        </w:rPr>
        <w:t>04 September 2006</w:t>
      </w:r>
      <w:r w:rsidR="00B24887" w:rsidRPr="00FB49B7">
        <w:rPr>
          <w:rFonts w:ascii="Arial" w:hAnsi="Arial" w:cs="Arial"/>
        </w:rPr>
        <w:t xml:space="preserve"> </w:t>
      </w:r>
      <w:r w:rsidR="00C701C4" w:rsidRPr="00FB49B7">
        <w:rPr>
          <w:rFonts w:ascii="Arial" w:hAnsi="Arial" w:cs="Arial"/>
        </w:rPr>
        <w:t>to</w:t>
      </w:r>
      <w:r w:rsidR="007E08E1" w:rsidRPr="00FB49B7">
        <w:rPr>
          <w:rFonts w:ascii="Arial" w:hAnsi="Arial" w:cs="Arial"/>
        </w:rPr>
        <w:t xml:space="preserve"> 03 September</w:t>
      </w:r>
      <w:r w:rsidR="00B24887" w:rsidRPr="00FB49B7">
        <w:rPr>
          <w:rFonts w:ascii="Arial" w:hAnsi="Arial" w:cs="Arial"/>
        </w:rPr>
        <w:t xml:space="preserve"> </w:t>
      </w:r>
      <w:r w:rsidR="00263130" w:rsidRPr="00FB49B7">
        <w:rPr>
          <w:rFonts w:ascii="Arial" w:hAnsi="Arial" w:cs="Arial"/>
        </w:rPr>
        <w:t>2014</w:t>
      </w:r>
      <w:r>
        <w:rPr>
          <w:rFonts w:ascii="Arial" w:hAnsi="Arial" w:cs="Arial"/>
        </w:rPr>
        <w:t>)</w:t>
      </w:r>
      <w:r w:rsidR="00263130" w:rsidRPr="00FB49B7">
        <w:rPr>
          <w:rFonts w:ascii="Arial" w:hAnsi="Arial" w:cs="Arial"/>
        </w:rPr>
        <w:t xml:space="preserve">, </w:t>
      </w:r>
      <w:r w:rsidR="00E038CE" w:rsidRPr="00FB49B7">
        <w:rPr>
          <w:rFonts w:ascii="Arial" w:hAnsi="Arial" w:cs="Arial"/>
        </w:rPr>
        <w:t>163</w:t>
      </w:r>
      <w:r w:rsidR="00B24887" w:rsidRPr="00FB49B7">
        <w:rPr>
          <w:rFonts w:ascii="Arial" w:hAnsi="Arial" w:cs="Arial"/>
        </w:rPr>
        <w:t xml:space="preserve"> </w:t>
      </w:r>
      <w:r>
        <w:rPr>
          <w:rFonts w:ascii="Arial" w:hAnsi="Arial" w:cs="Arial"/>
        </w:rPr>
        <w:t xml:space="preserve">PCV </w:t>
      </w:r>
      <w:r w:rsidR="00A8732E" w:rsidRPr="00FB49B7">
        <w:rPr>
          <w:rFonts w:ascii="Arial" w:hAnsi="Arial" w:cs="Arial"/>
        </w:rPr>
        <w:t>failure</w:t>
      </w:r>
      <w:r w:rsidR="00A8732E">
        <w:rPr>
          <w:rFonts w:ascii="Arial" w:hAnsi="Arial" w:cs="Arial"/>
        </w:rPr>
        <w:t xml:space="preserve"> </w:t>
      </w:r>
      <w:r w:rsidR="00A8732E" w:rsidRPr="00FB49B7">
        <w:rPr>
          <w:rFonts w:ascii="Arial" w:hAnsi="Arial" w:cs="Arial"/>
        </w:rPr>
        <w:t xml:space="preserve">episodes </w:t>
      </w:r>
      <w:r w:rsidR="00D630C1" w:rsidRPr="00FB49B7">
        <w:rPr>
          <w:rFonts w:ascii="Arial" w:hAnsi="Arial" w:cs="Arial"/>
        </w:rPr>
        <w:t xml:space="preserve">were </w:t>
      </w:r>
      <w:r w:rsidR="007E3B8B" w:rsidRPr="00FB49B7">
        <w:rPr>
          <w:rFonts w:ascii="Arial" w:hAnsi="Arial" w:cs="Arial"/>
        </w:rPr>
        <w:t>confirmed</w:t>
      </w:r>
      <w:r w:rsidR="00D630C1" w:rsidRPr="00FB49B7">
        <w:rPr>
          <w:rFonts w:ascii="Arial" w:hAnsi="Arial" w:cs="Arial"/>
        </w:rPr>
        <w:t xml:space="preserve"> in </w:t>
      </w:r>
      <w:r w:rsidR="00B779EE" w:rsidRPr="00FB49B7">
        <w:rPr>
          <w:rFonts w:ascii="Arial" w:hAnsi="Arial" w:cs="Arial"/>
        </w:rPr>
        <w:t>161</w:t>
      </w:r>
      <w:r w:rsidR="00B24887" w:rsidRPr="00FB49B7">
        <w:rPr>
          <w:rFonts w:ascii="Arial" w:hAnsi="Arial" w:cs="Arial"/>
        </w:rPr>
        <w:t xml:space="preserve"> </w:t>
      </w:r>
      <w:r w:rsidR="00474601" w:rsidRPr="00FB49B7">
        <w:rPr>
          <w:rFonts w:ascii="Arial" w:hAnsi="Arial" w:cs="Arial"/>
        </w:rPr>
        <w:t xml:space="preserve">children </w:t>
      </w:r>
      <w:r w:rsidR="00AE1307" w:rsidRPr="00FB49B7">
        <w:rPr>
          <w:rFonts w:ascii="Arial" w:hAnsi="Arial" w:cs="Arial"/>
        </w:rPr>
        <w:t>aged &lt;5 years from ten birth cohorts</w:t>
      </w:r>
      <w:r w:rsidR="00E038CE" w:rsidRPr="00FB49B7">
        <w:rPr>
          <w:rFonts w:ascii="Arial" w:hAnsi="Arial" w:cs="Arial"/>
        </w:rPr>
        <w:t xml:space="preserve">. </w:t>
      </w:r>
      <w:r w:rsidR="007D5E55" w:rsidRPr="00FB49B7">
        <w:rPr>
          <w:rFonts w:ascii="Arial" w:hAnsi="Arial" w:cs="Arial"/>
        </w:rPr>
        <w:t xml:space="preserve">Complete clinical questionnaires and </w:t>
      </w:r>
      <w:r w:rsidRPr="00FB49B7">
        <w:rPr>
          <w:rFonts w:ascii="Arial" w:hAnsi="Arial" w:cs="Arial"/>
        </w:rPr>
        <w:t xml:space="preserve">responsible </w:t>
      </w:r>
      <w:r w:rsidR="007D5E55" w:rsidRPr="00FB49B7">
        <w:rPr>
          <w:rFonts w:ascii="Arial" w:hAnsi="Arial" w:cs="Arial"/>
        </w:rPr>
        <w:t xml:space="preserve">serotypes were available for all children. </w:t>
      </w:r>
    </w:p>
    <w:p w14:paraId="0DFCFD54" w14:textId="77777777" w:rsidR="00016662" w:rsidRPr="00FB49B7" w:rsidRDefault="00016662" w:rsidP="00D474C8">
      <w:pPr>
        <w:spacing w:line="480" w:lineRule="auto"/>
        <w:rPr>
          <w:rFonts w:ascii="Arial" w:hAnsi="Arial" w:cs="Arial"/>
        </w:rPr>
      </w:pPr>
    </w:p>
    <w:p w14:paraId="030CD359" w14:textId="77777777" w:rsidR="00815CD3" w:rsidRPr="00CF1396" w:rsidRDefault="00815CD3" w:rsidP="00D474C8">
      <w:pPr>
        <w:spacing w:before="120" w:line="480" w:lineRule="auto"/>
        <w:rPr>
          <w:rFonts w:ascii="Arial" w:hAnsi="Arial" w:cs="Arial"/>
          <w:b/>
          <w:sz w:val="24"/>
        </w:rPr>
      </w:pPr>
      <w:r w:rsidRPr="00CF1396">
        <w:rPr>
          <w:rFonts w:ascii="Arial" w:hAnsi="Arial" w:cs="Arial"/>
          <w:b/>
          <w:sz w:val="24"/>
        </w:rPr>
        <w:t>Types of failure</w:t>
      </w:r>
    </w:p>
    <w:p w14:paraId="1E14AEA3" w14:textId="2D9B9B5D" w:rsidR="00024E63" w:rsidRDefault="00C701C4" w:rsidP="00D474C8">
      <w:pPr>
        <w:spacing w:line="480" w:lineRule="auto"/>
        <w:rPr>
          <w:rFonts w:ascii="Arial" w:eastAsia="Times New Roman" w:hAnsi="Arial" w:cs="Arial"/>
          <w:color w:val="000000"/>
        </w:rPr>
      </w:pPr>
      <w:r w:rsidRPr="00FB49B7">
        <w:rPr>
          <w:rFonts w:ascii="Arial" w:hAnsi="Arial" w:cs="Arial"/>
        </w:rPr>
        <w:t xml:space="preserve">Of the 161 </w:t>
      </w:r>
      <w:r w:rsidR="007E3B8B" w:rsidRPr="00FB49B7">
        <w:rPr>
          <w:rFonts w:ascii="Arial" w:hAnsi="Arial" w:cs="Arial"/>
        </w:rPr>
        <w:t>children</w:t>
      </w:r>
      <w:r w:rsidRPr="00FB49B7">
        <w:rPr>
          <w:rFonts w:ascii="Arial" w:hAnsi="Arial" w:cs="Arial"/>
        </w:rPr>
        <w:t>, one third (n=5</w:t>
      </w:r>
      <w:r w:rsidR="00E821E0">
        <w:rPr>
          <w:rFonts w:ascii="Arial" w:hAnsi="Arial" w:cs="Arial"/>
        </w:rPr>
        <w:t>7</w:t>
      </w:r>
      <w:r w:rsidRPr="00FB49B7">
        <w:rPr>
          <w:rFonts w:ascii="Arial" w:hAnsi="Arial" w:cs="Arial"/>
        </w:rPr>
        <w:t xml:space="preserve">, </w:t>
      </w:r>
      <w:r w:rsidR="00290F0A" w:rsidRPr="00FB49B7">
        <w:rPr>
          <w:rFonts w:ascii="Arial" w:hAnsi="Arial" w:cs="Arial"/>
        </w:rPr>
        <w:t>3</w:t>
      </w:r>
      <w:r w:rsidR="00E821E0">
        <w:rPr>
          <w:rFonts w:ascii="Arial" w:hAnsi="Arial" w:cs="Arial"/>
        </w:rPr>
        <w:t>5</w:t>
      </w:r>
      <w:r w:rsidR="00290F0A">
        <w:rPr>
          <w:rFonts w:ascii="Arial" w:hAnsi="Arial" w:cs="Arial"/>
        </w:rPr>
        <w:t>.</w:t>
      </w:r>
      <w:r w:rsidR="00E821E0">
        <w:rPr>
          <w:rFonts w:ascii="Arial" w:hAnsi="Arial" w:cs="Arial"/>
        </w:rPr>
        <w:t>4</w:t>
      </w:r>
      <w:r w:rsidRPr="00FB49B7">
        <w:rPr>
          <w:rFonts w:ascii="Arial" w:hAnsi="Arial" w:cs="Arial"/>
        </w:rPr>
        <w:t>%) were exclusively PCV7 failures</w:t>
      </w:r>
      <w:r w:rsidR="00E00D31" w:rsidRPr="00FB49B7">
        <w:rPr>
          <w:rFonts w:ascii="Arial" w:hAnsi="Arial" w:cs="Arial"/>
        </w:rPr>
        <w:t>, including 12 after</w:t>
      </w:r>
      <w:r w:rsidR="000860A1" w:rsidRPr="00FB49B7">
        <w:rPr>
          <w:rFonts w:ascii="Arial" w:hAnsi="Arial" w:cs="Arial"/>
        </w:rPr>
        <w:t xml:space="preserve"> </w:t>
      </w:r>
      <w:r w:rsidR="00D37EE7">
        <w:rPr>
          <w:rFonts w:ascii="Arial" w:hAnsi="Arial" w:cs="Arial"/>
        </w:rPr>
        <w:t xml:space="preserve">completing the 2+1 schedule </w:t>
      </w:r>
      <w:r w:rsidR="00E00D31" w:rsidRPr="00FB49B7">
        <w:rPr>
          <w:rFonts w:ascii="Arial" w:hAnsi="Arial" w:cs="Arial"/>
        </w:rPr>
        <w:t>(</w:t>
      </w:r>
      <w:r w:rsidR="00E00D31" w:rsidRPr="00FB49B7">
        <w:rPr>
          <w:rFonts w:ascii="Arial" w:hAnsi="Arial" w:cs="Arial"/>
          <w:b/>
          <w:color w:val="FF0000"/>
        </w:rPr>
        <w:t>Table 1</w:t>
      </w:r>
      <w:r w:rsidR="00E00D31" w:rsidRPr="00FB49B7">
        <w:rPr>
          <w:rFonts w:ascii="Arial" w:hAnsi="Arial" w:cs="Arial"/>
        </w:rPr>
        <w:t xml:space="preserve">). </w:t>
      </w:r>
      <w:r w:rsidR="00D14365" w:rsidRPr="00FB49B7">
        <w:rPr>
          <w:rFonts w:ascii="Arial" w:hAnsi="Arial" w:cs="Arial"/>
        </w:rPr>
        <w:t>After</w:t>
      </w:r>
      <w:r w:rsidR="007E3B8B" w:rsidRPr="00FB49B7">
        <w:rPr>
          <w:rFonts w:ascii="Arial" w:hAnsi="Arial" w:cs="Arial"/>
        </w:rPr>
        <w:t xml:space="preserve"> PCV13 </w:t>
      </w:r>
      <w:r w:rsidR="00D14365" w:rsidRPr="00FB49B7">
        <w:rPr>
          <w:rFonts w:ascii="Arial" w:hAnsi="Arial" w:cs="Arial"/>
        </w:rPr>
        <w:t>introduction</w:t>
      </w:r>
      <w:r w:rsidR="007E3B8B" w:rsidRPr="00FB49B7">
        <w:rPr>
          <w:rFonts w:ascii="Arial" w:hAnsi="Arial" w:cs="Arial"/>
        </w:rPr>
        <w:t>, there were 10</w:t>
      </w:r>
      <w:r w:rsidR="00E821E0">
        <w:rPr>
          <w:rFonts w:ascii="Arial" w:hAnsi="Arial" w:cs="Arial"/>
        </w:rPr>
        <w:t>4</w:t>
      </w:r>
      <w:r w:rsidR="00D14365" w:rsidRPr="00FB49B7">
        <w:rPr>
          <w:rFonts w:ascii="Arial" w:hAnsi="Arial" w:cs="Arial"/>
        </w:rPr>
        <w:t xml:space="preserve"> additional failures</w:t>
      </w:r>
      <w:r w:rsidR="007E3B8B" w:rsidRPr="00FB49B7">
        <w:rPr>
          <w:rFonts w:ascii="Arial" w:hAnsi="Arial" w:cs="Arial"/>
        </w:rPr>
        <w:t xml:space="preserve">, including </w:t>
      </w:r>
      <w:r w:rsidR="000860A1" w:rsidRPr="00FB49B7">
        <w:rPr>
          <w:rFonts w:ascii="Arial" w:hAnsi="Arial" w:cs="Arial"/>
        </w:rPr>
        <w:t xml:space="preserve">28 after </w:t>
      </w:r>
      <w:r w:rsidR="00E821E0">
        <w:rPr>
          <w:rFonts w:ascii="Arial" w:hAnsi="Arial" w:cs="Arial"/>
        </w:rPr>
        <w:t>three</w:t>
      </w:r>
      <w:r w:rsidR="00E821E0" w:rsidRPr="00FB49B7">
        <w:rPr>
          <w:rFonts w:ascii="Arial" w:hAnsi="Arial" w:cs="Arial"/>
        </w:rPr>
        <w:t xml:space="preserve"> </w:t>
      </w:r>
      <w:r w:rsidR="000860A1" w:rsidRPr="00FB49B7">
        <w:rPr>
          <w:rFonts w:ascii="Arial" w:hAnsi="Arial" w:cs="Arial"/>
        </w:rPr>
        <w:t>PCV13 doses</w:t>
      </w:r>
      <w:r w:rsidR="00E821E0">
        <w:rPr>
          <w:rFonts w:ascii="Arial" w:hAnsi="Arial" w:cs="Arial"/>
        </w:rPr>
        <w:t xml:space="preserve">. </w:t>
      </w:r>
      <w:r w:rsidR="00043C9F" w:rsidRPr="00FB49B7">
        <w:rPr>
          <w:rFonts w:ascii="Arial" w:eastAsia="Times New Roman" w:hAnsi="Arial" w:cs="Arial"/>
          <w:color w:val="000000"/>
        </w:rPr>
        <w:t xml:space="preserve">Compared to PCV7 serotypes responsible for IPD </w:t>
      </w:r>
      <w:r w:rsidR="0013043D">
        <w:rPr>
          <w:rFonts w:ascii="Arial" w:eastAsia="Times New Roman" w:hAnsi="Arial" w:cs="Arial"/>
          <w:color w:val="000000"/>
        </w:rPr>
        <w:t>prior to PCV7 introduction</w:t>
      </w:r>
      <w:r w:rsidR="0015716D" w:rsidRPr="00FB49B7">
        <w:rPr>
          <w:rFonts w:ascii="Arial" w:eastAsia="Times New Roman" w:hAnsi="Arial" w:cs="Arial"/>
          <w:color w:val="000000"/>
        </w:rPr>
        <w:t xml:space="preserve"> (2005/06 epidemiological year)</w:t>
      </w:r>
      <w:r w:rsidR="00043C9F" w:rsidRPr="00FB49B7">
        <w:rPr>
          <w:rFonts w:ascii="Arial" w:eastAsia="Times New Roman" w:hAnsi="Arial" w:cs="Arial"/>
          <w:color w:val="000000"/>
        </w:rPr>
        <w:t>, serotypes 6B and 19F were significantly over-represented while serotypes 4 and 14 were under-represented among PCV7 vaccine failures (</w:t>
      </w:r>
      <w:r w:rsidR="00043C9F" w:rsidRPr="00290F0A">
        <w:rPr>
          <w:rFonts w:ascii="Arial" w:eastAsia="Times New Roman" w:hAnsi="Arial" w:cs="Arial"/>
          <w:b/>
          <w:color w:val="FF0000"/>
        </w:rPr>
        <w:t xml:space="preserve">Table </w:t>
      </w:r>
      <w:r w:rsidR="00C61D20">
        <w:rPr>
          <w:rFonts w:ascii="Arial" w:eastAsia="Times New Roman" w:hAnsi="Arial" w:cs="Arial"/>
          <w:b/>
          <w:color w:val="FF0000"/>
        </w:rPr>
        <w:t>2</w:t>
      </w:r>
      <w:r w:rsidR="00043C9F" w:rsidRPr="00FB49B7">
        <w:rPr>
          <w:rFonts w:ascii="Arial" w:eastAsia="Times New Roman" w:hAnsi="Arial" w:cs="Arial"/>
          <w:color w:val="000000"/>
        </w:rPr>
        <w:t>).</w:t>
      </w:r>
      <w:r w:rsidR="00B14040" w:rsidRPr="00FB49B7">
        <w:rPr>
          <w:rFonts w:ascii="Arial" w:eastAsia="Times New Roman" w:hAnsi="Arial" w:cs="Arial"/>
          <w:color w:val="000000"/>
        </w:rPr>
        <w:t xml:space="preserve"> </w:t>
      </w:r>
      <w:r w:rsidR="00043C9F" w:rsidRPr="00FB49B7">
        <w:rPr>
          <w:rFonts w:ascii="Arial" w:eastAsia="Times New Roman" w:hAnsi="Arial" w:cs="Arial"/>
          <w:color w:val="000000"/>
        </w:rPr>
        <w:t xml:space="preserve">Following </w:t>
      </w:r>
      <w:r w:rsidR="00B14040" w:rsidRPr="00FB49B7">
        <w:rPr>
          <w:rFonts w:ascii="Arial" w:eastAsia="Times New Roman" w:hAnsi="Arial" w:cs="Arial"/>
          <w:color w:val="000000"/>
        </w:rPr>
        <w:t>PCV13 introduction</w:t>
      </w:r>
      <w:r w:rsidR="00043C9F" w:rsidRPr="00FB49B7">
        <w:rPr>
          <w:rFonts w:ascii="Arial" w:eastAsia="Times New Roman" w:hAnsi="Arial" w:cs="Arial"/>
          <w:color w:val="000000"/>
        </w:rPr>
        <w:t xml:space="preserve">, serotype 3 </w:t>
      </w:r>
      <w:r w:rsidR="00B849F8">
        <w:rPr>
          <w:rFonts w:ascii="Arial" w:eastAsia="Times New Roman" w:hAnsi="Arial" w:cs="Arial"/>
          <w:color w:val="000000"/>
        </w:rPr>
        <w:t>was</w:t>
      </w:r>
      <w:r w:rsidR="00043C9F" w:rsidRPr="00FB49B7">
        <w:rPr>
          <w:rFonts w:ascii="Arial" w:eastAsia="Times New Roman" w:hAnsi="Arial" w:cs="Arial"/>
          <w:color w:val="000000"/>
        </w:rPr>
        <w:t xml:space="preserve"> significantly over-represented and serotype 7</w:t>
      </w:r>
      <w:r w:rsidR="00B849F8">
        <w:rPr>
          <w:rFonts w:ascii="Arial" w:eastAsia="Times New Roman" w:hAnsi="Arial" w:cs="Arial"/>
          <w:color w:val="000000"/>
        </w:rPr>
        <w:t>F</w:t>
      </w:r>
      <w:r w:rsidR="00043C9F" w:rsidRPr="00FB49B7">
        <w:rPr>
          <w:rFonts w:ascii="Arial" w:eastAsia="Times New Roman" w:hAnsi="Arial" w:cs="Arial"/>
          <w:color w:val="000000"/>
        </w:rPr>
        <w:t xml:space="preserve"> under-represented among PCV13 vaccine failures when compared to PCV13 serotypes responsible for IPD during 2009/10 (</w:t>
      </w:r>
      <w:r w:rsidR="00043C9F" w:rsidRPr="00290F0A">
        <w:rPr>
          <w:rFonts w:ascii="Arial" w:eastAsia="Times New Roman" w:hAnsi="Arial" w:cs="Arial"/>
          <w:b/>
          <w:color w:val="FF0000"/>
        </w:rPr>
        <w:t>Table 2</w:t>
      </w:r>
      <w:r w:rsidR="00043C9F" w:rsidRPr="00FB49B7">
        <w:rPr>
          <w:rFonts w:ascii="Arial" w:eastAsia="Times New Roman" w:hAnsi="Arial" w:cs="Arial"/>
          <w:color w:val="000000"/>
        </w:rPr>
        <w:t>).</w:t>
      </w:r>
      <w:r w:rsidR="00811CFE">
        <w:rPr>
          <w:rFonts w:ascii="Arial" w:eastAsia="Times New Roman" w:hAnsi="Arial" w:cs="Arial"/>
          <w:color w:val="000000"/>
        </w:rPr>
        <w:t xml:space="preserve"> In 2013/14, eight serotypes contributed to 23 vaccine failure cases, including nine (39%) due to serotype 3, four (17%) serotype 1 and three each (13%) of </w:t>
      </w:r>
      <w:r w:rsidR="000C1C90">
        <w:rPr>
          <w:rFonts w:ascii="Arial" w:eastAsia="Times New Roman" w:hAnsi="Arial" w:cs="Arial"/>
          <w:color w:val="000000"/>
        </w:rPr>
        <w:t>serotypes 19A and 19</w:t>
      </w:r>
      <w:r w:rsidR="00DC5D4A">
        <w:rPr>
          <w:rFonts w:ascii="Arial" w:eastAsia="Times New Roman" w:hAnsi="Arial" w:cs="Arial"/>
          <w:color w:val="000000"/>
        </w:rPr>
        <w:t>F</w:t>
      </w:r>
      <w:r w:rsidR="000C1C90">
        <w:rPr>
          <w:rFonts w:ascii="Arial" w:eastAsia="Times New Roman" w:hAnsi="Arial" w:cs="Arial"/>
          <w:color w:val="000000"/>
        </w:rPr>
        <w:t xml:space="preserve"> (</w:t>
      </w:r>
      <w:r w:rsidR="00575D02" w:rsidRPr="00D474C8">
        <w:rPr>
          <w:rFonts w:ascii="Arial" w:eastAsia="Times New Roman" w:hAnsi="Arial" w:cs="Arial"/>
          <w:b/>
          <w:color w:val="FF0000"/>
        </w:rPr>
        <w:t>Figure 1</w:t>
      </w:r>
      <w:r w:rsidR="000C1C90">
        <w:rPr>
          <w:rFonts w:ascii="Arial" w:eastAsia="Times New Roman" w:hAnsi="Arial" w:cs="Arial"/>
          <w:color w:val="000000"/>
        </w:rPr>
        <w:t>).</w:t>
      </w:r>
      <w:r w:rsidR="00665EC5">
        <w:rPr>
          <w:rFonts w:ascii="Arial" w:eastAsia="Times New Roman" w:hAnsi="Arial" w:cs="Arial"/>
          <w:color w:val="000000"/>
        </w:rPr>
        <w:t xml:space="preserve"> </w:t>
      </w:r>
    </w:p>
    <w:p w14:paraId="1A7C6AA0" w14:textId="77777777" w:rsidR="00811CFE" w:rsidRDefault="0099690B" w:rsidP="00D474C8">
      <w:pPr>
        <w:spacing w:line="480" w:lineRule="auto"/>
        <w:rPr>
          <w:rFonts w:ascii="Arial" w:eastAsia="Times New Roman" w:hAnsi="Arial" w:cs="Arial"/>
          <w:color w:val="000000"/>
        </w:rPr>
      </w:pPr>
      <w:r>
        <w:rPr>
          <w:rFonts w:ascii="Arial" w:eastAsia="Times New Roman" w:hAnsi="Arial" w:cs="Arial"/>
          <w:color w:val="000000"/>
        </w:rPr>
        <w:t>Following the 2+0 schedule, although there were very few cases, serotype 19A failures cluster</w:t>
      </w:r>
      <w:r w:rsidR="00575D02">
        <w:rPr>
          <w:rFonts w:ascii="Arial" w:eastAsia="Times New Roman" w:hAnsi="Arial" w:cs="Arial"/>
          <w:color w:val="000000"/>
        </w:rPr>
        <w:t>ed</w:t>
      </w:r>
      <w:r>
        <w:rPr>
          <w:rFonts w:ascii="Arial" w:eastAsia="Times New Roman" w:hAnsi="Arial" w:cs="Arial"/>
          <w:color w:val="000000"/>
        </w:rPr>
        <w:t xml:space="preserve"> during the three months prior to the 12-month booster (</w:t>
      </w:r>
      <w:r w:rsidRPr="00D474C8">
        <w:rPr>
          <w:rFonts w:ascii="Arial" w:eastAsia="Times New Roman" w:hAnsi="Arial" w:cs="Arial"/>
          <w:b/>
          <w:color w:val="FF0000"/>
        </w:rPr>
        <w:t xml:space="preserve">Figure </w:t>
      </w:r>
      <w:r w:rsidR="00575D02" w:rsidRPr="00D474C8">
        <w:rPr>
          <w:rFonts w:ascii="Arial" w:eastAsia="Times New Roman" w:hAnsi="Arial" w:cs="Arial"/>
          <w:b/>
          <w:color w:val="FF0000"/>
        </w:rPr>
        <w:t>2</w:t>
      </w:r>
      <w:r>
        <w:rPr>
          <w:rFonts w:ascii="Arial" w:eastAsia="Times New Roman" w:hAnsi="Arial" w:cs="Arial"/>
          <w:color w:val="000000"/>
        </w:rPr>
        <w:t>). This was not observed for any of the other PCV13 serotypes, including serotype 3. Additionally, o</w:t>
      </w:r>
      <w:r w:rsidR="005446CD" w:rsidRPr="00D474C8">
        <w:rPr>
          <w:rFonts w:ascii="Arial" w:eastAsia="Times New Roman" w:hAnsi="Arial" w:cs="Arial"/>
          <w:color w:val="000000"/>
        </w:rPr>
        <w:t>f the 18 serotype 19A IPD cases</w:t>
      </w:r>
      <w:r w:rsidR="00024E63">
        <w:rPr>
          <w:rFonts w:ascii="Arial" w:eastAsia="Times New Roman" w:hAnsi="Arial" w:cs="Arial"/>
          <w:color w:val="000000"/>
        </w:rPr>
        <w:t xml:space="preserve"> </w:t>
      </w:r>
      <w:r w:rsidR="00575D02">
        <w:rPr>
          <w:rFonts w:ascii="Arial" w:eastAsia="Times New Roman" w:hAnsi="Arial" w:cs="Arial"/>
          <w:color w:val="000000"/>
        </w:rPr>
        <w:t xml:space="preserve">diagnosed </w:t>
      </w:r>
      <w:r w:rsidR="00024E63">
        <w:rPr>
          <w:rFonts w:ascii="Arial" w:eastAsia="Times New Roman" w:hAnsi="Arial" w:cs="Arial"/>
          <w:color w:val="000000"/>
        </w:rPr>
        <w:t>after 12 months of age</w:t>
      </w:r>
      <w:r w:rsidR="005446CD" w:rsidRPr="00D474C8">
        <w:rPr>
          <w:rFonts w:ascii="Arial" w:eastAsia="Times New Roman" w:hAnsi="Arial" w:cs="Arial"/>
          <w:color w:val="000000"/>
        </w:rPr>
        <w:t xml:space="preserve">, only two </w:t>
      </w:r>
      <w:r w:rsidR="003A3A23">
        <w:rPr>
          <w:rFonts w:ascii="Arial" w:eastAsia="Times New Roman" w:hAnsi="Arial" w:cs="Arial"/>
          <w:color w:val="000000"/>
        </w:rPr>
        <w:t xml:space="preserve">were </w:t>
      </w:r>
      <w:r w:rsidR="005446CD" w:rsidRPr="00D474C8">
        <w:rPr>
          <w:rFonts w:ascii="Arial" w:eastAsia="Times New Roman" w:hAnsi="Arial" w:cs="Arial"/>
          <w:color w:val="000000"/>
        </w:rPr>
        <w:t xml:space="preserve">in fully immunised children; the others were either in the PCV7-PCV7-PCV13 group (n=9) or developed IPD </w:t>
      </w:r>
      <w:r>
        <w:rPr>
          <w:rFonts w:ascii="Arial" w:eastAsia="Times New Roman" w:hAnsi="Arial" w:cs="Arial"/>
          <w:color w:val="000000"/>
        </w:rPr>
        <w:t xml:space="preserve">after </w:t>
      </w:r>
      <w:r w:rsidR="005446CD" w:rsidRPr="00D474C8">
        <w:rPr>
          <w:rFonts w:ascii="Arial" w:eastAsia="Times New Roman" w:hAnsi="Arial" w:cs="Arial"/>
          <w:color w:val="000000"/>
        </w:rPr>
        <w:t>their first birthday (5 of 7 cases</w:t>
      </w:r>
      <w:r w:rsidR="0050502A">
        <w:rPr>
          <w:rFonts w:ascii="Arial" w:eastAsia="Times New Roman" w:hAnsi="Arial" w:cs="Arial"/>
          <w:color w:val="000000"/>
        </w:rPr>
        <w:t xml:space="preserve"> diagnosed at 12-14 months of age</w:t>
      </w:r>
      <w:r w:rsidR="005446CD" w:rsidRPr="00D474C8">
        <w:rPr>
          <w:rFonts w:ascii="Arial" w:eastAsia="Times New Roman" w:hAnsi="Arial" w:cs="Arial"/>
          <w:color w:val="000000"/>
        </w:rPr>
        <w:t xml:space="preserve">) </w:t>
      </w:r>
      <w:r>
        <w:rPr>
          <w:rFonts w:ascii="Arial" w:eastAsia="Times New Roman" w:hAnsi="Arial" w:cs="Arial"/>
          <w:color w:val="000000"/>
        </w:rPr>
        <w:t xml:space="preserve">following a delay in </w:t>
      </w:r>
      <w:r w:rsidR="005446CD" w:rsidRPr="00D474C8">
        <w:rPr>
          <w:rFonts w:ascii="Arial" w:eastAsia="Times New Roman" w:hAnsi="Arial" w:cs="Arial"/>
          <w:color w:val="000000"/>
        </w:rPr>
        <w:t>receiving their 12-month booster.</w:t>
      </w:r>
      <w:r w:rsidR="004D2E4D" w:rsidRPr="00D474C8">
        <w:rPr>
          <w:rFonts w:ascii="Arial" w:eastAsia="Times New Roman" w:hAnsi="Arial" w:cs="Arial"/>
          <w:color w:val="000000"/>
        </w:rPr>
        <w:t xml:space="preserve"> In contrast</w:t>
      </w:r>
      <w:r>
        <w:rPr>
          <w:rFonts w:ascii="Arial" w:eastAsia="Times New Roman" w:hAnsi="Arial" w:cs="Arial"/>
          <w:color w:val="000000"/>
        </w:rPr>
        <w:t>,</w:t>
      </w:r>
      <w:r w:rsidR="004D2E4D" w:rsidRPr="00D474C8">
        <w:rPr>
          <w:rFonts w:ascii="Arial" w:eastAsia="Times New Roman" w:hAnsi="Arial" w:cs="Arial"/>
          <w:color w:val="000000"/>
        </w:rPr>
        <w:t xml:space="preserve"> 12/33 (</w:t>
      </w:r>
      <w:r>
        <w:rPr>
          <w:rFonts w:ascii="Arial" w:eastAsia="Times New Roman" w:hAnsi="Arial" w:cs="Arial"/>
          <w:color w:val="000000"/>
        </w:rPr>
        <w:t>36</w:t>
      </w:r>
      <w:r w:rsidR="004D2E4D" w:rsidRPr="00D474C8">
        <w:rPr>
          <w:rFonts w:ascii="Arial" w:eastAsia="Times New Roman" w:hAnsi="Arial" w:cs="Arial"/>
          <w:color w:val="000000"/>
        </w:rPr>
        <w:t xml:space="preserve">%) serotype 3 IPD cases </w:t>
      </w:r>
      <w:r w:rsidR="00024E63">
        <w:rPr>
          <w:rFonts w:ascii="Arial" w:eastAsia="Times New Roman" w:hAnsi="Arial" w:cs="Arial"/>
          <w:color w:val="000000"/>
        </w:rPr>
        <w:t xml:space="preserve">after 12 months of age </w:t>
      </w:r>
      <w:r w:rsidR="004D2E4D" w:rsidRPr="00D474C8">
        <w:rPr>
          <w:rFonts w:ascii="Arial" w:eastAsia="Times New Roman" w:hAnsi="Arial" w:cs="Arial"/>
          <w:color w:val="000000"/>
        </w:rPr>
        <w:t>occurred in fully</w:t>
      </w:r>
      <w:r>
        <w:rPr>
          <w:rFonts w:ascii="Arial" w:eastAsia="Times New Roman" w:hAnsi="Arial" w:cs="Arial"/>
          <w:color w:val="000000"/>
        </w:rPr>
        <w:t>-</w:t>
      </w:r>
      <w:r w:rsidR="004D2E4D" w:rsidRPr="00D474C8">
        <w:rPr>
          <w:rFonts w:ascii="Arial" w:eastAsia="Times New Roman" w:hAnsi="Arial" w:cs="Arial"/>
          <w:color w:val="000000"/>
        </w:rPr>
        <w:t>immunised children</w:t>
      </w:r>
      <w:r>
        <w:rPr>
          <w:rFonts w:ascii="Arial" w:eastAsia="Times New Roman" w:hAnsi="Arial" w:cs="Arial"/>
          <w:color w:val="000000"/>
        </w:rPr>
        <w:t>, 1</w:t>
      </w:r>
      <w:r w:rsidR="004D2E4D" w:rsidRPr="00D474C8">
        <w:rPr>
          <w:rFonts w:ascii="Arial" w:eastAsia="Times New Roman" w:hAnsi="Arial" w:cs="Arial"/>
          <w:color w:val="000000"/>
        </w:rPr>
        <w:t>6 in the PCV7-PCV7-PCV13 group</w:t>
      </w:r>
      <w:r>
        <w:rPr>
          <w:rFonts w:ascii="Arial" w:eastAsia="Times New Roman" w:hAnsi="Arial" w:cs="Arial"/>
          <w:color w:val="000000"/>
        </w:rPr>
        <w:t xml:space="preserve"> and five in those with delayed 12-month booster.</w:t>
      </w:r>
    </w:p>
    <w:p w14:paraId="32134A93" w14:textId="68AD6A7A" w:rsidR="00364814" w:rsidRDefault="00773503" w:rsidP="00D474C8">
      <w:pPr>
        <w:spacing w:line="480" w:lineRule="auto"/>
        <w:rPr>
          <w:rFonts w:ascii="Arial" w:hAnsi="Arial" w:cs="Arial"/>
        </w:rPr>
      </w:pPr>
      <w:r w:rsidRPr="004F534C">
        <w:rPr>
          <w:rFonts w:ascii="Arial" w:hAnsi="Arial" w:cs="Arial"/>
        </w:rPr>
        <w:t>PCV</w:t>
      </w:r>
      <w:r w:rsidR="0083577F" w:rsidRPr="004F534C">
        <w:rPr>
          <w:rFonts w:ascii="Arial" w:hAnsi="Arial" w:cs="Arial"/>
        </w:rPr>
        <w:t>7</w:t>
      </w:r>
      <w:r w:rsidRPr="00575D02">
        <w:rPr>
          <w:rFonts w:ascii="Arial" w:hAnsi="Arial" w:cs="Arial"/>
        </w:rPr>
        <w:t xml:space="preserve"> failure </w:t>
      </w:r>
      <w:r w:rsidR="0083577F" w:rsidRPr="00575D02">
        <w:rPr>
          <w:rFonts w:ascii="Arial" w:hAnsi="Arial" w:cs="Arial"/>
        </w:rPr>
        <w:t xml:space="preserve">rate after three doses </w:t>
      </w:r>
      <w:r w:rsidRPr="00575D02">
        <w:rPr>
          <w:rFonts w:ascii="Arial" w:hAnsi="Arial" w:cs="Arial"/>
        </w:rPr>
        <w:t xml:space="preserve">was </w:t>
      </w:r>
      <w:r w:rsidR="00AC541B" w:rsidRPr="00575D02">
        <w:rPr>
          <w:rFonts w:ascii="Arial" w:hAnsi="Arial" w:cs="Arial"/>
        </w:rPr>
        <w:t>0.19</w:t>
      </w:r>
      <w:r w:rsidR="0083577F" w:rsidRPr="00575D02">
        <w:rPr>
          <w:rFonts w:ascii="Arial" w:hAnsi="Arial" w:cs="Arial"/>
        </w:rPr>
        <w:t>/100,000 person-years</w:t>
      </w:r>
      <w:r w:rsidR="00811CFE" w:rsidRPr="00575D02">
        <w:rPr>
          <w:rFonts w:ascii="Arial" w:hAnsi="Arial" w:cs="Arial"/>
        </w:rPr>
        <w:t xml:space="preserve"> (95% CI, </w:t>
      </w:r>
      <w:r w:rsidR="00F93C4C" w:rsidRPr="00D474C8">
        <w:rPr>
          <w:rFonts w:ascii="Arial" w:hAnsi="Arial" w:cs="Arial"/>
        </w:rPr>
        <w:t>0.10-0.33</w:t>
      </w:r>
      <w:r w:rsidR="00811CFE" w:rsidRPr="00F022A5">
        <w:rPr>
          <w:rFonts w:ascii="Arial" w:hAnsi="Arial" w:cs="Arial"/>
        </w:rPr>
        <w:t>)</w:t>
      </w:r>
      <w:r w:rsidR="00811CFE">
        <w:rPr>
          <w:rFonts w:ascii="Arial" w:hAnsi="Arial" w:cs="Arial"/>
        </w:rPr>
        <w:t xml:space="preserve"> and </w:t>
      </w:r>
      <w:r w:rsidR="00AC541B">
        <w:rPr>
          <w:rFonts w:ascii="Arial" w:hAnsi="Arial" w:cs="Arial"/>
        </w:rPr>
        <w:t>0.66</w:t>
      </w:r>
      <w:r w:rsidR="00811CFE">
        <w:rPr>
          <w:rFonts w:ascii="Arial" w:hAnsi="Arial" w:cs="Arial"/>
        </w:rPr>
        <w:t xml:space="preserve">/100,000 person-years (95% CI, </w:t>
      </w:r>
      <w:r w:rsidR="00F93C4C">
        <w:rPr>
          <w:rFonts w:ascii="Arial" w:hAnsi="Arial" w:cs="Arial"/>
        </w:rPr>
        <w:t>0.44-0.95</w:t>
      </w:r>
      <w:r w:rsidR="00811CFE">
        <w:rPr>
          <w:rFonts w:ascii="Arial" w:hAnsi="Arial" w:cs="Arial"/>
        </w:rPr>
        <w:t>) after three PCV13 doses</w:t>
      </w:r>
      <w:r w:rsidRPr="00FB49B7">
        <w:rPr>
          <w:rFonts w:ascii="Arial" w:hAnsi="Arial" w:cs="Arial"/>
        </w:rPr>
        <w:t xml:space="preserve"> (</w:t>
      </w:r>
      <w:r w:rsidRPr="00FB49B7">
        <w:rPr>
          <w:rFonts w:ascii="Arial" w:hAnsi="Arial" w:cs="Arial"/>
          <w:b/>
          <w:color w:val="FF0000"/>
        </w:rPr>
        <w:t>Table 1</w:t>
      </w:r>
      <w:r w:rsidRPr="00FB49B7">
        <w:rPr>
          <w:rFonts w:ascii="Arial" w:hAnsi="Arial" w:cs="Arial"/>
        </w:rPr>
        <w:t xml:space="preserve">). </w:t>
      </w:r>
      <w:r w:rsidR="00092374">
        <w:rPr>
          <w:rFonts w:ascii="Arial" w:hAnsi="Arial" w:cs="Arial"/>
        </w:rPr>
        <w:t>The a</w:t>
      </w:r>
      <w:r w:rsidR="00AC541B">
        <w:rPr>
          <w:rFonts w:ascii="Arial" w:hAnsi="Arial" w:cs="Arial"/>
        </w:rPr>
        <w:t xml:space="preserve">nnual </w:t>
      </w:r>
      <w:r w:rsidR="005B0F1A">
        <w:rPr>
          <w:rFonts w:ascii="Arial" w:hAnsi="Arial" w:cs="Arial"/>
        </w:rPr>
        <w:t xml:space="preserve">incidence </w:t>
      </w:r>
      <w:r w:rsidR="00AC541B">
        <w:rPr>
          <w:rFonts w:ascii="Arial" w:hAnsi="Arial" w:cs="Arial"/>
        </w:rPr>
        <w:t xml:space="preserve">of vaccine failure </w:t>
      </w:r>
      <w:r w:rsidR="00092374">
        <w:rPr>
          <w:rFonts w:ascii="Arial" w:hAnsi="Arial" w:cs="Arial"/>
        </w:rPr>
        <w:t xml:space="preserve">cases </w:t>
      </w:r>
      <w:r w:rsidR="00AC541B">
        <w:rPr>
          <w:rFonts w:ascii="Arial" w:hAnsi="Arial" w:cs="Arial"/>
        </w:rPr>
        <w:t>declined with time since PCV7 introduction</w:t>
      </w:r>
      <w:r w:rsidR="005C7E83">
        <w:rPr>
          <w:rFonts w:ascii="Arial" w:hAnsi="Arial" w:cs="Arial"/>
        </w:rPr>
        <w:t xml:space="preserve">, but this was less marked after PCV13 introduction </w:t>
      </w:r>
      <w:r w:rsidR="00AC541B">
        <w:rPr>
          <w:rFonts w:ascii="Arial" w:hAnsi="Arial" w:cs="Arial"/>
        </w:rPr>
        <w:t>(</w:t>
      </w:r>
      <w:r w:rsidR="00AC541B" w:rsidRPr="00D474C8">
        <w:rPr>
          <w:rFonts w:ascii="Arial" w:hAnsi="Arial" w:cs="Arial"/>
          <w:b/>
        </w:rPr>
        <w:t xml:space="preserve">Figure </w:t>
      </w:r>
      <w:r w:rsidR="00092374" w:rsidRPr="00D474C8">
        <w:rPr>
          <w:rFonts w:ascii="Arial" w:hAnsi="Arial" w:cs="Arial"/>
          <w:b/>
        </w:rPr>
        <w:t>1</w:t>
      </w:r>
      <w:r w:rsidR="00AC541B">
        <w:rPr>
          <w:rFonts w:ascii="Arial" w:hAnsi="Arial" w:cs="Arial"/>
        </w:rPr>
        <w:t>)</w:t>
      </w:r>
      <w:r w:rsidR="005C7E83">
        <w:rPr>
          <w:rFonts w:ascii="Arial" w:hAnsi="Arial" w:cs="Arial"/>
        </w:rPr>
        <w:t>. The increase in vaccine failure rate</w:t>
      </w:r>
      <w:r w:rsidR="00182CD9">
        <w:rPr>
          <w:rFonts w:ascii="Arial" w:hAnsi="Arial" w:cs="Arial"/>
        </w:rPr>
        <w:t>s</w:t>
      </w:r>
      <w:r w:rsidR="005C7E83">
        <w:rPr>
          <w:rFonts w:ascii="Arial" w:hAnsi="Arial" w:cs="Arial"/>
        </w:rPr>
        <w:t xml:space="preserve"> from 2010/11 was due to the inclusion of the</w:t>
      </w:r>
      <w:r w:rsidR="00182CD9">
        <w:rPr>
          <w:rFonts w:ascii="Arial" w:hAnsi="Arial" w:cs="Arial"/>
        </w:rPr>
        <w:t xml:space="preserve"> additional PCV13 serotypes.</w:t>
      </w:r>
      <w:r w:rsidR="005C3AD2">
        <w:rPr>
          <w:rFonts w:ascii="Arial" w:hAnsi="Arial" w:cs="Arial"/>
        </w:rPr>
        <w:t xml:space="preserve"> </w:t>
      </w:r>
      <w:r w:rsidR="000106BD" w:rsidRPr="001E7246">
        <w:rPr>
          <w:rFonts w:ascii="Arial" w:hAnsi="Arial" w:cs="Arial"/>
        </w:rPr>
        <w:t>Children with PCV13 failure were m</w:t>
      </w:r>
      <w:r w:rsidR="00467FE4" w:rsidRPr="001E7246">
        <w:rPr>
          <w:rFonts w:ascii="Arial" w:hAnsi="Arial" w:cs="Arial"/>
        </w:rPr>
        <w:t>ore likely to have been healthy</w:t>
      </w:r>
      <w:r w:rsidR="000106BD" w:rsidRPr="001E7246">
        <w:rPr>
          <w:rFonts w:ascii="Arial" w:hAnsi="Arial" w:cs="Arial"/>
        </w:rPr>
        <w:t xml:space="preserve"> </w:t>
      </w:r>
      <w:r w:rsidR="00467FE4" w:rsidRPr="001E7246">
        <w:rPr>
          <w:rFonts w:ascii="Arial" w:hAnsi="Arial" w:cs="Arial"/>
        </w:rPr>
        <w:t>(</w:t>
      </w:r>
      <w:r w:rsidR="00251604">
        <w:rPr>
          <w:rFonts w:ascii="Arial" w:hAnsi="Arial" w:cs="Arial"/>
        </w:rPr>
        <w:t>85</w:t>
      </w:r>
      <w:r w:rsidR="000A32D3" w:rsidRPr="001E7246">
        <w:rPr>
          <w:rFonts w:ascii="Arial" w:hAnsi="Arial" w:cs="Arial"/>
        </w:rPr>
        <w:t xml:space="preserve">% </w:t>
      </w:r>
      <w:r w:rsidR="00467FE4" w:rsidRPr="001E7246">
        <w:rPr>
          <w:rFonts w:ascii="Arial" w:hAnsi="Arial" w:cs="Arial"/>
        </w:rPr>
        <w:t xml:space="preserve">vs. </w:t>
      </w:r>
      <w:r w:rsidR="00251604">
        <w:rPr>
          <w:rFonts w:ascii="Arial" w:hAnsi="Arial" w:cs="Arial"/>
        </w:rPr>
        <w:t>6</w:t>
      </w:r>
      <w:r w:rsidR="000A32D3" w:rsidRPr="001E7246">
        <w:rPr>
          <w:rFonts w:ascii="Arial" w:hAnsi="Arial" w:cs="Arial"/>
        </w:rPr>
        <w:t>7%</w:t>
      </w:r>
      <w:r w:rsidR="00467FE4" w:rsidRPr="0007796F">
        <w:rPr>
          <w:rFonts w:ascii="Arial" w:hAnsi="Arial" w:cs="Arial"/>
        </w:rPr>
        <w:t xml:space="preserve">; </w:t>
      </w:r>
      <w:r w:rsidR="00677852">
        <w:rPr>
          <w:rFonts w:ascii="Arial" w:hAnsi="Arial" w:cs="Arial"/>
        </w:rPr>
        <w:t>a</w:t>
      </w:r>
      <w:r w:rsidR="00FB3FD2" w:rsidRPr="0007796F">
        <w:rPr>
          <w:rFonts w:ascii="Arial" w:hAnsi="Arial" w:cs="Arial"/>
          <w:i/>
        </w:rPr>
        <w:t>OR</w:t>
      </w:r>
      <w:r w:rsidR="00FB3FD2" w:rsidRPr="0007796F">
        <w:rPr>
          <w:rFonts w:ascii="Arial" w:hAnsi="Arial" w:cs="Arial"/>
        </w:rPr>
        <w:t>=</w:t>
      </w:r>
      <w:r w:rsidR="00694EC5">
        <w:rPr>
          <w:rFonts w:ascii="Arial" w:hAnsi="Arial" w:cs="Arial"/>
        </w:rPr>
        <w:t>2</w:t>
      </w:r>
      <w:r w:rsidR="000A32D3" w:rsidRPr="0007796F">
        <w:rPr>
          <w:rFonts w:ascii="Arial" w:hAnsi="Arial" w:cs="Arial"/>
        </w:rPr>
        <w:t>.8</w:t>
      </w:r>
      <w:r w:rsidR="001F6CE7">
        <w:rPr>
          <w:rFonts w:ascii="Arial" w:hAnsi="Arial" w:cs="Arial"/>
          <w:i/>
        </w:rPr>
        <w:t>;</w:t>
      </w:r>
      <w:r w:rsidR="00FB3FD2" w:rsidRPr="0007796F">
        <w:rPr>
          <w:rFonts w:ascii="Arial" w:hAnsi="Arial" w:cs="Arial"/>
          <w:i/>
        </w:rPr>
        <w:t xml:space="preserve"> </w:t>
      </w:r>
      <w:r w:rsidR="00FB3FD2" w:rsidRPr="0007796F">
        <w:rPr>
          <w:rFonts w:ascii="Arial" w:hAnsi="Arial" w:cs="Arial"/>
        </w:rPr>
        <w:t>95% CI</w:t>
      </w:r>
      <w:r w:rsidR="00FB3FD2" w:rsidRPr="0007796F">
        <w:rPr>
          <w:rFonts w:ascii="Arial" w:hAnsi="Arial" w:cs="Arial"/>
          <w:i/>
        </w:rPr>
        <w:t>,</w:t>
      </w:r>
      <w:r w:rsidR="008C6D8D" w:rsidRPr="0007796F">
        <w:rPr>
          <w:rFonts w:ascii="Arial" w:hAnsi="Arial" w:cs="Arial"/>
        </w:rPr>
        <w:t xml:space="preserve"> 1.</w:t>
      </w:r>
      <w:r w:rsidR="00694EC5">
        <w:rPr>
          <w:rFonts w:ascii="Arial" w:hAnsi="Arial" w:cs="Arial"/>
        </w:rPr>
        <w:t>3</w:t>
      </w:r>
      <w:r w:rsidR="00F2550B" w:rsidRPr="0007796F">
        <w:rPr>
          <w:rFonts w:ascii="Arial" w:hAnsi="Arial" w:cs="Arial"/>
        </w:rPr>
        <w:t>-</w:t>
      </w:r>
      <w:r w:rsidR="00694EC5">
        <w:rPr>
          <w:rFonts w:ascii="Arial" w:hAnsi="Arial" w:cs="Arial"/>
        </w:rPr>
        <w:t>5.9</w:t>
      </w:r>
      <w:r w:rsidR="008165B4">
        <w:rPr>
          <w:rFonts w:ascii="Arial" w:hAnsi="Arial" w:cs="Arial"/>
        </w:rPr>
        <w:t>;</w:t>
      </w:r>
      <w:r w:rsidR="008C6D8D" w:rsidRPr="0007796F">
        <w:rPr>
          <w:rFonts w:ascii="Arial" w:hAnsi="Arial" w:cs="Arial"/>
        </w:rPr>
        <w:t xml:space="preserve"> </w:t>
      </w:r>
      <w:r w:rsidR="008C6D8D" w:rsidRPr="0007796F">
        <w:rPr>
          <w:rFonts w:ascii="Arial" w:hAnsi="Arial" w:cs="Arial"/>
          <w:i/>
        </w:rPr>
        <w:t>P</w:t>
      </w:r>
      <w:r w:rsidR="008C6D8D" w:rsidRPr="0007796F">
        <w:rPr>
          <w:rFonts w:ascii="Arial" w:hAnsi="Arial" w:cs="Arial"/>
        </w:rPr>
        <w:t>=0.</w:t>
      </w:r>
      <w:r w:rsidR="00694EC5" w:rsidRPr="0007796F">
        <w:rPr>
          <w:rFonts w:ascii="Arial" w:hAnsi="Arial" w:cs="Arial"/>
        </w:rPr>
        <w:t>0</w:t>
      </w:r>
      <w:r w:rsidR="00694EC5">
        <w:rPr>
          <w:rFonts w:ascii="Arial" w:hAnsi="Arial" w:cs="Arial"/>
        </w:rPr>
        <w:t>1</w:t>
      </w:r>
      <w:r w:rsidR="00467FE4" w:rsidRPr="0007796F">
        <w:rPr>
          <w:rFonts w:ascii="Arial" w:hAnsi="Arial" w:cs="Arial"/>
        </w:rPr>
        <w:t>)</w:t>
      </w:r>
      <w:r w:rsidR="000B1B12" w:rsidRPr="0007796F">
        <w:rPr>
          <w:rFonts w:ascii="Arial" w:hAnsi="Arial" w:cs="Arial"/>
        </w:rPr>
        <w:t xml:space="preserve">, </w:t>
      </w:r>
      <w:r w:rsidR="000B1B12" w:rsidRPr="00DC5D4A">
        <w:rPr>
          <w:rFonts w:ascii="Arial" w:hAnsi="Arial" w:cs="Arial"/>
        </w:rPr>
        <w:t xml:space="preserve">present with </w:t>
      </w:r>
      <w:r w:rsidR="00B14040" w:rsidRPr="00DC5D4A">
        <w:rPr>
          <w:rFonts w:ascii="Arial" w:hAnsi="Arial" w:cs="Arial"/>
        </w:rPr>
        <w:t>LRTI</w:t>
      </w:r>
      <w:r w:rsidR="000B1B12" w:rsidRPr="00DC5D4A">
        <w:rPr>
          <w:rFonts w:ascii="Arial" w:hAnsi="Arial" w:cs="Arial"/>
        </w:rPr>
        <w:t xml:space="preserve"> </w:t>
      </w:r>
      <w:r w:rsidR="00FB3FD2" w:rsidRPr="00DC5D4A">
        <w:rPr>
          <w:rFonts w:ascii="Arial" w:hAnsi="Arial" w:cs="Arial"/>
          <w:szCs w:val="24"/>
        </w:rPr>
        <w:t>(</w:t>
      </w:r>
      <w:r w:rsidR="00251604">
        <w:rPr>
          <w:rFonts w:ascii="Arial" w:eastAsia="Times New Roman" w:hAnsi="Arial" w:cs="Arial"/>
          <w:lang w:eastAsia="en-GB"/>
        </w:rPr>
        <w:t>58</w:t>
      </w:r>
      <w:r w:rsidR="00A27A3D" w:rsidRPr="00CF5F27">
        <w:rPr>
          <w:rFonts w:ascii="Arial" w:eastAsia="Times New Roman" w:hAnsi="Arial" w:cs="Arial"/>
          <w:lang w:eastAsia="en-GB"/>
        </w:rPr>
        <w:t>%</w:t>
      </w:r>
      <w:r w:rsidR="00FB3FD2" w:rsidRPr="00780768">
        <w:rPr>
          <w:rFonts w:ascii="Arial" w:eastAsia="Times New Roman" w:hAnsi="Arial" w:cs="Arial"/>
          <w:color w:val="000000"/>
          <w:szCs w:val="24"/>
        </w:rPr>
        <w:t xml:space="preserve"> vs. </w:t>
      </w:r>
      <w:r w:rsidR="00251604">
        <w:rPr>
          <w:rFonts w:ascii="Arial" w:eastAsia="Times New Roman" w:hAnsi="Arial" w:cs="Arial"/>
          <w:color w:val="000000"/>
          <w:szCs w:val="24"/>
        </w:rPr>
        <w:t>21</w:t>
      </w:r>
      <w:r w:rsidR="00A27A3D" w:rsidRPr="004D2E4D">
        <w:rPr>
          <w:rFonts w:ascii="Arial" w:eastAsia="Times New Roman" w:hAnsi="Arial" w:cs="Arial"/>
          <w:color w:val="000000"/>
          <w:szCs w:val="24"/>
        </w:rPr>
        <w:t>%</w:t>
      </w:r>
      <w:r w:rsidR="00FB3FD2" w:rsidRPr="004D2E4D">
        <w:rPr>
          <w:rFonts w:ascii="Arial" w:eastAsia="Times New Roman" w:hAnsi="Arial" w:cs="Arial"/>
          <w:color w:val="000000"/>
          <w:szCs w:val="24"/>
        </w:rPr>
        <w:t xml:space="preserve">; </w:t>
      </w:r>
      <w:r w:rsidR="00DE570A">
        <w:rPr>
          <w:rFonts w:ascii="Arial" w:eastAsia="Times New Roman" w:hAnsi="Arial" w:cs="Arial"/>
          <w:color w:val="000000"/>
          <w:szCs w:val="24"/>
        </w:rPr>
        <w:t>a</w:t>
      </w:r>
      <w:r w:rsidR="00A27A3D" w:rsidRPr="004D2E4D">
        <w:rPr>
          <w:rFonts w:ascii="Arial" w:eastAsia="Times New Roman" w:hAnsi="Arial" w:cs="Arial"/>
          <w:color w:val="000000"/>
          <w:szCs w:val="24"/>
        </w:rPr>
        <w:t xml:space="preserve">OR, </w:t>
      </w:r>
      <w:r w:rsidR="00DE570A">
        <w:rPr>
          <w:rFonts w:ascii="Arial" w:eastAsia="Times New Roman" w:hAnsi="Arial" w:cs="Arial"/>
          <w:color w:val="000000"/>
          <w:szCs w:val="24"/>
        </w:rPr>
        <w:t>4</w:t>
      </w:r>
      <w:r w:rsidR="00A27A3D" w:rsidRPr="001E7246">
        <w:rPr>
          <w:rFonts w:ascii="Arial" w:eastAsia="Times New Roman" w:hAnsi="Arial" w:cs="Arial"/>
          <w:color w:val="000000"/>
          <w:szCs w:val="24"/>
        </w:rPr>
        <w:t>.</w:t>
      </w:r>
      <w:r w:rsidR="00DE570A">
        <w:rPr>
          <w:rFonts w:ascii="Arial" w:eastAsia="Times New Roman" w:hAnsi="Arial" w:cs="Arial"/>
          <w:color w:val="000000"/>
          <w:szCs w:val="24"/>
        </w:rPr>
        <w:t>6</w:t>
      </w:r>
      <w:r w:rsidR="00A27A3D" w:rsidRPr="001E7246">
        <w:rPr>
          <w:rFonts w:ascii="Arial" w:eastAsia="Times New Roman" w:hAnsi="Arial" w:cs="Arial"/>
          <w:color w:val="000000"/>
          <w:szCs w:val="24"/>
        </w:rPr>
        <w:t xml:space="preserve">; </w:t>
      </w:r>
      <w:r w:rsidR="00FB3FD2" w:rsidRPr="001E7246">
        <w:rPr>
          <w:rFonts w:ascii="Arial" w:eastAsia="Times New Roman" w:hAnsi="Arial" w:cs="Arial"/>
          <w:lang w:eastAsia="en-GB"/>
        </w:rPr>
        <w:t xml:space="preserve">95% CI, </w:t>
      </w:r>
      <w:r w:rsidR="00DE570A">
        <w:rPr>
          <w:rFonts w:ascii="Arial" w:eastAsia="Times New Roman" w:hAnsi="Arial" w:cs="Arial"/>
          <w:lang w:eastAsia="en-GB"/>
        </w:rPr>
        <w:t>2</w:t>
      </w:r>
      <w:r w:rsidR="00A27A3D" w:rsidRPr="001E7246">
        <w:rPr>
          <w:rFonts w:ascii="Arial" w:eastAsia="Times New Roman" w:hAnsi="Arial" w:cs="Arial"/>
          <w:lang w:eastAsia="en-GB"/>
        </w:rPr>
        <w:t>.</w:t>
      </w:r>
      <w:r w:rsidR="00DE570A">
        <w:rPr>
          <w:rFonts w:ascii="Arial" w:eastAsia="Times New Roman" w:hAnsi="Arial" w:cs="Arial"/>
          <w:lang w:eastAsia="en-GB"/>
        </w:rPr>
        <w:t>2</w:t>
      </w:r>
      <w:r w:rsidR="00A27A3D" w:rsidRPr="001E7246">
        <w:rPr>
          <w:rFonts w:ascii="Arial" w:eastAsia="Times New Roman" w:hAnsi="Arial" w:cs="Arial"/>
          <w:lang w:eastAsia="en-GB"/>
        </w:rPr>
        <w:t>-</w:t>
      </w:r>
      <w:r w:rsidR="00DE570A">
        <w:rPr>
          <w:rFonts w:ascii="Arial" w:eastAsia="Times New Roman" w:hAnsi="Arial" w:cs="Arial"/>
          <w:lang w:eastAsia="en-GB"/>
        </w:rPr>
        <w:t>9</w:t>
      </w:r>
      <w:r w:rsidR="00A27A3D" w:rsidRPr="001E7246">
        <w:rPr>
          <w:rFonts w:ascii="Arial" w:eastAsia="Times New Roman" w:hAnsi="Arial" w:cs="Arial"/>
          <w:lang w:eastAsia="en-GB"/>
        </w:rPr>
        <w:t>.</w:t>
      </w:r>
      <w:r w:rsidR="00DE570A">
        <w:rPr>
          <w:rFonts w:ascii="Arial" w:eastAsia="Times New Roman" w:hAnsi="Arial" w:cs="Arial"/>
          <w:lang w:eastAsia="en-GB"/>
        </w:rPr>
        <w:t>9</w:t>
      </w:r>
      <w:r w:rsidR="00FB3FD2" w:rsidRPr="001E7246">
        <w:rPr>
          <w:rFonts w:ascii="Arial" w:eastAsia="Times New Roman" w:hAnsi="Arial" w:cs="Arial"/>
          <w:color w:val="000000"/>
          <w:szCs w:val="24"/>
        </w:rPr>
        <w:t xml:space="preserve">; </w:t>
      </w:r>
      <w:r w:rsidR="00FB3FD2" w:rsidRPr="001E7246">
        <w:rPr>
          <w:rFonts w:ascii="Arial" w:eastAsia="Times New Roman" w:hAnsi="Arial" w:cs="Arial"/>
          <w:i/>
          <w:color w:val="000000"/>
          <w:szCs w:val="24"/>
        </w:rPr>
        <w:t>P&lt;</w:t>
      </w:r>
      <w:r w:rsidR="00FB3FD2" w:rsidRPr="001E7246">
        <w:rPr>
          <w:rFonts w:ascii="Arial" w:eastAsia="Times New Roman" w:hAnsi="Arial" w:cs="Arial"/>
          <w:color w:val="000000"/>
          <w:szCs w:val="24"/>
        </w:rPr>
        <w:t>0.001)</w:t>
      </w:r>
      <w:r w:rsidR="00FB3FD2" w:rsidRPr="00FB49B7">
        <w:rPr>
          <w:rFonts w:ascii="Arial" w:eastAsia="Times New Roman" w:hAnsi="Arial" w:cs="Arial"/>
          <w:color w:val="000000"/>
          <w:szCs w:val="24"/>
        </w:rPr>
        <w:t xml:space="preserve"> </w:t>
      </w:r>
      <w:r w:rsidR="000B1B12" w:rsidRPr="00FB49B7">
        <w:rPr>
          <w:rFonts w:ascii="Arial" w:hAnsi="Arial" w:cs="Arial"/>
        </w:rPr>
        <w:t xml:space="preserve">and develop empyema </w:t>
      </w:r>
      <w:r w:rsidR="008C1FCE">
        <w:rPr>
          <w:rFonts w:ascii="Arial" w:hAnsi="Arial" w:cs="Arial"/>
        </w:rPr>
        <w:t xml:space="preserve">following LRTI </w:t>
      </w:r>
      <w:r w:rsidR="00FB3FD2" w:rsidRPr="00FB49B7">
        <w:rPr>
          <w:rFonts w:ascii="Arial" w:hAnsi="Arial" w:cs="Arial"/>
          <w:szCs w:val="24"/>
        </w:rPr>
        <w:t>(</w:t>
      </w:r>
      <w:r w:rsidR="00DE570A" w:rsidRPr="00FB49B7">
        <w:rPr>
          <w:rFonts w:ascii="Arial" w:eastAsia="Times New Roman" w:hAnsi="Arial" w:cs="Arial"/>
          <w:color w:val="000000"/>
          <w:szCs w:val="24"/>
        </w:rPr>
        <w:t>6</w:t>
      </w:r>
      <w:r w:rsidR="00DE570A">
        <w:rPr>
          <w:rFonts w:ascii="Arial" w:eastAsia="Times New Roman" w:hAnsi="Arial" w:cs="Arial"/>
          <w:color w:val="000000"/>
          <w:szCs w:val="24"/>
        </w:rPr>
        <w:t>7</w:t>
      </w:r>
      <w:r w:rsidR="00FB3FD2" w:rsidRPr="00FB49B7">
        <w:rPr>
          <w:rFonts w:ascii="Arial" w:eastAsia="Times New Roman" w:hAnsi="Arial" w:cs="Arial"/>
          <w:color w:val="000000"/>
          <w:szCs w:val="24"/>
        </w:rPr>
        <w:t xml:space="preserve">% vs. </w:t>
      </w:r>
      <w:r w:rsidR="00251604">
        <w:rPr>
          <w:rFonts w:ascii="Arial" w:eastAsia="Times New Roman" w:hAnsi="Arial" w:cs="Arial"/>
          <w:color w:val="000000"/>
          <w:szCs w:val="24"/>
        </w:rPr>
        <w:t>8</w:t>
      </w:r>
      <w:r w:rsidR="00FB3FD2" w:rsidRPr="00FB49B7">
        <w:rPr>
          <w:rFonts w:ascii="Arial" w:eastAsia="Times New Roman" w:hAnsi="Arial" w:cs="Arial"/>
          <w:color w:val="000000"/>
          <w:szCs w:val="24"/>
        </w:rPr>
        <w:t xml:space="preserve">%; </w:t>
      </w:r>
      <w:r w:rsidR="00DE570A">
        <w:rPr>
          <w:rFonts w:ascii="Arial" w:eastAsia="Times New Roman" w:hAnsi="Arial" w:cs="Arial"/>
          <w:color w:val="000000"/>
          <w:szCs w:val="24"/>
        </w:rPr>
        <w:t>a</w:t>
      </w:r>
      <w:r w:rsidR="00A27A3D">
        <w:rPr>
          <w:rFonts w:ascii="Arial" w:eastAsia="Times New Roman" w:hAnsi="Arial" w:cs="Arial"/>
          <w:color w:val="000000"/>
          <w:szCs w:val="24"/>
        </w:rPr>
        <w:t>O</w:t>
      </w:r>
      <w:r w:rsidR="008C1FCE">
        <w:rPr>
          <w:rFonts w:ascii="Arial" w:eastAsia="Times New Roman" w:hAnsi="Arial" w:cs="Arial"/>
          <w:color w:val="000000"/>
          <w:szCs w:val="24"/>
        </w:rPr>
        <w:t>R=</w:t>
      </w:r>
      <w:r w:rsidR="00DE570A">
        <w:rPr>
          <w:rFonts w:ascii="Arial" w:eastAsia="Times New Roman" w:hAnsi="Arial" w:cs="Arial"/>
          <w:color w:val="000000"/>
          <w:szCs w:val="24"/>
        </w:rPr>
        <w:t>20.7</w:t>
      </w:r>
      <w:r w:rsidR="00A27A3D">
        <w:rPr>
          <w:rFonts w:ascii="Arial" w:eastAsia="Times New Roman" w:hAnsi="Arial" w:cs="Arial"/>
          <w:color w:val="000000"/>
          <w:szCs w:val="24"/>
        </w:rPr>
        <w:t xml:space="preserve">; 95% CI, </w:t>
      </w:r>
      <w:r w:rsidR="00DE570A">
        <w:rPr>
          <w:rFonts w:ascii="Arial" w:eastAsia="Times New Roman" w:hAnsi="Arial" w:cs="Arial"/>
          <w:color w:val="000000"/>
          <w:szCs w:val="24"/>
        </w:rPr>
        <w:t>2</w:t>
      </w:r>
      <w:r w:rsidR="00A27A3D">
        <w:rPr>
          <w:rFonts w:ascii="Arial" w:eastAsia="Times New Roman" w:hAnsi="Arial" w:cs="Arial"/>
          <w:color w:val="000000"/>
          <w:szCs w:val="24"/>
        </w:rPr>
        <w:t>.</w:t>
      </w:r>
      <w:r w:rsidR="00DE570A">
        <w:rPr>
          <w:rFonts w:ascii="Arial" w:eastAsia="Times New Roman" w:hAnsi="Arial" w:cs="Arial"/>
          <w:color w:val="000000"/>
          <w:szCs w:val="24"/>
        </w:rPr>
        <w:t>4</w:t>
      </w:r>
      <w:r w:rsidR="00A27A3D">
        <w:rPr>
          <w:rFonts w:ascii="Arial" w:eastAsia="Times New Roman" w:hAnsi="Arial" w:cs="Arial"/>
          <w:color w:val="000000"/>
          <w:szCs w:val="24"/>
        </w:rPr>
        <w:t>-</w:t>
      </w:r>
      <w:r w:rsidR="00DE570A">
        <w:rPr>
          <w:rFonts w:ascii="Arial" w:eastAsia="Times New Roman" w:hAnsi="Arial" w:cs="Arial"/>
          <w:color w:val="000000"/>
          <w:szCs w:val="24"/>
        </w:rPr>
        <w:t>175</w:t>
      </w:r>
      <w:r w:rsidR="008C1FCE">
        <w:rPr>
          <w:rFonts w:ascii="Arial" w:eastAsia="Times New Roman" w:hAnsi="Arial" w:cs="Arial"/>
          <w:color w:val="000000"/>
          <w:szCs w:val="24"/>
        </w:rPr>
        <w:t>.</w:t>
      </w:r>
      <w:r w:rsidR="00DE570A">
        <w:rPr>
          <w:rFonts w:ascii="Arial" w:eastAsia="Times New Roman" w:hAnsi="Arial" w:cs="Arial"/>
          <w:color w:val="000000"/>
          <w:szCs w:val="24"/>
        </w:rPr>
        <w:t>2</w:t>
      </w:r>
      <w:r w:rsidR="008C1FCE">
        <w:rPr>
          <w:rFonts w:ascii="Arial" w:eastAsia="Times New Roman" w:hAnsi="Arial" w:cs="Arial"/>
          <w:color w:val="000000"/>
          <w:szCs w:val="24"/>
        </w:rPr>
        <w:t xml:space="preserve">; </w:t>
      </w:r>
      <w:r w:rsidR="00FB3FD2" w:rsidRPr="00E27860">
        <w:rPr>
          <w:rFonts w:ascii="Arial" w:eastAsia="Times New Roman" w:hAnsi="Arial" w:cs="Arial"/>
          <w:i/>
          <w:color w:val="000000"/>
          <w:szCs w:val="24"/>
        </w:rPr>
        <w:t>P</w:t>
      </w:r>
      <w:r w:rsidR="00DE570A">
        <w:rPr>
          <w:rFonts w:ascii="Arial" w:eastAsia="Times New Roman" w:hAnsi="Arial" w:cs="Arial"/>
          <w:i/>
          <w:color w:val="000000"/>
          <w:szCs w:val="24"/>
        </w:rPr>
        <w:t>=</w:t>
      </w:r>
      <w:r w:rsidR="00FB3FD2" w:rsidRPr="00FB49B7">
        <w:rPr>
          <w:rFonts w:ascii="Arial" w:eastAsia="Times New Roman" w:hAnsi="Arial" w:cs="Arial"/>
          <w:color w:val="000000"/>
          <w:szCs w:val="24"/>
        </w:rPr>
        <w:t>0.</w:t>
      </w:r>
      <w:r w:rsidR="00DE570A" w:rsidRPr="00FB49B7">
        <w:rPr>
          <w:rFonts w:ascii="Arial" w:eastAsia="Times New Roman" w:hAnsi="Arial" w:cs="Arial"/>
          <w:color w:val="000000"/>
          <w:szCs w:val="24"/>
        </w:rPr>
        <w:t>00</w:t>
      </w:r>
      <w:r w:rsidR="00DE570A">
        <w:rPr>
          <w:rFonts w:ascii="Arial" w:eastAsia="Times New Roman" w:hAnsi="Arial" w:cs="Arial"/>
          <w:color w:val="000000"/>
          <w:szCs w:val="24"/>
        </w:rPr>
        <w:t>5</w:t>
      </w:r>
      <w:r w:rsidR="00FB3FD2" w:rsidRPr="00FB49B7">
        <w:rPr>
          <w:rFonts w:ascii="Arial" w:eastAsia="Times New Roman" w:hAnsi="Arial" w:cs="Arial"/>
          <w:color w:val="000000"/>
          <w:szCs w:val="24"/>
        </w:rPr>
        <w:t xml:space="preserve">) </w:t>
      </w:r>
      <w:r w:rsidR="000B1B12" w:rsidRPr="00FB49B7">
        <w:rPr>
          <w:rFonts w:ascii="Arial" w:hAnsi="Arial" w:cs="Arial"/>
        </w:rPr>
        <w:t>compared to PCV7 failures</w:t>
      </w:r>
      <w:r w:rsidR="00B14040" w:rsidRPr="00FB49B7">
        <w:rPr>
          <w:rFonts w:ascii="Arial" w:hAnsi="Arial" w:cs="Arial"/>
        </w:rPr>
        <w:t xml:space="preserve"> (</w:t>
      </w:r>
      <w:r w:rsidR="00B14040" w:rsidRPr="00D474C8">
        <w:rPr>
          <w:rFonts w:ascii="Arial" w:hAnsi="Arial" w:cs="Arial"/>
          <w:b/>
        </w:rPr>
        <w:t xml:space="preserve">Table </w:t>
      </w:r>
      <w:r w:rsidR="00C61D20">
        <w:rPr>
          <w:rFonts w:ascii="Arial" w:hAnsi="Arial" w:cs="Arial"/>
          <w:b/>
        </w:rPr>
        <w:t>3</w:t>
      </w:r>
      <w:r w:rsidR="00B14040" w:rsidRPr="00092374">
        <w:rPr>
          <w:rFonts w:ascii="Arial" w:hAnsi="Arial" w:cs="Arial"/>
        </w:rPr>
        <w:t>)</w:t>
      </w:r>
      <w:r w:rsidR="000B1B12" w:rsidRPr="002965F4">
        <w:rPr>
          <w:rFonts w:ascii="Arial" w:hAnsi="Arial" w:cs="Arial"/>
        </w:rPr>
        <w:t>.</w:t>
      </w:r>
      <w:r w:rsidR="000B1B12" w:rsidRPr="00FB49B7">
        <w:rPr>
          <w:rFonts w:ascii="Arial" w:hAnsi="Arial" w:cs="Arial"/>
        </w:rPr>
        <w:t xml:space="preserve"> </w:t>
      </w:r>
      <w:r w:rsidR="00FB3BBE">
        <w:rPr>
          <w:rFonts w:ascii="Arial" w:hAnsi="Arial" w:cs="Arial"/>
          <w:bCs/>
        </w:rPr>
        <w:t xml:space="preserve">PCV7 failures </w:t>
      </w:r>
      <w:r w:rsidR="00FB3BBE">
        <w:rPr>
          <w:rFonts w:ascii="Arial" w:hAnsi="Arial" w:cs="Arial"/>
        </w:rPr>
        <w:t xml:space="preserve">had increased </w:t>
      </w:r>
      <w:r w:rsidR="00FB3BBE">
        <w:rPr>
          <w:rFonts w:ascii="Arial" w:hAnsi="Arial" w:cs="Arial"/>
          <w:bCs/>
        </w:rPr>
        <w:t>odds of presenting with septicaemia compared to PCV13 failures (</w:t>
      </w:r>
      <w:r w:rsidR="00251604">
        <w:rPr>
          <w:rFonts w:ascii="Arial" w:hAnsi="Arial" w:cs="Arial"/>
          <w:bCs/>
        </w:rPr>
        <w:t>47</w:t>
      </w:r>
      <w:r w:rsidR="008C1FCE">
        <w:rPr>
          <w:rFonts w:ascii="Arial" w:hAnsi="Arial" w:cs="Arial"/>
          <w:bCs/>
        </w:rPr>
        <w:t xml:space="preserve">% vs. </w:t>
      </w:r>
      <w:r w:rsidR="00251604">
        <w:rPr>
          <w:rFonts w:ascii="Arial" w:hAnsi="Arial" w:cs="Arial"/>
          <w:bCs/>
        </w:rPr>
        <w:t>19</w:t>
      </w:r>
      <w:r w:rsidR="008A4A58">
        <w:rPr>
          <w:rFonts w:ascii="Arial" w:hAnsi="Arial" w:cs="Arial"/>
          <w:bCs/>
        </w:rPr>
        <w:t>%</w:t>
      </w:r>
      <w:r w:rsidR="008C1FCE">
        <w:rPr>
          <w:rFonts w:ascii="Arial" w:hAnsi="Arial" w:cs="Arial"/>
          <w:bCs/>
        </w:rPr>
        <w:t xml:space="preserve">; </w:t>
      </w:r>
      <w:r w:rsidR="00DE570A">
        <w:rPr>
          <w:rFonts w:ascii="Arial" w:hAnsi="Arial" w:cs="Arial"/>
          <w:bCs/>
        </w:rPr>
        <w:t>a</w:t>
      </w:r>
      <w:r w:rsidR="008C1FCE">
        <w:rPr>
          <w:rFonts w:ascii="Arial" w:hAnsi="Arial" w:cs="Arial"/>
          <w:bCs/>
        </w:rPr>
        <w:t>OR=</w:t>
      </w:r>
      <w:r w:rsidR="00DE570A">
        <w:rPr>
          <w:rFonts w:ascii="Arial" w:hAnsi="Arial" w:cs="Arial"/>
          <w:bCs/>
        </w:rPr>
        <w:t>3</w:t>
      </w:r>
      <w:r w:rsidR="008C1FCE">
        <w:rPr>
          <w:rFonts w:ascii="Arial" w:hAnsi="Arial" w:cs="Arial"/>
          <w:bCs/>
        </w:rPr>
        <w:t>.</w:t>
      </w:r>
      <w:r w:rsidR="00DE570A">
        <w:rPr>
          <w:rFonts w:ascii="Arial" w:hAnsi="Arial" w:cs="Arial"/>
          <w:bCs/>
        </w:rPr>
        <w:t>2</w:t>
      </w:r>
      <w:r w:rsidR="008C1FCE">
        <w:rPr>
          <w:rFonts w:ascii="Arial" w:hAnsi="Arial" w:cs="Arial"/>
          <w:bCs/>
        </w:rPr>
        <w:t>, 95% CI, 1.5-</w:t>
      </w:r>
      <w:r w:rsidR="00DE570A">
        <w:rPr>
          <w:rFonts w:ascii="Arial" w:hAnsi="Arial" w:cs="Arial"/>
          <w:bCs/>
        </w:rPr>
        <w:t>6</w:t>
      </w:r>
      <w:r w:rsidR="008C1FCE">
        <w:rPr>
          <w:rFonts w:ascii="Arial" w:hAnsi="Arial" w:cs="Arial"/>
          <w:bCs/>
        </w:rPr>
        <w:t>.</w:t>
      </w:r>
      <w:r w:rsidR="00DE570A">
        <w:rPr>
          <w:rFonts w:ascii="Arial" w:hAnsi="Arial" w:cs="Arial"/>
          <w:bCs/>
        </w:rPr>
        <w:t>7</w:t>
      </w:r>
      <w:r w:rsidR="008C1FCE">
        <w:rPr>
          <w:rFonts w:ascii="Arial" w:hAnsi="Arial" w:cs="Arial"/>
          <w:bCs/>
        </w:rPr>
        <w:t>; P</w:t>
      </w:r>
      <w:r w:rsidR="00DE570A">
        <w:rPr>
          <w:rFonts w:ascii="Arial" w:hAnsi="Arial" w:cs="Arial"/>
          <w:bCs/>
        </w:rPr>
        <w:t>=</w:t>
      </w:r>
      <w:r w:rsidR="008C1FCE">
        <w:rPr>
          <w:rFonts w:ascii="Arial" w:hAnsi="Arial" w:cs="Arial"/>
          <w:bCs/>
        </w:rPr>
        <w:t>0.00</w:t>
      </w:r>
      <w:r w:rsidR="00DE570A">
        <w:rPr>
          <w:rFonts w:ascii="Arial" w:hAnsi="Arial" w:cs="Arial"/>
          <w:bCs/>
        </w:rPr>
        <w:t>2</w:t>
      </w:r>
      <w:r w:rsidR="00AC541B">
        <w:rPr>
          <w:rFonts w:ascii="Arial" w:hAnsi="Arial" w:cs="Arial"/>
          <w:bCs/>
        </w:rPr>
        <w:t>)</w:t>
      </w:r>
      <w:r w:rsidR="00FB3BBE">
        <w:rPr>
          <w:rFonts w:ascii="Arial" w:hAnsi="Arial" w:cs="Arial"/>
        </w:rPr>
        <w:t>.</w:t>
      </w:r>
    </w:p>
    <w:p w14:paraId="2920CA10" w14:textId="77777777" w:rsidR="0007796F" w:rsidRPr="00411C4F" w:rsidRDefault="0007796F" w:rsidP="00D474C8">
      <w:pPr>
        <w:spacing w:line="480" w:lineRule="auto"/>
        <w:rPr>
          <w:rFonts w:ascii="Arial" w:hAnsi="Arial" w:cs="Arial"/>
          <w:bCs/>
        </w:rPr>
      </w:pPr>
    </w:p>
    <w:p w14:paraId="69F4876D" w14:textId="77777777" w:rsidR="001F18AC" w:rsidRPr="00CF1396" w:rsidRDefault="001F18AC" w:rsidP="00D474C8">
      <w:pPr>
        <w:spacing w:before="120" w:line="480" w:lineRule="auto"/>
        <w:rPr>
          <w:rFonts w:ascii="Arial" w:hAnsi="Arial" w:cs="Arial"/>
          <w:b/>
          <w:sz w:val="24"/>
        </w:rPr>
      </w:pPr>
      <w:r w:rsidRPr="00CF1396">
        <w:rPr>
          <w:rFonts w:ascii="Arial" w:hAnsi="Arial" w:cs="Arial"/>
          <w:b/>
          <w:bCs/>
          <w:sz w:val="24"/>
        </w:rPr>
        <w:t>Clinical Presentation</w:t>
      </w:r>
    </w:p>
    <w:p w14:paraId="64FC429A" w14:textId="7B6F4DAA" w:rsidR="00EF0D29" w:rsidRPr="00D474C8" w:rsidRDefault="00AD2A40" w:rsidP="00D474C8">
      <w:pPr>
        <w:spacing w:line="480" w:lineRule="auto"/>
        <w:rPr>
          <w:rFonts w:ascii="Arial" w:hAnsi="Arial" w:cs="Arial"/>
        </w:rPr>
      </w:pPr>
      <w:r w:rsidRPr="00FB49B7">
        <w:rPr>
          <w:rFonts w:ascii="Arial" w:hAnsi="Arial" w:cs="Arial"/>
        </w:rPr>
        <w:t xml:space="preserve">Overall, </w:t>
      </w:r>
      <w:r w:rsidR="00EF6C32" w:rsidRPr="00FB49B7">
        <w:rPr>
          <w:rFonts w:ascii="Arial" w:hAnsi="Arial" w:cs="Arial"/>
        </w:rPr>
        <w:t xml:space="preserve">LRTI </w:t>
      </w:r>
      <w:r w:rsidRPr="00FB49B7">
        <w:rPr>
          <w:rFonts w:ascii="Arial" w:hAnsi="Arial" w:cs="Arial"/>
        </w:rPr>
        <w:t>(n=72</w:t>
      </w:r>
      <w:r w:rsidR="00F2550B">
        <w:rPr>
          <w:rFonts w:ascii="Arial" w:hAnsi="Arial" w:cs="Arial"/>
        </w:rPr>
        <w:t>;</w:t>
      </w:r>
      <w:r w:rsidR="00F2550B" w:rsidRPr="00FB49B7">
        <w:rPr>
          <w:rFonts w:ascii="Arial" w:hAnsi="Arial" w:cs="Arial"/>
        </w:rPr>
        <w:t xml:space="preserve"> </w:t>
      </w:r>
      <w:r w:rsidRPr="00FB49B7">
        <w:rPr>
          <w:rFonts w:ascii="Arial" w:hAnsi="Arial" w:cs="Arial"/>
        </w:rPr>
        <w:t>4</w:t>
      </w:r>
      <w:r w:rsidR="00D9151E">
        <w:rPr>
          <w:rFonts w:ascii="Arial" w:hAnsi="Arial" w:cs="Arial"/>
        </w:rPr>
        <w:t>5</w:t>
      </w:r>
      <w:r w:rsidRPr="00FB49B7">
        <w:rPr>
          <w:rFonts w:ascii="Arial" w:hAnsi="Arial" w:cs="Arial"/>
        </w:rPr>
        <w:t xml:space="preserve">%) </w:t>
      </w:r>
      <w:r w:rsidR="00EF6C32" w:rsidRPr="00FB49B7">
        <w:rPr>
          <w:rFonts w:ascii="Arial" w:hAnsi="Arial" w:cs="Arial"/>
        </w:rPr>
        <w:t>was the most common clinical presentation</w:t>
      </w:r>
      <w:r w:rsidR="00C61D20">
        <w:rPr>
          <w:rFonts w:ascii="Arial" w:hAnsi="Arial" w:cs="Arial"/>
        </w:rPr>
        <w:t xml:space="preserve"> (</w:t>
      </w:r>
      <w:r w:rsidR="00C61D20" w:rsidRPr="00D474C8">
        <w:rPr>
          <w:rFonts w:ascii="Arial" w:hAnsi="Arial" w:cs="Arial"/>
          <w:b/>
          <w:color w:val="FF0000"/>
        </w:rPr>
        <w:t>Table 3</w:t>
      </w:r>
      <w:r w:rsidR="00C61D20">
        <w:rPr>
          <w:rFonts w:ascii="Arial" w:hAnsi="Arial" w:cs="Arial"/>
        </w:rPr>
        <w:t>)</w:t>
      </w:r>
      <w:r w:rsidR="006B1250">
        <w:rPr>
          <w:rFonts w:ascii="Arial" w:hAnsi="Arial" w:cs="Arial"/>
        </w:rPr>
        <w:t xml:space="preserve">. </w:t>
      </w:r>
      <w:r w:rsidR="007A0806">
        <w:rPr>
          <w:rFonts w:ascii="Arial" w:hAnsi="Arial" w:cs="Arial"/>
        </w:rPr>
        <w:t>S</w:t>
      </w:r>
      <w:r w:rsidR="00EF6C32" w:rsidRPr="00FB49B7">
        <w:rPr>
          <w:rFonts w:ascii="Arial" w:hAnsi="Arial" w:cs="Arial"/>
        </w:rPr>
        <w:t>erotype</w:t>
      </w:r>
      <w:r w:rsidR="00EF0D29">
        <w:rPr>
          <w:rFonts w:ascii="Arial" w:hAnsi="Arial" w:cs="Arial"/>
        </w:rPr>
        <w:t>s</w:t>
      </w:r>
      <w:r w:rsidR="00EF6C32" w:rsidRPr="00FB49B7">
        <w:rPr>
          <w:rFonts w:ascii="Arial" w:hAnsi="Arial" w:cs="Arial"/>
        </w:rPr>
        <w:t xml:space="preserve"> 3 (n=28/72</w:t>
      </w:r>
      <w:r w:rsidR="00F2550B">
        <w:rPr>
          <w:rFonts w:ascii="Arial" w:hAnsi="Arial" w:cs="Arial"/>
        </w:rPr>
        <w:t>;</w:t>
      </w:r>
      <w:r w:rsidR="00F2550B" w:rsidRPr="00FB49B7">
        <w:rPr>
          <w:rFonts w:ascii="Arial" w:hAnsi="Arial" w:cs="Arial"/>
        </w:rPr>
        <w:t xml:space="preserve"> </w:t>
      </w:r>
      <w:r w:rsidR="00EB2BFE">
        <w:rPr>
          <w:rFonts w:ascii="Arial" w:hAnsi="Arial" w:cs="Arial"/>
        </w:rPr>
        <w:t>3</w:t>
      </w:r>
      <w:r w:rsidR="00F2550B" w:rsidRPr="00CA3201">
        <w:rPr>
          <w:rFonts w:ascii="Arial" w:hAnsi="Arial" w:cs="Arial"/>
        </w:rPr>
        <w:t>9</w:t>
      </w:r>
      <w:r w:rsidR="00EF6C32" w:rsidRPr="00CA3201">
        <w:rPr>
          <w:rFonts w:ascii="Arial" w:hAnsi="Arial" w:cs="Arial"/>
        </w:rPr>
        <w:t>%)</w:t>
      </w:r>
      <w:r w:rsidR="00E878BF" w:rsidRPr="00CA3201">
        <w:rPr>
          <w:rFonts w:ascii="Arial" w:hAnsi="Arial" w:cs="Arial"/>
        </w:rPr>
        <w:t>,</w:t>
      </w:r>
      <w:r w:rsidR="00EF6C32" w:rsidRPr="00CA3201">
        <w:rPr>
          <w:rFonts w:ascii="Arial" w:hAnsi="Arial" w:cs="Arial"/>
        </w:rPr>
        <w:t xml:space="preserve"> 19A (n=1</w:t>
      </w:r>
      <w:r w:rsidR="00C05D46" w:rsidRPr="00CA3201">
        <w:rPr>
          <w:rFonts w:ascii="Arial" w:hAnsi="Arial" w:cs="Arial"/>
        </w:rPr>
        <w:t>5</w:t>
      </w:r>
      <w:r w:rsidR="00F2550B" w:rsidRPr="00CA3201">
        <w:rPr>
          <w:rFonts w:ascii="Arial" w:hAnsi="Arial" w:cs="Arial"/>
        </w:rPr>
        <w:t xml:space="preserve">; </w:t>
      </w:r>
      <w:r w:rsidR="00C05D46" w:rsidRPr="00CA3201">
        <w:rPr>
          <w:rFonts w:ascii="Arial" w:hAnsi="Arial" w:cs="Arial"/>
        </w:rPr>
        <w:t>2</w:t>
      </w:r>
      <w:r w:rsidR="00D9151E" w:rsidRPr="00CA3201">
        <w:rPr>
          <w:rFonts w:ascii="Arial" w:hAnsi="Arial" w:cs="Arial"/>
        </w:rPr>
        <w:t>1</w:t>
      </w:r>
      <w:r w:rsidR="00F2550B" w:rsidRPr="00CA3201">
        <w:rPr>
          <w:rFonts w:ascii="Arial" w:eastAsia="Times New Roman" w:hAnsi="Arial" w:cs="Arial"/>
          <w:lang w:eastAsia="en-GB"/>
        </w:rPr>
        <w:t>%</w:t>
      </w:r>
      <w:r w:rsidR="00EF6C32" w:rsidRPr="00CA3201">
        <w:rPr>
          <w:rFonts w:ascii="Arial" w:hAnsi="Arial" w:cs="Arial"/>
        </w:rPr>
        <w:t>)</w:t>
      </w:r>
      <w:r w:rsidRPr="00CA3201">
        <w:rPr>
          <w:rFonts w:ascii="Arial" w:hAnsi="Arial" w:cs="Arial"/>
        </w:rPr>
        <w:t xml:space="preserve"> </w:t>
      </w:r>
      <w:r w:rsidR="00E878BF" w:rsidRPr="00CA3201">
        <w:rPr>
          <w:rFonts w:ascii="Arial" w:hAnsi="Arial" w:cs="Arial"/>
        </w:rPr>
        <w:t>and 1 (</w:t>
      </w:r>
      <w:r w:rsidR="002406F2" w:rsidRPr="00CA3201">
        <w:rPr>
          <w:rFonts w:ascii="Arial" w:hAnsi="Arial" w:cs="Arial"/>
        </w:rPr>
        <w:t>n=9</w:t>
      </w:r>
      <w:r w:rsidR="00F2550B" w:rsidRPr="00CA3201">
        <w:rPr>
          <w:rFonts w:ascii="Arial" w:hAnsi="Arial" w:cs="Arial"/>
        </w:rPr>
        <w:t>; 1</w:t>
      </w:r>
      <w:r w:rsidR="00D9151E" w:rsidRPr="00CA3201">
        <w:rPr>
          <w:rFonts w:ascii="Arial" w:hAnsi="Arial" w:cs="Arial"/>
        </w:rPr>
        <w:t>3%</w:t>
      </w:r>
      <w:r w:rsidR="00E878BF" w:rsidRPr="00CA3201">
        <w:rPr>
          <w:rFonts w:ascii="Arial" w:hAnsi="Arial" w:cs="Arial"/>
        </w:rPr>
        <w:t xml:space="preserve">) </w:t>
      </w:r>
      <w:r w:rsidRPr="00CA3201">
        <w:rPr>
          <w:rFonts w:ascii="Arial" w:hAnsi="Arial" w:cs="Arial"/>
        </w:rPr>
        <w:t>were responsible for most cases</w:t>
      </w:r>
      <w:r w:rsidR="00EF6C32" w:rsidRPr="00CA3201">
        <w:rPr>
          <w:rFonts w:ascii="Arial" w:hAnsi="Arial" w:cs="Arial"/>
        </w:rPr>
        <w:t>.</w:t>
      </w:r>
      <w:r w:rsidR="00E878BF" w:rsidRPr="00CA3201">
        <w:rPr>
          <w:rFonts w:ascii="Arial" w:hAnsi="Arial" w:cs="Arial"/>
        </w:rPr>
        <w:t xml:space="preserve"> Notably, 28/3</w:t>
      </w:r>
      <w:r w:rsidR="00C05D46" w:rsidRPr="00CA3201">
        <w:rPr>
          <w:rFonts w:ascii="Arial" w:hAnsi="Arial" w:cs="Arial"/>
        </w:rPr>
        <w:t>8</w:t>
      </w:r>
      <w:r w:rsidR="00E878BF" w:rsidRPr="00CA3201">
        <w:rPr>
          <w:rFonts w:ascii="Arial" w:hAnsi="Arial" w:cs="Arial"/>
        </w:rPr>
        <w:t xml:space="preserve"> </w:t>
      </w:r>
      <w:r w:rsidR="003D0778" w:rsidRPr="00CA3201">
        <w:rPr>
          <w:rFonts w:ascii="Arial" w:hAnsi="Arial" w:cs="Arial"/>
        </w:rPr>
        <w:t>(</w:t>
      </w:r>
      <w:r w:rsidR="00D9151E" w:rsidRPr="00D474C8">
        <w:rPr>
          <w:rFonts w:ascii="Arial" w:hAnsi="Arial" w:cs="Arial"/>
        </w:rPr>
        <w:t>74</w:t>
      </w:r>
      <w:r w:rsidR="00F2550B" w:rsidRPr="00CA3201">
        <w:rPr>
          <w:rFonts w:ascii="Arial" w:eastAsia="Times New Roman" w:hAnsi="Arial" w:cs="Arial"/>
          <w:lang w:eastAsia="en-GB"/>
        </w:rPr>
        <w:t>%</w:t>
      </w:r>
      <w:r w:rsidR="003D0778" w:rsidRPr="00CA3201">
        <w:rPr>
          <w:rFonts w:ascii="Arial" w:hAnsi="Arial" w:cs="Arial"/>
        </w:rPr>
        <w:t>)</w:t>
      </w:r>
      <w:r w:rsidR="003D0778" w:rsidRPr="00FB49B7">
        <w:rPr>
          <w:rFonts w:ascii="Arial" w:hAnsi="Arial" w:cs="Arial"/>
        </w:rPr>
        <w:t xml:space="preserve"> </w:t>
      </w:r>
      <w:r w:rsidR="00E878BF" w:rsidRPr="00FB49B7">
        <w:rPr>
          <w:rFonts w:ascii="Arial" w:hAnsi="Arial" w:cs="Arial"/>
        </w:rPr>
        <w:t xml:space="preserve">serotype 3, 15/30 </w:t>
      </w:r>
      <w:r w:rsidR="003D0778" w:rsidRPr="00FB49B7">
        <w:rPr>
          <w:rFonts w:ascii="Arial" w:hAnsi="Arial" w:cs="Arial"/>
        </w:rPr>
        <w:t>(</w:t>
      </w:r>
      <w:r w:rsidR="00D031A6" w:rsidRPr="00FB49B7">
        <w:rPr>
          <w:rFonts w:ascii="Arial" w:hAnsi="Arial" w:cs="Arial"/>
        </w:rPr>
        <w:t>50</w:t>
      </w:r>
      <w:r w:rsidR="003D0778" w:rsidRPr="00FB49B7">
        <w:rPr>
          <w:rFonts w:ascii="Arial" w:hAnsi="Arial" w:cs="Arial"/>
        </w:rPr>
        <w:t>%</w:t>
      </w:r>
      <w:r w:rsidR="003D0778" w:rsidRPr="00CF5C98">
        <w:rPr>
          <w:rFonts w:ascii="Arial" w:hAnsi="Arial" w:cs="Arial"/>
        </w:rPr>
        <w:t xml:space="preserve">) </w:t>
      </w:r>
      <w:r w:rsidR="00E878BF" w:rsidRPr="00CF5C98">
        <w:rPr>
          <w:rFonts w:ascii="Arial" w:hAnsi="Arial" w:cs="Arial"/>
        </w:rPr>
        <w:t xml:space="preserve">serotype 19A and 9/13 </w:t>
      </w:r>
      <w:r w:rsidR="003D0778" w:rsidRPr="00CF5C98">
        <w:rPr>
          <w:rFonts w:ascii="Arial" w:hAnsi="Arial" w:cs="Arial"/>
        </w:rPr>
        <w:t>(</w:t>
      </w:r>
      <w:r w:rsidR="00D031A6" w:rsidRPr="00CF5C98">
        <w:rPr>
          <w:rFonts w:ascii="Arial" w:hAnsi="Arial" w:cs="Arial"/>
        </w:rPr>
        <w:t>69</w:t>
      </w:r>
      <w:r w:rsidR="003D0778" w:rsidRPr="00CF5C98">
        <w:rPr>
          <w:rFonts w:ascii="Arial" w:hAnsi="Arial" w:cs="Arial"/>
        </w:rPr>
        <w:t xml:space="preserve">%) </w:t>
      </w:r>
      <w:r w:rsidR="00E878BF" w:rsidRPr="00CF5C98">
        <w:rPr>
          <w:rFonts w:ascii="Arial" w:hAnsi="Arial" w:cs="Arial"/>
        </w:rPr>
        <w:t xml:space="preserve">serotype 1 cases presented with LRTI. </w:t>
      </w:r>
      <w:r w:rsidR="00525C2D" w:rsidRPr="00CF5C98">
        <w:rPr>
          <w:rFonts w:ascii="Arial" w:hAnsi="Arial" w:cs="Arial"/>
        </w:rPr>
        <w:t xml:space="preserve">Forty-one </w:t>
      </w:r>
      <w:r w:rsidR="009739F8">
        <w:rPr>
          <w:rFonts w:ascii="Arial" w:hAnsi="Arial" w:cs="Arial"/>
        </w:rPr>
        <w:t xml:space="preserve">of the 72 </w:t>
      </w:r>
      <w:r w:rsidR="00525C2D" w:rsidRPr="00CF5C98">
        <w:rPr>
          <w:rFonts w:ascii="Arial" w:hAnsi="Arial" w:cs="Arial"/>
        </w:rPr>
        <w:t>children</w:t>
      </w:r>
      <w:r w:rsidR="009739F8">
        <w:rPr>
          <w:rFonts w:ascii="Arial" w:hAnsi="Arial" w:cs="Arial"/>
        </w:rPr>
        <w:t xml:space="preserve"> </w:t>
      </w:r>
      <w:r w:rsidR="009739F8" w:rsidRPr="00CF5C98">
        <w:rPr>
          <w:rFonts w:ascii="Arial" w:hAnsi="Arial" w:cs="Arial"/>
        </w:rPr>
        <w:t>(</w:t>
      </w:r>
      <w:r w:rsidR="009739F8">
        <w:rPr>
          <w:rFonts w:ascii="Arial" w:eastAsia="Times New Roman" w:hAnsi="Arial" w:cs="Arial"/>
          <w:color w:val="000000"/>
          <w:szCs w:val="24"/>
        </w:rPr>
        <w:t>5</w:t>
      </w:r>
      <w:r w:rsidR="0022150C">
        <w:rPr>
          <w:rFonts w:ascii="Arial" w:eastAsia="Times New Roman" w:hAnsi="Arial" w:cs="Arial"/>
          <w:color w:val="000000"/>
          <w:szCs w:val="24"/>
        </w:rPr>
        <w:t>7</w:t>
      </w:r>
      <w:r w:rsidR="009739F8" w:rsidRPr="00CF5C98">
        <w:rPr>
          <w:rFonts w:ascii="Arial" w:eastAsia="Times New Roman" w:hAnsi="Arial" w:cs="Arial"/>
          <w:lang w:eastAsia="en-GB"/>
        </w:rPr>
        <w:t>%</w:t>
      </w:r>
      <w:r w:rsidR="009739F8">
        <w:rPr>
          <w:rFonts w:ascii="Arial" w:eastAsia="Times New Roman" w:hAnsi="Arial" w:cs="Arial"/>
          <w:lang w:eastAsia="en-GB"/>
        </w:rPr>
        <w:t>)</w:t>
      </w:r>
      <w:r w:rsidR="00525C2D" w:rsidRPr="00CF5C98">
        <w:rPr>
          <w:rFonts w:ascii="Arial" w:hAnsi="Arial" w:cs="Arial"/>
        </w:rPr>
        <w:t xml:space="preserve"> with LRTI developed empyema</w:t>
      </w:r>
      <w:r w:rsidR="004833E2">
        <w:rPr>
          <w:rFonts w:ascii="Arial" w:eastAsia="Times New Roman" w:hAnsi="Arial" w:cs="Arial"/>
          <w:lang w:eastAsia="en-GB"/>
        </w:rPr>
        <w:t xml:space="preserve">, </w:t>
      </w:r>
      <w:r w:rsidR="00086473">
        <w:rPr>
          <w:rFonts w:ascii="Arial" w:eastAsia="Times New Roman" w:hAnsi="Arial" w:cs="Arial"/>
          <w:lang w:eastAsia="en-GB"/>
        </w:rPr>
        <w:t xml:space="preserve">including </w:t>
      </w:r>
      <w:r w:rsidR="009739F8">
        <w:rPr>
          <w:rFonts w:ascii="Arial" w:eastAsia="Times New Roman" w:hAnsi="Arial" w:cs="Arial"/>
          <w:lang w:eastAsia="en-GB"/>
        </w:rPr>
        <w:t>22/28 (7</w:t>
      </w:r>
      <w:r w:rsidR="007C5468">
        <w:rPr>
          <w:rFonts w:ascii="Arial" w:eastAsia="Times New Roman" w:hAnsi="Arial" w:cs="Arial"/>
          <w:lang w:eastAsia="en-GB"/>
        </w:rPr>
        <w:t>9</w:t>
      </w:r>
      <w:r w:rsidR="009739F8">
        <w:rPr>
          <w:rFonts w:ascii="Arial" w:eastAsia="Times New Roman" w:hAnsi="Arial" w:cs="Arial"/>
          <w:lang w:eastAsia="en-GB"/>
        </w:rPr>
        <w:t xml:space="preserve">%), 8/15 (53%) and 6/9 (67%) due to serotypes 3, 19A and 1, respectively. </w:t>
      </w:r>
      <w:r w:rsidR="00A70FE6" w:rsidRPr="00FB49B7">
        <w:rPr>
          <w:rFonts w:ascii="Arial" w:hAnsi="Arial" w:cs="Arial"/>
        </w:rPr>
        <w:t xml:space="preserve">These same three serotypes were </w:t>
      </w:r>
      <w:r w:rsidR="002F1968">
        <w:rPr>
          <w:rFonts w:ascii="Arial" w:hAnsi="Arial" w:cs="Arial"/>
        </w:rPr>
        <w:t xml:space="preserve">more likely to cause vaccine failure </w:t>
      </w:r>
      <w:r w:rsidR="00B14040" w:rsidRPr="00FB49B7">
        <w:rPr>
          <w:rFonts w:ascii="Arial" w:hAnsi="Arial" w:cs="Arial"/>
        </w:rPr>
        <w:t>in</w:t>
      </w:r>
      <w:r w:rsidR="00A70FE6" w:rsidRPr="00FB49B7">
        <w:rPr>
          <w:rFonts w:ascii="Arial" w:hAnsi="Arial" w:cs="Arial"/>
        </w:rPr>
        <w:t xml:space="preserve"> healthy children </w:t>
      </w:r>
      <w:r w:rsidR="003B1893">
        <w:rPr>
          <w:rFonts w:ascii="Arial" w:hAnsi="Arial" w:cs="Arial"/>
        </w:rPr>
        <w:t>than</w:t>
      </w:r>
      <w:r w:rsidR="004E5C28">
        <w:rPr>
          <w:rFonts w:ascii="Arial" w:hAnsi="Arial" w:cs="Arial"/>
        </w:rPr>
        <w:t xml:space="preserve"> </w:t>
      </w:r>
      <w:r w:rsidR="00A70FE6" w:rsidRPr="00FB49B7">
        <w:rPr>
          <w:rFonts w:ascii="Arial" w:hAnsi="Arial" w:cs="Arial"/>
        </w:rPr>
        <w:t>those with co-morbidity (</w:t>
      </w:r>
      <w:r w:rsidR="00A70FE6" w:rsidRPr="00FB49B7">
        <w:rPr>
          <w:rFonts w:ascii="Arial" w:hAnsi="Arial" w:cs="Arial"/>
          <w:b/>
          <w:color w:val="FF0000"/>
        </w:rPr>
        <w:t>Figure</w:t>
      </w:r>
      <w:r w:rsidR="00092374">
        <w:rPr>
          <w:rFonts w:ascii="Arial" w:hAnsi="Arial" w:cs="Arial"/>
          <w:b/>
          <w:color w:val="FF0000"/>
        </w:rPr>
        <w:t xml:space="preserve"> 3</w:t>
      </w:r>
      <w:r w:rsidR="00A70FE6" w:rsidRPr="00FB49B7">
        <w:rPr>
          <w:rFonts w:ascii="Arial" w:hAnsi="Arial" w:cs="Arial"/>
        </w:rPr>
        <w:t>).</w:t>
      </w:r>
      <w:r w:rsidR="007A0806">
        <w:rPr>
          <w:rFonts w:ascii="Arial" w:hAnsi="Arial" w:cs="Arial"/>
        </w:rPr>
        <w:t xml:space="preserve"> </w:t>
      </w:r>
    </w:p>
    <w:p w14:paraId="3C93FE43" w14:textId="77777777" w:rsidR="00EF6C32" w:rsidRPr="005236FB" w:rsidRDefault="007A0806" w:rsidP="00D474C8">
      <w:pPr>
        <w:spacing w:line="480" w:lineRule="auto"/>
        <w:rPr>
          <w:rFonts w:ascii="Arial" w:hAnsi="Arial" w:cs="Arial"/>
        </w:rPr>
      </w:pPr>
      <w:r>
        <w:rPr>
          <w:rFonts w:ascii="Arial" w:hAnsi="Arial" w:cs="Arial"/>
        </w:rPr>
        <w:t>S</w:t>
      </w:r>
      <w:r w:rsidR="00CF0D23" w:rsidRPr="00FB49B7">
        <w:rPr>
          <w:rFonts w:ascii="Arial" w:hAnsi="Arial" w:cs="Arial"/>
        </w:rPr>
        <w:t>epticaemia was the second most common clinical presentation (n=47</w:t>
      </w:r>
      <w:r w:rsidR="00F2550B">
        <w:rPr>
          <w:rFonts w:ascii="Arial" w:hAnsi="Arial" w:cs="Arial"/>
        </w:rPr>
        <w:t>;</w:t>
      </w:r>
      <w:r w:rsidR="00F2550B" w:rsidRPr="00FB49B7">
        <w:rPr>
          <w:rFonts w:ascii="Arial" w:hAnsi="Arial" w:cs="Arial"/>
        </w:rPr>
        <w:t xml:space="preserve"> </w:t>
      </w:r>
      <w:r w:rsidR="00CF0D23" w:rsidRPr="00FB49B7">
        <w:rPr>
          <w:rFonts w:ascii="Arial" w:hAnsi="Arial" w:cs="Arial"/>
        </w:rPr>
        <w:t>29%)</w:t>
      </w:r>
      <w:r w:rsidR="00EF0D29">
        <w:rPr>
          <w:rFonts w:ascii="Arial" w:hAnsi="Arial" w:cs="Arial"/>
        </w:rPr>
        <w:t xml:space="preserve"> and serotypes</w:t>
      </w:r>
      <w:r w:rsidR="00CF0D23" w:rsidRPr="00FB49B7">
        <w:rPr>
          <w:rFonts w:ascii="Arial" w:hAnsi="Arial" w:cs="Arial"/>
        </w:rPr>
        <w:t xml:space="preserve">19F </w:t>
      </w:r>
      <w:r w:rsidR="00004397" w:rsidRPr="00CA3201">
        <w:rPr>
          <w:rFonts w:ascii="Arial" w:hAnsi="Arial" w:cs="Arial"/>
        </w:rPr>
        <w:t xml:space="preserve">and 6B </w:t>
      </w:r>
      <w:r w:rsidR="00CF0D23" w:rsidRPr="00CA3201">
        <w:rPr>
          <w:rFonts w:ascii="Arial" w:hAnsi="Arial" w:cs="Arial"/>
        </w:rPr>
        <w:t>(11/</w:t>
      </w:r>
      <w:r w:rsidR="00AC7E0B" w:rsidRPr="00D474C8">
        <w:rPr>
          <w:rFonts w:ascii="Arial" w:hAnsi="Arial" w:cs="Arial"/>
        </w:rPr>
        <w:t>47</w:t>
      </w:r>
      <w:r w:rsidR="00004397" w:rsidRPr="00CA3201">
        <w:rPr>
          <w:rFonts w:ascii="Arial" w:hAnsi="Arial" w:cs="Arial"/>
        </w:rPr>
        <w:t xml:space="preserve"> each</w:t>
      </w:r>
      <w:r w:rsidR="005236FB" w:rsidRPr="00CA3201">
        <w:rPr>
          <w:rFonts w:ascii="Arial" w:hAnsi="Arial" w:cs="Arial"/>
        </w:rPr>
        <w:t>;</w:t>
      </w:r>
      <w:r w:rsidR="00CF0D23" w:rsidRPr="00CA3201">
        <w:rPr>
          <w:rFonts w:ascii="Arial" w:hAnsi="Arial" w:cs="Arial"/>
        </w:rPr>
        <w:t xml:space="preserve"> </w:t>
      </w:r>
      <w:r w:rsidR="00AC7E0B" w:rsidRPr="00D474C8">
        <w:rPr>
          <w:rFonts w:ascii="Arial" w:hAnsi="Arial" w:cs="Arial"/>
        </w:rPr>
        <w:t>23</w:t>
      </w:r>
      <w:r w:rsidR="00004397" w:rsidRPr="00CA3201">
        <w:rPr>
          <w:rFonts w:ascii="Arial" w:hAnsi="Arial" w:cs="Arial"/>
        </w:rPr>
        <w:t>%)</w:t>
      </w:r>
      <w:r w:rsidR="00EF0D29" w:rsidRPr="00CA3201">
        <w:rPr>
          <w:rFonts w:ascii="Arial" w:hAnsi="Arial" w:cs="Arial"/>
        </w:rPr>
        <w:t xml:space="preserve"> were mainly responsible</w:t>
      </w:r>
      <w:r w:rsidR="00CF0D23" w:rsidRPr="00CA3201">
        <w:rPr>
          <w:rFonts w:ascii="Arial" w:hAnsi="Arial" w:cs="Arial"/>
        </w:rPr>
        <w:t xml:space="preserve">. </w:t>
      </w:r>
      <w:r w:rsidR="00EF6C32" w:rsidRPr="00CA3201">
        <w:rPr>
          <w:rFonts w:ascii="Arial" w:hAnsi="Arial" w:cs="Arial"/>
        </w:rPr>
        <w:t xml:space="preserve">Meningitis </w:t>
      </w:r>
      <w:r w:rsidR="00CF0D23" w:rsidRPr="00CA3201">
        <w:rPr>
          <w:rFonts w:ascii="Arial" w:hAnsi="Arial" w:cs="Arial"/>
        </w:rPr>
        <w:t>was diagnosed in 36 children (22%)</w:t>
      </w:r>
      <w:r w:rsidR="00E015F0" w:rsidRPr="00CA3201">
        <w:rPr>
          <w:rFonts w:ascii="Arial" w:hAnsi="Arial" w:cs="Arial"/>
        </w:rPr>
        <w:t>;</w:t>
      </w:r>
      <w:r w:rsidR="00E015F0">
        <w:rPr>
          <w:rFonts w:ascii="Arial" w:hAnsi="Arial" w:cs="Arial"/>
        </w:rPr>
        <w:t xml:space="preserve"> of these,</w:t>
      </w:r>
      <w:r w:rsidR="00323608">
        <w:rPr>
          <w:rFonts w:ascii="Arial" w:hAnsi="Arial" w:cs="Arial"/>
        </w:rPr>
        <w:t xml:space="preserve"> five (1</w:t>
      </w:r>
      <w:r w:rsidR="00E015F0">
        <w:rPr>
          <w:rFonts w:ascii="Arial" w:hAnsi="Arial" w:cs="Arial"/>
        </w:rPr>
        <w:t>4</w:t>
      </w:r>
      <w:r w:rsidR="00323608">
        <w:rPr>
          <w:rFonts w:ascii="Arial" w:hAnsi="Arial" w:cs="Arial"/>
        </w:rPr>
        <w:t xml:space="preserve">%) had co-morbidities </w:t>
      </w:r>
      <w:r w:rsidR="00B14040" w:rsidRPr="00FB49B7">
        <w:rPr>
          <w:rFonts w:ascii="Arial" w:hAnsi="Arial" w:cs="Arial"/>
        </w:rPr>
        <w:t xml:space="preserve">and </w:t>
      </w:r>
      <w:r w:rsidR="00EF6C32" w:rsidRPr="00FB49B7">
        <w:rPr>
          <w:rFonts w:ascii="Arial" w:hAnsi="Arial" w:cs="Arial"/>
        </w:rPr>
        <w:t>19A (7/36</w:t>
      </w:r>
      <w:r w:rsidR="00323608">
        <w:rPr>
          <w:rFonts w:ascii="Arial" w:hAnsi="Arial" w:cs="Arial"/>
        </w:rPr>
        <w:t xml:space="preserve">, </w:t>
      </w:r>
      <w:r w:rsidR="00EF6C32" w:rsidRPr="00FB49B7">
        <w:rPr>
          <w:rFonts w:ascii="Arial" w:hAnsi="Arial" w:cs="Arial"/>
        </w:rPr>
        <w:t>19%</w:t>
      </w:r>
      <w:r w:rsidR="00323608">
        <w:rPr>
          <w:rFonts w:ascii="Arial" w:hAnsi="Arial" w:cs="Arial"/>
        </w:rPr>
        <w:t>)</w:t>
      </w:r>
      <w:r w:rsidR="00EF6C32" w:rsidRPr="00FB49B7">
        <w:rPr>
          <w:rFonts w:ascii="Arial" w:hAnsi="Arial" w:cs="Arial"/>
        </w:rPr>
        <w:t>, 19F (6/36</w:t>
      </w:r>
      <w:r w:rsidR="005236FB">
        <w:rPr>
          <w:rFonts w:ascii="Arial" w:hAnsi="Arial" w:cs="Arial"/>
        </w:rPr>
        <w:t>;</w:t>
      </w:r>
      <w:r w:rsidR="005236FB" w:rsidRPr="00FB49B7">
        <w:rPr>
          <w:rFonts w:ascii="Arial" w:hAnsi="Arial" w:cs="Arial"/>
        </w:rPr>
        <w:t xml:space="preserve"> </w:t>
      </w:r>
      <w:r w:rsidR="00EF6C32" w:rsidRPr="00FB49B7">
        <w:rPr>
          <w:rFonts w:ascii="Arial" w:hAnsi="Arial" w:cs="Arial"/>
        </w:rPr>
        <w:t>17%) and 6B (5/36</w:t>
      </w:r>
      <w:r w:rsidR="005236FB">
        <w:rPr>
          <w:rFonts w:ascii="Arial" w:hAnsi="Arial" w:cs="Arial"/>
        </w:rPr>
        <w:t>;</w:t>
      </w:r>
      <w:r w:rsidR="005236FB" w:rsidRPr="00FB49B7">
        <w:rPr>
          <w:rFonts w:ascii="Arial" w:hAnsi="Arial" w:cs="Arial"/>
        </w:rPr>
        <w:t xml:space="preserve"> </w:t>
      </w:r>
      <w:r w:rsidR="00EF6C32" w:rsidRPr="00FB49B7">
        <w:rPr>
          <w:rFonts w:ascii="Arial" w:hAnsi="Arial" w:cs="Arial"/>
        </w:rPr>
        <w:t>1</w:t>
      </w:r>
      <w:r w:rsidR="00E015F0">
        <w:rPr>
          <w:rFonts w:ascii="Arial" w:hAnsi="Arial" w:cs="Arial"/>
        </w:rPr>
        <w:t>4</w:t>
      </w:r>
      <w:r w:rsidR="00EF6C32" w:rsidRPr="00FB49B7">
        <w:rPr>
          <w:rFonts w:ascii="Arial" w:hAnsi="Arial" w:cs="Arial"/>
        </w:rPr>
        <w:t xml:space="preserve">%) </w:t>
      </w:r>
      <w:r w:rsidR="00B14040" w:rsidRPr="00FB49B7">
        <w:rPr>
          <w:rFonts w:ascii="Arial" w:hAnsi="Arial" w:cs="Arial"/>
        </w:rPr>
        <w:t>were the main responsible</w:t>
      </w:r>
      <w:r w:rsidR="0099110C" w:rsidRPr="0099110C">
        <w:rPr>
          <w:rFonts w:ascii="Arial" w:hAnsi="Arial" w:cs="Arial"/>
        </w:rPr>
        <w:t xml:space="preserve"> </w:t>
      </w:r>
      <w:r w:rsidR="0099110C" w:rsidRPr="00FB49B7">
        <w:rPr>
          <w:rFonts w:ascii="Arial" w:hAnsi="Arial" w:cs="Arial"/>
        </w:rPr>
        <w:t>serotype</w:t>
      </w:r>
      <w:r w:rsidR="0099110C">
        <w:rPr>
          <w:rFonts w:ascii="Arial" w:hAnsi="Arial" w:cs="Arial"/>
        </w:rPr>
        <w:t>s</w:t>
      </w:r>
      <w:r w:rsidR="00EF6C32" w:rsidRPr="00FB49B7">
        <w:rPr>
          <w:rFonts w:ascii="Arial" w:hAnsi="Arial" w:cs="Arial"/>
        </w:rPr>
        <w:t>.</w:t>
      </w:r>
    </w:p>
    <w:p w14:paraId="148E34E6" w14:textId="77777777" w:rsidR="00EF6C32" w:rsidRPr="00FB49B7" w:rsidRDefault="00EF6C32" w:rsidP="00D474C8">
      <w:pPr>
        <w:spacing w:line="480" w:lineRule="auto"/>
        <w:rPr>
          <w:rFonts w:ascii="Arial" w:hAnsi="Arial" w:cs="Arial"/>
          <w:b/>
        </w:rPr>
      </w:pPr>
    </w:p>
    <w:p w14:paraId="2E9005E4" w14:textId="77777777" w:rsidR="00EF6C32" w:rsidRPr="00CF1396" w:rsidRDefault="001F18AC" w:rsidP="00D474C8">
      <w:pPr>
        <w:spacing w:before="120" w:line="480" w:lineRule="auto"/>
        <w:rPr>
          <w:rFonts w:ascii="Arial" w:hAnsi="Arial" w:cs="Arial"/>
          <w:b/>
          <w:sz w:val="24"/>
        </w:rPr>
      </w:pPr>
      <w:r w:rsidRPr="00CF1396">
        <w:rPr>
          <w:rFonts w:ascii="Arial" w:hAnsi="Arial" w:cs="Arial"/>
          <w:b/>
          <w:sz w:val="24"/>
        </w:rPr>
        <w:t>IPD by</w:t>
      </w:r>
      <w:r w:rsidR="00CF0D23" w:rsidRPr="00CF1396">
        <w:rPr>
          <w:rFonts w:ascii="Arial" w:hAnsi="Arial" w:cs="Arial"/>
          <w:b/>
          <w:sz w:val="24"/>
        </w:rPr>
        <w:t xml:space="preserve"> </w:t>
      </w:r>
      <w:r w:rsidR="00EF6C32" w:rsidRPr="00CF1396">
        <w:rPr>
          <w:rFonts w:ascii="Arial" w:hAnsi="Arial" w:cs="Arial"/>
          <w:b/>
          <w:sz w:val="24"/>
        </w:rPr>
        <w:t>Comorbidity status</w:t>
      </w:r>
    </w:p>
    <w:p w14:paraId="663EC75B" w14:textId="2880B3CF" w:rsidR="00EF6C32" w:rsidRDefault="000F6E5A" w:rsidP="00D474C8">
      <w:pPr>
        <w:spacing w:line="480" w:lineRule="auto"/>
        <w:rPr>
          <w:rFonts w:ascii="Arial" w:hAnsi="Arial" w:cs="Arial"/>
        </w:rPr>
      </w:pPr>
      <w:r>
        <w:rPr>
          <w:rFonts w:ascii="Arial" w:hAnsi="Arial" w:cs="Arial"/>
        </w:rPr>
        <w:t>Overall</w:t>
      </w:r>
      <w:r w:rsidR="003C7D30">
        <w:rPr>
          <w:rFonts w:ascii="Arial" w:hAnsi="Arial" w:cs="Arial"/>
        </w:rPr>
        <w:t>,</w:t>
      </w:r>
      <w:r w:rsidR="00674295">
        <w:rPr>
          <w:rFonts w:ascii="Arial" w:hAnsi="Arial" w:cs="Arial"/>
        </w:rPr>
        <w:t xml:space="preserve"> </w:t>
      </w:r>
      <w:r w:rsidR="00EF6C32" w:rsidRPr="00FB49B7">
        <w:rPr>
          <w:rFonts w:ascii="Arial" w:hAnsi="Arial" w:cs="Arial"/>
        </w:rPr>
        <w:t>3</w:t>
      </w:r>
      <w:r w:rsidR="00EF0D29">
        <w:rPr>
          <w:rFonts w:ascii="Arial" w:hAnsi="Arial" w:cs="Arial"/>
        </w:rPr>
        <w:t>5</w:t>
      </w:r>
      <w:r>
        <w:rPr>
          <w:rFonts w:ascii="Arial" w:hAnsi="Arial" w:cs="Arial"/>
        </w:rPr>
        <w:t xml:space="preserve"> (</w:t>
      </w:r>
      <w:r w:rsidR="00EF6C32" w:rsidRPr="00FB49B7">
        <w:rPr>
          <w:rFonts w:ascii="Arial" w:hAnsi="Arial" w:cs="Arial"/>
        </w:rPr>
        <w:t>2</w:t>
      </w:r>
      <w:r w:rsidR="00E205C4">
        <w:rPr>
          <w:rFonts w:ascii="Arial" w:hAnsi="Arial" w:cs="Arial"/>
        </w:rPr>
        <w:t>2</w:t>
      </w:r>
      <w:r w:rsidR="00EF6C32" w:rsidRPr="00FB49B7">
        <w:rPr>
          <w:rFonts w:ascii="Arial" w:hAnsi="Arial" w:cs="Arial"/>
        </w:rPr>
        <w:t>%)</w:t>
      </w:r>
      <w:r>
        <w:rPr>
          <w:rFonts w:ascii="Arial" w:hAnsi="Arial" w:cs="Arial"/>
        </w:rPr>
        <w:t xml:space="preserve"> cases</w:t>
      </w:r>
      <w:r w:rsidR="00B14040" w:rsidRPr="00FB49B7">
        <w:rPr>
          <w:rFonts w:ascii="Arial" w:hAnsi="Arial" w:cs="Arial"/>
        </w:rPr>
        <w:t xml:space="preserve"> had </w:t>
      </w:r>
      <w:r w:rsidR="00D12E0E">
        <w:rPr>
          <w:rFonts w:ascii="Arial" w:hAnsi="Arial" w:cs="Arial"/>
        </w:rPr>
        <w:t xml:space="preserve">underlying </w:t>
      </w:r>
      <w:r w:rsidR="00B14040" w:rsidRPr="00FB49B7">
        <w:rPr>
          <w:rFonts w:ascii="Arial" w:hAnsi="Arial" w:cs="Arial"/>
        </w:rPr>
        <w:t>co-morbidity</w:t>
      </w:r>
      <w:r w:rsidR="003C7D30">
        <w:rPr>
          <w:rFonts w:ascii="Arial" w:hAnsi="Arial" w:cs="Arial"/>
        </w:rPr>
        <w:t>, mainly</w:t>
      </w:r>
      <w:r w:rsidR="00EF6C32" w:rsidRPr="00FB49B7">
        <w:rPr>
          <w:rFonts w:ascii="Arial" w:hAnsi="Arial" w:cs="Arial"/>
        </w:rPr>
        <w:t xml:space="preserve"> </w:t>
      </w:r>
      <w:r w:rsidR="00674295">
        <w:rPr>
          <w:rFonts w:ascii="Arial" w:hAnsi="Arial" w:cs="Arial"/>
        </w:rPr>
        <w:t>malignancy/immunosuppression (</w:t>
      </w:r>
      <w:r w:rsidR="00D12E0E">
        <w:rPr>
          <w:rFonts w:ascii="Arial" w:hAnsi="Arial" w:cs="Arial"/>
        </w:rPr>
        <w:t>1</w:t>
      </w:r>
      <w:r w:rsidR="00674295">
        <w:rPr>
          <w:rFonts w:ascii="Arial" w:hAnsi="Arial" w:cs="Arial"/>
        </w:rPr>
        <w:t>6</w:t>
      </w:r>
      <w:r w:rsidR="00EF6C32" w:rsidRPr="00FB49B7">
        <w:rPr>
          <w:rFonts w:ascii="Arial" w:hAnsi="Arial" w:cs="Arial"/>
        </w:rPr>
        <w:t>/161</w:t>
      </w:r>
      <w:r w:rsidR="00674295">
        <w:rPr>
          <w:rFonts w:ascii="Arial" w:hAnsi="Arial" w:cs="Arial"/>
        </w:rPr>
        <w:t xml:space="preserve">, </w:t>
      </w:r>
      <w:r w:rsidR="00D12E0E">
        <w:rPr>
          <w:rFonts w:ascii="Arial" w:hAnsi="Arial" w:cs="Arial"/>
        </w:rPr>
        <w:t>10</w:t>
      </w:r>
      <w:r>
        <w:rPr>
          <w:rFonts w:ascii="Arial" w:eastAsia="Times New Roman" w:hAnsi="Arial" w:cs="Arial"/>
          <w:lang w:eastAsia="en-GB"/>
        </w:rPr>
        <w:t>%</w:t>
      </w:r>
      <w:r w:rsidR="00EF6C32" w:rsidRPr="00FB49B7">
        <w:rPr>
          <w:rFonts w:ascii="Arial" w:hAnsi="Arial" w:cs="Arial"/>
        </w:rPr>
        <w:t xml:space="preserve">) or </w:t>
      </w:r>
      <w:r w:rsidR="00674295">
        <w:rPr>
          <w:rFonts w:ascii="Arial" w:hAnsi="Arial" w:cs="Arial"/>
        </w:rPr>
        <w:t xml:space="preserve">cardiac </w:t>
      </w:r>
      <w:r w:rsidR="00EF6C32" w:rsidRPr="00FB49B7">
        <w:rPr>
          <w:rFonts w:ascii="Arial" w:hAnsi="Arial" w:cs="Arial"/>
        </w:rPr>
        <w:t>abnormalit</w:t>
      </w:r>
      <w:r w:rsidR="00674295">
        <w:rPr>
          <w:rFonts w:ascii="Arial" w:hAnsi="Arial" w:cs="Arial"/>
        </w:rPr>
        <w:t>ies</w:t>
      </w:r>
      <w:r w:rsidR="00EF6C32" w:rsidRPr="00FB49B7">
        <w:rPr>
          <w:rFonts w:ascii="Arial" w:hAnsi="Arial" w:cs="Arial"/>
        </w:rPr>
        <w:t xml:space="preserve"> (</w:t>
      </w:r>
      <w:r w:rsidR="00674295">
        <w:rPr>
          <w:rFonts w:ascii="Arial" w:hAnsi="Arial" w:cs="Arial"/>
        </w:rPr>
        <w:t>8</w:t>
      </w:r>
      <w:r w:rsidR="00EF6C32" w:rsidRPr="00FB49B7">
        <w:rPr>
          <w:rFonts w:ascii="Arial" w:hAnsi="Arial" w:cs="Arial"/>
        </w:rPr>
        <w:t>/161</w:t>
      </w:r>
      <w:r w:rsidR="00D12E0E">
        <w:rPr>
          <w:rFonts w:ascii="Arial" w:hAnsi="Arial" w:cs="Arial"/>
        </w:rPr>
        <w:t xml:space="preserve">, </w:t>
      </w:r>
      <w:r w:rsidR="00674295">
        <w:rPr>
          <w:rFonts w:ascii="Arial" w:hAnsi="Arial" w:cs="Arial"/>
        </w:rPr>
        <w:t>5</w:t>
      </w:r>
      <w:r w:rsidR="00EF6C32" w:rsidRPr="00FB49B7">
        <w:rPr>
          <w:rFonts w:ascii="Arial" w:hAnsi="Arial" w:cs="Arial"/>
        </w:rPr>
        <w:t>%)</w:t>
      </w:r>
      <w:r w:rsidR="000A3EF1">
        <w:rPr>
          <w:rFonts w:ascii="Arial" w:hAnsi="Arial" w:cs="Arial"/>
        </w:rPr>
        <w:t xml:space="preserve">; five children </w:t>
      </w:r>
      <w:r w:rsidR="00EF6C32" w:rsidRPr="00FB49B7">
        <w:rPr>
          <w:rFonts w:ascii="Arial" w:hAnsi="Arial" w:cs="Arial"/>
        </w:rPr>
        <w:t xml:space="preserve">(3%) had </w:t>
      </w:r>
      <w:r w:rsidR="00AC5A7F">
        <w:rPr>
          <w:rFonts w:ascii="Arial" w:hAnsi="Arial" w:cs="Arial"/>
        </w:rPr>
        <w:t xml:space="preserve">&gt;1 </w:t>
      </w:r>
      <w:r w:rsidR="00EF6C32" w:rsidRPr="00FB49B7">
        <w:rPr>
          <w:rFonts w:ascii="Arial" w:hAnsi="Arial" w:cs="Arial"/>
        </w:rPr>
        <w:t>comorbidities.</w:t>
      </w:r>
      <w:r w:rsidR="003C7D30">
        <w:rPr>
          <w:rFonts w:ascii="Arial" w:hAnsi="Arial" w:cs="Arial"/>
        </w:rPr>
        <w:t xml:space="preserve"> </w:t>
      </w:r>
      <w:r w:rsidR="00EF6C32" w:rsidRPr="00FB49B7">
        <w:rPr>
          <w:rFonts w:ascii="Arial" w:hAnsi="Arial" w:cs="Arial"/>
        </w:rPr>
        <w:t>Child</w:t>
      </w:r>
      <w:r w:rsidR="0013571B" w:rsidRPr="00FB49B7">
        <w:rPr>
          <w:rFonts w:ascii="Arial" w:hAnsi="Arial" w:cs="Arial"/>
        </w:rPr>
        <w:t xml:space="preserve">ren with co-morbidity were </w:t>
      </w:r>
      <w:r w:rsidR="00EF6C32" w:rsidRPr="00FB49B7">
        <w:rPr>
          <w:rFonts w:ascii="Arial" w:hAnsi="Arial" w:cs="Arial"/>
        </w:rPr>
        <w:t xml:space="preserve">likely to be older (median age, </w:t>
      </w:r>
      <w:r w:rsidR="00A07431">
        <w:rPr>
          <w:rFonts w:ascii="Arial" w:hAnsi="Arial" w:cs="Arial"/>
        </w:rPr>
        <w:t>28</w:t>
      </w:r>
      <w:r w:rsidR="00EF6C32" w:rsidRPr="00FB49B7">
        <w:rPr>
          <w:rFonts w:ascii="Arial" w:hAnsi="Arial" w:cs="Arial"/>
        </w:rPr>
        <w:t xml:space="preserve"> </w:t>
      </w:r>
      <w:r w:rsidR="00B0705C">
        <w:rPr>
          <w:rFonts w:ascii="Arial" w:hAnsi="Arial" w:cs="Arial"/>
        </w:rPr>
        <w:t>[</w:t>
      </w:r>
      <w:r w:rsidR="00EF6C32" w:rsidRPr="00FB49B7">
        <w:rPr>
          <w:rFonts w:ascii="Arial" w:hAnsi="Arial" w:cs="Arial"/>
        </w:rPr>
        <w:t xml:space="preserve">IQR, </w:t>
      </w:r>
      <w:r w:rsidR="00A07431">
        <w:rPr>
          <w:rFonts w:ascii="Arial" w:hAnsi="Arial" w:cs="Arial"/>
        </w:rPr>
        <w:t>18</w:t>
      </w:r>
      <w:r w:rsidR="00EF6C32" w:rsidRPr="00FB49B7">
        <w:rPr>
          <w:rFonts w:ascii="Arial" w:hAnsi="Arial" w:cs="Arial"/>
        </w:rPr>
        <w:t>-</w:t>
      </w:r>
      <w:r w:rsidR="00A07431">
        <w:rPr>
          <w:rFonts w:ascii="Arial" w:hAnsi="Arial" w:cs="Arial"/>
        </w:rPr>
        <w:t>39</w:t>
      </w:r>
      <w:r w:rsidR="00B0705C">
        <w:rPr>
          <w:rFonts w:ascii="Arial" w:hAnsi="Arial" w:cs="Arial"/>
        </w:rPr>
        <w:t>]</w:t>
      </w:r>
      <w:r w:rsidR="00EF6C32" w:rsidRPr="00FB49B7">
        <w:rPr>
          <w:rFonts w:ascii="Arial" w:hAnsi="Arial" w:cs="Arial"/>
        </w:rPr>
        <w:t xml:space="preserve"> vs. </w:t>
      </w:r>
      <w:r w:rsidR="00A07431">
        <w:rPr>
          <w:rFonts w:ascii="Arial" w:hAnsi="Arial" w:cs="Arial"/>
        </w:rPr>
        <w:t>19</w:t>
      </w:r>
      <w:r w:rsidR="00EF6C32" w:rsidRPr="00FB49B7">
        <w:rPr>
          <w:rFonts w:ascii="Arial" w:hAnsi="Arial" w:cs="Arial"/>
        </w:rPr>
        <w:t xml:space="preserve"> </w:t>
      </w:r>
      <w:r w:rsidR="00B0705C">
        <w:rPr>
          <w:rFonts w:ascii="Arial" w:hAnsi="Arial" w:cs="Arial"/>
        </w:rPr>
        <w:t>[</w:t>
      </w:r>
      <w:r w:rsidR="00A07431">
        <w:rPr>
          <w:rFonts w:ascii="Arial" w:hAnsi="Arial" w:cs="Arial"/>
        </w:rPr>
        <w:t>IQR, 11</w:t>
      </w:r>
      <w:r w:rsidR="00EF6C32" w:rsidRPr="00FB49B7">
        <w:rPr>
          <w:rFonts w:ascii="Arial" w:hAnsi="Arial" w:cs="Arial"/>
        </w:rPr>
        <w:t>-</w:t>
      </w:r>
      <w:r w:rsidR="00A07431">
        <w:rPr>
          <w:rFonts w:ascii="Arial" w:hAnsi="Arial" w:cs="Arial"/>
        </w:rPr>
        <w:t>28</w:t>
      </w:r>
      <w:r w:rsidR="00B0705C">
        <w:rPr>
          <w:rFonts w:ascii="Arial" w:hAnsi="Arial" w:cs="Arial"/>
        </w:rPr>
        <w:t>] months</w:t>
      </w:r>
      <w:r w:rsidR="00EF6C32" w:rsidRPr="00FB49B7">
        <w:rPr>
          <w:rFonts w:ascii="Arial" w:hAnsi="Arial" w:cs="Arial"/>
        </w:rPr>
        <w:t xml:space="preserve">; </w:t>
      </w:r>
      <w:r w:rsidR="00E27860" w:rsidRPr="00E27860">
        <w:rPr>
          <w:rFonts w:ascii="Arial" w:hAnsi="Arial" w:cs="Arial"/>
          <w:i/>
        </w:rPr>
        <w:t>P=</w:t>
      </w:r>
      <w:r w:rsidR="00EF6C32" w:rsidRPr="00FB49B7">
        <w:rPr>
          <w:rFonts w:ascii="Arial" w:hAnsi="Arial" w:cs="Arial"/>
        </w:rPr>
        <w:t>0.</w:t>
      </w:r>
      <w:r w:rsidR="00A07431" w:rsidRPr="00FB49B7">
        <w:rPr>
          <w:rFonts w:ascii="Arial" w:hAnsi="Arial" w:cs="Arial"/>
        </w:rPr>
        <w:t>0</w:t>
      </w:r>
      <w:r w:rsidR="00A07431">
        <w:rPr>
          <w:rFonts w:ascii="Arial" w:hAnsi="Arial" w:cs="Arial"/>
        </w:rPr>
        <w:t>07</w:t>
      </w:r>
      <w:r w:rsidR="00EF6C32" w:rsidRPr="00FB49B7">
        <w:rPr>
          <w:rFonts w:ascii="Arial" w:hAnsi="Arial" w:cs="Arial"/>
        </w:rPr>
        <w:t>)</w:t>
      </w:r>
      <w:r w:rsidR="0013571B" w:rsidRPr="00FB49B7">
        <w:rPr>
          <w:rFonts w:ascii="Arial" w:hAnsi="Arial" w:cs="Arial"/>
        </w:rPr>
        <w:t xml:space="preserve"> </w:t>
      </w:r>
      <w:r w:rsidR="00674295">
        <w:rPr>
          <w:rFonts w:ascii="Arial" w:hAnsi="Arial" w:cs="Arial"/>
        </w:rPr>
        <w:t xml:space="preserve">and </w:t>
      </w:r>
      <w:r w:rsidR="00EF0D29">
        <w:rPr>
          <w:rFonts w:ascii="Arial" w:hAnsi="Arial" w:cs="Arial"/>
        </w:rPr>
        <w:t xml:space="preserve">present </w:t>
      </w:r>
      <w:r w:rsidR="008506B1">
        <w:rPr>
          <w:rFonts w:ascii="Arial" w:hAnsi="Arial" w:cs="Arial"/>
        </w:rPr>
        <w:t>with septicaemia (20/35 [57%] vs. 27/126 [21</w:t>
      </w:r>
      <w:r w:rsidR="00EF0D29">
        <w:rPr>
          <w:rFonts w:ascii="Arial" w:hAnsi="Arial" w:cs="Arial"/>
        </w:rPr>
        <w:t xml:space="preserve">%]; </w:t>
      </w:r>
      <w:r w:rsidR="009F4E66">
        <w:rPr>
          <w:rFonts w:ascii="Arial" w:hAnsi="Arial" w:cs="Arial"/>
        </w:rPr>
        <w:t>a</w:t>
      </w:r>
      <w:r w:rsidR="00EF0D29">
        <w:rPr>
          <w:rFonts w:ascii="Arial" w:hAnsi="Arial" w:cs="Arial"/>
        </w:rPr>
        <w:t>OR=</w:t>
      </w:r>
      <w:r w:rsidR="00A07431">
        <w:rPr>
          <w:rFonts w:ascii="Arial" w:hAnsi="Arial" w:cs="Arial"/>
        </w:rPr>
        <w:t>5</w:t>
      </w:r>
      <w:r w:rsidR="00EF0D29">
        <w:rPr>
          <w:rFonts w:ascii="Arial" w:hAnsi="Arial" w:cs="Arial"/>
        </w:rPr>
        <w:t>.</w:t>
      </w:r>
      <w:r w:rsidR="00A07431">
        <w:rPr>
          <w:rFonts w:ascii="Arial" w:hAnsi="Arial" w:cs="Arial"/>
        </w:rPr>
        <w:t>5</w:t>
      </w:r>
      <w:r w:rsidR="00EF0D29">
        <w:rPr>
          <w:rFonts w:ascii="Arial" w:hAnsi="Arial" w:cs="Arial"/>
        </w:rPr>
        <w:t xml:space="preserve">, 95% CI, </w:t>
      </w:r>
      <w:r w:rsidR="009F4E66">
        <w:rPr>
          <w:rFonts w:ascii="Arial" w:hAnsi="Arial" w:cs="Arial"/>
        </w:rPr>
        <w:t>2</w:t>
      </w:r>
      <w:r w:rsidR="00EF0D29">
        <w:rPr>
          <w:rFonts w:ascii="Arial" w:hAnsi="Arial" w:cs="Arial"/>
        </w:rPr>
        <w:t>.</w:t>
      </w:r>
      <w:r w:rsidR="009F4E66">
        <w:rPr>
          <w:rFonts w:ascii="Arial" w:hAnsi="Arial" w:cs="Arial"/>
        </w:rPr>
        <w:t>4</w:t>
      </w:r>
      <w:r w:rsidR="00EF0D29">
        <w:rPr>
          <w:rFonts w:ascii="Arial" w:hAnsi="Arial" w:cs="Arial"/>
        </w:rPr>
        <w:t>-</w:t>
      </w:r>
      <w:r w:rsidR="009F4E66">
        <w:rPr>
          <w:rFonts w:ascii="Arial" w:hAnsi="Arial" w:cs="Arial"/>
        </w:rPr>
        <w:t>12</w:t>
      </w:r>
      <w:r w:rsidR="00EF0D29">
        <w:rPr>
          <w:rFonts w:ascii="Arial" w:hAnsi="Arial" w:cs="Arial"/>
        </w:rPr>
        <w:t>.</w:t>
      </w:r>
      <w:r w:rsidR="009F4E66">
        <w:rPr>
          <w:rFonts w:ascii="Arial" w:hAnsi="Arial" w:cs="Arial"/>
        </w:rPr>
        <w:t>7</w:t>
      </w:r>
      <w:r w:rsidR="00EF0D29">
        <w:rPr>
          <w:rFonts w:ascii="Arial" w:hAnsi="Arial" w:cs="Arial"/>
        </w:rPr>
        <w:t>; P&lt;0.0001)</w:t>
      </w:r>
      <w:r w:rsidR="00674295">
        <w:rPr>
          <w:rFonts w:ascii="Arial" w:hAnsi="Arial" w:cs="Arial"/>
        </w:rPr>
        <w:t xml:space="preserve">, but </w:t>
      </w:r>
      <w:r w:rsidR="00EF0D29">
        <w:rPr>
          <w:rFonts w:ascii="Arial" w:hAnsi="Arial" w:cs="Arial"/>
        </w:rPr>
        <w:t xml:space="preserve">less likely </w:t>
      </w:r>
      <w:r w:rsidR="00817982">
        <w:rPr>
          <w:rFonts w:ascii="Arial" w:hAnsi="Arial" w:cs="Arial"/>
        </w:rPr>
        <w:t>to present with LRTI (9/35 [26%] vs. 63/126 [50</w:t>
      </w:r>
      <w:r w:rsidR="00EF0D29">
        <w:rPr>
          <w:rFonts w:ascii="Arial" w:hAnsi="Arial" w:cs="Arial"/>
        </w:rPr>
        <w:t xml:space="preserve">%]; </w:t>
      </w:r>
      <w:r w:rsidR="009F4E66">
        <w:rPr>
          <w:rFonts w:ascii="Arial" w:hAnsi="Arial" w:cs="Arial"/>
        </w:rPr>
        <w:t>a</w:t>
      </w:r>
      <w:r w:rsidR="00EF0D29">
        <w:rPr>
          <w:rFonts w:ascii="Arial" w:hAnsi="Arial" w:cs="Arial"/>
        </w:rPr>
        <w:t>OR=0.</w:t>
      </w:r>
      <w:r w:rsidR="009F4E66">
        <w:rPr>
          <w:rFonts w:ascii="Arial" w:hAnsi="Arial" w:cs="Arial"/>
        </w:rPr>
        <w:t>24</w:t>
      </w:r>
      <w:r w:rsidR="00EF0D29">
        <w:rPr>
          <w:rFonts w:ascii="Arial" w:hAnsi="Arial" w:cs="Arial"/>
        </w:rPr>
        <w:t>, 95% CI, 0.</w:t>
      </w:r>
      <w:r w:rsidR="009F4E66">
        <w:rPr>
          <w:rFonts w:ascii="Arial" w:hAnsi="Arial" w:cs="Arial"/>
        </w:rPr>
        <w:t>10</w:t>
      </w:r>
      <w:r w:rsidR="00EF0D29">
        <w:rPr>
          <w:rFonts w:ascii="Arial" w:hAnsi="Arial" w:cs="Arial"/>
        </w:rPr>
        <w:t>-0.</w:t>
      </w:r>
      <w:r w:rsidR="009F4E66">
        <w:rPr>
          <w:rFonts w:ascii="Arial" w:hAnsi="Arial" w:cs="Arial"/>
        </w:rPr>
        <w:t>60</w:t>
      </w:r>
      <w:r w:rsidR="00EF0D29">
        <w:rPr>
          <w:rFonts w:ascii="Arial" w:hAnsi="Arial" w:cs="Arial"/>
        </w:rPr>
        <w:t>; P=0.</w:t>
      </w:r>
      <w:r w:rsidR="009F4E66">
        <w:rPr>
          <w:rFonts w:ascii="Arial" w:hAnsi="Arial" w:cs="Arial"/>
        </w:rPr>
        <w:t>002</w:t>
      </w:r>
      <w:r w:rsidR="00EF0D29">
        <w:rPr>
          <w:rFonts w:ascii="Arial" w:hAnsi="Arial" w:cs="Arial"/>
        </w:rPr>
        <w:t>)</w:t>
      </w:r>
      <w:r w:rsidR="00EF6C32" w:rsidRPr="00FB49B7">
        <w:rPr>
          <w:rFonts w:ascii="Arial" w:hAnsi="Arial" w:cs="Arial"/>
        </w:rPr>
        <w:t xml:space="preserve">. </w:t>
      </w:r>
      <w:r w:rsidR="00674295">
        <w:rPr>
          <w:rFonts w:ascii="Arial" w:hAnsi="Arial" w:cs="Arial"/>
        </w:rPr>
        <w:t>S</w:t>
      </w:r>
      <w:r w:rsidR="0013571B" w:rsidRPr="00E236B4">
        <w:rPr>
          <w:rFonts w:ascii="Arial" w:hAnsi="Arial" w:cs="Arial"/>
        </w:rPr>
        <w:t>erotype</w:t>
      </w:r>
      <w:r w:rsidR="00EF6C32" w:rsidRPr="00E236B4">
        <w:rPr>
          <w:rFonts w:ascii="Arial" w:hAnsi="Arial" w:cs="Arial"/>
        </w:rPr>
        <w:t xml:space="preserve"> 6B (</w:t>
      </w:r>
      <w:r w:rsidR="00BC39C7">
        <w:rPr>
          <w:rFonts w:ascii="Arial" w:hAnsi="Arial" w:cs="Arial"/>
        </w:rPr>
        <w:t>n=</w:t>
      </w:r>
      <w:r w:rsidR="00EF6C32" w:rsidRPr="00E236B4">
        <w:rPr>
          <w:rFonts w:ascii="Arial" w:hAnsi="Arial" w:cs="Arial"/>
        </w:rPr>
        <w:t>7</w:t>
      </w:r>
      <w:r w:rsidR="00E236B4" w:rsidRPr="00E236B4">
        <w:rPr>
          <w:rFonts w:ascii="Arial" w:hAnsi="Arial" w:cs="Arial"/>
        </w:rPr>
        <w:t xml:space="preserve">; </w:t>
      </w:r>
      <w:r w:rsidR="00BC39C7">
        <w:rPr>
          <w:rFonts w:ascii="Arial" w:eastAsia="Times New Roman" w:hAnsi="Arial" w:cs="Arial"/>
          <w:lang w:eastAsia="en-GB"/>
        </w:rPr>
        <w:t>20</w:t>
      </w:r>
      <w:r w:rsidR="00E236B4" w:rsidRPr="00E236B4">
        <w:rPr>
          <w:rFonts w:ascii="Arial" w:eastAsia="Times New Roman" w:hAnsi="Arial" w:cs="Arial"/>
          <w:lang w:eastAsia="en-GB"/>
        </w:rPr>
        <w:t>%</w:t>
      </w:r>
      <w:r w:rsidR="00EF6C32" w:rsidRPr="00E236B4">
        <w:rPr>
          <w:rFonts w:ascii="Arial" w:hAnsi="Arial" w:cs="Arial"/>
        </w:rPr>
        <w:t>)</w:t>
      </w:r>
      <w:r w:rsidR="00BC39C7">
        <w:rPr>
          <w:rFonts w:ascii="Arial" w:hAnsi="Arial" w:cs="Arial"/>
        </w:rPr>
        <w:t xml:space="preserve">, </w:t>
      </w:r>
      <w:r w:rsidR="00EF6C32" w:rsidRPr="00E236B4">
        <w:rPr>
          <w:rFonts w:ascii="Arial" w:hAnsi="Arial" w:cs="Arial"/>
        </w:rPr>
        <w:t>23F (</w:t>
      </w:r>
      <w:r w:rsidR="00BC39C7">
        <w:rPr>
          <w:rFonts w:ascii="Arial" w:hAnsi="Arial" w:cs="Arial"/>
        </w:rPr>
        <w:t>n</w:t>
      </w:r>
      <w:r w:rsidR="00EF6C32" w:rsidRPr="00E236B4">
        <w:rPr>
          <w:rFonts w:ascii="Arial" w:hAnsi="Arial" w:cs="Arial"/>
        </w:rPr>
        <w:t>=6</w:t>
      </w:r>
      <w:r w:rsidR="00E236B4" w:rsidRPr="00E236B4">
        <w:rPr>
          <w:rFonts w:ascii="Arial" w:hAnsi="Arial" w:cs="Arial"/>
        </w:rPr>
        <w:t xml:space="preserve">; </w:t>
      </w:r>
      <w:r w:rsidR="00BC39C7">
        <w:rPr>
          <w:rFonts w:ascii="Arial" w:hAnsi="Arial" w:cs="Arial"/>
        </w:rPr>
        <w:t>17</w:t>
      </w:r>
      <w:r w:rsidR="00EF6C32" w:rsidRPr="00E236B4">
        <w:rPr>
          <w:rFonts w:ascii="Arial" w:hAnsi="Arial" w:cs="Arial"/>
        </w:rPr>
        <w:t>%)</w:t>
      </w:r>
      <w:r w:rsidR="0013571B" w:rsidRPr="00E236B4">
        <w:rPr>
          <w:rFonts w:ascii="Arial" w:hAnsi="Arial" w:cs="Arial"/>
        </w:rPr>
        <w:t xml:space="preserve"> </w:t>
      </w:r>
      <w:r w:rsidR="00674295">
        <w:rPr>
          <w:rFonts w:ascii="Arial" w:hAnsi="Arial" w:cs="Arial"/>
        </w:rPr>
        <w:t xml:space="preserve">and 3 (n=5, </w:t>
      </w:r>
      <w:r w:rsidR="00BC39C7">
        <w:rPr>
          <w:rFonts w:ascii="Arial" w:hAnsi="Arial" w:cs="Arial"/>
        </w:rPr>
        <w:t>14</w:t>
      </w:r>
      <w:r w:rsidR="00674295">
        <w:rPr>
          <w:rFonts w:ascii="Arial" w:hAnsi="Arial" w:cs="Arial"/>
        </w:rPr>
        <w:t xml:space="preserve">%) </w:t>
      </w:r>
      <w:r w:rsidR="00DA1E62">
        <w:rPr>
          <w:rFonts w:ascii="Arial" w:hAnsi="Arial" w:cs="Arial"/>
        </w:rPr>
        <w:t>were the main serotypes responsible;</w:t>
      </w:r>
      <w:r w:rsidR="0013571B" w:rsidRPr="00E236B4">
        <w:rPr>
          <w:rFonts w:ascii="Arial" w:hAnsi="Arial" w:cs="Arial"/>
        </w:rPr>
        <w:t xml:space="preserve"> </w:t>
      </w:r>
      <w:r w:rsidR="00DA1E62">
        <w:rPr>
          <w:rFonts w:ascii="Arial" w:hAnsi="Arial" w:cs="Arial"/>
        </w:rPr>
        <w:t>6/10</w:t>
      </w:r>
      <w:r w:rsidR="0013571B" w:rsidRPr="00E236B4">
        <w:rPr>
          <w:rFonts w:ascii="Arial" w:hAnsi="Arial" w:cs="Arial"/>
        </w:rPr>
        <w:t xml:space="preserve"> (60%) serotype 23</w:t>
      </w:r>
      <w:r w:rsidR="00674295">
        <w:rPr>
          <w:rFonts w:ascii="Arial" w:hAnsi="Arial" w:cs="Arial"/>
        </w:rPr>
        <w:t>F</w:t>
      </w:r>
      <w:r w:rsidR="0013571B" w:rsidRPr="00E236B4">
        <w:rPr>
          <w:rFonts w:ascii="Arial" w:hAnsi="Arial" w:cs="Arial"/>
        </w:rPr>
        <w:t xml:space="preserve"> and 3/6 (50</w:t>
      </w:r>
      <w:r w:rsidR="00E236B4" w:rsidRPr="00E236B4">
        <w:rPr>
          <w:rFonts w:ascii="Arial" w:eastAsia="Times New Roman" w:hAnsi="Arial" w:cs="Arial"/>
          <w:lang w:eastAsia="en-GB"/>
        </w:rPr>
        <w:t>%</w:t>
      </w:r>
      <w:r w:rsidR="0013571B" w:rsidRPr="00E236B4">
        <w:rPr>
          <w:rFonts w:ascii="Arial" w:hAnsi="Arial" w:cs="Arial"/>
        </w:rPr>
        <w:t xml:space="preserve">) </w:t>
      </w:r>
      <w:r w:rsidR="00EF6C32" w:rsidRPr="00E236B4">
        <w:rPr>
          <w:rFonts w:ascii="Arial" w:hAnsi="Arial" w:cs="Arial"/>
        </w:rPr>
        <w:t>serotype 18C</w:t>
      </w:r>
      <w:r w:rsidR="00DA1E62">
        <w:rPr>
          <w:rFonts w:ascii="Arial" w:hAnsi="Arial" w:cs="Arial"/>
        </w:rPr>
        <w:t>,</w:t>
      </w:r>
      <w:r w:rsidR="00EF6C32" w:rsidRPr="00E236B4">
        <w:rPr>
          <w:rFonts w:ascii="Arial" w:hAnsi="Arial" w:cs="Arial"/>
        </w:rPr>
        <w:t xml:space="preserve"> </w:t>
      </w:r>
      <w:r w:rsidR="00674295">
        <w:rPr>
          <w:rFonts w:ascii="Arial" w:hAnsi="Arial" w:cs="Arial"/>
        </w:rPr>
        <w:t>but only 5/38 (13%) serotype 3</w:t>
      </w:r>
      <w:r w:rsidR="00DA1E62">
        <w:rPr>
          <w:rFonts w:ascii="Arial" w:hAnsi="Arial" w:cs="Arial"/>
        </w:rPr>
        <w:t>,</w:t>
      </w:r>
      <w:r w:rsidR="00674295">
        <w:rPr>
          <w:rFonts w:ascii="Arial" w:hAnsi="Arial" w:cs="Arial"/>
        </w:rPr>
        <w:t xml:space="preserve"> </w:t>
      </w:r>
      <w:r w:rsidR="00EF6C32" w:rsidRPr="00E236B4">
        <w:rPr>
          <w:rFonts w:ascii="Arial" w:hAnsi="Arial" w:cs="Arial"/>
        </w:rPr>
        <w:t xml:space="preserve">IPD </w:t>
      </w:r>
      <w:r w:rsidR="00674295">
        <w:rPr>
          <w:rFonts w:ascii="Arial" w:hAnsi="Arial" w:cs="Arial"/>
        </w:rPr>
        <w:t xml:space="preserve">cases </w:t>
      </w:r>
      <w:r w:rsidR="00EF6C32" w:rsidRPr="00E236B4">
        <w:rPr>
          <w:rFonts w:ascii="Arial" w:hAnsi="Arial" w:cs="Arial"/>
        </w:rPr>
        <w:t>occurred in children with co</w:t>
      </w:r>
      <w:r w:rsidR="00B0705C">
        <w:rPr>
          <w:rFonts w:ascii="Arial" w:hAnsi="Arial" w:cs="Arial"/>
        </w:rPr>
        <w:t>-</w:t>
      </w:r>
      <w:r w:rsidR="00EF6C32" w:rsidRPr="00E236B4">
        <w:rPr>
          <w:rFonts w:ascii="Arial" w:hAnsi="Arial" w:cs="Arial"/>
        </w:rPr>
        <w:t>morbidity.</w:t>
      </w:r>
      <w:r w:rsidR="00DA1E62">
        <w:rPr>
          <w:rFonts w:ascii="Arial" w:hAnsi="Arial" w:cs="Arial"/>
        </w:rPr>
        <w:t xml:space="preserve"> </w:t>
      </w:r>
      <w:r w:rsidR="00EF6C32" w:rsidRPr="00E236B4">
        <w:rPr>
          <w:rFonts w:ascii="Arial" w:hAnsi="Arial" w:cs="Arial"/>
        </w:rPr>
        <w:t>Convers</w:t>
      </w:r>
      <w:r w:rsidR="0013571B" w:rsidRPr="00E236B4">
        <w:rPr>
          <w:rFonts w:ascii="Arial" w:hAnsi="Arial" w:cs="Arial"/>
        </w:rPr>
        <w:t xml:space="preserve">ely, </w:t>
      </w:r>
      <w:r w:rsidR="00674295">
        <w:rPr>
          <w:rFonts w:ascii="Arial" w:hAnsi="Arial" w:cs="Arial"/>
        </w:rPr>
        <w:t xml:space="preserve">only </w:t>
      </w:r>
      <w:r w:rsidR="00674295" w:rsidRPr="00E236B4">
        <w:rPr>
          <w:rFonts w:ascii="Arial" w:hAnsi="Arial" w:cs="Arial"/>
        </w:rPr>
        <w:t>3/30</w:t>
      </w:r>
      <w:r w:rsidR="00674295">
        <w:rPr>
          <w:rFonts w:ascii="Arial" w:hAnsi="Arial" w:cs="Arial"/>
        </w:rPr>
        <w:t xml:space="preserve"> (</w:t>
      </w:r>
      <w:r w:rsidR="00674295" w:rsidRPr="00E236B4">
        <w:rPr>
          <w:rFonts w:ascii="Arial" w:hAnsi="Arial" w:cs="Arial"/>
        </w:rPr>
        <w:t xml:space="preserve">10%) </w:t>
      </w:r>
      <w:r w:rsidR="0013571B" w:rsidRPr="00E236B4">
        <w:rPr>
          <w:rFonts w:ascii="Arial" w:hAnsi="Arial" w:cs="Arial"/>
        </w:rPr>
        <w:t>serotype</w:t>
      </w:r>
      <w:r w:rsidR="00D62606" w:rsidRPr="00E236B4">
        <w:rPr>
          <w:rFonts w:ascii="Arial" w:hAnsi="Arial" w:cs="Arial"/>
        </w:rPr>
        <w:t xml:space="preserve"> 19A</w:t>
      </w:r>
      <w:r w:rsidR="00674295">
        <w:rPr>
          <w:rFonts w:ascii="Arial" w:hAnsi="Arial" w:cs="Arial"/>
        </w:rPr>
        <w:t>,</w:t>
      </w:r>
      <w:r w:rsidR="00D62606" w:rsidRPr="00E236B4">
        <w:rPr>
          <w:rFonts w:ascii="Arial" w:hAnsi="Arial" w:cs="Arial"/>
        </w:rPr>
        <w:t xml:space="preserve"> </w:t>
      </w:r>
      <w:r w:rsidR="00674295" w:rsidRPr="00E236B4">
        <w:rPr>
          <w:rFonts w:ascii="Arial" w:hAnsi="Arial" w:cs="Arial"/>
        </w:rPr>
        <w:t>1/13</w:t>
      </w:r>
      <w:r w:rsidR="00674295">
        <w:rPr>
          <w:rFonts w:ascii="Arial" w:hAnsi="Arial" w:cs="Arial"/>
        </w:rPr>
        <w:t xml:space="preserve"> (</w:t>
      </w:r>
      <w:r w:rsidR="00DA1E62">
        <w:rPr>
          <w:rFonts w:ascii="Arial" w:hAnsi="Arial" w:cs="Arial"/>
        </w:rPr>
        <w:t>8</w:t>
      </w:r>
      <w:r w:rsidR="00674295" w:rsidRPr="00E236B4">
        <w:rPr>
          <w:rFonts w:ascii="Arial" w:hAnsi="Arial" w:cs="Arial"/>
        </w:rPr>
        <w:t>%)</w:t>
      </w:r>
      <w:r w:rsidR="00674295" w:rsidRPr="00E236B4" w:rsidDel="00674295">
        <w:rPr>
          <w:rFonts w:ascii="Arial" w:hAnsi="Arial" w:cs="Arial"/>
        </w:rPr>
        <w:t xml:space="preserve"> </w:t>
      </w:r>
      <w:r w:rsidR="00BC4509" w:rsidRPr="00E236B4">
        <w:rPr>
          <w:rFonts w:ascii="Arial" w:hAnsi="Arial" w:cs="Arial"/>
        </w:rPr>
        <w:t xml:space="preserve">serotype </w:t>
      </w:r>
      <w:r w:rsidR="0013571B" w:rsidRPr="00E236B4">
        <w:rPr>
          <w:rFonts w:ascii="Arial" w:hAnsi="Arial" w:cs="Arial"/>
        </w:rPr>
        <w:t xml:space="preserve">1 </w:t>
      </w:r>
      <w:r w:rsidR="00674295">
        <w:rPr>
          <w:rFonts w:ascii="Arial" w:hAnsi="Arial" w:cs="Arial"/>
        </w:rPr>
        <w:t xml:space="preserve">and </w:t>
      </w:r>
      <w:r w:rsidR="00674295" w:rsidRPr="00E236B4">
        <w:rPr>
          <w:rFonts w:ascii="Arial" w:hAnsi="Arial" w:cs="Arial"/>
        </w:rPr>
        <w:t>1/5</w:t>
      </w:r>
      <w:r w:rsidR="00674295">
        <w:rPr>
          <w:rFonts w:ascii="Arial" w:hAnsi="Arial" w:cs="Arial"/>
        </w:rPr>
        <w:t xml:space="preserve"> (</w:t>
      </w:r>
      <w:r w:rsidR="00674295" w:rsidRPr="00E236B4">
        <w:rPr>
          <w:rFonts w:ascii="Arial" w:hAnsi="Arial" w:cs="Arial"/>
        </w:rPr>
        <w:t xml:space="preserve">20%) </w:t>
      </w:r>
      <w:r w:rsidR="00BC4509" w:rsidRPr="00E236B4">
        <w:rPr>
          <w:rFonts w:ascii="Arial" w:hAnsi="Arial" w:cs="Arial"/>
        </w:rPr>
        <w:t xml:space="preserve">serotype </w:t>
      </w:r>
      <w:r w:rsidR="0013571B" w:rsidRPr="00E236B4">
        <w:rPr>
          <w:rFonts w:ascii="Arial" w:hAnsi="Arial" w:cs="Arial"/>
        </w:rPr>
        <w:t xml:space="preserve">7F </w:t>
      </w:r>
      <w:r w:rsidR="00674295">
        <w:rPr>
          <w:rFonts w:ascii="Arial" w:hAnsi="Arial" w:cs="Arial"/>
        </w:rPr>
        <w:t xml:space="preserve">occurred </w:t>
      </w:r>
      <w:r w:rsidR="00EF6C32" w:rsidRPr="00E236B4">
        <w:rPr>
          <w:rFonts w:ascii="Arial" w:hAnsi="Arial" w:cs="Arial"/>
        </w:rPr>
        <w:t xml:space="preserve">in children with comorbidity. </w:t>
      </w:r>
    </w:p>
    <w:p w14:paraId="7426C268" w14:textId="77777777" w:rsidR="00016662" w:rsidRDefault="00016662" w:rsidP="00D474C8">
      <w:pPr>
        <w:spacing w:line="480" w:lineRule="auto"/>
        <w:rPr>
          <w:rFonts w:ascii="Arial" w:hAnsi="Arial" w:cs="Arial"/>
        </w:rPr>
      </w:pPr>
    </w:p>
    <w:p w14:paraId="1172CB7F" w14:textId="77777777" w:rsidR="00311DCE" w:rsidRPr="00CF1396" w:rsidRDefault="00311DCE" w:rsidP="00D474C8">
      <w:pPr>
        <w:spacing w:before="120" w:line="480" w:lineRule="auto"/>
        <w:jc w:val="both"/>
        <w:rPr>
          <w:rFonts w:ascii="Arial" w:eastAsia="Times New Roman" w:hAnsi="Arial" w:cs="Arial"/>
          <w:b/>
          <w:color w:val="000000"/>
          <w:sz w:val="24"/>
        </w:rPr>
      </w:pPr>
      <w:r w:rsidRPr="00CF1396">
        <w:rPr>
          <w:rFonts w:ascii="Arial" w:eastAsia="Times New Roman" w:hAnsi="Arial" w:cs="Arial"/>
          <w:b/>
          <w:color w:val="000000"/>
          <w:sz w:val="24"/>
        </w:rPr>
        <w:t>Repeat episodes</w:t>
      </w:r>
      <w:r w:rsidR="00755EC3" w:rsidRPr="00CF1396">
        <w:rPr>
          <w:rFonts w:ascii="Arial" w:eastAsia="Times New Roman" w:hAnsi="Arial" w:cs="Arial"/>
          <w:b/>
          <w:color w:val="000000"/>
          <w:sz w:val="24"/>
        </w:rPr>
        <w:t xml:space="preserve"> and case fatality</w:t>
      </w:r>
    </w:p>
    <w:p w14:paraId="7BF58E04" w14:textId="77777777" w:rsidR="00031108" w:rsidRPr="001D3BA7" w:rsidRDefault="00311DCE" w:rsidP="00D474C8">
      <w:pPr>
        <w:spacing w:line="480" w:lineRule="auto"/>
        <w:rPr>
          <w:rFonts w:ascii="Arial" w:eastAsia="Times New Roman" w:hAnsi="Arial" w:cs="Arial"/>
          <w:lang w:eastAsia="en-GB"/>
        </w:rPr>
      </w:pPr>
      <w:r w:rsidRPr="00FB49B7">
        <w:rPr>
          <w:rFonts w:ascii="Arial" w:hAnsi="Arial" w:cs="Arial"/>
        </w:rPr>
        <w:t xml:space="preserve">One toddler with congenital hydrocephalus and a VP shunt suffered two episodes of serotype 6B meningitis, with the first episode occurring five months after a PCV7 catch-up dose. A second toddler with congenital deafness developed two episodes of serotype 4 meningitis after three PCV7 doses, with the first episode occurring two weeks after cochlear implantation </w:t>
      </w:r>
      <w:r w:rsidR="00D03F6E">
        <w:rPr>
          <w:rFonts w:ascii="Arial" w:hAnsi="Arial" w:cs="Arial"/>
        </w:rPr>
        <w:fldChar w:fldCharType="begin">
          <w:fldData xml:space="preserve">PEVuZE5vdGU+PENpdGU+PEF1dGhvcj52YW4gSG9lazwvQXV0aG9yPjxZZWFyPjIwMTI8L1llYXI+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</w:fldData>
        </w:fldChar>
      </w:r>
      <w:r w:rsidR="00D40C16">
        <w:rPr>
          <w:rFonts w:ascii="Arial" w:hAnsi="Arial" w:cs="Arial"/>
        </w:rPr>
        <w:instrText xml:space="preserve"> ADDIN EN.CITE </w:instrText>
      </w:r>
      <w:r w:rsidR="00D40C16">
        <w:rPr>
          <w:rFonts w:ascii="Arial" w:hAnsi="Arial" w:cs="Arial"/>
        </w:rPr>
        <w:fldChar w:fldCharType="begin">
          <w:fldData xml:space="preserve">PEVuZE5vdGU+PENpdGU+PEF1dGhvcj52YW4gSG9lazwvQXV0aG9yPjxZZWFyPjIwMTI8L1llYXI+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</w:fldData>
        </w:fldChar>
      </w:r>
      <w:r w:rsidR="00D40C16">
        <w:rPr>
          <w:rFonts w:ascii="Arial" w:hAnsi="Arial" w:cs="Arial"/>
        </w:rPr>
        <w:instrText xml:space="preserve"> ADDIN EN.CITE.DATA </w:instrText>
      </w:r>
      <w:r w:rsidR="00D40C16">
        <w:rPr>
          <w:rFonts w:ascii="Arial" w:hAnsi="Arial" w:cs="Arial"/>
        </w:rPr>
      </w:r>
      <w:r w:rsidR="00D40C16">
        <w:rPr>
          <w:rFonts w:ascii="Arial" w:hAnsi="Arial" w:cs="Arial"/>
        </w:rPr>
        <w:fldChar w:fldCharType="end"/>
      </w:r>
      <w:r w:rsidR="00D03F6E">
        <w:rPr>
          <w:rFonts w:ascii="Arial" w:hAnsi="Arial" w:cs="Arial"/>
        </w:rPr>
      </w:r>
      <w:r w:rsidR="00D03F6E">
        <w:rPr>
          <w:rFonts w:ascii="Arial" w:hAnsi="Arial" w:cs="Arial"/>
        </w:rPr>
        <w:fldChar w:fldCharType="separate"/>
      </w:r>
      <w:r w:rsidR="00D40C16">
        <w:rPr>
          <w:rFonts w:ascii="Arial" w:hAnsi="Arial" w:cs="Arial"/>
          <w:noProof/>
        </w:rPr>
        <w:t>[2, 8]</w:t>
      </w:r>
      <w:r w:rsidR="00D03F6E">
        <w:rPr>
          <w:rFonts w:ascii="Arial" w:hAnsi="Arial" w:cs="Arial"/>
        </w:rPr>
        <w:fldChar w:fldCharType="end"/>
      </w:r>
      <w:r w:rsidR="002B023C">
        <w:rPr>
          <w:rFonts w:ascii="Arial" w:hAnsi="Arial" w:cs="Arial"/>
        </w:rPr>
        <w:t>.</w:t>
      </w:r>
      <w:r w:rsidR="000E43E3" w:rsidRPr="00FB49B7">
        <w:rPr>
          <w:rFonts w:ascii="Arial" w:hAnsi="Arial" w:cs="Arial"/>
        </w:rPr>
        <w:t xml:space="preserve"> </w:t>
      </w:r>
      <w:r w:rsidR="00B53C78">
        <w:rPr>
          <w:rFonts w:ascii="Arial" w:hAnsi="Arial" w:cs="Arial"/>
        </w:rPr>
        <w:t xml:space="preserve">CFR </w:t>
      </w:r>
      <w:r w:rsidR="000E43E3" w:rsidRPr="00FB49B7">
        <w:rPr>
          <w:rFonts w:ascii="Arial" w:hAnsi="Arial" w:cs="Arial"/>
        </w:rPr>
        <w:t xml:space="preserve">among vaccine failure cases was </w:t>
      </w:r>
      <w:r w:rsidR="00B53C78">
        <w:rPr>
          <w:rFonts w:ascii="Arial" w:hAnsi="Arial" w:cs="Arial"/>
        </w:rPr>
        <w:t>4</w:t>
      </w:r>
      <w:r w:rsidR="003B43C3" w:rsidRPr="00FB49B7">
        <w:rPr>
          <w:rFonts w:ascii="Arial" w:hAnsi="Arial" w:cs="Arial"/>
        </w:rPr>
        <w:t>% (n=</w:t>
      </w:r>
      <w:r w:rsidR="00257C6F">
        <w:rPr>
          <w:rFonts w:ascii="Arial" w:hAnsi="Arial" w:cs="Arial"/>
        </w:rPr>
        <w:t>6</w:t>
      </w:r>
      <w:r w:rsidR="001D3BA7">
        <w:rPr>
          <w:rFonts w:ascii="Arial" w:hAnsi="Arial" w:cs="Arial"/>
        </w:rPr>
        <w:t xml:space="preserve">; </w:t>
      </w:r>
      <w:r w:rsidR="001D3BA7" w:rsidRPr="001D3BA7">
        <w:rPr>
          <w:rFonts w:ascii="Arial" w:eastAsia="Times New Roman" w:hAnsi="Arial" w:cs="Arial"/>
          <w:lang w:eastAsia="en-GB"/>
        </w:rPr>
        <w:t>95% CI, 1-</w:t>
      </w:r>
      <w:r w:rsidR="00B53C78">
        <w:rPr>
          <w:rFonts w:ascii="Arial" w:eastAsia="Times New Roman" w:hAnsi="Arial" w:cs="Arial"/>
          <w:lang w:eastAsia="en-GB"/>
        </w:rPr>
        <w:t>8</w:t>
      </w:r>
      <w:r w:rsidR="001D3BA7" w:rsidRPr="001D3BA7">
        <w:rPr>
          <w:rFonts w:ascii="Arial" w:eastAsia="Times New Roman" w:hAnsi="Arial" w:cs="Arial"/>
          <w:lang w:eastAsia="en-GB"/>
        </w:rPr>
        <w:t>%</w:t>
      </w:r>
      <w:r w:rsidR="003B43C3" w:rsidRPr="00FB49B7">
        <w:rPr>
          <w:rFonts w:ascii="Arial" w:hAnsi="Arial" w:cs="Arial"/>
        </w:rPr>
        <w:t>)</w:t>
      </w:r>
      <w:r w:rsidR="004D2AD2">
        <w:rPr>
          <w:rFonts w:ascii="Arial" w:hAnsi="Arial" w:cs="Arial"/>
        </w:rPr>
        <w:t xml:space="preserve"> </w:t>
      </w:r>
      <w:r w:rsidR="004D2AD2" w:rsidRPr="00FB49B7">
        <w:rPr>
          <w:rFonts w:ascii="Arial" w:hAnsi="Arial" w:cs="Arial"/>
        </w:rPr>
        <w:t>(</w:t>
      </w:r>
      <w:r w:rsidR="004D2AD2" w:rsidRPr="00FB49B7">
        <w:rPr>
          <w:rFonts w:ascii="Arial" w:hAnsi="Arial" w:cs="Arial"/>
          <w:b/>
          <w:color w:val="FF0000"/>
        </w:rPr>
        <w:t>Table</w:t>
      </w:r>
      <w:r w:rsidR="00A12320">
        <w:rPr>
          <w:rFonts w:ascii="Arial" w:hAnsi="Arial" w:cs="Arial"/>
          <w:b/>
          <w:color w:val="FF0000"/>
        </w:rPr>
        <w:t xml:space="preserve"> 3</w:t>
      </w:r>
      <w:r w:rsidR="004D2AD2" w:rsidRPr="00FB49B7">
        <w:rPr>
          <w:rFonts w:ascii="Arial" w:hAnsi="Arial" w:cs="Arial"/>
        </w:rPr>
        <w:t>)</w:t>
      </w:r>
      <w:r w:rsidR="00DC65A9">
        <w:rPr>
          <w:rFonts w:ascii="Arial" w:hAnsi="Arial" w:cs="Arial"/>
        </w:rPr>
        <w:t xml:space="preserve">. </w:t>
      </w:r>
      <w:r w:rsidR="004D2AD2">
        <w:rPr>
          <w:rFonts w:ascii="Arial" w:hAnsi="Arial" w:cs="Arial"/>
        </w:rPr>
        <w:t>Five</w:t>
      </w:r>
      <w:r w:rsidR="000E43E3" w:rsidRPr="00FB49B7">
        <w:rPr>
          <w:rFonts w:ascii="Arial" w:hAnsi="Arial" w:cs="Arial"/>
        </w:rPr>
        <w:t xml:space="preserve"> children had underlying co-morb</w:t>
      </w:r>
      <w:r w:rsidR="003B43C3" w:rsidRPr="00FB49B7">
        <w:rPr>
          <w:rFonts w:ascii="Arial" w:hAnsi="Arial" w:cs="Arial"/>
        </w:rPr>
        <w:t xml:space="preserve">idity and one was </w:t>
      </w:r>
      <w:r w:rsidR="000E43E3" w:rsidRPr="00FB49B7">
        <w:rPr>
          <w:rFonts w:ascii="Arial" w:hAnsi="Arial" w:cs="Arial"/>
        </w:rPr>
        <w:t>healthy (</w:t>
      </w:r>
      <w:r w:rsidR="004D2AD2">
        <w:rPr>
          <w:rFonts w:ascii="Arial" w:hAnsi="Arial" w:cs="Arial"/>
          <w:bCs/>
        </w:rPr>
        <w:t>5</w:t>
      </w:r>
      <w:r w:rsidR="000E43E3" w:rsidRPr="00FB49B7">
        <w:rPr>
          <w:rFonts w:ascii="Arial" w:hAnsi="Arial" w:cs="Arial"/>
          <w:bCs/>
        </w:rPr>
        <w:t>/3</w:t>
      </w:r>
      <w:r w:rsidR="004D2AD2">
        <w:rPr>
          <w:rFonts w:ascii="Arial" w:hAnsi="Arial" w:cs="Arial"/>
          <w:bCs/>
        </w:rPr>
        <w:t>5</w:t>
      </w:r>
      <w:r w:rsidR="000E43E3" w:rsidRPr="00FB49B7">
        <w:rPr>
          <w:rFonts w:ascii="Arial" w:hAnsi="Arial" w:cs="Arial"/>
          <w:bCs/>
        </w:rPr>
        <w:t xml:space="preserve"> [1</w:t>
      </w:r>
      <w:r w:rsidR="004D2AD2">
        <w:rPr>
          <w:rFonts w:ascii="Arial" w:hAnsi="Arial" w:cs="Arial"/>
          <w:bCs/>
        </w:rPr>
        <w:t>4</w:t>
      </w:r>
      <w:r w:rsidR="000E43E3" w:rsidRPr="00FB49B7">
        <w:rPr>
          <w:rFonts w:ascii="Arial" w:hAnsi="Arial" w:cs="Arial"/>
          <w:bCs/>
        </w:rPr>
        <w:t>%] vs. 1/</w:t>
      </w:r>
      <w:r w:rsidR="001D3BA7" w:rsidRPr="00FB49B7">
        <w:rPr>
          <w:rFonts w:ascii="Arial" w:hAnsi="Arial" w:cs="Arial"/>
          <w:bCs/>
        </w:rPr>
        <w:t>12</w:t>
      </w:r>
      <w:r w:rsidR="004D2AD2">
        <w:rPr>
          <w:rFonts w:ascii="Arial" w:hAnsi="Arial" w:cs="Arial"/>
          <w:bCs/>
        </w:rPr>
        <w:t>6</w:t>
      </w:r>
      <w:r w:rsidR="001D3BA7" w:rsidRPr="00FB49B7">
        <w:rPr>
          <w:rFonts w:ascii="Arial" w:hAnsi="Arial" w:cs="Arial"/>
          <w:bCs/>
        </w:rPr>
        <w:t xml:space="preserve"> </w:t>
      </w:r>
      <w:r w:rsidR="000E43E3" w:rsidRPr="00FB49B7">
        <w:rPr>
          <w:rFonts w:ascii="Arial" w:hAnsi="Arial" w:cs="Arial"/>
          <w:bCs/>
        </w:rPr>
        <w:t>[</w:t>
      </w:r>
      <w:r w:rsidR="00B53C78">
        <w:rPr>
          <w:rFonts w:ascii="Arial" w:hAnsi="Arial" w:cs="Arial"/>
          <w:bCs/>
        </w:rPr>
        <w:t>1%</w:t>
      </w:r>
      <w:r w:rsidR="001D3BA7">
        <w:rPr>
          <w:rFonts w:ascii="Arial" w:hAnsi="Arial" w:cs="Arial"/>
          <w:bCs/>
        </w:rPr>
        <w:t>]</w:t>
      </w:r>
      <w:r w:rsidR="000E43E3" w:rsidRPr="00FB49B7">
        <w:rPr>
          <w:rFonts w:ascii="Arial" w:hAnsi="Arial" w:cs="Arial"/>
          <w:bCs/>
        </w:rPr>
        <w:t xml:space="preserve">; </w:t>
      </w:r>
      <w:r w:rsidR="00DD5C60">
        <w:rPr>
          <w:rFonts w:ascii="Arial" w:hAnsi="Arial" w:cs="Arial"/>
        </w:rPr>
        <w:t>p&lt;0.</w:t>
      </w:r>
      <w:r w:rsidR="004D2AD2">
        <w:rPr>
          <w:rFonts w:ascii="Arial" w:hAnsi="Arial" w:cs="Arial"/>
        </w:rPr>
        <w:t>0</w:t>
      </w:r>
      <w:r w:rsidR="00DD5C60">
        <w:rPr>
          <w:rFonts w:ascii="Arial" w:hAnsi="Arial" w:cs="Arial"/>
        </w:rPr>
        <w:t>01</w:t>
      </w:r>
      <w:r w:rsidR="004D2AD2">
        <w:rPr>
          <w:rFonts w:ascii="Arial" w:hAnsi="Arial" w:cs="Arial"/>
        </w:rPr>
        <w:t>)</w:t>
      </w:r>
      <w:r w:rsidR="000E43E3" w:rsidRPr="00FB49B7">
        <w:rPr>
          <w:rFonts w:ascii="Arial" w:hAnsi="Arial" w:cs="Arial"/>
        </w:rPr>
        <w:t xml:space="preserve">. </w:t>
      </w:r>
    </w:p>
    <w:p w14:paraId="16562937" w14:textId="77777777" w:rsidR="006E5E0A" w:rsidRDefault="006E5E0A" w:rsidP="009841E5">
      <w:pPr>
        <w:rPr>
          <w:rFonts w:ascii="Arial" w:hAnsi="Arial" w:cs="Arial"/>
          <w:b/>
          <w:sz w:val="24"/>
        </w:rPr>
      </w:pPr>
      <w:r>
        <w:rPr>
          <w:rFonts w:ascii="Arial" w:hAnsi="Arial" w:cs="Arial"/>
          <w:b/>
          <w:sz w:val="24"/>
        </w:rPr>
        <w:br w:type="page"/>
      </w:r>
    </w:p>
    <w:p w14:paraId="0277DCE7" w14:textId="77777777" w:rsidR="009D2795" w:rsidRPr="00CF1396" w:rsidRDefault="00FB49B7" w:rsidP="00D474C8">
      <w:pPr>
        <w:spacing w:line="480" w:lineRule="auto"/>
        <w:rPr>
          <w:rFonts w:ascii="Arial" w:hAnsi="Arial" w:cs="Arial"/>
          <w:b/>
          <w:sz w:val="24"/>
        </w:rPr>
      </w:pPr>
      <w:r w:rsidRPr="00CF1396">
        <w:rPr>
          <w:rFonts w:ascii="Arial" w:hAnsi="Arial" w:cs="Arial"/>
          <w:b/>
          <w:sz w:val="24"/>
        </w:rPr>
        <w:t>DISCUSSION</w:t>
      </w:r>
    </w:p>
    <w:p w14:paraId="4B624D0E" w14:textId="653D9F66" w:rsidR="009D2795" w:rsidRDefault="009D2795" w:rsidP="00D474C8">
      <w:pPr>
        <w:spacing w:line="480" w:lineRule="auto"/>
        <w:rPr>
          <w:rFonts w:ascii="Arial" w:hAnsi="Arial" w:cs="Arial"/>
        </w:rPr>
      </w:pPr>
      <w:r w:rsidRPr="00FB49B7">
        <w:rPr>
          <w:rFonts w:ascii="Arial" w:hAnsi="Arial" w:cs="Arial"/>
        </w:rPr>
        <w:t xml:space="preserve">In England and Wales, </w:t>
      </w:r>
      <w:r w:rsidR="00432103" w:rsidRPr="00FB49B7">
        <w:rPr>
          <w:rFonts w:ascii="Arial" w:hAnsi="Arial" w:cs="Arial"/>
        </w:rPr>
        <w:t xml:space="preserve">PCV </w:t>
      </w:r>
      <w:r w:rsidRPr="00FB49B7">
        <w:rPr>
          <w:rFonts w:ascii="Arial" w:hAnsi="Arial" w:cs="Arial"/>
        </w:rPr>
        <w:t xml:space="preserve">failure was rare, with only 161 </w:t>
      </w:r>
      <w:r w:rsidR="00432103" w:rsidRPr="00FB49B7">
        <w:rPr>
          <w:rFonts w:ascii="Arial" w:hAnsi="Arial" w:cs="Arial"/>
        </w:rPr>
        <w:t xml:space="preserve">children </w:t>
      </w:r>
      <w:r w:rsidR="00DC5D4A">
        <w:rPr>
          <w:rFonts w:ascii="Arial" w:hAnsi="Arial" w:cs="Arial"/>
        </w:rPr>
        <w:t xml:space="preserve">diagnosed </w:t>
      </w:r>
      <w:r w:rsidR="00432103" w:rsidRPr="00FB49B7">
        <w:rPr>
          <w:rFonts w:ascii="Arial" w:hAnsi="Arial" w:cs="Arial"/>
        </w:rPr>
        <w:t xml:space="preserve">in ten birth cohorts </w:t>
      </w:r>
      <w:r w:rsidR="00104BD1" w:rsidRPr="00FB49B7">
        <w:rPr>
          <w:rFonts w:ascii="Arial" w:hAnsi="Arial" w:cs="Arial"/>
        </w:rPr>
        <w:t>diagnosed over eight years</w:t>
      </w:r>
      <w:r w:rsidR="00491B5A">
        <w:rPr>
          <w:rFonts w:ascii="Arial" w:hAnsi="Arial" w:cs="Arial"/>
        </w:rPr>
        <w:t xml:space="preserve"> (&lt;1/100</w:t>
      </w:r>
      <w:r w:rsidR="00B0705C">
        <w:rPr>
          <w:rFonts w:ascii="Arial" w:hAnsi="Arial" w:cs="Arial"/>
        </w:rPr>
        <w:t>,</w:t>
      </w:r>
      <w:r w:rsidR="00B0705C" w:rsidRPr="00FB49B7">
        <w:rPr>
          <w:rFonts w:ascii="Arial" w:hAnsi="Arial" w:cs="Arial"/>
        </w:rPr>
        <w:t xml:space="preserve">000 </w:t>
      </w:r>
      <w:r w:rsidR="00B0705C">
        <w:rPr>
          <w:rFonts w:ascii="Arial" w:hAnsi="Arial" w:cs="Arial"/>
        </w:rPr>
        <w:t xml:space="preserve">vaccinated </w:t>
      </w:r>
      <w:r w:rsidR="00B0705C" w:rsidRPr="00FB49B7">
        <w:rPr>
          <w:rFonts w:ascii="Arial" w:hAnsi="Arial" w:cs="Arial"/>
        </w:rPr>
        <w:t>person-years</w:t>
      </w:r>
      <w:r w:rsidR="00491B5A">
        <w:rPr>
          <w:rFonts w:ascii="Arial" w:hAnsi="Arial" w:cs="Arial"/>
        </w:rPr>
        <w:t>)</w:t>
      </w:r>
      <w:r w:rsidR="00104BD1" w:rsidRPr="00FB49B7">
        <w:rPr>
          <w:rFonts w:ascii="Arial" w:hAnsi="Arial" w:cs="Arial"/>
        </w:rPr>
        <w:t xml:space="preserve">. </w:t>
      </w:r>
      <w:r w:rsidR="00491B5A">
        <w:rPr>
          <w:rFonts w:ascii="Arial" w:hAnsi="Arial" w:cs="Arial"/>
        </w:rPr>
        <w:t>V</w:t>
      </w:r>
      <w:r w:rsidRPr="00FB49B7">
        <w:rPr>
          <w:rFonts w:ascii="Arial" w:hAnsi="Arial" w:cs="Arial"/>
        </w:rPr>
        <w:t>accine failure</w:t>
      </w:r>
      <w:r w:rsidR="00491B5A">
        <w:rPr>
          <w:rFonts w:ascii="Arial" w:hAnsi="Arial" w:cs="Arial"/>
        </w:rPr>
        <w:t xml:space="preserve"> rates were higher after </w:t>
      </w:r>
      <w:r w:rsidRPr="00FB49B7">
        <w:rPr>
          <w:rFonts w:ascii="Arial" w:hAnsi="Arial" w:cs="Arial"/>
        </w:rPr>
        <w:t>two PCV doses in infancy</w:t>
      </w:r>
      <w:r w:rsidR="00432103" w:rsidRPr="00FB49B7">
        <w:rPr>
          <w:rFonts w:ascii="Arial" w:hAnsi="Arial" w:cs="Arial"/>
        </w:rPr>
        <w:t xml:space="preserve"> </w:t>
      </w:r>
      <w:r w:rsidR="00086473">
        <w:rPr>
          <w:rFonts w:ascii="Arial" w:hAnsi="Arial" w:cs="Arial"/>
        </w:rPr>
        <w:t xml:space="preserve">and </w:t>
      </w:r>
      <w:r w:rsidR="00491B5A">
        <w:rPr>
          <w:rFonts w:ascii="Arial" w:hAnsi="Arial" w:cs="Arial"/>
        </w:rPr>
        <w:t>lowest after completion of the recommended 3-dose schedule</w:t>
      </w:r>
      <w:r w:rsidR="00774E85">
        <w:rPr>
          <w:rFonts w:ascii="Arial" w:hAnsi="Arial" w:cs="Arial"/>
        </w:rPr>
        <w:t>, most likely because of a combination of factors, including higher VE after 3 doses,</w:t>
      </w:r>
      <w:r w:rsidR="00774E85" w:rsidRPr="00774E85">
        <w:rPr>
          <w:rFonts w:ascii="Arial" w:hAnsi="Arial" w:cs="Arial"/>
        </w:rPr>
        <w:t xml:space="preserve"> lower incidence in older a</w:t>
      </w:r>
      <w:r w:rsidR="00774E85">
        <w:rPr>
          <w:rFonts w:ascii="Arial" w:hAnsi="Arial" w:cs="Arial"/>
        </w:rPr>
        <w:t>ges</w:t>
      </w:r>
      <w:r w:rsidR="00774E85" w:rsidRPr="00774E85">
        <w:rPr>
          <w:rFonts w:ascii="Arial" w:hAnsi="Arial" w:cs="Arial"/>
        </w:rPr>
        <w:t xml:space="preserve"> </w:t>
      </w:r>
      <w:r w:rsidR="00774E85">
        <w:rPr>
          <w:rFonts w:ascii="Arial" w:hAnsi="Arial" w:cs="Arial"/>
        </w:rPr>
        <w:t xml:space="preserve">and </w:t>
      </w:r>
      <w:r w:rsidR="00774E85" w:rsidRPr="00774E85">
        <w:rPr>
          <w:rFonts w:ascii="Arial" w:hAnsi="Arial" w:cs="Arial"/>
        </w:rPr>
        <w:t>more time for herd immunity effects</w:t>
      </w:r>
      <w:r w:rsidR="00CF6B2D">
        <w:rPr>
          <w:rFonts w:ascii="Arial" w:hAnsi="Arial" w:cs="Arial"/>
        </w:rPr>
        <w:t xml:space="preserve"> after</w:t>
      </w:r>
      <w:r w:rsidR="00774E85">
        <w:rPr>
          <w:rFonts w:ascii="Arial" w:hAnsi="Arial" w:cs="Arial"/>
        </w:rPr>
        <w:t xml:space="preserve"> PCV introduction</w:t>
      </w:r>
      <w:r w:rsidRPr="00FB49B7">
        <w:rPr>
          <w:rFonts w:ascii="Arial" w:hAnsi="Arial" w:cs="Arial"/>
        </w:rPr>
        <w:t xml:space="preserve">. </w:t>
      </w:r>
      <w:r w:rsidR="00104BD1" w:rsidRPr="00FB49B7">
        <w:rPr>
          <w:rFonts w:ascii="Arial" w:hAnsi="Arial" w:cs="Arial"/>
        </w:rPr>
        <w:t>PCV13</w:t>
      </w:r>
      <w:r w:rsidR="00491B5A">
        <w:rPr>
          <w:rFonts w:ascii="Arial" w:hAnsi="Arial" w:cs="Arial"/>
        </w:rPr>
        <w:t>-</w:t>
      </w:r>
      <w:r w:rsidRPr="00FB49B7">
        <w:rPr>
          <w:rFonts w:ascii="Arial" w:hAnsi="Arial" w:cs="Arial"/>
        </w:rPr>
        <w:t xml:space="preserve">failure cases were more likely to </w:t>
      </w:r>
      <w:r w:rsidR="00432103" w:rsidRPr="00FB49B7">
        <w:rPr>
          <w:rFonts w:ascii="Arial" w:hAnsi="Arial" w:cs="Arial"/>
        </w:rPr>
        <w:t xml:space="preserve">be </w:t>
      </w:r>
      <w:r w:rsidRPr="00FB49B7">
        <w:rPr>
          <w:rFonts w:ascii="Arial" w:hAnsi="Arial" w:cs="Arial"/>
        </w:rPr>
        <w:t xml:space="preserve">healthy and develop LRTI, while </w:t>
      </w:r>
      <w:r w:rsidR="00491B5A">
        <w:rPr>
          <w:rFonts w:ascii="Arial" w:hAnsi="Arial" w:cs="Arial"/>
        </w:rPr>
        <w:t xml:space="preserve">those with </w:t>
      </w:r>
      <w:r w:rsidRPr="00FB49B7">
        <w:rPr>
          <w:rFonts w:ascii="Arial" w:hAnsi="Arial" w:cs="Arial"/>
        </w:rPr>
        <w:t>PCV7</w:t>
      </w:r>
      <w:r w:rsidR="00491B5A">
        <w:rPr>
          <w:rFonts w:ascii="Arial" w:hAnsi="Arial" w:cs="Arial"/>
        </w:rPr>
        <w:t>-</w:t>
      </w:r>
      <w:r w:rsidRPr="00FB49B7">
        <w:rPr>
          <w:rFonts w:ascii="Arial" w:hAnsi="Arial" w:cs="Arial"/>
        </w:rPr>
        <w:t xml:space="preserve">failure were more likely to have co-morbidities and </w:t>
      </w:r>
      <w:r w:rsidR="00432103" w:rsidRPr="00FB49B7">
        <w:rPr>
          <w:rFonts w:ascii="Arial" w:hAnsi="Arial" w:cs="Arial"/>
        </w:rPr>
        <w:t xml:space="preserve">develop </w:t>
      </w:r>
      <w:r w:rsidRPr="00FB49B7">
        <w:rPr>
          <w:rFonts w:ascii="Arial" w:hAnsi="Arial" w:cs="Arial"/>
        </w:rPr>
        <w:t xml:space="preserve">septicaemia. </w:t>
      </w:r>
      <w:r w:rsidR="00491B5A">
        <w:rPr>
          <w:rFonts w:ascii="Arial" w:hAnsi="Arial" w:cs="Arial"/>
        </w:rPr>
        <w:t>O</w:t>
      </w:r>
      <w:r w:rsidRPr="00FB49B7">
        <w:rPr>
          <w:rFonts w:ascii="Arial" w:hAnsi="Arial" w:cs="Arial"/>
        </w:rPr>
        <w:t xml:space="preserve">nly a </w:t>
      </w:r>
      <w:r w:rsidR="00491B5A">
        <w:rPr>
          <w:rFonts w:ascii="Arial" w:hAnsi="Arial" w:cs="Arial"/>
        </w:rPr>
        <w:t xml:space="preserve">third </w:t>
      </w:r>
      <w:r w:rsidRPr="00FB49B7">
        <w:rPr>
          <w:rFonts w:ascii="Arial" w:hAnsi="Arial" w:cs="Arial"/>
        </w:rPr>
        <w:t xml:space="preserve">of </w:t>
      </w:r>
      <w:r w:rsidR="00491B5A">
        <w:rPr>
          <w:rFonts w:ascii="Arial" w:hAnsi="Arial" w:cs="Arial"/>
        </w:rPr>
        <w:t xml:space="preserve">PCV13-failure cases </w:t>
      </w:r>
      <w:r w:rsidRPr="00FB49B7">
        <w:rPr>
          <w:rFonts w:ascii="Arial" w:hAnsi="Arial" w:cs="Arial"/>
        </w:rPr>
        <w:t>had co-morbidity, mainly immunosuppression</w:t>
      </w:r>
      <w:r w:rsidR="00DC5D4A">
        <w:rPr>
          <w:rFonts w:ascii="Arial" w:hAnsi="Arial" w:cs="Arial"/>
        </w:rPr>
        <w:t xml:space="preserve"> and cardiac </w:t>
      </w:r>
      <w:r w:rsidRPr="00FB49B7">
        <w:rPr>
          <w:rFonts w:ascii="Arial" w:hAnsi="Arial" w:cs="Arial"/>
        </w:rPr>
        <w:t xml:space="preserve">abnormality. </w:t>
      </w:r>
      <w:r w:rsidR="00104BD1" w:rsidRPr="00FB49B7">
        <w:rPr>
          <w:rFonts w:ascii="Arial" w:hAnsi="Arial" w:cs="Arial"/>
        </w:rPr>
        <w:t>Recurrent IPD was rare (</w:t>
      </w:r>
      <w:r w:rsidR="00734F4A">
        <w:rPr>
          <w:rFonts w:ascii="Arial" w:hAnsi="Arial" w:cs="Arial"/>
        </w:rPr>
        <w:t>two</w:t>
      </w:r>
      <w:r w:rsidR="00104BD1" w:rsidRPr="00FB49B7">
        <w:rPr>
          <w:rFonts w:ascii="Arial" w:hAnsi="Arial" w:cs="Arial"/>
        </w:rPr>
        <w:t xml:space="preserve"> </w:t>
      </w:r>
      <w:r w:rsidR="00F22602" w:rsidRPr="00FB49B7">
        <w:rPr>
          <w:rFonts w:ascii="Arial" w:hAnsi="Arial" w:cs="Arial"/>
        </w:rPr>
        <w:t>children</w:t>
      </w:r>
      <w:r w:rsidR="00104BD1" w:rsidRPr="00FB49B7">
        <w:rPr>
          <w:rFonts w:ascii="Arial" w:hAnsi="Arial" w:cs="Arial"/>
        </w:rPr>
        <w:t>) and c</w:t>
      </w:r>
      <w:r w:rsidRPr="00FB49B7">
        <w:rPr>
          <w:rFonts w:ascii="Arial" w:hAnsi="Arial" w:cs="Arial"/>
        </w:rPr>
        <w:t>ase</w:t>
      </w:r>
      <w:r w:rsidR="00104BD1" w:rsidRPr="00FB49B7">
        <w:rPr>
          <w:rFonts w:ascii="Arial" w:hAnsi="Arial" w:cs="Arial"/>
        </w:rPr>
        <w:t xml:space="preserve"> fatality rate was low (</w:t>
      </w:r>
      <w:r w:rsidR="00734F4A">
        <w:rPr>
          <w:rFonts w:ascii="Arial" w:hAnsi="Arial" w:cs="Arial"/>
        </w:rPr>
        <w:t>six</w:t>
      </w:r>
      <w:r w:rsidR="00DC5D4A">
        <w:rPr>
          <w:rFonts w:ascii="Arial" w:hAnsi="Arial" w:cs="Arial"/>
        </w:rPr>
        <w:t xml:space="preserve"> children</w:t>
      </w:r>
      <w:r w:rsidR="00104BD1" w:rsidRPr="00FB49B7">
        <w:rPr>
          <w:rFonts w:ascii="Arial" w:hAnsi="Arial" w:cs="Arial"/>
        </w:rPr>
        <w:t>)</w:t>
      </w:r>
      <w:r w:rsidR="00F22602" w:rsidRPr="00FB49B7">
        <w:rPr>
          <w:rFonts w:ascii="Arial" w:hAnsi="Arial" w:cs="Arial"/>
        </w:rPr>
        <w:t>,</w:t>
      </w:r>
      <w:r w:rsidR="00104BD1" w:rsidRPr="00FB49B7">
        <w:rPr>
          <w:rFonts w:ascii="Arial" w:hAnsi="Arial" w:cs="Arial"/>
        </w:rPr>
        <w:t xml:space="preserve"> </w:t>
      </w:r>
      <w:r w:rsidR="00F22602" w:rsidRPr="00FB49B7">
        <w:rPr>
          <w:rFonts w:ascii="Arial" w:hAnsi="Arial" w:cs="Arial"/>
        </w:rPr>
        <w:t xml:space="preserve">both </w:t>
      </w:r>
      <w:r w:rsidR="00DC5D4A">
        <w:rPr>
          <w:rFonts w:ascii="Arial" w:hAnsi="Arial" w:cs="Arial"/>
        </w:rPr>
        <w:t xml:space="preserve">associated </w:t>
      </w:r>
      <w:r w:rsidR="00104BD1" w:rsidRPr="00FB49B7">
        <w:rPr>
          <w:rFonts w:ascii="Arial" w:hAnsi="Arial" w:cs="Arial"/>
        </w:rPr>
        <w:t xml:space="preserve">with </w:t>
      </w:r>
      <w:r w:rsidR="00DC5D4A">
        <w:rPr>
          <w:rFonts w:ascii="Arial" w:hAnsi="Arial" w:cs="Arial"/>
        </w:rPr>
        <w:t xml:space="preserve">underlying </w:t>
      </w:r>
      <w:r w:rsidRPr="00FB49B7">
        <w:rPr>
          <w:rFonts w:ascii="Arial" w:hAnsi="Arial" w:cs="Arial"/>
        </w:rPr>
        <w:t>co-morbidit</w:t>
      </w:r>
      <w:r w:rsidR="00DC5D4A">
        <w:rPr>
          <w:rFonts w:ascii="Arial" w:hAnsi="Arial" w:cs="Arial"/>
        </w:rPr>
        <w:t>y</w:t>
      </w:r>
      <w:r w:rsidRPr="00FB49B7">
        <w:rPr>
          <w:rFonts w:ascii="Arial" w:hAnsi="Arial" w:cs="Arial"/>
        </w:rPr>
        <w:t xml:space="preserve">. </w:t>
      </w:r>
    </w:p>
    <w:p w14:paraId="1532E257" w14:textId="2994350D" w:rsidR="00D505D9" w:rsidRPr="00FB49B7" w:rsidRDefault="00D505D9" w:rsidP="00D474C8">
      <w:pPr>
        <w:spacing w:line="480" w:lineRule="auto"/>
        <w:rPr>
          <w:rFonts w:ascii="Arial" w:hAnsi="Arial" w:cs="Arial"/>
        </w:rPr>
      </w:pPr>
      <w:r>
        <w:rPr>
          <w:rFonts w:ascii="Arial" w:hAnsi="Arial" w:cs="Arial"/>
        </w:rPr>
        <w:t xml:space="preserve">Following </w:t>
      </w:r>
      <w:r w:rsidR="0056799E">
        <w:rPr>
          <w:rFonts w:ascii="Arial" w:hAnsi="Arial" w:cs="Arial"/>
        </w:rPr>
        <w:t>three</w:t>
      </w:r>
      <w:r w:rsidRPr="00FB49B7">
        <w:rPr>
          <w:rFonts w:ascii="Arial" w:hAnsi="Arial" w:cs="Arial"/>
        </w:rPr>
        <w:t xml:space="preserve"> infant doses of the </w:t>
      </w:r>
      <w:r w:rsidRPr="00FB49B7">
        <w:rPr>
          <w:rFonts w:ascii="Arial" w:hAnsi="Arial" w:cs="Arial"/>
          <w:i/>
        </w:rPr>
        <w:t>Haemophilus influenzae</w:t>
      </w:r>
      <w:r w:rsidRPr="00FB49B7">
        <w:rPr>
          <w:rFonts w:ascii="Arial" w:hAnsi="Arial" w:cs="Arial"/>
        </w:rPr>
        <w:t xml:space="preserve"> type b (Hib) conjugate vaccine</w:t>
      </w:r>
      <w:r w:rsidR="004A4206">
        <w:rPr>
          <w:rFonts w:ascii="Arial" w:hAnsi="Arial" w:cs="Arial"/>
        </w:rPr>
        <w:t>, the vaccine failure rate</w:t>
      </w:r>
      <w:r w:rsidRPr="00FB49B7">
        <w:rPr>
          <w:rFonts w:ascii="Arial" w:hAnsi="Arial" w:cs="Arial"/>
        </w:rPr>
        <w:t xml:space="preserve"> </w:t>
      </w:r>
      <w:r>
        <w:rPr>
          <w:rFonts w:ascii="Arial" w:hAnsi="Arial" w:cs="Arial"/>
        </w:rPr>
        <w:t xml:space="preserve">was </w:t>
      </w:r>
      <w:r w:rsidRPr="00FB49B7">
        <w:rPr>
          <w:rFonts w:ascii="Arial" w:hAnsi="Arial" w:cs="Arial"/>
        </w:rPr>
        <w:t xml:space="preserve">2.2/100,000 </w:t>
      </w:r>
      <w:r>
        <w:rPr>
          <w:rFonts w:ascii="Arial" w:hAnsi="Arial" w:cs="Arial"/>
        </w:rPr>
        <w:t xml:space="preserve">UK </w:t>
      </w:r>
      <w:r w:rsidRPr="00FB49B7">
        <w:rPr>
          <w:rFonts w:ascii="Arial" w:hAnsi="Arial" w:cs="Arial"/>
        </w:rPr>
        <w:t>children over six years and five months</w:t>
      </w:r>
      <w:r>
        <w:rPr>
          <w:rFonts w:ascii="Arial" w:hAnsi="Arial" w:cs="Arial"/>
        </w:rPr>
        <w:t xml:space="preserve"> </w:t>
      </w:r>
      <w:r>
        <w:rPr>
          <w:rFonts w:ascii="Arial" w:hAnsi="Arial" w:cs="Arial"/>
        </w:rPr>
        <w:fldChar w:fldCharType="begin"/>
      </w:r>
      <w:r w:rsidR="00D40C16">
        <w:rPr>
          <w:rFonts w:ascii="Arial" w:hAnsi="Arial" w:cs="Arial"/>
        </w:rPr>
        <w:instrText xml:space="preserve"> ADDIN EN.CITE &lt;EndNote&gt;&lt;Cite&gt;&lt;Author&gt;Heath&lt;/Author&gt;&lt;Year&gt;2000&lt;/Year&gt;&lt;RecNum&gt;19&lt;/RecNum&gt;&lt;DisplayText&gt;[9]&lt;/DisplayText&gt;&lt;record&gt;&lt;rec-number&gt;19&lt;/rec-number&gt;&lt;foreign-keys&gt;&lt;key app="EN" db-id="w9ttzze5rv9rz0e0s0rxzzxeav225d0x0sfp" timestamp="1445608997"&gt;19&lt;/key&gt;&lt;/foreign-keys&gt;&lt;ref-type name="Journal Article"&gt;17&lt;/ref-type&gt;&lt;contributors&gt;&lt;authors&gt;&lt;author&gt;Heath, P. T.&lt;/author&gt;&lt;author&gt;Booy, R.&lt;/author&gt;&lt;author&gt;Azzopardi, H. J.&lt;/author&gt;&lt;author&gt;Slack, M. P.&lt;/author&gt;&lt;author&gt;Bowen-Morris, J.&lt;/author&gt;&lt;author&gt;Griffiths, H.&lt;/author&gt;&lt;author&gt;Ramsay, M. E.&lt;/author&gt;&lt;author&gt;Deeks, J. J.&lt;/author&gt;&lt;author&gt;Moxon, E. R.&lt;/author&gt;&lt;/authors&gt;&lt;/contributors&gt;&lt;auth-address&gt;Department of Child Health and St. George&amp;apos;s Vaccine Institute, St George&amp;apos;s Hospital Medical School, Cranmer Terrace, London SW17 ORE, England. pheath@sghms.ac.uk&lt;/auth-address&gt;&lt;titles&gt;&lt;title&gt;Antibody concentration and clinical protection after Hib conjugate vaccination in the United Kingdom&lt;/title&gt;&lt;secondary-title&gt;JAMA&lt;/secondary-title&gt;&lt;alt-title&gt;JAMA&lt;/alt-title&gt;&lt;/titles&gt;&lt;periodical&gt;&lt;full-title&gt;JAMA&lt;/full-title&gt;&lt;abbr-1&gt;JAMA&lt;/abbr-1&gt;&lt;/periodical&gt;&lt;alt-periodical&gt;&lt;full-title&gt;JAMA&lt;/full-title&gt;&lt;abbr-1&gt;JAMA&lt;/abbr-1&gt;&lt;/alt-periodical&gt;&lt;pages&gt;2334-2340&lt;/pages&gt;&lt;volume&gt;284&lt;/volume&gt;&lt;number&gt;18&lt;/number&gt;&lt;dates&gt;&lt;year&gt;2000&lt;/year&gt;&lt;pub-dates&gt;&lt;date&gt;2000/11//&lt;/date&gt;&lt;/pub-dates&gt;&lt;/dates&gt;&lt;isbn&gt;0098-7484&lt;/isbn&gt;&lt;accession-num&gt;11066183&lt;/accession-num&gt;&lt;urls&gt;&lt;related-urls&gt;&lt;url&gt;http://europepmc.org/abstract/MED/11066183&lt;/url&gt;&lt;url&gt;http://dx.doi.org/10.1001/jama.284.18.2334&lt;/url&gt;&lt;/related-urls&gt;&lt;/urls&gt;&lt;electronic-resource-num&gt;10.1001/jama.284.18.2334&lt;/electronic-resource-num&gt;&lt;remote-database-name&gt;PubMed&lt;/remote-database-name&gt;&lt;language&gt;eng&lt;/language&gt;&lt;/record&gt;&lt;/Cite&gt;&lt;/EndNote&gt;</w:instrText>
      </w:r>
      <w:r>
        <w:rPr>
          <w:rFonts w:ascii="Arial" w:hAnsi="Arial" w:cs="Arial"/>
        </w:rPr>
        <w:fldChar w:fldCharType="separate"/>
      </w:r>
      <w:r w:rsidR="00D40C16">
        <w:rPr>
          <w:rFonts w:ascii="Arial" w:hAnsi="Arial" w:cs="Arial"/>
          <w:noProof/>
        </w:rPr>
        <w:t>[9]</w:t>
      </w:r>
      <w:r>
        <w:rPr>
          <w:rFonts w:ascii="Arial" w:hAnsi="Arial" w:cs="Arial"/>
        </w:rPr>
        <w:fldChar w:fldCharType="end"/>
      </w:r>
      <w:r>
        <w:rPr>
          <w:rFonts w:ascii="Arial" w:hAnsi="Arial" w:cs="Arial"/>
        </w:rPr>
        <w:t>.</w:t>
      </w:r>
      <w:r w:rsidRPr="00FB49B7">
        <w:rPr>
          <w:rFonts w:ascii="Arial" w:hAnsi="Arial" w:cs="Arial"/>
        </w:rPr>
        <w:t xml:space="preserve">  For the meningococcal group C (MenC) conjugate vaccine, only 53 vaccine failure cases were identified among &lt;18 year-olds during the first four years after vaccine introduction</w:t>
      </w:r>
      <w:r>
        <w:rPr>
          <w:rFonts w:ascii="Arial" w:hAnsi="Arial" w:cs="Arial"/>
        </w:rPr>
        <w:t xml:space="preserve"> </w:t>
      </w:r>
      <w:r>
        <w:rPr>
          <w:rFonts w:ascii="Arial" w:hAnsi="Arial" w:cs="Arial"/>
        </w:rPr>
        <w:fldChar w:fldCharType="begin"/>
      </w:r>
      <w:r w:rsidR="00D40C16">
        <w:rPr>
          <w:rFonts w:ascii="Arial" w:hAnsi="Arial" w:cs="Arial"/>
        </w:rPr>
        <w:instrText xml:space="preserve"> ADDIN EN.CITE &lt;EndNote&gt;&lt;Cite&gt;&lt;Author&gt;Auckland&lt;/Author&gt;&lt;Year&gt;2006&lt;/Year&gt;&lt;RecNum&gt;42&lt;/RecNum&gt;&lt;DisplayText&gt;[10]&lt;/DisplayText&gt;&lt;record&gt;&lt;rec-number&gt;42&lt;/rec-number&gt;&lt;foreign-keys&gt;&lt;key app="EN" db-id="rxxppfvvjfas5yeas2cx599btv52trewxvr5" timestamp="1473773144"&gt;42&lt;/key&gt;&lt;/foreign-keys&gt;&lt;ref-type name="Journal Article"&gt;17&lt;/ref-type&gt;&lt;contributors&gt;&lt;authors&gt;&lt;author&gt;Auckland, Cressida&lt;/author&gt;&lt;author&gt;Gray, Stephen&lt;/author&gt;&lt;author&gt;Borrow, Ray&lt;/author&gt;&lt;author&gt;Andrews, Nick&lt;/author&gt;&lt;author&gt;Goldblatt, David&lt;/author&gt;&lt;author&gt;Ramsay, Mary&lt;/author&gt;&lt;author&gt;Miller, Elizabeth&lt;/author&gt;&lt;/authors&gt;&lt;/contributors&gt;&lt;auth-address&gt;Immunisation Department, Centre for Infections, Health Protection Agency, Manchester Royal Infirmary, Manchester, United Kingdom.&lt;/auth-address&gt;&lt;titles&gt;&lt;title&gt;Clinical and immunologic risk factors for meningococcal C conjugate vaccine failure in the United Kingdom&lt;/title&gt;&lt;secondary-title&gt;The Journal of infectious diseases&lt;/secondary-title&gt;&lt;alt-title&gt;J Infect Dis&lt;/alt-title&gt;&lt;/titles&gt;&lt;periodical&gt;&lt;full-title&gt;The Journal of infectious diseases&lt;/full-title&gt;&lt;abbr-1&gt;J Infect Dis&lt;/abbr-1&gt;&lt;/periodical&gt;&lt;alt-periodical&gt;&lt;full-title&gt;The Journal of infectious diseases&lt;/full-title&gt;&lt;abbr-1&gt;J Infect Dis&lt;/abbr-1&gt;&lt;/alt-periodical&gt;&lt;pages&gt;1745-1752&lt;/pages&gt;&lt;volume&gt;194&lt;/volume&gt;&lt;number&gt;12&lt;/number&gt;&lt;keywords&gt;&lt;keyword&gt;Vaccination&lt;/keyword&gt;&lt;keyword&gt;Sentinel Surveillance&lt;/keyword&gt;&lt;/keywords&gt;&lt;dates&gt;&lt;year&gt;2006&lt;/year&gt;&lt;pub-dates&gt;&lt;date&gt;2006/12//&lt;/date&gt;&lt;/pub-dates&gt;&lt;/dates&gt;&lt;isbn&gt;0022-1899&lt;/isbn&gt;&lt;accession-num&gt;17109348&lt;/accession-num&gt;&lt;urls&gt;&lt;related-urls&gt;&lt;url&gt;http://europepmc.org/abstract/MED/17109348&lt;/url&gt;&lt;url&gt;http://dx.doi.org/10.1086/509619&lt;/url&gt;&lt;/related-urls&gt;&lt;/urls&gt;&lt;electronic-resource-num&gt;10.1086/509619&lt;/electronic-resource-num&gt;&lt;remote-database-name&gt;PubMed&lt;/remote-database-name&gt;&lt;language&gt;eng&lt;/language&gt;&lt;/record&gt;&lt;/Cite&gt;&lt;/EndNote&gt;</w:instrText>
      </w:r>
      <w:r>
        <w:rPr>
          <w:rFonts w:ascii="Arial" w:hAnsi="Arial" w:cs="Arial"/>
        </w:rPr>
        <w:fldChar w:fldCharType="separate"/>
      </w:r>
      <w:r w:rsidR="00D40C16">
        <w:rPr>
          <w:rFonts w:ascii="Arial" w:hAnsi="Arial" w:cs="Arial"/>
          <w:noProof/>
        </w:rPr>
        <w:t>[10]</w:t>
      </w:r>
      <w:r>
        <w:rPr>
          <w:rFonts w:ascii="Arial" w:hAnsi="Arial" w:cs="Arial"/>
        </w:rPr>
        <w:fldChar w:fldCharType="end"/>
      </w:r>
      <w:r>
        <w:rPr>
          <w:rFonts w:ascii="Arial" w:hAnsi="Arial" w:cs="Arial"/>
        </w:rPr>
        <w:t>.</w:t>
      </w:r>
      <w:r w:rsidRPr="00FB49B7">
        <w:rPr>
          <w:rFonts w:ascii="Arial" w:hAnsi="Arial" w:cs="Arial"/>
        </w:rPr>
        <w:t xml:space="preserve"> </w:t>
      </w:r>
      <w:r>
        <w:rPr>
          <w:rFonts w:ascii="Arial" w:hAnsi="Arial" w:cs="Arial"/>
        </w:rPr>
        <w:t xml:space="preserve">Potential explanations for vaccine failure include the presence of underlying co-morbidities </w:t>
      </w:r>
      <w:r w:rsidR="00B16A16">
        <w:rPr>
          <w:rFonts w:ascii="Arial" w:hAnsi="Arial" w:cs="Arial"/>
        </w:rPr>
        <w:t xml:space="preserve">and waning antibodies after vaccination, which has been described for </w:t>
      </w:r>
      <w:r w:rsidRPr="00FB49B7">
        <w:rPr>
          <w:rFonts w:ascii="Arial" w:hAnsi="Arial" w:cs="Arial"/>
        </w:rPr>
        <w:t>both Hib and MenC vaccine failures</w:t>
      </w:r>
      <w:r w:rsidR="00B16A16">
        <w:rPr>
          <w:rFonts w:ascii="Arial" w:hAnsi="Arial" w:cs="Arial"/>
        </w:rPr>
        <w:t xml:space="preserve"> </w:t>
      </w:r>
      <w:r w:rsidRPr="00E935CC">
        <w:rPr>
          <w:rFonts w:ascii="Arial" w:hAnsi="Arial" w:cs="Arial"/>
        </w:rPr>
        <w:fldChar w:fldCharType="begin">
          <w:fldData xml:space="preserve">PEVuZE5vdGU+PENpdGU+PEF1dGhvcj5IZWF0aDwvQXV0aG9yPjxZZWFyPjIwMDA8L1llYXI+PFJl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</w:fldData>
        </w:fldChar>
      </w:r>
      <w:r w:rsidR="00D40C16">
        <w:rPr>
          <w:rFonts w:ascii="Arial" w:hAnsi="Arial" w:cs="Arial"/>
        </w:rPr>
        <w:instrText xml:space="preserve"> ADDIN EN.CITE </w:instrText>
      </w:r>
      <w:r w:rsidR="00D40C16">
        <w:rPr>
          <w:rFonts w:ascii="Arial" w:hAnsi="Arial" w:cs="Arial"/>
        </w:rPr>
        <w:fldChar w:fldCharType="begin">
          <w:fldData xml:space="preserve">PEVuZE5vdGU+PENpdGU+PEF1dGhvcj5IZWF0aDwvQXV0aG9yPjxZZWFyPjIwMDA8L1llYXI+PFJl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</w:fldData>
        </w:fldChar>
      </w:r>
      <w:r w:rsidR="00D40C16">
        <w:rPr>
          <w:rFonts w:ascii="Arial" w:hAnsi="Arial" w:cs="Arial"/>
        </w:rPr>
        <w:instrText xml:space="preserve"> ADDIN EN.CITE.DATA </w:instrText>
      </w:r>
      <w:r w:rsidR="00D40C16">
        <w:rPr>
          <w:rFonts w:ascii="Arial" w:hAnsi="Arial" w:cs="Arial"/>
        </w:rPr>
      </w:r>
      <w:r w:rsidR="00D40C16">
        <w:rPr>
          <w:rFonts w:ascii="Arial" w:hAnsi="Arial" w:cs="Arial"/>
        </w:rPr>
        <w:fldChar w:fldCharType="end"/>
      </w:r>
      <w:r w:rsidRPr="00E935CC">
        <w:rPr>
          <w:rFonts w:ascii="Arial" w:hAnsi="Arial" w:cs="Arial"/>
        </w:rPr>
      </w:r>
      <w:r w:rsidRPr="00E935CC">
        <w:rPr>
          <w:rFonts w:ascii="Arial" w:hAnsi="Arial" w:cs="Arial"/>
        </w:rPr>
        <w:fldChar w:fldCharType="separate"/>
      </w:r>
      <w:r w:rsidR="00D40C16">
        <w:rPr>
          <w:rFonts w:ascii="Arial" w:hAnsi="Arial" w:cs="Arial"/>
          <w:noProof/>
        </w:rPr>
        <w:t>[9, 10]</w:t>
      </w:r>
      <w:r w:rsidRPr="00E935CC">
        <w:rPr>
          <w:rFonts w:ascii="Arial" w:hAnsi="Arial" w:cs="Arial"/>
        </w:rPr>
        <w:fldChar w:fldCharType="end"/>
      </w:r>
      <w:r w:rsidR="00B16A16">
        <w:rPr>
          <w:rFonts w:ascii="Arial" w:hAnsi="Arial" w:cs="Arial"/>
        </w:rPr>
        <w:t xml:space="preserve">. </w:t>
      </w:r>
    </w:p>
    <w:p w14:paraId="1A0E4940" w14:textId="45A40BE3" w:rsidR="00B16A16" w:rsidRDefault="00104BD1" w:rsidP="00D474C8">
      <w:pPr>
        <w:widowControl w:val="0"/>
        <w:tabs>
          <w:tab w:val="left" w:pos="220"/>
          <w:tab w:val="left" w:pos="720"/>
        </w:tabs>
        <w:autoSpaceDE w:val="0"/>
        <w:autoSpaceDN w:val="0"/>
        <w:adjustRightInd w:val="0"/>
        <w:spacing w:line="480" w:lineRule="auto"/>
        <w:rPr>
          <w:rFonts w:ascii="Arial" w:hAnsi="Arial" w:cs="Arial"/>
        </w:rPr>
      </w:pPr>
      <w:r w:rsidRPr="00FB49B7">
        <w:rPr>
          <w:rFonts w:ascii="Arial" w:hAnsi="Arial" w:cs="Arial"/>
        </w:rPr>
        <w:t xml:space="preserve">In the UK, </w:t>
      </w:r>
      <w:r w:rsidR="009D2795" w:rsidRPr="00FB49B7">
        <w:rPr>
          <w:rFonts w:ascii="Arial" w:hAnsi="Arial" w:cs="Arial"/>
        </w:rPr>
        <w:t xml:space="preserve">PCV7 </w:t>
      </w:r>
      <w:r w:rsidR="00D505D9">
        <w:rPr>
          <w:rFonts w:ascii="Arial" w:hAnsi="Arial" w:cs="Arial"/>
        </w:rPr>
        <w:t xml:space="preserve">introduction </w:t>
      </w:r>
      <w:r w:rsidR="00F22602" w:rsidRPr="00FB49B7">
        <w:rPr>
          <w:rFonts w:ascii="Arial" w:hAnsi="Arial" w:cs="Arial"/>
        </w:rPr>
        <w:t xml:space="preserve">rapidly </w:t>
      </w:r>
      <w:r w:rsidRPr="00FB49B7">
        <w:rPr>
          <w:rFonts w:ascii="Arial" w:hAnsi="Arial" w:cs="Arial"/>
        </w:rPr>
        <w:t>achieved</w:t>
      </w:r>
      <w:r w:rsidR="009D2795" w:rsidRPr="00FB49B7">
        <w:rPr>
          <w:rFonts w:ascii="Arial" w:hAnsi="Arial" w:cs="Arial"/>
        </w:rPr>
        <w:t xml:space="preserve"> high vaccine coverage</w:t>
      </w:r>
      <w:r w:rsidR="00B811EC">
        <w:rPr>
          <w:rFonts w:ascii="Arial" w:hAnsi="Arial" w:cs="Arial"/>
        </w:rPr>
        <w:t>,</w:t>
      </w:r>
      <w:r w:rsidR="009D2795" w:rsidRPr="00FB49B7">
        <w:rPr>
          <w:rFonts w:ascii="Arial" w:hAnsi="Arial" w:cs="Arial"/>
        </w:rPr>
        <w:t xml:space="preserve"> </w:t>
      </w:r>
      <w:r w:rsidR="00B811EC">
        <w:rPr>
          <w:rFonts w:ascii="Arial" w:hAnsi="Arial" w:cs="Arial"/>
        </w:rPr>
        <w:t xml:space="preserve">resulting in </w:t>
      </w:r>
      <w:r w:rsidR="00B0705C" w:rsidRPr="00FB49B7">
        <w:rPr>
          <w:rFonts w:ascii="Arial" w:hAnsi="Arial" w:cs="Arial"/>
        </w:rPr>
        <w:t xml:space="preserve">98% and 93% lower </w:t>
      </w:r>
      <w:r w:rsidR="00843931">
        <w:rPr>
          <w:rFonts w:ascii="Arial" w:hAnsi="Arial" w:cs="Arial"/>
        </w:rPr>
        <w:t xml:space="preserve">IPD </w:t>
      </w:r>
      <w:r w:rsidR="00B0705C" w:rsidRPr="00FB49B7">
        <w:rPr>
          <w:rFonts w:ascii="Arial" w:hAnsi="Arial" w:cs="Arial"/>
        </w:rPr>
        <w:t xml:space="preserve">rates </w:t>
      </w:r>
      <w:r w:rsidR="00B811EC">
        <w:rPr>
          <w:rFonts w:ascii="Arial" w:hAnsi="Arial" w:cs="Arial"/>
        </w:rPr>
        <w:t xml:space="preserve">in </w:t>
      </w:r>
      <w:r w:rsidR="00B811EC" w:rsidRPr="00FB49B7">
        <w:rPr>
          <w:rFonts w:ascii="Arial" w:hAnsi="Arial" w:cs="Arial"/>
        </w:rPr>
        <w:t xml:space="preserve">PCV7-type IPD </w:t>
      </w:r>
      <w:r w:rsidR="008542B1">
        <w:rPr>
          <w:rFonts w:ascii="Arial" w:hAnsi="Arial" w:cs="Arial"/>
        </w:rPr>
        <w:t xml:space="preserve">within four years </w:t>
      </w:r>
      <w:r w:rsidR="00B0705C" w:rsidRPr="00FB49B7">
        <w:rPr>
          <w:rFonts w:ascii="Arial" w:hAnsi="Arial" w:cs="Arial"/>
        </w:rPr>
        <w:t>in &lt;2 year-olds and 2-4 year-olds, respectively</w:t>
      </w:r>
      <w:r w:rsidR="00843931">
        <w:rPr>
          <w:rFonts w:ascii="Arial" w:hAnsi="Arial" w:cs="Arial"/>
        </w:rPr>
        <w:t xml:space="preserve"> </w:t>
      </w:r>
      <w:r w:rsidR="00B0705C">
        <w:rPr>
          <w:rFonts w:ascii="Arial" w:hAnsi="Arial" w:cs="Arial"/>
        </w:rPr>
        <w:fldChar w:fldCharType="begin"/>
      </w:r>
      <w:r w:rsidR="00082523">
        <w:rPr>
          <w:rFonts w:ascii="Arial" w:hAnsi="Arial" w:cs="Arial"/>
        </w:rPr>
        <w:instrText xml:space="preserve"> ADDIN EN.CITE &lt;EndNote&gt;&lt;Cite&gt;&lt;Author&gt;Miller&lt;/Author&gt;&lt;Year&gt;2011&lt;/Year&gt;&lt;RecNum&gt;2&lt;/RecNum&gt;&lt;DisplayText&gt;[3]&lt;/DisplayText&gt;&lt;record&gt;&lt;rec-number&gt;2&lt;/rec-number&gt;&lt;foreign-keys&gt;&lt;key app="EN" db-id="rxxppfvvjfas5yeas2cx599btv52trewxvr5" timestamp="1473770934"&gt;2&lt;/key&gt;&lt;/foreign-keys&gt;&lt;ref-type name="Journal Article"&gt;17&lt;/ref-type&gt;&lt;contributors&gt;&lt;authors&gt;&lt;author&gt;Miller, Elizabeth&lt;/author&gt;&lt;author&gt;Andrews, Nicholas J.&lt;/author&gt;&lt;author&gt;Waight, Pauline A.&lt;/author&gt;&lt;author&gt;Slack, Mary Pe&lt;/author&gt;&lt;author&gt;George, Robert C.&lt;/author&gt;&lt;/authors&gt;&lt;/contributors&gt;&lt;auth-address&gt;Immunisation, Hepatitis and Blood Safety Department, Health Protection Agency, Colindale, London, UK. liz.miller@hpa.org.uk&lt;/auth-address&gt;&lt;titles&gt;&lt;title&gt;Herd immunity and serotype replacement 4 years after seven-valent pneumococcal conjugate vaccination in England and Wales: an observational cohort study&lt;/title&gt;&lt;secondary-title&gt;The Lancet. Infectious diseases&lt;/secondary-title&gt;&lt;alt-title&gt;Lancet Infect Dis&lt;/alt-title&gt;&lt;/titles&gt;&lt;periodical&gt;&lt;full-title&gt;The Lancet. Infectious diseases&lt;/full-title&gt;&lt;abbr-1&gt;Lancet Infect Dis&lt;/abbr-1&gt;&lt;/periodical&gt;&lt;alt-periodical&gt;&lt;full-title&gt;The Lancet. Infectious diseases&lt;/full-title&gt;&lt;abbr-1&gt;Lancet Infect Dis&lt;/abbr-1&gt;&lt;/alt-periodical&gt;&lt;pages&gt;760-768&lt;/pages&gt;&lt;volume&gt;11&lt;/volume&gt;&lt;number&gt;10&lt;/number&gt;&lt;keywords&gt;&lt;keyword&gt;Immunity, Herd&lt;/keyword&gt;&lt;/keywords&gt;&lt;dates&gt;&lt;year&gt;2011&lt;/year&gt;&lt;pub-dates&gt;&lt;date&gt;2011/10//&lt;/date&gt;&lt;/pub-dates&gt;&lt;/dates&gt;&lt;isbn&gt;1473-3099&lt;/isbn&gt;&lt;accession-num&gt;21621466&lt;/accession-num&gt;&lt;urls&gt;&lt;related-urls&gt;&lt;url&gt;http://europepmc.org/abstract/MED/21621466&lt;/url&gt;&lt;url&gt;http://dx.doi.org/10.1016/S1473-3099(11)70090-1&lt;/url&gt;&lt;/related-urls&gt;&lt;/urls&gt;&lt;electronic-resource-num&gt;10.1016/s1473-3099(11)70090-1&lt;/electronic-resource-num&gt;&lt;remote-database-name&gt;PubMed&lt;/remote-database-name&gt;&lt;language&gt;eng&lt;/language&gt;&lt;/record&gt;&lt;/Cite&gt;&lt;/EndNote&gt;</w:instrText>
      </w:r>
      <w:r w:rsidR="00B0705C">
        <w:rPr>
          <w:rFonts w:ascii="Arial" w:hAnsi="Arial" w:cs="Arial"/>
        </w:rPr>
        <w:fldChar w:fldCharType="separate"/>
      </w:r>
      <w:r w:rsidR="00082523">
        <w:rPr>
          <w:rFonts w:ascii="Arial" w:hAnsi="Arial" w:cs="Arial"/>
          <w:noProof/>
        </w:rPr>
        <w:t>[3]</w:t>
      </w:r>
      <w:r w:rsidR="00B0705C">
        <w:rPr>
          <w:rFonts w:ascii="Arial" w:hAnsi="Arial" w:cs="Arial"/>
        </w:rPr>
        <w:fldChar w:fldCharType="end"/>
      </w:r>
      <w:r w:rsidR="00843931">
        <w:rPr>
          <w:rFonts w:ascii="Arial" w:hAnsi="Arial" w:cs="Arial"/>
        </w:rPr>
        <w:t>.</w:t>
      </w:r>
      <w:r w:rsidR="00B0705C" w:rsidRPr="00FB49B7">
        <w:rPr>
          <w:rFonts w:ascii="Arial" w:hAnsi="Arial" w:cs="Arial"/>
        </w:rPr>
        <w:t xml:space="preserve"> </w:t>
      </w:r>
      <w:r w:rsidR="009D2795" w:rsidRPr="00FB49B7">
        <w:rPr>
          <w:rFonts w:ascii="Arial" w:hAnsi="Arial" w:cs="Arial"/>
        </w:rPr>
        <w:t xml:space="preserve">Compared to </w:t>
      </w:r>
      <w:r w:rsidR="00843931">
        <w:rPr>
          <w:rFonts w:ascii="Arial" w:hAnsi="Arial" w:cs="Arial"/>
        </w:rPr>
        <w:t>serotypes causing IPD in the pre-</w:t>
      </w:r>
      <w:r w:rsidR="009D2795" w:rsidRPr="00FB49B7">
        <w:rPr>
          <w:rFonts w:ascii="Arial" w:hAnsi="Arial" w:cs="Arial"/>
        </w:rPr>
        <w:t xml:space="preserve">PCV7 </w:t>
      </w:r>
      <w:r w:rsidR="00843931">
        <w:rPr>
          <w:rFonts w:ascii="Arial" w:hAnsi="Arial" w:cs="Arial"/>
        </w:rPr>
        <w:t>period</w:t>
      </w:r>
      <w:r w:rsidR="009D2795" w:rsidRPr="00FB49B7">
        <w:rPr>
          <w:rFonts w:ascii="Arial" w:hAnsi="Arial" w:cs="Arial"/>
        </w:rPr>
        <w:t xml:space="preserve">, serotypes 6B and 19F were over-represented among vaccine failure cases. </w:t>
      </w:r>
      <w:r w:rsidR="0016002F">
        <w:rPr>
          <w:rFonts w:ascii="Arial" w:hAnsi="Arial" w:cs="Arial"/>
        </w:rPr>
        <w:t xml:space="preserve">These two serotypes had the lower antibody responses after infant immunisation </w:t>
      </w:r>
      <w:r w:rsidR="00D03F6E">
        <w:rPr>
          <w:rFonts w:ascii="Arial" w:hAnsi="Arial" w:cs="Arial"/>
        </w:rPr>
        <w:fldChar w:fldCharType="begin"/>
      </w:r>
      <w:r w:rsidR="00D40C16">
        <w:rPr>
          <w:rFonts w:ascii="Arial" w:hAnsi="Arial" w:cs="Arial"/>
        </w:rPr>
        <w:instrText xml:space="preserve"> ADDIN EN.CITE &lt;EndNote&gt;&lt;Cite&gt;&lt;Author&gt;Goldblatt&lt;/Author&gt;&lt;Year&gt;2010&lt;/Year&gt;&lt;RecNum&gt;8&lt;/RecNum&gt;&lt;DisplayText&gt;[11]&lt;/DisplayText&gt;&lt;record&gt;&lt;rec-number&gt;8&lt;/rec-number&gt;&lt;foreign-keys&gt;&lt;key app="EN" db-id="rxxppfvvjfas5yeas2cx599btv52trewxvr5" timestamp="1473771532"&gt;8&lt;/key&gt;&lt;/foreign-keys&gt;&lt;ref-type name="Journal Article"&gt;17&lt;/ref-type&gt;&lt;contributors&gt;&lt;authors&gt;&lt;author&gt;Goldblatt, David&lt;/author&gt;&lt;author&gt;Southern, Jo&lt;/author&gt;&lt;author&gt;Ashton, Lindsey&lt;/author&gt;&lt;author&gt;Andrews, Nick&lt;/author&gt;&lt;author&gt;Woodgate, Sarah&lt;/author&gt;&lt;author&gt;Burbidge, Polly&lt;/author&gt;&lt;author&gt;Waight, Pauline&lt;/author&gt;&lt;author&gt;Miller, Elizabeth&lt;/author&gt;&lt;/authors&gt;&lt;/contributors&gt;&lt;auth-address&gt;Immunobiology Unit, UCL Institute of Child Health, London, United Kingdom. d.goldblatt@ich.ucl.ac.uk&lt;/auth-address&gt;&lt;titles&gt;&lt;title&gt;Immunogenicity of a reduced schedule of pneumococcal conjugate vaccine in healthy infants and correlates of protection for serotype 6B in the United Kingdom&lt;/title&gt;&lt;secondary-title&gt;The Pediatric infectious disease journal&lt;/secondary-title&gt;&lt;alt-title&gt;Pediatr Infect Dis J&lt;/alt-title&gt;&lt;/titles&gt;&lt;periodical&gt;&lt;full-title&gt;The Pediatric infectious disease journal&lt;/full-title&gt;&lt;abbr-1&gt;Pediatr Infect Dis J&lt;/abbr-1&gt;&lt;/periodical&gt;&lt;alt-periodical&gt;&lt;full-title&gt;The Pediatric infectious disease journal&lt;/full-title&gt;&lt;abbr-1&gt;Pediatr Infect Dis J&lt;/abbr-1&gt;&lt;/alt-periodical&gt;&lt;pages&gt;401-405&lt;/pages&gt;&lt;volume&gt;29&lt;/volume&gt;&lt;number&gt;5&lt;/number&gt;&lt;keywords&gt;&lt;keyword&gt;Immunization Schedule&lt;/keyword&gt;&lt;/keywords&gt;&lt;dates&gt;&lt;year&gt;2010&lt;/year&gt;&lt;pub-dates&gt;&lt;date&gt;2010/05//&lt;/date&gt;&lt;/pub-dates&gt;&lt;/dates&gt;&lt;isbn&gt;0891-3668&lt;/isbn&gt;&lt;accession-num&gt;20010312&lt;/accession-num&gt;&lt;urls&gt;&lt;related-urls&gt;&lt;url&gt;http://europepmc.org/abstract/MED/20010312&lt;/url&gt;&lt;url&gt;http://dx.doi.org/10.1097/INF.0b013e3181c67f04&lt;/url&gt;&lt;url&gt;http://content.wkhealth.com/linkback/openurl?issn=0891-3668&amp;amp;volume=29&amp;amp;issue=5&amp;amp;spage=401&lt;/url&gt;&lt;/related-urls&gt;&lt;/urls&gt;&lt;electronic-resource-num&gt;10.1097/inf.0b013e3181c67f04&lt;/electronic-resource-num&gt;&lt;remote-database-name&gt;PubMed&lt;/remote-database-name&gt;&lt;language&gt;eng&lt;/language&gt;&lt;/record&gt;&lt;/Cite&gt;&lt;/EndNote&gt;</w:instrText>
      </w:r>
      <w:r w:rsidR="00D03F6E">
        <w:rPr>
          <w:rFonts w:ascii="Arial" w:hAnsi="Arial" w:cs="Arial"/>
        </w:rPr>
        <w:fldChar w:fldCharType="separate"/>
      </w:r>
      <w:r w:rsidR="00D40C16">
        <w:rPr>
          <w:rFonts w:ascii="Arial" w:hAnsi="Arial" w:cs="Arial"/>
          <w:noProof/>
        </w:rPr>
        <w:t>[11]</w:t>
      </w:r>
      <w:r w:rsidR="00D03F6E">
        <w:rPr>
          <w:rFonts w:ascii="Arial" w:hAnsi="Arial" w:cs="Arial"/>
        </w:rPr>
        <w:fldChar w:fldCharType="end"/>
      </w:r>
      <w:r w:rsidR="0016002F">
        <w:rPr>
          <w:rFonts w:ascii="Arial" w:hAnsi="Arial" w:cs="Arial"/>
        </w:rPr>
        <w:t xml:space="preserve">, and the lowest </w:t>
      </w:r>
      <w:r w:rsidR="009D2795" w:rsidRPr="00FB49B7">
        <w:rPr>
          <w:rFonts w:ascii="Arial" w:hAnsi="Arial" w:cs="Arial"/>
        </w:rPr>
        <w:t>serotype-specific vaccine effectiveness after PCV7 introduction (49% and 70%, respectively)</w:t>
      </w:r>
      <w:r w:rsidR="00B811EC">
        <w:rPr>
          <w:rFonts w:ascii="Arial" w:hAnsi="Arial" w:cs="Arial"/>
        </w:rPr>
        <w:t xml:space="preserve"> </w:t>
      </w:r>
      <w:r w:rsidR="00D03F6E">
        <w:rPr>
          <w:rFonts w:ascii="Arial" w:hAnsi="Arial" w:cs="Arial"/>
        </w:rPr>
        <w:fldChar w:fldCharType="begin"/>
      </w:r>
      <w:r w:rsidR="00D40C16">
        <w:rPr>
          <w:rFonts w:ascii="Arial" w:hAnsi="Arial" w:cs="Arial"/>
        </w:rPr>
        <w:instrText xml:space="preserve"> ADDIN EN.CITE &lt;EndNote&gt;&lt;Cite&gt;&lt;Author&gt;Andrews&lt;/Author&gt;&lt;Year&gt;2011&lt;/Year&gt;&lt;RecNum&gt;9&lt;/RecNum&gt;&lt;DisplayText&gt;[12]&lt;/DisplayText&gt;&lt;record&gt;&lt;rec-number&gt;9&lt;/rec-number&gt;&lt;foreign-keys&gt;&lt;key app="EN" db-id="w9ttzze5rv9rz0e0s0rxzzxeav225d0x0sfp" timestamp="1445607733"&gt;9&lt;/key&gt;&lt;/foreign-keys&gt;&lt;ref-type name="Journal Article"&gt;17&lt;/ref-type&gt;&lt;contributors&gt;&lt;authors&gt;&lt;author&gt;Andrews, Nick&lt;/author&gt;&lt;author&gt;Waight, Pauline A.&lt;/author&gt;&lt;author&gt;Borrow, Ray&lt;/author&gt;&lt;author&gt;Ladhani, Shamez&lt;/author&gt;&lt;author&gt;George, Robert C.&lt;/author&gt;&lt;author&gt;Slack, Mary P. E.&lt;/author&gt;&lt;author&gt;Miller, Elizabeth&lt;/author&gt;&lt;/authors&gt;&lt;/contributors&gt;&lt;auth-address&gt;Statistics, Modelling and Economics Department, Health Protection Services, Health Protection Agency, London, United Kingdom. nick.andrews@hpa.org.uk&lt;/auth-address&gt;&lt;titles&gt;&lt;title&gt;Using the indirect cohort design to estimate the effectiveness of the seven valent pneumococcal conjugate vaccine in England and Wales&lt;/title&gt;&lt;secondary-title&gt;PloS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28435&lt;/pages&gt;&lt;volume&gt;6&lt;/volume&gt;&lt;number&gt;12&lt;/number&gt;&lt;dates&gt;&lt;year&gt;2011&lt;/year&gt;&lt;pub-dates&gt;&lt;date&gt;2011&lt;/date&gt;&lt;/pub-dates&gt;&lt;/dates&gt;&lt;isbn&gt;1932-6203&lt;/isbn&gt;&lt;accession-num&gt;22164292&lt;/accession-num&gt;&lt;urls&gt;&lt;related-urls&gt;&lt;url&gt;http://europepmc.org/abstract/MED/22164292&lt;/url&gt;&lt;url&gt;http://europepmc.org/articles/PMC3229580?pdf=render&lt;/url&gt;&lt;url&gt;http://europepmc.org/articles/PMC3229580&lt;/url&gt;&lt;url&gt;http://www.pubmedcentral.nih.gov/picrender.fcgi?tool=EBI&amp;amp;pubmedid=22164292&amp;amp;action=stream&amp;amp;blobtype=pdf&lt;/url&gt;&lt;url&gt;http://www.pubmedcentral.nih.gov/articlerender.fcgi?tool=EBI&amp;amp;pubmedid=22164292&lt;/url&gt;&lt;url&gt;http://dx.doi.org/10.1371/journal.pone.0028435&lt;/url&gt;&lt;/related-urls&gt;&lt;/urls&gt;&lt;electronic-resource-num&gt;10.1371/journal.pone.0028435&lt;/electronic-resource-num&gt;&lt;remote-database-name&gt;PubMed&lt;/remote-database-name&gt;&lt;language&gt;eng&lt;/language&gt;&lt;/record&gt;&lt;/Cite&gt;&lt;/EndNote&gt;</w:instrText>
      </w:r>
      <w:r w:rsidR="00D03F6E">
        <w:rPr>
          <w:rFonts w:ascii="Arial" w:hAnsi="Arial" w:cs="Arial"/>
        </w:rPr>
        <w:fldChar w:fldCharType="separate"/>
      </w:r>
      <w:r w:rsidR="00D40C16">
        <w:rPr>
          <w:rFonts w:ascii="Arial" w:hAnsi="Arial" w:cs="Arial"/>
          <w:noProof/>
        </w:rPr>
        <w:t>[12]</w:t>
      </w:r>
      <w:r w:rsidR="00D03F6E">
        <w:rPr>
          <w:rFonts w:ascii="Arial" w:hAnsi="Arial" w:cs="Arial"/>
        </w:rPr>
        <w:fldChar w:fldCharType="end"/>
      </w:r>
      <w:r w:rsidR="00B811EC">
        <w:rPr>
          <w:rFonts w:ascii="Arial" w:hAnsi="Arial" w:cs="Arial"/>
        </w:rPr>
        <w:t>.</w:t>
      </w:r>
      <w:r w:rsidR="009D2795" w:rsidRPr="00FB49B7">
        <w:rPr>
          <w:rFonts w:ascii="Arial" w:hAnsi="Arial" w:cs="Arial"/>
        </w:rPr>
        <w:t xml:space="preserve"> Others have also reported a predominance of these two serotypes among PCV7 failure cases</w:t>
      </w:r>
      <w:r w:rsidR="00B16A16">
        <w:rPr>
          <w:rFonts w:ascii="Arial" w:hAnsi="Arial" w:cs="Arial"/>
        </w:rPr>
        <w:t>,</w:t>
      </w:r>
      <w:r w:rsidR="00B811EC">
        <w:rPr>
          <w:rFonts w:ascii="Arial" w:hAnsi="Arial" w:cs="Arial"/>
        </w:rPr>
        <w:t xml:space="preserve"> </w:t>
      </w:r>
      <w:r w:rsidR="00B16A16">
        <w:rPr>
          <w:rFonts w:ascii="Arial" w:hAnsi="Arial" w:cs="Arial"/>
        </w:rPr>
        <w:t xml:space="preserve">which were </w:t>
      </w:r>
      <w:r w:rsidR="00B16A16" w:rsidRPr="00FB49B7">
        <w:rPr>
          <w:rFonts w:ascii="Arial" w:hAnsi="Arial" w:cs="Arial"/>
        </w:rPr>
        <w:t>responsible for 59% of PCV7 failures</w:t>
      </w:r>
      <w:r w:rsidR="00B16A16">
        <w:rPr>
          <w:rFonts w:ascii="Arial" w:hAnsi="Arial" w:cs="Arial"/>
        </w:rPr>
        <w:t xml:space="preserve"> in our cohort </w:t>
      </w:r>
      <w:r w:rsidR="00B16A16">
        <w:rPr>
          <w:rFonts w:ascii="Arial" w:hAnsi="Arial" w:cs="Arial"/>
        </w:rPr>
        <w:fldChar w:fldCharType="begin"/>
      </w:r>
      <w:r w:rsidR="00D40C16">
        <w:rPr>
          <w:rFonts w:ascii="Arial" w:hAnsi="Arial" w:cs="Arial"/>
        </w:rPr>
        <w:instrText xml:space="preserve"> ADDIN EN.CITE &lt;EndNote&gt;&lt;Cite&gt;&lt;Author&gt;Park&lt;/Author&gt;&lt;Year&gt;2010&lt;/Year&gt;&lt;RecNum&gt;36&lt;/RecNum&gt;&lt;DisplayText&gt;[13]&lt;/DisplayText&gt;&lt;record&gt;&lt;rec-number&gt;36&lt;/rec-number&gt;&lt;foreign-keys&gt;&lt;key app="EN" db-id="rxxppfvvjfas5yeas2cx599btv52trewxvr5" timestamp="1473772425"&gt;36&lt;/key&gt;&lt;/foreign-keys&gt;&lt;ref-type name="Journal Article"&gt;17&lt;/ref-type&gt;&lt;contributors&gt;&lt;authors&gt;&lt;author&gt;Park, Sarah Y.&lt;/author&gt;&lt;author&gt;Van Beneden, Chris A.&lt;/author&gt;&lt;author&gt;Pilishvili, Tamara&lt;/author&gt;&lt;author&gt;Martin, Michael&lt;/author&gt;&lt;author&gt;Facklam, Richard R.&lt;/author&gt;&lt;author&gt;Whitney, Cynthia G.&lt;/author&gt;&lt;author&gt;Active Bacterial Core surveillance, team&lt;/author&gt;&lt;/authors&gt;&lt;/contributors&gt;&lt;auth-address&gt;Office of Workforce and Career Development, Centers for Disease Control and Prevention, Atlanta, GA, USA. sarah.park@doh.hawaii.gov&lt;/auth-address&gt;&lt;titles&gt;&lt;title&gt;Invasive pneumococcal infections among vaccinated children in the United States&lt;/title&gt;&lt;secondary-title&gt;The Journal of pediatrics&lt;/secondary-title&gt;&lt;alt-title&gt;J Pediatr&lt;/alt-title&gt;&lt;/titles&gt;&lt;periodical&gt;&lt;full-title&gt;The Journal of pediatrics&lt;/full-title&gt;&lt;abbr-1&gt;J Pediatr&lt;/abbr-1&gt;&lt;/periodical&gt;&lt;alt-periodical&gt;&lt;full-title&gt;The Journal of pediatrics&lt;/full-title&gt;&lt;abbr-1&gt;J Pediatr&lt;/abbr-1&gt;&lt;/alt-periodical&gt;&lt;pages&gt;478-483.e2&lt;/pages&gt;&lt;volume&gt;156&lt;/volume&gt;&lt;number&gt;3&lt;/number&gt;&lt;keywords&gt;&lt;keyword&gt;Vaccination&lt;/keyword&gt;&lt;/keywords&gt;&lt;dates&gt;&lt;year&gt;2010&lt;/year&gt;&lt;pub-dates&gt;&lt;date&gt;2010/03//&lt;/date&gt;&lt;/pub-dates&gt;&lt;/dates&gt;&lt;isbn&gt;0022-3476&lt;/isbn&gt;&lt;accession-num&gt;19962156&lt;/accession-num&gt;&lt;urls&gt;&lt;related-urls&gt;&lt;url&gt;http://europepmc.org/abstract/MED/19962156&lt;/url&gt;&lt;url&gt;http://dx.doi.org/10.1016/j.jpeds.2009.10.008&lt;/url&gt;&lt;/related-urls&gt;&lt;/urls&gt;&lt;electronic-resource-num&gt;10.1016/j.jpeds.2009.10.008&lt;/electronic-resource-num&gt;&lt;remote-database-name&gt;PubMed&lt;/remote-database-name&gt;&lt;language&gt;eng&lt;/language&gt;&lt;/record&gt;&lt;/Cite&gt;&lt;/EndNote&gt;</w:instrText>
      </w:r>
      <w:r w:rsidR="00B16A16">
        <w:rPr>
          <w:rFonts w:ascii="Arial" w:hAnsi="Arial" w:cs="Arial"/>
        </w:rPr>
        <w:fldChar w:fldCharType="separate"/>
      </w:r>
      <w:r w:rsidR="00D40C16">
        <w:rPr>
          <w:rFonts w:ascii="Arial" w:hAnsi="Arial" w:cs="Arial"/>
          <w:noProof/>
        </w:rPr>
        <w:t>[13]</w:t>
      </w:r>
      <w:r w:rsidR="00B16A16">
        <w:rPr>
          <w:rFonts w:ascii="Arial" w:hAnsi="Arial" w:cs="Arial"/>
        </w:rPr>
        <w:fldChar w:fldCharType="end"/>
      </w:r>
      <w:r w:rsidR="00B16A16" w:rsidRPr="00FB49B7">
        <w:rPr>
          <w:rFonts w:ascii="Arial" w:hAnsi="Arial" w:cs="Arial"/>
        </w:rPr>
        <w:t xml:space="preserve">. </w:t>
      </w:r>
      <w:r w:rsidR="00B16A16">
        <w:rPr>
          <w:rFonts w:ascii="Arial" w:hAnsi="Arial" w:cs="Arial"/>
        </w:rPr>
        <w:t xml:space="preserve">Co-morbidity prevalence in the published literature, </w:t>
      </w:r>
      <w:r w:rsidR="00B16A16" w:rsidRPr="00FB49B7">
        <w:rPr>
          <w:rFonts w:ascii="Arial" w:hAnsi="Arial" w:cs="Arial"/>
        </w:rPr>
        <w:t xml:space="preserve">relating </w:t>
      </w:r>
      <w:r w:rsidR="00B16A16">
        <w:rPr>
          <w:rFonts w:ascii="Arial" w:hAnsi="Arial" w:cs="Arial"/>
        </w:rPr>
        <w:t xml:space="preserve">almost exclusively to </w:t>
      </w:r>
      <w:r w:rsidR="00B16A16" w:rsidRPr="00FB49B7">
        <w:rPr>
          <w:rFonts w:ascii="Arial" w:hAnsi="Arial" w:cs="Arial"/>
        </w:rPr>
        <w:t>PCV7</w:t>
      </w:r>
      <w:r w:rsidR="00B16A16">
        <w:rPr>
          <w:rFonts w:ascii="Arial" w:hAnsi="Arial" w:cs="Arial"/>
        </w:rPr>
        <w:t xml:space="preserve"> failures</w:t>
      </w:r>
      <w:r w:rsidR="00B16A16" w:rsidRPr="00FB49B7">
        <w:rPr>
          <w:rFonts w:ascii="Arial" w:hAnsi="Arial" w:cs="Arial"/>
        </w:rPr>
        <w:t xml:space="preserve">, ranged between 10-36%, </w:t>
      </w:r>
      <w:r w:rsidR="00B16A16">
        <w:rPr>
          <w:rFonts w:ascii="Arial" w:hAnsi="Arial" w:cs="Arial"/>
        </w:rPr>
        <w:t xml:space="preserve">which is in keeping with </w:t>
      </w:r>
      <w:r w:rsidR="00B16A16" w:rsidRPr="00FB49B7">
        <w:rPr>
          <w:rFonts w:ascii="Arial" w:hAnsi="Arial" w:cs="Arial"/>
        </w:rPr>
        <w:t xml:space="preserve">15% </w:t>
      </w:r>
      <w:r w:rsidR="00B16A16">
        <w:rPr>
          <w:rFonts w:ascii="Arial" w:hAnsi="Arial" w:cs="Arial"/>
        </w:rPr>
        <w:t xml:space="preserve">in our cohort </w:t>
      </w:r>
      <w:r w:rsidR="00B16A16">
        <w:rPr>
          <w:rFonts w:ascii="Arial" w:hAnsi="Arial" w:cs="Arial"/>
        </w:rPr>
        <w:fldChar w:fldCharType="begin"/>
      </w:r>
      <w:r w:rsidR="00B16A16">
        <w:rPr>
          <w:rFonts w:ascii="Arial" w:hAnsi="Arial" w:cs="Arial"/>
        </w:rPr>
        <w:instrText xml:space="preserve"> ADDIN EN.CITE &lt;EndNote&gt;&lt;Cite&gt;&lt;Author&gt;Ladhani&lt;/Author&gt;&lt;Year&gt;2013&lt;/Year&gt;&lt;RecNum&gt;4&lt;/RecNum&gt;&lt;DisplayText&gt;[5]&lt;/DisplayText&gt;&lt;record&gt;&lt;rec-number&gt;4&lt;/rec-number&gt;&lt;foreign-keys&gt;&lt;key app="EN" db-id="rxxppfvvjfas5yeas2cx599btv52trewxvr5" timestamp="1473771021"&gt;4&lt;/key&gt;&lt;/foreign-keys&gt;&lt;ref-type name="Journal Article"&gt;17&lt;/ref-type&gt;&lt;contributors&gt;&lt;authors&gt;&lt;author&gt;Ladhani, Shamez N.&lt;/author&gt;&lt;author&gt;Slack, Mary P. E.&lt;/author&gt;&lt;author&gt;Andrews, Nick J.&lt;/author&gt;&lt;author&gt;Waight, Pauline A.&lt;/author&gt;&lt;author&gt;Borrow, Ray&lt;/author&gt;&lt;author&gt;Miller, Elizabeth&lt;/author&gt;&lt;/authors&gt;&lt;/contributors&gt;&lt;auth-address&gt;Immunisation Department, Health Protection Agency Colindale, London, UK. shamez.ladhani@hpa.org.uk&lt;/auth-address&gt;&lt;titles&gt;&lt;title&gt;Invasive pneumococcal disease after routine pneumococcal conjugate vaccination in children, England and Wales&lt;/title&gt;&lt;secondary-title&gt;Emerging infectious diseases&lt;/secondary-title&gt;&lt;alt-title&gt;Emerg Infect Dis&lt;/alt-title&gt;&lt;/titles&gt;&lt;periodical&gt;&lt;full-title&gt;Emerging infectious diseases&lt;/full-title&gt;&lt;abbr-1&gt;Emerg Infect Dis&lt;/abbr-1&gt;&lt;/periodical&gt;&lt;alt-periodical&gt;&lt;full-title&gt;Emerging infectious diseases&lt;/full-title&gt;&lt;abbr-1&gt;Emerg Infect Dis&lt;/abbr-1&gt;&lt;/alt-periodical&gt;&lt;pages&gt;61-68&lt;/pages&gt;&lt;volume&gt;19&lt;/volume&gt;&lt;number&gt;1&lt;/number&gt;&lt;dates&gt;&lt;year&gt;2013&lt;/year&gt;&lt;pub-dates&gt;&lt;date&gt;2013/01//&lt;/date&gt;&lt;/pub-dates&gt;&lt;/dates&gt;&lt;isbn&gt;1080-6040&lt;/isbn&gt;&lt;accession-num&gt;23259937&lt;/accession-num&gt;&lt;urls&gt;&lt;related-urls&gt;&lt;url&gt;http://europepmc.org/abstract/MED/23259937&lt;/url&gt;&lt;url&gt;http://europepmc.org/articles/PMC3557991?pdf=render&lt;/url&gt;&lt;url&gt;http://europepmc.org/articles/PMC3557991&lt;/url&gt;&lt;url&gt;http://www.pubmedcentral.nih.gov/picrender.fcgi?tool=EBI&amp;amp;pubmedid=23259937&amp;amp;action=stream&amp;amp;blobtype=pdf&lt;/url&gt;&lt;url&gt;http://www.pubmedcentral.nih.gov/articlerender.fcgi?tool=EBI&amp;amp;pubmedid=23259937&lt;/url&gt;&lt;url&gt;http://dx.doi.org/10.3201/eid1901.120741&lt;/url&gt;&lt;/related-urls&gt;&lt;/urls&gt;&lt;electronic-resource-num&gt;10.3201/eid1901.120741&lt;/electronic-resource-num&gt;&lt;remote-database-name&gt;PubMed&lt;/remote-database-name&gt;&lt;language&gt;eng&lt;/language&gt;&lt;/record&gt;&lt;/Cite&gt;&lt;/EndNote&gt;</w:instrText>
      </w:r>
      <w:r w:rsidR="00B16A16">
        <w:rPr>
          <w:rFonts w:ascii="Arial" w:hAnsi="Arial" w:cs="Arial"/>
        </w:rPr>
        <w:fldChar w:fldCharType="separate"/>
      </w:r>
      <w:r w:rsidR="00B16A16">
        <w:rPr>
          <w:rFonts w:ascii="Arial" w:hAnsi="Arial" w:cs="Arial"/>
          <w:noProof/>
        </w:rPr>
        <w:t>[5]</w:t>
      </w:r>
      <w:r w:rsidR="00B16A16">
        <w:rPr>
          <w:rFonts w:ascii="Arial" w:hAnsi="Arial" w:cs="Arial"/>
        </w:rPr>
        <w:fldChar w:fldCharType="end"/>
      </w:r>
      <w:r w:rsidR="00B16A16">
        <w:rPr>
          <w:rFonts w:ascii="Arial" w:hAnsi="Arial" w:cs="Arial"/>
        </w:rPr>
        <w:t xml:space="preserve">, with </w:t>
      </w:r>
      <w:r w:rsidR="00B16A16" w:rsidRPr="00FB49B7">
        <w:rPr>
          <w:rFonts w:ascii="Arial" w:hAnsi="Arial" w:cs="Arial"/>
        </w:rPr>
        <w:t xml:space="preserve">immunosuppression – </w:t>
      </w:r>
      <w:r w:rsidR="00B16A16">
        <w:rPr>
          <w:rFonts w:ascii="Arial" w:hAnsi="Arial" w:cs="Arial"/>
        </w:rPr>
        <w:t xml:space="preserve">mainly </w:t>
      </w:r>
      <w:r w:rsidR="00B16A16" w:rsidRPr="00FB49B7">
        <w:rPr>
          <w:rFonts w:ascii="Arial" w:hAnsi="Arial" w:cs="Arial"/>
        </w:rPr>
        <w:t xml:space="preserve">malignancy – </w:t>
      </w:r>
      <w:r w:rsidR="00B16A16">
        <w:rPr>
          <w:rFonts w:ascii="Arial" w:hAnsi="Arial" w:cs="Arial"/>
        </w:rPr>
        <w:t>and cardiac conditions predominating</w:t>
      </w:r>
      <w:r w:rsidR="00B16A16" w:rsidRPr="00FB49B7">
        <w:rPr>
          <w:rFonts w:ascii="Arial" w:hAnsi="Arial" w:cs="Arial"/>
        </w:rPr>
        <w:t xml:space="preserve">. </w:t>
      </w:r>
    </w:p>
    <w:p w14:paraId="311CE1B6" w14:textId="1977BB00" w:rsidR="002A63D4" w:rsidRDefault="00D023DB" w:rsidP="00D474C8">
      <w:pPr>
        <w:widowControl w:val="0"/>
        <w:tabs>
          <w:tab w:val="left" w:pos="220"/>
          <w:tab w:val="left" w:pos="720"/>
        </w:tabs>
        <w:autoSpaceDE w:val="0"/>
        <w:autoSpaceDN w:val="0"/>
        <w:adjustRightInd w:val="0"/>
        <w:spacing w:line="480" w:lineRule="auto"/>
        <w:rPr>
          <w:rFonts w:ascii="Arial" w:hAnsi="Arial" w:cs="Arial"/>
        </w:rPr>
      </w:pPr>
      <w:r>
        <w:rPr>
          <w:rFonts w:ascii="Arial" w:hAnsi="Arial" w:cs="Arial"/>
        </w:rPr>
        <w:t xml:space="preserve">After </w:t>
      </w:r>
      <w:r w:rsidR="009D2795" w:rsidRPr="00FB49B7">
        <w:rPr>
          <w:rFonts w:ascii="Arial" w:hAnsi="Arial" w:cs="Arial"/>
        </w:rPr>
        <w:t xml:space="preserve">PCV13 </w:t>
      </w:r>
      <w:r>
        <w:rPr>
          <w:rFonts w:ascii="Arial" w:hAnsi="Arial" w:cs="Arial"/>
        </w:rPr>
        <w:t>introduction</w:t>
      </w:r>
      <w:r w:rsidR="009D2795" w:rsidRPr="00FB49B7">
        <w:rPr>
          <w:rFonts w:ascii="Arial" w:hAnsi="Arial" w:cs="Arial"/>
        </w:rPr>
        <w:t>, serotype 3 was over-represented</w:t>
      </w:r>
      <w:r>
        <w:rPr>
          <w:rFonts w:ascii="Arial" w:hAnsi="Arial" w:cs="Arial"/>
        </w:rPr>
        <w:t xml:space="preserve"> among </w:t>
      </w:r>
      <w:r w:rsidR="00555048">
        <w:rPr>
          <w:rFonts w:ascii="Arial" w:hAnsi="Arial" w:cs="Arial"/>
        </w:rPr>
        <w:t>vaccine</w:t>
      </w:r>
      <w:r>
        <w:rPr>
          <w:rFonts w:ascii="Arial" w:hAnsi="Arial" w:cs="Arial"/>
        </w:rPr>
        <w:t xml:space="preserve"> failures</w:t>
      </w:r>
      <w:r w:rsidR="001E6544" w:rsidRPr="00FB49B7">
        <w:rPr>
          <w:rFonts w:ascii="Arial" w:hAnsi="Arial" w:cs="Arial"/>
        </w:rPr>
        <w:t xml:space="preserve">. </w:t>
      </w:r>
      <w:r w:rsidR="007D755F">
        <w:rPr>
          <w:rFonts w:ascii="Arial" w:hAnsi="Arial" w:cs="Arial"/>
        </w:rPr>
        <w:t>L</w:t>
      </w:r>
      <w:r w:rsidR="009D2795" w:rsidRPr="00FB49B7">
        <w:rPr>
          <w:rFonts w:ascii="Arial" w:hAnsi="Arial" w:cs="Arial"/>
        </w:rPr>
        <w:t xml:space="preserve">ow vaccine effectiveness </w:t>
      </w:r>
      <w:r w:rsidR="001E6544" w:rsidRPr="00FB49B7">
        <w:rPr>
          <w:rFonts w:ascii="Arial" w:hAnsi="Arial" w:cs="Arial"/>
        </w:rPr>
        <w:t xml:space="preserve">for this serotype </w:t>
      </w:r>
      <w:r w:rsidR="007F4830">
        <w:rPr>
          <w:rFonts w:ascii="Arial" w:hAnsi="Arial" w:cs="Arial"/>
        </w:rPr>
        <w:t>has been</w:t>
      </w:r>
      <w:r w:rsidR="0099110C">
        <w:rPr>
          <w:rFonts w:ascii="Arial" w:hAnsi="Arial" w:cs="Arial"/>
        </w:rPr>
        <w:t xml:space="preserve"> reported </w:t>
      </w:r>
      <w:r w:rsidR="009D2795" w:rsidRPr="00FB49B7">
        <w:rPr>
          <w:rFonts w:ascii="Arial" w:hAnsi="Arial" w:cs="Arial"/>
        </w:rPr>
        <w:t>in England and Wales</w:t>
      </w:r>
      <w:r>
        <w:rPr>
          <w:rFonts w:ascii="Arial" w:hAnsi="Arial" w:cs="Arial"/>
        </w:rPr>
        <w:t xml:space="preserve"> </w:t>
      </w:r>
      <w:r w:rsidR="00D03F6E">
        <w:rPr>
          <w:rFonts w:ascii="Arial" w:hAnsi="Arial" w:cs="Arial"/>
        </w:rPr>
        <w:fldChar w:fldCharType="begin"/>
      </w:r>
      <w:r w:rsidR="00D40C16">
        <w:rPr>
          <w:rFonts w:ascii="Arial" w:hAnsi="Arial" w:cs="Arial"/>
        </w:rPr>
        <w:instrText xml:space="preserve"> ADDIN EN.CITE &lt;EndNote&gt;&lt;Cite&gt;&lt;Author&gt;Andrews&lt;/Author&gt;&lt;Year&gt;2014&lt;/Year&gt;&lt;RecNum&gt;11&lt;/RecNum&gt;&lt;DisplayText&gt;[14]&lt;/DisplayText&gt;&lt;record&gt;&lt;rec-number&gt;11&lt;/rec-number&gt;&lt;foreign-keys&gt;&lt;key app="EN" db-id="w9ttzze5rv9rz0e0s0rxzzxeav225d0x0sfp" timestamp="1445607805"&gt;11&lt;/key&gt;&lt;/foreign-keys&gt;&lt;ref-type name="Journal Article"&gt;17&lt;/ref-type&gt;&lt;contributors&gt;&lt;authors&gt;&lt;author&gt;Andrews, Nick J.&lt;/author&gt;&lt;author&gt;Waight, Pauline A.&lt;/author&gt;&lt;author&gt;Burbidge, Polly&lt;/author&gt;&lt;author&gt;Pearce, Emma&lt;/author&gt;&lt;author&gt;Roalfe, Lucy&lt;/author&gt;&lt;author&gt;Zancolli, Marta&lt;/author&gt;&lt;author&gt;Slack, Mary&lt;/author&gt;&lt;author&gt;Ladhani, Shamez N.&lt;/author&gt;&lt;author&gt;Miller, Elizabeth&lt;/author&gt;&lt;author&gt;Goldblatt, David&lt;/author&gt;&lt;/authors&gt;&lt;/contributors&gt;&lt;auth-address&gt;Statistics, Modelling, and Economics Department, Health Protection Services, Public Health England, London, UK.&lt;/auth-address&gt;&lt;titles&gt;&lt;title&gt;Serotype-specific effectiveness and correlates of protection for the 13-valent pneumococcal conjugate vaccine: a postlicensure indirect cohort study&lt;/title&gt;&lt;secondary-title&gt;The Lancet. Infectious diseases&lt;/secondary-title&gt;&lt;alt-title&gt;Lancet Infect Dis&lt;/alt-title&gt;&lt;/titles&gt;&lt;periodical&gt;&lt;full-title&gt;The Lancet. Infectious diseases&lt;/full-title&gt;&lt;abbr-1&gt;Lancet Infect Dis&lt;/abbr-1&gt;&lt;/periodical&gt;&lt;alt-periodical&gt;&lt;full-title&gt;The Lancet. Infectious diseases&lt;/full-title&gt;&lt;abbr-1&gt;Lancet Infect Dis&lt;/abbr-1&gt;&lt;/alt-periodical&gt;&lt;pages&gt;839-846&lt;/pages&gt;&lt;volume&gt;14&lt;/volume&gt;&lt;number&gt;9&lt;/number&gt;&lt;dates&gt;&lt;year&gt;2014&lt;/year&gt;&lt;pub-dates&gt;&lt;date&gt;2014/09//&lt;/date&gt;&lt;/pub-dates&gt;&lt;/dates&gt;&lt;isbn&gt;1473-3099&lt;/isbn&gt;&lt;accession-num&gt;25042756&lt;/accession-num&gt;&lt;urls&gt;&lt;related-urls&gt;&lt;url&gt;http://europepmc.org/abstract/MED/25042756&lt;/url&gt;&lt;url&gt;http://dx.doi.org/10.1016/S1473-3099(14)70822-9&lt;/url&gt;&lt;/related-urls&gt;&lt;/urls&gt;&lt;electronic-resource-num&gt;10.1016/s1473-3099(14)70822-9&lt;/electronic-resource-num&gt;&lt;remote-database-name&gt;PubMed&lt;/remote-database-name&gt;&lt;language&gt;eng&lt;/language&gt;&lt;/record&gt;&lt;/Cite&gt;&lt;/EndNote&gt;</w:instrText>
      </w:r>
      <w:r w:rsidR="00D03F6E">
        <w:rPr>
          <w:rFonts w:ascii="Arial" w:hAnsi="Arial" w:cs="Arial"/>
        </w:rPr>
        <w:fldChar w:fldCharType="separate"/>
      </w:r>
      <w:r w:rsidR="00D40C16">
        <w:rPr>
          <w:rFonts w:ascii="Arial" w:hAnsi="Arial" w:cs="Arial"/>
          <w:noProof/>
        </w:rPr>
        <w:t>[14]</w:t>
      </w:r>
      <w:r w:rsidR="00D03F6E">
        <w:rPr>
          <w:rFonts w:ascii="Arial" w:hAnsi="Arial" w:cs="Arial"/>
        </w:rPr>
        <w:fldChar w:fldCharType="end"/>
      </w:r>
      <w:r>
        <w:rPr>
          <w:rFonts w:ascii="Arial" w:hAnsi="Arial" w:cs="Arial"/>
        </w:rPr>
        <w:t>,</w:t>
      </w:r>
      <w:r w:rsidR="009D2795" w:rsidRPr="00FB49B7">
        <w:rPr>
          <w:rFonts w:ascii="Arial" w:hAnsi="Arial" w:cs="Arial"/>
        </w:rPr>
        <w:t xml:space="preserve"> although some protection was observed in the United States</w:t>
      </w:r>
      <w:r w:rsidR="00555048">
        <w:rPr>
          <w:rFonts w:ascii="Arial" w:hAnsi="Arial" w:cs="Arial"/>
        </w:rPr>
        <w:t xml:space="preserve"> </w:t>
      </w:r>
      <w:r w:rsidR="00D03F6E">
        <w:rPr>
          <w:rFonts w:ascii="Arial" w:hAnsi="Arial" w:cs="Arial"/>
        </w:rPr>
        <w:fldChar w:fldCharType="begin">
          <w:fldData xml:space="preserve">PEVuZE5vdGU+PENpdGU+PEF1dGhvcj5Nb29yZTwvQXV0aG9yPjxZZWFyPjIwMTU8L1llYXI+PFJl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</w:fldData>
        </w:fldChar>
      </w:r>
      <w:r w:rsidR="00D40C16">
        <w:rPr>
          <w:rFonts w:ascii="Arial" w:hAnsi="Arial" w:cs="Arial"/>
        </w:rPr>
        <w:instrText xml:space="preserve"> ADDIN EN.CITE </w:instrText>
      </w:r>
      <w:r w:rsidR="00D40C16">
        <w:rPr>
          <w:rFonts w:ascii="Arial" w:hAnsi="Arial" w:cs="Arial"/>
        </w:rPr>
        <w:fldChar w:fldCharType="begin">
          <w:fldData xml:space="preserve">PEVuZE5vdGU+PENpdGU+PEF1dGhvcj5Nb29yZTwvQXV0aG9yPjxZZWFyPjIwMTU8L1llYXI+PFJl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</w:fldData>
        </w:fldChar>
      </w:r>
      <w:r w:rsidR="00D40C16">
        <w:rPr>
          <w:rFonts w:ascii="Arial" w:hAnsi="Arial" w:cs="Arial"/>
        </w:rPr>
        <w:instrText xml:space="preserve"> ADDIN EN.CITE.DATA </w:instrText>
      </w:r>
      <w:r w:rsidR="00D40C16">
        <w:rPr>
          <w:rFonts w:ascii="Arial" w:hAnsi="Arial" w:cs="Arial"/>
        </w:rPr>
      </w:r>
      <w:r w:rsidR="00D40C16">
        <w:rPr>
          <w:rFonts w:ascii="Arial" w:hAnsi="Arial" w:cs="Arial"/>
        </w:rPr>
        <w:fldChar w:fldCharType="end"/>
      </w:r>
      <w:r w:rsidR="00D03F6E">
        <w:rPr>
          <w:rFonts w:ascii="Arial" w:hAnsi="Arial" w:cs="Arial"/>
        </w:rPr>
      </w:r>
      <w:r w:rsidR="00D03F6E">
        <w:rPr>
          <w:rFonts w:ascii="Arial" w:hAnsi="Arial" w:cs="Arial"/>
        </w:rPr>
        <w:fldChar w:fldCharType="separate"/>
      </w:r>
      <w:r w:rsidR="00D40C16">
        <w:rPr>
          <w:rFonts w:ascii="Arial" w:hAnsi="Arial" w:cs="Arial"/>
          <w:noProof/>
        </w:rPr>
        <w:t>[15]</w:t>
      </w:r>
      <w:r w:rsidR="00D03F6E">
        <w:rPr>
          <w:rFonts w:ascii="Arial" w:hAnsi="Arial" w:cs="Arial"/>
        </w:rPr>
        <w:fldChar w:fldCharType="end"/>
      </w:r>
      <w:r>
        <w:rPr>
          <w:rFonts w:ascii="Arial" w:hAnsi="Arial" w:cs="Arial"/>
        </w:rPr>
        <w:t>.</w:t>
      </w:r>
      <w:r w:rsidR="009D2795" w:rsidRPr="00FB49B7">
        <w:rPr>
          <w:rFonts w:ascii="Arial" w:hAnsi="Arial" w:cs="Arial"/>
        </w:rPr>
        <w:t xml:space="preserve"> </w:t>
      </w:r>
      <w:r w:rsidR="008B3AA0">
        <w:rPr>
          <w:rFonts w:ascii="Arial" w:hAnsi="Arial" w:cs="Arial"/>
        </w:rPr>
        <w:t>In infants, s</w:t>
      </w:r>
      <w:r w:rsidR="009D2795" w:rsidRPr="00FB49B7">
        <w:rPr>
          <w:rFonts w:ascii="Arial" w:hAnsi="Arial" w:cs="Arial"/>
        </w:rPr>
        <w:t>erotype 3</w:t>
      </w:r>
      <w:r w:rsidR="008B3AA0">
        <w:rPr>
          <w:rFonts w:ascii="Arial" w:hAnsi="Arial" w:cs="Arial"/>
        </w:rPr>
        <w:t xml:space="preserve"> elicited the lowest post-</w:t>
      </w:r>
      <w:r w:rsidR="002A63D4">
        <w:rPr>
          <w:rFonts w:ascii="Arial" w:hAnsi="Arial" w:cs="Arial"/>
        </w:rPr>
        <w:t xml:space="preserve">primary and </w:t>
      </w:r>
      <w:r w:rsidR="008B3AA0">
        <w:rPr>
          <w:rFonts w:ascii="Arial" w:hAnsi="Arial" w:cs="Arial"/>
        </w:rPr>
        <w:t>post-</w:t>
      </w:r>
      <w:r w:rsidR="002A63D4">
        <w:rPr>
          <w:rFonts w:ascii="Arial" w:hAnsi="Arial" w:cs="Arial"/>
        </w:rPr>
        <w:t xml:space="preserve">booster </w:t>
      </w:r>
      <w:r w:rsidR="008B3AA0">
        <w:rPr>
          <w:rFonts w:ascii="Arial" w:hAnsi="Arial" w:cs="Arial"/>
        </w:rPr>
        <w:t>antibody responses of the additional PCV13 serotypes</w:t>
      </w:r>
      <w:r w:rsidR="007C14E8">
        <w:rPr>
          <w:rFonts w:ascii="Arial" w:hAnsi="Arial" w:cs="Arial"/>
        </w:rPr>
        <w:t xml:space="preserve"> </w:t>
      </w:r>
      <w:r w:rsidR="00D40C16">
        <w:rPr>
          <w:rFonts w:ascii="Arial" w:hAnsi="Arial" w:cs="Arial"/>
        </w:rPr>
        <w:fldChar w:fldCharType="begin">
          <w:fldData xml:space="preserve">PEVuZE5vdGU+PENpdGU+PEF1dGhvcj5TbmFwZTwvQXV0aG9yPjxZZWFyPjIwMTA8L1llYXI+PFJl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</w:fldData>
        </w:fldChar>
      </w:r>
      <w:r w:rsidR="00D40C16">
        <w:rPr>
          <w:rFonts w:ascii="Arial" w:hAnsi="Arial" w:cs="Arial"/>
        </w:rPr>
        <w:instrText xml:space="preserve"> ADDIN EN.CITE </w:instrText>
      </w:r>
      <w:r w:rsidR="00D40C16">
        <w:rPr>
          <w:rFonts w:ascii="Arial" w:hAnsi="Arial" w:cs="Arial"/>
        </w:rPr>
        <w:fldChar w:fldCharType="begin">
          <w:fldData xml:space="preserve">PEVuZE5vdGU+PENpdGU+PEF1dGhvcj5TbmFwZTwvQXV0aG9yPjxZZWFyPjIwMTA8L1llYXI+PFJl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</w:fldData>
        </w:fldChar>
      </w:r>
      <w:r w:rsidR="00D40C16">
        <w:rPr>
          <w:rFonts w:ascii="Arial" w:hAnsi="Arial" w:cs="Arial"/>
        </w:rPr>
        <w:instrText xml:space="preserve"> ADDIN EN.CITE.DATA </w:instrText>
      </w:r>
      <w:r w:rsidR="00D40C16">
        <w:rPr>
          <w:rFonts w:ascii="Arial" w:hAnsi="Arial" w:cs="Arial"/>
        </w:rPr>
      </w:r>
      <w:r w:rsidR="00D40C16">
        <w:rPr>
          <w:rFonts w:ascii="Arial" w:hAnsi="Arial" w:cs="Arial"/>
        </w:rPr>
        <w:fldChar w:fldCharType="end"/>
      </w:r>
      <w:r w:rsidR="00D40C16">
        <w:rPr>
          <w:rFonts w:ascii="Arial" w:hAnsi="Arial" w:cs="Arial"/>
        </w:rPr>
      </w:r>
      <w:r w:rsidR="00D40C16">
        <w:rPr>
          <w:rFonts w:ascii="Arial" w:hAnsi="Arial" w:cs="Arial"/>
        </w:rPr>
        <w:fldChar w:fldCharType="separate"/>
      </w:r>
      <w:r w:rsidR="00D40C16">
        <w:rPr>
          <w:rFonts w:ascii="Arial" w:hAnsi="Arial" w:cs="Arial"/>
          <w:noProof/>
        </w:rPr>
        <w:t>[16]</w:t>
      </w:r>
      <w:r w:rsidR="00D40C16">
        <w:rPr>
          <w:rFonts w:ascii="Arial" w:hAnsi="Arial" w:cs="Arial"/>
        </w:rPr>
        <w:fldChar w:fldCharType="end"/>
      </w:r>
      <w:r w:rsidR="008B3AA0">
        <w:rPr>
          <w:rFonts w:ascii="Arial" w:hAnsi="Arial" w:cs="Arial"/>
        </w:rPr>
        <w:t xml:space="preserve">. </w:t>
      </w:r>
      <w:r w:rsidR="003E5848">
        <w:rPr>
          <w:rFonts w:ascii="Arial" w:hAnsi="Arial" w:cs="Arial"/>
        </w:rPr>
        <w:t xml:space="preserve">It is estimated that very </w:t>
      </w:r>
      <w:r w:rsidR="009D2795" w:rsidRPr="00FB49B7">
        <w:rPr>
          <w:rFonts w:ascii="Arial" w:hAnsi="Arial" w:cs="Arial"/>
        </w:rPr>
        <w:t xml:space="preserve">higher serum IgG </w:t>
      </w:r>
      <w:r w:rsidR="001E6544" w:rsidRPr="00FB49B7">
        <w:rPr>
          <w:rFonts w:ascii="Arial" w:hAnsi="Arial" w:cs="Arial"/>
        </w:rPr>
        <w:t>concentration</w:t>
      </w:r>
      <w:r w:rsidR="003E5848">
        <w:rPr>
          <w:rFonts w:ascii="Arial" w:hAnsi="Arial" w:cs="Arial"/>
        </w:rPr>
        <w:t>s</w:t>
      </w:r>
      <w:r w:rsidR="001E6544" w:rsidRPr="00FB49B7">
        <w:rPr>
          <w:rFonts w:ascii="Arial" w:hAnsi="Arial" w:cs="Arial"/>
        </w:rPr>
        <w:t xml:space="preserve"> </w:t>
      </w:r>
      <w:r w:rsidR="003E5848">
        <w:rPr>
          <w:rFonts w:ascii="Arial" w:hAnsi="Arial" w:cs="Arial"/>
        </w:rPr>
        <w:t>(&gt;</w:t>
      </w:r>
      <w:r w:rsidR="009D2795" w:rsidRPr="00FB49B7">
        <w:rPr>
          <w:rFonts w:ascii="Arial" w:hAnsi="Arial" w:cs="Arial"/>
        </w:rPr>
        <w:t>2.83 µg/mL</w:t>
      </w:r>
      <w:r w:rsidR="003E5848">
        <w:rPr>
          <w:rFonts w:ascii="Arial" w:hAnsi="Arial" w:cs="Arial"/>
        </w:rPr>
        <w:t>)</w:t>
      </w:r>
      <w:r w:rsidR="009D2795" w:rsidRPr="00FB49B7">
        <w:rPr>
          <w:rFonts w:ascii="Arial" w:hAnsi="Arial" w:cs="Arial"/>
        </w:rPr>
        <w:t xml:space="preserve"> </w:t>
      </w:r>
      <w:r w:rsidR="003E5848">
        <w:rPr>
          <w:rFonts w:ascii="Arial" w:hAnsi="Arial" w:cs="Arial"/>
        </w:rPr>
        <w:t xml:space="preserve">are required for </w:t>
      </w:r>
      <w:r w:rsidR="00810577">
        <w:rPr>
          <w:rFonts w:ascii="Arial" w:hAnsi="Arial" w:cs="Arial"/>
        </w:rPr>
        <w:t xml:space="preserve">protect </w:t>
      </w:r>
      <w:r w:rsidR="009D2795" w:rsidRPr="00FB49B7">
        <w:rPr>
          <w:rFonts w:ascii="Arial" w:hAnsi="Arial" w:cs="Arial"/>
        </w:rPr>
        <w:t>against disease compared to the internationally</w:t>
      </w:r>
      <w:r w:rsidR="003E5848">
        <w:rPr>
          <w:rFonts w:ascii="Arial" w:hAnsi="Arial" w:cs="Arial"/>
        </w:rPr>
        <w:t>-</w:t>
      </w:r>
      <w:r w:rsidR="009D2795" w:rsidRPr="00FB49B7">
        <w:rPr>
          <w:rFonts w:ascii="Arial" w:hAnsi="Arial" w:cs="Arial"/>
        </w:rPr>
        <w:t>accepted threshold of 0.35 µg/mL</w:t>
      </w:r>
      <w:r>
        <w:rPr>
          <w:rFonts w:ascii="Arial" w:hAnsi="Arial" w:cs="Arial"/>
        </w:rPr>
        <w:t xml:space="preserve"> </w:t>
      </w:r>
      <w:r w:rsidR="00D03F6E">
        <w:rPr>
          <w:rFonts w:ascii="Arial" w:hAnsi="Arial" w:cs="Arial"/>
        </w:rPr>
        <w:fldChar w:fldCharType="begin"/>
      </w:r>
      <w:r w:rsidR="00D40C16">
        <w:rPr>
          <w:rFonts w:ascii="Arial" w:hAnsi="Arial" w:cs="Arial"/>
        </w:rPr>
        <w:instrText xml:space="preserve"> ADDIN EN.CITE &lt;EndNote&gt;&lt;Cite&gt;&lt;Author&gt;Andrews&lt;/Author&gt;&lt;Year&gt;2014&lt;/Year&gt;&lt;RecNum&gt;11&lt;/RecNum&gt;&lt;DisplayText&gt;[14]&lt;/DisplayText&gt;&lt;record&gt;&lt;rec-number&gt;11&lt;/rec-number&gt;&lt;foreign-keys&gt;&lt;key app="EN" db-id="w9ttzze5rv9rz0e0s0rxzzxeav225d0x0sfp" timestamp="1445607805"&gt;11&lt;/key&gt;&lt;/foreign-keys&gt;&lt;ref-type name="Journal Article"&gt;17&lt;/ref-type&gt;&lt;contributors&gt;&lt;authors&gt;&lt;author&gt;Andrews, Nick J.&lt;/author&gt;&lt;author&gt;Waight, Pauline A.&lt;/author&gt;&lt;author&gt;Burbidge, Polly&lt;/author&gt;&lt;author&gt;Pearce, Emma&lt;/author&gt;&lt;author&gt;Roalfe, Lucy&lt;/author&gt;&lt;author&gt;Zancolli, Marta&lt;/author&gt;&lt;author&gt;Slack, Mary&lt;/author&gt;&lt;author&gt;Ladhani, Shamez N.&lt;/author&gt;&lt;author&gt;Miller, Elizabeth&lt;/author&gt;&lt;author&gt;Goldblatt, David&lt;/author&gt;&lt;/authors&gt;&lt;/contributors&gt;&lt;auth-address&gt;Statistics, Modelling, and Economics Department, Health Protection Services, Public Health England, London, UK.&lt;/auth-address&gt;&lt;titles&gt;&lt;title&gt;Serotype-specific effectiveness and correlates of protection for the 13-valent pneumococcal conjugate vaccine: a postlicensure indirect cohort study&lt;/title&gt;&lt;secondary-title&gt;The Lancet. Infectious diseases&lt;/secondary-title&gt;&lt;alt-title&gt;Lancet Infect Dis&lt;/alt-title&gt;&lt;/titles&gt;&lt;periodical&gt;&lt;full-title&gt;The Lancet. Infectious diseases&lt;/full-title&gt;&lt;abbr-1&gt;Lancet Infect Dis&lt;/abbr-1&gt;&lt;/periodical&gt;&lt;alt-periodical&gt;&lt;full-title&gt;The Lancet. Infectious diseases&lt;/full-title&gt;&lt;abbr-1&gt;Lancet Infect Dis&lt;/abbr-1&gt;&lt;/alt-periodical&gt;&lt;pages&gt;839-846&lt;/pages&gt;&lt;volume&gt;14&lt;/volume&gt;&lt;number&gt;9&lt;/number&gt;&lt;dates&gt;&lt;year&gt;2014&lt;/year&gt;&lt;pub-dates&gt;&lt;date&gt;2014/09//&lt;/date&gt;&lt;/pub-dates&gt;&lt;/dates&gt;&lt;isbn&gt;1473-3099&lt;/isbn&gt;&lt;accession-num&gt;25042756&lt;/accession-num&gt;&lt;urls&gt;&lt;related-urls&gt;&lt;url&gt;http://europepmc.org/abstract/MED/25042756&lt;/url&gt;&lt;url&gt;http://dx.doi.org/10.1016/S1473-3099(14)70822-9&lt;/url&gt;&lt;/related-urls&gt;&lt;/urls&gt;&lt;electronic-resource-num&gt;10.1016/s1473-3099(14)70822-9&lt;/electronic-resource-num&gt;&lt;remote-database-name&gt;PubMed&lt;/remote-database-name&gt;&lt;language&gt;eng&lt;/language&gt;&lt;/record&gt;&lt;/Cite&gt;&lt;/EndNote&gt;</w:instrText>
      </w:r>
      <w:r w:rsidR="00D03F6E">
        <w:rPr>
          <w:rFonts w:ascii="Arial" w:hAnsi="Arial" w:cs="Arial"/>
        </w:rPr>
        <w:fldChar w:fldCharType="separate"/>
      </w:r>
      <w:r w:rsidR="00D40C16">
        <w:rPr>
          <w:rFonts w:ascii="Arial" w:hAnsi="Arial" w:cs="Arial"/>
          <w:noProof/>
        </w:rPr>
        <w:t>[14]</w:t>
      </w:r>
      <w:r w:rsidR="00D03F6E">
        <w:rPr>
          <w:rFonts w:ascii="Arial" w:hAnsi="Arial" w:cs="Arial"/>
        </w:rPr>
        <w:fldChar w:fldCharType="end"/>
      </w:r>
      <w:r w:rsidR="0095200F">
        <w:rPr>
          <w:rFonts w:ascii="Arial" w:hAnsi="Arial" w:cs="Arial"/>
        </w:rPr>
        <w:t xml:space="preserve">, which </w:t>
      </w:r>
      <w:r w:rsidR="009D2795" w:rsidRPr="00FB49B7">
        <w:rPr>
          <w:rFonts w:ascii="Arial" w:hAnsi="Arial" w:cs="Arial"/>
        </w:rPr>
        <w:t>are rar</w:t>
      </w:r>
      <w:r w:rsidR="001E6544" w:rsidRPr="00FB49B7">
        <w:rPr>
          <w:rFonts w:ascii="Arial" w:hAnsi="Arial" w:cs="Arial"/>
        </w:rPr>
        <w:t>ely attained</w:t>
      </w:r>
      <w:r w:rsidR="008542B1">
        <w:rPr>
          <w:rFonts w:ascii="Arial" w:hAnsi="Arial" w:cs="Arial"/>
        </w:rPr>
        <w:t xml:space="preserve"> </w:t>
      </w:r>
      <w:r w:rsidR="008542B1" w:rsidRPr="00FB49B7">
        <w:rPr>
          <w:rFonts w:ascii="Arial" w:hAnsi="Arial" w:cs="Arial"/>
        </w:rPr>
        <w:t xml:space="preserve">after </w:t>
      </w:r>
      <w:r w:rsidR="0095200F">
        <w:rPr>
          <w:rFonts w:ascii="Arial" w:hAnsi="Arial" w:cs="Arial"/>
        </w:rPr>
        <w:t xml:space="preserve">vaccination </w:t>
      </w:r>
      <w:r w:rsidR="00D03F6E">
        <w:rPr>
          <w:rFonts w:ascii="Arial" w:hAnsi="Arial" w:cs="Arial"/>
        </w:rPr>
        <w:fldChar w:fldCharType="begin">
          <w:fldData xml:space="preserve">PEVuZE5vdGU+PENpdGU+PEF1dGhvcj5TbmFwZTwvQXV0aG9yPjxZZWFyPjIwMTA8L1llYXI+PFJl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</w:fldData>
        </w:fldChar>
      </w:r>
      <w:r w:rsidR="00D40C16">
        <w:rPr>
          <w:rFonts w:ascii="Arial" w:hAnsi="Arial" w:cs="Arial"/>
        </w:rPr>
        <w:instrText xml:space="preserve"> ADDIN EN.CITE </w:instrText>
      </w:r>
      <w:r w:rsidR="00D40C16">
        <w:rPr>
          <w:rFonts w:ascii="Arial" w:hAnsi="Arial" w:cs="Arial"/>
        </w:rPr>
        <w:fldChar w:fldCharType="begin">
          <w:fldData xml:space="preserve">PEVuZE5vdGU+PENpdGU+PEF1dGhvcj5TbmFwZTwvQXV0aG9yPjxZZWFyPjIwMTA8L1llYXI+PFJl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</w:fldData>
        </w:fldChar>
      </w:r>
      <w:r w:rsidR="00D40C16">
        <w:rPr>
          <w:rFonts w:ascii="Arial" w:hAnsi="Arial" w:cs="Arial"/>
        </w:rPr>
        <w:instrText xml:space="preserve"> ADDIN EN.CITE.DATA </w:instrText>
      </w:r>
      <w:r w:rsidR="00D40C16">
        <w:rPr>
          <w:rFonts w:ascii="Arial" w:hAnsi="Arial" w:cs="Arial"/>
        </w:rPr>
      </w:r>
      <w:r w:rsidR="00D40C16">
        <w:rPr>
          <w:rFonts w:ascii="Arial" w:hAnsi="Arial" w:cs="Arial"/>
        </w:rPr>
        <w:fldChar w:fldCharType="end"/>
      </w:r>
      <w:r w:rsidR="00D03F6E">
        <w:rPr>
          <w:rFonts w:ascii="Arial" w:hAnsi="Arial" w:cs="Arial"/>
        </w:rPr>
      </w:r>
      <w:r w:rsidR="00D03F6E">
        <w:rPr>
          <w:rFonts w:ascii="Arial" w:hAnsi="Arial" w:cs="Arial"/>
        </w:rPr>
        <w:fldChar w:fldCharType="separate"/>
      </w:r>
      <w:r w:rsidR="00D40C16">
        <w:rPr>
          <w:rFonts w:ascii="Arial" w:hAnsi="Arial" w:cs="Arial"/>
          <w:noProof/>
        </w:rPr>
        <w:t>[16]</w:t>
      </w:r>
      <w:r w:rsidR="00D03F6E">
        <w:rPr>
          <w:rFonts w:ascii="Arial" w:hAnsi="Arial" w:cs="Arial"/>
        </w:rPr>
        <w:fldChar w:fldCharType="end"/>
      </w:r>
      <w:r>
        <w:rPr>
          <w:rFonts w:ascii="Arial" w:hAnsi="Arial" w:cs="Arial"/>
        </w:rPr>
        <w:t>.</w:t>
      </w:r>
      <w:r w:rsidR="001E6544" w:rsidRPr="00FB49B7">
        <w:rPr>
          <w:rFonts w:ascii="Arial" w:hAnsi="Arial" w:cs="Arial"/>
        </w:rPr>
        <w:t xml:space="preserve"> </w:t>
      </w:r>
      <w:r w:rsidR="008B3AA0">
        <w:rPr>
          <w:rFonts w:ascii="Arial" w:hAnsi="Arial" w:cs="Arial"/>
        </w:rPr>
        <w:t>On the other hand, although serotype 19A is immunogenic in infants</w:t>
      </w:r>
      <w:r w:rsidR="007C14E8">
        <w:rPr>
          <w:rFonts w:ascii="Arial" w:hAnsi="Arial" w:cs="Arial"/>
        </w:rPr>
        <w:t xml:space="preserve"> </w:t>
      </w:r>
      <w:r w:rsidR="00D40C16">
        <w:rPr>
          <w:rFonts w:ascii="Arial" w:hAnsi="Arial" w:cs="Arial"/>
        </w:rPr>
        <w:fldChar w:fldCharType="begin">
          <w:fldData xml:space="preserve">PEVuZE5vdGU+PENpdGU+PEF1dGhvcj5TbmFwZTwvQXV0aG9yPjxZZWFyPjIwMTA8L1llYXI+PFJl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</w:fldData>
        </w:fldChar>
      </w:r>
      <w:r w:rsidR="00D40C16">
        <w:rPr>
          <w:rFonts w:ascii="Arial" w:hAnsi="Arial" w:cs="Arial"/>
        </w:rPr>
        <w:instrText xml:space="preserve"> ADDIN EN.CITE </w:instrText>
      </w:r>
      <w:r w:rsidR="00D40C16">
        <w:rPr>
          <w:rFonts w:ascii="Arial" w:hAnsi="Arial" w:cs="Arial"/>
        </w:rPr>
        <w:fldChar w:fldCharType="begin">
          <w:fldData xml:space="preserve">PEVuZE5vdGU+PENpdGU+PEF1dGhvcj5TbmFwZTwvQXV0aG9yPjxZZWFyPjIwMTA8L1llYXI+PFJl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</w:fldData>
        </w:fldChar>
      </w:r>
      <w:r w:rsidR="00D40C16">
        <w:rPr>
          <w:rFonts w:ascii="Arial" w:hAnsi="Arial" w:cs="Arial"/>
        </w:rPr>
        <w:instrText xml:space="preserve"> ADDIN EN.CITE.DATA </w:instrText>
      </w:r>
      <w:r w:rsidR="00D40C16">
        <w:rPr>
          <w:rFonts w:ascii="Arial" w:hAnsi="Arial" w:cs="Arial"/>
        </w:rPr>
      </w:r>
      <w:r w:rsidR="00D40C16">
        <w:rPr>
          <w:rFonts w:ascii="Arial" w:hAnsi="Arial" w:cs="Arial"/>
        </w:rPr>
        <w:fldChar w:fldCharType="end"/>
      </w:r>
      <w:r w:rsidR="00D40C16">
        <w:rPr>
          <w:rFonts w:ascii="Arial" w:hAnsi="Arial" w:cs="Arial"/>
        </w:rPr>
      </w:r>
      <w:r w:rsidR="00D40C16">
        <w:rPr>
          <w:rFonts w:ascii="Arial" w:hAnsi="Arial" w:cs="Arial"/>
        </w:rPr>
        <w:fldChar w:fldCharType="separate"/>
      </w:r>
      <w:r w:rsidR="00D40C16">
        <w:rPr>
          <w:rFonts w:ascii="Arial" w:hAnsi="Arial" w:cs="Arial"/>
          <w:noProof/>
        </w:rPr>
        <w:t>[16]</w:t>
      </w:r>
      <w:r w:rsidR="00D40C16">
        <w:rPr>
          <w:rFonts w:ascii="Arial" w:hAnsi="Arial" w:cs="Arial"/>
        </w:rPr>
        <w:fldChar w:fldCharType="end"/>
      </w:r>
      <w:r w:rsidR="008B3AA0">
        <w:rPr>
          <w:rFonts w:ascii="Arial" w:hAnsi="Arial" w:cs="Arial"/>
        </w:rPr>
        <w:t xml:space="preserve">, vaccine effectiveness against this serotype has been poor (62% after two infant doses, 67% after three doses including the 12-month booster). A higher correlate for protection </w:t>
      </w:r>
      <w:r w:rsidR="009D65E1">
        <w:rPr>
          <w:rFonts w:ascii="Arial" w:hAnsi="Arial" w:cs="Arial"/>
        </w:rPr>
        <w:t>(&gt;</w:t>
      </w:r>
      <w:r w:rsidR="008B3AA0">
        <w:rPr>
          <w:rFonts w:ascii="Arial" w:hAnsi="Arial" w:cs="Arial"/>
        </w:rPr>
        <w:t xml:space="preserve">1.0 </w:t>
      </w:r>
      <w:r w:rsidR="008B3AA0" w:rsidRPr="00FB49B7">
        <w:rPr>
          <w:rFonts w:ascii="Arial" w:hAnsi="Arial" w:cs="Arial"/>
        </w:rPr>
        <w:t>µg/mL</w:t>
      </w:r>
      <w:r w:rsidR="008B3AA0">
        <w:rPr>
          <w:rFonts w:ascii="Arial" w:hAnsi="Arial" w:cs="Arial"/>
        </w:rPr>
        <w:t xml:space="preserve">) has also been estimated for this serotype </w:t>
      </w:r>
      <w:r w:rsidR="008B3AA0">
        <w:rPr>
          <w:rFonts w:ascii="Arial" w:hAnsi="Arial" w:cs="Arial"/>
        </w:rPr>
        <w:fldChar w:fldCharType="begin"/>
      </w:r>
      <w:r w:rsidR="00D40C16">
        <w:rPr>
          <w:rFonts w:ascii="Arial" w:hAnsi="Arial" w:cs="Arial"/>
        </w:rPr>
        <w:instrText xml:space="preserve"> ADDIN EN.CITE &lt;EndNote&gt;&lt;Cite&gt;&lt;Author&gt;Andrews&lt;/Author&gt;&lt;Year&gt;2014&lt;/Year&gt;&lt;RecNum&gt;11&lt;/RecNum&gt;&lt;DisplayText&gt;[14]&lt;/DisplayText&gt;&lt;record&gt;&lt;rec-number&gt;11&lt;/rec-number&gt;&lt;foreign-keys&gt;&lt;key app="EN" db-id="w9ttzze5rv9rz0e0s0rxzzxeav225d0x0sfp" timestamp="1445607805"&gt;11&lt;/key&gt;&lt;/foreign-keys&gt;&lt;ref-type name="Journal Article"&gt;17&lt;/ref-type&gt;&lt;contributors&gt;&lt;authors&gt;&lt;author&gt;Andrews, Nick J.&lt;/author&gt;&lt;author&gt;Waight, Pauline A.&lt;/author&gt;&lt;author&gt;Burbidge, Polly&lt;/author&gt;&lt;author&gt;Pearce, Emma&lt;/author&gt;&lt;author&gt;Roalfe, Lucy&lt;/author&gt;&lt;author&gt;Zancolli, Marta&lt;/author&gt;&lt;author&gt;Slack, Mary&lt;/author&gt;&lt;author&gt;Ladhani, Shamez N.&lt;/author&gt;&lt;author&gt;Miller, Elizabeth&lt;/author&gt;&lt;author&gt;Goldblatt, David&lt;/author&gt;&lt;/authors&gt;&lt;/contributors&gt;&lt;auth-address&gt;Statistics, Modelling, and Economics Department, Health Protection Services, Public Health England, London, UK.&lt;/auth-address&gt;&lt;titles&gt;&lt;title&gt;Serotype-specific effectiveness and correlates of protection for the 13-valent pneumococcal conjugate vaccine: a postlicensure indirect cohort study&lt;/title&gt;&lt;secondary-title&gt;The Lancet. Infectious diseases&lt;/secondary-title&gt;&lt;alt-title&gt;Lancet Infect Dis&lt;/alt-title&gt;&lt;/titles&gt;&lt;periodical&gt;&lt;full-title&gt;The Lancet. Infectious diseases&lt;/full-title&gt;&lt;abbr-1&gt;Lancet Infect Dis&lt;/abbr-1&gt;&lt;/periodical&gt;&lt;alt-periodical&gt;&lt;full-title&gt;The Lancet. Infectious diseases&lt;/full-title&gt;&lt;abbr-1&gt;Lancet Infect Dis&lt;/abbr-1&gt;&lt;/alt-periodical&gt;&lt;pages&gt;839-846&lt;/pages&gt;&lt;volume&gt;14&lt;/volume&gt;&lt;number&gt;9&lt;/number&gt;&lt;dates&gt;&lt;year&gt;2014&lt;/year&gt;&lt;pub-dates&gt;&lt;date&gt;2014/09//&lt;/date&gt;&lt;/pub-dates&gt;&lt;/dates&gt;&lt;isbn&gt;1473-3099&lt;/isbn&gt;&lt;accession-num&gt;25042756&lt;/accession-num&gt;&lt;urls&gt;&lt;related-urls&gt;&lt;url&gt;http://europepmc.org/abstract/MED/25042756&lt;/url&gt;&lt;url&gt;http://dx.doi.org/10.1016/S1473-3099(14)70822-9&lt;/url&gt;&lt;/related-urls&gt;&lt;/urls&gt;&lt;electronic-resource-num&gt;10.1016/s1473-3099(14)70822-9&lt;/electronic-resource-num&gt;&lt;remote-database-name&gt;PubMed&lt;/remote-database-name&gt;&lt;language&gt;eng&lt;/language&gt;&lt;/record&gt;&lt;/Cite&gt;&lt;/EndNote&gt;</w:instrText>
      </w:r>
      <w:r w:rsidR="008B3AA0">
        <w:rPr>
          <w:rFonts w:ascii="Arial" w:hAnsi="Arial" w:cs="Arial"/>
        </w:rPr>
        <w:fldChar w:fldCharType="separate"/>
      </w:r>
      <w:r w:rsidR="00D40C16">
        <w:rPr>
          <w:rFonts w:ascii="Arial" w:hAnsi="Arial" w:cs="Arial"/>
          <w:noProof/>
        </w:rPr>
        <w:t>[14]</w:t>
      </w:r>
      <w:r w:rsidR="008B3AA0">
        <w:rPr>
          <w:rFonts w:ascii="Arial" w:hAnsi="Arial" w:cs="Arial"/>
        </w:rPr>
        <w:fldChar w:fldCharType="end"/>
      </w:r>
      <w:r w:rsidR="008B3AA0">
        <w:rPr>
          <w:rFonts w:ascii="Arial" w:hAnsi="Arial" w:cs="Arial"/>
        </w:rPr>
        <w:t xml:space="preserve">. </w:t>
      </w:r>
    </w:p>
    <w:p w14:paraId="3C0BC534" w14:textId="77777777" w:rsidR="00D505D9" w:rsidRPr="00FB49B7" w:rsidRDefault="00D505D9" w:rsidP="00D474C8">
      <w:pPr>
        <w:spacing w:line="480" w:lineRule="auto"/>
        <w:rPr>
          <w:rFonts w:ascii="Arial" w:hAnsi="Arial" w:cs="Arial"/>
        </w:rPr>
      </w:pPr>
      <w:r>
        <w:rPr>
          <w:rFonts w:ascii="Arial" w:hAnsi="Arial" w:cs="Arial"/>
        </w:rPr>
        <w:t>In our cohort, the clustering of serotype 19A vaccine failure cases around the first birthday may indicate waning immunity</w:t>
      </w:r>
      <w:r w:rsidR="001455FB">
        <w:rPr>
          <w:rFonts w:ascii="Arial" w:hAnsi="Arial" w:cs="Arial"/>
        </w:rPr>
        <w:t xml:space="preserve"> after two infant priming doses</w:t>
      </w:r>
      <w:r>
        <w:rPr>
          <w:rFonts w:ascii="Arial" w:hAnsi="Arial" w:cs="Arial"/>
        </w:rPr>
        <w:t>, but this was not observed for any other serotype. Whether a</w:t>
      </w:r>
      <w:r w:rsidRPr="00FB49B7">
        <w:rPr>
          <w:rFonts w:ascii="Arial" w:hAnsi="Arial" w:cs="Arial"/>
        </w:rPr>
        <w:t xml:space="preserve"> three-dose priming schedule </w:t>
      </w:r>
      <w:r>
        <w:rPr>
          <w:rFonts w:ascii="Arial" w:hAnsi="Arial" w:cs="Arial"/>
        </w:rPr>
        <w:t xml:space="preserve">might reduce vaccine failure rates </w:t>
      </w:r>
      <w:r w:rsidR="00425133">
        <w:rPr>
          <w:rFonts w:ascii="Arial" w:hAnsi="Arial" w:cs="Arial"/>
        </w:rPr>
        <w:t xml:space="preserve">before the 12-month booster </w:t>
      </w:r>
      <w:r w:rsidRPr="00FB49B7">
        <w:rPr>
          <w:rFonts w:ascii="Arial" w:hAnsi="Arial" w:cs="Arial"/>
        </w:rPr>
        <w:t>by inducing higher post-primary immunisation antibody concentrations</w:t>
      </w:r>
      <w:r>
        <w:rPr>
          <w:rFonts w:ascii="Arial" w:hAnsi="Arial" w:cs="Arial"/>
        </w:rPr>
        <w:t xml:space="preserve"> is questionable</w:t>
      </w:r>
      <w:r w:rsidRPr="00FB49B7">
        <w:rPr>
          <w:rFonts w:ascii="Arial" w:hAnsi="Arial" w:cs="Arial"/>
        </w:rPr>
        <w:t xml:space="preserve">, but this would involve an additional ~700,000 doses to prevent </w:t>
      </w:r>
      <w:r w:rsidR="001455FB">
        <w:rPr>
          <w:rFonts w:ascii="Arial" w:hAnsi="Arial" w:cs="Arial"/>
        </w:rPr>
        <w:t xml:space="preserve">around </w:t>
      </w:r>
      <w:r w:rsidRPr="00FB49B7">
        <w:rPr>
          <w:rFonts w:ascii="Arial" w:hAnsi="Arial" w:cs="Arial"/>
        </w:rPr>
        <w:t>eight vaccine failure cases</w:t>
      </w:r>
      <w:r>
        <w:rPr>
          <w:rFonts w:ascii="Arial" w:hAnsi="Arial" w:cs="Arial"/>
        </w:rPr>
        <w:t>,</w:t>
      </w:r>
      <w:r w:rsidRPr="00FB49B7">
        <w:rPr>
          <w:rFonts w:ascii="Arial" w:hAnsi="Arial" w:cs="Arial"/>
        </w:rPr>
        <w:t xml:space="preserve"> annually. </w:t>
      </w:r>
    </w:p>
    <w:p w14:paraId="2A993DAC" w14:textId="77777777" w:rsidR="00D505D9" w:rsidRDefault="001455FB" w:rsidP="00D474C8">
      <w:pPr>
        <w:spacing w:line="480" w:lineRule="auto"/>
        <w:rPr>
          <w:rFonts w:ascii="Arial" w:hAnsi="Arial" w:cs="Arial"/>
        </w:rPr>
      </w:pPr>
      <w:r>
        <w:rPr>
          <w:rFonts w:ascii="Arial" w:hAnsi="Arial" w:cs="Arial"/>
        </w:rPr>
        <w:t xml:space="preserve">On the other hand, </w:t>
      </w:r>
      <w:r w:rsidR="00425133">
        <w:rPr>
          <w:rFonts w:ascii="Arial" w:hAnsi="Arial" w:cs="Arial"/>
        </w:rPr>
        <w:t xml:space="preserve">the </w:t>
      </w:r>
      <w:r w:rsidR="00D505D9">
        <w:rPr>
          <w:rFonts w:ascii="Arial" w:hAnsi="Arial" w:cs="Arial"/>
        </w:rPr>
        <w:t xml:space="preserve">vaccine failure cases </w:t>
      </w:r>
      <w:r>
        <w:rPr>
          <w:rFonts w:ascii="Arial" w:hAnsi="Arial" w:cs="Arial"/>
        </w:rPr>
        <w:t xml:space="preserve">diagnosed </w:t>
      </w:r>
      <w:r w:rsidR="00D505D9">
        <w:rPr>
          <w:rFonts w:ascii="Arial" w:hAnsi="Arial" w:cs="Arial"/>
        </w:rPr>
        <w:t xml:space="preserve">after 12 months of age in </w:t>
      </w:r>
      <w:r>
        <w:rPr>
          <w:rFonts w:ascii="Arial" w:hAnsi="Arial" w:cs="Arial"/>
        </w:rPr>
        <w:t xml:space="preserve">this same group </w:t>
      </w:r>
      <w:r w:rsidR="00D505D9">
        <w:rPr>
          <w:rFonts w:ascii="Arial" w:hAnsi="Arial" w:cs="Arial"/>
        </w:rPr>
        <w:t>highlights the importance of timely immunisation, especially for the booster dose</w:t>
      </w:r>
      <w:r w:rsidR="00425133">
        <w:rPr>
          <w:rFonts w:ascii="Arial" w:hAnsi="Arial" w:cs="Arial"/>
        </w:rPr>
        <w:t xml:space="preserve">. This dose is critical not only for </w:t>
      </w:r>
      <w:r w:rsidR="00D505D9">
        <w:rPr>
          <w:rFonts w:ascii="Arial" w:hAnsi="Arial" w:cs="Arial"/>
        </w:rPr>
        <w:t xml:space="preserve">individual protection but also to maintain herd protection through reduction in carriage. </w:t>
      </w:r>
    </w:p>
    <w:p w14:paraId="53DFCAE5" w14:textId="77777777" w:rsidR="00D505D9" w:rsidRPr="00FB49B7" w:rsidRDefault="00D505D9" w:rsidP="00D474C8">
      <w:pPr>
        <w:spacing w:line="480" w:lineRule="auto"/>
        <w:rPr>
          <w:rFonts w:ascii="Arial" w:hAnsi="Arial" w:cs="Arial"/>
        </w:rPr>
      </w:pPr>
      <w:r w:rsidRPr="00FB49B7">
        <w:rPr>
          <w:rFonts w:ascii="Arial" w:hAnsi="Arial" w:cs="Arial"/>
        </w:rPr>
        <w:t xml:space="preserve">Another </w:t>
      </w:r>
      <w:r>
        <w:rPr>
          <w:rFonts w:ascii="Arial" w:hAnsi="Arial" w:cs="Arial"/>
        </w:rPr>
        <w:t xml:space="preserve">contributing </w:t>
      </w:r>
      <w:r w:rsidRPr="00FB49B7">
        <w:rPr>
          <w:rFonts w:ascii="Arial" w:hAnsi="Arial" w:cs="Arial"/>
        </w:rPr>
        <w:t>factor was the single PCV dose from 12-months of age in the initial PCV7 catch-up campaign and among those who received PCV7-PCV7-PCV13</w:t>
      </w:r>
      <w:r>
        <w:rPr>
          <w:rFonts w:ascii="Arial" w:hAnsi="Arial" w:cs="Arial"/>
        </w:rPr>
        <w:t>,</w:t>
      </w:r>
      <w:r w:rsidRPr="00FB49B7">
        <w:rPr>
          <w:rFonts w:ascii="Arial" w:hAnsi="Arial" w:cs="Arial"/>
        </w:rPr>
        <w:t xml:space="preserve"> when the latter vaccine was introduced. Here, two PCV doses from 12 months of age doses </w:t>
      </w:r>
      <w:r>
        <w:rPr>
          <w:rFonts w:ascii="Arial" w:hAnsi="Arial" w:cs="Arial"/>
        </w:rPr>
        <w:t xml:space="preserve">might </w:t>
      </w:r>
      <w:r w:rsidRPr="00FB49B7">
        <w:rPr>
          <w:rFonts w:ascii="Arial" w:hAnsi="Arial" w:cs="Arial"/>
        </w:rPr>
        <w:t xml:space="preserve">have reduced vaccine failure </w:t>
      </w:r>
      <w:r>
        <w:rPr>
          <w:rFonts w:ascii="Arial" w:hAnsi="Arial" w:cs="Arial"/>
        </w:rPr>
        <w:t xml:space="preserve">rates </w:t>
      </w:r>
      <w:r w:rsidRPr="00FB49B7">
        <w:rPr>
          <w:rFonts w:ascii="Arial" w:hAnsi="Arial" w:cs="Arial"/>
        </w:rPr>
        <w:t xml:space="preserve">but would have involved additional vaccination and immunisation visits </w:t>
      </w:r>
      <w:r>
        <w:rPr>
          <w:rFonts w:ascii="Arial" w:hAnsi="Arial" w:cs="Arial"/>
        </w:rPr>
        <w:t xml:space="preserve">during the catch-up campaign </w:t>
      </w:r>
      <w:r w:rsidRPr="00FB49B7">
        <w:rPr>
          <w:rFonts w:ascii="Arial" w:hAnsi="Arial" w:cs="Arial"/>
        </w:rPr>
        <w:t xml:space="preserve">to prevent very few vaccine failure cases annually. </w:t>
      </w:r>
    </w:p>
    <w:p w14:paraId="4B77A41C" w14:textId="2A717E84" w:rsidR="00EC61A4" w:rsidRDefault="001A1E44" w:rsidP="00D474C8">
      <w:pPr>
        <w:widowControl w:val="0"/>
        <w:tabs>
          <w:tab w:val="left" w:pos="220"/>
          <w:tab w:val="left" w:pos="720"/>
        </w:tabs>
        <w:autoSpaceDE w:val="0"/>
        <w:autoSpaceDN w:val="0"/>
        <w:adjustRightInd w:val="0"/>
        <w:spacing w:line="480" w:lineRule="auto"/>
        <w:rPr>
          <w:rFonts w:ascii="Arial" w:hAnsi="Arial" w:cs="Arial"/>
        </w:rPr>
      </w:pPr>
      <w:r>
        <w:rPr>
          <w:rFonts w:ascii="Arial" w:hAnsi="Arial" w:cs="Arial"/>
        </w:rPr>
        <w:t>C</w:t>
      </w:r>
      <w:r w:rsidR="009D2795" w:rsidRPr="00FB49B7">
        <w:rPr>
          <w:rFonts w:ascii="Arial" w:hAnsi="Arial" w:cs="Arial"/>
        </w:rPr>
        <w:t>omparison of PCV7 with PCV13 vaccine failure cases identified several important differences.</w:t>
      </w:r>
      <w:r w:rsidR="00372A0D" w:rsidRPr="00FB49B7">
        <w:rPr>
          <w:rFonts w:ascii="Arial" w:hAnsi="Arial" w:cs="Arial"/>
        </w:rPr>
        <w:t xml:space="preserve"> C</w:t>
      </w:r>
      <w:r w:rsidR="009D2795" w:rsidRPr="00FB49B7">
        <w:rPr>
          <w:rFonts w:ascii="Arial" w:hAnsi="Arial" w:cs="Arial"/>
        </w:rPr>
        <w:t xml:space="preserve">hildren with PCV13 failure were more likely to be healthy and develop LRTI. </w:t>
      </w:r>
      <w:r w:rsidR="006C7E8A">
        <w:rPr>
          <w:rFonts w:ascii="Arial" w:hAnsi="Arial" w:cs="Arial"/>
        </w:rPr>
        <w:t>D</w:t>
      </w:r>
      <w:r w:rsidR="00506F96">
        <w:rPr>
          <w:rFonts w:ascii="Arial" w:hAnsi="Arial" w:cs="Arial"/>
        </w:rPr>
        <w:t>uring 2006-2010 (a</w:t>
      </w:r>
      <w:r w:rsidR="009D2795" w:rsidRPr="00FB49B7">
        <w:rPr>
          <w:rFonts w:ascii="Arial" w:hAnsi="Arial" w:cs="Arial"/>
        </w:rPr>
        <w:t xml:space="preserve">fter </w:t>
      </w:r>
      <w:r w:rsidR="00372A0D" w:rsidRPr="00FB49B7">
        <w:rPr>
          <w:rFonts w:ascii="Arial" w:hAnsi="Arial" w:cs="Arial"/>
        </w:rPr>
        <w:t xml:space="preserve">PCV7 </w:t>
      </w:r>
      <w:r w:rsidR="009D2795" w:rsidRPr="00FB49B7">
        <w:rPr>
          <w:rFonts w:ascii="Arial" w:hAnsi="Arial" w:cs="Arial"/>
        </w:rPr>
        <w:t>introduction and before replacement with PCV13</w:t>
      </w:r>
      <w:r w:rsidR="00506F96">
        <w:rPr>
          <w:rFonts w:ascii="Arial" w:hAnsi="Arial" w:cs="Arial"/>
        </w:rPr>
        <w:t>)</w:t>
      </w:r>
      <w:r w:rsidR="009D2795" w:rsidRPr="00FB49B7">
        <w:rPr>
          <w:rFonts w:ascii="Arial" w:hAnsi="Arial" w:cs="Arial"/>
        </w:rPr>
        <w:t xml:space="preserve">, </w:t>
      </w:r>
      <w:r w:rsidR="002909B5">
        <w:rPr>
          <w:rFonts w:ascii="Arial" w:hAnsi="Arial" w:cs="Arial"/>
        </w:rPr>
        <w:t xml:space="preserve">we reported </w:t>
      </w:r>
      <w:r w:rsidR="006C7E8A">
        <w:rPr>
          <w:rFonts w:ascii="Arial" w:hAnsi="Arial" w:cs="Arial"/>
        </w:rPr>
        <w:t xml:space="preserve">higher </w:t>
      </w:r>
      <w:r w:rsidR="00506F96">
        <w:rPr>
          <w:rFonts w:ascii="Arial" w:hAnsi="Arial" w:cs="Arial"/>
        </w:rPr>
        <w:t>co-morbidity prevale</w:t>
      </w:r>
      <w:r w:rsidR="006C7E8A">
        <w:rPr>
          <w:rFonts w:ascii="Arial" w:hAnsi="Arial" w:cs="Arial"/>
        </w:rPr>
        <w:t>nce</w:t>
      </w:r>
      <w:r w:rsidR="00506F96">
        <w:rPr>
          <w:rFonts w:ascii="Arial" w:hAnsi="Arial" w:cs="Arial"/>
        </w:rPr>
        <w:t xml:space="preserve"> among children with PCV7</w:t>
      </w:r>
      <w:r w:rsidR="006C7E8A">
        <w:rPr>
          <w:rFonts w:ascii="Arial" w:hAnsi="Arial" w:cs="Arial"/>
        </w:rPr>
        <w:t>-</w:t>
      </w:r>
      <w:r w:rsidR="00506F96">
        <w:rPr>
          <w:rFonts w:ascii="Arial" w:hAnsi="Arial" w:cs="Arial"/>
        </w:rPr>
        <w:t xml:space="preserve">failure compared with </w:t>
      </w:r>
      <w:r w:rsidR="00B96DB9">
        <w:rPr>
          <w:rFonts w:ascii="Arial" w:hAnsi="Arial" w:cs="Arial"/>
        </w:rPr>
        <w:t>c</w:t>
      </w:r>
      <w:r w:rsidR="00506F96">
        <w:rPr>
          <w:rFonts w:ascii="Arial" w:hAnsi="Arial" w:cs="Arial"/>
        </w:rPr>
        <w:t>ases</w:t>
      </w:r>
      <w:r w:rsidR="006C7E8A">
        <w:rPr>
          <w:rFonts w:ascii="Arial" w:hAnsi="Arial" w:cs="Arial"/>
        </w:rPr>
        <w:t xml:space="preserve"> </w:t>
      </w:r>
      <w:r w:rsidR="00B32D8D">
        <w:rPr>
          <w:rFonts w:ascii="Arial" w:hAnsi="Arial" w:cs="Arial"/>
        </w:rPr>
        <w:t xml:space="preserve">in unvaccinated children </w:t>
      </w:r>
      <w:r w:rsidR="006C7E8A">
        <w:rPr>
          <w:rFonts w:ascii="Arial" w:hAnsi="Arial" w:cs="Arial"/>
        </w:rPr>
        <w:t>due to the same serotypes</w:t>
      </w:r>
      <w:r w:rsidR="00506F96">
        <w:rPr>
          <w:rFonts w:ascii="Arial" w:hAnsi="Arial" w:cs="Arial"/>
        </w:rPr>
        <w:t xml:space="preserve">. Moreover, </w:t>
      </w:r>
      <w:r w:rsidR="00106BA0" w:rsidRPr="00FB49B7">
        <w:rPr>
          <w:rFonts w:ascii="Arial" w:hAnsi="Arial" w:cs="Arial"/>
        </w:rPr>
        <w:t>IPD due to the additional PCV13 serotypes</w:t>
      </w:r>
      <w:r w:rsidR="00106BA0">
        <w:rPr>
          <w:rFonts w:ascii="Arial" w:hAnsi="Arial" w:cs="Arial"/>
        </w:rPr>
        <w:t xml:space="preserve"> was associated with </w:t>
      </w:r>
      <w:r w:rsidR="009D2795" w:rsidRPr="00FB49B7">
        <w:rPr>
          <w:rFonts w:ascii="Arial" w:hAnsi="Arial" w:cs="Arial"/>
        </w:rPr>
        <w:t xml:space="preserve">lower comorbidity (17% vs. 40%) and higher LRTI (58% vs. 20%) </w:t>
      </w:r>
      <w:r w:rsidR="00372A0D" w:rsidRPr="00FB49B7">
        <w:rPr>
          <w:rFonts w:ascii="Arial" w:hAnsi="Arial" w:cs="Arial"/>
        </w:rPr>
        <w:t xml:space="preserve">prevalence </w:t>
      </w:r>
      <w:r w:rsidR="00106BA0">
        <w:rPr>
          <w:rFonts w:ascii="Arial" w:hAnsi="Arial" w:cs="Arial"/>
        </w:rPr>
        <w:t xml:space="preserve">when </w:t>
      </w:r>
      <w:r w:rsidR="00506F96">
        <w:rPr>
          <w:rFonts w:ascii="Arial" w:hAnsi="Arial" w:cs="Arial"/>
        </w:rPr>
        <w:t xml:space="preserve">compared to </w:t>
      </w:r>
      <w:r w:rsidR="00106BA0">
        <w:rPr>
          <w:rFonts w:ascii="Arial" w:hAnsi="Arial" w:cs="Arial"/>
        </w:rPr>
        <w:t xml:space="preserve">children with </w:t>
      </w:r>
      <w:r w:rsidR="00506F96">
        <w:rPr>
          <w:rFonts w:ascii="Arial" w:hAnsi="Arial" w:cs="Arial"/>
        </w:rPr>
        <w:t xml:space="preserve">PCV7-type IPD </w:t>
      </w:r>
      <w:r w:rsidR="00D03F6E">
        <w:rPr>
          <w:rFonts w:ascii="Arial" w:hAnsi="Arial" w:cs="Arial"/>
        </w:rPr>
        <w:fldChar w:fldCharType="begin"/>
      </w:r>
      <w:r w:rsidR="00082523">
        <w:rPr>
          <w:rFonts w:ascii="Arial" w:hAnsi="Arial" w:cs="Arial"/>
        </w:rPr>
        <w:instrText xml:space="preserve"> ADDIN EN.CITE &lt;EndNote&gt;&lt;Cite&gt;&lt;Author&gt;Ladhani&lt;/Author&gt;&lt;Year&gt;2013&lt;/Year&gt;&lt;RecNum&gt;4&lt;/RecNum&gt;&lt;DisplayText&gt;[5]&lt;/DisplayText&gt;&lt;record&gt;&lt;rec-number&gt;4&lt;/rec-number&gt;&lt;foreign-keys&gt;&lt;key app="EN" db-id="rxxppfvvjfas5yeas2cx599btv52trewxvr5" timestamp="1473771021"&gt;4&lt;/key&gt;&lt;/foreign-keys&gt;&lt;ref-type name="Journal Article"&gt;17&lt;/ref-type&gt;&lt;contributors&gt;&lt;authors&gt;&lt;author&gt;Ladhani, Shamez N.&lt;/author&gt;&lt;author&gt;Slack, Mary P. E.&lt;/author&gt;&lt;author&gt;Andrews, Nick J.&lt;/author&gt;&lt;author&gt;Waight, Pauline A.&lt;/author&gt;&lt;author&gt;Borrow, Ray&lt;/author&gt;&lt;author&gt;Miller, Elizabeth&lt;/author&gt;&lt;/authors&gt;&lt;/contributors&gt;&lt;auth-address&gt;Immunisation Department, Health Protection Agency Colindale, London, UK. shamez.ladhani@hpa.org.uk&lt;/auth-address&gt;&lt;titles&gt;&lt;title&gt;Invasive pneumococcal disease after routine pneumococcal conjugate vaccination in children, England and Wales&lt;/title&gt;&lt;secondary-title&gt;Emerging infectious diseases&lt;/secondary-title&gt;&lt;alt-title&gt;Emerg Infect Dis&lt;/alt-title&gt;&lt;/titles&gt;&lt;periodical&gt;&lt;full-title&gt;Emerging infectious diseases&lt;/full-title&gt;&lt;abbr-1&gt;Emerg Infect Dis&lt;/abbr-1&gt;&lt;/periodical&gt;&lt;alt-periodical&gt;&lt;full-title&gt;Emerging infectious diseases&lt;/full-title&gt;&lt;abbr-1&gt;Emerg Infect Dis&lt;/abbr-1&gt;&lt;/alt-periodical&gt;&lt;pages&gt;61-68&lt;/pages&gt;&lt;volume&gt;19&lt;/volume&gt;&lt;number&gt;1&lt;/number&gt;&lt;dates&gt;&lt;year&gt;2013&lt;/year&gt;&lt;pub-dates&gt;&lt;date&gt;2013/01//&lt;/date&gt;&lt;/pub-dates&gt;&lt;/dates&gt;&lt;isbn&gt;1080-6040&lt;/isbn&gt;&lt;accession-num&gt;23259937&lt;/accession-num&gt;&lt;urls&gt;&lt;related-urls&gt;&lt;url&gt;http://europepmc.org/abstract/MED/23259937&lt;/url&gt;&lt;url&gt;http://europepmc.org/articles/PMC3557991?pdf=render&lt;/url&gt;&lt;url&gt;http://europepmc.org/articles/PMC3557991&lt;/url&gt;&lt;url&gt;http://www.pubmedcentral.nih.gov/picrender.fcgi?tool=EBI&amp;amp;pubmedid=23259937&amp;amp;action=stream&amp;amp;blobtype=pdf&lt;/url&gt;&lt;url&gt;http://www.pubmedcentral.nih.gov/articlerender.fcgi?tool=EBI&amp;amp;pubmedid=23259937&lt;/url&gt;&lt;url&gt;http://dx.doi.org/10.3201/eid1901.120741&lt;/url&gt;&lt;/related-urls&gt;&lt;/urls&gt;&lt;electronic-resource-num&gt;10.3201/eid1901.120741&lt;/electronic-resource-num&gt;&lt;remote-database-name&gt;PubMed&lt;/remote-database-name&gt;&lt;language&gt;eng&lt;/language&gt;&lt;/record&gt;&lt;/Cite&gt;&lt;/EndNote&gt;</w:instrText>
      </w:r>
      <w:r w:rsidR="00D03F6E">
        <w:rPr>
          <w:rFonts w:ascii="Arial" w:hAnsi="Arial" w:cs="Arial"/>
        </w:rPr>
        <w:fldChar w:fldCharType="separate"/>
      </w:r>
      <w:r w:rsidR="00082523">
        <w:rPr>
          <w:rFonts w:ascii="Arial" w:hAnsi="Arial" w:cs="Arial"/>
          <w:noProof/>
        </w:rPr>
        <w:t>[5]</w:t>
      </w:r>
      <w:r w:rsidR="00D03F6E">
        <w:rPr>
          <w:rFonts w:ascii="Arial" w:hAnsi="Arial" w:cs="Arial"/>
        </w:rPr>
        <w:fldChar w:fldCharType="end"/>
      </w:r>
      <w:r w:rsidR="00803E6C">
        <w:rPr>
          <w:rFonts w:ascii="Arial" w:hAnsi="Arial" w:cs="Arial"/>
        </w:rPr>
        <w:t>.</w:t>
      </w:r>
      <w:r w:rsidR="00E26062" w:rsidRPr="00FB49B7">
        <w:rPr>
          <w:rFonts w:ascii="Arial" w:hAnsi="Arial" w:cs="Arial"/>
        </w:rPr>
        <w:t xml:space="preserve"> </w:t>
      </w:r>
      <w:r w:rsidR="00803E6C">
        <w:rPr>
          <w:rFonts w:ascii="Arial" w:hAnsi="Arial" w:cs="Arial"/>
        </w:rPr>
        <w:t xml:space="preserve">This pattern was also observed for </w:t>
      </w:r>
      <w:r w:rsidR="009D2795" w:rsidRPr="00FB49B7">
        <w:rPr>
          <w:rFonts w:ascii="Arial" w:hAnsi="Arial" w:cs="Arial"/>
        </w:rPr>
        <w:t>serotype 3 only</w:t>
      </w:r>
      <w:r w:rsidR="00803E6C">
        <w:rPr>
          <w:rFonts w:ascii="Arial" w:hAnsi="Arial" w:cs="Arial"/>
        </w:rPr>
        <w:t xml:space="preserve">, which </w:t>
      </w:r>
      <w:r w:rsidR="009D2795" w:rsidRPr="00FB49B7">
        <w:rPr>
          <w:rFonts w:ascii="Arial" w:hAnsi="Arial" w:cs="Arial"/>
        </w:rPr>
        <w:t xml:space="preserve">is responsible for a third of vaccine failure cases in </w:t>
      </w:r>
      <w:r w:rsidR="00106BA0">
        <w:rPr>
          <w:rFonts w:ascii="Arial" w:hAnsi="Arial" w:cs="Arial"/>
        </w:rPr>
        <w:t xml:space="preserve">our </w:t>
      </w:r>
      <w:r w:rsidR="009D2795" w:rsidRPr="00FB49B7">
        <w:rPr>
          <w:rFonts w:ascii="Arial" w:hAnsi="Arial" w:cs="Arial"/>
        </w:rPr>
        <w:t>PCV13 cohort</w:t>
      </w:r>
      <w:r w:rsidR="00372A0D" w:rsidRPr="00FB49B7">
        <w:rPr>
          <w:rFonts w:ascii="Arial" w:hAnsi="Arial" w:cs="Arial"/>
        </w:rPr>
        <w:t>.</w:t>
      </w:r>
      <w:r w:rsidR="00506F96">
        <w:rPr>
          <w:rFonts w:ascii="Arial" w:hAnsi="Arial" w:cs="Arial"/>
        </w:rPr>
        <w:t xml:space="preserve"> </w:t>
      </w:r>
      <w:r w:rsidR="00106BA0">
        <w:rPr>
          <w:rFonts w:ascii="Arial" w:hAnsi="Arial" w:cs="Arial"/>
        </w:rPr>
        <w:t xml:space="preserve">After PCV13 introduction, 19% of our </w:t>
      </w:r>
      <w:r w:rsidR="003577B9">
        <w:rPr>
          <w:rFonts w:ascii="Arial" w:hAnsi="Arial" w:cs="Arial"/>
        </w:rPr>
        <w:t xml:space="preserve">PCV13 failure </w:t>
      </w:r>
      <w:r w:rsidR="00106BA0">
        <w:rPr>
          <w:rFonts w:ascii="Arial" w:hAnsi="Arial" w:cs="Arial"/>
        </w:rPr>
        <w:t>cases had comorbidity</w:t>
      </w:r>
      <w:r w:rsidR="006D3174">
        <w:rPr>
          <w:rFonts w:ascii="Arial" w:hAnsi="Arial" w:cs="Arial"/>
        </w:rPr>
        <w:t xml:space="preserve">, </w:t>
      </w:r>
      <w:r w:rsidR="003577B9">
        <w:rPr>
          <w:rFonts w:ascii="Arial" w:hAnsi="Arial" w:cs="Arial"/>
        </w:rPr>
        <w:t xml:space="preserve">compared to </w:t>
      </w:r>
      <w:r w:rsidR="00106BA0">
        <w:rPr>
          <w:rFonts w:ascii="Arial" w:hAnsi="Arial" w:cs="Arial"/>
        </w:rPr>
        <w:t xml:space="preserve">9% among </w:t>
      </w:r>
      <w:r w:rsidR="00774E85">
        <w:rPr>
          <w:rFonts w:ascii="Arial" w:hAnsi="Arial" w:cs="Arial"/>
        </w:rPr>
        <w:t xml:space="preserve">unvaccinated </w:t>
      </w:r>
      <w:r w:rsidR="00D2694B">
        <w:rPr>
          <w:rFonts w:ascii="Arial" w:hAnsi="Arial" w:cs="Arial"/>
        </w:rPr>
        <w:t xml:space="preserve">children with </w:t>
      </w:r>
      <w:r w:rsidR="003577B9">
        <w:rPr>
          <w:rFonts w:ascii="Arial" w:hAnsi="Arial" w:cs="Arial"/>
        </w:rPr>
        <w:t xml:space="preserve">PCV13-type IPD prior to PCV13 </w:t>
      </w:r>
      <w:r w:rsidR="00774E85">
        <w:rPr>
          <w:rFonts w:ascii="Arial" w:hAnsi="Arial" w:cs="Arial"/>
        </w:rPr>
        <w:t>introduction</w:t>
      </w:r>
      <w:r w:rsidR="003577B9">
        <w:rPr>
          <w:rFonts w:ascii="Arial" w:hAnsi="Arial" w:cs="Arial"/>
        </w:rPr>
        <w:t>.</w:t>
      </w:r>
      <w:r w:rsidR="003577B9" w:rsidRPr="00543B8E">
        <w:rPr>
          <w:rFonts w:ascii="Arial" w:hAnsi="Arial" w:cs="Arial"/>
          <w:vertAlign w:val="superscript"/>
        </w:rPr>
        <w:t>5</w:t>
      </w:r>
      <w:r w:rsidR="006D3174">
        <w:rPr>
          <w:rFonts w:ascii="Arial" w:hAnsi="Arial" w:cs="Arial"/>
        </w:rPr>
        <w:t xml:space="preserve"> </w:t>
      </w:r>
      <w:r w:rsidR="00106BA0">
        <w:rPr>
          <w:rFonts w:ascii="Arial" w:hAnsi="Arial" w:cs="Arial"/>
        </w:rPr>
        <w:t xml:space="preserve">Any additional </w:t>
      </w:r>
      <w:r w:rsidR="00EC61A4">
        <w:rPr>
          <w:rFonts w:ascii="Arial" w:hAnsi="Arial" w:cs="Arial"/>
        </w:rPr>
        <w:t xml:space="preserve">benefit of </w:t>
      </w:r>
      <w:r w:rsidR="00106BA0">
        <w:rPr>
          <w:rFonts w:ascii="Arial" w:hAnsi="Arial" w:cs="Arial"/>
        </w:rPr>
        <w:t xml:space="preserve">offering extra </w:t>
      </w:r>
      <w:r w:rsidR="00EC61A4">
        <w:rPr>
          <w:rFonts w:ascii="Arial" w:hAnsi="Arial" w:cs="Arial"/>
        </w:rPr>
        <w:t xml:space="preserve">PCV13 doses </w:t>
      </w:r>
      <w:r w:rsidR="00106BA0">
        <w:rPr>
          <w:rFonts w:ascii="Arial" w:hAnsi="Arial" w:cs="Arial"/>
        </w:rPr>
        <w:t xml:space="preserve">to </w:t>
      </w:r>
      <w:r w:rsidR="00EC61A4">
        <w:rPr>
          <w:rFonts w:ascii="Arial" w:hAnsi="Arial" w:cs="Arial"/>
        </w:rPr>
        <w:t xml:space="preserve">children with comorbidities </w:t>
      </w:r>
      <w:r w:rsidR="00106BA0">
        <w:rPr>
          <w:rFonts w:ascii="Arial" w:hAnsi="Arial" w:cs="Arial"/>
        </w:rPr>
        <w:t xml:space="preserve">(e.g. using a 3+1 schedule) </w:t>
      </w:r>
      <w:r w:rsidR="00FC5ECA">
        <w:rPr>
          <w:rFonts w:ascii="Arial" w:hAnsi="Arial" w:cs="Arial"/>
        </w:rPr>
        <w:t xml:space="preserve">is </w:t>
      </w:r>
      <w:r w:rsidR="00EC61A4">
        <w:rPr>
          <w:rFonts w:ascii="Arial" w:hAnsi="Arial" w:cs="Arial"/>
        </w:rPr>
        <w:t xml:space="preserve">are likely to </w:t>
      </w:r>
      <w:r w:rsidR="00FC5ECA">
        <w:rPr>
          <w:rFonts w:ascii="Arial" w:hAnsi="Arial" w:cs="Arial"/>
        </w:rPr>
        <w:t>be negligible</w:t>
      </w:r>
      <w:r w:rsidR="00C069BD">
        <w:rPr>
          <w:rFonts w:ascii="Arial" w:hAnsi="Arial" w:cs="Arial"/>
        </w:rPr>
        <w:t xml:space="preserve"> given the small numbers </w:t>
      </w:r>
      <w:r w:rsidR="00106BA0">
        <w:rPr>
          <w:rFonts w:ascii="Arial" w:hAnsi="Arial" w:cs="Arial"/>
        </w:rPr>
        <w:t xml:space="preserve">of PCV13-failures </w:t>
      </w:r>
      <w:r w:rsidR="00C069BD">
        <w:rPr>
          <w:rFonts w:ascii="Arial" w:hAnsi="Arial" w:cs="Arial"/>
        </w:rPr>
        <w:t>overall (23 cases) and in those with co-morbidities (6</w:t>
      </w:r>
      <w:r w:rsidR="007752B7">
        <w:rPr>
          <w:rFonts w:ascii="Arial" w:hAnsi="Arial" w:cs="Arial"/>
        </w:rPr>
        <w:t xml:space="preserve"> cases</w:t>
      </w:r>
      <w:r w:rsidR="00EC61A4">
        <w:rPr>
          <w:rFonts w:ascii="Arial" w:hAnsi="Arial" w:cs="Arial"/>
        </w:rPr>
        <w:t>, including five in fully-immunised children)</w:t>
      </w:r>
      <w:r w:rsidR="007752B7">
        <w:rPr>
          <w:rFonts w:ascii="Arial" w:hAnsi="Arial" w:cs="Arial"/>
        </w:rPr>
        <w:t xml:space="preserve"> in 2013/14</w:t>
      </w:r>
      <w:r w:rsidR="00C069BD">
        <w:rPr>
          <w:rFonts w:ascii="Arial" w:hAnsi="Arial" w:cs="Arial"/>
        </w:rPr>
        <w:t>. Children with co-morbidities are also benefit</w:t>
      </w:r>
      <w:r w:rsidR="00106BA0">
        <w:rPr>
          <w:rFonts w:ascii="Arial" w:hAnsi="Arial" w:cs="Arial"/>
        </w:rPr>
        <w:t>ing</w:t>
      </w:r>
      <w:r w:rsidR="00C069BD">
        <w:rPr>
          <w:rFonts w:ascii="Arial" w:hAnsi="Arial" w:cs="Arial"/>
        </w:rPr>
        <w:t xml:space="preserve"> from the continuing indirect (herd) protection offered by the current pro</w:t>
      </w:r>
      <w:r w:rsidR="00A46BB0">
        <w:rPr>
          <w:rFonts w:ascii="Arial" w:hAnsi="Arial" w:cs="Arial"/>
        </w:rPr>
        <w:t>g</w:t>
      </w:r>
      <w:r w:rsidR="00C069BD">
        <w:rPr>
          <w:rFonts w:ascii="Arial" w:hAnsi="Arial" w:cs="Arial"/>
        </w:rPr>
        <w:t>ramme</w:t>
      </w:r>
    </w:p>
    <w:p w14:paraId="47DF95BF" w14:textId="77777777" w:rsidR="009D2795" w:rsidRPr="00CF1396" w:rsidRDefault="009D2795" w:rsidP="00D474C8">
      <w:pPr>
        <w:spacing w:before="120" w:line="480" w:lineRule="auto"/>
        <w:rPr>
          <w:rFonts w:ascii="Arial" w:hAnsi="Arial" w:cs="Arial"/>
          <w:b/>
          <w:sz w:val="24"/>
        </w:rPr>
      </w:pPr>
      <w:r w:rsidRPr="00CF1396">
        <w:rPr>
          <w:rFonts w:ascii="Arial" w:hAnsi="Arial" w:cs="Arial"/>
          <w:b/>
          <w:sz w:val="24"/>
        </w:rPr>
        <w:t>Clinical Implications</w:t>
      </w:r>
    </w:p>
    <w:p w14:paraId="6780967A" w14:textId="77777777" w:rsidR="00495D97" w:rsidRPr="00FB49B7" w:rsidRDefault="00D505D9" w:rsidP="00D474C8">
      <w:pPr>
        <w:spacing w:line="480" w:lineRule="auto"/>
        <w:rPr>
          <w:rFonts w:ascii="Arial" w:eastAsia="Times New Roman" w:hAnsi="Arial" w:cs="Arial"/>
          <w:color w:val="000000"/>
        </w:rPr>
      </w:pPr>
      <w:r w:rsidRPr="00D474C8">
        <w:rPr>
          <w:rFonts w:ascii="Arial" w:hAnsi="Arial" w:cs="Arial"/>
        </w:rPr>
        <w:t>An important consideration for children with conjugate vaccine failure, especially those without known co-morbidities, is the possibility of an undiagnosed underlying immune deficiency.</w:t>
      </w:r>
      <w:r w:rsidRPr="00FB49B7">
        <w:rPr>
          <w:rFonts w:ascii="Arial" w:hAnsi="Arial" w:cs="Arial"/>
        </w:rPr>
        <w:t xml:space="preserve"> </w:t>
      </w:r>
      <w:r w:rsidR="00610BF7" w:rsidRPr="00FB49B7">
        <w:rPr>
          <w:rFonts w:ascii="Arial" w:hAnsi="Arial" w:cs="Arial"/>
        </w:rPr>
        <w:t xml:space="preserve">In </w:t>
      </w:r>
      <w:r w:rsidR="005507DB" w:rsidRPr="00FB49B7">
        <w:rPr>
          <w:rFonts w:ascii="Arial" w:hAnsi="Arial" w:cs="Arial"/>
        </w:rPr>
        <w:t xml:space="preserve">addition to clinical risk factors, immunoglobulin deficiency has been described in </w:t>
      </w:r>
      <w:r w:rsidR="00B9287B">
        <w:rPr>
          <w:rFonts w:ascii="Arial" w:hAnsi="Arial" w:cs="Arial"/>
        </w:rPr>
        <w:t>those</w:t>
      </w:r>
      <w:r w:rsidR="00B9287B" w:rsidRPr="00FB49B7">
        <w:rPr>
          <w:rFonts w:ascii="Arial" w:hAnsi="Arial" w:cs="Arial"/>
        </w:rPr>
        <w:t xml:space="preserve"> </w:t>
      </w:r>
      <w:r w:rsidR="005507DB" w:rsidRPr="00FB49B7">
        <w:rPr>
          <w:rFonts w:ascii="Arial" w:hAnsi="Arial" w:cs="Arial"/>
        </w:rPr>
        <w:t>with Hib</w:t>
      </w:r>
      <w:r w:rsidR="00952DEB">
        <w:rPr>
          <w:rFonts w:ascii="Arial" w:hAnsi="Arial" w:cs="Arial"/>
        </w:rPr>
        <w:t xml:space="preserve"> </w:t>
      </w:r>
      <w:r w:rsidR="00D03F6E">
        <w:rPr>
          <w:rFonts w:ascii="Arial" w:hAnsi="Arial" w:cs="Arial"/>
        </w:rPr>
        <w:fldChar w:fldCharType="begin"/>
      </w:r>
      <w:r w:rsidR="00D40C16">
        <w:rPr>
          <w:rFonts w:ascii="Arial" w:hAnsi="Arial" w:cs="Arial"/>
        </w:rPr>
        <w:instrText xml:space="preserve"> ADDIN EN.CITE &lt;EndNote&gt;&lt;Cite&gt;&lt;Author&gt;Heath&lt;/Author&gt;&lt;Year&gt;2000&lt;/Year&gt;&lt;RecNum&gt;43&lt;/RecNum&gt;&lt;DisplayText&gt;[17]&lt;/DisplayText&gt;&lt;record&gt;&lt;rec-number&gt;43&lt;/rec-number&gt;&lt;foreign-keys&gt;&lt;key app="EN" db-id="rxxppfvvjfas5yeas2cx599btv52trewxvr5" timestamp="1473773183"&gt;43&lt;/key&gt;&lt;/foreign-keys&gt;&lt;ref-type name="Journal Article"&gt;17&lt;/ref-type&gt;&lt;contributors&gt;&lt;authors&gt;&lt;author&gt;Heath, P. T.&lt;/author&gt;&lt;author&gt;Booy, R.&lt;/author&gt;&lt;author&gt;Griffiths, H.&lt;/author&gt;&lt;author&gt;Clutterbuck, E.&lt;/author&gt;&lt;author&gt;Azzopardi, H. J.&lt;/author&gt;&lt;author&gt;Slack, M. P.&lt;/author&gt;&lt;author&gt;Fogarty, J.&lt;/author&gt;&lt;author&gt;Moloney, A. C.&lt;/author&gt;&lt;author&gt;Moxon, E. R.&lt;/author&gt;&lt;/authors&gt;&lt;/contributors&gt;&lt;auth-address&gt;Oxford Vaccine Group, John Radcliffe Hospital, Oxford, United Kingdom. pheath@sghms.ac.uk&lt;/auth-address&gt;&lt;titles&gt;&lt;title&gt;Clinical and immunological risk factors associated with Haemophilus influenzae type b conjugate vaccine failure in childhood&lt;/title&gt;&lt;secondary-title&gt;Clinical infectious diseases : an official publication of the Infectious Diseases Society of America&lt;/secondary-title&gt;&lt;alt-title&gt;Clin Infect Dis&lt;/alt-title&gt;&lt;/titles&gt;&lt;periodical&gt;&lt;full-title&gt;Clin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973-980&lt;/pages&gt;&lt;volume&gt;31&lt;/volume&gt;&lt;number&gt;4&lt;/number&gt;&lt;dates&gt;&lt;year&gt;2000&lt;/year&gt;&lt;pub-dates&gt;&lt;date&gt;2000/10//&lt;/date&gt;&lt;/pub-dates&gt;&lt;/dates&gt;&lt;isbn&gt;1058-4838&lt;/isbn&gt;&lt;accession-num&gt;11049779&lt;/accession-num&gt;&lt;urls&gt;&lt;related-urls&gt;&lt;url&gt;http://europepmc.org/abstract/MED/11049779&lt;/url&gt;&lt;url&gt;http://dx.doi.org/10.1086/318132&lt;/url&gt;&lt;/related-urls&gt;&lt;/urls&gt;&lt;electronic-resource-num&gt;10.1086/318132&lt;/electronic-resource-num&gt;&lt;remote-database-name&gt;PubMed&lt;/remote-database-name&gt;&lt;language&gt;eng&lt;/language&gt;&lt;/record&gt;&lt;/Cite&gt;&lt;/EndNote&gt;</w:instrText>
      </w:r>
      <w:r w:rsidR="00D03F6E">
        <w:rPr>
          <w:rFonts w:ascii="Arial" w:hAnsi="Arial" w:cs="Arial"/>
        </w:rPr>
        <w:fldChar w:fldCharType="separate"/>
      </w:r>
      <w:r w:rsidR="00D40C16">
        <w:rPr>
          <w:rFonts w:ascii="Arial" w:hAnsi="Arial" w:cs="Arial"/>
          <w:noProof/>
        </w:rPr>
        <w:t>[17]</w:t>
      </w:r>
      <w:r w:rsidR="00D03F6E">
        <w:rPr>
          <w:rFonts w:ascii="Arial" w:hAnsi="Arial" w:cs="Arial"/>
        </w:rPr>
        <w:fldChar w:fldCharType="end"/>
      </w:r>
      <w:r w:rsidR="00952DEB">
        <w:rPr>
          <w:rFonts w:ascii="Arial" w:hAnsi="Arial" w:cs="Arial"/>
        </w:rPr>
        <w:t>,</w:t>
      </w:r>
      <w:r w:rsidR="00610BF7" w:rsidRPr="00FB49B7">
        <w:rPr>
          <w:rFonts w:ascii="Arial" w:hAnsi="Arial" w:cs="Arial"/>
        </w:rPr>
        <w:t xml:space="preserve"> but </w:t>
      </w:r>
      <w:r w:rsidR="00D2694B">
        <w:rPr>
          <w:rFonts w:ascii="Arial" w:hAnsi="Arial" w:cs="Arial"/>
        </w:rPr>
        <w:t xml:space="preserve">not </w:t>
      </w:r>
      <w:r w:rsidR="00BD60CC" w:rsidRPr="00FB49B7">
        <w:rPr>
          <w:rFonts w:ascii="Arial" w:hAnsi="Arial" w:cs="Arial"/>
        </w:rPr>
        <w:t>MenC</w:t>
      </w:r>
      <w:r w:rsidR="00D2694B">
        <w:rPr>
          <w:rFonts w:ascii="Arial" w:hAnsi="Arial" w:cs="Arial"/>
        </w:rPr>
        <w:t>,</w:t>
      </w:r>
      <w:r w:rsidR="00BD60CC" w:rsidRPr="00FB49B7">
        <w:rPr>
          <w:rFonts w:ascii="Arial" w:hAnsi="Arial" w:cs="Arial"/>
        </w:rPr>
        <w:t xml:space="preserve"> vaccine failure</w:t>
      </w:r>
      <w:r w:rsidR="00952DEB">
        <w:rPr>
          <w:rFonts w:ascii="Arial" w:hAnsi="Arial" w:cs="Arial"/>
        </w:rPr>
        <w:t xml:space="preserve"> </w:t>
      </w:r>
      <w:r w:rsidR="00D03F6E">
        <w:rPr>
          <w:rFonts w:ascii="Arial" w:hAnsi="Arial" w:cs="Arial"/>
          <w:bCs/>
        </w:rPr>
        <w:fldChar w:fldCharType="begin"/>
      </w:r>
      <w:r w:rsidR="00D40C16">
        <w:rPr>
          <w:rFonts w:ascii="Arial" w:hAnsi="Arial" w:cs="Arial"/>
          <w:bCs/>
        </w:rPr>
        <w:instrText xml:space="preserve"> ADDIN EN.CITE &lt;EndNote&gt;&lt;Cite&gt;&lt;Author&gt;Auckland&lt;/Author&gt;&lt;Year&gt;2006&lt;/Year&gt;&lt;RecNum&gt;42&lt;/RecNum&gt;&lt;DisplayText&gt;[10]&lt;/DisplayText&gt;&lt;record&gt;&lt;rec-number&gt;42&lt;/rec-number&gt;&lt;foreign-keys&gt;&lt;key app="EN" db-id="rxxppfvvjfas5yeas2cx599btv52trewxvr5" timestamp="1473773144"&gt;42&lt;/key&gt;&lt;/foreign-keys&gt;&lt;ref-type name="Journal Article"&gt;17&lt;/ref-type&gt;&lt;contributors&gt;&lt;authors&gt;&lt;author&gt;Auckland, Cressida&lt;/author&gt;&lt;author&gt;Gray, Stephen&lt;/author&gt;&lt;author&gt;Borrow, Ray&lt;/author&gt;&lt;author&gt;Andrews, Nick&lt;/author&gt;&lt;author&gt;Goldblatt, David&lt;/author&gt;&lt;author&gt;Ramsay, Mary&lt;/author&gt;&lt;author&gt;Miller, Elizabeth&lt;/author&gt;&lt;/authors&gt;&lt;/contributors&gt;&lt;auth-address&gt;Immunisation Department, Centre for Infections, Health Protection Agency, Manchester Royal Infirmary, Manchester, United Kingdom.&lt;/auth-address&gt;&lt;titles&gt;&lt;title&gt;Clinical and immunologic risk factors for meningococcal C conjugate vaccine failure in the United Kingdom&lt;/title&gt;&lt;secondary-title&gt;The Journal of infectious diseases&lt;/secondary-title&gt;&lt;alt-title&gt;J Infect Dis&lt;/alt-title&gt;&lt;/titles&gt;&lt;periodical&gt;&lt;full-title&gt;The Journal of infectious diseases&lt;/full-title&gt;&lt;abbr-1&gt;J Infect Dis&lt;/abbr-1&gt;&lt;/periodical&gt;&lt;alt-periodical&gt;&lt;full-title&gt;The Journal of infectious diseases&lt;/full-title&gt;&lt;abbr-1&gt;J Infect Dis&lt;/abbr-1&gt;&lt;/alt-periodical&gt;&lt;pages&gt;1745-1752&lt;/pages&gt;&lt;volume&gt;194&lt;/volume&gt;&lt;number&gt;12&lt;/number&gt;&lt;keywords&gt;&lt;keyword&gt;Vaccination&lt;/keyword&gt;&lt;keyword&gt;Sentinel Surveillance&lt;/keyword&gt;&lt;/keywords&gt;&lt;dates&gt;&lt;year&gt;2006&lt;/year&gt;&lt;pub-dates&gt;&lt;date&gt;2006/12//&lt;/date&gt;&lt;/pub-dates&gt;&lt;/dates&gt;&lt;isbn&gt;0022-1899&lt;/isbn&gt;&lt;accession-num&gt;17109348&lt;/accession-num&gt;&lt;urls&gt;&lt;related-urls&gt;&lt;url&gt;http://europepmc.org/abstract/MED/17109348&lt;/url&gt;&lt;url&gt;http://dx.doi.org/10.1086/509619&lt;/url&gt;&lt;/related-urls&gt;&lt;/urls&gt;&lt;electronic-resource-num&gt;10.1086/509619&lt;/electronic-resource-num&gt;&lt;remote-database-name&gt;PubMed&lt;/remote-database-name&gt;&lt;language&gt;eng&lt;/language&gt;&lt;/record&gt;&lt;/Cite&gt;&lt;/EndNote&gt;</w:instrText>
      </w:r>
      <w:r w:rsidR="00D03F6E">
        <w:rPr>
          <w:rFonts w:ascii="Arial" w:hAnsi="Arial" w:cs="Arial"/>
          <w:bCs/>
        </w:rPr>
        <w:fldChar w:fldCharType="separate"/>
      </w:r>
      <w:r w:rsidR="00D40C16">
        <w:rPr>
          <w:rFonts w:ascii="Arial" w:hAnsi="Arial" w:cs="Arial"/>
          <w:bCs/>
          <w:noProof/>
        </w:rPr>
        <w:t>[10]</w:t>
      </w:r>
      <w:r w:rsidR="00D03F6E">
        <w:rPr>
          <w:rFonts w:ascii="Arial" w:hAnsi="Arial" w:cs="Arial"/>
          <w:bCs/>
        </w:rPr>
        <w:fldChar w:fldCharType="end"/>
      </w:r>
      <w:r w:rsidR="00952DEB">
        <w:rPr>
          <w:rFonts w:ascii="Arial" w:hAnsi="Arial" w:cs="Arial"/>
          <w:bCs/>
        </w:rPr>
        <w:t>.</w:t>
      </w:r>
      <w:r w:rsidR="005507DB" w:rsidRPr="00FB49B7">
        <w:rPr>
          <w:rFonts w:ascii="Arial" w:hAnsi="Arial" w:cs="Arial"/>
          <w:bCs/>
        </w:rPr>
        <w:t xml:space="preserve"> </w:t>
      </w:r>
      <w:r w:rsidR="003E2E7D" w:rsidRPr="00FB49B7">
        <w:rPr>
          <w:rFonts w:ascii="Arial" w:hAnsi="Arial" w:cs="Arial"/>
          <w:bCs/>
        </w:rPr>
        <w:t xml:space="preserve">In </w:t>
      </w:r>
      <w:r w:rsidR="00D2694B">
        <w:rPr>
          <w:rFonts w:ascii="Arial" w:hAnsi="Arial" w:cs="Arial"/>
          <w:bCs/>
        </w:rPr>
        <w:t>the UK</w:t>
      </w:r>
      <w:r w:rsidR="003E2E7D" w:rsidRPr="00FB49B7">
        <w:rPr>
          <w:rFonts w:ascii="Arial" w:hAnsi="Arial" w:cs="Arial"/>
          <w:bCs/>
        </w:rPr>
        <w:t xml:space="preserve">, </w:t>
      </w:r>
      <w:r w:rsidR="003E2E7D" w:rsidRPr="00FB49B7">
        <w:rPr>
          <w:rFonts w:ascii="Arial" w:hAnsi="Arial" w:cs="Arial"/>
        </w:rPr>
        <w:t xml:space="preserve">11% of 172 children with IPD </w:t>
      </w:r>
      <w:r w:rsidR="00BA24F0" w:rsidRPr="00FB49B7">
        <w:rPr>
          <w:rFonts w:ascii="Arial" w:hAnsi="Arial" w:cs="Arial"/>
          <w:lang w:val="en-US"/>
        </w:rPr>
        <w:t xml:space="preserve">had </w:t>
      </w:r>
      <w:r w:rsidR="003E2E7D" w:rsidRPr="00FB49B7">
        <w:rPr>
          <w:rFonts w:ascii="Arial" w:hAnsi="Arial" w:cs="Arial"/>
          <w:lang w:val="en-US"/>
        </w:rPr>
        <w:t xml:space="preserve">transient </w:t>
      </w:r>
      <w:r w:rsidR="00BA24F0" w:rsidRPr="00FB49B7">
        <w:rPr>
          <w:rFonts w:ascii="Arial" w:hAnsi="Arial" w:cs="Arial"/>
          <w:lang w:val="en-US"/>
        </w:rPr>
        <w:t>IgG deficiency</w:t>
      </w:r>
      <w:r w:rsidR="003E2E7D" w:rsidRPr="00FB49B7">
        <w:rPr>
          <w:rFonts w:ascii="Arial" w:hAnsi="Arial" w:cs="Arial"/>
          <w:lang w:val="en-US"/>
        </w:rPr>
        <w:t>, which was only marginally below the lower limit for age</w:t>
      </w:r>
      <w:r w:rsidR="00796DA6">
        <w:rPr>
          <w:rFonts w:ascii="Arial" w:hAnsi="Arial" w:cs="Arial"/>
          <w:lang w:val="en-US"/>
        </w:rPr>
        <w:t xml:space="preserve"> </w:t>
      </w:r>
      <w:r w:rsidR="00D03F6E">
        <w:rPr>
          <w:rFonts w:ascii="Arial" w:hAnsi="Arial" w:cs="Arial"/>
          <w:lang w:val="en-US"/>
        </w:rPr>
        <w:fldChar w:fldCharType="begin"/>
      </w:r>
      <w:r w:rsidR="00D40C16">
        <w:rPr>
          <w:rFonts w:ascii="Arial" w:hAnsi="Arial" w:cs="Arial"/>
          <w:lang w:val="en-US"/>
        </w:rPr>
        <w:instrText xml:space="preserve"> ADDIN EN.CITE &lt;EndNote&gt;&lt;Cite&gt;&lt;Author&gt;Stanford&lt;/Author&gt;&lt;Year&gt;2011&lt;/Year&gt;&lt;RecNum&gt;44&lt;/RecNum&gt;&lt;DisplayText&gt;[18]&lt;/DisplayText&gt;&lt;record&gt;&lt;rec-number&gt;44&lt;/rec-number&gt;&lt;foreign-keys&gt;&lt;key app="EN" db-id="rxxppfvvjfas5yeas2cx599btv52trewxvr5" timestamp="1473773215"&gt;44&lt;/key&gt;&lt;/foreign-keys&gt;&lt;ref-type name="Journal Article"&gt;17&lt;/ref-type&gt;&lt;contributors&gt;&lt;authors&gt;&lt;author&gt;Stanford, Elaine&lt;/author&gt;&lt;author&gt;Ladhani, Shamez&lt;/author&gt;&lt;author&gt;Borrow, Ray&lt;/author&gt;&lt;author&gt;Waight, Pauline&lt;/author&gt;&lt;author&gt;Slack, Mary&lt;/author&gt;&lt;author&gt;George, Robert&lt;/author&gt;&lt;author&gt;Balmer, Paul&lt;/author&gt;&lt;author&gt;Miller, Elizabeth&lt;/author&gt;&lt;author&gt;Helbert, Matthew&lt;/author&gt;&lt;/authors&gt;&lt;/contributors&gt;&lt;auth-address&gt;Vaccine Evaluation Unit, Health Protection Agency, Manchester Medical Microbiology Partnership, Manchester Royal Infirmary, Manchester, United Kingdom.&lt;/auth-address&gt;&lt;titles&gt;&lt;title&gt;Immunoglobulin G deficiency in United kingdom children with invasive pneumococcal disease&lt;/title&gt;&lt;secondary-title&gt;The Pediatric infectious disease journal&lt;/secondary-title&gt;&lt;alt-title&gt;Pediatr Infect Dis J&lt;/alt-title&gt;&lt;/titles&gt;&lt;periodical&gt;&lt;full-title&gt;The Pediatric infectious disease journal&lt;/full-title&gt;&lt;abbr-1&gt;Pediatr Infect Dis J&lt;/abbr-1&gt;&lt;/periodical&gt;&lt;alt-periodical&gt;&lt;full-title&gt;The Pediatric infectious disease journal&lt;/full-title&gt;&lt;abbr-1&gt;Pediatr Infect Dis J&lt;/abbr-1&gt;&lt;/alt-periodical&gt;&lt;pages&gt;462-465&lt;/pages&gt;&lt;volume&gt;30&lt;/volume&gt;&lt;number&gt;6&lt;/number&gt;&lt;dates&gt;&lt;year&gt;2011&lt;/year&gt;&lt;pub-dates&gt;&lt;date&gt;2011/06//&lt;/date&gt;&lt;/pub-dates&gt;&lt;/dates&gt;&lt;isbn&gt;0891-3668&lt;/isbn&gt;&lt;accession-num&gt;21487328&lt;/accession-num&gt;&lt;urls&gt;&lt;related-urls&gt;&lt;url&gt;http://europepmc.org/abstract/MED/21487328&lt;/url&gt;&lt;url&gt;http://dx.doi.org/10.1097/INF.0b013e3182191dfa&lt;/url&gt;&lt;/related-urls&gt;&lt;/urls&gt;&lt;electronic-resource-num&gt;10.1097/inf.0b013e3182191dfa&lt;/electronic-resource-num&gt;&lt;remote-database-name&gt;PubMed&lt;/remote-database-name&gt;&lt;language&gt;eng&lt;/language&gt;&lt;/record&gt;&lt;/Cite&gt;&lt;/EndNote&gt;</w:instrText>
      </w:r>
      <w:r w:rsidR="00D03F6E">
        <w:rPr>
          <w:rFonts w:ascii="Arial" w:hAnsi="Arial" w:cs="Arial"/>
          <w:lang w:val="en-US"/>
        </w:rPr>
        <w:fldChar w:fldCharType="separate"/>
      </w:r>
      <w:r w:rsidR="00D40C16">
        <w:rPr>
          <w:rFonts w:ascii="Arial" w:hAnsi="Arial" w:cs="Arial"/>
          <w:noProof/>
          <w:lang w:val="en-US"/>
        </w:rPr>
        <w:t>[18]</w:t>
      </w:r>
      <w:r w:rsidR="00D03F6E">
        <w:rPr>
          <w:rFonts w:ascii="Arial" w:hAnsi="Arial" w:cs="Arial"/>
          <w:lang w:val="en-US"/>
        </w:rPr>
        <w:fldChar w:fldCharType="end"/>
      </w:r>
      <w:r w:rsidR="00796DA6">
        <w:rPr>
          <w:rFonts w:ascii="Arial" w:hAnsi="Arial" w:cs="Arial"/>
          <w:lang w:val="en-US"/>
        </w:rPr>
        <w:t>.</w:t>
      </w:r>
      <w:r w:rsidR="00EF54E3" w:rsidRPr="00FB49B7">
        <w:rPr>
          <w:rFonts w:ascii="Arial" w:hAnsi="Arial" w:cs="Arial"/>
          <w:lang w:val="en-US"/>
        </w:rPr>
        <w:t xml:space="preserve"> </w:t>
      </w:r>
      <w:r w:rsidR="00796DA6">
        <w:rPr>
          <w:rFonts w:ascii="Arial" w:hAnsi="Arial" w:cs="Arial"/>
          <w:lang w:val="en-US"/>
        </w:rPr>
        <w:t xml:space="preserve">We recently reported </w:t>
      </w:r>
      <w:r w:rsidR="00723EA4" w:rsidRPr="00FB49B7">
        <w:rPr>
          <w:rFonts w:ascii="Arial" w:hAnsi="Arial" w:cs="Arial"/>
        </w:rPr>
        <w:t>that</w:t>
      </w:r>
      <w:r w:rsidR="00E50973">
        <w:rPr>
          <w:rFonts w:ascii="Arial" w:hAnsi="Arial" w:cs="Arial"/>
        </w:rPr>
        <w:t>,</w:t>
      </w:r>
      <w:r w:rsidR="00E66C9D">
        <w:rPr>
          <w:rFonts w:ascii="Arial" w:hAnsi="Arial" w:cs="Arial"/>
        </w:rPr>
        <w:t xml:space="preserve"> </w:t>
      </w:r>
      <w:r w:rsidR="00723EA4" w:rsidRPr="00FB49B7">
        <w:rPr>
          <w:rFonts w:ascii="Arial" w:hAnsi="Arial" w:cs="Arial"/>
        </w:rPr>
        <w:t xml:space="preserve">although a significant proportion of </w:t>
      </w:r>
      <w:r w:rsidR="00400875" w:rsidRPr="00FB49B7">
        <w:rPr>
          <w:rFonts w:ascii="Arial" w:hAnsi="Arial" w:cs="Arial"/>
        </w:rPr>
        <w:t xml:space="preserve">vaccinated </w:t>
      </w:r>
      <w:r w:rsidR="00723EA4" w:rsidRPr="00FB49B7">
        <w:rPr>
          <w:rFonts w:ascii="Arial" w:hAnsi="Arial" w:cs="Arial"/>
        </w:rPr>
        <w:t>children with vaccine-type IPD did not achieve protective antibody thresholds against the infecting serotype</w:t>
      </w:r>
      <w:r w:rsidR="00400875" w:rsidRPr="00FB49B7">
        <w:rPr>
          <w:rFonts w:ascii="Arial" w:hAnsi="Arial" w:cs="Arial"/>
        </w:rPr>
        <w:t xml:space="preserve"> even after vaccination post-IPD</w:t>
      </w:r>
      <w:r w:rsidR="00723EA4" w:rsidRPr="00FB49B7">
        <w:rPr>
          <w:rFonts w:ascii="Arial" w:hAnsi="Arial" w:cs="Arial"/>
        </w:rPr>
        <w:t>, their IgG responses to the other vaccine serotypes remained intact, indicating that an underlying antibody deficiency was unlikely</w:t>
      </w:r>
      <w:r w:rsidR="00796DA6">
        <w:rPr>
          <w:rFonts w:ascii="Arial" w:hAnsi="Arial" w:cs="Arial"/>
        </w:rPr>
        <w:t xml:space="preserve"> </w:t>
      </w:r>
      <w:r w:rsidR="00D03F6E">
        <w:rPr>
          <w:rFonts w:ascii="Arial" w:hAnsi="Arial" w:cs="Arial"/>
        </w:rPr>
        <w:fldChar w:fldCharType="begin">
          <w:fldData xml:space="preserve">PEVuZE5vdGU+PENpdGU+PEF1dGhvcj5Ccm91c3NlYXU8L0F1dGhvcj48WWVhcj4yMDE1PC9ZZWFy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PjxwYWdlcz4xNzkzLTE4MDE8L3BhZ2VzPjx2b2x1bWU+NjA8L3ZvbHVtZT48bnVtYmVyPjEyPC9u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</w:fldData>
        </w:fldChar>
      </w:r>
      <w:r w:rsidR="00D40C16">
        <w:rPr>
          <w:rFonts w:ascii="Arial" w:hAnsi="Arial" w:cs="Arial"/>
        </w:rPr>
        <w:instrText xml:space="preserve"> ADDIN EN.CITE </w:instrText>
      </w:r>
      <w:r w:rsidR="00D40C16">
        <w:rPr>
          <w:rFonts w:ascii="Arial" w:hAnsi="Arial" w:cs="Arial"/>
        </w:rPr>
        <w:fldChar w:fldCharType="begin">
          <w:fldData xml:space="preserve">PEVuZE5vdGU+PENpdGU+PEF1dGhvcj5Ccm91c3NlYXU8L0F1dGhvcj48WWVhcj4yMDE1PC9ZZWFy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PjxwYWdlcz4xNzkzLTE4MDE8L3BhZ2VzPjx2b2x1bWU+NjA8L3ZvbHVtZT48bnVtYmVyPjEyPC9u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</w:fldData>
        </w:fldChar>
      </w:r>
      <w:r w:rsidR="00D40C16">
        <w:rPr>
          <w:rFonts w:ascii="Arial" w:hAnsi="Arial" w:cs="Arial"/>
        </w:rPr>
        <w:instrText xml:space="preserve"> ADDIN EN.CITE.DATA </w:instrText>
      </w:r>
      <w:r w:rsidR="00D40C16">
        <w:rPr>
          <w:rFonts w:ascii="Arial" w:hAnsi="Arial" w:cs="Arial"/>
        </w:rPr>
      </w:r>
      <w:r w:rsidR="00D40C16">
        <w:rPr>
          <w:rFonts w:ascii="Arial" w:hAnsi="Arial" w:cs="Arial"/>
        </w:rPr>
        <w:fldChar w:fldCharType="end"/>
      </w:r>
      <w:r w:rsidR="00D03F6E">
        <w:rPr>
          <w:rFonts w:ascii="Arial" w:hAnsi="Arial" w:cs="Arial"/>
        </w:rPr>
      </w:r>
      <w:r w:rsidR="00D03F6E">
        <w:rPr>
          <w:rFonts w:ascii="Arial" w:hAnsi="Arial" w:cs="Arial"/>
        </w:rPr>
        <w:fldChar w:fldCharType="separate"/>
      </w:r>
      <w:r w:rsidR="00D40C16">
        <w:rPr>
          <w:rFonts w:ascii="Arial" w:hAnsi="Arial" w:cs="Arial"/>
          <w:noProof/>
        </w:rPr>
        <w:t>[19]</w:t>
      </w:r>
      <w:r w:rsidR="00D03F6E">
        <w:rPr>
          <w:rFonts w:ascii="Arial" w:hAnsi="Arial" w:cs="Arial"/>
        </w:rPr>
        <w:fldChar w:fldCharType="end"/>
      </w:r>
      <w:r w:rsidR="00796DA6">
        <w:rPr>
          <w:rFonts w:ascii="Arial" w:hAnsi="Arial" w:cs="Arial"/>
        </w:rPr>
        <w:t>.</w:t>
      </w:r>
      <w:r w:rsidR="00723EA4" w:rsidRPr="00FB49B7">
        <w:rPr>
          <w:rFonts w:ascii="Arial" w:hAnsi="Arial" w:cs="Arial"/>
        </w:rPr>
        <w:t xml:space="preserve"> </w:t>
      </w:r>
      <w:r w:rsidR="006046B0" w:rsidRPr="00FB49B7">
        <w:rPr>
          <w:rFonts w:ascii="Arial" w:eastAsia="Times New Roman" w:hAnsi="Arial" w:cs="Arial"/>
          <w:color w:val="000000"/>
        </w:rPr>
        <w:t xml:space="preserve">In a recent </w:t>
      </w:r>
      <w:r w:rsidR="00723EA4" w:rsidRPr="00FB49B7">
        <w:rPr>
          <w:rFonts w:ascii="Arial" w:eastAsia="Times New Roman" w:hAnsi="Arial" w:cs="Arial"/>
          <w:color w:val="000000"/>
        </w:rPr>
        <w:t xml:space="preserve">French </w:t>
      </w:r>
      <w:r w:rsidR="006046B0" w:rsidRPr="00FB49B7">
        <w:rPr>
          <w:rFonts w:ascii="Arial" w:eastAsia="Times New Roman" w:hAnsi="Arial" w:cs="Arial"/>
          <w:color w:val="000000"/>
        </w:rPr>
        <w:t xml:space="preserve">study, however, </w:t>
      </w:r>
      <w:r w:rsidR="00723EA4" w:rsidRPr="00FB49B7">
        <w:rPr>
          <w:rFonts w:ascii="Arial" w:eastAsia="Times New Roman" w:hAnsi="Arial" w:cs="Arial"/>
          <w:color w:val="000000"/>
        </w:rPr>
        <w:t>26/</w:t>
      </w:r>
      <w:r w:rsidR="006046B0" w:rsidRPr="00FB49B7">
        <w:rPr>
          <w:rFonts w:ascii="Arial" w:eastAsia="Times New Roman" w:hAnsi="Arial" w:cs="Arial"/>
          <w:color w:val="000000"/>
        </w:rPr>
        <w:t>163</w:t>
      </w:r>
      <w:r w:rsidR="00723EA4" w:rsidRPr="00FB49B7">
        <w:rPr>
          <w:rFonts w:ascii="Arial" w:eastAsia="Times New Roman" w:hAnsi="Arial" w:cs="Arial"/>
          <w:color w:val="000000"/>
        </w:rPr>
        <w:t xml:space="preserve"> (16%)</w:t>
      </w:r>
      <w:r w:rsidR="006046B0" w:rsidRPr="00FB49B7">
        <w:rPr>
          <w:rFonts w:ascii="Arial" w:eastAsia="Times New Roman" w:hAnsi="Arial" w:cs="Arial"/>
          <w:color w:val="000000"/>
        </w:rPr>
        <w:t xml:space="preserve"> children with IPD had abnormal immunological investigations and 17 (10%) had a primar</w:t>
      </w:r>
      <w:r w:rsidR="00723EA4" w:rsidRPr="00FB49B7">
        <w:rPr>
          <w:rFonts w:ascii="Arial" w:eastAsia="Times New Roman" w:hAnsi="Arial" w:cs="Arial"/>
          <w:color w:val="000000"/>
        </w:rPr>
        <w:t>y immun</w:t>
      </w:r>
      <w:r w:rsidR="00E50973">
        <w:rPr>
          <w:rFonts w:ascii="Arial" w:eastAsia="Times New Roman" w:hAnsi="Arial" w:cs="Arial"/>
          <w:color w:val="000000"/>
        </w:rPr>
        <w:t>o</w:t>
      </w:r>
      <w:r w:rsidR="00723EA4" w:rsidRPr="00FB49B7">
        <w:rPr>
          <w:rFonts w:ascii="Arial" w:eastAsia="Times New Roman" w:hAnsi="Arial" w:cs="Arial"/>
          <w:color w:val="000000"/>
        </w:rPr>
        <w:t>deficiency, including</w:t>
      </w:r>
      <w:r w:rsidR="006046B0" w:rsidRPr="00FB49B7">
        <w:rPr>
          <w:rFonts w:ascii="Arial" w:eastAsia="Times New Roman" w:hAnsi="Arial" w:cs="Arial"/>
          <w:color w:val="000000"/>
        </w:rPr>
        <w:t xml:space="preserve"> MyD88 deficiency</w:t>
      </w:r>
      <w:r w:rsidR="00723EA4" w:rsidRPr="00FB49B7">
        <w:rPr>
          <w:rFonts w:ascii="Arial" w:eastAsia="Times New Roman" w:hAnsi="Arial" w:cs="Arial"/>
          <w:color w:val="000000"/>
        </w:rPr>
        <w:t xml:space="preserve"> (n=1), </w:t>
      </w:r>
      <w:r w:rsidR="006046B0" w:rsidRPr="00FB49B7">
        <w:rPr>
          <w:rFonts w:ascii="Arial" w:eastAsia="Times New Roman" w:hAnsi="Arial" w:cs="Arial"/>
          <w:color w:val="000000"/>
        </w:rPr>
        <w:t>complement C2</w:t>
      </w:r>
      <w:r w:rsidR="00723EA4" w:rsidRPr="00FB49B7">
        <w:rPr>
          <w:rFonts w:ascii="Arial" w:eastAsia="Times New Roman" w:hAnsi="Arial" w:cs="Arial"/>
          <w:color w:val="000000"/>
        </w:rPr>
        <w:t>/</w:t>
      </w:r>
      <w:r w:rsidR="006046B0" w:rsidRPr="00FB49B7">
        <w:rPr>
          <w:rFonts w:ascii="Arial" w:eastAsia="Times New Roman" w:hAnsi="Arial" w:cs="Arial"/>
          <w:color w:val="000000"/>
        </w:rPr>
        <w:t>C3 deficiency</w:t>
      </w:r>
      <w:r w:rsidR="00723EA4" w:rsidRPr="00FB49B7">
        <w:rPr>
          <w:rFonts w:ascii="Arial" w:eastAsia="Times New Roman" w:hAnsi="Arial" w:cs="Arial"/>
          <w:color w:val="000000"/>
        </w:rPr>
        <w:t xml:space="preserve"> (n=1), </w:t>
      </w:r>
      <w:r w:rsidR="006046B0" w:rsidRPr="00FB49B7">
        <w:rPr>
          <w:rFonts w:ascii="Arial" w:eastAsia="Times New Roman" w:hAnsi="Arial" w:cs="Arial"/>
          <w:color w:val="000000"/>
        </w:rPr>
        <w:t>congenital asplenia</w:t>
      </w:r>
      <w:r w:rsidR="00723EA4" w:rsidRPr="00FB49B7">
        <w:rPr>
          <w:rFonts w:ascii="Arial" w:eastAsia="Times New Roman" w:hAnsi="Arial" w:cs="Arial"/>
          <w:color w:val="000000"/>
        </w:rPr>
        <w:t xml:space="preserve"> (n=1) and </w:t>
      </w:r>
      <w:r w:rsidR="006046B0" w:rsidRPr="00FB49B7">
        <w:rPr>
          <w:rFonts w:ascii="Arial" w:eastAsia="Times New Roman" w:hAnsi="Arial" w:cs="Arial"/>
          <w:color w:val="000000"/>
        </w:rPr>
        <w:t>Bruton’s disease</w:t>
      </w:r>
      <w:r w:rsidR="00971B2F" w:rsidRPr="00FB49B7">
        <w:rPr>
          <w:rFonts w:ascii="Arial" w:eastAsia="Times New Roman" w:hAnsi="Arial" w:cs="Arial"/>
          <w:color w:val="000000"/>
        </w:rPr>
        <w:t xml:space="preserve"> </w:t>
      </w:r>
      <w:r w:rsidR="00495D97" w:rsidRPr="00FB49B7">
        <w:rPr>
          <w:rFonts w:ascii="Arial" w:eastAsia="Times New Roman" w:hAnsi="Arial" w:cs="Arial"/>
          <w:color w:val="000000"/>
        </w:rPr>
        <w:t>(X-linked agammaglobulinaemia; n=1)</w:t>
      </w:r>
      <w:r w:rsidR="00796DA6">
        <w:rPr>
          <w:rFonts w:ascii="Arial" w:eastAsia="Times New Roman" w:hAnsi="Arial" w:cs="Arial"/>
          <w:color w:val="000000"/>
        </w:rPr>
        <w:t xml:space="preserve"> </w:t>
      </w:r>
      <w:r w:rsidR="00D03F6E">
        <w:rPr>
          <w:rFonts w:ascii="Arial" w:eastAsia="Times New Roman" w:hAnsi="Arial" w:cs="Arial"/>
          <w:color w:val="000000"/>
        </w:rPr>
        <w:fldChar w:fldCharType="begin">
          <w:fldData xml:space="preserve">PEVuZE5vdGU+PENpdGU+PEF1dGhvcj5HYXNjaGlnbmFyZDwvQXV0aG9yPjxZZWFyPjIwMTQ8L1ll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</w:fldData>
        </w:fldChar>
      </w:r>
      <w:r w:rsidR="00D40C16">
        <w:rPr>
          <w:rFonts w:ascii="Arial" w:eastAsia="Times New Roman" w:hAnsi="Arial" w:cs="Arial"/>
          <w:color w:val="000000"/>
        </w:rPr>
        <w:instrText xml:space="preserve"> ADDIN EN.CITE </w:instrText>
      </w:r>
      <w:r w:rsidR="00D40C16">
        <w:rPr>
          <w:rFonts w:ascii="Arial" w:eastAsia="Times New Roman" w:hAnsi="Arial" w:cs="Arial"/>
          <w:color w:val="000000"/>
        </w:rPr>
        <w:fldChar w:fldCharType="begin">
          <w:fldData xml:space="preserve">PEVuZE5vdGU+PENpdGU+PEF1dGhvcj5HYXNjaGlnbmFyZDwvQXV0aG9yPjxZZWFyPjIwMTQ8L1ll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</w:fldData>
        </w:fldChar>
      </w:r>
      <w:r w:rsidR="00D40C16">
        <w:rPr>
          <w:rFonts w:ascii="Arial" w:eastAsia="Times New Roman" w:hAnsi="Arial" w:cs="Arial"/>
          <w:color w:val="000000"/>
        </w:rPr>
        <w:instrText xml:space="preserve"> ADDIN EN.CITE.DATA </w:instrText>
      </w:r>
      <w:r w:rsidR="00D40C16">
        <w:rPr>
          <w:rFonts w:ascii="Arial" w:eastAsia="Times New Roman" w:hAnsi="Arial" w:cs="Arial"/>
          <w:color w:val="000000"/>
        </w:rPr>
      </w:r>
      <w:r w:rsidR="00D40C16">
        <w:rPr>
          <w:rFonts w:ascii="Arial" w:eastAsia="Times New Roman" w:hAnsi="Arial" w:cs="Arial"/>
          <w:color w:val="000000"/>
        </w:rPr>
        <w:fldChar w:fldCharType="end"/>
      </w:r>
      <w:r w:rsidR="00D03F6E">
        <w:rPr>
          <w:rFonts w:ascii="Arial" w:eastAsia="Times New Roman" w:hAnsi="Arial" w:cs="Arial"/>
          <w:color w:val="000000"/>
        </w:rPr>
      </w:r>
      <w:r w:rsidR="00D03F6E">
        <w:rPr>
          <w:rFonts w:ascii="Arial" w:eastAsia="Times New Roman" w:hAnsi="Arial" w:cs="Arial"/>
          <w:color w:val="000000"/>
        </w:rPr>
        <w:fldChar w:fldCharType="separate"/>
      </w:r>
      <w:r w:rsidR="00D40C16">
        <w:rPr>
          <w:rFonts w:ascii="Arial" w:eastAsia="Times New Roman" w:hAnsi="Arial" w:cs="Arial"/>
          <w:noProof/>
          <w:color w:val="000000"/>
        </w:rPr>
        <w:t>[20]</w:t>
      </w:r>
      <w:r w:rsidR="00D03F6E">
        <w:rPr>
          <w:rFonts w:ascii="Arial" w:eastAsia="Times New Roman" w:hAnsi="Arial" w:cs="Arial"/>
          <w:color w:val="000000"/>
        </w:rPr>
        <w:fldChar w:fldCharType="end"/>
      </w:r>
      <w:r w:rsidR="00796DA6">
        <w:rPr>
          <w:rFonts w:ascii="Arial" w:eastAsia="Times New Roman" w:hAnsi="Arial" w:cs="Arial"/>
          <w:color w:val="000000"/>
        </w:rPr>
        <w:t>.</w:t>
      </w:r>
      <w:r w:rsidR="0040487E" w:rsidRPr="00FB49B7">
        <w:rPr>
          <w:rFonts w:ascii="Arial" w:eastAsia="Times New Roman" w:hAnsi="Arial" w:cs="Arial"/>
          <w:color w:val="000000"/>
        </w:rPr>
        <w:t xml:space="preserve"> </w:t>
      </w:r>
      <w:r w:rsidR="00495D97" w:rsidRPr="00FB49B7">
        <w:rPr>
          <w:rFonts w:ascii="Arial" w:hAnsi="Arial" w:cs="Arial"/>
          <w:lang w:val="en-US"/>
        </w:rPr>
        <w:t>In addition to M</w:t>
      </w:r>
      <w:r w:rsidR="00E50973">
        <w:rPr>
          <w:rFonts w:ascii="Arial" w:hAnsi="Arial" w:cs="Arial"/>
          <w:lang w:val="en-US"/>
        </w:rPr>
        <w:t>y</w:t>
      </w:r>
      <w:r w:rsidR="00495D97" w:rsidRPr="00FB49B7">
        <w:rPr>
          <w:rFonts w:ascii="Arial" w:hAnsi="Arial" w:cs="Arial"/>
          <w:lang w:val="en-US"/>
        </w:rPr>
        <w:t>D88, a</w:t>
      </w:r>
      <w:r w:rsidR="00610BF7" w:rsidRPr="00FB49B7">
        <w:rPr>
          <w:rFonts w:ascii="Arial" w:hAnsi="Arial" w:cs="Arial"/>
          <w:lang w:val="en-US"/>
        </w:rPr>
        <w:t xml:space="preserve"> number of rare primary immunodeficiencies associated with</w:t>
      </w:r>
      <w:r w:rsidR="00610BF7" w:rsidRPr="00FB49B7">
        <w:rPr>
          <w:rFonts w:ascii="Arial" w:hAnsi="Arial" w:cs="Arial"/>
        </w:rPr>
        <w:t xml:space="preserve"> </w:t>
      </w:r>
      <w:r w:rsidR="00E50973">
        <w:rPr>
          <w:rFonts w:ascii="Arial" w:hAnsi="Arial" w:cs="Arial"/>
        </w:rPr>
        <w:t xml:space="preserve">mutations in </w:t>
      </w:r>
      <w:r w:rsidR="00D50B6A" w:rsidRPr="00FB49B7">
        <w:rPr>
          <w:rFonts w:ascii="Arial" w:hAnsi="Arial" w:cs="Arial"/>
        </w:rPr>
        <w:t xml:space="preserve">toll-like receptors (TLR), interleukin </w:t>
      </w:r>
      <w:r w:rsidR="00610BF7" w:rsidRPr="00FB49B7">
        <w:rPr>
          <w:rFonts w:ascii="Arial" w:hAnsi="Arial" w:cs="Arial"/>
        </w:rPr>
        <w:t xml:space="preserve">pathways </w:t>
      </w:r>
      <w:r w:rsidR="00495D97" w:rsidRPr="00FB49B7">
        <w:rPr>
          <w:rFonts w:ascii="Arial" w:hAnsi="Arial" w:cs="Arial"/>
        </w:rPr>
        <w:t>(e.g. IRAK4</w:t>
      </w:r>
      <w:r w:rsidR="00610BF7" w:rsidRPr="00FB49B7">
        <w:rPr>
          <w:rFonts w:ascii="Arial" w:hAnsi="Arial" w:cs="Arial"/>
        </w:rPr>
        <w:t xml:space="preserve">) </w:t>
      </w:r>
      <w:r w:rsidR="00495D97" w:rsidRPr="00FB49B7">
        <w:rPr>
          <w:rFonts w:ascii="Arial" w:hAnsi="Arial" w:cs="Arial"/>
        </w:rPr>
        <w:t xml:space="preserve">and NEMO </w:t>
      </w:r>
      <w:r w:rsidR="00E50973">
        <w:rPr>
          <w:rFonts w:ascii="Arial" w:hAnsi="Arial" w:cs="Arial"/>
        </w:rPr>
        <w:t xml:space="preserve">genes </w:t>
      </w:r>
      <w:r w:rsidR="00610BF7" w:rsidRPr="00FB49B7">
        <w:rPr>
          <w:rFonts w:ascii="Arial" w:hAnsi="Arial" w:cs="Arial"/>
        </w:rPr>
        <w:t>have been associated with (often recurrent) invasive bacterial infections</w:t>
      </w:r>
      <w:r w:rsidR="00A16876" w:rsidRPr="00FB49B7">
        <w:rPr>
          <w:rFonts w:ascii="Arial" w:hAnsi="Arial" w:cs="Arial"/>
        </w:rPr>
        <w:t xml:space="preserve"> </w:t>
      </w:r>
      <w:r w:rsidR="00610BF7" w:rsidRPr="00FB49B7">
        <w:rPr>
          <w:rFonts w:ascii="Arial" w:hAnsi="Arial" w:cs="Arial"/>
        </w:rPr>
        <w:t>in early childhood</w:t>
      </w:r>
      <w:r w:rsidR="00412B6D" w:rsidRPr="00FB49B7">
        <w:rPr>
          <w:rFonts w:ascii="Arial" w:hAnsi="Arial" w:cs="Arial"/>
        </w:rPr>
        <w:t xml:space="preserve">, mostly due to </w:t>
      </w:r>
      <w:r w:rsidR="00412B6D" w:rsidRPr="00FB49B7">
        <w:rPr>
          <w:rFonts w:ascii="Arial" w:hAnsi="Arial" w:cs="Arial"/>
          <w:i/>
        </w:rPr>
        <w:t>S. pneumoniae</w:t>
      </w:r>
      <w:r w:rsidR="00835F72">
        <w:rPr>
          <w:rFonts w:ascii="Arial" w:hAnsi="Arial" w:cs="Arial"/>
          <w:i/>
        </w:rPr>
        <w:t xml:space="preserve"> </w:t>
      </w:r>
      <w:r w:rsidR="00D03F6E">
        <w:rPr>
          <w:rFonts w:ascii="Arial" w:hAnsi="Arial" w:cs="Arial"/>
        </w:rPr>
        <w:fldChar w:fldCharType="begin"/>
      </w:r>
      <w:r w:rsidR="00D40C16">
        <w:rPr>
          <w:rFonts w:ascii="Arial" w:hAnsi="Arial" w:cs="Arial"/>
        </w:rPr>
        <w:instrText xml:space="preserve"> ADDIN EN.CITE &lt;EndNote&gt;&lt;Cite&gt;&lt;Author&gt;Bustamante&lt;/Author&gt;&lt;Year&gt;2008&lt;/Year&gt;&lt;RecNum&gt;47&lt;/RecNum&gt;&lt;DisplayText&gt;[21]&lt;/DisplayText&gt;&lt;record&gt;&lt;rec-number&gt;47&lt;/rec-number&gt;&lt;foreign-keys&gt;&lt;key app="EN" db-id="rxxppfvvjfas5yeas2cx599btv52trewxvr5" timestamp="1473773331"&gt;47&lt;/key&gt;&lt;/foreign-keys&gt;&lt;ref-type name="Journal Article"&gt;17&lt;/ref-type&gt;&lt;contributors&gt;&lt;authors&gt;&lt;author&gt;Bustamante, Jacinta&lt;/author&gt;&lt;author&gt;Boisson-Dupuis, Stéphanie&lt;/author&gt;&lt;author&gt;Jouanguy, Emmanuelle&lt;/author&gt;&lt;author&gt;Picard, Capucine&lt;/author&gt;&lt;author&gt;Puel, Anne&lt;/author&gt;&lt;author&gt;Abel, Laurent&lt;/author&gt;&lt;author&gt;Casanova, Jean-Laurent&lt;/author&gt;&lt;/authors&gt;&lt;/contributors&gt;&lt;auth-address&gt;Laboratory of Human Genetics of Infectious Diseases, Institut National de la Santé et de la Recherche Médicale, INSERM-U550, Paris 75015, France, EU.&lt;/auth-address&gt;&lt;titles&gt;&lt;title&gt;Novel primary immunodeficiencies revealed by the investigation of paediatric infectious diseases&lt;/title&gt;&lt;secondary-title&gt;Current opinion in immunology&lt;/secondary-title&gt;&lt;alt-title&gt;Curr Opin Immunol&lt;/alt-title&gt;&lt;/titles&gt;&lt;periodical&gt;&lt;full-title&gt;Current opinion in immunology&lt;/full-title&gt;&lt;abbr-1&gt;Curr Opin Immunol&lt;/abbr-1&gt;&lt;/periodical&gt;&lt;alt-periodical&gt;&lt;full-title&gt;Current opinion in immunology&lt;/full-title&gt;&lt;abbr-1&gt;Curr Opin Immunol&lt;/abbr-1&gt;&lt;/alt-periodical&gt;&lt;pages&gt;39-48&lt;/pages&gt;&lt;volume&gt;20&lt;/volume&gt;&lt;number&gt;1&lt;/number&gt;&lt;dates&gt;&lt;year&gt;2008&lt;/year&gt;&lt;pub-dates&gt;&lt;date&gt;2008/02//&lt;/date&gt;&lt;/pub-dates&gt;&lt;/dates&gt;&lt;isbn&gt;0952-7915&lt;/isbn&gt;&lt;accession-num&gt;18083507&lt;/accession-num&gt;&lt;urls&gt;&lt;related-urls&gt;&lt;url&gt;http://europepmc.org/abstract/MED/18083507&lt;/url&gt;&lt;url&gt;http://dx.doi.org/10.1016/j.coi.2007.10.005&lt;/url&gt;&lt;/related-urls&gt;&lt;/urls&gt;&lt;electronic-resource-num&gt;10.1016/j.coi.2007.10.005&lt;/electronic-resource-num&gt;&lt;remote-database-name&gt;PubMed&lt;/remote-database-name&gt;&lt;language&gt;eng&lt;/language&gt;&lt;/record&gt;&lt;/Cite&gt;&lt;/EndNote&gt;</w:instrText>
      </w:r>
      <w:r w:rsidR="00D03F6E">
        <w:rPr>
          <w:rFonts w:ascii="Arial" w:hAnsi="Arial" w:cs="Arial"/>
        </w:rPr>
        <w:fldChar w:fldCharType="separate"/>
      </w:r>
      <w:r w:rsidR="00D40C16">
        <w:rPr>
          <w:rFonts w:ascii="Arial" w:hAnsi="Arial" w:cs="Arial"/>
          <w:noProof/>
        </w:rPr>
        <w:t>[21]</w:t>
      </w:r>
      <w:r w:rsidR="00D03F6E">
        <w:rPr>
          <w:rFonts w:ascii="Arial" w:hAnsi="Arial" w:cs="Arial"/>
        </w:rPr>
        <w:fldChar w:fldCharType="end"/>
      </w:r>
      <w:r w:rsidR="00835F72">
        <w:rPr>
          <w:rFonts w:ascii="Arial" w:hAnsi="Arial" w:cs="Arial"/>
        </w:rPr>
        <w:t>.</w:t>
      </w:r>
      <w:r w:rsidR="00610BF7" w:rsidRPr="00FB49B7">
        <w:rPr>
          <w:rFonts w:ascii="Arial" w:hAnsi="Arial" w:cs="Arial"/>
        </w:rPr>
        <w:t xml:space="preserve"> </w:t>
      </w:r>
      <w:r w:rsidR="00495D97" w:rsidRPr="00FB49B7">
        <w:rPr>
          <w:rFonts w:ascii="Arial" w:hAnsi="Arial" w:cs="Arial"/>
        </w:rPr>
        <w:t>The extent of immunological investigations for</w:t>
      </w:r>
      <w:r w:rsidR="00415419">
        <w:rPr>
          <w:rFonts w:ascii="Arial" w:hAnsi="Arial" w:cs="Arial"/>
        </w:rPr>
        <w:t xml:space="preserve"> individual</w:t>
      </w:r>
      <w:r w:rsidR="00495D97" w:rsidRPr="00FB49B7">
        <w:rPr>
          <w:rFonts w:ascii="Arial" w:hAnsi="Arial" w:cs="Arial"/>
        </w:rPr>
        <w:t xml:space="preserve"> children with conjugate vaccine failure is likely to require careful clinical assessment</w:t>
      </w:r>
      <w:r w:rsidR="002D4B63" w:rsidRPr="00FB49B7">
        <w:rPr>
          <w:rFonts w:ascii="Arial" w:hAnsi="Arial" w:cs="Arial"/>
        </w:rPr>
        <w:t xml:space="preserve">, taking into account the </w:t>
      </w:r>
      <w:r w:rsidR="0040487E" w:rsidRPr="00FB49B7">
        <w:rPr>
          <w:rFonts w:ascii="Arial" w:hAnsi="Arial" w:cs="Arial"/>
        </w:rPr>
        <w:t>family</w:t>
      </w:r>
      <w:r w:rsidR="002D4B63" w:rsidRPr="00FB49B7">
        <w:rPr>
          <w:rFonts w:ascii="Arial" w:hAnsi="Arial" w:cs="Arial"/>
        </w:rPr>
        <w:t xml:space="preserve"> and past</w:t>
      </w:r>
      <w:r w:rsidR="00495D97" w:rsidRPr="00FB49B7">
        <w:rPr>
          <w:rFonts w:ascii="Arial" w:hAnsi="Arial" w:cs="Arial"/>
        </w:rPr>
        <w:t xml:space="preserve"> history of serious infections </w:t>
      </w:r>
      <w:r w:rsidR="002D4B63" w:rsidRPr="00FB49B7">
        <w:rPr>
          <w:rFonts w:ascii="Arial" w:hAnsi="Arial" w:cs="Arial"/>
        </w:rPr>
        <w:t xml:space="preserve">as well as the severity of IPD. </w:t>
      </w:r>
      <w:r w:rsidR="0040487E" w:rsidRPr="00FB49B7">
        <w:rPr>
          <w:rFonts w:ascii="Arial" w:hAnsi="Arial" w:cs="Arial"/>
        </w:rPr>
        <w:t xml:space="preserve">An underlying immune deficiency is more likely in children who develop IPD </w:t>
      </w:r>
      <w:r w:rsidR="00412B6D" w:rsidRPr="00FB49B7">
        <w:rPr>
          <w:rFonts w:ascii="Arial" w:hAnsi="Arial" w:cs="Arial"/>
        </w:rPr>
        <w:t xml:space="preserve">after two </w:t>
      </w:r>
      <w:r w:rsidR="0040487E" w:rsidRPr="00FB49B7">
        <w:rPr>
          <w:rFonts w:ascii="Arial" w:hAnsi="Arial" w:cs="Arial"/>
        </w:rPr>
        <w:t xml:space="preserve">years </w:t>
      </w:r>
      <w:r w:rsidR="00412B6D" w:rsidRPr="00FB49B7">
        <w:rPr>
          <w:rFonts w:ascii="Arial" w:hAnsi="Arial" w:cs="Arial"/>
        </w:rPr>
        <w:t>of age</w:t>
      </w:r>
      <w:r w:rsidR="00835F72">
        <w:rPr>
          <w:rFonts w:ascii="Arial" w:hAnsi="Arial" w:cs="Arial"/>
        </w:rPr>
        <w:t xml:space="preserve"> </w:t>
      </w:r>
      <w:r w:rsidR="00D03F6E">
        <w:rPr>
          <w:rFonts w:ascii="Arial" w:hAnsi="Arial" w:cs="Arial"/>
        </w:rPr>
        <w:fldChar w:fldCharType="begin">
          <w:fldData xml:space="preserve">PEVuZE5vdGU+PENpdGU+PEF1dGhvcj5HYXNjaGlnbmFyZDwvQXV0aG9yPjxZZWFyPjIwMTQ8L1ll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</w:fldData>
        </w:fldChar>
      </w:r>
      <w:r w:rsidR="00D40C16">
        <w:rPr>
          <w:rFonts w:ascii="Arial" w:hAnsi="Arial" w:cs="Arial"/>
        </w:rPr>
        <w:instrText xml:space="preserve"> ADDIN EN.CITE </w:instrText>
      </w:r>
      <w:r w:rsidR="00D40C16">
        <w:rPr>
          <w:rFonts w:ascii="Arial" w:hAnsi="Arial" w:cs="Arial"/>
        </w:rPr>
        <w:fldChar w:fldCharType="begin">
          <w:fldData xml:space="preserve">PEVuZE5vdGU+PENpdGU+PEF1dGhvcj5HYXNjaGlnbmFyZDwvQXV0aG9yPjxZZWFyPjIwMTQ8L1ll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</w:fldData>
        </w:fldChar>
      </w:r>
      <w:r w:rsidR="00D40C16">
        <w:rPr>
          <w:rFonts w:ascii="Arial" w:hAnsi="Arial" w:cs="Arial"/>
        </w:rPr>
        <w:instrText xml:space="preserve"> ADDIN EN.CITE.DATA </w:instrText>
      </w:r>
      <w:r w:rsidR="00D40C16">
        <w:rPr>
          <w:rFonts w:ascii="Arial" w:hAnsi="Arial" w:cs="Arial"/>
        </w:rPr>
      </w:r>
      <w:r w:rsidR="00D40C16">
        <w:rPr>
          <w:rFonts w:ascii="Arial" w:hAnsi="Arial" w:cs="Arial"/>
        </w:rPr>
        <w:fldChar w:fldCharType="end"/>
      </w:r>
      <w:r w:rsidR="00D03F6E">
        <w:rPr>
          <w:rFonts w:ascii="Arial" w:hAnsi="Arial" w:cs="Arial"/>
        </w:rPr>
      </w:r>
      <w:r w:rsidR="00D03F6E">
        <w:rPr>
          <w:rFonts w:ascii="Arial" w:hAnsi="Arial" w:cs="Arial"/>
        </w:rPr>
        <w:fldChar w:fldCharType="separate"/>
      </w:r>
      <w:r w:rsidR="00D40C16">
        <w:rPr>
          <w:rFonts w:ascii="Arial" w:hAnsi="Arial" w:cs="Arial"/>
          <w:noProof/>
        </w:rPr>
        <w:t>[20]</w:t>
      </w:r>
      <w:r w:rsidR="00D03F6E">
        <w:rPr>
          <w:rFonts w:ascii="Arial" w:hAnsi="Arial" w:cs="Arial"/>
        </w:rPr>
        <w:fldChar w:fldCharType="end"/>
      </w:r>
      <w:r w:rsidR="00835F72">
        <w:rPr>
          <w:rFonts w:ascii="Arial" w:hAnsi="Arial" w:cs="Arial"/>
        </w:rPr>
        <w:t>,</w:t>
      </w:r>
      <w:r w:rsidR="0040487E" w:rsidRPr="00FB49B7">
        <w:rPr>
          <w:rFonts w:ascii="Arial" w:hAnsi="Arial" w:cs="Arial"/>
        </w:rPr>
        <w:t xml:space="preserve"> and those</w:t>
      </w:r>
      <w:r w:rsidR="00412B6D" w:rsidRPr="00FB49B7">
        <w:rPr>
          <w:rFonts w:ascii="Arial" w:hAnsi="Arial" w:cs="Arial"/>
        </w:rPr>
        <w:t xml:space="preserve"> with recurrent IPD</w:t>
      </w:r>
      <w:r w:rsidR="00835F72">
        <w:rPr>
          <w:rFonts w:ascii="Arial" w:hAnsi="Arial" w:cs="Arial"/>
        </w:rPr>
        <w:t xml:space="preserve"> </w:t>
      </w:r>
      <w:r w:rsidR="00D03F6E">
        <w:rPr>
          <w:rFonts w:ascii="Arial" w:hAnsi="Arial" w:cs="Arial"/>
        </w:rPr>
        <w:fldChar w:fldCharType="begin">
          <w:fldData xml:space="preserve">PEVuZE5vdGU+PENpdGU+PEF1dGhvcj5JbmdlbHM8L0F1dGhvcj48WWVhcj4yMDE1PC9ZZWFyPjxS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==
</w:fldData>
        </w:fldChar>
      </w:r>
      <w:r w:rsidR="00D40C16">
        <w:rPr>
          <w:rFonts w:ascii="Arial" w:hAnsi="Arial" w:cs="Arial"/>
        </w:rPr>
        <w:instrText xml:space="preserve"> ADDIN EN.CITE </w:instrText>
      </w:r>
      <w:r w:rsidR="00D40C16">
        <w:rPr>
          <w:rFonts w:ascii="Arial" w:hAnsi="Arial" w:cs="Arial"/>
        </w:rPr>
        <w:fldChar w:fldCharType="begin">
          <w:fldData xml:space="preserve">PEVuZE5vdGU+PENpdGU+PEF1dGhvcj5JbmdlbHM8L0F1dGhvcj48WWVhcj4yMDE1PC9ZZWFyPjxS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==
</w:fldData>
        </w:fldChar>
      </w:r>
      <w:r w:rsidR="00D40C16">
        <w:rPr>
          <w:rFonts w:ascii="Arial" w:hAnsi="Arial" w:cs="Arial"/>
        </w:rPr>
        <w:instrText xml:space="preserve"> ADDIN EN.CITE.DATA </w:instrText>
      </w:r>
      <w:r w:rsidR="00D40C16">
        <w:rPr>
          <w:rFonts w:ascii="Arial" w:hAnsi="Arial" w:cs="Arial"/>
        </w:rPr>
      </w:r>
      <w:r w:rsidR="00D40C16">
        <w:rPr>
          <w:rFonts w:ascii="Arial" w:hAnsi="Arial" w:cs="Arial"/>
        </w:rPr>
        <w:fldChar w:fldCharType="end"/>
      </w:r>
      <w:r w:rsidR="00D03F6E">
        <w:rPr>
          <w:rFonts w:ascii="Arial" w:hAnsi="Arial" w:cs="Arial"/>
        </w:rPr>
      </w:r>
      <w:r w:rsidR="00D03F6E">
        <w:rPr>
          <w:rFonts w:ascii="Arial" w:hAnsi="Arial" w:cs="Arial"/>
        </w:rPr>
        <w:fldChar w:fldCharType="separate"/>
      </w:r>
      <w:r w:rsidR="00D40C16">
        <w:rPr>
          <w:rFonts w:ascii="Arial" w:hAnsi="Arial" w:cs="Arial"/>
          <w:noProof/>
        </w:rPr>
        <w:t>[22]</w:t>
      </w:r>
      <w:r w:rsidR="00D03F6E">
        <w:rPr>
          <w:rFonts w:ascii="Arial" w:hAnsi="Arial" w:cs="Arial"/>
        </w:rPr>
        <w:fldChar w:fldCharType="end"/>
      </w:r>
      <w:r w:rsidR="00835F72">
        <w:rPr>
          <w:rFonts w:ascii="Arial" w:hAnsi="Arial" w:cs="Arial"/>
        </w:rPr>
        <w:t>,</w:t>
      </w:r>
      <w:r w:rsidR="005938C4" w:rsidRPr="00FB49B7">
        <w:rPr>
          <w:rFonts w:ascii="Arial" w:hAnsi="Arial" w:cs="Arial"/>
          <w:iCs/>
          <w:lang w:val="en-US"/>
        </w:rPr>
        <w:t xml:space="preserve"> but has not </w:t>
      </w:r>
      <w:r w:rsidR="00680968">
        <w:rPr>
          <w:rFonts w:ascii="Arial" w:hAnsi="Arial" w:cs="Arial"/>
          <w:iCs/>
          <w:lang w:val="en-US"/>
        </w:rPr>
        <w:t xml:space="preserve">been </w:t>
      </w:r>
      <w:r w:rsidR="005938C4" w:rsidRPr="00FB49B7">
        <w:rPr>
          <w:rFonts w:ascii="Arial" w:hAnsi="Arial" w:cs="Arial"/>
          <w:iCs/>
          <w:lang w:val="en-US"/>
        </w:rPr>
        <w:t xml:space="preserve">reported </w:t>
      </w:r>
      <w:r w:rsidR="00680968">
        <w:rPr>
          <w:rFonts w:ascii="Arial" w:hAnsi="Arial" w:cs="Arial"/>
          <w:iCs/>
          <w:lang w:val="en-US"/>
        </w:rPr>
        <w:t xml:space="preserve">for </w:t>
      </w:r>
      <w:r w:rsidR="005938C4" w:rsidRPr="00FB49B7">
        <w:rPr>
          <w:rFonts w:ascii="Arial" w:hAnsi="Arial" w:cs="Arial"/>
          <w:iCs/>
          <w:lang w:val="en-US"/>
        </w:rPr>
        <w:t>chi</w:t>
      </w:r>
      <w:r w:rsidR="00FA2FE4" w:rsidRPr="00FB49B7">
        <w:rPr>
          <w:rFonts w:ascii="Arial" w:hAnsi="Arial" w:cs="Arial"/>
          <w:iCs/>
          <w:lang w:val="en-US"/>
        </w:rPr>
        <w:t>ldren with PCV failure, possibly</w:t>
      </w:r>
      <w:r w:rsidR="005938C4" w:rsidRPr="00FB49B7">
        <w:rPr>
          <w:rFonts w:ascii="Arial" w:hAnsi="Arial" w:cs="Arial"/>
          <w:iCs/>
          <w:lang w:val="en-US"/>
        </w:rPr>
        <w:t xml:space="preserve"> because </w:t>
      </w:r>
      <w:r w:rsidR="00680968">
        <w:rPr>
          <w:rFonts w:ascii="Arial" w:hAnsi="Arial" w:cs="Arial"/>
          <w:iCs/>
          <w:lang w:val="en-US"/>
        </w:rPr>
        <w:t>this is such a rare event</w:t>
      </w:r>
      <w:r w:rsidR="005938C4" w:rsidRPr="00FB49B7">
        <w:rPr>
          <w:rFonts w:ascii="Arial" w:hAnsi="Arial" w:cs="Arial"/>
          <w:iCs/>
          <w:lang w:val="en-US"/>
        </w:rPr>
        <w:t>.</w:t>
      </w:r>
    </w:p>
    <w:p w14:paraId="4B19BB35" w14:textId="77777777" w:rsidR="00331F1D" w:rsidRPr="00FB49B7" w:rsidRDefault="002D4B63" w:rsidP="00D474C8">
      <w:pPr>
        <w:spacing w:line="480" w:lineRule="auto"/>
        <w:rPr>
          <w:rFonts w:ascii="Arial" w:hAnsi="Arial" w:cs="Arial"/>
        </w:rPr>
      </w:pPr>
      <w:r w:rsidRPr="00FB49B7">
        <w:rPr>
          <w:rFonts w:ascii="Arial" w:hAnsi="Arial" w:cs="Arial"/>
        </w:rPr>
        <w:t xml:space="preserve">In England and Wales, follow-up investigations in children with IPD </w:t>
      </w:r>
      <w:r w:rsidR="007E651C" w:rsidRPr="00FB49B7">
        <w:rPr>
          <w:rFonts w:ascii="Arial" w:hAnsi="Arial" w:cs="Arial"/>
        </w:rPr>
        <w:t xml:space="preserve">were </w:t>
      </w:r>
      <w:r w:rsidRPr="00FB49B7">
        <w:rPr>
          <w:rFonts w:ascii="Arial" w:hAnsi="Arial" w:cs="Arial"/>
        </w:rPr>
        <w:t xml:space="preserve">at the discretion of the attending clinician but, since the surveillance questionnaire was completed </w:t>
      </w:r>
      <w:r w:rsidR="00C064B6" w:rsidRPr="00FB49B7">
        <w:rPr>
          <w:rFonts w:ascii="Arial" w:hAnsi="Arial" w:cs="Arial"/>
        </w:rPr>
        <w:t>several weeks af</w:t>
      </w:r>
      <w:r w:rsidR="005938C4" w:rsidRPr="00FB49B7">
        <w:rPr>
          <w:rFonts w:ascii="Arial" w:hAnsi="Arial" w:cs="Arial"/>
        </w:rPr>
        <w:t xml:space="preserve">ter the IPD episode, any immune deficiency identified after IPD </w:t>
      </w:r>
      <w:r w:rsidR="007E651C" w:rsidRPr="00FB49B7">
        <w:rPr>
          <w:rFonts w:ascii="Arial" w:hAnsi="Arial" w:cs="Arial"/>
        </w:rPr>
        <w:t>w</w:t>
      </w:r>
      <w:r w:rsidR="005938C4" w:rsidRPr="00FB49B7">
        <w:rPr>
          <w:rFonts w:ascii="Arial" w:hAnsi="Arial" w:cs="Arial"/>
        </w:rPr>
        <w:t xml:space="preserve">ould have been reported. </w:t>
      </w:r>
      <w:r w:rsidR="007E651C" w:rsidRPr="00FB49B7">
        <w:rPr>
          <w:rFonts w:ascii="Arial" w:hAnsi="Arial" w:cs="Arial"/>
        </w:rPr>
        <w:t>I</w:t>
      </w:r>
      <w:r w:rsidR="005938C4" w:rsidRPr="00FB49B7">
        <w:rPr>
          <w:rFonts w:ascii="Arial" w:hAnsi="Arial" w:cs="Arial"/>
        </w:rPr>
        <w:t xml:space="preserve">t is </w:t>
      </w:r>
      <w:r w:rsidR="007E651C" w:rsidRPr="00FB49B7">
        <w:rPr>
          <w:rFonts w:ascii="Arial" w:hAnsi="Arial" w:cs="Arial"/>
        </w:rPr>
        <w:t xml:space="preserve">also </w:t>
      </w:r>
      <w:r w:rsidR="005938C4" w:rsidRPr="00FB49B7">
        <w:rPr>
          <w:rFonts w:ascii="Arial" w:hAnsi="Arial" w:cs="Arial"/>
        </w:rPr>
        <w:t xml:space="preserve">reassuring that </w:t>
      </w:r>
      <w:r w:rsidR="00723EA4" w:rsidRPr="00FB49B7">
        <w:rPr>
          <w:rFonts w:ascii="Arial" w:hAnsi="Arial" w:cs="Arial"/>
        </w:rPr>
        <w:t xml:space="preserve">second episodes </w:t>
      </w:r>
      <w:r w:rsidR="007E651C" w:rsidRPr="00FB49B7">
        <w:rPr>
          <w:rFonts w:ascii="Arial" w:hAnsi="Arial" w:cs="Arial"/>
        </w:rPr>
        <w:t xml:space="preserve">and deaths among vaccine failure cases </w:t>
      </w:r>
      <w:r w:rsidR="00723EA4" w:rsidRPr="00FB49B7">
        <w:rPr>
          <w:rFonts w:ascii="Arial" w:hAnsi="Arial" w:cs="Arial"/>
        </w:rPr>
        <w:t xml:space="preserve">were rare. </w:t>
      </w:r>
    </w:p>
    <w:p w14:paraId="352FC7E1" w14:textId="77777777" w:rsidR="000D25DE" w:rsidRDefault="00E66C9D" w:rsidP="00D474C8">
      <w:pPr>
        <w:spacing w:line="480" w:lineRule="auto"/>
        <w:rPr>
          <w:rFonts w:ascii="Arial" w:hAnsi="Arial" w:cs="Arial"/>
        </w:rPr>
      </w:pPr>
      <w:r>
        <w:rPr>
          <w:rFonts w:ascii="Arial" w:hAnsi="Arial" w:cs="Arial"/>
        </w:rPr>
        <w:t>This</w:t>
      </w:r>
      <w:r w:rsidRPr="00FB49B7">
        <w:rPr>
          <w:rFonts w:ascii="Arial" w:hAnsi="Arial" w:cs="Arial"/>
        </w:rPr>
        <w:t xml:space="preserve"> </w:t>
      </w:r>
      <w:r w:rsidR="009D2795" w:rsidRPr="00FB49B7">
        <w:rPr>
          <w:rFonts w:ascii="Arial" w:hAnsi="Arial" w:cs="Arial"/>
        </w:rPr>
        <w:t xml:space="preserve">study has strengths and limitations. The established </w:t>
      </w:r>
      <w:r w:rsidR="00415419">
        <w:rPr>
          <w:rFonts w:ascii="Arial" w:hAnsi="Arial" w:cs="Arial"/>
        </w:rPr>
        <w:t>IPD</w:t>
      </w:r>
      <w:r w:rsidR="009D2795" w:rsidRPr="00FB49B7">
        <w:rPr>
          <w:rFonts w:ascii="Arial" w:hAnsi="Arial" w:cs="Arial"/>
        </w:rPr>
        <w:t xml:space="preserve"> surveillance spanning more </w:t>
      </w:r>
      <w:r w:rsidR="003D5CC5" w:rsidRPr="00FB49B7">
        <w:rPr>
          <w:rFonts w:ascii="Arial" w:hAnsi="Arial" w:cs="Arial"/>
        </w:rPr>
        <w:t>than</w:t>
      </w:r>
      <w:r w:rsidR="009D2795" w:rsidRPr="00FB49B7">
        <w:rPr>
          <w:rFonts w:ascii="Arial" w:hAnsi="Arial" w:cs="Arial"/>
        </w:rPr>
        <w:t xml:space="preserve"> two decades alongside a national reference laboratory service has ensured high case ascertainment </w:t>
      </w:r>
      <w:r w:rsidR="00DE4B6D" w:rsidRPr="00FB49B7">
        <w:rPr>
          <w:rFonts w:ascii="Arial" w:hAnsi="Arial" w:cs="Arial"/>
        </w:rPr>
        <w:t>and near-complete f</w:t>
      </w:r>
      <w:r w:rsidR="009D2795" w:rsidRPr="00FB49B7">
        <w:rPr>
          <w:rFonts w:ascii="Arial" w:hAnsi="Arial" w:cs="Arial"/>
        </w:rPr>
        <w:t>ollow-up of laboratory-confirmed cases</w:t>
      </w:r>
      <w:r w:rsidR="00DE4B6D" w:rsidRPr="00FB49B7">
        <w:rPr>
          <w:rFonts w:ascii="Arial" w:hAnsi="Arial" w:cs="Arial"/>
        </w:rPr>
        <w:t xml:space="preserve">. </w:t>
      </w:r>
      <w:r w:rsidR="009C11DD">
        <w:rPr>
          <w:rFonts w:ascii="Arial" w:hAnsi="Arial" w:cs="Arial"/>
        </w:rPr>
        <w:t>W</w:t>
      </w:r>
      <w:r w:rsidR="00A36044">
        <w:rPr>
          <w:rFonts w:ascii="Arial" w:hAnsi="Arial" w:cs="Arial"/>
        </w:rPr>
        <w:t>e</w:t>
      </w:r>
      <w:r w:rsidR="000D25DE">
        <w:rPr>
          <w:rFonts w:ascii="Arial" w:hAnsi="Arial" w:cs="Arial"/>
        </w:rPr>
        <w:t xml:space="preserve"> </w:t>
      </w:r>
      <w:r w:rsidR="00A36044">
        <w:rPr>
          <w:rFonts w:ascii="Arial" w:hAnsi="Arial" w:cs="Arial"/>
        </w:rPr>
        <w:t xml:space="preserve">did </w:t>
      </w:r>
      <w:r w:rsidR="000D25DE">
        <w:rPr>
          <w:rFonts w:ascii="Arial" w:hAnsi="Arial" w:cs="Arial"/>
        </w:rPr>
        <w:t xml:space="preserve">not include </w:t>
      </w:r>
      <w:r w:rsidR="00A36044">
        <w:rPr>
          <w:rFonts w:ascii="Arial" w:hAnsi="Arial" w:cs="Arial"/>
        </w:rPr>
        <w:t xml:space="preserve">children </w:t>
      </w:r>
      <w:r w:rsidR="000D25DE">
        <w:rPr>
          <w:rFonts w:ascii="Arial" w:hAnsi="Arial" w:cs="Arial"/>
        </w:rPr>
        <w:t xml:space="preserve">diagnosed by </w:t>
      </w:r>
      <w:r w:rsidR="00A36044">
        <w:rPr>
          <w:rFonts w:ascii="Arial" w:hAnsi="Arial" w:cs="Arial"/>
        </w:rPr>
        <w:t>urinary pneumococcal antigen or blood pneumococcal PCR</w:t>
      </w:r>
      <w:r w:rsidR="009C11DD">
        <w:rPr>
          <w:rFonts w:ascii="Arial" w:hAnsi="Arial" w:cs="Arial"/>
        </w:rPr>
        <w:t>; n</w:t>
      </w:r>
      <w:r w:rsidR="00A36044">
        <w:rPr>
          <w:rFonts w:ascii="Arial" w:hAnsi="Arial" w:cs="Arial"/>
        </w:rPr>
        <w:t xml:space="preserve">either test is </w:t>
      </w:r>
      <w:r w:rsidR="005422F0">
        <w:rPr>
          <w:rFonts w:ascii="Arial" w:hAnsi="Arial" w:cs="Arial"/>
        </w:rPr>
        <w:t xml:space="preserve">offered </w:t>
      </w:r>
      <w:r w:rsidR="000D25DE">
        <w:rPr>
          <w:rFonts w:ascii="Arial" w:hAnsi="Arial" w:cs="Arial"/>
        </w:rPr>
        <w:t>by local hospital laboratories or the national reference laborator</w:t>
      </w:r>
      <w:r w:rsidR="00A36044">
        <w:rPr>
          <w:rFonts w:ascii="Arial" w:hAnsi="Arial" w:cs="Arial"/>
        </w:rPr>
        <w:t>y be</w:t>
      </w:r>
      <w:r w:rsidR="000D25DE">
        <w:rPr>
          <w:rFonts w:ascii="Arial" w:hAnsi="Arial" w:cs="Arial"/>
        </w:rPr>
        <w:t>cause</w:t>
      </w:r>
      <w:r w:rsidR="00A36044" w:rsidRPr="00A36044">
        <w:rPr>
          <w:rFonts w:ascii="Arial" w:hAnsi="Arial" w:cs="Arial"/>
        </w:rPr>
        <w:t> nasopharyngeal carriage </w:t>
      </w:r>
      <w:r w:rsidR="00A36044">
        <w:rPr>
          <w:rFonts w:ascii="Arial" w:hAnsi="Arial" w:cs="Arial"/>
        </w:rPr>
        <w:t xml:space="preserve">can give </w:t>
      </w:r>
      <w:r w:rsidR="00A36044" w:rsidRPr="00A36044">
        <w:rPr>
          <w:rFonts w:ascii="Arial" w:hAnsi="Arial" w:cs="Arial"/>
        </w:rPr>
        <w:t xml:space="preserve">false-positive results in </w:t>
      </w:r>
      <w:r w:rsidR="00A36044">
        <w:rPr>
          <w:rFonts w:ascii="Arial" w:hAnsi="Arial" w:cs="Arial"/>
        </w:rPr>
        <w:t xml:space="preserve">young children </w:t>
      </w:r>
      <w:r w:rsidR="00A36044" w:rsidRPr="00A36044">
        <w:rPr>
          <w:rFonts w:ascii="Arial" w:hAnsi="Arial" w:cs="Arial"/>
        </w:rPr>
        <w:t>coloni</w:t>
      </w:r>
      <w:r w:rsidR="00A36044">
        <w:rPr>
          <w:rFonts w:ascii="Arial" w:hAnsi="Arial" w:cs="Arial"/>
        </w:rPr>
        <w:t>s</w:t>
      </w:r>
      <w:r w:rsidR="00A36044" w:rsidRPr="00A36044">
        <w:rPr>
          <w:rFonts w:ascii="Arial" w:hAnsi="Arial" w:cs="Arial"/>
        </w:rPr>
        <w:t xml:space="preserve">ed with </w:t>
      </w:r>
      <w:r w:rsidR="00A36044" w:rsidRPr="00D474C8">
        <w:rPr>
          <w:rFonts w:ascii="Arial" w:hAnsi="Arial" w:cs="Arial"/>
          <w:i/>
        </w:rPr>
        <w:t>Streptococcus pneumoniae</w:t>
      </w:r>
      <w:r w:rsidR="007C14E8">
        <w:rPr>
          <w:rFonts w:ascii="Arial" w:hAnsi="Arial" w:cs="Arial"/>
        </w:rPr>
        <w:t xml:space="preserve"> </w:t>
      </w:r>
      <w:r w:rsidR="00D40C16">
        <w:rPr>
          <w:rFonts w:ascii="Arial" w:hAnsi="Arial" w:cs="Arial"/>
        </w:rPr>
        <w:fldChar w:fldCharType="begin"/>
      </w:r>
      <w:r w:rsidR="00D40C16">
        <w:rPr>
          <w:rFonts w:ascii="Arial" w:hAnsi="Arial" w:cs="Arial"/>
        </w:rPr>
        <w:instrText xml:space="preserve"> ADDIN EN.CITE &lt;EndNote&gt;&lt;Cite&gt;&lt;Author&gt;Lees&lt;/Author&gt;&lt;Year&gt;2015&lt;/Year&gt;&lt;RecNum&gt;51&lt;/RecNum&gt;&lt;DisplayText&gt;[23]&lt;/DisplayText&gt;&lt;record&gt;&lt;rec-number&gt;51&lt;/rec-number&gt;&lt;foreign-keys&gt;&lt;key app="EN" db-id="rxxppfvvjfas5yeas2cx599btv52trewxvr5" timestamp="1487851261"&gt;51&lt;/key&gt;&lt;/foreign-keys&gt;&lt;ref-type name="Journal Article"&gt;17&lt;/ref-type&gt;&lt;contributors&gt;&lt;authors&gt;&lt;author&gt;Lees, E. A.&lt;/author&gt;&lt;author&gt;Ho, D. K. K.&lt;/author&gt;&lt;author&gt;Guiver, M.&lt;/author&gt;&lt;author&gt;Mankhambo, L. A.&lt;/author&gt;&lt;author&gt;French, N.&lt;/author&gt;&lt;author&gt;Carrol, E. D.&lt;/author&gt;&lt;/authors&gt;&lt;/contributors&gt;&lt;titles&gt;&lt;title&gt;Comparison of Binax NOW urine antigen test and pneumococcal DNA assay using qPCR before and after nasopharyngeal swabbing in healthy Malawian children&lt;/title&gt;&lt;secondary-title&gt;New Microbes and New Infections&lt;/secondary-title&gt;&lt;/titles&gt;&lt;periodical&gt;&lt;full-title&gt;New Microbes and New Infections&lt;/full-title&gt;&lt;/periodical&gt;&lt;pages&gt;4-6&lt;/pages&gt;&lt;volume&gt;8&lt;/volume&gt;&lt;dates&gt;&lt;year&gt;2015&lt;/year&gt;&lt;pub-dates&gt;&lt;date&gt;08/14&amp;#xD;04/19/received&amp;#xD;07/10/revised&amp;#xD;08/07/accepted&lt;/date&gt;&lt;/pub-dates&gt;&lt;/dates&gt;&lt;publisher&gt;Elsevier&lt;/publisher&gt;&lt;isbn&gt;2052-2975&lt;/isbn&gt;&lt;accession-num&gt;PMC4589840&lt;/accession-num&gt;&lt;urls&gt;&lt;related-urls&gt;&lt;url&gt;http://www.ncbi.nlm.nih.gov/pmc/articles/PMC4589840/&lt;/url&gt;&lt;/related-urls&gt;&lt;/urls&gt;&lt;electronic-resource-num&gt;10.1016/j.nmni.2015.08.001&lt;/electronic-resource-num&gt;&lt;remote-database-name&gt;PMC&lt;/remote-database-name&gt;&lt;/record&gt;&lt;/Cite&gt;&lt;/EndNote&gt;</w:instrText>
      </w:r>
      <w:r w:rsidR="00D40C16">
        <w:rPr>
          <w:rFonts w:ascii="Arial" w:hAnsi="Arial" w:cs="Arial"/>
        </w:rPr>
        <w:fldChar w:fldCharType="separate"/>
      </w:r>
      <w:r w:rsidR="00D40C16">
        <w:rPr>
          <w:rFonts w:ascii="Arial" w:hAnsi="Arial" w:cs="Arial"/>
          <w:noProof/>
        </w:rPr>
        <w:t>[23]</w:t>
      </w:r>
      <w:r w:rsidR="00D40C16">
        <w:rPr>
          <w:rFonts w:ascii="Arial" w:hAnsi="Arial" w:cs="Arial"/>
        </w:rPr>
        <w:fldChar w:fldCharType="end"/>
      </w:r>
      <w:r w:rsidR="007C14E8">
        <w:rPr>
          <w:rFonts w:ascii="Arial" w:hAnsi="Arial" w:cs="Arial"/>
        </w:rPr>
        <w:t>.</w:t>
      </w:r>
      <w:r w:rsidR="00A36044">
        <w:rPr>
          <w:rFonts w:ascii="Arial" w:hAnsi="Arial" w:cs="Arial"/>
        </w:rPr>
        <w:t xml:space="preserve"> </w:t>
      </w:r>
      <w:r w:rsidR="00D93B4A">
        <w:rPr>
          <w:rFonts w:ascii="Arial" w:hAnsi="Arial" w:cs="Arial"/>
        </w:rPr>
        <w:t xml:space="preserve">We also do not collect detailed information on IPD cases </w:t>
      </w:r>
      <w:r w:rsidR="00D27775">
        <w:rPr>
          <w:rFonts w:ascii="Arial" w:hAnsi="Arial" w:cs="Arial"/>
        </w:rPr>
        <w:t xml:space="preserve">in children </w:t>
      </w:r>
      <w:r w:rsidR="00D93B4A">
        <w:rPr>
          <w:rFonts w:ascii="Arial" w:hAnsi="Arial" w:cs="Arial"/>
        </w:rPr>
        <w:t xml:space="preserve">after </w:t>
      </w:r>
      <w:r w:rsidR="00D27775">
        <w:rPr>
          <w:rFonts w:ascii="Arial" w:hAnsi="Arial" w:cs="Arial"/>
        </w:rPr>
        <w:t>their fifth birthday. I</w:t>
      </w:r>
      <w:r w:rsidR="00D93B4A">
        <w:rPr>
          <w:rFonts w:ascii="Arial" w:hAnsi="Arial" w:cs="Arial"/>
        </w:rPr>
        <w:t>f</w:t>
      </w:r>
      <w:r w:rsidR="00D27775">
        <w:rPr>
          <w:rFonts w:ascii="Arial" w:hAnsi="Arial" w:cs="Arial"/>
        </w:rPr>
        <w:t xml:space="preserve"> </w:t>
      </w:r>
      <w:r w:rsidR="00D93B4A">
        <w:rPr>
          <w:rFonts w:ascii="Arial" w:hAnsi="Arial" w:cs="Arial"/>
        </w:rPr>
        <w:t xml:space="preserve">PCV13-type IPD cases do start appearing in older children because of waning immunity, for example, these </w:t>
      </w:r>
      <w:r w:rsidR="00D27775">
        <w:rPr>
          <w:rFonts w:ascii="Arial" w:hAnsi="Arial" w:cs="Arial"/>
        </w:rPr>
        <w:t xml:space="preserve">would </w:t>
      </w:r>
      <w:r w:rsidR="00D93B4A">
        <w:rPr>
          <w:rFonts w:ascii="Arial" w:hAnsi="Arial" w:cs="Arial"/>
        </w:rPr>
        <w:t xml:space="preserve">be </w:t>
      </w:r>
      <w:r w:rsidR="00D27775">
        <w:rPr>
          <w:rFonts w:ascii="Arial" w:hAnsi="Arial" w:cs="Arial"/>
        </w:rPr>
        <w:t>identified through</w:t>
      </w:r>
      <w:r w:rsidR="00D93B4A">
        <w:rPr>
          <w:rFonts w:ascii="Arial" w:hAnsi="Arial" w:cs="Arial"/>
        </w:rPr>
        <w:t xml:space="preserve"> the </w:t>
      </w:r>
      <w:r w:rsidR="00D27775">
        <w:rPr>
          <w:rFonts w:ascii="Arial" w:hAnsi="Arial" w:cs="Arial"/>
        </w:rPr>
        <w:t xml:space="preserve">on-going </w:t>
      </w:r>
      <w:r w:rsidR="00D93B4A">
        <w:rPr>
          <w:rFonts w:ascii="Arial" w:hAnsi="Arial" w:cs="Arial"/>
        </w:rPr>
        <w:t xml:space="preserve">national </w:t>
      </w:r>
      <w:r w:rsidR="005B1345">
        <w:rPr>
          <w:rFonts w:ascii="Arial" w:hAnsi="Arial" w:cs="Arial"/>
        </w:rPr>
        <w:t xml:space="preserve">IPD </w:t>
      </w:r>
      <w:r w:rsidR="00D93B4A">
        <w:rPr>
          <w:rFonts w:ascii="Arial" w:hAnsi="Arial" w:cs="Arial"/>
        </w:rPr>
        <w:t>surveillance.</w:t>
      </w:r>
      <w:r w:rsidR="005B1345">
        <w:rPr>
          <w:rFonts w:ascii="Arial" w:hAnsi="Arial" w:cs="Arial"/>
        </w:rPr>
        <w:t xml:space="preserve"> Finally, i</w:t>
      </w:r>
      <w:r w:rsidR="00DE4B6D" w:rsidRPr="00FB49B7">
        <w:rPr>
          <w:rFonts w:ascii="Arial" w:hAnsi="Arial" w:cs="Arial"/>
        </w:rPr>
        <w:t>t was</w:t>
      </w:r>
      <w:r w:rsidR="000D25DE">
        <w:rPr>
          <w:rFonts w:ascii="Arial" w:hAnsi="Arial" w:cs="Arial"/>
        </w:rPr>
        <w:t xml:space="preserve"> also </w:t>
      </w:r>
      <w:r w:rsidR="00DE4B6D" w:rsidRPr="00FB49B7">
        <w:rPr>
          <w:rFonts w:ascii="Arial" w:hAnsi="Arial" w:cs="Arial"/>
        </w:rPr>
        <w:t xml:space="preserve">not possible to compare vaccine failure rates between the two PCVs for several reasons, including non-contemporaneous introduction of the two vaccines, </w:t>
      </w:r>
      <w:r w:rsidR="003D5CC5" w:rsidRPr="00FB49B7">
        <w:rPr>
          <w:rFonts w:ascii="Arial" w:hAnsi="Arial" w:cs="Arial"/>
        </w:rPr>
        <w:t>differences in circulating serotypes prior to vaccine introduction, differential serotype-specific carriage rates, invasiveness of individual serotypes, serotype-specific vaccine immunogenicity and a catch-up programme for PCV7 only.</w:t>
      </w:r>
      <w:r w:rsidR="00415419">
        <w:rPr>
          <w:rFonts w:ascii="Arial" w:hAnsi="Arial" w:cs="Arial"/>
        </w:rPr>
        <w:t xml:space="preserve"> </w:t>
      </w:r>
      <w:r w:rsidR="00683D74" w:rsidRPr="00FB49B7">
        <w:rPr>
          <w:rFonts w:ascii="Arial" w:hAnsi="Arial" w:cs="Arial"/>
        </w:rPr>
        <w:t>Each vaccine, however, has been used for approxim</w:t>
      </w:r>
      <w:r w:rsidR="00A11556" w:rsidRPr="00FB49B7">
        <w:rPr>
          <w:rFonts w:ascii="Arial" w:hAnsi="Arial" w:cs="Arial"/>
        </w:rPr>
        <w:t xml:space="preserve">ately four years and </w:t>
      </w:r>
      <w:r>
        <w:rPr>
          <w:rFonts w:ascii="Arial" w:hAnsi="Arial" w:cs="Arial"/>
        </w:rPr>
        <w:t>these</w:t>
      </w:r>
      <w:r w:rsidRPr="00FB49B7">
        <w:rPr>
          <w:rFonts w:ascii="Arial" w:hAnsi="Arial" w:cs="Arial"/>
        </w:rPr>
        <w:t xml:space="preserve"> </w:t>
      </w:r>
      <w:r w:rsidR="00A11556" w:rsidRPr="00FB49B7">
        <w:rPr>
          <w:rFonts w:ascii="Arial" w:hAnsi="Arial" w:cs="Arial"/>
        </w:rPr>
        <w:t>result</w:t>
      </w:r>
      <w:r w:rsidR="00D17E4E" w:rsidRPr="00FB49B7">
        <w:rPr>
          <w:rFonts w:ascii="Arial" w:hAnsi="Arial" w:cs="Arial"/>
        </w:rPr>
        <w:t xml:space="preserve">s </w:t>
      </w:r>
      <w:r w:rsidR="00683D74" w:rsidRPr="00FB49B7">
        <w:rPr>
          <w:rFonts w:ascii="Arial" w:hAnsi="Arial" w:cs="Arial"/>
        </w:rPr>
        <w:t xml:space="preserve">suggest that vaccine failure is more common for the additional PCV13 serotypes, especially </w:t>
      </w:r>
      <w:r w:rsidR="00A93188" w:rsidRPr="00FB49B7">
        <w:rPr>
          <w:rFonts w:ascii="Arial" w:hAnsi="Arial" w:cs="Arial"/>
        </w:rPr>
        <w:t>serotype 3</w:t>
      </w:r>
      <w:r w:rsidR="001458AD">
        <w:rPr>
          <w:rFonts w:ascii="Arial" w:hAnsi="Arial" w:cs="Arial"/>
        </w:rPr>
        <w:t>.</w:t>
      </w:r>
      <w:r w:rsidR="002B02B9">
        <w:rPr>
          <w:rFonts w:ascii="Arial" w:hAnsi="Arial" w:cs="Arial"/>
        </w:rPr>
        <w:t xml:space="preserve"> </w:t>
      </w:r>
    </w:p>
    <w:p w14:paraId="0513E499" w14:textId="77777777" w:rsidR="00E66C9D" w:rsidRDefault="00E66C9D" w:rsidP="00D474C8">
      <w:pPr>
        <w:spacing w:line="480" w:lineRule="auto"/>
        <w:rPr>
          <w:rFonts w:ascii="Arial" w:hAnsi="Arial" w:cs="Arial"/>
        </w:rPr>
      </w:pPr>
      <w:r w:rsidRPr="00E66C9D">
        <w:rPr>
          <w:rFonts w:ascii="Arial" w:hAnsi="Arial" w:cs="Arial"/>
          <w:b/>
          <w:sz w:val="24"/>
        </w:rPr>
        <w:t>CONCLUSIONS</w:t>
      </w:r>
    </w:p>
    <w:p w14:paraId="67357D99" w14:textId="77777777" w:rsidR="00A21D5D" w:rsidRPr="00FB49B7" w:rsidRDefault="00E66C9D" w:rsidP="00D474C8">
      <w:pPr>
        <w:spacing w:line="480" w:lineRule="auto"/>
        <w:rPr>
          <w:rFonts w:ascii="Arial" w:hAnsi="Arial" w:cs="Arial"/>
        </w:rPr>
      </w:pPr>
      <w:r>
        <w:rPr>
          <w:rFonts w:ascii="Arial" w:hAnsi="Arial" w:cs="Arial"/>
        </w:rPr>
        <w:t>M</w:t>
      </w:r>
      <w:r w:rsidR="00A93188" w:rsidRPr="00FB49B7">
        <w:rPr>
          <w:rFonts w:ascii="Arial" w:hAnsi="Arial" w:cs="Arial"/>
        </w:rPr>
        <w:t xml:space="preserve">ost children </w:t>
      </w:r>
      <w:r w:rsidR="00A11556" w:rsidRPr="00FB49B7">
        <w:rPr>
          <w:rFonts w:ascii="Arial" w:hAnsi="Arial" w:cs="Arial"/>
        </w:rPr>
        <w:t xml:space="preserve">with PCV13 failure </w:t>
      </w:r>
      <w:r w:rsidR="00A93188" w:rsidRPr="00FB49B7">
        <w:rPr>
          <w:rFonts w:ascii="Arial" w:hAnsi="Arial" w:cs="Arial"/>
        </w:rPr>
        <w:t xml:space="preserve">were healthy, </w:t>
      </w:r>
      <w:r w:rsidR="00B77FAB" w:rsidRPr="00FB49B7">
        <w:rPr>
          <w:rFonts w:ascii="Arial" w:hAnsi="Arial" w:cs="Arial"/>
        </w:rPr>
        <w:t>developed LRTI and survived their infection without long-term complications.</w:t>
      </w:r>
      <w:r w:rsidR="00683D74" w:rsidRPr="00FB49B7">
        <w:rPr>
          <w:rFonts w:ascii="Arial" w:hAnsi="Arial" w:cs="Arial"/>
        </w:rPr>
        <w:t xml:space="preserve"> </w:t>
      </w:r>
      <w:r w:rsidR="00A11556" w:rsidRPr="00FB49B7">
        <w:rPr>
          <w:rFonts w:ascii="Arial" w:hAnsi="Arial" w:cs="Arial"/>
        </w:rPr>
        <w:t xml:space="preserve">The </w:t>
      </w:r>
      <w:r w:rsidR="00A21D5D" w:rsidRPr="00FB49B7">
        <w:rPr>
          <w:rFonts w:ascii="Arial" w:hAnsi="Arial" w:cs="Arial"/>
        </w:rPr>
        <w:t>low prevalence of PCV7 failures after PCV13 introduct</w:t>
      </w:r>
      <w:r w:rsidR="008779F4" w:rsidRPr="00FB49B7">
        <w:rPr>
          <w:rFonts w:ascii="Arial" w:hAnsi="Arial" w:cs="Arial"/>
        </w:rPr>
        <w:t xml:space="preserve">ion </w:t>
      </w:r>
      <w:r w:rsidR="00A11556" w:rsidRPr="00FB49B7">
        <w:rPr>
          <w:rFonts w:ascii="Arial" w:hAnsi="Arial" w:cs="Arial"/>
        </w:rPr>
        <w:t xml:space="preserve">is reassuring </w:t>
      </w:r>
      <w:r w:rsidR="008779F4" w:rsidRPr="00FB49B7">
        <w:rPr>
          <w:rFonts w:ascii="Arial" w:hAnsi="Arial" w:cs="Arial"/>
        </w:rPr>
        <w:t xml:space="preserve">and </w:t>
      </w:r>
      <w:r w:rsidR="00A11556" w:rsidRPr="00FB49B7">
        <w:rPr>
          <w:rFonts w:ascii="Arial" w:hAnsi="Arial" w:cs="Arial"/>
        </w:rPr>
        <w:t xml:space="preserve">it is likely that </w:t>
      </w:r>
      <w:r w:rsidR="00A21D5D" w:rsidRPr="00FB49B7">
        <w:rPr>
          <w:rFonts w:ascii="Arial" w:hAnsi="Arial" w:cs="Arial"/>
        </w:rPr>
        <w:t>PCV13 failure</w:t>
      </w:r>
      <w:r w:rsidR="00A11556" w:rsidRPr="00FB49B7">
        <w:rPr>
          <w:rFonts w:ascii="Arial" w:hAnsi="Arial" w:cs="Arial"/>
        </w:rPr>
        <w:t xml:space="preserve">s will also decline </w:t>
      </w:r>
      <w:r w:rsidR="00415419">
        <w:rPr>
          <w:rFonts w:ascii="Arial" w:hAnsi="Arial" w:cs="Arial"/>
        </w:rPr>
        <w:t>in the coming years</w:t>
      </w:r>
      <w:r w:rsidR="00A21D5D" w:rsidRPr="00FB49B7">
        <w:rPr>
          <w:rFonts w:ascii="Arial" w:hAnsi="Arial" w:cs="Arial"/>
        </w:rPr>
        <w:t xml:space="preserve">. </w:t>
      </w:r>
      <w:r w:rsidR="00752DE7" w:rsidRPr="00FB49B7">
        <w:rPr>
          <w:rFonts w:ascii="Arial" w:hAnsi="Arial" w:cs="Arial"/>
        </w:rPr>
        <w:t xml:space="preserve">Given that most IPD cases are </w:t>
      </w:r>
      <w:r w:rsidR="00415419">
        <w:rPr>
          <w:rFonts w:ascii="Arial" w:hAnsi="Arial" w:cs="Arial"/>
        </w:rPr>
        <w:t xml:space="preserve">now </w:t>
      </w:r>
      <w:r w:rsidR="00752DE7" w:rsidRPr="00FB49B7">
        <w:rPr>
          <w:rFonts w:ascii="Arial" w:hAnsi="Arial" w:cs="Arial"/>
        </w:rPr>
        <w:t>due to non-</w:t>
      </w:r>
      <w:r w:rsidR="00B66186" w:rsidRPr="00FB49B7">
        <w:rPr>
          <w:rFonts w:ascii="Arial" w:hAnsi="Arial" w:cs="Arial"/>
        </w:rPr>
        <w:t xml:space="preserve">PCV13 </w:t>
      </w:r>
      <w:r w:rsidR="00752DE7" w:rsidRPr="00FB49B7">
        <w:rPr>
          <w:rFonts w:ascii="Arial" w:hAnsi="Arial" w:cs="Arial"/>
        </w:rPr>
        <w:t xml:space="preserve">serotypes, </w:t>
      </w:r>
      <w:r w:rsidR="00337C97" w:rsidRPr="00FB49B7">
        <w:rPr>
          <w:rFonts w:ascii="Arial" w:hAnsi="Arial" w:cs="Arial"/>
        </w:rPr>
        <w:t>there is an urgent need for serotype-independent subunit or whole-cell vaccine</w:t>
      </w:r>
      <w:r w:rsidR="005125B0">
        <w:rPr>
          <w:rFonts w:ascii="Arial" w:hAnsi="Arial" w:cs="Arial"/>
        </w:rPr>
        <w:t>s</w:t>
      </w:r>
      <w:r w:rsidR="00337C97" w:rsidRPr="00FB49B7">
        <w:rPr>
          <w:rFonts w:ascii="Arial" w:hAnsi="Arial" w:cs="Arial"/>
        </w:rPr>
        <w:t xml:space="preserve"> </w:t>
      </w:r>
      <w:r w:rsidR="0087220A" w:rsidRPr="00FB49B7">
        <w:rPr>
          <w:rFonts w:ascii="Arial" w:hAnsi="Arial" w:cs="Arial"/>
        </w:rPr>
        <w:t xml:space="preserve"> to control this devastating disease</w:t>
      </w:r>
      <w:r w:rsidR="003C0C31">
        <w:rPr>
          <w:rFonts w:ascii="Arial" w:hAnsi="Arial" w:cs="Arial"/>
        </w:rPr>
        <w:t xml:space="preserve"> </w:t>
      </w:r>
      <w:r w:rsidR="00D03F6E">
        <w:rPr>
          <w:rFonts w:ascii="Arial" w:hAnsi="Arial" w:cs="Arial"/>
        </w:rPr>
        <w:fldChar w:fldCharType="begin"/>
      </w:r>
      <w:r w:rsidR="00D40C16">
        <w:rPr>
          <w:rFonts w:ascii="Arial" w:hAnsi="Arial" w:cs="Arial"/>
        </w:rPr>
        <w:instrText xml:space="preserve"> ADDIN EN.CITE &lt;EndNote&gt;&lt;Cite&gt;&lt;Author&gt;Ladhani&lt;/Author&gt;&lt;Year&gt;2015&lt;/Year&gt;&lt;RecNum&gt;49&lt;/RecNum&gt;&lt;DisplayText&gt;[24]&lt;/DisplayText&gt;&lt;record&gt;&lt;rec-number&gt;49&lt;/rec-number&gt;&lt;foreign-keys&gt;&lt;key app="EN" db-id="rxxppfvvjfas5yeas2cx599btv52trewxvr5" timestamp="1473773391"&gt;49&lt;/key&gt;&lt;/foreign-keys&gt;&lt;ref-type name="Journal Article"&gt;17&lt;/ref-type&gt;&lt;contributors&gt;&lt;authors&gt;&lt;author&gt;Ladhani, Shamez N.&lt;/author&gt;&lt;author&gt;Ramsay, Mary E.&lt;/author&gt;&lt;/authors&gt;&lt;/contributors&gt;&lt;auth-address&gt;Immunisation Department, Public Health England, London, United Kingdom.&lt;/auth-address&gt;&lt;titles&gt;&lt;title&gt;Editorial Commentary: The Story of Sisyphus: Why We Need a Universal Pneumococcal Vaccine to Replace Current Conjugate Vaccines&lt;/title&gt;&lt;secondary-title&gt;Clinical infectious diseases : an official publication of the Infectious Diseases Society of America&lt;/secondary-title&gt;&lt;alt-title&gt;Clin Infect Dis&lt;/alt-title&gt;&lt;/titles&gt;&lt;periodical&gt;&lt;full-title&gt;Clin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America&lt;/abbr-1&gt;&lt;/alt-periodical&gt;&lt;pages&gt;776-778&lt;/pages&gt;&lt;volume&gt;61&lt;/volume&gt;&lt;number&gt;5&lt;/number&gt;&lt;keywords&gt;&lt;keyword&gt;Meningitis, Pneumococcal&lt;/keyword&gt;&lt;/keywords&gt;&lt;dates&gt;&lt;year&gt;2015&lt;/year&gt;&lt;pub-dates&gt;&lt;date&gt;2015/09//&lt;/date&gt;&lt;/pub-dates&gt;&lt;/dates&gt;&lt;isbn&gt;1058-4838&lt;/isbn&gt;&lt;accession-num&gt;25972021&lt;/accession-num&gt;&lt;urls&gt;&lt;related-urls&gt;&lt;url&gt;http://europepmc.org/abstract/MED/25972021&lt;/url&gt;&lt;url&gt;http://dx.doi.org/10.1093/cid/civ371&lt;/url&gt;&lt;/related-urls&gt;&lt;/urls&gt;&lt;electronic-resource-num&gt;10.1093/cid/civ371&lt;/electronic-resource-num&gt;&lt;remote-database-name&gt;PubMed&lt;/remote-database-name&gt;&lt;language&gt;eng&lt;/language&gt;&lt;/record&gt;&lt;/Cite&gt;&lt;/EndNote&gt;</w:instrText>
      </w:r>
      <w:r w:rsidR="00D03F6E">
        <w:rPr>
          <w:rFonts w:ascii="Arial" w:hAnsi="Arial" w:cs="Arial"/>
        </w:rPr>
        <w:fldChar w:fldCharType="separate"/>
      </w:r>
      <w:r w:rsidR="00D40C16">
        <w:rPr>
          <w:rFonts w:ascii="Arial" w:hAnsi="Arial" w:cs="Arial"/>
          <w:noProof/>
        </w:rPr>
        <w:t>[24]</w:t>
      </w:r>
      <w:r w:rsidR="00D03F6E">
        <w:rPr>
          <w:rFonts w:ascii="Arial" w:hAnsi="Arial" w:cs="Arial"/>
        </w:rPr>
        <w:fldChar w:fldCharType="end"/>
      </w:r>
      <w:r w:rsidR="003C0C31">
        <w:rPr>
          <w:rFonts w:ascii="Arial" w:hAnsi="Arial" w:cs="Arial"/>
        </w:rPr>
        <w:t>.</w:t>
      </w:r>
    </w:p>
    <w:p w14:paraId="0A204362" w14:textId="77777777" w:rsidR="00F03DB5" w:rsidRDefault="00F03DB5" w:rsidP="00D474C8">
      <w:pPr>
        <w:spacing w:line="480" w:lineRule="auto"/>
        <w:rPr>
          <w:rFonts w:ascii="Arial" w:hAnsi="Arial" w:cs="Arial"/>
        </w:rPr>
      </w:pPr>
    </w:p>
    <w:p w14:paraId="12C5B031" w14:textId="77777777" w:rsidR="00E00A09" w:rsidRDefault="00E00A09">
      <w:pPr>
        <w:spacing w:after="0" w:line="480" w:lineRule="auto"/>
        <w:rPr>
          <w:rFonts w:ascii="Arial" w:hAnsi="Arial" w:cs="Arial"/>
          <w:b/>
          <w:sz w:val="24"/>
        </w:rPr>
      </w:pPr>
    </w:p>
    <w:p w14:paraId="4504F402" w14:textId="77777777" w:rsidR="00E00A09" w:rsidRDefault="00E00A09">
      <w:pPr>
        <w:spacing w:after="0" w:line="480" w:lineRule="auto"/>
        <w:rPr>
          <w:rFonts w:ascii="Arial" w:hAnsi="Arial" w:cs="Arial"/>
          <w:b/>
          <w:sz w:val="24"/>
        </w:rPr>
      </w:pPr>
    </w:p>
    <w:p w14:paraId="6A11D102" w14:textId="77777777" w:rsidR="00260B90" w:rsidRPr="00260B90" w:rsidRDefault="00260B90">
      <w:pPr>
        <w:spacing w:after="0" w:line="480" w:lineRule="auto"/>
        <w:rPr>
          <w:rFonts w:ascii="Arial" w:hAnsi="Arial" w:cs="Arial"/>
          <w:b/>
          <w:sz w:val="24"/>
        </w:rPr>
      </w:pPr>
      <w:r w:rsidRPr="00260B90">
        <w:rPr>
          <w:rFonts w:ascii="Arial" w:hAnsi="Arial" w:cs="Arial"/>
          <w:b/>
          <w:sz w:val="24"/>
        </w:rPr>
        <w:t>ACKNOWLEDGMENTS</w:t>
      </w:r>
    </w:p>
    <w:p w14:paraId="488C233A" w14:textId="77777777" w:rsidR="007D755F" w:rsidRDefault="007D755F">
      <w:pPr>
        <w:spacing w:after="120" w:line="480" w:lineRule="auto"/>
      </w:pPr>
      <w:r w:rsidRPr="007D755F">
        <w:rPr>
          <w:rFonts w:ascii="Arial" w:hAnsi="Arial" w:cs="Arial"/>
        </w:rPr>
        <w:t xml:space="preserve">GO, SC and SNL </w:t>
      </w:r>
      <w:r w:rsidR="00415419">
        <w:rPr>
          <w:rFonts w:ascii="Arial" w:hAnsi="Arial" w:cs="Arial"/>
        </w:rPr>
        <w:t>reviewed</w:t>
      </w:r>
      <w:r w:rsidRPr="007D755F">
        <w:rPr>
          <w:rFonts w:ascii="Arial" w:hAnsi="Arial" w:cs="Arial"/>
        </w:rPr>
        <w:t xml:space="preserve"> the literature, analysed the data, wrote the first draft, and co-ordinated the production of the manuscript.</w:t>
      </w:r>
      <w:r>
        <w:t xml:space="preserve"> </w:t>
      </w:r>
      <w:r w:rsidR="00E66C9D" w:rsidRPr="00426EB7">
        <w:rPr>
          <w:rFonts w:ascii="Arial" w:hAnsi="Arial" w:cs="Arial"/>
          <w:color w:val="000000"/>
          <w:shd w:val="clear" w:color="auto" w:fill="FFFFFF"/>
        </w:rPr>
        <w:t>SC and SLN had full access to all the data in the study and take responsibility for the integrity of the data and the accuracy of the data analysis</w:t>
      </w:r>
      <w:r w:rsidR="00E66C9D">
        <w:rPr>
          <w:rFonts w:ascii="Arial" w:hAnsi="Arial" w:cs="Arial"/>
          <w:color w:val="000000"/>
          <w:shd w:val="clear" w:color="auto" w:fill="FFFFFF"/>
        </w:rPr>
        <w:t>.</w:t>
      </w:r>
      <w:r>
        <w:rPr>
          <w:rFonts w:ascii="Arial" w:hAnsi="Arial" w:cs="Arial"/>
          <w:color w:val="000000"/>
          <w:shd w:val="clear" w:color="auto" w:fill="FFFFFF"/>
        </w:rPr>
        <w:t xml:space="preserve"> </w:t>
      </w:r>
      <w:r w:rsidRPr="007D755F">
        <w:rPr>
          <w:rFonts w:ascii="Arial" w:hAnsi="Arial" w:cs="Arial"/>
        </w:rPr>
        <w:t>All authors were involved in the interpretation of the data and writing the report; all authors approved the final version.</w:t>
      </w:r>
      <w:r>
        <w:t xml:space="preserve"> </w:t>
      </w:r>
    </w:p>
    <w:p w14:paraId="43303852" w14:textId="77777777" w:rsidR="00E66C9D" w:rsidRDefault="00E66C9D">
      <w:pPr>
        <w:spacing w:after="0" w:line="480" w:lineRule="auto"/>
        <w:rPr>
          <w:rFonts w:ascii="Arial" w:hAnsi="Arial" w:cs="Arial"/>
        </w:rPr>
      </w:pPr>
    </w:p>
    <w:p w14:paraId="2BED69DF" w14:textId="77777777" w:rsidR="00E66C9D" w:rsidRPr="00E66C9D" w:rsidRDefault="00E66C9D">
      <w:pPr>
        <w:spacing w:after="0" w:line="480" w:lineRule="auto"/>
        <w:rPr>
          <w:rFonts w:ascii="Arial" w:hAnsi="Arial" w:cs="Arial"/>
          <w:b/>
        </w:rPr>
      </w:pPr>
      <w:r w:rsidRPr="00E66C9D">
        <w:rPr>
          <w:rFonts w:ascii="Arial" w:hAnsi="Arial" w:cs="Arial"/>
          <w:b/>
        </w:rPr>
        <w:t>Additional Contributions</w:t>
      </w:r>
    </w:p>
    <w:p w14:paraId="4E035FCF" w14:textId="4168D9C8" w:rsidR="00260B90" w:rsidRDefault="00260B90">
      <w:pPr>
        <w:spacing w:after="0" w:line="480" w:lineRule="auto"/>
        <w:rPr>
          <w:rFonts w:ascii="Arial" w:hAnsi="Arial" w:cs="Arial"/>
          <w:color w:val="2E2E2E"/>
          <w:shd w:val="clear" w:color="auto" w:fill="FFFFFF"/>
        </w:rPr>
      </w:pPr>
      <w:r w:rsidRPr="00260B90">
        <w:rPr>
          <w:rFonts w:ascii="Arial" w:hAnsi="Arial" w:cs="Arial"/>
        </w:rPr>
        <w:t xml:space="preserve">The authors would like to thank Mrs Rashmi Malkani </w:t>
      </w:r>
      <w:r w:rsidR="00016662">
        <w:rPr>
          <w:rFonts w:ascii="Arial" w:hAnsi="Arial" w:cs="Arial"/>
        </w:rPr>
        <w:t xml:space="preserve">and Ms Melissa Kephalas </w:t>
      </w:r>
      <w:r w:rsidRPr="00260B90">
        <w:rPr>
          <w:rFonts w:ascii="Arial" w:hAnsi="Arial" w:cs="Arial"/>
        </w:rPr>
        <w:t>for her</w:t>
      </w:r>
      <w:r>
        <w:rPr>
          <w:rFonts w:ascii="Arial" w:hAnsi="Arial" w:cs="Arial"/>
        </w:rPr>
        <w:t xml:space="preserve"> </w:t>
      </w:r>
      <w:r w:rsidRPr="00260B90">
        <w:rPr>
          <w:rFonts w:ascii="Arial" w:hAnsi="Arial" w:cs="Arial"/>
        </w:rPr>
        <w:t>assistance with the clinical follow-up of cases a</w:t>
      </w:r>
      <w:r w:rsidR="00016662">
        <w:rPr>
          <w:rFonts w:ascii="Arial" w:hAnsi="Arial" w:cs="Arial"/>
        </w:rPr>
        <w:t>n</w:t>
      </w:r>
      <w:r w:rsidRPr="00260B90">
        <w:rPr>
          <w:rFonts w:ascii="Arial" w:hAnsi="Arial" w:cs="Arial"/>
        </w:rPr>
        <w:t>d data entry. The authors are grateful to the general practitioners and clinicians who took the time to complete the surveillance questionnaires and provide addition</w:t>
      </w:r>
      <w:r w:rsidR="00540EE3">
        <w:rPr>
          <w:rFonts w:ascii="Arial" w:hAnsi="Arial" w:cs="Arial"/>
        </w:rPr>
        <w:t>al</w:t>
      </w:r>
      <w:r w:rsidRPr="00260B90">
        <w:rPr>
          <w:rFonts w:ascii="Arial" w:hAnsi="Arial" w:cs="Arial"/>
        </w:rPr>
        <w:t xml:space="preserve"> information when requested. </w:t>
      </w:r>
      <w:r w:rsidR="00110926">
        <w:rPr>
          <w:rFonts w:ascii="Arial" w:hAnsi="Arial" w:cs="Arial"/>
          <w:color w:val="2E2E2E"/>
          <w:shd w:val="clear" w:color="auto" w:fill="FFFFFF"/>
        </w:rPr>
        <w:t>We also thank Dr Derrick Crook and David Griffiths of the John Radcliffe Hospital Oxford for reporting IPD cases in Southern England serotyped by their laboratory.</w:t>
      </w:r>
    </w:p>
    <w:p w14:paraId="727F7332" w14:textId="77777777" w:rsidR="00110926" w:rsidRPr="00260B90" w:rsidRDefault="00110926">
      <w:pPr>
        <w:spacing w:after="0" w:line="480" w:lineRule="auto"/>
        <w:rPr>
          <w:rFonts w:ascii="Arial" w:hAnsi="Arial" w:cs="Arial"/>
          <w:sz w:val="24"/>
          <w:szCs w:val="24"/>
        </w:rPr>
      </w:pPr>
    </w:p>
    <w:p w14:paraId="1E732DB1" w14:textId="77777777" w:rsidR="00FF69FF" w:rsidRPr="00E66C9D" w:rsidRDefault="00FF69FF">
      <w:pPr>
        <w:spacing w:before="120" w:after="0" w:line="480" w:lineRule="auto"/>
        <w:rPr>
          <w:rFonts w:ascii="Arial" w:hAnsi="Arial" w:cs="Arial"/>
          <w:b/>
        </w:rPr>
      </w:pPr>
      <w:r w:rsidRPr="00E66C9D">
        <w:rPr>
          <w:rFonts w:ascii="Arial" w:hAnsi="Arial" w:cs="Arial"/>
          <w:b/>
        </w:rPr>
        <w:t>Ethical Approval</w:t>
      </w:r>
    </w:p>
    <w:p w14:paraId="43ACA1C3" w14:textId="77777777" w:rsidR="007D755F" w:rsidRDefault="00260B90">
      <w:pPr>
        <w:spacing w:after="120" w:line="480" w:lineRule="auto"/>
        <w:rPr>
          <w:b/>
          <w:sz w:val="24"/>
          <w:szCs w:val="24"/>
        </w:rPr>
      </w:pPr>
      <w:r w:rsidRPr="00260B90">
        <w:rPr>
          <w:rFonts w:ascii="Arial" w:hAnsi="Arial" w:cs="Arial"/>
          <w:color w:val="000000"/>
        </w:rPr>
        <w:t xml:space="preserve">PHE has legal permission, provided by Regulation 3 of The Health Service (Control of Patient </w:t>
      </w:r>
      <w:r w:rsidRPr="005438DD">
        <w:rPr>
          <w:rFonts w:ascii="Arial" w:hAnsi="Arial" w:cs="Arial"/>
          <w:color w:val="000000" w:themeColor="text1"/>
        </w:rPr>
        <w:t xml:space="preserve">Information) Regulations 2002, to process patient confidential information for national surveillance of communicable diseases </w:t>
      </w:r>
      <w:r w:rsidRPr="00260B90">
        <w:rPr>
          <w:rFonts w:ascii="Arial" w:hAnsi="Arial" w:cs="Arial"/>
          <w:color w:val="000000"/>
        </w:rPr>
        <w:t>(</w:t>
      </w:r>
      <w:hyperlink r:id="rId11" w:tgtFrame="_blank" w:history="1">
        <w:r w:rsidRPr="00260B90">
          <w:rPr>
            <w:rStyle w:val="Hyperlink"/>
            <w:rFonts w:ascii="Arial" w:hAnsi="Arial" w:cs="Arial"/>
          </w:rPr>
          <w:t>http://www.legislation.gov.uk/uksi/2002/1438/regulation/3/made</w:t>
        </w:r>
      </w:hyperlink>
      <w:r w:rsidRPr="00260B90">
        <w:rPr>
          <w:rFonts w:ascii="Arial" w:hAnsi="Arial" w:cs="Arial"/>
          <w:color w:val="000000"/>
        </w:rPr>
        <w:t>). This includes PHE’s responsibility to monitor the safety and effectiveness of vaccines</w:t>
      </w:r>
      <w:r w:rsidR="00415419">
        <w:rPr>
          <w:rFonts w:ascii="Arial" w:hAnsi="Arial" w:cs="Arial"/>
          <w:color w:val="000000"/>
        </w:rPr>
        <w:t>.</w:t>
      </w:r>
    </w:p>
    <w:p w14:paraId="50C69419" w14:textId="77777777" w:rsidR="00E00A09" w:rsidRDefault="00E00A09">
      <w:pPr>
        <w:spacing w:after="120" w:line="480" w:lineRule="auto"/>
        <w:rPr>
          <w:rFonts w:ascii="Arial" w:hAnsi="Arial" w:cs="Arial"/>
          <w:b/>
        </w:rPr>
      </w:pPr>
    </w:p>
    <w:p w14:paraId="6D2C7040" w14:textId="77777777" w:rsidR="007D755F" w:rsidRPr="007D755F" w:rsidRDefault="007D755F">
      <w:pPr>
        <w:spacing w:after="120" w:line="480" w:lineRule="auto"/>
        <w:rPr>
          <w:rFonts w:ascii="Arial" w:hAnsi="Arial" w:cs="Arial"/>
          <w:b/>
        </w:rPr>
      </w:pPr>
      <w:r w:rsidRPr="007D755F">
        <w:rPr>
          <w:rFonts w:ascii="Arial" w:hAnsi="Arial" w:cs="Arial"/>
          <w:b/>
        </w:rPr>
        <w:t>Funding/Support</w:t>
      </w:r>
    </w:p>
    <w:p w14:paraId="5CDB3A0A" w14:textId="77777777" w:rsidR="007D755F" w:rsidRPr="007D755F" w:rsidRDefault="007D755F">
      <w:pPr>
        <w:spacing w:after="120" w:line="480" w:lineRule="auto"/>
        <w:rPr>
          <w:rFonts w:ascii="Arial" w:hAnsi="Arial" w:cs="Arial"/>
          <w:b/>
        </w:rPr>
      </w:pPr>
      <w:r w:rsidRPr="007D755F">
        <w:rPr>
          <w:rFonts w:ascii="Arial" w:hAnsi="Arial" w:cs="Arial"/>
        </w:rPr>
        <w:t xml:space="preserve">No external funding was received for the </w:t>
      </w:r>
      <w:r w:rsidRPr="007D755F">
        <w:rPr>
          <w:rFonts w:ascii="Arial" w:hAnsi="Arial" w:cs="Arial"/>
          <w:color w:val="000000"/>
          <w:shd w:val="clear" w:color="auto" w:fill="FFFFFF"/>
        </w:rPr>
        <w:t>design and conduct of the study; collection, management, analysis, and interpretation of the data; and preparation, review, or approval of the manuscript; and decision to submit the manuscript for publication.</w:t>
      </w:r>
    </w:p>
    <w:p w14:paraId="614E75F6" w14:textId="77777777" w:rsidR="00426EB7" w:rsidRPr="00426EB7" w:rsidRDefault="00426EB7">
      <w:pPr>
        <w:spacing w:after="0" w:line="480" w:lineRule="auto"/>
        <w:rPr>
          <w:rFonts w:ascii="Arial" w:hAnsi="Arial" w:cs="Arial"/>
        </w:rPr>
      </w:pPr>
    </w:p>
    <w:p w14:paraId="1A104087" w14:textId="77777777" w:rsidR="00260B90" w:rsidRPr="00260B90" w:rsidRDefault="00260B90">
      <w:pPr>
        <w:spacing w:after="0" w:line="480" w:lineRule="auto"/>
        <w:rPr>
          <w:rFonts w:ascii="Arial" w:hAnsi="Arial" w:cs="Arial"/>
          <w:b/>
        </w:rPr>
      </w:pPr>
      <w:r w:rsidRPr="00260B90">
        <w:rPr>
          <w:rFonts w:ascii="Arial" w:hAnsi="Arial" w:cs="Arial"/>
          <w:b/>
        </w:rPr>
        <w:t>Conflicts of interest</w:t>
      </w:r>
    </w:p>
    <w:p w14:paraId="7C882C91" w14:textId="77777777" w:rsidR="00260B90" w:rsidRPr="00260B90" w:rsidRDefault="00260B90">
      <w:pPr>
        <w:spacing w:after="0" w:line="480" w:lineRule="auto"/>
        <w:rPr>
          <w:rFonts w:ascii="Arial" w:hAnsi="Arial" w:cs="Arial"/>
        </w:rPr>
      </w:pPr>
      <w:r w:rsidRPr="00260B90">
        <w:rPr>
          <w:rFonts w:ascii="Arial" w:hAnsi="Arial" w:cs="Arial"/>
        </w:rPr>
        <w:t>No external funding was received for this piece of work. SC</w:t>
      </w:r>
      <w:r w:rsidR="00415419">
        <w:rPr>
          <w:rFonts w:ascii="Arial" w:hAnsi="Arial" w:cs="Arial"/>
        </w:rPr>
        <w:t>, NA</w:t>
      </w:r>
      <w:r>
        <w:rPr>
          <w:rFonts w:ascii="Arial" w:hAnsi="Arial" w:cs="Arial"/>
        </w:rPr>
        <w:t xml:space="preserve"> and</w:t>
      </w:r>
      <w:r w:rsidRPr="00260B90">
        <w:rPr>
          <w:rFonts w:ascii="Arial" w:hAnsi="Arial" w:cs="Arial"/>
        </w:rPr>
        <w:t xml:space="preserve"> S</w:t>
      </w:r>
      <w:r>
        <w:rPr>
          <w:rFonts w:ascii="Arial" w:hAnsi="Arial" w:cs="Arial"/>
        </w:rPr>
        <w:t>NL</w:t>
      </w:r>
      <w:r w:rsidRPr="00260B90">
        <w:rPr>
          <w:rFonts w:ascii="Arial" w:hAnsi="Arial" w:cs="Arial"/>
        </w:rPr>
        <w:t xml:space="preserve"> have provided vaccine manufactures with post-marketing surveillance reports which the companies are required to submit to the UK Licensing authority in compliance with their Risk Management Strategy. In accordance with PHE policy a cost recovery charge is made for these reports payable to the Immunisation department. Public Health England has received payment for lectures given by and </w:t>
      </w:r>
      <w:r w:rsidR="009C5462">
        <w:rPr>
          <w:rFonts w:ascii="Arial" w:hAnsi="Arial" w:cs="Arial"/>
        </w:rPr>
        <w:t>RB</w:t>
      </w:r>
      <w:r w:rsidR="009C5462" w:rsidRPr="00260B90">
        <w:rPr>
          <w:rFonts w:ascii="Arial" w:hAnsi="Arial" w:cs="Arial"/>
        </w:rPr>
        <w:t xml:space="preserve"> </w:t>
      </w:r>
      <w:r w:rsidRPr="00260B90">
        <w:rPr>
          <w:rFonts w:ascii="Arial" w:hAnsi="Arial" w:cs="Arial"/>
        </w:rPr>
        <w:t>from GSK, Baxter, SPMSD, and Novartis</w:t>
      </w:r>
      <w:r w:rsidRPr="00D03F6E">
        <w:rPr>
          <w:rFonts w:ascii="Arial" w:hAnsi="Arial" w:cs="Arial"/>
        </w:rPr>
        <w:t>.</w:t>
      </w:r>
      <w:r w:rsidR="00D03F6E" w:rsidRPr="00D03F6E">
        <w:rPr>
          <w:rFonts w:ascii="Arial" w:eastAsia="Times New Roman" w:hAnsi="Arial" w:cs="Arial"/>
          <w:color w:val="000000"/>
        </w:rPr>
        <w:t xml:space="preserve"> MPES has </w:t>
      </w:r>
      <w:r w:rsidR="00D03F6E" w:rsidRPr="00D03F6E">
        <w:rPr>
          <w:rFonts w:ascii="Arial" w:eastAsia="Times New Roman" w:hAnsi="Arial" w:cs="Arial"/>
        </w:rPr>
        <w:t>received funding from Pfizer and Sanofi Pasteur for participation in Advisory Boards and from GSK and Astra Zeneca for participation in Symposia at International Scientific Meetings</w:t>
      </w:r>
      <w:r w:rsidR="00D03F6E">
        <w:rPr>
          <w:rFonts w:eastAsia="Times New Roman"/>
        </w:rPr>
        <w:t xml:space="preserve">. </w:t>
      </w:r>
      <w:r w:rsidR="00D03F6E" w:rsidRPr="00D03F6E">
        <w:rPr>
          <w:rFonts w:ascii="Arial" w:eastAsia="Times New Roman" w:hAnsi="Arial" w:cs="Arial"/>
          <w:color w:val="000000"/>
        </w:rPr>
        <w:t xml:space="preserve">RB </w:t>
      </w:r>
      <w:r w:rsidR="00415419">
        <w:rPr>
          <w:rFonts w:ascii="Arial" w:eastAsia="Times New Roman" w:hAnsi="Arial" w:cs="Arial"/>
          <w:color w:val="000000"/>
        </w:rPr>
        <w:t xml:space="preserve">and SNL </w:t>
      </w:r>
      <w:r w:rsidR="00D03F6E" w:rsidRPr="00D03F6E">
        <w:rPr>
          <w:rFonts w:ascii="Arial" w:eastAsia="Times New Roman" w:hAnsi="Arial" w:cs="Arial"/>
          <w:color w:val="000000"/>
        </w:rPr>
        <w:t>perform contract research on behalf of Public Health England for GSK, Novartis, Pfizer and Sanofi Pasteur.</w:t>
      </w:r>
    </w:p>
    <w:p w14:paraId="0F22B95B" w14:textId="77777777" w:rsidR="00260B90" w:rsidRDefault="00260B90">
      <w:pPr>
        <w:spacing w:after="0" w:line="480" w:lineRule="auto"/>
        <w:rPr>
          <w:rFonts w:ascii="Arial" w:hAnsi="Arial" w:cs="Arial"/>
          <w:sz w:val="20"/>
        </w:rPr>
      </w:pPr>
    </w:p>
    <w:p w14:paraId="422D8324" w14:textId="77777777" w:rsidR="008E6087" w:rsidRPr="00FB49B7" w:rsidRDefault="008E6087">
      <w:pPr>
        <w:spacing w:after="0" w:line="480" w:lineRule="auto"/>
        <w:rPr>
          <w:rFonts w:ascii="Arial" w:hAnsi="Arial" w:cs="Arial"/>
          <w:sz w:val="20"/>
          <w:highlight w:val="yellow"/>
        </w:rPr>
      </w:pPr>
    </w:p>
    <w:p w14:paraId="7C4DE20B" w14:textId="77777777" w:rsidR="00BF383A" w:rsidRDefault="00BF383A">
      <w:pPr>
        <w:rPr>
          <w:rFonts w:ascii="Calibri" w:hAnsi="Calibri"/>
          <w:noProof/>
          <w:lang w:val="en-US"/>
        </w:rPr>
      </w:pPr>
      <w:r>
        <w:br w:type="page"/>
      </w:r>
    </w:p>
    <w:p w14:paraId="670CE6EC" w14:textId="18BF41D9" w:rsidR="00D40C16" w:rsidRPr="003D7431" w:rsidRDefault="00D03F6E" w:rsidP="003D7431">
      <w:pPr>
        <w:pStyle w:val="EndNoteBibliographyTitle"/>
        <w:spacing w:line="480" w:lineRule="auto"/>
        <w:jc w:val="left"/>
        <w:rPr>
          <w:b/>
          <w:sz w:val="28"/>
        </w:rPr>
      </w:pPr>
      <w:r w:rsidRPr="00082523">
        <w:fldChar w:fldCharType="begin"/>
      </w:r>
      <w:r w:rsidRPr="00082523">
        <w:instrText xml:space="preserve"> ADDIN EN.REFLIST </w:instrText>
      </w:r>
      <w:r w:rsidRPr="00082523">
        <w:fldChar w:fldCharType="separate"/>
      </w:r>
      <w:r w:rsidR="00D40C16" w:rsidRPr="003D7431">
        <w:rPr>
          <w:b/>
          <w:sz w:val="28"/>
        </w:rPr>
        <w:t>References</w:t>
      </w:r>
    </w:p>
    <w:p w14:paraId="7503ECAF" w14:textId="77777777" w:rsidR="00D40C16" w:rsidRPr="00D40C16" w:rsidRDefault="00D40C16" w:rsidP="00D40C16">
      <w:pPr>
        <w:pStyle w:val="EndNoteBibliographyTitle"/>
        <w:spacing w:line="480" w:lineRule="auto"/>
      </w:pPr>
    </w:p>
    <w:p w14:paraId="329BE691" w14:textId="34A5A770" w:rsidR="00D40C16" w:rsidRPr="00D40C16" w:rsidRDefault="00D40C16" w:rsidP="00D40C16">
      <w:pPr>
        <w:pStyle w:val="EndNoteBibliography"/>
        <w:spacing w:after="0" w:line="480" w:lineRule="auto"/>
        <w:ind w:left="720" w:hanging="720"/>
      </w:pPr>
      <w:r w:rsidRPr="00D40C16">
        <w:t>1.</w:t>
      </w:r>
      <w:r w:rsidRPr="00D40C16">
        <w:tab/>
        <w:t xml:space="preserve">Department of Health. Planned changes to the routine Childhood Immunisation Programme. </w:t>
      </w:r>
      <w:r w:rsidRPr="00D40C16">
        <w:rPr>
          <w:b/>
        </w:rPr>
        <w:t>2006</w:t>
      </w:r>
      <w:r w:rsidRPr="00D40C16">
        <w:t>.</w:t>
      </w:r>
      <w:r w:rsidR="00731E0F">
        <w:t xml:space="preserve"> Available from: </w:t>
      </w:r>
      <w:r w:rsidR="00731E0F" w:rsidRPr="00731E0F">
        <w:t>http://webarchive.nationalarchives.gov.uk/20130107105354/http:/www.dh.gov.uk/en/Publicationsandstatistics/Lettersandcirculars/Professionalletters/Chiefmedicalofficerletters/DH_4137171</w:t>
      </w:r>
      <w:r w:rsidR="00731E0F">
        <w:t>. Accessed 12 April 2017.</w:t>
      </w:r>
    </w:p>
    <w:p w14:paraId="21E91F38" w14:textId="77777777" w:rsidR="00D40C16" w:rsidRPr="00D40C16" w:rsidRDefault="00D40C16" w:rsidP="00D40C16">
      <w:pPr>
        <w:pStyle w:val="EndNoteBibliography"/>
        <w:spacing w:after="0" w:line="480" w:lineRule="auto"/>
        <w:ind w:left="720" w:hanging="720"/>
      </w:pPr>
      <w:r w:rsidRPr="00D40C16">
        <w:t>2.</w:t>
      </w:r>
      <w:r w:rsidRPr="00D40C16">
        <w:tab/>
        <w:t xml:space="preserve">van Hoek AJ, Andrews N, Waight PA, et al. The effect of underlying clinical conditions on the risk of developing invasive pneumococcal disease in England. J Infect </w:t>
      </w:r>
      <w:r w:rsidRPr="00D40C16">
        <w:rPr>
          <w:b/>
        </w:rPr>
        <w:t>2012</w:t>
      </w:r>
      <w:r w:rsidRPr="00D40C16">
        <w:t>; 65(1): 17-24.</w:t>
      </w:r>
    </w:p>
    <w:p w14:paraId="075F7952" w14:textId="77777777" w:rsidR="00D40C16" w:rsidRPr="00D40C16" w:rsidRDefault="00D40C16" w:rsidP="00D40C16">
      <w:pPr>
        <w:pStyle w:val="EndNoteBibliography"/>
        <w:spacing w:after="0" w:line="480" w:lineRule="auto"/>
        <w:ind w:left="720" w:hanging="720"/>
      </w:pPr>
      <w:r w:rsidRPr="00D40C16">
        <w:t>3.</w:t>
      </w:r>
      <w:r w:rsidRPr="00D40C16">
        <w:tab/>
        <w:t xml:space="preserve">Miller E, Andrews NJ, Waight PA, Slack MP, George RC. Herd immunity and serotype replacement 4 years after seven-valent pneumococcal conjugate vaccination in England and Wales: an observational cohort study. Lancet Infect Dis </w:t>
      </w:r>
      <w:r w:rsidRPr="00D40C16">
        <w:rPr>
          <w:b/>
        </w:rPr>
        <w:t>2011</w:t>
      </w:r>
      <w:r w:rsidRPr="00D40C16">
        <w:t>; 11(10): 760-8.</w:t>
      </w:r>
    </w:p>
    <w:p w14:paraId="74BDE753" w14:textId="77777777" w:rsidR="00D40C16" w:rsidRPr="00D40C16" w:rsidRDefault="00D40C16" w:rsidP="00D40C16">
      <w:pPr>
        <w:pStyle w:val="EndNoteBibliography"/>
        <w:spacing w:after="0" w:line="480" w:lineRule="auto"/>
        <w:ind w:left="720" w:hanging="720"/>
      </w:pPr>
      <w:r w:rsidRPr="00D40C16">
        <w:t>4.</w:t>
      </w:r>
      <w:r w:rsidRPr="00D40C16">
        <w:tab/>
        <w:t xml:space="preserve">Waight PA, Andrews NJ, Ladhani SN, Sheppard CL, Slack MPE, Miller E. Effect of the 13-valent pneumococcal conjugate vaccine on invasive pneumococcal disease in England and Wales 4 years after its introduction: an observational cohort study. Lancet Infect Dis </w:t>
      </w:r>
      <w:r w:rsidRPr="00D40C16">
        <w:rPr>
          <w:b/>
        </w:rPr>
        <w:t>2015</w:t>
      </w:r>
      <w:r w:rsidRPr="00D40C16">
        <w:t>; 15(5): 535-43.</w:t>
      </w:r>
    </w:p>
    <w:p w14:paraId="34603F42" w14:textId="77777777" w:rsidR="00D40C16" w:rsidRPr="00D40C16" w:rsidRDefault="00D40C16" w:rsidP="00D40C16">
      <w:pPr>
        <w:pStyle w:val="EndNoteBibliography"/>
        <w:spacing w:after="0" w:line="480" w:lineRule="auto"/>
        <w:ind w:left="720" w:hanging="720"/>
      </w:pPr>
      <w:r w:rsidRPr="00D40C16">
        <w:t>5.</w:t>
      </w:r>
      <w:r w:rsidRPr="00D40C16">
        <w:tab/>
        <w:t xml:space="preserve">Ladhani SN, Slack MPE, Andrews NJ, Waight PA, Borrow R, Miller E. Invasive pneumococcal disease after routine pneumococcal conjugate vaccination in children, England and Wales. Emerg Infect Dis </w:t>
      </w:r>
      <w:r w:rsidRPr="00D40C16">
        <w:rPr>
          <w:b/>
        </w:rPr>
        <w:t>2013</w:t>
      </w:r>
      <w:r w:rsidRPr="00D40C16">
        <w:t>; 19(1): 61-8.</w:t>
      </w:r>
    </w:p>
    <w:p w14:paraId="6B67943A" w14:textId="69B9A2BC" w:rsidR="00D40C16" w:rsidRPr="00D40C16" w:rsidRDefault="00D40C16" w:rsidP="00D40C16">
      <w:pPr>
        <w:pStyle w:val="EndNoteBibliography"/>
        <w:spacing w:after="0" w:line="480" w:lineRule="auto"/>
        <w:ind w:left="720" w:hanging="720"/>
      </w:pPr>
      <w:r w:rsidRPr="00D40C16">
        <w:t>6.</w:t>
      </w:r>
      <w:r w:rsidRPr="00D40C16">
        <w:tab/>
        <w:t xml:space="preserve">Salisbury D, Ramsay M, Noakes K. Immunisation against infectious disease: The Stationery Office, </w:t>
      </w:r>
      <w:r w:rsidRPr="00D40C16">
        <w:rPr>
          <w:b/>
        </w:rPr>
        <w:t>2006</w:t>
      </w:r>
      <w:r w:rsidRPr="00D40C16">
        <w:t>.</w:t>
      </w:r>
      <w:r w:rsidR="00FF6E12">
        <w:t xml:space="preserve"> Available from: </w:t>
      </w:r>
      <w:r w:rsidR="00FF6E12" w:rsidRPr="00FF6E12">
        <w:t>https://www.gov.uk/government/collections/immunisation-against-infectious-disease-the-green-book</w:t>
      </w:r>
      <w:r w:rsidR="00FF6E12">
        <w:t>. Accessed: 12 April 2017</w:t>
      </w:r>
    </w:p>
    <w:p w14:paraId="7FAE5952" w14:textId="6E77B115" w:rsidR="00D40C16" w:rsidRPr="00D40C16" w:rsidRDefault="00D40C16" w:rsidP="00D40C16">
      <w:pPr>
        <w:pStyle w:val="EndNoteBibliography"/>
        <w:spacing w:after="0" w:line="480" w:lineRule="auto"/>
        <w:ind w:left="720" w:hanging="720"/>
      </w:pPr>
      <w:r w:rsidRPr="00D40C16">
        <w:t>7.</w:t>
      </w:r>
      <w:r w:rsidRPr="00D40C16">
        <w:tab/>
        <w:t xml:space="preserve">Public Health England. Quarterly vaccine coverage data tables. </w:t>
      </w:r>
      <w:r w:rsidRPr="00D40C16">
        <w:rPr>
          <w:b/>
        </w:rPr>
        <w:t>2016</w:t>
      </w:r>
      <w:r w:rsidRPr="00D40C16">
        <w:t>.</w:t>
      </w:r>
      <w:r w:rsidR="00FF6E12">
        <w:t xml:space="preserve"> Available from: </w:t>
      </w:r>
      <w:r w:rsidR="00FF6E12" w:rsidRPr="00FF6E12">
        <w:t>https://www.gov.uk/government/collections/vaccine-uptake</w:t>
      </w:r>
      <w:r w:rsidR="00FF6E12">
        <w:t>. Accessed: 12 April 2017.</w:t>
      </w:r>
    </w:p>
    <w:p w14:paraId="5EA5A07D" w14:textId="77777777" w:rsidR="00D40C16" w:rsidRPr="00D40C16" w:rsidRDefault="00D40C16" w:rsidP="00D40C16">
      <w:pPr>
        <w:pStyle w:val="EndNoteBibliography"/>
        <w:spacing w:after="0" w:line="480" w:lineRule="auto"/>
        <w:ind w:left="720" w:hanging="720"/>
      </w:pPr>
      <w:r w:rsidRPr="00D40C16">
        <w:t>8.</w:t>
      </w:r>
      <w:r w:rsidRPr="00D40C16">
        <w:tab/>
        <w:t xml:space="preserve">Stanford E, Ladhani S, Slack M, et al. Pneumococcal Serotype–specific Unresponsiveness in Vaccinated Child with Cochlear Implant. Emerg Infect Dis </w:t>
      </w:r>
      <w:r w:rsidRPr="00D40C16">
        <w:rPr>
          <w:b/>
        </w:rPr>
        <w:t>2012</w:t>
      </w:r>
      <w:r w:rsidRPr="00D40C16">
        <w:t>; 18(6): 1024-6.</w:t>
      </w:r>
    </w:p>
    <w:p w14:paraId="130AC570" w14:textId="77777777" w:rsidR="00D40C16" w:rsidRPr="00D40C16" w:rsidRDefault="00D40C16" w:rsidP="00D40C16">
      <w:pPr>
        <w:pStyle w:val="EndNoteBibliography"/>
        <w:spacing w:after="0" w:line="480" w:lineRule="auto"/>
        <w:ind w:left="720" w:hanging="720"/>
      </w:pPr>
      <w:r w:rsidRPr="00D40C16">
        <w:t>9.</w:t>
      </w:r>
      <w:r w:rsidRPr="00D40C16">
        <w:tab/>
        <w:t xml:space="preserve">Heath PT, Booy R, Azzopardi HJ, et al. Antibody concentration and clinical protection after Hib conjugate vaccination in the United Kingdom. JAMA </w:t>
      </w:r>
      <w:r w:rsidRPr="00D40C16">
        <w:rPr>
          <w:b/>
        </w:rPr>
        <w:t>2000</w:t>
      </w:r>
      <w:r w:rsidRPr="00D40C16">
        <w:t>; 284(18): 2334-40.</w:t>
      </w:r>
    </w:p>
    <w:p w14:paraId="1F450DFD" w14:textId="77777777" w:rsidR="00D40C16" w:rsidRPr="00D40C16" w:rsidRDefault="00D40C16" w:rsidP="00D40C16">
      <w:pPr>
        <w:pStyle w:val="EndNoteBibliography"/>
        <w:spacing w:after="0" w:line="480" w:lineRule="auto"/>
        <w:ind w:left="720" w:hanging="720"/>
      </w:pPr>
      <w:r w:rsidRPr="00D40C16">
        <w:t>10.</w:t>
      </w:r>
      <w:r w:rsidRPr="00D40C16">
        <w:tab/>
        <w:t xml:space="preserve">Auckland C, Gray S, Borrow R, et al. Clinical and immunologic risk factors for meningococcal C conjugate vaccine failure in the United Kingdom. J Infect Dis </w:t>
      </w:r>
      <w:r w:rsidRPr="00D40C16">
        <w:rPr>
          <w:b/>
        </w:rPr>
        <w:t>2006</w:t>
      </w:r>
      <w:r w:rsidRPr="00D40C16">
        <w:t>; 194(12): 1745-52.</w:t>
      </w:r>
    </w:p>
    <w:p w14:paraId="37367482" w14:textId="77777777" w:rsidR="00D40C16" w:rsidRPr="00D40C16" w:rsidRDefault="00D40C16" w:rsidP="00D40C16">
      <w:pPr>
        <w:pStyle w:val="EndNoteBibliography"/>
        <w:spacing w:after="0" w:line="480" w:lineRule="auto"/>
        <w:ind w:left="720" w:hanging="720"/>
      </w:pPr>
      <w:r w:rsidRPr="00D40C16">
        <w:t>11.</w:t>
      </w:r>
      <w:r w:rsidRPr="00D40C16">
        <w:tab/>
        <w:t xml:space="preserve">Goldblatt D, Southern J, Ashton L, et al. Immunogenicity of a reduced schedule of pneumococcal conjugate vaccine in healthy infants and correlates of protection for serotype 6B in the United Kingdom. Pediatr Infect Dis J </w:t>
      </w:r>
      <w:r w:rsidRPr="00D40C16">
        <w:rPr>
          <w:b/>
        </w:rPr>
        <w:t>2010</w:t>
      </w:r>
      <w:r w:rsidRPr="00D40C16">
        <w:t>; 29(5): 401-5.</w:t>
      </w:r>
    </w:p>
    <w:p w14:paraId="3F2071A6" w14:textId="77777777" w:rsidR="00D40C16" w:rsidRPr="00D40C16" w:rsidRDefault="00D40C16" w:rsidP="00D40C16">
      <w:pPr>
        <w:pStyle w:val="EndNoteBibliography"/>
        <w:spacing w:after="0" w:line="480" w:lineRule="auto"/>
        <w:ind w:left="720" w:hanging="720"/>
      </w:pPr>
      <w:r w:rsidRPr="00D40C16">
        <w:t>12.</w:t>
      </w:r>
      <w:r w:rsidRPr="00D40C16">
        <w:tab/>
        <w:t xml:space="preserve">Andrews N, Waight PA, Borrow R, et al. Using the indirect cohort design to estimate the effectiveness of the seven valent pneumococcal conjugate vaccine in England and Wales. PLoS One </w:t>
      </w:r>
      <w:r w:rsidRPr="00D40C16">
        <w:rPr>
          <w:b/>
        </w:rPr>
        <w:t>2011</w:t>
      </w:r>
      <w:r w:rsidRPr="00D40C16">
        <w:t>; 6(12): e28435.</w:t>
      </w:r>
    </w:p>
    <w:p w14:paraId="5AB4BFA6" w14:textId="77777777" w:rsidR="00D40C16" w:rsidRPr="00D40C16" w:rsidRDefault="00D40C16" w:rsidP="00D40C16">
      <w:pPr>
        <w:pStyle w:val="EndNoteBibliography"/>
        <w:spacing w:after="0" w:line="480" w:lineRule="auto"/>
        <w:ind w:left="720" w:hanging="720"/>
      </w:pPr>
      <w:r w:rsidRPr="00D40C16">
        <w:t>13.</w:t>
      </w:r>
      <w:r w:rsidRPr="00D40C16">
        <w:tab/>
        <w:t xml:space="preserve">Park SY, Van Beneden CA, Pilishvili T, et al. Invasive pneumococcal infections among vaccinated children in the United States. J Pediatr </w:t>
      </w:r>
      <w:r w:rsidRPr="00D40C16">
        <w:rPr>
          <w:b/>
        </w:rPr>
        <w:t>2010</w:t>
      </w:r>
      <w:r w:rsidRPr="00D40C16">
        <w:t>; 156(3): 478-83.e2.</w:t>
      </w:r>
    </w:p>
    <w:p w14:paraId="6329350B" w14:textId="77777777" w:rsidR="00D40C16" w:rsidRPr="00D40C16" w:rsidRDefault="00D40C16" w:rsidP="00D40C16">
      <w:pPr>
        <w:pStyle w:val="EndNoteBibliography"/>
        <w:spacing w:after="0" w:line="480" w:lineRule="auto"/>
        <w:ind w:left="720" w:hanging="720"/>
      </w:pPr>
      <w:r w:rsidRPr="00D40C16">
        <w:t>14.</w:t>
      </w:r>
      <w:r w:rsidRPr="00D40C16">
        <w:tab/>
        <w:t xml:space="preserve">Andrews NJ, Waight PA, Burbidge P, et al. Serotype-specific effectiveness and correlates of protection for the 13-valent pneumococcal conjugate vaccine: a postlicensure indirect cohort study. Lancet Infect Dis </w:t>
      </w:r>
      <w:r w:rsidRPr="00D40C16">
        <w:rPr>
          <w:b/>
        </w:rPr>
        <w:t>2014</w:t>
      </w:r>
      <w:r w:rsidRPr="00D40C16">
        <w:t>; 14(9): 839-46.</w:t>
      </w:r>
    </w:p>
    <w:p w14:paraId="3EE4DCDC" w14:textId="77777777" w:rsidR="00D40C16" w:rsidRPr="00D40C16" w:rsidRDefault="00D40C16" w:rsidP="00D40C16">
      <w:pPr>
        <w:pStyle w:val="EndNoteBibliography"/>
        <w:spacing w:after="0" w:line="480" w:lineRule="auto"/>
        <w:ind w:left="720" w:hanging="720"/>
      </w:pPr>
      <w:r w:rsidRPr="00D40C16">
        <w:t>15.</w:t>
      </w:r>
      <w:r w:rsidRPr="00D40C16">
        <w:tab/>
        <w:t xml:space="preserve">Moore MR, Link-Gelles R, Schaffner W, et al. Effect of use of 13-valent pneumococcal conjugate vaccine in children on invasive pneumococcal disease in children and adults in the USA: analysis of multisite, population-based surveillance. Lancet Infect Dis </w:t>
      </w:r>
      <w:r w:rsidRPr="00D40C16">
        <w:rPr>
          <w:b/>
        </w:rPr>
        <w:t>2015</w:t>
      </w:r>
      <w:r w:rsidRPr="00D40C16">
        <w:t>; 15(3): 301-9.</w:t>
      </w:r>
    </w:p>
    <w:p w14:paraId="6CF9B30B" w14:textId="77777777" w:rsidR="00D40C16" w:rsidRPr="00D40C16" w:rsidRDefault="00D40C16" w:rsidP="00D40C16">
      <w:pPr>
        <w:pStyle w:val="EndNoteBibliography"/>
        <w:spacing w:after="0" w:line="480" w:lineRule="auto"/>
        <w:ind w:left="720" w:hanging="720"/>
      </w:pPr>
      <w:r w:rsidRPr="00D40C16">
        <w:t>16.</w:t>
      </w:r>
      <w:r w:rsidRPr="00D40C16">
        <w:tab/>
        <w:t xml:space="preserve">Snape MD, Klinger CL, Daniels ED, et al. Immunogenicity and reactogenicity of a 13-valent-pneumococcal conjugate vaccine administered at 2, 4, and 12 months of age: a double-blind randomized active-controlled trial. Pediatr Infect Dis J </w:t>
      </w:r>
      <w:r w:rsidRPr="00D40C16">
        <w:rPr>
          <w:b/>
        </w:rPr>
        <w:t>2010</w:t>
      </w:r>
      <w:r w:rsidRPr="00D40C16">
        <w:t>; 29(12): e80-90.</w:t>
      </w:r>
    </w:p>
    <w:p w14:paraId="4256A601" w14:textId="77777777" w:rsidR="00D40C16" w:rsidRPr="00D40C16" w:rsidRDefault="00D40C16" w:rsidP="00D40C16">
      <w:pPr>
        <w:pStyle w:val="EndNoteBibliography"/>
        <w:spacing w:after="0" w:line="480" w:lineRule="auto"/>
        <w:ind w:left="720" w:hanging="720"/>
      </w:pPr>
      <w:r w:rsidRPr="00D40C16">
        <w:t>17.</w:t>
      </w:r>
      <w:r w:rsidRPr="00D40C16">
        <w:tab/>
        <w:t xml:space="preserve">Heath PT, Booy R, Griffiths H, et al. Clinical and immunological risk factors associated with Haemophilus influenzae type b conjugate vaccine failure in childhood. Clinical infectious diseases : an official publication of the Infectious Diseases Society of America </w:t>
      </w:r>
      <w:r w:rsidRPr="00D40C16">
        <w:rPr>
          <w:b/>
        </w:rPr>
        <w:t>2000</w:t>
      </w:r>
      <w:r w:rsidRPr="00D40C16">
        <w:t>; 31(4): 973-80.</w:t>
      </w:r>
    </w:p>
    <w:p w14:paraId="112B5BB1" w14:textId="77777777" w:rsidR="00D40C16" w:rsidRPr="00D40C16" w:rsidRDefault="00D40C16" w:rsidP="00D40C16">
      <w:pPr>
        <w:pStyle w:val="EndNoteBibliography"/>
        <w:spacing w:after="0" w:line="480" w:lineRule="auto"/>
        <w:ind w:left="720" w:hanging="720"/>
      </w:pPr>
      <w:r w:rsidRPr="00D40C16">
        <w:t>18.</w:t>
      </w:r>
      <w:r w:rsidRPr="00D40C16">
        <w:tab/>
        <w:t xml:space="preserve">Stanford E, Ladhani S, Borrow R, et al. Immunoglobulin G deficiency in United kingdom children with invasive pneumococcal disease. Pediatr Infect Dis J </w:t>
      </w:r>
      <w:r w:rsidRPr="00D40C16">
        <w:rPr>
          <w:b/>
        </w:rPr>
        <w:t>2011</w:t>
      </w:r>
      <w:r w:rsidRPr="00D40C16">
        <w:t>; 30(6): 462-5.</w:t>
      </w:r>
    </w:p>
    <w:p w14:paraId="47695B49" w14:textId="77777777" w:rsidR="00D40C16" w:rsidRPr="00D40C16" w:rsidRDefault="00D40C16" w:rsidP="00D40C16">
      <w:pPr>
        <w:pStyle w:val="EndNoteBibliography"/>
        <w:spacing w:after="0" w:line="480" w:lineRule="auto"/>
        <w:ind w:left="720" w:hanging="720"/>
      </w:pPr>
      <w:r w:rsidRPr="00D40C16">
        <w:t>19.</w:t>
      </w:r>
      <w:r w:rsidRPr="00D40C16">
        <w:tab/>
        <w:t xml:space="preserve">Brousseau N, Andrews N, Waight P, et al. Antibody concentrations against the infecting serotype in vaccinated and unvaccinated children with invasive pneumococcal disease in the United Kingdom, 2006-2013. Clinical infectious diseases : an official publication of the Infectious Diseases Society of America </w:t>
      </w:r>
      <w:r w:rsidRPr="00D40C16">
        <w:rPr>
          <w:b/>
        </w:rPr>
        <w:t>2015</w:t>
      </w:r>
      <w:r w:rsidRPr="00D40C16">
        <w:t>; 60(12): 1793-801.</w:t>
      </w:r>
    </w:p>
    <w:p w14:paraId="2FDFCC06" w14:textId="77777777" w:rsidR="00D40C16" w:rsidRPr="00D40C16" w:rsidRDefault="00D40C16" w:rsidP="00D40C16">
      <w:pPr>
        <w:pStyle w:val="EndNoteBibliography"/>
        <w:spacing w:after="0" w:line="480" w:lineRule="auto"/>
        <w:ind w:left="720" w:hanging="720"/>
      </w:pPr>
      <w:r w:rsidRPr="00D40C16">
        <w:t>20.</w:t>
      </w:r>
      <w:r w:rsidRPr="00D40C16">
        <w:tab/>
        <w:t xml:space="preserve">Gaschignard J, Levy C, Chrabieh M, et al. Invasive pneumococcal disease in children can reveal a primary immunodeficiency. Clin Infect Dis </w:t>
      </w:r>
      <w:r w:rsidRPr="00D40C16">
        <w:rPr>
          <w:b/>
        </w:rPr>
        <w:t>2014</w:t>
      </w:r>
      <w:r w:rsidRPr="00D40C16">
        <w:t>; 59(2): 244-51.</w:t>
      </w:r>
    </w:p>
    <w:p w14:paraId="37A2C71D" w14:textId="77777777" w:rsidR="00D40C16" w:rsidRPr="00D40C16" w:rsidRDefault="00D40C16" w:rsidP="00D40C16">
      <w:pPr>
        <w:pStyle w:val="EndNoteBibliography"/>
        <w:spacing w:after="0" w:line="480" w:lineRule="auto"/>
        <w:ind w:left="720" w:hanging="720"/>
      </w:pPr>
      <w:r w:rsidRPr="00D40C16">
        <w:t>21.</w:t>
      </w:r>
      <w:r w:rsidRPr="00D40C16">
        <w:tab/>
        <w:t xml:space="preserve">Bustamante J, Boisson-Dupuis S, Jouanguy E, et al. Novel primary immunodeficiencies revealed by the investigation of paediatric infectious diseases. Curr Opin Immunol </w:t>
      </w:r>
      <w:r w:rsidRPr="00D40C16">
        <w:rPr>
          <w:b/>
        </w:rPr>
        <w:t>2008</w:t>
      </w:r>
      <w:r w:rsidRPr="00D40C16">
        <w:t>; 20(1): 39-48.</w:t>
      </w:r>
    </w:p>
    <w:p w14:paraId="7ABD8191" w14:textId="77777777" w:rsidR="00D40C16" w:rsidRPr="00D40C16" w:rsidRDefault="00D40C16" w:rsidP="00D40C16">
      <w:pPr>
        <w:pStyle w:val="EndNoteBibliography"/>
        <w:spacing w:after="0" w:line="480" w:lineRule="auto"/>
        <w:ind w:left="720" w:hanging="720"/>
      </w:pPr>
      <w:r w:rsidRPr="00D40C16">
        <w:t>22.</w:t>
      </w:r>
      <w:r w:rsidRPr="00D40C16">
        <w:tab/>
        <w:t xml:space="preserve">Ingels H, Schejbel L, Lundstedt AC, et al. Immunodeficiency among children with recurrent invasive pneumococcal disease. Pediatr Infect Dis J </w:t>
      </w:r>
      <w:r w:rsidRPr="00D40C16">
        <w:rPr>
          <w:b/>
        </w:rPr>
        <w:t>2015</w:t>
      </w:r>
      <w:r w:rsidRPr="00D40C16">
        <w:t>; 34(6): 644-51.</w:t>
      </w:r>
    </w:p>
    <w:p w14:paraId="5320964E" w14:textId="77777777" w:rsidR="00D40C16" w:rsidRPr="00D40C16" w:rsidRDefault="00D40C16" w:rsidP="00D40C16">
      <w:pPr>
        <w:pStyle w:val="EndNoteBibliography"/>
        <w:spacing w:after="0" w:line="480" w:lineRule="auto"/>
        <w:ind w:left="720" w:hanging="720"/>
      </w:pPr>
      <w:r w:rsidRPr="00D40C16">
        <w:t>23.</w:t>
      </w:r>
      <w:r w:rsidRPr="00D40C16">
        <w:tab/>
        <w:t xml:space="preserve">Lees EA, Ho DKK, Guiver M, Mankhambo LA, French N, Carrol ED. Comparison of Binax NOW urine antigen test and pneumococcal DNA assay using qPCR before and after nasopharyngeal swabbing in healthy Malawian children. New Microbes and New Infections </w:t>
      </w:r>
      <w:r w:rsidRPr="00D40C16">
        <w:rPr>
          <w:b/>
        </w:rPr>
        <w:t>2015</w:t>
      </w:r>
      <w:r w:rsidRPr="00D40C16">
        <w:t>; 8: 4-6.</w:t>
      </w:r>
    </w:p>
    <w:p w14:paraId="24330747" w14:textId="77777777" w:rsidR="00D40C16" w:rsidRPr="00D40C16" w:rsidRDefault="00D40C16" w:rsidP="00D40C16">
      <w:pPr>
        <w:pStyle w:val="EndNoteBibliography"/>
        <w:spacing w:after="0" w:line="480" w:lineRule="auto"/>
        <w:ind w:left="720" w:hanging="720"/>
      </w:pPr>
      <w:r w:rsidRPr="00D40C16">
        <w:t>24.</w:t>
      </w:r>
      <w:r w:rsidRPr="00D40C16">
        <w:tab/>
        <w:t xml:space="preserve">Ladhani SN, Ramsay ME. Editorial Commentary: The Story of Sisyphus: Why We Need a Universal Pneumococcal Vaccine to Replace Current Conjugate Vaccines. Clinical infectious diseases : an official publication of the Infectious Diseases Society of America </w:t>
      </w:r>
      <w:r w:rsidRPr="00D40C16">
        <w:rPr>
          <w:b/>
        </w:rPr>
        <w:t>2015</w:t>
      </w:r>
      <w:r w:rsidRPr="00D40C16">
        <w:t>; 61(5): 776-8.</w:t>
      </w:r>
    </w:p>
    <w:p w14:paraId="54AAF992" w14:textId="77777777" w:rsidR="008E6087" w:rsidRDefault="00D03F6E" w:rsidP="00D40C16">
      <w:pPr>
        <w:spacing w:after="0" w:line="480" w:lineRule="auto"/>
        <w:rPr>
          <w:rFonts w:ascii="Arial" w:hAnsi="Arial" w:cs="Arial"/>
          <w:b/>
          <w:sz w:val="20"/>
        </w:rPr>
      </w:pPr>
      <w:r w:rsidRPr="00082523">
        <w:rPr>
          <w:rFonts w:ascii="Arial" w:hAnsi="Arial" w:cs="Arial"/>
          <w:b/>
        </w:rPr>
        <w:fldChar w:fldCharType="end"/>
      </w:r>
    </w:p>
    <w:p w14:paraId="3E353A85" w14:textId="77777777" w:rsidR="00D85630" w:rsidRDefault="00D85630" w:rsidP="00243476">
      <w:pPr>
        <w:spacing w:after="0" w:line="480" w:lineRule="auto"/>
        <w:rPr>
          <w:rFonts w:ascii="Arial" w:hAnsi="Arial" w:cs="Arial"/>
          <w:b/>
          <w:sz w:val="20"/>
        </w:rPr>
      </w:pPr>
    </w:p>
    <w:p w14:paraId="1B12CA0C" w14:textId="77777777" w:rsidR="00D85630" w:rsidRDefault="00D85630" w:rsidP="00D40C16">
      <w:pPr>
        <w:pageBreakBefore/>
        <w:spacing w:after="0" w:line="480" w:lineRule="auto"/>
        <w:rPr>
          <w:rFonts w:ascii="Arial" w:hAnsi="Arial" w:cs="Arial"/>
          <w:b/>
          <w:sz w:val="20"/>
        </w:rPr>
      </w:pPr>
      <w:r>
        <w:rPr>
          <w:rFonts w:ascii="Arial" w:hAnsi="Arial" w:cs="Arial"/>
          <w:b/>
          <w:sz w:val="20"/>
        </w:rPr>
        <w:t>LIST OF FIGURES</w:t>
      </w:r>
    </w:p>
    <w:p w14:paraId="3ADDFE02" w14:textId="77777777" w:rsidR="00D85630" w:rsidRDefault="00D85630" w:rsidP="00243476">
      <w:pPr>
        <w:keepNext/>
        <w:spacing w:after="0" w:line="480" w:lineRule="auto"/>
        <w:rPr>
          <w:rFonts w:ascii="Arial" w:hAnsi="Arial" w:cs="Arial"/>
          <w:b/>
        </w:rPr>
      </w:pPr>
    </w:p>
    <w:p w14:paraId="71666FC9" w14:textId="77777777" w:rsidR="004F534C" w:rsidRPr="00D474C8" w:rsidRDefault="006B274F" w:rsidP="00D474C8">
      <w:pPr>
        <w:keepNext/>
        <w:spacing w:after="0" w:line="480" w:lineRule="auto"/>
        <w:rPr>
          <w:rFonts w:ascii="Arial" w:hAnsi="Arial" w:cs="Arial"/>
          <w:b/>
        </w:rPr>
      </w:pPr>
      <w:r>
        <w:rPr>
          <w:rFonts w:ascii="Arial" w:hAnsi="Arial" w:cs="Arial"/>
          <w:b/>
        </w:rPr>
        <w:t>Figure</w:t>
      </w:r>
      <w:r w:rsidR="004F534C">
        <w:rPr>
          <w:rFonts w:ascii="Arial" w:hAnsi="Arial" w:cs="Arial"/>
          <w:b/>
        </w:rPr>
        <w:t xml:space="preserve"> 1</w:t>
      </w:r>
      <w:r w:rsidR="00D85630" w:rsidRPr="003067EA">
        <w:rPr>
          <w:rFonts w:ascii="Arial" w:hAnsi="Arial" w:cs="Arial"/>
          <w:b/>
        </w:rPr>
        <w:t xml:space="preserve">. </w:t>
      </w:r>
      <w:r w:rsidR="004F534C" w:rsidRPr="009D4692">
        <w:rPr>
          <w:rFonts w:ascii="Arial" w:hAnsi="Arial" w:cs="Arial"/>
        </w:rPr>
        <w:t xml:space="preserve">Incidence of pneumococcal conjugate vaccine (PCV) failure </w:t>
      </w:r>
      <w:r w:rsidR="004F534C">
        <w:rPr>
          <w:rFonts w:ascii="Arial" w:hAnsi="Arial" w:cs="Arial"/>
        </w:rPr>
        <w:t xml:space="preserve">(A) by </w:t>
      </w:r>
      <w:r w:rsidR="004F534C" w:rsidRPr="009D4692">
        <w:rPr>
          <w:rFonts w:ascii="Arial" w:hAnsi="Arial" w:cs="Arial"/>
        </w:rPr>
        <w:t xml:space="preserve">immunisation schedule </w:t>
      </w:r>
      <w:r w:rsidR="004F534C">
        <w:rPr>
          <w:rFonts w:ascii="Arial" w:hAnsi="Arial" w:cs="Arial"/>
        </w:rPr>
        <w:t xml:space="preserve">and (B) due to individual serotypes by </w:t>
      </w:r>
      <w:r w:rsidR="004F534C" w:rsidRPr="009D4692">
        <w:rPr>
          <w:rFonts w:ascii="Arial" w:hAnsi="Arial" w:cs="Arial"/>
        </w:rPr>
        <w:t>surveillance year (September to August of the following year)</w:t>
      </w:r>
      <w:r w:rsidR="004F534C">
        <w:rPr>
          <w:rFonts w:ascii="Arial" w:hAnsi="Arial" w:cs="Arial"/>
        </w:rPr>
        <w:t xml:space="preserve"> in England And Wales. Figure 1C depicts the proportional change in clinical presentation over the 8-year surveillance period.</w:t>
      </w:r>
    </w:p>
    <w:p w14:paraId="01DB62CA" w14:textId="77777777" w:rsidR="004F534C" w:rsidRDefault="004F534C" w:rsidP="00243476">
      <w:pPr>
        <w:keepNext/>
        <w:spacing w:after="0" w:line="480" w:lineRule="auto"/>
        <w:rPr>
          <w:rFonts w:ascii="Arial" w:hAnsi="Arial" w:cs="Arial"/>
          <w:b/>
        </w:rPr>
      </w:pPr>
    </w:p>
    <w:p w14:paraId="5869A118" w14:textId="3B97120E" w:rsidR="004F534C" w:rsidRPr="003D021C" w:rsidRDefault="004F534C" w:rsidP="00243476">
      <w:pPr>
        <w:keepNext/>
        <w:spacing w:after="0" w:line="480" w:lineRule="auto"/>
        <w:rPr>
          <w:rFonts w:ascii="Arial" w:hAnsi="Arial" w:cs="Arial"/>
        </w:rPr>
      </w:pPr>
      <w:r>
        <w:rPr>
          <w:rFonts w:ascii="Arial" w:hAnsi="Arial" w:cs="Arial"/>
          <w:b/>
        </w:rPr>
        <w:t xml:space="preserve">Figure 2. </w:t>
      </w:r>
      <w:r w:rsidR="00DD48BF">
        <w:rPr>
          <w:rFonts w:ascii="Arial" w:hAnsi="Arial" w:cs="Arial"/>
          <w:b/>
        </w:rPr>
        <w:t>Number of vaccine failure cases by age in months following a two-dose infant priming schedule with the 7-valent (PCV7) and the 13-valent (PCV13) pneumococcal conjugate vaccine</w:t>
      </w:r>
      <w:r w:rsidR="002E5330">
        <w:rPr>
          <w:rFonts w:ascii="Arial" w:hAnsi="Arial" w:cs="Arial"/>
          <w:b/>
        </w:rPr>
        <w:t xml:space="preserve"> (A) and </w:t>
      </w:r>
      <w:r w:rsidR="00DD48BF">
        <w:rPr>
          <w:rFonts w:ascii="Arial" w:hAnsi="Arial" w:cs="Arial"/>
          <w:b/>
        </w:rPr>
        <w:t>by individual serotypes</w:t>
      </w:r>
      <w:r w:rsidR="002E5330">
        <w:rPr>
          <w:rFonts w:ascii="Arial" w:hAnsi="Arial" w:cs="Arial"/>
          <w:b/>
        </w:rPr>
        <w:t xml:space="preserve"> (B)</w:t>
      </w:r>
      <w:r w:rsidR="00C73E17">
        <w:rPr>
          <w:rFonts w:ascii="Arial" w:hAnsi="Arial" w:cs="Arial"/>
          <w:b/>
        </w:rPr>
        <w:t>.</w:t>
      </w:r>
      <w:r w:rsidR="003D021C">
        <w:rPr>
          <w:rFonts w:ascii="Arial" w:hAnsi="Arial" w:cs="Arial"/>
          <w:b/>
        </w:rPr>
        <w:t xml:space="preserve"> </w:t>
      </w:r>
      <w:r w:rsidR="003D021C">
        <w:rPr>
          <w:rFonts w:ascii="Arial" w:hAnsi="Arial" w:cs="Arial"/>
        </w:rPr>
        <w:t xml:space="preserve">Note that the vaccine failures in the first 4 years (2006/7 to 2009/10) included </w:t>
      </w:r>
      <w:r w:rsidR="00BF6291">
        <w:rPr>
          <w:rFonts w:ascii="Arial" w:hAnsi="Arial" w:cs="Arial"/>
        </w:rPr>
        <w:t xml:space="preserve">only </w:t>
      </w:r>
      <w:r w:rsidR="003D021C">
        <w:rPr>
          <w:rFonts w:ascii="Arial" w:hAnsi="Arial" w:cs="Arial"/>
        </w:rPr>
        <w:t xml:space="preserve">the 7 serotypes in PCV7, while those in the latter 4 years </w:t>
      </w:r>
      <w:r w:rsidR="00B602B2">
        <w:rPr>
          <w:rFonts w:ascii="Arial" w:hAnsi="Arial" w:cs="Arial"/>
        </w:rPr>
        <w:t xml:space="preserve">(2010/11 to </w:t>
      </w:r>
      <w:r w:rsidR="003D021C">
        <w:rPr>
          <w:rFonts w:ascii="Arial" w:hAnsi="Arial" w:cs="Arial"/>
        </w:rPr>
        <w:t xml:space="preserve">2013/14) included </w:t>
      </w:r>
      <w:r w:rsidR="001B516E">
        <w:rPr>
          <w:rFonts w:ascii="Arial" w:hAnsi="Arial" w:cs="Arial"/>
        </w:rPr>
        <w:t xml:space="preserve">all </w:t>
      </w:r>
      <w:r w:rsidR="003D021C">
        <w:rPr>
          <w:rFonts w:ascii="Arial" w:hAnsi="Arial" w:cs="Arial"/>
        </w:rPr>
        <w:t>the 13 serotypes in PCV13</w:t>
      </w:r>
      <w:r w:rsidR="00BF6291">
        <w:rPr>
          <w:rFonts w:ascii="Arial" w:hAnsi="Arial" w:cs="Arial"/>
        </w:rPr>
        <w:t>.</w:t>
      </w:r>
    </w:p>
    <w:p w14:paraId="6755FB06" w14:textId="77777777" w:rsidR="00DD48BF" w:rsidRDefault="00DD48BF" w:rsidP="00243476">
      <w:pPr>
        <w:keepNext/>
        <w:spacing w:after="0" w:line="480" w:lineRule="auto"/>
        <w:rPr>
          <w:rFonts w:ascii="Arial" w:hAnsi="Arial" w:cs="Arial"/>
          <w:b/>
        </w:rPr>
      </w:pPr>
    </w:p>
    <w:p w14:paraId="688BF5D6" w14:textId="77777777" w:rsidR="00D85630" w:rsidRDefault="00DD48BF" w:rsidP="00243476">
      <w:pPr>
        <w:keepNext/>
        <w:spacing w:after="0" w:line="480" w:lineRule="auto"/>
        <w:rPr>
          <w:rFonts w:ascii="Arial" w:hAnsi="Arial" w:cs="Arial"/>
          <w:b/>
        </w:rPr>
      </w:pPr>
      <w:r>
        <w:rPr>
          <w:rFonts w:ascii="Arial" w:hAnsi="Arial" w:cs="Arial"/>
          <w:b/>
        </w:rPr>
        <w:t xml:space="preserve">Figure 3. </w:t>
      </w:r>
      <w:r w:rsidR="00D85630" w:rsidRPr="003067EA">
        <w:rPr>
          <w:rFonts w:ascii="Arial" w:hAnsi="Arial" w:cs="Arial"/>
          <w:b/>
        </w:rPr>
        <w:t xml:space="preserve">Serotype distribution </w:t>
      </w:r>
      <w:r w:rsidR="00277BFC">
        <w:rPr>
          <w:rFonts w:ascii="Arial" w:hAnsi="Arial" w:cs="Arial"/>
          <w:b/>
        </w:rPr>
        <w:t>by co-morbidity status among children with pneumococcal conjugate vaccine failure in England and Wales, 2006-2014</w:t>
      </w:r>
      <w:r w:rsidR="00D85630" w:rsidRPr="003067EA">
        <w:rPr>
          <w:rFonts w:ascii="Arial" w:hAnsi="Arial" w:cs="Arial"/>
          <w:b/>
        </w:rPr>
        <w:t xml:space="preserve"> </w:t>
      </w:r>
    </w:p>
    <w:p w14:paraId="5C62F8B8" w14:textId="77777777" w:rsidR="00D85630" w:rsidRPr="00FB49B7" w:rsidRDefault="00D85630" w:rsidP="00285CC2">
      <w:pPr>
        <w:spacing w:after="0" w:line="480" w:lineRule="auto"/>
        <w:rPr>
          <w:rFonts w:ascii="Arial" w:hAnsi="Arial" w:cs="Arial"/>
          <w:noProof/>
          <w:sz w:val="20"/>
          <w:lang w:val="en-US"/>
        </w:rPr>
      </w:pPr>
    </w:p>
    <w:p w14:paraId="5BEC8CD9" w14:textId="77777777" w:rsidR="00D85630" w:rsidRPr="00FB49B7" w:rsidRDefault="00D85630" w:rsidP="00243476">
      <w:pPr>
        <w:spacing w:after="0" w:line="480" w:lineRule="auto"/>
        <w:rPr>
          <w:rFonts w:ascii="Arial" w:hAnsi="Arial" w:cs="Arial"/>
          <w:highlight w:val="yellow"/>
        </w:rPr>
      </w:pPr>
    </w:p>
    <w:p w14:paraId="1CE45127" w14:textId="77777777" w:rsidR="008E6087" w:rsidRPr="00FB49B7" w:rsidRDefault="008E6087" w:rsidP="00285CC2">
      <w:pPr>
        <w:spacing w:after="0" w:line="480" w:lineRule="auto"/>
        <w:rPr>
          <w:rFonts w:ascii="Arial" w:hAnsi="Arial" w:cs="Arial"/>
          <w:sz w:val="20"/>
          <w:highlight w:val="yellow"/>
        </w:rPr>
      </w:pPr>
    </w:p>
    <w:p w14:paraId="7E0A035B" w14:textId="77777777" w:rsidR="00A9789E" w:rsidRPr="00FB49B7" w:rsidRDefault="00A9789E">
      <w:pPr>
        <w:spacing w:after="0" w:line="480" w:lineRule="auto"/>
        <w:jc w:val="both"/>
        <w:rPr>
          <w:rFonts w:ascii="Arial" w:eastAsia="Times New Roman" w:hAnsi="Arial" w:cs="Arial"/>
          <w:color w:val="000000"/>
          <w:sz w:val="20"/>
        </w:rPr>
        <w:sectPr w:rsidR="00A9789E" w:rsidRPr="00FB49B7" w:rsidSect="00BE2C5E">
          <w:pgSz w:w="11906" w:h="16838"/>
          <w:pgMar w:top="1440" w:right="1080" w:bottom="1440" w:left="1080" w:header="709" w:footer="709" w:gutter="0"/>
          <w:cols w:space="708"/>
          <w:docGrid w:linePitch="360"/>
        </w:sectPr>
      </w:pPr>
    </w:p>
    <w:p w14:paraId="612FB11E" w14:textId="77777777" w:rsidR="003B5832" w:rsidRPr="000E71C4" w:rsidRDefault="003B5832" w:rsidP="003B5832">
      <w:pPr>
        <w:pStyle w:val="Caption"/>
        <w:keepNext/>
        <w:spacing w:after="0" w:line="360" w:lineRule="auto"/>
        <w:jc w:val="both"/>
        <w:rPr>
          <w:rFonts w:ascii="Arial" w:hAnsi="Arial" w:cs="Arial"/>
          <w:color w:val="000000" w:themeColor="text1"/>
          <w:sz w:val="22"/>
          <w:szCs w:val="22"/>
        </w:rPr>
      </w:pPr>
      <w:r w:rsidRPr="000E71C4">
        <w:rPr>
          <w:rFonts w:ascii="Arial" w:hAnsi="Arial" w:cs="Arial"/>
          <w:color w:val="000000" w:themeColor="text1"/>
          <w:sz w:val="22"/>
          <w:szCs w:val="22"/>
        </w:rPr>
        <w:t xml:space="preserve">Table </w:t>
      </w:r>
      <w:r w:rsidRPr="000E71C4">
        <w:rPr>
          <w:rFonts w:ascii="Arial" w:hAnsi="Arial" w:cs="Arial"/>
          <w:color w:val="000000" w:themeColor="text1"/>
          <w:sz w:val="22"/>
          <w:szCs w:val="22"/>
        </w:rPr>
        <w:fldChar w:fldCharType="begin"/>
      </w:r>
      <w:r w:rsidRPr="000E71C4">
        <w:rPr>
          <w:rFonts w:ascii="Arial" w:hAnsi="Arial" w:cs="Arial"/>
          <w:color w:val="000000" w:themeColor="text1"/>
          <w:sz w:val="22"/>
          <w:szCs w:val="22"/>
        </w:rPr>
        <w:instrText xml:space="preserve"> SEQ Table \* ARABIC </w:instrText>
      </w:r>
      <w:r w:rsidRPr="000E71C4">
        <w:rPr>
          <w:rFonts w:ascii="Arial" w:hAnsi="Arial" w:cs="Arial"/>
          <w:color w:val="000000" w:themeColor="text1"/>
          <w:sz w:val="22"/>
          <w:szCs w:val="22"/>
        </w:rPr>
        <w:fldChar w:fldCharType="separate"/>
      </w:r>
      <w:r>
        <w:rPr>
          <w:rFonts w:ascii="Arial" w:hAnsi="Arial" w:cs="Arial"/>
          <w:noProof/>
          <w:color w:val="000000" w:themeColor="text1"/>
          <w:sz w:val="22"/>
          <w:szCs w:val="22"/>
        </w:rPr>
        <w:t>1</w:t>
      </w:r>
      <w:r w:rsidRPr="000E71C4">
        <w:rPr>
          <w:rFonts w:ascii="Arial" w:hAnsi="Arial" w:cs="Arial"/>
          <w:color w:val="000000" w:themeColor="text1"/>
          <w:sz w:val="22"/>
          <w:szCs w:val="22"/>
        </w:rPr>
        <w:fldChar w:fldCharType="end"/>
      </w:r>
      <w:r w:rsidRPr="000E71C4">
        <w:rPr>
          <w:rFonts w:ascii="Arial" w:hAnsi="Arial" w:cs="Arial"/>
          <w:color w:val="000000" w:themeColor="text1"/>
          <w:sz w:val="22"/>
          <w:szCs w:val="22"/>
        </w:rPr>
        <w:t xml:space="preserve">. </w:t>
      </w:r>
      <w:r w:rsidRPr="000E71C4">
        <w:rPr>
          <w:rFonts w:ascii="Arial" w:eastAsia="Times New Roman" w:hAnsi="Arial" w:cs="Arial"/>
          <w:color w:val="000000" w:themeColor="text1"/>
          <w:sz w:val="22"/>
          <w:szCs w:val="22"/>
        </w:rPr>
        <w:t>Characteristics of children with vaccine failure in the cohort eligible for PCV7 and PCV13, England and Wales.</w:t>
      </w:r>
    </w:p>
    <w:tbl>
      <w:tblPr>
        <w:tblStyle w:val="TableGrid"/>
        <w:tblW w:w="5140" w:type="pct"/>
        <w:tblInd w:w="-318" w:type="dxa"/>
        <w:tblLayout w:type="fixed"/>
        <w:tblLook w:val="04A0" w:firstRow="1" w:lastRow="0" w:firstColumn="1" w:lastColumn="0" w:noHBand="0" w:noVBand="1"/>
      </w:tblPr>
      <w:tblGrid>
        <w:gridCol w:w="1986"/>
        <w:gridCol w:w="1454"/>
        <w:gridCol w:w="1507"/>
        <w:gridCol w:w="1507"/>
        <w:gridCol w:w="1369"/>
        <w:gridCol w:w="1513"/>
        <w:gridCol w:w="1580"/>
        <w:gridCol w:w="1571"/>
        <w:gridCol w:w="1406"/>
        <w:gridCol w:w="1418"/>
      </w:tblGrid>
      <w:tr w:rsidR="00CF42CB" w:rsidRPr="00415419" w14:paraId="05C38DD2" w14:textId="77777777" w:rsidTr="00D474C8">
        <w:trPr>
          <w:trHeight w:val="480"/>
        </w:trPr>
        <w:tc>
          <w:tcPr>
            <w:tcW w:w="649" w:type="pct"/>
            <w:vMerge w:val="restart"/>
            <w:vAlign w:val="center"/>
          </w:tcPr>
          <w:p w14:paraId="7DAABDDC" w14:textId="77777777" w:rsidR="00CF42CB" w:rsidRPr="00557679" w:rsidRDefault="00CF42CB" w:rsidP="00D474C8">
            <w:pPr>
              <w:spacing w:line="360" w:lineRule="auto"/>
              <w:rPr>
                <w:rFonts w:ascii="Arial" w:eastAsia="Times New Roman" w:hAnsi="Arial" w:cs="Arial"/>
                <w:color w:val="000000"/>
                <w:sz w:val="20"/>
                <w:szCs w:val="20"/>
              </w:rPr>
            </w:pPr>
          </w:p>
        </w:tc>
        <w:tc>
          <w:tcPr>
            <w:tcW w:w="475" w:type="pct"/>
            <w:vMerge w:val="restart"/>
            <w:vAlign w:val="center"/>
          </w:tcPr>
          <w:p w14:paraId="1A42ABB1" w14:textId="77777777" w:rsidR="00CF42CB" w:rsidRPr="00415419" w:rsidRDefault="00CF42CB" w:rsidP="00D474C8">
            <w:pPr>
              <w:spacing w:line="360" w:lineRule="auto"/>
              <w:jc w:val="center"/>
              <w:rPr>
                <w:rFonts w:ascii="Arial" w:eastAsia="Times New Roman" w:hAnsi="Arial" w:cs="Arial"/>
                <w:b/>
                <w:color w:val="000000"/>
                <w:sz w:val="20"/>
                <w:szCs w:val="20"/>
              </w:rPr>
            </w:pPr>
            <w:r w:rsidRPr="00415419">
              <w:rPr>
                <w:rFonts w:ascii="Arial" w:eastAsia="Times New Roman" w:hAnsi="Arial" w:cs="Arial"/>
                <w:b/>
                <w:color w:val="000000"/>
                <w:sz w:val="20"/>
                <w:szCs w:val="20"/>
              </w:rPr>
              <w:t>All cases (%)</w:t>
            </w:r>
          </w:p>
        </w:tc>
        <w:tc>
          <w:tcPr>
            <w:tcW w:w="1925" w:type="pct"/>
            <w:gridSpan w:val="4"/>
            <w:vAlign w:val="center"/>
          </w:tcPr>
          <w:p w14:paraId="0AC16811" w14:textId="77777777" w:rsidR="00CF42CB" w:rsidRPr="00415419" w:rsidRDefault="00CF42CB" w:rsidP="00D474C8">
            <w:pPr>
              <w:spacing w:line="360" w:lineRule="auto"/>
              <w:jc w:val="center"/>
              <w:rPr>
                <w:rFonts w:ascii="Arial" w:eastAsia="Times New Roman" w:hAnsi="Arial" w:cs="Arial"/>
                <w:b/>
                <w:color w:val="000000"/>
                <w:sz w:val="20"/>
                <w:szCs w:val="20"/>
              </w:rPr>
            </w:pPr>
            <w:r w:rsidRPr="00415419">
              <w:rPr>
                <w:rFonts w:ascii="Arial" w:eastAsia="Times New Roman" w:hAnsi="Arial" w:cs="Arial"/>
                <w:b/>
                <w:color w:val="000000"/>
                <w:sz w:val="20"/>
                <w:szCs w:val="20"/>
              </w:rPr>
              <w:t>PCV7</w:t>
            </w:r>
          </w:p>
        </w:tc>
        <w:tc>
          <w:tcPr>
            <w:tcW w:w="1951" w:type="pct"/>
            <w:gridSpan w:val="4"/>
            <w:vAlign w:val="center"/>
          </w:tcPr>
          <w:p w14:paraId="38C20195" w14:textId="77777777" w:rsidR="00CF42CB" w:rsidRPr="00415419" w:rsidRDefault="00CF42CB" w:rsidP="00D474C8">
            <w:pPr>
              <w:spacing w:line="360" w:lineRule="auto"/>
              <w:jc w:val="center"/>
              <w:rPr>
                <w:rFonts w:ascii="Arial" w:eastAsia="Times New Roman" w:hAnsi="Arial" w:cs="Arial"/>
                <w:b/>
                <w:color w:val="000000"/>
                <w:sz w:val="20"/>
                <w:szCs w:val="20"/>
              </w:rPr>
            </w:pPr>
            <w:r w:rsidRPr="00415419">
              <w:rPr>
                <w:rFonts w:ascii="Arial" w:eastAsia="Times New Roman" w:hAnsi="Arial" w:cs="Arial"/>
                <w:b/>
                <w:color w:val="000000"/>
                <w:sz w:val="20"/>
                <w:szCs w:val="20"/>
              </w:rPr>
              <w:t>PCV13</w:t>
            </w:r>
          </w:p>
        </w:tc>
      </w:tr>
      <w:tr w:rsidR="00C07C98" w:rsidRPr="00415419" w14:paraId="62C57972" w14:textId="77777777" w:rsidTr="007C14E8">
        <w:tc>
          <w:tcPr>
            <w:tcW w:w="649" w:type="pct"/>
            <w:vMerge/>
            <w:vAlign w:val="center"/>
          </w:tcPr>
          <w:p w14:paraId="3A2458DA" w14:textId="77777777" w:rsidR="00C07C98" w:rsidRPr="00415419" w:rsidRDefault="00C07C98" w:rsidP="00D474C8">
            <w:pPr>
              <w:spacing w:line="360" w:lineRule="auto"/>
              <w:rPr>
                <w:rFonts w:ascii="Arial" w:hAnsi="Arial" w:cs="Arial"/>
                <w:sz w:val="20"/>
                <w:szCs w:val="20"/>
              </w:rPr>
            </w:pPr>
          </w:p>
        </w:tc>
        <w:tc>
          <w:tcPr>
            <w:tcW w:w="475" w:type="pct"/>
            <w:vMerge/>
            <w:vAlign w:val="center"/>
          </w:tcPr>
          <w:p w14:paraId="1F717971" w14:textId="77777777" w:rsidR="00C07C98" w:rsidRPr="00415419" w:rsidRDefault="00C07C98" w:rsidP="00D474C8">
            <w:pPr>
              <w:spacing w:line="360" w:lineRule="auto"/>
              <w:jc w:val="center"/>
              <w:rPr>
                <w:rFonts w:ascii="Arial" w:hAnsi="Arial" w:cs="Arial"/>
                <w:b/>
                <w:sz w:val="20"/>
                <w:szCs w:val="20"/>
              </w:rPr>
            </w:pPr>
          </w:p>
        </w:tc>
        <w:tc>
          <w:tcPr>
            <w:tcW w:w="492" w:type="pct"/>
            <w:vAlign w:val="center"/>
          </w:tcPr>
          <w:p w14:paraId="5F4C9A26" w14:textId="77777777" w:rsidR="00C07C98" w:rsidRPr="00F022A5" w:rsidRDefault="00C07C98" w:rsidP="00D474C8">
            <w:pPr>
              <w:spacing w:line="360" w:lineRule="auto"/>
              <w:jc w:val="center"/>
              <w:rPr>
                <w:rFonts w:ascii="Arial" w:hAnsi="Arial" w:cs="Arial"/>
                <w:sz w:val="20"/>
                <w:szCs w:val="20"/>
              </w:rPr>
            </w:pPr>
            <w:r w:rsidRPr="00D474C8">
              <w:rPr>
                <w:rFonts w:ascii="Arial" w:hAnsi="Arial" w:cs="Arial"/>
                <w:sz w:val="20"/>
                <w:szCs w:val="20"/>
              </w:rPr>
              <w:t>PCV7 catch-up</w:t>
            </w:r>
          </w:p>
        </w:tc>
        <w:tc>
          <w:tcPr>
            <w:tcW w:w="492" w:type="pct"/>
            <w:vAlign w:val="center"/>
          </w:tcPr>
          <w:p w14:paraId="18C28331" w14:textId="77777777" w:rsidR="00C07C98" w:rsidRPr="00F022A5" w:rsidRDefault="00C07C98" w:rsidP="00D474C8">
            <w:pPr>
              <w:spacing w:line="360" w:lineRule="auto"/>
              <w:jc w:val="center"/>
              <w:rPr>
                <w:rFonts w:ascii="Arial" w:hAnsi="Arial" w:cs="Arial"/>
                <w:sz w:val="20"/>
                <w:szCs w:val="20"/>
              </w:rPr>
            </w:pPr>
            <w:r w:rsidRPr="00D474C8">
              <w:rPr>
                <w:rFonts w:ascii="Arial" w:hAnsi="Arial" w:cs="Arial"/>
                <w:sz w:val="20"/>
                <w:szCs w:val="20"/>
              </w:rPr>
              <w:t>PCV7-PCV7</w:t>
            </w:r>
          </w:p>
        </w:tc>
        <w:tc>
          <w:tcPr>
            <w:tcW w:w="447" w:type="pct"/>
            <w:vAlign w:val="center"/>
          </w:tcPr>
          <w:p w14:paraId="792FAB0A" w14:textId="77777777" w:rsidR="00C07C98" w:rsidRPr="00F022A5" w:rsidRDefault="00C07C98" w:rsidP="00D474C8">
            <w:pPr>
              <w:spacing w:line="360" w:lineRule="auto"/>
              <w:jc w:val="center"/>
              <w:rPr>
                <w:rFonts w:ascii="Arial" w:hAnsi="Arial" w:cs="Arial"/>
                <w:sz w:val="20"/>
                <w:szCs w:val="20"/>
              </w:rPr>
            </w:pPr>
            <w:r w:rsidRPr="00D474C8">
              <w:rPr>
                <w:rFonts w:ascii="Arial" w:hAnsi="Arial" w:cs="Arial"/>
                <w:sz w:val="20"/>
                <w:szCs w:val="20"/>
              </w:rPr>
              <w:t>PCV7-PCV7-PCV7</w:t>
            </w:r>
          </w:p>
        </w:tc>
        <w:tc>
          <w:tcPr>
            <w:tcW w:w="494" w:type="pct"/>
            <w:vMerge w:val="restart"/>
            <w:vAlign w:val="center"/>
          </w:tcPr>
          <w:p w14:paraId="34C1A056" w14:textId="77777777" w:rsidR="00C07C98" w:rsidRPr="00D474C8" w:rsidRDefault="00C07C98" w:rsidP="00D474C8">
            <w:pPr>
              <w:spacing w:line="360" w:lineRule="auto"/>
              <w:jc w:val="center"/>
              <w:rPr>
                <w:rFonts w:ascii="Arial" w:hAnsi="Arial" w:cs="Arial"/>
                <w:b/>
                <w:sz w:val="20"/>
                <w:szCs w:val="20"/>
              </w:rPr>
            </w:pPr>
            <w:r w:rsidRPr="002965F4">
              <w:rPr>
                <w:rFonts w:ascii="Arial" w:hAnsi="Arial" w:cs="Arial"/>
                <w:b/>
                <w:sz w:val="20"/>
                <w:szCs w:val="20"/>
              </w:rPr>
              <w:t>All PCV7 C</w:t>
            </w:r>
            <w:r w:rsidRPr="00D474C8">
              <w:rPr>
                <w:rFonts w:ascii="Arial" w:hAnsi="Arial" w:cs="Arial"/>
                <w:b/>
                <w:sz w:val="20"/>
                <w:szCs w:val="20"/>
              </w:rPr>
              <w:t>ases</w:t>
            </w:r>
          </w:p>
        </w:tc>
        <w:tc>
          <w:tcPr>
            <w:tcW w:w="516" w:type="pct"/>
            <w:vAlign w:val="center"/>
          </w:tcPr>
          <w:p w14:paraId="0330C6E8" w14:textId="77777777" w:rsidR="00C07C98" w:rsidRPr="00F022A5" w:rsidRDefault="00C07C98" w:rsidP="00D474C8">
            <w:pPr>
              <w:spacing w:line="360" w:lineRule="auto"/>
              <w:jc w:val="center"/>
              <w:rPr>
                <w:rFonts w:ascii="Arial" w:hAnsi="Arial" w:cs="Arial"/>
                <w:sz w:val="20"/>
                <w:szCs w:val="20"/>
              </w:rPr>
            </w:pPr>
            <w:r w:rsidRPr="00D474C8">
              <w:rPr>
                <w:rFonts w:ascii="Arial" w:hAnsi="Arial" w:cs="Arial"/>
                <w:sz w:val="20"/>
                <w:szCs w:val="20"/>
              </w:rPr>
              <w:t>PCV13 catch-up</w:t>
            </w:r>
          </w:p>
        </w:tc>
        <w:tc>
          <w:tcPr>
            <w:tcW w:w="513" w:type="pct"/>
            <w:vAlign w:val="center"/>
          </w:tcPr>
          <w:p w14:paraId="014B6696" w14:textId="77777777" w:rsidR="00C07C98" w:rsidRPr="00F022A5" w:rsidRDefault="00C07C98" w:rsidP="00D474C8">
            <w:pPr>
              <w:spacing w:line="360" w:lineRule="auto"/>
              <w:jc w:val="center"/>
              <w:rPr>
                <w:rFonts w:ascii="Arial" w:hAnsi="Arial" w:cs="Arial"/>
                <w:sz w:val="20"/>
                <w:szCs w:val="20"/>
              </w:rPr>
            </w:pPr>
            <w:r w:rsidRPr="00D474C8">
              <w:rPr>
                <w:rFonts w:ascii="Arial" w:hAnsi="Arial" w:cs="Arial"/>
                <w:sz w:val="20"/>
                <w:szCs w:val="20"/>
              </w:rPr>
              <w:t>PCV13-PCV13</w:t>
            </w:r>
          </w:p>
        </w:tc>
        <w:tc>
          <w:tcPr>
            <w:tcW w:w="459" w:type="pct"/>
            <w:vAlign w:val="center"/>
          </w:tcPr>
          <w:p w14:paraId="44AB33BA" w14:textId="77777777" w:rsidR="00C07C98" w:rsidRPr="00F022A5" w:rsidRDefault="00C07C98" w:rsidP="00D474C8">
            <w:pPr>
              <w:spacing w:line="360" w:lineRule="auto"/>
              <w:jc w:val="center"/>
              <w:rPr>
                <w:rFonts w:ascii="Arial" w:hAnsi="Arial" w:cs="Arial"/>
                <w:sz w:val="20"/>
                <w:szCs w:val="20"/>
              </w:rPr>
            </w:pPr>
            <w:r w:rsidRPr="00D474C8">
              <w:rPr>
                <w:rFonts w:ascii="Arial" w:hAnsi="Arial" w:cs="Arial"/>
                <w:sz w:val="20"/>
                <w:szCs w:val="20"/>
              </w:rPr>
              <w:t>PCV13-PCV13-PCV13</w:t>
            </w:r>
          </w:p>
        </w:tc>
        <w:tc>
          <w:tcPr>
            <w:tcW w:w="463" w:type="pct"/>
            <w:vMerge w:val="restart"/>
            <w:vAlign w:val="center"/>
          </w:tcPr>
          <w:p w14:paraId="76EC4FFC" w14:textId="77777777" w:rsidR="00C07C98" w:rsidRPr="002965F4" w:rsidRDefault="00C07C98" w:rsidP="00D474C8">
            <w:pPr>
              <w:spacing w:line="360" w:lineRule="auto"/>
              <w:jc w:val="center"/>
              <w:rPr>
                <w:rFonts w:ascii="Arial" w:hAnsi="Arial" w:cs="Arial"/>
                <w:b/>
                <w:sz w:val="20"/>
                <w:szCs w:val="20"/>
              </w:rPr>
            </w:pPr>
            <w:r w:rsidRPr="002965F4">
              <w:rPr>
                <w:rFonts w:ascii="Arial" w:hAnsi="Arial" w:cs="Arial"/>
                <w:b/>
                <w:sz w:val="20"/>
                <w:szCs w:val="20"/>
              </w:rPr>
              <w:t>All PCV13 Cases</w:t>
            </w:r>
          </w:p>
        </w:tc>
      </w:tr>
      <w:tr w:rsidR="00C07C98" w:rsidRPr="00D474C8" w14:paraId="6B86B444" w14:textId="77777777" w:rsidTr="007C14E8">
        <w:tc>
          <w:tcPr>
            <w:tcW w:w="649" w:type="pct"/>
            <w:vAlign w:val="center"/>
          </w:tcPr>
          <w:p w14:paraId="4CD0F0D7" w14:textId="77777777" w:rsidR="00C07C98" w:rsidRPr="00D474C8" w:rsidRDefault="00C07C98" w:rsidP="00D474C8">
            <w:pPr>
              <w:spacing w:line="360" w:lineRule="auto"/>
              <w:rPr>
                <w:rFonts w:ascii="Arial" w:hAnsi="Arial" w:cs="Arial"/>
                <w:sz w:val="16"/>
                <w:szCs w:val="16"/>
              </w:rPr>
            </w:pPr>
            <w:r w:rsidRPr="00D474C8">
              <w:rPr>
                <w:rFonts w:ascii="Arial" w:hAnsi="Arial" w:cs="Arial"/>
                <w:sz w:val="20"/>
                <w:szCs w:val="16"/>
              </w:rPr>
              <w:t xml:space="preserve">Immunised </w:t>
            </w:r>
            <w:r>
              <w:rPr>
                <w:rFonts w:ascii="Arial" w:hAnsi="Arial" w:cs="Arial"/>
                <w:sz w:val="20"/>
                <w:szCs w:val="16"/>
              </w:rPr>
              <w:t>Cohort</w:t>
            </w:r>
          </w:p>
        </w:tc>
        <w:tc>
          <w:tcPr>
            <w:tcW w:w="475" w:type="pct"/>
            <w:vMerge/>
            <w:vAlign w:val="center"/>
          </w:tcPr>
          <w:p w14:paraId="06B44D90" w14:textId="77777777" w:rsidR="00C07C98" w:rsidRPr="00D474C8" w:rsidRDefault="00C07C98" w:rsidP="00D474C8">
            <w:pPr>
              <w:spacing w:line="360" w:lineRule="auto"/>
              <w:jc w:val="center"/>
              <w:rPr>
                <w:rFonts w:ascii="Arial" w:hAnsi="Arial" w:cs="Arial"/>
                <w:b/>
                <w:sz w:val="16"/>
                <w:szCs w:val="16"/>
              </w:rPr>
            </w:pPr>
          </w:p>
        </w:tc>
        <w:tc>
          <w:tcPr>
            <w:tcW w:w="492" w:type="pct"/>
            <w:vAlign w:val="center"/>
          </w:tcPr>
          <w:p w14:paraId="4E103E8A" w14:textId="77777777" w:rsidR="00C07C98" w:rsidRPr="00D474C8" w:rsidRDefault="00C07C98" w:rsidP="00D474C8">
            <w:pPr>
              <w:spacing w:line="360" w:lineRule="auto"/>
              <w:jc w:val="center"/>
              <w:rPr>
                <w:rFonts w:ascii="Arial" w:hAnsi="Arial" w:cs="Arial"/>
                <w:sz w:val="16"/>
                <w:szCs w:val="16"/>
              </w:rPr>
            </w:pPr>
            <w:r w:rsidRPr="00415419">
              <w:rPr>
                <w:rFonts w:ascii="Arial" w:hAnsi="Arial" w:cs="Arial"/>
                <w:sz w:val="20"/>
                <w:szCs w:val="20"/>
              </w:rPr>
              <w:t>1 dose &gt;12m only (catch</w:t>
            </w:r>
            <w:r>
              <w:rPr>
                <w:rFonts w:ascii="Arial" w:hAnsi="Arial" w:cs="Arial"/>
                <w:sz w:val="20"/>
                <w:szCs w:val="20"/>
              </w:rPr>
              <w:t>-</w:t>
            </w:r>
            <w:r w:rsidRPr="00415419">
              <w:rPr>
                <w:rFonts w:ascii="Arial" w:hAnsi="Arial" w:cs="Arial"/>
                <w:sz w:val="20"/>
                <w:szCs w:val="20"/>
              </w:rPr>
              <w:t xml:space="preserve"> up)</w:t>
            </w:r>
          </w:p>
        </w:tc>
        <w:tc>
          <w:tcPr>
            <w:tcW w:w="492" w:type="pct"/>
            <w:vAlign w:val="center"/>
          </w:tcPr>
          <w:p w14:paraId="603C1AEF" w14:textId="77777777" w:rsidR="00C07C98" w:rsidRPr="00D474C8" w:rsidRDefault="00C07C98" w:rsidP="00D474C8">
            <w:pPr>
              <w:spacing w:line="360" w:lineRule="auto"/>
              <w:jc w:val="center"/>
              <w:rPr>
                <w:rFonts w:ascii="Arial" w:hAnsi="Arial" w:cs="Arial"/>
                <w:sz w:val="16"/>
                <w:szCs w:val="16"/>
              </w:rPr>
            </w:pPr>
            <w:r w:rsidRPr="00415419">
              <w:rPr>
                <w:rFonts w:ascii="Arial" w:hAnsi="Arial" w:cs="Arial"/>
                <w:sz w:val="20"/>
                <w:szCs w:val="20"/>
              </w:rPr>
              <w:t>2 doses</w:t>
            </w:r>
            <w:r>
              <w:rPr>
                <w:rFonts w:ascii="Arial" w:hAnsi="Arial" w:cs="Arial"/>
                <w:sz w:val="20"/>
                <w:szCs w:val="20"/>
              </w:rPr>
              <w:t xml:space="preserve"> </w:t>
            </w:r>
            <w:r w:rsidRPr="00415419">
              <w:rPr>
                <w:rFonts w:ascii="Arial" w:hAnsi="Arial" w:cs="Arial"/>
                <w:sz w:val="20"/>
                <w:szCs w:val="20"/>
              </w:rPr>
              <w:t>&lt;12m only</w:t>
            </w:r>
          </w:p>
        </w:tc>
        <w:tc>
          <w:tcPr>
            <w:tcW w:w="447" w:type="pct"/>
            <w:vAlign w:val="center"/>
          </w:tcPr>
          <w:p w14:paraId="7CE224C1" w14:textId="77777777" w:rsidR="00C07C98" w:rsidRPr="00D474C8" w:rsidRDefault="00C07C98" w:rsidP="00D474C8">
            <w:pPr>
              <w:spacing w:line="360" w:lineRule="auto"/>
              <w:jc w:val="center"/>
              <w:rPr>
                <w:rFonts w:ascii="Arial" w:hAnsi="Arial" w:cs="Arial"/>
                <w:sz w:val="16"/>
                <w:szCs w:val="16"/>
              </w:rPr>
            </w:pPr>
            <w:r w:rsidRPr="00415419">
              <w:rPr>
                <w:rFonts w:ascii="Arial" w:hAnsi="Arial" w:cs="Arial"/>
                <w:sz w:val="20"/>
                <w:szCs w:val="20"/>
              </w:rPr>
              <w:t>1 or 2 doses &lt;12m + 12m booster</w:t>
            </w:r>
          </w:p>
        </w:tc>
        <w:tc>
          <w:tcPr>
            <w:tcW w:w="494" w:type="pct"/>
            <w:vMerge/>
            <w:vAlign w:val="center"/>
          </w:tcPr>
          <w:p w14:paraId="0AA8E977" w14:textId="77777777" w:rsidR="00C07C98" w:rsidRPr="00D474C8" w:rsidRDefault="00C07C98" w:rsidP="00D474C8">
            <w:pPr>
              <w:spacing w:line="360" w:lineRule="auto"/>
              <w:jc w:val="center"/>
              <w:rPr>
                <w:rFonts w:ascii="Arial" w:hAnsi="Arial" w:cs="Arial"/>
                <w:b/>
                <w:sz w:val="16"/>
                <w:szCs w:val="16"/>
              </w:rPr>
            </w:pPr>
          </w:p>
        </w:tc>
        <w:tc>
          <w:tcPr>
            <w:tcW w:w="516" w:type="pct"/>
            <w:vAlign w:val="center"/>
          </w:tcPr>
          <w:p w14:paraId="0D113CB2" w14:textId="77777777" w:rsidR="00C07C98" w:rsidRPr="00D474C8" w:rsidRDefault="00C07C98" w:rsidP="00D474C8">
            <w:pPr>
              <w:spacing w:line="360" w:lineRule="auto"/>
              <w:jc w:val="center"/>
              <w:rPr>
                <w:rFonts w:ascii="Arial" w:hAnsi="Arial" w:cs="Arial"/>
                <w:sz w:val="16"/>
                <w:szCs w:val="16"/>
              </w:rPr>
            </w:pPr>
            <w:r w:rsidRPr="00415419">
              <w:rPr>
                <w:rFonts w:ascii="Arial" w:hAnsi="Arial" w:cs="Arial"/>
                <w:sz w:val="20"/>
                <w:szCs w:val="20"/>
              </w:rPr>
              <w:t>2 doses PCV7 &lt;12m + 12m PCV13</w:t>
            </w:r>
            <w:r>
              <w:rPr>
                <w:rFonts w:ascii="Arial" w:hAnsi="Arial" w:cs="Arial"/>
                <w:sz w:val="20"/>
                <w:szCs w:val="20"/>
              </w:rPr>
              <w:t xml:space="preserve"> </w:t>
            </w:r>
            <w:r w:rsidRPr="00415419">
              <w:rPr>
                <w:rFonts w:ascii="Arial" w:hAnsi="Arial" w:cs="Arial"/>
                <w:sz w:val="20"/>
                <w:szCs w:val="20"/>
              </w:rPr>
              <w:t xml:space="preserve">booster </w:t>
            </w:r>
          </w:p>
        </w:tc>
        <w:tc>
          <w:tcPr>
            <w:tcW w:w="513" w:type="pct"/>
            <w:vAlign w:val="center"/>
          </w:tcPr>
          <w:p w14:paraId="6952308F" w14:textId="77777777" w:rsidR="00C07C98" w:rsidRPr="00D474C8" w:rsidRDefault="00C07C98" w:rsidP="00D474C8">
            <w:pPr>
              <w:spacing w:line="360" w:lineRule="auto"/>
              <w:jc w:val="center"/>
              <w:rPr>
                <w:rFonts w:ascii="Arial" w:hAnsi="Arial" w:cs="Arial"/>
                <w:sz w:val="16"/>
                <w:szCs w:val="16"/>
              </w:rPr>
            </w:pPr>
            <w:r w:rsidRPr="00415419">
              <w:rPr>
                <w:rFonts w:ascii="Arial" w:hAnsi="Arial" w:cs="Arial"/>
                <w:sz w:val="20"/>
                <w:szCs w:val="20"/>
              </w:rPr>
              <w:t>2 doses &lt;12m only</w:t>
            </w:r>
          </w:p>
        </w:tc>
        <w:tc>
          <w:tcPr>
            <w:tcW w:w="459" w:type="pct"/>
            <w:vAlign w:val="center"/>
          </w:tcPr>
          <w:p w14:paraId="111DCB1F" w14:textId="77777777" w:rsidR="00C07C98" w:rsidRPr="00D474C8" w:rsidRDefault="00C07C98" w:rsidP="00D474C8">
            <w:pPr>
              <w:spacing w:line="360" w:lineRule="auto"/>
              <w:jc w:val="center"/>
              <w:rPr>
                <w:rFonts w:ascii="Arial" w:hAnsi="Arial" w:cs="Arial"/>
                <w:sz w:val="16"/>
                <w:szCs w:val="16"/>
              </w:rPr>
            </w:pPr>
            <w:r w:rsidRPr="00415419">
              <w:rPr>
                <w:rFonts w:ascii="Arial" w:hAnsi="Arial" w:cs="Arial"/>
                <w:sz w:val="20"/>
                <w:szCs w:val="20"/>
              </w:rPr>
              <w:t>2 doses &lt;12m + 12m booster</w:t>
            </w:r>
          </w:p>
        </w:tc>
        <w:tc>
          <w:tcPr>
            <w:tcW w:w="463" w:type="pct"/>
            <w:vMerge/>
            <w:vAlign w:val="center"/>
          </w:tcPr>
          <w:p w14:paraId="3F0630B0" w14:textId="77777777" w:rsidR="00C07C98" w:rsidRPr="00D474C8" w:rsidRDefault="00C07C98" w:rsidP="00D474C8">
            <w:pPr>
              <w:spacing w:line="360" w:lineRule="auto"/>
              <w:jc w:val="center"/>
              <w:rPr>
                <w:rFonts w:ascii="Arial" w:hAnsi="Arial" w:cs="Arial"/>
                <w:b/>
                <w:sz w:val="16"/>
                <w:szCs w:val="16"/>
              </w:rPr>
            </w:pPr>
          </w:p>
        </w:tc>
      </w:tr>
      <w:tr w:rsidR="007734DB" w:rsidRPr="00415419" w14:paraId="4FF669B5" w14:textId="77777777" w:rsidTr="00D474C8">
        <w:tc>
          <w:tcPr>
            <w:tcW w:w="649" w:type="pct"/>
            <w:vAlign w:val="center"/>
          </w:tcPr>
          <w:p w14:paraId="29BE76DC" w14:textId="77777777" w:rsidR="007734DB" w:rsidRPr="00415419" w:rsidRDefault="007734DB" w:rsidP="00D474C8">
            <w:pPr>
              <w:spacing w:line="360" w:lineRule="auto"/>
              <w:rPr>
                <w:rFonts w:ascii="Arial" w:hAnsi="Arial" w:cs="Arial"/>
                <w:sz w:val="20"/>
                <w:szCs w:val="20"/>
              </w:rPr>
            </w:pPr>
            <w:r w:rsidRPr="00415419">
              <w:rPr>
                <w:rFonts w:ascii="Arial" w:hAnsi="Arial" w:cs="Arial"/>
                <w:sz w:val="20"/>
                <w:szCs w:val="20"/>
              </w:rPr>
              <w:t>Total (%)</w:t>
            </w:r>
          </w:p>
        </w:tc>
        <w:tc>
          <w:tcPr>
            <w:tcW w:w="475" w:type="pct"/>
            <w:vAlign w:val="center"/>
          </w:tcPr>
          <w:p w14:paraId="0AE2ADF7" w14:textId="77777777" w:rsidR="007734DB" w:rsidRDefault="007734DB" w:rsidP="00D474C8">
            <w:pPr>
              <w:spacing w:line="360" w:lineRule="auto"/>
              <w:jc w:val="center"/>
              <w:rPr>
                <w:rFonts w:ascii="Arial" w:hAnsi="Arial" w:cs="Arial"/>
                <w:b/>
                <w:sz w:val="20"/>
                <w:szCs w:val="20"/>
              </w:rPr>
            </w:pPr>
            <w:r>
              <w:rPr>
                <w:rFonts w:ascii="Arial" w:hAnsi="Arial" w:cs="Arial"/>
                <w:b/>
                <w:sz w:val="20"/>
                <w:szCs w:val="20"/>
              </w:rPr>
              <w:t>161</w:t>
            </w:r>
          </w:p>
          <w:p w14:paraId="3538A09E" w14:textId="77777777" w:rsidR="007734DB" w:rsidRPr="00D474C8" w:rsidRDefault="007734DB" w:rsidP="00D474C8">
            <w:pPr>
              <w:spacing w:line="360" w:lineRule="auto"/>
              <w:jc w:val="center"/>
              <w:rPr>
                <w:rFonts w:ascii="Arial" w:hAnsi="Arial" w:cs="Arial"/>
                <w:b/>
                <w:i/>
                <w:sz w:val="20"/>
                <w:szCs w:val="20"/>
              </w:rPr>
            </w:pPr>
          </w:p>
        </w:tc>
        <w:tc>
          <w:tcPr>
            <w:tcW w:w="492" w:type="pct"/>
            <w:vAlign w:val="center"/>
          </w:tcPr>
          <w:p w14:paraId="5876969A" w14:textId="77777777" w:rsidR="007734DB" w:rsidRDefault="007734DB" w:rsidP="00D474C8">
            <w:pPr>
              <w:spacing w:line="360" w:lineRule="auto"/>
              <w:jc w:val="center"/>
              <w:rPr>
                <w:rFonts w:ascii="Arial" w:hAnsi="Arial" w:cs="Arial"/>
                <w:sz w:val="20"/>
                <w:szCs w:val="20"/>
              </w:rPr>
            </w:pPr>
            <w:r w:rsidRPr="00415419">
              <w:rPr>
                <w:rFonts w:ascii="Arial" w:hAnsi="Arial" w:cs="Arial"/>
                <w:sz w:val="20"/>
                <w:szCs w:val="20"/>
              </w:rPr>
              <w:t>20 (12</w:t>
            </w:r>
            <w:r>
              <w:rPr>
                <w:rFonts w:ascii="Arial" w:hAnsi="Arial" w:cs="Arial"/>
                <w:sz w:val="20"/>
                <w:szCs w:val="20"/>
              </w:rPr>
              <w:t>%</w:t>
            </w:r>
            <w:r w:rsidRPr="00415419">
              <w:rPr>
                <w:rFonts w:ascii="Arial" w:hAnsi="Arial" w:cs="Arial"/>
                <w:sz w:val="20"/>
                <w:szCs w:val="20"/>
              </w:rPr>
              <w:t>)</w:t>
            </w:r>
          </w:p>
          <w:p w14:paraId="587C7D8B" w14:textId="77777777" w:rsidR="007734DB" w:rsidRPr="00415419" w:rsidRDefault="007734DB" w:rsidP="00D474C8">
            <w:pPr>
              <w:spacing w:line="360" w:lineRule="auto"/>
              <w:jc w:val="center"/>
              <w:rPr>
                <w:rFonts w:ascii="Arial" w:hAnsi="Arial" w:cs="Arial"/>
                <w:sz w:val="20"/>
                <w:szCs w:val="20"/>
              </w:rPr>
            </w:pPr>
          </w:p>
        </w:tc>
        <w:tc>
          <w:tcPr>
            <w:tcW w:w="492" w:type="pct"/>
            <w:vAlign w:val="center"/>
          </w:tcPr>
          <w:p w14:paraId="3AE9110B" w14:textId="77777777" w:rsidR="007734DB" w:rsidRDefault="007734DB" w:rsidP="00F022A5">
            <w:pPr>
              <w:spacing w:line="360" w:lineRule="auto"/>
              <w:jc w:val="center"/>
              <w:rPr>
                <w:rFonts w:ascii="Arial" w:hAnsi="Arial" w:cs="Arial"/>
                <w:sz w:val="20"/>
                <w:szCs w:val="20"/>
              </w:rPr>
            </w:pPr>
            <w:r w:rsidRPr="00415419">
              <w:rPr>
                <w:rFonts w:ascii="Arial" w:hAnsi="Arial" w:cs="Arial"/>
                <w:sz w:val="20"/>
                <w:szCs w:val="20"/>
              </w:rPr>
              <w:t>2</w:t>
            </w:r>
            <w:r>
              <w:rPr>
                <w:rFonts w:ascii="Arial" w:hAnsi="Arial" w:cs="Arial"/>
                <w:sz w:val="20"/>
                <w:szCs w:val="20"/>
              </w:rPr>
              <w:t>5</w:t>
            </w:r>
            <w:r w:rsidRPr="00415419">
              <w:rPr>
                <w:rFonts w:ascii="Arial" w:hAnsi="Arial" w:cs="Arial"/>
                <w:sz w:val="20"/>
                <w:szCs w:val="20"/>
              </w:rPr>
              <w:t xml:space="preserve"> (</w:t>
            </w:r>
            <w:r>
              <w:rPr>
                <w:rFonts w:ascii="Arial" w:hAnsi="Arial" w:cs="Arial"/>
                <w:sz w:val="20"/>
                <w:szCs w:val="20"/>
              </w:rPr>
              <w:t>16%</w:t>
            </w:r>
            <w:r w:rsidRPr="00415419">
              <w:rPr>
                <w:rFonts w:ascii="Arial" w:hAnsi="Arial" w:cs="Arial"/>
                <w:sz w:val="20"/>
                <w:szCs w:val="20"/>
              </w:rPr>
              <w:t>)</w:t>
            </w:r>
          </w:p>
          <w:p w14:paraId="1A3F9AC8" w14:textId="77777777" w:rsidR="007734DB" w:rsidRPr="00415419" w:rsidRDefault="007734DB" w:rsidP="00D474C8">
            <w:pPr>
              <w:spacing w:line="360" w:lineRule="auto"/>
              <w:jc w:val="center"/>
              <w:rPr>
                <w:rFonts w:ascii="Arial" w:hAnsi="Arial" w:cs="Arial"/>
                <w:sz w:val="20"/>
                <w:szCs w:val="20"/>
              </w:rPr>
            </w:pPr>
            <w:r w:rsidRPr="002E37D2">
              <w:rPr>
                <w:rFonts w:ascii="Arial" w:hAnsi="Arial" w:cs="Arial"/>
                <w:i/>
                <w:sz w:val="20"/>
                <w:szCs w:val="20"/>
              </w:rPr>
              <w:t>15</w:t>
            </w:r>
            <w:r>
              <w:rPr>
                <w:rFonts w:ascii="Arial" w:hAnsi="Arial" w:cs="Arial"/>
                <w:i/>
                <w:sz w:val="20"/>
                <w:szCs w:val="20"/>
              </w:rPr>
              <w:t>*</w:t>
            </w:r>
          </w:p>
        </w:tc>
        <w:tc>
          <w:tcPr>
            <w:tcW w:w="447" w:type="pct"/>
            <w:vAlign w:val="center"/>
          </w:tcPr>
          <w:p w14:paraId="15219E96" w14:textId="77777777" w:rsidR="007734DB" w:rsidRDefault="007734DB" w:rsidP="00D474C8">
            <w:pPr>
              <w:spacing w:line="360" w:lineRule="auto"/>
              <w:jc w:val="center"/>
              <w:rPr>
                <w:rFonts w:ascii="Arial" w:hAnsi="Arial" w:cs="Arial"/>
                <w:sz w:val="20"/>
                <w:szCs w:val="20"/>
              </w:rPr>
            </w:pPr>
            <w:r w:rsidRPr="00415419">
              <w:rPr>
                <w:rFonts w:ascii="Arial" w:hAnsi="Arial" w:cs="Arial"/>
                <w:sz w:val="20"/>
                <w:szCs w:val="20"/>
              </w:rPr>
              <w:t>12 (</w:t>
            </w:r>
            <w:r>
              <w:rPr>
                <w:rFonts w:ascii="Arial" w:hAnsi="Arial" w:cs="Arial"/>
                <w:sz w:val="20"/>
                <w:szCs w:val="20"/>
              </w:rPr>
              <w:t>7%</w:t>
            </w:r>
            <w:r w:rsidRPr="00415419">
              <w:rPr>
                <w:rFonts w:ascii="Arial" w:hAnsi="Arial" w:cs="Arial"/>
                <w:sz w:val="20"/>
                <w:szCs w:val="20"/>
              </w:rPr>
              <w:t>)</w:t>
            </w:r>
          </w:p>
          <w:p w14:paraId="45CD8F3F" w14:textId="77777777" w:rsidR="007734DB" w:rsidRPr="002E37D2" w:rsidRDefault="007734DB" w:rsidP="00D474C8">
            <w:pPr>
              <w:spacing w:line="360" w:lineRule="auto"/>
              <w:jc w:val="center"/>
              <w:rPr>
                <w:rFonts w:ascii="Arial" w:hAnsi="Arial" w:cs="Arial"/>
                <w:i/>
                <w:sz w:val="20"/>
                <w:szCs w:val="20"/>
              </w:rPr>
            </w:pPr>
          </w:p>
        </w:tc>
        <w:tc>
          <w:tcPr>
            <w:tcW w:w="494" w:type="pct"/>
            <w:vAlign w:val="center"/>
          </w:tcPr>
          <w:p w14:paraId="79FD4AE9" w14:textId="77777777" w:rsidR="007734DB" w:rsidRDefault="007734DB" w:rsidP="00D474C8">
            <w:pPr>
              <w:spacing w:line="360" w:lineRule="auto"/>
              <w:jc w:val="center"/>
              <w:rPr>
                <w:rFonts w:ascii="Arial" w:hAnsi="Arial" w:cs="Arial"/>
                <w:b/>
                <w:sz w:val="20"/>
                <w:szCs w:val="20"/>
              </w:rPr>
            </w:pPr>
            <w:r w:rsidRPr="00415419">
              <w:rPr>
                <w:rFonts w:ascii="Arial" w:hAnsi="Arial" w:cs="Arial"/>
                <w:b/>
                <w:sz w:val="20"/>
                <w:szCs w:val="20"/>
              </w:rPr>
              <w:t>5</w:t>
            </w:r>
            <w:r>
              <w:rPr>
                <w:rFonts w:ascii="Arial" w:hAnsi="Arial" w:cs="Arial"/>
                <w:b/>
                <w:sz w:val="20"/>
                <w:szCs w:val="20"/>
              </w:rPr>
              <w:t>7</w:t>
            </w:r>
          </w:p>
          <w:p w14:paraId="052FC37C" w14:textId="77777777" w:rsidR="007734DB" w:rsidRPr="00F022A5" w:rsidRDefault="007734DB" w:rsidP="00D474C8">
            <w:pPr>
              <w:spacing w:line="360" w:lineRule="auto"/>
              <w:jc w:val="center"/>
              <w:rPr>
                <w:rFonts w:ascii="Arial" w:hAnsi="Arial" w:cs="Arial"/>
                <w:b/>
                <w:sz w:val="20"/>
                <w:szCs w:val="20"/>
              </w:rPr>
            </w:pPr>
          </w:p>
        </w:tc>
        <w:tc>
          <w:tcPr>
            <w:tcW w:w="516" w:type="pct"/>
            <w:vAlign w:val="center"/>
          </w:tcPr>
          <w:p w14:paraId="146B22D3" w14:textId="77777777" w:rsidR="007734DB" w:rsidRDefault="007734DB" w:rsidP="00D474C8">
            <w:pPr>
              <w:spacing w:line="360" w:lineRule="auto"/>
              <w:jc w:val="center"/>
              <w:rPr>
                <w:rFonts w:ascii="Arial" w:hAnsi="Arial" w:cs="Arial"/>
                <w:sz w:val="20"/>
                <w:szCs w:val="20"/>
              </w:rPr>
            </w:pPr>
            <w:r>
              <w:rPr>
                <w:rFonts w:ascii="Arial" w:hAnsi="Arial" w:cs="Arial"/>
                <w:sz w:val="20"/>
                <w:szCs w:val="20"/>
              </w:rPr>
              <w:t>35</w:t>
            </w:r>
            <w:r w:rsidRPr="006463C3">
              <w:rPr>
                <w:rFonts w:ascii="Arial" w:hAnsi="Arial" w:cs="Arial"/>
                <w:sz w:val="20"/>
                <w:szCs w:val="20"/>
              </w:rPr>
              <w:t xml:space="preserve"> (</w:t>
            </w:r>
            <w:r>
              <w:rPr>
                <w:rFonts w:ascii="Arial" w:hAnsi="Arial" w:cs="Arial"/>
                <w:sz w:val="20"/>
                <w:szCs w:val="20"/>
              </w:rPr>
              <w:t>22%</w:t>
            </w:r>
            <w:r w:rsidRPr="006463C3">
              <w:rPr>
                <w:rFonts w:ascii="Arial" w:hAnsi="Arial" w:cs="Arial"/>
                <w:sz w:val="20"/>
                <w:szCs w:val="20"/>
              </w:rPr>
              <w:t>)</w:t>
            </w:r>
          </w:p>
          <w:p w14:paraId="6D23A3A9" w14:textId="77777777" w:rsidR="007734DB" w:rsidRPr="006463C3" w:rsidRDefault="007734DB" w:rsidP="00D474C8">
            <w:pPr>
              <w:spacing w:line="360" w:lineRule="auto"/>
              <w:jc w:val="center"/>
              <w:rPr>
                <w:rFonts w:ascii="Arial" w:hAnsi="Arial" w:cs="Arial"/>
                <w:sz w:val="20"/>
                <w:szCs w:val="20"/>
              </w:rPr>
            </w:pPr>
          </w:p>
        </w:tc>
        <w:tc>
          <w:tcPr>
            <w:tcW w:w="513" w:type="pct"/>
            <w:vAlign w:val="center"/>
          </w:tcPr>
          <w:p w14:paraId="0B4A6E47" w14:textId="77777777" w:rsidR="007734DB" w:rsidRDefault="007734DB" w:rsidP="00F022A5">
            <w:pPr>
              <w:spacing w:line="360" w:lineRule="auto"/>
              <w:jc w:val="center"/>
              <w:rPr>
                <w:rFonts w:ascii="Arial" w:hAnsi="Arial" w:cs="Arial"/>
                <w:sz w:val="20"/>
                <w:szCs w:val="20"/>
              </w:rPr>
            </w:pPr>
            <w:r w:rsidRPr="00415419">
              <w:rPr>
                <w:rFonts w:ascii="Arial" w:hAnsi="Arial" w:cs="Arial"/>
                <w:sz w:val="20"/>
                <w:szCs w:val="20"/>
              </w:rPr>
              <w:t>4</w:t>
            </w:r>
            <w:r>
              <w:rPr>
                <w:rFonts w:ascii="Arial" w:hAnsi="Arial" w:cs="Arial"/>
                <w:sz w:val="20"/>
                <w:szCs w:val="20"/>
              </w:rPr>
              <w:t>1</w:t>
            </w:r>
            <w:r w:rsidRPr="00415419">
              <w:rPr>
                <w:rFonts w:ascii="Arial" w:hAnsi="Arial" w:cs="Arial"/>
                <w:sz w:val="20"/>
                <w:szCs w:val="20"/>
              </w:rPr>
              <w:t xml:space="preserve"> (2</w:t>
            </w:r>
            <w:r>
              <w:rPr>
                <w:rFonts w:ascii="Arial" w:hAnsi="Arial" w:cs="Arial"/>
                <w:sz w:val="20"/>
                <w:szCs w:val="20"/>
              </w:rPr>
              <w:t>5%)</w:t>
            </w:r>
          </w:p>
          <w:p w14:paraId="41755237" w14:textId="77777777" w:rsidR="007734DB" w:rsidRPr="006463C3" w:rsidRDefault="007734DB" w:rsidP="00D474C8">
            <w:pPr>
              <w:spacing w:line="360" w:lineRule="auto"/>
              <w:jc w:val="center"/>
              <w:rPr>
                <w:rFonts w:ascii="Arial" w:hAnsi="Arial" w:cs="Arial"/>
                <w:sz w:val="20"/>
                <w:szCs w:val="20"/>
              </w:rPr>
            </w:pPr>
            <w:r w:rsidRPr="002E37D2">
              <w:rPr>
                <w:rFonts w:ascii="Arial" w:hAnsi="Arial" w:cs="Arial"/>
                <w:i/>
                <w:sz w:val="20"/>
                <w:szCs w:val="20"/>
              </w:rPr>
              <w:t>28</w:t>
            </w:r>
            <w:r>
              <w:rPr>
                <w:rFonts w:ascii="Arial" w:hAnsi="Arial" w:cs="Arial"/>
                <w:i/>
                <w:sz w:val="20"/>
                <w:szCs w:val="20"/>
              </w:rPr>
              <w:t>*</w:t>
            </w:r>
          </w:p>
        </w:tc>
        <w:tc>
          <w:tcPr>
            <w:tcW w:w="459" w:type="pct"/>
            <w:vAlign w:val="center"/>
          </w:tcPr>
          <w:p w14:paraId="4CDFD934" w14:textId="77777777" w:rsidR="007734DB" w:rsidRDefault="007734DB" w:rsidP="00D474C8">
            <w:pPr>
              <w:spacing w:line="360" w:lineRule="auto"/>
              <w:jc w:val="center"/>
              <w:rPr>
                <w:rFonts w:ascii="Arial" w:hAnsi="Arial" w:cs="Arial"/>
                <w:sz w:val="20"/>
                <w:szCs w:val="20"/>
              </w:rPr>
            </w:pPr>
            <w:r w:rsidRPr="006463C3">
              <w:rPr>
                <w:rFonts w:ascii="Arial" w:hAnsi="Arial" w:cs="Arial"/>
                <w:sz w:val="20"/>
                <w:szCs w:val="20"/>
              </w:rPr>
              <w:t>28 (17</w:t>
            </w:r>
            <w:r>
              <w:rPr>
                <w:rFonts w:ascii="Arial" w:hAnsi="Arial" w:cs="Arial"/>
                <w:sz w:val="20"/>
                <w:szCs w:val="20"/>
              </w:rPr>
              <w:t>%)</w:t>
            </w:r>
          </w:p>
          <w:p w14:paraId="429C75D5" w14:textId="77777777" w:rsidR="007734DB" w:rsidRPr="002E37D2" w:rsidRDefault="007734DB" w:rsidP="00D474C8">
            <w:pPr>
              <w:spacing w:line="360" w:lineRule="auto"/>
              <w:jc w:val="center"/>
              <w:rPr>
                <w:rFonts w:ascii="Arial" w:hAnsi="Arial" w:cs="Arial"/>
                <w:i/>
                <w:sz w:val="20"/>
                <w:szCs w:val="20"/>
              </w:rPr>
            </w:pPr>
          </w:p>
        </w:tc>
        <w:tc>
          <w:tcPr>
            <w:tcW w:w="463" w:type="pct"/>
            <w:vAlign w:val="center"/>
          </w:tcPr>
          <w:p w14:paraId="07615356" w14:textId="77777777" w:rsidR="007734DB" w:rsidRDefault="007734DB" w:rsidP="00D474C8">
            <w:pPr>
              <w:spacing w:line="360" w:lineRule="auto"/>
              <w:jc w:val="center"/>
              <w:rPr>
                <w:rFonts w:ascii="Arial" w:hAnsi="Arial" w:cs="Arial"/>
                <w:b/>
                <w:sz w:val="20"/>
                <w:szCs w:val="20"/>
              </w:rPr>
            </w:pPr>
            <w:r w:rsidRPr="00415419">
              <w:rPr>
                <w:rFonts w:ascii="Arial" w:hAnsi="Arial" w:cs="Arial"/>
                <w:b/>
                <w:sz w:val="20"/>
                <w:szCs w:val="20"/>
              </w:rPr>
              <w:t>10</w:t>
            </w:r>
            <w:r>
              <w:rPr>
                <w:rFonts w:ascii="Arial" w:hAnsi="Arial" w:cs="Arial"/>
                <w:b/>
                <w:sz w:val="20"/>
                <w:szCs w:val="20"/>
              </w:rPr>
              <w:t>4</w:t>
            </w:r>
          </w:p>
          <w:p w14:paraId="3BC6AD62" w14:textId="77777777" w:rsidR="007734DB" w:rsidRPr="00D474C8" w:rsidRDefault="007734DB" w:rsidP="00D474C8">
            <w:pPr>
              <w:spacing w:line="360" w:lineRule="auto"/>
              <w:jc w:val="center"/>
              <w:rPr>
                <w:rFonts w:ascii="Arial" w:hAnsi="Arial" w:cs="Arial"/>
                <w:b/>
                <w:i/>
                <w:sz w:val="20"/>
                <w:szCs w:val="20"/>
              </w:rPr>
            </w:pPr>
            <w:r w:rsidRPr="00D474C8">
              <w:rPr>
                <w:rFonts w:ascii="Arial" w:hAnsi="Arial" w:cs="Arial"/>
                <w:b/>
                <w:i/>
                <w:sz w:val="20"/>
                <w:szCs w:val="20"/>
              </w:rPr>
              <w:t>91*</w:t>
            </w:r>
          </w:p>
        </w:tc>
      </w:tr>
      <w:tr w:rsidR="007734DB" w:rsidRPr="00415419" w:rsidDel="007B5490" w14:paraId="6B6CBDC9" w14:textId="77777777" w:rsidTr="00D474C8">
        <w:tc>
          <w:tcPr>
            <w:tcW w:w="649" w:type="pct"/>
            <w:vAlign w:val="center"/>
          </w:tcPr>
          <w:p w14:paraId="3B422E2E" w14:textId="77777777" w:rsidR="007734DB" w:rsidRPr="00415419" w:rsidDel="007B5490" w:rsidRDefault="007734DB" w:rsidP="00F022A5">
            <w:pPr>
              <w:spacing w:line="360" w:lineRule="auto"/>
              <w:rPr>
                <w:rFonts w:ascii="Arial" w:hAnsi="Arial" w:cs="Arial"/>
                <w:sz w:val="20"/>
                <w:szCs w:val="20"/>
              </w:rPr>
            </w:pPr>
            <w:r>
              <w:rPr>
                <w:rFonts w:ascii="Arial" w:hAnsi="Arial" w:cs="Arial"/>
                <w:sz w:val="20"/>
                <w:szCs w:val="20"/>
              </w:rPr>
              <w:t>Immunised p</w:t>
            </w:r>
            <w:r w:rsidRPr="00415419">
              <w:rPr>
                <w:rFonts w:ascii="Arial" w:hAnsi="Arial" w:cs="Arial"/>
                <w:sz w:val="20"/>
                <w:szCs w:val="20"/>
              </w:rPr>
              <w:t>erson-years at risk</w:t>
            </w:r>
          </w:p>
        </w:tc>
        <w:tc>
          <w:tcPr>
            <w:tcW w:w="475" w:type="pct"/>
            <w:vAlign w:val="center"/>
          </w:tcPr>
          <w:p w14:paraId="74F263FD" w14:textId="77777777" w:rsidR="007734DB" w:rsidRPr="00415419" w:rsidDel="007B5490" w:rsidRDefault="007734DB" w:rsidP="002965F4">
            <w:pPr>
              <w:spacing w:line="360" w:lineRule="auto"/>
              <w:jc w:val="center"/>
              <w:rPr>
                <w:rFonts w:ascii="Arial" w:hAnsi="Arial" w:cs="Arial"/>
                <w:b/>
                <w:sz w:val="20"/>
                <w:szCs w:val="20"/>
              </w:rPr>
            </w:pPr>
            <w:r w:rsidRPr="00415419">
              <w:rPr>
                <w:rFonts w:ascii="Arial" w:hAnsi="Arial" w:cs="Arial"/>
                <w:b/>
                <w:color w:val="000000"/>
                <w:sz w:val="20"/>
                <w:szCs w:val="20"/>
              </w:rPr>
              <w:t>1</w:t>
            </w:r>
            <w:r>
              <w:rPr>
                <w:rFonts w:ascii="Arial" w:hAnsi="Arial" w:cs="Arial"/>
                <w:b/>
                <w:color w:val="000000"/>
                <w:sz w:val="20"/>
                <w:szCs w:val="20"/>
              </w:rPr>
              <w:t>7</w:t>
            </w:r>
            <w:r w:rsidRPr="00415419">
              <w:rPr>
                <w:rFonts w:ascii="Arial" w:hAnsi="Arial" w:cs="Arial"/>
                <w:b/>
                <w:color w:val="000000"/>
                <w:sz w:val="20"/>
                <w:szCs w:val="20"/>
              </w:rPr>
              <w:t>,5</w:t>
            </w:r>
            <w:r>
              <w:rPr>
                <w:rFonts w:ascii="Arial" w:hAnsi="Arial" w:cs="Arial"/>
                <w:b/>
                <w:color w:val="000000"/>
                <w:sz w:val="20"/>
                <w:szCs w:val="20"/>
              </w:rPr>
              <w:t>13</w:t>
            </w:r>
            <w:r w:rsidRPr="00415419">
              <w:rPr>
                <w:rFonts w:ascii="Arial" w:hAnsi="Arial" w:cs="Arial"/>
                <w:b/>
                <w:color w:val="000000"/>
                <w:sz w:val="20"/>
                <w:szCs w:val="20"/>
              </w:rPr>
              <w:t>,</w:t>
            </w:r>
            <w:r>
              <w:rPr>
                <w:rFonts w:ascii="Arial" w:hAnsi="Arial" w:cs="Arial"/>
                <w:b/>
                <w:color w:val="000000"/>
                <w:sz w:val="20"/>
                <w:szCs w:val="20"/>
              </w:rPr>
              <w:t>442</w:t>
            </w:r>
          </w:p>
        </w:tc>
        <w:tc>
          <w:tcPr>
            <w:tcW w:w="492" w:type="pct"/>
            <w:vAlign w:val="center"/>
          </w:tcPr>
          <w:p w14:paraId="11F2D37B" w14:textId="77777777" w:rsidR="007734DB" w:rsidRPr="00FE09B9" w:rsidDel="007B5490" w:rsidRDefault="007734DB" w:rsidP="002965F4">
            <w:pPr>
              <w:spacing w:line="360" w:lineRule="auto"/>
              <w:jc w:val="center"/>
              <w:rPr>
                <w:rFonts w:ascii="Arial" w:hAnsi="Arial" w:cs="Arial"/>
                <w:color w:val="000000"/>
                <w:sz w:val="20"/>
                <w:szCs w:val="20"/>
              </w:rPr>
            </w:pPr>
            <w:r>
              <w:rPr>
                <w:rFonts w:ascii="Arial" w:hAnsi="Arial" w:cs="Arial"/>
                <w:color w:val="000000"/>
                <w:sz w:val="20"/>
                <w:szCs w:val="20"/>
              </w:rPr>
              <w:t>1,747,843</w:t>
            </w:r>
          </w:p>
        </w:tc>
        <w:tc>
          <w:tcPr>
            <w:tcW w:w="492" w:type="pct"/>
            <w:vAlign w:val="center"/>
          </w:tcPr>
          <w:p w14:paraId="2BA7BED2" w14:textId="77777777" w:rsidR="007734DB" w:rsidRPr="00415419" w:rsidDel="007B5490" w:rsidRDefault="007734DB" w:rsidP="00D474C8">
            <w:pPr>
              <w:spacing w:line="360" w:lineRule="auto"/>
              <w:jc w:val="center"/>
              <w:rPr>
                <w:rFonts w:ascii="Arial" w:hAnsi="Arial" w:cs="Arial"/>
                <w:sz w:val="20"/>
                <w:szCs w:val="20"/>
              </w:rPr>
            </w:pPr>
            <w:r>
              <w:rPr>
                <w:rFonts w:ascii="Arial" w:hAnsi="Arial" w:cs="Arial"/>
                <w:color w:val="000000"/>
                <w:sz w:val="20"/>
                <w:szCs w:val="20"/>
              </w:rPr>
              <w:t>1,390,792</w:t>
            </w:r>
          </w:p>
        </w:tc>
        <w:tc>
          <w:tcPr>
            <w:tcW w:w="447" w:type="pct"/>
            <w:vAlign w:val="center"/>
          </w:tcPr>
          <w:p w14:paraId="5D504D69" w14:textId="77777777" w:rsidR="007734DB" w:rsidRPr="00FE09B9" w:rsidDel="007B5490" w:rsidRDefault="007734DB" w:rsidP="00D474C8">
            <w:pPr>
              <w:spacing w:line="360" w:lineRule="auto"/>
              <w:jc w:val="center"/>
              <w:rPr>
                <w:rFonts w:ascii="Arial" w:hAnsi="Arial" w:cs="Arial"/>
                <w:color w:val="000000"/>
                <w:sz w:val="20"/>
                <w:szCs w:val="20"/>
              </w:rPr>
            </w:pPr>
            <w:r>
              <w:rPr>
                <w:rFonts w:ascii="Arial" w:hAnsi="Arial" w:cs="Arial"/>
                <w:color w:val="000000"/>
                <w:sz w:val="20"/>
                <w:szCs w:val="20"/>
              </w:rPr>
              <w:t>6,364,742</w:t>
            </w:r>
          </w:p>
        </w:tc>
        <w:tc>
          <w:tcPr>
            <w:tcW w:w="494" w:type="pct"/>
            <w:vAlign w:val="center"/>
          </w:tcPr>
          <w:p w14:paraId="6CB6AE27" w14:textId="77777777" w:rsidR="007734DB" w:rsidRPr="00FE09B9" w:rsidDel="007B5490" w:rsidRDefault="007734DB" w:rsidP="00D474C8">
            <w:pPr>
              <w:spacing w:line="360" w:lineRule="auto"/>
              <w:jc w:val="center"/>
              <w:rPr>
                <w:rFonts w:ascii="Arial" w:hAnsi="Arial" w:cs="Arial"/>
                <w:b/>
                <w:color w:val="000000"/>
                <w:sz w:val="20"/>
                <w:szCs w:val="20"/>
              </w:rPr>
            </w:pPr>
            <w:r>
              <w:rPr>
                <w:rFonts w:ascii="Arial" w:hAnsi="Arial" w:cs="Arial"/>
                <w:b/>
                <w:color w:val="000000"/>
                <w:sz w:val="20"/>
                <w:szCs w:val="20"/>
              </w:rPr>
              <w:t>9,503,378</w:t>
            </w:r>
          </w:p>
        </w:tc>
        <w:tc>
          <w:tcPr>
            <w:tcW w:w="516" w:type="pct"/>
            <w:vAlign w:val="center"/>
          </w:tcPr>
          <w:p w14:paraId="3743F56C" w14:textId="77777777" w:rsidR="007734DB" w:rsidRPr="006463C3" w:rsidDel="007B5490" w:rsidRDefault="007734DB" w:rsidP="00D474C8">
            <w:pPr>
              <w:spacing w:line="360" w:lineRule="auto"/>
              <w:jc w:val="center"/>
              <w:rPr>
                <w:rFonts w:ascii="Arial" w:hAnsi="Arial" w:cs="Arial"/>
                <w:sz w:val="20"/>
                <w:szCs w:val="20"/>
              </w:rPr>
            </w:pPr>
            <w:r w:rsidRPr="00FE09B9">
              <w:rPr>
                <w:rFonts w:ascii="Arial" w:hAnsi="Arial" w:cs="Arial"/>
                <w:color w:val="000000"/>
                <w:sz w:val="20"/>
                <w:szCs w:val="20"/>
              </w:rPr>
              <w:t>2</w:t>
            </w:r>
            <w:r>
              <w:rPr>
                <w:rFonts w:ascii="Arial" w:hAnsi="Arial" w:cs="Arial"/>
                <w:color w:val="000000"/>
                <w:sz w:val="20"/>
                <w:szCs w:val="20"/>
              </w:rPr>
              <w:t>,</w:t>
            </w:r>
            <w:r w:rsidRPr="00FE09B9">
              <w:rPr>
                <w:rFonts w:ascii="Arial" w:hAnsi="Arial" w:cs="Arial"/>
                <w:color w:val="000000"/>
                <w:sz w:val="20"/>
                <w:szCs w:val="20"/>
              </w:rPr>
              <w:t>085</w:t>
            </w:r>
            <w:r>
              <w:rPr>
                <w:rFonts w:ascii="Arial" w:hAnsi="Arial" w:cs="Arial"/>
                <w:color w:val="000000"/>
                <w:sz w:val="20"/>
                <w:szCs w:val="20"/>
              </w:rPr>
              <w:t>,</w:t>
            </w:r>
            <w:r w:rsidRPr="00FE09B9">
              <w:rPr>
                <w:rFonts w:ascii="Arial" w:hAnsi="Arial" w:cs="Arial"/>
                <w:color w:val="000000"/>
                <w:sz w:val="20"/>
                <w:szCs w:val="20"/>
              </w:rPr>
              <w:t>286</w:t>
            </w:r>
          </w:p>
        </w:tc>
        <w:tc>
          <w:tcPr>
            <w:tcW w:w="513" w:type="pct"/>
            <w:vAlign w:val="center"/>
          </w:tcPr>
          <w:p w14:paraId="452AEF66" w14:textId="77777777" w:rsidR="007734DB" w:rsidRPr="00FE09B9" w:rsidDel="007B5490" w:rsidRDefault="007734DB" w:rsidP="00D474C8">
            <w:pPr>
              <w:spacing w:line="360" w:lineRule="auto"/>
              <w:jc w:val="center"/>
              <w:rPr>
                <w:rFonts w:ascii="Arial" w:hAnsi="Arial" w:cs="Arial"/>
                <w:color w:val="000000"/>
                <w:sz w:val="20"/>
                <w:szCs w:val="20"/>
              </w:rPr>
            </w:pPr>
            <w:r>
              <w:rPr>
                <w:rFonts w:ascii="Arial" w:hAnsi="Arial" w:cs="Arial"/>
                <w:color w:val="000000"/>
                <w:sz w:val="20"/>
                <w:szCs w:val="20"/>
              </w:rPr>
              <w:t>1,656,249</w:t>
            </w:r>
          </w:p>
        </w:tc>
        <w:tc>
          <w:tcPr>
            <w:tcW w:w="459" w:type="pct"/>
            <w:vAlign w:val="center"/>
          </w:tcPr>
          <w:p w14:paraId="1B2EFA9E" w14:textId="77777777" w:rsidR="007734DB" w:rsidRPr="00FE09B9" w:rsidDel="007B5490" w:rsidRDefault="007734DB" w:rsidP="00D474C8">
            <w:pPr>
              <w:spacing w:line="360" w:lineRule="auto"/>
              <w:jc w:val="center"/>
              <w:rPr>
                <w:rFonts w:ascii="Arial" w:hAnsi="Arial" w:cs="Arial"/>
                <w:color w:val="000000"/>
                <w:sz w:val="20"/>
                <w:szCs w:val="20"/>
              </w:rPr>
            </w:pPr>
            <w:r w:rsidRPr="00FE09B9">
              <w:rPr>
                <w:rFonts w:ascii="Arial" w:hAnsi="Arial" w:cs="Arial"/>
                <w:color w:val="000000"/>
                <w:sz w:val="20"/>
                <w:szCs w:val="20"/>
              </w:rPr>
              <w:t>4,268</w:t>
            </w:r>
            <w:r>
              <w:rPr>
                <w:rFonts w:ascii="Arial" w:hAnsi="Arial" w:cs="Arial"/>
                <w:color w:val="000000"/>
                <w:sz w:val="20"/>
                <w:szCs w:val="20"/>
              </w:rPr>
              <w:t>,</w:t>
            </w:r>
            <w:r w:rsidRPr="00FE09B9">
              <w:rPr>
                <w:rFonts w:ascii="Arial" w:hAnsi="Arial" w:cs="Arial"/>
                <w:color w:val="000000"/>
                <w:sz w:val="20"/>
                <w:szCs w:val="20"/>
              </w:rPr>
              <w:t>529</w:t>
            </w:r>
          </w:p>
        </w:tc>
        <w:tc>
          <w:tcPr>
            <w:tcW w:w="463" w:type="pct"/>
            <w:vAlign w:val="center"/>
          </w:tcPr>
          <w:p w14:paraId="74513BB6" w14:textId="77777777" w:rsidR="007734DB" w:rsidRPr="00FE09B9" w:rsidDel="007B5490" w:rsidRDefault="007734DB" w:rsidP="00D474C8">
            <w:pPr>
              <w:spacing w:line="360" w:lineRule="auto"/>
              <w:jc w:val="center"/>
              <w:rPr>
                <w:rFonts w:ascii="Arial" w:hAnsi="Arial" w:cs="Arial"/>
                <w:b/>
                <w:color w:val="000000"/>
                <w:sz w:val="20"/>
                <w:szCs w:val="20"/>
              </w:rPr>
            </w:pPr>
            <w:r>
              <w:rPr>
                <w:rFonts w:ascii="Arial" w:hAnsi="Arial" w:cs="Arial"/>
                <w:b/>
                <w:color w:val="000000"/>
                <w:sz w:val="20"/>
                <w:szCs w:val="20"/>
              </w:rPr>
              <w:t>8,010,064</w:t>
            </w:r>
          </w:p>
        </w:tc>
      </w:tr>
      <w:tr w:rsidR="007734DB" w:rsidRPr="00D474C8" w:rsidDel="007B5490" w14:paraId="12BBAC66" w14:textId="77777777" w:rsidTr="00D474C8">
        <w:trPr>
          <w:trHeight w:val="750"/>
        </w:trPr>
        <w:tc>
          <w:tcPr>
            <w:tcW w:w="649" w:type="pct"/>
            <w:vAlign w:val="center"/>
          </w:tcPr>
          <w:p w14:paraId="45B9ADD9" w14:textId="77777777" w:rsidR="007734DB" w:rsidRPr="00D474C8" w:rsidDel="007B5490" w:rsidRDefault="007734DB" w:rsidP="00F022A5">
            <w:pPr>
              <w:spacing w:line="360" w:lineRule="auto"/>
              <w:rPr>
                <w:rFonts w:ascii="Arial" w:hAnsi="Arial" w:cs="Arial"/>
                <w:sz w:val="16"/>
                <w:szCs w:val="18"/>
              </w:rPr>
            </w:pPr>
            <w:r w:rsidRPr="00D474C8">
              <w:rPr>
                <w:rFonts w:ascii="Arial" w:hAnsi="Arial" w:cs="Arial"/>
                <w:sz w:val="18"/>
                <w:szCs w:val="18"/>
              </w:rPr>
              <w:t xml:space="preserve">Vaccine failure rate per 100,000 </w:t>
            </w:r>
            <w:r w:rsidRPr="00F022A5">
              <w:rPr>
                <w:rFonts w:ascii="Arial" w:hAnsi="Arial" w:cs="Arial"/>
                <w:sz w:val="18"/>
                <w:szCs w:val="18"/>
              </w:rPr>
              <w:t xml:space="preserve"> </w:t>
            </w:r>
            <w:r w:rsidRPr="00D474C8">
              <w:rPr>
                <w:rFonts w:ascii="Arial" w:hAnsi="Arial" w:cs="Arial"/>
                <w:sz w:val="18"/>
                <w:szCs w:val="18"/>
              </w:rPr>
              <w:t>person-years at risk</w:t>
            </w:r>
          </w:p>
        </w:tc>
        <w:tc>
          <w:tcPr>
            <w:tcW w:w="475" w:type="pct"/>
            <w:vAlign w:val="center"/>
          </w:tcPr>
          <w:p w14:paraId="7F4F31F9" w14:textId="77777777" w:rsidR="007734DB" w:rsidRPr="00D474C8" w:rsidRDefault="007734DB" w:rsidP="004F534C">
            <w:pPr>
              <w:spacing w:line="360" w:lineRule="auto"/>
              <w:rPr>
                <w:rFonts w:ascii="Arial" w:hAnsi="Arial" w:cs="Arial"/>
                <w:b/>
                <w:sz w:val="16"/>
                <w:szCs w:val="18"/>
              </w:rPr>
            </w:pPr>
            <w:r w:rsidRPr="00D474C8">
              <w:rPr>
                <w:rFonts w:ascii="Arial" w:hAnsi="Arial" w:cs="Arial"/>
                <w:b/>
                <w:sz w:val="16"/>
                <w:szCs w:val="18"/>
              </w:rPr>
              <w:t>0.92 (0.78-1.07)</w:t>
            </w:r>
          </w:p>
          <w:p w14:paraId="1C3D1CFD" w14:textId="77777777" w:rsidR="007734DB" w:rsidRPr="00D474C8" w:rsidDel="007B5490" w:rsidRDefault="007734DB" w:rsidP="002965F4">
            <w:pPr>
              <w:spacing w:line="360" w:lineRule="auto"/>
              <w:rPr>
                <w:rFonts w:ascii="Arial" w:hAnsi="Arial" w:cs="Arial"/>
                <w:b/>
                <w:sz w:val="16"/>
                <w:szCs w:val="18"/>
              </w:rPr>
            </w:pPr>
          </w:p>
        </w:tc>
        <w:tc>
          <w:tcPr>
            <w:tcW w:w="492" w:type="pct"/>
            <w:vAlign w:val="center"/>
          </w:tcPr>
          <w:p w14:paraId="6F8DCF61" w14:textId="77777777" w:rsidR="007734DB" w:rsidRPr="00D474C8" w:rsidRDefault="007734DB" w:rsidP="00D474C8">
            <w:pPr>
              <w:spacing w:line="360" w:lineRule="auto"/>
              <w:rPr>
                <w:rFonts w:ascii="Arial" w:hAnsi="Arial" w:cs="Arial"/>
                <w:sz w:val="16"/>
                <w:szCs w:val="18"/>
              </w:rPr>
            </w:pPr>
            <w:r w:rsidRPr="00D474C8">
              <w:rPr>
                <w:rFonts w:ascii="Arial" w:hAnsi="Arial" w:cs="Arial"/>
                <w:sz w:val="16"/>
                <w:szCs w:val="18"/>
              </w:rPr>
              <w:t>1.14 (0.70-1.77)</w:t>
            </w:r>
          </w:p>
          <w:p w14:paraId="2E59A24B" w14:textId="77777777" w:rsidR="007734DB" w:rsidRPr="00D474C8" w:rsidDel="007B5490" w:rsidRDefault="007734DB" w:rsidP="00D474C8">
            <w:pPr>
              <w:spacing w:line="360" w:lineRule="auto"/>
              <w:rPr>
                <w:rFonts w:ascii="Arial" w:hAnsi="Arial" w:cs="Arial"/>
                <w:sz w:val="16"/>
                <w:szCs w:val="18"/>
              </w:rPr>
            </w:pPr>
          </w:p>
        </w:tc>
        <w:tc>
          <w:tcPr>
            <w:tcW w:w="492" w:type="pct"/>
            <w:vAlign w:val="center"/>
          </w:tcPr>
          <w:p w14:paraId="3FB3DA02" w14:textId="77777777" w:rsidR="007734DB" w:rsidRPr="00D474C8" w:rsidRDefault="007734DB" w:rsidP="00F022A5">
            <w:pPr>
              <w:spacing w:line="360" w:lineRule="auto"/>
              <w:rPr>
                <w:rFonts w:ascii="Arial" w:hAnsi="Arial" w:cs="Arial"/>
                <w:sz w:val="16"/>
                <w:szCs w:val="18"/>
              </w:rPr>
            </w:pPr>
          </w:p>
          <w:p w14:paraId="71BF527E" w14:textId="77777777" w:rsidR="007734DB" w:rsidRPr="00D474C8" w:rsidRDefault="007734DB" w:rsidP="004F534C">
            <w:pPr>
              <w:spacing w:line="360" w:lineRule="auto"/>
              <w:rPr>
                <w:rFonts w:ascii="Arial" w:hAnsi="Arial" w:cs="Arial"/>
                <w:sz w:val="16"/>
                <w:szCs w:val="18"/>
              </w:rPr>
            </w:pPr>
            <w:r w:rsidRPr="00D474C8">
              <w:rPr>
                <w:rFonts w:ascii="Arial" w:hAnsi="Arial" w:cs="Arial"/>
                <w:sz w:val="16"/>
                <w:szCs w:val="18"/>
              </w:rPr>
              <w:t>1.80 (1.16-2.65)</w:t>
            </w:r>
          </w:p>
          <w:p w14:paraId="53CCAED2" w14:textId="77777777" w:rsidR="007734DB" w:rsidRPr="00D474C8" w:rsidRDefault="007734DB" w:rsidP="00092374">
            <w:pPr>
              <w:spacing w:line="360" w:lineRule="auto"/>
              <w:rPr>
                <w:rFonts w:ascii="Arial" w:hAnsi="Arial" w:cs="Arial"/>
                <w:i/>
                <w:sz w:val="16"/>
                <w:szCs w:val="18"/>
              </w:rPr>
            </w:pPr>
            <w:r w:rsidRPr="00D474C8">
              <w:rPr>
                <w:rFonts w:ascii="Arial" w:hAnsi="Arial" w:cs="Arial"/>
                <w:i/>
                <w:sz w:val="16"/>
                <w:szCs w:val="18"/>
              </w:rPr>
              <w:t>1.08 (0.60-1.78)*</w:t>
            </w:r>
          </w:p>
          <w:p w14:paraId="6E5BA2A6" w14:textId="77777777" w:rsidR="007734DB" w:rsidRPr="00D474C8" w:rsidDel="007B5490" w:rsidRDefault="007734DB" w:rsidP="00D474C8">
            <w:pPr>
              <w:spacing w:line="360" w:lineRule="auto"/>
              <w:rPr>
                <w:rFonts w:ascii="Arial" w:hAnsi="Arial" w:cs="Arial"/>
                <w:sz w:val="16"/>
                <w:szCs w:val="18"/>
              </w:rPr>
            </w:pPr>
          </w:p>
        </w:tc>
        <w:tc>
          <w:tcPr>
            <w:tcW w:w="447" w:type="pct"/>
            <w:vAlign w:val="center"/>
          </w:tcPr>
          <w:p w14:paraId="4C7BBDE1" w14:textId="77777777" w:rsidR="007734DB" w:rsidRPr="00D474C8" w:rsidRDefault="007734DB" w:rsidP="00F022A5">
            <w:pPr>
              <w:spacing w:line="360" w:lineRule="auto"/>
              <w:rPr>
                <w:rFonts w:ascii="Arial" w:hAnsi="Arial" w:cs="Arial"/>
                <w:sz w:val="16"/>
                <w:szCs w:val="18"/>
              </w:rPr>
            </w:pPr>
            <w:r w:rsidRPr="00D474C8">
              <w:rPr>
                <w:rFonts w:ascii="Arial" w:hAnsi="Arial" w:cs="Arial"/>
                <w:sz w:val="16"/>
                <w:szCs w:val="18"/>
              </w:rPr>
              <w:t>0.19 (0.10-0.33)</w:t>
            </w:r>
            <w:r w:rsidRPr="00D474C8" w:rsidDel="004726D5">
              <w:rPr>
                <w:rFonts w:ascii="Arial" w:hAnsi="Arial" w:cs="Arial"/>
                <w:sz w:val="16"/>
                <w:szCs w:val="18"/>
              </w:rPr>
              <w:t xml:space="preserve"> </w:t>
            </w:r>
          </w:p>
          <w:p w14:paraId="42303914" w14:textId="77777777" w:rsidR="007734DB" w:rsidRPr="00D474C8" w:rsidDel="007B5490" w:rsidRDefault="007734DB" w:rsidP="00D474C8">
            <w:pPr>
              <w:spacing w:line="360" w:lineRule="auto"/>
              <w:rPr>
                <w:rFonts w:ascii="Arial" w:hAnsi="Arial" w:cs="Arial"/>
                <w:sz w:val="16"/>
                <w:szCs w:val="18"/>
              </w:rPr>
            </w:pPr>
          </w:p>
        </w:tc>
        <w:tc>
          <w:tcPr>
            <w:tcW w:w="494" w:type="pct"/>
            <w:vAlign w:val="center"/>
          </w:tcPr>
          <w:p w14:paraId="4F0A9406" w14:textId="77777777" w:rsidR="007734DB" w:rsidRDefault="007734DB" w:rsidP="00D474C8">
            <w:pPr>
              <w:spacing w:line="360" w:lineRule="auto"/>
              <w:rPr>
                <w:rFonts w:ascii="Arial" w:hAnsi="Arial" w:cs="Arial"/>
                <w:b/>
                <w:sz w:val="16"/>
                <w:szCs w:val="18"/>
              </w:rPr>
            </w:pPr>
            <w:r w:rsidRPr="00D474C8">
              <w:rPr>
                <w:rFonts w:ascii="Arial" w:hAnsi="Arial" w:cs="Arial"/>
                <w:b/>
                <w:sz w:val="16"/>
                <w:szCs w:val="18"/>
              </w:rPr>
              <w:t>0.60 (0.45-0.78)</w:t>
            </w:r>
          </w:p>
          <w:p w14:paraId="63DD8943" w14:textId="77777777" w:rsidR="007734DB" w:rsidRPr="00D474C8" w:rsidDel="007B5490" w:rsidRDefault="007734DB" w:rsidP="00D474C8">
            <w:pPr>
              <w:spacing w:line="360" w:lineRule="auto"/>
              <w:rPr>
                <w:rFonts w:ascii="Arial" w:hAnsi="Arial" w:cs="Arial"/>
                <w:b/>
                <w:sz w:val="16"/>
                <w:szCs w:val="18"/>
              </w:rPr>
            </w:pPr>
          </w:p>
        </w:tc>
        <w:tc>
          <w:tcPr>
            <w:tcW w:w="516" w:type="pct"/>
            <w:vAlign w:val="center"/>
          </w:tcPr>
          <w:p w14:paraId="44E7BC6F" w14:textId="77777777" w:rsidR="007734DB" w:rsidRPr="00D474C8" w:rsidRDefault="007734DB" w:rsidP="00F022A5">
            <w:pPr>
              <w:spacing w:line="360" w:lineRule="auto"/>
              <w:rPr>
                <w:rFonts w:ascii="Arial" w:hAnsi="Arial" w:cs="Arial"/>
                <w:sz w:val="16"/>
                <w:szCs w:val="18"/>
              </w:rPr>
            </w:pPr>
            <w:r w:rsidRPr="00D474C8">
              <w:rPr>
                <w:rFonts w:ascii="Arial" w:hAnsi="Arial" w:cs="Arial"/>
                <w:sz w:val="16"/>
                <w:szCs w:val="18"/>
              </w:rPr>
              <w:t>1.68 (1.17-2.33)</w:t>
            </w:r>
          </w:p>
          <w:p w14:paraId="0934DA26" w14:textId="77777777" w:rsidR="007734DB" w:rsidRPr="00D474C8" w:rsidDel="007B5490" w:rsidRDefault="007734DB" w:rsidP="00D474C8">
            <w:pPr>
              <w:spacing w:line="360" w:lineRule="auto"/>
              <w:rPr>
                <w:rFonts w:ascii="Arial" w:hAnsi="Arial" w:cs="Arial"/>
                <w:sz w:val="16"/>
                <w:szCs w:val="18"/>
              </w:rPr>
            </w:pPr>
          </w:p>
        </w:tc>
        <w:tc>
          <w:tcPr>
            <w:tcW w:w="513" w:type="pct"/>
            <w:vAlign w:val="center"/>
          </w:tcPr>
          <w:p w14:paraId="4BA1A5E4" w14:textId="77777777" w:rsidR="007734DB" w:rsidRPr="00D474C8" w:rsidRDefault="007734DB" w:rsidP="00F022A5">
            <w:pPr>
              <w:spacing w:line="360" w:lineRule="auto"/>
              <w:rPr>
                <w:rFonts w:ascii="Arial" w:hAnsi="Arial" w:cs="Arial"/>
                <w:sz w:val="16"/>
                <w:szCs w:val="18"/>
              </w:rPr>
            </w:pPr>
            <w:r w:rsidRPr="00D474C8">
              <w:rPr>
                <w:rFonts w:ascii="Arial" w:hAnsi="Arial" w:cs="Arial"/>
                <w:sz w:val="16"/>
                <w:szCs w:val="18"/>
              </w:rPr>
              <w:t>2.48 (1.78-3.36)</w:t>
            </w:r>
          </w:p>
          <w:p w14:paraId="1365FD9D" w14:textId="77777777" w:rsidR="007734DB" w:rsidRPr="00D474C8" w:rsidDel="007B5490" w:rsidRDefault="007734DB" w:rsidP="00D474C8">
            <w:pPr>
              <w:spacing w:line="360" w:lineRule="auto"/>
              <w:rPr>
                <w:rFonts w:ascii="Arial" w:hAnsi="Arial" w:cs="Arial"/>
                <w:i/>
                <w:sz w:val="16"/>
                <w:szCs w:val="18"/>
              </w:rPr>
            </w:pPr>
            <w:r w:rsidRPr="00D474C8">
              <w:rPr>
                <w:rFonts w:ascii="Arial" w:hAnsi="Arial" w:cs="Arial"/>
                <w:i/>
                <w:sz w:val="16"/>
                <w:szCs w:val="18"/>
              </w:rPr>
              <w:t>1.69 (1.12-2.44)*</w:t>
            </w:r>
          </w:p>
        </w:tc>
        <w:tc>
          <w:tcPr>
            <w:tcW w:w="459" w:type="pct"/>
            <w:vAlign w:val="center"/>
          </w:tcPr>
          <w:p w14:paraId="4ABF2516" w14:textId="77777777" w:rsidR="007734DB" w:rsidRPr="00D474C8" w:rsidRDefault="007734DB" w:rsidP="00D474C8">
            <w:pPr>
              <w:spacing w:line="360" w:lineRule="auto"/>
              <w:rPr>
                <w:rFonts w:ascii="Arial" w:hAnsi="Arial" w:cs="Arial"/>
                <w:sz w:val="16"/>
                <w:szCs w:val="18"/>
              </w:rPr>
            </w:pPr>
            <w:r w:rsidRPr="00D474C8">
              <w:rPr>
                <w:rFonts w:ascii="Arial" w:hAnsi="Arial" w:cs="Arial"/>
                <w:sz w:val="16"/>
                <w:szCs w:val="18"/>
              </w:rPr>
              <w:t>0.66  (0.44-0.95)</w:t>
            </w:r>
          </w:p>
          <w:p w14:paraId="21FE878C" w14:textId="77777777" w:rsidR="007734DB" w:rsidRPr="00D474C8" w:rsidDel="007B5490" w:rsidRDefault="007734DB" w:rsidP="00D474C8">
            <w:pPr>
              <w:spacing w:line="360" w:lineRule="auto"/>
              <w:rPr>
                <w:rFonts w:ascii="Arial" w:hAnsi="Arial" w:cs="Arial"/>
                <w:sz w:val="16"/>
                <w:szCs w:val="18"/>
              </w:rPr>
            </w:pPr>
          </w:p>
        </w:tc>
        <w:tc>
          <w:tcPr>
            <w:tcW w:w="463" w:type="pct"/>
            <w:vAlign w:val="center"/>
          </w:tcPr>
          <w:p w14:paraId="3CA2D56F" w14:textId="77777777" w:rsidR="007734DB" w:rsidRPr="00D474C8" w:rsidRDefault="007734DB" w:rsidP="00D474C8">
            <w:pPr>
              <w:spacing w:line="360" w:lineRule="auto"/>
              <w:rPr>
                <w:rFonts w:ascii="Arial" w:hAnsi="Arial" w:cs="Arial"/>
                <w:b/>
                <w:sz w:val="16"/>
                <w:szCs w:val="18"/>
              </w:rPr>
            </w:pPr>
            <w:r w:rsidRPr="00D474C8">
              <w:rPr>
                <w:rFonts w:ascii="Arial" w:hAnsi="Arial" w:cs="Arial"/>
                <w:b/>
                <w:sz w:val="16"/>
                <w:szCs w:val="18"/>
              </w:rPr>
              <w:t>1.30 (1.06-1.57)</w:t>
            </w:r>
          </w:p>
          <w:p w14:paraId="4DE2D96B" w14:textId="77777777" w:rsidR="007734DB" w:rsidRPr="00D474C8" w:rsidDel="007B5490" w:rsidRDefault="007734DB" w:rsidP="00D474C8">
            <w:pPr>
              <w:spacing w:line="360" w:lineRule="auto"/>
              <w:rPr>
                <w:rFonts w:ascii="Arial" w:hAnsi="Arial" w:cs="Arial"/>
                <w:b/>
                <w:sz w:val="16"/>
                <w:szCs w:val="18"/>
              </w:rPr>
            </w:pPr>
          </w:p>
        </w:tc>
      </w:tr>
      <w:tr w:rsidR="007734DB" w:rsidRPr="00FE09B9" w14:paraId="30A5E606" w14:textId="77777777" w:rsidTr="00D474C8">
        <w:tc>
          <w:tcPr>
            <w:tcW w:w="649" w:type="pct"/>
            <w:vAlign w:val="center"/>
          </w:tcPr>
          <w:p w14:paraId="44D18651" w14:textId="77777777" w:rsidR="007734DB" w:rsidRPr="00FE09B9" w:rsidRDefault="007734DB" w:rsidP="00F022A5">
            <w:pPr>
              <w:spacing w:line="360" w:lineRule="auto"/>
              <w:rPr>
                <w:rFonts w:ascii="Arial" w:hAnsi="Arial" w:cs="Arial"/>
                <w:sz w:val="20"/>
                <w:szCs w:val="20"/>
              </w:rPr>
            </w:pPr>
            <w:r w:rsidRPr="00FE09B9">
              <w:rPr>
                <w:rFonts w:ascii="Arial" w:hAnsi="Arial" w:cs="Arial"/>
                <w:sz w:val="20"/>
                <w:szCs w:val="20"/>
              </w:rPr>
              <w:t>Male Cases</w:t>
            </w:r>
          </w:p>
        </w:tc>
        <w:tc>
          <w:tcPr>
            <w:tcW w:w="475" w:type="pct"/>
            <w:vAlign w:val="center"/>
          </w:tcPr>
          <w:p w14:paraId="351AB348" w14:textId="77777777" w:rsidR="007734DB" w:rsidRPr="00FE09B9" w:rsidRDefault="007734DB" w:rsidP="002965F4">
            <w:pPr>
              <w:spacing w:line="360" w:lineRule="auto"/>
              <w:jc w:val="center"/>
              <w:rPr>
                <w:rFonts w:ascii="Arial" w:hAnsi="Arial" w:cs="Arial"/>
                <w:b/>
                <w:sz w:val="20"/>
                <w:szCs w:val="20"/>
              </w:rPr>
            </w:pPr>
            <w:r w:rsidRPr="00FE09B9">
              <w:rPr>
                <w:rFonts w:ascii="Arial" w:hAnsi="Arial" w:cs="Arial"/>
                <w:b/>
                <w:sz w:val="20"/>
                <w:szCs w:val="20"/>
              </w:rPr>
              <w:t>90 (55</w:t>
            </w:r>
            <w:r>
              <w:rPr>
                <w:rFonts w:ascii="Arial" w:hAnsi="Arial" w:cs="Arial"/>
                <w:b/>
                <w:sz w:val="20"/>
                <w:szCs w:val="20"/>
              </w:rPr>
              <w:t>%</w:t>
            </w:r>
            <w:r w:rsidRPr="00FE09B9">
              <w:rPr>
                <w:rFonts w:ascii="Arial" w:hAnsi="Arial" w:cs="Arial"/>
                <w:b/>
                <w:sz w:val="20"/>
                <w:szCs w:val="20"/>
              </w:rPr>
              <w:t>)</w:t>
            </w:r>
          </w:p>
        </w:tc>
        <w:tc>
          <w:tcPr>
            <w:tcW w:w="492" w:type="pct"/>
            <w:vAlign w:val="center"/>
          </w:tcPr>
          <w:p w14:paraId="5C5CB389" w14:textId="77777777" w:rsidR="007734DB" w:rsidRPr="00FE09B9" w:rsidRDefault="007734DB" w:rsidP="002965F4">
            <w:pPr>
              <w:spacing w:line="360" w:lineRule="auto"/>
              <w:jc w:val="center"/>
              <w:rPr>
                <w:rFonts w:ascii="Arial" w:hAnsi="Arial" w:cs="Arial"/>
                <w:sz w:val="20"/>
                <w:szCs w:val="20"/>
              </w:rPr>
            </w:pPr>
            <w:r w:rsidRPr="00FE09B9">
              <w:rPr>
                <w:rFonts w:ascii="Arial" w:hAnsi="Arial" w:cs="Arial"/>
                <w:sz w:val="20"/>
                <w:szCs w:val="20"/>
              </w:rPr>
              <w:t>12 (60</w:t>
            </w:r>
            <w:r>
              <w:rPr>
                <w:rFonts w:ascii="Arial" w:hAnsi="Arial" w:cs="Arial"/>
                <w:sz w:val="20"/>
                <w:szCs w:val="20"/>
              </w:rPr>
              <w:t>%</w:t>
            </w:r>
            <w:r w:rsidRPr="00FE09B9">
              <w:rPr>
                <w:rFonts w:ascii="Arial" w:hAnsi="Arial" w:cs="Arial"/>
                <w:sz w:val="20"/>
                <w:szCs w:val="20"/>
              </w:rPr>
              <w:t>)</w:t>
            </w:r>
          </w:p>
        </w:tc>
        <w:tc>
          <w:tcPr>
            <w:tcW w:w="492" w:type="pct"/>
            <w:vAlign w:val="center"/>
          </w:tcPr>
          <w:p w14:paraId="6B607B90" w14:textId="77777777" w:rsidR="007734DB" w:rsidRPr="00B01344" w:rsidRDefault="007734DB" w:rsidP="00D474C8">
            <w:pPr>
              <w:spacing w:line="360" w:lineRule="auto"/>
              <w:jc w:val="center"/>
              <w:rPr>
                <w:rFonts w:ascii="Arial" w:hAnsi="Arial" w:cs="Arial"/>
                <w:sz w:val="20"/>
                <w:szCs w:val="20"/>
              </w:rPr>
            </w:pPr>
            <w:r w:rsidRPr="00FE09B9">
              <w:rPr>
                <w:rFonts w:ascii="Arial" w:hAnsi="Arial" w:cs="Arial"/>
                <w:sz w:val="20"/>
                <w:szCs w:val="20"/>
              </w:rPr>
              <w:t>17 (68</w:t>
            </w:r>
            <w:r>
              <w:rPr>
                <w:rFonts w:ascii="Arial" w:hAnsi="Arial" w:cs="Arial"/>
                <w:sz w:val="20"/>
                <w:szCs w:val="20"/>
              </w:rPr>
              <w:t>%</w:t>
            </w:r>
            <w:r w:rsidRPr="00FE09B9">
              <w:rPr>
                <w:rFonts w:ascii="Arial" w:hAnsi="Arial" w:cs="Arial"/>
                <w:sz w:val="20"/>
                <w:szCs w:val="20"/>
              </w:rPr>
              <w:t>)</w:t>
            </w:r>
          </w:p>
        </w:tc>
        <w:tc>
          <w:tcPr>
            <w:tcW w:w="447" w:type="pct"/>
            <w:vAlign w:val="center"/>
          </w:tcPr>
          <w:p w14:paraId="6F71399F" w14:textId="77777777" w:rsidR="007734DB" w:rsidRPr="00FE09B9" w:rsidRDefault="007734DB" w:rsidP="00D474C8">
            <w:pPr>
              <w:spacing w:line="360" w:lineRule="auto"/>
              <w:jc w:val="center"/>
              <w:rPr>
                <w:rFonts w:ascii="Arial" w:hAnsi="Arial" w:cs="Arial"/>
                <w:sz w:val="20"/>
                <w:szCs w:val="20"/>
              </w:rPr>
            </w:pPr>
            <w:r w:rsidRPr="00FE09B9">
              <w:rPr>
                <w:rFonts w:ascii="Arial" w:hAnsi="Arial" w:cs="Arial"/>
                <w:sz w:val="20"/>
                <w:szCs w:val="20"/>
              </w:rPr>
              <w:t>8</w:t>
            </w:r>
            <w:r w:rsidRPr="00B01344">
              <w:rPr>
                <w:rFonts w:ascii="Arial" w:hAnsi="Arial" w:cs="Arial"/>
                <w:sz w:val="20"/>
                <w:szCs w:val="20"/>
              </w:rPr>
              <w:t xml:space="preserve"> (67</w:t>
            </w:r>
            <w:r>
              <w:rPr>
                <w:rFonts w:ascii="Arial" w:hAnsi="Arial" w:cs="Arial"/>
                <w:sz w:val="20"/>
                <w:szCs w:val="20"/>
              </w:rPr>
              <w:t>%</w:t>
            </w:r>
            <w:r w:rsidRPr="00B01344">
              <w:rPr>
                <w:rFonts w:ascii="Arial" w:hAnsi="Arial" w:cs="Arial"/>
                <w:sz w:val="20"/>
                <w:szCs w:val="20"/>
              </w:rPr>
              <w:t>)</w:t>
            </w:r>
          </w:p>
        </w:tc>
        <w:tc>
          <w:tcPr>
            <w:tcW w:w="494" w:type="pct"/>
            <w:vAlign w:val="center"/>
          </w:tcPr>
          <w:p w14:paraId="65BC81C5" w14:textId="77777777" w:rsidR="007734DB" w:rsidRPr="00FE09B9" w:rsidRDefault="007734DB" w:rsidP="00D474C8">
            <w:pPr>
              <w:spacing w:line="360" w:lineRule="auto"/>
              <w:jc w:val="center"/>
              <w:rPr>
                <w:rFonts w:ascii="Arial" w:hAnsi="Arial" w:cs="Arial"/>
                <w:b/>
                <w:sz w:val="20"/>
                <w:szCs w:val="20"/>
              </w:rPr>
            </w:pPr>
            <w:r w:rsidRPr="00FE09B9">
              <w:rPr>
                <w:rFonts w:ascii="Arial" w:hAnsi="Arial" w:cs="Arial"/>
                <w:b/>
                <w:sz w:val="20"/>
                <w:szCs w:val="20"/>
              </w:rPr>
              <w:t>37 (6</w:t>
            </w:r>
            <w:r>
              <w:rPr>
                <w:rFonts w:ascii="Arial" w:hAnsi="Arial" w:cs="Arial"/>
                <w:b/>
                <w:sz w:val="20"/>
                <w:szCs w:val="20"/>
              </w:rPr>
              <w:t>5%</w:t>
            </w:r>
            <w:r w:rsidRPr="00FE09B9">
              <w:rPr>
                <w:rFonts w:ascii="Arial" w:hAnsi="Arial" w:cs="Arial"/>
                <w:b/>
                <w:sz w:val="20"/>
                <w:szCs w:val="20"/>
              </w:rPr>
              <w:t>)</w:t>
            </w:r>
          </w:p>
        </w:tc>
        <w:tc>
          <w:tcPr>
            <w:tcW w:w="516" w:type="pct"/>
            <w:vAlign w:val="center"/>
          </w:tcPr>
          <w:p w14:paraId="0BCB49E5" w14:textId="77777777" w:rsidR="007734DB" w:rsidRPr="00FE09B9" w:rsidRDefault="007734DB" w:rsidP="00D474C8">
            <w:pPr>
              <w:spacing w:line="360" w:lineRule="auto"/>
              <w:jc w:val="center"/>
              <w:rPr>
                <w:rFonts w:ascii="Arial" w:hAnsi="Arial" w:cs="Arial"/>
                <w:sz w:val="20"/>
                <w:szCs w:val="20"/>
              </w:rPr>
            </w:pPr>
            <w:r w:rsidRPr="00FE09B9">
              <w:rPr>
                <w:rFonts w:ascii="Arial" w:hAnsi="Arial" w:cs="Arial"/>
                <w:sz w:val="20"/>
                <w:szCs w:val="20"/>
              </w:rPr>
              <w:t>23 (6</w:t>
            </w:r>
            <w:r>
              <w:rPr>
                <w:rFonts w:ascii="Arial" w:hAnsi="Arial" w:cs="Arial"/>
                <w:sz w:val="20"/>
                <w:szCs w:val="20"/>
              </w:rPr>
              <w:t>6%</w:t>
            </w:r>
            <w:r w:rsidRPr="00FE09B9">
              <w:rPr>
                <w:rFonts w:ascii="Arial" w:hAnsi="Arial" w:cs="Arial"/>
                <w:sz w:val="20"/>
                <w:szCs w:val="20"/>
              </w:rPr>
              <w:t>)</w:t>
            </w:r>
          </w:p>
        </w:tc>
        <w:tc>
          <w:tcPr>
            <w:tcW w:w="513" w:type="pct"/>
            <w:vAlign w:val="center"/>
          </w:tcPr>
          <w:p w14:paraId="10DE9C2D" w14:textId="77777777" w:rsidR="007734DB" w:rsidRPr="00FE09B9" w:rsidRDefault="007734DB" w:rsidP="00D474C8">
            <w:pPr>
              <w:spacing w:line="360" w:lineRule="auto"/>
              <w:jc w:val="center"/>
              <w:rPr>
                <w:rFonts w:ascii="Arial" w:hAnsi="Arial" w:cs="Arial"/>
                <w:sz w:val="20"/>
                <w:szCs w:val="20"/>
              </w:rPr>
            </w:pPr>
            <w:r w:rsidRPr="00FE09B9">
              <w:rPr>
                <w:rFonts w:ascii="Arial" w:hAnsi="Arial" w:cs="Arial"/>
                <w:sz w:val="20"/>
                <w:szCs w:val="20"/>
              </w:rPr>
              <w:t>18 (4</w:t>
            </w:r>
            <w:r>
              <w:rPr>
                <w:rFonts w:ascii="Arial" w:hAnsi="Arial" w:cs="Arial"/>
                <w:sz w:val="20"/>
                <w:szCs w:val="20"/>
              </w:rPr>
              <w:t>4%</w:t>
            </w:r>
            <w:r w:rsidRPr="00FE09B9">
              <w:rPr>
                <w:rFonts w:ascii="Arial" w:hAnsi="Arial" w:cs="Arial"/>
                <w:sz w:val="20"/>
                <w:szCs w:val="20"/>
              </w:rPr>
              <w:t>)</w:t>
            </w:r>
          </w:p>
        </w:tc>
        <w:tc>
          <w:tcPr>
            <w:tcW w:w="459" w:type="pct"/>
            <w:vAlign w:val="center"/>
          </w:tcPr>
          <w:p w14:paraId="471A36D9" w14:textId="77777777" w:rsidR="007734DB" w:rsidRPr="00FE09B9" w:rsidRDefault="007734DB" w:rsidP="00D474C8">
            <w:pPr>
              <w:spacing w:line="360" w:lineRule="auto"/>
              <w:jc w:val="center"/>
              <w:rPr>
                <w:rFonts w:ascii="Arial" w:hAnsi="Arial" w:cs="Arial"/>
                <w:sz w:val="20"/>
                <w:szCs w:val="20"/>
              </w:rPr>
            </w:pPr>
            <w:r w:rsidRPr="00FE09B9">
              <w:rPr>
                <w:rFonts w:ascii="Arial" w:hAnsi="Arial" w:cs="Arial"/>
                <w:sz w:val="20"/>
                <w:szCs w:val="20"/>
              </w:rPr>
              <w:t>12 (4</w:t>
            </w:r>
            <w:r>
              <w:rPr>
                <w:rFonts w:ascii="Arial" w:hAnsi="Arial" w:cs="Arial"/>
                <w:sz w:val="20"/>
                <w:szCs w:val="20"/>
              </w:rPr>
              <w:t>3%</w:t>
            </w:r>
            <w:r w:rsidRPr="00FE09B9">
              <w:rPr>
                <w:rFonts w:ascii="Arial" w:hAnsi="Arial" w:cs="Arial"/>
                <w:sz w:val="20"/>
                <w:szCs w:val="20"/>
              </w:rPr>
              <w:t>)</w:t>
            </w:r>
          </w:p>
        </w:tc>
        <w:tc>
          <w:tcPr>
            <w:tcW w:w="463" w:type="pct"/>
            <w:vAlign w:val="center"/>
          </w:tcPr>
          <w:p w14:paraId="53B70E21" w14:textId="77777777" w:rsidR="007734DB" w:rsidRPr="00FE09B9" w:rsidRDefault="007734DB" w:rsidP="00D474C8">
            <w:pPr>
              <w:spacing w:line="360" w:lineRule="auto"/>
              <w:jc w:val="center"/>
              <w:rPr>
                <w:rFonts w:ascii="Arial" w:hAnsi="Arial" w:cs="Arial"/>
                <w:b/>
                <w:sz w:val="20"/>
                <w:szCs w:val="20"/>
              </w:rPr>
            </w:pPr>
            <w:r w:rsidRPr="00FE09B9">
              <w:rPr>
                <w:rFonts w:ascii="Arial" w:hAnsi="Arial" w:cs="Arial"/>
                <w:b/>
                <w:sz w:val="20"/>
                <w:szCs w:val="20"/>
              </w:rPr>
              <w:t>53 (51</w:t>
            </w:r>
            <w:r>
              <w:rPr>
                <w:rFonts w:ascii="Arial" w:hAnsi="Arial" w:cs="Arial"/>
                <w:b/>
                <w:sz w:val="20"/>
                <w:szCs w:val="20"/>
              </w:rPr>
              <w:t>%</w:t>
            </w:r>
            <w:r w:rsidRPr="00FE09B9">
              <w:rPr>
                <w:rFonts w:ascii="Arial" w:hAnsi="Arial" w:cs="Arial"/>
                <w:b/>
                <w:sz w:val="20"/>
                <w:szCs w:val="20"/>
              </w:rPr>
              <w:t>)</w:t>
            </w:r>
          </w:p>
        </w:tc>
      </w:tr>
      <w:tr w:rsidR="007734DB" w:rsidRPr="00CE0F8C" w14:paraId="46FF7C80" w14:textId="77777777" w:rsidTr="00D474C8">
        <w:trPr>
          <w:trHeight w:val="192"/>
        </w:trPr>
        <w:tc>
          <w:tcPr>
            <w:tcW w:w="649" w:type="pct"/>
            <w:vAlign w:val="center"/>
          </w:tcPr>
          <w:p w14:paraId="67764C71" w14:textId="77777777" w:rsidR="007734DB" w:rsidRPr="00FE09B9" w:rsidRDefault="007734DB" w:rsidP="00F022A5">
            <w:pPr>
              <w:spacing w:line="360" w:lineRule="auto"/>
              <w:rPr>
                <w:rFonts w:ascii="Arial" w:hAnsi="Arial" w:cs="Arial"/>
                <w:sz w:val="20"/>
                <w:szCs w:val="20"/>
              </w:rPr>
            </w:pPr>
            <w:r w:rsidRPr="00FE09B9">
              <w:rPr>
                <w:rFonts w:ascii="Arial" w:hAnsi="Arial" w:cs="Arial"/>
                <w:sz w:val="20"/>
                <w:szCs w:val="20"/>
              </w:rPr>
              <w:t xml:space="preserve">Median age </w:t>
            </w:r>
            <w:r>
              <w:rPr>
                <w:rFonts w:ascii="Arial" w:hAnsi="Arial" w:cs="Arial"/>
                <w:sz w:val="20"/>
                <w:szCs w:val="20"/>
              </w:rPr>
              <w:t xml:space="preserve">in </w:t>
            </w:r>
            <w:r w:rsidRPr="00FE09B9">
              <w:rPr>
                <w:rFonts w:ascii="Arial" w:hAnsi="Arial" w:cs="Arial"/>
                <w:sz w:val="20"/>
                <w:szCs w:val="20"/>
              </w:rPr>
              <w:t>m</w:t>
            </w:r>
            <w:r>
              <w:rPr>
                <w:rFonts w:ascii="Arial" w:hAnsi="Arial" w:cs="Arial"/>
                <w:sz w:val="20"/>
                <w:szCs w:val="20"/>
              </w:rPr>
              <w:t>on</w:t>
            </w:r>
            <w:r w:rsidRPr="00FE09B9">
              <w:rPr>
                <w:rFonts w:ascii="Arial" w:hAnsi="Arial" w:cs="Arial"/>
                <w:sz w:val="20"/>
                <w:szCs w:val="20"/>
              </w:rPr>
              <w:t>ths (IQR)</w:t>
            </w:r>
          </w:p>
        </w:tc>
        <w:tc>
          <w:tcPr>
            <w:tcW w:w="475" w:type="pct"/>
            <w:vAlign w:val="center"/>
          </w:tcPr>
          <w:p w14:paraId="405F8A34" w14:textId="77777777" w:rsidR="007734DB" w:rsidRPr="00D474C8" w:rsidRDefault="007734DB" w:rsidP="004F534C">
            <w:pPr>
              <w:spacing w:line="360" w:lineRule="auto"/>
              <w:jc w:val="center"/>
              <w:rPr>
                <w:rFonts w:ascii="Arial" w:hAnsi="Arial" w:cs="Arial"/>
                <w:b/>
                <w:sz w:val="16"/>
                <w:szCs w:val="20"/>
              </w:rPr>
            </w:pPr>
            <w:r w:rsidRPr="00D474C8">
              <w:rPr>
                <w:rFonts w:ascii="Arial" w:hAnsi="Arial" w:cs="Arial"/>
                <w:b/>
                <w:sz w:val="16"/>
                <w:szCs w:val="20"/>
              </w:rPr>
              <w:t>20.0 (11.3-30.9)</w:t>
            </w:r>
          </w:p>
        </w:tc>
        <w:tc>
          <w:tcPr>
            <w:tcW w:w="492" w:type="pct"/>
            <w:vAlign w:val="center"/>
          </w:tcPr>
          <w:p w14:paraId="2C45D019" w14:textId="77777777" w:rsidR="007734DB" w:rsidRPr="00D474C8" w:rsidRDefault="007734DB" w:rsidP="002965F4">
            <w:pPr>
              <w:spacing w:line="360" w:lineRule="auto"/>
              <w:jc w:val="center"/>
              <w:rPr>
                <w:rFonts w:ascii="Arial" w:hAnsi="Arial" w:cs="Arial"/>
                <w:sz w:val="16"/>
                <w:szCs w:val="20"/>
              </w:rPr>
            </w:pPr>
            <w:r w:rsidRPr="00D474C8">
              <w:rPr>
                <w:rFonts w:ascii="Arial" w:hAnsi="Arial" w:cs="Arial"/>
                <w:sz w:val="16"/>
                <w:szCs w:val="20"/>
              </w:rPr>
              <w:t>25.6 (22.2-39.3)</w:t>
            </w:r>
          </w:p>
        </w:tc>
        <w:tc>
          <w:tcPr>
            <w:tcW w:w="492" w:type="pct"/>
            <w:vAlign w:val="center"/>
          </w:tcPr>
          <w:p w14:paraId="0D4D1571" w14:textId="77777777" w:rsidR="007734DB" w:rsidRPr="00D474C8" w:rsidRDefault="007734DB" w:rsidP="002965F4">
            <w:pPr>
              <w:spacing w:line="360" w:lineRule="auto"/>
              <w:jc w:val="center"/>
              <w:rPr>
                <w:rFonts w:ascii="Arial" w:hAnsi="Arial" w:cs="Arial"/>
                <w:sz w:val="16"/>
                <w:szCs w:val="20"/>
              </w:rPr>
            </w:pPr>
            <w:r w:rsidRPr="00D474C8">
              <w:rPr>
                <w:rFonts w:ascii="Arial" w:hAnsi="Arial" w:cs="Arial"/>
                <w:sz w:val="16"/>
                <w:szCs w:val="20"/>
              </w:rPr>
              <w:t>10.0 (6.3-12.7)</w:t>
            </w:r>
          </w:p>
        </w:tc>
        <w:tc>
          <w:tcPr>
            <w:tcW w:w="447" w:type="pct"/>
            <w:vAlign w:val="center"/>
          </w:tcPr>
          <w:p w14:paraId="613C5907" w14:textId="77777777" w:rsidR="007734DB" w:rsidRPr="00D474C8" w:rsidRDefault="007734DB" w:rsidP="00D474C8">
            <w:pPr>
              <w:spacing w:line="360" w:lineRule="auto"/>
              <w:jc w:val="center"/>
              <w:rPr>
                <w:rFonts w:ascii="Arial" w:hAnsi="Arial" w:cs="Arial"/>
                <w:sz w:val="16"/>
                <w:szCs w:val="20"/>
              </w:rPr>
            </w:pPr>
            <w:r w:rsidRPr="00D474C8">
              <w:rPr>
                <w:rFonts w:ascii="Arial" w:hAnsi="Arial" w:cs="Arial"/>
                <w:sz w:val="16"/>
                <w:szCs w:val="20"/>
              </w:rPr>
              <w:t>38.3 (32.1-43.1)</w:t>
            </w:r>
          </w:p>
        </w:tc>
        <w:tc>
          <w:tcPr>
            <w:tcW w:w="494" w:type="pct"/>
            <w:vAlign w:val="center"/>
          </w:tcPr>
          <w:p w14:paraId="63305E99" w14:textId="77777777" w:rsidR="007734DB" w:rsidRPr="00D474C8" w:rsidRDefault="007734DB" w:rsidP="00D474C8">
            <w:pPr>
              <w:spacing w:line="360" w:lineRule="auto"/>
              <w:jc w:val="center"/>
              <w:rPr>
                <w:rFonts w:ascii="Arial" w:hAnsi="Arial" w:cs="Arial"/>
                <w:b/>
                <w:sz w:val="16"/>
                <w:szCs w:val="20"/>
              </w:rPr>
            </w:pPr>
            <w:r w:rsidRPr="00D474C8">
              <w:rPr>
                <w:rFonts w:ascii="Arial" w:hAnsi="Arial" w:cs="Arial"/>
                <w:b/>
                <w:sz w:val="16"/>
                <w:szCs w:val="20"/>
              </w:rPr>
              <w:t>21.0 (11.3-37.0)</w:t>
            </w:r>
          </w:p>
        </w:tc>
        <w:tc>
          <w:tcPr>
            <w:tcW w:w="516" w:type="pct"/>
            <w:vAlign w:val="center"/>
          </w:tcPr>
          <w:p w14:paraId="51A9F37D" w14:textId="77777777" w:rsidR="007734DB" w:rsidRPr="00D474C8" w:rsidRDefault="007734DB" w:rsidP="00D474C8">
            <w:pPr>
              <w:spacing w:line="360" w:lineRule="auto"/>
              <w:rPr>
                <w:rFonts w:ascii="Arial" w:hAnsi="Arial" w:cs="Arial"/>
                <w:sz w:val="16"/>
                <w:szCs w:val="20"/>
              </w:rPr>
            </w:pPr>
            <w:r w:rsidRPr="00D474C8">
              <w:rPr>
                <w:rFonts w:ascii="Arial" w:hAnsi="Arial" w:cs="Arial"/>
                <w:sz w:val="16"/>
                <w:szCs w:val="20"/>
              </w:rPr>
              <w:t>29.7 (20.1-41.4)</w:t>
            </w:r>
          </w:p>
        </w:tc>
        <w:tc>
          <w:tcPr>
            <w:tcW w:w="513" w:type="pct"/>
            <w:vAlign w:val="center"/>
          </w:tcPr>
          <w:p w14:paraId="7FEEEF6D" w14:textId="77777777" w:rsidR="007734DB" w:rsidRPr="00D474C8" w:rsidRDefault="007734DB" w:rsidP="00F022A5">
            <w:pPr>
              <w:spacing w:line="360" w:lineRule="auto"/>
              <w:jc w:val="center"/>
              <w:rPr>
                <w:rFonts w:ascii="Arial" w:hAnsi="Arial" w:cs="Arial"/>
                <w:sz w:val="16"/>
                <w:szCs w:val="20"/>
              </w:rPr>
            </w:pPr>
            <w:r w:rsidRPr="00D474C8">
              <w:rPr>
                <w:rFonts w:ascii="Arial" w:hAnsi="Arial" w:cs="Arial"/>
                <w:sz w:val="16"/>
                <w:szCs w:val="20"/>
              </w:rPr>
              <w:t>10.0 (8.6-12.2)</w:t>
            </w:r>
          </w:p>
        </w:tc>
        <w:tc>
          <w:tcPr>
            <w:tcW w:w="459" w:type="pct"/>
            <w:vAlign w:val="center"/>
          </w:tcPr>
          <w:p w14:paraId="0C6433D1" w14:textId="77777777" w:rsidR="007734DB" w:rsidRPr="00D474C8" w:rsidRDefault="007734DB" w:rsidP="002965F4">
            <w:pPr>
              <w:spacing w:line="360" w:lineRule="auto"/>
              <w:jc w:val="center"/>
              <w:rPr>
                <w:rFonts w:ascii="Arial" w:hAnsi="Arial" w:cs="Arial"/>
                <w:sz w:val="16"/>
                <w:szCs w:val="20"/>
              </w:rPr>
            </w:pPr>
            <w:r w:rsidRPr="00D474C8">
              <w:rPr>
                <w:rFonts w:ascii="Arial" w:hAnsi="Arial" w:cs="Arial"/>
                <w:sz w:val="16"/>
                <w:szCs w:val="20"/>
              </w:rPr>
              <w:t>23.9 (19.9-30.4)</w:t>
            </w:r>
          </w:p>
        </w:tc>
        <w:tc>
          <w:tcPr>
            <w:tcW w:w="463" w:type="pct"/>
            <w:vAlign w:val="center"/>
          </w:tcPr>
          <w:p w14:paraId="7B249F48" w14:textId="77777777" w:rsidR="007734DB" w:rsidRPr="00D474C8" w:rsidRDefault="007734DB" w:rsidP="002965F4">
            <w:pPr>
              <w:spacing w:line="360" w:lineRule="auto"/>
              <w:jc w:val="center"/>
              <w:rPr>
                <w:rFonts w:ascii="Arial" w:hAnsi="Arial" w:cs="Arial"/>
                <w:b/>
                <w:sz w:val="16"/>
                <w:szCs w:val="20"/>
              </w:rPr>
            </w:pPr>
            <w:r w:rsidRPr="00D474C8">
              <w:rPr>
                <w:rFonts w:ascii="Arial" w:hAnsi="Arial" w:cs="Arial"/>
                <w:b/>
                <w:sz w:val="16"/>
                <w:szCs w:val="20"/>
              </w:rPr>
              <w:t>19.9 (11.2-29.6)</w:t>
            </w:r>
          </w:p>
        </w:tc>
      </w:tr>
      <w:tr w:rsidR="007734DB" w:rsidRPr="00415419" w:rsidDel="007B5490" w14:paraId="62B44F46" w14:textId="77777777" w:rsidTr="00D474C8">
        <w:tc>
          <w:tcPr>
            <w:tcW w:w="649" w:type="pct"/>
            <w:vAlign w:val="center"/>
          </w:tcPr>
          <w:p w14:paraId="52581157" w14:textId="77777777" w:rsidR="007734DB" w:rsidRPr="00415419" w:rsidRDefault="007734DB" w:rsidP="00F022A5">
            <w:pPr>
              <w:spacing w:line="360" w:lineRule="auto"/>
              <w:rPr>
                <w:rFonts w:ascii="Arial" w:hAnsi="Arial" w:cs="Arial"/>
                <w:sz w:val="20"/>
                <w:szCs w:val="20"/>
              </w:rPr>
            </w:pPr>
          </w:p>
        </w:tc>
        <w:tc>
          <w:tcPr>
            <w:tcW w:w="475" w:type="pct"/>
            <w:vAlign w:val="center"/>
          </w:tcPr>
          <w:p w14:paraId="179E2474" w14:textId="77777777" w:rsidR="007734DB" w:rsidRPr="00415419" w:rsidRDefault="007734DB" w:rsidP="002965F4">
            <w:pPr>
              <w:spacing w:line="360" w:lineRule="auto"/>
              <w:jc w:val="center"/>
              <w:rPr>
                <w:rFonts w:ascii="Arial" w:hAnsi="Arial" w:cs="Arial"/>
                <w:b/>
                <w:color w:val="000000"/>
                <w:sz w:val="20"/>
                <w:szCs w:val="20"/>
              </w:rPr>
            </w:pPr>
          </w:p>
        </w:tc>
        <w:tc>
          <w:tcPr>
            <w:tcW w:w="492" w:type="pct"/>
            <w:vAlign w:val="center"/>
          </w:tcPr>
          <w:p w14:paraId="28E9348F" w14:textId="77777777" w:rsidR="007734DB" w:rsidRDefault="007734DB" w:rsidP="002965F4">
            <w:pPr>
              <w:spacing w:line="360" w:lineRule="auto"/>
              <w:jc w:val="center"/>
              <w:rPr>
                <w:rFonts w:ascii="Arial" w:hAnsi="Arial" w:cs="Arial"/>
                <w:color w:val="000000"/>
                <w:sz w:val="20"/>
                <w:szCs w:val="20"/>
              </w:rPr>
            </w:pPr>
          </w:p>
        </w:tc>
        <w:tc>
          <w:tcPr>
            <w:tcW w:w="492" w:type="pct"/>
            <w:vAlign w:val="center"/>
          </w:tcPr>
          <w:p w14:paraId="15921131" w14:textId="77777777" w:rsidR="007734DB" w:rsidRDefault="007734DB" w:rsidP="00D474C8">
            <w:pPr>
              <w:spacing w:line="360" w:lineRule="auto"/>
              <w:jc w:val="center"/>
              <w:rPr>
                <w:rFonts w:ascii="Arial" w:hAnsi="Arial" w:cs="Arial"/>
                <w:color w:val="000000"/>
                <w:sz w:val="20"/>
                <w:szCs w:val="20"/>
              </w:rPr>
            </w:pPr>
          </w:p>
        </w:tc>
        <w:tc>
          <w:tcPr>
            <w:tcW w:w="447" w:type="pct"/>
            <w:vAlign w:val="center"/>
          </w:tcPr>
          <w:p w14:paraId="1FAA43F8" w14:textId="77777777" w:rsidR="007734DB" w:rsidRDefault="007734DB" w:rsidP="00D474C8">
            <w:pPr>
              <w:spacing w:line="360" w:lineRule="auto"/>
              <w:jc w:val="center"/>
              <w:rPr>
                <w:rFonts w:ascii="Arial" w:hAnsi="Arial" w:cs="Arial"/>
                <w:color w:val="000000"/>
                <w:sz w:val="20"/>
                <w:szCs w:val="20"/>
              </w:rPr>
            </w:pPr>
          </w:p>
        </w:tc>
        <w:tc>
          <w:tcPr>
            <w:tcW w:w="494" w:type="pct"/>
            <w:vAlign w:val="center"/>
          </w:tcPr>
          <w:p w14:paraId="61FE394A" w14:textId="77777777" w:rsidR="007734DB" w:rsidRDefault="007734DB" w:rsidP="00D474C8">
            <w:pPr>
              <w:spacing w:line="360" w:lineRule="auto"/>
              <w:jc w:val="center"/>
              <w:rPr>
                <w:rFonts w:ascii="Arial" w:hAnsi="Arial" w:cs="Arial"/>
                <w:b/>
                <w:color w:val="000000"/>
                <w:sz w:val="20"/>
                <w:szCs w:val="20"/>
              </w:rPr>
            </w:pPr>
          </w:p>
        </w:tc>
        <w:tc>
          <w:tcPr>
            <w:tcW w:w="516" w:type="pct"/>
            <w:vAlign w:val="center"/>
          </w:tcPr>
          <w:p w14:paraId="70E8AE90" w14:textId="77777777" w:rsidR="007734DB" w:rsidRPr="00FE09B9" w:rsidRDefault="007734DB" w:rsidP="00D474C8">
            <w:pPr>
              <w:spacing w:line="360" w:lineRule="auto"/>
              <w:jc w:val="center"/>
              <w:rPr>
                <w:rFonts w:ascii="Arial" w:hAnsi="Arial" w:cs="Arial"/>
                <w:color w:val="000000"/>
                <w:sz w:val="20"/>
                <w:szCs w:val="20"/>
              </w:rPr>
            </w:pPr>
          </w:p>
        </w:tc>
        <w:tc>
          <w:tcPr>
            <w:tcW w:w="513" w:type="pct"/>
            <w:vAlign w:val="center"/>
          </w:tcPr>
          <w:p w14:paraId="297DAC9F" w14:textId="77777777" w:rsidR="007734DB" w:rsidRPr="00FE09B9" w:rsidRDefault="007734DB" w:rsidP="00D474C8">
            <w:pPr>
              <w:spacing w:line="360" w:lineRule="auto"/>
              <w:jc w:val="center"/>
              <w:rPr>
                <w:rFonts w:ascii="Arial" w:hAnsi="Arial" w:cs="Arial"/>
                <w:color w:val="000000"/>
                <w:sz w:val="20"/>
                <w:szCs w:val="20"/>
              </w:rPr>
            </w:pPr>
          </w:p>
        </w:tc>
        <w:tc>
          <w:tcPr>
            <w:tcW w:w="459" w:type="pct"/>
            <w:vAlign w:val="center"/>
          </w:tcPr>
          <w:p w14:paraId="55540F3A" w14:textId="77777777" w:rsidR="007734DB" w:rsidRDefault="007734DB" w:rsidP="00D474C8">
            <w:pPr>
              <w:spacing w:line="360" w:lineRule="auto"/>
              <w:jc w:val="center"/>
              <w:rPr>
                <w:rFonts w:ascii="Arial" w:hAnsi="Arial" w:cs="Arial"/>
                <w:color w:val="000000"/>
                <w:sz w:val="20"/>
                <w:szCs w:val="20"/>
              </w:rPr>
            </w:pPr>
          </w:p>
        </w:tc>
        <w:tc>
          <w:tcPr>
            <w:tcW w:w="463" w:type="pct"/>
            <w:vAlign w:val="center"/>
          </w:tcPr>
          <w:p w14:paraId="14D8F825" w14:textId="77777777" w:rsidR="007734DB" w:rsidRDefault="007734DB" w:rsidP="00D474C8">
            <w:pPr>
              <w:spacing w:line="360" w:lineRule="auto"/>
              <w:jc w:val="center"/>
              <w:rPr>
                <w:rFonts w:ascii="Arial" w:hAnsi="Arial" w:cs="Arial"/>
                <w:b/>
                <w:color w:val="000000"/>
                <w:sz w:val="20"/>
                <w:szCs w:val="20"/>
              </w:rPr>
            </w:pPr>
          </w:p>
        </w:tc>
      </w:tr>
    </w:tbl>
    <w:p w14:paraId="3A52143C" w14:textId="7E65C4BD" w:rsidR="003B5832" w:rsidRPr="00F267E3" w:rsidRDefault="003B5832" w:rsidP="009966FF">
      <w:pPr>
        <w:spacing w:after="0" w:line="360" w:lineRule="auto"/>
        <w:rPr>
          <w:rFonts w:ascii="Arial" w:eastAsia="Times New Roman" w:hAnsi="Arial" w:cs="Arial"/>
          <w:i/>
          <w:color w:val="000000"/>
        </w:rPr>
      </w:pPr>
      <w:r w:rsidRPr="00F267E3">
        <w:rPr>
          <w:rFonts w:ascii="Arial" w:eastAsia="Times New Roman" w:hAnsi="Arial" w:cs="Arial"/>
          <w:i/>
          <w:color w:val="000000"/>
        </w:rPr>
        <w:t>*</w:t>
      </w:r>
      <w:r w:rsidR="00C6022D">
        <w:rPr>
          <w:rFonts w:ascii="Arial" w:eastAsia="Times New Roman" w:hAnsi="Arial" w:cs="Arial"/>
          <w:i/>
          <w:color w:val="000000"/>
        </w:rPr>
        <w:t xml:space="preserve"> </w:t>
      </w:r>
      <w:r w:rsidR="00252B34">
        <w:rPr>
          <w:rFonts w:ascii="Arial" w:eastAsia="Times New Roman" w:hAnsi="Arial" w:cs="Arial"/>
          <w:i/>
          <w:color w:val="000000"/>
        </w:rPr>
        <w:t xml:space="preserve">In infants receiving two priming doses (2+0 schedule), only those </w:t>
      </w:r>
      <w:r w:rsidR="00C6022D">
        <w:rPr>
          <w:rFonts w:ascii="Arial" w:eastAsia="Times New Roman" w:hAnsi="Arial" w:cs="Arial"/>
          <w:i/>
          <w:color w:val="000000"/>
        </w:rPr>
        <w:t xml:space="preserve">vaccine failure cases </w:t>
      </w:r>
      <w:r w:rsidR="00252B34">
        <w:rPr>
          <w:rFonts w:ascii="Arial" w:eastAsia="Times New Roman" w:hAnsi="Arial" w:cs="Arial"/>
          <w:i/>
          <w:color w:val="000000"/>
        </w:rPr>
        <w:t xml:space="preserve">diagnosed before </w:t>
      </w:r>
      <w:r w:rsidR="00772E8A">
        <w:rPr>
          <w:rFonts w:ascii="Arial" w:eastAsia="Times New Roman" w:hAnsi="Arial" w:cs="Arial"/>
          <w:i/>
          <w:color w:val="000000"/>
        </w:rPr>
        <w:t xml:space="preserve">12 months of age </w:t>
      </w:r>
      <w:r w:rsidR="001B516E">
        <w:rPr>
          <w:rFonts w:ascii="Arial" w:eastAsia="Times New Roman" w:hAnsi="Arial" w:cs="Arial"/>
          <w:i/>
          <w:color w:val="000000"/>
        </w:rPr>
        <w:t>we</w:t>
      </w:r>
      <w:r w:rsidR="00252B34">
        <w:rPr>
          <w:rFonts w:ascii="Arial" w:eastAsia="Times New Roman" w:hAnsi="Arial" w:cs="Arial"/>
          <w:i/>
          <w:color w:val="000000"/>
        </w:rPr>
        <w:t>re included</w:t>
      </w:r>
      <w:r w:rsidR="001B516E">
        <w:rPr>
          <w:rFonts w:ascii="Arial" w:eastAsia="Times New Roman" w:hAnsi="Arial" w:cs="Arial"/>
          <w:i/>
          <w:color w:val="000000"/>
        </w:rPr>
        <w:t xml:space="preserve"> in this analysis</w:t>
      </w:r>
    </w:p>
    <w:p w14:paraId="79DF1989" w14:textId="77777777" w:rsidR="003B5832" w:rsidRPr="00FB49B7" w:rsidRDefault="003B5832" w:rsidP="003B5832">
      <w:pPr>
        <w:spacing w:after="0" w:line="360" w:lineRule="auto"/>
        <w:jc w:val="both"/>
        <w:rPr>
          <w:rFonts w:ascii="Arial" w:eastAsia="Times New Roman" w:hAnsi="Arial" w:cs="Arial"/>
          <w:b/>
          <w:color w:val="000000"/>
          <w:szCs w:val="24"/>
        </w:rPr>
      </w:pPr>
    </w:p>
    <w:p w14:paraId="7EE39181" w14:textId="77777777" w:rsidR="003B5832" w:rsidRDefault="003B5832" w:rsidP="003B5832">
      <w:pPr>
        <w:spacing w:line="360" w:lineRule="auto"/>
        <w:rPr>
          <w:rFonts w:ascii="Arial" w:hAnsi="Arial" w:cs="Arial"/>
          <w:b/>
          <w:color w:val="000000" w:themeColor="text1"/>
        </w:rPr>
      </w:pPr>
    </w:p>
    <w:p w14:paraId="7B520210" w14:textId="77777777" w:rsidR="003B5832" w:rsidRDefault="003B5832" w:rsidP="003B5832">
      <w:pPr>
        <w:spacing w:line="360" w:lineRule="auto"/>
        <w:rPr>
          <w:rFonts w:ascii="Arial" w:hAnsi="Arial" w:cs="Arial"/>
          <w:b/>
          <w:color w:val="000000" w:themeColor="text1"/>
        </w:rPr>
      </w:pPr>
    </w:p>
    <w:p w14:paraId="142617ED" w14:textId="76EE7F72" w:rsidR="002965F4" w:rsidRPr="009D4692" w:rsidRDefault="002965F4" w:rsidP="002965F4">
      <w:pPr>
        <w:spacing w:after="0" w:line="360" w:lineRule="auto"/>
        <w:rPr>
          <w:rFonts w:ascii="Arial" w:hAnsi="Arial" w:cs="Arial"/>
          <w:b/>
          <w:color w:val="000000" w:themeColor="text1"/>
        </w:rPr>
      </w:pPr>
      <w:r w:rsidRPr="000E71C4">
        <w:rPr>
          <w:rFonts w:ascii="Arial" w:hAnsi="Arial" w:cs="Arial"/>
          <w:b/>
          <w:color w:val="000000" w:themeColor="text1"/>
        </w:rPr>
        <w:t xml:space="preserve">Table </w:t>
      </w:r>
      <w:r>
        <w:rPr>
          <w:rFonts w:ascii="Arial" w:hAnsi="Arial" w:cs="Arial"/>
          <w:b/>
          <w:color w:val="000000" w:themeColor="text1"/>
        </w:rPr>
        <w:t>2</w:t>
      </w:r>
      <w:r w:rsidRPr="000E71C4">
        <w:rPr>
          <w:rFonts w:ascii="Arial" w:hAnsi="Arial" w:cs="Arial"/>
          <w:b/>
          <w:color w:val="000000" w:themeColor="text1"/>
        </w:rPr>
        <w:t>.</w:t>
      </w:r>
      <w:r>
        <w:rPr>
          <w:rFonts w:ascii="Arial" w:hAnsi="Arial" w:cs="Arial"/>
          <w:b/>
          <w:color w:val="000000" w:themeColor="text1"/>
        </w:rPr>
        <w:t xml:space="preserve"> Distribution of vaccine failure serotypes compared to the pre-vaccine baseline. </w:t>
      </w:r>
      <w:r w:rsidRPr="009D4692">
        <w:rPr>
          <w:rFonts w:ascii="Arial" w:eastAsia="Times New Roman" w:hAnsi="Arial" w:cs="Arial"/>
          <w:color w:val="000000"/>
          <w:sz w:val="20"/>
          <w:szCs w:val="24"/>
        </w:rPr>
        <w:t xml:space="preserve">Proportions of individual serotypes causing IPD in England and Wales during the epidemiological year prior to PCV introduction were compared using the </w:t>
      </w:r>
      <w:r w:rsidRPr="009D4692">
        <w:rPr>
          <w:rFonts w:ascii="Symbol" w:eastAsia="Times New Roman" w:hAnsi="Symbol" w:cs="Arial"/>
          <w:color w:val="000000"/>
          <w:sz w:val="20"/>
          <w:szCs w:val="24"/>
        </w:rPr>
        <w:t></w:t>
      </w:r>
      <w:r w:rsidRPr="009D4692">
        <w:rPr>
          <w:rFonts w:ascii="Arial" w:eastAsia="Times New Roman" w:hAnsi="Arial" w:cs="Arial"/>
          <w:color w:val="000000"/>
          <w:sz w:val="20"/>
          <w:szCs w:val="24"/>
        </w:rPr>
        <w:t>2-test against the proportion of IPD cases caused by the same serotypes in vaccinated children after PCV introduction</w:t>
      </w:r>
      <w:r w:rsidR="00CC7C2F">
        <w:rPr>
          <w:rFonts w:ascii="Arial" w:eastAsia="Times New Roman" w:hAnsi="Arial" w:cs="Arial"/>
          <w:color w:val="000000"/>
          <w:sz w:val="20"/>
          <w:szCs w:val="24"/>
        </w:rPr>
        <w:t>. After applying the Bonferroni correction</w:t>
      </w:r>
      <w:r w:rsidR="00253A69">
        <w:rPr>
          <w:rFonts w:ascii="Arial" w:eastAsia="Times New Roman" w:hAnsi="Arial" w:cs="Arial"/>
          <w:color w:val="000000"/>
          <w:sz w:val="20"/>
          <w:szCs w:val="24"/>
        </w:rPr>
        <w:t xml:space="preserve"> </w:t>
      </w:r>
      <w:r w:rsidR="00CC7C2F">
        <w:rPr>
          <w:rFonts w:ascii="Arial" w:eastAsia="Times New Roman" w:hAnsi="Arial" w:cs="Arial"/>
          <w:color w:val="000000"/>
          <w:sz w:val="20"/>
          <w:szCs w:val="24"/>
        </w:rPr>
        <w:t xml:space="preserve">for multiple </w:t>
      </w:r>
      <w:r w:rsidR="00253A69">
        <w:rPr>
          <w:rFonts w:ascii="Arial" w:eastAsia="Times New Roman" w:hAnsi="Arial" w:cs="Arial"/>
          <w:color w:val="000000"/>
          <w:sz w:val="20"/>
          <w:szCs w:val="24"/>
        </w:rPr>
        <w:t>comparisons</w:t>
      </w:r>
      <w:r w:rsidR="00CC7C2F">
        <w:rPr>
          <w:rFonts w:ascii="Arial" w:eastAsia="Times New Roman" w:hAnsi="Arial" w:cs="Arial"/>
          <w:color w:val="000000"/>
          <w:sz w:val="20"/>
          <w:szCs w:val="24"/>
        </w:rPr>
        <w:t xml:space="preserve">, p&lt;0.007 was considered statistically significant for the PCV7 serotypes and p&lt;0.003 for </w:t>
      </w:r>
      <w:r w:rsidR="00D06F48">
        <w:rPr>
          <w:rFonts w:ascii="Arial" w:eastAsia="Times New Roman" w:hAnsi="Arial" w:cs="Arial"/>
          <w:color w:val="000000"/>
          <w:sz w:val="20"/>
          <w:szCs w:val="24"/>
        </w:rPr>
        <w:t xml:space="preserve">the </w:t>
      </w:r>
      <w:r w:rsidR="00CC7C2F">
        <w:rPr>
          <w:rFonts w:ascii="Arial" w:eastAsia="Times New Roman" w:hAnsi="Arial" w:cs="Arial"/>
          <w:color w:val="000000"/>
          <w:sz w:val="20"/>
          <w:szCs w:val="24"/>
        </w:rPr>
        <w:t xml:space="preserve">PCV13 serotypes. </w:t>
      </w:r>
    </w:p>
    <w:p w14:paraId="1470992C" w14:textId="77777777" w:rsidR="002965F4" w:rsidRDefault="002965F4" w:rsidP="002965F4">
      <w:pPr>
        <w:spacing w:after="0" w:line="360" w:lineRule="auto"/>
        <w:jc w:val="both"/>
        <w:rPr>
          <w:rFonts w:ascii="Arial" w:eastAsia="Times New Roman" w:hAnsi="Arial" w:cs="Arial"/>
          <w:i/>
          <w:color w:val="000000"/>
          <w:szCs w:val="24"/>
        </w:rPr>
      </w:pPr>
    </w:p>
    <w:tbl>
      <w:tblPr>
        <w:tblStyle w:val="TableGrid"/>
        <w:tblW w:w="14709" w:type="dxa"/>
        <w:tblLayout w:type="fixed"/>
        <w:tblLook w:val="04A0" w:firstRow="1" w:lastRow="0" w:firstColumn="1" w:lastColumn="0" w:noHBand="0" w:noVBand="1"/>
      </w:tblPr>
      <w:tblGrid>
        <w:gridCol w:w="1242"/>
        <w:gridCol w:w="1276"/>
        <w:gridCol w:w="1276"/>
        <w:gridCol w:w="1985"/>
        <w:gridCol w:w="992"/>
        <w:gridCol w:w="850"/>
        <w:gridCol w:w="993"/>
        <w:gridCol w:w="1275"/>
        <w:gridCol w:w="1985"/>
        <w:gridCol w:w="1134"/>
        <w:gridCol w:w="850"/>
        <w:gridCol w:w="851"/>
      </w:tblGrid>
      <w:tr w:rsidR="002965F4" w:rsidRPr="009D4692" w14:paraId="2FDF8AAC" w14:textId="77777777" w:rsidTr="007C14E8">
        <w:tc>
          <w:tcPr>
            <w:tcW w:w="1242" w:type="dxa"/>
            <w:vMerge w:val="restart"/>
            <w:vAlign w:val="center"/>
          </w:tcPr>
          <w:p w14:paraId="3EB0D7B2" w14:textId="77777777" w:rsidR="002965F4" w:rsidRPr="009D4692" w:rsidRDefault="002965F4" w:rsidP="007C14E8">
            <w:pPr>
              <w:spacing w:line="276" w:lineRule="auto"/>
              <w:rPr>
                <w:rFonts w:ascii="Arial" w:eastAsia="Times New Roman" w:hAnsi="Arial" w:cs="Arial"/>
                <w:color w:val="000000"/>
                <w:sz w:val="20"/>
                <w:szCs w:val="20"/>
              </w:rPr>
            </w:pPr>
            <w:r w:rsidRPr="009D4692">
              <w:rPr>
                <w:rFonts w:ascii="Arial" w:eastAsia="Times New Roman" w:hAnsi="Arial" w:cs="Arial"/>
                <w:color w:val="000000"/>
                <w:sz w:val="20"/>
                <w:szCs w:val="20"/>
              </w:rPr>
              <w:t xml:space="preserve">Serotype </w:t>
            </w:r>
          </w:p>
        </w:tc>
        <w:tc>
          <w:tcPr>
            <w:tcW w:w="1276" w:type="dxa"/>
            <w:vMerge w:val="restart"/>
            <w:vAlign w:val="center"/>
          </w:tcPr>
          <w:p w14:paraId="214F8FAC" w14:textId="77777777" w:rsidR="002965F4" w:rsidRDefault="002965F4" w:rsidP="007C14E8">
            <w:pPr>
              <w:jc w:val="center"/>
              <w:rPr>
                <w:rFonts w:ascii="Arial" w:eastAsia="Times New Roman" w:hAnsi="Arial" w:cs="Arial"/>
                <w:color w:val="000000"/>
                <w:sz w:val="20"/>
                <w:szCs w:val="20"/>
              </w:rPr>
            </w:pPr>
            <w:r w:rsidRPr="009D4692">
              <w:rPr>
                <w:rFonts w:ascii="Arial" w:eastAsia="Times New Roman" w:hAnsi="Arial" w:cs="Arial"/>
                <w:color w:val="000000"/>
                <w:sz w:val="20"/>
                <w:szCs w:val="20"/>
              </w:rPr>
              <w:t xml:space="preserve">Total </w:t>
            </w:r>
          </w:p>
          <w:p w14:paraId="04478252" w14:textId="77777777" w:rsidR="002965F4" w:rsidRPr="00F022A5" w:rsidRDefault="002965F4" w:rsidP="007C14E8">
            <w:pPr>
              <w:jc w:val="center"/>
              <w:rPr>
                <w:rFonts w:ascii="Arial" w:hAnsi="Arial" w:cs="Arial"/>
                <w:sz w:val="20"/>
                <w:szCs w:val="20"/>
              </w:rPr>
            </w:pPr>
            <w:r>
              <w:rPr>
                <w:rFonts w:ascii="Arial" w:eastAsia="Times New Roman" w:hAnsi="Arial" w:cs="Arial"/>
                <w:color w:val="000000"/>
                <w:sz w:val="20"/>
                <w:szCs w:val="20"/>
              </w:rPr>
              <w:t>cases by serotype</w:t>
            </w:r>
          </w:p>
        </w:tc>
        <w:tc>
          <w:tcPr>
            <w:tcW w:w="1276" w:type="dxa"/>
            <w:vMerge w:val="restart"/>
            <w:vAlign w:val="center"/>
          </w:tcPr>
          <w:p w14:paraId="465F262E" w14:textId="77777777" w:rsidR="002965F4" w:rsidRPr="009D4692" w:rsidRDefault="002965F4" w:rsidP="007C14E8">
            <w:pPr>
              <w:spacing w:line="276" w:lineRule="auto"/>
              <w:jc w:val="center"/>
              <w:rPr>
                <w:rFonts w:ascii="Arial" w:hAnsi="Arial" w:cs="Arial"/>
                <w:sz w:val="20"/>
                <w:szCs w:val="20"/>
              </w:rPr>
            </w:pPr>
            <w:r w:rsidRPr="009D4692">
              <w:rPr>
                <w:rFonts w:ascii="Arial" w:hAnsi="Arial" w:cs="Arial"/>
                <w:sz w:val="20"/>
                <w:szCs w:val="20"/>
              </w:rPr>
              <w:t>Pre-PCV7 serotypes among IPD cases</w:t>
            </w:r>
          </w:p>
          <w:p w14:paraId="4B489ADC" w14:textId="77777777" w:rsidR="002965F4" w:rsidRPr="009D4692" w:rsidRDefault="002965F4" w:rsidP="007C14E8">
            <w:pPr>
              <w:spacing w:line="276" w:lineRule="auto"/>
              <w:jc w:val="center"/>
              <w:rPr>
                <w:rFonts w:ascii="Arial" w:eastAsia="Times New Roman" w:hAnsi="Arial" w:cs="Arial"/>
                <w:color w:val="000000"/>
                <w:sz w:val="20"/>
                <w:szCs w:val="20"/>
              </w:rPr>
            </w:pPr>
            <w:r w:rsidRPr="009D4692">
              <w:rPr>
                <w:rFonts w:ascii="Arial" w:hAnsi="Arial" w:cs="Arial"/>
                <w:sz w:val="20"/>
                <w:szCs w:val="20"/>
              </w:rPr>
              <w:t>2005/06</w:t>
            </w:r>
          </w:p>
        </w:tc>
        <w:tc>
          <w:tcPr>
            <w:tcW w:w="4820" w:type="dxa"/>
            <w:gridSpan w:val="4"/>
            <w:vAlign w:val="center"/>
          </w:tcPr>
          <w:p w14:paraId="3B69D632" w14:textId="77777777" w:rsidR="002965F4" w:rsidRPr="009D4692" w:rsidRDefault="002965F4" w:rsidP="007C14E8">
            <w:pPr>
              <w:spacing w:line="276" w:lineRule="auto"/>
              <w:jc w:val="center"/>
              <w:rPr>
                <w:rFonts w:ascii="Arial" w:eastAsia="Times New Roman" w:hAnsi="Arial" w:cs="Arial"/>
                <w:color w:val="000000"/>
                <w:sz w:val="20"/>
                <w:szCs w:val="20"/>
              </w:rPr>
            </w:pPr>
            <w:r w:rsidRPr="009D4692">
              <w:rPr>
                <w:rFonts w:ascii="Arial" w:eastAsia="Times New Roman" w:hAnsi="Arial" w:cs="Arial"/>
                <w:color w:val="000000"/>
                <w:sz w:val="20"/>
                <w:szCs w:val="20"/>
              </w:rPr>
              <w:t>PCV7</w:t>
            </w:r>
          </w:p>
        </w:tc>
        <w:tc>
          <w:tcPr>
            <w:tcW w:w="1275" w:type="dxa"/>
            <w:vMerge w:val="restart"/>
            <w:vAlign w:val="center"/>
          </w:tcPr>
          <w:p w14:paraId="664B01B2" w14:textId="77777777" w:rsidR="002965F4" w:rsidRPr="009D4692" w:rsidRDefault="002965F4" w:rsidP="007C14E8">
            <w:pPr>
              <w:spacing w:line="276" w:lineRule="auto"/>
              <w:jc w:val="center"/>
              <w:rPr>
                <w:rFonts w:ascii="Arial" w:hAnsi="Arial" w:cs="Arial"/>
                <w:sz w:val="20"/>
                <w:szCs w:val="20"/>
              </w:rPr>
            </w:pPr>
            <w:r w:rsidRPr="009D4692">
              <w:rPr>
                <w:rFonts w:ascii="Arial" w:hAnsi="Arial" w:cs="Arial"/>
                <w:sz w:val="20"/>
                <w:szCs w:val="20"/>
              </w:rPr>
              <w:t>Pre-PCV13 serotypes among IPD cases</w:t>
            </w:r>
          </w:p>
          <w:p w14:paraId="668CF915" w14:textId="77777777" w:rsidR="002965F4" w:rsidRPr="009D4692" w:rsidRDefault="002965F4" w:rsidP="007C14E8">
            <w:pPr>
              <w:spacing w:line="276" w:lineRule="auto"/>
              <w:jc w:val="center"/>
              <w:rPr>
                <w:rFonts w:ascii="Arial" w:eastAsia="Times New Roman" w:hAnsi="Arial" w:cs="Arial"/>
                <w:color w:val="000000"/>
                <w:sz w:val="20"/>
                <w:szCs w:val="20"/>
              </w:rPr>
            </w:pPr>
            <w:r w:rsidRPr="009D4692">
              <w:rPr>
                <w:rFonts w:ascii="Arial" w:hAnsi="Arial" w:cs="Arial"/>
                <w:sz w:val="20"/>
                <w:szCs w:val="20"/>
              </w:rPr>
              <w:t>2009/10</w:t>
            </w:r>
          </w:p>
        </w:tc>
        <w:tc>
          <w:tcPr>
            <w:tcW w:w="4820" w:type="dxa"/>
            <w:gridSpan w:val="4"/>
            <w:vAlign w:val="center"/>
          </w:tcPr>
          <w:p w14:paraId="493C784A" w14:textId="77777777" w:rsidR="002965F4" w:rsidRPr="009D4692" w:rsidRDefault="002965F4" w:rsidP="007C14E8">
            <w:pPr>
              <w:spacing w:line="276" w:lineRule="auto"/>
              <w:jc w:val="center"/>
              <w:rPr>
                <w:rFonts w:ascii="Arial" w:eastAsia="Times New Roman" w:hAnsi="Arial" w:cs="Arial"/>
                <w:color w:val="000000"/>
                <w:sz w:val="20"/>
                <w:szCs w:val="20"/>
              </w:rPr>
            </w:pPr>
            <w:r w:rsidRPr="009D4692">
              <w:rPr>
                <w:rFonts w:ascii="Arial" w:eastAsia="Times New Roman" w:hAnsi="Arial" w:cs="Arial"/>
                <w:color w:val="000000"/>
                <w:sz w:val="20"/>
                <w:szCs w:val="20"/>
              </w:rPr>
              <w:t>PCV13</w:t>
            </w:r>
          </w:p>
        </w:tc>
      </w:tr>
      <w:tr w:rsidR="002965F4" w:rsidRPr="009D4692" w14:paraId="337FF207" w14:textId="77777777" w:rsidTr="007C14E8">
        <w:tc>
          <w:tcPr>
            <w:tcW w:w="1242" w:type="dxa"/>
            <w:vMerge/>
            <w:vAlign w:val="center"/>
          </w:tcPr>
          <w:p w14:paraId="2DD7AF85" w14:textId="77777777" w:rsidR="002965F4" w:rsidRPr="009D4692" w:rsidRDefault="002965F4" w:rsidP="007C14E8">
            <w:pPr>
              <w:spacing w:line="276" w:lineRule="auto"/>
              <w:rPr>
                <w:rFonts w:ascii="Arial" w:hAnsi="Arial" w:cs="Arial"/>
                <w:sz w:val="20"/>
                <w:szCs w:val="20"/>
              </w:rPr>
            </w:pPr>
          </w:p>
        </w:tc>
        <w:tc>
          <w:tcPr>
            <w:tcW w:w="1276" w:type="dxa"/>
            <w:vMerge/>
            <w:vAlign w:val="center"/>
          </w:tcPr>
          <w:p w14:paraId="46753C49" w14:textId="77777777" w:rsidR="002965F4" w:rsidRPr="009D4692" w:rsidRDefault="002965F4" w:rsidP="007C14E8">
            <w:pPr>
              <w:jc w:val="center"/>
              <w:rPr>
                <w:rFonts w:ascii="Arial" w:hAnsi="Arial" w:cs="Arial"/>
                <w:sz w:val="20"/>
                <w:szCs w:val="20"/>
              </w:rPr>
            </w:pPr>
          </w:p>
        </w:tc>
        <w:tc>
          <w:tcPr>
            <w:tcW w:w="1276" w:type="dxa"/>
            <w:vMerge/>
            <w:vAlign w:val="center"/>
          </w:tcPr>
          <w:p w14:paraId="1A96947D" w14:textId="77777777" w:rsidR="002965F4" w:rsidRPr="009D4692" w:rsidRDefault="002965F4" w:rsidP="007C14E8">
            <w:pPr>
              <w:spacing w:line="276" w:lineRule="auto"/>
              <w:jc w:val="center"/>
              <w:rPr>
                <w:rFonts w:ascii="Arial" w:hAnsi="Arial" w:cs="Arial"/>
                <w:sz w:val="20"/>
                <w:szCs w:val="20"/>
              </w:rPr>
            </w:pPr>
          </w:p>
        </w:tc>
        <w:tc>
          <w:tcPr>
            <w:tcW w:w="1985" w:type="dxa"/>
            <w:vAlign w:val="center"/>
          </w:tcPr>
          <w:p w14:paraId="1DCB3C54" w14:textId="77777777" w:rsidR="002965F4" w:rsidRPr="009D4692" w:rsidRDefault="002965F4" w:rsidP="007C14E8">
            <w:pPr>
              <w:spacing w:line="276" w:lineRule="auto"/>
              <w:jc w:val="center"/>
              <w:rPr>
                <w:rFonts w:ascii="Arial" w:hAnsi="Arial" w:cs="Arial"/>
                <w:sz w:val="20"/>
                <w:szCs w:val="20"/>
              </w:rPr>
            </w:pPr>
            <w:r w:rsidRPr="009D4692">
              <w:rPr>
                <w:rFonts w:ascii="Arial" w:hAnsi="Arial" w:cs="Arial"/>
                <w:sz w:val="20"/>
                <w:szCs w:val="20"/>
              </w:rPr>
              <w:t>Total PCV7</w:t>
            </w:r>
          </w:p>
          <w:p w14:paraId="18D62FD8" w14:textId="77777777" w:rsidR="002965F4" w:rsidRPr="009D4692" w:rsidRDefault="002965F4" w:rsidP="007C14E8">
            <w:pPr>
              <w:spacing w:line="276" w:lineRule="auto"/>
              <w:jc w:val="center"/>
              <w:rPr>
                <w:rFonts w:ascii="Arial" w:hAnsi="Arial" w:cs="Arial"/>
                <w:sz w:val="20"/>
                <w:szCs w:val="20"/>
              </w:rPr>
            </w:pPr>
          </w:p>
        </w:tc>
        <w:tc>
          <w:tcPr>
            <w:tcW w:w="992" w:type="dxa"/>
            <w:vAlign w:val="center"/>
          </w:tcPr>
          <w:p w14:paraId="6BF63653"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1 dose &gt;12m only (catch up)</w:t>
            </w:r>
          </w:p>
        </w:tc>
        <w:tc>
          <w:tcPr>
            <w:tcW w:w="850" w:type="dxa"/>
            <w:vAlign w:val="center"/>
          </w:tcPr>
          <w:p w14:paraId="5F8F0B95"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2 doses &lt; 12m only</w:t>
            </w:r>
          </w:p>
        </w:tc>
        <w:tc>
          <w:tcPr>
            <w:tcW w:w="993" w:type="dxa"/>
            <w:vAlign w:val="center"/>
          </w:tcPr>
          <w:p w14:paraId="0DBC2FAB"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1 or 2 doses &lt;12m + 12m booster</w:t>
            </w:r>
          </w:p>
        </w:tc>
        <w:tc>
          <w:tcPr>
            <w:tcW w:w="1275" w:type="dxa"/>
            <w:vMerge/>
            <w:vAlign w:val="center"/>
          </w:tcPr>
          <w:p w14:paraId="077D731D" w14:textId="77777777" w:rsidR="002965F4" w:rsidRPr="009D4692" w:rsidRDefault="002965F4" w:rsidP="007C14E8">
            <w:pPr>
              <w:spacing w:line="276" w:lineRule="auto"/>
              <w:jc w:val="center"/>
              <w:rPr>
                <w:rFonts w:ascii="Arial" w:hAnsi="Arial" w:cs="Arial"/>
                <w:sz w:val="20"/>
                <w:szCs w:val="20"/>
              </w:rPr>
            </w:pPr>
          </w:p>
        </w:tc>
        <w:tc>
          <w:tcPr>
            <w:tcW w:w="1985" w:type="dxa"/>
            <w:vAlign w:val="center"/>
          </w:tcPr>
          <w:p w14:paraId="72B5D7A7" w14:textId="77777777" w:rsidR="002965F4" w:rsidRPr="009D4692" w:rsidRDefault="002965F4" w:rsidP="007C14E8">
            <w:pPr>
              <w:spacing w:line="276" w:lineRule="auto"/>
              <w:jc w:val="center"/>
              <w:rPr>
                <w:rFonts w:ascii="Arial" w:hAnsi="Arial" w:cs="Arial"/>
                <w:sz w:val="20"/>
                <w:szCs w:val="20"/>
              </w:rPr>
            </w:pPr>
            <w:r w:rsidRPr="009D4692">
              <w:rPr>
                <w:rFonts w:ascii="Arial" w:hAnsi="Arial" w:cs="Arial"/>
                <w:sz w:val="20"/>
                <w:szCs w:val="20"/>
              </w:rPr>
              <w:t>Total PCV13</w:t>
            </w:r>
          </w:p>
        </w:tc>
        <w:tc>
          <w:tcPr>
            <w:tcW w:w="1134" w:type="dxa"/>
            <w:vAlign w:val="center"/>
          </w:tcPr>
          <w:p w14:paraId="451F23BE"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 xml:space="preserve">2 doses PCV7 &lt;12m + 12m PCV13 booster </w:t>
            </w:r>
          </w:p>
        </w:tc>
        <w:tc>
          <w:tcPr>
            <w:tcW w:w="850" w:type="dxa"/>
            <w:vAlign w:val="center"/>
          </w:tcPr>
          <w:p w14:paraId="56AB1673"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2 doses &lt;12m only</w:t>
            </w:r>
          </w:p>
        </w:tc>
        <w:tc>
          <w:tcPr>
            <w:tcW w:w="851" w:type="dxa"/>
            <w:vAlign w:val="center"/>
          </w:tcPr>
          <w:p w14:paraId="7C891F3A"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2 doses &lt;12m + 12m booster</w:t>
            </w:r>
          </w:p>
        </w:tc>
      </w:tr>
      <w:tr w:rsidR="002965F4" w:rsidRPr="009D4692" w14:paraId="5DC948A6" w14:textId="77777777" w:rsidTr="007C14E8">
        <w:tc>
          <w:tcPr>
            <w:tcW w:w="1242" w:type="dxa"/>
            <w:vMerge/>
            <w:vAlign w:val="center"/>
          </w:tcPr>
          <w:p w14:paraId="4E74B70E" w14:textId="77777777" w:rsidR="002965F4" w:rsidRPr="009D4692" w:rsidRDefault="002965F4" w:rsidP="007C14E8">
            <w:pPr>
              <w:spacing w:line="276" w:lineRule="auto"/>
              <w:rPr>
                <w:rFonts w:ascii="Arial" w:eastAsia="Times New Roman" w:hAnsi="Arial" w:cs="Arial"/>
                <w:color w:val="000000"/>
                <w:sz w:val="20"/>
                <w:szCs w:val="20"/>
              </w:rPr>
            </w:pPr>
          </w:p>
        </w:tc>
        <w:tc>
          <w:tcPr>
            <w:tcW w:w="1276" w:type="dxa"/>
            <w:vAlign w:val="center"/>
          </w:tcPr>
          <w:p w14:paraId="6E9F7CFC" w14:textId="77777777" w:rsidR="002965F4" w:rsidRPr="009D4692" w:rsidRDefault="002965F4" w:rsidP="007C14E8">
            <w:pPr>
              <w:jc w:val="center"/>
              <w:rPr>
                <w:rFonts w:ascii="Arial" w:eastAsia="Times New Roman" w:hAnsi="Arial" w:cs="Arial"/>
                <w:color w:val="000000"/>
                <w:sz w:val="20"/>
                <w:szCs w:val="20"/>
              </w:rPr>
            </w:pPr>
            <w:r w:rsidRPr="009D4692">
              <w:rPr>
                <w:rFonts w:ascii="Arial" w:eastAsia="Times New Roman" w:hAnsi="Arial" w:cs="Arial"/>
                <w:color w:val="000000"/>
                <w:sz w:val="20"/>
                <w:szCs w:val="20"/>
              </w:rPr>
              <w:t>N=161</w:t>
            </w:r>
          </w:p>
        </w:tc>
        <w:tc>
          <w:tcPr>
            <w:tcW w:w="1276" w:type="dxa"/>
            <w:vAlign w:val="center"/>
          </w:tcPr>
          <w:p w14:paraId="778AB4C6" w14:textId="77777777" w:rsidR="002965F4" w:rsidRPr="009D4692" w:rsidRDefault="002965F4" w:rsidP="007C14E8">
            <w:pPr>
              <w:spacing w:line="276" w:lineRule="auto"/>
              <w:rPr>
                <w:rFonts w:ascii="Arial" w:eastAsia="Times New Roman" w:hAnsi="Arial" w:cs="Arial"/>
                <w:color w:val="000000"/>
                <w:sz w:val="20"/>
                <w:szCs w:val="20"/>
              </w:rPr>
            </w:pPr>
            <w:r w:rsidRPr="009D4692">
              <w:rPr>
                <w:rFonts w:ascii="Arial" w:eastAsia="Times New Roman" w:hAnsi="Arial" w:cs="Arial"/>
                <w:color w:val="000000"/>
                <w:sz w:val="20"/>
                <w:szCs w:val="20"/>
              </w:rPr>
              <w:t>N=2,122</w:t>
            </w:r>
          </w:p>
        </w:tc>
        <w:tc>
          <w:tcPr>
            <w:tcW w:w="1985" w:type="dxa"/>
            <w:vAlign w:val="center"/>
          </w:tcPr>
          <w:p w14:paraId="1F45F90E" w14:textId="77777777" w:rsidR="002965F4" w:rsidRPr="009D4692" w:rsidRDefault="002965F4" w:rsidP="007C14E8">
            <w:pPr>
              <w:spacing w:line="276" w:lineRule="auto"/>
              <w:jc w:val="center"/>
              <w:rPr>
                <w:rFonts w:ascii="Arial" w:eastAsia="Times New Roman" w:hAnsi="Arial" w:cs="Arial"/>
                <w:color w:val="000000"/>
                <w:sz w:val="20"/>
                <w:szCs w:val="20"/>
              </w:rPr>
            </w:pPr>
            <w:r w:rsidRPr="009D4692">
              <w:rPr>
                <w:rFonts w:ascii="Arial" w:eastAsia="Times New Roman" w:hAnsi="Arial" w:cs="Arial"/>
                <w:color w:val="000000"/>
                <w:sz w:val="20"/>
                <w:szCs w:val="20"/>
              </w:rPr>
              <w:t>N=57</w:t>
            </w:r>
          </w:p>
        </w:tc>
        <w:tc>
          <w:tcPr>
            <w:tcW w:w="992" w:type="dxa"/>
            <w:vAlign w:val="center"/>
          </w:tcPr>
          <w:p w14:paraId="5A7061EE" w14:textId="77777777" w:rsidR="002965F4" w:rsidRPr="009D4692" w:rsidRDefault="002965F4" w:rsidP="007C14E8">
            <w:pPr>
              <w:spacing w:line="276" w:lineRule="auto"/>
              <w:jc w:val="center"/>
              <w:rPr>
                <w:rFonts w:ascii="Arial" w:eastAsia="Times New Roman" w:hAnsi="Arial" w:cs="Arial"/>
                <w:color w:val="000000"/>
                <w:sz w:val="18"/>
                <w:szCs w:val="20"/>
              </w:rPr>
            </w:pPr>
            <w:r w:rsidRPr="009D4692">
              <w:rPr>
                <w:rFonts w:ascii="Arial" w:eastAsia="Times New Roman" w:hAnsi="Arial" w:cs="Arial"/>
                <w:color w:val="000000"/>
                <w:sz w:val="18"/>
                <w:szCs w:val="20"/>
              </w:rPr>
              <w:t>N=20</w:t>
            </w:r>
          </w:p>
        </w:tc>
        <w:tc>
          <w:tcPr>
            <w:tcW w:w="850" w:type="dxa"/>
            <w:vAlign w:val="center"/>
          </w:tcPr>
          <w:p w14:paraId="2469CB1E" w14:textId="77777777" w:rsidR="002965F4" w:rsidRPr="009D4692" w:rsidRDefault="002965F4" w:rsidP="007C14E8">
            <w:pPr>
              <w:spacing w:line="276" w:lineRule="auto"/>
              <w:jc w:val="center"/>
              <w:rPr>
                <w:rFonts w:ascii="Arial" w:eastAsia="Times New Roman" w:hAnsi="Arial" w:cs="Arial"/>
                <w:color w:val="000000"/>
                <w:sz w:val="18"/>
                <w:szCs w:val="20"/>
              </w:rPr>
            </w:pPr>
            <w:r w:rsidRPr="009D4692">
              <w:rPr>
                <w:rFonts w:ascii="Arial" w:eastAsia="Times New Roman" w:hAnsi="Arial" w:cs="Arial"/>
                <w:color w:val="000000"/>
                <w:sz w:val="18"/>
                <w:szCs w:val="20"/>
              </w:rPr>
              <w:t>N=25</w:t>
            </w:r>
          </w:p>
        </w:tc>
        <w:tc>
          <w:tcPr>
            <w:tcW w:w="993" w:type="dxa"/>
            <w:vAlign w:val="center"/>
          </w:tcPr>
          <w:p w14:paraId="09A207B5" w14:textId="77777777" w:rsidR="002965F4" w:rsidRPr="009D4692" w:rsidRDefault="002965F4" w:rsidP="007C14E8">
            <w:pPr>
              <w:spacing w:line="276" w:lineRule="auto"/>
              <w:jc w:val="center"/>
              <w:rPr>
                <w:rFonts w:ascii="Arial" w:eastAsia="Times New Roman" w:hAnsi="Arial" w:cs="Arial"/>
                <w:color w:val="000000"/>
                <w:sz w:val="18"/>
                <w:szCs w:val="20"/>
              </w:rPr>
            </w:pPr>
            <w:r w:rsidRPr="009D4692">
              <w:rPr>
                <w:rFonts w:ascii="Arial" w:eastAsia="Times New Roman" w:hAnsi="Arial" w:cs="Arial"/>
                <w:color w:val="000000"/>
                <w:sz w:val="18"/>
                <w:szCs w:val="20"/>
              </w:rPr>
              <w:t>N=12</w:t>
            </w:r>
          </w:p>
        </w:tc>
        <w:tc>
          <w:tcPr>
            <w:tcW w:w="1275" w:type="dxa"/>
            <w:vAlign w:val="center"/>
          </w:tcPr>
          <w:p w14:paraId="280E5B02" w14:textId="77777777" w:rsidR="002965F4" w:rsidRPr="004F534C" w:rsidRDefault="002965F4" w:rsidP="007C14E8">
            <w:pPr>
              <w:spacing w:line="276" w:lineRule="auto"/>
              <w:rPr>
                <w:rFonts w:ascii="Arial" w:eastAsia="Times New Roman" w:hAnsi="Arial" w:cs="Arial"/>
                <w:color w:val="000000"/>
                <w:sz w:val="20"/>
                <w:szCs w:val="20"/>
              </w:rPr>
            </w:pPr>
            <w:r w:rsidRPr="00F022A5">
              <w:rPr>
                <w:rFonts w:ascii="Arial" w:eastAsia="Times New Roman" w:hAnsi="Arial" w:cs="Arial"/>
                <w:color w:val="000000"/>
                <w:sz w:val="20"/>
                <w:szCs w:val="20"/>
              </w:rPr>
              <w:t xml:space="preserve">N=2,651 </w:t>
            </w:r>
          </w:p>
        </w:tc>
        <w:tc>
          <w:tcPr>
            <w:tcW w:w="1985" w:type="dxa"/>
            <w:vAlign w:val="center"/>
          </w:tcPr>
          <w:p w14:paraId="49C634AB" w14:textId="77777777" w:rsidR="002965F4" w:rsidRPr="009D4692" w:rsidRDefault="002965F4" w:rsidP="007C14E8">
            <w:pPr>
              <w:spacing w:line="276" w:lineRule="auto"/>
              <w:rPr>
                <w:rFonts w:ascii="Arial" w:eastAsia="Times New Roman" w:hAnsi="Arial" w:cs="Arial"/>
                <w:color w:val="000000"/>
                <w:sz w:val="20"/>
                <w:szCs w:val="20"/>
              </w:rPr>
            </w:pPr>
            <w:r w:rsidRPr="009D4692">
              <w:rPr>
                <w:rFonts w:ascii="Arial" w:eastAsia="Times New Roman" w:hAnsi="Arial" w:cs="Arial"/>
                <w:color w:val="000000"/>
                <w:sz w:val="20"/>
                <w:szCs w:val="20"/>
              </w:rPr>
              <w:t>N=104</w:t>
            </w:r>
          </w:p>
        </w:tc>
        <w:tc>
          <w:tcPr>
            <w:tcW w:w="1134" w:type="dxa"/>
            <w:vAlign w:val="center"/>
          </w:tcPr>
          <w:p w14:paraId="53DF4EE6" w14:textId="6FA9C63D" w:rsidR="002965F4" w:rsidRPr="009D4692" w:rsidRDefault="002965F4" w:rsidP="00D40C16">
            <w:pPr>
              <w:spacing w:line="276" w:lineRule="auto"/>
              <w:jc w:val="center"/>
              <w:rPr>
                <w:rFonts w:ascii="Arial" w:eastAsia="Times New Roman" w:hAnsi="Arial" w:cs="Arial"/>
                <w:color w:val="000000"/>
                <w:sz w:val="16"/>
                <w:szCs w:val="20"/>
              </w:rPr>
            </w:pPr>
            <w:r w:rsidRPr="009D4692">
              <w:rPr>
                <w:rFonts w:ascii="Arial" w:eastAsia="Times New Roman" w:hAnsi="Arial" w:cs="Arial"/>
                <w:color w:val="000000"/>
                <w:sz w:val="16"/>
                <w:szCs w:val="20"/>
              </w:rPr>
              <w:t>N=</w:t>
            </w:r>
            <w:r w:rsidR="00D40C16" w:rsidRPr="009D4692">
              <w:rPr>
                <w:rFonts w:ascii="Arial" w:eastAsia="Times New Roman" w:hAnsi="Arial" w:cs="Arial"/>
                <w:color w:val="000000"/>
                <w:sz w:val="16"/>
                <w:szCs w:val="20"/>
              </w:rPr>
              <w:t>3</w:t>
            </w:r>
            <w:r w:rsidR="00D40C16">
              <w:rPr>
                <w:rFonts w:ascii="Arial" w:eastAsia="Times New Roman" w:hAnsi="Arial" w:cs="Arial"/>
                <w:color w:val="000000"/>
                <w:sz w:val="16"/>
                <w:szCs w:val="20"/>
              </w:rPr>
              <w:t>5</w:t>
            </w:r>
          </w:p>
        </w:tc>
        <w:tc>
          <w:tcPr>
            <w:tcW w:w="850" w:type="dxa"/>
            <w:vAlign w:val="center"/>
          </w:tcPr>
          <w:p w14:paraId="38E2B209" w14:textId="52E5B363" w:rsidR="002965F4" w:rsidRPr="009D4692" w:rsidRDefault="002965F4" w:rsidP="00D40C16">
            <w:pPr>
              <w:spacing w:line="276" w:lineRule="auto"/>
              <w:jc w:val="center"/>
              <w:rPr>
                <w:rFonts w:ascii="Arial" w:eastAsia="Times New Roman" w:hAnsi="Arial" w:cs="Arial"/>
                <w:color w:val="000000"/>
                <w:sz w:val="16"/>
                <w:szCs w:val="20"/>
              </w:rPr>
            </w:pPr>
            <w:r w:rsidRPr="009D4692">
              <w:rPr>
                <w:rFonts w:ascii="Arial" w:eastAsia="Times New Roman" w:hAnsi="Arial" w:cs="Arial"/>
                <w:color w:val="000000"/>
                <w:sz w:val="16"/>
                <w:szCs w:val="20"/>
              </w:rPr>
              <w:t>N=</w:t>
            </w:r>
            <w:r w:rsidR="00D40C16" w:rsidRPr="009D4692">
              <w:rPr>
                <w:rFonts w:ascii="Arial" w:eastAsia="Times New Roman" w:hAnsi="Arial" w:cs="Arial"/>
                <w:color w:val="000000"/>
                <w:sz w:val="16"/>
                <w:szCs w:val="20"/>
              </w:rPr>
              <w:t>4</w:t>
            </w:r>
            <w:r w:rsidR="00D40C16">
              <w:rPr>
                <w:rFonts w:ascii="Arial" w:eastAsia="Times New Roman" w:hAnsi="Arial" w:cs="Arial"/>
                <w:color w:val="000000"/>
                <w:sz w:val="16"/>
                <w:szCs w:val="20"/>
              </w:rPr>
              <w:t>1</w:t>
            </w:r>
          </w:p>
        </w:tc>
        <w:tc>
          <w:tcPr>
            <w:tcW w:w="851" w:type="dxa"/>
            <w:vAlign w:val="center"/>
          </w:tcPr>
          <w:p w14:paraId="6BD4CCFF" w14:textId="77777777" w:rsidR="002965F4" w:rsidRPr="009D4692" w:rsidRDefault="002965F4" w:rsidP="007C14E8">
            <w:pPr>
              <w:spacing w:line="276" w:lineRule="auto"/>
              <w:jc w:val="center"/>
              <w:rPr>
                <w:rFonts w:ascii="Arial" w:eastAsia="Times New Roman" w:hAnsi="Arial" w:cs="Arial"/>
                <w:color w:val="000000"/>
                <w:sz w:val="16"/>
                <w:szCs w:val="20"/>
              </w:rPr>
            </w:pPr>
            <w:r w:rsidRPr="009D4692">
              <w:rPr>
                <w:rFonts w:ascii="Arial" w:eastAsia="Times New Roman" w:hAnsi="Arial" w:cs="Arial"/>
                <w:color w:val="000000"/>
                <w:sz w:val="16"/>
                <w:szCs w:val="20"/>
              </w:rPr>
              <w:t>N=28</w:t>
            </w:r>
          </w:p>
        </w:tc>
      </w:tr>
      <w:tr w:rsidR="002965F4" w:rsidRPr="009D4692" w14:paraId="409DB2DB" w14:textId="77777777" w:rsidTr="007C14E8">
        <w:tc>
          <w:tcPr>
            <w:tcW w:w="1242" w:type="dxa"/>
            <w:vAlign w:val="center"/>
          </w:tcPr>
          <w:p w14:paraId="0DF4E572" w14:textId="77777777"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4</w:t>
            </w:r>
          </w:p>
        </w:tc>
        <w:tc>
          <w:tcPr>
            <w:tcW w:w="1276" w:type="dxa"/>
            <w:vAlign w:val="center"/>
          </w:tcPr>
          <w:p w14:paraId="0712F16D" w14:textId="77777777" w:rsidR="002965F4" w:rsidRPr="009D4692" w:rsidRDefault="002965F4" w:rsidP="007C14E8">
            <w:pPr>
              <w:rPr>
                <w:rFonts w:ascii="Arial" w:hAnsi="Arial" w:cs="Arial"/>
                <w:sz w:val="20"/>
                <w:szCs w:val="20"/>
              </w:rPr>
            </w:pPr>
            <w:r w:rsidRPr="009D4692">
              <w:rPr>
                <w:rFonts w:ascii="Arial" w:hAnsi="Arial" w:cs="Arial"/>
                <w:sz w:val="20"/>
                <w:szCs w:val="20"/>
              </w:rPr>
              <w:t>2 (1%)</w:t>
            </w:r>
          </w:p>
        </w:tc>
        <w:tc>
          <w:tcPr>
            <w:tcW w:w="1276" w:type="dxa"/>
            <w:vAlign w:val="center"/>
          </w:tcPr>
          <w:p w14:paraId="7CC4A01C" w14:textId="77777777"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298 (14%)</w:t>
            </w:r>
          </w:p>
        </w:tc>
        <w:tc>
          <w:tcPr>
            <w:tcW w:w="1985" w:type="dxa"/>
            <w:vAlign w:val="center"/>
          </w:tcPr>
          <w:p w14:paraId="1E3F573F" w14:textId="53EA0A17" w:rsidR="002965F4" w:rsidRPr="009D4692" w:rsidRDefault="002965F4" w:rsidP="007C14E8">
            <w:pPr>
              <w:spacing w:line="276" w:lineRule="auto"/>
              <w:rPr>
                <w:rFonts w:ascii="Arial" w:hAnsi="Arial" w:cs="Arial"/>
                <w:i/>
                <w:sz w:val="20"/>
                <w:szCs w:val="20"/>
              </w:rPr>
            </w:pPr>
            <w:r w:rsidRPr="009D4692">
              <w:rPr>
                <w:rFonts w:ascii="Arial" w:hAnsi="Arial" w:cs="Arial"/>
                <w:sz w:val="20"/>
                <w:szCs w:val="20"/>
              </w:rPr>
              <w:t>2 (4%)</w:t>
            </w:r>
          </w:p>
        </w:tc>
        <w:tc>
          <w:tcPr>
            <w:tcW w:w="992" w:type="dxa"/>
            <w:vAlign w:val="center"/>
          </w:tcPr>
          <w:p w14:paraId="7F02D623" w14:textId="77777777" w:rsidR="002965F4" w:rsidRPr="009D4692" w:rsidRDefault="002965F4" w:rsidP="007C14E8">
            <w:pPr>
              <w:spacing w:line="276" w:lineRule="auto"/>
              <w:jc w:val="center"/>
              <w:rPr>
                <w:rFonts w:ascii="Arial" w:hAnsi="Arial" w:cs="Arial"/>
                <w:sz w:val="18"/>
                <w:szCs w:val="20"/>
              </w:rPr>
            </w:pPr>
            <w:r w:rsidRPr="009D4692">
              <w:rPr>
                <w:rFonts w:ascii="Arial" w:hAnsi="Arial" w:cs="Arial"/>
                <w:sz w:val="18"/>
                <w:szCs w:val="20"/>
              </w:rPr>
              <w:t>-</w:t>
            </w:r>
          </w:p>
        </w:tc>
        <w:tc>
          <w:tcPr>
            <w:tcW w:w="850" w:type="dxa"/>
            <w:vAlign w:val="center"/>
          </w:tcPr>
          <w:p w14:paraId="2ADDFD25" w14:textId="77777777" w:rsidR="002965F4" w:rsidRPr="009D4692" w:rsidRDefault="002965F4" w:rsidP="007C14E8">
            <w:pPr>
              <w:spacing w:line="276" w:lineRule="auto"/>
              <w:jc w:val="center"/>
              <w:rPr>
                <w:rFonts w:ascii="Arial" w:hAnsi="Arial" w:cs="Arial"/>
                <w:sz w:val="18"/>
                <w:szCs w:val="20"/>
              </w:rPr>
            </w:pPr>
            <w:r w:rsidRPr="009D4692">
              <w:rPr>
                <w:rFonts w:ascii="Arial" w:hAnsi="Arial" w:cs="Arial"/>
                <w:sz w:val="18"/>
                <w:szCs w:val="20"/>
              </w:rPr>
              <w:t>-</w:t>
            </w:r>
          </w:p>
        </w:tc>
        <w:tc>
          <w:tcPr>
            <w:tcW w:w="993" w:type="dxa"/>
            <w:vAlign w:val="center"/>
          </w:tcPr>
          <w:p w14:paraId="214534CF" w14:textId="77777777" w:rsidR="002965F4" w:rsidRPr="009D4692" w:rsidRDefault="002965F4" w:rsidP="007C14E8">
            <w:pPr>
              <w:spacing w:line="276" w:lineRule="auto"/>
              <w:jc w:val="center"/>
              <w:rPr>
                <w:rFonts w:ascii="Arial" w:hAnsi="Arial" w:cs="Arial"/>
                <w:sz w:val="18"/>
                <w:szCs w:val="20"/>
              </w:rPr>
            </w:pPr>
            <w:r w:rsidRPr="009D4692">
              <w:rPr>
                <w:rFonts w:ascii="Arial" w:hAnsi="Arial" w:cs="Arial"/>
                <w:sz w:val="18"/>
                <w:szCs w:val="20"/>
              </w:rPr>
              <w:t>2</w:t>
            </w:r>
          </w:p>
        </w:tc>
        <w:tc>
          <w:tcPr>
            <w:tcW w:w="1275" w:type="dxa"/>
            <w:vAlign w:val="center"/>
          </w:tcPr>
          <w:p w14:paraId="77079DCC" w14:textId="77777777" w:rsidR="002965F4" w:rsidRPr="002965F4" w:rsidRDefault="002965F4" w:rsidP="007C14E8">
            <w:pPr>
              <w:spacing w:line="276" w:lineRule="auto"/>
              <w:rPr>
                <w:rFonts w:ascii="Arial" w:hAnsi="Arial" w:cs="Arial"/>
                <w:sz w:val="20"/>
                <w:szCs w:val="20"/>
              </w:rPr>
            </w:pPr>
            <w:r w:rsidRPr="00F022A5">
              <w:rPr>
                <w:rFonts w:ascii="Arial" w:hAnsi="Arial" w:cs="Arial"/>
                <w:sz w:val="20"/>
                <w:szCs w:val="20"/>
              </w:rPr>
              <w:t>70</w:t>
            </w:r>
            <w:r w:rsidRPr="004F534C">
              <w:rPr>
                <w:rFonts w:ascii="Arial" w:hAnsi="Arial" w:cs="Arial"/>
                <w:sz w:val="20"/>
                <w:szCs w:val="20"/>
              </w:rPr>
              <w:t xml:space="preserve"> </w:t>
            </w:r>
            <w:r w:rsidRPr="00092374">
              <w:rPr>
                <w:rFonts w:ascii="Arial" w:hAnsi="Arial" w:cs="Arial"/>
                <w:sz w:val="20"/>
                <w:szCs w:val="20"/>
              </w:rPr>
              <w:t>(</w:t>
            </w:r>
            <w:r w:rsidRPr="002965F4">
              <w:rPr>
                <w:rFonts w:ascii="Arial" w:hAnsi="Arial" w:cs="Arial"/>
                <w:sz w:val="20"/>
                <w:szCs w:val="20"/>
              </w:rPr>
              <w:t>3%)</w:t>
            </w:r>
          </w:p>
        </w:tc>
        <w:tc>
          <w:tcPr>
            <w:tcW w:w="1985" w:type="dxa"/>
            <w:vAlign w:val="center"/>
          </w:tcPr>
          <w:p w14:paraId="7A3D8894" w14:textId="77777777"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w:t>
            </w:r>
          </w:p>
        </w:tc>
        <w:tc>
          <w:tcPr>
            <w:tcW w:w="1134" w:type="dxa"/>
            <w:vAlign w:val="center"/>
          </w:tcPr>
          <w:p w14:paraId="25AD7E25"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w:t>
            </w:r>
          </w:p>
        </w:tc>
        <w:tc>
          <w:tcPr>
            <w:tcW w:w="850" w:type="dxa"/>
            <w:vAlign w:val="center"/>
          </w:tcPr>
          <w:p w14:paraId="0BCD05F8"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w:t>
            </w:r>
          </w:p>
        </w:tc>
        <w:tc>
          <w:tcPr>
            <w:tcW w:w="851" w:type="dxa"/>
            <w:vAlign w:val="center"/>
          </w:tcPr>
          <w:p w14:paraId="536ABB3B"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w:t>
            </w:r>
          </w:p>
        </w:tc>
      </w:tr>
      <w:tr w:rsidR="002965F4" w:rsidRPr="009D4692" w14:paraId="48FFF4A9" w14:textId="77777777" w:rsidTr="007C14E8">
        <w:tc>
          <w:tcPr>
            <w:tcW w:w="1242" w:type="dxa"/>
            <w:vAlign w:val="center"/>
          </w:tcPr>
          <w:p w14:paraId="7CE34F06" w14:textId="77777777"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6B</w:t>
            </w:r>
          </w:p>
        </w:tc>
        <w:tc>
          <w:tcPr>
            <w:tcW w:w="1276" w:type="dxa"/>
            <w:vAlign w:val="center"/>
          </w:tcPr>
          <w:p w14:paraId="375BA6B8" w14:textId="77777777" w:rsidR="002965F4" w:rsidRPr="009D4692" w:rsidRDefault="002965F4" w:rsidP="007C14E8">
            <w:pPr>
              <w:rPr>
                <w:rFonts w:ascii="Arial" w:hAnsi="Arial" w:cs="Arial"/>
                <w:b/>
                <w:sz w:val="20"/>
                <w:szCs w:val="20"/>
              </w:rPr>
            </w:pPr>
            <w:r w:rsidRPr="009D4692">
              <w:rPr>
                <w:rFonts w:ascii="Arial" w:hAnsi="Arial" w:cs="Arial"/>
                <w:b/>
                <w:sz w:val="20"/>
                <w:szCs w:val="20"/>
              </w:rPr>
              <w:t>23 (14%)</w:t>
            </w:r>
          </w:p>
        </w:tc>
        <w:tc>
          <w:tcPr>
            <w:tcW w:w="1276" w:type="dxa"/>
            <w:vAlign w:val="center"/>
          </w:tcPr>
          <w:p w14:paraId="5217BF54" w14:textId="77777777" w:rsidR="002965F4" w:rsidRPr="009D4692" w:rsidRDefault="002965F4" w:rsidP="007C14E8">
            <w:pPr>
              <w:spacing w:line="276" w:lineRule="auto"/>
              <w:rPr>
                <w:rFonts w:ascii="Arial" w:hAnsi="Arial" w:cs="Arial"/>
                <w:b/>
                <w:sz w:val="20"/>
                <w:szCs w:val="20"/>
              </w:rPr>
            </w:pPr>
            <w:r w:rsidRPr="009D4692">
              <w:rPr>
                <w:rFonts w:ascii="Arial" w:hAnsi="Arial" w:cs="Arial"/>
                <w:b/>
                <w:sz w:val="20"/>
                <w:szCs w:val="20"/>
              </w:rPr>
              <w:t>219 (10%)</w:t>
            </w:r>
          </w:p>
        </w:tc>
        <w:tc>
          <w:tcPr>
            <w:tcW w:w="1985" w:type="dxa"/>
            <w:vAlign w:val="center"/>
          </w:tcPr>
          <w:p w14:paraId="7413D53A" w14:textId="77777777" w:rsidR="002965F4" w:rsidRPr="009D4692" w:rsidRDefault="002965F4" w:rsidP="007C14E8">
            <w:pPr>
              <w:spacing w:line="276" w:lineRule="auto"/>
              <w:rPr>
                <w:rFonts w:ascii="Arial" w:hAnsi="Arial" w:cs="Arial"/>
                <w:b/>
                <w:sz w:val="20"/>
                <w:szCs w:val="20"/>
              </w:rPr>
            </w:pPr>
            <w:r w:rsidRPr="009D4692">
              <w:rPr>
                <w:rFonts w:ascii="Arial" w:hAnsi="Arial" w:cs="Arial"/>
                <w:b/>
                <w:sz w:val="20"/>
                <w:szCs w:val="20"/>
              </w:rPr>
              <w:t xml:space="preserve">19 (33%), </w:t>
            </w:r>
            <w:r w:rsidRPr="009D4692">
              <w:rPr>
                <w:rFonts w:ascii="Arial" w:hAnsi="Arial" w:cs="Arial"/>
                <w:b/>
                <w:i/>
                <w:sz w:val="20"/>
                <w:szCs w:val="20"/>
              </w:rPr>
              <w:t>P&lt;0.001</w:t>
            </w:r>
          </w:p>
        </w:tc>
        <w:tc>
          <w:tcPr>
            <w:tcW w:w="992" w:type="dxa"/>
            <w:vAlign w:val="center"/>
          </w:tcPr>
          <w:p w14:paraId="37E7F880" w14:textId="77777777" w:rsidR="002965F4" w:rsidRPr="009D4692" w:rsidRDefault="002965F4" w:rsidP="007C14E8">
            <w:pPr>
              <w:spacing w:line="276" w:lineRule="auto"/>
              <w:jc w:val="center"/>
              <w:rPr>
                <w:rFonts w:ascii="Arial" w:hAnsi="Arial" w:cs="Arial"/>
                <w:sz w:val="18"/>
                <w:szCs w:val="20"/>
              </w:rPr>
            </w:pPr>
            <w:r w:rsidRPr="009D4692">
              <w:rPr>
                <w:rFonts w:ascii="Arial" w:hAnsi="Arial" w:cs="Arial"/>
                <w:sz w:val="18"/>
                <w:szCs w:val="20"/>
              </w:rPr>
              <w:t>9</w:t>
            </w:r>
          </w:p>
        </w:tc>
        <w:tc>
          <w:tcPr>
            <w:tcW w:w="850" w:type="dxa"/>
            <w:vAlign w:val="center"/>
          </w:tcPr>
          <w:p w14:paraId="593505AA" w14:textId="77777777" w:rsidR="002965F4" w:rsidRPr="009D4692" w:rsidRDefault="002965F4" w:rsidP="007C14E8">
            <w:pPr>
              <w:spacing w:line="276" w:lineRule="auto"/>
              <w:jc w:val="center"/>
              <w:rPr>
                <w:rFonts w:ascii="Arial" w:hAnsi="Arial" w:cs="Arial"/>
                <w:sz w:val="18"/>
                <w:szCs w:val="20"/>
              </w:rPr>
            </w:pPr>
            <w:r w:rsidRPr="009D4692">
              <w:rPr>
                <w:rFonts w:ascii="Arial" w:hAnsi="Arial" w:cs="Arial"/>
                <w:sz w:val="18"/>
                <w:szCs w:val="20"/>
              </w:rPr>
              <w:t>9</w:t>
            </w:r>
          </w:p>
        </w:tc>
        <w:tc>
          <w:tcPr>
            <w:tcW w:w="993" w:type="dxa"/>
            <w:vAlign w:val="center"/>
          </w:tcPr>
          <w:p w14:paraId="62272951" w14:textId="77777777" w:rsidR="002965F4" w:rsidRPr="009D4692" w:rsidRDefault="002965F4" w:rsidP="007C14E8">
            <w:pPr>
              <w:spacing w:line="276" w:lineRule="auto"/>
              <w:jc w:val="center"/>
              <w:rPr>
                <w:rFonts w:ascii="Arial" w:hAnsi="Arial" w:cs="Arial"/>
                <w:sz w:val="18"/>
                <w:szCs w:val="20"/>
              </w:rPr>
            </w:pPr>
            <w:r w:rsidRPr="009D4692">
              <w:rPr>
                <w:rFonts w:ascii="Arial" w:hAnsi="Arial" w:cs="Arial"/>
                <w:sz w:val="18"/>
                <w:szCs w:val="20"/>
              </w:rPr>
              <w:t>1</w:t>
            </w:r>
          </w:p>
        </w:tc>
        <w:tc>
          <w:tcPr>
            <w:tcW w:w="1275" w:type="dxa"/>
            <w:vAlign w:val="center"/>
          </w:tcPr>
          <w:p w14:paraId="1368EB1C" w14:textId="77777777" w:rsidR="002965F4" w:rsidRPr="002965F4" w:rsidRDefault="002965F4" w:rsidP="007C14E8">
            <w:pPr>
              <w:spacing w:line="276" w:lineRule="auto"/>
              <w:rPr>
                <w:rFonts w:ascii="Arial" w:hAnsi="Arial" w:cs="Arial"/>
                <w:sz w:val="20"/>
                <w:szCs w:val="20"/>
              </w:rPr>
            </w:pPr>
            <w:r w:rsidRPr="00F022A5">
              <w:rPr>
                <w:rFonts w:ascii="Arial" w:hAnsi="Arial" w:cs="Arial"/>
                <w:sz w:val="20"/>
                <w:szCs w:val="20"/>
              </w:rPr>
              <w:t>72</w:t>
            </w:r>
            <w:r w:rsidRPr="004F534C">
              <w:rPr>
                <w:rFonts w:ascii="Arial" w:hAnsi="Arial" w:cs="Arial"/>
                <w:sz w:val="20"/>
                <w:szCs w:val="20"/>
              </w:rPr>
              <w:t xml:space="preserve"> </w:t>
            </w:r>
            <w:r w:rsidRPr="00092374">
              <w:rPr>
                <w:rFonts w:ascii="Arial" w:hAnsi="Arial" w:cs="Arial"/>
                <w:sz w:val="20"/>
                <w:szCs w:val="20"/>
              </w:rPr>
              <w:t>(</w:t>
            </w:r>
            <w:r w:rsidRPr="002965F4">
              <w:rPr>
                <w:rFonts w:ascii="Arial" w:hAnsi="Arial" w:cs="Arial"/>
                <w:sz w:val="20"/>
                <w:szCs w:val="20"/>
              </w:rPr>
              <w:t>3%)</w:t>
            </w:r>
          </w:p>
        </w:tc>
        <w:tc>
          <w:tcPr>
            <w:tcW w:w="1985" w:type="dxa"/>
            <w:vAlign w:val="center"/>
          </w:tcPr>
          <w:p w14:paraId="3B104D1D" w14:textId="017C5706"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4 (4%)</w:t>
            </w:r>
          </w:p>
        </w:tc>
        <w:tc>
          <w:tcPr>
            <w:tcW w:w="1134" w:type="dxa"/>
            <w:vAlign w:val="center"/>
          </w:tcPr>
          <w:p w14:paraId="7B6B375C" w14:textId="77777777" w:rsidR="002965F4" w:rsidRPr="009D4692" w:rsidRDefault="002965F4" w:rsidP="007C14E8">
            <w:pPr>
              <w:spacing w:line="276" w:lineRule="auto"/>
              <w:jc w:val="center"/>
              <w:rPr>
                <w:rFonts w:ascii="Arial" w:hAnsi="Arial" w:cs="Arial"/>
                <w:sz w:val="16"/>
                <w:szCs w:val="20"/>
              </w:rPr>
            </w:pPr>
            <w:r w:rsidRPr="00F022A5">
              <w:rPr>
                <w:rFonts w:ascii="Arial" w:hAnsi="Arial" w:cs="Arial"/>
                <w:sz w:val="16"/>
                <w:szCs w:val="20"/>
              </w:rPr>
              <w:t>2</w:t>
            </w:r>
          </w:p>
        </w:tc>
        <w:tc>
          <w:tcPr>
            <w:tcW w:w="850" w:type="dxa"/>
            <w:vAlign w:val="center"/>
          </w:tcPr>
          <w:p w14:paraId="5B37BEDA"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w:t>
            </w:r>
          </w:p>
        </w:tc>
        <w:tc>
          <w:tcPr>
            <w:tcW w:w="851" w:type="dxa"/>
            <w:vAlign w:val="center"/>
          </w:tcPr>
          <w:p w14:paraId="04A1A9E9"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2</w:t>
            </w:r>
          </w:p>
        </w:tc>
      </w:tr>
      <w:tr w:rsidR="002965F4" w:rsidRPr="009D4692" w14:paraId="49A79381" w14:textId="77777777" w:rsidTr="007C14E8">
        <w:tc>
          <w:tcPr>
            <w:tcW w:w="1242" w:type="dxa"/>
            <w:vAlign w:val="center"/>
          </w:tcPr>
          <w:p w14:paraId="1E59C6E5" w14:textId="77777777"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9V</w:t>
            </w:r>
          </w:p>
        </w:tc>
        <w:tc>
          <w:tcPr>
            <w:tcW w:w="1276" w:type="dxa"/>
            <w:vAlign w:val="center"/>
          </w:tcPr>
          <w:p w14:paraId="75300E50" w14:textId="77777777" w:rsidR="002965F4" w:rsidRPr="004F534C" w:rsidRDefault="002965F4" w:rsidP="007C14E8">
            <w:pPr>
              <w:rPr>
                <w:rFonts w:ascii="Arial" w:hAnsi="Arial" w:cs="Arial"/>
                <w:sz w:val="20"/>
                <w:szCs w:val="20"/>
              </w:rPr>
            </w:pPr>
            <w:r w:rsidRPr="009D4692">
              <w:rPr>
                <w:rFonts w:ascii="Arial" w:hAnsi="Arial" w:cs="Arial"/>
                <w:sz w:val="20"/>
                <w:szCs w:val="20"/>
              </w:rPr>
              <w:t>5 (3</w:t>
            </w:r>
            <w:r>
              <w:rPr>
                <w:rFonts w:ascii="Arial" w:hAnsi="Arial" w:cs="Arial"/>
                <w:sz w:val="20"/>
                <w:szCs w:val="20"/>
              </w:rPr>
              <w:t>%</w:t>
            </w:r>
            <w:r w:rsidRPr="00F022A5">
              <w:rPr>
                <w:rFonts w:ascii="Arial" w:hAnsi="Arial" w:cs="Arial"/>
                <w:sz w:val="20"/>
                <w:szCs w:val="20"/>
              </w:rPr>
              <w:t>)</w:t>
            </w:r>
          </w:p>
        </w:tc>
        <w:tc>
          <w:tcPr>
            <w:tcW w:w="1276" w:type="dxa"/>
            <w:vAlign w:val="center"/>
          </w:tcPr>
          <w:p w14:paraId="4FA20C12" w14:textId="77777777" w:rsidR="002965F4" w:rsidRPr="002965F4" w:rsidRDefault="002965F4" w:rsidP="007C14E8">
            <w:pPr>
              <w:spacing w:line="276" w:lineRule="auto"/>
              <w:rPr>
                <w:rFonts w:ascii="Arial" w:hAnsi="Arial" w:cs="Arial"/>
                <w:sz w:val="20"/>
                <w:szCs w:val="20"/>
              </w:rPr>
            </w:pPr>
            <w:r w:rsidRPr="00092374">
              <w:rPr>
                <w:rFonts w:ascii="Arial" w:hAnsi="Arial" w:cs="Arial"/>
                <w:sz w:val="20"/>
                <w:szCs w:val="20"/>
              </w:rPr>
              <w:t>323 (15</w:t>
            </w:r>
            <w:r w:rsidRPr="002965F4">
              <w:rPr>
                <w:rFonts w:ascii="Arial" w:hAnsi="Arial" w:cs="Arial"/>
                <w:sz w:val="20"/>
                <w:szCs w:val="20"/>
              </w:rPr>
              <w:t>%)</w:t>
            </w:r>
          </w:p>
        </w:tc>
        <w:tc>
          <w:tcPr>
            <w:tcW w:w="1985" w:type="dxa"/>
            <w:vAlign w:val="center"/>
          </w:tcPr>
          <w:p w14:paraId="16B5F5DE" w14:textId="543D5BFA" w:rsidR="002965F4" w:rsidRPr="009D4692" w:rsidRDefault="002965F4" w:rsidP="007C14E8">
            <w:pPr>
              <w:spacing w:line="276" w:lineRule="auto"/>
              <w:rPr>
                <w:rFonts w:ascii="Arial" w:hAnsi="Arial" w:cs="Arial"/>
                <w:i/>
                <w:sz w:val="20"/>
                <w:szCs w:val="20"/>
              </w:rPr>
            </w:pPr>
            <w:r w:rsidRPr="009D4692">
              <w:rPr>
                <w:rFonts w:ascii="Arial" w:hAnsi="Arial" w:cs="Arial"/>
                <w:sz w:val="20"/>
                <w:szCs w:val="20"/>
              </w:rPr>
              <w:t>5 (9%),</w:t>
            </w:r>
          </w:p>
        </w:tc>
        <w:tc>
          <w:tcPr>
            <w:tcW w:w="992" w:type="dxa"/>
            <w:vAlign w:val="center"/>
          </w:tcPr>
          <w:p w14:paraId="5DA60BA1" w14:textId="77777777" w:rsidR="002965F4" w:rsidRPr="009D4692" w:rsidRDefault="002965F4" w:rsidP="007C14E8">
            <w:pPr>
              <w:spacing w:line="276" w:lineRule="auto"/>
              <w:jc w:val="center"/>
              <w:rPr>
                <w:rFonts w:ascii="Arial" w:hAnsi="Arial" w:cs="Arial"/>
                <w:sz w:val="18"/>
                <w:szCs w:val="20"/>
              </w:rPr>
            </w:pPr>
            <w:r w:rsidRPr="009D4692">
              <w:rPr>
                <w:rFonts w:ascii="Arial" w:hAnsi="Arial" w:cs="Arial"/>
                <w:sz w:val="18"/>
                <w:szCs w:val="20"/>
              </w:rPr>
              <w:t>2</w:t>
            </w:r>
          </w:p>
        </w:tc>
        <w:tc>
          <w:tcPr>
            <w:tcW w:w="850" w:type="dxa"/>
            <w:vAlign w:val="center"/>
          </w:tcPr>
          <w:p w14:paraId="4619125A" w14:textId="77777777" w:rsidR="002965F4" w:rsidRPr="009D4692" w:rsidRDefault="002965F4" w:rsidP="007C14E8">
            <w:pPr>
              <w:spacing w:line="276" w:lineRule="auto"/>
              <w:jc w:val="center"/>
              <w:rPr>
                <w:rFonts w:ascii="Arial" w:hAnsi="Arial" w:cs="Arial"/>
                <w:sz w:val="18"/>
                <w:szCs w:val="20"/>
              </w:rPr>
            </w:pPr>
            <w:r w:rsidRPr="009D4692">
              <w:rPr>
                <w:rFonts w:ascii="Arial" w:hAnsi="Arial" w:cs="Arial"/>
                <w:sz w:val="18"/>
                <w:szCs w:val="20"/>
              </w:rPr>
              <w:t>2</w:t>
            </w:r>
          </w:p>
        </w:tc>
        <w:tc>
          <w:tcPr>
            <w:tcW w:w="993" w:type="dxa"/>
            <w:vAlign w:val="center"/>
          </w:tcPr>
          <w:p w14:paraId="4AE1F1FE" w14:textId="77777777" w:rsidR="002965F4" w:rsidRPr="009D4692" w:rsidRDefault="002965F4" w:rsidP="007C14E8">
            <w:pPr>
              <w:spacing w:line="276" w:lineRule="auto"/>
              <w:jc w:val="center"/>
              <w:rPr>
                <w:rFonts w:ascii="Arial" w:hAnsi="Arial" w:cs="Arial"/>
                <w:sz w:val="18"/>
                <w:szCs w:val="20"/>
              </w:rPr>
            </w:pPr>
            <w:r w:rsidRPr="009D4692">
              <w:rPr>
                <w:rFonts w:ascii="Arial" w:hAnsi="Arial" w:cs="Arial"/>
                <w:sz w:val="18"/>
                <w:szCs w:val="20"/>
              </w:rPr>
              <w:t>1</w:t>
            </w:r>
          </w:p>
        </w:tc>
        <w:tc>
          <w:tcPr>
            <w:tcW w:w="1275" w:type="dxa"/>
            <w:vAlign w:val="center"/>
          </w:tcPr>
          <w:p w14:paraId="590D7B4F" w14:textId="77777777" w:rsidR="002965F4" w:rsidRPr="002965F4" w:rsidRDefault="002965F4" w:rsidP="007C14E8">
            <w:pPr>
              <w:spacing w:line="276" w:lineRule="auto"/>
              <w:rPr>
                <w:rFonts w:ascii="Arial" w:hAnsi="Arial" w:cs="Arial"/>
                <w:sz w:val="20"/>
                <w:szCs w:val="20"/>
              </w:rPr>
            </w:pPr>
            <w:r w:rsidRPr="00F022A5">
              <w:rPr>
                <w:rFonts w:ascii="Arial" w:hAnsi="Arial" w:cs="Arial"/>
                <w:sz w:val="20"/>
                <w:szCs w:val="20"/>
              </w:rPr>
              <w:t xml:space="preserve">72 </w:t>
            </w:r>
            <w:r w:rsidRPr="004F534C">
              <w:rPr>
                <w:rFonts w:ascii="Arial" w:hAnsi="Arial" w:cs="Arial"/>
                <w:sz w:val="20"/>
                <w:szCs w:val="20"/>
              </w:rPr>
              <w:t>(</w:t>
            </w:r>
            <w:r w:rsidRPr="00092374">
              <w:rPr>
                <w:rFonts w:ascii="Arial" w:hAnsi="Arial" w:cs="Arial"/>
                <w:sz w:val="20"/>
                <w:szCs w:val="20"/>
              </w:rPr>
              <w:t>3</w:t>
            </w:r>
            <w:r w:rsidRPr="002965F4">
              <w:rPr>
                <w:rFonts w:ascii="Arial" w:hAnsi="Arial" w:cs="Arial"/>
                <w:sz w:val="20"/>
                <w:szCs w:val="20"/>
              </w:rPr>
              <w:t>%)</w:t>
            </w:r>
          </w:p>
        </w:tc>
        <w:tc>
          <w:tcPr>
            <w:tcW w:w="1985" w:type="dxa"/>
            <w:vAlign w:val="center"/>
          </w:tcPr>
          <w:p w14:paraId="75405DF6" w14:textId="77777777"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w:t>
            </w:r>
          </w:p>
        </w:tc>
        <w:tc>
          <w:tcPr>
            <w:tcW w:w="1134" w:type="dxa"/>
            <w:vAlign w:val="center"/>
          </w:tcPr>
          <w:p w14:paraId="4161A585"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w:t>
            </w:r>
          </w:p>
        </w:tc>
        <w:tc>
          <w:tcPr>
            <w:tcW w:w="850" w:type="dxa"/>
            <w:vAlign w:val="center"/>
          </w:tcPr>
          <w:p w14:paraId="5A17C298"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w:t>
            </w:r>
          </w:p>
        </w:tc>
        <w:tc>
          <w:tcPr>
            <w:tcW w:w="851" w:type="dxa"/>
            <w:vAlign w:val="center"/>
          </w:tcPr>
          <w:p w14:paraId="5C9134E8"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w:t>
            </w:r>
          </w:p>
        </w:tc>
      </w:tr>
      <w:tr w:rsidR="002965F4" w:rsidRPr="009D4692" w14:paraId="786D586B" w14:textId="77777777" w:rsidTr="007C14E8">
        <w:tc>
          <w:tcPr>
            <w:tcW w:w="1242" w:type="dxa"/>
            <w:vAlign w:val="center"/>
          </w:tcPr>
          <w:p w14:paraId="3CD292EE" w14:textId="77777777"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14</w:t>
            </w:r>
          </w:p>
        </w:tc>
        <w:tc>
          <w:tcPr>
            <w:tcW w:w="1276" w:type="dxa"/>
            <w:vAlign w:val="center"/>
          </w:tcPr>
          <w:p w14:paraId="755B90D8" w14:textId="77777777" w:rsidR="002965F4" w:rsidRPr="004F534C" w:rsidRDefault="002965F4" w:rsidP="007C14E8">
            <w:pPr>
              <w:rPr>
                <w:rFonts w:ascii="Arial" w:hAnsi="Arial" w:cs="Arial"/>
                <w:sz w:val="20"/>
                <w:szCs w:val="20"/>
              </w:rPr>
            </w:pPr>
            <w:r w:rsidRPr="009D4692">
              <w:rPr>
                <w:rFonts w:ascii="Arial" w:hAnsi="Arial" w:cs="Arial"/>
                <w:sz w:val="20"/>
                <w:szCs w:val="20"/>
              </w:rPr>
              <w:t>5 (3</w:t>
            </w:r>
            <w:r>
              <w:rPr>
                <w:rFonts w:ascii="Arial" w:hAnsi="Arial" w:cs="Arial"/>
                <w:sz w:val="20"/>
                <w:szCs w:val="20"/>
              </w:rPr>
              <w:t>%</w:t>
            </w:r>
            <w:r w:rsidRPr="00F022A5">
              <w:rPr>
                <w:rFonts w:ascii="Arial" w:hAnsi="Arial" w:cs="Arial"/>
                <w:sz w:val="20"/>
                <w:szCs w:val="20"/>
              </w:rPr>
              <w:t>)</w:t>
            </w:r>
          </w:p>
        </w:tc>
        <w:tc>
          <w:tcPr>
            <w:tcW w:w="1276" w:type="dxa"/>
            <w:vAlign w:val="center"/>
          </w:tcPr>
          <w:p w14:paraId="54D0AD3F" w14:textId="77777777" w:rsidR="002965F4" w:rsidRPr="002965F4" w:rsidRDefault="002965F4" w:rsidP="007C14E8">
            <w:pPr>
              <w:spacing w:line="276" w:lineRule="auto"/>
              <w:rPr>
                <w:rFonts w:ascii="Arial" w:hAnsi="Arial" w:cs="Arial"/>
                <w:sz w:val="20"/>
                <w:szCs w:val="20"/>
              </w:rPr>
            </w:pPr>
            <w:r w:rsidRPr="00092374">
              <w:rPr>
                <w:rFonts w:ascii="Arial" w:hAnsi="Arial" w:cs="Arial"/>
                <w:sz w:val="20"/>
                <w:szCs w:val="20"/>
              </w:rPr>
              <w:t>646 (30</w:t>
            </w:r>
            <w:r w:rsidRPr="002965F4">
              <w:rPr>
                <w:rFonts w:ascii="Arial" w:hAnsi="Arial" w:cs="Arial"/>
                <w:sz w:val="20"/>
                <w:szCs w:val="20"/>
              </w:rPr>
              <w:t>%)</w:t>
            </w:r>
          </w:p>
        </w:tc>
        <w:tc>
          <w:tcPr>
            <w:tcW w:w="1985" w:type="dxa"/>
            <w:vAlign w:val="center"/>
          </w:tcPr>
          <w:p w14:paraId="6493309D" w14:textId="4DB2099C" w:rsidR="002965F4" w:rsidRPr="009D4692" w:rsidRDefault="002965F4" w:rsidP="007C14E8">
            <w:pPr>
              <w:spacing w:line="276" w:lineRule="auto"/>
              <w:rPr>
                <w:rFonts w:ascii="Arial" w:hAnsi="Arial" w:cs="Arial"/>
                <w:i/>
                <w:sz w:val="20"/>
                <w:szCs w:val="20"/>
              </w:rPr>
            </w:pPr>
            <w:r w:rsidRPr="009D4692">
              <w:rPr>
                <w:rFonts w:ascii="Arial" w:hAnsi="Arial" w:cs="Arial"/>
                <w:sz w:val="20"/>
                <w:szCs w:val="20"/>
              </w:rPr>
              <w:t>3 (5%)</w:t>
            </w:r>
            <w:r w:rsidRPr="00F022A5">
              <w:rPr>
                <w:rFonts w:ascii="Arial" w:hAnsi="Arial" w:cs="Arial"/>
                <w:sz w:val="20"/>
                <w:szCs w:val="20"/>
              </w:rPr>
              <w:t>,</w:t>
            </w:r>
          </w:p>
        </w:tc>
        <w:tc>
          <w:tcPr>
            <w:tcW w:w="992" w:type="dxa"/>
            <w:vAlign w:val="center"/>
          </w:tcPr>
          <w:p w14:paraId="7DBCD1FF" w14:textId="77777777" w:rsidR="002965F4" w:rsidRPr="009D4692" w:rsidRDefault="002965F4" w:rsidP="007C14E8">
            <w:pPr>
              <w:spacing w:line="276" w:lineRule="auto"/>
              <w:jc w:val="center"/>
              <w:rPr>
                <w:rFonts w:ascii="Arial" w:hAnsi="Arial" w:cs="Arial"/>
                <w:sz w:val="18"/>
                <w:szCs w:val="20"/>
              </w:rPr>
            </w:pPr>
            <w:r w:rsidRPr="009D4692">
              <w:rPr>
                <w:rFonts w:ascii="Arial" w:hAnsi="Arial" w:cs="Arial"/>
                <w:sz w:val="18"/>
                <w:szCs w:val="20"/>
              </w:rPr>
              <w:t>1</w:t>
            </w:r>
          </w:p>
        </w:tc>
        <w:tc>
          <w:tcPr>
            <w:tcW w:w="850" w:type="dxa"/>
            <w:vAlign w:val="center"/>
          </w:tcPr>
          <w:p w14:paraId="4FD1111B" w14:textId="77777777" w:rsidR="002965F4" w:rsidRPr="009D4692" w:rsidRDefault="002965F4" w:rsidP="007C14E8">
            <w:pPr>
              <w:spacing w:line="276" w:lineRule="auto"/>
              <w:jc w:val="center"/>
              <w:rPr>
                <w:rFonts w:ascii="Arial" w:hAnsi="Arial" w:cs="Arial"/>
                <w:sz w:val="18"/>
                <w:szCs w:val="20"/>
              </w:rPr>
            </w:pPr>
            <w:r w:rsidRPr="009D4692">
              <w:rPr>
                <w:rFonts w:ascii="Arial" w:hAnsi="Arial" w:cs="Arial"/>
                <w:sz w:val="18"/>
                <w:szCs w:val="20"/>
              </w:rPr>
              <w:t>2</w:t>
            </w:r>
          </w:p>
        </w:tc>
        <w:tc>
          <w:tcPr>
            <w:tcW w:w="993" w:type="dxa"/>
            <w:vAlign w:val="center"/>
          </w:tcPr>
          <w:p w14:paraId="228A2130" w14:textId="77777777" w:rsidR="002965F4" w:rsidRPr="009D4692" w:rsidRDefault="002965F4" w:rsidP="007C14E8">
            <w:pPr>
              <w:spacing w:line="276" w:lineRule="auto"/>
              <w:jc w:val="center"/>
              <w:rPr>
                <w:rFonts w:ascii="Arial" w:hAnsi="Arial" w:cs="Arial"/>
                <w:sz w:val="18"/>
                <w:szCs w:val="20"/>
              </w:rPr>
            </w:pPr>
            <w:r w:rsidRPr="009D4692">
              <w:rPr>
                <w:rFonts w:ascii="Arial" w:hAnsi="Arial" w:cs="Arial"/>
                <w:sz w:val="18"/>
                <w:szCs w:val="20"/>
              </w:rPr>
              <w:t>-</w:t>
            </w:r>
          </w:p>
        </w:tc>
        <w:tc>
          <w:tcPr>
            <w:tcW w:w="1275" w:type="dxa"/>
            <w:vAlign w:val="center"/>
          </w:tcPr>
          <w:p w14:paraId="2827E2E4" w14:textId="77777777" w:rsidR="002965F4" w:rsidRPr="002965F4" w:rsidRDefault="002965F4" w:rsidP="007C14E8">
            <w:pPr>
              <w:spacing w:line="276" w:lineRule="auto"/>
              <w:rPr>
                <w:rFonts w:ascii="Arial" w:hAnsi="Arial" w:cs="Arial"/>
                <w:sz w:val="20"/>
                <w:szCs w:val="20"/>
              </w:rPr>
            </w:pPr>
            <w:r w:rsidRPr="00F022A5">
              <w:rPr>
                <w:rFonts w:ascii="Arial" w:hAnsi="Arial" w:cs="Arial"/>
                <w:sz w:val="20"/>
                <w:szCs w:val="20"/>
              </w:rPr>
              <w:t>72</w:t>
            </w:r>
            <w:r w:rsidRPr="004F534C">
              <w:rPr>
                <w:rFonts w:ascii="Arial" w:hAnsi="Arial" w:cs="Arial"/>
                <w:sz w:val="20"/>
                <w:szCs w:val="20"/>
              </w:rPr>
              <w:t xml:space="preserve"> </w:t>
            </w:r>
            <w:r w:rsidRPr="00092374">
              <w:rPr>
                <w:rFonts w:ascii="Arial" w:hAnsi="Arial" w:cs="Arial"/>
                <w:sz w:val="20"/>
                <w:szCs w:val="20"/>
              </w:rPr>
              <w:t>(</w:t>
            </w:r>
            <w:r w:rsidRPr="002965F4">
              <w:rPr>
                <w:rFonts w:ascii="Arial" w:hAnsi="Arial" w:cs="Arial"/>
                <w:sz w:val="20"/>
                <w:szCs w:val="20"/>
              </w:rPr>
              <w:t>3%)</w:t>
            </w:r>
          </w:p>
        </w:tc>
        <w:tc>
          <w:tcPr>
            <w:tcW w:w="1985" w:type="dxa"/>
            <w:vAlign w:val="center"/>
          </w:tcPr>
          <w:p w14:paraId="1D37FE00" w14:textId="02F9F7BF"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2 (2%)</w:t>
            </w:r>
          </w:p>
        </w:tc>
        <w:tc>
          <w:tcPr>
            <w:tcW w:w="1134" w:type="dxa"/>
            <w:vAlign w:val="center"/>
          </w:tcPr>
          <w:p w14:paraId="0818102F"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w:t>
            </w:r>
          </w:p>
        </w:tc>
        <w:tc>
          <w:tcPr>
            <w:tcW w:w="850" w:type="dxa"/>
            <w:vAlign w:val="center"/>
          </w:tcPr>
          <w:p w14:paraId="1E3187CF"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1</w:t>
            </w:r>
          </w:p>
        </w:tc>
        <w:tc>
          <w:tcPr>
            <w:tcW w:w="851" w:type="dxa"/>
            <w:vAlign w:val="center"/>
          </w:tcPr>
          <w:p w14:paraId="6D33D488"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1</w:t>
            </w:r>
          </w:p>
        </w:tc>
      </w:tr>
      <w:tr w:rsidR="002965F4" w:rsidRPr="009D4692" w14:paraId="4091EACA" w14:textId="77777777" w:rsidTr="007C14E8">
        <w:tc>
          <w:tcPr>
            <w:tcW w:w="1242" w:type="dxa"/>
            <w:vAlign w:val="center"/>
          </w:tcPr>
          <w:p w14:paraId="15E5FA2F" w14:textId="77777777"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18C</w:t>
            </w:r>
          </w:p>
        </w:tc>
        <w:tc>
          <w:tcPr>
            <w:tcW w:w="1276" w:type="dxa"/>
            <w:vAlign w:val="center"/>
          </w:tcPr>
          <w:p w14:paraId="32BB938C" w14:textId="77777777" w:rsidR="002965F4" w:rsidRPr="004F534C" w:rsidRDefault="002965F4" w:rsidP="007C14E8">
            <w:pPr>
              <w:rPr>
                <w:rFonts w:ascii="Arial" w:hAnsi="Arial" w:cs="Arial"/>
                <w:sz w:val="20"/>
                <w:szCs w:val="20"/>
              </w:rPr>
            </w:pPr>
            <w:r w:rsidRPr="009D4692">
              <w:rPr>
                <w:rFonts w:ascii="Arial" w:hAnsi="Arial" w:cs="Arial"/>
                <w:sz w:val="20"/>
                <w:szCs w:val="20"/>
              </w:rPr>
              <w:t>6 (</w:t>
            </w:r>
            <w:r>
              <w:rPr>
                <w:rFonts w:ascii="Arial" w:hAnsi="Arial" w:cs="Arial"/>
                <w:sz w:val="20"/>
                <w:szCs w:val="20"/>
              </w:rPr>
              <w:t>4%</w:t>
            </w:r>
            <w:r w:rsidRPr="00F022A5">
              <w:rPr>
                <w:rFonts w:ascii="Arial" w:hAnsi="Arial" w:cs="Arial"/>
                <w:sz w:val="20"/>
                <w:szCs w:val="20"/>
              </w:rPr>
              <w:t>)</w:t>
            </w:r>
          </w:p>
        </w:tc>
        <w:tc>
          <w:tcPr>
            <w:tcW w:w="1276" w:type="dxa"/>
            <w:vAlign w:val="center"/>
          </w:tcPr>
          <w:p w14:paraId="61183DB8" w14:textId="77777777" w:rsidR="002965F4" w:rsidRPr="002965F4" w:rsidRDefault="002965F4" w:rsidP="007C14E8">
            <w:pPr>
              <w:spacing w:line="276" w:lineRule="auto"/>
              <w:rPr>
                <w:rFonts w:ascii="Arial" w:hAnsi="Arial" w:cs="Arial"/>
                <w:sz w:val="20"/>
                <w:szCs w:val="20"/>
              </w:rPr>
            </w:pPr>
            <w:r w:rsidRPr="00092374">
              <w:rPr>
                <w:rFonts w:ascii="Arial" w:hAnsi="Arial" w:cs="Arial"/>
                <w:sz w:val="20"/>
                <w:szCs w:val="20"/>
              </w:rPr>
              <w:t>145 (</w:t>
            </w:r>
            <w:r w:rsidRPr="002965F4">
              <w:rPr>
                <w:rFonts w:ascii="Arial" w:hAnsi="Arial" w:cs="Arial"/>
                <w:sz w:val="20"/>
                <w:szCs w:val="20"/>
              </w:rPr>
              <w:t>7%)</w:t>
            </w:r>
          </w:p>
        </w:tc>
        <w:tc>
          <w:tcPr>
            <w:tcW w:w="1985" w:type="dxa"/>
            <w:vAlign w:val="center"/>
          </w:tcPr>
          <w:p w14:paraId="7A04B034" w14:textId="1D07BFBC"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4 (7%)</w:t>
            </w:r>
          </w:p>
        </w:tc>
        <w:tc>
          <w:tcPr>
            <w:tcW w:w="992" w:type="dxa"/>
            <w:vAlign w:val="center"/>
          </w:tcPr>
          <w:p w14:paraId="20E8BE78" w14:textId="77777777" w:rsidR="002965F4" w:rsidRPr="009D4692" w:rsidRDefault="002965F4" w:rsidP="007C14E8">
            <w:pPr>
              <w:spacing w:line="276" w:lineRule="auto"/>
              <w:jc w:val="center"/>
              <w:rPr>
                <w:rFonts w:ascii="Arial" w:hAnsi="Arial" w:cs="Arial"/>
                <w:sz w:val="18"/>
                <w:szCs w:val="20"/>
              </w:rPr>
            </w:pPr>
            <w:r w:rsidRPr="009D4692">
              <w:rPr>
                <w:rFonts w:ascii="Arial" w:hAnsi="Arial" w:cs="Arial"/>
                <w:sz w:val="18"/>
                <w:szCs w:val="20"/>
              </w:rPr>
              <w:t>-</w:t>
            </w:r>
          </w:p>
        </w:tc>
        <w:tc>
          <w:tcPr>
            <w:tcW w:w="850" w:type="dxa"/>
            <w:vAlign w:val="center"/>
          </w:tcPr>
          <w:p w14:paraId="1BDFB393" w14:textId="77777777" w:rsidR="002965F4" w:rsidRPr="009D4692" w:rsidRDefault="002965F4" w:rsidP="007C14E8">
            <w:pPr>
              <w:spacing w:line="276" w:lineRule="auto"/>
              <w:jc w:val="center"/>
              <w:rPr>
                <w:rFonts w:ascii="Arial" w:hAnsi="Arial" w:cs="Arial"/>
                <w:sz w:val="18"/>
                <w:szCs w:val="20"/>
              </w:rPr>
            </w:pPr>
            <w:r w:rsidRPr="009D4692">
              <w:rPr>
                <w:rFonts w:ascii="Arial" w:hAnsi="Arial" w:cs="Arial"/>
                <w:sz w:val="18"/>
                <w:szCs w:val="20"/>
              </w:rPr>
              <w:t>1</w:t>
            </w:r>
          </w:p>
        </w:tc>
        <w:tc>
          <w:tcPr>
            <w:tcW w:w="993" w:type="dxa"/>
            <w:vAlign w:val="center"/>
          </w:tcPr>
          <w:p w14:paraId="6FF8C7CB" w14:textId="77777777" w:rsidR="002965F4" w:rsidRPr="009D4692" w:rsidRDefault="002965F4" w:rsidP="007C14E8">
            <w:pPr>
              <w:spacing w:line="276" w:lineRule="auto"/>
              <w:jc w:val="center"/>
              <w:rPr>
                <w:rFonts w:ascii="Arial" w:hAnsi="Arial" w:cs="Arial"/>
                <w:sz w:val="18"/>
                <w:szCs w:val="20"/>
              </w:rPr>
            </w:pPr>
            <w:r w:rsidRPr="009D4692">
              <w:rPr>
                <w:rFonts w:ascii="Arial" w:hAnsi="Arial" w:cs="Arial"/>
                <w:sz w:val="18"/>
                <w:szCs w:val="20"/>
              </w:rPr>
              <w:t>3</w:t>
            </w:r>
          </w:p>
        </w:tc>
        <w:tc>
          <w:tcPr>
            <w:tcW w:w="1275" w:type="dxa"/>
            <w:vAlign w:val="center"/>
          </w:tcPr>
          <w:p w14:paraId="3615BC32" w14:textId="77777777" w:rsidR="002965F4" w:rsidRPr="002965F4" w:rsidRDefault="002965F4" w:rsidP="007C14E8">
            <w:pPr>
              <w:spacing w:line="276" w:lineRule="auto"/>
              <w:rPr>
                <w:rFonts w:ascii="Arial" w:hAnsi="Arial" w:cs="Arial"/>
                <w:sz w:val="20"/>
                <w:szCs w:val="20"/>
              </w:rPr>
            </w:pPr>
            <w:r w:rsidRPr="00F022A5">
              <w:rPr>
                <w:rFonts w:ascii="Arial" w:hAnsi="Arial" w:cs="Arial"/>
                <w:sz w:val="20"/>
                <w:szCs w:val="20"/>
              </w:rPr>
              <w:t xml:space="preserve">59 </w:t>
            </w:r>
            <w:r w:rsidRPr="004F534C">
              <w:rPr>
                <w:rFonts w:ascii="Arial" w:hAnsi="Arial" w:cs="Arial"/>
                <w:sz w:val="20"/>
                <w:szCs w:val="20"/>
              </w:rPr>
              <w:t>(</w:t>
            </w:r>
            <w:r w:rsidRPr="00092374">
              <w:rPr>
                <w:rFonts w:ascii="Arial" w:hAnsi="Arial" w:cs="Arial"/>
                <w:sz w:val="20"/>
                <w:szCs w:val="20"/>
              </w:rPr>
              <w:t>3%</w:t>
            </w:r>
            <w:r w:rsidRPr="002965F4">
              <w:rPr>
                <w:rFonts w:ascii="Arial" w:hAnsi="Arial" w:cs="Arial"/>
                <w:sz w:val="20"/>
                <w:szCs w:val="20"/>
              </w:rPr>
              <w:t>)</w:t>
            </w:r>
          </w:p>
        </w:tc>
        <w:tc>
          <w:tcPr>
            <w:tcW w:w="1985" w:type="dxa"/>
            <w:vAlign w:val="center"/>
          </w:tcPr>
          <w:p w14:paraId="7AE190F8" w14:textId="11EA0CED"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2 (2%)</w:t>
            </w:r>
          </w:p>
        </w:tc>
        <w:tc>
          <w:tcPr>
            <w:tcW w:w="1134" w:type="dxa"/>
            <w:vAlign w:val="center"/>
          </w:tcPr>
          <w:p w14:paraId="3A836CE2"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w:t>
            </w:r>
          </w:p>
        </w:tc>
        <w:tc>
          <w:tcPr>
            <w:tcW w:w="850" w:type="dxa"/>
            <w:vAlign w:val="center"/>
          </w:tcPr>
          <w:p w14:paraId="5EF4FE6E"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1</w:t>
            </w:r>
          </w:p>
        </w:tc>
        <w:tc>
          <w:tcPr>
            <w:tcW w:w="851" w:type="dxa"/>
            <w:vAlign w:val="center"/>
          </w:tcPr>
          <w:p w14:paraId="77D1A41D"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1</w:t>
            </w:r>
          </w:p>
        </w:tc>
      </w:tr>
      <w:tr w:rsidR="002965F4" w:rsidRPr="009D4692" w14:paraId="630BC242" w14:textId="77777777" w:rsidTr="007C14E8">
        <w:tc>
          <w:tcPr>
            <w:tcW w:w="1242" w:type="dxa"/>
            <w:vAlign w:val="center"/>
          </w:tcPr>
          <w:p w14:paraId="38E923C5" w14:textId="77777777"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19F</w:t>
            </w:r>
          </w:p>
        </w:tc>
        <w:tc>
          <w:tcPr>
            <w:tcW w:w="1276" w:type="dxa"/>
            <w:vAlign w:val="center"/>
          </w:tcPr>
          <w:p w14:paraId="630E14FB" w14:textId="77777777" w:rsidR="002965F4" w:rsidRPr="009D4692" w:rsidRDefault="002965F4" w:rsidP="007C14E8">
            <w:pPr>
              <w:rPr>
                <w:rFonts w:ascii="Arial" w:hAnsi="Arial" w:cs="Arial"/>
                <w:b/>
                <w:sz w:val="20"/>
                <w:szCs w:val="20"/>
              </w:rPr>
            </w:pPr>
            <w:r w:rsidRPr="009D4692">
              <w:rPr>
                <w:rFonts w:ascii="Arial" w:hAnsi="Arial" w:cs="Arial"/>
                <w:b/>
                <w:sz w:val="20"/>
                <w:szCs w:val="20"/>
              </w:rPr>
              <w:t>22 (14%)</w:t>
            </w:r>
          </w:p>
        </w:tc>
        <w:tc>
          <w:tcPr>
            <w:tcW w:w="1276" w:type="dxa"/>
            <w:vAlign w:val="center"/>
          </w:tcPr>
          <w:p w14:paraId="2E47C7E9" w14:textId="77777777" w:rsidR="002965F4" w:rsidRPr="009D4692" w:rsidRDefault="002965F4" w:rsidP="007C14E8">
            <w:pPr>
              <w:spacing w:line="276" w:lineRule="auto"/>
              <w:rPr>
                <w:rFonts w:ascii="Arial" w:hAnsi="Arial" w:cs="Arial"/>
                <w:b/>
                <w:sz w:val="20"/>
                <w:szCs w:val="20"/>
              </w:rPr>
            </w:pPr>
            <w:r w:rsidRPr="009D4692">
              <w:rPr>
                <w:rFonts w:ascii="Arial" w:hAnsi="Arial" w:cs="Arial"/>
                <w:b/>
                <w:sz w:val="20"/>
                <w:szCs w:val="20"/>
              </w:rPr>
              <w:t>195 (9%)</w:t>
            </w:r>
          </w:p>
        </w:tc>
        <w:tc>
          <w:tcPr>
            <w:tcW w:w="1985" w:type="dxa"/>
            <w:vAlign w:val="center"/>
          </w:tcPr>
          <w:p w14:paraId="12CD109C" w14:textId="77777777" w:rsidR="002965F4" w:rsidRPr="009D4692" w:rsidRDefault="002965F4" w:rsidP="007C14E8">
            <w:pPr>
              <w:spacing w:line="276" w:lineRule="auto"/>
              <w:rPr>
                <w:rFonts w:ascii="Arial" w:hAnsi="Arial" w:cs="Arial"/>
                <w:b/>
                <w:sz w:val="20"/>
                <w:szCs w:val="20"/>
              </w:rPr>
            </w:pPr>
            <w:r w:rsidRPr="009D4692">
              <w:rPr>
                <w:rFonts w:ascii="Arial" w:hAnsi="Arial" w:cs="Arial"/>
                <w:b/>
                <w:sz w:val="20"/>
                <w:szCs w:val="20"/>
              </w:rPr>
              <w:t xml:space="preserve">15 (26%), </w:t>
            </w:r>
            <w:r w:rsidRPr="009D4692">
              <w:rPr>
                <w:rFonts w:ascii="Arial" w:hAnsi="Arial" w:cs="Arial"/>
                <w:b/>
                <w:i/>
                <w:sz w:val="20"/>
                <w:szCs w:val="20"/>
              </w:rPr>
              <w:t>P&lt;0.001</w:t>
            </w:r>
          </w:p>
        </w:tc>
        <w:tc>
          <w:tcPr>
            <w:tcW w:w="992" w:type="dxa"/>
            <w:vAlign w:val="center"/>
          </w:tcPr>
          <w:p w14:paraId="6002F7C7" w14:textId="77777777" w:rsidR="002965F4" w:rsidRPr="009D4692" w:rsidRDefault="002965F4" w:rsidP="007C14E8">
            <w:pPr>
              <w:spacing w:line="276" w:lineRule="auto"/>
              <w:jc w:val="center"/>
              <w:rPr>
                <w:rFonts w:ascii="Arial" w:hAnsi="Arial" w:cs="Arial"/>
                <w:sz w:val="18"/>
                <w:szCs w:val="20"/>
              </w:rPr>
            </w:pPr>
            <w:r w:rsidRPr="009D4692">
              <w:rPr>
                <w:rFonts w:ascii="Arial" w:hAnsi="Arial" w:cs="Arial"/>
                <w:sz w:val="18"/>
                <w:szCs w:val="20"/>
              </w:rPr>
              <w:t>4</w:t>
            </w:r>
          </w:p>
        </w:tc>
        <w:tc>
          <w:tcPr>
            <w:tcW w:w="850" w:type="dxa"/>
            <w:vAlign w:val="center"/>
          </w:tcPr>
          <w:p w14:paraId="6CE87597" w14:textId="77777777" w:rsidR="002965F4" w:rsidRPr="009D4692" w:rsidRDefault="002965F4" w:rsidP="007C14E8">
            <w:pPr>
              <w:spacing w:line="276" w:lineRule="auto"/>
              <w:jc w:val="center"/>
              <w:rPr>
                <w:rFonts w:ascii="Arial" w:hAnsi="Arial" w:cs="Arial"/>
                <w:sz w:val="18"/>
                <w:szCs w:val="20"/>
              </w:rPr>
            </w:pPr>
            <w:r w:rsidRPr="009D4692">
              <w:rPr>
                <w:rFonts w:ascii="Arial" w:hAnsi="Arial" w:cs="Arial"/>
                <w:sz w:val="18"/>
                <w:szCs w:val="20"/>
              </w:rPr>
              <w:t>9</w:t>
            </w:r>
          </w:p>
        </w:tc>
        <w:tc>
          <w:tcPr>
            <w:tcW w:w="993" w:type="dxa"/>
            <w:vAlign w:val="center"/>
          </w:tcPr>
          <w:p w14:paraId="2CF41C11" w14:textId="77777777" w:rsidR="002965F4" w:rsidRPr="009D4692" w:rsidRDefault="002965F4" w:rsidP="007C14E8">
            <w:pPr>
              <w:spacing w:line="276" w:lineRule="auto"/>
              <w:jc w:val="center"/>
              <w:rPr>
                <w:rFonts w:ascii="Arial" w:hAnsi="Arial" w:cs="Arial"/>
                <w:sz w:val="18"/>
                <w:szCs w:val="20"/>
              </w:rPr>
            </w:pPr>
            <w:r w:rsidRPr="009D4692">
              <w:rPr>
                <w:rFonts w:ascii="Arial" w:hAnsi="Arial" w:cs="Arial"/>
                <w:sz w:val="18"/>
                <w:szCs w:val="20"/>
              </w:rPr>
              <w:t>2</w:t>
            </w:r>
          </w:p>
        </w:tc>
        <w:tc>
          <w:tcPr>
            <w:tcW w:w="1275" w:type="dxa"/>
            <w:vAlign w:val="center"/>
          </w:tcPr>
          <w:p w14:paraId="2BE5758B" w14:textId="77777777" w:rsidR="002965F4" w:rsidRPr="009D4692" w:rsidRDefault="002965F4" w:rsidP="007C14E8">
            <w:pPr>
              <w:spacing w:line="276" w:lineRule="auto"/>
              <w:rPr>
                <w:rFonts w:ascii="Arial" w:hAnsi="Arial" w:cs="Arial"/>
                <w:b/>
                <w:sz w:val="20"/>
                <w:szCs w:val="20"/>
              </w:rPr>
            </w:pPr>
            <w:r w:rsidRPr="009D4692">
              <w:rPr>
                <w:rFonts w:ascii="Arial" w:hAnsi="Arial" w:cs="Arial"/>
                <w:b/>
                <w:sz w:val="20"/>
                <w:szCs w:val="20"/>
              </w:rPr>
              <w:t>69 (3%)</w:t>
            </w:r>
          </w:p>
        </w:tc>
        <w:tc>
          <w:tcPr>
            <w:tcW w:w="1985" w:type="dxa"/>
            <w:vAlign w:val="center"/>
          </w:tcPr>
          <w:p w14:paraId="1CDB2645" w14:textId="76899C61" w:rsidR="002965F4" w:rsidRPr="009D4692" w:rsidRDefault="002965F4" w:rsidP="007C14E8">
            <w:pPr>
              <w:spacing w:line="276" w:lineRule="auto"/>
              <w:rPr>
                <w:rFonts w:ascii="Arial" w:hAnsi="Arial" w:cs="Arial"/>
                <w:b/>
                <w:sz w:val="20"/>
                <w:szCs w:val="20"/>
              </w:rPr>
            </w:pPr>
            <w:r w:rsidRPr="009D4692">
              <w:rPr>
                <w:rFonts w:ascii="Arial" w:hAnsi="Arial" w:cs="Arial"/>
                <w:b/>
                <w:sz w:val="20"/>
                <w:szCs w:val="20"/>
              </w:rPr>
              <w:t>7 (7%)</w:t>
            </w:r>
          </w:p>
        </w:tc>
        <w:tc>
          <w:tcPr>
            <w:tcW w:w="1134" w:type="dxa"/>
            <w:vAlign w:val="center"/>
          </w:tcPr>
          <w:p w14:paraId="1E57F791"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w:t>
            </w:r>
          </w:p>
        </w:tc>
        <w:tc>
          <w:tcPr>
            <w:tcW w:w="850" w:type="dxa"/>
            <w:vAlign w:val="center"/>
          </w:tcPr>
          <w:p w14:paraId="2FC128A1"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4</w:t>
            </w:r>
          </w:p>
        </w:tc>
        <w:tc>
          <w:tcPr>
            <w:tcW w:w="851" w:type="dxa"/>
            <w:vAlign w:val="center"/>
          </w:tcPr>
          <w:p w14:paraId="20406FBF"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3</w:t>
            </w:r>
          </w:p>
        </w:tc>
      </w:tr>
      <w:tr w:rsidR="002965F4" w:rsidRPr="009D4692" w14:paraId="18CEA98B" w14:textId="77777777" w:rsidTr="007C14E8">
        <w:tc>
          <w:tcPr>
            <w:tcW w:w="1242" w:type="dxa"/>
            <w:vAlign w:val="center"/>
          </w:tcPr>
          <w:p w14:paraId="55284FF1" w14:textId="77777777"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23F</w:t>
            </w:r>
          </w:p>
        </w:tc>
        <w:tc>
          <w:tcPr>
            <w:tcW w:w="1276" w:type="dxa"/>
            <w:vAlign w:val="center"/>
          </w:tcPr>
          <w:p w14:paraId="068FB4F5" w14:textId="77777777" w:rsidR="002965F4" w:rsidRPr="004F534C" w:rsidRDefault="002965F4" w:rsidP="007C14E8">
            <w:pPr>
              <w:rPr>
                <w:rFonts w:ascii="Arial" w:hAnsi="Arial" w:cs="Arial"/>
                <w:sz w:val="20"/>
                <w:szCs w:val="20"/>
              </w:rPr>
            </w:pPr>
            <w:r w:rsidRPr="009D4692">
              <w:rPr>
                <w:rFonts w:ascii="Arial" w:hAnsi="Arial" w:cs="Arial"/>
                <w:sz w:val="20"/>
                <w:szCs w:val="20"/>
              </w:rPr>
              <w:t>10 (6</w:t>
            </w:r>
            <w:r>
              <w:rPr>
                <w:rFonts w:ascii="Arial" w:hAnsi="Arial" w:cs="Arial"/>
                <w:sz w:val="20"/>
                <w:szCs w:val="20"/>
              </w:rPr>
              <w:t>%</w:t>
            </w:r>
            <w:r w:rsidRPr="00F022A5">
              <w:rPr>
                <w:rFonts w:ascii="Arial" w:hAnsi="Arial" w:cs="Arial"/>
                <w:sz w:val="20"/>
                <w:szCs w:val="20"/>
              </w:rPr>
              <w:t>)</w:t>
            </w:r>
          </w:p>
        </w:tc>
        <w:tc>
          <w:tcPr>
            <w:tcW w:w="1276" w:type="dxa"/>
            <w:vAlign w:val="center"/>
          </w:tcPr>
          <w:p w14:paraId="521DDDC4" w14:textId="77777777" w:rsidR="002965F4" w:rsidRPr="002965F4" w:rsidRDefault="002965F4" w:rsidP="007C14E8">
            <w:pPr>
              <w:spacing w:line="276" w:lineRule="auto"/>
              <w:rPr>
                <w:rFonts w:ascii="Arial" w:hAnsi="Arial" w:cs="Arial"/>
                <w:sz w:val="20"/>
                <w:szCs w:val="20"/>
              </w:rPr>
            </w:pPr>
            <w:r w:rsidRPr="00092374">
              <w:rPr>
                <w:rFonts w:ascii="Arial" w:hAnsi="Arial" w:cs="Arial"/>
                <w:sz w:val="20"/>
                <w:szCs w:val="20"/>
              </w:rPr>
              <w:t>296 (1</w:t>
            </w:r>
            <w:r w:rsidRPr="002965F4">
              <w:rPr>
                <w:rFonts w:ascii="Arial" w:hAnsi="Arial" w:cs="Arial"/>
                <w:sz w:val="20"/>
                <w:szCs w:val="20"/>
              </w:rPr>
              <w:t>4%)</w:t>
            </w:r>
          </w:p>
        </w:tc>
        <w:tc>
          <w:tcPr>
            <w:tcW w:w="1985" w:type="dxa"/>
            <w:vAlign w:val="center"/>
          </w:tcPr>
          <w:p w14:paraId="5ED17BF9" w14:textId="00D6006D"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9 (16%)</w:t>
            </w:r>
          </w:p>
        </w:tc>
        <w:tc>
          <w:tcPr>
            <w:tcW w:w="992" w:type="dxa"/>
            <w:vAlign w:val="center"/>
          </w:tcPr>
          <w:p w14:paraId="258DDC25" w14:textId="77777777" w:rsidR="002965F4" w:rsidRPr="009D4692" w:rsidRDefault="002965F4" w:rsidP="007C14E8">
            <w:pPr>
              <w:spacing w:line="276" w:lineRule="auto"/>
              <w:jc w:val="center"/>
              <w:rPr>
                <w:rFonts w:ascii="Arial" w:hAnsi="Arial" w:cs="Arial"/>
                <w:sz w:val="18"/>
                <w:szCs w:val="20"/>
              </w:rPr>
            </w:pPr>
            <w:r w:rsidRPr="009D4692">
              <w:rPr>
                <w:rFonts w:ascii="Arial" w:hAnsi="Arial" w:cs="Arial"/>
                <w:sz w:val="18"/>
                <w:szCs w:val="20"/>
              </w:rPr>
              <w:t>4</w:t>
            </w:r>
          </w:p>
        </w:tc>
        <w:tc>
          <w:tcPr>
            <w:tcW w:w="850" w:type="dxa"/>
            <w:vAlign w:val="center"/>
          </w:tcPr>
          <w:p w14:paraId="4E43455E" w14:textId="77777777" w:rsidR="002965F4" w:rsidRPr="009D4692" w:rsidRDefault="002965F4" w:rsidP="007C14E8">
            <w:pPr>
              <w:spacing w:line="276" w:lineRule="auto"/>
              <w:jc w:val="center"/>
              <w:rPr>
                <w:rFonts w:ascii="Arial" w:hAnsi="Arial" w:cs="Arial"/>
                <w:sz w:val="18"/>
                <w:szCs w:val="20"/>
              </w:rPr>
            </w:pPr>
            <w:r w:rsidRPr="009D4692">
              <w:rPr>
                <w:rFonts w:ascii="Arial" w:hAnsi="Arial" w:cs="Arial"/>
                <w:sz w:val="18"/>
                <w:szCs w:val="20"/>
              </w:rPr>
              <w:t>2</w:t>
            </w:r>
          </w:p>
        </w:tc>
        <w:tc>
          <w:tcPr>
            <w:tcW w:w="993" w:type="dxa"/>
            <w:vAlign w:val="center"/>
          </w:tcPr>
          <w:p w14:paraId="05C8FD65" w14:textId="77777777" w:rsidR="002965F4" w:rsidRPr="009D4692" w:rsidRDefault="002965F4" w:rsidP="007C14E8">
            <w:pPr>
              <w:spacing w:line="276" w:lineRule="auto"/>
              <w:jc w:val="center"/>
              <w:rPr>
                <w:rFonts w:ascii="Arial" w:hAnsi="Arial" w:cs="Arial"/>
                <w:sz w:val="18"/>
                <w:szCs w:val="20"/>
              </w:rPr>
            </w:pPr>
            <w:r w:rsidRPr="009D4692">
              <w:rPr>
                <w:rFonts w:ascii="Arial" w:hAnsi="Arial" w:cs="Arial"/>
                <w:sz w:val="18"/>
                <w:szCs w:val="20"/>
              </w:rPr>
              <w:t>3</w:t>
            </w:r>
          </w:p>
        </w:tc>
        <w:tc>
          <w:tcPr>
            <w:tcW w:w="1275" w:type="dxa"/>
            <w:vAlign w:val="center"/>
          </w:tcPr>
          <w:p w14:paraId="0AADC1CB" w14:textId="77777777" w:rsidR="002965F4" w:rsidRPr="002965F4" w:rsidRDefault="002965F4" w:rsidP="007C14E8">
            <w:pPr>
              <w:spacing w:line="276" w:lineRule="auto"/>
              <w:rPr>
                <w:rFonts w:ascii="Arial" w:hAnsi="Arial" w:cs="Arial"/>
                <w:sz w:val="20"/>
                <w:szCs w:val="20"/>
              </w:rPr>
            </w:pPr>
            <w:r w:rsidRPr="00F022A5">
              <w:rPr>
                <w:rFonts w:ascii="Arial" w:hAnsi="Arial" w:cs="Arial"/>
                <w:sz w:val="20"/>
                <w:szCs w:val="20"/>
              </w:rPr>
              <w:t xml:space="preserve">70 </w:t>
            </w:r>
            <w:r w:rsidRPr="004F534C">
              <w:rPr>
                <w:rFonts w:ascii="Arial" w:hAnsi="Arial" w:cs="Arial"/>
                <w:sz w:val="20"/>
                <w:szCs w:val="20"/>
              </w:rPr>
              <w:t>(</w:t>
            </w:r>
            <w:r w:rsidRPr="00092374">
              <w:rPr>
                <w:rFonts w:ascii="Arial" w:hAnsi="Arial" w:cs="Arial"/>
                <w:sz w:val="20"/>
                <w:szCs w:val="20"/>
              </w:rPr>
              <w:t>3%</w:t>
            </w:r>
            <w:r w:rsidRPr="002965F4">
              <w:rPr>
                <w:rFonts w:ascii="Arial" w:hAnsi="Arial" w:cs="Arial"/>
                <w:sz w:val="20"/>
                <w:szCs w:val="20"/>
              </w:rPr>
              <w:t>)</w:t>
            </w:r>
          </w:p>
        </w:tc>
        <w:tc>
          <w:tcPr>
            <w:tcW w:w="1985" w:type="dxa"/>
            <w:vAlign w:val="center"/>
          </w:tcPr>
          <w:p w14:paraId="46F041C4" w14:textId="6BA15C6F"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1 (1%)</w:t>
            </w:r>
          </w:p>
        </w:tc>
        <w:tc>
          <w:tcPr>
            <w:tcW w:w="1134" w:type="dxa"/>
            <w:vAlign w:val="center"/>
          </w:tcPr>
          <w:p w14:paraId="0A17DED0"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w:t>
            </w:r>
          </w:p>
        </w:tc>
        <w:tc>
          <w:tcPr>
            <w:tcW w:w="850" w:type="dxa"/>
            <w:vAlign w:val="center"/>
          </w:tcPr>
          <w:p w14:paraId="50CB8689"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w:t>
            </w:r>
          </w:p>
        </w:tc>
        <w:tc>
          <w:tcPr>
            <w:tcW w:w="851" w:type="dxa"/>
            <w:vAlign w:val="center"/>
          </w:tcPr>
          <w:p w14:paraId="2AF51FB8"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1</w:t>
            </w:r>
          </w:p>
        </w:tc>
      </w:tr>
      <w:tr w:rsidR="002965F4" w:rsidRPr="009D4692" w14:paraId="4B5E5F06" w14:textId="77777777" w:rsidTr="007C14E8">
        <w:tc>
          <w:tcPr>
            <w:tcW w:w="1242" w:type="dxa"/>
            <w:vAlign w:val="center"/>
          </w:tcPr>
          <w:p w14:paraId="4B4AE8DA" w14:textId="77777777"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1</w:t>
            </w:r>
          </w:p>
        </w:tc>
        <w:tc>
          <w:tcPr>
            <w:tcW w:w="1276" w:type="dxa"/>
            <w:vAlign w:val="center"/>
          </w:tcPr>
          <w:p w14:paraId="13D3C53F" w14:textId="77777777" w:rsidR="002965F4" w:rsidRPr="004F534C" w:rsidRDefault="002965F4" w:rsidP="007C14E8">
            <w:pPr>
              <w:rPr>
                <w:rFonts w:ascii="Arial" w:hAnsi="Arial" w:cs="Arial"/>
                <w:sz w:val="20"/>
                <w:szCs w:val="20"/>
              </w:rPr>
            </w:pPr>
            <w:r w:rsidRPr="009D4692">
              <w:rPr>
                <w:rFonts w:ascii="Arial" w:hAnsi="Arial" w:cs="Arial"/>
                <w:sz w:val="20"/>
                <w:szCs w:val="20"/>
              </w:rPr>
              <w:t>13 (8</w:t>
            </w:r>
            <w:r>
              <w:rPr>
                <w:rFonts w:ascii="Arial" w:hAnsi="Arial" w:cs="Arial"/>
                <w:sz w:val="20"/>
                <w:szCs w:val="20"/>
              </w:rPr>
              <w:t>%</w:t>
            </w:r>
            <w:r w:rsidRPr="00F022A5">
              <w:rPr>
                <w:rFonts w:ascii="Arial" w:hAnsi="Arial" w:cs="Arial"/>
                <w:sz w:val="20"/>
                <w:szCs w:val="20"/>
              </w:rPr>
              <w:t>)</w:t>
            </w:r>
          </w:p>
        </w:tc>
        <w:tc>
          <w:tcPr>
            <w:tcW w:w="1276" w:type="dxa"/>
            <w:vAlign w:val="center"/>
          </w:tcPr>
          <w:p w14:paraId="3E42B164" w14:textId="77777777" w:rsidR="002965F4" w:rsidRPr="00092374" w:rsidRDefault="002965F4" w:rsidP="007C14E8">
            <w:pPr>
              <w:spacing w:line="276" w:lineRule="auto"/>
              <w:jc w:val="center"/>
              <w:rPr>
                <w:rFonts w:ascii="Arial" w:hAnsi="Arial" w:cs="Arial"/>
                <w:sz w:val="20"/>
                <w:szCs w:val="20"/>
              </w:rPr>
            </w:pPr>
          </w:p>
        </w:tc>
        <w:tc>
          <w:tcPr>
            <w:tcW w:w="1985" w:type="dxa"/>
            <w:vAlign w:val="center"/>
          </w:tcPr>
          <w:p w14:paraId="1F9C2950" w14:textId="77777777" w:rsidR="002965F4" w:rsidRPr="009D4692" w:rsidRDefault="002965F4" w:rsidP="007C14E8">
            <w:pPr>
              <w:spacing w:line="276" w:lineRule="auto"/>
              <w:jc w:val="center"/>
              <w:rPr>
                <w:rFonts w:ascii="Arial" w:hAnsi="Arial" w:cs="Arial"/>
                <w:sz w:val="20"/>
                <w:szCs w:val="20"/>
              </w:rPr>
            </w:pPr>
          </w:p>
        </w:tc>
        <w:tc>
          <w:tcPr>
            <w:tcW w:w="992" w:type="dxa"/>
            <w:vAlign w:val="center"/>
          </w:tcPr>
          <w:p w14:paraId="44E9AFB0" w14:textId="77777777" w:rsidR="002965F4" w:rsidRPr="009D4692" w:rsidRDefault="002965F4" w:rsidP="007C14E8">
            <w:pPr>
              <w:spacing w:line="276" w:lineRule="auto"/>
              <w:jc w:val="center"/>
              <w:rPr>
                <w:rFonts w:ascii="Arial" w:hAnsi="Arial" w:cs="Arial"/>
                <w:sz w:val="20"/>
                <w:szCs w:val="20"/>
              </w:rPr>
            </w:pPr>
          </w:p>
        </w:tc>
        <w:tc>
          <w:tcPr>
            <w:tcW w:w="850" w:type="dxa"/>
            <w:vAlign w:val="center"/>
          </w:tcPr>
          <w:p w14:paraId="5405D3AB" w14:textId="77777777" w:rsidR="002965F4" w:rsidRPr="009D4692" w:rsidRDefault="002965F4" w:rsidP="007C14E8">
            <w:pPr>
              <w:spacing w:line="276" w:lineRule="auto"/>
              <w:jc w:val="center"/>
              <w:rPr>
                <w:rFonts w:ascii="Arial" w:hAnsi="Arial" w:cs="Arial"/>
                <w:sz w:val="20"/>
                <w:szCs w:val="20"/>
              </w:rPr>
            </w:pPr>
          </w:p>
        </w:tc>
        <w:tc>
          <w:tcPr>
            <w:tcW w:w="993" w:type="dxa"/>
            <w:vAlign w:val="center"/>
          </w:tcPr>
          <w:p w14:paraId="7E963410" w14:textId="77777777" w:rsidR="002965F4" w:rsidRPr="009D4692" w:rsidRDefault="002965F4" w:rsidP="007C14E8">
            <w:pPr>
              <w:spacing w:line="276" w:lineRule="auto"/>
              <w:jc w:val="center"/>
              <w:rPr>
                <w:rFonts w:ascii="Arial" w:hAnsi="Arial" w:cs="Arial"/>
                <w:sz w:val="20"/>
                <w:szCs w:val="20"/>
              </w:rPr>
            </w:pPr>
          </w:p>
        </w:tc>
        <w:tc>
          <w:tcPr>
            <w:tcW w:w="1275" w:type="dxa"/>
            <w:vAlign w:val="center"/>
          </w:tcPr>
          <w:p w14:paraId="63584E0F" w14:textId="77777777"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457 (17%)</w:t>
            </w:r>
          </w:p>
        </w:tc>
        <w:tc>
          <w:tcPr>
            <w:tcW w:w="1985" w:type="dxa"/>
            <w:vAlign w:val="center"/>
          </w:tcPr>
          <w:p w14:paraId="4DB78637" w14:textId="47E6ACD8"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13 (11%)</w:t>
            </w:r>
          </w:p>
        </w:tc>
        <w:tc>
          <w:tcPr>
            <w:tcW w:w="1134" w:type="dxa"/>
            <w:vAlign w:val="center"/>
          </w:tcPr>
          <w:p w14:paraId="14A4D3FC" w14:textId="2E202CBD" w:rsidR="002965F4" w:rsidRPr="009D4692" w:rsidRDefault="00D40C16" w:rsidP="007C14E8">
            <w:pPr>
              <w:spacing w:line="276" w:lineRule="auto"/>
              <w:jc w:val="center"/>
              <w:rPr>
                <w:rFonts w:ascii="Arial" w:hAnsi="Arial" w:cs="Arial"/>
                <w:sz w:val="16"/>
                <w:szCs w:val="20"/>
              </w:rPr>
            </w:pPr>
            <w:r>
              <w:rPr>
                <w:rFonts w:ascii="Arial" w:hAnsi="Arial" w:cs="Arial"/>
                <w:sz w:val="16"/>
                <w:szCs w:val="20"/>
              </w:rPr>
              <w:t>7</w:t>
            </w:r>
          </w:p>
        </w:tc>
        <w:tc>
          <w:tcPr>
            <w:tcW w:w="850" w:type="dxa"/>
            <w:vAlign w:val="center"/>
          </w:tcPr>
          <w:p w14:paraId="12652285" w14:textId="0222CD1A" w:rsidR="002965F4" w:rsidRPr="009D4692" w:rsidRDefault="00D40C16" w:rsidP="007C14E8">
            <w:pPr>
              <w:spacing w:line="276" w:lineRule="auto"/>
              <w:jc w:val="center"/>
              <w:rPr>
                <w:rFonts w:ascii="Arial" w:hAnsi="Arial" w:cs="Arial"/>
                <w:sz w:val="16"/>
                <w:szCs w:val="20"/>
              </w:rPr>
            </w:pPr>
            <w:r>
              <w:rPr>
                <w:rFonts w:ascii="Arial" w:hAnsi="Arial" w:cs="Arial"/>
                <w:sz w:val="16"/>
                <w:szCs w:val="20"/>
              </w:rPr>
              <w:t>2</w:t>
            </w:r>
          </w:p>
        </w:tc>
        <w:tc>
          <w:tcPr>
            <w:tcW w:w="851" w:type="dxa"/>
            <w:vAlign w:val="center"/>
          </w:tcPr>
          <w:p w14:paraId="4CEA1617"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4</w:t>
            </w:r>
          </w:p>
        </w:tc>
      </w:tr>
      <w:tr w:rsidR="002965F4" w:rsidRPr="009D4692" w14:paraId="612536C5" w14:textId="77777777" w:rsidTr="007C14E8">
        <w:tc>
          <w:tcPr>
            <w:tcW w:w="1242" w:type="dxa"/>
            <w:vAlign w:val="center"/>
          </w:tcPr>
          <w:p w14:paraId="7E704DE1" w14:textId="77777777"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3</w:t>
            </w:r>
          </w:p>
        </w:tc>
        <w:tc>
          <w:tcPr>
            <w:tcW w:w="1276" w:type="dxa"/>
            <w:vAlign w:val="center"/>
          </w:tcPr>
          <w:p w14:paraId="3568B5BD" w14:textId="77777777" w:rsidR="002965F4" w:rsidRPr="009D4692" w:rsidRDefault="002965F4" w:rsidP="007C14E8">
            <w:pPr>
              <w:rPr>
                <w:rFonts w:ascii="Arial" w:hAnsi="Arial" w:cs="Arial"/>
                <w:sz w:val="20"/>
                <w:szCs w:val="20"/>
              </w:rPr>
            </w:pPr>
            <w:r w:rsidRPr="009D4692">
              <w:rPr>
                <w:rFonts w:ascii="Arial" w:hAnsi="Arial" w:cs="Arial"/>
                <w:sz w:val="20"/>
                <w:szCs w:val="20"/>
              </w:rPr>
              <w:t>38 (24%)</w:t>
            </w:r>
          </w:p>
        </w:tc>
        <w:tc>
          <w:tcPr>
            <w:tcW w:w="1276" w:type="dxa"/>
            <w:vAlign w:val="center"/>
          </w:tcPr>
          <w:p w14:paraId="0D10D706" w14:textId="77777777" w:rsidR="002965F4" w:rsidRPr="009D4692" w:rsidRDefault="002965F4" w:rsidP="007C14E8">
            <w:pPr>
              <w:spacing w:line="276" w:lineRule="auto"/>
              <w:jc w:val="center"/>
              <w:rPr>
                <w:rFonts w:ascii="Arial" w:hAnsi="Arial" w:cs="Arial"/>
                <w:sz w:val="20"/>
                <w:szCs w:val="20"/>
              </w:rPr>
            </w:pPr>
          </w:p>
        </w:tc>
        <w:tc>
          <w:tcPr>
            <w:tcW w:w="1985" w:type="dxa"/>
            <w:vAlign w:val="center"/>
          </w:tcPr>
          <w:p w14:paraId="5A15BFF8" w14:textId="77777777" w:rsidR="002965F4" w:rsidRPr="009D4692" w:rsidRDefault="002965F4" w:rsidP="007C14E8">
            <w:pPr>
              <w:spacing w:line="276" w:lineRule="auto"/>
              <w:jc w:val="center"/>
              <w:rPr>
                <w:rFonts w:ascii="Arial" w:hAnsi="Arial" w:cs="Arial"/>
                <w:sz w:val="20"/>
                <w:szCs w:val="20"/>
              </w:rPr>
            </w:pPr>
          </w:p>
        </w:tc>
        <w:tc>
          <w:tcPr>
            <w:tcW w:w="992" w:type="dxa"/>
            <w:vAlign w:val="center"/>
          </w:tcPr>
          <w:p w14:paraId="0F726F2E" w14:textId="77777777" w:rsidR="002965F4" w:rsidRPr="009D4692" w:rsidRDefault="002965F4" w:rsidP="007C14E8">
            <w:pPr>
              <w:spacing w:line="276" w:lineRule="auto"/>
              <w:jc w:val="center"/>
              <w:rPr>
                <w:rFonts w:ascii="Arial" w:hAnsi="Arial" w:cs="Arial"/>
                <w:sz w:val="20"/>
                <w:szCs w:val="20"/>
              </w:rPr>
            </w:pPr>
          </w:p>
        </w:tc>
        <w:tc>
          <w:tcPr>
            <w:tcW w:w="850" w:type="dxa"/>
            <w:vAlign w:val="center"/>
          </w:tcPr>
          <w:p w14:paraId="341FE245" w14:textId="77777777" w:rsidR="002965F4" w:rsidRPr="009D4692" w:rsidRDefault="002965F4" w:rsidP="007C14E8">
            <w:pPr>
              <w:spacing w:line="276" w:lineRule="auto"/>
              <w:jc w:val="center"/>
              <w:rPr>
                <w:rFonts w:ascii="Arial" w:hAnsi="Arial" w:cs="Arial"/>
                <w:sz w:val="20"/>
                <w:szCs w:val="20"/>
              </w:rPr>
            </w:pPr>
          </w:p>
        </w:tc>
        <w:tc>
          <w:tcPr>
            <w:tcW w:w="993" w:type="dxa"/>
            <w:vAlign w:val="center"/>
          </w:tcPr>
          <w:p w14:paraId="46385180" w14:textId="77777777" w:rsidR="002965F4" w:rsidRPr="009D4692" w:rsidRDefault="002965F4" w:rsidP="007C14E8">
            <w:pPr>
              <w:spacing w:line="276" w:lineRule="auto"/>
              <w:jc w:val="center"/>
              <w:rPr>
                <w:rFonts w:ascii="Arial" w:hAnsi="Arial" w:cs="Arial"/>
                <w:sz w:val="20"/>
                <w:szCs w:val="20"/>
              </w:rPr>
            </w:pPr>
          </w:p>
        </w:tc>
        <w:tc>
          <w:tcPr>
            <w:tcW w:w="1275" w:type="dxa"/>
            <w:vAlign w:val="center"/>
          </w:tcPr>
          <w:p w14:paraId="799B6C92" w14:textId="77777777" w:rsidR="002965F4" w:rsidRPr="009D4692" w:rsidRDefault="002965F4" w:rsidP="007C14E8">
            <w:pPr>
              <w:spacing w:line="276" w:lineRule="auto"/>
              <w:rPr>
                <w:rFonts w:ascii="Arial" w:hAnsi="Arial" w:cs="Arial"/>
                <w:b/>
                <w:sz w:val="20"/>
                <w:szCs w:val="20"/>
              </w:rPr>
            </w:pPr>
            <w:r w:rsidRPr="009D4692">
              <w:rPr>
                <w:rFonts w:ascii="Arial" w:hAnsi="Arial" w:cs="Arial"/>
                <w:b/>
                <w:sz w:val="20"/>
                <w:szCs w:val="20"/>
              </w:rPr>
              <w:t>376 (14%)</w:t>
            </w:r>
          </w:p>
        </w:tc>
        <w:tc>
          <w:tcPr>
            <w:tcW w:w="1985" w:type="dxa"/>
            <w:vAlign w:val="center"/>
          </w:tcPr>
          <w:p w14:paraId="5AA10B68" w14:textId="77777777" w:rsidR="002965F4" w:rsidRPr="009D4692" w:rsidRDefault="002965F4" w:rsidP="007C14E8">
            <w:pPr>
              <w:spacing w:line="276" w:lineRule="auto"/>
              <w:rPr>
                <w:rFonts w:ascii="Arial" w:hAnsi="Arial" w:cs="Arial"/>
                <w:b/>
                <w:sz w:val="20"/>
                <w:szCs w:val="20"/>
              </w:rPr>
            </w:pPr>
            <w:r w:rsidRPr="009D4692">
              <w:rPr>
                <w:rFonts w:ascii="Arial" w:hAnsi="Arial" w:cs="Arial"/>
                <w:b/>
                <w:sz w:val="20"/>
                <w:szCs w:val="20"/>
              </w:rPr>
              <w:t xml:space="preserve">38 (37%), </w:t>
            </w:r>
            <w:r w:rsidRPr="009D4692">
              <w:rPr>
                <w:rFonts w:ascii="Arial" w:hAnsi="Arial" w:cs="Arial"/>
                <w:b/>
                <w:i/>
                <w:sz w:val="20"/>
                <w:szCs w:val="20"/>
              </w:rPr>
              <w:t>P&lt;</w:t>
            </w:r>
            <w:r w:rsidRPr="009D4692">
              <w:rPr>
                <w:rFonts w:ascii="Arial" w:hAnsi="Arial" w:cs="Arial"/>
                <w:b/>
                <w:sz w:val="20"/>
                <w:szCs w:val="20"/>
              </w:rPr>
              <w:t>0.001</w:t>
            </w:r>
          </w:p>
        </w:tc>
        <w:tc>
          <w:tcPr>
            <w:tcW w:w="1134" w:type="dxa"/>
            <w:vAlign w:val="center"/>
          </w:tcPr>
          <w:p w14:paraId="6F3F840C"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16</w:t>
            </w:r>
          </w:p>
        </w:tc>
        <w:tc>
          <w:tcPr>
            <w:tcW w:w="850" w:type="dxa"/>
            <w:vAlign w:val="center"/>
          </w:tcPr>
          <w:p w14:paraId="72B9B672"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10</w:t>
            </w:r>
          </w:p>
        </w:tc>
        <w:tc>
          <w:tcPr>
            <w:tcW w:w="851" w:type="dxa"/>
            <w:vAlign w:val="center"/>
          </w:tcPr>
          <w:p w14:paraId="59991771"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12</w:t>
            </w:r>
          </w:p>
        </w:tc>
      </w:tr>
      <w:tr w:rsidR="002965F4" w:rsidRPr="009D4692" w14:paraId="2D3020F4" w14:textId="77777777" w:rsidTr="007C14E8">
        <w:tc>
          <w:tcPr>
            <w:tcW w:w="1242" w:type="dxa"/>
            <w:vAlign w:val="center"/>
          </w:tcPr>
          <w:p w14:paraId="6BB312E8" w14:textId="77777777"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5</w:t>
            </w:r>
          </w:p>
        </w:tc>
        <w:tc>
          <w:tcPr>
            <w:tcW w:w="1276" w:type="dxa"/>
            <w:vAlign w:val="center"/>
          </w:tcPr>
          <w:p w14:paraId="4FE94B56" w14:textId="77777777" w:rsidR="002965F4" w:rsidRPr="009D4692" w:rsidRDefault="002965F4" w:rsidP="007C14E8">
            <w:pPr>
              <w:rPr>
                <w:rFonts w:ascii="Arial" w:hAnsi="Arial" w:cs="Arial"/>
                <w:sz w:val="20"/>
                <w:szCs w:val="20"/>
              </w:rPr>
            </w:pPr>
            <w:r w:rsidRPr="009D4692">
              <w:rPr>
                <w:rFonts w:ascii="Arial" w:hAnsi="Arial" w:cs="Arial"/>
                <w:sz w:val="20"/>
                <w:szCs w:val="20"/>
              </w:rPr>
              <w:t>1 (0.6)</w:t>
            </w:r>
          </w:p>
        </w:tc>
        <w:tc>
          <w:tcPr>
            <w:tcW w:w="1276" w:type="dxa"/>
            <w:vAlign w:val="center"/>
          </w:tcPr>
          <w:p w14:paraId="43FC023A" w14:textId="77777777" w:rsidR="002965F4" w:rsidRPr="009D4692" w:rsidRDefault="002965F4" w:rsidP="007C14E8">
            <w:pPr>
              <w:spacing w:line="276" w:lineRule="auto"/>
              <w:jc w:val="center"/>
              <w:rPr>
                <w:rFonts w:ascii="Arial" w:hAnsi="Arial" w:cs="Arial"/>
                <w:sz w:val="20"/>
                <w:szCs w:val="20"/>
              </w:rPr>
            </w:pPr>
          </w:p>
        </w:tc>
        <w:tc>
          <w:tcPr>
            <w:tcW w:w="1985" w:type="dxa"/>
            <w:vAlign w:val="center"/>
          </w:tcPr>
          <w:p w14:paraId="35EE38B2" w14:textId="77777777" w:rsidR="002965F4" w:rsidRPr="009D4692" w:rsidRDefault="002965F4" w:rsidP="007C14E8">
            <w:pPr>
              <w:spacing w:line="276" w:lineRule="auto"/>
              <w:jc w:val="center"/>
              <w:rPr>
                <w:rFonts w:ascii="Arial" w:hAnsi="Arial" w:cs="Arial"/>
                <w:sz w:val="20"/>
                <w:szCs w:val="20"/>
              </w:rPr>
            </w:pPr>
          </w:p>
        </w:tc>
        <w:tc>
          <w:tcPr>
            <w:tcW w:w="992" w:type="dxa"/>
            <w:vAlign w:val="center"/>
          </w:tcPr>
          <w:p w14:paraId="0F01E566" w14:textId="77777777" w:rsidR="002965F4" w:rsidRPr="009D4692" w:rsidRDefault="002965F4" w:rsidP="007C14E8">
            <w:pPr>
              <w:spacing w:line="276" w:lineRule="auto"/>
              <w:jc w:val="center"/>
              <w:rPr>
                <w:rFonts w:ascii="Arial" w:hAnsi="Arial" w:cs="Arial"/>
                <w:sz w:val="20"/>
                <w:szCs w:val="20"/>
              </w:rPr>
            </w:pPr>
          </w:p>
        </w:tc>
        <w:tc>
          <w:tcPr>
            <w:tcW w:w="850" w:type="dxa"/>
            <w:vAlign w:val="center"/>
          </w:tcPr>
          <w:p w14:paraId="56CA40A3" w14:textId="77777777" w:rsidR="002965F4" w:rsidRPr="009D4692" w:rsidRDefault="002965F4" w:rsidP="007C14E8">
            <w:pPr>
              <w:spacing w:line="276" w:lineRule="auto"/>
              <w:jc w:val="center"/>
              <w:rPr>
                <w:rFonts w:ascii="Arial" w:hAnsi="Arial" w:cs="Arial"/>
                <w:sz w:val="20"/>
                <w:szCs w:val="20"/>
              </w:rPr>
            </w:pPr>
          </w:p>
        </w:tc>
        <w:tc>
          <w:tcPr>
            <w:tcW w:w="993" w:type="dxa"/>
            <w:vAlign w:val="center"/>
          </w:tcPr>
          <w:p w14:paraId="281E8B1A" w14:textId="77777777" w:rsidR="002965F4" w:rsidRPr="009D4692" w:rsidRDefault="002965F4" w:rsidP="007C14E8">
            <w:pPr>
              <w:spacing w:line="276" w:lineRule="auto"/>
              <w:jc w:val="center"/>
              <w:rPr>
                <w:rFonts w:ascii="Arial" w:hAnsi="Arial" w:cs="Arial"/>
                <w:sz w:val="20"/>
                <w:szCs w:val="20"/>
              </w:rPr>
            </w:pPr>
          </w:p>
        </w:tc>
        <w:tc>
          <w:tcPr>
            <w:tcW w:w="1275" w:type="dxa"/>
            <w:vAlign w:val="center"/>
          </w:tcPr>
          <w:p w14:paraId="36CB2EC6" w14:textId="77777777"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9 (0.3%)</w:t>
            </w:r>
          </w:p>
        </w:tc>
        <w:tc>
          <w:tcPr>
            <w:tcW w:w="1985" w:type="dxa"/>
            <w:vAlign w:val="center"/>
          </w:tcPr>
          <w:p w14:paraId="2BCE42F7" w14:textId="0C8722EE"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1 (1%)</w:t>
            </w:r>
          </w:p>
        </w:tc>
        <w:tc>
          <w:tcPr>
            <w:tcW w:w="1134" w:type="dxa"/>
            <w:vAlign w:val="center"/>
          </w:tcPr>
          <w:p w14:paraId="22EBB9D3"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1</w:t>
            </w:r>
          </w:p>
        </w:tc>
        <w:tc>
          <w:tcPr>
            <w:tcW w:w="850" w:type="dxa"/>
            <w:vAlign w:val="center"/>
          </w:tcPr>
          <w:p w14:paraId="4844A10E"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w:t>
            </w:r>
          </w:p>
        </w:tc>
        <w:tc>
          <w:tcPr>
            <w:tcW w:w="851" w:type="dxa"/>
            <w:vAlign w:val="center"/>
          </w:tcPr>
          <w:p w14:paraId="0BE361EB"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w:t>
            </w:r>
          </w:p>
        </w:tc>
      </w:tr>
      <w:tr w:rsidR="002965F4" w:rsidRPr="009D4692" w14:paraId="008E75F4" w14:textId="77777777" w:rsidTr="007C14E8">
        <w:tc>
          <w:tcPr>
            <w:tcW w:w="1242" w:type="dxa"/>
            <w:vAlign w:val="center"/>
          </w:tcPr>
          <w:p w14:paraId="2A6D0D67" w14:textId="77777777"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6A</w:t>
            </w:r>
          </w:p>
        </w:tc>
        <w:tc>
          <w:tcPr>
            <w:tcW w:w="1276" w:type="dxa"/>
            <w:vAlign w:val="center"/>
          </w:tcPr>
          <w:p w14:paraId="34A7FD50" w14:textId="77777777" w:rsidR="002965F4" w:rsidRPr="009D4692" w:rsidRDefault="002965F4" w:rsidP="007C14E8">
            <w:pPr>
              <w:rPr>
                <w:rFonts w:ascii="Arial" w:hAnsi="Arial" w:cs="Arial"/>
                <w:sz w:val="20"/>
                <w:szCs w:val="20"/>
              </w:rPr>
            </w:pPr>
            <w:r w:rsidRPr="009D4692">
              <w:rPr>
                <w:rFonts w:ascii="Arial" w:hAnsi="Arial" w:cs="Arial"/>
                <w:sz w:val="20"/>
                <w:szCs w:val="20"/>
              </w:rPr>
              <w:t>1 (0.6)</w:t>
            </w:r>
          </w:p>
        </w:tc>
        <w:tc>
          <w:tcPr>
            <w:tcW w:w="1276" w:type="dxa"/>
            <w:vAlign w:val="center"/>
          </w:tcPr>
          <w:p w14:paraId="2BADB82F" w14:textId="77777777" w:rsidR="002965F4" w:rsidRPr="009D4692" w:rsidRDefault="002965F4" w:rsidP="007C14E8">
            <w:pPr>
              <w:spacing w:line="276" w:lineRule="auto"/>
              <w:jc w:val="center"/>
              <w:rPr>
                <w:rFonts w:ascii="Arial" w:hAnsi="Arial" w:cs="Arial"/>
                <w:sz w:val="20"/>
                <w:szCs w:val="20"/>
              </w:rPr>
            </w:pPr>
          </w:p>
        </w:tc>
        <w:tc>
          <w:tcPr>
            <w:tcW w:w="1985" w:type="dxa"/>
            <w:vAlign w:val="center"/>
          </w:tcPr>
          <w:p w14:paraId="427FBFE9" w14:textId="77777777" w:rsidR="002965F4" w:rsidRPr="009D4692" w:rsidRDefault="002965F4" w:rsidP="007C14E8">
            <w:pPr>
              <w:spacing w:line="276" w:lineRule="auto"/>
              <w:jc w:val="center"/>
              <w:rPr>
                <w:rFonts w:ascii="Arial" w:hAnsi="Arial" w:cs="Arial"/>
                <w:sz w:val="20"/>
                <w:szCs w:val="20"/>
              </w:rPr>
            </w:pPr>
          </w:p>
        </w:tc>
        <w:tc>
          <w:tcPr>
            <w:tcW w:w="992" w:type="dxa"/>
            <w:vAlign w:val="center"/>
          </w:tcPr>
          <w:p w14:paraId="39F22982" w14:textId="77777777" w:rsidR="002965F4" w:rsidRPr="009D4692" w:rsidRDefault="002965F4" w:rsidP="007C14E8">
            <w:pPr>
              <w:spacing w:line="276" w:lineRule="auto"/>
              <w:jc w:val="center"/>
              <w:rPr>
                <w:rFonts w:ascii="Arial" w:hAnsi="Arial" w:cs="Arial"/>
                <w:sz w:val="20"/>
                <w:szCs w:val="20"/>
              </w:rPr>
            </w:pPr>
          </w:p>
        </w:tc>
        <w:tc>
          <w:tcPr>
            <w:tcW w:w="850" w:type="dxa"/>
            <w:vAlign w:val="center"/>
          </w:tcPr>
          <w:p w14:paraId="1A2F2E3B" w14:textId="77777777" w:rsidR="002965F4" w:rsidRPr="009D4692" w:rsidRDefault="002965F4" w:rsidP="007C14E8">
            <w:pPr>
              <w:spacing w:line="276" w:lineRule="auto"/>
              <w:jc w:val="center"/>
              <w:rPr>
                <w:rFonts w:ascii="Arial" w:hAnsi="Arial" w:cs="Arial"/>
                <w:sz w:val="20"/>
                <w:szCs w:val="20"/>
              </w:rPr>
            </w:pPr>
          </w:p>
        </w:tc>
        <w:tc>
          <w:tcPr>
            <w:tcW w:w="993" w:type="dxa"/>
            <w:vAlign w:val="center"/>
          </w:tcPr>
          <w:p w14:paraId="1F0D4449" w14:textId="77777777" w:rsidR="002965F4" w:rsidRPr="009D4692" w:rsidRDefault="002965F4" w:rsidP="007C14E8">
            <w:pPr>
              <w:spacing w:line="276" w:lineRule="auto"/>
              <w:jc w:val="center"/>
              <w:rPr>
                <w:rFonts w:ascii="Arial" w:hAnsi="Arial" w:cs="Arial"/>
                <w:sz w:val="20"/>
                <w:szCs w:val="20"/>
              </w:rPr>
            </w:pPr>
          </w:p>
        </w:tc>
        <w:tc>
          <w:tcPr>
            <w:tcW w:w="1275" w:type="dxa"/>
            <w:vAlign w:val="center"/>
          </w:tcPr>
          <w:p w14:paraId="5B01567F" w14:textId="77777777"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99 (4%)</w:t>
            </w:r>
          </w:p>
        </w:tc>
        <w:tc>
          <w:tcPr>
            <w:tcW w:w="1985" w:type="dxa"/>
            <w:vAlign w:val="center"/>
          </w:tcPr>
          <w:p w14:paraId="5D6025E5" w14:textId="20F26F4C"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1 (1%)</w:t>
            </w:r>
          </w:p>
        </w:tc>
        <w:tc>
          <w:tcPr>
            <w:tcW w:w="1134" w:type="dxa"/>
            <w:vAlign w:val="center"/>
          </w:tcPr>
          <w:p w14:paraId="4C9AA146"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w:t>
            </w:r>
          </w:p>
        </w:tc>
        <w:tc>
          <w:tcPr>
            <w:tcW w:w="850" w:type="dxa"/>
            <w:vAlign w:val="center"/>
          </w:tcPr>
          <w:p w14:paraId="6329E786"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1</w:t>
            </w:r>
          </w:p>
        </w:tc>
        <w:tc>
          <w:tcPr>
            <w:tcW w:w="851" w:type="dxa"/>
            <w:vAlign w:val="center"/>
          </w:tcPr>
          <w:p w14:paraId="59A3EB80"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w:t>
            </w:r>
          </w:p>
        </w:tc>
      </w:tr>
      <w:tr w:rsidR="002965F4" w:rsidRPr="009D4692" w14:paraId="0AA73ACF" w14:textId="77777777" w:rsidTr="007C14E8">
        <w:tc>
          <w:tcPr>
            <w:tcW w:w="1242" w:type="dxa"/>
            <w:vAlign w:val="center"/>
          </w:tcPr>
          <w:p w14:paraId="744FCD0E" w14:textId="77777777"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7F</w:t>
            </w:r>
          </w:p>
        </w:tc>
        <w:tc>
          <w:tcPr>
            <w:tcW w:w="1276" w:type="dxa"/>
            <w:vAlign w:val="center"/>
          </w:tcPr>
          <w:p w14:paraId="347A93DD" w14:textId="77777777" w:rsidR="002965F4" w:rsidRPr="009D4692" w:rsidRDefault="002965F4" w:rsidP="007C14E8">
            <w:pPr>
              <w:rPr>
                <w:rFonts w:ascii="Arial" w:hAnsi="Arial" w:cs="Arial"/>
                <w:sz w:val="20"/>
                <w:szCs w:val="20"/>
              </w:rPr>
            </w:pPr>
            <w:r w:rsidRPr="009D4692">
              <w:rPr>
                <w:rFonts w:ascii="Arial" w:hAnsi="Arial" w:cs="Arial"/>
                <w:sz w:val="20"/>
                <w:szCs w:val="20"/>
              </w:rPr>
              <w:t>5 (3%)</w:t>
            </w:r>
          </w:p>
        </w:tc>
        <w:tc>
          <w:tcPr>
            <w:tcW w:w="1276" w:type="dxa"/>
            <w:vAlign w:val="center"/>
          </w:tcPr>
          <w:p w14:paraId="5D875B60" w14:textId="77777777" w:rsidR="002965F4" w:rsidRPr="009D4692" w:rsidRDefault="002965F4" w:rsidP="007C14E8">
            <w:pPr>
              <w:spacing w:line="276" w:lineRule="auto"/>
              <w:jc w:val="center"/>
              <w:rPr>
                <w:rFonts w:ascii="Arial" w:hAnsi="Arial" w:cs="Arial"/>
                <w:sz w:val="20"/>
                <w:szCs w:val="20"/>
              </w:rPr>
            </w:pPr>
          </w:p>
        </w:tc>
        <w:tc>
          <w:tcPr>
            <w:tcW w:w="1985" w:type="dxa"/>
            <w:vAlign w:val="center"/>
          </w:tcPr>
          <w:p w14:paraId="2CC966C4" w14:textId="77777777" w:rsidR="002965F4" w:rsidRPr="009D4692" w:rsidRDefault="002965F4" w:rsidP="007C14E8">
            <w:pPr>
              <w:spacing w:line="276" w:lineRule="auto"/>
              <w:jc w:val="center"/>
              <w:rPr>
                <w:rFonts w:ascii="Arial" w:hAnsi="Arial" w:cs="Arial"/>
                <w:sz w:val="20"/>
                <w:szCs w:val="20"/>
              </w:rPr>
            </w:pPr>
          </w:p>
        </w:tc>
        <w:tc>
          <w:tcPr>
            <w:tcW w:w="992" w:type="dxa"/>
            <w:vAlign w:val="center"/>
          </w:tcPr>
          <w:p w14:paraId="45782E77" w14:textId="77777777" w:rsidR="002965F4" w:rsidRPr="009D4692" w:rsidRDefault="002965F4" w:rsidP="007C14E8">
            <w:pPr>
              <w:spacing w:line="276" w:lineRule="auto"/>
              <w:jc w:val="center"/>
              <w:rPr>
                <w:rFonts w:ascii="Arial" w:hAnsi="Arial" w:cs="Arial"/>
                <w:sz w:val="20"/>
                <w:szCs w:val="20"/>
              </w:rPr>
            </w:pPr>
          </w:p>
        </w:tc>
        <w:tc>
          <w:tcPr>
            <w:tcW w:w="850" w:type="dxa"/>
            <w:vAlign w:val="center"/>
          </w:tcPr>
          <w:p w14:paraId="2E9B6D17" w14:textId="77777777" w:rsidR="002965F4" w:rsidRPr="009D4692" w:rsidRDefault="002965F4" w:rsidP="007C14E8">
            <w:pPr>
              <w:spacing w:line="276" w:lineRule="auto"/>
              <w:jc w:val="center"/>
              <w:rPr>
                <w:rFonts w:ascii="Arial" w:hAnsi="Arial" w:cs="Arial"/>
                <w:sz w:val="20"/>
                <w:szCs w:val="20"/>
              </w:rPr>
            </w:pPr>
          </w:p>
        </w:tc>
        <w:tc>
          <w:tcPr>
            <w:tcW w:w="993" w:type="dxa"/>
            <w:vAlign w:val="center"/>
          </w:tcPr>
          <w:p w14:paraId="1BB4C760" w14:textId="77777777" w:rsidR="002965F4" w:rsidRPr="009D4692" w:rsidRDefault="002965F4" w:rsidP="007C14E8">
            <w:pPr>
              <w:spacing w:line="276" w:lineRule="auto"/>
              <w:jc w:val="center"/>
              <w:rPr>
                <w:rFonts w:ascii="Arial" w:hAnsi="Arial" w:cs="Arial"/>
                <w:sz w:val="20"/>
                <w:szCs w:val="20"/>
              </w:rPr>
            </w:pPr>
          </w:p>
        </w:tc>
        <w:tc>
          <w:tcPr>
            <w:tcW w:w="1275" w:type="dxa"/>
            <w:vAlign w:val="center"/>
          </w:tcPr>
          <w:p w14:paraId="01517450" w14:textId="77777777" w:rsidR="002965F4" w:rsidRPr="009D4692" w:rsidRDefault="002965F4" w:rsidP="007C14E8">
            <w:pPr>
              <w:spacing w:line="276" w:lineRule="auto"/>
              <w:rPr>
                <w:rFonts w:ascii="Arial" w:hAnsi="Arial" w:cs="Arial"/>
                <w:b/>
                <w:sz w:val="20"/>
                <w:szCs w:val="20"/>
              </w:rPr>
            </w:pPr>
            <w:r w:rsidRPr="009D4692">
              <w:rPr>
                <w:rFonts w:ascii="Arial" w:hAnsi="Arial" w:cs="Arial"/>
                <w:b/>
                <w:sz w:val="20"/>
                <w:szCs w:val="20"/>
              </w:rPr>
              <w:t>621 (23%)</w:t>
            </w:r>
          </w:p>
        </w:tc>
        <w:tc>
          <w:tcPr>
            <w:tcW w:w="1985" w:type="dxa"/>
            <w:vAlign w:val="center"/>
          </w:tcPr>
          <w:p w14:paraId="2CE7CAA6" w14:textId="77777777" w:rsidR="002965F4" w:rsidRPr="009D4692" w:rsidRDefault="002965F4" w:rsidP="007C14E8">
            <w:pPr>
              <w:spacing w:line="276" w:lineRule="auto"/>
              <w:rPr>
                <w:rFonts w:ascii="Arial" w:hAnsi="Arial" w:cs="Arial"/>
                <w:b/>
                <w:sz w:val="20"/>
                <w:szCs w:val="20"/>
              </w:rPr>
            </w:pPr>
            <w:r w:rsidRPr="009D4692">
              <w:rPr>
                <w:rFonts w:ascii="Arial" w:hAnsi="Arial" w:cs="Arial"/>
                <w:b/>
                <w:sz w:val="20"/>
                <w:szCs w:val="20"/>
              </w:rPr>
              <w:t xml:space="preserve">5  (5%), </w:t>
            </w:r>
            <w:r w:rsidRPr="009D4692">
              <w:rPr>
                <w:rFonts w:ascii="Arial" w:hAnsi="Arial" w:cs="Arial"/>
                <w:b/>
                <w:i/>
                <w:sz w:val="20"/>
                <w:szCs w:val="20"/>
              </w:rPr>
              <w:t>P&lt;</w:t>
            </w:r>
            <w:r w:rsidRPr="009D4692">
              <w:rPr>
                <w:rFonts w:ascii="Arial" w:hAnsi="Arial" w:cs="Arial"/>
                <w:b/>
                <w:sz w:val="20"/>
                <w:szCs w:val="20"/>
              </w:rPr>
              <w:t>0.001</w:t>
            </w:r>
          </w:p>
        </w:tc>
        <w:tc>
          <w:tcPr>
            <w:tcW w:w="1134" w:type="dxa"/>
            <w:vAlign w:val="center"/>
          </w:tcPr>
          <w:p w14:paraId="535614E0"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w:t>
            </w:r>
          </w:p>
        </w:tc>
        <w:tc>
          <w:tcPr>
            <w:tcW w:w="850" w:type="dxa"/>
            <w:vAlign w:val="center"/>
          </w:tcPr>
          <w:p w14:paraId="286BC129"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3</w:t>
            </w:r>
          </w:p>
        </w:tc>
        <w:tc>
          <w:tcPr>
            <w:tcW w:w="851" w:type="dxa"/>
            <w:vAlign w:val="center"/>
          </w:tcPr>
          <w:p w14:paraId="48DE13B7"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2</w:t>
            </w:r>
          </w:p>
        </w:tc>
      </w:tr>
      <w:tr w:rsidR="002965F4" w:rsidRPr="009D4692" w14:paraId="3C87DE8E" w14:textId="77777777" w:rsidTr="007C14E8">
        <w:tc>
          <w:tcPr>
            <w:tcW w:w="1242" w:type="dxa"/>
            <w:vAlign w:val="center"/>
          </w:tcPr>
          <w:p w14:paraId="4C87DD2F" w14:textId="77777777"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19A</w:t>
            </w:r>
          </w:p>
        </w:tc>
        <w:tc>
          <w:tcPr>
            <w:tcW w:w="1276" w:type="dxa"/>
            <w:vAlign w:val="center"/>
          </w:tcPr>
          <w:p w14:paraId="133D2094" w14:textId="77777777" w:rsidR="002965F4" w:rsidRPr="009D4692" w:rsidRDefault="002965F4" w:rsidP="007C14E8">
            <w:pPr>
              <w:rPr>
                <w:rFonts w:ascii="Arial" w:hAnsi="Arial" w:cs="Arial"/>
                <w:sz w:val="20"/>
                <w:szCs w:val="20"/>
              </w:rPr>
            </w:pPr>
            <w:r w:rsidRPr="009D4692">
              <w:rPr>
                <w:rFonts w:ascii="Arial" w:hAnsi="Arial" w:cs="Arial"/>
                <w:sz w:val="20"/>
                <w:szCs w:val="20"/>
              </w:rPr>
              <w:t>30 (19%)</w:t>
            </w:r>
          </w:p>
        </w:tc>
        <w:tc>
          <w:tcPr>
            <w:tcW w:w="1276" w:type="dxa"/>
            <w:vAlign w:val="center"/>
          </w:tcPr>
          <w:p w14:paraId="2B1792B4" w14:textId="77777777" w:rsidR="002965F4" w:rsidRPr="009D4692" w:rsidRDefault="002965F4" w:rsidP="007C14E8">
            <w:pPr>
              <w:spacing w:line="276" w:lineRule="auto"/>
              <w:jc w:val="center"/>
              <w:rPr>
                <w:rFonts w:ascii="Arial" w:hAnsi="Arial" w:cs="Arial"/>
                <w:sz w:val="20"/>
                <w:szCs w:val="20"/>
              </w:rPr>
            </w:pPr>
          </w:p>
        </w:tc>
        <w:tc>
          <w:tcPr>
            <w:tcW w:w="1985" w:type="dxa"/>
            <w:vAlign w:val="center"/>
          </w:tcPr>
          <w:p w14:paraId="4263BB10" w14:textId="77777777" w:rsidR="002965F4" w:rsidRPr="009D4692" w:rsidRDefault="002965F4" w:rsidP="007C14E8">
            <w:pPr>
              <w:spacing w:line="276" w:lineRule="auto"/>
              <w:jc w:val="center"/>
              <w:rPr>
                <w:rFonts w:ascii="Arial" w:hAnsi="Arial" w:cs="Arial"/>
                <w:sz w:val="20"/>
                <w:szCs w:val="20"/>
              </w:rPr>
            </w:pPr>
          </w:p>
        </w:tc>
        <w:tc>
          <w:tcPr>
            <w:tcW w:w="992" w:type="dxa"/>
            <w:vAlign w:val="center"/>
          </w:tcPr>
          <w:p w14:paraId="070C2D15" w14:textId="77777777" w:rsidR="002965F4" w:rsidRPr="009D4692" w:rsidRDefault="002965F4" w:rsidP="007C14E8">
            <w:pPr>
              <w:spacing w:line="276" w:lineRule="auto"/>
              <w:jc w:val="center"/>
              <w:rPr>
                <w:rFonts w:ascii="Arial" w:hAnsi="Arial" w:cs="Arial"/>
                <w:sz w:val="20"/>
                <w:szCs w:val="20"/>
              </w:rPr>
            </w:pPr>
          </w:p>
        </w:tc>
        <w:tc>
          <w:tcPr>
            <w:tcW w:w="850" w:type="dxa"/>
            <w:vAlign w:val="center"/>
          </w:tcPr>
          <w:p w14:paraId="792A310D" w14:textId="77777777" w:rsidR="002965F4" w:rsidRPr="009D4692" w:rsidRDefault="002965F4" w:rsidP="007C14E8">
            <w:pPr>
              <w:spacing w:line="276" w:lineRule="auto"/>
              <w:jc w:val="center"/>
              <w:rPr>
                <w:rFonts w:ascii="Arial" w:hAnsi="Arial" w:cs="Arial"/>
                <w:sz w:val="20"/>
                <w:szCs w:val="20"/>
              </w:rPr>
            </w:pPr>
          </w:p>
        </w:tc>
        <w:tc>
          <w:tcPr>
            <w:tcW w:w="993" w:type="dxa"/>
            <w:vAlign w:val="center"/>
          </w:tcPr>
          <w:p w14:paraId="62A8C94A" w14:textId="77777777" w:rsidR="002965F4" w:rsidRPr="009D4692" w:rsidRDefault="002965F4" w:rsidP="007C14E8">
            <w:pPr>
              <w:spacing w:line="276" w:lineRule="auto"/>
              <w:jc w:val="center"/>
              <w:rPr>
                <w:rFonts w:ascii="Arial" w:hAnsi="Arial" w:cs="Arial"/>
                <w:sz w:val="20"/>
                <w:szCs w:val="20"/>
              </w:rPr>
            </w:pPr>
          </w:p>
        </w:tc>
        <w:tc>
          <w:tcPr>
            <w:tcW w:w="1275" w:type="dxa"/>
            <w:vAlign w:val="center"/>
          </w:tcPr>
          <w:p w14:paraId="003F089C" w14:textId="77777777"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605 (23%)</w:t>
            </w:r>
          </w:p>
        </w:tc>
        <w:tc>
          <w:tcPr>
            <w:tcW w:w="1985" w:type="dxa"/>
            <w:vAlign w:val="center"/>
          </w:tcPr>
          <w:p w14:paraId="0D39EB4B" w14:textId="7A792408" w:rsidR="002965F4" w:rsidRPr="009D4692" w:rsidRDefault="002965F4" w:rsidP="007C14E8">
            <w:pPr>
              <w:spacing w:line="276" w:lineRule="auto"/>
              <w:rPr>
                <w:rFonts w:ascii="Arial" w:hAnsi="Arial" w:cs="Arial"/>
                <w:sz w:val="20"/>
                <w:szCs w:val="20"/>
              </w:rPr>
            </w:pPr>
            <w:r w:rsidRPr="009D4692">
              <w:rPr>
                <w:rFonts w:ascii="Arial" w:hAnsi="Arial" w:cs="Arial"/>
                <w:sz w:val="20"/>
                <w:szCs w:val="20"/>
              </w:rPr>
              <w:t>30 (29%)</w:t>
            </w:r>
          </w:p>
        </w:tc>
        <w:tc>
          <w:tcPr>
            <w:tcW w:w="1134" w:type="dxa"/>
            <w:vAlign w:val="center"/>
          </w:tcPr>
          <w:p w14:paraId="02044C95"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9</w:t>
            </w:r>
          </w:p>
        </w:tc>
        <w:tc>
          <w:tcPr>
            <w:tcW w:w="850" w:type="dxa"/>
            <w:vAlign w:val="center"/>
          </w:tcPr>
          <w:p w14:paraId="79FA91AF"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19</w:t>
            </w:r>
          </w:p>
        </w:tc>
        <w:tc>
          <w:tcPr>
            <w:tcW w:w="851" w:type="dxa"/>
            <w:vAlign w:val="center"/>
          </w:tcPr>
          <w:p w14:paraId="1CB3E5E9" w14:textId="77777777" w:rsidR="002965F4" w:rsidRPr="009D4692" w:rsidRDefault="002965F4" w:rsidP="007C14E8">
            <w:pPr>
              <w:spacing w:line="276" w:lineRule="auto"/>
              <w:jc w:val="center"/>
              <w:rPr>
                <w:rFonts w:ascii="Arial" w:hAnsi="Arial" w:cs="Arial"/>
                <w:sz w:val="16"/>
                <w:szCs w:val="20"/>
              </w:rPr>
            </w:pPr>
            <w:r w:rsidRPr="009D4692">
              <w:rPr>
                <w:rFonts w:ascii="Arial" w:hAnsi="Arial" w:cs="Arial"/>
                <w:sz w:val="16"/>
                <w:szCs w:val="20"/>
              </w:rPr>
              <w:t>2</w:t>
            </w:r>
          </w:p>
        </w:tc>
      </w:tr>
    </w:tbl>
    <w:p w14:paraId="4371CF4B" w14:textId="77777777" w:rsidR="002965F4" w:rsidRPr="00FB49B7" w:rsidRDefault="002965F4" w:rsidP="002965F4">
      <w:pPr>
        <w:spacing w:after="0" w:line="360" w:lineRule="auto"/>
        <w:rPr>
          <w:rFonts w:ascii="Arial" w:eastAsia="Times New Roman" w:hAnsi="Arial" w:cs="Arial"/>
          <w:b/>
          <w:color w:val="000000"/>
          <w:szCs w:val="24"/>
        </w:rPr>
        <w:sectPr w:rsidR="002965F4" w:rsidRPr="00FB49B7" w:rsidSect="00BE2C5E">
          <w:pgSz w:w="16838" w:h="11906" w:orient="landscape"/>
          <w:pgMar w:top="1440" w:right="1080" w:bottom="1440" w:left="1080" w:header="709" w:footer="709" w:gutter="0"/>
          <w:cols w:space="708"/>
          <w:docGrid w:linePitch="360"/>
        </w:sectPr>
      </w:pPr>
    </w:p>
    <w:p w14:paraId="002A44B2" w14:textId="77777777" w:rsidR="003B5832" w:rsidRPr="000E71C4" w:rsidRDefault="003B5832" w:rsidP="003B5832">
      <w:pPr>
        <w:pStyle w:val="Caption"/>
        <w:keepNext/>
        <w:spacing w:after="0" w:line="360" w:lineRule="auto"/>
        <w:jc w:val="both"/>
        <w:rPr>
          <w:rFonts w:ascii="Arial" w:hAnsi="Arial" w:cs="Arial"/>
          <w:color w:val="000000" w:themeColor="text1"/>
          <w:sz w:val="22"/>
          <w:szCs w:val="22"/>
        </w:rPr>
      </w:pPr>
      <w:r w:rsidRPr="000E71C4">
        <w:rPr>
          <w:rFonts w:ascii="Arial" w:hAnsi="Arial" w:cs="Arial"/>
          <w:color w:val="000000" w:themeColor="text1"/>
          <w:sz w:val="22"/>
          <w:szCs w:val="22"/>
        </w:rPr>
        <w:t xml:space="preserve">Table </w:t>
      </w:r>
      <w:r w:rsidR="002965F4">
        <w:rPr>
          <w:rFonts w:ascii="Arial" w:hAnsi="Arial" w:cs="Arial"/>
          <w:color w:val="000000" w:themeColor="text1"/>
          <w:sz w:val="22"/>
          <w:szCs w:val="22"/>
        </w:rPr>
        <w:t>3</w:t>
      </w:r>
      <w:r w:rsidRPr="000E71C4">
        <w:rPr>
          <w:rFonts w:ascii="Arial" w:hAnsi="Arial" w:cs="Arial"/>
          <w:color w:val="000000" w:themeColor="text1"/>
          <w:sz w:val="22"/>
          <w:szCs w:val="22"/>
        </w:rPr>
        <w:t xml:space="preserve">. </w:t>
      </w:r>
      <w:r w:rsidRPr="000E71C4">
        <w:rPr>
          <w:rFonts w:ascii="Arial" w:eastAsia="Times New Roman" w:hAnsi="Arial" w:cs="Arial"/>
          <w:color w:val="000000" w:themeColor="text1"/>
          <w:sz w:val="22"/>
          <w:szCs w:val="22"/>
        </w:rPr>
        <w:t>Characteristics of children with vaccine failure in the cohort eligible for PCV7 and PCV13, England and Wales.</w:t>
      </w:r>
    </w:p>
    <w:tbl>
      <w:tblPr>
        <w:tblStyle w:val="TableGrid"/>
        <w:tblW w:w="5059" w:type="pct"/>
        <w:tblInd w:w="-176" w:type="dxa"/>
        <w:tblLayout w:type="fixed"/>
        <w:tblLook w:val="04A0" w:firstRow="1" w:lastRow="0" w:firstColumn="1" w:lastColumn="0" w:noHBand="0" w:noVBand="1"/>
      </w:tblPr>
      <w:tblGrid>
        <w:gridCol w:w="1418"/>
        <w:gridCol w:w="788"/>
        <w:gridCol w:w="1008"/>
        <w:gridCol w:w="1008"/>
        <w:gridCol w:w="917"/>
        <w:gridCol w:w="1008"/>
        <w:gridCol w:w="1008"/>
        <w:gridCol w:w="147"/>
        <w:gridCol w:w="952"/>
        <w:gridCol w:w="917"/>
        <w:gridCol w:w="121"/>
        <w:gridCol w:w="788"/>
      </w:tblGrid>
      <w:tr w:rsidR="000042BF" w:rsidRPr="00FE09B9" w14:paraId="4A31B701" w14:textId="77777777" w:rsidTr="00E244D8">
        <w:trPr>
          <w:trHeight w:val="68"/>
        </w:trPr>
        <w:tc>
          <w:tcPr>
            <w:tcW w:w="703" w:type="pct"/>
            <w:vMerge w:val="restart"/>
            <w:vAlign w:val="center"/>
          </w:tcPr>
          <w:p w14:paraId="709A08F9" w14:textId="77777777" w:rsidR="000042BF" w:rsidRPr="00FE09B9" w:rsidRDefault="000042BF" w:rsidP="002E37D2">
            <w:pPr>
              <w:spacing w:line="276" w:lineRule="auto"/>
              <w:rPr>
                <w:rFonts w:eastAsia="Times New Roman" w:cs="Arial"/>
                <w:color w:val="000000"/>
              </w:rPr>
            </w:pPr>
          </w:p>
        </w:tc>
        <w:tc>
          <w:tcPr>
            <w:tcW w:w="391" w:type="pct"/>
            <w:vMerge w:val="restart"/>
            <w:vAlign w:val="center"/>
          </w:tcPr>
          <w:p w14:paraId="60572E05" w14:textId="77777777" w:rsidR="000042BF" w:rsidRPr="00FE09B9" w:rsidRDefault="000042BF" w:rsidP="00F022A5">
            <w:pPr>
              <w:spacing w:line="276" w:lineRule="auto"/>
              <w:jc w:val="center"/>
              <w:rPr>
                <w:rFonts w:eastAsia="Times New Roman" w:cs="Arial"/>
                <w:b/>
                <w:color w:val="000000"/>
              </w:rPr>
            </w:pPr>
            <w:r w:rsidRPr="00FE09B9">
              <w:rPr>
                <w:rFonts w:eastAsia="Times New Roman" w:cs="Arial"/>
                <w:b/>
                <w:color w:val="000000"/>
              </w:rPr>
              <w:t xml:space="preserve">All cases </w:t>
            </w:r>
          </w:p>
        </w:tc>
        <w:tc>
          <w:tcPr>
            <w:tcW w:w="1955" w:type="pct"/>
            <w:gridSpan w:val="4"/>
            <w:vAlign w:val="center"/>
          </w:tcPr>
          <w:p w14:paraId="0B8D5DE5" w14:textId="77777777" w:rsidR="000042BF" w:rsidRPr="00FE09B9" w:rsidRDefault="000042BF" w:rsidP="002E37D2">
            <w:pPr>
              <w:spacing w:line="276" w:lineRule="auto"/>
              <w:jc w:val="center"/>
              <w:rPr>
                <w:rFonts w:eastAsia="Times New Roman" w:cs="Arial"/>
                <w:b/>
                <w:color w:val="000000"/>
              </w:rPr>
            </w:pPr>
            <w:r w:rsidRPr="00FE09B9">
              <w:rPr>
                <w:rFonts w:eastAsia="Times New Roman" w:cs="Arial"/>
                <w:b/>
                <w:color w:val="000000"/>
              </w:rPr>
              <w:t>PCV7</w:t>
            </w:r>
          </w:p>
        </w:tc>
        <w:tc>
          <w:tcPr>
            <w:tcW w:w="1951" w:type="pct"/>
            <w:gridSpan w:val="6"/>
            <w:vAlign w:val="center"/>
          </w:tcPr>
          <w:p w14:paraId="4957D922" w14:textId="77777777" w:rsidR="000042BF" w:rsidRPr="00FE09B9" w:rsidRDefault="000042BF" w:rsidP="002E37D2">
            <w:pPr>
              <w:spacing w:line="276" w:lineRule="auto"/>
              <w:jc w:val="center"/>
              <w:rPr>
                <w:rFonts w:eastAsia="Times New Roman" w:cs="Arial"/>
                <w:b/>
                <w:color w:val="000000"/>
              </w:rPr>
            </w:pPr>
            <w:r w:rsidRPr="00FE09B9">
              <w:rPr>
                <w:rFonts w:eastAsia="Times New Roman" w:cs="Arial"/>
                <w:b/>
                <w:color w:val="000000"/>
              </w:rPr>
              <w:t>PCV13</w:t>
            </w:r>
          </w:p>
        </w:tc>
      </w:tr>
      <w:tr w:rsidR="00C07C98" w:rsidRPr="00FE09B9" w14:paraId="117E8535" w14:textId="77777777" w:rsidTr="00E244D8">
        <w:trPr>
          <w:trHeight w:val="516"/>
        </w:trPr>
        <w:tc>
          <w:tcPr>
            <w:tcW w:w="703" w:type="pct"/>
            <w:vMerge/>
            <w:vAlign w:val="center"/>
          </w:tcPr>
          <w:p w14:paraId="70469068" w14:textId="77777777" w:rsidR="00C07C98" w:rsidRPr="00FE09B9" w:rsidRDefault="00C07C98" w:rsidP="002E37D2">
            <w:pPr>
              <w:spacing w:line="276" w:lineRule="auto"/>
              <w:rPr>
                <w:rFonts w:cs="Arial"/>
              </w:rPr>
            </w:pPr>
          </w:p>
        </w:tc>
        <w:tc>
          <w:tcPr>
            <w:tcW w:w="391" w:type="pct"/>
            <w:vMerge/>
            <w:vAlign w:val="center"/>
          </w:tcPr>
          <w:p w14:paraId="5E1EC6F6" w14:textId="77777777" w:rsidR="00C07C98" w:rsidRPr="00FE09B9" w:rsidRDefault="00C07C98" w:rsidP="002E37D2">
            <w:pPr>
              <w:spacing w:line="276" w:lineRule="auto"/>
              <w:jc w:val="center"/>
              <w:rPr>
                <w:rFonts w:cs="Arial"/>
                <w:b/>
              </w:rPr>
            </w:pPr>
          </w:p>
        </w:tc>
        <w:tc>
          <w:tcPr>
            <w:tcW w:w="500" w:type="pct"/>
            <w:vAlign w:val="center"/>
          </w:tcPr>
          <w:p w14:paraId="5DC3BBD5" w14:textId="77777777" w:rsidR="00C07C98" w:rsidRPr="00D474C8" w:rsidRDefault="00C07C98" w:rsidP="002E37D2">
            <w:pPr>
              <w:spacing w:line="276" w:lineRule="auto"/>
              <w:jc w:val="center"/>
              <w:rPr>
                <w:rFonts w:cs="Arial"/>
                <w:sz w:val="20"/>
                <w:szCs w:val="20"/>
              </w:rPr>
            </w:pPr>
            <w:r w:rsidRPr="00D474C8">
              <w:rPr>
                <w:rFonts w:ascii="Arial" w:hAnsi="Arial" w:cs="Arial"/>
                <w:sz w:val="20"/>
                <w:szCs w:val="20"/>
              </w:rPr>
              <w:t>PCV7 catch-up</w:t>
            </w:r>
          </w:p>
        </w:tc>
        <w:tc>
          <w:tcPr>
            <w:tcW w:w="500" w:type="pct"/>
            <w:vAlign w:val="center"/>
          </w:tcPr>
          <w:p w14:paraId="3909CCDF" w14:textId="77777777" w:rsidR="00C07C98" w:rsidRPr="00D474C8" w:rsidRDefault="00C07C98" w:rsidP="002E37D2">
            <w:pPr>
              <w:spacing w:line="276" w:lineRule="auto"/>
              <w:jc w:val="center"/>
              <w:rPr>
                <w:rFonts w:cs="Arial"/>
                <w:sz w:val="20"/>
                <w:szCs w:val="20"/>
              </w:rPr>
            </w:pPr>
            <w:r w:rsidRPr="00D474C8">
              <w:rPr>
                <w:rFonts w:ascii="Arial" w:hAnsi="Arial" w:cs="Arial"/>
                <w:sz w:val="20"/>
                <w:szCs w:val="20"/>
              </w:rPr>
              <w:t>PCV7-PCV7</w:t>
            </w:r>
          </w:p>
        </w:tc>
        <w:tc>
          <w:tcPr>
            <w:tcW w:w="455" w:type="pct"/>
            <w:vAlign w:val="center"/>
          </w:tcPr>
          <w:p w14:paraId="48054F78" w14:textId="77777777" w:rsidR="00C07C98" w:rsidRPr="00D474C8" w:rsidRDefault="00C07C98" w:rsidP="002E37D2">
            <w:pPr>
              <w:spacing w:line="276" w:lineRule="auto"/>
              <w:jc w:val="center"/>
              <w:rPr>
                <w:rFonts w:cs="Arial"/>
                <w:sz w:val="20"/>
                <w:szCs w:val="20"/>
              </w:rPr>
            </w:pPr>
            <w:r w:rsidRPr="00D474C8">
              <w:rPr>
                <w:rFonts w:ascii="Arial" w:hAnsi="Arial" w:cs="Arial"/>
                <w:sz w:val="20"/>
                <w:szCs w:val="20"/>
              </w:rPr>
              <w:t>PCV7-PCV7-PCV7</w:t>
            </w:r>
          </w:p>
        </w:tc>
        <w:tc>
          <w:tcPr>
            <w:tcW w:w="500" w:type="pct"/>
            <w:vMerge w:val="restart"/>
            <w:vAlign w:val="center"/>
          </w:tcPr>
          <w:p w14:paraId="0EC67AE0" w14:textId="77777777" w:rsidR="00C07C98" w:rsidRPr="00D474C8" w:rsidRDefault="00C07C98" w:rsidP="00F022A5">
            <w:pPr>
              <w:spacing w:line="276" w:lineRule="auto"/>
              <w:jc w:val="center"/>
              <w:rPr>
                <w:rFonts w:cs="Arial"/>
                <w:b/>
                <w:sz w:val="20"/>
                <w:szCs w:val="20"/>
              </w:rPr>
            </w:pPr>
            <w:r w:rsidRPr="00D474C8">
              <w:rPr>
                <w:rFonts w:cs="Arial"/>
                <w:b/>
                <w:sz w:val="20"/>
                <w:szCs w:val="20"/>
              </w:rPr>
              <w:t>All PCV7 cases</w:t>
            </w:r>
          </w:p>
        </w:tc>
        <w:tc>
          <w:tcPr>
            <w:tcW w:w="573" w:type="pct"/>
            <w:gridSpan w:val="2"/>
            <w:vAlign w:val="center"/>
          </w:tcPr>
          <w:p w14:paraId="6F649367" w14:textId="77777777" w:rsidR="00C07C98" w:rsidRPr="00D474C8" w:rsidRDefault="00C07C98" w:rsidP="002E37D2">
            <w:pPr>
              <w:spacing w:line="276" w:lineRule="auto"/>
              <w:jc w:val="center"/>
              <w:rPr>
                <w:rFonts w:cs="Arial"/>
                <w:sz w:val="20"/>
                <w:szCs w:val="20"/>
              </w:rPr>
            </w:pPr>
            <w:r w:rsidRPr="00D474C8">
              <w:rPr>
                <w:rFonts w:ascii="Arial" w:hAnsi="Arial" w:cs="Arial"/>
                <w:sz w:val="20"/>
                <w:szCs w:val="20"/>
              </w:rPr>
              <w:t>PCV13 catch-up</w:t>
            </w:r>
          </w:p>
        </w:tc>
        <w:tc>
          <w:tcPr>
            <w:tcW w:w="472" w:type="pct"/>
            <w:vAlign w:val="center"/>
          </w:tcPr>
          <w:p w14:paraId="0077C0D2" w14:textId="77777777" w:rsidR="00C07C98" w:rsidRPr="00D474C8" w:rsidRDefault="00C07C98" w:rsidP="002E37D2">
            <w:pPr>
              <w:spacing w:line="276" w:lineRule="auto"/>
              <w:jc w:val="center"/>
              <w:rPr>
                <w:rFonts w:cs="Arial"/>
                <w:sz w:val="20"/>
                <w:szCs w:val="20"/>
              </w:rPr>
            </w:pPr>
            <w:r w:rsidRPr="00D474C8">
              <w:rPr>
                <w:rFonts w:ascii="Arial" w:hAnsi="Arial" w:cs="Arial"/>
                <w:sz w:val="20"/>
                <w:szCs w:val="20"/>
              </w:rPr>
              <w:t>PCV13-PCV13</w:t>
            </w:r>
          </w:p>
        </w:tc>
        <w:tc>
          <w:tcPr>
            <w:tcW w:w="515" w:type="pct"/>
            <w:gridSpan w:val="2"/>
            <w:vAlign w:val="center"/>
          </w:tcPr>
          <w:p w14:paraId="0D2CE912" w14:textId="77777777" w:rsidR="00C07C98" w:rsidRPr="00D474C8" w:rsidRDefault="00C07C98" w:rsidP="002E37D2">
            <w:pPr>
              <w:spacing w:line="276" w:lineRule="auto"/>
              <w:jc w:val="center"/>
              <w:rPr>
                <w:rFonts w:cs="Arial"/>
                <w:sz w:val="20"/>
                <w:szCs w:val="20"/>
              </w:rPr>
            </w:pPr>
            <w:r w:rsidRPr="00D474C8">
              <w:rPr>
                <w:rFonts w:ascii="Arial" w:hAnsi="Arial" w:cs="Arial"/>
                <w:sz w:val="20"/>
                <w:szCs w:val="20"/>
              </w:rPr>
              <w:t>PCV13-PCV13-PCV13</w:t>
            </w:r>
          </w:p>
        </w:tc>
        <w:tc>
          <w:tcPr>
            <w:tcW w:w="391" w:type="pct"/>
            <w:vMerge w:val="restart"/>
            <w:vAlign w:val="center"/>
          </w:tcPr>
          <w:p w14:paraId="0EF61489" w14:textId="77777777" w:rsidR="00C07C98" w:rsidRPr="00D474C8" w:rsidRDefault="00C07C98" w:rsidP="002E37D2">
            <w:pPr>
              <w:spacing w:line="276" w:lineRule="auto"/>
              <w:jc w:val="center"/>
              <w:rPr>
                <w:rFonts w:cs="Arial"/>
                <w:b/>
                <w:sz w:val="20"/>
                <w:szCs w:val="20"/>
              </w:rPr>
            </w:pPr>
            <w:r w:rsidRPr="00D474C8">
              <w:rPr>
                <w:rFonts w:cs="Arial"/>
                <w:b/>
                <w:sz w:val="20"/>
                <w:szCs w:val="20"/>
              </w:rPr>
              <w:t>All PCV13 cases</w:t>
            </w:r>
          </w:p>
        </w:tc>
      </w:tr>
      <w:tr w:rsidR="00C07C98" w:rsidRPr="00FE09B9" w14:paraId="3FA4A87C" w14:textId="77777777" w:rsidTr="00E244D8">
        <w:tc>
          <w:tcPr>
            <w:tcW w:w="703" w:type="pct"/>
            <w:vAlign w:val="center"/>
          </w:tcPr>
          <w:p w14:paraId="3DC8EB47" w14:textId="77777777" w:rsidR="00C07C98" w:rsidRPr="00FE09B9" w:rsidRDefault="00C07C98" w:rsidP="00F022A5">
            <w:pPr>
              <w:spacing w:line="276" w:lineRule="auto"/>
              <w:rPr>
                <w:rFonts w:cs="Arial"/>
              </w:rPr>
            </w:pPr>
          </w:p>
        </w:tc>
        <w:tc>
          <w:tcPr>
            <w:tcW w:w="391" w:type="pct"/>
            <w:vMerge/>
            <w:vAlign w:val="center"/>
          </w:tcPr>
          <w:p w14:paraId="5FF6DAA5" w14:textId="77777777" w:rsidR="00C07C98" w:rsidRPr="00FE09B9" w:rsidRDefault="00C07C98" w:rsidP="002E37D2">
            <w:pPr>
              <w:spacing w:line="276" w:lineRule="auto"/>
              <w:jc w:val="center"/>
              <w:rPr>
                <w:rFonts w:cs="Arial"/>
                <w:b/>
              </w:rPr>
            </w:pPr>
          </w:p>
        </w:tc>
        <w:tc>
          <w:tcPr>
            <w:tcW w:w="500" w:type="pct"/>
            <w:vAlign w:val="center"/>
          </w:tcPr>
          <w:p w14:paraId="1C2ED7FE" w14:textId="77777777" w:rsidR="00C07C98" w:rsidRPr="00FE09B9" w:rsidRDefault="00C07C98" w:rsidP="002E37D2">
            <w:pPr>
              <w:spacing w:line="276" w:lineRule="auto"/>
              <w:jc w:val="center"/>
              <w:rPr>
                <w:rFonts w:cs="Arial"/>
                <w:highlight w:val="red"/>
              </w:rPr>
            </w:pPr>
            <w:r w:rsidRPr="00FE09B9">
              <w:rPr>
                <w:rFonts w:cs="Arial"/>
              </w:rPr>
              <w:t>1 dose &gt;12m only (catch up)</w:t>
            </w:r>
          </w:p>
        </w:tc>
        <w:tc>
          <w:tcPr>
            <w:tcW w:w="500" w:type="pct"/>
            <w:vAlign w:val="center"/>
          </w:tcPr>
          <w:p w14:paraId="4C20DBE7" w14:textId="77777777" w:rsidR="00C07C98" w:rsidRPr="00FE09B9" w:rsidRDefault="00C07C98" w:rsidP="002E37D2">
            <w:pPr>
              <w:spacing w:line="276" w:lineRule="auto"/>
              <w:jc w:val="center"/>
              <w:rPr>
                <w:rFonts w:cs="Arial"/>
                <w:highlight w:val="red"/>
              </w:rPr>
            </w:pPr>
            <w:r w:rsidRPr="00FE09B9">
              <w:rPr>
                <w:rFonts w:cs="Arial"/>
              </w:rPr>
              <w:t>2 doses &lt; 12m only</w:t>
            </w:r>
          </w:p>
        </w:tc>
        <w:tc>
          <w:tcPr>
            <w:tcW w:w="455" w:type="pct"/>
            <w:vAlign w:val="center"/>
          </w:tcPr>
          <w:p w14:paraId="23A10257" w14:textId="77777777" w:rsidR="00C07C98" w:rsidRPr="00FE09B9" w:rsidRDefault="00C07C98" w:rsidP="002E37D2">
            <w:pPr>
              <w:spacing w:line="276" w:lineRule="auto"/>
              <w:jc w:val="center"/>
              <w:rPr>
                <w:rFonts w:cs="Arial"/>
                <w:highlight w:val="red"/>
              </w:rPr>
            </w:pPr>
            <w:r w:rsidRPr="00FE09B9">
              <w:rPr>
                <w:rFonts w:cs="Arial"/>
              </w:rPr>
              <w:t>1 or 2 doses &lt;12m + 12m booster</w:t>
            </w:r>
          </w:p>
        </w:tc>
        <w:tc>
          <w:tcPr>
            <w:tcW w:w="500" w:type="pct"/>
            <w:vMerge/>
            <w:vAlign w:val="center"/>
          </w:tcPr>
          <w:p w14:paraId="72E379C7" w14:textId="77777777" w:rsidR="00C07C98" w:rsidRPr="00FE09B9" w:rsidRDefault="00C07C98" w:rsidP="002E37D2">
            <w:pPr>
              <w:spacing w:line="276" w:lineRule="auto"/>
              <w:jc w:val="center"/>
              <w:rPr>
                <w:rFonts w:cs="Arial"/>
                <w:b/>
                <w:highlight w:val="red"/>
              </w:rPr>
            </w:pPr>
          </w:p>
        </w:tc>
        <w:tc>
          <w:tcPr>
            <w:tcW w:w="573" w:type="pct"/>
            <w:gridSpan w:val="2"/>
            <w:vAlign w:val="center"/>
          </w:tcPr>
          <w:p w14:paraId="1BC3ADA6" w14:textId="77777777" w:rsidR="00C07C98" w:rsidRPr="00FE09B9" w:rsidRDefault="00C07C98" w:rsidP="002E37D2">
            <w:pPr>
              <w:spacing w:line="276" w:lineRule="auto"/>
              <w:jc w:val="center"/>
              <w:rPr>
                <w:rFonts w:cs="Arial"/>
                <w:highlight w:val="red"/>
              </w:rPr>
            </w:pPr>
            <w:r w:rsidRPr="00FE09B9">
              <w:rPr>
                <w:rFonts w:cs="Arial"/>
              </w:rPr>
              <w:t xml:space="preserve">2 doses </w:t>
            </w:r>
            <w:r>
              <w:rPr>
                <w:rFonts w:cs="Arial"/>
              </w:rPr>
              <w:t xml:space="preserve">PCV7 </w:t>
            </w:r>
            <w:r w:rsidRPr="00FE09B9">
              <w:rPr>
                <w:rFonts w:cs="Arial"/>
              </w:rPr>
              <w:t xml:space="preserve">&lt;12m + 12m </w:t>
            </w:r>
            <w:r>
              <w:rPr>
                <w:rFonts w:cs="Arial"/>
              </w:rPr>
              <w:t xml:space="preserve">PCV13 </w:t>
            </w:r>
            <w:r w:rsidRPr="00FE09B9">
              <w:rPr>
                <w:rFonts w:cs="Arial"/>
              </w:rPr>
              <w:t>booster</w:t>
            </w:r>
          </w:p>
        </w:tc>
        <w:tc>
          <w:tcPr>
            <w:tcW w:w="472" w:type="pct"/>
            <w:vAlign w:val="center"/>
          </w:tcPr>
          <w:p w14:paraId="3CE97194" w14:textId="77777777" w:rsidR="00C07C98" w:rsidRPr="00FE09B9" w:rsidRDefault="00C07C98" w:rsidP="002E37D2">
            <w:pPr>
              <w:spacing w:line="276" w:lineRule="auto"/>
              <w:jc w:val="center"/>
              <w:rPr>
                <w:rFonts w:cs="Arial"/>
                <w:highlight w:val="red"/>
              </w:rPr>
            </w:pPr>
            <w:r w:rsidRPr="00FE09B9">
              <w:rPr>
                <w:rFonts w:cs="Arial"/>
              </w:rPr>
              <w:t>2 doses &lt;12m only</w:t>
            </w:r>
          </w:p>
        </w:tc>
        <w:tc>
          <w:tcPr>
            <w:tcW w:w="515" w:type="pct"/>
            <w:gridSpan w:val="2"/>
            <w:vAlign w:val="center"/>
          </w:tcPr>
          <w:p w14:paraId="62B6FE0D" w14:textId="77777777" w:rsidR="00C07C98" w:rsidRPr="00FE09B9" w:rsidRDefault="00C07C98" w:rsidP="002E37D2">
            <w:pPr>
              <w:spacing w:line="276" w:lineRule="auto"/>
              <w:jc w:val="center"/>
              <w:rPr>
                <w:rFonts w:cs="Arial"/>
                <w:highlight w:val="red"/>
              </w:rPr>
            </w:pPr>
            <w:r w:rsidRPr="00FE09B9">
              <w:rPr>
                <w:rFonts w:cs="Arial"/>
              </w:rPr>
              <w:t>2 doses &lt;12m + 12m booster</w:t>
            </w:r>
          </w:p>
        </w:tc>
        <w:tc>
          <w:tcPr>
            <w:tcW w:w="391" w:type="pct"/>
            <w:vMerge/>
            <w:vAlign w:val="center"/>
          </w:tcPr>
          <w:p w14:paraId="213D16E9" w14:textId="77777777" w:rsidR="00C07C98" w:rsidRPr="00FE09B9" w:rsidRDefault="00C07C98" w:rsidP="002E37D2">
            <w:pPr>
              <w:spacing w:line="276" w:lineRule="auto"/>
              <w:jc w:val="center"/>
              <w:rPr>
                <w:rFonts w:cs="Arial"/>
                <w:b/>
                <w:highlight w:val="red"/>
              </w:rPr>
            </w:pPr>
          </w:p>
        </w:tc>
      </w:tr>
      <w:tr w:rsidR="000042BF" w:rsidRPr="00FE09B9" w14:paraId="289AD742" w14:textId="77777777" w:rsidTr="00E244D8">
        <w:tc>
          <w:tcPr>
            <w:tcW w:w="703" w:type="pct"/>
            <w:vAlign w:val="center"/>
          </w:tcPr>
          <w:p w14:paraId="2AE06D99" w14:textId="77777777" w:rsidR="000042BF" w:rsidRPr="00FE09B9" w:rsidRDefault="000042BF" w:rsidP="00F022A5">
            <w:pPr>
              <w:spacing w:line="276" w:lineRule="auto"/>
              <w:rPr>
                <w:rFonts w:cs="Arial"/>
              </w:rPr>
            </w:pPr>
            <w:r w:rsidRPr="00FE09B9">
              <w:rPr>
                <w:rFonts w:cs="Arial"/>
              </w:rPr>
              <w:t xml:space="preserve">Total </w:t>
            </w:r>
            <w:r w:rsidR="00114A6B">
              <w:rPr>
                <w:rFonts w:cs="Arial"/>
              </w:rPr>
              <w:t>cases</w:t>
            </w:r>
          </w:p>
        </w:tc>
        <w:tc>
          <w:tcPr>
            <w:tcW w:w="391" w:type="pct"/>
            <w:vAlign w:val="center"/>
          </w:tcPr>
          <w:p w14:paraId="7ED9442B" w14:textId="77777777" w:rsidR="000042BF" w:rsidRPr="00FE09B9" w:rsidRDefault="000042BF" w:rsidP="002965F4">
            <w:pPr>
              <w:spacing w:line="276" w:lineRule="auto"/>
              <w:jc w:val="center"/>
              <w:rPr>
                <w:rFonts w:cs="Arial"/>
                <w:b/>
              </w:rPr>
            </w:pPr>
            <w:r w:rsidRPr="00FE09B9">
              <w:rPr>
                <w:rFonts w:cs="Arial"/>
                <w:b/>
              </w:rPr>
              <w:t xml:space="preserve">161 </w:t>
            </w:r>
          </w:p>
        </w:tc>
        <w:tc>
          <w:tcPr>
            <w:tcW w:w="500" w:type="pct"/>
            <w:vAlign w:val="center"/>
          </w:tcPr>
          <w:p w14:paraId="701931A9" w14:textId="77777777" w:rsidR="000042BF" w:rsidRPr="00FE09B9" w:rsidRDefault="000042BF" w:rsidP="00D474C8">
            <w:pPr>
              <w:spacing w:line="276" w:lineRule="auto"/>
              <w:jc w:val="center"/>
              <w:rPr>
                <w:rFonts w:cs="Arial"/>
              </w:rPr>
            </w:pPr>
            <w:r w:rsidRPr="00FE09B9">
              <w:rPr>
                <w:rFonts w:cs="Arial"/>
              </w:rPr>
              <w:t xml:space="preserve">20 </w:t>
            </w:r>
          </w:p>
        </w:tc>
        <w:tc>
          <w:tcPr>
            <w:tcW w:w="500" w:type="pct"/>
            <w:vAlign w:val="center"/>
          </w:tcPr>
          <w:p w14:paraId="11930CF8" w14:textId="77777777" w:rsidR="000042BF" w:rsidRPr="00FE09B9" w:rsidRDefault="000042BF" w:rsidP="00D474C8">
            <w:pPr>
              <w:spacing w:line="276" w:lineRule="auto"/>
              <w:jc w:val="center"/>
              <w:rPr>
                <w:rFonts w:cs="Arial"/>
              </w:rPr>
            </w:pPr>
            <w:r w:rsidRPr="00FE09B9">
              <w:rPr>
                <w:rFonts w:cs="Arial"/>
              </w:rPr>
              <w:t xml:space="preserve">25 </w:t>
            </w:r>
          </w:p>
        </w:tc>
        <w:tc>
          <w:tcPr>
            <w:tcW w:w="455" w:type="pct"/>
            <w:vAlign w:val="center"/>
          </w:tcPr>
          <w:p w14:paraId="51654136" w14:textId="77777777" w:rsidR="000042BF" w:rsidRPr="00FE09B9" w:rsidRDefault="009F6BD5" w:rsidP="002E37D2">
            <w:pPr>
              <w:spacing w:line="276" w:lineRule="auto"/>
              <w:jc w:val="center"/>
              <w:rPr>
                <w:rFonts w:cs="Arial"/>
              </w:rPr>
            </w:pPr>
            <w:r>
              <w:rPr>
                <w:rFonts w:cs="Arial"/>
              </w:rPr>
              <w:t>12</w:t>
            </w:r>
          </w:p>
        </w:tc>
        <w:tc>
          <w:tcPr>
            <w:tcW w:w="500" w:type="pct"/>
            <w:vAlign w:val="center"/>
          </w:tcPr>
          <w:p w14:paraId="34839A85" w14:textId="77777777" w:rsidR="000042BF" w:rsidRPr="00FE09B9" w:rsidRDefault="000042BF" w:rsidP="002E37D2">
            <w:pPr>
              <w:spacing w:line="276" w:lineRule="auto"/>
              <w:jc w:val="center"/>
              <w:rPr>
                <w:rFonts w:cs="Arial"/>
                <w:b/>
              </w:rPr>
            </w:pPr>
            <w:r w:rsidRPr="00FE09B9">
              <w:rPr>
                <w:rFonts w:cs="Arial"/>
                <w:b/>
              </w:rPr>
              <w:t>57</w:t>
            </w:r>
          </w:p>
        </w:tc>
        <w:tc>
          <w:tcPr>
            <w:tcW w:w="573" w:type="pct"/>
            <w:gridSpan w:val="2"/>
            <w:vAlign w:val="center"/>
          </w:tcPr>
          <w:p w14:paraId="37CBBB5B" w14:textId="77777777" w:rsidR="000042BF" w:rsidRPr="00FE09B9" w:rsidRDefault="009F6BD5" w:rsidP="002E37D2">
            <w:pPr>
              <w:spacing w:line="276" w:lineRule="auto"/>
              <w:jc w:val="center"/>
              <w:rPr>
                <w:rFonts w:cs="Arial"/>
              </w:rPr>
            </w:pPr>
            <w:r>
              <w:rPr>
                <w:rFonts w:cs="Arial"/>
              </w:rPr>
              <w:t>35</w:t>
            </w:r>
          </w:p>
        </w:tc>
        <w:tc>
          <w:tcPr>
            <w:tcW w:w="472" w:type="pct"/>
            <w:vAlign w:val="center"/>
          </w:tcPr>
          <w:p w14:paraId="1DDF6023" w14:textId="77777777" w:rsidR="000042BF" w:rsidRPr="00FE09B9" w:rsidRDefault="009F6BD5" w:rsidP="002E37D2">
            <w:pPr>
              <w:spacing w:line="276" w:lineRule="auto"/>
              <w:jc w:val="center"/>
              <w:rPr>
                <w:rFonts w:cs="Arial"/>
              </w:rPr>
            </w:pPr>
            <w:r>
              <w:rPr>
                <w:rFonts w:cs="Arial"/>
              </w:rPr>
              <w:t>41</w:t>
            </w:r>
          </w:p>
        </w:tc>
        <w:tc>
          <w:tcPr>
            <w:tcW w:w="515" w:type="pct"/>
            <w:gridSpan w:val="2"/>
            <w:vAlign w:val="center"/>
          </w:tcPr>
          <w:p w14:paraId="1D77DC88" w14:textId="77777777" w:rsidR="000042BF" w:rsidRPr="00FE09B9" w:rsidRDefault="009F6BD5" w:rsidP="002E37D2">
            <w:pPr>
              <w:spacing w:line="276" w:lineRule="auto"/>
              <w:jc w:val="center"/>
              <w:rPr>
                <w:rFonts w:cs="Arial"/>
              </w:rPr>
            </w:pPr>
            <w:r>
              <w:rPr>
                <w:rFonts w:cs="Arial"/>
              </w:rPr>
              <w:t>28</w:t>
            </w:r>
          </w:p>
        </w:tc>
        <w:tc>
          <w:tcPr>
            <w:tcW w:w="391" w:type="pct"/>
            <w:vAlign w:val="center"/>
          </w:tcPr>
          <w:p w14:paraId="1A5421A1" w14:textId="77777777" w:rsidR="000042BF" w:rsidRPr="00FE09B9" w:rsidRDefault="000042BF" w:rsidP="002E37D2">
            <w:pPr>
              <w:spacing w:line="276" w:lineRule="auto"/>
              <w:jc w:val="center"/>
              <w:rPr>
                <w:rFonts w:cs="Arial"/>
                <w:b/>
              </w:rPr>
            </w:pPr>
            <w:r w:rsidRPr="00FE09B9">
              <w:rPr>
                <w:rFonts w:cs="Arial"/>
                <w:b/>
              </w:rPr>
              <w:t>104</w:t>
            </w:r>
          </w:p>
        </w:tc>
      </w:tr>
      <w:tr w:rsidR="000042BF" w:rsidRPr="00FE09B9" w14:paraId="203A9DD7" w14:textId="77777777" w:rsidTr="00E244D8">
        <w:tc>
          <w:tcPr>
            <w:tcW w:w="703" w:type="pct"/>
            <w:vAlign w:val="center"/>
          </w:tcPr>
          <w:p w14:paraId="5740DA8A" w14:textId="77777777" w:rsidR="000042BF" w:rsidRPr="00D474C8" w:rsidRDefault="000042BF" w:rsidP="002E37D2">
            <w:pPr>
              <w:spacing w:line="276" w:lineRule="auto"/>
              <w:rPr>
                <w:rFonts w:eastAsia="Times New Roman" w:cs="Arial"/>
                <w:color w:val="000000"/>
              </w:rPr>
            </w:pPr>
            <w:r w:rsidRPr="00D474C8">
              <w:rPr>
                <w:rFonts w:eastAsia="Times New Roman" w:cs="Arial"/>
                <w:color w:val="000000"/>
              </w:rPr>
              <w:t>Prematurity</w:t>
            </w:r>
          </w:p>
        </w:tc>
        <w:tc>
          <w:tcPr>
            <w:tcW w:w="391" w:type="pct"/>
            <w:vAlign w:val="center"/>
          </w:tcPr>
          <w:p w14:paraId="6E0CB89F" w14:textId="77777777" w:rsidR="000042BF" w:rsidRPr="00D474C8" w:rsidRDefault="000042BF" w:rsidP="00F022A5">
            <w:pPr>
              <w:spacing w:line="276" w:lineRule="auto"/>
              <w:jc w:val="center"/>
              <w:rPr>
                <w:rFonts w:eastAsia="Times New Roman" w:cs="Arial"/>
                <w:b/>
                <w:color w:val="000000"/>
              </w:rPr>
            </w:pPr>
            <w:r w:rsidRPr="00D474C8">
              <w:rPr>
                <w:rFonts w:eastAsia="Times New Roman" w:cs="Arial"/>
                <w:b/>
                <w:color w:val="000000"/>
              </w:rPr>
              <w:t>15 (9</w:t>
            </w:r>
            <w:r w:rsidR="00C825CF" w:rsidRPr="00D474C8">
              <w:rPr>
                <w:rFonts w:eastAsia="Times New Roman" w:cs="Arial"/>
                <w:b/>
                <w:color w:val="000000"/>
              </w:rPr>
              <w:t>%</w:t>
            </w:r>
            <w:r w:rsidRPr="00D474C8">
              <w:rPr>
                <w:rFonts w:eastAsia="Times New Roman" w:cs="Arial"/>
                <w:b/>
                <w:color w:val="000000"/>
              </w:rPr>
              <w:t>)</w:t>
            </w:r>
          </w:p>
        </w:tc>
        <w:tc>
          <w:tcPr>
            <w:tcW w:w="500" w:type="pct"/>
            <w:vAlign w:val="center"/>
          </w:tcPr>
          <w:p w14:paraId="79139974" w14:textId="77777777" w:rsidR="000042BF" w:rsidRPr="00D474C8" w:rsidRDefault="000042BF" w:rsidP="002965F4">
            <w:pPr>
              <w:spacing w:line="276" w:lineRule="auto"/>
              <w:jc w:val="center"/>
              <w:rPr>
                <w:rFonts w:eastAsia="Times New Roman" w:cs="Arial"/>
                <w:color w:val="000000"/>
              </w:rPr>
            </w:pPr>
            <w:r w:rsidRPr="00D474C8">
              <w:rPr>
                <w:rFonts w:eastAsia="Times New Roman" w:cs="Arial"/>
                <w:color w:val="000000"/>
              </w:rPr>
              <w:t>1 (5</w:t>
            </w:r>
            <w:r w:rsidR="00C825CF" w:rsidRPr="00D474C8">
              <w:rPr>
                <w:rFonts w:eastAsia="Times New Roman" w:cs="Arial"/>
                <w:color w:val="000000"/>
              </w:rPr>
              <w:t>%</w:t>
            </w:r>
            <w:r w:rsidRPr="00D474C8">
              <w:rPr>
                <w:rFonts w:eastAsia="Times New Roman" w:cs="Arial"/>
                <w:color w:val="000000"/>
              </w:rPr>
              <w:t>)</w:t>
            </w:r>
          </w:p>
        </w:tc>
        <w:tc>
          <w:tcPr>
            <w:tcW w:w="500" w:type="pct"/>
            <w:vAlign w:val="center"/>
          </w:tcPr>
          <w:p w14:paraId="7FF2F458" w14:textId="77777777" w:rsidR="000042BF" w:rsidRPr="00D474C8" w:rsidRDefault="000042BF" w:rsidP="00D474C8">
            <w:pPr>
              <w:spacing w:line="276" w:lineRule="auto"/>
              <w:jc w:val="center"/>
              <w:rPr>
                <w:rFonts w:eastAsia="Times New Roman" w:cs="Arial"/>
                <w:color w:val="000000"/>
              </w:rPr>
            </w:pPr>
            <w:r w:rsidRPr="00D474C8">
              <w:rPr>
                <w:rFonts w:eastAsia="Times New Roman" w:cs="Arial"/>
                <w:color w:val="000000"/>
              </w:rPr>
              <w:t>4 (16</w:t>
            </w:r>
            <w:r w:rsidR="00C825CF" w:rsidRPr="00D474C8">
              <w:rPr>
                <w:rFonts w:eastAsia="Times New Roman" w:cs="Arial"/>
                <w:color w:val="000000"/>
              </w:rPr>
              <w:t>%</w:t>
            </w:r>
            <w:r w:rsidRPr="00D474C8">
              <w:rPr>
                <w:rFonts w:eastAsia="Times New Roman" w:cs="Arial"/>
                <w:color w:val="000000"/>
              </w:rPr>
              <w:t>)</w:t>
            </w:r>
          </w:p>
        </w:tc>
        <w:tc>
          <w:tcPr>
            <w:tcW w:w="455" w:type="pct"/>
            <w:vAlign w:val="center"/>
          </w:tcPr>
          <w:p w14:paraId="2694C1E4" w14:textId="77777777" w:rsidR="000042BF" w:rsidRPr="00D474C8" w:rsidRDefault="000042BF" w:rsidP="00D474C8">
            <w:pPr>
              <w:spacing w:line="276" w:lineRule="auto"/>
              <w:jc w:val="center"/>
              <w:rPr>
                <w:rFonts w:eastAsia="Times New Roman" w:cs="Arial"/>
                <w:color w:val="000000"/>
              </w:rPr>
            </w:pPr>
            <w:r w:rsidRPr="00D474C8">
              <w:rPr>
                <w:rFonts w:eastAsia="Times New Roman" w:cs="Arial"/>
                <w:color w:val="000000"/>
              </w:rPr>
              <w:t>1 (</w:t>
            </w:r>
            <w:r w:rsidR="00C825CF" w:rsidRPr="00D474C8">
              <w:rPr>
                <w:rFonts w:eastAsia="Times New Roman" w:cs="Arial"/>
                <w:color w:val="000000"/>
              </w:rPr>
              <w:t>8%</w:t>
            </w:r>
            <w:r w:rsidRPr="00D474C8">
              <w:rPr>
                <w:rFonts w:eastAsia="Times New Roman" w:cs="Arial"/>
                <w:color w:val="000000"/>
              </w:rPr>
              <w:t>)</w:t>
            </w:r>
          </w:p>
        </w:tc>
        <w:tc>
          <w:tcPr>
            <w:tcW w:w="500" w:type="pct"/>
            <w:vAlign w:val="center"/>
          </w:tcPr>
          <w:p w14:paraId="33DF0D4A" w14:textId="77777777" w:rsidR="000042BF" w:rsidRPr="00D474C8" w:rsidRDefault="00C825CF" w:rsidP="00D474C8">
            <w:pPr>
              <w:spacing w:line="276" w:lineRule="auto"/>
              <w:jc w:val="center"/>
              <w:rPr>
                <w:rFonts w:eastAsia="Times New Roman" w:cs="Arial"/>
                <w:b/>
                <w:color w:val="000000"/>
              </w:rPr>
            </w:pPr>
            <w:r w:rsidRPr="00D474C8">
              <w:rPr>
                <w:rFonts w:eastAsia="Times New Roman" w:cs="Arial"/>
                <w:b/>
                <w:color w:val="000000"/>
              </w:rPr>
              <w:t>6 (11%</w:t>
            </w:r>
            <w:r w:rsidR="000042BF" w:rsidRPr="00D474C8">
              <w:rPr>
                <w:rFonts w:eastAsia="Times New Roman" w:cs="Arial"/>
                <w:b/>
                <w:color w:val="000000"/>
              </w:rPr>
              <w:t>)</w:t>
            </w:r>
          </w:p>
        </w:tc>
        <w:tc>
          <w:tcPr>
            <w:tcW w:w="573" w:type="pct"/>
            <w:gridSpan w:val="2"/>
            <w:vAlign w:val="center"/>
          </w:tcPr>
          <w:p w14:paraId="0F0D91F9" w14:textId="77777777" w:rsidR="000042BF" w:rsidRPr="00D474C8" w:rsidRDefault="000042BF" w:rsidP="00D474C8">
            <w:pPr>
              <w:spacing w:line="276" w:lineRule="auto"/>
              <w:jc w:val="center"/>
              <w:rPr>
                <w:rFonts w:eastAsia="Times New Roman" w:cs="Arial"/>
                <w:color w:val="000000"/>
              </w:rPr>
            </w:pPr>
            <w:r w:rsidRPr="00D474C8">
              <w:rPr>
                <w:rFonts w:eastAsia="Times New Roman" w:cs="Arial"/>
                <w:color w:val="000000"/>
              </w:rPr>
              <w:t>5 (1</w:t>
            </w:r>
            <w:r w:rsidR="00C825CF" w:rsidRPr="00D474C8">
              <w:rPr>
                <w:rFonts w:eastAsia="Times New Roman" w:cs="Arial"/>
                <w:color w:val="000000"/>
              </w:rPr>
              <w:t>4%</w:t>
            </w:r>
            <w:r w:rsidRPr="00D474C8">
              <w:rPr>
                <w:rFonts w:eastAsia="Times New Roman" w:cs="Arial"/>
                <w:color w:val="000000"/>
              </w:rPr>
              <w:t>)</w:t>
            </w:r>
          </w:p>
        </w:tc>
        <w:tc>
          <w:tcPr>
            <w:tcW w:w="472" w:type="pct"/>
            <w:vAlign w:val="center"/>
          </w:tcPr>
          <w:p w14:paraId="16A5B8E1" w14:textId="77777777" w:rsidR="000042BF" w:rsidRPr="00D474C8" w:rsidRDefault="000042BF" w:rsidP="00D474C8">
            <w:pPr>
              <w:spacing w:line="276" w:lineRule="auto"/>
              <w:jc w:val="center"/>
              <w:rPr>
                <w:rFonts w:eastAsia="Times New Roman" w:cs="Arial"/>
                <w:color w:val="000000"/>
              </w:rPr>
            </w:pPr>
            <w:r w:rsidRPr="00D474C8">
              <w:rPr>
                <w:rFonts w:eastAsia="Times New Roman" w:cs="Arial"/>
                <w:color w:val="000000"/>
              </w:rPr>
              <w:t>3 (7</w:t>
            </w:r>
            <w:r w:rsidR="00C825CF" w:rsidRPr="00D474C8">
              <w:rPr>
                <w:rFonts w:eastAsia="Times New Roman" w:cs="Arial"/>
                <w:color w:val="000000"/>
              </w:rPr>
              <w:t>%</w:t>
            </w:r>
            <w:r w:rsidRPr="00D474C8">
              <w:rPr>
                <w:rFonts w:eastAsia="Times New Roman" w:cs="Arial"/>
                <w:color w:val="000000"/>
              </w:rPr>
              <w:t>)</w:t>
            </w:r>
          </w:p>
        </w:tc>
        <w:tc>
          <w:tcPr>
            <w:tcW w:w="515" w:type="pct"/>
            <w:gridSpan w:val="2"/>
            <w:vAlign w:val="center"/>
          </w:tcPr>
          <w:p w14:paraId="6EB244C9" w14:textId="77777777" w:rsidR="000042BF" w:rsidRPr="00D474C8" w:rsidRDefault="000042BF" w:rsidP="00D474C8">
            <w:pPr>
              <w:spacing w:line="276" w:lineRule="auto"/>
              <w:jc w:val="center"/>
              <w:rPr>
                <w:rFonts w:eastAsia="Times New Roman" w:cs="Arial"/>
                <w:color w:val="000000"/>
              </w:rPr>
            </w:pPr>
            <w:r w:rsidRPr="00D474C8">
              <w:rPr>
                <w:rFonts w:eastAsia="Times New Roman" w:cs="Arial"/>
                <w:color w:val="000000"/>
              </w:rPr>
              <w:t>1 (</w:t>
            </w:r>
            <w:r w:rsidR="00C825CF" w:rsidRPr="00D474C8">
              <w:rPr>
                <w:rFonts w:eastAsia="Times New Roman" w:cs="Arial"/>
                <w:color w:val="000000"/>
              </w:rPr>
              <w:t>4%</w:t>
            </w:r>
            <w:r w:rsidRPr="00D474C8">
              <w:rPr>
                <w:rFonts w:eastAsia="Times New Roman" w:cs="Arial"/>
                <w:color w:val="000000"/>
              </w:rPr>
              <w:t>)</w:t>
            </w:r>
          </w:p>
        </w:tc>
        <w:tc>
          <w:tcPr>
            <w:tcW w:w="391" w:type="pct"/>
            <w:vAlign w:val="center"/>
          </w:tcPr>
          <w:p w14:paraId="4805C3F0" w14:textId="77777777" w:rsidR="000042BF" w:rsidRPr="00D474C8" w:rsidRDefault="000042BF" w:rsidP="00D474C8">
            <w:pPr>
              <w:spacing w:line="276" w:lineRule="auto"/>
              <w:jc w:val="center"/>
              <w:rPr>
                <w:rFonts w:eastAsia="Times New Roman" w:cs="Arial"/>
                <w:b/>
                <w:color w:val="000000"/>
              </w:rPr>
            </w:pPr>
            <w:r w:rsidRPr="00D474C8">
              <w:rPr>
                <w:rFonts w:eastAsia="Times New Roman" w:cs="Arial"/>
                <w:b/>
                <w:color w:val="000000"/>
              </w:rPr>
              <w:t>9 (</w:t>
            </w:r>
            <w:r w:rsidR="00C825CF" w:rsidRPr="00D474C8">
              <w:rPr>
                <w:rFonts w:eastAsia="Times New Roman" w:cs="Arial"/>
                <w:b/>
                <w:color w:val="000000"/>
              </w:rPr>
              <w:t>9%</w:t>
            </w:r>
            <w:r w:rsidRPr="00D474C8">
              <w:rPr>
                <w:rFonts w:eastAsia="Times New Roman" w:cs="Arial"/>
                <w:b/>
                <w:color w:val="000000"/>
              </w:rPr>
              <w:t>)</w:t>
            </w:r>
          </w:p>
        </w:tc>
      </w:tr>
      <w:tr w:rsidR="000042BF" w:rsidRPr="00FE09B9" w14:paraId="21161538" w14:textId="77777777" w:rsidTr="00E244D8">
        <w:tc>
          <w:tcPr>
            <w:tcW w:w="703" w:type="pct"/>
            <w:vAlign w:val="center"/>
          </w:tcPr>
          <w:p w14:paraId="03C5F7CF" w14:textId="77777777" w:rsidR="000042BF" w:rsidRPr="002965F4" w:rsidRDefault="000042BF" w:rsidP="00F022A5">
            <w:pPr>
              <w:spacing w:line="276" w:lineRule="auto"/>
              <w:rPr>
                <w:rFonts w:cs="Arial"/>
              </w:rPr>
            </w:pPr>
            <w:r w:rsidRPr="00F022A5">
              <w:rPr>
                <w:rFonts w:cs="Arial"/>
              </w:rPr>
              <w:t xml:space="preserve">Any </w:t>
            </w:r>
            <w:r w:rsidR="00DF7745" w:rsidRPr="004F534C">
              <w:rPr>
                <w:rFonts w:cs="Arial"/>
              </w:rPr>
              <w:t>c</w:t>
            </w:r>
            <w:r w:rsidRPr="00092374">
              <w:rPr>
                <w:rFonts w:cs="Arial"/>
              </w:rPr>
              <w:t>o-morbidity</w:t>
            </w:r>
          </w:p>
        </w:tc>
        <w:tc>
          <w:tcPr>
            <w:tcW w:w="391" w:type="pct"/>
            <w:vAlign w:val="center"/>
          </w:tcPr>
          <w:p w14:paraId="5CC0643D" w14:textId="77777777" w:rsidR="000042BF" w:rsidRPr="00FE09B9" w:rsidRDefault="000042BF" w:rsidP="002965F4">
            <w:pPr>
              <w:spacing w:line="276" w:lineRule="auto"/>
              <w:jc w:val="center"/>
              <w:rPr>
                <w:rFonts w:cs="Arial"/>
                <w:b/>
              </w:rPr>
            </w:pPr>
            <w:r w:rsidRPr="00FE09B9">
              <w:rPr>
                <w:rFonts w:cs="Arial"/>
                <w:b/>
              </w:rPr>
              <w:t>35 (2</w:t>
            </w:r>
            <w:r w:rsidR="002132D9">
              <w:rPr>
                <w:rFonts w:cs="Arial"/>
                <w:b/>
              </w:rPr>
              <w:t>2</w:t>
            </w:r>
            <w:r>
              <w:rPr>
                <w:rFonts w:cs="Arial"/>
                <w:b/>
              </w:rPr>
              <w:t>%</w:t>
            </w:r>
            <w:r w:rsidRPr="00FE09B9">
              <w:rPr>
                <w:rFonts w:cs="Arial"/>
                <w:b/>
              </w:rPr>
              <w:t>)</w:t>
            </w:r>
          </w:p>
        </w:tc>
        <w:tc>
          <w:tcPr>
            <w:tcW w:w="500" w:type="pct"/>
            <w:vAlign w:val="center"/>
          </w:tcPr>
          <w:p w14:paraId="5BD26029" w14:textId="77777777" w:rsidR="000042BF" w:rsidRPr="00FE09B9" w:rsidRDefault="000042BF" w:rsidP="00D474C8">
            <w:pPr>
              <w:spacing w:line="276" w:lineRule="auto"/>
              <w:jc w:val="center"/>
              <w:rPr>
                <w:rFonts w:cs="Arial"/>
              </w:rPr>
            </w:pPr>
            <w:r w:rsidRPr="00FE09B9">
              <w:rPr>
                <w:rFonts w:cs="Arial"/>
              </w:rPr>
              <w:t>8 (40</w:t>
            </w:r>
            <w:r w:rsidR="002132D9">
              <w:rPr>
                <w:rFonts w:cs="Arial"/>
              </w:rPr>
              <w:t>%</w:t>
            </w:r>
            <w:r w:rsidRPr="00FE09B9">
              <w:rPr>
                <w:rFonts w:cs="Arial"/>
              </w:rPr>
              <w:t>)</w:t>
            </w:r>
          </w:p>
        </w:tc>
        <w:tc>
          <w:tcPr>
            <w:tcW w:w="500" w:type="pct"/>
            <w:vAlign w:val="center"/>
          </w:tcPr>
          <w:p w14:paraId="30BFE33B" w14:textId="77777777" w:rsidR="000042BF" w:rsidRPr="00FE09B9" w:rsidRDefault="000042BF" w:rsidP="00D474C8">
            <w:pPr>
              <w:spacing w:line="276" w:lineRule="auto"/>
              <w:jc w:val="center"/>
              <w:rPr>
                <w:rFonts w:cs="Arial"/>
              </w:rPr>
            </w:pPr>
            <w:r w:rsidRPr="00FE09B9">
              <w:rPr>
                <w:rFonts w:cs="Arial"/>
              </w:rPr>
              <w:t>5 (20</w:t>
            </w:r>
            <w:r w:rsidR="002132D9">
              <w:rPr>
                <w:rFonts w:cs="Arial"/>
              </w:rPr>
              <w:t>%</w:t>
            </w:r>
            <w:r w:rsidRPr="00FE09B9">
              <w:rPr>
                <w:rFonts w:cs="Arial"/>
              </w:rPr>
              <w:t>)</w:t>
            </w:r>
          </w:p>
        </w:tc>
        <w:tc>
          <w:tcPr>
            <w:tcW w:w="455" w:type="pct"/>
            <w:vAlign w:val="center"/>
          </w:tcPr>
          <w:p w14:paraId="4C7D1C35" w14:textId="77777777" w:rsidR="000042BF" w:rsidRPr="00FE09B9" w:rsidRDefault="000042BF" w:rsidP="00D474C8">
            <w:pPr>
              <w:spacing w:line="276" w:lineRule="auto"/>
              <w:jc w:val="center"/>
              <w:rPr>
                <w:rFonts w:cs="Arial"/>
              </w:rPr>
            </w:pPr>
            <w:r w:rsidRPr="00FE09B9">
              <w:rPr>
                <w:rFonts w:cs="Arial"/>
              </w:rPr>
              <w:t>6 (50</w:t>
            </w:r>
            <w:r w:rsidR="002132D9">
              <w:rPr>
                <w:rFonts w:cs="Arial"/>
              </w:rPr>
              <w:t>%</w:t>
            </w:r>
            <w:r w:rsidRPr="00FE09B9">
              <w:rPr>
                <w:rFonts w:cs="Arial"/>
              </w:rPr>
              <w:t>)</w:t>
            </w:r>
          </w:p>
        </w:tc>
        <w:tc>
          <w:tcPr>
            <w:tcW w:w="500" w:type="pct"/>
            <w:vAlign w:val="center"/>
          </w:tcPr>
          <w:p w14:paraId="76B00BEC" w14:textId="77777777" w:rsidR="000042BF" w:rsidRPr="00FE09B9" w:rsidRDefault="000042BF" w:rsidP="00D474C8">
            <w:pPr>
              <w:spacing w:line="276" w:lineRule="auto"/>
              <w:jc w:val="center"/>
              <w:rPr>
                <w:rFonts w:cs="Arial"/>
                <w:b/>
              </w:rPr>
            </w:pPr>
            <w:r w:rsidRPr="00FE09B9">
              <w:rPr>
                <w:rFonts w:cs="Arial"/>
                <w:b/>
              </w:rPr>
              <w:t>19 (33</w:t>
            </w:r>
            <w:r w:rsidR="002132D9">
              <w:rPr>
                <w:rFonts w:cs="Arial"/>
                <w:b/>
              </w:rPr>
              <w:t>%</w:t>
            </w:r>
            <w:r w:rsidRPr="00FE09B9">
              <w:rPr>
                <w:rFonts w:cs="Arial"/>
                <w:b/>
              </w:rPr>
              <w:t>)</w:t>
            </w:r>
          </w:p>
        </w:tc>
        <w:tc>
          <w:tcPr>
            <w:tcW w:w="573" w:type="pct"/>
            <w:gridSpan w:val="2"/>
            <w:vAlign w:val="center"/>
          </w:tcPr>
          <w:p w14:paraId="5AC64170" w14:textId="77777777" w:rsidR="000042BF" w:rsidRPr="00FE09B9" w:rsidRDefault="000042BF" w:rsidP="00D474C8">
            <w:pPr>
              <w:spacing w:line="276" w:lineRule="auto"/>
              <w:jc w:val="center"/>
              <w:rPr>
                <w:rFonts w:cs="Arial"/>
              </w:rPr>
            </w:pPr>
            <w:r w:rsidRPr="00FE09B9">
              <w:rPr>
                <w:rFonts w:cs="Arial"/>
              </w:rPr>
              <w:t>5 (14</w:t>
            </w:r>
            <w:r w:rsidR="002132D9">
              <w:rPr>
                <w:rFonts w:cs="Arial"/>
              </w:rPr>
              <w:t>%</w:t>
            </w:r>
            <w:r w:rsidRPr="00FE09B9">
              <w:rPr>
                <w:rFonts w:cs="Arial"/>
              </w:rPr>
              <w:t>)</w:t>
            </w:r>
          </w:p>
        </w:tc>
        <w:tc>
          <w:tcPr>
            <w:tcW w:w="472" w:type="pct"/>
            <w:vAlign w:val="center"/>
          </w:tcPr>
          <w:p w14:paraId="02C94453" w14:textId="77777777" w:rsidR="000042BF" w:rsidRPr="00FE09B9" w:rsidRDefault="000042BF" w:rsidP="00D474C8">
            <w:pPr>
              <w:spacing w:line="276" w:lineRule="auto"/>
              <w:jc w:val="center"/>
              <w:rPr>
                <w:rFonts w:cs="Arial"/>
              </w:rPr>
            </w:pPr>
            <w:r w:rsidRPr="00FE09B9">
              <w:rPr>
                <w:rFonts w:cs="Arial"/>
              </w:rPr>
              <w:t>4 (</w:t>
            </w:r>
            <w:r w:rsidR="002132D9">
              <w:rPr>
                <w:rFonts w:cs="Arial"/>
              </w:rPr>
              <w:t>10%</w:t>
            </w:r>
            <w:r w:rsidRPr="00FE09B9">
              <w:rPr>
                <w:rFonts w:cs="Arial"/>
              </w:rPr>
              <w:t>)</w:t>
            </w:r>
          </w:p>
        </w:tc>
        <w:tc>
          <w:tcPr>
            <w:tcW w:w="515" w:type="pct"/>
            <w:gridSpan w:val="2"/>
            <w:vAlign w:val="center"/>
          </w:tcPr>
          <w:p w14:paraId="7E4EE76F" w14:textId="77777777" w:rsidR="000042BF" w:rsidRPr="00FE09B9" w:rsidRDefault="000042BF" w:rsidP="00D474C8">
            <w:pPr>
              <w:spacing w:line="276" w:lineRule="auto"/>
              <w:jc w:val="center"/>
              <w:rPr>
                <w:rFonts w:cs="Arial"/>
              </w:rPr>
            </w:pPr>
            <w:r w:rsidRPr="00FE09B9">
              <w:rPr>
                <w:rFonts w:cs="Arial"/>
              </w:rPr>
              <w:t>7 (25</w:t>
            </w:r>
            <w:r w:rsidR="002132D9">
              <w:rPr>
                <w:rFonts w:cs="Arial"/>
              </w:rPr>
              <w:t>%</w:t>
            </w:r>
            <w:r w:rsidRPr="00FE09B9">
              <w:rPr>
                <w:rFonts w:cs="Arial"/>
              </w:rPr>
              <w:t>)</w:t>
            </w:r>
          </w:p>
        </w:tc>
        <w:tc>
          <w:tcPr>
            <w:tcW w:w="391" w:type="pct"/>
            <w:vAlign w:val="center"/>
          </w:tcPr>
          <w:p w14:paraId="341191E0" w14:textId="77777777" w:rsidR="000042BF" w:rsidRPr="00FE09B9" w:rsidRDefault="000042BF" w:rsidP="00D474C8">
            <w:pPr>
              <w:spacing w:line="276" w:lineRule="auto"/>
              <w:jc w:val="center"/>
              <w:rPr>
                <w:rFonts w:cs="Arial"/>
                <w:b/>
              </w:rPr>
            </w:pPr>
            <w:r w:rsidRPr="00FE09B9">
              <w:rPr>
                <w:rFonts w:cs="Arial"/>
                <w:b/>
              </w:rPr>
              <w:t>16 (15</w:t>
            </w:r>
            <w:r w:rsidR="002132D9">
              <w:rPr>
                <w:rFonts w:cs="Arial"/>
                <w:b/>
              </w:rPr>
              <w:t>%</w:t>
            </w:r>
            <w:r w:rsidRPr="00FE09B9">
              <w:rPr>
                <w:rFonts w:cs="Arial"/>
                <w:b/>
              </w:rPr>
              <w:t>)</w:t>
            </w:r>
            <w:r w:rsidR="002132D9">
              <w:rPr>
                <w:rFonts w:cs="Arial"/>
                <w:b/>
              </w:rPr>
              <w:t xml:space="preserve"> </w:t>
            </w:r>
            <w:r w:rsidR="00DF7745">
              <w:rPr>
                <w:rFonts w:cs="Arial"/>
                <w:b/>
              </w:rPr>
              <w:t>*</w:t>
            </w:r>
          </w:p>
        </w:tc>
      </w:tr>
      <w:tr w:rsidR="000042BF" w:rsidRPr="00FE09B9" w14:paraId="09169F6F" w14:textId="77777777" w:rsidTr="00D474C8">
        <w:tc>
          <w:tcPr>
            <w:tcW w:w="5000" w:type="pct"/>
            <w:gridSpan w:val="12"/>
            <w:vAlign w:val="center"/>
          </w:tcPr>
          <w:p w14:paraId="6738CCD3" w14:textId="77777777" w:rsidR="000042BF" w:rsidRPr="00D474C8" w:rsidRDefault="003F68F8" w:rsidP="002E37D2">
            <w:pPr>
              <w:spacing w:line="276" w:lineRule="auto"/>
              <w:rPr>
                <w:rFonts w:eastAsia="Times New Roman" w:cs="Arial"/>
                <w:b/>
                <w:color w:val="000000"/>
              </w:rPr>
            </w:pPr>
            <w:r w:rsidRPr="00D474C8">
              <w:rPr>
                <w:rFonts w:eastAsia="Times New Roman" w:cs="Arial"/>
                <w:b/>
                <w:color w:val="000000"/>
              </w:rPr>
              <w:t>Clinical Presentation</w:t>
            </w:r>
          </w:p>
        </w:tc>
      </w:tr>
      <w:tr w:rsidR="000042BF" w:rsidRPr="00FE09B9" w14:paraId="7D74A3E1" w14:textId="77777777" w:rsidTr="00E244D8">
        <w:tc>
          <w:tcPr>
            <w:tcW w:w="703" w:type="pct"/>
            <w:vAlign w:val="center"/>
          </w:tcPr>
          <w:p w14:paraId="43EF2490" w14:textId="77777777" w:rsidR="000042BF" w:rsidRPr="00D474C8" w:rsidRDefault="000042BF" w:rsidP="002E37D2">
            <w:pPr>
              <w:spacing w:line="276" w:lineRule="auto"/>
              <w:rPr>
                <w:rFonts w:cs="Arial"/>
              </w:rPr>
            </w:pPr>
            <w:r w:rsidRPr="00D474C8">
              <w:rPr>
                <w:rFonts w:cs="Arial"/>
              </w:rPr>
              <w:t xml:space="preserve">     Meningitis</w:t>
            </w:r>
          </w:p>
        </w:tc>
        <w:tc>
          <w:tcPr>
            <w:tcW w:w="391" w:type="pct"/>
            <w:vAlign w:val="center"/>
          </w:tcPr>
          <w:p w14:paraId="485A8DD7" w14:textId="77777777" w:rsidR="000042BF" w:rsidRPr="00D474C8" w:rsidRDefault="000042BF" w:rsidP="00F022A5">
            <w:pPr>
              <w:spacing w:line="276" w:lineRule="auto"/>
              <w:jc w:val="center"/>
              <w:rPr>
                <w:rFonts w:cs="Arial"/>
                <w:b/>
              </w:rPr>
            </w:pPr>
            <w:r w:rsidRPr="00D474C8">
              <w:rPr>
                <w:rFonts w:cs="Arial"/>
                <w:b/>
              </w:rPr>
              <w:t>36 (22%)</w:t>
            </w:r>
          </w:p>
        </w:tc>
        <w:tc>
          <w:tcPr>
            <w:tcW w:w="500" w:type="pct"/>
            <w:vAlign w:val="center"/>
          </w:tcPr>
          <w:p w14:paraId="55004FAA" w14:textId="77777777" w:rsidR="000042BF" w:rsidRPr="00D474C8" w:rsidRDefault="000042BF" w:rsidP="002965F4">
            <w:pPr>
              <w:spacing w:line="276" w:lineRule="auto"/>
              <w:jc w:val="center"/>
              <w:rPr>
                <w:rFonts w:cs="Arial"/>
              </w:rPr>
            </w:pPr>
            <w:r w:rsidRPr="00D474C8">
              <w:rPr>
                <w:rFonts w:cs="Arial"/>
              </w:rPr>
              <w:t>5 (25%)</w:t>
            </w:r>
          </w:p>
        </w:tc>
        <w:tc>
          <w:tcPr>
            <w:tcW w:w="500" w:type="pct"/>
            <w:vAlign w:val="center"/>
          </w:tcPr>
          <w:p w14:paraId="07FD0F71" w14:textId="77777777" w:rsidR="000042BF" w:rsidRPr="00D474C8" w:rsidRDefault="000042BF" w:rsidP="00D474C8">
            <w:pPr>
              <w:spacing w:line="276" w:lineRule="auto"/>
              <w:jc w:val="center"/>
              <w:rPr>
                <w:rFonts w:cs="Arial"/>
              </w:rPr>
            </w:pPr>
            <w:r w:rsidRPr="00D474C8">
              <w:rPr>
                <w:rFonts w:cs="Arial"/>
              </w:rPr>
              <w:t>7 (28%)</w:t>
            </w:r>
          </w:p>
        </w:tc>
        <w:tc>
          <w:tcPr>
            <w:tcW w:w="455" w:type="pct"/>
            <w:vAlign w:val="center"/>
          </w:tcPr>
          <w:p w14:paraId="12461DFF" w14:textId="77777777" w:rsidR="000042BF" w:rsidRPr="00D474C8" w:rsidRDefault="000042BF" w:rsidP="00D474C8">
            <w:pPr>
              <w:spacing w:line="276" w:lineRule="auto"/>
              <w:jc w:val="center"/>
              <w:rPr>
                <w:rFonts w:cs="Arial"/>
              </w:rPr>
            </w:pPr>
            <w:r w:rsidRPr="00D474C8">
              <w:rPr>
                <w:rFonts w:cs="Arial"/>
              </w:rPr>
              <w:t>4 (33%)</w:t>
            </w:r>
          </w:p>
        </w:tc>
        <w:tc>
          <w:tcPr>
            <w:tcW w:w="500" w:type="pct"/>
            <w:vAlign w:val="center"/>
          </w:tcPr>
          <w:p w14:paraId="26F97F1A" w14:textId="77777777" w:rsidR="000042BF" w:rsidRPr="00D474C8" w:rsidRDefault="000042BF" w:rsidP="00D474C8">
            <w:pPr>
              <w:spacing w:line="276" w:lineRule="auto"/>
              <w:jc w:val="center"/>
              <w:rPr>
                <w:rFonts w:cs="Arial"/>
                <w:b/>
              </w:rPr>
            </w:pPr>
            <w:r w:rsidRPr="00D474C8">
              <w:rPr>
                <w:rFonts w:cs="Arial"/>
                <w:b/>
              </w:rPr>
              <w:t>16 (28</w:t>
            </w:r>
            <w:r w:rsidR="00DF23FE" w:rsidRPr="00D474C8">
              <w:rPr>
                <w:rFonts w:cs="Arial"/>
                <w:b/>
              </w:rPr>
              <w:t>%</w:t>
            </w:r>
            <w:r w:rsidRPr="00D474C8">
              <w:rPr>
                <w:rFonts w:cs="Arial"/>
                <w:b/>
              </w:rPr>
              <w:t>)</w:t>
            </w:r>
          </w:p>
        </w:tc>
        <w:tc>
          <w:tcPr>
            <w:tcW w:w="500" w:type="pct"/>
            <w:vAlign w:val="center"/>
          </w:tcPr>
          <w:p w14:paraId="4C8DDC84" w14:textId="77777777" w:rsidR="000042BF" w:rsidRPr="00D474C8" w:rsidRDefault="000042BF" w:rsidP="00D474C8">
            <w:pPr>
              <w:spacing w:line="276" w:lineRule="auto"/>
              <w:jc w:val="center"/>
              <w:rPr>
                <w:rFonts w:cs="Arial"/>
              </w:rPr>
            </w:pPr>
            <w:r w:rsidRPr="00D474C8">
              <w:rPr>
                <w:rFonts w:cs="Arial"/>
              </w:rPr>
              <w:t>2 (6%)</w:t>
            </w:r>
          </w:p>
        </w:tc>
        <w:tc>
          <w:tcPr>
            <w:tcW w:w="545" w:type="pct"/>
            <w:gridSpan w:val="2"/>
            <w:vAlign w:val="center"/>
          </w:tcPr>
          <w:p w14:paraId="79518625" w14:textId="77777777" w:rsidR="000042BF" w:rsidRPr="00D474C8" w:rsidRDefault="000042BF" w:rsidP="00D474C8">
            <w:pPr>
              <w:spacing w:line="276" w:lineRule="auto"/>
              <w:jc w:val="center"/>
              <w:rPr>
                <w:rFonts w:cs="Arial"/>
              </w:rPr>
            </w:pPr>
            <w:r w:rsidRPr="00D474C8">
              <w:rPr>
                <w:rFonts w:cs="Arial"/>
              </w:rPr>
              <w:t>15 (37%)</w:t>
            </w:r>
          </w:p>
        </w:tc>
        <w:tc>
          <w:tcPr>
            <w:tcW w:w="455" w:type="pct"/>
            <w:vAlign w:val="center"/>
          </w:tcPr>
          <w:p w14:paraId="4794439C" w14:textId="77777777" w:rsidR="000042BF" w:rsidRPr="00D474C8" w:rsidRDefault="000042BF" w:rsidP="00D474C8">
            <w:pPr>
              <w:spacing w:line="276" w:lineRule="auto"/>
              <w:jc w:val="center"/>
              <w:rPr>
                <w:rFonts w:cs="Arial"/>
              </w:rPr>
            </w:pPr>
            <w:r w:rsidRPr="00D474C8">
              <w:rPr>
                <w:rFonts w:cs="Arial"/>
              </w:rPr>
              <w:t>3 (1</w:t>
            </w:r>
            <w:r w:rsidR="00BA0C9E" w:rsidRPr="00D474C8">
              <w:rPr>
                <w:rFonts w:cs="Arial"/>
              </w:rPr>
              <w:t>1%</w:t>
            </w:r>
            <w:r w:rsidRPr="00D474C8">
              <w:rPr>
                <w:rFonts w:cs="Arial"/>
              </w:rPr>
              <w:t>)</w:t>
            </w:r>
          </w:p>
        </w:tc>
        <w:tc>
          <w:tcPr>
            <w:tcW w:w="451" w:type="pct"/>
            <w:gridSpan w:val="2"/>
            <w:vAlign w:val="center"/>
          </w:tcPr>
          <w:p w14:paraId="1DF28F6A" w14:textId="77777777" w:rsidR="000042BF" w:rsidRPr="00D474C8" w:rsidRDefault="000042BF" w:rsidP="00D474C8">
            <w:pPr>
              <w:spacing w:line="276" w:lineRule="auto"/>
              <w:jc w:val="center"/>
              <w:rPr>
                <w:rFonts w:cs="Arial"/>
                <w:b/>
              </w:rPr>
            </w:pPr>
            <w:r w:rsidRPr="00D474C8">
              <w:rPr>
                <w:rFonts w:cs="Arial"/>
                <w:b/>
              </w:rPr>
              <w:t>20 (19</w:t>
            </w:r>
            <w:r w:rsidR="00F43679" w:rsidRPr="00D474C8">
              <w:rPr>
                <w:rFonts w:cs="Arial"/>
                <w:b/>
              </w:rPr>
              <w:t>%</w:t>
            </w:r>
            <w:r w:rsidRPr="00D474C8">
              <w:rPr>
                <w:rFonts w:cs="Arial"/>
                <w:b/>
              </w:rPr>
              <w:t>)</w:t>
            </w:r>
          </w:p>
        </w:tc>
      </w:tr>
      <w:tr w:rsidR="000042BF" w:rsidRPr="00FE09B9" w14:paraId="1D150F19" w14:textId="77777777" w:rsidTr="00E244D8">
        <w:tc>
          <w:tcPr>
            <w:tcW w:w="703" w:type="pct"/>
            <w:vAlign w:val="center"/>
          </w:tcPr>
          <w:p w14:paraId="7EBFEECA" w14:textId="77777777" w:rsidR="000042BF" w:rsidRPr="00D474C8" w:rsidRDefault="000042BF" w:rsidP="002E37D2">
            <w:pPr>
              <w:spacing w:line="276" w:lineRule="auto"/>
              <w:rPr>
                <w:rFonts w:cs="Arial"/>
              </w:rPr>
            </w:pPr>
            <w:r w:rsidRPr="00D474C8">
              <w:rPr>
                <w:rFonts w:cs="Arial"/>
              </w:rPr>
              <w:t xml:space="preserve">     LRTI</w:t>
            </w:r>
          </w:p>
        </w:tc>
        <w:tc>
          <w:tcPr>
            <w:tcW w:w="391" w:type="pct"/>
            <w:vAlign w:val="center"/>
          </w:tcPr>
          <w:p w14:paraId="2438A58F" w14:textId="77777777" w:rsidR="000042BF" w:rsidRPr="00D474C8" w:rsidRDefault="000042BF" w:rsidP="00F022A5">
            <w:pPr>
              <w:spacing w:line="276" w:lineRule="auto"/>
              <w:jc w:val="center"/>
              <w:rPr>
                <w:rFonts w:cs="Arial"/>
                <w:b/>
              </w:rPr>
            </w:pPr>
            <w:r w:rsidRPr="00D474C8">
              <w:rPr>
                <w:rFonts w:cs="Arial"/>
                <w:b/>
              </w:rPr>
              <w:t>72 (4</w:t>
            </w:r>
            <w:r w:rsidR="003F68F8" w:rsidRPr="00D474C8">
              <w:rPr>
                <w:rFonts w:cs="Arial"/>
                <w:b/>
              </w:rPr>
              <w:t>5</w:t>
            </w:r>
            <w:r w:rsidRPr="00D474C8">
              <w:rPr>
                <w:rFonts w:cs="Arial"/>
                <w:b/>
              </w:rPr>
              <w:t>%)</w:t>
            </w:r>
          </w:p>
        </w:tc>
        <w:tc>
          <w:tcPr>
            <w:tcW w:w="500" w:type="pct"/>
            <w:vAlign w:val="center"/>
          </w:tcPr>
          <w:p w14:paraId="2C342143" w14:textId="77777777" w:rsidR="000042BF" w:rsidRPr="00D474C8" w:rsidRDefault="000042BF" w:rsidP="002965F4">
            <w:pPr>
              <w:spacing w:line="276" w:lineRule="auto"/>
              <w:jc w:val="center"/>
              <w:rPr>
                <w:rFonts w:cs="Arial"/>
              </w:rPr>
            </w:pPr>
            <w:r w:rsidRPr="00D474C8">
              <w:rPr>
                <w:rFonts w:cs="Arial"/>
              </w:rPr>
              <w:t>5 (25%)</w:t>
            </w:r>
          </w:p>
        </w:tc>
        <w:tc>
          <w:tcPr>
            <w:tcW w:w="500" w:type="pct"/>
            <w:vAlign w:val="center"/>
          </w:tcPr>
          <w:p w14:paraId="66ECD7A9" w14:textId="77777777" w:rsidR="000042BF" w:rsidRPr="00D474C8" w:rsidRDefault="000042BF" w:rsidP="002E37D2">
            <w:pPr>
              <w:spacing w:line="276" w:lineRule="auto"/>
              <w:jc w:val="center"/>
              <w:rPr>
                <w:rFonts w:cs="Arial"/>
              </w:rPr>
            </w:pPr>
            <w:r w:rsidRPr="00D474C8">
              <w:rPr>
                <w:rFonts w:cs="Arial"/>
              </w:rPr>
              <w:t>5 (20%)</w:t>
            </w:r>
          </w:p>
        </w:tc>
        <w:tc>
          <w:tcPr>
            <w:tcW w:w="455" w:type="pct"/>
            <w:vAlign w:val="center"/>
          </w:tcPr>
          <w:p w14:paraId="271A63CF" w14:textId="77777777" w:rsidR="000042BF" w:rsidRPr="00D474C8" w:rsidRDefault="000042BF" w:rsidP="00F022A5">
            <w:pPr>
              <w:spacing w:line="276" w:lineRule="auto"/>
              <w:jc w:val="center"/>
              <w:rPr>
                <w:rFonts w:cs="Arial"/>
              </w:rPr>
            </w:pPr>
            <w:r w:rsidRPr="00D474C8">
              <w:rPr>
                <w:rFonts w:cs="Arial"/>
              </w:rPr>
              <w:t>2 (17%)</w:t>
            </w:r>
          </w:p>
        </w:tc>
        <w:tc>
          <w:tcPr>
            <w:tcW w:w="500" w:type="pct"/>
            <w:vAlign w:val="center"/>
          </w:tcPr>
          <w:p w14:paraId="3A73C7E1" w14:textId="77777777" w:rsidR="000042BF" w:rsidRPr="00D474C8" w:rsidRDefault="000042BF" w:rsidP="002965F4">
            <w:pPr>
              <w:spacing w:line="276" w:lineRule="auto"/>
              <w:jc w:val="center"/>
              <w:rPr>
                <w:rFonts w:cs="Arial"/>
                <w:b/>
              </w:rPr>
            </w:pPr>
            <w:r w:rsidRPr="00D474C8">
              <w:rPr>
                <w:rFonts w:cs="Arial"/>
                <w:b/>
              </w:rPr>
              <w:t>1</w:t>
            </w:r>
            <w:r w:rsidR="00DF23FE" w:rsidRPr="00D474C8">
              <w:rPr>
                <w:rFonts w:cs="Arial"/>
                <w:b/>
              </w:rPr>
              <w:t>2</w:t>
            </w:r>
            <w:r w:rsidRPr="00D474C8">
              <w:rPr>
                <w:rFonts w:cs="Arial"/>
                <w:b/>
              </w:rPr>
              <w:t xml:space="preserve"> (</w:t>
            </w:r>
            <w:r w:rsidR="00DF23FE" w:rsidRPr="00D474C8">
              <w:rPr>
                <w:rFonts w:cs="Arial"/>
                <w:b/>
              </w:rPr>
              <w:t>21%</w:t>
            </w:r>
            <w:r w:rsidRPr="00D474C8">
              <w:rPr>
                <w:rFonts w:cs="Arial"/>
                <w:b/>
              </w:rPr>
              <w:t>)</w:t>
            </w:r>
          </w:p>
        </w:tc>
        <w:tc>
          <w:tcPr>
            <w:tcW w:w="500" w:type="pct"/>
            <w:vAlign w:val="center"/>
          </w:tcPr>
          <w:p w14:paraId="06C7C7C0" w14:textId="77777777" w:rsidR="000042BF" w:rsidRPr="00D474C8" w:rsidRDefault="000042BF" w:rsidP="00D474C8">
            <w:pPr>
              <w:spacing w:line="276" w:lineRule="auto"/>
              <w:jc w:val="center"/>
              <w:rPr>
                <w:rFonts w:cs="Arial"/>
              </w:rPr>
            </w:pPr>
            <w:r w:rsidRPr="00D474C8">
              <w:rPr>
                <w:rFonts w:cs="Arial"/>
              </w:rPr>
              <w:t>28 (80%)</w:t>
            </w:r>
          </w:p>
        </w:tc>
        <w:tc>
          <w:tcPr>
            <w:tcW w:w="545" w:type="pct"/>
            <w:gridSpan w:val="2"/>
            <w:vAlign w:val="center"/>
          </w:tcPr>
          <w:p w14:paraId="3946CF64" w14:textId="77777777" w:rsidR="000042BF" w:rsidRPr="00D474C8" w:rsidRDefault="000042BF" w:rsidP="00D474C8">
            <w:pPr>
              <w:spacing w:line="276" w:lineRule="auto"/>
              <w:jc w:val="center"/>
              <w:rPr>
                <w:rFonts w:cs="Arial"/>
              </w:rPr>
            </w:pPr>
            <w:r w:rsidRPr="00D474C8">
              <w:rPr>
                <w:rFonts w:cs="Arial"/>
              </w:rPr>
              <w:t>13 (32%)</w:t>
            </w:r>
          </w:p>
        </w:tc>
        <w:tc>
          <w:tcPr>
            <w:tcW w:w="455" w:type="pct"/>
            <w:vAlign w:val="center"/>
          </w:tcPr>
          <w:p w14:paraId="6C8F0378" w14:textId="77777777" w:rsidR="000042BF" w:rsidRPr="00D474C8" w:rsidRDefault="000042BF" w:rsidP="00D474C8">
            <w:pPr>
              <w:spacing w:line="276" w:lineRule="auto"/>
              <w:jc w:val="center"/>
              <w:rPr>
                <w:rFonts w:cs="Arial"/>
              </w:rPr>
            </w:pPr>
            <w:r w:rsidRPr="00D474C8">
              <w:rPr>
                <w:rFonts w:cs="Arial"/>
              </w:rPr>
              <w:t>19 (68</w:t>
            </w:r>
            <w:r w:rsidR="00BA0C9E" w:rsidRPr="00D474C8">
              <w:rPr>
                <w:rFonts w:cs="Arial"/>
              </w:rPr>
              <w:t>%</w:t>
            </w:r>
            <w:r w:rsidRPr="00D474C8">
              <w:rPr>
                <w:rFonts w:cs="Arial"/>
              </w:rPr>
              <w:t>)</w:t>
            </w:r>
          </w:p>
        </w:tc>
        <w:tc>
          <w:tcPr>
            <w:tcW w:w="451" w:type="pct"/>
            <w:gridSpan w:val="2"/>
            <w:vAlign w:val="center"/>
          </w:tcPr>
          <w:p w14:paraId="4585121F" w14:textId="77777777" w:rsidR="000042BF" w:rsidRPr="00D474C8" w:rsidRDefault="000042BF" w:rsidP="00D474C8">
            <w:pPr>
              <w:spacing w:line="276" w:lineRule="auto"/>
              <w:jc w:val="center"/>
              <w:rPr>
                <w:rFonts w:cs="Arial"/>
                <w:b/>
              </w:rPr>
            </w:pPr>
            <w:r w:rsidRPr="00D474C8">
              <w:rPr>
                <w:rFonts w:cs="Arial"/>
                <w:b/>
              </w:rPr>
              <w:t>6</w:t>
            </w:r>
            <w:r w:rsidR="00887357" w:rsidRPr="00D474C8">
              <w:rPr>
                <w:rFonts w:cs="Arial"/>
                <w:b/>
              </w:rPr>
              <w:t>0</w:t>
            </w:r>
            <w:r w:rsidRPr="00D474C8">
              <w:rPr>
                <w:rFonts w:cs="Arial"/>
                <w:b/>
              </w:rPr>
              <w:t xml:space="preserve"> (58</w:t>
            </w:r>
            <w:r w:rsidR="00887357" w:rsidRPr="00D474C8">
              <w:rPr>
                <w:rFonts w:cs="Arial"/>
                <w:b/>
              </w:rPr>
              <w:t>%</w:t>
            </w:r>
            <w:r w:rsidRPr="00D474C8">
              <w:rPr>
                <w:rFonts w:cs="Arial"/>
                <w:b/>
              </w:rPr>
              <w:t>)</w:t>
            </w:r>
            <w:r w:rsidR="00F43679" w:rsidRPr="00D474C8">
              <w:rPr>
                <w:rFonts w:cs="Arial"/>
                <w:b/>
              </w:rPr>
              <w:t xml:space="preserve"> *</w:t>
            </w:r>
          </w:p>
        </w:tc>
      </w:tr>
      <w:tr w:rsidR="000042BF" w:rsidRPr="00FE09B9" w14:paraId="6662D7EC" w14:textId="77777777" w:rsidTr="00E244D8">
        <w:tc>
          <w:tcPr>
            <w:tcW w:w="703" w:type="pct"/>
            <w:vAlign w:val="center"/>
          </w:tcPr>
          <w:p w14:paraId="4BF0F1C5" w14:textId="77777777" w:rsidR="000042BF" w:rsidRPr="00D474C8" w:rsidRDefault="000042BF" w:rsidP="002E37D2">
            <w:pPr>
              <w:spacing w:line="276" w:lineRule="auto"/>
              <w:rPr>
                <w:rFonts w:cs="Arial"/>
              </w:rPr>
            </w:pPr>
            <w:r w:rsidRPr="00D474C8">
              <w:rPr>
                <w:rFonts w:cs="Arial"/>
              </w:rPr>
              <w:t xml:space="preserve">     Septicaemia</w:t>
            </w:r>
          </w:p>
        </w:tc>
        <w:tc>
          <w:tcPr>
            <w:tcW w:w="391" w:type="pct"/>
            <w:vAlign w:val="center"/>
          </w:tcPr>
          <w:p w14:paraId="7577FB8A" w14:textId="77777777" w:rsidR="000042BF" w:rsidRPr="00D474C8" w:rsidRDefault="000042BF" w:rsidP="00F022A5">
            <w:pPr>
              <w:spacing w:line="276" w:lineRule="auto"/>
              <w:jc w:val="center"/>
              <w:rPr>
                <w:rFonts w:cs="Arial"/>
                <w:b/>
              </w:rPr>
            </w:pPr>
            <w:r w:rsidRPr="00D474C8">
              <w:rPr>
                <w:rFonts w:cs="Arial"/>
                <w:b/>
              </w:rPr>
              <w:t>47 (29%)</w:t>
            </w:r>
          </w:p>
        </w:tc>
        <w:tc>
          <w:tcPr>
            <w:tcW w:w="500" w:type="pct"/>
            <w:vAlign w:val="center"/>
          </w:tcPr>
          <w:p w14:paraId="16F9C955" w14:textId="77777777" w:rsidR="000042BF" w:rsidRPr="00D474C8" w:rsidRDefault="000042BF" w:rsidP="002965F4">
            <w:pPr>
              <w:spacing w:line="276" w:lineRule="auto"/>
              <w:jc w:val="center"/>
              <w:rPr>
                <w:rFonts w:cs="Arial"/>
              </w:rPr>
            </w:pPr>
            <w:r w:rsidRPr="00D474C8">
              <w:rPr>
                <w:rFonts w:cs="Arial"/>
              </w:rPr>
              <w:t>9 (45%)</w:t>
            </w:r>
          </w:p>
        </w:tc>
        <w:tc>
          <w:tcPr>
            <w:tcW w:w="500" w:type="pct"/>
            <w:vAlign w:val="center"/>
          </w:tcPr>
          <w:p w14:paraId="07AD8073" w14:textId="77777777" w:rsidR="000042BF" w:rsidRPr="00D474C8" w:rsidRDefault="000042BF" w:rsidP="002E37D2">
            <w:pPr>
              <w:spacing w:line="276" w:lineRule="auto"/>
              <w:jc w:val="center"/>
              <w:rPr>
                <w:rFonts w:cs="Arial"/>
              </w:rPr>
            </w:pPr>
            <w:r w:rsidRPr="00D474C8">
              <w:rPr>
                <w:rFonts w:cs="Arial"/>
              </w:rPr>
              <w:t>12 (48%)</w:t>
            </w:r>
          </w:p>
        </w:tc>
        <w:tc>
          <w:tcPr>
            <w:tcW w:w="455" w:type="pct"/>
            <w:vAlign w:val="center"/>
          </w:tcPr>
          <w:p w14:paraId="26256298" w14:textId="77777777" w:rsidR="000042BF" w:rsidRPr="00D474C8" w:rsidRDefault="000042BF" w:rsidP="002E37D2">
            <w:pPr>
              <w:spacing w:line="276" w:lineRule="auto"/>
              <w:jc w:val="center"/>
              <w:rPr>
                <w:rFonts w:cs="Arial"/>
              </w:rPr>
            </w:pPr>
            <w:r w:rsidRPr="00D474C8">
              <w:rPr>
                <w:rFonts w:cs="Arial"/>
              </w:rPr>
              <w:t>6 (50%)</w:t>
            </w:r>
          </w:p>
        </w:tc>
        <w:tc>
          <w:tcPr>
            <w:tcW w:w="500" w:type="pct"/>
            <w:vAlign w:val="center"/>
          </w:tcPr>
          <w:p w14:paraId="03441825" w14:textId="77777777" w:rsidR="000042BF" w:rsidRPr="00D474C8" w:rsidRDefault="000042BF" w:rsidP="00F022A5">
            <w:pPr>
              <w:spacing w:line="276" w:lineRule="auto"/>
              <w:jc w:val="center"/>
              <w:rPr>
                <w:rFonts w:cs="Arial"/>
                <w:b/>
              </w:rPr>
            </w:pPr>
            <w:r w:rsidRPr="00D474C8">
              <w:rPr>
                <w:rFonts w:cs="Arial"/>
                <w:b/>
              </w:rPr>
              <w:t>27 (4</w:t>
            </w:r>
            <w:r w:rsidR="00DF23FE" w:rsidRPr="00D474C8">
              <w:rPr>
                <w:rFonts w:cs="Arial"/>
                <w:b/>
              </w:rPr>
              <w:t>7%</w:t>
            </w:r>
            <w:r w:rsidRPr="00D474C8">
              <w:rPr>
                <w:rFonts w:cs="Arial"/>
                <w:b/>
              </w:rPr>
              <w:t>)</w:t>
            </w:r>
          </w:p>
        </w:tc>
        <w:tc>
          <w:tcPr>
            <w:tcW w:w="500" w:type="pct"/>
            <w:vAlign w:val="center"/>
          </w:tcPr>
          <w:p w14:paraId="665EFC63" w14:textId="77777777" w:rsidR="000042BF" w:rsidRPr="00D474C8" w:rsidRDefault="000042BF" w:rsidP="002965F4">
            <w:pPr>
              <w:spacing w:line="276" w:lineRule="auto"/>
              <w:jc w:val="center"/>
              <w:rPr>
                <w:rFonts w:cs="Arial"/>
              </w:rPr>
            </w:pPr>
            <w:r w:rsidRPr="00D474C8">
              <w:rPr>
                <w:rFonts w:cs="Arial"/>
              </w:rPr>
              <w:t>4 (11%)</w:t>
            </w:r>
          </w:p>
        </w:tc>
        <w:tc>
          <w:tcPr>
            <w:tcW w:w="545" w:type="pct"/>
            <w:gridSpan w:val="2"/>
            <w:vAlign w:val="center"/>
          </w:tcPr>
          <w:p w14:paraId="65053D9A" w14:textId="77777777" w:rsidR="000042BF" w:rsidRPr="00D474C8" w:rsidRDefault="000042BF" w:rsidP="00D474C8">
            <w:pPr>
              <w:spacing w:line="276" w:lineRule="auto"/>
              <w:jc w:val="center"/>
              <w:rPr>
                <w:rFonts w:cs="Arial"/>
              </w:rPr>
            </w:pPr>
            <w:r w:rsidRPr="00D474C8">
              <w:rPr>
                <w:rFonts w:cs="Arial"/>
              </w:rPr>
              <w:t>11 (27%)</w:t>
            </w:r>
          </w:p>
        </w:tc>
        <w:tc>
          <w:tcPr>
            <w:tcW w:w="455" w:type="pct"/>
            <w:vAlign w:val="center"/>
          </w:tcPr>
          <w:p w14:paraId="15193369" w14:textId="77777777" w:rsidR="000042BF" w:rsidRPr="00D474C8" w:rsidRDefault="000042BF" w:rsidP="00D474C8">
            <w:pPr>
              <w:spacing w:line="276" w:lineRule="auto"/>
              <w:jc w:val="center"/>
              <w:rPr>
                <w:rFonts w:cs="Arial"/>
              </w:rPr>
            </w:pPr>
            <w:r w:rsidRPr="00D474C8">
              <w:rPr>
                <w:rFonts w:cs="Arial"/>
              </w:rPr>
              <w:t>5 (1</w:t>
            </w:r>
            <w:r w:rsidR="00BA0C9E" w:rsidRPr="00D474C8">
              <w:rPr>
                <w:rFonts w:cs="Arial"/>
              </w:rPr>
              <w:t>8%</w:t>
            </w:r>
            <w:r w:rsidRPr="00D474C8">
              <w:rPr>
                <w:rFonts w:cs="Arial"/>
              </w:rPr>
              <w:t>)</w:t>
            </w:r>
          </w:p>
        </w:tc>
        <w:tc>
          <w:tcPr>
            <w:tcW w:w="451" w:type="pct"/>
            <w:gridSpan w:val="2"/>
            <w:vAlign w:val="center"/>
          </w:tcPr>
          <w:p w14:paraId="02D5FD4B" w14:textId="77777777" w:rsidR="000042BF" w:rsidRPr="00D474C8" w:rsidRDefault="000042BF" w:rsidP="00D474C8">
            <w:pPr>
              <w:spacing w:line="276" w:lineRule="auto"/>
              <w:jc w:val="center"/>
              <w:rPr>
                <w:rFonts w:cs="Arial"/>
                <w:b/>
              </w:rPr>
            </w:pPr>
            <w:r w:rsidRPr="00D474C8">
              <w:rPr>
                <w:rFonts w:cs="Arial"/>
                <w:b/>
              </w:rPr>
              <w:t>20 (19</w:t>
            </w:r>
            <w:r w:rsidR="00887357" w:rsidRPr="00D474C8">
              <w:rPr>
                <w:rFonts w:cs="Arial"/>
                <w:b/>
              </w:rPr>
              <w:t>%</w:t>
            </w:r>
            <w:r w:rsidRPr="00D474C8">
              <w:rPr>
                <w:rFonts w:cs="Arial"/>
                <w:b/>
              </w:rPr>
              <w:t>)</w:t>
            </w:r>
            <w:r w:rsidR="00887357" w:rsidRPr="00D474C8">
              <w:rPr>
                <w:rFonts w:cs="Arial"/>
                <w:b/>
              </w:rPr>
              <w:t xml:space="preserve"> *</w:t>
            </w:r>
          </w:p>
        </w:tc>
      </w:tr>
      <w:tr w:rsidR="000042BF" w:rsidRPr="00FE09B9" w14:paraId="23D3B95A" w14:textId="77777777" w:rsidTr="00E244D8">
        <w:tc>
          <w:tcPr>
            <w:tcW w:w="703" w:type="pct"/>
            <w:vAlign w:val="center"/>
          </w:tcPr>
          <w:p w14:paraId="790262FB" w14:textId="77777777" w:rsidR="000042BF" w:rsidRPr="00D474C8" w:rsidRDefault="000042BF" w:rsidP="002E37D2">
            <w:pPr>
              <w:spacing w:line="276" w:lineRule="auto"/>
              <w:rPr>
                <w:rFonts w:eastAsia="Times New Roman" w:cs="Arial"/>
                <w:color w:val="000000"/>
              </w:rPr>
            </w:pPr>
            <w:r w:rsidRPr="00D474C8">
              <w:rPr>
                <w:rFonts w:eastAsia="Times New Roman" w:cs="Arial"/>
                <w:color w:val="000000"/>
              </w:rPr>
              <w:t xml:space="preserve">     Other</w:t>
            </w:r>
          </w:p>
        </w:tc>
        <w:tc>
          <w:tcPr>
            <w:tcW w:w="391" w:type="pct"/>
            <w:vAlign w:val="center"/>
          </w:tcPr>
          <w:p w14:paraId="6B9C3DC1" w14:textId="77777777" w:rsidR="000042BF" w:rsidRPr="00D474C8" w:rsidRDefault="000042BF" w:rsidP="00F022A5">
            <w:pPr>
              <w:spacing w:line="276" w:lineRule="auto"/>
              <w:jc w:val="center"/>
              <w:rPr>
                <w:rFonts w:eastAsia="Times New Roman" w:cs="Arial"/>
                <w:b/>
                <w:color w:val="000000"/>
              </w:rPr>
            </w:pPr>
            <w:r w:rsidRPr="00D474C8">
              <w:rPr>
                <w:rFonts w:eastAsia="Times New Roman" w:cs="Arial"/>
                <w:b/>
                <w:color w:val="000000"/>
              </w:rPr>
              <w:t>6 (</w:t>
            </w:r>
            <w:r w:rsidR="003F68F8" w:rsidRPr="00D474C8">
              <w:rPr>
                <w:rFonts w:eastAsia="Times New Roman" w:cs="Arial"/>
                <w:b/>
                <w:color w:val="000000"/>
              </w:rPr>
              <w:t>4</w:t>
            </w:r>
            <w:r w:rsidRPr="00D474C8">
              <w:rPr>
                <w:rFonts w:eastAsia="Times New Roman" w:cs="Arial"/>
                <w:b/>
                <w:color w:val="000000"/>
              </w:rPr>
              <w:t>%)</w:t>
            </w:r>
          </w:p>
        </w:tc>
        <w:tc>
          <w:tcPr>
            <w:tcW w:w="500" w:type="pct"/>
            <w:vAlign w:val="center"/>
          </w:tcPr>
          <w:p w14:paraId="63F9F7A4" w14:textId="77777777" w:rsidR="000042BF" w:rsidRPr="00D474C8" w:rsidRDefault="000042BF" w:rsidP="002965F4">
            <w:pPr>
              <w:spacing w:line="276" w:lineRule="auto"/>
              <w:jc w:val="center"/>
              <w:rPr>
                <w:rFonts w:eastAsia="Times New Roman" w:cs="Arial"/>
                <w:color w:val="000000"/>
              </w:rPr>
            </w:pPr>
            <w:r w:rsidRPr="00D474C8">
              <w:rPr>
                <w:rFonts w:eastAsia="Times New Roman" w:cs="Arial"/>
                <w:color w:val="000000"/>
              </w:rPr>
              <w:t>1 (5%)</w:t>
            </w:r>
          </w:p>
        </w:tc>
        <w:tc>
          <w:tcPr>
            <w:tcW w:w="500" w:type="pct"/>
            <w:vAlign w:val="center"/>
          </w:tcPr>
          <w:p w14:paraId="079E4964" w14:textId="77777777" w:rsidR="000042BF" w:rsidRPr="00D474C8" w:rsidRDefault="000042BF" w:rsidP="00D474C8">
            <w:pPr>
              <w:spacing w:line="276" w:lineRule="auto"/>
              <w:jc w:val="center"/>
              <w:rPr>
                <w:rFonts w:eastAsia="Times New Roman" w:cs="Arial"/>
                <w:color w:val="000000"/>
              </w:rPr>
            </w:pPr>
            <w:r w:rsidRPr="00D474C8">
              <w:rPr>
                <w:rFonts w:eastAsia="Times New Roman" w:cs="Arial"/>
                <w:color w:val="000000"/>
              </w:rPr>
              <w:t>1 (4%)</w:t>
            </w:r>
          </w:p>
        </w:tc>
        <w:tc>
          <w:tcPr>
            <w:tcW w:w="455" w:type="pct"/>
            <w:vAlign w:val="center"/>
          </w:tcPr>
          <w:p w14:paraId="5E7229A3" w14:textId="77777777" w:rsidR="000042BF" w:rsidRPr="00D474C8" w:rsidRDefault="000042BF" w:rsidP="002E37D2">
            <w:pPr>
              <w:spacing w:line="276" w:lineRule="auto"/>
              <w:jc w:val="center"/>
              <w:rPr>
                <w:rFonts w:eastAsia="Times New Roman" w:cs="Arial"/>
                <w:color w:val="000000"/>
              </w:rPr>
            </w:pPr>
            <w:r w:rsidRPr="00D474C8">
              <w:rPr>
                <w:rFonts w:eastAsia="Times New Roman" w:cs="Arial"/>
                <w:color w:val="000000"/>
              </w:rPr>
              <w:t>-</w:t>
            </w:r>
          </w:p>
        </w:tc>
        <w:tc>
          <w:tcPr>
            <w:tcW w:w="500" w:type="pct"/>
            <w:vAlign w:val="center"/>
          </w:tcPr>
          <w:p w14:paraId="5CB447C7" w14:textId="77777777" w:rsidR="000042BF" w:rsidRPr="00D474C8" w:rsidRDefault="00DF23FE" w:rsidP="002E37D2">
            <w:pPr>
              <w:spacing w:line="276" w:lineRule="auto"/>
              <w:jc w:val="center"/>
              <w:rPr>
                <w:rFonts w:eastAsia="Times New Roman" w:cs="Arial"/>
                <w:b/>
                <w:color w:val="000000"/>
              </w:rPr>
            </w:pPr>
            <w:r w:rsidRPr="00D474C8">
              <w:rPr>
                <w:rFonts w:eastAsia="Times New Roman" w:cs="Arial"/>
                <w:b/>
                <w:color w:val="000000"/>
              </w:rPr>
              <w:t>2 4%</w:t>
            </w:r>
            <w:r w:rsidR="000042BF" w:rsidRPr="00D474C8">
              <w:rPr>
                <w:rFonts w:eastAsia="Times New Roman" w:cs="Arial"/>
                <w:b/>
                <w:color w:val="000000"/>
              </w:rPr>
              <w:t>)</w:t>
            </w:r>
          </w:p>
        </w:tc>
        <w:tc>
          <w:tcPr>
            <w:tcW w:w="500" w:type="pct"/>
            <w:vAlign w:val="center"/>
          </w:tcPr>
          <w:p w14:paraId="0B3276E9" w14:textId="77777777" w:rsidR="000042BF" w:rsidRPr="00D474C8" w:rsidRDefault="000042BF" w:rsidP="00F022A5">
            <w:pPr>
              <w:spacing w:line="276" w:lineRule="auto"/>
              <w:jc w:val="center"/>
              <w:rPr>
                <w:rFonts w:eastAsia="Times New Roman" w:cs="Arial"/>
                <w:color w:val="000000"/>
              </w:rPr>
            </w:pPr>
            <w:r w:rsidRPr="00D474C8">
              <w:rPr>
                <w:rFonts w:eastAsia="Times New Roman" w:cs="Arial"/>
                <w:color w:val="000000"/>
              </w:rPr>
              <w:t>1 (3%)</w:t>
            </w:r>
          </w:p>
        </w:tc>
        <w:tc>
          <w:tcPr>
            <w:tcW w:w="545" w:type="pct"/>
            <w:gridSpan w:val="2"/>
            <w:vAlign w:val="center"/>
          </w:tcPr>
          <w:p w14:paraId="2A08856A" w14:textId="77777777" w:rsidR="000042BF" w:rsidRPr="00D474C8" w:rsidRDefault="000042BF" w:rsidP="002965F4">
            <w:pPr>
              <w:spacing w:line="276" w:lineRule="auto"/>
              <w:jc w:val="center"/>
              <w:rPr>
                <w:rFonts w:eastAsia="Times New Roman" w:cs="Arial"/>
                <w:color w:val="000000"/>
              </w:rPr>
            </w:pPr>
            <w:r w:rsidRPr="00D474C8">
              <w:rPr>
                <w:rFonts w:eastAsia="Times New Roman" w:cs="Arial"/>
                <w:color w:val="000000"/>
              </w:rPr>
              <w:t>2 (5%)</w:t>
            </w:r>
          </w:p>
        </w:tc>
        <w:tc>
          <w:tcPr>
            <w:tcW w:w="455" w:type="pct"/>
            <w:vAlign w:val="center"/>
          </w:tcPr>
          <w:p w14:paraId="23F2F2E6" w14:textId="77777777" w:rsidR="000042BF" w:rsidRPr="00D474C8" w:rsidRDefault="000042BF" w:rsidP="00D474C8">
            <w:pPr>
              <w:spacing w:line="276" w:lineRule="auto"/>
              <w:jc w:val="center"/>
              <w:rPr>
                <w:rFonts w:eastAsia="Times New Roman" w:cs="Arial"/>
                <w:color w:val="000000"/>
              </w:rPr>
            </w:pPr>
            <w:r w:rsidRPr="00D474C8">
              <w:rPr>
                <w:rFonts w:eastAsia="Times New Roman" w:cs="Arial"/>
                <w:color w:val="000000"/>
              </w:rPr>
              <w:t>1 (</w:t>
            </w:r>
            <w:r w:rsidR="00BA0C9E" w:rsidRPr="00D474C8">
              <w:rPr>
                <w:rFonts w:eastAsia="Times New Roman" w:cs="Arial"/>
                <w:color w:val="000000"/>
              </w:rPr>
              <w:t>4%</w:t>
            </w:r>
            <w:r w:rsidRPr="00D474C8">
              <w:rPr>
                <w:rFonts w:eastAsia="Times New Roman" w:cs="Arial"/>
                <w:color w:val="000000"/>
              </w:rPr>
              <w:t>)</w:t>
            </w:r>
          </w:p>
        </w:tc>
        <w:tc>
          <w:tcPr>
            <w:tcW w:w="451" w:type="pct"/>
            <w:gridSpan w:val="2"/>
            <w:vAlign w:val="center"/>
          </w:tcPr>
          <w:p w14:paraId="3A5D2EA8" w14:textId="77777777" w:rsidR="000042BF" w:rsidRPr="00D474C8" w:rsidRDefault="00622D1E" w:rsidP="00D474C8">
            <w:pPr>
              <w:spacing w:line="276" w:lineRule="auto"/>
              <w:jc w:val="center"/>
              <w:rPr>
                <w:rFonts w:eastAsia="Times New Roman" w:cs="Arial"/>
                <w:b/>
                <w:color w:val="000000"/>
              </w:rPr>
            </w:pPr>
            <w:r w:rsidRPr="00D474C8">
              <w:rPr>
                <w:rFonts w:eastAsia="Times New Roman" w:cs="Arial"/>
                <w:b/>
                <w:color w:val="000000"/>
              </w:rPr>
              <w:t>4</w:t>
            </w:r>
            <w:r w:rsidR="000042BF" w:rsidRPr="00D474C8">
              <w:rPr>
                <w:rFonts w:eastAsia="Times New Roman" w:cs="Arial"/>
                <w:b/>
                <w:color w:val="000000"/>
              </w:rPr>
              <w:t xml:space="preserve"> (</w:t>
            </w:r>
            <w:r w:rsidRPr="00D474C8">
              <w:rPr>
                <w:rFonts w:eastAsia="Times New Roman" w:cs="Arial"/>
                <w:b/>
                <w:color w:val="000000"/>
              </w:rPr>
              <w:t>4%</w:t>
            </w:r>
            <w:r w:rsidR="000042BF" w:rsidRPr="00D474C8">
              <w:rPr>
                <w:rFonts w:eastAsia="Times New Roman" w:cs="Arial"/>
                <w:b/>
                <w:color w:val="000000"/>
              </w:rPr>
              <w:t>)</w:t>
            </w:r>
          </w:p>
        </w:tc>
      </w:tr>
      <w:tr w:rsidR="000042BF" w:rsidRPr="00FE09B9" w14:paraId="4E20460B" w14:textId="77777777" w:rsidTr="00E244D8">
        <w:tc>
          <w:tcPr>
            <w:tcW w:w="703" w:type="pct"/>
            <w:vAlign w:val="center"/>
          </w:tcPr>
          <w:p w14:paraId="0C7A6EC4" w14:textId="77777777" w:rsidR="000042BF" w:rsidRPr="00D474C8" w:rsidRDefault="000042BF" w:rsidP="002E37D2">
            <w:pPr>
              <w:spacing w:line="276" w:lineRule="auto"/>
              <w:rPr>
                <w:rFonts w:eastAsia="Times New Roman" w:cs="Arial"/>
                <w:b/>
                <w:color w:val="000000"/>
              </w:rPr>
            </w:pPr>
            <w:r w:rsidRPr="00D474C8">
              <w:rPr>
                <w:rFonts w:eastAsia="Times New Roman" w:cs="Arial"/>
                <w:b/>
                <w:color w:val="000000"/>
              </w:rPr>
              <w:t>2</w:t>
            </w:r>
            <w:r w:rsidRPr="00D474C8">
              <w:rPr>
                <w:rFonts w:eastAsia="Times New Roman" w:cs="Arial"/>
                <w:b/>
                <w:color w:val="000000"/>
                <w:vertAlign w:val="superscript"/>
              </w:rPr>
              <w:t>nd</w:t>
            </w:r>
            <w:r w:rsidRPr="00D474C8">
              <w:rPr>
                <w:rFonts w:eastAsia="Times New Roman" w:cs="Arial"/>
                <w:b/>
                <w:color w:val="000000"/>
              </w:rPr>
              <w:t xml:space="preserve"> episode</w:t>
            </w:r>
          </w:p>
        </w:tc>
        <w:tc>
          <w:tcPr>
            <w:tcW w:w="391" w:type="pct"/>
            <w:vAlign w:val="center"/>
          </w:tcPr>
          <w:p w14:paraId="4FF80A1A" w14:textId="77777777" w:rsidR="000042BF" w:rsidRPr="00D474C8" w:rsidRDefault="003F68F8" w:rsidP="002E37D2">
            <w:pPr>
              <w:spacing w:line="276" w:lineRule="auto"/>
              <w:jc w:val="center"/>
              <w:rPr>
                <w:rFonts w:eastAsia="Times New Roman" w:cs="Arial"/>
                <w:b/>
                <w:color w:val="000000"/>
              </w:rPr>
            </w:pPr>
            <w:r w:rsidRPr="00D474C8">
              <w:rPr>
                <w:rFonts w:eastAsia="Times New Roman" w:cs="Arial"/>
                <w:b/>
                <w:color w:val="000000"/>
              </w:rPr>
              <w:t>2 (1</w:t>
            </w:r>
            <w:r w:rsidR="000042BF" w:rsidRPr="00D474C8">
              <w:rPr>
                <w:rFonts w:eastAsia="Times New Roman" w:cs="Arial"/>
                <w:b/>
                <w:color w:val="000000"/>
              </w:rPr>
              <w:t>%)</w:t>
            </w:r>
          </w:p>
        </w:tc>
        <w:tc>
          <w:tcPr>
            <w:tcW w:w="500" w:type="pct"/>
            <w:vAlign w:val="center"/>
          </w:tcPr>
          <w:p w14:paraId="79A86A6C" w14:textId="77777777" w:rsidR="000042BF" w:rsidRPr="00D474C8" w:rsidRDefault="000042BF" w:rsidP="002E37D2">
            <w:pPr>
              <w:spacing w:line="276" w:lineRule="auto"/>
              <w:jc w:val="center"/>
              <w:rPr>
                <w:rFonts w:eastAsia="Times New Roman" w:cs="Arial"/>
                <w:color w:val="000000"/>
              </w:rPr>
            </w:pPr>
            <w:r w:rsidRPr="00D474C8">
              <w:rPr>
                <w:rFonts w:eastAsia="Times New Roman" w:cs="Arial"/>
                <w:color w:val="000000"/>
              </w:rPr>
              <w:t>-</w:t>
            </w:r>
          </w:p>
        </w:tc>
        <w:tc>
          <w:tcPr>
            <w:tcW w:w="500" w:type="pct"/>
            <w:vAlign w:val="center"/>
          </w:tcPr>
          <w:p w14:paraId="4D07AF6A" w14:textId="77777777" w:rsidR="000042BF" w:rsidRPr="00D474C8" w:rsidRDefault="000042BF" w:rsidP="002E37D2">
            <w:pPr>
              <w:spacing w:line="276" w:lineRule="auto"/>
              <w:jc w:val="center"/>
              <w:rPr>
                <w:rFonts w:eastAsia="Times New Roman" w:cs="Arial"/>
                <w:color w:val="000000"/>
              </w:rPr>
            </w:pPr>
            <w:r>
              <w:rPr>
                <w:rFonts w:eastAsia="Times New Roman" w:cs="Arial"/>
                <w:color w:val="000000"/>
              </w:rPr>
              <w:t>-</w:t>
            </w:r>
          </w:p>
        </w:tc>
        <w:tc>
          <w:tcPr>
            <w:tcW w:w="455" w:type="pct"/>
            <w:vAlign w:val="center"/>
          </w:tcPr>
          <w:p w14:paraId="3AE14ADA" w14:textId="77777777" w:rsidR="000042BF" w:rsidRPr="00D474C8" w:rsidRDefault="000042BF" w:rsidP="002E37D2">
            <w:pPr>
              <w:spacing w:line="276" w:lineRule="auto"/>
              <w:jc w:val="center"/>
              <w:rPr>
                <w:rFonts w:eastAsia="Times New Roman" w:cs="Arial"/>
                <w:color w:val="000000"/>
              </w:rPr>
            </w:pPr>
            <w:r w:rsidRPr="00D474C8">
              <w:rPr>
                <w:rFonts w:eastAsia="Times New Roman" w:cs="Arial"/>
                <w:color w:val="000000"/>
              </w:rPr>
              <w:t>1 (8.3)</w:t>
            </w:r>
          </w:p>
        </w:tc>
        <w:tc>
          <w:tcPr>
            <w:tcW w:w="500" w:type="pct"/>
            <w:vAlign w:val="center"/>
          </w:tcPr>
          <w:p w14:paraId="700162C3" w14:textId="77777777" w:rsidR="000042BF" w:rsidRPr="00D474C8" w:rsidRDefault="00DF23FE" w:rsidP="002E37D2">
            <w:pPr>
              <w:spacing w:line="276" w:lineRule="auto"/>
              <w:jc w:val="center"/>
              <w:rPr>
                <w:rFonts w:eastAsia="Times New Roman" w:cs="Arial"/>
                <w:b/>
                <w:color w:val="000000"/>
              </w:rPr>
            </w:pPr>
            <w:r w:rsidRPr="00D474C8">
              <w:rPr>
                <w:rFonts w:eastAsia="Times New Roman" w:cs="Arial"/>
                <w:b/>
                <w:color w:val="000000"/>
              </w:rPr>
              <w:t>1 (2%</w:t>
            </w:r>
            <w:r w:rsidR="000042BF" w:rsidRPr="00D474C8">
              <w:rPr>
                <w:rFonts w:eastAsia="Times New Roman" w:cs="Arial"/>
                <w:b/>
                <w:color w:val="000000"/>
              </w:rPr>
              <w:t>)</w:t>
            </w:r>
          </w:p>
        </w:tc>
        <w:tc>
          <w:tcPr>
            <w:tcW w:w="500" w:type="pct"/>
            <w:vAlign w:val="center"/>
          </w:tcPr>
          <w:p w14:paraId="0036BD51" w14:textId="77777777" w:rsidR="000042BF" w:rsidRPr="00D474C8" w:rsidRDefault="000042BF" w:rsidP="002E37D2">
            <w:pPr>
              <w:spacing w:line="276" w:lineRule="auto"/>
              <w:jc w:val="center"/>
              <w:rPr>
                <w:rFonts w:eastAsia="Times New Roman" w:cs="Arial"/>
                <w:color w:val="000000"/>
              </w:rPr>
            </w:pPr>
            <w:r w:rsidRPr="00D474C8">
              <w:rPr>
                <w:rFonts w:eastAsia="Times New Roman" w:cs="Arial"/>
                <w:color w:val="000000"/>
              </w:rPr>
              <w:t>-</w:t>
            </w:r>
          </w:p>
        </w:tc>
        <w:tc>
          <w:tcPr>
            <w:tcW w:w="545" w:type="pct"/>
            <w:gridSpan w:val="2"/>
            <w:vAlign w:val="center"/>
          </w:tcPr>
          <w:p w14:paraId="4F09843F" w14:textId="77777777" w:rsidR="000042BF" w:rsidRPr="00D474C8" w:rsidRDefault="000042BF" w:rsidP="002E37D2">
            <w:pPr>
              <w:spacing w:line="276" w:lineRule="auto"/>
              <w:jc w:val="center"/>
              <w:rPr>
                <w:rFonts w:eastAsia="Times New Roman" w:cs="Arial"/>
                <w:color w:val="000000"/>
              </w:rPr>
            </w:pPr>
            <w:r w:rsidRPr="00D474C8">
              <w:rPr>
                <w:rFonts w:eastAsia="Times New Roman" w:cs="Arial"/>
                <w:color w:val="000000"/>
              </w:rPr>
              <w:t>-</w:t>
            </w:r>
          </w:p>
        </w:tc>
        <w:tc>
          <w:tcPr>
            <w:tcW w:w="455" w:type="pct"/>
            <w:vAlign w:val="center"/>
          </w:tcPr>
          <w:p w14:paraId="3B234B17" w14:textId="77777777" w:rsidR="000042BF" w:rsidRPr="00D474C8" w:rsidRDefault="00BA0C9E" w:rsidP="002E37D2">
            <w:pPr>
              <w:spacing w:line="276" w:lineRule="auto"/>
              <w:jc w:val="center"/>
              <w:rPr>
                <w:rFonts w:eastAsia="Times New Roman" w:cs="Arial"/>
                <w:color w:val="000000"/>
              </w:rPr>
            </w:pPr>
            <w:r w:rsidRPr="00D474C8">
              <w:rPr>
                <w:rFonts w:eastAsia="Times New Roman" w:cs="Arial"/>
                <w:color w:val="000000"/>
              </w:rPr>
              <w:t>1 (4%</w:t>
            </w:r>
            <w:r w:rsidR="000042BF" w:rsidRPr="00D474C8">
              <w:rPr>
                <w:rFonts w:eastAsia="Times New Roman" w:cs="Arial"/>
                <w:color w:val="000000"/>
              </w:rPr>
              <w:t>)</w:t>
            </w:r>
          </w:p>
        </w:tc>
        <w:tc>
          <w:tcPr>
            <w:tcW w:w="451" w:type="pct"/>
            <w:gridSpan w:val="2"/>
            <w:vAlign w:val="center"/>
          </w:tcPr>
          <w:p w14:paraId="5404904A" w14:textId="77777777" w:rsidR="000042BF" w:rsidRPr="00D474C8" w:rsidRDefault="00622D1E" w:rsidP="002E37D2">
            <w:pPr>
              <w:spacing w:line="276" w:lineRule="auto"/>
              <w:jc w:val="center"/>
              <w:rPr>
                <w:rFonts w:eastAsia="Times New Roman" w:cs="Arial"/>
                <w:b/>
                <w:color w:val="000000"/>
              </w:rPr>
            </w:pPr>
            <w:r w:rsidRPr="00D474C8">
              <w:rPr>
                <w:rFonts w:eastAsia="Times New Roman" w:cs="Arial"/>
                <w:b/>
                <w:color w:val="000000"/>
              </w:rPr>
              <w:t>1 (1%</w:t>
            </w:r>
            <w:r w:rsidR="000042BF" w:rsidRPr="00D474C8">
              <w:rPr>
                <w:rFonts w:eastAsia="Times New Roman" w:cs="Arial"/>
                <w:b/>
                <w:color w:val="000000"/>
              </w:rPr>
              <w:t>)</w:t>
            </w:r>
          </w:p>
        </w:tc>
      </w:tr>
      <w:tr w:rsidR="000042BF" w:rsidRPr="00FE09B9" w14:paraId="52F17615" w14:textId="77777777" w:rsidTr="00E244D8">
        <w:tc>
          <w:tcPr>
            <w:tcW w:w="703" w:type="pct"/>
            <w:vAlign w:val="center"/>
          </w:tcPr>
          <w:p w14:paraId="472BE1B2" w14:textId="77777777" w:rsidR="000042BF" w:rsidRPr="00FE09B9" w:rsidRDefault="000042BF" w:rsidP="002E37D2">
            <w:pPr>
              <w:spacing w:line="276" w:lineRule="auto"/>
              <w:rPr>
                <w:rFonts w:cs="Arial"/>
                <w:b/>
              </w:rPr>
            </w:pPr>
            <w:r w:rsidRPr="00FE09B9">
              <w:rPr>
                <w:rFonts w:cs="Arial"/>
                <w:b/>
              </w:rPr>
              <w:t>Died</w:t>
            </w:r>
          </w:p>
        </w:tc>
        <w:tc>
          <w:tcPr>
            <w:tcW w:w="391" w:type="pct"/>
            <w:vAlign w:val="center"/>
          </w:tcPr>
          <w:p w14:paraId="797E515D" w14:textId="77777777" w:rsidR="000042BF" w:rsidRPr="00FE09B9" w:rsidRDefault="000042BF" w:rsidP="00F022A5">
            <w:pPr>
              <w:spacing w:line="276" w:lineRule="auto"/>
              <w:jc w:val="center"/>
              <w:rPr>
                <w:rFonts w:cs="Arial"/>
                <w:b/>
              </w:rPr>
            </w:pPr>
            <w:r w:rsidRPr="00FE09B9">
              <w:rPr>
                <w:rFonts w:cs="Arial"/>
                <w:b/>
              </w:rPr>
              <w:t>6 (</w:t>
            </w:r>
            <w:r w:rsidR="000C2734">
              <w:rPr>
                <w:rFonts w:cs="Arial"/>
                <w:b/>
              </w:rPr>
              <w:t>4%</w:t>
            </w:r>
            <w:r w:rsidRPr="00FE09B9">
              <w:rPr>
                <w:rFonts w:cs="Arial"/>
                <w:b/>
              </w:rPr>
              <w:t>)</w:t>
            </w:r>
          </w:p>
        </w:tc>
        <w:tc>
          <w:tcPr>
            <w:tcW w:w="500" w:type="pct"/>
            <w:vAlign w:val="center"/>
          </w:tcPr>
          <w:p w14:paraId="7E04459B" w14:textId="77777777" w:rsidR="000042BF" w:rsidRPr="002965F4" w:rsidRDefault="000042BF" w:rsidP="004F534C">
            <w:pPr>
              <w:spacing w:line="276" w:lineRule="auto"/>
              <w:jc w:val="center"/>
              <w:rPr>
                <w:rFonts w:cs="Arial"/>
              </w:rPr>
            </w:pPr>
            <w:r w:rsidRPr="00F022A5">
              <w:rPr>
                <w:rFonts w:cs="Arial"/>
              </w:rPr>
              <w:t>1 (5</w:t>
            </w:r>
            <w:r w:rsidRPr="004F534C">
              <w:rPr>
                <w:rFonts w:cs="Arial"/>
              </w:rPr>
              <w:t>%</w:t>
            </w:r>
            <w:r w:rsidRPr="00092374">
              <w:rPr>
                <w:rFonts w:cs="Arial"/>
              </w:rPr>
              <w:t>)</w:t>
            </w:r>
          </w:p>
        </w:tc>
        <w:tc>
          <w:tcPr>
            <w:tcW w:w="500" w:type="pct"/>
            <w:vAlign w:val="center"/>
          </w:tcPr>
          <w:p w14:paraId="04EF5003" w14:textId="77777777" w:rsidR="000042BF" w:rsidRPr="002965F4" w:rsidRDefault="000042BF" w:rsidP="002965F4">
            <w:pPr>
              <w:spacing w:line="276" w:lineRule="auto"/>
              <w:jc w:val="center"/>
              <w:rPr>
                <w:rFonts w:cs="Arial"/>
              </w:rPr>
            </w:pPr>
            <w:r w:rsidRPr="002965F4">
              <w:rPr>
                <w:rFonts w:cs="Arial"/>
              </w:rPr>
              <w:t>1 (4%)</w:t>
            </w:r>
          </w:p>
        </w:tc>
        <w:tc>
          <w:tcPr>
            <w:tcW w:w="455" w:type="pct"/>
            <w:vAlign w:val="center"/>
          </w:tcPr>
          <w:p w14:paraId="6BDD2A93" w14:textId="77777777" w:rsidR="000042BF" w:rsidRPr="00FE09B9" w:rsidRDefault="000042BF" w:rsidP="00D474C8">
            <w:pPr>
              <w:spacing w:line="276" w:lineRule="auto"/>
              <w:jc w:val="center"/>
              <w:rPr>
                <w:rFonts w:cs="Arial"/>
              </w:rPr>
            </w:pPr>
            <w:r>
              <w:rPr>
                <w:rFonts w:cs="Arial"/>
              </w:rPr>
              <w:t>-</w:t>
            </w:r>
          </w:p>
        </w:tc>
        <w:tc>
          <w:tcPr>
            <w:tcW w:w="500" w:type="pct"/>
            <w:vAlign w:val="center"/>
          </w:tcPr>
          <w:p w14:paraId="1EB73F0B" w14:textId="77777777" w:rsidR="000042BF" w:rsidRPr="002965F4" w:rsidRDefault="000C2734" w:rsidP="002E37D2">
            <w:pPr>
              <w:spacing w:line="276" w:lineRule="auto"/>
              <w:jc w:val="center"/>
              <w:rPr>
                <w:rFonts w:cs="Arial"/>
                <w:b/>
              </w:rPr>
            </w:pPr>
            <w:r w:rsidRPr="00F022A5">
              <w:rPr>
                <w:rFonts w:cs="Arial"/>
                <w:b/>
              </w:rPr>
              <w:t>2 (</w:t>
            </w:r>
            <w:r w:rsidRPr="004F534C">
              <w:rPr>
                <w:rFonts w:cs="Arial"/>
                <w:b/>
              </w:rPr>
              <w:t>4%</w:t>
            </w:r>
            <w:r w:rsidR="000042BF" w:rsidRPr="00092374">
              <w:rPr>
                <w:rFonts w:cs="Arial"/>
                <w:b/>
              </w:rPr>
              <w:t>)</w:t>
            </w:r>
          </w:p>
        </w:tc>
        <w:tc>
          <w:tcPr>
            <w:tcW w:w="500" w:type="pct"/>
            <w:vAlign w:val="center"/>
          </w:tcPr>
          <w:p w14:paraId="76FA435D" w14:textId="77777777" w:rsidR="000042BF" w:rsidRPr="00FE09B9" w:rsidRDefault="000042BF" w:rsidP="00F022A5">
            <w:pPr>
              <w:spacing w:line="276" w:lineRule="auto"/>
              <w:jc w:val="center"/>
              <w:rPr>
                <w:rFonts w:cs="Arial"/>
              </w:rPr>
            </w:pPr>
            <w:r w:rsidRPr="00FE09B9">
              <w:rPr>
                <w:rFonts w:cs="Arial"/>
              </w:rPr>
              <w:t>2 (</w:t>
            </w:r>
            <w:r>
              <w:rPr>
                <w:rFonts w:cs="Arial"/>
              </w:rPr>
              <w:t>6%</w:t>
            </w:r>
            <w:r w:rsidRPr="00FE09B9">
              <w:rPr>
                <w:rFonts w:cs="Arial"/>
              </w:rPr>
              <w:t>)</w:t>
            </w:r>
          </w:p>
        </w:tc>
        <w:tc>
          <w:tcPr>
            <w:tcW w:w="545" w:type="pct"/>
            <w:gridSpan w:val="2"/>
            <w:vAlign w:val="center"/>
          </w:tcPr>
          <w:p w14:paraId="79F733BA" w14:textId="77777777" w:rsidR="000042BF" w:rsidRPr="00FE09B9" w:rsidRDefault="000042BF" w:rsidP="002965F4">
            <w:pPr>
              <w:spacing w:line="276" w:lineRule="auto"/>
              <w:jc w:val="center"/>
              <w:rPr>
                <w:rFonts w:cs="Arial"/>
              </w:rPr>
            </w:pPr>
            <w:r w:rsidRPr="00FE09B9">
              <w:rPr>
                <w:rFonts w:cs="Arial"/>
              </w:rPr>
              <w:t>1 (2</w:t>
            </w:r>
            <w:r>
              <w:rPr>
                <w:rFonts w:cs="Arial"/>
              </w:rPr>
              <w:t>%</w:t>
            </w:r>
            <w:r w:rsidRPr="00FE09B9">
              <w:rPr>
                <w:rFonts w:cs="Arial"/>
              </w:rPr>
              <w:t>)</w:t>
            </w:r>
          </w:p>
        </w:tc>
        <w:tc>
          <w:tcPr>
            <w:tcW w:w="455" w:type="pct"/>
            <w:vAlign w:val="center"/>
          </w:tcPr>
          <w:p w14:paraId="1B886AF9" w14:textId="77777777" w:rsidR="000042BF" w:rsidRPr="002965F4" w:rsidRDefault="00BA0C9E" w:rsidP="002E37D2">
            <w:pPr>
              <w:spacing w:line="276" w:lineRule="auto"/>
              <w:jc w:val="center"/>
              <w:rPr>
                <w:rFonts w:cs="Arial"/>
              </w:rPr>
            </w:pPr>
            <w:r w:rsidRPr="00F022A5">
              <w:rPr>
                <w:rFonts w:cs="Arial"/>
              </w:rPr>
              <w:t>1 (</w:t>
            </w:r>
            <w:r w:rsidRPr="004F534C">
              <w:rPr>
                <w:rFonts w:cs="Arial"/>
              </w:rPr>
              <w:t>4%</w:t>
            </w:r>
            <w:r w:rsidR="000042BF" w:rsidRPr="00092374">
              <w:rPr>
                <w:rFonts w:cs="Arial"/>
              </w:rPr>
              <w:t>)</w:t>
            </w:r>
          </w:p>
        </w:tc>
        <w:tc>
          <w:tcPr>
            <w:tcW w:w="451" w:type="pct"/>
            <w:gridSpan w:val="2"/>
            <w:vAlign w:val="center"/>
          </w:tcPr>
          <w:p w14:paraId="5B7C846F" w14:textId="77777777" w:rsidR="000042BF" w:rsidRPr="00FE09B9" w:rsidRDefault="000042BF" w:rsidP="00F022A5">
            <w:pPr>
              <w:spacing w:line="276" w:lineRule="auto"/>
              <w:jc w:val="center"/>
              <w:rPr>
                <w:rFonts w:cs="Arial"/>
                <w:b/>
              </w:rPr>
            </w:pPr>
            <w:r w:rsidRPr="00FE09B9">
              <w:rPr>
                <w:rFonts w:cs="Arial"/>
                <w:b/>
              </w:rPr>
              <w:t>4 (</w:t>
            </w:r>
            <w:r w:rsidR="00162B33">
              <w:rPr>
                <w:rFonts w:cs="Arial"/>
                <w:b/>
              </w:rPr>
              <w:t>4%</w:t>
            </w:r>
            <w:r w:rsidRPr="00FE09B9">
              <w:rPr>
                <w:rFonts w:cs="Arial"/>
                <w:b/>
              </w:rPr>
              <w:t xml:space="preserve">) </w:t>
            </w:r>
          </w:p>
        </w:tc>
      </w:tr>
    </w:tbl>
    <w:p w14:paraId="144BE2B7" w14:textId="77777777" w:rsidR="003B5832" w:rsidRDefault="00F43679" w:rsidP="00D474C8">
      <w:pPr>
        <w:spacing w:after="0" w:line="360" w:lineRule="auto"/>
        <w:jc w:val="both"/>
        <w:rPr>
          <w:rFonts w:ascii="Arial" w:hAnsi="Arial" w:cs="Arial"/>
          <w:b/>
          <w:color w:val="000000" w:themeColor="text1"/>
        </w:rPr>
      </w:pPr>
      <w:r>
        <w:rPr>
          <w:rFonts w:ascii="Arial" w:eastAsia="Times New Roman" w:hAnsi="Arial" w:cs="Arial"/>
          <w:i/>
          <w:color w:val="000000"/>
          <w:szCs w:val="24"/>
        </w:rPr>
        <w:t>*</w:t>
      </w:r>
      <w:r w:rsidR="006718AF">
        <w:rPr>
          <w:rFonts w:ascii="Arial" w:eastAsia="Times New Roman" w:hAnsi="Arial" w:cs="Arial"/>
          <w:i/>
          <w:color w:val="000000"/>
          <w:szCs w:val="24"/>
        </w:rPr>
        <w:t xml:space="preserve"> P</w:t>
      </w:r>
      <w:r>
        <w:rPr>
          <w:rFonts w:ascii="Arial" w:eastAsia="Times New Roman" w:hAnsi="Arial" w:cs="Arial"/>
          <w:i/>
          <w:color w:val="000000"/>
          <w:szCs w:val="24"/>
        </w:rPr>
        <w:t>&lt;0.01 (pr</w:t>
      </w:r>
      <w:r w:rsidR="003B5832" w:rsidRPr="00F267E3">
        <w:rPr>
          <w:rFonts w:ascii="Arial" w:eastAsia="Times New Roman" w:hAnsi="Arial" w:cs="Arial"/>
          <w:i/>
          <w:color w:val="000000"/>
          <w:szCs w:val="24"/>
        </w:rPr>
        <w:t xml:space="preserve">oportions were compared </w:t>
      </w:r>
      <w:r w:rsidR="00B16350" w:rsidRPr="00F267E3">
        <w:rPr>
          <w:rFonts w:ascii="Arial" w:eastAsia="Times New Roman" w:hAnsi="Arial" w:cs="Arial"/>
          <w:i/>
          <w:color w:val="000000"/>
          <w:szCs w:val="24"/>
        </w:rPr>
        <w:t xml:space="preserve">using the </w:t>
      </w:r>
      <w:r w:rsidR="00B16350" w:rsidRPr="00F267E3">
        <w:rPr>
          <w:rFonts w:ascii="Symbol" w:eastAsia="Times New Roman" w:hAnsi="Symbol" w:cs="Arial"/>
          <w:i/>
          <w:color w:val="000000"/>
          <w:szCs w:val="24"/>
        </w:rPr>
        <w:t></w:t>
      </w:r>
      <w:r w:rsidR="00B16350" w:rsidRPr="00F267E3">
        <w:rPr>
          <w:rFonts w:ascii="Arial" w:eastAsia="Times New Roman" w:hAnsi="Arial" w:cs="Arial"/>
          <w:i/>
          <w:color w:val="000000"/>
          <w:szCs w:val="24"/>
        </w:rPr>
        <w:t xml:space="preserve">2-test </w:t>
      </w:r>
      <w:r w:rsidR="003B5832" w:rsidRPr="00F267E3">
        <w:rPr>
          <w:rFonts w:ascii="Arial" w:eastAsia="Times New Roman" w:hAnsi="Arial" w:cs="Arial"/>
          <w:i/>
          <w:color w:val="000000"/>
          <w:szCs w:val="24"/>
        </w:rPr>
        <w:t>between cases eligible for PCV7 only and those eligible for ≥1 PCV13</w:t>
      </w:r>
      <w:r>
        <w:rPr>
          <w:rFonts w:ascii="Arial" w:eastAsia="Times New Roman" w:hAnsi="Arial" w:cs="Arial"/>
          <w:i/>
          <w:color w:val="000000"/>
          <w:szCs w:val="24"/>
        </w:rPr>
        <w:t>)</w:t>
      </w:r>
    </w:p>
    <w:p w14:paraId="4274D2BB" w14:textId="2932856E" w:rsidR="00E03B8D" w:rsidRPr="00FB49B7" w:rsidRDefault="00E03B8D" w:rsidP="001522F3">
      <w:pPr>
        <w:rPr>
          <w:rFonts w:ascii="Arial" w:hAnsi="Arial" w:cs="Arial"/>
          <w:b/>
          <w:sz w:val="20"/>
        </w:rPr>
      </w:pPr>
    </w:p>
    <w:sectPr w:rsidR="00E03B8D" w:rsidRPr="00FB49B7" w:rsidSect="00BE2C5E">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AB7D8" w14:textId="77777777" w:rsidR="006C43B5" w:rsidRDefault="006C43B5" w:rsidP="002F728C">
      <w:pPr>
        <w:spacing w:after="0" w:line="240" w:lineRule="auto"/>
      </w:pPr>
      <w:r>
        <w:separator/>
      </w:r>
    </w:p>
  </w:endnote>
  <w:endnote w:type="continuationSeparator" w:id="0">
    <w:p w14:paraId="503DC70E" w14:textId="77777777" w:rsidR="006C43B5" w:rsidRDefault="006C43B5" w:rsidP="002F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42368" w14:textId="77777777" w:rsidR="006C43B5" w:rsidRDefault="006C43B5" w:rsidP="002F728C">
      <w:pPr>
        <w:spacing w:after="0" w:line="240" w:lineRule="auto"/>
      </w:pPr>
      <w:r>
        <w:separator/>
      </w:r>
    </w:p>
  </w:footnote>
  <w:footnote w:type="continuationSeparator" w:id="0">
    <w:p w14:paraId="3984EEAA" w14:textId="77777777" w:rsidR="006C43B5" w:rsidRDefault="006C43B5" w:rsidP="002F7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386476"/>
    <w:multiLevelType w:val="hybridMultilevel"/>
    <w:tmpl w:val="AE883584"/>
    <w:lvl w:ilvl="0" w:tplc="96746AF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3502DB"/>
    <w:multiLevelType w:val="hybridMultilevel"/>
    <w:tmpl w:val="FBD22FC2"/>
    <w:lvl w:ilvl="0" w:tplc="B27E03A4">
      <w:start w:val="1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Infectious Diseases&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xppfvvjfas5yeas2cx599btv52trewxvr5&quot;&gt;IPD&lt;record-ids&gt;&lt;item&gt;2&lt;/item&gt;&lt;item&gt;3&lt;/item&gt;&lt;item&gt;4&lt;/item&gt;&lt;item&gt;6&lt;/item&gt;&lt;item&gt;8&lt;/item&gt;&lt;item&gt;36&lt;/item&gt;&lt;item&gt;37&lt;/item&gt;&lt;item&gt;38&lt;/item&gt;&lt;item&gt;42&lt;/item&gt;&lt;item&gt;43&lt;/item&gt;&lt;item&gt;44&lt;/item&gt;&lt;item&gt;45&lt;/item&gt;&lt;item&gt;47&lt;/item&gt;&lt;item&gt;48&lt;/item&gt;&lt;item&gt;49&lt;/item&gt;&lt;item&gt;50&lt;/item&gt;&lt;item&gt;51&lt;/item&gt;&lt;/record-ids&gt;&lt;/item&gt;&lt;/Libraries&gt;"/>
    <w:docVar w:name="REFMGR.Layout" w:val="&lt;ENLayout&gt;&lt;Style&gt;F:\References\AA CIDedited.os&lt;/Style&gt;&lt;LeftDelim&gt;{&lt;/LeftDelim&gt;&lt;RightDelim&gt;}&lt;/RightDelim&gt;&lt;FontName&gt;Calibri&lt;/FontName&gt;&lt;FontSize&gt;11&lt;/FontSize&gt;&lt;ReflistTitle&gt;References&lt;/ReflistTitle&gt;&lt;StartingRefnum&gt;1&lt;/StartingRefnum&gt;&lt;FirstLineIndent&gt;0&lt;/FirstLineIndent&gt;&lt;HangingIndent&gt;0&lt;/HangingIndent&gt;&lt;LineSpacing&gt;2&lt;/LineSpacing&gt;&lt;SpaceAfter&gt;3&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Pneumococcal_RM12&lt;/item&gt;&lt;item&gt;Hib_sep09_RM12&lt;/item&gt;&lt;/Libraries&gt;&lt;/ENLibraries&gt;"/>
  </w:docVars>
  <w:rsids>
    <w:rsidRoot w:val="00FC13CB"/>
    <w:rsid w:val="00000592"/>
    <w:rsid w:val="000042BF"/>
    <w:rsid w:val="00004397"/>
    <w:rsid w:val="0001032E"/>
    <w:rsid w:val="000106BD"/>
    <w:rsid w:val="00011978"/>
    <w:rsid w:val="00011F8B"/>
    <w:rsid w:val="00012386"/>
    <w:rsid w:val="00016662"/>
    <w:rsid w:val="00016972"/>
    <w:rsid w:val="00024E63"/>
    <w:rsid w:val="00027CD3"/>
    <w:rsid w:val="00027F38"/>
    <w:rsid w:val="00031108"/>
    <w:rsid w:val="000315FF"/>
    <w:rsid w:val="00031BD0"/>
    <w:rsid w:val="00031DDA"/>
    <w:rsid w:val="00032849"/>
    <w:rsid w:val="000413E5"/>
    <w:rsid w:val="00041EA8"/>
    <w:rsid w:val="00043C9F"/>
    <w:rsid w:val="00045F84"/>
    <w:rsid w:val="00050213"/>
    <w:rsid w:val="00054FDF"/>
    <w:rsid w:val="0006374A"/>
    <w:rsid w:val="00063D03"/>
    <w:rsid w:val="00065C50"/>
    <w:rsid w:val="00067612"/>
    <w:rsid w:val="00070F03"/>
    <w:rsid w:val="00071224"/>
    <w:rsid w:val="0007796F"/>
    <w:rsid w:val="00082523"/>
    <w:rsid w:val="00082CFF"/>
    <w:rsid w:val="00084F9C"/>
    <w:rsid w:val="000860A1"/>
    <w:rsid w:val="00086473"/>
    <w:rsid w:val="00087EC9"/>
    <w:rsid w:val="00090B13"/>
    <w:rsid w:val="00092374"/>
    <w:rsid w:val="00092720"/>
    <w:rsid w:val="000949BE"/>
    <w:rsid w:val="00096BEA"/>
    <w:rsid w:val="000A0BE2"/>
    <w:rsid w:val="000A27C9"/>
    <w:rsid w:val="000A32D3"/>
    <w:rsid w:val="000A3ECA"/>
    <w:rsid w:val="000A3EF1"/>
    <w:rsid w:val="000A589D"/>
    <w:rsid w:val="000A58B5"/>
    <w:rsid w:val="000A673F"/>
    <w:rsid w:val="000A6F50"/>
    <w:rsid w:val="000B1863"/>
    <w:rsid w:val="000B18B2"/>
    <w:rsid w:val="000B1B12"/>
    <w:rsid w:val="000B2C58"/>
    <w:rsid w:val="000B65FD"/>
    <w:rsid w:val="000B755D"/>
    <w:rsid w:val="000C1C90"/>
    <w:rsid w:val="000C22C2"/>
    <w:rsid w:val="000C2734"/>
    <w:rsid w:val="000C3E97"/>
    <w:rsid w:val="000C44A6"/>
    <w:rsid w:val="000D03BA"/>
    <w:rsid w:val="000D25DE"/>
    <w:rsid w:val="000D26C5"/>
    <w:rsid w:val="000D53F0"/>
    <w:rsid w:val="000E0DF3"/>
    <w:rsid w:val="000E174F"/>
    <w:rsid w:val="000E43E3"/>
    <w:rsid w:val="000E477E"/>
    <w:rsid w:val="000E5AA7"/>
    <w:rsid w:val="000E60CA"/>
    <w:rsid w:val="000E651F"/>
    <w:rsid w:val="000E71C4"/>
    <w:rsid w:val="000F1170"/>
    <w:rsid w:val="000F27AB"/>
    <w:rsid w:val="000F2A5A"/>
    <w:rsid w:val="000F3965"/>
    <w:rsid w:val="000F3C0D"/>
    <w:rsid w:val="000F693B"/>
    <w:rsid w:val="000F6E5A"/>
    <w:rsid w:val="0010050E"/>
    <w:rsid w:val="00103B20"/>
    <w:rsid w:val="00104BD1"/>
    <w:rsid w:val="00104CFC"/>
    <w:rsid w:val="00105E25"/>
    <w:rsid w:val="00106BA0"/>
    <w:rsid w:val="00110926"/>
    <w:rsid w:val="00112872"/>
    <w:rsid w:val="00114A6B"/>
    <w:rsid w:val="00120590"/>
    <w:rsid w:val="00122FE4"/>
    <w:rsid w:val="00130122"/>
    <w:rsid w:val="001303F3"/>
    <w:rsid w:val="0013043D"/>
    <w:rsid w:val="00131348"/>
    <w:rsid w:val="0013571B"/>
    <w:rsid w:val="00135D65"/>
    <w:rsid w:val="001365D3"/>
    <w:rsid w:val="0014271F"/>
    <w:rsid w:val="00142B85"/>
    <w:rsid w:val="001455FB"/>
    <w:rsid w:val="001458AD"/>
    <w:rsid w:val="00151E05"/>
    <w:rsid w:val="001522F3"/>
    <w:rsid w:val="00154AA6"/>
    <w:rsid w:val="0015716D"/>
    <w:rsid w:val="0016002F"/>
    <w:rsid w:val="001621CD"/>
    <w:rsid w:val="001626F6"/>
    <w:rsid w:val="00162B33"/>
    <w:rsid w:val="001634D6"/>
    <w:rsid w:val="00163F25"/>
    <w:rsid w:val="00164351"/>
    <w:rsid w:val="00164500"/>
    <w:rsid w:val="00166BD0"/>
    <w:rsid w:val="00166E51"/>
    <w:rsid w:val="00170C84"/>
    <w:rsid w:val="00171746"/>
    <w:rsid w:val="001722D9"/>
    <w:rsid w:val="00172F8C"/>
    <w:rsid w:val="00174D64"/>
    <w:rsid w:val="00177A39"/>
    <w:rsid w:val="001821B2"/>
    <w:rsid w:val="00182CD9"/>
    <w:rsid w:val="001840A2"/>
    <w:rsid w:val="00184976"/>
    <w:rsid w:val="001859FC"/>
    <w:rsid w:val="001917A7"/>
    <w:rsid w:val="00191CFF"/>
    <w:rsid w:val="001932F7"/>
    <w:rsid w:val="0019525B"/>
    <w:rsid w:val="001952C6"/>
    <w:rsid w:val="001954F5"/>
    <w:rsid w:val="00195A43"/>
    <w:rsid w:val="001A1E44"/>
    <w:rsid w:val="001A2CC7"/>
    <w:rsid w:val="001A49F1"/>
    <w:rsid w:val="001A71B8"/>
    <w:rsid w:val="001B1DE3"/>
    <w:rsid w:val="001B387B"/>
    <w:rsid w:val="001B3D52"/>
    <w:rsid w:val="001B3DDF"/>
    <w:rsid w:val="001B45D1"/>
    <w:rsid w:val="001B516E"/>
    <w:rsid w:val="001B7F37"/>
    <w:rsid w:val="001C0F17"/>
    <w:rsid w:val="001C2861"/>
    <w:rsid w:val="001C7472"/>
    <w:rsid w:val="001D3BA7"/>
    <w:rsid w:val="001D7360"/>
    <w:rsid w:val="001E1555"/>
    <w:rsid w:val="001E1C6E"/>
    <w:rsid w:val="001E4388"/>
    <w:rsid w:val="001E5C4D"/>
    <w:rsid w:val="001E6544"/>
    <w:rsid w:val="001E7246"/>
    <w:rsid w:val="001F18AC"/>
    <w:rsid w:val="001F4F76"/>
    <w:rsid w:val="001F6CE7"/>
    <w:rsid w:val="002013C5"/>
    <w:rsid w:val="00202463"/>
    <w:rsid w:val="00202655"/>
    <w:rsid w:val="0020279B"/>
    <w:rsid w:val="00203812"/>
    <w:rsid w:val="0020476B"/>
    <w:rsid w:val="00206C04"/>
    <w:rsid w:val="002132D9"/>
    <w:rsid w:val="0021655B"/>
    <w:rsid w:val="00216CB8"/>
    <w:rsid w:val="00220225"/>
    <w:rsid w:val="00220293"/>
    <w:rsid w:val="002214A2"/>
    <w:rsid w:val="0022150C"/>
    <w:rsid w:val="0022168A"/>
    <w:rsid w:val="00222169"/>
    <w:rsid w:val="00222ABE"/>
    <w:rsid w:val="002311C7"/>
    <w:rsid w:val="00233648"/>
    <w:rsid w:val="0023572A"/>
    <w:rsid w:val="0024067B"/>
    <w:rsid w:val="002406F2"/>
    <w:rsid w:val="00243476"/>
    <w:rsid w:val="002434D9"/>
    <w:rsid w:val="0024428C"/>
    <w:rsid w:val="00251604"/>
    <w:rsid w:val="00252B34"/>
    <w:rsid w:val="00253A69"/>
    <w:rsid w:val="002545A9"/>
    <w:rsid w:val="00257AA5"/>
    <w:rsid w:val="00257C6F"/>
    <w:rsid w:val="00260B90"/>
    <w:rsid w:val="00263130"/>
    <w:rsid w:val="00263202"/>
    <w:rsid w:val="00274727"/>
    <w:rsid w:val="00275527"/>
    <w:rsid w:val="00277BFC"/>
    <w:rsid w:val="00277C59"/>
    <w:rsid w:val="00280E6A"/>
    <w:rsid w:val="00283DE6"/>
    <w:rsid w:val="00285CC2"/>
    <w:rsid w:val="00286E37"/>
    <w:rsid w:val="00287D5D"/>
    <w:rsid w:val="002909B5"/>
    <w:rsid w:val="00290AE6"/>
    <w:rsid w:val="00290F0A"/>
    <w:rsid w:val="00294759"/>
    <w:rsid w:val="002965F4"/>
    <w:rsid w:val="002A0098"/>
    <w:rsid w:val="002A04B2"/>
    <w:rsid w:val="002A320B"/>
    <w:rsid w:val="002A4308"/>
    <w:rsid w:val="002A5F8A"/>
    <w:rsid w:val="002A63D4"/>
    <w:rsid w:val="002A70BF"/>
    <w:rsid w:val="002B023C"/>
    <w:rsid w:val="002B02B9"/>
    <w:rsid w:val="002B10D8"/>
    <w:rsid w:val="002B1DB5"/>
    <w:rsid w:val="002B2865"/>
    <w:rsid w:val="002B31E6"/>
    <w:rsid w:val="002B5109"/>
    <w:rsid w:val="002C1EC6"/>
    <w:rsid w:val="002C1ED5"/>
    <w:rsid w:val="002D10EF"/>
    <w:rsid w:val="002D14D3"/>
    <w:rsid w:val="002D2748"/>
    <w:rsid w:val="002D2B29"/>
    <w:rsid w:val="002D3F93"/>
    <w:rsid w:val="002D4B63"/>
    <w:rsid w:val="002D54F2"/>
    <w:rsid w:val="002D550E"/>
    <w:rsid w:val="002D6717"/>
    <w:rsid w:val="002E0F7C"/>
    <w:rsid w:val="002E37D2"/>
    <w:rsid w:val="002E5330"/>
    <w:rsid w:val="002F0D42"/>
    <w:rsid w:val="002F131A"/>
    <w:rsid w:val="002F1968"/>
    <w:rsid w:val="002F3025"/>
    <w:rsid w:val="002F3534"/>
    <w:rsid w:val="002F728C"/>
    <w:rsid w:val="00300055"/>
    <w:rsid w:val="00300C5B"/>
    <w:rsid w:val="00300DA6"/>
    <w:rsid w:val="00300E25"/>
    <w:rsid w:val="00303BF2"/>
    <w:rsid w:val="003067EA"/>
    <w:rsid w:val="0031070B"/>
    <w:rsid w:val="00311CB8"/>
    <w:rsid w:val="00311DCE"/>
    <w:rsid w:val="00312DEE"/>
    <w:rsid w:val="0031366D"/>
    <w:rsid w:val="00313C92"/>
    <w:rsid w:val="00317BD4"/>
    <w:rsid w:val="00321641"/>
    <w:rsid w:val="00323608"/>
    <w:rsid w:val="00331F1D"/>
    <w:rsid w:val="003322D5"/>
    <w:rsid w:val="00334924"/>
    <w:rsid w:val="00334D44"/>
    <w:rsid w:val="00337C97"/>
    <w:rsid w:val="003433D4"/>
    <w:rsid w:val="00344577"/>
    <w:rsid w:val="003476AF"/>
    <w:rsid w:val="00351934"/>
    <w:rsid w:val="00352167"/>
    <w:rsid w:val="003527AC"/>
    <w:rsid w:val="003533F6"/>
    <w:rsid w:val="00355A60"/>
    <w:rsid w:val="00356A9C"/>
    <w:rsid w:val="003572C2"/>
    <w:rsid w:val="00357746"/>
    <w:rsid w:val="003577B9"/>
    <w:rsid w:val="00364814"/>
    <w:rsid w:val="00372A0D"/>
    <w:rsid w:val="003731D2"/>
    <w:rsid w:val="003742BE"/>
    <w:rsid w:val="00375043"/>
    <w:rsid w:val="003764F5"/>
    <w:rsid w:val="003772D9"/>
    <w:rsid w:val="00382B18"/>
    <w:rsid w:val="003839D9"/>
    <w:rsid w:val="00384069"/>
    <w:rsid w:val="0038505E"/>
    <w:rsid w:val="003915E1"/>
    <w:rsid w:val="003933BE"/>
    <w:rsid w:val="00395FC1"/>
    <w:rsid w:val="003A00F3"/>
    <w:rsid w:val="003A0E8D"/>
    <w:rsid w:val="003A1206"/>
    <w:rsid w:val="003A1C3C"/>
    <w:rsid w:val="003A2F49"/>
    <w:rsid w:val="003A3A23"/>
    <w:rsid w:val="003B1121"/>
    <w:rsid w:val="003B1893"/>
    <w:rsid w:val="003B19A1"/>
    <w:rsid w:val="003B3017"/>
    <w:rsid w:val="003B43C3"/>
    <w:rsid w:val="003B5832"/>
    <w:rsid w:val="003B6DBB"/>
    <w:rsid w:val="003C0C31"/>
    <w:rsid w:val="003C30F0"/>
    <w:rsid w:val="003C31BD"/>
    <w:rsid w:val="003C38A2"/>
    <w:rsid w:val="003C6938"/>
    <w:rsid w:val="003C7D30"/>
    <w:rsid w:val="003D0120"/>
    <w:rsid w:val="003D021C"/>
    <w:rsid w:val="003D0778"/>
    <w:rsid w:val="003D4BE6"/>
    <w:rsid w:val="003D5CC5"/>
    <w:rsid w:val="003D7431"/>
    <w:rsid w:val="003D7776"/>
    <w:rsid w:val="003D7A7D"/>
    <w:rsid w:val="003E09F4"/>
    <w:rsid w:val="003E2506"/>
    <w:rsid w:val="003E2E7D"/>
    <w:rsid w:val="003E5848"/>
    <w:rsid w:val="003E6ABC"/>
    <w:rsid w:val="003E6C5A"/>
    <w:rsid w:val="003F68F8"/>
    <w:rsid w:val="003F731A"/>
    <w:rsid w:val="00400875"/>
    <w:rsid w:val="00402ABF"/>
    <w:rsid w:val="00404495"/>
    <w:rsid w:val="0040487E"/>
    <w:rsid w:val="00404C26"/>
    <w:rsid w:val="004079A9"/>
    <w:rsid w:val="00407EFC"/>
    <w:rsid w:val="004112A4"/>
    <w:rsid w:val="004114DF"/>
    <w:rsid w:val="0041154E"/>
    <w:rsid w:val="00411C4F"/>
    <w:rsid w:val="00411E26"/>
    <w:rsid w:val="00412B6D"/>
    <w:rsid w:val="00413595"/>
    <w:rsid w:val="0041395E"/>
    <w:rsid w:val="00413A16"/>
    <w:rsid w:val="00414CDD"/>
    <w:rsid w:val="00415419"/>
    <w:rsid w:val="004242DB"/>
    <w:rsid w:val="00425133"/>
    <w:rsid w:val="0042659A"/>
    <w:rsid w:val="00426EB7"/>
    <w:rsid w:val="00427A55"/>
    <w:rsid w:val="00427CBB"/>
    <w:rsid w:val="00430FC6"/>
    <w:rsid w:val="00431AEF"/>
    <w:rsid w:val="00432103"/>
    <w:rsid w:val="00434C6A"/>
    <w:rsid w:val="00440F7E"/>
    <w:rsid w:val="00442483"/>
    <w:rsid w:val="00444FFF"/>
    <w:rsid w:val="004461EA"/>
    <w:rsid w:val="0044633E"/>
    <w:rsid w:val="00447107"/>
    <w:rsid w:val="0045041F"/>
    <w:rsid w:val="004510B5"/>
    <w:rsid w:val="004527C1"/>
    <w:rsid w:val="004529D6"/>
    <w:rsid w:val="004552CC"/>
    <w:rsid w:val="00457F8A"/>
    <w:rsid w:val="00460893"/>
    <w:rsid w:val="004618B6"/>
    <w:rsid w:val="004626BA"/>
    <w:rsid w:val="00465BDA"/>
    <w:rsid w:val="00467917"/>
    <w:rsid w:val="00467FE4"/>
    <w:rsid w:val="0047077E"/>
    <w:rsid w:val="0047200C"/>
    <w:rsid w:val="00473255"/>
    <w:rsid w:val="00474601"/>
    <w:rsid w:val="004746EC"/>
    <w:rsid w:val="00476F83"/>
    <w:rsid w:val="00480093"/>
    <w:rsid w:val="004833E2"/>
    <w:rsid w:val="00483FE4"/>
    <w:rsid w:val="00484C14"/>
    <w:rsid w:val="00484DDB"/>
    <w:rsid w:val="0048576F"/>
    <w:rsid w:val="00485AAD"/>
    <w:rsid w:val="00491B5A"/>
    <w:rsid w:val="00493A3B"/>
    <w:rsid w:val="00495D97"/>
    <w:rsid w:val="0049614C"/>
    <w:rsid w:val="004A1C92"/>
    <w:rsid w:val="004A4206"/>
    <w:rsid w:val="004A5E59"/>
    <w:rsid w:val="004A768E"/>
    <w:rsid w:val="004A7838"/>
    <w:rsid w:val="004B1A67"/>
    <w:rsid w:val="004B1EE8"/>
    <w:rsid w:val="004B2D46"/>
    <w:rsid w:val="004B644D"/>
    <w:rsid w:val="004B683C"/>
    <w:rsid w:val="004B7845"/>
    <w:rsid w:val="004B7A99"/>
    <w:rsid w:val="004C3A2B"/>
    <w:rsid w:val="004C69E3"/>
    <w:rsid w:val="004D08C2"/>
    <w:rsid w:val="004D2AD2"/>
    <w:rsid w:val="004D2E4D"/>
    <w:rsid w:val="004D4591"/>
    <w:rsid w:val="004D7081"/>
    <w:rsid w:val="004D738C"/>
    <w:rsid w:val="004D7F2C"/>
    <w:rsid w:val="004E0A31"/>
    <w:rsid w:val="004E218B"/>
    <w:rsid w:val="004E31E9"/>
    <w:rsid w:val="004E472B"/>
    <w:rsid w:val="004E4EEC"/>
    <w:rsid w:val="004E5C28"/>
    <w:rsid w:val="004E7468"/>
    <w:rsid w:val="004F0AEC"/>
    <w:rsid w:val="004F12DF"/>
    <w:rsid w:val="004F3857"/>
    <w:rsid w:val="004F4C7C"/>
    <w:rsid w:val="004F534C"/>
    <w:rsid w:val="00502E3F"/>
    <w:rsid w:val="0050502A"/>
    <w:rsid w:val="005053D8"/>
    <w:rsid w:val="00506F96"/>
    <w:rsid w:val="00510353"/>
    <w:rsid w:val="00510A2E"/>
    <w:rsid w:val="00510F86"/>
    <w:rsid w:val="005123D3"/>
    <w:rsid w:val="005125B0"/>
    <w:rsid w:val="00516BC4"/>
    <w:rsid w:val="00517A61"/>
    <w:rsid w:val="00522E69"/>
    <w:rsid w:val="005236FB"/>
    <w:rsid w:val="005254AE"/>
    <w:rsid w:val="00525C2D"/>
    <w:rsid w:val="00533E3F"/>
    <w:rsid w:val="00535404"/>
    <w:rsid w:val="005354CD"/>
    <w:rsid w:val="00540EE3"/>
    <w:rsid w:val="00542092"/>
    <w:rsid w:val="00542209"/>
    <w:rsid w:val="005422F0"/>
    <w:rsid w:val="00542620"/>
    <w:rsid w:val="00542CC5"/>
    <w:rsid w:val="005438DD"/>
    <w:rsid w:val="005446CD"/>
    <w:rsid w:val="00545CE8"/>
    <w:rsid w:val="0054708A"/>
    <w:rsid w:val="005507DB"/>
    <w:rsid w:val="005528D3"/>
    <w:rsid w:val="005537C2"/>
    <w:rsid w:val="005546B5"/>
    <w:rsid w:val="00555048"/>
    <w:rsid w:val="00555367"/>
    <w:rsid w:val="00557679"/>
    <w:rsid w:val="00561260"/>
    <w:rsid w:val="0056201E"/>
    <w:rsid w:val="00562442"/>
    <w:rsid w:val="00562EFE"/>
    <w:rsid w:val="005641EC"/>
    <w:rsid w:val="00565277"/>
    <w:rsid w:val="00566750"/>
    <w:rsid w:val="005667AD"/>
    <w:rsid w:val="0056799E"/>
    <w:rsid w:val="0057027F"/>
    <w:rsid w:val="005728DE"/>
    <w:rsid w:val="00572FF5"/>
    <w:rsid w:val="00575D02"/>
    <w:rsid w:val="005766EC"/>
    <w:rsid w:val="00577175"/>
    <w:rsid w:val="00580D67"/>
    <w:rsid w:val="005818B7"/>
    <w:rsid w:val="00582EB3"/>
    <w:rsid w:val="00587075"/>
    <w:rsid w:val="0058751B"/>
    <w:rsid w:val="00590025"/>
    <w:rsid w:val="0059265B"/>
    <w:rsid w:val="005938C4"/>
    <w:rsid w:val="005A11CC"/>
    <w:rsid w:val="005A6F07"/>
    <w:rsid w:val="005A78AF"/>
    <w:rsid w:val="005B0F1A"/>
    <w:rsid w:val="005B1345"/>
    <w:rsid w:val="005B32AE"/>
    <w:rsid w:val="005B3506"/>
    <w:rsid w:val="005B4DC7"/>
    <w:rsid w:val="005B706B"/>
    <w:rsid w:val="005B7CFC"/>
    <w:rsid w:val="005C11A1"/>
    <w:rsid w:val="005C3AD2"/>
    <w:rsid w:val="005C5520"/>
    <w:rsid w:val="005C7E83"/>
    <w:rsid w:val="005D3625"/>
    <w:rsid w:val="005D5141"/>
    <w:rsid w:val="005D6EA6"/>
    <w:rsid w:val="005E06EE"/>
    <w:rsid w:val="005E1E2F"/>
    <w:rsid w:val="005E27C1"/>
    <w:rsid w:val="005E35FC"/>
    <w:rsid w:val="005E3CD8"/>
    <w:rsid w:val="005E6621"/>
    <w:rsid w:val="005F45BC"/>
    <w:rsid w:val="005F4CCE"/>
    <w:rsid w:val="005F68BB"/>
    <w:rsid w:val="005F7C69"/>
    <w:rsid w:val="005F7CEE"/>
    <w:rsid w:val="00601138"/>
    <w:rsid w:val="006024C3"/>
    <w:rsid w:val="006046B0"/>
    <w:rsid w:val="006101D1"/>
    <w:rsid w:val="00610BF7"/>
    <w:rsid w:val="006128D0"/>
    <w:rsid w:val="006138B3"/>
    <w:rsid w:val="00617105"/>
    <w:rsid w:val="00617A72"/>
    <w:rsid w:val="00620AD5"/>
    <w:rsid w:val="00622D1E"/>
    <w:rsid w:val="006270D3"/>
    <w:rsid w:val="00632BFB"/>
    <w:rsid w:val="0063565E"/>
    <w:rsid w:val="00637007"/>
    <w:rsid w:val="006370DE"/>
    <w:rsid w:val="00641161"/>
    <w:rsid w:val="00642DD9"/>
    <w:rsid w:val="00644DEC"/>
    <w:rsid w:val="006463C3"/>
    <w:rsid w:val="00650F86"/>
    <w:rsid w:val="00651535"/>
    <w:rsid w:val="00652502"/>
    <w:rsid w:val="00657259"/>
    <w:rsid w:val="006619BF"/>
    <w:rsid w:val="00661E8F"/>
    <w:rsid w:val="00663545"/>
    <w:rsid w:val="00665C18"/>
    <w:rsid w:val="00665EC5"/>
    <w:rsid w:val="00670198"/>
    <w:rsid w:val="0067168F"/>
    <w:rsid w:val="006718AF"/>
    <w:rsid w:val="006721F1"/>
    <w:rsid w:val="006726BF"/>
    <w:rsid w:val="00672A14"/>
    <w:rsid w:val="00674295"/>
    <w:rsid w:val="00674831"/>
    <w:rsid w:val="006749E6"/>
    <w:rsid w:val="006751AE"/>
    <w:rsid w:val="00677852"/>
    <w:rsid w:val="00677B93"/>
    <w:rsid w:val="0068076F"/>
    <w:rsid w:val="00680968"/>
    <w:rsid w:val="0068290F"/>
    <w:rsid w:val="00683D74"/>
    <w:rsid w:val="00685A39"/>
    <w:rsid w:val="00686517"/>
    <w:rsid w:val="0068745A"/>
    <w:rsid w:val="0069324C"/>
    <w:rsid w:val="00694EC5"/>
    <w:rsid w:val="00694ECD"/>
    <w:rsid w:val="006968E4"/>
    <w:rsid w:val="00697085"/>
    <w:rsid w:val="0069784B"/>
    <w:rsid w:val="006A4194"/>
    <w:rsid w:val="006A76FC"/>
    <w:rsid w:val="006B1250"/>
    <w:rsid w:val="006B274F"/>
    <w:rsid w:val="006B30FF"/>
    <w:rsid w:val="006B3DF2"/>
    <w:rsid w:val="006B48BB"/>
    <w:rsid w:val="006B48F1"/>
    <w:rsid w:val="006B4EF3"/>
    <w:rsid w:val="006B5A70"/>
    <w:rsid w:val="006B6B58"/>
    <w:rsid w:val="006B6EE3"/>
    <w:rsid w:val="006C20E5"/>
    <w:rsid w:val="006C307E"/>
    <w:rsid w:val="006C43B5"/>
    <w:rsid w:val="006C7E8A"/>
    <w:rsid w:val="006D3174"/>
    <w:rsid w:val="006D5AA0"/>
    <w:rsid w:val="006D79B2"/>
    <w:rsid w:val="006E14F8"/>
    <w:rsid w:val="006E21E8"/>
    <w:rsid w:val="006E5733"/>
    <w:rsid w:val="006E5E0A"/>
    <w:rsid w:val="006E7C7B"/>
    <w:rsid w:val="006F0344"/>
    <w:rsid w:val="006F3EB0"/>
    <w:rsid w:val="006F6945"/>
    <w:rsid w:val="007005D7"/>
    <w:rsid w:val="007007DF"/>
    <w:rsid w:val="00703F3F"/>
    <w:rsid w:val="007056FF"/>
    <w:rsid w:val="007078BA"/>
    <w:rsid w:val="00707CF0"/>
    <w:rsid w:val="007100CD"/>
    <w:rsid w:val="00711D30"/>
    <w:rsid w:val="00714F6F"/>
    <w:rsid w:val="007160DD"/>
    <w:rsid w:val="007204EC"/>
    <w:rsid w:val="00721A03"/>
    <w:rsid w:val="00723437"/>
    <w:rsid w:val="00723EA4"/>
    <w:rsid w:val="007301FA"/>
    <w:rsid w:val="007306A3"/>
    <w:rsid w:val="00731B45"/>
    <w:rsid w:val="00731E0F"/>
    <w:rsid w:val="00732257"/>
    <w:rsid w:val="00733322"/>
    <w:rsid w:val="00734681"/>
    <w:rsid w:val="00734F4A"/>
    <w:rsid w:val="00734F8F"/>
    <w:rsid w:val="0074045B"/>
    <w:rsid w:val="00744EF5"/>
    <w:rsid w:val="00745C8A"/>
    <w:rsid w:val="007463A8"/>
    <w:rsid w:val="00747D1D"/>
    <w:rsid w:val="0075091E"/>
    <w:rsid w:val="00752DE7"/>
    <w:rsid w:val="00755EC3"/>
    <w:rsid w:val="00760EE5"/>
    <w:rsid w:val="00762CEF"/>
    <w:rsid w:val="00763758"/>
    <w:rsid w:val="007638D5"/>
    <w:rsid w:val="00765A8A"/>
    <w:rsid w:val="00772E8A"/>
    <w:rsid w:val="007734DB"/>
    <w:rsid w:val="00773503"/>
    <w:rsid w:val="00774E85"/>
    <w:rsid w:val="007752B7"/>
    <w:rsid w:val="00775B4F"/>
    <w:rsid w:val="00780768"/>
    <w:rsid w:val="007837D6"/>
    <w:rsid w:val="00783CFC"/>
    <w:rsid w:val="00783FFD"/>
    <w:rsid w:val="00784946"/>
    <w:rsid w:val="007850C3"/>
    <w:rsid w:val="00792042"/>
    <w:rsid w:val="00793FCE"/>
    <w:rsid w:val="00794092"/>
    <w:rsid w:val="007946F5"/>
    <w:rsid w:val="00796DA6"/>
    <w:rsid w:val="007A01A5"/>
    <w:rsid w:val="007A0806"/>
    <w:rsid w:val="007A716E"/>
    <w:rsid w:val="007A75B0"/>
    <w:rsid w:val="007A7EBF"/>
    <w:rsid w:val="007A7EE0"/>
    <w:rsid w:val="007B14E8"/>
    <w:rsid w:val="007B4AF4"/>
    <w:rsid w:val="007B5490"/>
    <w:rsid w:val="007C14E8"/>
    <w:rsid w:val="007C14FF"/>
    <w:rsid w:val="007C262E"/>
    <w:rsid w:val="007C269B"/>
    <w:rsid w:val="007C3245"/>
    <w:rsid w:val="007C51AE"/>
    <w:rsid w:val="007C5468"/>
    <w:rsid w:val="007D0FB3"/>
    <w:rsid w:val="007D1D5F"/>
    <w:rsid w:val="007D4360"/>
    <w:rsid w:val="007D5E55"/>
    <w:rsid w:val="007D755F"/>
    <w:rsid w:val="007D7D32"/>
    <w:rsid w:val="007E08E1"/>
    <w:rsid w:val="007E3161"/>
    <w:rsid w:val="007E3B8B"/>
    <w:rsid w:val="007E651C"/>
    <w:rsid w:val="007E6D3E"/>
    <w:rsid w:val="007F4830"/>
    <w:rsid w:val="007F56CC"/>
    <w:rsid w:val="007F5A61"/>
    <w:rsid w:val="007F7608"/>
    <w:rsid w:val="007F7E75"/>
    <w:rsid w:val="00803261"/>
    <w:rsid w:val="00803E6C"/>
    <w:rsid w:val="00803E99"/>
    <w:rsid w:val="00810577"/>
    <w:rsid w:val="00811CFE"/>
    <w:rsid w:val="00814586"/>
    <w:rsid w:val="00814969"/>
    <w:rsid w:val="00815CD3"/>
    <w:rsid w:val="008165B4"/>
    <w:rsid w:val="008169DD"/>
    <w:rsid w:val="00817982"/>
    <w:rsid w:val="00822E46"/>
    <w:rsid w:val="00824738"/>
    <w:rsid w:val="008259BA"/>
    <w:rsid w:val="0083094B"/>
    <w:rsid w:val="008343D8"/>
    <w:rsid w:val="0083577F"/>
    <w:rsid w:val="00835F72"/>
    <w:rsid w:val="00842276"/>
    <w:rsid w:val="008422A6"/>
    <w:rsid w:val="008427F2"/>
    <w:rsid w:val="00843931"/>
    <w:rsid w:val="00844D83"/>
    <w:rsid w:val="00846652"/>
    <w:rsid w:val="008506B1"/>
    <w:rsid w:val="00850FEF"/>
    <w:rsid w:val="008542B1"/>
    <w:rsid w:val="0085521D"/>
    <w:rsid w:val="00857392"/>
    <w:rsid w:val="0085780B"/>
    <w:rsid w:val="00862AFA"/>
    <w:rsid w:val="0086387C"/>
    <w:rsid w:val="00867401"/>
    <w:rsid w:val="00867C67"/>
    <w:rsid w:val="00870E07"/>
    <w:rsid w:val="00871635"/>
    <w:rsid w:val="0087220A"/>
    <w:rsid w:val="00872969"/>
    <w:rsid w:val="00874C62"/>
    <w:rsid w:val="008779F4"/>
    <w:rsid w:val="00887357"/>
    <w:rsid w:val="008913B0"/>
    <w:rsid w:val="00891C23"/>
    <w:rsid w:val="00892EDD"/>
    <w:rsid w:val="00895B98"/>
    <w:rsid w:val="00896DE5"/>
    <w:rsid w:val="0089778B"/>
    <w:rsid w:val="008A4A58"/>
    <w:rsid w:val="008A679F"/>
    <w:rsid w:val="008A6B2F"/>
    <w:rsid w:val="008A6F1B"/>
    <w:rsid w:val="008B05B9"/>
    <w:rsid w:val="008B06A1"/>
    <w:rsid w:val="008B3AA0"/>
    <w:rsid w:val="008B42E9"/>
    <w:rsid w:val="008B71D2"/>
    <w:rsid w:val="008C1FCE"/>
    <w:rsid w:val="008C6D8D"/>
    <w:rsid w:val="008D66F0"/>
    <w:rsid w:val="008D6A82"/>
    <w:rsid w:val="008D7758"/>
    <w:rsid w:val="008E3481"/>
    <w:rsid w:val="008E4856"/>
    <w:rsid w:val="008E6087"/>
    <w:rsid w:val="008F2F81"/>
    <w:rsid w:val="008F6C92"/>
    <w:rsid w:val="008F7237"/>
    <w:rsid w:val="00900611"/>
    <w:rsid w:val="00900E89"/>
    <w:rsid w:val="0090268C"/>
    <w:rsid w:val="00902A5D"/>
    <w:rsid w:val="00903199"/>
    <w:rsid w:val="009066B7"/>
    <w:rsid w:val="0090697D"/>
    <w:rsid w:val="009073E4"/>
    <w:rsid w:val="00907524"/>
    <w:rsid w:val="009111C4"/>
    <w:rsid w:val="00913719"/>
    <w:rsid w:val="00916E59"/>
    <w:rsid w:val="00917998"/>
    <w:rsid w:val="00920796"/>
    <w:rsid w:val="00923296"/>
    <w:rsid w:val="009242BA"/>
    <w:rsid w:val="00932121"/>
    <w:rsid w:val="00934E60"/>
    <w:rsid w:val="009358A7"/>
    <w:rsid w:val="0093605F"/>
    <w:rsid w:val="00936AE5"/>
    <w:rsid w:val="00936F36"/>
    <w:rsid w:val="00940F08"/>
    <w:rsid w:val="009441EB"/>
    <w:rsid w:val="00951A4A"/>
    <w:rsid w:val="0095200F"/>
    <w:rsid w:val="00952DEB"/>
    <w:rsid w:val="009538B3"/>
    <w:rsid w:val="0095391D"/>
    <w:rsid w:val="00953B2F"/>
    <w:rsid w:val="00955772"/>
    <w:rsid w:val="0095624B"/>
    <w:rsid w:val="00956EB8"/>
    <w:rsid w:val="0095737A"/>
    <w:rsid w:val="0096207E"/>
    <w:rsid w:val="009628D5"/>
    <w:rsid w:val="009630F4"/>
    <w:rsid w:val="00967802"/>
    <w:rsid w:val="009700A2"/>
    <w:rsid w:val="009704B9"/>
    <w:rsid w:val="00971B2F"/>
    <w:rsid w:val="009739F8"/>
    <w:rsid w:val="00974987"/>
    <w:rsid w:val="00974D11"/>
    <w:rsid w:val="00975282"/>
    <w:rsid w:val="009761FE"/>
    <w:rsid w:val="0098011A"/>
    <w:rsid w:val="00980EB4"/>
    <w:rsid w:val="0098330B"/>
    <w:rsid w:val="009841E5"/>
    <w:rsid w:val="009863EF"/>
    <w:rsid w:val="00987F1C"/>
    <w:rsid w:val="0099110C"/>
    <w:rsid w:val="00993651"/>
    <w:rsid w:val="00995067"/>
    <w:rsid w:val="0099587A"/>
    <w:rsid w:val="009966FF"/>
    <w:rsid w:val="0099690B"/>
    <w:rsid w:val="00997821"/>
    <w:rsid w:val="009A276A"/>
    <w:rsid w:val="009A3B70"/>
    <w:rsid w:val="009A65AE"/>
    <w:rsid w:val="009A66A6"/>
    <w:rsid w:val="009A6C4C"/>
    <w:rsid w:val="009B0245"/>
    <w:rsid w:val="009B0711"/>
    <w:rsid w:val="009B1990"/>
    <w:rsid w:val="009B1F9A"/>
    <w:rsid w:val="009B6715"/>
    <w:rsid w:val="009B76C3"/>
    <w:rsid w:val="009C0FF4"/>
    <w:rsid w:val="009C11DD"/>
    <w:rsid w:val="009C4A87"/>
    <w:rsid w:val="009C5462"/>
    <w:rsid w:val="009C6CAF"/>
    <w:rsid w:val="009C7CA9"/>
    <w:rsid w:val="009D2795"/>
    <w:rsid w:val="009D3676"/>
    <w:rsid w:val="009D429B"/>
    <w:rsid w:val="009D4D46"/>
    <w:rsid w:val="009D65E1"/>
    <w:rsid w:val="009E1AA7"/>
    <w:rsid w:val="009E56EC"/>
    <w:rsid w:val="009F0864"/>
    <w:rsid w:val="009F0F06"/>
    <w:rsid w:val="009F3187"/>
    <w:rsid w:val="009F3A26"/>
    <w:rsid w:val="009F4DB7"/>
    <w:rsid w:val="009F4E66"/>
    <w:rsid w:val="009F6621"/>
    <w:rsid w:val="009F6BD5"/>
    <w:rsid w:val="009F6F20"/>
    <w:rsid w:val="00A00371"/>
    <w:rsid w:val="00A00D2C"/>
    <w:rsid w:val="00A05938"/>
    <w:rsid w:val="00A06583"/>
    <w:rsid w:val="00A07431"/>
    <w:rsid w:val="00A11556"/>
    <w:rsid w:val="00A1179E"/>
    <w:rsid w:val="00A118EE"/>
    <w:rsid w:val="00A12320"/>
    <w:rsid w:val="00A14BAB"/>
    <w:rsid w:val="00A16876"/>
    <w:rsid w:val="00A16ED8"/>
    <w:rsid w:val="00A21D5D"/>
    <w:rsid w:val="00A23132"/>
    <w:rsid w:val="00A2339F"/>
    <w:rsid w:val="00A26296"/>
    <w:rsid w:val="00A26705"/>
    <w:rsid w:val="00A27A3D"/>
    <w:rsid w:val="00A27BE7"/>
    <w:rsid w:val="00A32A25"/>
    <w:rsid w:val="00A33635"/>
    <w:rsid w:val="00A33A4B"/>
    <w:rsid w:val="00A34296"/>
    <w:rsid w:val="00A34844"/>
    <w:rsid w:val="00A36044"/>
    <w:rsid w:val="00A40172"/>
    <w:rsid w:val="00A45A60"/>
    <w:rsid w:val="00A46547"/>
    <w:rsid w:val="00A46BB0"/>
    <w:rsid w:val="00A50E91"/>
    <w:rsid w:val="00A51FA4"/>
    <w:rsid w:val="00A56665"/>
    <w:rsid w:val="00A566F7"/>
    <w:rsid w:val="00A60316"/>
    <w:rsid w:val="00A60551"/>
    <w:rsid w:val="00A60B39"/>
    <w:rsid w:val="00A6195D"/>
    <w:rsid w:val="00A61B5A"/>
    <w:rsid w:val="00A62CFB"/>
    <w:rsid w:val="00A66013"/>
    <w:rsid w:val="00A673F6"/>
    <w:rsid w:val="00A70FE6"/>
    <w:rsid w:val="00A717D1"/>
    <w:rsid w:val="00A73167"/>
    <w:rsid w:val="00A73360"/>
    <w:rsid w:val="00A747CE"/>
    <w:rsid w:val="00A769AB"/>
    <w:rsid w:val="00A76C62"/>
    <w:rsid w:val="00A83212"/>
    <w:rsid w:val="00A841EF"/>
    <w:rsid w:val="00A8732E"/>
    <w:rsid w:val="00A879D7"/>
    <w:rsid w:val="00A90A97"/>
    <w:rsid w:val="00A90C4C"/>
    <w:rsid w:val="00A90CEA"/>
    <w:rsid w:val="00A91527"/>
    <w:rsid w:val="00A91ED0"/>
    <w:rsid w:val="00A93188"/>
    <w:rsid w:val="00A932DA"/>
    <w:rsid w:val="00A9698C"/>
    <w:rsid w:val="00A9789E"/>
    <w:rsid w:val="00AA03BE"/>
    <w:rsid w:val="00AA0B78"/>
    <w:rsid w:val="00AB6703"/>
    <w:rsid w:val="00AC0BF9"/>
    <w:rsid w:val="00AC45F9"/>
    <w:rsid w:val="00AC47CA"/>
    <w:rsid w:val="00AC541B"/>
    <w:rsid w:val="00AC5A7F"/>
    <w:rsid w:val="00AC7E0B"/>
    <w:rsid w:val="00AD2A40"/>
    <w:rsid w:val="00AD53E2"/>
    <w:rsid w:val="00AD6B12"/>
    <w:rsid w:val="00AE1307"/>
    <w:rsid w:val="00AE5C65"/>
    <w:rsid w:val="00AF3968"/>
    <w:rsid w:val="00AF40E9"/>
    <w:rsid w:val="00AF46EF"/>
    <w:rsid w:val="00B006BD"/>
    <w:rsid w:val="00B0582F"/>
    <w:rsid w:val="00B06928"/>
    <w:rsid w:val="00B0705C"/>
    <w:rsid w:val="00B125C2"/>
    <w:rsid w:val="00B12E6A"/>
    <w:rsid w:val="00B139E8"/>
    <w:rsid w:val="00B14040"/>
    <w:rsid w:val="00B16350"/>
    <w:rsid w:val="00B16A16"/>
    <w:rsid w:val="00B20097"/>
    <w:rsid w:val="00B20864"/>
    <w:rsid w:val="00B2333C"/>
    <w:rsid w:val="00B23CFB"/>
    <w:rsid w:val="00B24887"/>
    <w:rsid w:val="00B248E1"/>
    <w:rsid w:val="00B31B90"/>
    <w:rsid w:val="00B32D8D"/>
    <w:rsid w:val="00B34D87"/>
    <w:rsid w:val="00B377A8"/>
    <w:rsid w:val="00B37CEF"/>
    <w:rsid w:val="00B4051D"/>
    <w:rsid w:val="00B40CAD"/>
    <w:rsid w:val="00B41609"/>
    <w:rsid w:val="00B42985"/>
    <w:rsid w:val="00B454B8"/>
    <w:rsid w:val="00B46580"/>
    <w:rsid w:val="00B50283"/>
    <w:rsid w:val="00B5185B"/>
    <w:rsid w:val="00B53C78"/>
    <w:rsid w:val="00B54230"/>
    <w:rsid w:val="00B54BB5"/>
    <w:rsid w:val="00B576D5"/>
    <w:rsid w:val="00B57FD9"/>
    <w:rsid w:val="00B602B2"/>
    <w:rsid w:val="00B60FCE"/>
    <w:rsid w:val="00B61352"/>
    <w:rsid w:val="00B623AB"/>
    <w:rsid w:val="00B64D15"/>
    <w:rsid w:val="00B657DB"/>
    <w:rsid w:val="00B66186"/>
    <w:rsid w:val="00B674ED"/>
    <w:rsid w:val="00B70816"/>
    <w:rsid w:val="00B708A6"/>
    <w:rsid w:val="00B73199"/>
    <w:rsid w:val="00B73791"/>
    <w:rsid w:val="00B75E05"/>
    <w:rsid w:val="00B76927"/>
    <w:rsid w:val="00B779EE"/>
    <w:rsid w:val="00B77FAB"/>
    <w:rsid w:val="00B80918"/>
    <w:rsid w:val="00B80A01"/>
    <w:rsid w:val="00B811EC"/>
    <w:rsid w:val="00B83379"/>
    <w:rsid w:val="00B83E72"/>
    <w:rsid w:val="00B849F8"/>
    <w:rsid w:val="00B85208"/>
    <w:rsid w:val="00B863BD"/>
    <w:rsid w:val="00B869FF"/>
    <w:rsid w:val="00B87FBB"/>
    <w:rsid w:val="00B92145"/>
    <w:rsid w:val="00B9287B"/>
    <w:rsid w:val="00B944FE"/>
    <w:rsid w:val="00B9493B"/>
    <w:rsid w:val="00B94CC7"/>
    <w:rsid w:val="00B95B76"/>
    <w:rsid w:val="00B96DB9"/>
    <w:rsid w:val="00BA0C9E"/>
    <w:rsid w:val="00BA0DFB"/>
    <w:rsid w:val="00BA18E4"/>
    <w:rsid w:val="00BA24F0"/>
    <w:rsid w:val="00BA5353"/>
    <w:rsid w:val="00BA561C"/>
    <w:rsid w:val="00BA66CB"/>
    <w:rsid w:val="00BB1E7D"/>
    <w:rsid w:val="00BB5B59"/>
    <w:rsid w:val="00BC059F"/>
    <w:rsid w:val="00BC075D"/>
    <w:rsid w:val="00BC092E"/>
    <w:rsid w:val="00BC123E"/>
    <w:rsid w:val="00BC1692"/>
    <w:rsid w:val="00BC16BF"/>
    <w:rsid w:val="00BC1CA0"/>
    <w:rsid w:val="00BC39C7"/>
    <w:rsid w:val="00BC4509"/>
    <w:rsid w:val="00BC56D5"/>
    <w:rsid w:val="00BC6E60"/>
    <w:rsid w:val="00BD1367"/>
    <w:rsid w:val="00BD1D74"/>
    <w:rsid w:val="00BD5B93"/>
    <w:rsid w:val="00BD5BB8"/>
    <w:rsid w:val="00BD60CC"/>
    <w:rsid w:val="00BD7BCA"/>
    <w:rsid w:val="00BE2C5E"/>
    <w:rsid w:val="00BE300D"/>
    <w:rsid w:val="00BE5E5D"/>
    <w:rsid w:val="00BF2D0E"/>
    <w:rsid w:val="00BF383A"/>
    <w:rsid w:val="00BF4BED"/>
    <w:rsid w:val="00BF55DF"/>
    <w:rsid w:val="00BF6291"/>
    <w:rsid w:val="00BF6C4F"/>
    <w:rsid w:val="00C05D46"/>
    <w:rsid w:val="00C064B6"/>
    <w:rsid w:val="00C069BD"/>
    <w:rsid w:val="00C07C98"/>
    <w:rsid w:val="00C15D9D"/>
    <w:rsid w:val="00C16E02"/>
    <w:rsid w:val="00C26C19"/>
    <w:rsid w:val="00C2730D"/>
    <w:rsid w:val="00C27730"/>
    <w:rsid w:val="00C33BA6"/>
    <w:rsid w:val="00C35424"/>
    <w:rsid w:val="00C36529"/>
    <w:rsid w:val="00C374C2"/>
    <w:rsid w:val="00C37B7F"/>
    <w:rsid w:val="00C37F40"/>
    <w:rsid w:val="00C37FA3"/>
    <w:rsid w:val="00C40341"/>
    <w:rsid w:val="00C433D2"/>
    <w:rsid w:val="00C435F5"/>
    <w:rsid w:val="00C44EDD"/>
    <w:rsid w:val="00C45437"/>
    <w:rsid w:val="00C47F61"/>
    <w:rsid w:val="00C50093"/>
    <w:rsid w:val="00C51148"/>
    <w:rsid w:val="00C5136A"/>
    <w:rsid w:val="00C56416"/>
    <w:rsid w:val="00C6022D"/>
    <w:rsid w:val="00C61B86"/>
    <w:rsid w:val="00C61D20"/>
    <w:rsid w:val="00C64317"/>
    <w:rsid w:val="00C654D2"/>
    <w:rsid w:val="00C66E5E"/>
    <w:rsid w:val="00C701C4"/>
    <w:rsid w:val="00C72271"/>
    <w:rsid w:val="00C72642"/>
    <w:rsid w:val="00C726CC"/>
    <w:rsid w:val="00C72DFC"/>
    <w:rsid w:val="00C73648"/>
    <w:rsid w:val="00C73E17"/>
    <w:rsid w:val="00C753CC"/>
    <w:rsid w:val="00C825CF"/>
    <w:rsid w:val="00C84631"/>
    <w:rsid w:val="00C8535A"/>
    <w:rsid w:val="00C87EF5"/>
    <w:rsid w:val="00C93F44"/>
    <w:rsid w:val="00C9576F"/>
    <w:rsid w:val="00CA3201"/>
    <w:rsid w:val="00CB054C"/>
    <w:rsid w:val="00CB09B9"/>
    <w:rsid w:val="00CB1512"/>
    <w:rsid w:val="00CB15B0"/>
    <w:rsid w:val="00CB46AD"/>
    <w:rsid w:val="00CB5D88"/>
    <w:rsid w:val="00CB7B76"/>
    <w:rsid w:val="00CC6E19"/>
    <w:rsid w:val="00CC7C2F"/>
    <w:rsid w:val="00CD2006"/>
    <w:rsid w:val="00CD2634"/>
    <w:rsid w:val="00CE0F8C"/>
    <w:rsid w:val="00CE22FC"/>
    <w:rsid w:val="00CE3608"/>
    <w:rsid w:val="00CE37D6"/>
    <w:rsid w:val="00CE3C73"/>
    <w:rsid w:val="00CE4410"/>
    <w:rsid w:val="00CE47A9"/>
    <w:rsid w:val="00CE5543"/>
    <w:rsid w:val="00CF08F6"/>
    <w:rsid w:val="00CF0D23"/>
    <w:rsid w:val="00CF1396"/>
    <w:rsid w:val="00CF42CB"/>
    <w:rsid w:val="00CF5C98"/>
    <w:rsid w:val="00CF5F27"/>
    <w:rsid w:val="00CF66E1"/>
    <w:rsid w:val="00CF6B2D"/>
    <w:rsid w:val="00D01059"/>
    <w:rsid w:val="00D023DB"/>
    <w:rsid w:val="00D031A6"/>
    <w:rsid w:val="00D03C62"/>
    <w:rsid w:val="00D03F6E"/>
    <w:rsid w:val="00D06F48"/>
    <w:rsid w:val="00D12E0E"/>
    <w:rsid w:val="00D14365"/>
    <w:rsid w:val="00D17E4E"/>
    <w:rsid w:val="00D25CEA"/>
    <w:rsid w:val="00D2694B"/>
    <w:rsid w:val="00D27775"/>
    <w:rsid w:val="00D30B13"/>
    <w:rsid w:val="00D32907"/>
    <w:rsid w:val="00D32F34"/>
    <w:rsid w:val="00D37EE7"/>
    <w:rsid w:val="00D40C16"/>
    <w:rsid w:val="00D44C80"/>
    <w:rsid w:val="00D44E2E"/>
    <w:rsid w:val="00D474C8"/>
    <w:rsid w:val="00D505D9"/>
    <w:rsid w:val="00D50B6A"/>
    <w:rsid w:val="00D52554"/>
    <w:rsid w:val="00D527B3"/>
    <w:rsid w:val="00D5360E"/>
    <w:rsid w:val="00D54D0B"/>
    <w:rsid w:val="00D55743"/>
    <w:rsid w:val="00D56922"/>
    <w:rsid w:val="00D619D0"/>
    <w:rsid w:val="00D62606"/>
    <w:rsid w:val="00D630C1"/>
    <w:rsid w:val="00D64089"/>
    <w:rsid w:val="00D65453"/>
    <w:rsid w:val="00D6661F"/>
    <w:rsid w:val="00D700C9"/>
    <w:rsid w:val="00D71C8C"/>
    <w:rsid w:val="00D74DAC"/>
    <w:rsid w:val="00D76E0B"/>
    <w:rsid w:val="00D80618"/>
    <w:rsid w:val="00D81338"/>
    <w:rsid w:val="00D81FB7"/>
    <w:rsid w:val="00D829AE"/>
    <w:rsid w:val="00D83733"/>
    <w:rsid w:val="00D83DD8"/>
    <w:rsid w:val="00D84284"/>
    <w:rsid w:val="00D84892"/>
    <w:rsid w:val="00D85630"/>
    <w:rsid w:val="00D85A3C"/>
    <w:rsid w:val="00D90459"/>
    <w:rsid w:val="00D90F64"/>
    <w:rsid w:val="00D9151E"/>
    <w:rsid w:val="00D93B4A"/>
    <w:rsid w:val="00D94F7A"/>
    <w:rsid w:val="00D95FDC"/>
    <w:rsid w:val="00D970A4"/>
    <w:rsid w:val="00DA0D3E"/>
    <w:rsid w:val="00DA1E62"/>
    <w:rsid w:val="00DB1727"/>
    <w:rsid w:val="00DB6FE1"/>
    <w:rsid w:val="00DC0316"/>
    <w:rsid w:val="00DC1B33"/>
    <w:rsid w:val="00DC2FB8"/>
    <w:rsid w:val="00DC497F"/>
    <w:rsid w:val="00DC515E"/>
    <w:rsid w:val="00DC5D4A"/>
    <w:rsid w:val="00DC65A9"/>
    <w:rsid w:val="00DD1ED9"/>
    <w:rsid w:val="00DD23EC"/>
    <w:rsid w:val="00DD29D3"/>
    <w:rsid w:val="00DD2CA2"/>
    <w:rsid w:val="00DD2DC3"/>
    <w:rsid w:val="00DD3C08"/>
    <w:rsid w:val="00DD48BF"/>
    <w:rsid w:val="00DD5C60"/>
    <w:rsid w:val="00DD6CD7"/>
    <w:rsid w:val="00DE3138"/>
    <w:rsid w:val="00DE4B6D"/>
    <w:rsid w:val="00DE56A0"/>
    <w:rsid w:val="00DE570A"/>
    <w:rsid w:val="00DE5AAF"/>
    <w:rsid w:val="00DE7739"/>
    <w:rsid w:val="00DF23FE"/>
    <w:rsid w:val="00DF7745"/>
    <w:rsid w:val="00DF79BA"/>
    <w:rsid w:val="00E00A09"/>
    <w:rsid w:val="00E00D31"/>
    <w:rsid w:val="00E015F0"/>
    <w:rsid w:val="00E034EB"/>
    <w:rsid w:val="00E038CE"/>
    <w:rsid w:val="00E03B8D"/>
    <w:rsid w:val="00E12F65"/>
    <w:rsid w:val="00E205C4"/>
    <w:rsid w:val="00E21B6D"/>
    <w:rsid w:val="00E22A6D"/>
    <w:rsid w:val="00E236B4"/>
    <w:rsid w:val="00E244D8"/>
    <w:rsid w:val="00E26062"/>
    <w:rsid w:val="00E2721F"/>
    <w:rsid w:val="00E27860"/>
    <w:rsid w:val="00E27861"/>
    <w:rsid w:val="00E326D0"/>
    <w:rsid w:val="00E35A04"/>
    <w:rsid w:val="00E427DD"/>
    <w:rsid w:val="00E44485"/>
    <w:rsid w:val="00E4594E"/>
    <w:rsid w:val="00E50973"/>
    <w:rsid w:val="00E51D42"/>
    <w:rsid w:val="00E54142"/>
    <w:rsid w:val="00E55756"/>
    <w:rsid w:val="00E55B60"/>
    <w:rsid w:val="00E57A91"/>
    <w:rsid w:val="00E657EB"/>
    <w:rsid w:val="00E661B8"/>
    <w:rsid w:val="00E66C9D"/>
    <w:rsid w:val="00E70557"/>
    <w:rsid w:val="00E706CC"/>
    <w:rsid w:val="00E71514"/>
    <w:rsid w:val="00E7349B"/>
    <w:rsid w:val="00E816D5"/>
    <w:rsid w:val="00E821E0"/>
    <w:rsid w:val="00E82D11"/>
    <w:rsid w:val="00E8474B"/>
    <w:rsid w:val="00E871BC"/>
    <w:rsid w:val="00E87891"/>
    <w:rsid w:val="00E878BF"/>
    <w:rsid w:val="00E87DD1"/>
    <w:rsid w:val="00E907AA"/>
    <w:rsid w:val="00E93C61"/>
    <w:rsid w:val="00EA2F22"/>
    <w:rsid w:val="00EA4DE5"/>
    <w:rsid w:val="00EA61DE"/>
    <w:rsid w:val="00EB02C8"/>
    <w:rsid w:val="00EB1C82"/>
    <w:rsid w:val="00EB1E59"/>
    <w:rsid w:val="00EB2BFE"/>
    <w:rsid w:val="00EB2C0A"/>
    <w:rsid w:val="00EB705B"/>
    <w:rsid w:val="00EC057A"/>
    <w:rsid w:val="00EC28DC"/>
    <w:rsid w:val="00EC567F"/>
    <w:rsid w:val="00EC61A4"/>
    <w:rsid w:val="00ED006C"/>
    <w:rsid w:val="00ED1C3D"/>
    <w:rsid w:val="00ED2B48"/>
    <w:rsid w:val="00ED4006"/>
    <w:rsid w:val="00EE0F40"/>
    <w:rsid w:val="00EE2A6E"/>
    <w:rsid w:val="00EF0D29"/>
    <w:rsid w:val="00EF54E3"/>
    <w:rsid w:val="00EF6C32"/>
    <w:rsid w:val="00F022A5"/>
    <w:rsid w:val="00F0231B"/>
    <w:rsid w:val="00F03DB5"/>
    <w:rsid w:val="00F04981"/>
    <w:rsid w:val="00F0684E"/>
    <w:rsid w:val="00F07073"/>
    <w:rsid w:val="00F073E5"/>
    <w:rsid w:val="00F11666"/>
    <w:rsid w:val="00F12C77"/>
    <w:rsid w:val="00F143E5"/>
    <w:rsid w:val="00F16CB1"/>
    <w:rsid w:val="00F1703E"/>
    <w:rsid w:val="00F174CB"/>
    <w:rsid w:val="00F20260"/>
    <w:rsid w:val="00F20897"/>
    <w:rsid w:val="00F211E9"/>
    <w:rsid w:val="00F22602"/>
    <w:rsid w:val="00F22ED3"/>
    <w:rsid w:val="00F2550B"/>
    <w:rsid w:val="00F2604B"/>
    <w:rsid w:val="00F267E3"/>
    <w:rsid w:val="00F30184"/>
    <w:rsid w:val="00F30309"/>
    <w:rsid w:val="00F309E0"/>
    <w:rsid w:val="00F32790"/>
    <w:rsid w:val="00F41AE9"/>
    <w:rsid w:val="00F43679"/>
    <w:rsid w:val="00F45214"/>
    <w:rsid w:val="00F45D6A"/>
    <w:rsid w:val="00F462FE"/>
    <w:rsid w:val="00F479AA"/>
    <w:rsid w:val="00F52CF9"/>
    <w:rsid w:val="00F54738"/>
    <w:rsid w:val="00F64CFD"/>
    <w:rsid w:val="00F701B5"/>
    <w:rsid w:val="00F71E71"/>
    <w:rsid w:val="00F80906"/>
    <w:rsid w:val="00F814CF"/>
    <w:rsid w:val="00F84B6A"/>
    <w:rsid w:val="00F86918"/>
    <w:rsid w:val="00F86EB8"/>
    <w:rsid w:val="00F87B24"/>
    <w:rsid w:val="00F90B93"/>
    <w:rsid w:val="00F90FC9"/>
    <w:rsid w:val="00F92EC6"/>
    <w:rsid w:val="00F93602"/>
    <w:rsid w:val="00F93C4C"/>
    <w:rsid w:val="00FA2F5C"/>
    <w:rsid w:val="00FA2FE4"/>
    <w:rsid w:val="00FA6AF0"/>
    <w:rsid w:val="00FA751D"/>
    <w:rsid w:val="00FB25F3"/>
    <w:rsid w:val="00FB3BBE"/>
    <w:rsid w:val="00FB3FD2"/>
    <w:rsid w:val="00FB49B7"/>
    <w:rsid w:val="00FB4BCE"/>
    <w:rsid w:val="00FB4FC1"/>
    <w:rsid w:val="00FC13CB"/>
    <w:rsid w:val="00FC2098"/>
    <w:rsid w:val="00FC5ECA"/>
    <w:rsid w:val="00FC6E8C"/>
    <w:rsid w:val="00FC77DD"/>
    <w:rsid w:val="00FC7E2F"/>
    <w:rsid w:val="00FD286D"/>
    <w:rsid w:val="00FD2BC2"/>
    <w:rsid w:val="00FD2F83"/>
    <w:rsid w:val="00FD77B4"/>
    <w:rsid w:val="00FD7804"/>
    <w:rsid w:val="00FD7BBE"/>
    <w:rsid w:val="00FD7DF1"/>
    <w:rsid w:val="00FE1106"/>
    <w:rsid w:val="00FE4C4C"/>
    <w:rsid w:val="00FE5C94"/>
    <w:rsid w:val="00FF01A2"/>
    <w:rsid w:val="00FF11AE"/>
    <w:rsid w:val="00FF1602"/>
    <w:rsid w:val="00FF263C"/>
    <w:rsid w:val="00FF55D5"/>
    <w:rsid w:val="00FF67AD"/>
    <w:rsid w:val="00FF6906"/>
    <w:rsid w:val="00FF692A"/>
    <w:rsid w:val="00FF69FF"/>
    <w:rsid w:val="00FF6E12"/>
    <w:rsid w:val="00FF7B51"/>
    <w:rsid w:val="00FF7B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18650"/>
  <w15:docId w15:val="{C64D88CA-87F2-450F-BD9E-453FE0CA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72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0C1"/>
    <w:rPr>
      <w:color w:val="0000FF" w:themeColor="hyperlink"/>
      <w:u w:val="single"/>
    </w:rPr>
  </w:style>
  <w:style w:type="paragraph" w:styleId="BalloonText">
    <w:name w:val="Balloon Text"/>
    <w:basedOn w:val="Normal"/>
    <w:link w:val="BalloonTextChar"/>
    <w:uiPriority w:val="99"/>
    <w:semiHidden/>
    <w:unhideWhenUsed/>
    <w:rsid w:val="00BE5E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E5D"/>
    <w:rPr>
      <w:rFonts w:ascii="Lucida Grande" w:hAnsi="Lucida Grande" w:cs="Lucida Grande"/>
      <w:sz w:val="18"/>
      <w:szCs w:val="18"/>
    </w:rPr>
  </w:style>
  <w:style w:type="paragraph" w:styleId="Header">
    <w:name w:val="header"/>
    <w:basedOn w:val="Normal"/>
    <w:link w:val="HeaderChar"/>
    <w:uiPriority w:val="99"/>
    <w:unhideWhenUsed/>
    <w:rsid w:val="002F72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728C"/>
  </w:style>
  <w:style w:type="paragraph" w:styleId="Footer">
    <w:name w:val="footer"/>
    <w:basedOn w:val="Normal"/>
    <w:link w:val="FooterChar"/>
    <w:uiPriority w:val="99"/>
    <w:unhideWhenUsed/>
    <w:rsid w:val="002F72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728C"/>
  </w:style>
  <w:style w:type="table" w:styleId="TableGrid">
    <w:name w:val="Table Grid"/>
    <w:basedOn w:val="TableNormal"/>
    <w:uiPriority w:val="59"/>
    <w:rsid w:val="00182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906"/>
    <w:pPr>
      <w:ind w:left="720"/>
      <w:contextualSpacing/>
    </w:pPr>
  </w:style>
  <w:style w:type="character" w:styleId="CommentReference">
    <w:name w:val="annotation reference"/>
    <w:basedOn w:val="DefaultParagraphFont"/>
    <w:uiPriority w:val="99"/>
    <w:semiHidden/>
    <w:unhideWhenUsed/>
    <w:rsid w:val="00311CB8"/>
    <w:rPr>
      <w:sz w:val="16"/>
      <w:szCs w:val="16"/>
    </w:rPr>
  </w:style>
  <w:style w:type="paragraph" w:styleId="CommentText">
    <w:name w:val="annotation text"/>
    <w:basedOn w:val="Normal"/>
    <w:link w:val="CommentTextChar"/>
    <w:uiPriority w:val="99"/>
    <w:unhideWhenUsed/>
    <w:rsid w:val="00311CB8"/>
    <w:pPr>
      <w:spacing w:line="240" w:lineRule="auto"/>
    </w:pPr>
    <w:rPr>
      <w:sz w:val="20"/>
      <w:szCs w:val="20"/>
    </w:rPr>
  </w:style>
  <w:style w:type="character" w:customStyle="1" w:styleId="CommentTextChar">
    <w:name w:val="Comment Text Char"/>
    <w:basedOn w:val="DefaultParagraphFont"/>
    <w:link w:val="CommentText"/>
    <w:uiPriority w:val="99"/>
    <w:rsid w:val="00311CB8"/>
    <w:rPr>
      <w:sz w:val="20"/>
      <w:szCs w:val="20"/>
    </w:rPr>
  </w:style>
  <w:style w:type="paragraph" w:styleId="CommentSubject">
    <w:name w:val="annotation subject"/>
    <w:basedOn w:val="CommentText"/>
    <w:next w:val="CommentText"/>
    <w:link w:val="CommentSubjectChar"/>
    <w:uiPriority w:val="99"/>
    <w:semiHidden/>
    <w:unhideWhenUsed/>
    <w:rsid w:val="00311CB8"/>
    <w:rPr>
      <w:b/>
      <w:bCs/>
    </w:rPr>
  </w:style>
  <w:style w:type="character" w:customStyle="1" w:styleId="CommentSubjectChar">
    <w:name w:val="Comment Subject Char"/>
    <w:basedOn w:val="CommentTextChar"/>
    <w:link w:val="CommentSubject"/>
    <w:uiPriority w:val="99"/>
    <w:semiHidden/>
    <w:rsid w:val="00311CB8"/>
    <w:rPr>
      <w:b/>
      <w:bCs/>
      <w:sz w:val="20"/>
      <w:szCs w:val="20"/>
    </w:rPr>
  </w:style>
  <w:style w:type="paragraph" w:styleId="Revision">
    <w:name w:val="Revision"/>
    <w:hidden/>
    <w:uiPriority w:val="99"/>
    <w:semiHidden/>
    <w:rsid w:val="00311CB8"/>
    <w:pPr>
      <w:spacing w:after="0" w:line="240" w:lineRule="auto"/>
    </w:pPr>
  </w:style>
  <w:style w:type="paragraph" w:styleId="NormalWeb">
    <w:name w:val="Normal (Web)"/>
    <w:basedOn w:val="Normal"/>
    <w:uiPriority w:val="99"/>
    <w:semiHidden/>
    <w:unhideWhenUsed/>
    <w:rsid w:val="002545A9"/>
    <w:pPr>
      <w:spacing w:before="100" w:beforeAutospacing="1" w:after="100" w:afterAutospacing="1" w:line="240" w:lineRule="auto"/>
    </w:pPr>
    <w:rPr>
      <w:rFonts w:ascii="Times" w:hAnsi="Times" w:cs="Times New Roman"/>
      <w:sz w:val="20"/>
      <w:szCs w:val="20"/>
    </w:rPr>
  </w:style>
  <w:style w:type="character" w:styleId="PlaceholderText">
    <w:name w:val="Placeholder Text"/>
    <w:basedOn w:val="DefaultParagraphFont"/>
    <w:uiPriority w:val="99"/>
    <w:semiHidden/>
    <w:rsid w:val="002545A9"/>
    <w:rPr>
      <w:color w:val="808080"/>
    </w:rPr>
  </w:style>
  <w:style w:type="character" w:styleId="FollowedHyperlink">
    <w:name w:val="FollowedHyperlink"/>
    <w:basedOn w:val="DefaultParagraphFont"/>
    <w:uiPriority w:val="99"/>
    <w:semiHidden/>
    <w:unhideWhenUsed/>
    <w:rsid w:val="00CF1396"/>
    <w:rPr>
      <w:color w:val="800080" w:themeColor="followedHyperlink"/>
      <w:u w:val="single"/>
    </w:rPr>
  </w:style>
  <w:style w:type="character" w:customStyle="1" w:styleId="apple-converted-space">
    <w:name w:val="apple-converted-space"/>
    <w:basedOn w:val="DefaultParagraphFont"/>
    <w:rsid w:val="00A8732E"/>
  </w:style>
  <w:style w:type="paragraph" w:styleId="Caption">
    <w:name w:val="caption"/>
    <w:basedOn w:val="Normal"/>
    <w:next w:val="Normal"/>
    <w:uiPriority w:val="35"/>
    <w:semiHidden/>
    <w:unhideWhenUsed/>
    <w:qFormat/>
    <w:rsid w:val="000E71C4"/>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D03F6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03F6E"/>
    <w:rPr>
      <w:rFonts w:ascii="Calibri" w:hAnsi="Calibri"/>
      <w:noProof/>
      <w:lang w:val="en-US"/>
    </w:rPr>
  </w:style>
  <w:style w:type="paragraph" w:customStyle="1" w:styleId="EndNoteBibliography">
    <w:name w:val="EndNote Bibliography"/>
    <w:basedOn w:val="Normal"/>
    <w:link w:val="EndNoteBibliographyChar"/>
    <w:rsid w:val="00D03F6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03F6E"/>
    <w:rPr>
      <w:rFonts w:ascii="Calibri" w:hAnsi="Calibri"/>
      <w:noProof/>
      <w:lang w:val="en-US"/>
    </w:rPr>
  </w:style>
  <w:style w:type="paragraph" w:customStyle="1" w:styleId="Title1">
    <w:name w:val="Title1"/>
    <w:basedOn w:val="Normal"/>
    <w:rsid w:val="00B070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B070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B070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B0705C"/>
  </w:style>
  <w:style w:type="paragraph" w:styleId="PlainText">
    <w:name w:val="Plain Text"/>
    <w:basedOn w:val="Normal"/>
    <w:link w:val="PlainTextChar"/>
    <w:uiPriority w:val="99"/>
    <w:semiHidden/>
    <w:unhideWhenUsed/>
    <w:rsid w:val="00DD29D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D29D3"/>
    <w:rPr>
      <w:rFonts w:ascii="Calibri" w:hAnsi="Calibri"/>
      <w:szCs w:val="21"/>
    </w:rPr>
  </w:style>
  <w:style w:type="paragraph" w:customStyle="1" w:styleId="Title2">
    <w:name w:val="Title2"/>
    <w:basedOn w:val="Normal"/>
    <w:rsid w:val="008B3A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772D9"/>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377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254">
      <w:bodyDiv w:val="1"/>
      <w:marLeft w:val="0"/>
      <w:marRight w:val="0"/>
      <w:marTop w:val="0"/>
      <w:marBottom w:val="0"/>
      <w:divBdr>
        <w:top w:val="none" w:sz="0" w:space="0" w:color="auto"/>
        <w:left w:val="none" w:sz="0" w:space="0" w:color="auto"/>
        <w:bottom w:val="none" w:sz="0" w:space="0" w:color="auto"/>
        <w:right w:val="none" w:sz="0" w:space="0" w:color="auto"/>
      </w:divBdr>
    </w:div>
    <w:div w:id="9450894">
      <w:bodyDiv w:val="1"/>
      <w:marLeft w:val="0"/>
      <w:marRight w:val="0"/>
      <w:marTop w:val="0"/>
      <w:marBottom w:val="0"/>
      <w:divBdr>
        <w:top w:val="none" w:sz="0" w:space="0" w:color="auto"/>
        <w:left w:val="none" w:sz="0" w:space="0" w:color="auto"/>
        <w:bottom w:val="none" w:sz="0" w:space="0" w:color="auto"/>
        <w:right w:val="none" w:sz="0" w:space="0" w:color="auto"/>
      </w:divBdr>
    </w:div>
    <w:div w:id="12731196">
      <w:bodyDiv w:val="1"/>
      <w:marLeft w:val="0"/>
      <w:marRight w:val="0"/>
      <w:marTop w:val="0"/>
      <w:marBottom w:val="0"/>
      <w:divBdr>
        <w:top w:val="none" w:sz="0" w:space="0" w:color="auto"/>
        <w:left w:val="none" w:sz="0" w:space="0" w:color="auto"/>
        <w:bottom w:val="none" w:sz="0" w:space="0" w:color="auto"/>
        <w:right w:val="none" w:sz="0" w:space="0" w:color="auto"/>
      </w:divBdr>
    </w:div>
    <w:div w:id="19476807">
      <w:bodyDiv w:val="1"/>
      <w:marLeft w:val="0"/>
      <w:marRight w:val="0"/>
      <w:marTop w:val="0"/>
      <w:marBottom w:val="0"/>
      <w:divBdr>
        <w:top w:val="none" w:sz="0" w:space="0" w:color="auto"/>
        <w:left w:val="none" w:sz="0" w:space="0" w:color="auto"/>
        <w:bottom w:val="none" w:sz="0" w:space="0" w:color="auto"/>
        <w:right w:val="none" w:sz="0" w:space="0" w:color="auto"/>
      </w:divBdr>
    </w:div>
    <w:div w:id="78257003">
      <w:bodyDiv w:val="1"/>
      <w:marLeft w:val="0"/>
      <w:marRight w:val="0"/>
      <w:marTop w:val="0"/>
      <w:marBottom w:val="0"/>
      <w:divBdr>
        <w:top w:val="none" w:sz="0" w:space="0" w:color="auto"/>
        <w:left w:val="none" w:sz="0" w:space="0" w:color="auto"/>
        <w:bottom w:val="none" w:sz="0" w:space="0" w:color="auto"/>
        <w:right w:val="none" w:sz="0" w:space="0" w:color="auto"/>
      </w:divBdr>
    </w:div>
    <w:div w:id="117795133">
      <w:bodyDiv w:val="1"/>
      <w:marLeft w:val="0"/>
      <w:marRight w:val="0"/>
      <w:marTop w:val="0"/>
      <w:marBottom w:val="0"/>
      <w:divBdr>
        <w:top w:val="none" w:sz="0" w:space="0" w:color="auto"/>
        <w:left w:val="none" w:sz="0" w:space="0" w:color="auto"/>
        <w:bottom w:val="none" w:sz="0" w:space="0" w:color="auto"/>
        <w:right w:val="none" w:sz="0" w:space="0" w:color="auto"/>
      </w:divBdr>
    </w:div>
    <w:div w:id="153381653">
      <w:bodyDiv w:val="1"/>
      <w:marLeft w:val="0"/>
      <w:marRight w:val="0"/>
      <w:marTop w:val="0"/>
      <w:marBottom w:val="0"/>
      <w:divBdr>
        <w:top w:val="none" w:sz="0" w:space="0" w:color="auto"/>
        <w:left w:val="none" w:sz="0" w:space="0" w:color="auto"/>
        <w:bottom w:val="none" w:sz="0" w:space="0" w:color="auto"/>
        <w:right w:val="none" w:sz="0" w:space="0" w:color="auto"/>
      </w:divBdr>
    </w:div>
    <w:div w:id="156699124">
      <w:bodyDiv w:val="1"/>
      <w:marLeft w:val="0"/>
      <w:marRight w:val="0"/>
      <w:marTop w:val="0"/>
      <w:marBottom w:val="0"/>
      <w:divBdr>
        <w:top w:val="none" w:sz="0" w:space="0" w:color="auto"/>
        <w:left w:val="none" w:sz="0" w:space="0" w:color="auto"/>
        <w:bottom w:val="none" w:sz="0" w:space="0" w:color="auto"/>
        <w:right w:val="none" w:sz="0" w:space="0" w:color="auto"/>
      </w:divBdr>
    </w:div>
    <w:div w:id="251282437">
      <w:bodyDiv w:val="1"/>
      <w:marLeft w:val="0"/>
      <w:marRight w:val="0"/>
      <w:marTop w:val="0"/>
      <w:marBottom w:val="0"/>
      <w:divBdr>
        <w:top w:val="none" w:sz="0" w:space="0" w:color="auto"/>
        <w:left w:val="none" w:sz="0" w:space="0" w:color="auto"/>
        <w:bottom w:val="none" w:sz="0" w:space="0" w:color="auto"/>
        <w:right w:val="none" w:sz="0" w:space="0" w:color="auto"/>
      </w:divBdr>
    </w:div>
    <w:div w:id="263416127">
      <w:bodyDiv w:val="1"/>
      <w:marLeft w:val="0"/>
      <w:marRight w:val="0"/>
      <w:marTop w:val="0"/>
      <w:marBottom w:val="0"/>
      <w:divBdr>
        <w:top w:val="none" w:sz="0" w:space="0" w:color="auto"/>
        <w:left w:val="none" w:sz="0" w:space="0" w:color="auto"/>
        <w:bottom w:val="none" w:sz="0" w:space="0" w:color="auto"/>
        <w:right w:val="none" w:sz="0" w:space="0" w:color="auto"/>
      </w:divBdr>
    </w:div>
    <w:div w:id="284626016">
      <w:bodyDiv w:val="1"/>
      <w:marLeft w:val="0"/>
      <w:marRight w:val="0"/>
      <w:marTop w:val="0"/>
      <w:marBottom w:val="0"/>
      <w:divBdr>
        <w:top w:val="none" w:sz="0" w:space="0" w:color="auto"/>
        <w:left w:val="none" w:sz="0" w:space="0" w:color="auto"/>
        <w:bottom w:val="none" w:sz="0" w:space="0" w:color="auto"/>
        <w:right w:val="none" w:sz="0" w:space="0" w:color="auto"/>
      </w:divBdr>
    </w:div>
    <w:div w:id="291134203">
      <w:bodyDiv w:val="1"/>
      <w:marLeft w:val="0"/>
      <w:marRight w:val="0"/>
      <w:marTop w:val="0"/>
      <w:marBottom w:val="0"/>
      <w:divBdr>
        <w:top w:val="none" w:sz="0" w:space="0" w:color="auto"/>
        <w:left w:val="none" w:sz="0" w:space="0" w:color="auto"/>
        <w:bottom w:val="none" w:sz="0" w:space="0" w:color="auto"/>
        <w:right w:val="none" w:sz="0" w:space="0" w:color="auto"/>
      </w:divBdr>
    </w:div>
    <w:div w:id="313797271">
      <w:bodyDiv w:val="1"/>
      <w:marLeft w:val="0"/>
      <w:marRight w:val="0"/>
      <w:marTop w:val="0"/>
      <w:marBottom w:val="0"/>
      <w:divBdr>
        <w:top w:val="none" w:sz="0" w:space="0" w:color="auto"/>
        <w:left w:val="none" w:sz="0" w:space="0" w:color="auto"/>
        <w:bottom w:val="none" w:sz="0" w:space="0" w:color="auto"/>
        <w:right w:val="none" w:sz="0" w:space="0" w:color="auto"/>
      </w:divBdr>
    </w:div>
    <w:div w:id="318314665">
      <w:bodyDiv w:val="1"/>
      <w:marLeft w:val="0"/>
      <w:marRight w:val="0"/>
      <w:marTop w:val="0"/>
      <w:marBottom w:val="0"/>
      <w:divBdr>
        <w:top w:val="none" w:sz="0" w:space="0" w:color="auto"/>
        <w:left w:val="none" w:sz="0" w:space="0" w:color="auto"/>
        <w:bottom w:val="none" w:sz="0" w:space="0" w:color="auto"/>
        <w:right w:val="none" w:sz="0" w:space="0" w:color="auto"/>
      </w:divBdr>
      <w:divsChild>
        <w:div w:id="1624266635">
          <w:marLeft w:val="0"/>
          <w:marRight w:val="0"/>
          <w:marTop w:val="0"/>
          <w:marBottom w:val="0"/>
          <w:divBdr>
            <w:top w:val="none" w:sz="0" w:space="0" w:color="auto"/>
            <w:left w:val="none" w:sz="0" w:space="0" w:color="auto"/>
            <w:bottom w:val="none" w:sz="0" w:space="0" w:color="auto"/>
            <w:right w:val="none" w:sz="0" w:space="0" w:color="auto"/>
          </w:divBdr>
          <w:divsChild>
            <w:div w:id="964892462">
              <w:marLeft w:val="0"/>
              <w:marRight w:val="0"/>
              <w:marTop w:val="0"/>
              <w:marBottom w:val="0"/>
              <w:divBdr>
                <w:top w:val="none" w:sz="0" w:space="0" w:color="auto"/>
                <w:left w:val="none" w:sz="0" w:space="0" w:color="auto"/>
                <w:bottom w:val="none" w:sz="0" w:space="0" w:color="auto"/>
                <w:right w:val="none" w:sz="0" w:space="0" w:color="auto"/>
              </w:divBdr>
              <w:divsChild>
                <w:div w:id="1656035408">
                  <w:marLeft w:val="0"/>
                  <w:marRight w:val="0"/>
                  <w:marTop w:val="0"/>
                  <w:marBottom w:val="0"/>
                  <w:divBdr>
                    <w:top w:val="none" w:sz="0" w:space="0" w:color="auto"/>
                    <w:left w:val="none" w:sz="0" w:space="0" w:color="auto"/>
                    <w:bottom w:val="none" w:sz="0" w:space="0" w:color="auto"/>
                    <w:right w:val="none" w:sz="0" w:space="0" w:color="auto"/>
                  </w:divBdr>
                  <w:divsChild>
                    <w:div w:id="11376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66352">
      <w:bodyDiv w:val="1"/>
      <w:marLeft w:val="0"/>
      <w:marRight w:val="0"/>
      <w:marTop w:val="0"/>
      <w:marBottom w:val="0"/>
      <w:divBdr>
        <w:top w:val="none" w:sz="0" w:space="0" w:color="auto"/>
        <w:left w:val="none" w:sz="0" w:space="0" w:color="auto"/>
        <w:bottom w:val="none" w:sz="0" w:space="0" w:color="auto"/>
        <w:right w:val="none" w:sz="0" w:space="0" w:color="auto"/>
      </w:divBdr>
    </w:div>
    <w:div w:id="353575916">
      <w:bodyDiv w:val="1"/>
      <w:marLeft w:val="0"/>
      <w:marRight w:val="0"/>
      <w:marTop w:val="0"/>
      <w:marBottom w:val="0"/>
      <w:divBdr>
        <w:top w:val="none" w:sz="0" w:space="0" w:color="auto"/>
        <w:left w:val="none" w:sz="0" w:space="0" w:color="auto"/>
        <w:bottom w:val="none" w:sz="0" w:space="0" w:color="auto"/>
        <w:right w:val="none" w:sz="0" w:space="0" w:color="auto"/>
      </w:divBdr>
    </w:div>
    <w:div w:id="408425756">
      <w:bodyDiv w:val="1"/>
      <w:marLeft w:val="0"/>
      <w:marRight w:val="0"/>
      <w:marTop w:val="0"/>
      <w:marBottom w:val="0"/>
      <w:divBdr>
        <w:top w:val="none" w:sz="0" w:space="0" w:color="auto"/>
        <w:left w:val="none" w:sz="0" w:space="0" w:color="auto"/>
        <w:bottom w:val="none" w:sz="0" w:space="0" w:color="auto"/>
        <w:right w:val="none" w:sz="0" w:space="0" w:color="auto"/>
      </w:divBdr>
    </w:div>
    <w:div w:id="451099009">
      <w:bodyDiv w:val="1"/>
      <w:marLeft w:val="0"/>
      <w:marRight w:val="0"/>
      <w:marTop w:val="0"/>
      <w:marBottom w:val="0"/>
      <w:divBdr>
        <w:top w:val="none" w:sz="0" w:space="0" w:color="auto"/>
        <w:left w:val="none" w:sz="0" w:space="0" w:color="auto"/>
        <w:bottom w:val="none" w:sz="0" w:space="0" w:color="auto"/>
        <w:right w:val="none" w:sz="0" w:space="0" w:color="auto"/>
      </w:divBdr>
    </w:div>
    <w:div w:id="503127853">
      <w:bodyDiv w:val="1"/>
      <w:marLeft w:val="0"/>
      <w:marRight w:val="0"/>
      <w:marTop w:val="0"/>
      <w:marBottom w:val="0"/>
      <w:divBdr>
        <w:top w:val="none" w:sz="0" w:space="0" w:color="auto"/>
        <w:left w:val="none" w:sz="0" w:space="0" w:color="auto"/>
        <w:bottom w:val="none" w:sz="0" w:space="0" w:color="auto"/>
        <w:right w:val="none" w:sz="0" w:space="0" w:color="auto"/>
      </w:divBdr>
    </w:div>
    <w:div w:id="627316965">
      <w:bodyDiv w:val="1"/>
      <w:marLeft w:val="0"/>
      <w:marRight w:val="0"/>
      <w:marTop w:val="0"/>
      <w:marBottom w:val="0"/>
      <w:divBdr>
        <w:top w:val="none" w:sz="0" w:space="0" w:color="auto"/>
        <w:left w:val="none" w:sz="0" w:space="0" w:color="auto"/>
        <w:bottom w:val="none" w:sz="0" w:space="0" w:color="auto"/>
        <w:right w:val="none" w:sz="0" w:space="0" w:color="auto"/>
      </w:divBdr>
    </w:div>
    <w:div w:id="638998035">
      <w:bodyDiv w:val="1"/>
      <w:marLeft w:val="0"/>
      <w:marRight w:val="0"/>
      <w:marTop w:val="0"/>
      <w:marBottom w:val="0"/>
      <w:divBdr>
        <w:top w:val="none" w:sz="0" w:space="0" w:color="auto"/>
        <w:left w:val="none" w:sz="0" w:space="0" w:color="auto"/>
        <w:bottom w:val="none" w:sz="0" w:space="0" w:color="auto"/>
        <w:right w:val="none" w:sz="0" w:space="0" w:color="auto"/>
      </w:divBdr>
    </w:div>
    <w:div w:id="661472249">
      <w:bodyDiv w:val="1"/>
      <w:marLeft w:val="0"/>
      <w:marRight w:val="0"/>
      <w:marTop w:val="0"/>
      <w:marBottom w:val="0"/>
      <w:divBdr>
        <w:top w:val="none" w:sz="0" w:space="0" w:color="auto"/>
        <w:left w:val="none" w:sz="0" w:space="0" w:color="auto"/>
        <w:bottom w:val="none" w:sz="0" w:space="0" w:color="auto"/>
        <w:right w:val="none" w:sz="0" w:space="0" w:color="auto"/>
      </w:divBdr>
    </w:div>
    <w:div w:id="681468082">
      <w:bodyDiv w:val="1"/>
      <w:marLeft w:val="0"/>
      <w:marRight w:val="0"/>
      <w:marTop w:val="0"/>
      <w:marBottom w:val="0"/>
      <w:divBdr>
        <w:top w:val="none" w:sz="0" w:space="0" w:color="auto"/>
        <w:left w:val="none" w:sz="0" w:space="0" w:color="auto"/>
        <w:bottom w:val="none" w:sz="0" w:space="0" w:color="auto"/>
        <w:right w:val="none" w:sz="0" w:space="0" w:color="auto"/>
      </w:divBdr>
    </w:div>
    <w:div w:id="784275916">
      <w:bodyDiv w:val="1"/>
      <w:marLeft w:val="0"/>
      <w:marRight w:val="0"/>
      <w:marTop w:val="0"/>
      <w:marBottom w:val="0"/>
      <w:divBdr>
        <w:top w:val="none" w:sz="0" w:space="0" w:color="auto"/>
        <w:left w:val="none" w:sz="0" w:space="0" w:color="auto"/>
        <w:bottom w:val="none" w:sz="0" w:space="0" w:color="auto"/>
        <w:right w:val="none" w:sz="0" w:space="0" w:color="auto"/>
      </w:divBdr>
    </w:div>
    <w:div w:id="792943648">
      <w:bodyDiv w:val="1"/>
      <w:marLeft w:val="0"/>
      <w:marRight w:val="0"/>
      <w:marTop w:val="0"/>
      <w:marBottom w:val="0"/>
      <w:divBdr>
        <w:top w:val="none" w:sz="0" w:space="0" w:color="auto"/>
        <w:left w:val="none" w:sz="0" w:space="0" w:color="auto"/>
        <w:bottom w:val="none" w:sz="0" w:space="0" w:color="auto"/>
        <w:right w:val="none" w:sz="0" w:space="0" w:color="auto"/>
      </w:divBdr>
    </w:div>
    <w:div w:id="905184103">
      <w:bodyDiv w:val="1"/>
      <w:marLeft w:val="0"/>
      <w:marRight w:val="0"/>
      <w:marTop w:val="0"/>
      <w:marBottom w:val="0"/>
      <w:divBdr>
        <w:top w:val="none" w:sz="0" w:space="0" w:color="auto"/>
        <w:left w:val="none" w:sz="0" w:space="0" w:color="auto"/>
        <w:bottom w:val="none" w:sz="0" w:space="0" w:color="auto"/>
        <w:right w:val="none" w:sz="0" w:space="0" w:color="auto"/>
      </w:divBdr>
    </w:div>
    <w:div w:id="905917805">
      <w:bodyDiv w:val="1"/>
      <w:marLeft w:val="0"/>
      <w:marRight w:val="0"/>
      <w:marTop w:val="0"/>
      <w:marBottom w:val="0"/>
      <w:divBdr>
        <w:top w:val="none" w:sz="0" w:space="0" w:color="auto"/>
        <w:left w:val="none" w:sz="0" w:space="0" w:color="auto"/>
        <w:bottom w:val="none" w:sz="0" w:space="0" w:color="auto"/>
        <w:right w:val="none" w:sz="0" w:space="0" w:color="auto"/>
      </w:divBdr>
    </w:div>
    <w:div w:id="915164703">
      <w:bodyDiv w:val="1"/>
      <w:marLeft w:val="0"/>
      <w:marRight w:val="0"/>
      <w:marTop w:val="0"/>
      <w:marBottom w:val="0"/>
      <w:divBdr>
        <w:top w:val="none" w:sz="0" w:space="0" w:color="auto"/>
        <w:left w:val="none" w:sz="0" w:space="0" w:color="auto"/>
        <w:bottom w:val="none" w:sz="0" w:space="0" w:color="auto"/>
        <w:right w:val="none" w:sz="0" w:space="0" w:color="auto"/>
      </w:divBdr>
    </w:div>
    <w:div w:id="933708892">
      <w:bodyDiv w:val="1"/>
      <w:marLeft w:val="0"/>
      <w:marRight w:val="0"/>
      <w:marTop w:val="0"/>
      <w:marBottom w:val="0"/>
      <w:divBdr>
        <w:top w:val="none" w:sz="0" w:space="0" w:color="auto"/>
        <w:left w:val="none" w:sz="0" w:space="0" w:color="auto"/>
        <w:bottom w:val="none" w:sz="0" w:space="0" w:color="auto"/>
        <w:right w:val="none" w:sz="0" w:space="0" w:color="auto"/>
      </w:divBdr>
    </w:div>
    <w:div w:id="956716048">
      <w:bodyDiv w:val="1"/>
      <w:marLeft w:val="0"/>
      <w:marRight w:val="0"/>
      <w:marTop w:val="0"/>
      <w:marBottom w:val="0"/>
      <w:divBdr>
        <w:top w:val="none" w:sz="0" w:space="0" w:color="auto"/>
        <w:left w:val="none" w:sz="0" w:space="0" w:color="auto"/>
        <w:bottom w:val="none" w:sz="0" w:space="0" w:color="auto"/>
        <w:right w:val="none" w:sz="0" w:space="0" w:color="auto"/>
      </w:divBdr>
    </w:div>
    <w:div w:id="961497683">
      <w:bodyDiv w:val="1"/>
      <w:marLeft w:val="0"/>
      <w:marRight w:val="0"/>
      <w:marTop w:val="0"/>
      <w:marBottom w:val="0"/>
      <w:divBdr>
        <w:top w:val="none" w:sz="0" w:space="0" w:color="auto"/>
        <w:left w:val="none" w:sz="0" w:space="0" w:color="auto"/>
        <w:bottom w:val="none" w:sz="0" w:space="0" w:color="auto"/>
        <w:right w:val="none" w:sz="0" w:space="0" w:color="auto"/>
      </w:divBdr>
    </w:div>
    <w:div w:id="970676229">
      <w:bodyDiv w:val="1"/>
      <w:marLeft w:val="0"/>
      <w:marRight w:val="0"/>
      <w:marTop w:val="0"/>
      <w:marBottom w:val="0"/>
      <w:divBdr>
        <w:top w:val="none" w:sz="0" w:space="0" w:color="auto"/>
        <w:left w:val="none" w:sz="0" w:space="0" w:color="auto"/>
        <w:bottom w:val="none" w:sz="0" w:space="0" w:color="auto"/>
        <w:right w:val="none" w:sz="0" w:space="0" w:color="auto"/>
      </w:divBdr>
    </w:div>
    <w:div w:id="991057661">
      <w:bodyDiv w:val="1"/>
      <w:marLeft w:val="0"/>
      <w:marRight w:val="0"/>
      <w:marTop w:val="0"/>
      <w:marBottom w:val="0"/>
      <w:divBdr>
        <w:top w:val="none" w:sz="0" w:space="0" w:color="auto"/>
        <w:left w:val="none" w:sz="0" w:space="0" w:color="auto"/>
        <w:bottom w:val="none" w:sz="0" w:space="0" w:color="auto"/>
        <w:right w:val="none" w:sz="0" w:space="0" w:color="auto"/>
      </w:divBdr>
    </w:div>
    <w:div w:id="1048186716">
      <w:bodyDiv w:val="1"/>
      <w:marLeft w:val="0"/>
      <w:marRight w:val="0"/>
      <w:marTop w:val="0"/>
      <w:marBottom w:val="0"/>
      <w:divBdr>
        <w:top w:val="none" w:sz="0" w:space="0" w:color="auto"/>
        <w:left w:val="none" w:sz="0" w:space="0" w:color="auto"/>
        <w:bottom w:val="none" w:sz="0" w:space="0" w:color="auto"/>
        <w:right w:val="none" w:sz="0" w:space="0" w:color="auto"/>
      </w:divBdr>
    </w:div>
    <w:div w:id="1077172960">
      <w:bodyDiv w:val="1"/>
      <w:marLeft w:val="0"/>
      <w:marRight w:val="0"/>
      <w:marTop w:val="0"/>
      <w:marBottom w:val="0"/>
      <w:divBdr>
        <w:top w:val="none" w:sz="0" w:space="0" w:color="auto"/>
        <w:left w:val="none" w:sz="0" w:space="0" w:color="auto"/>
        <w:bottom w:val="none" w:sz="0" w:space="0" w:color="auto"/>
        <w:right w:val="none" w:sz="0" w:space="0" w:color="auto"/>
      </w:divBdr>
    </w:div>
    <w:div w:id="1082604548">
      <w:bodyDiv w:val="1"/>
      <w:marLeft w:val="0"/>
      <w:marRight w:val="0"/>
      <w:marTop w:val="0"/>
      <w:marBottom w:val="0"/>
      <w:divBdr>
        <w:top w:val="none" w:sz="0" w:space="0" w:color="auto"/>
        <w:left w:val="none" w:sz="0" w:space="0" w:color="auto"/>
        <w:bottom w:val="none" w:sz="0" w:space="0" w:color="auto"/>
        <w:right w:val="none" w:sz="0" w:space="0" w:color="auto"/>
      </w:divBdr>
    </w:div>
    <w:div w:id="1094937424">
      <w:bodyDiv w:val="1"/>
      <w:marLeft w:val="0"/>
      <w:marRight w:val="0"/>
      <w:marTop w:val="0"/>
      <w:marBottom w:val="0"/>
      <w:divBdr>
        <w:top w:val="none" w:sz="0" w:space="0" w:color="auto"/>
        <w:left w:val="none" w:sz="0" w:space="0" w:color="auto"/>
        <w:bottom w:val="none" w:sz="0" w:space="0" w:color="auto"/>
        <w:right w:val="none" w:sz="0" w:space="0" w:color="auto"/>
      </w:divBdr>
    </w:div>
    <w:div w:id="1099567738">
      <w:bodyDiv w:val="1"/>
      <w:marLeft w:val="0"/>
      <w:marRight w:val="0"/>
      <w:marTop w:val="0"/>
      <w:marBottom w:val="0"/>
      <w:divBdr>
        <w:top w:val="none" w:sz="0" w:space="0" w:color="auto"/>
        <w:left w:val="none" w:sz="0" w:space="0" w:color="auto"/>
        <w:bottom w:val="none" w:sz="0" w:space="0" w:color="auto"/>
        <w:right w:val="none" w:sz="0" w:space="0" w:color="auto"/>
      </w:divBdr>
    </w:div>
    <w:div w:id="1219129594">
      <w:bodyDiv w:val="1"/>
      <w:marLeft w:val="0"/>
      <w:marRight w:val="0"/>
      <w:marTop w:val="0"/>
      <w:marBottom w:val="0"/>
      <w:divBdr>
        <w:top w:val="none" w:sz="0" w:space="0" w:color="auto"/>
        <w:left w:val="none" w:sz="0" w:space="0" w:color="auto"/>
        <w:bottom w:val="none" w:sz="0" w:space="0" w:color="auto"/>
        <w:right w:val="none" w:sz="0" w:space="0" w:color="auto"/>
      </w:divBdr>
    </w:div>
    <w:div w:id="1272011246">
      <w:bodyDiv w:val="1"/>
      <w:marLeft w:val="0"/>
      <w:marRight w:val="0"/>
      <w:marTop w:val="0"/>
      <w:marBottom w:val="0"/>
      <w:divBdr>
        <w:top w:val="none" w:sz="0" w:space="0" w:color="auto"/>
        <w:left w:val="none" w:sz="0" w:space="0" w:color="auto"/>
        <w:bottom w:val="none" w:sz="0" w:space="0" w:color="auto"/>
        <w:right w:val="none" w:sz="0" w:space="0" w:color="auto"/>
      </w:divBdr>
    </w:div>
    <w:div w:id="1293826567">
      <w:bodyDiv w:val="1"/>
      <w:marLeft w:val="0"/>
      <w:marRight w:val="0"/>
      <w:marTop w:val="0"/>
      <w:marBottom w:val="0"/>
      <w:divBdr>
        <w:top w:val="none" w:sz="0" w:space="0" w:color="auto"/>
        <w:left w:val="none" w:sz="0" w:space="0" w:color="auto"/>
        <w:bottom w:val="none" w:sz="0" w:space="0" w:color="auto"/>
        <w:right w:val="none" w:sz="0" w:space="0" w:color="auto"/>
      </w:divBdr>
    </w:div>
    <w:div w:id="1296982291">
      <w:bodyDiv w:val="1"/>
      <w:marLeft w:val="0"/>
      <w:marRight w:val="0"/>
      <w:marTop w:val="0"/>
      <w:marBottom w:val="0"/>
      <w:divBdr>
        <w:top w:val="none" w:sz="0" w:space="0" w:color="auto"/>
        <w:left w:val="none" w:sz="0" w:space="0" w:color="auto"/>
        <w:bottom w:val="none" w:sz="0" w:space="0" w:color="auto"/>
        <w:right w:val="none" w:sz="0" w:space="0" w:color="auto"/>
      </w:divBdr>
    </w:div>
    <w:div w:id="1315261099">
      <w:bodyDiv w:val="1"/>
      <w:marLeft w:val="0"/>
      <w:marRight w:val="0"/>
      <w:marTop w:val="0"/>
      <w:marBottom w:val="0"/>
      <w:divBdr>
        <w:top w:val="none" w:sz="0" w:space="0" w:color="auto"/>
        <w:left w:val="none" w:sz="0" w:space="0" w:color="auto"/>
        <w:bottom w:val="none" w:sz="0" w:space="0" w:color="auto"/>
        <w:right w:val="none" w:sz="0" w:space="0" w:color="auto"/>
      </w:divBdr>
    </w:div>
    <w:div w:id="1357535216">
      <w:bodyDiv w:val="1"/>
      <w:marLeft w:val="0"/>
      <w:marRight w:val="0"/>
      <w:marTop w:val="0"/>
      <w:marBottom w:val="0"/>
      <w:divBdr>
        <w:top w:val="none" w:sz="0" w:space="0" w:color="auto"/>
        <w:left w:val="none" w:sz="0" w:space="0" w:color="auto"/>
        <w:bottom w:val="none" w:sz="0" w:space="0" w:color="auto"/>
        <w:right w:val="none" w:sz="0" w:space="0" w:color="auto"/>
      </w:divBdr>
    </w:div>
    <w:div w:id="1364012365">
      <w:bodyDiv w:val="1"/>
      <w:marLeft w:val="0"/>
      <w:marRight w:val="0"/>
      <w:marTop w:val="0"/>
      <w:marBottom w:val="0"/>
      <w:divBdr>
        <w:top w:val="none" w:sz="0" w:space="0" w:color="auto"/>
        <w:left w:val="none" w:sz="0" w:space="0" w:color="auto"/>
        <w:bottom w:val="none" w:sz="0" w:space="0" w:color="auto"/>
        <w:right w:val="none" w:sz="0" w:space="0" w:color="auto"/>
      </w:divBdr>
    </w:div>
    <w:div w:id="1364358507">
      <w:bodyDiv w:val="1"/>
      <w:marLeft w:val="0"/>
      <w:marRight w:val="0"/>
      <w:marTop w:val="0"/>
      <w:marBottom w:val="0"/>
      <w:divBdr>
        <w:top w:val="none" w:sz="0" w:space="0" w:color="auto"/>
        <w:left w:val="none" w:sz="0" w:space="0" w:color="auto"/>
        <w:bottom w:val="none" w:sz="0" w:space="0" w:color="auto"/>
        <w:right w:val="none" w:sz="0" w:space="0" w:color="auto"/>
      </w:divBdr>
    </w:div>
    <w:div w:id="1466503952">
      <w:bodyDiv w:val="1"/>
      <w:marLeft w:val="0"/>
      <w:marRight w:val="0"/>
      <w:marTop w:val="0"/>
      <w:marBottom w:val="0"/>
      <w:divBdr>
        <w:top w:val="none" w:sz="0" w:space="0" w:color="auto"/>
        <w:left w:val="none" w:sz="0" w:space="0" w:color="auto"/>
        <w:bottom w:val="none" w:sz="0" w:space="0" w:color="auto"/>
        <w:right w:val="none" w:sz="0" w:space="0" w:color="auto"/>
      </w:divBdr>
    </w:div>
    <w:div w:id="1497306671">
      <w:bodyDiv w:val="1"/>
      <w:marLeft w:val="0"/>
      <w:marRight w:val="0"/>
      <w:marTop w:val="0"/>
      <w:marBottom w:val="0"/>
      <w:divBdr>
        <w:top w:val="none" w:sz="0" w:space="0" w:color="auto"/>
        <w:left w:val="none" w:sz="0" w:space="0" w:color="auto"/>
        <w:bottom w:val="none" w:sz="0" w:space="0" w:color="auto"/>
        <w:right w:val="none" w:sz="0" w:space="0" w:color="auto"/>
      </w:divBdr>
    </w:div>
    <w:div w:id="1505975956">
      <w:bodyDiv w:val="1"/>
      <w:marLeft w:val="0"/>
      <w:marRight w:val="0"/>
      <w:marTop w:val="0"/>
      <w:marBottom w:val="0"/>
      <w:divBdr>
        <w:top w:val="none" w:sz="0" w:space="0" w:color="auto"/>
        <w:left w:val="none" w:sz="0" w:space="0" w:color="auto"/>
        <w:bottom w:val="none" w:sz="0" w:space="0" w:color="auto"/>
        <w:right w:val="none" w:sz="0" w:space="0" w:color="auto"/>
      </w:divBdr>
    </w:div>
    <w:div w:id="1506283401">
      <w:bodyDiv w:val="1"/>
      <w:marLeft w:val="0"/>
      <w:marRight w:val="0"/>
      <w:marTop w:val="0"/>
      <w:marBottom w:val="0"/>
      <w:divBdr>
        <w:top w:val="none" w:sz="0" w:space="0" w:color="auto"/>
        <w:left w:val="none" w:sz="0" w:space="0" w:color="auto"/>
        <w:bottom w:val="none" w:sz="0" w:space="0" w:color="auto"/>
        <w:right w:val="none" w:sz="0" w:space="0" w:color="auto"/>
      </w:divBdr>
    </w:div>
    <w:div w:id="1552498889">
      <w:bodyDiv w:val="1"/>
      <w:marLeft w:val="0"/>
      <w:marRight w:val="0"/>
      <w:marTop w:val="0"/>
      <w:marBottom w:val="0"/>
      <w:divBdr>
        <w:top w:val="none" w:sz="0" w:space="0" w:color="auto"/>
        <w:left w:val="none" w:sz="0" w:space="0" w:color="auto"/>
        <w:bottom w:val="none" w:sz="0" w:space="0" w:color="auto"/>
        <w:right w:val="none" w:sz="0" w:space="0" w:color="auto"/>
      </w:divBdr>
      <w:divsChild>
        <w:div w:id="1133867582">
          <w:marLeft w:val="0"/>
          <w:marRight w:val="0"/>
          <w:marTop w:val="34"/>
          <w:marBottom w:val="34"/>
          <w:divBdr>
            <w:top w:val="none" w:sz="0" w:space="0" w:color="auto"/>
            <w:left w:val="none" w:sz="0" w:space="0" w:color="auto"/>
            <w:bottom w:val="none" w:sz="0" w:space="0" w:color="auto"/>
            <w:right w:val="none" w:sz="0" w:space="0" w:color="auto"/>
          </w:divBdr>
        </w:div>
      </w:divsChild>
    </w:div>
    <w:div w:id="1570723376">
      <w:bodyDiv w:val="1"/>
      <w:marLeft w:val="0"/>
      <w:marRight w:val="0"/>
      <w:marTop w:val="0"/>
      <w:marBottom w:val="0"/>
      <w:divBdr>
        <w:top w:val="none" w:sz="0" w:space="0" w:color="auto"/>
        <w:left w:val="none" w:sz="0" w:space="0" w:color="auto"/>
        <w:bottom w:val="none" w:sz="0" w:space="0" w:color="auto"/>
        <w:right w:val="none" w:sz="0" w:space="0" w:color="auto"/>
      </w:divBdr>
    </w:div>
    <w:div w:id="1573005839">
      <w:bodyDiv w:val="1"/>
      <w:marLeft w:val="0"/>
      <w:marRight w:val="0"/>
      <w:marTop w:val="0"/>
      <w:marBottom w:val="0"/>
      <w:divBdr>
        <w:top w:val="none" w:sz="0" w:space="0" w:color="auto"/>
        <w:left w:val="none" w:sz="0" w:space="0" w:color="auto"/>
        <w:bottom w:val="none" w:sz="0" w:space="0" w:color="auto"/>
        <w:right w:val="none" w:sz="0" w:space="0" w:color="auto"/>
      </w:divBdr>
    </w:div>
    <w:div w:id="1586115005">
      <w:bodyDiv w:val="1"/>
      <w:marLeft w:val="0"/>
      <w:marRight w:val="0"/>
      <w:marTop w:val="0"/>
      <w:marBottom w:val="0"/>
      <w:divBdr>
        <w:top w:val="none" w:sz="0" w:space="0" w:color="auto"/>
        <w:left w:val="none" w:sz="0" w:space="0" w:color="auto"/>
        <w:bottom w:val="none" w:sz="0" w:space="0" w:color="auto"/>
        <w:right w:val="none" w:sz="0" w:space="0" w:color="auto"/>
      </w:divBdr>
    </w:div>
    <w:div w:id="1588810088">
      <w:bodyDiv w:val="1"/>
      <w:marLeft w:val="0"/>
      <w:marRight w:val="0"/>
      <w:marTop w:val="0"/>
      <w:marBottom w:val="0"/>
      <w:divBdr>
        <w:top w:val="none" w:sz="0" w:space="0" w:color="auto"/>
        <w:left w:val="none" w:sz="0" w:space="0" w:color="auto"/>
        <w:bottom w:val="none" w:sz="0" w:space="0" w:color="auto"/>
        <w:right w:val="none" w:sz="0" w:space="0" w:color="auto"/>
      </w:divBdr>
    </w:div>
    <w:div w:id="1611742472">
      <w:bodyDiv w:val="1"/>
      <w:marLeft w:val="0"/>
      <w:marRight w:val="0"/>
      <w:marTop w:val="0"/>
      <w:marBottom w:val="0"/>
      <w:divBdr>
        <w:top w:val="none" w:sz="0" w:space="0" w:color="auto"/>
        <w:left w:val="none" w:sz="0" w:space="0" w:color="auto"/>
        <w:bottom w:val="none" w:sz="0" w:space="0" w:color="auto"/>
        <w:right w:val="none" w:sz="0" w:space="0" w:color="auto"/>
      </w:divBdr>
    </w:div>
    <w:div w:id="1636448230">
      <w:bodyDiv w:val="1"/>
      <w:marLeft w:val="0"/>
      <w:marRight w:val="0"/>
      <w:marTop w:val="0"/>
      <w:marBottom w:val="0"/>
      <w:divBdr>
        <w:top w:val="none" w:sz="0" w:space="0" w:color="auto"/>
        <w:left w:val="none" w:sz="0" w:space="0" w:color="auto"/>
        <w:bottom w:val="none" w:sz="0" w:space="0" w:color="auto"/>
        <w:right w:val="none" w:sz="0" w:space="0" w:color="auto"/>
      </w:divBdr>
    </w:div>
    <w:div w:id="1650555272">
      <w:bodyDiv w:val="1"/>
      <w:marLeft w:val="0"/>
      <w:marRight w:val="0"/>
      <w:marTop w:val="0"/>
      <w:marBottom w:val="0"/>
      <w:divBdr>
        <w:top w:val="none" w:sz="0" w:space="0" w:color="auto"/>
        <w:left w:val="none" w:sz="0" w:space="0" w:color="auto"/>
        <w:bottom w:val="none" w:sz="0" w:space="0" w:color="auto"/>
        <w:right w:val="none" w:sz="0" w:space="0" w:color="auto"/>
      </w:divBdr>
    </w:div>
    <w:div w:id="1671133849">
      <w:bodyDiv w:val="1"/>
      <w:marLeft w:val="0"/>
      <w:marRight w:val="0"/>
      <w:marTop w:val="0"/>
      <w:marBottom w:val="0"/>
      <w:divBdr>
        <w:top w:val="none" w:sz="0" w:space="0" w:color="auto"/>
        <w:left w:val="none" w:sz="0" w:space="0" w:color="auto"/>
        <w:bottom w:val="none" w:sz="0" w:space="0" w:color="auto"/>
        <w:right w:val="none" w:sz="0" w:space="0" w:color="auto"/>
      </w:divBdr>
    </w:div>
    <w:div w:id="1673223128">
      <w:bodyDiv w:val="1"/>
      <w:marLeft w:val="0"/>
      <w:marRight w:val="0"/>
      <w:marTop w:val="0"/>
      <w:marBottom w:val="0"/>
      <w:divBdr>
        <w:top w:val="none" w:sz="0" w:space="0" w:color="auto"/>
        <w:left w:val="none" w:sz="0" w:space="0" w:color="auto"/>
        <w:bottom w:val="none" w:sz="0" w:space="0" w:color="auto"/>
        <w:right w:val="none" w:sz="0" w:space="0" w:color="auto"/>
      </w:divBdr>
    </w:div>
    <w:div w:id="1674457420">
      <w:bodyDiv w:val="1"/>
      <w:marLeft w:val="0"/>
      <w:marRight w:val="0"/>
      <w:marTop w:val="0"/>
      <w:marBottom w:val="0"/>
      <w:divBdr>
        <w:top w:val="none" w:sz="0" w:space="0" w:color="auto"/>
        <w:left w:val="none" w:sz="0" w:space="0" w:color="auto"/>
        <w:bottom w:val="none" w:sz="0" w:space="0" w:color="auto"/>
        <w:right w:val="none" w:sz="0" w:space="0" w:color="auto"/>
      </w:divBdr>
    </w:div>
    <w:div w:id="1681421946">
      <w:bodyDiv w:val="1"/>
      <w:marLeft w:val="0"/>
      <w:marRight w:val="0"/>
      <w:marTop w:val="0"/>
      <w:marBottom w:val="0"/>
      <w:divBdr>
        <w:top w:val="none" w:sz="0" w:space="0" w:color="auto"/>
        <w:left w:val="none" w:sz="0" w:space="0" w:color="auto"/>
        <w:bottom w:val="none" w:sz="0" w:space="0" w:color="auto"/>
        <w:right w:val="none" w:sz="0" w:space="0" w:color="auto"/>
      </w:divBdr>
    </w:div>
    <w:div w:id="1685787195">
      <w:bodyDiv w:val="1"/>
      <w:marLeft w:val="0"/>
      <w:marRight w:val="0"/>
      <w:marTop w:val="0"/>
      <w:marBottom w:val="0"/>
      <w:divBdr>
        <w:top w:val="none" w:sz="0" w:space="0" w:color="auto"/>
        <w:left w:val="none" w:sz="0" w:space="0" w:color="auto"/>
        <w:bottom w:val="none" w:sz="0" w:space="0" w:color="auto"/>
        <w:right w:val="none" w:sz="0" w:space="0" w:color="auto"/>
      </w:divBdr>
    </w:div>
    <w:div w:id="1710061684">
      <w:bodyDiv w:val="1"/>
      <w:marLeft w:val="0"/>
      <w:marRight w:val="0"/>
      <w:marTop w:val="0"/>
      <w:marBottom w:val="0"/>
      <w:divBdr>
        <w:top w:val="none" w:sz="0" w:space="0" w:color="auto"/>
        <w:left w:val="none" w:sz="0" w:space="0" w:color="auto"/>
        <w:bottom w:val="none" w:sz="0" w:space="0" w:color="auto"/>
        <w:right w:val="none" w:sz="0" w:space="0" w:color="auto"/>
      </w:divBdr>
    </w:div>
    <w:div w:id="1766998988">
      <w:bodyDiv w:val="1"/>
      <w:marLeft w:val="0"/>
      <w:marRight w:val="0"/>
      <w:marTop w:val="0"/>
      <w:marBottom w:val="0"/>
      <w:divBdr>
        <w:top w:val="none" w:sz="0" w:space="0" w:color="auto"/>
        <w:left w:val="none" w:sz="0" w:space="0" w:color="auto"/>
        <w:bottom w:val="none" w:sz="0" w:space="0" w:color="auto"/>
        <w:right w:val="none" w:sz="0" w:space="0" w:color="auto"/>
      </w:divBdr>
    </w:div>
    <w:div w:id="1794707422">
      <w:bodyDiv w:val="1"/>
      <w:marLeft w:val="0"/>
      <w:marRight w:val="0"/>
      <w:marTop w:val="0"/>
      <w:marBottom w:val="0"/>
      <w:divBdr>
        <w:top w:val="none" w:sz="0" w:space="0" w:color="auto"/>
        <w:left w:val="none" w:sz="0" w:space="0" w:color="auto"/>
        <w:bottom w:val="none" w:sz="0" w:space="0" w:color="auto"/>
        <w:right w:val="none" w:sz="0" w:space="0" w:color="auto"/>
      </w:divBdr>
    </w:div>
    <w:div w:id="1824346295">
      <w:bodyDiv w:val="1"/>
      <w:marLeft w:val="0"/>
      <w:marRight w:val="0"/>
      <w:marTop w:val="0"/>
      <w:marBottom w:val="0"/>
      <w:divBdr>
        <w:top w:val="none" w:sz="0" w:space="0" w:color="auto"/>
        <w:left w:val="none" w:sz="0" w:space="0" w:color="auto"/>
        <w:bottom w:val="none" w:sz="0" w:space="0" w:color="auto"/>
        <w:right w:val="none" w:sz="0" w:space="0" w:color="auto"/>
      </w:divBdr>
    </w:div>
    <w:div w:id="1888029562">
      <w:bodyDiv w:val="1"/>
      <w:marLeft w:val="0"/>
      <w:marRight w:val="0"/>
      <w:marTop w:val="0"/>
      <w:marBottom w:val="0"/>
      <w:divBdr>
        <w:top w:val="none" w:sz="0" w:space="0" w:color="auto"/>
        <w:left w:val="none" w:sz="0" w:space="0" w:color="auto"/>
        <w:bottom w:val="none" w:sz="0" w:space="0" w:color="auto"/>
        <w:right w:val="none" w:sz="0" w:space="0" w:color="auto"/>
      </w:divBdr>
    </w:div>
    <w:div w:id="1898274439">
      <w:bodyDiv w:val="1"/>
      <w:marLeft w:val="0"/>
      <w:marRight w:val="0"/>
      <w:marTop w:val="0"/>
      <w:marBottom w:val="0"/>
      <w:divBdr>
        <w:top w:val="none" w:sz="0" w:space="0" w:color="auto"/>
        <w:left w:val="none" w:sz="0" w:space="0" w:color="auto"/>
        <w:bottom w:val="none" w:sz="0" w:space="0" w:color="auto"/>
        <w:right w:val="none" w:sz="0" w:space="0" w:color="auto"/>
      </w:divBdr>
    </w:div>
    <w:div w:id="1937979151">
      <w:bodyDiv w:val="1"/>
      <w:marLeft w:val="0"/>
      <w:marRight w:val="0"/>
      <w:marTop w:val="0"/>
      <w:marBottom w:val="0"/>
      <w:divBdr>
        <w:top w:val="none" w:sz="0" w:space="0" w:color="auto"/>
        <w:left w:val="none" w:sz="0" w:space="0" w:color="auto"/>
        <w:bottom w:val="none" w:sz="0" w:space="0" w:color="auto"/>
        <w:right w:val="none" w:sz="0" w:space="0" w:color="auto"/>
      </w:divBdr>
    </w:div>
    <w:div w:id="1992560370">
      <w:bodyDiv w:val="1"/>
      <w:marLeft w:val="0"/>
      <w:marRight w:val="0"/>
      <w:marTop w:val="0"/>
      <w:marBottom w:val="0"/>
      <w:divBdr>
        <w:top w:val="none" w:sz="0" w:space="0" w:color="auto"/>
        <w:left w:val="none" w:sz="0" w:space="0" w:color="auto"/>
        <w:bottom w:val="none" w:sz="0" w:space="0" w:color="auto"/>
        <w:right w:val="none" w:sz="0" w:space="0" w:color="auto"/>
      </w:divBdr>
    </w:div>
    <w:div w:id="1999722944">
      <w:bodyDiv w:val="1"/>
      <w:marLeft w:val="0"/>
      <w:marRight w:val="0"/>
      <w:marTop w:val="0"/>
      <w:marBottom w:val="0"/>
      <w:divBdr>
        <w:top w:val="none" w:sz="0" w:space="0" w:color="auto"/>
        <w:left w:val="none" w:sz="0" w:space="0" w:color="auto"/>
        <w:bottom w:val="none" w:sz="0" w:space="0" w:color="auto"/>
        <w:right w:val="none" w:sz="0" w:space="0" w:color="auto"/>
      </w:divBdr>
    </w:div>
    <w:div w:id="2004819058">
      <w:bodyDiv w:val="1"/>
      <w:marLeft w:val="0"/>
      <w:marRight w:val="0"/>
      <w:marTop w:val="0"/>
      <w:marBottom w:val="0"/>
      <w:divBdr>
        <w:top w:val="none" w:sz="0" w:space="0" w:color="auto"/>
        <w:left w:val="none" w:sz="0" w:space="0" w:color="auto"/>
        <w:bottom w:val="none" w:sz="0" w:space="0" w:color="auto"/>
        <w:right w:val="none" w:sz="0" w:space="0" w:color="auto"/>
      </w:divBdr>
    </w:div>
    <w:div w:id="2049715794">
      <w:bodyDiv w:val="1"/>
      <w:marLeft w:val="0"/>
      <w:marRight w:val="0"/>
      <w:marTop w:val="0"/>
      <w:marBottom w:val="0"/>
      <w:divBdr>
        <w:top w:val="none" w:sz="0" w:space="0" w:color="auto"/>
        <w:left w:val="none" w:sz="0" w:space="0" w:color="auto"/>
        <w:bottom w:val="none" w:sz="0" w:space="0" w:color="auto"/>
        <w:right w:val="none" w:sz="0" w:space="0" w:color="auto"/>
      </w:divBdr>
    </w:div>
    <w:div w:id="2053529078">
      <w:bodyDiv w:val="1"/>
      <w:marLeft w:val="0"/>
      <w:marRight w:val="0"/>
      <w:marTop w:val="0"/>
      <w:marBottom w:val="0"/>
      <w:divBdr>
        <w:top w:val="none" w:sz="0" w:space="0" w:color="auto"/>
        <w:left w:val="none" w:sz="0" w:space="0" w:color="auto"/>
        <w:bottom w:val="none" w:sz="0" w:space="0" w:color="auto"/>
        <w:right w:val="none" w:sz="0" w:space="0" w:color="auto"/>
      </w:divBdr>
    </w:div>
    <w:div w:id="2120483963">
      <w:bodyDiv w:val="1"/>
      <w:marLeft w:val="0"/>
      <w:marRight w:val="0"/>
      <w:marTop w:val="0"/>
      <w:marBottom w:val="0"/>
      <w:divBdr>
        <w:top w:val="none" w:sz="0" w:space="0" w:color="auto"/>
        <w:left w:val="none" w:sz="0" w:space="0" w:color="auto"/>
        <w:bottom w:val="none" w:sz="0" w:space="0" w:color="auto"/>
        <w:right w:val="none" w:sz="0" w:space="0" w:color="auto"/>
      </w:divBdr>
    </w:div>
    <w:div w:id="2121877095">
      <w:bodyDiv w:val="1"/>
      <w:marLeft w:val="0"/>
      <w:marRight w:val="0"/>
      <w:marTop w:val="0"/>
      <w:marBottom w:val="0"/>
      <w:divBdr>
        <w:top w:val="none" w:sz="0" w:space="0" w:color="auto"/>
        <w:left w:val="none" w:sz="0" w:space="0" w:color="auto"/>
        <w:bottom w:val="none" w:sz="0" w:space="0" w:color="auto"/>
        <w:right w:val="none" w:sz="0" w:space="0" w:color="auto"/>
      </w:divBdr>
      <w:divsChild>
        <w:div w:id="1972904325">
          <w:marLeft w:val="0"/>
          <w:marRight w:val="0"/>
          <w:marTop w:val="34"/>
          <w:marBottom w:val="34"/>
          <w:divBdr>
            <w:top w:val="none" w:sz="0" w:space="0" w:color="auto"/>
            <w:left w:val="none" w:sz="0" w:space="0" w:color="auto"/>
            <w:bottom w:val="none" w:sz="0" w:space="0" w:color="auto"/>
            <w:right w:val="none" w:sz="0" w:space="0" w:color="auto"/>
          </w:divBdr>
        </w:div>
      </w:divsChild>
    </w:div>
    <w:div w:id="2126927982">
      <w:bodyDiv w:val="1"/>
      <w:marLeft w:val="0"/>
      <w:marRight w:val="0"/>
      <w:marTop w:val="0"/>
      <w:marBottom w:val="0"/>
      <w:divBdr>
        <w:top w:val="none" w:sz="0" w:space="0" w:color="auto"/>
        <w:left w:val="none" w:sz="0" w:space="0" w:color="auto"/>
        <w:bottom w:val="none" w:sz="0" w:space="0" w:color="auto"/>
        <w:right w:val="none" w:sz="0" w:space="0" w:color="auto"/>
      </w:divBdr>
    </w:div>
    <w:div w:id="21270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collins@ph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02/1438/regulation/3/made" TargetMode="External"/><Relationship Id="rId5" Type="http://schemas.openxmlformats.org/officeDocument/2006/relationships/webSettings" Target="webSettings.xml"/><Relationship Id="rId10" Type="http://schemas.openxmlformats.org/officeDocument/2006/relationships/hyperlink" Target="https://www.gov.uk/government/collections/immunisation" TargetMode="External"/><Relationship Id="rId4" Type="http://schemas.openxmlformats.org/officeDocument/2006/relationships/settings" Target="settings.xml"/><Relationship Id="rId9" Type="http://schemas.openxmlformats.org/officeDocument/2006/relationships/hyperlink" Target="http://www.statisti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FB02-49AC-4851-9D1B-CCE44D8B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12185</Words>
  <Characters>69461</Characters>
  <Application>Microsoft Office Word</Application>
  <DocSecurity>4</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Godwin Oligbu</dc:creator>
  <cp:lastModifiedBy>Isabelle Hubbard</cp:lastModifiedBy>
  <cp:revision>2</cp:revision>
  <cp:lastPrinted>2017-02-02T11:38:00Z</cp:lastPrinted>
  <dcterms:created xsi:type="dcterms:W3CDTF">2017-04-24T10:09:00Z</dcterms:created>
  <dcterms:modified xsi:type="dcterms:W3CDTF">2017-04-24T10:09:00Z</dcterms:modified>
</cp:coreProperties>
</file>