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CD46" w14:textId="6596FA2B" w:rsidR="0043549E" w:rsidRPr="0001780B" w:rsidRDefault="000E2333" w:rsidP="0001780B">
      <w:pPr>
        <w:pStyle w:val="Heading2"/>
        <w:spacing w:before="120" w:line="276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01780B">
        <w:rPr>
          <w:rFonts w:asciiTheme="minorHAnsi" w:hAnsiTheme="minorHAnsi"/>
          <w:b/>
          <w:sz w:val="24"/>
          <w:szCs w:val="24"/>
        </w:rPr>
        <w:t>Title:</w:t>
      </w:r>
      <w:r w:rsidRPr="000E2333">
        <w:rPr>
          <w:rFonts w:asciiTheme="minorHAnsi" w:eastAsia="MS Mincho" w:hAnsiTheme="minorHAnsi"/>
          <w:color w:val="auto"/>
          <w:sz w:val="24"/>
          <w:szCs w:val="24"/>
        </w:rPr>
        <w:t xml:space="preserve"> Comparison of structural brain abnormalities and cognitive function in COPD patients after hospitalisation</w:t>
      </w:r>
      <w:r w:rsidR="00C81A4C">
        <w:rPr>
          <w:rFonts w:asciiTheme="minorHAnsi" w:eastAsia="MS Mincho" w:hAnsiTheme="minorHAnsi"/>
          <w:color w:val="auto"/>
          <w:sz w:val="24"/>
          <w:szCs w:val="24"/>
        </w:rPr>
        <w:t>,</w:t>
      </w:r>
      <w:r w:rsidRPr="000E2333">
        <w:rPr>
          <w:rFonts w:asciiTheme="minorHAnsi" w:eastAsia="MS Mincho" w:hAnsiTheme="minorHAnsi"/>
          <w:color w:val="auto"/>
          <w:sz w:val="24"/>
          <w:szCs w:val="24"/>
        </w:rPr>
        <w:t xml:space="preserve"> stable COPD patients and healthy age-matched controls</w:t>
      </w:r>
    </w:p>
    <w:p w14:paraId="707CBC2F" w14:textId="77777777" w:rsidR="004574DC" w:rsidRPr="0001780B" w:rsidRDefault="004574DC" w:rsidP="0001780B">
      <w:pPr>
        <w:spacing w:before="120" w:line="276" w:lineRule="auto"/>
        <w:rPr>
          <w:rFonts w:asciiTheme="minorHAnsi" w:hAnsiTheme="minorHAnsi"/>
          <w:sz w:val="24"/>
          <w:szCs w:val="24"/>
        </w:rPr>
      </w:pPr>
    </w:p>
    <w:p w14:paraId="7C4C5B65" w14:textId="47C3B010" w:rsidR="00990C91" w:rsidRPr="0001780B" w:rsidRDefault="00990C91" w:rsidP="0001780B">
      <w:pPr>
        <w:pStyle w:val="Heading2"/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01780B">
        <w:rPr>
          <w:rFonts w:asciiTheme="minorHAnsi" w:hAnsiTheme="minorHAnsi"/>
          <w:b/>
          <w:sz w:val="24"/>
          <w:szCs w:val="24"/>
        </w:rPr>
        <w:t>Authors:</w:t>
      </w:r>
      <w:r w:rsidRPr="0001780B">
        <w:rPr>
          <w:rFonts w:asciiTheme="minorHAnsi" w:hAnsiTheme="minorHAnsi"/>
          <w:sz w:val="24"/>
          <w:szCs w:val="24"/>
        </w:rPr>
        <w:t xml:space="preserve"> </w:t>
      </w:r>
      <w:r w:rsidR="00854E67" w:rsidRPr="0001780B">
        <w:rPr>
          <w:rFonts w:asciiTheme="minorHAnsi" w:hAnsiTheme="minorHAnsi" w:cs="Arial"/>
          <w:sz w:val="24"/>
          <w:szCs w:val="24"/>
        </w:rPr>
        <w:t>Bajaj M</w:t>
      </w:r>
      <w:r w:rsidR="00F57066" w:rsidRPr="0001780B">
        <w:rPr>
          <w:rFonts w:asciiTheme="minorHAnsi" w:hAnsiTheme="minorHAnsi" w:cs="Arial"/>
          <w:sz w:val="24"/>
          <w:szCs w:val="24"/>
        </w:rPr>
        <w:t>K</w:t>
      </w:r>
      <w:r w:rsidR="00854E67" w:rsidRPr="0001780B">
        <w:rPr>
          <w:rFonts w:asciiTheme="minorHAnsi" w:hAnsiTheme="minorHAnsi" w:cs="Arial"/>
          <w:sz w:val="24"/>
          <w:szCs w:val="24"/>
        </w:rPr>
        <w:t xml:space="preserve">, </w:t>
      </w:r>
      <w:r w:rsidR="00F57066" w:rsidRPr="0001780B">
        <w:rPr>
          <w:rFonts w:asciiTheme="minorHAnsi" w:hAnsiTheme="minorHAnsi" w:cs="Arial"/>
          <w:sz w:val="24"/>
          <w:szCs w:val="24"/>
        </w:rPr>
        <w:t>Spilling CA, Dodd JW, Jones PW, Howe FA, Baker EH</w:t>
      </w:r>
      <w:r w:rsidR="00B56869">
        <w:rPr>
          <w:rFonts w:asciiTheme="minorHAnsi" w:hAnsiTheme="minorHAnsi" w:cs="Arial"/>
          <w:sz w:val="24"/>
          <w:szCs w:val="24"/>
        </w:rPr>
        <w:t>, Barrick TR</w:t>
      </w:r>
    </w:p>
    <w:p w14:paraId="185B2981" w14:textId="77777777" w:rsidR="00533BCA" w:rsidRPr="0001780B" w:rsidRDefault="00533BCA" w:rsidP="0001780B">
      <w:pPr>
        <w:spacing w:before="120" w:line="276" w:lineRule="auto"/>
        <w:rPr>
          <w:rFonts w:asciiTheme="minorHAnsi" w:hAnsiTheme="minorHAnsi"/>
          <w:sz w:val="24"/>
          <w:szCs w:val="24"/>
        </w:rPr>
      </w:pPr>
    </w:p>
    <w:p w14:paraId="62D4F063" w14:textId="77777777" w:rsidR="00B94612" w:rsidRDefault="00A04701" w:rsidP="00490211">
      <w:pPr>
        <w:pStyle w:val="Heading2"/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01780B">
        <w:rPr>
          <w:rFonts w:asciiTheme="minorHAnsi" w:hAnsiTheme="minorHAnsi"/>
          <w:b/>
          <w:sz w:val="24"/>
          <w:szCs w:val="24"/>
        </w:rPr>
        <w:t>Introduction and Objectives</w:t>
      </w:r>
      <w:r w:rsidR="00ED7735" w:rsidRPr="0001780B">
        <w:rPr>
          <w:rFonts w:asciiTheme="minorHAnsi" w:hAnsiTheme="minorHAnsi"/>
          <w:b/>
          <w:sz w:val="24"/>
          <w:szCs w:val="24"/>
        </w:rPr>
        <w:t>:</w:t>
      </w:r>
      <w:r w:rsidR="00490211">
        <w:rPr>
          <w:rFonts w:asciiTheme="minorHAnsi" w:hAnsiTheme="minorHAnsi"/>
          <w:b/>
          <w:sz w:val="24"/>
          <w:szCs w:val="24"/>
        </w:rPr>
        <w:t xml:space="preserve"> </w:t>
      </w:r>
    </w:p>
    <w:p w14:paraId="7C53FE6B" w14:textId="0A3C43E8" w:rsidR="0001780B" w:rsidRPr="0001780B" w:rsidRDefault="000F4489" w:rsidP="00490211">
      <w:pPr>
        <w:pStyle w:val="Heading2"/>
        <w:spacing w:before="120" w:line="276" w:lineRule="auto"/>
        <w:rPr>
          <w:rFonts w:asciiTheme="minorHAnsi" w:hAnsiTheme="minorHAnsi"/>
          <w:sz w:val="24"/>
          <w:szCs w:val="24"/>
          <w:lang w:val="en-US"/>
        </w:rPr>
      </w:pPr>
      <w:r w:rsidRPr="0001780B">
        <w:rPr>
          <w:rFonts w:asciiTheme="minorHAnsi" w:hAnsiTheme="minorHAnsi"/>
          <w:sz w:val="24"/>
          <w:szCs w:val="24"/>
          <w:lang w:val="en-US"/>
        </w:rPr>
        <w:t>Cogni</w:t>
      </w:r>
      <w:r w:rsidR="002D7868" w:rsidRPr="0001780B">
        <w:rPr>
          <w:rFonts w:asciiTheme="minorHAnsi" w:hAnsiTheme="minorHAnsi"/>
          <w:sz w:val="24"/>
          <w:szCs w:val="24"/>
          <w:lang w:val="en-US"/>
        </w:rPr>
        <w:t xml:space="preserve">tive impairment is </w:t>
      </w:r>
      <w:r w:rsidRPr="0001780B">
        <w:rPr>
          <w:rFonts w:asciiTheme="minorHAnsi" w:hAnsiTheme="minorHAnsi"/>
          <w:sz w:val="24"/>
          <w:szCs w:val="24"/>
          <w:lang w:val="en-US"/>
        </w:rPr>
        <w:t>a common co-morbidity in chronic obstructive pulmonary disease (COPD)</w:t>
      </w:r>
      <w:r w:rsidR="0001780B" w:rsidRPr="0001780B">
        <w:rPr>
          <w:rFonts w:asciiTheme="minorHAnsi" w:hAnsiTheme="minorHAnsi"/>
          <w:sz w:val="24"/>
          <w:szCs w:val="24"/>
          <w:lang w:val="en-US"/>
        </w:rPr>
        <w:t xml:space="preserve"> and is associated with </w:t>
      </w:r>
      <w:r w:rsidR="00B37265">
        <w:rPr>
          <w:rFonts w:asciiTheme="minorHAnsi" w:hAnsiTheme="minorHAnsi"/>
          <w:sz w:val="24"/>
          <w:szCs w:val="24"/>
          <w:lang w:val="en-US"/>
        </w:rPr>
        <w:t xml:space="preserve">poor </w:t>
      </w:r>
      <w:r w:rsidR="00594C9F">
        <w:rPr>
          <w:rFonts w:asciiTheme="minorHAnsi" w:hAnsiTheme="minorHAnsi"/>
          <w:sz w:val="24"/>
          <w:szCs w:val="24"/>
          <w:lang w:val="en-US"/>
        </w:rPr>
        <w:t>disease management</w:t>
      </w:r>
      <w:r w:rsidR="00B37265">
        <w:rPr>
          <w:rFonts w:asciiTheme="minorHAnsi" w:hAnsiTheme="minorHAnsi"/>
          <w:sz w:val="24"/>
          <w:szCs w:val="24"/>
          <w:lang w:val="en-US"/>
        </w:rPr>
        <w:t>, greater disability and mortality [</w:t>
      </w:r>
      <w:r w:rsidR="000E2333">
        <w:rPr>
          <w:rFonts w:asciiTheme="minorHAnsi" w:hAnsiTheme="minorHAnsi"/>
          <w:sz w:val="24"/>
          <w:szCs w:val="24"/>
          <w:lang w:val="en-US"/>
        </w:rPr>
        <w:t>Chang et al J Am Geriatr Soc</w:t>
      </w:r>
      <w:r w:rsidR="003B7FDF">
        <w:rPr>
          <w:rFonts w:asciiTheme="minorHAnsi" w:hAnsiTheme="minorHAnsi"/>
          <w:sz w:val="24"/>
          <w:szCs w:val="24"/>
          <w:lang w:val="en-US"/>
        </w:rPr>
        <w:t>, 2012;60:1839-46</w:t>
      </w:r>
      <w:r w:rsidR="00B37265">
        <w:rPr>
          <w:rFonts w:asciiTheme="minorHAnsi" w:hAnsiTheme="minorHAnsi"/>
          <w:sz w:val="24"/>
          <w:szCs w:val="24"/>
          <w:lang w:val="en-US"/>
        </w:rPr>
        <w:t>]</w:t>
      </w:r>
      <w:r w:rsidR="001A1182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01780B" w:rsidRPr="0001780B">
        <w:rPr>
          <w:rFonts w:asciiTheme="minorHAnsi" w:hAnsiTheme="minorHAnsi"/>
          <w:sz w:val="24"/>
          <w:szCs w:val="24"/>
          <w:lang w:val="en-US"/>
        </w:rPr>
        <w:t>We have previously shown that cognitive impairm</w:t>
      </w:r>
      <w:r w:rsidR="00C95E45">
        <w:rPr>
          <w:rFonts w:asciiTheme="minorHAnsi" w:hAnsiTheme="minorHAnsi"/>
          <w:sz w:val="24"/>
          <w:szCs w:val="24"/>
          <w:lang w:val="en-US"/>
        </w:rPr>
        <w:t>ent i</w:t>
      </w:r>
      <w:r w:rsidR="0001780B" w:rsidRPr="0001780B">
        <w:rPr>
          <w:rFonts w:asciiTheme="minorHAnsi" w:hAnsiTheme="minorHAnsi"/>
          <w:sz w:val="24"/>
          <w:szCs w:val="24"/>
          <w:lang w:val="en-US"/>
        </w:rPr>
        <w:t xml:space="preserve">s worse in COPD patients </w:t>
      </w:r>
      <w:r w:rsidR="00C95E45">
        <w:rPr>
          <w:rFonts w:asciiTheme="minorHAnsi" w:hAnsiTheme="minorHAnsi"/>
          <w:sz w:val="24"/>
          <w:szCs w:val="24"/>
          <w:lang w:val="en-US"/>
        </w:rPr>
        <w:t>during and after</w:t>
      </w:r>
      <w:r w:rsidR="0001780B" w:rsidRPr="0001780B">
        <w:rPr>
          <w:rFonts w:asciiTheme="minorHAnsi" w:hAnsiTheme="minorHAnsi"/>
          <w:sz w:val="24"/>
          <w:szCs w:val="24"/>
          <w:lang w:val="en-US"/>
        </w:rPr>
        <w:t xml:space="preserve"> hospitalisation</w:t>
      </w:r>
      <w:r w:rsidR="00490211">
        <w:rPr>
          <w:rFonts w:asciiTheme="minorHAnsi" w:hAnsiTheme="minorHAnsi"/>
          <w:sz w:val="24"/>
          <w:szCs w:val="24"/>
          <w:lang w:val="en-US"/>
        </w:rPr>
        <w:t xml:space="preserve"> for exacerbations</w:t>
      </w:r>
      <w:r w:rsidR="00C36FB8">
        <w:rPr>
          <w:rFonts w:asciiTheme="minorHAnsi" w:hAnsiTheme="minorHAnsi"/>
          <w:sz w:val="24"/>
          <w:szCs w:val="24"/>
          <w:lang w:val="en-US"/>
        </w:rPr>
        <w:t>,</w:t>
      </w:r>
      <w:r w:rsidR="0001780B" w:rsidRPr="0001780B">
        <w:rPr>
          <w:rFonts w:asciiTheme="minorHAnsi" w:hAnsiTheme="minorHAnsi"/>
          <w:sz w:val="24"/>
          <w:szCs w:val="24"/>
          <w:lang w:val="en-US"/>
        </w:rPr>
        <w:t xml:space="preserve"> than in those with stable disease [</w:t>
      </w:r>
      <w:r w:rsidR="000E2333">
        <w:rPr>
          <w:rFonts w:asciiTheme="minorHAnsi" w:hAnsiTheme="minorHAnsi"/>
          <w:sz w:val="24"/>
          <w:szCs w:val="24"/>
          <w:lang w:val="en-US"/>
        </w:rPr>
        <w:t>Dodd et al Chest</w:t>
      </w:r>
      <w:r w:rsidR="003B7FDF">
        <w:rPr>
          <w:rFonts w:asciiTheme="minorHAnsi" w:hAnsiTheme="minorHAnsi"/>
          <w:sz w:val="24"/>
          <w:szCs w:val="24"/>
          <w:lang w:val="en-US"/>
        </w:rPr>
        <w:t>, 2013;</w:t>
      </w:r>
      <w:r w:rsidR="000E2333">
        <w:rPr>
          <w:rFonts w:asciiTheme="minorHAnsi" w:hAnsiTheme="minorHAnsi"/>
          <w:sz w:val="24"/>
          <w:szCs w:val="24"/>
          <w:lang w:val="en-US"/>
        </w:rPr>
        <w:t>144:119-27</w:t>
      </w:r>
      <w:r w:rsidR="0001780B" w:rsidRPr="0001780B">
        <w:rPr>
          <w:rFonts w:asciiTheme="minorHAnsi" w:hAnsiTheme="minorHAnsi"/>
          <w:sz w:val="24"/>
          <w:szCs w:val="24"/>
          <w:lang w:val="en-US"/>
        </w:rPr>
        <w:t xml:space="preserve">]. </w:t>
      </w:r>
      <w:r w:rsidR="00C95E45">
        <w:rPr>
          <w:rFonts w:asciiTheme="minorHAnsi" w:hAnsiTheme="minorHAnsi"/>
          <w:sz w:val="24"/>
          <w:szCs w:val="24"/>
          <w:lang w:val="en-US"/>
        </w:rPr>
        <w:t xml:space="preserve">Our aim was to use multimodal brain magnetic resonance imaging (MRI) to compare structural brain abnormalities between hospitalised and </w:t>
      </w:r>
      <w:r w:rsidR="00C81A4C">
        <w:rPr>
          <w:rFonts w:asciiTheme="minorHAnsi" w:hAnsiTheme="minorHAnsi"/>
          <w:sz w:val="24"/>
          <w:szCs w:val="24"/>
          <w:lang w:val="en-US"/>
        </w:rPr>
        <w:t>stable</w:t>
      </w:r>
      <w:r w:rsidR="00C95E45">
        <w:rPr>
          <w:rFonts w:asciiTheme="minorHAnsi" w:hAnsiTheme="minorHAnsi"/>
          <w:sz w:val="24"/>
          <w:szCs w:val="24"/>
          <w:lang w:val="en-US"/>
        </w:rPr>
        <w:t xml:space="preserve"> COPD patients and healthy controls.</w:t>
      </w:r>
    </w:p>
    <w:p w14:paraId="3D5456CB" w14:textId="77777777" w:rsidR="005C1CF2" w:rsidRPr="00B37265" w:rsidRDefault="00D8664D" w:rsidP="0001780B">
      <w:pPr>
        <w:pStyle w:val="Heading2"/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B37265">
        <w:rPr>
          <w:rFonts w:asciiTheme="minorHAnsi" w:hAnsiTheme="minorHAnsi"/>
          <w:b/>
          <w:sz w:val="24"/>
          <w:szCs w:val="24"/>
        </w:rPr>
        <w:t>Methods</w:t>
      </w:r>
      <w:r w:rsidR="005C1CF2" w:rsidRPr="00B37265">
        <w:rPr>
          <w:rFonts w:asciiTheme="minorHAnsi" w:hAnsiTheme="minorHAnsi"/>
          <w:b/>
          <w:sz w:val="24"/>
          <w:szCs w:val="24"/>
        </w:rPr>
        <w:t>:</w:t>
      </w:r>
    </w:p>
    <w:p w14:paraId="0511BD43" w14:textId="32983B37" w:rsidR="006E3311" w:rsidRDefault="006E3311" w:rsidP="00027B3A">
      <w:pPr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23 </w:t>
      </w:r>
      <w:r w:rsidR="0074555F">
        <w:rPr>
          <w:rFonts w:asciiTheme="minorHAnsi" w:hAnsiTheme="minorHAnsi"/>
          <w:sz w:val="24"/>
          <w:szCs w:val="24"/>
        </w:rPr>
        <w:t>COPD patients hospitalised for exacerbation</w:t>
      </w:r>
      <w:r w:rsidR="00C81A4C">
        <w:rPr>
          <w:rFonts w:asciiTheme="minorHAnsi" w:hAnsiTheme="minorHAnsi"/>
          <w:sz w:val="24"/>
          <w:szCs w:val="24"/>
        </w:rPr>
        <w:t>s</w:t>
      </w:r>
      <w:r w:rsidR="0074555F">
        <w:rPr>
          <w:rFonts w:asciiTheme="minorHAnsi" w:hAnsiTheme="minorHAnsi"/>
          <w:sz w:val="24"/>
          <w:szCs w:val="24"/>
        </w:rPr>
        <w:t xml:space="preserve"> within the last year (hospitalised), </w:t>
      </w:r>
      <w:r>
        <w:rPr>
          <w:rFonts w:asciiTheme="minorHAnsi" w:hAnsiTheme="minorHAnsi"/>
          <w:sz w:val="24"/>
          <w:szCs w:val="24"/>
        </w:rPr>
        <w:t>17 COPD patients</w:t>
      </w:r>
      <w:r w:rsidR="0074555F">
        <w:rPr>
          <w:rFonts w:asciiTheme="minorHAnsi" w:hAnsiTheme="minorHAnsi"/>
          <w:sz w:val="24"/>
          <w:szCs w:val="24"/>
        </w:rPr>
        <w:t xml:space="preserve"> not hospitalised within the last year (stable) and </w:t>
      </w:r>
      <w:r>
        <w:rPr>
          <w:rFonts w:asciiTheme="minorHAnsi" w:hAnsiTheme="minorHAnsi"/>
          <w:sz w:val="24"/>
          <w:szCs w:val="24"/>
        </w:rPr>
        <w:t xml:space="preserve">23 </w:t>
      </w:r>
      <w:r w:rsidR="0074555F">
        <w:rPr>
          <w:rFonts w:asciiTheme="minorHAnsi" w:hAnsiTheme="minorHAnsi"/>
          <w:sz w:val="24"/>
          <w:szCs w:val="24"/>
        </w:rPr>
        <w:t>healthy age-matched controls</w:t>
      </w:r>
      <w:r>
        <w:rPr>
          <w:rFonts w:asciiTheme="minorHAnsi" w:hAnsiTheme="minorHAnsi"/>
          <w:sz w:val="24"/>
          <w:szCs w:val="24"/>
        </w:rPr>
        <w:t>,</w:t>
      </w:r>
      <w:r w:rsidR="0074555F">
        <w:rPr>
          <w:rFonts w:asciiTheme="minorHAnsi" w:hAnsiTheme="minorHAnsi"/>
          <w:sz w:val="24"/>
          <w:szCs w:val="24"/>
        </w:rPr>
        <w:t xml:space="preserve"> were recruited</w:t>
      </w:r>
      <w:r w:rsidR="00BB18E7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Exclusion criteria included</w:t>
      </w:r>
      <w:r w:rsidR="00BB18E7">
        <w:rPr>
          <w:rFonts w:asciiTheme="minorHAnsi" w:hAnsiTheme="minorHAnsi"/>
          <w:sz w:val="24"/>
          <w:szCs w:val="24"/>
        </w:rPr>
        <w:t xml:space="preserve"> neurological or psychiatric disorders, cerebrovascular disease</w:t>
      </w:r>
      <w:r w:rsidR="00347845">
        <w:rPr>
          <w:rFonts w:asciiTheme="minorHAnsi" w:hAnsiTheme="minorHAnsi"/>
          <w:sz w:val="24"/>
          <w:szCs w:val="24"/>
        </w:rPr>
        <w:t xml:space="preserve"> </w:t>
      </w:r>
      <w:r w:rsidR="00155C51">
        <w:rPr>
          <w:rFonts w:asciiTheme="minorHAnsi" w:hAnsiTheme="minorHAnsi"/>
          <w:sz w:val="24"/>
          <w:szCs w:val="24"/>
        </w:rPr>
        <w:t>or</w:t>
      </w:r>
      <w:r w:rsidR="00347845">
        <w:rPr>
          <w:rFonts w:asciiTheme="minorHAnsi" w:hAnsiTheme="minorHAnsi"/>
          <w:sz w:val="24"/>
          <w:szCs w:val="24"/>
        </w:rPr>
        <w:t xml:space="preserve"> hypertension</w:t>
      </w:r>
      <w:r w:rsidR="00C20239">
        <w:rPr>
          <w:rFonts w:asciiTheme="minorHAnsi" w:hAnsiTheme="minorHAnsi"/>
          <w:sz w:val="24"/>
          <w:szCs w:val="24"/>
        </w:rPr>
        <w:t xml:space="preserve">. Cognition was measured using </w:t>
      </w:r>
      <w:r w:rsidR="008742F9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Montreal Cognitive Assessment. </w:t>
      </w:r>
      <w:r>
        <w:rPr>
          <w:rFonts w:asciiTheme="minorHAnsi" w:hAnsiTheme="minorHAnsi"/>
          <w:sz w:val="24"/>
          <w:szCs w:val="24"/>
          <w:lang w:val="en-US"/>
        </w:rPr>
        <w:t xml:space="preserve">T1-weighted (T1W), diffusion tensor (DTI) and Fluid Attenuated Inversion Recovery (FLAIR) were acquired </w:t>
      </w:r>
      <w:r>
        <w:rPr>
          <w:rFonts w:asciiTheme="minorHAnsi" w:hAnsiTheme="minorHAnsi"/>
          <w:sz w:val="24"/>
          <w:szCs w:val="24"/>
          <w:lang w:val="en-US"/>
        </w:rPr>
        <w:lastRenderedPageBreak/>
        <w:t>using a</w:t>
      </w:r>
      <w:r w:rsidRPr="0001780B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Philips 3T scanner. The following brain indicators were calculated: normalised whole brain</w:t>
      </w:r>
      <w:r w:rsidRPr="0001780B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and ventricular </w:t>
      </w:r>
      <w:r w:rsidRPr="0001780B">
        <w:rPr>
          <w:rFonts w:asciiTheme="minorHAnsi" w:hAnsiTheme="minorHAnsi"/>
          <w:sz w:val="24"/>
          <w:szCs w:val="24"/>
          <w:lang w:val="en-US"/>
        </w:rPr>
        <w:t>volume</w:t>
      </w:r>
      <w:r>
        <w:rPr>
          <w:rFonts w:asciiTheme="minorHAnsi" w:hAnsiTheme="minorHAnsi"/>
          <w:sz w:val="24"/>
          <w:szCs w:val="24"/>
          <w:lang w:val="en-US"/>
        </w:rPr>
        <w:t>s</w:t>
      </w:r>
      <w:r w:rsidRPr="0001780B">
        <w:rPr>
          <w:rFonts w:asciiTheme="minorHAnsi" w:hAnsiTheme="minorHAnsi"/>
          <w:sz w:val="24"/>
          <w:szCs w:val="24"/>
          <w:lang w:val="en-US"/>
        </w:rPr>
        <w:t xml:space="preserve"> (</w:t>
      </w:r>
      <w:r>
        <w:rPr>
          <w:rFonts w:asciiTheme="minorHAnsi" w:hAnsiTheme="minorHAnsi"/>
          <w:sz w:val="24"/>
          <w:szCs w:val="24"/>
          <w:lang w:val="en-US"/>
        </w:rPr>
        <w:t>scan: T</w:t>
      </w:r>
      <w:r w:rsidRPr="0001780B">
        <w:rPr>
          <w:rFonts w:asciiTheme="minorHAnsi" w:hAnsiTheme="minorHAnsi"/>
          <w:sz w:val="24"/>
          <w:szCs w:val="24"/>
          <w:lang w:val="en-US"/>
        </w:rPr>
        <w:t>1</w:t>
      </w:r>
      <w:r>
        <w:rPr>
          <w:rFonts w:asciiTheme="minorHAnsi" w:hAnsiTheme="minorHAnsi"/>
          <w:sz w:val="24"/>
          <w:szCs w:val="24"/>
          <w:lang w:val="en-US"/>
        </w:rPr>
        <w:t>W, software: SIENAX), white matter microstructural fractional anisotropy and mean diffusivity – compared voxelwise using tract–based spatial statistics (DTI, FSL),</w:t>
      </w:r>
      <w:r w:rsidRPr="0001780B">
        <w:rPr>
          <w:rFonts w:asciiTheme="minorHAnsi" w:hAnsiTheme="minorHAnsi"/>
          <w:sz w:val="24"/>
          <w:szCs w:val="24"/>
          <w:lang w:val="en-US"/>
        </w:rPr>
        <w:t xml:space="preserve"> and white matter lesion </w:t>
      </w:r>
      <w:r>
        <w:rPr>
          <w:rFonts w:asciiTheme="minorHAnsi" w:hAnsiTheme="minorHAnsi"/>
          <w:sz w:val="24"/>
          <w:szCs w:val="24"/>
          <w:lang w:val="en-US"/>
        </w:rPr>
        <w:t>volume</w:t>
      </w:r>
      <w:r w:rsidRPr="0001780B">
        <w:rPr>
          <w:rFonts w:asciiTheme="minorHAnsi" w:hAnsiTheme="minorHAnsi"/>
          <w:sz w:val="24"/>
          <w:szCs w:val="24"/>
          <w:lang w:val="en-US"/>
        </w:rPr>
        <w:t xml:space="preserve"> (</w:t>
      </w:r>
      <w:r>
        <w:rPr>
          <w:rFonts w:asciiTheme="minorHAnsi" w:hAnsiTheme="minorHAnsi"/>
          <w:sz w:val="24"/>
          <w:szCs w:val="24"/>
          <w:lang w:val="en-US"/>
        </w:rPr>
        <w:t xml:space="preserve">FLAIR, </w:t>
      </w:r>
      <w:r w:rsidRPr="006E3311">
        <w:rPr>
          <w:rFonts w:asciiTheme="minorHAnsi" w:hAnsiTheme="minorHAnsi"/>
          <w:i/>
          <w:sz w:val="24"/>
          <w:szCs w:val="24"/>
          <w:lang w:val="en-US"/>
        </w:rPr>
        <w:t>dispunc</w:t>
      </w:r>
      <w:r>
        <w:rPr>
          <w:rFonts w:asciiTheme="minorHAnsi" w:hAnsiTheme="minorHAnsi"/>
          <w:sz w:val="24"/>
          <w:szCs w:val="24"/>
          <w:lang w:val="en-US"/>
        </w:rPr>
        <w:t>)</w:t>
      </w:r>
      <w:r w:rsidRPr="0001780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Ethical approval was obtained (15/LO/0425). </w:t>
      </w:r>
    </w:p>
    <w:p w14:paraId="27860190" w14:textId="77777777" w:rsidR="005C1CF2" w:rsidRPr="00B37265" w:rsidRDefault="005C1CF2" w:rsidP="0001780B">
      <w:pPr>
        <w:pStyle w:val="Heading2"/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B37265">
        <w:rPr>
          <w:rFonts w:asciiTheme="minorHAnsi" w:hAnsiTheme="minorHAnsi"/>
          <w:b/>
          <w:sz w:val="24"/>
          <w:szCs w:val="24"/>
        </w:rPr>
        <w:t>Results:</w:t>
      </w:r>
    </w:p>
    <w:p w14:paraId="5DF17F47" w14:textId="101A8BE3" w:rsidR="00C21BF0" w:rsidRPr="00E30C8B" w:rsidRDefault="00D75324" w:rsidP="00A75FD9">
      <w:pPr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A75FD9">
        <w:rPr>
          <w:rFonts w:asciiTheme="minorHAnsi" w:hAnsiTheme="minorHAnsi"/>
          <w:sz w:val="24"/>
          <w:szCs w:val="24"/>
        </w:rPr>
        <w:t xml:space="preserve">ognition was </w:t>
      </w:r>
      <w:r w:rsidR="00F679F8">
        <w:rPr>
          <w:rFonts w:asciiTheme="minorHAnsi" w:hAnsiTheme="minorHAnsi"/>
          <w:sz w:val="24"/>
          <w:szCs w:val="24"/>
        </w:rPr>
        <w:t>clinically</w:t>
      </w:r>
      <w:r w:rsidR="003B7FDF">
        <w:rPr>
          <w:rFonts w:asciiTheme="minorHAnsi" w:hAnsiTheme="minorHAnsi"/>
          <w:sz w:val="24"/>
          <w:szCs w:val="24"/>
        </w:rPr>
        <w:t xml:space="preserve"> impaired in</w:t>
      </w:r>
      <w:r w:rsidR="00A75FD9">
        <w:rPr>
          <w:rFonts w:asciiTheme="minorHAnsi" w:hAnsiTheme="minorHAnsi"/>
          <w:sz w:val="24"/>
          <w:szCs w:val="24"/>
        </w:rPr>
        <w:t xml:space="preserve"> hospitalised </w:t>
      </w:r>
      <w:r w:rsidR="003B7FDF">
        <w:rPr>
          <w:rFonts w:asciiTheme="minorHAnsi" w:hAnsiTheme="minorHAnsi"/>
          <w:sz w:val="24"/>
          <w:szCs w:val="24"/>
        </w:rPr>
        <w:t xml:space="preserve">COPD </w:t>
      </w:r>
      <w:r w:rsidR="00A75FD9">
        <w:rPr>
          <w:rFonts w:asciiTheme="minorHAnsi" w:hAnsiTheme="minorHAnsi"/>
          <w:sz w:val="24"/>
          <w:szCs w:val="24"/>
        </w:rPr>
        <w:t xml:space="preserve">(median (IQR); </w:t>
      </w:r>
      <w:r w:rsidR="00A75FD9" w:rsidRPr="00E30C8B">
        <w:rPr>
          <w:rFonts w:asciiTheme="minorHAnsi" w:hAnsiTheme="minorHAnsi"/>
          <w:sz w:val="24"/>
          <w:szCs w:val="24"/>
        </w:rPr>
        <w:t xml:space="preserve">23.0(5)) </w:t>
      </w:r>
      <w:r w:rsidR="00F679F8">
        <w:rPr>
          <w:rFonts w:asciiTheme="minorHAnsi" w:hAnsiTheme="minorHAnsi"/>
          <w:sz w:val="24"/>
          <w:szCs w:val="24"/>
        </w:rPr>
        <w:t>but not in</w:t>
      </w:r>
      <w:r w:rsidR="00A75FD9" w:rsidRPr="00E30C8B">
        <w:rPr>
          <w:rFonts w:asciiTheme="minorHAnsi" w:hAnsiTheme="minorHAnsi"/>
          <w:sz w:val="24"/>
          <w:szCs w:val="24"/>
        </w:rPr>
        <w:t xml:space="preserve"> stable patients (27.0(2)) </w:t>
      </w:r>
      <w:r w:rsidR="00F679F8">
        <w:rPr>
          <w:rFonts w:asciiTheme="minorHAnsi" w:hAnsiTheme="minorHAnsi"/>
          <w:sz w:val="24"/>
          <w:szCs w:val="24"/>
        </w:rPr>
        <w:t>or</w:t>
      </w:r>
      <w:r w:rsidR="00A75FD9" w:rsidRPr="00E30C8B">
        <w:rPr>
          <w:rFonts w:asciiTheme="minorHAnsi" w:hAnsiTheme="minorHAnsi"/>
          <w:sz w:val="24"/>
          <w:szCs w:val="24"/>
        </w:rPr>
        <w:t xml:space="preserve"> controls (28.5(3)), with</w:t>
      </w:r>
      <w:r w:rsidR="006D3CD8">
        <w:rPr>
          <w:rFonts w:asciiTheme="minorHAnsi" w:hAnsiTheme="minorHAnsi"/>
          <w:sz w:val="24"/>
          <w:szCs w:val="24"/>
        </w:rPr>
        <w:t xml:space="preserve"> a</w:t>
      </w:r>
      <w:r w:rsidR="00A75FD9" w:rsidRPr="00E30C8B">
        <w:rPr>
          <w:rFonts w:asciiTheme="minorHAnsi" w:hAnsiTheme="minorHAnsi"/>
          <w:sz w:val="24"/>
          <w:szCs w:val="24"/>
        </w:rPr>
        <w:t xml:space="preserve"> significant difference only between hospitalised </w:t>
      </w:r>
      <w:r>
        <w:rPr>
          <w:rFonts w:asciiTheme="minorHAnsi" w:hAnsiTheme="minorHAnsi"/>
          <w:sz w:val="24"/>
          <w:szCs w:val="24"/>
        </w:rPr>
        <w:t xml:space="preserve">patients </w:t>
      </w:r>
      <w:r w:rsidR="00A75FD9" w:rsidRPr="00E30C8B">
        <w:rPr>
          <w:rFonts w:asciiTheme="minorHAnsi" w:hAnsiTheme="minorHAnsi"/>
          <w:sz w:val="24"/>
          <w:szCs w:val="24"/>
        </w:rPr>
        <w:t>and controls (</w:t>
      </w:r>
      <w:r w:rsidR="00A75FD9" w:rsidRPr="00623CC2">
        <w:rPr>
          <w:rFonts w:asciiTheme="minorHAnsi" w:hAnsiTheme="minorHAnsi"/>
          <w:i/>
          <w:sz w:val="24"/>
          <w:szCs w:val="24"/>
        </w:rPr>
        <w:t>p</w:t>
      </w:r>
      <w:r w:rsidR="00A75FD9" w:rsidRPr="00E30C8B">
        <w:rPr>
          <w:rFonts w:asciiTheme="minorHAnsi" w:hAnsiTheme="minorHAnsi"/>
          <w:sz w:val="24"/>
          <w:szCs w:val="24"/>
        </w:rPr>
        <w:t xml:space="preserve">&lt;0.0001). </w:t>
      </w:r>
      <w:r w:rsidR="00CC5267">
        <w:rPr>
          <w:rFonts w:asciiTheme="minorHAnsi" w:hAnsiTheme="minorHAnsi"/>
          <w:sz w:val="24"/>
          <w:szCs w:val="24"/>
        </w:rPr>
        <w:t xml:space="preserve">No significant differences were found in </w:t>
      </w:r>
      <w:r w:rsidR="00F679F8">
        <w:rPr>
          <w:rFonts w:asciiTheme="minorHAnsi" w:hAnsiTheme="minorHAnsi"/>
          <w:sz w:val="24"/>
          <w:szCs w:val="24"/>
        </w:rPr>
        <w:t xml:space="preserve">normalised </w:t>
      </w:r>
      <w:r w:rsidR="00CC5267">
        <w:rPr>
          <w:rFonts w:asciiTheme="minorHAnsi" w:hAnsiTheme="minorHAnsi"/>
          <w:sz w:val="24"/>
          <w:szCs w:val="24"/>
        </w:rPr>
        <w:t xml:space="preserve">whole brain volume, however, </w:t>
      </w:r>
      <w:r w:rsidR="00F679F8">
        <w:rPr>
          <w:rFonts w:asciiTheme="minorHAnsi" w:hAnsiTheme="minorHAnsi"/>
          <w:sz w:val="24"/>
          <w:szCs w:val="24"/>
        </w:rPr>
        <w:t>normalised</w:t>
      </w:r>
      <w:r w:rsidR="00A15AD5">
        <w:rPr>
          <w:rFonts w:asciiTheme="minorHAnsi" w:hAnsiTheme="minorHAnsi"/>
          <w:sz w:val="24"/>
          <w:szCs w:val="24"/>
        </w:rPr>
        <w:t xml:space="preserve"> </w:t>
      </w:r>
      <w:r w:rsidR="00F679F8">
        <w:rPr>
          <w:rFonts w:asciiTheme="minorHAnsi" w:hAnsiTheme="minorHAnsi"/>
          <w:sz w:val="24"/>
          <w:szCs w:val="24"/>
        </w:rPr>
        <w:t xml:space="preserve">brain </w:t>
      </w:r>
      <w:r w:rsidR="00CC5267">
        <w:rPr>
          <w:rFonts w:asciiTheme="minorHAnsi" w:hAnsiTheme="minorHAnsi"/>
          <w:sz w:val="24"/>
          <w:szCs w:val="24"/>
        </w:rPr>
        <w:t>v</w:t>
      </w:r>
      <w:r w:rsidR="00A75FD9" w:rsidRPr="00E30C8B">
        <w:rPr>
          <w:rFonts w:asciiTheme="minorHAnsi" w:hAnsiTheme="minorHAnsi"/>
          <w:sz w:val="24"/>
          <w:szCs w:val="24"/>
        </w:rPr>
        <w:t xml:space="preserve">entricular volume was </w:t>
      </w:r>
      <w:r w:rsidR="009D68D1">
        <w:rPr>
          <w:rFonts w:asciiTheme="minorHAnsi" w:hAnsiTheme="minorHAnsi"/>
          <w:sz w:val="24"/>
          <w:szCs w:val="24"/>
        </w:rPr>
        <w:t xml:space="preserve">significantly greater in </w:t>
      </w:r>
      <w:r w:rsidR="00A75FD9" w:rsidRPr="00E30C8B">
        <w:rPr>
          <w:rFonts w:asciiTheme="minorHAnsi" w:hAnsiTheme="minorHAnsi"/>
          <w:sz w:val="24"/>
          <w:szCs w:val="24"/>
        </w:rPr>
        <w:t xml:space="preserve">hospitalised </w:t>
      </w:r>
      <w:r w:rsidR="00A40EF7">
        <w:rPr>
          <w:rFonts w:asciiTheme="minorHAnsi" w:hAnsiTheme="minorHAnsi"/>
          <w:sz w:val="24"/>
          <w:szCs w:val="24"/>
        </w:rPr>
        <w:t>COPD</w:t>
      </w:r>
      <w:r w:rsidR="00A75FD9" w:rsidRPr="00E30C8B">
        <w:rPr>
          <w:rFonts w:asciiTheme="minorHAnsi" w:hAnsiTheme="minorHAnsi"/>
          <w:sz w:val="24"/>
          <w:szCs w:val="24"/>
        </w:rPr>
        <w:t>, compared to stable</w:t>
      </w:r>
      <w:r w:rsidR="00A40EF7">
        <w:rPr>
          <w:rFonts w:asciiTheme="minorHAnsi" w:hAnsiTheme="minorHAnsi"/>
          <w:sz w:val="24"/>
          <w:szCs w:val="24"/>
        </w:rPr>
        <w:t xml:space="preserve"> COPD</w:t>
      </w:r>
      <w:r w:rsidR="00A75FD9" w:rsidRPr="00E30C8B">
        <w:rPr>
          <w:rFonts w:asciiTheme="minorHAnsi" w:hAnsiTheme="minorHAnsi"/>
          <w:sz w:val="24"/>
          <w:szCs w:val="24"/>
        </w:rPr>
        <w:t xml:space="preserve"> (</w:t>
      </w:r>
      <w:r w:rsidR="00A75FD9" w:rsidRPr="00623CC2">
        <w:rPr>
          <w:rFonts w:asciiTheme="minorHAnsi" w:hAnsiTheme="minorHAnsi"/>
          <w:i/>
          <w:sz w:val="24"/>
          <w:szCs w:val="24"/>
        </w:rPr>
        <w:t>p</w:t>
      </w:r>
      <w:r w:rsidR="00A75FD9" w:rsidRPr="00E30C8B">
        <w:rPr>
          <w:rFonts w:asciiTheme="minorHAnsi" w:hAnsiTheme="minorHAnsi"/>
          <w:sz w:val="24"/>
          <w:szCs w:val="24"/>
        </w:rPr>
        <w:t>=0.046) and controls (</w:t>
      </w:r>
      <w:r w:rsidR="009D68D1" w:rsidRPr="00623CC2">
        <w:rPr>
          <w:rFonts w:asciiTheme="minorHAnsi" w:hAnsiTheme="minorHAnsi"/>
          <w:i/>
          <w:sz w:val="24"/>
          <w:szCs w:val="24"/>
        </w:rPr>
        <w:t>p</w:t>
      </w:r>
      <w:r w:rsidR="009D68D1">
        <w:rPr>
          <w:rFonts w:asciiTheme="minorHAnsi" w:hAnsiTheme="minorHAnsi"/>
          <w:sz w:val="24"/>
          <w:szCs w:val="24"/>
        </w:rPr>
        <w:t>=</w:t>
      </w:r>
      <w:r w:rsidR="00A75FD9" w:rsidRPr="00E30C8B">
        <w:rPr>
          <w:rFonts w:asciiTheme="minorHAnsi" w:hAnsiTheme="minorHAnsi"/>
          <w:sz w:val="24"/>
          <w:szCs w:val="24"/>
        </w:rPr>
        <w:t>0.028).</w:t>
      </w:r>
      <w:r w:rsidR="00FF60C2">
        <w:rPr>
          <w:rFonts w:asciiTheme="minorHAnsi" w:hAnsiTheme="minorHAnsi"/>
          <w:sz w:val="24"/>
          <w:szCs w:val="24"/>
        </w:rPr>
        <w:t xml:space="preserve"> </w:t>
      </w:r>
      <w:r w:rsidR="00A75FD9" w:rsidRPr="00E30C8B">
        <w:rPr>
          <w:rFonts w:asciiTheme="minorHAnsi" w:hAnsiTheme="minorHAnsi"/>
          <w:sz w:val="24"/>
          <w:szCs w:val="24"/>
        </w:rPr>
        <w:t xml:space="preserve">Hospitalised and stable </w:t>
      </w:r>
      <w:r w:rsidR="00A40EF7">
        <w:rPr>
          <w:rFonts w:asciiTheme="minorHAnsi" w:hAnsiTheme="minorHAnsi"/>
          <w:sz w:val="24"/>
          <w:szCs w:val="24"/>
        </w:rPr>
        <w:t xml:space="preserve">COPD </w:t>
      </w:r>
      <w:r w:rsidR="00DF1D9D" w:rsidRPr="00E30C8B">
        <w:rPr>
          <w:rFonts w:asciiTheme="minorHAnsi" w:hAnsiTheme="minorHAnsi"/>
          <w:sz w:val="24"/>
          <w:szCs w:val="24"/>
        </w:rPr>
        <w:t xml:space="preserve">patients </w:t>
      </w:r>
      <w:r w:rsidR="00A75FD9" w:rsidRPr="00E30C8B">
        <w:rPr>
          <w:rFonts w:asciiTheme="minorHAnsi" w:hAnsiTheme="minorHAnsi"/>
          <w:sz w:val="24"/>
          <w:szCs w:val="24"/>
        </w:rPr>
        <w:t xml:space="preserve">had </w:t>
      </w:r>
      <w:r w:rsidR="00BE43A7">
        <w:rPr>
          <w:rFonts w:asciiTheme="minorHAnsi" w:hAnsiTheme="minorHAnsi"/>
          <w:sz w:val="24"/>
          <w:szCs w:val="24"/>
        </w:rPr>
        <w:t>widespread significant reductions in</w:t>
      </w:r>
      <w:r w:rsidR="00A75FD9" w:rsidRPr="00E30C8B">
        <w:rPr>
          <w:rFonts w:asciiTheme="minorHAnsi" w:hAnsiTheme="minorHAnsi"/>
          <w:sz w:val="24"/>
          <w:szCs w:val="24"/>
        </w:rPr>
        <w:t xml:space="preserve"> </w:t>
      </w:r>
      <w:r w:rsidR="00C81A4C">
        <w:rPr>
          <w:rFonts w:asciiTheme="minorHAnsi" w:hAnsiTheme="minorHAnsi"/>
          <w:sz w:val="24"/>
          <w:szCs w:val="24"/>
        </w:rPr>
        <w:t xml:space="preserve">fractional </w:t>
      </w:r>
      <w:r w:rsidR="00A40EF7">
        <w:rPr>
          <w:rFonts w:asciiTheme="minorHAnsi" w:hAnsiTheme="minorHAnsi"/>
          <w:sz w:val="24"/>
          <w:szCs w:val="24"/>
        </w:rPr>
        <w:t>anisotropy</w:t>
      </w:r>
      <w:r w:rsidR="00A75FD9" w:rsidRPr="00E30C8B">
        <w:rPr>
          <w:rFonts w:asciiTheme="minorHAnsi" w:hAnsiTheme="minorHAnsi"/>
          <w:sz w:val="24"/>
          <w:szCs w:val="24"/>
        </w:rPr>
        <w:t xml:space="preserve"> and increased </w:t>
      </w:r>
      <w:r w:rsidR="00C81A4C">
        <w:rPr>
          <w:rFonts w:asciiTheme="minorHAnsi" w:hAnsiTheme="minorHAnsi"/>
          <w:sz w:val="24"/>
          <w:szCs w:val="24"/>
        </w:rPr>
        <w:t>mean diffusivity</w:t>
      </w:r>
      <w:r w:rsidR="00C81A4C" w:rsidRPr="00E30C8B">
        <w:rPr>
          <w:rFonts w:asciiTheme="minorHAnsi" w:hAnsiTheme="minorHAnsi"/>
          <w:sz w:val="24"/>
          <w:szCs w:val="24"/>
        </w:rPr>
        <w:t xml:space="preserve"> </w:t>
      </w:r>
      <w:r w:rsidR="00BE43A7">
        <w:rPr>
          <w:rFonts w:asciiTheme="minorHAnsi" w:hAnsiTheme="minorHAnsi"/>
          <w:sz w:val="24"/>
          <w:szCs w:val="24"/>
        </w:rPr>
        <w:t>throughout the white matter skeleton</w:t>
      </w:r>
      <w:r w:rsidR="00A75FD9" w:rsidRPr="00E30C8B">
        <w:rPr>
          <w:rFonts w:asciiTheme="minorHAnsi" w:hAnsiTheme="minorHAnsi"/>
          <w:sz w:val="24"/>
          <w:szCs w:val="24"/>
        </w:rPr>
        <w:t>, compared to controls (</w:t>
      </w:r>
      <w:r w:rsidR="00A75FD9" w:rsidRPr="00623CC2">
        <w:rPr>
          <w:rFonts w:asciiTheme="minorHAnsi" w:hAnsiTheme="minorHAnsi"/>
          <w:i/>
          <w:sz w:val="24"/>
          <w:szCs w:val="24"/>
        </w:rPr>
        <w:t>p</w:t>
      </w:r>
      <w:r w:rsidR="00A75FD9" w:rsidRPr="00E30C8B">
        <w:rPr>
          <w:rFonts w:asciiTheme="minorHAnsi" w:hAnsiTheme="minorHAnsi"/>
          <w:sz w:val="24"/>
          <w:szCs w:val="24"/>
        </w:rPr>
        <w:t xml:space="preserve">&lt;0.001). </w:t>
      </w:r>
      <w:r w:rsidR="00C21BF0">
        <w:rPr>
          <w:rFonts w:asciiTheme="minorHAnsi" w:hAnsiTheme="minorHAnsi"/>
          <w:sz w:val="24"/>
          <w:szCs w:val="24"/>
        </w:rPr>
        <w:t xml:space="preserve">Hospitalised patients had the highest white matter lesion volume, however this was not significantly different </w:t>
      </w:r>
      <w:r w:rsidR="009F3E48">
        <w:rPr>
          <w:rFonts w:asciiTheme="minorHAnsi" w:hAnsiTheme="minorHAnsi"/>
          <w:sz w:val="24"/>
          <w:szCs w:val="24"/>
        </w:rPr>
        <w:t>between groups</w:t>
      </w:r>
      <w:r w:rsidR="00C21BF0">
        <w:rPr>
          <w:rFonts w:asciiTheme="minorHAnsi" w:hAnsiTheme="minorHAnsi"/>
          <w:sz w:val="24"/>
          <w:szCs w:val="24"/>
        </w:rPr>
        <w:t xml:space="preserve">. </w:t>
      </w:r>
    </w:p>
    <w:p w14:paraId="2932602A" w14:textId="77777777" w:rsidR="005C1CF2" w:rsidRPr="00C778CA" w:rsidRDefault="005C1CF2" w:rsidP="0001780B">
      <w:pPr>
        <w:pStyle w:val="Heading2"/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C778CA">
        <w:rPr>
          <w:rFonts w:asciiTheme="minorHAnsi" w:hAnsiTheme="minorHAnsi"/>
          <w:b/>
          <w:sz w:val="24"/>
          <w:szCs w:val="24"/>
        </w:rPr>
        <w:t>Conclusions:</w:t>
      </w:r>
    </w:p>
    <w:p w14:paraId="216E48C2" w14:textId="14FC6AC1" w:rsidR="00CA5780" w:rsidRDefault="004B3B8B" w:rsidP="0001780B">
      <w:pPr>
        <w:spacing w:before="120"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Hospitalised COPD patients have greater cognitive impairment compared to stable COPD and controls</w:t>
      </w:r>
      <w:r w:rsidR="00C81A4C">
        <w:rPr>
          <w:rFonts w:asciiTheme="minorHAnsi" w:hAnsiTheme="minorHAnsi"/>
          <w:sz w:val="24"/>
          <w:szCs w:val="24"/>
        </w:rPr>
        <w:t xml:space="preserve"> with</w:t>
      </w:r>
      <w:r w:rsidR="009F3E48">
        <w:rPr>
          <w:rFonts w:asciiTheme="minorHAnsi" w:hAnsiTheme="minorHAnsi"/>
          <w:sz w:val="24"/>
          <w:szCs w:val="24"/>
        </w:rPr>
        <w:t xml:space="preserve"> </w:t>
      </w:r>
      <w:r w:rsidR="009F3E48" w:rsidRPr="00027B3A">
        <w:rPr>
          <w:rFonts w:asciiTheme="minorHAnsi" w:hAnsiTheme="minorHAnsi"/>
          <w:color w:val="000000" w:themeColor="text1"/>
          <w:sz w:val="24"/>
          <w:szCs w:val="24"/>
        </w:rPr>
        <w:t xml:space="preserve">evidence of </w:t>
      </w:r>
      <w:r w:rsidR="00F477D4" w:rsidRPr="00027B3A">
        <w:rPr>
          <w:rFonts w:asciiTheme="minorHAnsi" w:hAnsiTheme="minorHAnsi"/>
          <w:color w:val="000000" w:themeColor="text1"/>
          <w:sz w:val="24"/>
          <w:szCs w:val="24"/>
        </w:rPr>
        <w:t xml:space="preserve">greater ventricular </w:t>
      </w:r>
      <w:r w:rsidR="00773356" w:rsidRPr="00027B3A">
        <w:rPr>
          <w:rFonts w:asciiTheme="minorHAnsi" w:hAnsiTheme="minorHAnsi"/>
          <w:color w:val="000000" w:themeColor="text1"/>
          <w:sz w:val="24"/>
          <w:szCs w:val="24"/>
        </w:rPr>
        <w:t>and</w:t>
      </w:r>
      <w:r w:rsidRPr="00027B3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477D4" w:rsidRPr="00027B3A">
        <w:rPr>
          <w:rFonts w:asciiTheme="minorHAnsi" w:hAnsiTheme="minorHAnsi"/>
          <w:color w:val="000000" w:themeColor="text1"/>
          <w:sz w:val="24"/>
          <w:szCs w:val="24"/>
        </w:rPr>
        <w:t xml:space="preserve">white matter </w:t>
      </w:r>
      <w:r w:rsidR="00773356" w:rsidRPr="00027B3A">
        <w:rPr>
          <w:rFonts w:asciiTheme="minorHAnsi" w:hAnsiTheme="minorHAnsi"/>
          <w:color w:val="000000" w:themeColor="text1"/>
          <w:sz w:val="24"/>
          <w:szCs w:val="24"/>
        </w:rPr>
        <w:t>lesion volumes</w:t>
      </w:r>
      <w:r w:rsidRPr="00027B3A">
        <w:rPr>
          <w:rFonts w:asciiTheme="minorHAnsi" w:hAnsiTheme="minorHAnsi"/>
          <w:color w:val="000000" w:themeColor="text1"/>
          <w:sz w:val="24"/>
          <w:szCs w:val="24"/>
        </w:rPr>
        <w:t xml:space="preserve"> and </w:t>
      </w:r>
      <w:r w:rsidR="00773356" w:rsidRPr="00027B3A">
        <w:rPr>
          <w:rFonts w:asciiTheme="minorHAnsi" w:hAnsiTheme="minorHAnsi"/>
          <w:color w:val="000000" w:themeColor="text1"/>
          <w:sz w:val="24"/>
          <w:szCs w:val="24"/>
        </w:rPr>
        <w:t xml:space="preserve">damaged </w:t>
      </w:r>
      <w:r w:rsidRPr="00027B3A">
        <w:rPr>
          <w:rFonts w:asciiTheme="minorHAnsi" w:hAnsiTheme="minorHAnsi"/>
          <w:color w:val="000000" w:themeColor="text1"/>
          <w:sz w:val="24"/>
          <w:szCs w:val="24"/>
        </w:rPr>
        <w:t>white matter microstructure</w:t>
      </w:r>
      <w:r w:rsidR="00BD58C2" w:rsidRPr="00027B3A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D58C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81A4C">
        <w:rPr>
          <w:rFonts w:asciiTheme="minorHAnsi" w:hAnsiTheme="minorHAnsi"/>
          <w:color w:val="000000" w:themeColor="text1"/>
          <w:sz w:val="24"/>
          <w:szCs w:val="24"/>
        </w:rPr>
        <w:t>M</w:t>
      </w:r>
      <w:r w:rsidR="00BD58C2">
        <w:rPr>
          <w:rFonts w:asciiTheme="minorHAnsi" w:hAnsiTheme="minorHAnsi"/>
          <w:color w:val="000000" w:themeColor="text1"/>
          <w:sz w:val="24"/>
          <w:szCs w:val="24"/>
        </w:rPr>
        <w:t xml:space="preserve">echanisms behind these neuropathological processes and </w:t>
      </w:r>
      <w:r w:rsidR="00C81A4C">
        <w:rPr>
          <w:rFonts w:asciiTheme="minorHAnsi" w:hAnsiTheme="minorHAnsi"/>
          <w:color w:val="000000" w:themeColor="text1"/>
          <w:sz w:val="24"/>
          <w:szCs w:val="24"/>
        </w:rPr>
        <w:t>possible links</w:t>
      </w:r>
      <w:r w:rsidR="00BD58C2">
        <w:rPr>
          <w:rFonts w:asciiTheme="minorHAnsi" w:hAnsiTheme="minorHAnsi"/>
          <w:color w:val="000000" w:themeColor="text1"/>
          <w:sz w:val="24"/>
          <w:szCs w:val="24"/>
        </w:rPr>
        <w:t xml:space="preserve"> to observed cognitive dysfunction remain unclear, but may </w:t>
      </w:r>
      <w:r w:rsidR="00B41909">
        <w:rPr>
          <w:rFonts w:asciiTheme="minorHAnsi" w:hAnsiTheme="minorHAnsi"/>
          <w:color w:val="000000" w:themeColor="text1"/>
          <w:sz w:val="24"/>
          <w:szCs w:val="24"/>
        </w:rPr>
        <w:t>involve</w:t>
      </w:r>
      <w:r w:rsidR="00BE43A7">
        <w:rPr>
          <w:rFonts w:asciiTheme="minorHAnsi" w:hAnsiTheme="minorHAnsi"/>
          <w:color w:val="000000" w:themeColor="text1"/>
          <w:sz w:val="24"/>
          <w:szCs w:val="24"/>
        </w:rPr>
        <w:t xml:space="preserve"> ischaemic small-</w:t>
      </w:r>
      <w:r w:rsidR="00A40EF7">
        <w:rPr>
          <w:rFonts w:asciiTheme="minorHAnsi" w:hAnsiTheme="minorHAnsi"/>
          <w:color w:val="000000" w:themeColor="text1"/>
          <w:sz w:val="24"/>
          <w:szCs w:val="24"/>
        </w:rPr>
        <w:t>vessel disease.</w:t>
      </w:r>
    </w:p>
    <w:p w14:paraId="0E7E3456" w14:textId="77777777" w:rsidR="00FA3F08" w:rsidRPr="00027B3A" w:rsidRDefault="00FA3F08" w:rsidP="0001780B">
      <w:pPr>
        <w:spacing w:before="120"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8E5D046" w14:textId="77777777" w:rsidR="00C81A4C" w:rsidRDefault="00C81A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br w:type="page"/>
      </w:r>
    </w:p>
    <w:p w14:paraId="4F4DFE3D" w14:textId="24AFE73A" w:rsidR="007D3FFA" w:rsidRDefault="00E1485A" w:rsidP="0001780B">
      <w:pPr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Table</w:t>
      </w:r>
      <w:r w:rsidR="00B37265">
        <w:rPr>
          <w:rFonts w:asciiTheme="minorHAnsi" w:hAnsiTheme="minorHAnsi"/>
          <w:sz w:val="24"/>
          <w:szCs w:val="24"/>
        </w:rPr>
        <w:t xml:space="preserve"> 1: </w:t>
      </w:r>
      <w:r w:rsidR="00B37265" w:rsidRPr="009D68D1">
        <w:rPr>
          <w:rFonts w:asciiTheme="minorHAnsi" w:hAnsiTheme="minorHAnsi"/>
          <w:sz w:val="24"/>
          <w:szCs w:val="24"/>
        </w:rPr>
        <w:t xml:space="preserve">Clinical, demographic and </w:t>
      </w:r>
      <w:r w:rsidR="009D68D1" w:rsidRPr="009D68D1">
        <w:rPr>
          <w:rFonts w:asciiTheme="minorHAnsi" w:hAnsiTheme="minorHAnsi"/>
          <w:sz w:val="24"/>
          <w:szCs w:val="24"/>
        </w:rPr>
        <w:t>MRI</w:t>
      </w:r>
      <w:r w:rsidR="00B37265" w:rsidRPr="009D68D1">
        <w:rPr>
          <w:rFonts w:asciiTheme="minorHAnsi" w:hAnsiTheme="minorHAnsi"/>
          <w:sz w:val="24"/>
          <w:szCs w:val="24"/>
        </w:rPr>
        <w:t xml:space="preserve"> indicators </w:t>
      </w:r>
      <w:r w:rsidR="00A15AD5">
        <w:rPr>
          <w:rFonts w:asciiTheme="minorHAnsi" w:hAnsiTheme="minorHAnsi"/>
          <w:sz w:val="24"/>
          <w:szCs w:val="24"/>
        </w:rPr>
        <w:t>in</w:t>
      </w:r>
      <w:r w:rsidR="00A15AD5" w:rsidRPr="009D68D1">
        <w:rPr>
          <w:rFonts w:asciiTheme="minorHAnsi" w:hAnsiTheme="minorHAnsi"/>
          <w:sz w:val="24"/>
          <w:szCs w:val="24"/>
        </w:rPr>
        <w:t xml:space="preserve"> </w:t>
      </w:r>
      <w:r w:rsidR="00B37265" w:rsidRPr="009D68D1">
        <w:rPr>
          <w:rFonts w:asciiTheme="minorHAnsi" w:hAnsiTheme="minorHAnsi"/>
          <w:sz w:val="24"/>
          <w:szCs w:val="24"/>
        </w:rPr>
        <w:t>hospitalised</w:t>
      </w:r>
      <w:r w:rsidR="00A15AD5">
        <w:rPr>
          <w:rFonts w:asciiTheme="minorHAnsi" w:hAnsiTheme="minorHAnsi"/>
          <w:sz w:val="24"/>
          <w:szCs w:val="24"/>
        </w:rPr>
        <w:t xml:space="preserve"> and</w:t>
      </w:r>
      <w:r w:rsidR="00B37265" w:rsidRPr="009D68D1">
        <w:rPr>
          <w:rFonts w:asciiTheme="minorHAnsi" w:hAnsiTheme="minorHAnsi"/>
          <w:sz w:val="24"/>
          <w:szCs w:val="24"/>
        </w:rPr>
        <w:t xml:space="preserve"> stable</w:t>
      </w:r>
      <w:r w:rsidR="00A15AD5">
        <w:rPr>
          <w:rFonts w:asciiTheme="minorHAnsi" w:hAnsiTheme="minorHAnsi"/>
          <w:sz w:val="24"/>
          <w:szCs w:val="24"/>
        </w:rPr>
        <w:t xml:space="preserve"> COPD patients</w:t>
      </w:r>
      <w:r w:rsidR="00B37265" w:rsidRPr="009D68D1">
        <w:rPr>
          <w:rFonts w:asciiTheme="minorHAnsi" w:hAnsiTheme="minorHAnsi"/>
          <w:sz w:val="24"/>
          <w:szCs w:val="24"/>
        </w:rPr>
        <w:t xml:space="preserve"> and </w:t>
      </w:r>
      <w:r w:rsidR="00D75324" w:rsidRPr="009D68D1">
        <w:rPr>
          <w:rFonts w:asciiTheme="minorHAnsi" w:hAnsiTheme="minorHAnsi"/>
          <w:sz w:val="24"/>
          <w:szCs w:val="24"/>
        </w:rPr>
        <w:t>c</w:t>
      </w:r>
      <w:r w:rsidR="00B37265" w:rsidRPr="009D68D1">
        <w:rPr>
          <w:rFonts w:asciiTheme="minorHAnsi" w:hAnsiTheme="minorHAnsi"/>
          <w:sz w:val="24"/>
          <w:szCs w:val="24"/>
        </w:rPr>
        <w:t>ontrols</w:t>
      </w:r>
    </w:p>
    <w:p w14:paraId="2918EDE2" w14:textId="0B466760" w:rsidR="00F477D4" w:rsidRPr="009D68D1" w:rsidRDefault="00F477D4" w:rsidP="0001780B">
      <w:pPr>
        <w:spacing w:before="12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276"/>
        <w:gridCol w:w="1275"/>
        <w:gridCol w:w="1276"/>
      </w:tblGrid>
      <w:tr w:rsidR="00CC5267" w14:paraId="1153F082" w14:textId="77777777" w:rsidTr="002A75FD">
        <w:tc>
          <w:tcPr>
            <w:tcW w:w="2689" w:type="dxa"/>
            <w:vAlign w:val="center"/>
          </w:tcPr>
          <w:p w14:paraId="135822E0" w14:textId="77777777" w:rsidR="00CC5267" w:rsidRPr="00315F77" w:rsidRDefault="00CC5267" w:rsidP="00027B3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3E9E07" w14:textId="457743A9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Hospitalised</w:t>
            </w:r>
            <w:r w:rsidR="00A15AD5">
              <w:rPr>
                <w:rFonts w:asciiTheme="minorHAnsi" w:hAnsiTheme="minorHAnsi"/>
                <w:sz w:val="24"/>
                <w:szCs w:val="24"/>
              </w:rPr>
              <w:t xml:space="preserve"> COPD</w:t>
            </w:r>
          </w:p>
        </w:tc>
        <w:tc>
          <w:tcPr>
            <w:tcW w:w="1276" w:type="dxa"/>
          </w:tcPr>
          <w:p w14:paraId="78414449" w14:textId="62DF2AC9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 xml:space="preserve">Stable </w:t>
            </w:r>
            <w:r w:rsidR="00A15AD5">
              <w:rPr>
                <w:rFonts w:asciiTheme="minorHAnsi" w:hAnsiTheme="minorHAnsi"/>
                <w:sz w:val="24"/>
                <w:szCs w:val="24"/>
              </w:rPr>
              <w:t>COPD</w:t>
            </w:r>
          </w:p>
        </w:tc>
        <w:tc>
          <w:tcPr>
            <w:tcW w:w="1276" w:type="dxa"/>
          </w:tcPr>
          <w:p w14:paraId="7AE5AB3D" w14:textId="7C340792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Controls</w:t>
            </w:r>
          </w:p>
        </w:tc>
        <w:tc>
          <w:tcPr>
            <w:tcW w:w="1275" w:type="dxa"/>
          </w:tcPr>
          <w:p w14:paraId="141E43EE" w14:textId="77777777" w:rsidR="00FA3F08" w:rsidRPr="00315F77" w:rsidRDefault="00773356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3CC2">
              <w:rPr>
                <w:rFonts w:asciiTheme="minorHAnsi" w:hAnsiTheme="minorHAnsi"/>
                <w:i/>
                <w:sz w:val="24"/>
                <w:szCs w:val="24"/>
              </w:rPr>
              <w:t>P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 xml:space="preserve"> value</w:t>
            </w:r>
          </w:p>
          <w:p w14:paraId="57E733C7" w14:textId="0843BEEF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A336E" w14:textId="7C0D85DC" w:rsidR="00CC5267" w:rsidRPr="00315F77" w:rsidRDefault="00CC5267" w:rsidP="002A75FD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Post</w:t>
            </w:r>
            <w:r w:rsidR="007D3FF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hoc</w:t>
            </w:r>
            <w:r w:rsidR="009D68D1" w:rsidRPr="00315F77">
              <w:rPr>
                <w:rFonts w:asciiTheme="minorHAnsi" w:hAnsiTheme="minorHAnsi"/>
                <w:sz w:val="24"/>
                <w:szCs w:val="24"/>
              </w:rPr>
              <w:t xml:space="preserve"> tests</w:t>
            </w:r>
          </w:p>
        </w:tc>
      </w:tr>
      <w:tr w:rsidR="00CC5267" w14:paraId="7F8F33FF" w14:textId="77777777" w:rsidTr="002A75FD">
        <w:tc>
          <w:tcPr>
            <w:tcW w:w="2689" w:type="dxa"/>
            <w:vAlign w:val="center"/>
          </w:tcPr>
          <w:p w14:paraId="5C3E7421" w14:textId="77777777" w:rsidR="00CC5267" w:rsidRPr="00315F77" w:rsidRDefault="00CC5267" w:rsidP="00027B3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Number (n)</w:t>
            </w:r>
          </w:p>
        </w:tc>
        <w:tc>
          <w:tcPr>
            <w:tcW w:w="1417" w:type="dxa"/>
            <w:vAlign w:val="center"/>
          </w:tcPr>
          <w:p w14:paraId="62FA0C13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14:paraId="2DAE18EF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0AFF4F1C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14:paraId="7F8AA72E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53C90E4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C5267" w14:paraId="4311E4B2" w14:textId="77777777" w:rsidTr="002A75FD">
        <w:tc>
          <w:tcPr>
            <w:tcW w:w="2689" w:type="dxa"/>
            <w:vAlign w:val="center"/>
          </w:tcPr>
          <w:p w14:paraId="33CAAE2E" w14:textId="474E1A20" w:rsidR="00CC5267" w:rsidRPr="00315F77" w:rsidRDefault="00CC5267" w:rsidP="00027B3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Age (years)</w:t>
            </w:r>
            <w:r w:rsidR="007D3FFA" w:rsidRPr="006D3CD8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14:paraId="0188EDF6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69±11</w:t>
            </w:r>
          </w:p>
        </w:tc>
        <w:tc>
          <w:tcPr>
            <w:tcW w:w="1276" w:type="dxa"/>
            <w:vAlign w:val="center"/>
          </w:tcPr>
          <w:p w14:paraId="7D1DA246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67±7</w:t>
            </w:r>
          </w:p>
        </w:tc>
        <w:tc>
          <w:tcPr>
            <w:tcW w:w="1276" w:type="dxa"/>
            <w:vAlign w:val="center"/>
          </w:tcPr>
          <w:p w14:paraId="74E74233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66±7</w:t>
            </w:r>
          </w:p>
        </w:tc>
        <w:tc>
          <w:tcPr>
            <w:tcW w:w="1275" w:type="dxa"/>
            <w:vAlign w:val="center"/>
          </w:tcPr>
          <w:p w14:paraId="66E3A41F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0.477</w:t>
            </w:r>
          </w:p>
        </w:tc>
        <w:tc>
          <w:tcPr>
            <w:tcW w:w="1276" w:type="dxa"/>
            <w:vAlign w:val="center"/>
          </w:tcPr>
          <w:p w14:paraId="461C345E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C5267" w14:paraId="40F94603" w14:textId="77777777" w:rsidTr="002A75FD">
        <w:tc>
          <w:tcPr>
            <w:tcW w:w="2689" w:type="dxa"/>
            <w:vAlign w:val="center"/>
          </w:tcPr>
          <w:p w14:paraId="207F65BF" w14:textId="4C67B3A0" w:rsidR="00CC5267" w:rsidRPr="00315F77" w:rsidRDefault="00CC5267" w:rsidP="00027B3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Gender (% male)</w:t>
            </w:r>
            <w:r w:rsidR="007D3FFA" w:rsidRPr="006D3CD8">
              <w:rPr>
                <w:rFonts w:asciiTheme="minorHAnsi" w:hAnsi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26F0523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61%</w:t>
            </w:r>
          </w:p>
        </w:tc>
        <w:tc>
          <w:tcPr>
            <w:tcW w:w="1276" w:type="dxa"/>
            <w:vAlign w:val="center"/>
          </w:tcPr>
          <w:p w14:paraId="0824E4C3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60%</w:t>
            </w:r>
          </w:p>
        </w:tc>
        <w:tc>
          <w:tcPr>
            <w:tcW w:w="1276" w:type="dxa"/>
            <w:vAlign w:val="center"/>
          </w:tcPr>
          <w:p w14:paraId="0A68C68A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46%</w:t>
            </w:r>
          </w:p>
        </w:tc>
        <w:tc>
          <w:tcPr>
            <w:tcW w:w="1275" w:type="dxa"/>
            <w:vAlign w:val="center"/>
          </w:tcPr>
          <w:p w14:paraId="70954A5C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0.540</w:t>
            </w:r>
          </w:p>
        </w:tc>
        <w:tc>
          <w:tcPr>
            <w:tcW w:w="1276" w:type="dxa"/>
            <w:vAlign w:val="center"/>
          </w:tcPr>
          <w:p w14:paraId="2A52AE66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C5267" w14:paraId="5CEAAA62" w14:textId="77777777" w:rsidTr="002A75FD">
        <w:tc>
          <w:tcPr>
            <w:tcW w:w="2689" w:type="dxa"/>
            <w:vAlign w:val="center"/>
          </w:tcPr>
          <w:p w14:paraId="35FFBB74" w14:textId="37753F0D" w:rsidR="00CC5267" w:rsidRPr="00315F77" w:rsidRDefault="00CC5267" w:rsidP="007D3FF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FEV</w:t>
            </w:r>
            <w:r w:rsidRPr="00315F77">
              <w:rPr>
                <w:rFonts w:asciiTheme="minorHAnsi" w:hAnsiTheme="minorHAnsi"/>
                <w:sz w:val="24"/>
                <w:szCs w:val="24"/>
                <w:vertAlign w:val="subscript"/>
              </w:rPr>
              <w:t>1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 xml:space="preserve"> (% </w:t>
            </w:r>
            <w:r w:rsidR="007D3FFA">
              <w:rPr>
                <w:rFonts w:asciiTheme="minorHAnsi" w:hAnsiTheme="minorHAnsi"/>
                <w:sz w:val="24"/>
                <w:szCs w:val="24"/>
              </w:rPr>
              <w:t>p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red</w:t>
            </w:r>
            <w:r w:rsidR="007D3FFA">
              <w:rPr>
                <w:rFonts w:asciiTheme="minorHAnsi" w:hAnsiTheme="minorHAnsi"/>
                <w:sz w:val="24"/>
                <w:szCs w:val="24"/>
              </w:rPr>
              <w:t>icted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)</w:t>
            </w:r>
            <w:r w:rsidR="007D3FFA" w:rsidRPr="006D3CD8">
              <w:rPr>
                <w:rFonts w:asciiTheme="minorHAnsi" w:hAnsi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14:paraId="2EC72D3B" w14:textId="68EF20F5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5</w:t>
            </w:r>
            <w:r w:rsidR="00A15AD5">
              <w:rPr>
                <w:rFonts w:asciiTheme="minorHAnsi" w:hAnsiTheme="minorHAnsi"/>
                <w:sz w:val="24"/>
                <w:szCs w:val="24"/>
              </w:rPr>
              <w:t>1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±1</w:t>
            </w:r>
            <w:r w:rsidR="00A15AD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A1EECFA" w14:textId="4B81B528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5</w:t>
            </w:r>
            <w:r w:rsidR="00A15AD5">
              <w:rPr>
                <w:rFonts w:asciiTheme="minorHAnsi" w:hAnsiTheme="minorHAnsi"/>
                <w:sz w:val="24"/>
                <w:szCs w:val="24"/>
              </w:rPr>
              <w:t>4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±2</w:t>
            </w:r>
            <w:r w:rsidR="00A15AD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F7603AA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6D779095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0.604</w:t>
            </w:r>
          </w:p>
        </w:tc>
        <w:tc>
          <w:tcPr>
            <w:tcW w:w="1276" w:type="dxa"/>
            <w:vAlign w:val="center"/>
          </w:tcPr>
          <w:p w14:paraId="1EF29FD6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C5267" w14:paraId="297050CF" w14:textId="77777777" w:rsidTr="002A75FD">
        <w:tc>
          <w:tcPr>
            <w:tcW w:w="2689" w:type="dxa"/>
            <w:vAlign w:val="center"/>
          </w:tcPr>
          <w:p w14:paraId="3197630B" w14:textId="2800B51C" w:rsidR="00CC5267" w:rsidRPr="00315F77" w:rsidRDefault="00CC5267" w:rsidP="00027B3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Smoking (pack years)</w:t>
            </w:r>
            <w:r w:rsidR="007D3FFA" w:rsidRPr="006D3CD8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Align w:val="center"/>
          </w:tcPr>
          <w:p w14:paraId="17BF76FD" w14:textId="00BE1E2F" w:rsidR="00CC5267" w:rsidRPr="00315F77" w:rsidRDefault="00CC5267" w:rsidP="00FE7E90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4</w:t>
            </w:r>
            <w:r w:rsidR="00FE7E90">
              <w:rPr>
                <w:rFonts w:asciiTheme="minorHAnsi" w:hAnsiTheme="minorHAnsi"/>
                <w:sz w:val="24"/>
                <w:szCs w:val="24"/>
              </w:rPr>
              <w:t>3 (35)</w:t>
            </w:r>
          </w:p>
        </w:tc>
        <w:tc>
          <w:tcPr>
            <w:tcW w:w="1276" w:type="dxa"/>
            <w:vAlign w:val="center"/>
          </w:tcPr>
          <w:p w14:paraId="27448128" w14:textId="6866C71E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6</w:t>
            </w:r>
            <w:r w:rsidR="00FE7E90">
              <w:rPr>
                <w:rFonts w:asciiTheme="minorHAnsi" w:hAnsiTheme="minorHAnsi"/>
                <w:sz w:val="24"/>
                <w:szCs w:val="24"/>
              </w:rPr>
              <w:t>0 (25)</w:t>
            </w:r>
          </w:p>
        </w:tc>
        <w:tc>
          <w:tcPr>
            <w:tcW w:w="1276" w:type="dxa"/>
            <w:vAlign w:val="center"/>
          </w:tcPr>
          <w:p w14:paraId="0A1BACAF" w14:textId="0AA1D30A" w:rsidR="00CC5267" w:rsidRPr="00315F77" w:rsidRDefault="00FE7E90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 (3)</w:t>
            </w:r>
          </w:p>
        </w:tc>
        <w:tc>
          <w:tcPr>
            <w:tcW w:w="1275" w:type="dxa"/>
            <w:vAlign w:val="center"/>
          </w:tcPr>
          <w:p w14:paraId="62BC5E2F" w14:textId="47314D6F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&lt;0.0</w:t>
            </w:r>
            <w:r w:rsidR="007D2843">
              <w:rPr>
                <w:rFonts w:asciiTheme="minorHAnsi" w:hAnsiTheme="minorHAnsi"/>
                <w:sz w:val="24"/>
                <w:szCs w:val="24"/>
              </w:rPr>
              <w:t>0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0BF73D4E" w14:textId="3E30AF6A" w:rsidR="00773356" w:rsidRPr="00027B3A" w:rsidRDefault="00CC5267" w:rsidP="00027B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H&gt;C**</w:t>
            </w:r>
          </w:p>
          <w:p w14:paraId="496B0374" w14:textId="6CC650D8" w:rsidR="00CC5267" w:rsidRPr="00315F77" w:rsidRDefault="00CC5267" w:rsidP="00027B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S&gt;C**</w:t>
            </w:r>
          </w:p>
        </w:tc>
      </w:tr>
      <w:tr w:rsidR="00CC5267" w14:paraId="5175C97F" w14:textId="77777777" w:rsidTr="002A75FD">
        <w:tc>
          <w:tcPr>
            <w:tcW w:w="2689" w:type="dxa"/>
            <w:vAlign w:val="center"/>
          </w:tcPr>
          <w:p w14:paraId="3BB07F9C" w14:textId="0F18586C" w:rsidR="00CC5267" w:rsidRPr="00315F77" w:rsidRDefault="007D3FFA" w:rsidP="00027B3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Cognitive function</w:t>
            </w:r>
            <w:r w:rsidR="00CC5267" w:rsidRPr="00315F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81A4C">
              <w:rPr>
                <w:rFonts w:asciiTheme="minorHAnsi" w:hAnsiTheme="minorHAnsi"/>
                <w:sz w:val="24"/>
                <w:szCs w:val="24"/>
              </w:rPr>
              <w:t>(/30)</w:t>
            </w:r>
            <w:r w:rsidRPr="00843B73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vAlign w:val="center"/>
          </w:tcPr>
          <w:p w14:paraId="7D1C4C6D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23.0 (5)</w:t>
            </w:r>
          </w:p>
        </w:tc>
        <w:tc>
          <w:tcPr>
            <w:tcW w:w="1276" w:type="dxa"/>
            <w:vAlign w:val="center"/>
          </w:tcPr>
          <w:p w14:paraId="41ACD9C0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27.0 (2)</w:t>
            </w:r>
          </w:p>
        </w:tc>
        <w:tc>
          <w:tcPr>
            <w:tcW w:w="1276" w:type="dxa"/>
            <w:vAlign w:val="center"/>
          </w:tcPr>
          <w:p w14:paraId="1F2A60CF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28.5 (3)</w:t>
            </w:r>
          </w:p>
        </w:tc>
        <w:tc>
          <w:tcPr>
            <w:tcW w:w="1275" w:type="dxa"/>
            <w:vAlign w:val="center"/>
          </w:tcPr>
          <w:p w14:paraId="37D0B8AC" w14:textId="2922EDC5" w:rsidR="00CC5267" w:rsidRPr="00315F77" w:rsidRDefault="009D68D1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&lt;0.00</w:t>
            </w:r>
            <w:r w:rsidR="00FA3F08" w:rsidRPr="00027B3A">
              <w:rPr>
                <w:rFonts w:asciiTheme="minorHAnsi" w:hAnsiTheme="minorHAnsi"/>
                <w:sz w:val="24"/>
                <w:szCs w:val="24"/>
              </w:rPr>
              <w:t>0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768258F" w14:textId="1A865220" w:rsidR="00CC5267" w:rsidRPr="00027B3A" w:rsidRDefault="006D3CD8" w:rsidP="00027B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H&gt;C**</w:t>
            </w:r>
          </w:p>
        </w:tc>
      </w:tr>
      <w:tr w:rsidR="00CC5267" w14:paraId="7CF926BE" w14:textId="77777777" w:rsidTr="002A75FD">
        <w:tc>
          <w:tcPr>
            <w:tcW w:w="2689" w:type="dxa"/>
            <w:vAlign w:val="center"/>
          </w:tcPr>
          <w:p w14:paraId="7204B7C7" w14:textId="1730D400" w:rsidR="00CC5267" w:rsidRPr="00315F77" w:rsidRDefault="00CC5267" w:rsidP="00027B3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 xml:space="preserve">White </w:t>
            </w:r>
            <w:r w:rsidR="00A15AD5">
              <w:rPr>
                <w:rFonts w:asciiTheme="minorHAnsi" w:hAnsiTheme="minorHAnsi"/>
                <w:sz w:val="24"/>
                <w:szCs w:val="24"/>
              </w:rPr>
              <w:t>m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 xml:space="preserve">atter </w:t>
            </w:r>
            <w:r w:rsidR="00A15AD5">
              <w:rPr>
                <w:rFonts w:asciiTheme="minorHAnsi" w:hAnsiTheme="minorHAnsi"/>
                <w:sz w:val="24"/>
                <w:szCs w:val="24"/>
              </w:rPr>
              <w:t>l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esion</w:t>
            </w:r>
            <w:r w:rsidR="00773356" w:rsidRPr="00315F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5AD5">
              <w:rPr>
                <w:rFonts w:asciiTheme="minorHAnsi" w:hAnsiTheme="minorHAnsi"/>
                <w:sz w:val="24"/>
                <w:szCs w:val="24"/>
              </w:rPr>
              <w:t>v</w:t>
            </w:r>
            <w:r w:rsidR="00773356" w:rsidRPr="00315F77">
              <w:rPr>
                <w:rFonts w:asciiTheme="minorHAnsi" w:hAnsiTheme="minorHAnsi"/>
                <w:sz w:val="24"/>
                <w:szCs w:val="24"/>
              </w:rPr>
              <w:t>olume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9D68D1" w:rsidRPr="00315F77">
              <w:rPr>
                <w:rFonts w:asciiTheme="minorHAnsi" w:hAnsiTheme="minorHAnsi"/>
                <w:sz w:val="24"/>
                <w:szCs w:val="24"/>
              </w:rPr>
              <w:t>ml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)</w:t>
            </w:r>
            <w:r w:rsidR="00CF267D">
              <w:rPr>
                <w:rFonts w:asciiTheme="minorHAnsi" w:hAnsi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Align w:val="center"/>
          </w:tcPr>
          <w:p w14:paraId="3A0B45C7" w14:textId="3BB89A96" w:rsidR="00CC5267" w:rsidRPr="00027B3A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8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.9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 xml:space="preserve"> (1</w:t>
            </w:r>
            <w:r w:rsidR="00A15AD5">
              <w:rPr>
                <w:rFonts w:asciiTheme="minorHAnsi" w:hAnsiTheme="minorHAnsi"/>
                <w:sz w:val="24"/>
                <w:szCs w:val="24"/>
              </w:rPr>
              <w:t>7.0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5D80C021" w14:textId="47A58C96" w:rsidR="00CC5267" w:rsidRPr="00027B3A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7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4 (16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5)</w:t>
            </w:r>
          </w:p>
        </w:tc>
        <w:tc>
          <w:tcPr>
            <w:tcW w:w="1276" w:type="dxa"/>
            <w:vAlign w:val="center"/>
          </w:tcPr>
          <w:p w14:paraId="2F578DDA" w14:textId="41D32AA8" w:rsidR="00CC5267" w:rsidRPr="00027B3A" w:rsidRDefault="00A15AD5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3.0</w:t>
            </w:r>
            <w:r w:rsidR="00CC5267" w:rsidRPr="00027B3A">
              <w:rPr>
                <w:rFonts w:asciiTheme="minorHAnsi" w:hAnsiTheme="minorHAnsi"/>
                <w:sz w:val="24"/>
                <w:szCs w:val="24"/>
              </w:rPr>
              <w:t xml:space="preserve"> (7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CC5267" w:rsidRPr="00027B3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4CE9B232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0.026</w:t>
            </w:r>
          </w:p>
        </w:tc>
        <w:tc>
          <w:tcPr>
            <w:tcW w:w="1276" w:type="dxa"/>
            <w:vAlign w:val="center"/>
          </w:tcPr>
          <w:p w14:paraId="778679BC" w14:textId="55B0BEAE" w:rsidR="00CC5267" w:rsidRPr="00027B3A" w:rsidRDefault="00773356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C5267" w14:paraId="186E5BC2" w14:textId="77777777" w:rsidTr="002A75FD">
        <w:tc>
          <w:tcPr>
            <w:tcW w:w="2689" w:type="dxa"/>
            <w:vAlign w:val="center"/>
          </w:tcPr>
          <w:p w14:paraId="08EF2EAB" w14:textId="4FECE008" w:rsidR="00CC5267" w:rsidRPr="00315F77" w:rsidRDefault="00CC5267" w:rsidP="007D3FF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 xml:space="preserve">Normalised </w:t>
            </w:r>
            <w:r w:rsidR="00A15AD5">
              <w:rPr>
                <w:rFonts w:asciiTheme="minorHAnsi" w:hAnsiTheme="minorHAnsi"/>
                <w:sz w:val="24"/>
                <w:szCs w:val="24"/>
              </w:rPr>
              <w:t>w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 xml:space="preserve">hole </w:t>
            </w:r>
            <w:r w:rsidR="00A15AD5">
              <w:rPr>
                <w:rFonts w:asciiTheme="minorHAnsi" w:hAnsiTheme="minorHAnsi"/>
                <w:sz w:val="24"/>
                <w:szCs w:val="24"/>
              </w:rPr>
              <w:t>b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 xml:space="preserve">rain </w:t>
            </w:r>
            <w:r w:rsidR="00A15AD5">
              <w:rPr>
                <w:rFonts w:asciiTheme="minorHAnsi" w:hAnsiTheme="minorHAnsi"/>
                <w:sz w:val="24"/>
                <w:szCs w:val="24"/>
              </w:rPr>
              <w:t>v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olume (</w:t>
            </w:r>
            <w:r w:rsidR="009D68D1" w:rsidRPr="00315F77">
              <w:rPr>
                <w:rFonts w:asciiTheme="minorHAnsi" w:hAnsiTheme="minorHAnsi"/>
                <w:sz w:val="24"/>
                <w:szCs w:val="24"/>
              </w:rPr>
              <w:t>ml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)</w:t>
            </w:r>
            <w:r w:rsidR="006B16C2" w:rsidRPr="006B16C2">
              <w:rPr>
                <w:rFonts w:asciiTheme="minorHAnsi" w:hAnsiTheme="minorHAns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vAlign w:val="center"/>
          </w:tcPr>
          <w:p w14:paraId="5ADE1B21" w14:textId="638A556C" w:rsidR="00CC5267" w:rsidRPr="00027B3A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1399 (113)</w:t>
            </w:r>
          </w:p>
        </w:tc>
        <w:tc>
          <w:tcPr>
            <w:tcW w:w="1276" w:type="dxa"/>
            <w:vAlign w:val="center"/>
          </w:tcPr>
          <w:p w14:paraId="15C3A5FF" w14:textId="7107237E" w:rsidR="00CC5267" w:rsidRPr="00027B3A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142</w:t>
            </w:r>
            <w:r w:rsidR="00A15AD5">
              <w:rPr>
                <w:rFonts w:asciiTheme="minorHAnsi" w:hAnsiTheme="minorHAnsi"/>
                <w:sz w:val="24"/>
                <w:szCs w:val="24"/>
              </w:rPr>
              <w:t>4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 xml:space="preserve"> (121)</w:t>
            </w:r>
          </w:p>
        </w:tc>
        <w:tc>
          <w:tcPr>
            <w:tcW w:w="1276" w:type="dxa"/>
            <w:vAlign w:val="center"/>
          </w:tcPr>
          <w:p w14:paraId="0DC3D56C" w14:textId="55C3B45C" w:rsidR="00CC5267" w:rsidRPr="00027B3A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1381 (11</w:t>
            </w:r>
            <w:r w:rsidR="00A15AD5">
              <w:rPr>
                <w:rFonts w:asciiTheme="minorHAnsi" w:hAnsiTheme="minorHAnsi"/>
                <w:sz w:val="24"/>
                <w:szCs w:val="24"/>
              </w:rPr>
              <w:t>1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2CDF430A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0.736</w:t>
            </w:r>
          </w:p>
        </w:tc>
        <w:tc>
          <w:tcPr>
            <w:tcW w:w="1276" w:type="dxa"/>
            <w:vAlign w:val="center"/>
          </w:tcPr>
          <w:p w14:paraId="0C1B8FF5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C5267" w14:paraId="605F9B8C" w14:textId="77777777" w:rsidTr="002A75FD">
        <w:tc>
          <w:tcPr>
            <w:tcW w:w="2689" w:type="dxa"/>
            <w:vAlign w:val="center"/>
          </w:tcPr>
          <w:p w14:paraId="5F5BF184" w14:textId="02EFA3F4" w:rsidR="00CC5267" w:rsidRPr="00315F77" w:rsidRDefault="00CC5267" w:rsidP="00027B3A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 xml:space="preserve">Normalised </w:t>
            </w:r>
            <w:r w:rsidR="00DD0B2F">
              <w:rPr>
                <w:rFonts w:asciiTheme="minorHAnsi" w:hAnsiTheme="minorHAnsi"/>
                <w:sz w:val="24"/>
                <w:szCs w:val="24"/>
              </w:rPr>
              <w:t>b</w:t>
            </w:r>
            <w:r w:rsidR="006376AB">
              <w:rPr>
                <w:rFonts w:asciiTheme="minorHAnsi" w:hAnsiTheme="minorHAnsi"/>
                <w:sz w:val="24"/>
                <w:szCs w:val="24"/>
              </w:rPr>
              <w:t xml:space="preserve">rain </w:t>
            </w:r>
            <w:r w:rsidR="00DD0B2F">
              <w:rPr>
                <w:rFonts w:asciiTheme="minorHAnsi" w:hAnsiTheme="minorHAnsi"/>
                <w:sz w:val="24"/>
                <w:szCs w:val="24"/>
              </w:rPr>
              <w:t>v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 xml:space="preserve">entricular </w:t>
            </w:r>
            <w:r w:rsidR="00DD0B2F">
              <w:rPr>
                <w:rFonts w:asciiTheme="minorHAnsi" w:hAnsiTheme="minorHAnsi"/>
                <w:sz w:val="24"/>
                <w:szCs w:val="24"/>
              </w:rPr>
              <w:t>v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olume (</w:t>
            </w:r>
            <w:r w:rsidR="009D68D1" w:rsidRPr="00315F77">
              <w:rPr>
                <w:rFonts w:asciiTheme="minorHAnsi" w:hAnsiTheme="minorHAnsi"/>
                <w:sz w:val="24"/>
                <w:szCs w:val="24"/>
              </w:rPr>
              <w:t>ml</w:t>
            </w:r>
            <w:r w:rsidRPr="00315F77">
              <w:rPr>
                <w:rFonts w:asciiTheme="minorHAnsi" w:hAnsiTheme="minorHAnsi"/>
                <w:sz w:val="24"/>
                <w:szCs w:val="24"/>
              </w:rPr>
              <w:t>)</w:t>
            </w:r>
            <w:r w:rsidR="009F1834">
              <w:rPr>
                <w:rFonts w:asciiTheme="minorHAnsi" w:hAnsiTheme="minorHAns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vAlign w:val="center"/>
          </w:tcPr>
          <w:p w14:paraId="654D2E44" w14:textId="67F5A2EE" w:rsidR="00CC5267" w:rsidRPr="00027B3A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71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1±27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5CF4D452" w14:textId="7D79E6EF" w:rsidR="00CC5267" w:rsidRPr="00027B3A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52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8±22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 w:rsidR="00DD0B2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37824407" w14:textId="5889FEE8" w:rsidR="00CC5267" w:rsidRPr="00027B3A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53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1±19</w:t>
            </w:r>
            <w:r w:rsidR="009D68D1" w:rsidRPr="00027B3A">
              <w:rPr>
                <w:rFonts w:asciiTheme="minorHAnsi" w:hAnsiTheme="minorHAnsi"/>
                <w:sz w:val="24"/>
                <w:szCs w:val="24"/>
              </w:rPr>
              <w:t>.</w:t>
            </w:r>
            <w:r w:rsidRPr="00027B3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B788C26" w14:textId="77777777" w:rsidR="00CC5267" w:rsidRPr="00315F77" w:rsidRDefault="00CC5267" w:rsidP="00027B3A">
            <w:pPr>
              <w:spacing w:before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15F77">
              <w:rPr>
                <w:rFonts w:asciiTheme="minorHAnsi" w:hAnsiTheme="minorHAnsi"/>
                <w:sz w:val="24"/>
                <w:szCs w:val="24"/>
              </w:rPr>
              <w:t>0.016</w:t>
            </w:r>
          </w:p>
        </w:tc>
        <w:tc>
          <w:tcPr>
            <w:tcW w:w="1276" w:type="dxa"/>
            <w:vAlign w:val="center"/>
          </w:tcPr>
          <w:p w14:paraId="7AA54BD8" w14:textId="6F8622A6" w:rsidR="00CC5267" w:rsidRPr="00027B3A" w:rsidRDefault="00CC5267" w:rsidP="00027B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H&gt;S*</w:t>
            </w:r>
          </w:p>
          <w:p w14:paraId="55CACE77" w14:textId="20DC22B0" w:rsidR="00CC5267" w:rsidRPr="00027B3A" w:rsidRDefault="00CC5267" w:rsidP="00027B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27B3A">
              <w:rPr>
                <w:rFonts w:asciiTheme="minorHAnsi" w:hAnsiTheme="minorHAnsi"/>
                <w:sz w:val="24"/>
                <w:szCs w:val="24"/>
              </w:rPr>
              <w:t>H&gt;C*</w:t>
            </w:r>
          </w:p>
        </w:tc>
      </w:tr>
    </w:tbl>
    <w:p w14:paraId="0EB1BA7F" w14:textId="77777777" w:rsidR="007D3FFA" w:rsidRDefault="007D3FFA" w:rsidP="006D3CD8">
      <w:pPr>
        <w:spacing w:before="120"/>
        <w:rPr>
          <w:rFonts w:asciiTheme="minorHAnsi" w:hAnsiTheme="minorHAnsi"/>
          <w:sz w:val="24"/>
          <w:szCs w:val="24"/>
        </w:rPr>
      </w:pPr>
    </w:p>
    <w:p w14:paraId="2A434EFF" w14:textId="6228D8E4" w:rsidR="00B37265" w:rsidRPr="00027B3A" w:rsidRDefault="007D3FFA" w:rsidP="006D3CD8">
      <w:pPr>
        <w:spacing w:before="120"/>
        <w:rPr>
          <w:noProof/>
        </w:rPr>
      </w:pPr>
      <w:r>
        <w:rPr>
          <w:rFonts w:asciiTheme="minorHAnsi" w:hAnsiTheme="minorHAnsi"/>
          <w:sz w:val="24"/>
          <w:szCs w:val="24"/>
        </w:rPr>
        <w:t>Values are given as mean±</w:t>
      </w:r>
      <w:r w:rsidR="002529A4">
        <w:rPr>
          <w:rFonts w:asciiTheme="minorHAnsi" w:hAnsiTheme="minorHAnsi"/>
          <w:sz w:val="24"/>
          <w:szCs w:val="24"/>
        </w:rPr>
        <w:t>standard deviation</w:t>
      </w:r>
      <w:r>
        <w:rPr>
          <w:rFonts w:asciiTheme="minorHAnsi" w:hAnsiTheme="minorHAnsi"/>
          <w:sz w:val="24"/>
          <w:szCs w:val="24"/>
        </w:rPr>
        <w:t xml:space="preserve"> or median (interquartile range). Statistical tests: 1. O</w:t>
      </w:r>
      <w:r w:rsidR="00E16181">
        <w:rPr>
          <w:rFonts w:asciiTheme="minorHAnsi" w:hAnsiTheme="minorHAnsi"/>
          <w:sz w:val="24"/>
          <w:szCs w:val="24"/>
        </w:rPr>
        <w:t>ne-way analysis of varianc</w:t>
      </w:r>
      <w:r w:rsidR="006376AB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; 2. </w:t>
      </w:r>
      <w:r w:rsidR="00C67307">
        <w:rPr>
          <w:rFonts w:asciiTheme="minorHAnsi" w:hAnsiTheme="minorHAnsi"/>
          <w:sz w:val="24"/>
          <w:szCs w:val="24"/>
        </w:rPr>
        <w:t xml:space="preserve">Pearson </w:t>
      </w:r>
      <w:r w:rsidR="006376AB">
        <w:rPr>
          <w:rFonts w:asciiTheme="minorHAnsi" w:hAnsiTheme="minorHAnsi"/>
          <w:sz w:val="24"/>
          <w:szCs w:val="24"/>
        </w:rPr>
        <w:t>Chi</w:t>
      </w:r>
      <w:r w:rsidR="00C67307">
        <w:rPr>
          <w:rFonts w:asciiTheme="minorHAnsi" w:hAnsiTheme="minorHAnsi"/>
          <w:sz w:val="24"/>
          <w:szCs w:val="24"/>
        </w:rPr>
        <w:t>-square</w:t>
      </w:r>
      <w:r w:rsidR="006376AB">
        <w:rPr>
          <w:rFonts w:asciiTheme="minorHAnsi" w:hAnsiTheme="minorHAnsi"/>
          <w:sz w:val="24"/>
          <w:szCs w:val="24"/>
        </w:rPr>
        <w:t xml:space="preserve"> test</w:t>
      </w:r>
      <w:r>
        <w:rPr>
          <w:rFonts w:asciiTheme="minorHAnsi" w:hAnsiTheme="minorHAnsi"/>
          <w:sz w:val="24"/>
          <w:szCs w:val="24"/>
        </w:rPr>
        <w:t>; 3. I</w:t>
      </w:r>
      <w:r w:rsidR="0000164D">
        <w:rPr>
          <w:rFonts w:asciiTheme="minorHAnsi" w:hAnsiTheme="minorHAnsi"/>
          <w:sz w:val="24"/>
          <w:szCs w:val="24"/>
        </w:rPr>
        <w:t xml:space="preserve">ndependent t test; </w:t>
      </w:r>
      <w:r>
        <w:rPr>
          <w:rFonts w:asciiTheme="minorHAnsi" w:hAnsiTheme="minorHAnsi"/>
          <w:sz w:val="24"/>
          <w:szCs w:val="24"/>
        </w:rPr>
        <w:t xml:space="preserve">4. </w:t>
      </w:r>
      <w:r w:rsidR="0000164D">
        <w:rPr>
          <w:rFonts w:asciiTheme="minorHAnsi" w:hAnsiTheme="minorHAnsi"/>
          <w:sz w:val="24"/>
          <w:szCs w:val="24"/>
        </w:rPr>
        <w:t>Kruskal-Wallis test</w:t>
      </w:r>
      <w:r>
        <w:rPr>
          <w:rFonts w:asciiTheme="minorHAnsi" w:hAnsiTheme="minorHAnsi"/>
          <w:sz w:val="24"/>
          <w:szCs w:val="24"/>
        </w:rPr>
        <w:t xml:space="preserve"> with post hoc</w:t>
      </w:r>
      <w:r w:rsidR="00DD0B2F">
        <w:rPr>
          <w:rFonts w:asciiTheme="minorHAnsi" w:hAnsiTheme="minorHAnsi"/>
          <w:sz w:val="24"/>
          <w:szCs w:val="24"/>
        </w:rPr>
        <w:t xml:space="preserve"> Dunn-Bonferroni</w:t>
      </w:r>
      <w:r w:rsidR="006B16C2">
        <w:rPr>
          <w:rFonts w:asciiTheme="minorHAnsi" w:hAnsiTheme="minorHAnsi"/>
          <w:sz w:val="24"/>
          <w:szCs w:val="24"/>
        </w:rPr>
        <w:t>; 5. Kruskal-Wallis test;</w:t>
      </w:r>
      <w:r w:rsidR="009F1834">
        <w:rPr>
          <w:rFonts w:asciiTheme="minorHAnsi" w:hAnsiTheme="minorHAnsi"/>
          <w:sz w:val="24"/>
          <w:szCs w:val="24"/>
        </w:rPr>
        <w:t xml:space="preserve"> 6. One-way analysis of variance with post hoc Bonferroni;</w:t>
      </w:r>
      <w:r w:rsidR="00DD0B2F">
        <w:rPr>
          <w:rFonts w:asciiTheme="minorHAnsi" w:hAnsiTheme="minorHAnsi"/>
          <w:sz w:val="24"/>
          <w:szCs w:val="24"/>
        </w:rPr>
        <w:t xml:space="preserve"> </w:t>
      </w:r>
      <w:r w:rsidRPr="00315F77">
        <w:rPr>
          <w:rFonts w:asciiTheme="minorHAnsi" w:hAnsiTheme="minorHAnsi"/>
          <w:sz w:val="24"/>
          <w:szCs w:val="24"/>
        </w:rPr>
        <w:t>*</w:t>
      </w:r>
      <w:r w:rsidRPr="00623CC2">
        <w:rPr>
          <w:rFonts w:asciiTheme="minorHAnsi" w:hAnsiTheme="minorHAnsi"/>
          <w:i/>
          <w:sz w:val="24"/>
          <w:szCs w:val="24"/>
        </w:rPr>
        <w:t>p</w:t>
      </w:r>
      <w:r w:rsidRPr="00315F77">
        <w:rPr>
          <w:rFonts w:asciiTheme="minorHAnsi" w:hAnsiTheme="minorHAnsi"/>
          <w:sz w:val="24"/>
          <w:szCs w:val="24"/>
        </w:rPr>
        <w:t>&lt;0.05;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5F77">
        <w:rPr>
          <w:rFonts w:asciiTheme="minorHAnsi" w:hAnsiTheme="minorHAnsi"/>
          <w:sz w:val="24"/>
          <w:szCs w:val="24"/>
        </w:rPr>
        <w:t>**</w:t>
      </w:r>
      <w:r w:rsidRPr="00623CC2">
        <w:rPr>
          <w:rFonts w:asciiTheme="minorHAnsi" w:hAnsiTheme="minorHAnsi"/>
          <w:i/>
          <w:sz w:val="24"/>
          <w:szCs w:val="24"/>
        </w:rPr>
        <w:t>p</w:t>
      </w:r>
      <w:r w:rsidRPr="00315F77">
        <w:rPr>
          <w:rFonts w:asciiTheme="minorHAnsi" w:hAnsiTheme="minorHAnsi"/>
          <w:sz w:val="24"/>
          <w:szCs w:val="24"/>
        </w:rPr>
        <w:t>&lt;0.0001</w:t>
      </w:r>
      <w:r>
        <w:rPr>
          <w:rFonts w:asciiTheme="minorHAnsi" w:hAnsiTheme="minorHAnsi"/>
          <w:sz w:val="24"/>
          <w:szCs w:val="24"/>
        </w:rPr>
        <w:t>.</w:t>
      </w:r>
    </w:p>
    <w:sectPr w:rsidR="00B37265" w:rsidRPr="00027B3A" w:rsidSect="00AC225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E400F" w14:textId="77777777" w:rsidR="00FF70F4" w:rsidRDefault="00FF70F4" w:rsidP="00AC225D">
      <w:r>
        <w:separator/>
      </w:r>
    </w:p>
  </w:endnote>
  <w:endnote w:type="continuationSeparator" w:id="0">
    <w:p w14:paraId="7C5C1E83" w14:textId="77777777" w:rsidR="00FF70F4" w:rsidRDefault="00FF70F4" w:rsidP="00A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1732" w14:textId="77777777" w:rsidR="00AC225D" w:rsidRDefault="00AC225D" w:rsidP="00DD217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FAB6F" w14:textId="77777777" w:rsidR="00AC225D" w:rsidRDefault="00AC2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0EC7" w14:textId="77777777" w:rsidR="00AC225D" w:rsidRDefault="00AC225D" w:rsidP="00DD217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A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5EFEBE02" w14:textId="77777777" w:rsidR="00AC225D" w:rsidRDefault="00AC2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08F82" w14:textId="77777777" w:rsidR="00FF70F4" w:rsidRDefault="00FF70F4" w:rsidP="00AC225D">
      <w:r>
        <w:separator/>
      </w:r>
    </w:p>
  </w:footnote>
  <w:footnote w:type="continuationSeparator" w:id="0">
    <w:p w14:paraId="2CC64AA7" w14:textId="77777777" w:rsidR="00FF70F4" w:rsidRDefault="00FF70F4" w:rsidP="00AC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4DD6"/>
    <w:multiLevelType w:val="hybridMultilevel"/>
    <w:tmpl w:val="6EBC94BE"/>
    <w:lvl w:ilvl="0" w:tplc="E80A72E0">
      <w:start w:val="6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0ap9dzspadfvezdw85ax5j2xepzppt9dtf&quot;&gt;My EndNote Library&lt;record-ids&gt;&lt;item&gt;1859&lt;/item&gt;&lt;/record-ids&gt;&lt;/item&gt;&lt;/Libraries&gt;"/>
  </w:docVars>
  <w:rsids>
    <w:rsidRoot w:val="00527F98"/>
    <w:rsid w:val="0000164D"/>
    <w:rsid w:val="00007C77"/>
    <w:rsid w:val="000110BD"/>
    <w:rsid w:val="0001780B"/>
    <w:rsid w:val="00027B3A"/>
    <w:rsid w:val="00046DCF"/>
    <w:rsid w:val="000551C3"/>
    <w:rsid w:val="00092F2E"/>
    <w:rsid w:val="000A0429"/>
    <w:rsid w:val="000A5DFC"/>
    <w:rsid w:val="000B734C"/>
    <w:rsid w:val="000D3D8A"/>
    <w:rsid w:val="000D6E2F"/>
    <w:rsid w:val="000E2333"/>
    <w:rsid w:val="000F4489"/>
    <w:rsid w:val="000F6B1D"/>
    <w:rsid w:val="0014405C"/>
    <w:rsid w:val="00144AB8"/>
    <w:rsid w:val="00155C51"/>
    <w:rsid w:val="0016010A"/>
    <w:rsid w:val="00161E32"/>
    <w:rsid w:val="00191266"/>
    <w:rsid w:val="001A101C"/>
    <w:rsid w:val="001A1182"/>
    <w:rsid w:val="001C70F3"/>
    <w:rsid w:val="001F510D"/>
    <w:rsid w:val="00217AC8"/>
    <w:rsid w:val="00220179"/>
    <w:rsid w:val="002529A4"/>
    <w:rsid w:val="00282C86"/>
    <w:rsid w:val="00290528"/>
    <w:rsid w:val="002A1596"/>
    <w:rsid w:val="002A75FD"/>
    <w:rsid w:val="002C12ED"/>
    <w:rsid w:val="002D2A5A"/>
    <w:rsid w:val="002D7868"/>
    <w:rsid w:val="0030281C"/>
    <w:rsid w:val="00315F77"/>
    <w:rsid w:val="00347845"/>
    <w:rsid w:val="00366856"/>
    <w:rsid w:val="0036719B"/>
    <w:rsid w:val="00385C94"/>
    <w:rsid w:val="003B6EC8"/>
    <w:rsid w:val="003B7FDF"/>
    <w:rsid w:val="003C0807"/>
    <w:rsid w:val="003E0726"/>
    <w:rsid w:val="00401BC4"/>
    <w:rsid w:val="004066E6"/>
    <w:rsid w:val="0043549E"/>
    <w:rsid w:val="00451D5A"/>
    <w:rsid w:val="00452C68"/>
    <w:rsid w:val="004574DC"/>
    <w:rsid w:val="0047001F"/>
    <w:rsid w:val="004735F6"/>
    <w:rsid w:val="004874DA"/>
    <w:rsid w:val="00490211"/>
    <w:rsid w:val="004B3B8B"/>
    <w:rsid w:val="004D4B8E"/>
    <w:rsid w:val="004E0EAA"/>
    <w:rsid w:val="004F3A1F"/>
    <w:rsid w:val="004F7A40"/>
    <w:rsid w:val="00526F1B"/>
    <w:rsid w:val="00527F98"/>
    <w:rsid w:val="00533659"/>
    <w:rsid w:val="00533BCA"/>
    <w:rsid w:val="005457CC"/>
    <w:rsid w:val="0054663D"/>
    <w:rsid w:val="005479E3"/>
    <w:rsid w:val="005655A4"/>
    <w:rsid w:val="005700FB"/>
    <w:rsid w:val="00594C9F"/>
    <w:rsid w:val="00596648"/>
    <w:rsid w:val="005C1CF2"/>
    <w:rsid w:val="005D77B5"/>
    <w:rsid w:val="005D79E7"/>
    <w:rsid w:val="005F722D"/>
    <w:rsid w:val="006128CB"/>
    <w:rsid w:val="00623CC2"/>
    <w:rsid w:val="00624F8A"/>
    <w:rsid w:val="006376AB"/>
    <w:rsid w:val="0064791E"/>
    <w:rsid w:val="00694478"/>
    <w:rsid w:val="006944A3"/>
    <w:rsid w:val="006B16C2"/>
    <w:rsid w:val="006D3CD8"/>
    <w:rsid w:val="006E3311"/>
    <w:rsid w:val="006F192B"/>
    <w:rsid w:val="007015D8"/>
    <w:rsid w:val="0070341F"/>
    <w:rsid w:val="0073252C"/>
    <w:rsid w:val="007374A5"/>
    <w:rsid w:val="00744CCA"/>
    <w:rsid w:val="0074555F"/>
    <w:rsid w:val="00747942"/>
    <w:rsid w:val="00765A31"/>
    <w:rsid w:val="0077010F"/>
    <w:rsid w:val="00773356"/>
    <w:rsid w:val="007809E7"/>
    <w:rsid w:val="007A49E6"/>
    <w:rsid w:val="007B0EDE"/>
    <w:rsid w:val="007C013B"/>
    <w:rsid w:val="007D2843"/>
    <w:rsid w:val="007D3FFA"/>
    <w:rsid w:val="007E18DB"/>
    <w:rsid w:val="008121B2"/>
    <w:rsid w:val="00825813"/>
    <w:rsid w:val="008335D4"/>
    <w:rsid w:val="00847B29"/>
    <w:rsid w:val="00854E67"/>
    <w:rsid w:val="00864343"/>
    <w:rsid w:val="00870C03"/>
    <w:rsid w:val="00871CDA"/>
    <w:rsid w:val="008742F9"/>
    <w:rsid w:val="008A72B3"/>
    <w:rsid w:val="008C4157"/>
    <w:rsid w:val="008C7A56"/>
    <w:rsid w:val="00915339"/>
    <w:rsid w:val="009160AC"/>
    <w:rsid w:val="00933894"/>
    <w:rsid w:val="00934E29"/>
    <w:rsid w:val="0095023F"/>
    <w:rsid w:val="0098328D"/>
    <w:rsid w:val="009864C7"/>
    <w:rsid w:val="00990C91"/>
    <w:rsid w:val="009A4D24"/>
    <w:rsid w:val="009D68D1"/>
    <w:rsid w:val="009F064A"/>
    <w:rsid w:val="009F1834"/>
    <w:rsid w:val="009F3E48"/>
    <w:rsid w:val="00A04701"/>
    <w:rsid w:val="00A15AD5"/>
    <w:rsid w:val="00A20D75"/>
    <w:rsid w:val="00A40EF7"/>
    <w:rsid w:val="00A75FD9"/>
    <w:rsid w:val="00A85111"/>
    <w:rsid w:val="00A93897"/>
    <w:rsid w:val="00A9515D"/>
    <w:rsid w:val="00AC225D"/>
    <w:rsid w:val="00AF6192"/>
    <w:rsid w:val="00AF7B20"/>
    <w:rsid w:val="00B11827"/>
    <w:rsid w:val="00B11B11"/>
    <w:rsid w:val="00B12E74"/>
    <w:rsid w:val="00B2056A"/>
    <w:rsid w:val="00B2400F"/>
    <w:rsid w:val="00B36C0C"/>
    <w:rsid w:val="00B37265"/>
    <w:rsid w:val="00B41909"/>
    <w:rsid w:val="00B5428B"/>
    <w:rsid w:val="00B56869"/>
    <w:rsid w:val="00B63A3B"/>
    <w:rsid w:val="00B72B1D"/>
    <w:rsid w:val="00B8524A"/>
    <w:rsid w:val="00B93AC8"/>
    <w:rsid w:val="00B94612"/>
    <w:rsid w:val="00B955CB"/>
    <w:rsid w:val="00BB18E7"/>
    <w:rsid w:val="00BB44DF"/>
    <w:rsid w:val="00BD2F0D"/>
    <w:rsid w:val="00BD58C2"/>
    <w:rsid w:val="00BD71FD"/>
    <w:rsid w:val="00BE20F0"/>
    <w:rsid w:val="00BE43A7"/>
    <w:rsid w:val="00BF37D6"/>
    <w:rsid w:val="00C14CBE"/>
    <w:rsid w:val="00C200A3"/>
    <w:rsid w:val="00C20239"/>
    <w:rsid w:val="00C21BF0"/>
    <w:rsid w:val="00C252D0"/>
    <w:rsid w:val="00C36FB8"/>
    <w:rsid w:val="00C67307"/>
    <w:rsid w:val="00C715F5"/>
    <w:rsid w:val="00C778CA"/>
    <w:rsid w:val="00C81A4C"/>
    <w:rsid w:val="00C95E45"/>
    <w:rsid w:val="00CA5780"/>
    <w:rsid w:val="00CC5267"/>
    <w:rsid w:val="00CE0379"/>
    <w:rsid w:val="00CE0BBF"/>
    <w:rsid w:val="00CF267D"/>
    <w:rsid w:val="00D11E16"/>
    <w:rsid w:val="00D23CDA"/>
    <w:rsid w:val="00D45F0E"/>
    <w:rsid w:val="00D55F7F"/>
    <w:rsid w:val="00D75324"/>
    <w:rsid w:val="00D8664D"/>
    <w:rsid w:val="00D922F3"/>
    <w:rsid w:val="00DB3090"/>
    <w:rsid w:val="00DC60F9"/>
    <w:rsid w:val="00DD0B2F"/>
    <w:rsid w:val="00DD2171"/>
    <w:rsid w:val="00DD58CC"/>
    <w:rsid w:val="00DF1D9D"/>
    <w:rsid w:val="00E02150"/>
    <w:rsid w:val="00E1485A"/>
    <w:rsid w:val="00E15DF1"/>
    <w:rsid w:val="00E16181"/>
    <w:rsid w:val="00E30C8B"/>
    <w:rsid w:val="00E922F7"/>
    <w:rsid w:val="00EB63F6"/>
    <w:rsid w:val="00ED7735"/>
    <w:rsid w:val="00F06202"/>
    <w:rsid w:val="00F477D4"/>
    <w:rsid w:val="00F57066"/>
    <w:rsid w:val="00F679F8"/>
    <w:rsid w:val="00F76572"/>
    <w:rsid w:val="00FA3F08"/>
    <w:rsid w:val="00FC2DE6"/>
    <w:rsid w:val="00FD01D9"/>
    <w:rsid w:val="00FD267C"/>
    <w:rsid w:val="00FE7E90"/>
    <w:rsid w:val="00FF1463"/>
    <w:rsid w:val="00FF2C3B"/>
    <w:rsid w:val="00FF60C2"/>
    <w:rsid w:val="00FF70F4"/>
    <w:rsid w:val="00FF7137"/>
    <w:rsid w:val="00FF75C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AC1D"/>
  <w15:docId w15:val="{657F9EA0-94EB-4E5D-8872-6EAF9DEF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F98"/>
    <w:rPr>
      <w:rFonts w:ascii="Arial" w:eastAsia="MS Mincho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BCA"/>
    <w:pPr>
      <w:keepNext/>
      <w:keepLines/>
      <w:spacing w:before="240"/>
      <w:outlineLvl w:val="0"/>
    </w:pPr>
    <w:rPr>
      <w:rFonts w:ascii="Calibri Light" w:eastAsia="Times New Roman" w:hAnsi="Calibri Light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51C3"/>
    <w:pPr>
      <w:keepNext/>
      <w:keepLines/>
      <w:spacing w:before="40"/>
      <w:outlineLvl w:val="1"/>
    </w:pPr>
    <w:rPr>
      <w:rFonts w:ascii="Calibri Light" w:eastAsia="Times New Roman" w:hAnsi="Calibri Light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3BCA"/>
    <w:rPr>
      <w:rFonts w:ascii="Calibri Light" w:eastAsia="Times New Roman" w:hAnsi="Calibri Light" w:cs="Times New Roman"/>
      <w:color w:val="000000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225D"/>
    <w:rPr>
      <w:rFonts w:ascii="Arial" w:eastAsia="MS Mincho" w:hAnsi="Arial" w:cs="Times New Roman"/>
      <w:sz w:val="22"/>
      <w:szCs w:val="22"/>
      <w:lang w:val="en-GB"/>
    </w:rPr>
  </w:style>
  <w:style w:type="character" w:styleId="PageNumber">
    <w:name w:val="page number"/>
    <w:uiPriority w:val="99"/>
    <w:semiHidden/>
    <w:unhideWhenUsed/>
    <w:rsid w:val="00AC225D"/>
  </w:style>
  <w:style w:type="character" w:customStyle="1" w:styleId="Heading2Char">
    <w:name w:val="Heading 2 Char"/>
    <w:link w:val="Heading2"/>
    <w:uiPriority w:val="9"/>
    <w:rsid w:val="000551C3"/>
    <w:rPr>
      <w:rFonts w:ascii="Calibri Light" w:eastAsia="Times New Roman" w:hAnsi="Calibri Light" w:cs="Times New Roman"/>
      <w:color w:val="000000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0B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0B"/>
    <w:rPr>
      <w:rFonts w:ascii="Arial" w:eastAsia="MS Mincho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0B"/>
    <w:rPr>
      <w:rFonts w:ascii="Tahoma" w:eastAsia="MS Mincho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unhideWhenUsed/>
    <w:rsid w:val="00E1485A"/>
    <w:rPr>
      <w:rFonts w:ascii="Arial" w:eastAsia="MS Mincho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1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C5267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B63F6"/>
    <w:pPr>
      <w:jc w:val="center"/>
    </w:pPr>
    <w:rPr>
      <w:rFonts w:cs="Arial"/>
      <w:lang w:val="en-US"/>
    </w:rPr>
  </w:style>
  <w:style w:type="paragraph" w:customStyle="1" w:styleId="EndNoteBibliography">
    <w:name w:val="EndNote Bibliography"/>
    <w:basedOn w:val="Normal"/>
    <w:rsid w:val="00EB63F6"/>
    <w:rPr>
      <w:rFonts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EED839-5844-4E60-9442-6D92F786EE7E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E2ECC7-959A-45A5-9E3B-6B0DFB98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Mohani-Preet Kaur Bajaj</dc:creator>
  <cp:lastModifiedBy>Jennifer Hughes</cp:lastModifiedBy>
  <cp:revision>2</cp:revision>
  <dcterms:created xsi:type="dcterms:W3CDTF">2017-03-15T16:44:00Z</dcterms:created>
  <dcterms:modified xsi:type="dcterms:W3CDTF">2017-03-15T16:44:00Z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