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701"/>
        <w:gridCol w:w="1701"/>
      </w:tblGrid>
      <w:tr w:rsidR="00FA7AB1" w:rsidRPr="00DA1338" w:rsidTr="002F322D">
        <w:tc>
          <w:tcPr>
            <w:tcW w:w="7763" w:type="dxa"/>
            <w:gridSpan w:val="4"/>
            <w:tcBorders>
              <w:top w:val="nil"/>
              <w:bottom w:val="nil"/>
              <w:right w:val="nil"/>
            </w:tcBorders>
          </w:tcPr>
          <w:p w:rsidR="00FA7AB1" w:rsidRPr="00DA1338" w:rsidRDefault="00FA7AB1" w:rsidP="007B38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38">
              <w:rPr>
                <w:rFonts w:ascii="Times New Roman" w:hAnsi="Times New Roman" w:cs="Times New Roman"/>
                <w:sz w:val="24"/>
                <w:szCs w:val="24"/>
              </w:rPr>
              <w:t xml:space="preserve">Table 1: </w:t>
            </w:r>
            <w:r w:rsidR="00DA1338" w:rsidRPr="00DA1338">
              <w:rPr>
                <w:rFonts w:ascii="Times New Roman" w:hAnsi="Times New Roman" w:cs="Times New Roman"/>
                <w:sz w:val="24"/>
                <w:szCs w:val="24"/>
              </w:rPr>
              <w:t xml:space="preserve">Socio-demographic characteristics and number of </w:t>
            </w:r>
            <w:r w:rsidR="000A55C8">
              <w:rPr>
                <w:rFonts w:ascii="Times New Roman" w:hAnsi="Times New Roman" w:cs="Times New Roman"/>
                <w:sz w:val="24"/>
                <w:szCs w:val="24"/>
              </w:rPr>
              <w:t xml:space="preserve">first and follow-up </w:t>
            </w:r>
            <w:r w:rsidR="00DA1338" w:rsidRPr="00DA1338">
              <w:rPr>
                <w:rFonts w:ascii="Times New Roman" w:hAnsi="Times New Roman" w:cs="Times New Roman"/>
                <w:sz w:val="24"/>
                <w:szCs w:val="24"/>
              </w:rPr>
              <w:t xml:space="preserve">service appointments for </w:t>
            </w:r>
            <w:r w:rsidRPr="00DA1338">
              <w:rPr>
                <w:rFonts w:ascii="Times New Roman" w:hAnsi="Times New Roman" w:cs="Times New Roman"/>
                <w:sz w:val="24"/>
                <w:szCs w:val="24"/>
              </w:rPr>
              <w:t>Deaf CAMHS clients</w:t>
            </w:r>
            <w:r w:rsidR="00DA1338" w:rsidRPr="00DA1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38" w:rsidRPr="00DA1338" w:rsidRDefault="00DA1338" w:rsidP="00DA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23" w:rsidRPr="00DA1338" w:rsidTr="0084172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41723" w:rsidRPr="00DA1338" w:rsidRDefault="00841723" w:rsidP="00030ACE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DA13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 xml:space="preserve">All </w:t>
            </w:r>
          </w:p>
          <w:p w:rsidR="00841723" w:rsidRPr="00DA1338" w:rsidRDefault="00841723" w:rsidP="00DA13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(</w:t>
            </w:r>
            <w:r w:rsidRPr="00F56911">
              <w:rPr>
                <w:rFonts w:ascii="Times New Roman" w:hAnsi="Times New Roman" w:cs="Times New Roman"/>
                <w:bCs/>
                <w:i/>
              </w:rPr>
              <w:t>n</w:t>
            </w:r>
            <w:r w:rsidRPr="00DA1338">
              <w:rPr>
                <w:rFonts w:ascii="Times New Roman" w:hAnsi="Times New Roman" w:cs="Times New Roman"/>
                <w:bCs/>
              </w:rPr>
              <w:t xml:space="preserve"> = 369)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AB1" w:rsidRPr="00DA1338" w:rsidRDefault="00841723" w:rsidP="00DA13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 xml:space="preserve">First </w:t>
            </w:r>
          </w:p>
          <w:p w:rsidR="00841723" w:rsidRPr="00DA1338" w:rsidRDefault="00841723" w:rsidP="00DA13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(</w:t>
            </w:r>
            <w:r w:rsidRPr="00F56911">
              <w:rPr>
                <w:rFonts w:ascii="Times New Roman" w:hAnsi="Times New Roman" w:cs="Times New Roman"/>
                <w:bCs/>
                <w:i/>
              </w:rPr>
              <w:t>n</w:t>
            </w:r>
            <w:r w:rsidRPr="00DA1338">
              <w:rPr>
                <w:rFonts w:ascii="Times New Roman" w:hAnsi="Times New Roman" w:cs="Times New Roman"/>
                <w:bCs/>
              </w:rPr>
              <w:t xml:space="preserve"> = 288)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7AB1" w:rsidRPr="00DA1338" w:rsidRDefault="00841723" w:rsidP="00DA13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 xml:space="preserve">Follow-up </w:t>
            </w:r>
          </w:p>
          <w:p w:rsidR="00841723" w:rsidRPr="00DA1338" w:rsidRDefault="00841723" w:rsidP="00DA133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(</w:t>
            </w:r>
            <w:r w:rsidRPr="00F56911">
              <w:rPr>
                <w:rFonts w:ascii="Times New Roman" w:hAnsi="Times New Roman" w:cs="Times New Roman"/>
                <w:bCs/>
                <w:i/>
              </w:rPr>
              <w:t>n</w:t>
            </w:r>
            <w:r w:rsidRPr="00DA1338">
              <w:rPr>
                <w:rFonts w:ascii="Times New Roman" w:hAnsi="Times New Roman" w:cs="Times New Roman"/>
                <w:bCs/>
              </w:rPr>
              <w:t xml:space="preserve"> = 296)</w:t>
            </w:r>
          </w:p>
        </w:tc>
      </w:tr>
      <w:tr w:rsidR="00841723" w:rsidRPr="00DA1338" w:rsidTr="000A55C8">
        <w:trPr>
          <w:trHeight w:val="210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1723" w:rsidRPr="00DA1338" w:rsidRDefault="00FA7AB1" w:rsidP="000A55C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Variable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1723" w:rsidRPr="00DA1338" w:rsidRDefault="00841723" w:rsidP="000A55C8">
            <w:pPr>
              <w:spacing w:before="60" w:after="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338">
              <w:rPr>
                <w:rFonts w:ascii="Times New Roman" w:hAnsi="Times New Roman" w:cs="Times New Roman"/>
                <w:u w:val="single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1723" w:rsidRPr="00DA1338" w:rsidRDefault="00841723" w:rsidP="000A55C8">
            <w:pPr>
              <w:spacing w:before="60" w:after="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338">
              <w:rPr>
                <w:rFonts w:ascii="Times New Roman" w:hAnsi="Times New Roman" w:cs="Times New Roman"/>
                <w:u w:val="single"/>
              </w:rPr>
              <w:t>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41723" w:rsidRPr="00DA1338" w:rsidRDefault="00841723" w:rsidP="000A55C8">
            <w:pPr>
              <w:spacing w:before="60" w:after="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338">
              <w:rPr>
                <w:rFonts w:ascii="Times New Roman" w:hAnsi="Times New Roman" w:cs="Times New Roman"/>
                <w:u w:val="single"/>
              </w:rPr>
              <w:t>n (%)</w:t>
            </w: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Age (mean, SD)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1723" w:rsidRPr="00DA1338" w:rsidRDefault="007D567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11.80 (3.72)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1723" w:rsidRPr="00DA1338" w:rsidRDefault="007D567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11.57 (3.77)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1723" w:rsidRPr="00DA1338" w:rsidRDefault="007D567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11.74 (3.65)</w:t>
            </w: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A1338">
              <w:rPr>
                <w:rFonts w:ascii="Times New Roman" w:hAnsi="Times New Roman" w:cs="Times New Roman"/>
                <w:bCs/>
                <w:u w:val="single"/>
              </w:rPr>
              <w:t>Age 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0-11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149 (40.4)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118 (41.0)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119 (40.2)</w:t>
            </w: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12-1</w:t>
            </w:r>
            <w:r w:rsidR="00C92120" w:rsidRPr="00DA13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220 (59.6)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170 (59.0)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177 (59.8)</w:t>
            </w: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A1338">
              <w:rPr>
                <w:rFonts w:ascii="Times New Roman" w:hAnsi="Times New Roman" w:cs="Times New Roman"/>
                <w:bCs/>
                <w:u w:val="single"/>
              </w:rPr>
              <w:t>Gender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ind w:left="113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A95B7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153 (41.5)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B570C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126 (43.8)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B570C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119 (40.2)</w:t>
            </w: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ind w:left="113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A95B7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216 (58.5)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B570C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162 (56.0)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B570C1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177 (59.8)</w:t>
            </w: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A1338">
              <w:rPr>
                <w:rFonts w:ascii="Times New Roman" w:hAnsi="Times New Roman" w:cs="Times New Roman"/>
                <w:bCs/>
                <w:u w:val="single"/>
              </w:rPr>
              <w:t>Ethnicity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723" w:rsidRPr="00DA1338" w:rsidTr="00841723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841723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248 (67.9)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195 (68.7)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1723" w:rsidRPr="00DA1338" w:rsidRDefault="00E9567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203 (69.0)</w:t>
            </w:r>
          </w:p>
        </w:tc>
      </w:tr>
      <w:tr w:rsidR="00BD4508" w:rsidRPr="00DA1338" w:rsidTr="00BD4508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46 (12.6)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34 (12.0)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36 (12.2)</w:t>
            </w:r>
          </w:p>
        </w:tc>
      </w:tr>
      <w:tr w:rsidR="00BD4508" w:rsidRPr="00DA1338" w:rsidTr="00484A88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Asian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34 (9.3)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29 (10.2)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26 (8.8)</w:t>
            </w:r>
          </w:p>
        </w:tc>
      </w:tr>
      <w:tr w:rsidR="00BD4508" w:rsidRPr="00DA1338" w:rsidTr="00484A88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Mixed/Other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37 (10.1)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26 (9.2)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4508" w:rsidRPr="00DA1338" w:rsidRDefault="00BD4508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37 (10.1)</w:t>
            </w:r>
          </w:p>
        </w:tc>
      </w:tr>
      <w:tr w:rsidR="00484A88" w:rsidRPr="00DA1338" w:rsidTr="00EE0EFF">
        <w:trPr>
          <w:trHeight w:hRule="exact" w:val="35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484A88" w:rsidP="000A55C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A1338">
              <w:rPr>
                <w:rFonts w:ascii="Times New Roman" w:hAnsi="Times New Roman" w:cs="Times New Roman"/>
                <w:bCs/>
                <w:u w:val="single"/>
              </w:rPr>
              <w:t>Number of Appointments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484A88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484A88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484A88" w:rsidP="000A55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88" w:rsidRPr="00DA1338" w:rsidTr="00484A88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851B1C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66 (17.9)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54 (18.8)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12 (18.2)</w:t>
            </w:r>
          </w:p>
        </w:tc>
      </w:tr>
      <w:tr w:rsidR="00484A88" w:rsidRPr="00DA1338" w:rsidTr="00484A88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484A88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2-</w:t>
            </w:r>
            <w:r w:rsidR="00851B1C" w:rsidRPr="00DA13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1338">
              <w:rPr>
                <w:rFonts w:ascii="Times New Roman" w:hAnsi="Times New Roman" w:cs="Times New Roman"/>
                <w:bCs/>
              </w:rPr>
              <w:t>186 (50.4)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155 (83.3)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167 (56.4)</w:t>
            </w:r>
          </w:p>
        </w:tc>
      </w:tr>
      <w:tr w:rsidR="00484A88" w:rsidRPr="00DA1338" w:rsidTr="00BD4508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851B1C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49 (13.3)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36 (12.5)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49 (16.6)</w:t>
            </w:r>
          </w:p>
        </w:tc>
      </w:tr>
      <w:tr w:rsidR="00484A88" w:rsidRPr="00DA1338" w:rsidTr="00BD4508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851B1C" w:rsidP="000A55C8">
            <w:pPr>
              <w:ind w:left="113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&gt; 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68 (18.4)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43 (14.9)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A88" w:rsidRPr="00DA1338" w:rsidRDefault="00EE0EFF" w:rsidP="000A55C8">
            <w:pPr>
              <w:jc w:val="center"/>
              <w:rPr>
                <w:rFonts w:ascii="Times New Roman" w:hAnsi="Times New Roman" w:cs="Times New Roman"/>
              </w:rPr>
            </w:pPr>
            <w:r w:rsidRPr="00DA1338">
              <w:rPr>
                <w:rFonts w:ascii="Times New Roman" w:hAnsi="Times New Roman" w:cs="Times New Roman"/>
              </w:rPr>
              <w:t>68 (23.0)</w:t>
            </w:r>
          </w:p>
        </w:tc>
      </w:tr>
      <w:tr w:rsidR="00841723" w:rsidRPr="00DA1338" w:rsidTr="00FA7AB1">
        <w:trPr>
          <w:trHeight w:hRule="exact" w:val="813"/>
        </w:trPr>
        <w:tc>
          <w:tcPr>
            <w:tcW w:w="776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41723" w:rsidRPr="00DA1338" w:rsidRDefault="00841723" w:rsidP="00260230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A1338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r w:rsidR="00031E84" w:rsidRPr="00DA133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A1338">
              <w:rPr>
                <w:rFonts w:ascii="Times New Roman" w:hAnsi="Times New Roman" w:cs="Times New Roman"/>
                <w:sz w:val="18"/>
                <w:szCs w:val="18"/>
              </w:rPr>
              <w:t>: There was an overlap of 21</w:t>
            </w:r>
            <w:r w:rsidR="008F0A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1338">
              <w:rPr>
                <w:rFonts w:ascii="Times New Roman" w:hAnsi="Times New Roman" w:cs="Times New Roman"/>
                <w:sz w:val="18"/>
                <w:szCs w:val="18"/>
              </w:rPr>
              <w:t xml:space="preserve"> patients in First Appointment and Follow-up Appointment samples</w:t>
            </w:r>
            <w:r w:rsidR="00031E84" w:rsidRPr="00DA13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DA13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0230" w:rsidRPr="00DA1338">
              <w:rPr>
                <w:rFonts w:ascii="Times New Roman" w:hAnsi="Times New Roman" w:cs="Times New Roman"/>
                <w:sz w:val="18"/>
                <w:szCs w:val="18"/>
              </w:rPr>
              <w:t>Ethnicity data was not available for 4 patients</w:t>
            </w:r>
            <w:r w:rsidR="0000179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DA1338">
              <w:rPr>
                <w:rFonts w:ascii="Times New Roman" w:hAnsi="Times New Roman" w:cs="Times New Roman"/>
                <w:sz w:val="18"/>
                <w:szCs w:val="18"/>
              </w:rPr>
              <w:t>Age represents age at initial first or follow-up appointment.</w:t>
            </w:r>
          </w:p>
          <w:p w:rsidR="00841723" w:rsidRPr="00DA1338" w:rsidRDefault="00841723" w:rsidP="0084172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1723" w:rsidRDefault="00841723" w:rsidP="005E4864">
      <w:pPr>
        <w:rPr>
          <w:rFonts w:asciiTheme="majorHAnsi" w:hAnsiTheme="majorHAnsi"/>
          <w:sz w:val="24"/>
          <w:szCs w:val="24"/>
        </w:rPr>
      </w:pPr>
    </w:p>
    <w:p w:rsidR="00841723" w:rsidRDefault="00841723" w:rsidP="005E4864">
      <w:pPr>
        <w:rPr>
          <w:rFonts w:asciiTheme="majorHAnsi" w:hAnsiTheme="majorHAnsi"/>
          <w:sz w:val="24"/>
          <w:szCs w:val="24"/>
        </w:rPr>
      </w:pPr>
    </w:p>
    <w:p w:rsidR="00841723" w:rsidRDefault="00841723" w:rsidP="005E4864">
      <w:pPr>
        <w:rPr>
          <w:rFonts w:asciiTheme="majorHAnsi" w:hAnsiTheme="majorHAnsi"/>
          <w:sz w:val="24"/>
          <w:szCs w:val="24"/>
        </w:rPr>
      </w:pPr>
    </w:p>
    <w:p w:rsidR="00841723" w:rsidRDefault="00841723" w:rsidP="005E4864">
      <w:pPr>
        <w:rPr>
          <w:rFonts w:asciiTheme="majorHAnsi" w:hAnsiTheme="majorHAnsi"/>
          <w:sz w:val="24"/>
          <w:szCs w:val="24"/>
        </w:rPr>
      </w:pPr>
    </w:p>
    <w:p w:rsidR="00B85C77" w:rsidRDefault="00B85C77" w:rsidP="005E4864">
      <w:pPr>
        <w:rPr>
          <w:rFonts w:asciiTheme="majorHAnsi" w:hAnsiTheme="majorHAnsi"/>
          <w:sz w:val="24"/>
          <w:szCs w:val="24"/>
        </w:rPr>
      </w:pPr>
    </w:p>
    <w:p w:rsidR="009E3F05" w:rsidRDefault="009E3F05" w:rsidP="005E4864">
      <w:pPr>
        <w:rPr>
          <w:rFonts w:asciiTheme="majorHAnsi" w:hAnsiTheme="majorHAnsi"/>
          <w:sz w:val="24"/>
          <w:szCs w:val="24"/>
        </w:rPr>
      </w:pPr>
    </w:p>
    <w:p w:rsidR="009E3F05" w:rsidRDefault="009E3F05" w:rsidP="005E4864">
      <w:pPr>
        <w:rPr>
          <w:rFonts w:asciiTheme="majorHAnsi" w:hAnsiTheme="majorHAnsi"/>
          <w:sz w:val="24"/>
          <w:szCs w:val="24"/>
        </w:rPr>
      </w:pPr>
    </w:p>
    <w:p w:rsidR="009E3F05" w:rsidRDefault="009E3F05" w:rsidP="005E4864">
      <w:pPr>
        <w:rPr>
          <w:rFonts w:asciiTheme="majorHAnsi" w:hAnsiTheme="majorHAnsi"/>
          <w:sz w:val="24"/>
          <w:szCs w:val="24"/>
        </w:rPr>
      </w:pPr>
    </w:p>
    <w:p w:rsidR="00B85C77" w:rsidRDefault="00B85C77" w:rsidP="005E4864">
      <w:pPr>
        <w:rPr>
          <w:rFonts w:asciiTheme="majorHAnsi" w:hAnsiTheme="majorHAnsi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851"/>
        <w:gridCol w:w="1701"/>
        <w:gridCol w:w="850"/>
        <w:gridCol w:w="1560"/>
      </w:tblGrid>
      <w:tr w:rsidR="00E177FC" w:rsidRPr="008C7594" w:rsidTr="00781F79">
        <w:trPr>
          <w:trHeight w:val="500"/>
        </w:trPr>
        <w:tc>
          <w:tcPr>
            <w:tcW w:w="10207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:rsidR="00E177FC" w:rsidRPr="008C7594" w:rsidRDefault="00E177FC" w:rsidP="007B38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Table 2</w:t>
            </w:r>
            <w:r w:rsidR="0000179B" w:rsidRPr="008C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C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Association </w:t>
            </w:r>
            <w:r w:rsidR="0000179B" w:rsidRPr="008C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first appointment outcome with location, appointment-related variables and client-specific details.</w:t>
            </w:r>
          </w:p>
        </w:tc>
      </w:tr>
      <w:tr w:rsidR="00E177FC" w:rsidRPr="008C7594" w:rsidTr="00E2443C">
        <w:trPr>
          <w:trHeight w:val="500"/>
        </w:trPr>
        <w:tc>
          <w:tcPr>
            <w:tcW w:w="1985" w:type="dxa"/>
            <w:tcBorders>
              <w:top w:val="single" w:sz="8" w:space="0" w:color="auto"/>
              <w:bottom w:val="nil"/>
            </w:tcBorders>
            <w:vAlign w:val="center"/>
          </w:tcPr>
          <w:p w:rsidR="00E177FC" w:rsidRPr="008C7594" w:rsidRDefault="00E177FC" w:rsidP="00781F7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E177FC" w:rsidRPr="008C7594" w:rsidRDefault="00826E70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Attended</w:t>
            </w:r>
          </w:p>
          <w:p w:rsidR="00E177FC" w:rsidRPr="008C7594" w:rsidRDefault="00E177FC" w:rsidP="00F0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</w:t>
            </w: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=</w:t>
            </w:r>
            <w:r w:rsidR="007D6768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55;68.</w:t>
            </w:r>
            <w:r w:rsidR="00F02729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%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E177FC" w:rsidRPr="008C7594" w:rsidRDefault="00826E70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Missed</w:t>
            </w:r>
          </w:p>
          <w:p w:rsidR="00E177FC" w:rsidRPr="008C7594" w:rsidRDefault="00E177FC" w:rsidP="00F0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</w:t>
            </w: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=</w:t>
            </w:r>
            <w:r w:rsidR="007D6768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="00004D8C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  <w:r w:rsidR="00F02729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7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;31.</w:t>
            </w:r>
            <w:r w:rsidR="00F02729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5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%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:rsidR="00E177FC" w:rsidRPr="00F56911" w:rsidRDefault="00F56911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E177FC" w:rsidRPr="00F56911" w:rsidRDefault="00E177F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5691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OR</w:t>
            </w:r>
          </w:p>
          <w:p w:rsidR="00E177FC" w:rsidRPr="00F56911" w:rsidRDefault="00E177F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5691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(CI)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E177FC" w:rsidRPr="00F56911" w:rsidRDefault="00E177FC" w:rsidP="00F56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5691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Adj </w:t>
            </w:r>
            <w:r w:rsidR="00F56911"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vAlign w:val="center"/>
          </w:tcPr>
          <w:p w:rsidR="00E177FC" w:rsidRPr="008C7594" w:rsidRDefault="00E177F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Adj OR</w:t>
            </w:r>
          </w:p>
          <w:p w:rsidR="00E177FC" w:rsidRPr="008C7594" w:rsidRDefault="00E177F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(CI)</w:t>
            </w: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Location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5749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B45749" w:rsidRPr="008C7594" w:rsidRDefault="00B45749" w:rsidP="00484A88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London clinic</w:t>
            </w:r>
          </w:p>
        </w:tc>
        <w:tc>
          <w:tcPr>
            <w:tcW w:w="1559" w:type="dxa"/>
            <w:vAlign w:val="center"/>
          </w:tcPr>
          <w:p w:rsidR="00B45749" w:rsidRPr="008C7594" w:rsidRDefault="00B4574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 (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B45749" w:rsidRPr="008C7594" w:rsidRDefault="00B4574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(30.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B45749" w:rsidRPr="008C7594" w:rsidRDefault="00B45749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45749" w:rsidRPr="008C7594" w:rsidRDefault="00B45749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45749" w:rsidRPr="008C7594" w:rsidRDefault="00B45749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5749" w:rsidRPr="008C7594" w:rsidRDefault="00B45749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45749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B45749" w:rsidRPr="008C7594" w:rsidRDefault="00B45749" w:rsidP="00484A88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Outreach clinic</w:t>
            </w:r>
          </w:p>
        </w:tc>
        <w:tc>
          <w:tcPr>
            <w:tcW w:w="1559" w:type="dxa"/>
            <w:vAlign w:val="center"/>
          </w:tcPr>
          <w:p w:rsidR="00B45749" w:rsidRPr="008C7594" w:rsidRDefault="00B4574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(62.5)</w:t>
            </w:r>
          </w:p>
        </w:tc>
        <w:tc>
          <w:tcPr>
            <w:tcW w:w="1701" w:type="dxa"/>
            <w:vAlign w:val="center"/>
          </w:tcPr>
          <w:p w:rsidR="00B45749" w:rsidRPr="008C7594" w:rsidRDefault="00B45749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(37.5)</w:t>
            </w:r>
          </w:p>
        </w:tc>
        <w:tc>
          <w:tcPr>
            <w:tcW w:w="851" w:type="dxa"/>
            <w:vAlign w:val="center"/>
          </w:tcPr>
          <w:p w:rsidR="00B45749" w:rsidRPr="008C7594" w:rsidRDefault="00B45749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45749" w:rsidRPr="008C7594" w:rsidRDefault="006E7FFD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(0.4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,1.1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B45749" w:rsidRPr="008C7594" w:rsidRDefault="00B45749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B45749" w:rsidRPr="008C7594" w:rsidRDefault="006E7FFD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,1.1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Non-clinic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 (7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43C" w:rsidRPr="008C7594" w:rsidRDefault="002E5E7F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07853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07853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07853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43C" w:rsidRPr="008C7594" w:rsidRDefault="006E7FFD" w:rsidP="006E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(0.7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,2.</w:t>
            </w:r>
            <w:r w:rsidR="002E5E7F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443C" w:rsidRPr="008C7594" w:rsidRDefault="00C03BB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2443C" w:rsidRPr="008C7594" w:rsidRDefault="00C03BB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,2.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2443C" w:rsidRPr="008C7594" w:rsidTr="00E2443C">
        <w:trPr>
          <w:trHeight w:val="26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val="26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Previous missed appointment(s)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val="26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1C7470">
            <w:pPr>
              <w:keepNext/>
              <w:spacing w:after="0" w:line="240" w:lineRule="auto"/>
              <w:ind w:left="113"/>
              <w:outlineLvl w:val="1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No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266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 (6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val="26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8B3002">
            <w:pPr>
              <w:keepNext/>
              <w:spacing w:after="0" w:line="240" w:lineRule="auto"/>
              <w:ind w:left="113"/>
              <w:outlineLvl w:val="1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(75.0)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(25.0)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(0.8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,2.</w:t>
            </w:r>
            <w:r w:rsidR="00266745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tcBorders>
              <w:top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 (73.5)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 (26.5)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 (61.</w:t>
            </w:r>
            <w:r w:rsidR="006349F3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6349F3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(38.</w:t>
            </w:r>
            <w:r w:rsidR="006349F3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  <w:r w:rsidR="00066E5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(0.2</w:t>
            </w:r>
            <w:r w:rsidR="00066E5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</w:t>
            </w:r>
            <w:r w:rsidR="00066E5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C03BB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559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 (66.</w:t>
            </w:r>
            <w:r w:rsidR="006349F3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6349F3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(33.</w:t>
            </w:r>
            <w:r w:rsidR="006349F3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  <w:r w:rsidR="00066E5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(0.3</w:t>
            </w:r>
            <w:r w:rsidR="00066E5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,1.4</w:t>
            </w:r>
            <w:r w:rsidR="00066E5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C03BB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(0.3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 (78.8)</w:t>
            </w:r>
          </w:p>
        </w:tc>
        <w:tc>
          <w:tcPr>
            <w:tcW w:w="1701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 (21.2)</w:t>
            </w:r>
          </w:p>
        </w:tc>
        <w:tc>
          <w:tcPr>
            <w:tcW w:w="851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  <w:r w:rsidR="00066E59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:rsidR="00E2443C" w:rsidRPr="008C7594" w:rsidRDefault="00707853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 (0.58,3.04)</w:t>
            </w:r>
          </w:p>
        </w:tc>
        <w:tc>
          <w:tcPr>
            <w:tcW w:w="850" w:type="dxa"/>
            <w:vAlign w:val="center"/>
          </w:tcPr>
          <w:p w:rsidR="00E2443C" w:rsidRPr="008C7594" w:rsidRDefault="00C03BB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  <w:r w:rsidR="00F41C2C"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1560" w:type="dxa"/>
            <w:vAlign w:val="center"/>
          </w:tcPr>
          <w:p w:rsidR="00E2443C" w:rsidRPr="008C7594" w:rsidRDefault="00C03BB9" w:rsidP="00B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45749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="00F41C2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Appointment type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Client 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 (68.</w:t>
            </w:r>
            <w:r w:rsidR="002F322D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2F322D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(31.</w:t>
            </w:r>
            <w:r w:rsidR="002F322D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Carer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(85.7)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(14.3)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</w:t>
            </w:r>
            <w:r w:rsidR="002F322D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</w:t>
            </w:r>
            <w:r w:rsidR="008E14BA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(0.4</w:t>
            </w:r>
            <w:r w:rsidR="008E14BA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 w:rsidR="008E14BA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E14BA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991E1A" w:rsidP="00781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Time of d</w:t>
            </w:r>
            <w:r w:rsidR="00E2443C"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ay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Morning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 (6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286FB8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Afternoon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 (68.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(31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(0.63,1.5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Age Group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(6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(68.3)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 (31.7)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(0.6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 (65.4)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(34.6)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(71.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286FB8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2443C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(0.8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,2.0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Ethnicity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 (7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(29.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559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(63.6)</w:t>
            </w: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 (36.4)</w:t>
            </w:r>
          </w:p>
        </w:tc>
        <w:tc>
          <w:tcPr>
            <w:tcW w:w="85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(0.3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,1.4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tcBorders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(69.2)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(30.8)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(0.4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8C7594" w:rsidTr="00E2443C">
        <w:trPr>
          <w:trHeight w:hRule="exact" w:val="28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Mixed/Other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(63.6)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(36.4)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7656C1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2443C" w:rsidRPr="008C7594" w:rsidRDefault="00E2443C" w:rsidP="00E2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(0.3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,1.</w:t>
            </w:r>
            <w:r w:rsidR="00286FB8"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2443C" w:rsidRPr="008C7594" w:rsidRDefault="00E2443C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443C" w:rsidRPr="004C7911" w:rsidTr="00781F79">
        <w:trPr>
          <w:trHeight w:val="346"/>
        </w:trPr>
        <w:tc>
          <w:tcPr>
            <w:tcW w:w="1020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2443C" w:rsidRPr="00BE6B00" w:rsidRDefault="00E2443C" w:rsidP="00826E70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Notes: Number of participants for ‘Time of Day’ and ‘Ethnicity’ differs slightly from that stated at the top of the table due to a small number of participants with missing data – stated percentages reflect proportions of participants with data available; OR = odd ratios, 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CI = 95% confidence intervals; Adj. </w:t>
            </w:r>
            <w:r w:rsidR="00271383" w:rsidRPr="00271383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271383">
              <w:rPr>
                <w:rFonts w:ascii="Times New Roman" w:hAnsi="Times New Roman" w:cs="Times New Roman"/>
                <w:sz w:val="18"/>
                <w:szCs w:val="18"/>
              </w:rPr>
              <w:t xml:space="preserve">adjusted </w:t>
            </w:r>
            <w:r w:rsidR="00271383" w:rsidRPr="00271383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value; Adj. OR = adjusted odds ratio;</w:t>
            </w:r>
            <w:r w:rsidR="0000179B"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dds ratios 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indicate change in odds of </w:t>
            </w:r>
            <w:r w:rsidR="00826E70">
              <w:rPr>
                <w:rFonts w:ascii="Times New Roman" w:hAnsi="Times New Roman" w:cs="Times New Roman"/>
                <w:sz w:val="18"/>
                <w:szCs w:val="18"/>
              </w:rPr>
              <w:t>having attended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relative to the reference category (first category listed for each variable)</w:t>
            </w:r>
            <w:r w:rsidR="0000179B" w:rsidRPr="008C75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Adjusted analyses </w:t>
            </w:r>
            <w:r w:rsidR="00516BAE"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included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‘Location’</w:t>
            </w:r>
            <w:r w:rsidR="00516BAE"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‘Year’</w:t>
            </w:r>
            <w:r w:rsidR="00516BAE"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(as there were no 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significant variable</w:t>
            </w:r>
            <w:r w:rsidR="00516BAE"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from univariate analyses</w:t>
            </w:r>
            <w:r w:rsidR="00516BAE"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</w:tbl>
    <w:p w:rsidR="00E177FC" w:rsidRDefault="00E177FC" w:rsidP="005E4864">
      <w:pPr>
        <w:rPr>
          <w:rFonts w:asciiTheme="majorHAnsi" w:hAnsiTheme="majorHAnsi"/>
          <w:sz w:val="24"/>
          <w:szCs w:val="24"/>
        </w:rPr>
      </w:pPr>
    </w:p>
    <w:p w:rsidR="00E177FC" w:rsidRDefault="00E177FC" w:rsidP="005E4864">
      <w:pPr>
        <w:rPr>
          <w:rFonts w:asciiTheme="majorHAnsi" w:hAnsiTheme="majorHAnsi"/>
          <w:sz w:val="24"/>
          <w:szCs w:val="24"/>
        </w:rPr>
      </w:pPr>
    </w:p>
    <w:p w:rsidR="00E177FC" w:rsidRDefault="00E177FC" w:rsidP="005E4864">
      <w:pPr>
        <w:rPr>
          <w:rFonts w:asciiTheme="majorHAnsi" w:hAnsiTheme="majorHAnsi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851"/>
        <w:gridCol w:w="1701"/>
        <w:gridCol w:w="850"/>
        <w:gridCol w:w="1560"/>
      </w:tblGrid>
      <w:tr w:rsidR="00195E9A" w:rsidRPr="008C7594" w:rsidTr="00BE6B00">
        <w:trPr>
          <w:trHeight w:val="500"/>
        </w:trPr>
        <w:tc>
          <w:tcPr>
            <w:tcW w:w="10207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:rsidR="00195E9A" w:rsidRPr="008C7594" w:rsidRDefault="008F0022" w:rsidP="007B38A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Table </w:t>
            </w:r>
            <w:r w:rsidR="00E177FC" w:rsidRPr="008C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0179B" w:rsidRPr="008C7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Association of follow-up appointment outcome with location, appointment-related variables and client-specific details.</w:t>
            </w:r>
          </w:p>
        </w:tc>
      </w:tr>
      <w:tr w:rsidR="006700F9" w:rsidRPr="008C7594" w:rsidTr="003D1861">
        <w:trPr>
          <w:trHeight w:val="500"/>
        </w:trPr>
        <w:tc>
          <w:tcPr>
            <w:tcW w:w="2127" w:type="dxa"/>
            <w:tcBorders>
              <w:top w:val="single" w:sz="8" w:space="0" w:color="auto"/>
              <w:bottom w:val="nil"/>
            </w:tcBorders>
            <w:vAlign w:val="center"/>
          </w:tcPr>
          <w:p w:rsidR="006700F9" w:rsidRPr="008C7594" w:rsidRDefault="006700F9" w:rsidP="00BE6B0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6700F9" w:rsidRPr="008C7594" w:rsidRDefault="00CF25EE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Attended</w:t>
            </w:r>
          </w:p>
          <w:p w:rsidR="006700F9" w:rsidRPr="008C7594" w:rsidRDefault="006700F9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</w:t>
            </w: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=3015</w:t>
            </w:r>
            <w:r w:rsidR="003D1861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;79.2%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6700F9" w:rsidRPr="008C7594" w:rsidRDefault="00CF25EE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Missed</w:t>
            </w:r>
          </w:p>
          <w:p w:rsidR="006700F9" w:rsidRPr="008C7594" w:rsidRDefault="006700F9" w:rsidP="00F02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</w:t>
            </w: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=79</w:t>
            </w:r>
            <w:r w:rsidR="00F02729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0;</w:t>
            </w:r>
            <w:r w:rsidR="003D1861"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20.8%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:rsidR="006700F9" w:rsidRPr="00F56911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6700F9" w:rsidRPr="008C7594" w:rsidRDefault="006700F9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OR</w:t>
            </w:r>
          </w:p>
          <w:p w:rsidR="006700F9" w:rsidRPr="008C7594" w:rsidRDefault="006700F9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(CI)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6700F9" w:rsidRPr="008C7594" w:rsidRDefault="006700F9" w:rsidP="00F56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Adj </w:t>
            </w:r>
            <w:r w:rsidR="00F56911" w:rsidRPr="00F5691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p</w:t>
            </w: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vAlign w:val="center"/>
          </w:tcPr>
          <w:p w:rsidR="006700F9" w:rsidRPr="008C7594" w:rsidRDefault="006700F9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Adj OR</w:t>
            </w:r>
          </w:p>
          <w:p w:rsidR="006700F9" w:rsidRPr="008C7594" w:rsidRDefault="006700F9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(CI)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6911" w:rsidRPr="00F56911" w:rsidRDefault="00F56911" w:rsidP="002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F56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559" w:type="dxa"/>
            <w:vAlign w:val="center"/>
          </w:tcPr>
          <w:p w:rsidR="00F56911" w:rsidRPr="00F56911" w:rsidRDefault="00F56911" w:rsidP="002D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F569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bottom w:val="nil"/>
            </w:tcBorders>
            <w:vAlign w:val="center"/>
          </w:tcPr>
          <w:p w:rsidR="00F56911" w:rsidRPr="008C7594" w:rsidRDefault="00F56911" w:rsidP="00781F7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London clinic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678 (72.2)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261 (27.8)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Outreach clinic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289 (79.0)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 (21.0)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1.45 (1.09,1.94)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 (0.93,1.73)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Non-clinic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2048 (81.9)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452 (18.1)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781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1.74 (1.46,2.08)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1.49 (1.23,1.81)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val="260"/>
        </w:trPr>
        <w:tc>
          <w:tcPr>
            <w:tcW w:w="2127" w:type="dxa"/>
            <w:tcBorders>
              <w:top w:val="nil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F56911" w:rsidRPr="008C7594" w:rsidRDefault="00F56911" w:rsidP="00CF25E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 xml:space="preserve">Number previous </w:t>
            </w:r>
            <w:r w:rsidR="00CF25EE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missed</w:t>
            </w:r>
            <w:r w:rsidRPr="008C7594"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 xml:space="preserve"> appointments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3.24 (3.74)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4.81 (4.12)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0.92 (0.91,0.94)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0.90 (0.88,0.91)</w:t>
            </w:r>
          </w:p>
        </w:tc>
      </w:tr>
      <w:tr w:rsidR="00F56911" w:rsidRPr="008C7594" w:rsidTr="003D1861">
        <w:trPr>
          <w:trHeight w:val="260"/>
        </w:trPr>
        <w:tc>
          <w:tcPr>
            <w:tcW w:w="2127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9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top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396 (75.7)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 (24.3)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637 (75.8)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203 (24.2)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(0.78,1.30)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(0.87,1.47)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1083 (79.7)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276 (20.3)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1.26 (0.99,1.60)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1.57 (1.20,2.06)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899 (83.0)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184 (17.0)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1.57 (1.21,2.02)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560" w:type="dxa"/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2.05 (1.54,2.74)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Appointment type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296108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Client 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2865 (79.0)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761 (21.0)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Carer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(83.8)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(16.2)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 (0.93,2.10)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991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of day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1441 (81.0)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339 (19.0)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1566 (77.6)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451 (22.4)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0.82 (0.70,0.96)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0.736</w:t>
            </w:r>
          </w:p>
        </w:tc>
        <w:tc>
          <w:tcPr>
            <w:tcW w:w="1560" w:type="dxa"/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 (0.82,1.15)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Age Group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935 (80.6)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 (19.4)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2080 (78.6)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 (21.4)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 (0.75,1.05)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1412 (77.1)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420 (22.9)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</w:rPr>
              <w:t>Male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1603 (81.2)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370 (18.8)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1.29 (1.10,1.51)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0.920</w:t>
            </w:r>
          </w:p>
        </w:tc>
        <w:tc>
          <w:tcPr>
            <w:tcW w:w="1560" w:type="dxa"/>
            <w:vAlign w:val="center"/>
          </w:tcPr>
          <w:p w:rsidR="00F56911" w:rsidRPr="008C7594" w:rsidRDefault="00F56911" w:rsidP="0069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(0.85,1.19)</w:t>
            </w: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bCs/>
                <w:sz w:val="20"/>
                <w:szCs w:val="20"/>
              </w:rPr>
              <w:t>Ethnicity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2145 (78.9)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572 (21.1)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 (79.8)</w:t>
            </w:r>
          </w:p>
        </w:tc>
        <w:tc>
          <w:tcPr>
            <w:tcW w:w="1559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(20.2)</w:t>
            </w:r>
          </w:p>
        </w:tc>
        <w:tc>
          <w:tcPr>
            <w:tcW w:w="851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56911" w:rsidRPr="008C7594" w:rsidRDefault="00F56911" w:rsidP="006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(0.83,1.36)</w:t>
            </w:r>
          </w:p>
        </w:tc>
        <w:tc>
          <w:tcPr>
            <w:tcW w:w="85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 (79.4)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(20.6)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6911" w:rsidRPr="008C7594" w:rsidRDefault="00F56911" w:rsidP="006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 (0.78,1.38)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8C7594" w:rsidTr="003D1861">
        <w:trPr>
          <w:trHeight w:hRule="exact" w:val="284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</w:rPr>
              <w:t>Mixed/Other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 (80.3)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(19.7)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67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 (0.82,1.47)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F56911" w:rsidRPr="008C7594" w:rsidRDefault="00F56911" w:rsidP="00BE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6911" w:rsidRPr="004C7911" w:rsidTr="00BE6B00">
        <w:trPr>
          <w:trHeight w:val="346"/>
        </w:trPr>
        <w:tc>
          <w:tcPr>
            <w:tcW w:w="1020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F56911" w:rsidRPr="00BE6B00" w:rsidRDefault="00F56911" w:rsidP="00271383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Notes: Number of participants for ‘Time of day’ and ‘Ethnicity’ differs slightly from that stated at the top of the table due to a small number of participants with missing data – stated percentages reflect proportions of participants with data available; OR = odd ratios, 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CI = 95% confidence intervals; Adj. </w:t>
            </w:r>
            <w:r w:rsidR="00271383" w:rsidRPr="00271383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= adjusted </w:t>
            </w:r>
            <w:r w:rsidR="00271383" w:rsidRPr="00271383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value; Adj. OR = adjusted odds ratio;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Odds ratios 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indicate change in odds of </w:t>
            </w:r>
            <w:r w:rsidR="00CF25EE">
              <w:rPr>
                <w:rFonts w:ascii="Times New Roman" w:hAnsi="Times New Roman" w:cs="Times New Roman"/>
                <w:sz w:val="18"/>
                <w:szCs w:val="18"/>
              </w:rPr>
              <w:t>having attended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relative to the reference category (first category listed for each variable) except 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 ratio for ‘Number of previous missed appointments’ which reflects change in odds per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1 unit (i.e., 1 missed appointment) increase; 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Adjusted analyses controlled for ‘Location’, ‘Year’, and all other significant variables from univariate analyses;</w:t>
            </w:r>
            <w:r w:rsidRPr="008C75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5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Significant group differences and odds ratios are highlighted in bold.</w:t>
            </w:r>
          </w:p>
        </w:tc>
      </w:tr>
    </w:tbl>
    <w:p w:rsidR="00B85C77" w:rsidRDefault="00B85C77" w:rsidP="005E4864">
      <w:pPr>
        <w:rPr>
          <w:rFonts w:asciiTheme="majorHAnsi" w:hAnsiTheme="majorHAnsi"/>
          <w:sz w:val="24"/>
          <w:szCs w:val="24"/>
        </w:rPr>
      </w:pPr>
    </w:p>
    <w:p w:rsidR="0092224E" w:rsidRDefault="0092224E" w:rsidP="005E4864">
      <w:pPr>
        <w:rPr>
          <w:rFonts w:asciiTheme="majorHAnsi" w:hAnsiTheme="majorHAnsi"/>
          <w:sz w:val="24"/>
          <w:szCs w:val="24"/>
        </w:rPr>
      </w:pPr>
    </w:p>
    <w:p w:rsidR="00B00971" w:rsidRDefault="00B00971" w:rsidP="005E4864">
      <w:pPr>
        <w:rPr>
          <w:rFonts w:asciiTheme="majorHAnsi" w:hAnsiTheme="majorHAnsi"/>
          <w:sz w:val="24"/>
          <w:szCs w:val="24"/>
        </w:rPr>
      </w:pPr>
    </w:p>
    <w:p w:rsidR="00B00971" w:rsidRDefault="00B00971" w:rsidP="005E4864">
      <w:pPr>
        <w:rPr>
          <w:rFonts w:asciiTheme="majorHAnsi" w:hAnsiTheme="majorHAnsi"/>
          <w:sz w:val="24"/>
          <w:szCs w:val="24"/>
        </w:rPr>
      </w:pPr>
    </w:p>
    <w:p w:rsidR="00B00971" w:rsidRPr="00B00971" w:rsidRDefault="00B00971" w:rsidP="00B00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0971">
        <w:rPr>
          <w:rFonts w:ascii="Times New Roman" w:hAnsi="Times New Roman" w:cs="Times New Roman"/>
          <w:sz w:val="24"/>
          <w:szCs w:val="24"/>
        </w:rPr>
        <w:lastRenderedPageBreak/>
        <w:t>Figure Captions</w:t>
      </w:r>
    </w:p>
    <w:p w:rsidR="00B00971" w:rsidRPr="00B00971" w:rsidRDefault="00B00971" w:rsidP="00B00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0971">
        <w:rPr>
          <w:rFonts w:ascii="Times New Roman" w:hAnsi="Times New Roman" w:cs="Times New Roman"/>
          <w:sz w:val="24"/>
          <w:szCs w:val="24"/>
        </w:rPr>
        <w:t xml:space="preserve">Figure 1. </w:t>
      </w:r>
      <w:r w:rsidRPr="00B00971">
        <w:rPr>
          <w:rFonts w:ascii="Times New Roman" w:hAnsi="Times New Roman" w:cs="Times New Roman"/>
          <w:bCs/>
          <w:sz w:val="24"/>
          <w:szCs w:val="24"/>
        </w:rPr>
        <w:t>Frequencies of first and follow-up appointments in London clinic, outreach clinic and no</w:t>
      </w:r>
      <w:r w:rsidR="00750B0B">
        <w:rPr>
          <w:rFonts w:ascii="Times New Roman" w:hAnsi="Times New Roman" w:cs="Times New Roman"/>
          <w:bCs/>
          <w:sz w:val="24"/>
          <w:szCs w:val="24"/>
        </w:rPr>
        <w:t>n-clinic sites utilised by ND-</w:t>
      </w:r>
      <w:bookmarkStart w:id="0" w:name="_GoBack"/>
      <w:bookmarkEnd w:id="0"/>
      <w:r w:rsidRPr="00B00971">
        <w:rPr>
          <w:rFonts w:ascii="Times New Roman" w:hAnsi="Times New Roman" w:cs="Times New Roman"/>
          <w:bCs/>
          <w:sz w:val="24"/>
          <w:szCs w:val="24"/>
        </w:rPr>
        <w:t>CAMHS across the study period. Data labels indicate frequencies for each site.</w:t>
      </w:r>
    </w:p>
    <w:p w:rsidR="00B00971" w:rsidRPr="00B00971" w:rsidRDefault="00B00971" w:rsidP="00B00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0971" w:rsidRPr="00B00971" w:rsidRDefault="00B00971" w:rsidP="00B00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00971">
        <w:rPr>
          <w:rFonts w:ascii="Times New Roman" w:hAnsi="Times New Roman" w:cs="Times New Roman"/>
          <w:sz w:val="24"/>
          <w:szCs w:val="24"/>
        </w:rPr>
        <w:t xml:space="preserve">Figures 2a and 2b. </w:t>
      </w:r>
      <w:r w:rsidRPr="00B00971">
        <w:rPr>
          <w:rFonts w:ascii="Times New Roman" w:hAnsi="Times New Roman" w:cs="Times New Roman"/>
          <w:bCs/>
          <w:sz w:val="24"/>
          <w:szCs w:val="24"/>
        </w:rPr>
        <w:t xml:space="preserve">Reasons for a client/carer recording a </w:t>
      </w:r>
      <w:r w:rsidR="00CF25EE">
        <w:rPr>
          <w:rFonts w:ascii="Times New Roman" w:hAnsi="Times New Roman" w:cs="Times New Roman"/>
          <w:bCs/>
          <w:sz w:val="24"/>
          <w:szCs w:val="24"/>
        </w:rPr>
        <w:t>missed</w:t>
      </w:r>
      <w:r w:rsidRPr="00B00971">
        <w:rPr>
          <w:rFonts w:ascii="Times New Roman" w:hAnsi="Times New Roman" w:cs="Times New Roman"/>
          <w:bCs/>
          <w:sz w:val="24"/>
          <w:szCs w:val="24"/>
        </w:rPr>
        <w:t xml:space="preserve"> appointment outcome as a function of appointment location for first and follow-up appointments. Please note: Data labels indicate percentage;</w:t>
      </w:r>
      <w:r w:rsidRPr="00B00971">
        <w:rPr>
          <w:rFonts w:ascii="Times New Roman" w:hAnsi="Times New Roman" w:cs="Times New Roman"/>
          <w:sz w:val="24"/>
          <w:szCs w:val="24"/>
        </w:rPr>
        <w:t xml:space="preserve"> * </w:t>
      </w:r>
      <w:r w:rsidR="00EA2828" w:rsidRPr="00EA2828">
        <w:rPr>
          <w:rFonts w:ascii="Times New Roman" w:hAnsi="Times New Roman" w:cs="Times New Roman"/>
          <w:i/>
          <w:sz w:val="24"/>
          <w:szCs w:val="24"/>
        </w:rPr>
        <w:t>p</w:t>
      </w:r>
      <w:r w:rsidRPr="00B00971">
        <w:rPr>
          <w:rFonts w:ascii="Times New Roman" w:hAnsi="Times New Roman" w:cs="Times New Roman"/>
          <w:sz w:val="24"/>
          <w:szCs w:val="24"/>
        </w:rPr>
        <w:t xml:space="preserve"> &lt; 0.01, ** </w:t>
      </w:r>
      <w:r w:rsidR="00EA2828" w:rsidRPr="00EA2828">
        <w:rPr>
          <w:rFonts w:ascii="Times New Roman" w:hAnsi="Times New Roman" w:cs="Times New Roman"/>
          <w:i/>
          <w:sz w:val="24"/>
          <w:szCs w:val="24"/>
        </w:rPr>
        <w:t>p</w:t>
      </w:r>
      <w:r w:rsidRPr="00B00971">
        <w:rPr>
          <w:rFonts w:ascii="Times New Roman" w:hAnsi="Times New Roman" w:cs="Times New Roman"/>
          <w:sz w:val="24"/>
          <w:szCs w:val="24"/>
        </w:rPr>
        <w:t xml:space="preserve"> &lt; 0.001.</w:t>
      </w:r>
    </w:p>
    <w:p w:rsidR="00B00971" w:rsidRPr="00B00971" w:rsidRDefault="00B00971" w:rsidP="00B00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0971" w:rsidRPr="00B00971" w:rsidRDefault="00B00971" w:rsidP="00B0097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00971" w:rsidRDefault="00B00971" w:rsidP="005E4864">
      <w:pPr>
        <w:rPr>
          <w:rFonts w:asciiTheme="majorHAnsi" w:hAnsiTheme="majorHAnsi"/>
          <w:sz w:val="24"/>
          <w:szCs w:val="24"/>
        </w:rPr>
      </w:pPr>
    </w:p>
    <w:p w:rsidR="00B00971" w:rsidRDefault="00B00971" w:rsidP="005E4864">
      <w:pPr>
        <w:rPr>
          <w:rFonts w:asciiTheme="majorHAnsi" w:hAnsiTheme="majorHAnsi"/>
          <w:sz w:val="24"/>
          <w:szCs w:val="24"/>
        </w:rPr>
      </w:pPr>
    </w:p>
    <w:p w:rsidR="00B00971" w:rsidRDefault="00B00971" w:rsidP="005E4864">
      <w:pPr>
        <w:rPr>
          <w:rFonts w:asciiTheme="majorHAnsi" w:hAnsiTheme="majorHAnsi"/>
          <w:sz w:val="24"/>
          <w:szCs w:val="24"/>
        </w:rPr>
      </w:pPr>
    </w:p>
    <w:p w:rsidR="00B00971" w:rsidRDefault="00B00971" w:rsidP="005E4864">
      <w:pPr>
        <w:rPr>
          <w:rFonts w:asciiTheme="majorHAnsi" w:hAnsiTheme="majorHAnsi"/>
          <w:sz w:val="24"/>
          <w:szCs w:val="24"/>
        </w:rPr>
      </w:pPr>
    </w:p>
    <w:p w:rsidR="00B00971" w:rsidRDefault="00B00971" w:rsidP="005E4864">
      <w:pPr>
        <w:rPr>
          <w:rFonts w:asciiTheme="majorHAnsi" w:hAnsiTheme="majorHAnsi"/>
          <w:sz w:val="24"/>
          <w:szCs w:val="24"/>
        </w:rPr>
        <w:sectPr w:rsidR="00B00971" w:rsidSect="00686D4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B00971" w:rsidRPr="00B00971" w:rsidRDefault="00B00971" w:rsidP="00B00971">
      <w:pPr>
        <w:rPr>
          <w:rFonts w:ascii="Times New Roman" w:hAnsi="Times New Roman" w:cs="Times New Roman"/>
          <w:sz w:val="24"/>
          <w:szCs w:val="24"/>
        </w:rPr>
      </w:pPr>
      <w:r w:rsidRPr="00B00971">
        <w:rPr>
          <w:rFonts w:ascii="Times New Roman" w:hAnsi="Times New Roman" w:cs="Times New Roman"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00971" w:rsidRDefault="00B00971" w:rsidP="00B00971">
      <w:pPr>
        <w:rPr>
          <w:rFonts w:asciiTheme="majorHAnsi" w:hAnsiTheme="majorHAnsi"/>
          <w:sz w:val="24"/>
          <w:szCs w:val="24"/>
        </w:rPr>
      </w:pPr>
    </w:p>
    <w:p w:rsidR="00497662" w:rsidRDefault="00497662" w:rsidP="00B00971">
      <w:pPr>
        <w:rPr>
          <w:rFonts w:asciiTheme="majorHAnsi" w:hAnsiTheme="majorHAnsi"/>
          <w:sz w:val="24"/>
          <w:szCs w:val="24"/>
        </w:rPr>
      </w:pPr>
    </w:p>
    <w:p w:rsidR="00497662" w:rsidRDefault="00497662" w:rsidP="00B00971">
      <w:pPr>
        <w:rPr>
          <w:rFonts w:asciiTheme="majorHAnsi" w:hAnsiTheme="majorHAnsi"/>
          <w:sz w:val="24"/>
          <w:szCs w:val="24"/>
        </w:rPr>
        <w:sectPr w:rsidR="00497662" w:rsidSect="00686D42"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  <w:r w:rsidRPr="00497662">
        <w:rPr>
          <w:noProof/>
          <w:szCs w:val="24"/>
        </w:rPr>
        <w:drawing>
          <wp:inline distT="0" distB="0" distL="0" distR="0">
            <wp:extent cx="7844892" cy="3228975"/>
            <wp:effectExtent l="19050" t="0" r="370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892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4E" w:rsidRPr="00B00971" w:rsidRDefault="00B00971" w:rsidP="005E4864">
      <w:pPr>
        <w:rPr>
          <w:rFonts w:ascii="Times New Roman" w:hAnsi="Times New Roman" w:cs="Times New Roman"/>
          <w:sz w:val="24"/>
          <w:szCs w:val="24"/>
        </w:rPr>
      </w:pPr>
      <w:r w:rsidRPr="00B00971">
        <w:rPr>
          <w:rFonts w:ascii="Times New Roman" w:hAnsi="Times New Roman" w:cs="Times New Roman"/>
          <w:sz w:val="24"/>
          <w:szCs w:val="24"/>
        </w:rPr>
        <w:lastRenderedPageBreak/>
        <w:t>Figure</w:t>
      </w:r>
      <w:r w:rsidR="00CF73D3">
        <w:rPr>
          <w:rFonts w:ascii="Times New Roman" w:hAnsi="Times New Roman" w:cs="Times New Roman"/>
          <w:sz w:val="24"/>
          <w:szCs w:val="24"/>
        </w:rPr>
        <w:t>s</w:t>
      </w:r>
      <w:r w:rsidRPr="00B00971">
        <w:rPr>
          <w:rFonts w:ascii="Times New Roman" w:hAnsi="Times New Roman" w:cs="Times New Roman"/>
          <w:sz w:val="24"/>
          <w:szCs w:val="24"/>
        </w:rPr>
        <w:t xml:space="preserve"> 2</w:t>
      </w:r>
      <w:r w:rsidR="00CF73D3">
        <w:rPr>
          <w:rFonts w:ascii="Times New Roman" w:hAnsi="Times New Roman" w:cs="Times New Roman"/>
          <w:sz w:val="24"/>
          <w:szCs w:val="24"/>
        </w:rPr>
        <w:t>a and 2b</w:t>
      </w:r>
    </w:p>
    <w:p w:rsidR="004F2453" w:rsidRDefault="004F2453" w:rsidP="00D23880">
      <w:pPr>
        <w:rPr>
          <w:rFonts w:asciiTheme="majorHAnsi" w:hAnsiTheme="majorHAnsi"/>
          <w:sz w:val="24"/>
          <w:szCs w:val="24"/>
        </w:rPr>
      </w:pPr>
    </w:p>
    <w:p w:rsidR="004F2453" w:rsidRDefault="004F2453" w:rsidP="00D238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0729E65">
            <wp:extent cx="9190800" cy="36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0" cy="36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453" w:rsidRDefault="004F2453" w:rsidP="00D23880">
      <w:pPr>
        <w:rPr>
          <w:rFonts w:asciiTheme="majorHAnsi" w:hAnsiTheme="majorHAnsi"/>
          <w:sz w:val="24"/>
          <w:szCs w:val="24"/>
        </w:rPr>
      </w:pPr>
    </w:p>
    <w:p w:rsidR="004F2453" w:rsidRDefault="004F2453" w:rsidP="00D23880">
      <w:pPr>
        <w:rPr>
          <w:rFonts w:asciiTheme="majorHAnsi" w:hAnsiTheme="majorHAnsi"/>
          <w:sz w:val="24"/>
          <w:szCs w:val="24"/>
        </w:rPr>
      </w:pPr>
    </w:p>
    <w:p w:rsidR="00B818F4" w:rsidRDefault="00B818F4" w:rsidP="00D23880">
      <w:pPr>
        <w:rPr>
          <w:rFonts w:asciiTheme="majorHAnsi" w:hAnsiTheme="majorHAnsi"/>
          <w:sz w:val="24"/>
          <w:szCs w:val="24"/>
        </w:rPr>
      </w:pPr>
    </w:p>
    <w:sectPr w:rsidR="00B818F4" w:rsidSect="0092224E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2D" w:rsidRDefault="002F322D" w:rsidP="00E177FC">
      <w:pPr>
        <w:spacing w:after="0" w:line="240" w:lineRule="auto"/>
      </w:pPr>
      <w:r>
        <w:separator/>
      </w:r>
    </w:p>
  </w:endnote>
  <w:endnote w:type="continuationSeparator" w:id="0">
    <w:p w:rsidR="002F322D" w:rsidRDefault="002F322D" w:rsidP="00E1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2D" w:rsidRDefault="002F322D" w:rsidP="00E177FC">
      <w:pPr>
        <w:spacing w:after="0" w:line="240" w:lineRule="auto"/>
      </w:pPr>
      <w:r>
        <w:separator/>
      </w:r>
    </w:p>
  </w:footnote>
  <w:footnote w:type="continuationSeparator" w:id="0">
    <w:p w:rsidR="002F322D" w:rsidRDefault="002F322D" w:rsidP="00E1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B79"/>
    <w:multiLevelType w:val="multilevel"/>
    <w:tmpl w:val="012411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1"/>
    <w:rsid w:val="0000179B"/>
    <w:rsid w:val="00004D8C"/>
    <w:rsid w:val="00030ACE"/>
    <w:rsid w:val="00031E84"/>
    <w:rsid w:val="00042F3F"/>
    <w:rsid w:val="0004656C"/>
    <w:rsid w:val="000555F1"/>
    <w:rsid w:val="000603BE"/>
    <w:rsid w:val="00066E59"/>
    <w:rsid w:val="00070C91"/>
    <w:rsid w:val="000851D1"/>
    <w:rsid w:val="00094AD7"/>
    <w:rsid w:val="000972DF"/>
    <w:rsid w:val="000A4963"/>
    <w:rsid w:val="000A55C8"/>
    <w:rsid w:val="000A7BA9"/>
    <w:rsid w:val="000C307E"/>
    <w:rsid w:val="000E7A91"/>
    <w:rsid w:val="00104DB9"/>
    <w:rsid w:val="00130574"/>
    <w:rsid w:val="001365EE"/>
    <w:rsid w:val="001548D8"/>
    <w:rsid w:val="0016032A"/>
    <w:rsid w:val="001648E9"/>
    <w:rsid w:val="0017391A"/>
    <w:rsid w:val="00181EAB"/>
    <w:rsid w:val="00195E9A"/>
    <w:rsid w:val="001A6432"/>
    <w:rsid w:val="001B0AEC"/>
    <w:rsid w:val="001B7AFA"/>
    <w:rsid w:val="001C7470"/>
    <w:rsid w:val="00260230"/>
    <w:rsid w:val="00264A33"/>
    <w:rsid w:val="00266745"/>
    <w:rsid w:val="00271383"/>
    <w:rsid w:val="00284498"/>
    <w:rsid w:val="00286FB8"/>
    <w:rsid w:val="00290752"/>
    <w:rsid w:val="00296108"/>
    <w:rsid w:val="002A1434"/>
    <w:rsid w:val="002E5E7F"/>
    <w:rsid w:val="002F322D"/>
    <w:rsid w:val="00304A6D"/>
    <w:rsid w:val="00373417"/>
    <w:rsid w:val="003863D8"/>
    <w:rsid w:val="0039258B"/>
    <w:rsid w:val="003A0703"/>
    <w:rsid w:val="003D1861"/>
    <w:rsid w:val="003D2406"/>
    <w:rsid w:val="003F2496"/>
    <w:rsid w:val="0041259F"/>
    <w:rsid w:val="004357BF"/>
    <w:rsid w:val="00443F6F"/>
    <w:rsid w:val="00450657"/>
    <w:rsid w:val="00483E88"/>
    <w:rsid w:val="00484A88"/>
    <w:rsid w:val="00490EBF"/>
    <w:rsid w:val="00497662"/>
    <w:rsid w:val="004A7ECF"/>
    <w:rsid w:val="004B7E3D"/>
    <w:rsid w:val="004C1B14"/>
    <w:rsid w:val="004E530D"/>
    <w:rsid w:val="004F2453"/>
    <w:rsid w:val="004F6C31"/>
    <w:rsid w:val="00501183"/>
    <w:rsid w:val="0051651D"/>
    <w:rsid w:val="00516BAE"/>
    <w:rsid w:val="00524F18"/>
    <w:rsid w:val="00540C36"/>
    <w:rsid w:val="0054231F"/>
    <w:rsid w:val="00553F0D"/>
    <w:rsid w:val="00563F08"/>
    <w:rsid w:val="005A3358"/>
    <w:rsid w:val="005B3F6C"/>
    <w:rsid w:val="005B4F6D"/>
    <w:rsid w:val="005B5F13"/>
    <w:rsid w:val="005E4864"/>
    <w:rsid w:val="005F52E8"/>
    <w:rsid w:val="006333BD"/>
    <w:rsid w:val="006349F3"/>
    <w:rsid w:val="006639FD"/>
    <w:rsid w:val="00665260"/>
    <w:rsid w:val="006700F9"/>
    <w:rsid w:val="00675D22"/>
    <w:rsid w:val="00686D42"/>
    <w:rsid w:val="00686E78"/>
    <w:rsid w:val="006951C6"/>
    <w:rsid w:val="006B7E9F"/>
    <w:rsid w:val="006D4A9C"/>
    <w:rsid w:val="006E7FFD"/>
    <w:rsid w:val="006F6B22"/>
    <w:rsid w:val="00707853"/>
    <w:rsid w:val="00713E22"/>
    <w:rsid w:val="00746078"/>
    <w:rsid w:val="00750B0B"/>
    <w:rsid w:val="007656C1"/>
    <w:rsid w:val="007758EF"/>
    <w:rsid w:val="00781F79"/>
    <w:rsid w:val="007B38A7"/>
    <w:rsid w:val="007D17C9"/>
    <w:rsid w:val="007D5671"/>
    <w:rsid w:val="007D6768"/>
    <w:rsid w:val="007E2280"/>
    <w:rsid w:val="007F41B2"/>
    <w:rsid w:val="00814079"/>
    <w:rsid w:val="00826E70"/>
    <w:rsid w:val="00841723"/>
    <w:rsid w:val="00851B1C"/>
    <w:rsid w:val="00875A6B"/>
    <w:rsid w:val="00897E21"/>
    <w:rsid w:val="008B3002"/>
    <w:rsid w:val="008C6515"/>
    <w:rsid w:val="008C7594"/>
    <w:rsid w:val="008E14BA"/>
    <w:rsid w:val="008E640B"/>
    <w:rsid w:val="008F0022"/>
    <w:rsid w:val="008F0AE7"/>
    <w:rsid w:val="0092224E"/>
    <w:rsid w:val="00954750"/>
    <w:rsid w:val="00976E4B"/>
    <w:rsid w:val="00991E1A"/>
    <w:rsid w:val="009B0C51"/>
    <w:rsid w:val="009E3F05"/>
    <w:rsid w:val="009E5834"/>
    <w:rsid w:val="009F1494"/>
    <w:rsid w:val="00A50733"/>
    <w:rsid w:val="00A54461"/>
    <w:rsid w:val="00A62BF0"/>
    <w:rsid w:val="00A74045"/>
    <w:rsid w:val="00A95930"/>
    <w:rsid w:val="00A95B71"/>
    <w:rsid w:val="00AB23C9"/>
    <w:rsid w:val="00AB7C50"/>
    <w:rsid w:val="00B00971"/>
    <w:rsid w:val="00B02D6D"/>
    <w:rsid w:val="00B0646D"/>
    <w:rsid w:val="00B163DE"/>
    <w:rsid w:val="00B45749"/>
    <w:rsid w:val="00B55952"/>
    <w:rsid w:val="00B570C1"/>
    <w:rsid w:val="00B74CA7"/>
    <w:rsid w:val="00B818F4"/>
    <w:rsid w:val="00B85C77"/>
    <w:rsid w:val="00BC1620"/>
    <w:rsid w:val="00BD4508"/>
    <w:rsid w:val="00BE5416"/>
    <w:rsid w:val="00BE6B00"/>
    <w:rsid w:val="00C03BB9"/>
    <w:rsid w:val="00C14EEB"/>
    <w:rsid w:val="00C354C3"/>
    <w:rsid w:val="00C468DF"/>
    <w:rsid w:val="00C717E4"/>
    <w:rsid w:val="00C92120"/>
    <w:rsid w:val="00C929DD"/>
    <w:rsid w:val="00C94EAF"/>
    <w:rsid w:val="00CB4436"/>
    <w:rsid w:val="00CC4E73"/>
    <w:rsid w:val="00CD31C4"/>
    <w:rsid w:val="00CE1E5D"/>
    <w:rsid w:val="00CF25EE"/>
    <w:rsid w:val="00CF2FF2"/>
    <w:rsid w:val="00CF73D3"/>
    <w:rsid w:val="00D12CC8"/>
    <w:rsid w:val="00D23880"/>
    <w:rsid w:val="00D2406A"/>
    <w:rsid w:val="00D30A25"/>
    <w:rsid w:val="00D322AF"/>
    <w:rsid w:val="00D824B7"/>
    <w:rsid w:val="00DA1338"/>
    <w:rsid w:val="00DB6823"/>
    <w:rsid w:val="00DD256F"/>
    <w:rsid w:val="00DE701E"/>
    <w:rsid w:val="00DF59C7"/>
    <w:rsid w:val="00E119FE"/>
    <w:rsid w:val="00E177FC"/>
    <w:rsid w:val="00E2443C"/>
    <w:rsid w:val="00E70365"/>
    <w:rsid w:val="00E85399"/>
    <w:rsid w:val="00E947A6"/>
    <w:rsid w:val="00E95678"/>
    <w:rsid w:val="00EA2828"/>
    <w:rsid w:val="00EB2C74"/>
    <w:rsid w:val="00EE0EFF"/>
    <w:rsid w:val="00F02729"/>
    <w:rsid w:val="00F07CBE"/>
    <w:rsid w:val="00F21D7E"/>
    <w:rsid w:val="00F36157"/>
    <w:rsid w:val="00F41C2C"/>
    <w:rsid w:val="00F56911"/>
    <w:rsid w:val="00F5796A"/>
    <w:rsid w:val="00F7669D"/>
    <w:rsid w:val="00FA7AB1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C8EA"/>
  <w15:docId w15:val="{2FF7CEC8-12E6-4749-BDFB-3FD42A8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86E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C51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C51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51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0C51"/>
    <w:rPr>
      <w:rFonts w:asciiTheme="majorBidi" w:eastAsiaTheme="majorEastAsia" w:hAnsiTheme="majorBidi" w:cstheme="majorBidi"/>
      <w:b/>
      <w:bCs/>
      <w:sz w:val="28"/>
      <w:szCs w:val="26"/>
      <w:lang w:eastAsia="en-GB"/>
    </w:rPr>
  </w:style>
  <w:style w:type="table" w:styleId="TableGrid">
    <w:name w:val="Table Grid"/>
    <w:basedOn w:val="TableNormal"/>
    <w:uiPriority w:val="59"/>
    <w:rsid w:val="008C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FC"/>
  </w:style>
  <w:style w:type="paragraph" w:styleId="Footer">
    <w:name w:val="footer"/>
    <w:basedOn w:val="Normal"/>
    <w:link w:val="FooterChar"/>
    <w:uiPriority w:val="99"/>
    <w:unhideWhenUsed/>
    <w:rsid w:val="00E1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Nat12</b:Tag>
    <b:SourceType>Report</b:SourceType>
    <b:Guid>{1019922D-D8B6-4A24-9439-BE0F582FF299}</b:Guid>
    <b:Author>
      <b:Author>
        <b:Corporate>National Specialised Commissioning Team</b:Corporate>
      </b:Author>
    </b:Author>
    <b:Title>National Deaf Child and Adolescent Mental Health Service</b:Title>
    <b:Year>2012</b:Year>
    <b:Publisher>National Commissioning Lead</b:Publisher>
    <b:RefOrder>1</b:RefOrder>
  </b:Source>
  <b:Source>
    <b:Tag>Hin97</b:Tag>
    <b:SourceType>JournalArticle</b:SourceType>
    <b:Guid>{590AB227-CE9A-465B-9CDD-D075AE9FBDD1}</b:Guid>
    <b:Author>
      <b:Author>
        <b:NameList>
          <b:Person>
            <b:Last>Hindley</b:Last>
            <b:First>Peter</b:First>
          </b:Person>
        </b:NameList>
      </b:Author>
    </b:Author>
    <b:Title> Psychiatric aspects of hearing impairments. </b:Title>
    <b:City>London</b:City>
    <b:Year>1997</b:Year>
    <b:Publisher> Journal of Child Psychology and Psychiatry</b:Publisher>
    <b:Volume>38</b:Volume>
    <b:RefOrder>5</b:RefOrder>
  </b:Source>
  <b:Source>
    <b:Tag>Fel09</b:Tag>
    <b:SourceType>JournalArticle</b:SourceType>
    <b:Guid>{3495CDF7-1222-449D-A096-E530ED3D6120}</b:Guid>
    <b:Author>
      <b:Author>
        <b:NameList>
          <b:Person>
            <b:Last>Felliner</b:Last>
            <b:First>Johannes</b:First>
          </b:Person>
          <b:Person>
            <b:Last>Holzinger</b:Last>
            <b:First>Daniel</b:First>
          </b:Person>
          <b:Person>
            <b:Last>Sattel</b:Last>
            <b:First>Heribert</b:First>
          </b:Person>
          <b:Person>
            <b:Last>Lauchet</b:Last>
            <b:First>Manfred</b:First>
          </b:Person>
          <b:Person>
            <b:Last>Goldberg</b:Last>
            <b:First>David</b:First>
          </b:Person>
        </b:NameList>
      </b:Author>
    </b:Author>
    <b:Title>Correlates of mental health disorders among children with hearing impairments</b:Title>
    <b:JournalName>Developmental medicine and child neurology</b:JournalName>
    <b:Year>2009</b:Year>
    <b:Pages>635-641</b:Pages>
    <b:RefOrder>6</b:RefOrder>
  </b:Source>
  <b:Source>
    <b:Tag>Hin05</b:Tag>
    <b:SourceType>JournalArticle</b:SourceType>
    <b:Guid>{8245938E-C41E-4FED-9238-6A397DA34D11}</b:Guid>
    <b:Author>
      <b:Author>
        <b:NameList>
          <b:Person>
            <b:Last>Hindley</b:Last>
            <b:First>Peter</b:First>
            <b:Middle>A</b:Middle>
          </b:Person>
        </b:NameList>
      </b:Author>
    </b:Author>
    <b:Title>Mental health problems in deaf children</b:Title>
    <b:City>London</b:City>
    <b:Year>2005</b:Year>
    <b:Publisher>Current Paediatrics</b:Publisher>
    <b:Volume>15</b:Volume>
    <b:Issue>2</b:Issue>
    <b:StandardNumber>114</b:StandardNumber>
    <b:RefOrder>2</b:RefOrder>
  </b:Source>
  <b:Source>
    <b:Tag>Placeholder1</b:Tag>
    <b:SourceType>JournalArticle</b:SourceType>
    <b:Guid>{349DC839-765C-401E-9CDC-8E24CAB6B60A}</b:Guid>
    <b:Author>
      <b:Author>
        <b:NameList>
          <b:Person>
            <b:Last>Fellinger</b:Last>
            <b:First>Johannes</b:First>
          </b:Person>
          <b:Person>
            <b:Last>Holzinger</b:Last>
            <b:First>Daniel</b:First>
          </b:Person>
          <b:Person>
            <b:Last>Pollard</b:Last>
            <b:First>Robert</b:First>
          </b:Person>
        </b:NameList>
      </b:Author>
    </b:Author>
    <b:Title>Mental health of deaf people</b:Title>
    <b:JournalName>The Lancet</b:JournalName>
    <b:Year>2012</b:Year>
    <b:Pages>1037-44</b:Pages>
    <b:Volume>37</b:Volume>
    <b:RefOrder>9</b:RefOrder>
  </b:Source>
  <b:Source>
    <b:Tag>Ber10</b:Tag>
    <b:SourceType>JournalArticle</b:SourceType>
    <b:Guid>{D5F78865-BE59-45FC-80F9-0F3DAC8E1689}</b:Guid>
    <b:Author>
      <b:Author>
        <b:NameList>
          <b:Person>
            <b:Last>Beresford</b:Last>
            <b:First>Bryony</b:First>
          </b:Person>
          <b:Person>
            <b:Last>Clarke</b:Last>
            <b:First>Sue</b:First>
          </b:Person>
          <b:Person>
            <b:Last>Veronica</b:Last>
            <b:First>Greco</b:First>
          </b:Person>
        </b:NameList>
      </b:Author>
    </b:Author>
    <b:Title>Referrers' use and views of specialist mental health services for deaf children and young people in England</b:Title>
    <b:JournalName>Journal of Mental Health</b:JournalName>
    <b:Year>2010</b:Year>
    <b:Pages>193-201</b:Pages>
    <b:Volume>19</b:Volume>
    <b:Issue>2</b:Issue>
    <b:RefOrder>12</b:RefOrder>
  </b:Source>
  <b:Source>
    <b:Tag>NHS98</b:Tag>
    <b:SourceType>Report</b:SourceType>
    <b:Guid>{0EA5E961-1FAA-4ACF-8159-54CA1264DE20}</b:Guid>
    <b:Author>
      <b:Author>
        <b:Corporate>NHS Health Advisory Service</b:Corporate>
      </b:Author>
    </b:Author>
    <b:Title>Forging New Channels</b:Title>
    <b:Year>1998</b:Year>
    <b:RefOrder>14</b:RefOrder>
  </b:Source>
  <b:Source>
    <b:Tag>Mit07</b:Tag>
    <b:SourceType>JournalArticle</b:SourceType>
    <b:Guid>{6426D2B5-84AD-431E-B83A-87BA43364265}</b:Guid>
    <b:Author>
      <b:Author>
        <b:NameList>
          <b:Person>
            <b:Last>Mitchell</b:Last>
            <b:First>Alex</b:First>
          </b:Person>
          <b:Person>
            <b:Last>Selmes</b:Last>
            <b:First>Thomas</b:First>
          </b:Person>
        </b:NameList>
      </b:Author>
    </b:Author>
    <b:Title>Why don't patients attend their appointments? Maintaining engagement with psychiatric services</b:Title>
    <b:Year>2007</b:Year>
    <b:JournalName>Advances in Psychiatric treatment</b:JournalName>
    <b:Pages>423-34</b:Pages>
    <b:Volume>13</b:Volume>
    <b:RefOrder>15</b:RefOrder>
  </b:Source>
  <b:Source>
    <b:Tag>Sha01</b:Tag>
    <b:SourceType>JournalArticle</b:SourceType>
    <b:Guid>{31535DB5-05C4-417D-B0EC-A2BD4DB7C7E7}</b:Guid>
    <b:Author>
      <b:Author>
        <b:NameList>
          <b:Person>
            <b:Last>Sharp</b:Last>
            <b:First>D</b:First>
          </b:Person>
          <b:Person>
            <b:Last>Hamilton</b:Last>
            <b:First>W</b:First>
          </b:Person>
        </b:NameList>
      </b:Author>
    </b:Author>
    <b:Title>Nonattendance at general practise and outpatient clincis</b:Title>
    <b:JournalName>BMJ</b:JournalName>
    <b:Year>2001</b:Year>
    <b:Pages>1081-82</b:Pages>
    <b:Volume>323</b:Volume>
    <b:RefOrder>19</b:RefOrder>
  </b:Source>
  <b:Source>
    <b:Tag>Kru02</b:Tag>
    <b:SourceType>JournalArticle</b:SourceType>
    <b:Guid>{FC324656-9058-45EE-8CFC-3AD9A57DB585}</b:Guid>
    <b:Author>
      <b:Author>
        <b:NameList>
          <b:Person>
            <b:Last>Kruse</b:Last>
            <b:First>Gina</b:First>
          </b:Person>
          <b:Person>
            <b:Last>Rohland</b:Last>
            <b:First>Barbara</b:First>
          </b:Person>
          <b:Person>
            <b:Last>Wu</b:Last>
            <b:First>Xiaoyan</b:First>
          </b:Person>
        </b:NameList>
      </b:Author>
    </b:Author>
    <b:Title>Factors Associated With Missed First Appointments at a Psychiatric Clinic</b:Title>
    <b:JournalName>Psychiatric services</b:JournalName>
    <b:Year>2002</b:Year>
    <b:Pages>1173-1176</b:Pages>
    <b:Volume>53</b:Volume>
    <b:Issue>9</b:Issue>
    <b:RefOrder>16</b:RefOrder>
  </b:Source>
  <b:Source>
    <b:Tag>Min04</b:Tag>
    <b:SourceType>JournalArticle</b:SourceType>
    <b:Guid>{34D84341-3932-4CA8-B9F8-11ADFDAB70DE}</b:Guid>
    <b:Author>
      <b:Author>
        <b:NameList>
          <b:Person>
            <b:Last>Minty</b:Last>
            <b:First>Brian</b:First>
          </b:Person>
          <b:Person>
            <b:Last>Anderson</b:Last>
            <b:First>Cameron</b:First>
          </b:Person>
        </b:NameList>
      </b:Author>
    </b:Author>
    <b:Title>Non-Attendance at Initial Out-Patient Appointments at a Hospital-Based Child Psychiatric Clinic</b:Title>
    <b:JournalName>Clinical Child Psychology and Psychiatry</b:JournalName>
    <b:Year>2004</b:Year>
    <b:Pages>403-18</b:Pages>
    <b:Volume>9</b:Volume>
    <b:RefOrder>18</b:RefOrder>
  </b:Source>
  <b:Source>
    <b:Tag>For00</b:Tag>
    <b:SourceType>JournalArticle</b:SourceType>
    <b:Guid>{A2DE6419-DCDB-4B06-9F0F-37562373A4C3}</b:Guid>
    <b:Author>
      <b:Author>
        <b:NameList>
          <b:Person>
            <b:Last>Foreman</b:Last>
            <b:First>D.M</b:First>
          </b:Person>
          <b:Person>
            <b:Last>Hanna</b:Last>
            <b:First>M</b:First>
          </b:Person>
        </b:NameList>
      </b:Author>
    </b:Author>
    <b:Title>How long can a waiting list be?: The impact of waiting times on intention to attend child and adolescent psychitric clincis</b:Title>
    <b:JournalName>Psychiatric Bulletin</b:JournalName>
    <b:Year>2000</b:Year>
    <b:Pages>211-13</b:Pages>
    <b:Volume>24</b:Volume>
    <b:RefOrder>22</b:RefOrder>
  </b:Source>
  <b:Source>
    <b:Tag>McK04</b:Tag>
    <b:SourceType>JournalArticle</b:SourceType>
    <b:Guid>{E48E13CD-79B7-438A-88D3-6FDAE72FD5D7}</b:Guid>
    <b:Author>
      <b:Author>
        <b:NameList>
          <b:Person>
            <b:Last>McKay</b:Last>
            <b:First>M</b:First>
          </b:Person>
          <b:Person>
            <b:Last>Bannon</b:Last>
            <b:First>W</b:First>
          </b:Person>
        </b:NameList>
      </b:Author>
    </b:Author>
    <b:Title>Engaging families in child mental health services</b:Title>
    <b:JournalName>Child and Adolescent Psychiatric Clinics of North America</b:JournalName>
    <b:Year>2004</b:Year>
    <b:Pages>905-21</b:Pages>
    <b:Volume>13</b:Volume>
    <b:RefOrder>26</b:RefOrder>
  </b:Source>
  <b:Source>
    <b:Tag>SSa02</b:Tag>
    <b:SourceType>JournalArticle</b:SourceType>
    <b:Guid>{BB6FA032-8FFD-4A6B-A862-E0D1513D539E}</b:Guid>
    <b:Author>
      <b:Author>
        <b:NameList>
          <b:Person>
            <b:Last>Saxena</b:Last>
            <b:First>S</b:First>
          </b:Person>
          <b:Person>
            <b:Last>Eliahoo</b:Last>
            <b:First>J</b:First>
          </b:Person>
          <b:Person>
            <b:Last>Majeed</b:Last>
            <b:First>A</b:First>
          </b:Person>
        </b:NameList>
      </b:Author>
    </b:Author>
    <b:Title>Socioeconomic and ethnic group differences in self reported health status and use of health services by cihldren and young people in England: cross sectional study</b:Title>
    <b:JournalName>BMJ</b:JournalName>
    <b:Year>2002</b:Year>
    <b:Volume>325</b:Volume>
    <b:RefOrder>30</b:RefOrder>
  </b:Source>
  <b:Source>
    <b:Tag>You05</b:Tag>
    <b:SourceType>Report</b:SourceType>
    <b:Guid>{EE13D70C-D4DF-4DB2-9DD5-5D0F6714A53E}</b:Guid>
    <b:Author>
      <b:Author>
        <b:Corporate>Young Minds</b:Corporate>
      </b:Author>
    </b:Author>
    <b:Title>Minority Voices: Research into the access and acceptability of services for the mental health of young people from Black and minority ethic grou[s</b:Title>
    <b:City>London</b:City>
    <b:Year>2005</b:Year>
    <b:RefOrder>31</b:RefOrder>
  </b:Source>
  <b:Source>
    <b:Tag>Law89</b:Tag>
    <b:SourceType>JournalArticle</b:SourceType>
    <b:Guid>{8455939B-0BB1-4432-8BD1-AEA1ED4D0562}</b:Guid>
    <b:Author>
      <b:Author>
        <b:NameList>
          <b:Person>
            <b:Last>Law</b:Last>
            <b:First>R</b:First>
          </b:Person>
          <b:Person>
            <b:Last>White</b:Last>
            <b:First>P</b:First>
          </b:Person>
          <b:Person>
            <b:Last>Gillam</b:Last>
            <b:First>S</b:First>
            <b:Middle>J</b:Middle>
          </b:Person>
          <b:Person>
            <b:Last>Jarman</b:Last>
            <b:First>B</b:First>
          </b:Person>
        </b:NameList>
      </b:Author>
    </b:Author>
    <b:Title>Ethnic differences in consultation rates in urban general practice</b:Title>
    <b:Year>1989</b:Year>
    <b:JournalName>BMJ</b:JournalName>
    <b:Pages>953-7</b:Pages>
    <b:RefOrder>32</b:RefOrder>
  </b:Source>
  <b:Source>
    <b:Tag>Cos11</b:Tag>
    <b:SourceType>JournalArticle</b:SourceType>
    <b:Guid>{CE79ACDE-BAE1-4B8F-B561-E65920D968E8}</b:Guid>
    <b:Author>
      <b:Author>
        <b:NameList>
          <b:Person>
            <b:Last>Costello</b:Last>
            <b:First>A</b:First>
          </b:Person>
          <b:Person>
            <b:Last>Copeland</b:Last>
            <b:First>William</b:First>
          </b:Person>
          <b:Person>
            <b:Last>Angold</b:Last>
            <b:First>Adrian</b:First>
          </b:Person>
        </b:NameList>
      </b:Author>
    </b:Author>
    <b:Title>Trends in psychopathology across the adolescent years: What changes when children become adolescents, and when adolescents become adults?</b:Title>
    <b:Year>2011</b:Year>
    <b:Publisher>Journal of child psychology and psychiatry</b:Publisher>
    <b:Volume>52</b:Volume>
    <b:RefOrder>35</b:RefOrder>
  </b:Source>
  <b:Source>
    <b:Tag>Haw07</b:Tag>
    <b:SourceType>JournalArticle</b:SourceType>
    <b:Guid>{F27F2B3C-FA09-4128-BB24-9C9EE91351E2}</b:Guid>
    <b:Author>
      <b:Author>
        <b:NameList>
          <b:Person>
            <b:Last>Hawker</b:Last>
            <b:First>D</b:First>
          </b:Person>
        </b:NameList>
      </b:Author>
    </b:Author>
    <b:Title>Increasing initial attendance at mental health out-patient clinics: opt-in systems and other interventions</b:Title>
    <b:JournalName>Psychiatric Bulletin</b:JournalName>
    <b:Year>2007</b:Year>
    <b:Pages>31</b:Pages>
    <b:Volume>179-82</b:Volume>
    <b:RefOrder>42</b:RefOrder>
  </b:Source>
  <b:Source>
    <b:Tag>Bag93</b:Tag>
    <b:SourceType>JournalArticle</b:SourceType>
    <b:Guid>{D55FD7CA-15D7-4924-8183-6859B6EBC2AA}</b:Guid>
    <b:Author>
      <b:Author>
        <b:NameList>
          <b:Person>
            <b:Last>Baggaley</b:Last>
            <b:First>M</b:First>
          </b:Person>
        </b:NameList>
      </b:Author>
    </b:Author>
    <b:Title>Improving the attendance for new psychiatric out-patient referrals</b:Title>
    <b:JournalName>Psyciatric Bulletin</b:JournalName>
    <b:Year>1993</b:Year>
    <b:Pages>347-8</b:Pages>
    <b:Volume>17</b:Volume>
    <b:RefOrder>43</b:RefOrder>
  </b:Source>
</b:Sources>
</file>

<file path=customXml/itemProps1.xml><?xml version="1.0" encoding="utf-8"?>
<ds:datastoreItem xmlns:ds="http://schemas.openxmlformats.org/officeDocument/2006/customXml" ds:itemID="{822F2903-8D04-4149-BE27-7458460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Aishah</dc:creator>
  <cp:lastModifiedBy>Smith, Jared</cp:lastModifiedBy>
  <cp:revision>7</cp:revision>
  <cp:lastPrinted>2015-08-03T10:55:00Z</cp:lastPrinted>
  <dcterms:created xsi:type="dcterms:W3CDTF">2016-12-19T11:33:00Z</dcterms:created>
  <dcterms:modified xsi:type="dcterms:W3CDTF">2016-12-31T10:02:00Z</dcterms:modified>
</cp:coreProperties>
</file>