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D950" w14:textId="77777777" w:rsidR="002F79D8" w:rsidRPr="00D90C54" w:rsidRDefault="002F79D8" w:rsidP="002F79D8">
      <w:pPr>
        <w:rPr>
          <w:rFonts w:ascii="Cambria" w:hAnsi="Cambria"/>
          <w:b/>
          <w:bCs/>
        </w:rPr>
      </w:pPr>
      <w:r w:rsidRPr="00D90C54">
        <w:rPr>
          <w:rFonts w:ascii="Cambria" w:hAnsi="Cambria"/>
          <w:b/>
          <w:bCs/>
        </w:rPr>
        <w:t>The Missing Antibody: The Pitfalls of ANCA Testing</w:t>
      </w:r>
    </w:p>
    <w:p w14:paraId="2A1A8923" w14:textId="77777777" w:rsidR="002F79D8" w:rsidRPr="00D90C54" w:rsidRDefault="002F79D8" w:rsidP="002F79D8">
      <w:pPr>
        <w:spacing w:after="160" w:line="259" w:lineRule="auto"/>
        <w:rPr>
          <w:rFonts w:ascii="Cambria" w:hAnsi="Cambria"/>
        </w:rPr>
      </w:pPr>
      <w:r w:rsidRPr="00D90C54">
        <w:rPr>
          <w:rFonts w:ascii="Cambria" w:hAnsi="Cambria"/>
        </w:rPr>
        <w:t xml:space="preserve">Authors: James Wingfield Digby, MD, MRCP, </w:t>
      </w:r>
      <w:proofErr w:type="spellStart"/>
      <w:r w:rsidRPr="00D90C54">
        <w:rPr>
          <w:rFonts w:ascii="Cambria" w:hAnsi="Cambria"/>
        </w:rPr>
        <w:t>DTMH</w:t>
      </w:r>
      <w:r w:rsidRPr="00D90C54">
        <w:rPr>
          <w:rFonts w:ascii="Cambria" w:hAnsi="Cambria"/>
          <w:vertAlign w:val="superscript"/>
        </w:rPr>
        <w:t>a</w:t>
      </w:r>
      <w:proofErr w:type="spellEnd"/>
      <w:r w:rsidRPr="00D90C54">
        <w:rPr>
          <w:rFonts w:ascii="Cambria" w:hAnsi="Cambria"/>
        </w:rPr>
        <w:t xml:space="preserve">, Brendan </w:t>
      </w:r>
      <w:proofErr w:type="spellStart"/>
      <w:r w:rsidRPr="00D90C54">
        <w:rPr>
          <w:rFonts w:ascii="Cambria" w:hAnsi="Cambria"/>
        </w:rPr>
        <w:t>Tinwell</w:t>
      </w:r>
      <w:proofErr w:type="spellEnd"/>
      <w:r w:rsidRPr="00D90C54">
        <w:rPr>
          <w:rFonts w:ascii="Cambria" w:hAnsi="Cambria"/>
        </w:rPr>
        <w:t xml:space="preserve">, MD, </w:t>
      </w:r>
      <w:proofErr w:type="spellStart"/>
      <w:r w:rsidRPr="00D90C54">
        <w:rPr>
          <w:rFonts w:ascii="Cambria" w:hAnsi="Cambria"/>
        </w:rPr>
        <w:t>FRCPath</w:t>
      </w:r>
      <w:r w:rsidRPr="00D90C54">
        <w:rPr>
          <w:rFonts w:ascii="Cambria" w:hAnsi="Cambria"/>
          <w:vertAlign w:val="superscript"/>
        </w:rPr>
        <w:t>b</w:t>
      </w:r>
      <w:proofErr w:type="spellEnd"/>
      <w:r w:rsidRPr="00D90C54">
        <w:rPr>
          <w:rFonts w:ascii="Cambria" w:hAnsi="Cambria"/>
        </w:rPr>
        <w:t xml:space="preserve">, Joanna Sheldon, PhD, </w:t>
      </w:r>
      <w:proofErr w:type="spellStart"/>
      <w:r w:rsidRPr="00D90C54">
        <w:rPr>
          <w:rFonts w:ascii="Cambria" w:hAnsi="Cambria"/>
        </w:rPr>
        <w:t>FRCPath</w:t>
      </w:r>
      <w:r w:rsidRPr="00D90C54">
        <w:rPr>
          <w:rFonts w:ascii="Cambria" w:hAnsi="Cambria"/>
          <w:vertAlign w:val="superscript"/>
        </w:rPr>
        <w:t>c</w:t>
      </w:r>
      <w:proofErr w:type="spellEnd"/>
      <w:r w:rsidRPr="00D90C54">
        <w:rPr>
          <w:rFonts w:ascii="Cambria" w:hAnsi="Cambria"/>
        </w:rPr>
        <w:t xml:space="preserve">, Joe Wang, MD, MRCP, </w:t>
      </w:r>
      <w:proofErr w:type="spellStart"/>
      <w:r w:rsidRPr="00D90C54">
        <w:rPr>
          <w:rFonts w:ascii="Cambria" w:hAnsi="Cambria"/>
        </w:rPr>
        <w:t>PhD</w:t>
      </w:r>
      <w:r w:rsidRPr="00D90C54">
        <w:rPr>
          <w:rFonts w:ascii="Cambria" w:hAnsi="Cambria"/>
          <w:vertAlign w:val="superscript"/>
        </w:rPr>
        <w:t>a</w:t>
      </w:r>
      <w:proofErr w:type="spellEnd"/>
    </w:p>
    <w:p w14:paraId="570BCA99" w14:textId="77777777" w:rsidR="002F79D8" w:rsidRPr="00D90C54" w:rsidRDefault="002F79D8" w:rsidP="002F79D8">
      <w:pPr>
        <w:spacing w:after="160" w:line="259" w:lineRule="auto"/>
        <w:rPr>
          <w:rFonts w:ascii="Cambria" w:hAnsi="Cambria"/>
        </w:rPr>
      </w:pPr>
      <w:proofErr w:type="gramStart"/>
      <w:r w:rsidRPr="00D90C54">
        <w:rPr>
          <w:rFonts w:ascii="Cambria" w:hAnsi="Cambria"/>
          <w:vertAlign w:val="superscript"/>
        </w:rPr>
        <w:t>a</w:t>
      </w:r>
      <w:proofErr w:type="gramEnd"/>
      <w:r w:rsidRPr="00D90C54">
        <w:rPr>
          <w:rFonts w:ascii="Cambria" w:hAnsi="Cambria"/>
        </w:rPr>
        <w:t xml:space="preserve"> Department of Acute Medicine, St George's Hospital NHS Foundation Trust, London, UK</w:t>
      </w:r>
    </w:p>
    <w:p w14:paraId="7A6822F9" w14:textId="77777777" w:rsidR="002F79D8" w:rsidRPr="00D90C54" w:rsidRDefault="002F79D8" w:rsidP="002F79D8">
      <w:pPr>
        <w:spacing w:after="160" w:line="259" w:lineRule="auto"/>
        <w:rPr>
          <w:rFonts w:ascii="Cambria" w:hAnsi="Cambria"/>
        </w:rPr>
      </w:pPr>
      <w:proofErr w:type="gramStart"/>
      <w:r w:rsidRPr="00D90C54">
        <w:rPr>
          <w:rFonts w:ascii="Cambria" w:hAnsi="Cambria"/>
          <w:vertAlign w:val="superscript"/>
        </w:rPr>
        <w:t>b</w:t>
      </w:r>
      <w:proofErr w:type="gramEnd"/>
      <w:r w:rsidRPr="00D90C54">
        <w:rPr>
          <w:rFonts w:ascii="Cambria" w:hAnsi="Cambria"/>
        </w:rPr>
        <w:t xml:space="preserve"> Department of Pathology, St George's Hospital NHS Foundation Trust, London, UK</w:t>
      </w:r>
    </w:p>
    <w:p w14:paraId="0812B108" w14:textId="77777777" w:rsidR="002F79D8" w:rsidRPr="00D90C54" w:rsidRDefault="002F79D8" w:rsidP="002F79D8">
      <w:pPr>
        <w:rPr>
          <w:rFonts w:ascii="Cambria" w:hAnsi="Cambria"/>
        </w:rPr>
      </w:pPr>
      <w:proofErr w:type="gramStart"/>
      <w:r w:rsidRPr="00D90C54">
        <w:rPr>
          <w:rFonts w:ascii="Cambria" w:hAnsi="Cambria"/>
          <w:vertAlign w:val="superscript"/>
        </w:rPr>
        <w:t>c</w:t>
      </w:r>
      <w:proofErr w:type="gramEnd"/>
      <w:r w:rsidRPr="00D90C54">
        <w:rPr>
          <w:rFonts w:ascii="Cambria" w:hAnsi="Cambria"/>
        </w:rPr>
        <w:t xml:space="preserve"> Department of Clinical Immunology, St George's Hospital NHS Foundation Trust, London, UK</w:t>
      </w:r>
    </w:p>
    <w:p w14:paraId="501E3C13" w14:textId="77777777" w:rsidR="002F79D8" w:rsidRPr="00D90C54" w:rsidRDefault="002F79D8" w:rsidP="002F79D8">
      <w:pPr>
        <w:rPr>
          <w:rFonts w:ascii="Cambria" w:hAnsi="Cambria"/>
        </w:rPr>
      </w:pPr>
    </w:p>
    <w:p w14:paraId="32F37946" w14:textId="77777777" w:rsidR="002F79D8" w:rsidRPr="00D90C54" w:rsidRDefault="002F79D8" w:rsidP="002F79D8">
      <w:pPr>
        <w:spacing w:after="160" w:line="259" w:lineRule="auto"/>
        <w:rPr>
          <w:rFonts w:ascii="Cambria" w:hAnsi="Cambria"/>
        </w:rPr>
      </w:pPr>
      <w:r w:rsidRPr="00D90C54">
        <w:rPr>
          <w:rFonts w:ascii="Cambria" w:hAnsi="Cambria"/>
        </w:rPr>
        <w:t xml:space="preserve">Corresponding author: Joe Wang, MD, MRCP, PhD, Department of Acute Medicine, St George’s Hospital NHS Foundation Trust, </w:t>
      </w:r>
      <w:proofErr w:type="spellStart"/>
      <w:r w:rsidRPr="00D90C54">
        <w:rPr>
          <w:rFonts w:ascii="Cambria" w:hAnsi="Cambria"/>
        </w:rPr>
        <w:t>Blackshaw</w:t>
      </w:r>
      <w:proofErr w:type="spellEnd"/>
      <w:r w:rsidRPr="00D90C54">
        <w:rPr>
          <w:rFonts w:ascii="Cambria" w:hAnsi="Cambria"/>
        </w:rPr>
        <w:t xml:space="preserve"> Road, London SW17 0QT, UK.</w:t>
      </w:r>
    </w:p>
    <w:p w14:paraId="41803A23" w14:textId="77777777" w:rsidR="002F79D8" w:rsidRPr="00D90C54" w:rsidRDefault="002F79D8" w:rsidP="002F79D8">
      <w:pPr>
        <w:spacing w:after="160" w:line="259" w:lineRule="auto"/>
        <w:rPr>
          <w:rFonts w:ascii="Cambria" w:hAnsi="Cambria"/>
        </w:rPr>
      </w:pPr>
      <w:r w:rsidRPr="00D90C54">
        <w:rPr>
          <w:rFonts w:ascii="Cambria" w:hAnsi="Cambria"/>
        </w:rPr>
        <w:t>E-mail address: joe.wang@stgeorges.nhs.uk</w:t>
      </w:r>
    </w:p>
    <w:p w14:paraId="6F432408" w14:textId="77777777" w:rsidR="002F79D8" w:rsidRPr="00D90C54" w:rsidRDefault="002F79D8" w:rsidP="002F79D8">
      <w:pPr>
        <w:spacing w:after="160" w:line="259" w:lineRule="auto"/>
      </w:pPr>
    </w:p>
    <w:p w14:paraId="7DCA4681" w14:textId="77777777" w:rsidR="002F79D8" w:rsidRDefault="002F79D8" w:rsidP="002F79D8"/>
    <w:p w14:paraId="17D99EAE" w14:textId="77777777" w:rsidR="002F79D8" w:rsidRDefault="002F79D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F81DFEB" w14:textId="53FFCFF4" w:rsidR="00DE4346" w:rsidRDefault="005A2D81" w:rsidP="00DE4346">
      <w:pPr>
        <w:rPr>
          <w:b/>
        </w:rPr>
      </w:pPr>
      <w:bookmarkStart w:id="0" w:name="_GoBack"/>
      <w:bookmarkEnd w:id="0"/>
      <w:r>
        <w:rPr>
          <w:b/>
        </w:rPr>
        <w:lastRenderedPageBreak/>
        <w:t>P</w:t>
      </w:r>
      <w:r w:rsidR="003C4882">
        <w:rPr>
          <w:b/>
        </w:rPr>
        <w:t>resentation</w:t>
      </w:r>
    </w:p>
    <w:p w14:paraId="647826CA" w14:textId="56533818" w:rsidR="00DE4346" w:rsidRPr="0073442C" w:rsidRDefault="00DE4346" w:rsidP="00DE4346">
      <w:r w:rsidRPr="0073442C">
        <w:t>A 44-year-old Caucasian lady presented to hospital with acute shortness of breath</w:t>
      </w:r>
      <w:r w:rsidR="003E6A1B" w:rsidRPr="0073442C">
        <w:t xml:space="preserve"> </w:t>
      </w:r>
      <w:r w:rsidRPr="0073442C">
        <w:t>whilst on a flight home from a holiday in Turkey</w:t>
      </w:r>
      <w:r w:rsidR="003E6A1B" w:rsidRPr="0073442C">
        <w:t xml:space="preserve">. </w:t>
      </w:r>
      <w:r w:rsidRPr="0073442C">
        <w:t>She denied having a productive cough, haemoptysis</w:t>
      </w:r>
      <w:r w:rsidR="003E6A1B" w:rsidRPr="0073442C">
        <w:t xml:space="preserve">, </w:t>
      </w:r>
      <w:proofErr w:type="gramStart"/>
      <w:r w:rsidR="003E6A1B" w:rsidRPr="0073442C">
        <w:t>chest</w:t>
      </w:r>
      <w:proofErr w:type="gramEnd"/>
      <w:r w:rsidR="003E6A1B" w:rsidRPr="0073442C">
        <w:t xml:space="preserve"> </w:t>
      </w:r>
      <w:r w:rsidRPr="0073442C">
        <w:t xml:space="preserve">or calf pain.  She was asthmatic and her symptoms were improved by repeated </w:t>
      </w:r>
      <w:r w:rsidR="003E6A1B" w:rsidRPr="0073442C">
        <w:t xml:space="preserve">administration </w:t>
      </w:r>
      <w:r w:rsidRPr="0073442C">
        <w:t xml:space="preserve">of her salbutamol inhaler during the flight. </w:t>
      </w:r>
    </w:p>
    <w:p w14:paraId="70750D4A" w14:textId="519BCA42" w:rsidR="00DE4346" w:rsidRPr="0073442C" w:rsidRDefault="00DE4346" w:rsidP="00DE4346">
      <w:proofErr w:type="gramStart"/>
      <w:r w:rsidRPr="0073442C">
        <w:t>she</w:t>
      </w:r>
      <w:proofErr w:type="gramEnd"/>
      <w:r w:rsidRPr="0073442C">
        <w:t xml:space="preserve"> had a past medical history of nasal polyps that had required surgical intervention two years previously. </w:t>
      </w:r>
    </w:p>
    <w:p w14:paraId="558BBE07" w14:textId="50A9EFA9" w:rsidR="00DE4346" w:rsidRPr="0073442C" w:rsidRDefault="00DE4346" w:rsidP="00DE4346">
      <w:r w:rsidRPr="0073442C">
        <w:t xml:space="preserve">One month previously she had </w:t>
      </w:r>
      <w:r w:rsidR="00A42FD0" w:rsidRPr="0073442C">
        <w:t xml:space="preserve">been </w:t>
      </w:r>
      <w:r w:rsidRPr="0073442C">
        <w:t>treated with a course of Amoxicillin</w:t>
      </w:r>
      <w:r w:rsidR="005A2D81" w:rsidRPr="0073442C">
        <w:t xml:space="preserve"> for </w:t>
      </w:r>
      <w:r w:rsidR="00A42FD0" w:rsidRPr="0073442C">
        <w:t xml:space="preserve">‘chronic’ otitis media </w:t>
      </w:r>
      <w:r w:rsidRPr="0073442C">
        <w:t xml:space="preserve">and was awaiting an ENT appointment. </w:t>
      </w:r>
      <w:r w:rsidR="003E6A1B" w:rsidRPr="0073442C">
        <w:t xml:space="preserve">She </w:t>
      </w:r>
      <w:r w:rsidR="00E436B5" w:rsidRPr="0073442C">
        <w:t xml:space="preserve">had </w:t>
      </w:r>
      <w:r w:rsidR="003E6A1B" w:rsidRPr="0073442C">
        <w:t>also</w:t>
      </w:r>
      <w:r w:rsidRPr="0073442C">
        <w:t xml:space="preserve"> developed swollen tender metacarpal-phalangeal and ankle joints</w:t>
      </w:r>
      <w:r w:rsidR="003E6A1B" w:rsidRPr="0073442C">
        <w:t xml:space="preserve"> and</w:t>
      </w:r>
      <w:r w:rsidRPr="0073442C">
        <w:t xml:space="preserve"> was found to have a positive rheumatoid factor</w:t>
      </w:r>
      <w:r w:rsidR="003E6A1B" w:rsidRPr="0073442C">
        <w:t xml:space="preserve">. </w:t>
      </w:r>
      <w:r w:rsidRPr="0073442C">
        <w:t>Her symptoms subsequently improved on</w:t>
      </w:r>
      <w:r w:rsidR="005A2D81" w:rsidRPr="0073442C">
        <w:t xml:space="preserve"> a short course </w:t>
      </w:r>
      <w:proofErr w:type="gramStart"/>
      <w:r w:rsidR="005A2D81" w:rsidRPr="0073442C">
        <w:t xml:space="preserve">of </w:t>
      </w:r>
      <w:r w:rsidRPr="0073442C">
        <w:t xml:space="preserve"> </w:t>
      </w:r>
      <w:r w:rsidR="005A2D81" w:rsidRPr="0073442C">
        <w:t>prednisolone</w:t>
      </w:r>
      <w:proofErr w:type="gramEnd"/>
      <w:r w:rsidR="005A2D81" w:rsidRPr="0073442C">
        <w:t xml:space="preserve"> </w:t>
      </w:r>
      <w:r w:rsidRPr="0073442C">
        <w:t xml:space="preserve">and she felt well enough to go on holiday. </w:t>
      </w:r>
    </w:p>
    <w:p w14:paraId="6D05ECFB" w14:textId="3E95EE90" w:rsidR="00DE4346" w:rsidRPr="0073442C" w:rsidRDefault="00DE4346" w:rsidP="00DE4346">
      <w:r w:rsidRPr="0073442C">
        <w:t xml:space="preserve">She worked as a secretary for a law firm, never smoked and </w:t>
      </w:r>
      <w:r w:rsidR="003C4882" w:rsidRPr="0073442C">
        <w:t>had a</w:t>
      </w:r>
      <w:r w:rsidR="00E436B5" w:rsidRPr="0073442C">
        <w:t xml:space="preserve"> long-term partner</w:t>
      </w:r>
      <w:r w:rsidRPr="0073442C">
        <w:t xml:space="preserve">.  She drank a bottle of wine a week.  She had no children and had never been pregnant. </w:t>
      </w:r>
    </w:p>
    <w:p w14:paraId="5E4ADE43" w14:textId="793D8920" w:rsidR="003C4882" w:rsidRPr="0073442C" w:rsidRDefault="003C4882" w:rsidP="00DE4346">
      <w:pPr>
        <w:rPr>
          <w:b/>
        </w:rPr>
      </w:pPr>
      <w:r w:rsidRPr="0073442C">
        <w:rPr>
          <w:b/>
        </w:rPr>
        <w:t>Assessment</w:t>
      </w:r>
    </w:p>
    <w:p w14:paraId="17613C3E" w14:textId="629FC67D" w:rsidR="00DE4346" w:rsidRPr="0073442C" w:rsidRDefault="00DE4346" w:rsidP="00DE4346">
      <w:r w:rsidRPr="0073442C">
        <w:t>On presentation she had a temperature of 37.4C and a respiratory rate of 20 breaths per minute. Her heart rate was 80 beats per minute and blood pressure 125/67 mmHg</w:t>
      </w:r>
      <w:r w:rsidR="00294924" w:rsidRPr="0073442C">
        <w:t>.</w:t>
      </w:r>
      <w:r w:rsidRPr="0073442C">
        <w:t xml:space="preserve">   She required oxygen supplied at 10L/minute to maintain her saturations &gt;95 %.  </w:t>
      </w:r>
      <w:r w:rsidR="00122E1E" w:rsidRPr="0073442C">
        <w:t xml:space="preserve">Auscultation of her chest revealed bilateral crackles and </w:t>
      </w:r>
      <w:r w:rsidRPr="0073442C">
        <w:t>urine dipstick test revealed 3+blood</w:t>
      </w:r>
      <w:r w:rsidR="005A2D81" w:rsidRPr="0073442C">
        <w:t xml:space="preserve">, </w:t>
      </w:r>
      <w:r w:rsidRPr="0073442C">
        <w:t xml:space="preserve">2+ protein and was negative for </w:t>
      </w:r>
      <w:r w:rsidR="00627B24" w:rsidRPr="0073442C">
        <w:t xml:space="preserve">a </w:t>
      </w:r>
      <w:r w:rsidRPr="0073442C">
        <w:t>pregnancy</w:t>
      </w:r>
      <w:r w:rsidR="00CB09D5" w:rsidRPr="0073442C">
        <w:t xml:space="preserve"> test</w:t>
      </w:r>
      <w:r w:rsidRPr="0073442C">
        <w:t xml:space="preserve">. </w:t>
      </w:r>
      <w:r w:rsidR="00122E1E" w:rsidRPr="0073442C">
        <w:t xml:space="preserve">The remainder of </w:t>
      </w:r>
      <w:r w:rsidR="003A0CD3" w:rsidRPr="0073442C">
        <w:t xml:space="preserve">her </w:t>
      </w:r>
      <w:r w:rsidR="00122E1E" w:rsidRPr="0073442C">
        <w:t>physical examination was unremarkable.</w:t>
      </w:r>
    </w:p>
    <w:p w14:paraId="6E486DCA" w14:textId="281250F6" w:rsidR="00DE4346" w:rsidRPr="0073442C" w:rsidRDefault="00DE4346" w:rsidP="00DE4346">
      <w:r w:rsidRPr="0073442C">
        <w:t xml:space="preserve">Initial </w:t>
      </w:r>
      <w:r w:rsidR="00F32EF6" w:rsidRPr="0073442C">
        <w:t>investigations</w:t>
      </w:r>
      <w:r w:rsidR="00A93262" w:rsidRPr="0073442C">
        <w:t xml:space="preserve"> </w:t>
      </w:r>
      <w:r w:rsidR="00F32EF6" w:rsidRPr="0073442C">
        <w:t xml:space="preserve">results </w:t>
      </w:r>
      <w:r w:rsidRPr="0073442C">
        <w:t>are shown in Table 1</w:t>
      </w:r>
      <w:r w:rsidR="00ED2586" w:rsidRPr="0073442C">
        <w:t>.</w:t>
      </w:r>
      <w:r w:rsidR="00F32EF6" w:rsidRPr="0073442C">
        <w:t xml:space="preserve"> A CT thorax (Figure 1) demonstrated extensive bilateral patchy air space infiltrates and ground-glass changes</w:t>
      </w:r>
      <w:r w:rsidR="00306D1B" w:rsidRPr="0073442C">
        <w:t xml:space="preserve"> but no evidence of embolic disease.</w:t>
      </w:r>
    </w:p>
    <w:p w14:paraId="46CC451F" w14:textId="77777777" w:rsidR="00DE4346" w:rsidRPr="0073442C" w:rsidRDefault="00DE4346" w:rsidP="00DE4346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4E584761" w14:textId="1346C51A" w:rsidR="00DE4346" w:rsidRPr="0073442C" w:rsidRDefault="00306D1B" w:rsidP="00DE4346">
      <w:r w:rsidRPr="0073442C">
        <w:t>G</w:t>
      </w:r>
      <w:r w:rsidR="00CF1341" w:rsidRPr="0073442C">
        <w:t>iven the</w:t>
      </w:r>
      <w:r w:rsidRPr="0073442C">
        <w:t xml:space="preserve"> history,</w:t>
      </w:r>
      <w:r w:rsidR="00CF1341" w:rsidRPr="0073442C">
        <w:t xml:space="preserve"> elevated CRP</w:t>
      </w:r>
      <w:r w:rsidRPr="0073442C">
        <w:t xml:space="preserve">, anaemia </w:t>
      </w:r>
      <w:r w:rsidR="00CF1341" w:rsidRPr="0073442C">
        <w:t xml:space="preserve">and </w:t>
      </w:r>
      <w:r w:rsidR="00DE4346" w:rsidRPr="0073442C">
        <w:t>diffuse alveolar infiltration</w:t>
      </w:r>
      <w:proofErr w:type="gramStart"/>
      <w:r w:rsidRPr="0073442C">
        <w:t>,  a</w:t>
      </w:r>
      <w:proofErr w:type="gramEnd"/>
      <w:r w:rsidR="00AA375F" w:rsidRPr="0073442C">
        <w:t xml:space="preserve"> diagnosis of </w:t>
      </w:r>
      <w:r w:rsidR="00DE4346" w:rsidRPr="0073442C">
        <w:t xml:space="preserve"> pulmonary </w:t>
      </w:r>
      <w:r w:rsidR="00BD2302" w:rsidRPr="0073442C">
        <w:t>haemorrhage</w:t>
      </w:r>
      <w:r w:rsidRPr="0073442C">
        <w:t xml:space="preserve"> secondary to </w:t>
      </w:r>
      <w:r w:rsidR="00DE4346" w:rsidRPr="0073442C">
        <w:t xml:space="preserve">autoimmune </w:t>
      </w:r>
      <w:r w:rsidR="00AA375F" w:rsidRPr="0073442C">
        <w:t>/</w:t>
      </w:r>
      <w:proofErr w:type="spellStart"/>
      <w:r w:rsidR="00DE4346" w:rsidRPr="0073442C">
        <w:t>vasculitic</w:t>
      </w:r>
      <w:proofErr w:type="spellEnd"/>
      <w:r w:rsidR="00DE4346" w:rsidRPr="0073442C">
        <w:t xml:space="preserve"> disease</w:t>
      </w:r>
      <w:r w:rsidR="004541F5" w:rsidRPr="0073442C">
        <w:t>, and a</w:t>
      </w:r>
      <w:r w:rsidR="00DE4346" w:rsidRPr="0073442C">
        <w:t xml:space="preserve"> superimposed chest infection</w:t>
      </w:r>
      <w:r w:rsidR="00AA375F" w:rsidRPr="0073442C">
        <w:t xml:space="preserve"> was made</w:t>
      </w:r>
      <w:r w:rsidRPr="0073442C">
        <w:t>.</w:t>
      </w:r>
    </w:p>
    <w:p w14:paraId="2BB72D1B" w14:textId="434D79F8" w:rsidR="00DE4346" w:rsidRPr="0073442C" w:rsidRDefault="00DE4346" w:rsidP="00DE4346">
      <w:r w:rsidRPr="0073442C">
        <w:t xml:space="preserve">She was </w:t>
      </w:r>
      <w:r w:rsidR="00AA375F" w:rsidRPr="0073442C">
        <w:t xml:space="preserve">transfused </w:t>
      </w:r>
      <w:r w:rsidRPr="0073442C">
        <w:t xml:space="preserve">with 2 units of blood and </w:t>
      </w:r>
      <w:r w:rsidR="00AA375F" w:rsidRPr="0073442C">
        <w:t xml:space="preserve">treated </w:t>
      </w:r>
      <w:proofErr w:type="gramStart"/>
      <w:r w:rsidR="00AA375F" w:rsidRPr="0073442C">
        <w:t>with</w:t>
      </w:r>
      <w:r w:rsidR="00306D1B" w:rsidRPr="0073442C">
        <w:t xml:space="preserve"> </w:t>
      </w:r>
      <w:r w:rsidR="00AA375F" w:rsidRPr="0073442C">
        <w:t xml:space="preserve"> </w:t>
      </w:r>
      <w:r w:rsidR="00306D1B" w:rsidRPr="0073442C">
        <w:t>intravenous</w:t>
      </w:r>
      <w:proofErr w:type="gramEnd"/>
      <w:r w:rsidR="00306D1B" w:rsidRPr="0073442C">
        <w:t xml:space="preserve"> Co-Amoxiclav &amp; oral doxycycline. 500mg </w:t>
      </w:r>
      <w:r w:rsidRPr="0073442C">
        <w:t xml:space="preserve">intravenous methylprednisolone </w:t>
      </w:r>
      <w:r w:rsidR="00306D1B" w:rsidRPr="0073442C">
        <w:t xml:space="preserve">was given </w:t>
      </w:r>
      <w:r w:rsidRPr="0073442C">
        <w:t xml:space="preserve">over 3 days then converted to oral prednisolone at 60mg per day. </w:t>
      </w:r>
    </w:p>
    <w:p w14:paraId="11051E00" w14:textId="52733DD1" w:rsidR="00DE4346" w:rsidRPr="0073442C" w:rsidRDefault="00DE5D78" w:rsidP="00DE4346">
      <w:r w:rsidRPr="0073442C">
        <w:t>R</w:t>
      </w:r>
      <w:r w:rsidR="004541F5" w:rsidRPr="0073442C">
        <w:t xml:space="preserve">esults </w:t>
      </w:r>
      <w:r w:rsidR="00306D1B" w:rsidRPr="0073442C">
        <w:t xml:space="preserve">of viral serology and immunological testing </w:t>
      </w:r>
      <w:r w:rsidR="004541F5" w:rsidRPr="0073442C">
        <w:t xml:space="preserve">were available </w:t>
      </w:r>
      <w:r w:rsidRPr="0073442C">
        <w:t xml:space="preserve">on </w:t>
      </w:r>
      <w:r w:rsidR="00DE4346" w:rsidRPr="0073442C">
        <w:t xml:space="preserve">Day 3 of admission (Table </w:t>
      </w:r>
      <w:r w:rsidR="00306D1B" w:rsidRPr="0073442C">
        <w:t>2</w:t>
      </w:r>
      <w:r w:rsidR="00E54DC3" w:rsidRPr="0073442C">
        <w:t>)</w:t>
      </w:r>
      <w:r w:rsidRPr="0073442C">
        <w:t>.</w:t>
      </w:r>
      <w:r w:rsidR="00EE1AAF" w:rsidRPr="0073442C">
        <w:t xml:space="preserve"> Repeated samples </w:t>
      </w:r>
      <w:r w:rsidRPr="0073442C">
        <w:t>remained serologically negative for an autoimmune process.</w:t>
      </w:r>
    </w:p>
    <w:p w14:paraId="0C5CAF5C" w14:textId="0B6F1BCF" w:rsidR="00DE4346" w:rsidRPr="0073442C" w:rsidRDefault="00557469" w:rsidP="00DE4346">
      <w:r w:rsidRPr="0073442C">
        <w:t>Lung</w:t>
      </w:r>
      <w:r w:rsidR="00DE4346" w:rsidRPr="0073442C">
        <w:t xml:space="preserve"> spirometry</w:t>
      </w:r>
      <w:r w:rsidR="00B25E4C" w:rsidRPr="0073442C">
        <w:t xml:space="preserve"> </w:t>
      </w:r>
      <w:r w:rsidR="00DE4346" w:rsidRPr="0073442C">
        <w:t>on Day 4</w:t>
      </w:r>
      <w:r w:rsidR="00B25E4C" w:rsidRPr="0073442C">
        <w:t xml:space="preserve"> </w:t>
      </w:r>
      <w:r w:rsidR="008957A2" w:rsidRPr="0073442C">
        <w:t>demonstrated</w:t>
      </w:r>
      <w:r w:rsidR="00DE4346" w:rsidRPr="0073442C">
        <w:t xml:space="preserve"> a </w:t>
      </w:r>
      <w:proofErr w:type="spellStart"/>
      <w:r w:rsidR="00586EFD" w:rsidRPr="0073442C">
        <w:t>DLCOc</w:t>
      </w:r>
      <w:proofErr w:type="spellEnd"/>
      <w:r w:rsidR="00B25E4C" w:rsidRPr="0073442C">
        <w:t xml:space="preserve"> </w:t>
      </w:r>
      <w:r w:rsidR="00802FE1" w:rsidRPr="0073442C">
        <w:t>(corrected transfer factor</w:t>
      </w:r>
      <w:proofErr w:type="gramStart"/>
      <w:r w:rsidR="00802FE1" w:rsidRPr="0073442C">
        <w:t>)</w:t>
      </w:r>
      <w:r w:rsidR="00B25E4C" w:rsidRPr="0073442C">
        <w:t>and</w:t>
      </w:r>
      <w:proofErr w:type="gramEnd"/>
      <w:r w:rsidR="00B25E4C" w:rsidRPr="0073442C">
        <w:t xml:space="preserve"> KCO</w:t>
      </w:r>
      <w:r w:rsidR="00802FE1" w:rsidRPr="0073442C">
        <w:t xml:space="preserve"> (transfer coefficient) </w:t>
      </w:r>
      <w:r w:rsidR="00B25E4C" w:rsidRPr="0073442C">
        <w:t xml:space="preserve"> at </w:t>
      </w:r>
      <w:r w:rsidR="00586EFD" w:rsidRPr="0073442C">
        <w:t>104</w:t>
      </w:r>
      <w:r w:rsidR="00B25E4C" w:rsidRPr="0073442C">
        <w:t>% and 88% of predicted respectively.</w:t>
      </w:r>
      <w:r w:rsidR="00DE4346" w:rsidRPr="0073442C">
        <w:br/>
      </w:r>
    </w:p>
    <w:p w14:paraId="667D0630" w14:textId="39692F83" w:rsidR="00DE4346" w:rsidRPr="0073442C" w:rsidRDefault="00586EFD" w:rsidP="006F5D9A">
      <w:pPr>
        <w:tabs>
          <w:tab w:val="left" w:pos="3009"/>
        </w:tabs>
        <w:rPr>
          <w:noProof/>
        </w:rPr>
      </w:pPr>
      <w:r w:rsidRPr="0073442C">
        <w:lastRenderedPageBreak/>
        <w:t xml:space="preserve">Given </w:t>
      </w:r>
      <w:r w:rsidR="00DE4346" w:rsidRPr="0073442C">
        <w:t xml:space="preserve">the complexity of </w:t>
      </w:r>
      <w:r w:rsidRPr="0073442C">
        <w:t>the case</w:t>
      </w:r>
      <w:proofErr w:type="gramStart"/>
      <w:r w:rsidRPr="0073442C">
        <w:t xml:space="preserve">, </w:t>
      </w:r>
      <w:r w:rsidR="00DE4346" w:rsidRPr="0073442C">
        <w:t xml:space="preserve"> </w:t>
      </w:r>
      <w:r w:rsidRPr="0073442C">
        <w:t>a</w:t>
      </w:r>
      <w:proofErr w:type="gramEnd"/>
      <w:r w:rsidR="00DE4346" w:rsidRPr="0073442C">
        <w:t xml:space="preserve"> lung biopsy</w:t>
      </w:r>
      <w:r w:rsidRPr="0073442C">
        <w:t xml:space="preserve"> was</w:t>
      </w:r>
      <w:r w:rsidR="003338D4" w:rsidRPr="0073442C">
        <w:t xml:space="preserve"> </w:t>
      </w:r>
      <w:r w:rsidR="00795B1F" w:rsidRPr="0073442C">
        <w:t xml:space="preserve">undertaken </w:t>
      </w:r>
      <w:r w:rsidR="00DE4346" w:rsidRPr="0073442C">
        <w:t>on Day 12</w:t>
      </w:r>
      <w:r w:rsidR="003338D4" w:rsidRPr="0073442C">
        <w:t xml:space="preserve"> </w:t>
      </w:r>
      <w:r w:rsidR="00DE4346" w:rsidRPr="0073442C">
        <w:t xml:space="preserve">(Figure </w:t>
      </w:r>
      <w:r w:rsidR="003338D4" w:rsidRPr="0073442C">
        <w:t>2</w:t>
      </w:r>
      <w:r w:rsidR="00DE4346" w:rsidRPr="0073442C">
        <w:t>)</w:t>
      </w:r>
      <w:r w:rsidRPr="0073442C">
        <w:t xml:space="preserve">. This </w:t>
      </w:r>
      <w:r w:rsidR="00795B1F" w:rsidRPr="0073442C">
        <w:t xml:space="preserve">demonstrated </w:t>
      </w:r>
      <w:r w:rsidR="00DE4346" w:rsidRPr="0073442C">
        <w:rPr>
          <w:rFonts w:eastAsia="Arial" w:cs="Arial"/>
        </w:rPr>
        <w:t>an organising pneumonia with evidence of pulmonary haemorrhage</w:t>
      </w:r>
      <w:r w:rsidR="00795B1F" w:rsidRPr="0073442C">
        <w:rPr>
          <w:rFonts w:eastAsia="Arial" w:cs="Arial"/>
        </w:rPr>
        <w:t xml:space="preserve"> but </w:t>
      </w:r>
      <w:r w:rsidR="00830752" w:rsidRPr="0073442C">
        <w:rPr>
          <w:rFonts w:eastAsia="Arial" w:cs="Arial"/>
        </w:rPr>
        <w:t>no</w:t>
      </w:r>
      <w:r w:rsidR="00DE4346" w:rsidRPr="0073442C">
        <w:rPr>
          <w:rFonts w:eastAsia="Arial" w:cs="Arial"/>
        </w:rPr>
        <w:t xml:space="preserve"> active vasculitis. </w:t>
      </w:r>
    </w:p>
    <w:p w14:paraId="167E80C9" w14:textId="3568EFC8" w:rsidR="0042472E" w:rsidRPr="0073442C" w:rsidRDefault="00B72EF0" w:rsidP="00DE4346">
      <w:r w:rsidRPr="0073442C">
        <w:t xml:space="preserve">Our </w:t>
      </w:r>
      <w:r w:rsidR="00DE4346" w:rsidRPr="0073442C">
        <w:t xml:space="preserve">patient improved over the course of two weeks and was discharged with a </w:t>
      </w:r>
      <w:r w:rsidR="00586EFD" w:rsidRPr="0073442C">
        <w:t xml:space="preserve">plan to taper </w:t>
      </w:r>
      <w:r w:rsidR="00DE4346" w:rsidRPr="0073442C">
        <w:t xml:space="preserve">her dose </w:t>
      </w:r>
      <w:r w:rsidR="00802FE1" w:rsidRPr="0073442C">
        <w:t>of</w:t>
      </w:r>
      <w:r w:rsidR="00DE4346" w:rsidRPr="0073442C">
        <w:t xml:space="preserve"> Prednisolone</w:t>
      </w:r>
      <w:r w:rsidR="00586EFD" w:rsidRPr="0073442C">
        <w:t>.</w:t>
      </w:r>
      <w:r w:rsidRPr="0073442C">
        <w:t xml:space="preserve"> </w:t>
      </w:r>
    </w:p>
    <w:p w14:paraId="362C790A" w14:textId="435B243E" w:rsidR="00D318E8" w:rsidRPr="0073442C" w:rsidRDefault="000A67E1" w:rsidP="00DE4346">
      <w:r w:rsidRPr="0073442C">
        <w:t>She</w:t>
      </w:r>
      <w:r w:rsidR="00DE4346" w:rsidRPr="0073442C">
        <w:t xml:space="preserve"> was seen in rheumatology clinic</w:t>
      </w:r>
      <w:r w:rsidRPr="0073442C">
        <w:t xml:space="preserve"> 3 weeks post discharge</w:t>
      </w:r>
      <w:r w:rsidR="00D318E8" w:rsidRPr="0073442C">
        <w:t xml:space="preserve"> and </w:t>
      </w:r>
      <w:r w:rsidRPr="0073442C">
        <w:t xml:space="preserve">was </w:t>
      </w:r>
      <w:r w:rsidR="00DE4346" w:rsidRPr="0073442C">
        <w:t xml:space="preserve">found to have </w:t>
      </w:r>
      <w:proofErr w:type="spellStart"/>
      <w:r w:rsidR="00DE4346" w:rsidRPr="0073442C">
        <w:t>haematoproteinuria</w:t>
      </w:r>
      <w:proofErr w:type="spellEnd"/>
      <w:r w:rsidR="00DE4346" w:rsidRPr="0073442C">
        <w:t xml:space="preserve"> </w:t>
      </w:r>
      <w:r w:rsidR="00D318E8" w:rsidRPr="0073442C">
        <w:t xml:space="preserve">with a </w:t>
      </w:r>
      <w:r w:rsidRPr="0073442C">
        <w:t xml:space="preserve">creatinine </w:t>
      </w:r>
      <w:r w:rsidR="00DE4346" w:rsidRPr="0073442C">
        <w:t xml:space="preserve">of 167 </w:t>
      </w:r>
      <w:proofErr w:type="spellStart"/>
      <w:r w:rsidR="00DE4346" w:rsidRPr="0073442C">
        <w:t>umol</w:t>
      </w:r>
      <w:proofErr w:type="spellEnd"/>
      <w:r w:rsidR="00DE4346" w:rsidRPr="0073442C">
        <w:t>/l</w:t>
      </w:r>
      <w:r w:rsidRPr="0073442C">
        <w:t xml:space="preserve">  (on discharge this was 80umol/l)</w:t>
      </w:r>
      <w:r w:rsidR="00596043" w:rsidRPr="0073442C">
        <w:t>.</w:t>
      </w:r>
    </w:p>
    <w:p w14:paraId="46A4D51E" w14:textId="434ADD56" w:rsidR="000A67E1" w:rsidRPr="0073442C" w:rsidRDefault="000A67E1" w:rsidP="00DE4346">
      <w:r w:rsidRPr="0073442C">
        <w:t>Repeated</w:t>
      </w:r>
      <w:r w:rsidR="00D318E8" w:rsidRPr="0073442C">
        <w:t xml:space="preserve"> </w:t>
      </w:r>
      <w:r w:rsidR="00DE4346" w:rsidRPr="0073442C">
        <w:t xml:space="preserve">ANCA </w:t>
      </w:r>
      <w:r w:rsidR="00D318E8" w:rsidRPr="0073442C">
        <w:t xml:space="preserve">serology </w:t>
      </w:r>
      <w:r w:rsidRPr="0073442C">
        <w:t xml:space="preserve">preformed locally </w:t>
      </w:r>
      <w:r w:rsidR="00DE4346" w:rsidRPr="0073442C">
        <w:t>remained negative</w:t>
      </w:r>
      <w:r w:rsidR="00BD2302" w:rsidRPr="0073442C">
        <w:t>.</w:t>
      </w:r>
      <w:r w:rsidR="00D318E8" w:rsidRPr="0073442C">
        <w:t xml:space="preserve"> </w:t>
      </w:r>
    </w:p>
    <w:p w14:paraId="7CC144C4" w14:textId="60F097E8" w:rsidR="00D318E8" w:rsidRPr="0073442C" w:rsidRDefault="00BD2302" w:rsidP="00DE4346">
      <w:r w:rsidRPr="0073442C">
        <w:t>However, d</w:t>
      </w:r>
      <w:r w:rsidR="00DE4346" w:rsidRPr="0073442C">
        <w:t>uring th</w:t>
      </w:r>
      <w:r w:rsidR="00D318E8" w:rsidRPr="0073442C">
        <w:t>is period</w:t>
      </w:r>
      <w:r w:rsidR="00DE4346" w:rsidRPr="0073442C">
        <w:t xml:space="preserve"> our Immunology lab had noted a discrepancy on ANCA results of a different patient.  This second patient had been transferred </w:t>
      </w:r>
      <w:r w:rsidR="00D318E8" w:rsidRPr="0073442C">
        <w:t>following</w:t>
      </w:r>
      <w:r w:rsidR="00DE4346" w:rsidRPr="0073442C">
        <w:t xml:space="preserve"> positive ANCA serology at another hospital</w:t>
      </w:r>
      <w:r w:rsidR="000A67E1" w:rsidRPr="0073442C">
        <w:t xml:space="preserve"> </w:t>
      </w:r>
      <w:r w:rsidR="00B72EF0" w:rsidRPr="0073442C">
        <w:t>but the</w:t>
      </w:r>
      <w:r w:rsidR="000A67E1" w:rsidRPr="0073442C">
        <w:t xml:space="preserve">ir </w:t>
      </w:r>
      <w:r w:rsidR="00DE4346" w:rsidRPr="0073442C">
        <w:t xml:space="preserve">result was not replicated by our local methods.  </w:t>
      </w:r>
    </w:p>
    <w:p w14:paraId="4126571E" w14:textId="3F17722A" w:rsidR="00DE4346" w:rsidRPr="0073442C" w:rsidRDefault="000A67E1" w:rsidP="00DE4346">
      <w:r w:rsidRPr="0073442C">
        <w:t>S</w:t>
      </w:r>
      <w:r w:rsidR="00983294" w:rsidRPr="0073442C">
        <w:t xml:space="preserve">tored </w:t>
      </w:r>
      <w:r w:rsidR="003D7432" w:rsidRPr="0073442C">
        <w:t xml:space="preserve">blood </w:t>
      </w:r>
      <w:r w:rsidR="00DE4346" w:rsidRPr="0073442C">
        <w:t>sample</w:t>
      </w:r>
      <w:r w:rsidR="003D7432" w:rsidRPr="0073442C">
        <w:t>s</w:t>
      </w:r>
      <w:r w:rsidR="00DE4346" w:rsidRPr="0073442C">
        <w:t xml:space="preserve"> </w:t>
      </w:r>
      <w:r w:rsidR="00983294" w:rsidRPr="0073442C">
        <w:t>from our patient</w:t>
      </w:r>
      <w:r w:rsidR="003D7432" w:rsidRPr="0073442C">
        <w:t xml:space="preserve"> were sent f</w:t>
      </w:r>
      <w:r w:rsidR="00656D70" w:rsidRPr="0073442C">
        <w:t>or analysis at another hospital. Immunofluorescent screening at both sites demonstrated a c-ANCA pattern. However though IgG to proteinase 3 was &lt;2 U/ml at our site, this was measured at 44 U/ml at the other site.</w:t>
      </w:r>
    </w:p>
    <w:p w14:paraId="3749F1BB" w14:textId="3A4BA29C" w:rsidR="003D7432" w:rsidRPr="0073442C" w:rsidRDefault="003D7432" w:rsidP="00DE4346">
      <w:r w:rsidRPr="0073442C">
        <w:t xml:space="preserve">Given her renal impairment and active urinary sediment, our patient underwent </w:t>
      </w:r>
      <w:r w:rsidR="00DE4346" w:rsidRPr="0073442C">
        <w:t>a renal biopsy</w:t>
      </w:r>
      <w:r w:rsidRPr="0073442C">
        <w:t xml:space="preserve"> (Figure 3) that demonstrated </w:t>
      </w:r>
      <w:proofErr w:type="spellStart"/>
      <w:r w:rsidRPr="0073442C">
        <w:t>pauci</w:t>
      </w:r>
      <w:proofErr w:type="spellEnd"/>
      <w:r w:rsidRPr="0073442C">
        <w:t xml:space="preserve">-immune </w:t>
      </w:r>
      <w:proofErr w:type="spellStart"/>
      <w:r w:rsidRPr="0073442C">
        <w:t>cresenteric</w:t>
      </w:r>
      <w:proofErr w:type="spellEnd"/>
      <w:r w:rsidRPr="0073442C">
        <w:t xml:space="preserve"> glomerular changes consistent with vasculitis. </w:t>
      </w:r>
    </w:p>
    <w:p w14:paraId="325CB650" w14:textId="58648E96" w:rsidR="00363BB7" w:rsidRPr="0073442C" w:rsidRDefault="00363BB7" w:rsidP="00DE4346"/>
    <w:p w14:paraId="5533E8C3" w14:textId="24BEEA68" w:rsidR="00DE4346" w:rsidRPr="0073442C" w:rsidRDefault="003D7432" w:rsidP="00DE4346">
      <w:pPr>
        <w:rPr>
          <w:b/>
        </w:rPr>
      </w:pPr>
      <w:r w:rsidRPr="0073442C">
        <w:rPr>
          <w:b/>
        </w:rPr>
        <w:t>D</w:t>
      </w:r>
      <w:r w:rsidR="00497054" w:rsidRPr="0073442C">
        <w:rPr>
          <w:b/>
        </w:rPr>
        <w:t>iagno</w:t>
      </w:r>
      <w:r w:rsidRPr="0073442C">
        <w:rPr>
          <w:b/>
        </w:rPr>
        <w:t>sis</w:t>
      </w:r>
    </w:p>
    <w:p w14:paraId="43757581" w14:textId="0F6CB482" w:rsidR="00DE4346" w:rsidRPr="0073442C" w:rsidRDefault="00DE4346" w:rsidP="00DE4346">
      <w:pPr>
        <w:rPr>
          <w:rFonts w:eastAsia="Times New Roman" w:cs="Times New Roman"/>
          <w:iCs/>
          <w:lang w:val="en"/>
        </w:rPr>
      </w:pPr>
      <w:r w:rsidRPr="0073442C">
        <w:t xml:space="preserve">Granulomatosis with </w:t>
      </w:r>
      <w:proofErr w:type="spellStart"/>
      <w:r w:rsidRPr="0073442C">
        <w:t>polyangitis</w:t>
      </w:r>
      <w:proofErr w:type="spellEnd"/>
      <w:r w:rsidRPr="0073442C">
        <w:t xml:space="preserve"> (GPA), formerly known as </w:t>
      </w:r>
      <w:proofErr w:type="spellStart"/>
      <w:r w:rsidRPr="0073442C">
        <w:t>Wegners</w:t>
      </w:r>
      <w:proofErr w:type="spellEnd"/>
      <w:r w:rsidRPr="0073442C">
        <w:t xml:space="preserve"> Granulomatosis, is one of the</w:t>
      </w:r>
      <w:r w:rsidRPr="0073442C">
        <w:rPr>
          <w:rFonts w:eastAsia="Times New Roman" w:cs="Times New Roman"/>
          <w:iCs/>
          <w:lang w:val="en"/>
        </w:rPr>
        <w:t xml:space="preserve"> </w:t>
      </w:r>
      <w:r w:rsidR="00CB529A" w:rsidRPr="0073442C">
        <w:rPr>
          <w:rFonts w:eastAsia="Times New Roman" w:cs="Times New Roman"/>
          <w:iCs/>
          <w:lang w:val="en"/>
        </w:rPr>
        <w:t>ANCA</w:t>
      </w:r>
      <w:r w:rsidR="001B763A" w:rsidRPr="0073442C">
        <w:t>-a</w:t>
      </w:r>
      <w:r w:rsidRPr="0073442C">
        <w:t xml:space="preserve">ssociated </w:t>
      </w:r>
      <w:proofErr w:type="spellStart"/>
      <w:r w:rsidR="001B763A" w:rsidRPr="0073442C">
        <w:t>v</w:t>
      </w:r>
      <w:r w:rsidRPr="0073442C">
        <w:t>asculitides</w:t>
      </w:r>
      <w:proofErr w:type="spellEnd"/>
      <w:r w:rsidRPr="0073442C">
        <w:t xml:space="preserve"> (AAV) typically presenting with upper and lower respiratory tract granulomas and </w:t>
      </w:r>
      <w:proofErr w:type="spellStart"/>
      <w:r w:rsidR="00CB529A" w:rsidRPr="0073442C">
        <w:t>pauci</w:t>
      </w:r>
      <w:proofErr w:type="spellEnd"/>
      <w:r w:rsidR="00CB529A" w:rsidRPr="0073442C">
        <w:t xml:space="preserve"> immune </w:t>
      </w:r>
      <w:r w:rsidRPr="0073442C">
        <w:t xml:space="preserve">glomerulonephritis. </w:t>
      </w:r>
      <w:r w:rsidRPr="0073442C">
        <w:rPr>
          <w:lang w:val="en"/>
        </w:rPr>
        <w:t xml:space="preserve">The incidence and prevalence of GPA in the United Kingdom is estimated at 10.2 and 250 cases per million per year respectively </w:t>
      </w:r>
      <w:r w:rsidRPr="0073442C">
        <w:rPr>
          <w:vertAlign w:val="superscript"/>
          <w:lang w:val="en"/>
        </w:rPr>
        <w:t>1</w:t>
      </w:r>
      <w:r w:rsidR="00CB529A" w:rsidRPr="0073442C">
        <w:rPr>
          <w:lang w:val="en"/>
        </w:rPr>
        <w:t xml:space="preserve">, presents most commonly from 35-55 years of age </w:t>
      </w:r>
      <w:proofErr w:type="spellStart"/>
      <w:r w:rsidR="00CB529A" w:rsidRPr="0073442C">
        <w:rPr>
          <w:lang w:val="en"/>
        </w:rPr>
        <w:t>and</w:t>
      </w:r>
      <w:r w:rsidRPr="0073442C">
        <w:rPr>
          <w:lang w:val="en"/>
        </w:rPr>
        <w:t>has</w:t>
      </w:r>
      <w:proofErr w:type="spellEnd"/>
      <w:r w:rsidRPr="0073442C">
        <w:rPr>
          <w:lang w:val="en"/>
        </w:rPr>
        <w:t xml:space="preserve"> a male to female ratio of 1.2: 1 </w:t>
      </w:r>
      <w:r w:rsidRPr="0073442C">
        <w:rPr>
          <w:vertAlign w:val="superscript"/>
          <w:lang w:val="en"/>
        </w:rPr>
        <w:t>2</w:t>
      </w:r>
      <w:r w:rsidRPr="0073442C">
        <w:rPr>
          <w:lang w:val="en"/>
        </w:rPr>
        <w:t xml:space="preserve">. </w:t>
      </w:r>
    </w:p>
    <w:p w14:paraId="549CF290" w14:textId="2ED37963" w:rsidR="00CB529A" w:rsidRPr="0073442C" w:rsidRDefault="00DE4346" w:rsidP="00DE4346">
      <w:pPr>
        <w:rPr>
          <w:rFonts w:eastAsia="Times New Roman" w:cs="Times New Roman"/>
          <w:iCs/>
          <w:lang w:val="en"/>
        </w:rPr>
      </w:pPr>
      <w:r w:rsidRPr="0073442C">
        <w:rPr>
          <w:rFonts w:eastAsia="Times New Roman" w:cs="Times New Roman"/>
          <w:iCs/>
          <w:lang w:val="en"/>
        </w:rPr>
        <w:t xml:space="preserve">Since the 1980’s (ANCAs) have been used as a serological marker to aid diagnosis of ANCA-associated </w:t>
      </w:r>
      <w:proofErr w:type="spellStart"/>
      <w:r w:rsidRPr="0073442C">
        <w:rPr>
          <w:rFonts w:eastAsia="Times New Roman" w:cs="Times New Roman"/>
          <w:iCs/>
          <w:lang w:val="en"/>
        </w:rPr>
        <w:t>vasculitides</w:t>
      </w:r>
      <w:proofErr w:type="spellEnd"/>
      <w:r w:rsidRPr="0073442C">
        <w:rPr>
          <w:rFonts w:eastAsia="Times New Roman" w:cs="Times New Roman"/>
          <w:iCs/>
          <w:lang w:val="en"/>
        </w:rPr>
        <w:t xml:space="preserve"> (AAV) </w:t>
      </w:r>
      <w:r w:rsidRPr="0073442C">
        <w:rPr>
          <w:rFonts w:eastAsia="Times New Roman" w:cs="Times New Roman"/>
          <w:iCs/>
          <w:vertAlign w:val="superscript"/>
          <w:lang w:val="en"/>
        </w:rPr>
        <w:t>3</w:t>
      </w:r>
      <w:r w:rsidRPr="0073442C">
        <w:rPr>
          <w:rFonts w:eastAsia="Times New Roman" w:cs="Times New Roman"/>
          <w:iCs/>
          <w:lang w:val="en"/>
        </w:rPr>
        <w:t xml:space="preserve">.  Most laboratories worldwide use indirect </w:t>
      </w:r>
      <w:proofErr w:type="spellStart"/>
      <w:r w:rsidRPr="0073442C">
        <w:rPr>
          <w:rFonts w:eastAsia="Times New Roman" w:cs="Times New Roman"/>
          <w:iCs/>
          <w:lang w:val="en"/>
        </w:rPr>
        <w:t>immunoflourescence</w:t>
      </w:r>
      <w:proofErr w:type="spellEnd"/>
      <w:r w:rsidRPr="0073442C">
        <w:rPr>
          <w:rFonts w:eastAsia="Times New Roman" w:cs="Times New Roman"/>
          <w:iCs/>
          <w:lang w:val="en"/>
        </w:rPr>
        <w:t xml:space="preserve"> microscopy (I</w:t>
      </w:r>
      <w:r w:rsidR="0076767C" w:rsidRPr="0073442C">
        <w:rPr>
          <w:rFonts w:eastAsia="Times New Roman" w:cs="Times New Roman"/>
          <w:iCs/>
          <w:lang w:val="en"/>
        </w:rPr>
        <w:t>IF</w:t>
      </w:r>
      <w:r w:rsidRPr="0073442C">
        <w:rPr>
          <w:rFonts w:eastAsia="Times New Roman" w:cs="Times New Roman"/>
          <w:iCs/>
          <w:lang w:val="en"/>
        </w:rPr>
        <w:t xml:space="preserve">) to screen for ANCA.  </w:t>
      </w:r>
      <w:r w:rsidR="0080075F" w:rsidRPr="0073442C">
        <w:rPr>
          <w:rFonts w:eastAsia="Times New Roman" w:cs="Times New Roman"/>
          <w:iCs/>
          <w:lang w:val="en"/>
        </w:rPr>
        <w:t>This technique mixes</w:t>
      </w:r>
      <w:r w:rsidRPr="0073442C">
        <w:rPr>
          <w:rFonts w:eastAsia="Times New Roman" w:cs="Times New Roman"/>
          <w:iCs/>
          <w:lang w:val="en"/>
        </w:rPr>
        <w:t xml:space="preserve"> patients serum with neutrophils</w:t>
      </w:r>
      <w:r w:rsidR="0080075F" w:rsidRPr="0073442C">
        <w:rPr>
          <w:rFonts w:eastAsia="Times New Roman" w:cs="Times New Roman"/>
          <w:iCs/>
          <w:lang w:val="en"/>
        </w:rPr>
        <w:t xml:space="preserve">. The presence and pattern of any binding by ANCA can then be revealed by </w:t>
      </w:r>
      <w:r w:rsidR="00CB529A" w:rsidRPr="0073442C">
        <w:rPr>
          <w:rFonts w:eastAsia="Times New Roman" w:cs="Times New Roman"/>
          <w:iCs/>
          <w:lang w:val="en"/>
        </w:rPr>
        <w:t>s</w:t>
      </w:r>
      <w:r w:rsidR="007C3FC0" w:rsidRPr="0073442C">
        <w:rPr>
          <w:rFonts w:eastAsia="Times New Roman" w:cs="Times New Roman"/>
          <w:iCs/>
          <w:lang w:val="en"/>
        </w:rPr>
        <w:t xml:space="preserve">ubsequent </w:t>
      </w:r>
      <w:r w:rsidRPr="0073442C">
        <w:rPr>
          <w:rFonts w:eastAsia="Times New Roman" w:cs="Times New Roman"/>
          <w:iCs/>
          <w:lang w:val="en"/>
        </w:rPr>
        <w:t>fluorescent stain</w:t>
      </w:r>
      <w:r w:rsidR="00CB529A" w:rsidRPr="0073442C">
        <w:rPr>
          <w:rFonts w:eastAsia="Times New Roman" w:cs="Times New Roman"/>
          <w:iCs/>
          <w:lang w:val="en"/>
        </w:rPr>
        <w:t>ing</w:t>
      </w:r>
      <w:r w:rsidR="0080075F" w:rsidRPr="0073442C">
        <w:rPr>
          <w:rFonts w:eastAsia="Times New Roman" w:cs="Times New Roman"/>
          <w:iCs/>
          <w:lang w:val="en"/>
        </w:rPr>
        <w:t>. A c</w:t>
      </w:r>
      <w:r w:rsidRPr="0073442C">
        <w:rPr>
          <w:rFonts w:eastAsia="Times New Roman" w:cs="Times New Roman"/>
          <w:iCs/>
          <w:lang w:val="en"/>
        </w:rPr>
        <w:t xml:space="preserve">ytoplasmic (c-) ANCA staining pattern is typically associated with IgG antibodies to proteinase 3 (PR3) </w:t>
      </w:r>
      <w:r w:rsidR="0095400D" w:rsidRPr="0073442C">
        <w:rPr>
          <w:rFonts w:eastAsia="Times New Roman" w:cs="Times New Roman"/>
          <w:iCs/>
          <w:lang w:val="en"/>
        </w:rPr>
        <w:t>[Figure</w:t>
      </w:r>
      <w:r w:rsidR="0080075F" w:rsidRPr="0073442C">
        <w:rPr>
          <w:rFonts w:eastAsia="Times New Roman" w:cs="Times New Roman"/>
          <w:iCs/>
          <w:lang w:val="en"/>
        </w:rPr>
        <w:t xml:space="preserve"> 4</w:t>
      </w:r>
      <w:r w:rsidR="0095400D" w:rsidRPr="0073442C">
        <w:rPr>
          <w:rFonts w:eastAsia="Times New Roman" w:cs="Times New Roman"/>
          <w:iCs/>
          <w:lang w:val="en"/>
        </w:rPr>
        <w:t xml:space="preserve">] </w:t>
      </w:r>
      <w:r w:rsidR="0080075F" w:rsidRPr="0073442C">
        <w:rPr>
          <w:rFonts w:eastAsia="Times New Roman" w:cs="Times New Roman"/>
          <w:iCs/>
          <w:lang w:val="en"/>
        </w:rPr>
        <w:t xml:space="preserve">and </w:t>
      </w:r>
      <w:proofErr w:type="gramStart"/>
      <w:r w:rsidR="0080075F" w:rsidRPr="0073442C">
        <w:rPr>
          <w:rFonts w:eastAsia="Times New Roman" w:cs="Times New Roman"/>
          <w:iCs/>
          <w:lang w:val="en"/>
        </w:rPr>
        <w:t xml:space="preserve">a </w:t>
      </w:r>
      <w:r w:rsidRPr="0073442C">
        <w:rPr>
          <w:rFonts w:eastAsia="Times New Roman" w:cs="Times New Roman"/>
          <w:iCs/>
          <w:lang w:val="en"/>
        </w:rPr>
        <w:t xml:space="preserve"> perinuclear</w:t>
      </w:r>
      <w:proofErr w:type="gramEnd"/>
      <w:r w:rsidRPr="0073442C">
        <w:rPr>
          <w:rFonts w:eastAsia="Times New Roman" w:cs="Times New Roman"/>
          <w:iCs/>
          <w:lang w:val="en"/>
        </w:rPr>
        <w:t xml:space="preserve"> (p-) </w:t>
      </w:r>
      <w:r w:rsidR="0080075F" w:rsidRPr="0073442C">
        <w:rPr>
          <w:rFonts w:eastAsia="Times New Roman" w:cs="Times New Roman"/>
          <w:iCs/>
          <w:lang w:val="en"/>
        </w:rPr>
        <w:t xml:space="preserve">pattern </w:t>
      </w:r>
      <w:r w:rsidRPr="0073442C">
        <w:rPr>
          <w:rFonts w:eastAsia="Times New Roman" w:cs="Times New Roman"/>
          <w:iCs/>
          <w:lang w:val="en"/>
        </w:rPr>
        <w:t xml:space="preserve">to myeloperoxidase (MPO). </w:t>
      </w:r>
      <w:r w:rsidR="0095400D" w:rsidRPr="0073442C">
        <w:rPr>
          <w:rFonts w:eastAsia="Times New Roman" w:cs="Times New Roman"/>
          <w:iCs/>
          <w:lang w:val="en"/>
        </w:rPr>
        <w:t xml:space="preserve"> </w:t>
      </w:r>
    </w:p>
    <w:p w14:paraId="4B2EF1EB" w14:textId="1219F4B3" w:rsidR="00440EFE" w:rsidRPr="0073442C" w:rsidRDefault="00DE4346" w:rsidP="00DE4346">
      <w:pPr>
        <w:rPr>
          <w:lang w:val="en"/>
        </w:rPr>
      </w:pPr>
      <w:r w:rsidRPr="0073442C">
        <w:rPr>
          <w:lang w:val="en"/>
        </w:rPr>
        <w:t>Th</w:t>
      </w:r>
      <w:r w:rsidR="00A34DB0" w:rsidRPr="0073442C">
        <w:rPr>
          <w:lang w:val="en"/>
        </w:rPr>
        <w:t>ough across studies the</w:t>
      </w:r>
      <w:r w:rsidRPr="0073442C">
        <w:rPr>
          <w:lang w:val="en"/>
        </w:rPr>
        <w:t xml:space="preserve"> specificity of I</w:t>
      </w:r>
      <w:r w:rsidR="0076767C" w:rsidRPr="0073442C">
        <w:rPr>
          <w:lang w:val="en"/>
        </w:rPr>
        <w:t>IF</w:t>
      </w:r>
      <w:r w:rsidRPr="0073442C">
        <w:rPr>
          <w:lang w:val="en"/>
        </w:rPr>
        <w:t xml:space="preserve"> is high </w:t>
      </w:r>
      <w:r w:rsidR="00A34DB0" w:rsidRPr="0073442C">
        <w:rPr>
          <w:lang w:val="en"/>
        </w:rPr>
        <w:t>(</w:t>
      </w:r>
      <w:r w:rsidRPr="0073442C">
        <w:rPr>
          <w:lang w:val="en"/>
        </w:rPr>
        <w:t>95-100%</w:t>
      </w:r>
      <w:r w:rsidR="00A34DB0" w:rsidRPr="0073442C">
        <w:rPr>
          <w:lang w:val="en"/>
        </w:rPr>
        <w:t xml:space="preserve">) the </w:t>
      </w:r>
      <w:r w:rsidRPr="0073442C">
        <w:rPr>
          <w:lang w:val="en"/>
        </w:rPr>
        <w:t xml:space="preserve">positive predictive value </w:t>
      </w:r>
      <w:r w:rsidR="00A34DB0" w:rsidRPr="0073442C">
        <w:rPr>
          <w:lang w:val="en"/>
        </w:rPr>
        <w:t xml:space="preserve">is </w:t>
      </w:r>
      <w:r w:rsidRPr="0073442C">
        <w:rPr>
          <w:lang w:val="en"/>
        </w:rPr>
        <w:t xml:space="preserve">only 73%. </w:t>
      </w:r>
      <w:r w:rsidR="001412F8" w:rsidRPr="0073442C">
        <w:rPr>
          <w:lang w:val="en"/>
        </w:rPr>
        <w:t>S</w:t>
      </w:r>
      <w:r w:rsidR="00440EFE" w:rsidRPr="0073442C">
        <w:rPr>
          <w:lang w:val="en"/>
        </w:rPr>
        <w:t xml:space="preserve">ignificant variability in results </w:t>
      </w:r>
      <w:r w:rsidR="001412F8" w:rsidRPr="0073442C">
        <w:rPr>
          <w:lang w:val="en"/>
        </w:rPr>
        <w:t xml:space="preserve">occur </w:t>
      </w:r>
      <w:r w:rsidR="00440EFE" w:rsidRPr="0073442C">
        <w:rPr>
          <w:lang w:val="en"/>
        </w:rPr>
        <w:t>due to differences in slide preparation and operator experience</w:t>
      </w:r>
      <w:r w:rsidR="001412F8" w:rsidRPr="0073442C">
        <w:rPr>
          <w:lang w:val="en"/>
        </w:rPr>
        <w:t>. C</w:t>
      </w:r>
      <w:r w:rsidRPr="0073442C">
        <w:rPr>
          <w:lang w:val="en"/>
        </w:rPr>
        <w:t xml:space="preserve">o-existing inflammatory conditions </w:t>
      </w:r>
      <w:r w:rsidR="001412F8" w:rsidRPr="0073442C">
        <w:rPr>
          <w:lang w:val="en"/>
        </w:rPr>
        <w:t xml:space="preserve">also </w:t>
      </w:r>
      <w:r w:rsidRPr="0073442C">
        <w:rPr>
          <w:lang w:val="en"/>
        </w:rPr>
        <w:t xml:space="preserve">cause a high frequency of false positive results </w:t>
      </w:r>
      <w:r w:rsidRPr="0073442C">
        <w:rPr>
          <w:vertAlign w:val="superscript"/>
          <w:lang w:val="en"/>
        </w:rPr>
        <w:t>3</w:t>
      </w:r>
      <w:r w:rsidR="00CB529A" w:rsidRPr="0073442C">
        <w:rPr>
          <w:vertAlign w:val="superscript"/>
          <w:lang w:val="en"/>
        </w:rPr>
        <w:t xml:space="preserve"> </w:t>
      </w:r>
      <w:r w:rsidR="00CB529A" w:rsidRPr="0073442C">
        <w:rPr>
          <w:lang w:val="en"/>
        </w:rPr>
        <w:t xml:space="preserve"> </w:t>
      </w:r>
    </w:p>
    <w:p w14:paraId="35354A59" w14:textId="115C7720" w:rsidR="00DE4346" w:rsidRPr="0073442C" w:rsidRDefault="001412F8" w:rsidP="00DE4346">
      <w:pPr>
        <w:rPr>
          <w:lang w:val="en"/>
        </w:rPr>
      </w:pPr>
      <w:r w:rsidRPr="0073442C">
        <w:rPr>
          <w:lang w:val="en"/>
        </w:rPr>
        <w:lastRenderedPageBreak/>
        <w:t xml:space="preserve">Thus in </w:t>
      </w:r>
      <w:r w:rsidR="00DE4346" w:rsidRPr="0073442C">
        <w:rPr>
          <w:lang w:val="en"/>
        </w:rPr>
        <w:t>2003</w:t>
      </w:r>
      <w:r w:rsidRPr="0073442C">
        <w:rPr>
          <w:lang w:val="en"/>
        </w:rPr>
        <w:t xml:space="preserve">, it was </w:t>
      </w:r>
      <w:r w:rsidR="00DE4346" w:rsidRPr="0073442C">
        <w:rPr>
          <w:lang w:val="en"/>
        </w:rPr>
        <w:t xml:space="preserve">recommended </w:t>
      </w:r>
      <w:r w:rsidRPr="0073442C">
        <w:rPr>
          <w:lang w:val="en"/>
        </w:rPr>
        <w:t xml:space="preserve">that </w:t>
      </w:r>
      <w:r w:rsidR="00DE4346" w:rsidRPr="0073442C">
        <w:rPr>
          <w:lang w:val="en"/>
        </w:rPr>
        <w:t>initial I</w:t>
      </w:r>
      <w:r w:rsidR="0076767C" w:rsidRPr="0073442C">
        <w:rPr>
          <w:lang w:val="en"/>
        </w:rPr>
        <w:t>IF</w:t>
      </w:r>
      <w:r w:rsidR="00DE4346" w:rsidRPr="0073442C">
        <w:rPr>
          <w:lang w:val="en"/>
        </w:rPr>
        <w:t xml:space="preserve"> screening for ANCA should be confirmed with a solid phase assay </w:t>
      </w:r>
      <w:r w:rsidR="00DE4346" w:rsidRPr="0073442C">
        <w:rPr>
          <w:vertAlign w:val="superscript"/>
          <w:lang w:val="en"/>
        </w:rPr>
        <w:t>4</w:t>
      </w:r>
      <w:r w:rsidR="00DE4346" w:rsidRPr="0073442C">
        <w:rPr>
          <w:lang w:val="en"/>
        </w:rPr>
        <w:t xml:space="preserve">.  </w:t>
      </w:r>
    </w:p>
    <w:p w14:paraId="435ADD0F" w14:textId="73C7F17A" w:rsidR="00426F87" w:rsidRPr="0073442C" w:rsidRDefault="00F60D84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>S</w:t>
      </w:r>
      <w:r w:rsidR="00DE4346" w:rsidRPr="0073442C">
        <w:rPr>
          <w:rFonts w:cs="Arial"/>
          <w:lang w:val="en"/>
        </w:rPr>
        <w:t>olid phase immunoassays</w:t>
      </w:r>
      <w:r w:rsidR="00BD650F" w:rsidRPr="0073442C">
        <w:rPr>
          <w:rFonts w:cs="Arial"/>
          <w:lang w:val="en"/>
        </w:rPr>
        <w:t xml:space="preserve">, based on the binding of the antigens PR3 or MPO to a solid phase (e.g. the wells of a </w:t>
      </w:r>
      <w:proofErr w:type="spellStart"/>
      <w:r w:rsidR="00BD650F" w:rsidRPr="0073442C">
        <w:rPr>
          <w:rFonts w:cs="Arial"/>
          <w:lang w:val="en"/>
        </w:rPr>
        <w:t>microtitre</w:t>
      </w:r>
      <w:proofErr w:type="spellEnd"/>
      <w:r w:rsidR="00BD650F" w:rsidRPr="0073442C">
        <w:rPr>
          <w:rFonts w:cs="Arial"/>
          <w:lang w:val="en"/>
        </w:rPr>
        <w:t xml:space="preserve"> plate)</w:t>
      </w:r>
      <w:proofErr w:type="gramStart"/>
      <w:r w:rsidR="00BD650F" w:rsidRPr="0073442C">
        <w:rPr>
          <w:rFonts w:cs="Arial"/>
          <w:lang w:val="en"/>
        </w:rPr>
        <w:t xml:space="preserve">,  </w:t>
      </w:r>
      <w:r w:rsidRPr="0073442C">
        <w:rPr>
          <w:rFonts w:cs="Arial"/>
          <w:lang w:val="en"/>
        </w:rPr>
        <w:t>allows</w:t>
      </w:r>
      <w:proofErr w:type="gramEnd"/>
      <w:r w:rsidRPr="0073442C">
        <w:rPr>
          <w:rFonts w:cs="Arial"/>
          <w:lang w:val="en"/>
        </w:rPr>
        <w:t xml:space="preserve"> for quantification of </w:t>
      </w:r>
      <w:r w:rsidRPr="0073442C">
        <w:rPr>
          <w:lang w:val="en"/>
        </w:rPr>
        <w:t xml:space="preserve">IgG </w:t>
      </w:r>
      <w:r w:rsidR="00BD650F" w:rsidRPr="0073442C">
        <w:rPr>
          <w:lang w:val="en"/>
        </w:rPr>
        <w:t xml:space="preserve">against </w:t>
      </w:r>
      <w:r w:rsidRPr="0073442C">
        <w:rPr>
          <w:lang w:val="en"/>
        </w:rPr>
        <w:t>PR3 and MPO</w:t>
      </w:r>
      <w:r w:rsidR="00BD650F" w:rsidRPr="0073442C">
        <w:rPr>
          <w:lang w:val="en"/>
        </w:rPr>
        <w:t xml:space="preserve">. </w:t>
      </w:r>
    </w:p>
    <w:p w14:paraId="17631A6A" w14:textId="77777777" w:rsidR="00BD650F" w:rsidRPr="0073442C" w:rsidRDefault="00426F87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>However t</w:t>
      </w:r>
      <w:r w:rsidR="00DE4346" w:rsidRPr="0073442C">
        <w:rPr>
          <w:rFonts w:cs="Arial"/>
          <w:lang w:val="en"/>
        </w:rPr>
        <w:t xml:space="preserve">he clinically significant epitopes of the target antigens can become hidden in the process of antibody binding on the ELISA </w:t>
      </w:r>
      <w:r w:rsidR="00DE4346" w:rsidRPr="0073442C">
        <w:rPr>
          <w:rFonts w:cs="Arial"/>
          <w:vertAlign w:val="superscript"/>
          <w:lang w:val="en"/>
        </w:rPr>
        <w:t xml:space="preserve">5 </w:t>
      </w:r>
      <w:r w:rsidR="00440EFE" w:rsidRPr="0073442C">
        <w:rPr>
          <w:rFonts w:cs="Arial"/>
          <w:lang w:val="en"/>
        </w:rPr>
        <w:t>leading to under-reporting.</w:t>
      </w:r>
      <w:r w:rsidRPr="0073442C">
        <w:rPr>
          <w:rFonts w:cs="Arial"/>
          <w:lang w:val="en"/>
        </w:rPr>
        <w:t xml:space="preserve"> </w:t>
      </w:r>
    </w:p>
    <w:p w14:paraId="58721996" w14:textId="2E0F4071" w:rsidR="00DE4346" w:rsidRPr="0073442C" w:rsidRDefault="00426F87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>Newer</w:t>
      </w:r>
      <w:r w:rsidR="00DE4346" w:rsidRPr="0073442C">
        <w:rPr>
          <w:rFonts w:cs="Arial"/>
          <w:lang w:val="en"/>
        </w:rPr>
        <w:t xml:space="preserve"> assays</w:t>
      </w:r>
      <w:r w:rsidRPr="0073442C">
        <w:rPr>
          <w:rFonts w:cs="Arial"/>
          <w:lang w:val="en"/>
        </w:rPr>
        <w:t xml:space="preserve"> now use an antibody which binds to a distinct</w:t>
      </w:r>
      <w:r w:rsidR="00BD650F" w:rsidRPr="0073442C">
        <w:rPr>
          <w:rFonts w:cs="Arial"/>
          <w:lang w:val="en"/>
        </w:rPr>
        <w:t xml:space="preserve"> </w:t>
      </w:r>
      <w:r w:rsidRPr="0073442C">
        <w:rPr>
          <w:rFonts w:cs="Arial"/>
          <w:lang w:val="en"/>
        </w:rPr>
        <w:t xml:space="preserve">“non-functional” epitope of the antigen </w:t>
      </w:r>
      <w:proofErr w:type="gramStart"/>
      <w:r w:rsidR="00BD650F" w:rsidRPr="0073442C">
        <w:rPr>
          <w:rFonts w:cs="Arial"/>
          <w:lang w:val="en"/>
        </w:rPr>
        <w:t>to</w:t>
      </w:r>
      <w:r w:rsidRPr="0073442C">
        <w:rPr>
          <w:rFonts w:cs="Arial"/>
          <w:lang w:val="en"/>
        </w:rPr>
        <w:t xml:space="preserve"> </w:t>
      </w:r>
      <w:r w:rsidR="00BD650F" w:rsidRPr="0073442C">
        <w:rPr>
          <w:rFonts w:cs="Arial"/>
          <w:lang w:val="en"/>
        </w:rPr>
        <w:t xml:space="preserve"> ‘</w:t>
      </w:r>
      <w:r w:rsidR="00440EFE" w:rsidRPr="0073442C">
        <w:rPr>
          <w:rFonts w:cs="Arial"/>
          <w:lang w:val="en"/>
        </w:rPr>
        <w:t>anchor’</w:t>
      </w:r>
      <w:proofErr w:type="gramEnd"/>
      <w:r w:rsidR="00440EFE" w:rsidRPr="0073442C">
        <w:rPr>
          <w:rFonts w:cs="Arial"/>
          <w:lang w:val="en"/>
        </w:rPr>
        <w:t xml:space="preserve"> or ‘capture’ the molecule </w:t>
      </w:r>
      <w:r w:rsidRPr="0073442C">
        <w:rPr>
          <w:rFonts w:cs="Arial"/>
          <w:lang w:val="en"/>
        </w:rPr>
        <w:t xml:space="preserve"> in the support medium. </w:t>
      </w:r>
      <w:r w:rsidR="00BD650F" w:rsidRPr="0073442C">
        <w:rPr>
          <w:rFonts w:cs="Arial"/>
          <w:lang w:val="en"/>
        </w:rPr>
        <w:t>This allows for increased</w:t>
      </w:r>
      <w:r w:rsidRPr="0073442C">
        <w:rPr>
          <w:rFonts w:cs="Arial"/>
          <w:lang w:val="en"/>
        </w:rPr>
        <w:t xml:space="preserve"> </w:t>
      </w:r>
      <w:r w:rsidR="00DE4346" w:rsidRPr="0073442C">
        <w:rPr>
          <w:rFonts w:cs="Arial"/>
          <w:lang w:val="en"/>
        </w:rPr>
        <w:t>a</w:t>
      </w:r>
      <w:r w:rsidR="00BD650F" w:rsidRPr="0073442C">
        <w:rPr>
          <w:rFonts w:cs="Arial"/>
          <w:lang w:val="en"/>
        </w:rPr>
        <w:t xml:space="preserve">ssay </w:t>
      </w:r>
      <w:r w:rsidR="00DE4346" w:rsidRPr="0073442C">
        <w:rPr>
          <w:rFonts w:cs="Arial"/>
          <w:lang w:val="en"/>
        </w:rPr>
        <w:t xml:space="preserve">specificity and </w:t>
      </w:r>
      <w:proofErr w:type="spellStart"/>
      <w:r w:rsidR="00DE4346" w:rsidRPr="0073442C">
        <w:rPr>
          <w:rFonts w:cs="Arial"/>
          <w:lang w:val="en"/>
        </w:rPr>
        <w:t>sensitivitiy</w:t>
      </w:r>
      <w:proofErr w:type="spellEnd"/>
      <w:r w:rsidR="00DE4346" w:rsidRPr="0073442C">
        <w:rPr>
          <w:rFonts w:cs="Arial"/>
          <w:lang w:val="en"/>
        </w:rPr>
        <w:t xml:space="preserve"> </w:t>
      </w:r>
      <w:r w:rsidRPr="0073442C">
        <w:rPr>
          <w:rFonts w:cs="Arial"/>
          <w:lang w:val="en"/>
        </w:rPr>
        <w:t>despite antigen orientation</w:t>
      </w:r>
      <w:r w:rsidR="00BD650F" w:rsidRPr="0073442C">
        <w:rPr>
          <w:rFonts w:cs="Arial"/>
          <w:lang w:val="en"/>
        </w:rPr>
        <w:t xml:space="preserve"> and results can be</w:t>
      </w:r>
      <w:r w:rsidR="00DE4346" w:rsidRPr="0073442C">
        <w:rPr>
          <w:rFonts w:cs="Arial"/>
          <w:lang w:val="en"/>
        </w:rPr>
        <w:t xml:space="preserve"> </w:t>
      </w:r>
      <w:r w:rsidR="00BD650F" w:rsidRPr="0073442C">
        <w:rPr>
          <w:rFonts w:cs="Arial"/>
          <w:lang w:val="en"/>
        </w:rPr>
        <w:t>obtained</w:t>
      </w:r>
      <w:r w:rsidR="00DE4346" w:rsidRPr="0073442C">
        <w:rPr>
          <w:rFonts w:cs="Arial"/>
          <w:lang w:val="en"/>
        </w:rPr>
        <w:t xml:space="preserve"> between 2 and 4 hours.  </w:t>
      </w:r>
    </w:p>
    <w:p w14:paraId="31C1AC4A" w14:textId="324A2E67" w:rsidR="00674069" w:rsidRPr="0073442C" w:rsidRDefault="00440EFE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 xml:space="preserve">However </w:t>
      </w:r>
      <w:r w:rsidR="00DE4346" w:rsidRPr="0073442C">
        <w:rPr>
          <w:rFonts w:cs="Arial"/>
          <w:lang w:val="en"/>
        </w:rPr>
        <w:t>variation in antigens</w:t>
      </w:r>
      <w:r w:rsidRPr="0073442C">
        <w:rPr>
          <w:rFonts w:cs="Arial"/>
          <w:lang w:val="en"/>
        </w:rPr>
        <w:t xml:space="preserve">, </w:t>
      </w:r>
      <w:r w:rsidR="004538CB" w:rsidRPr="0073442C">
        <w:rPr>
          <w:rFonts w:cs="Arial"/>
          <w:lang w:val="en"/>
        </w:rPr>
        <w:t xml:space="preserve">techniques </w:t>
      </w:r>
      <w:r w:rsidR="00DE4346" w:rsidRPr="0073442C">
        <w:rPr>
          <w:rFonts w:cs="Arial"/>
          <w:lang w:val="en"/>
        </w:rPr>
        <w:t>and a lack of international reference materials</w:t>
      </w:r>
      <w:r w:rsidR="004538CB" w:rsidRPr="0073442C">
        <w:rPr>
          <w:rFonts w:cs="Arial"/>
          <w:lang w:val="en"/>
        </w:rPr>
        <w:t xml:space="preserve"> means significant variation in results </w:t>
      </w:r>
      <w:r w:rsidR="002715E7" w:rsidRPr="0073442C">
        <w:rPr>
          <w:rFonts w:cs="Arial"/>
          <w:lang w:val="en"/>
        </w:rPr>
        <w:t>conti</w:t>
      </w:r>
      <w:r w:rsidR="004538CB" w:rsidRPr="0073442C">
        <w:rPr>
          <w:rFonts w:cs="Arial"/>
          <w:lang w:val="en"/>
        </w:rPr>
        <w:t xml:space="preserve">nue to exist.  </w:t>
      </w:r>
    </w:p>
    <w:p w14:paraId="0D78AE9D" w14:textId="6EC96E46" w:rsidR="00CC290B" w:rsidRPr="0073442C" w:rsidRDefault="004538CB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>In addition every</w:t>
      </w:r>
      <w:r w:rsidR="00DE4346" w:rsidRPr="0073442C">
        <w:rPr>
          <w:rFonts w:cs="Arial"/>
          <w:lang w:val="en"/>
        </w:rPr>
        <w:t xml:space="preserve"> patient will</w:t>
      </w:r>
      <w:r w:rsidRPr="0073442C">
        <w:rPr>
          <w:rFonts w:cs="Arial"/>
          <w:lang w:val="en"/>
        </w:rPr>
        <w:t xml:space="preserve"> also</w:t>
      </w:r>
      <w:r w:rsidR="00DE4346" w:rsidRPr="0073442C">
        <w:rPr>
          <w:rFonts w:cs="Arial"/>
          <w:lang w:val="en"/>
        </w:rPr>
        <w:t xml:space="preserve"> make a slightly different IgG antibody to a particular antigen</w:t>
      </w:r>
      <w:r w:rsidR="00674069" w:rsidRPr="0073442C">
        <w:rPr>
          <w:rFonts w:cs="Arial"/>
          <w:lang w:val="en"/>
        </w:rPr>
        <w:t xml:space="preserve"> and that t</w:t>
      </w:r>
      <w:r w:rsidR="00DE4346" w:rsidRPr="0073442C">
        <w:rPr>
          <w:rFonts w:cs="Arial"/>
          <w:lang w:val="en"/>
        </w:rPr>
        <w:t>he epitopes of the antigen to which a patient responds may change during the course of a disease or treatment</w:t>
      </w:r>
      <w:r w:rsidR="00CC290B" w:rsidRPr="0073442C">
        <w:rPr>
          <w:rFonts w:cs="Arial"/>
          <w:lang w:val="en"/>
        </w:rPr>
        <w:t xml:space="preserve">. </w:t>
      </w:r>
    </w:p>
    <w:p w14:paraId="3E3F3086" w14:textId="2E610116" w:rsidR="00E630FE" w:rsidRPr="0073442C" w:rsidRDefault="00DE4346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>A study comparing the different ELISA techniques in healthy controls and patients with known GPA showed high specificity (&gt;98%) for all methods but sensitivity varied from 72% with capture ELISA to 96% with anchor ELISA</w:t>
      </w:r>
      <w:r w:rsidRPr="0073442C">
        <w:rPr>
          <w:rFonts w:cs="Arial"/>
          <w:vertAlign w:val="superscript"/>
          <w:lang w:val="en"/>
        </w:rPr>
        <w:t>5</w:t>
      </w:r>
      <w:r w:rsidRPr="0073442C">
        <w:rPr>
          <w:rFonts w:cs="Arial"/>
          <w:lang w:val="en"/>
        </w:rPr>
        <w:t xml:space="preserve">.  </w:t>
      </w:r>
    </w:p>
    <w:p w14:paraId="4ACEB847" w14:textId="77777777" w:rsidR="004538CB" w:rsidRPr="0073442C" w:rsidRDefault="00DE4346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 xml:space="preserve">International Reference preparations for IgG anti MPO is prepared and for IgG anti PR3 is currently in final evaluation but the full impact of their introduction will take some years. </w:t>
      </w:r>
      <w:r w:rsidR="00B92A2E" w:rsidRPr="0073442C">
        <w:rPr>
          <w:rFonts w:cs="Arial"/>
          <w:lang w:val="en"/>
        </w:rPr>
        <w:t>O</w:t>
      </w:r>
      <w:r w:rsidRPr="0073442C">
        <w:rPr>
          <w:rFonts w:cs="Arial"/>
          <w:lang w:val="en"/>
        </w:rPr>
        <w:t>ther components of the ELISA base</w:t>
      </w:r>
      <w:r w:rsidR="00B92A2E" w:rsidRPr="0073442C">
        <w:rPr>
          <w:rFonts w:cs="Arial"/>
          <w:lang w:val="en"/>
        </w:rPr>
        <w:t>d</w:t>
      </w:r>
      <w:r w:rsidRPr="0073442C">
        <w:rPr>
          <w:rFonts w:cs="Arial"/>
          <w:lang w:val="en"/>
        </w:rPr>
        <w:t xml:space="preserve"> techniques will </w:t>
      </w:r>
      <w:r w:rsidR="00B92A2E" w:rsidRPr="0073442C">
        <w:rPr>
          <w:rFonts w:cs="Arial"/>
          <w:lang w:val="en"/>
        </w:rPr>
        <w:t xml:space="preserve">also </w:t>
      </w:r>
      <w:r w:rsidRPr="0073442C">
        <w:rPr>
          <w:rFonts w:cs="Arial"/>
          <w:lang w:val="en"/>
        </w:rPr>
        <w:t xml:space="preserve">need to be </w:t>
      </w:r>
      <w:proofErr w:type="spellStart"/>
      <w:r w:rsidRPr="0073442C">
        <w:rPr>
          <w:rFonts w:cs="Arial"/>
          <w:lang w:val="en"/>
        </w:rPr>
        <w:t>harmonised</w:t>
      </w:r>
      <w:proofErr w:type="spellEnd"/>
      <w:r w:rsidRPr="0073442C">
        <w:rPr>
          <w:rFonts w:cs="Arial"/>
          <w:lang w:val="en"/>
        </w:rPr>
        <w:t xml:space="preserve"> </w:t>
      </w:r>
      <w:r w:rsidR="00B92A2E" w:rsidRPr="0073442C">
        <w:rPr>
          <w:rFonts w:cs="Arial"/>
          <w:lang w:val="en"/>
        </w:rPr>
        <w:t>(</w:t>
      </w:r>
      <w:r w:rsidRPr="0073442C">
        <w:rPr>
          <w:rFonts w:cs="Arial"/>
          <w:lang w:val="en"/>
        </w:rPr>
        <w:t>e.g. detailed definition of the antigen or epitope being used</w:t>
      </w:r>
      <w:r w:rsidR="00B92A2E" w:rsidRPr="0073442C">
        <w:rPr>
          <w:rFonts w:cs="Arial"/>
          <w:lang w:val="en"/>
        </w:rPr>
        <w:t>)</w:t>
      </w:r>
      <w:r w:rsidRPr="0073442C">
        <w:rPr>
          <w:rFonts w:cs="Arial"/>
          <w:lang w:val="en"/>
        </w:rPr>
        <w:t xml:space="preserve">.  </w:t>
      </w:r>
    </w:p>
    <w:p w14:paraId="2C4C86DB" w14:textId="778064EA" w:rsidR="00DE4346" w:rsidRPr="0073442C" w:rsidRDefault="00DE4346" w:rsidP="00DE4346">
      <w:pPr>
        <w:rPr>
          <w:rFonts w:cs="Arial"/>
          <w:lang w:val="en"/>
        </w:rPr>
      </w:pPr>
      <w:r w:rsidRPr="0073442C">
        <w:rPr>
          <w:rFonts w:cs="Arial"/>
          <w:lang w:val="en"/>
        </w:rPr>
        <w:t xml:space="preserve">Never the less, the discrepancies seen in these assays poses a problem for aiding the diagnosis of GPA, </w:t>
      </w:r>
      <w:proofErr w:type="spellStart"/>
      <w:r w:rsidRPr="0073442C">
        <w:rPr>
          <w:rFonts w:cs="Arial"/>
          <w:lang w:val="en"/>
        </w:rPr>
        <w:t>particulalry</w:t>
      </w:r>
      <w:proofErr w:type="spellEnd"/>
      <w:r w:rsidRPr="0073442C">
        <w:rPr>
          <w:rFonts w:cs="Arial"/>
          <w:lang w:val="en"/>
        </w:rPr>
        <w:t xml:space="preserve"> in patients with complex or atypical presentations.  </w:t>
      </w:r>
    </w:p>
    <w:p w14:paraId="1DB6F520" w14:textId="3FD8088F" w:rsidR="002715E7" w:rsidRPr="0073442C" w:rsidRDefault="002715E7" w:rsidP="00DE4346">
      <w:pPr>
        <w:rPr>
          <w:rFonts w:cs="Arial"/>
          <w:b/>
          <w:lang w:val="en"/>
        </w:rPr>
      </w:pPr>
      <w:r w:rsidRPr="0073442C">
        <w:rPr>
          <w:rFonts w:cs="Arial"/>
          <w:b/>
          <w:lang w:val="en"/>
        </w:rPr>
        <w:t>Management</w:t>
      </w:r>
    </w:p>
    <w:p w14:paraId="5DCD3BED" w14:textId="30C7DAF3" w:rsidR="002715E7" w:rsidRPr="0073442C" w:rsidRDefault="002715E7" w:rsidP="002715E7">
      <w:r w:rsidRPr="0073442C">
        <w:t xml:space="preserve">Our patient was </w:t>
      </w:r>
      <w:proofErr w:type="spellStart"/>
      <w:r w:rsidR="00764A56" w:rsidRPr="0073442C">
        <w:t>catagorized</w:t>
      </w:r>
      <w:proofErr w:type="spellEnd"/>
      <w:r w:rsidR="00764A56" w:rsidRPr="0073442C">
        <w:t xml:space="preserve"> as having generalized systemic </w:t>
      </w:r>
      <w:proofErr w:type="gramStart"/>
      <w:r w:rsidR="00764A56" w:rsidRPr="0073442C">
        <w:t>vasculitis</w:t>
      </w:r>
      <w:r w:rsidR="00CC69FD" w:rsidRPr="0073442C">
        <w:t xml:space="preserve"> </w:t>
      </w:r>
      <w:r w:rsidR="00764A56" w:rsidRPr="0073442C">
        <w:t xml:space="preserve"> and</w:t>
      </w:r>
      <w:proofErr w:type="gramEnd"/>
      <w:r w:rsidR="00764A56" w:rsidRPr="0073442C">
        <w:t xml:space="preserve"> was </w:t>
      </w:r>
      <w:r w:rsidRPr="0073442C">
        <w:t xml:space="preserve">commenced on </w:t>
      </w:r>
      <w:r w:rsidR="00CC69FD" w:rsidRPr="0073442C">
        <w:t>a</w:t>
      </w:r>
      <w:r w:rsidR="005C0CF8" w:rsidRPr="0073442C">
        <w:t xml:space="preserve"> </w:t>
      </w:r>
      <w:r w:rsidR="00017744" w:rsidRPr="0073442C">
        <w:t xml:space="preserve">course of </w:t>
      </w:r>
      <w:r w:rsidR="005C0CF8" w:rsidRPr="0073442C">
        <w:t>remission</w:t>
      </w:r>
      <w:r w:rsidR="00CC69FD" w:rsidRPr="0073442C">
        <w:t xml:space="preserve"> induction </w:t>
      </w:r>
      <w:r w:rsidR="00017744" w:rsidRPr="0073442C">
        <w:t>with</w:t>
      </w:r>
      <w:r w:rsidRPr="0073442C">
        <w:t xml:space="preserve"> Rituximab infusions and Prednisolone</w:t>
      </w:r>
      <w:r w:rsidR="00545CA0" w:rsidRPr="0073442C">
        <w:t xml:space="preserve"> according to the EUVAS vasculitis protocol</w:t>
      </w:r>
      <w:r w:rsidR="00017744" w:rsidRPr="0073442C">
        <w:t xml:space="preserve"> (Reference</w:t>
      </w:r>
      <w:r w:rsidR="00275FCE" w:rsidRPr="0073442C">
        <w:t xml:space="preserve"> 6</w:t>
      </w:r>
      <w:r w:rsidR="00017744" w:rsidRPr="0073442C">
        <w:t>)</w:t>
      </w:r>
    </w:p>
    <w:p w14:paraId="4442DCB2" w14:textId="36811DCC" w:rsidR="005C0CF8" w:rsidRPr="0073442C" w:rsidRDefault="002715E7" w:rsidP="005C0CF8">
      <w:r w:rsidRPr="0073442C">
        <w:t xml:space="preserve">Twelve months following her initial presentation she has had no further episodes of pulmonary </w:t>
      </w:r>
      <w:proofErr w:type="gramStart"/>
      <w:r w:rsidRPr="0073442C">
        <w:t>haemorrhage</w:t>
      </w:r>
      <w:r w:rsidRPr="0073442C">
        <w:rPr>
          <w:rFonts w:cs="Arial"/>
        </w:rPr>
        <w:t xml:space="preserve">  and</w:t>
      </w:r>
      <w:proofErr w:type="gramEnd"/>
      <w:r w:rsidRPr="0073442C">
        <w:rPr>
          <w:rFonts w:cs="Arial"/>
        </w:rPr>
        <w:t xml:space="preserve"> her </w:t>
      </w:r>
      <w:r w:rsidRPr="0073442C">
        <w:t>creatinine is 127</w:t>
      </w:r>
      <w:r w:rsidRPr="0073442C">
        <w:rPr>
          <w:rFonts w:eastAsia="Times New Roman" w:cs="Arial"/>
        </w:rPr>
        <w:t xml:space="preserve"> </w:t>
      </w:r>
      <w:proofErr w:type="spellStart"/>
      <w:r w:rsidRPr="0073442C">
        <w:rPr>
          <w:rFonts w:eastAsia="Times New Roman" w:cs="Arial"/>
        </w:rPr>
        <w:t>umol</w:t>
      </w:r>
      <w:proofErr w:type="spellEnd"/>
      <w:r w:rsidRPr="0073442C">
        <w:rPr>
          <w:rFonts w:eastAsia="Times New Roman" w:cs="Arial"/>
        </w:rPr>
        <w:t>/L</w:t>
      </w:r>
      <w:r w:rsidRPr="0073442C">
        <w:t xml:space="preserve"> (</w:t>
      </w:r>
      <w:proofErr w:type="spellStart"/>
      <w:r w:rsidRPr="0073442C">
        <w:t>eGFR</w:t>
      </w:r>
      <w:proofErr w:type="spellEnd"/>
      <w:r w:rsidRPr="0073442C">
        <w:t xml:space="preserve"> of 40 ml/min/BSA). </w:t>
      </w:r>
      <w:r w:rsidR="005C0CF8" w:rsidRPr="0073442C">
        <w:t xml:space="preserve">. Her prednisolone dose has been subsequently tapered with the introduction of Mycophenolate </w:t>
      </w:r>
      <w:proofErr w:type="spellStart"/>
      <w:r w:rsidR="005C0CF8" w:rsidRPr="0073442C">
        <w:t>mofetil</w:t>
      </w:r>
      <w:proofErr w:type="spellEnd"/>
      <w:r w:rsidR="005C0CF8" w:rsidRPr="0073442C">
        <w:t xml:space="preserve"> </w:t>
      </w:r>
      <w:r w:rsidR="002C61AD" w:rsidRPr="0073442C">
        <w:t xml:space="preserve">(2g per day) </w:t>
      </w:r>
      <w:r w:rsidR="005C0CF8" w:rsidRPr="0073442C">
        <w:t>to maintain remission</w:t>
      </w:r>
      <w:r w:rsidR="00D5394C" w:rsidRPr="0073442C">
        <w:t>.</w:t>
      </w:r>
      <w:r w:rsidR="004D64CA" w:rsidRPr="0073442C">
        <w:t xml:space="preserve"> (</w:t>
      </w:r>
      <w:r w:rsidR="00275FCE" w:rsidRPr="0073442C">
        <w:t>R</w:t>
      </w:r>
      <w:r w:rsidR="004D64CA" w:rsidRPr="0073442C">
        <w:t>eference</w:t>
      </w:r>
      <w:r w:rsidR="00275FCE" w:rsidRPr="0073442C">
        <w:t xml:space="preserve"> 6</w:t>
      </w:r>
      <w:r w:rsidR="004D64CA" w:rsidRPr="0073442C">
        <w:t>)</w:t>
      </w:r>
    </w:p>
    <w:p w14:paraId="0EE69B14" w14:textId="796BE1DA" w:rsidR="002715E7" w:rsidRPr="0073442C" w:rsidRDefault="002715E7" w:rsidP="00DE4346"/>
    <w:p w14:paraId="36E268FC" w14:textId="2D472A0D" w:rsidR="004538CB" w:rsidRPr="0073442C" w:rsidRDefault="00DE4346" w:rsidP="00DE4346">
      <w:pPr>
        <w:rPr>
          <w:lang w:val="en"/>
        </w:rPr>
      </w:pPr>
      <w:r w:rsidRPr="0073442C">
        <w:rPr>
          <w:lang w:val="en"/>
        </w:rPr>
        <w:t xml:space="preserve">This case highlights the potential pitfalls of ANCA testing in the diagnosis of a patient with a GPA.   Despite improvements in </w:t>
      </w:r>
      <w:r w:rsidR="00B80025" w:rsidRPr="0073442C">
        <w:rPr>
          <w:lang w:val="en"/>
        </w:rPr>
        <w:t xml:space="preserve">ELISA assay </w:t>
      </w:r>
      <w:r w:rsidRPr="0073442C">
        <w:rPr>
          <w:lang w:val="en"/>
        </w:rPr>
        <w:t>sensitivity and specificity, high inter-method variation exists</w:t>
      </w:r>
      <w:r w:rsidR="004538CB" w:rsidRPr="0073442C">
        <w:rPr>
          <w:lang w:val="en"/>
        </w:rPr>
        <w:t xml:space="preserve">. </w:t>
      </w:r>
    </w:p>
    <w:p w14:paraId="01A63FA7" w14:textId="108CA6C6" w:rsidR="00B80025" w:rsidRPr="0073442C" w:rsidRDefault="004538CB" w:rsidP="00DE4346">
      <w:pPr>
        <w:rPr>
          <w:lang w:val="en"/>
        </w:rPr>
      </w:pPr>
      <w:r w:rsidRPr="0073442C">
        <w:rPr>
          <w:lang w:val="en"/>
        </w:rPr>
        <w:lastRenderedPageBreak/>
        <w:t>I</w:t>
      </w:r>
      <w:r w:rsidR="00DE4346" w:rsidRPr="0073442C">
        <w:rPr>
          <w:lang w:val="en"/>
        </w:rPr>
        <w:t xml:space="preserve">t is important that </w:t>
      </w:r>
      <w:r w:rsidR="00B80025" w:rsidRPr="0073442C">
        <w:rPr>
          <w:lang w:val="en"/>
        </w:rPr>
        <w:t>c</w:t>
      </w:r>
      <w:r w:rsidR="00DE4346" w:rsidRPr="0073442C">
        <w:rPr>
          <w:lang w:val="en"/>
        </w:rPr>
        <w:t xml:space="preserve">linicians </w:t>
      </w:r>
      <w:r w:rsidRPr="0073442C">
        <w:rPr>
          <w:lang w:val="en"/>
        </w:rPr>
        <w:t xml:space="preserve">appreciate </w:t>
      </w:r>
      <w:r w:rsidR="00DE4346" w:rsidRPr="0073442C">
        <w:rPr>
          <w:lang w:val="en"/>
        </w:rPr>
        <w:t xml:space="preserve">the limitations of these </w:t>
      </w:r>
      <w:r w:rsidR="00B80025" w:rsidRPr="0073442C">
        <w:rPr>
          <w:lang w:val="en"/>
        </w:rPr>
        <w:t>tests and that</w:t>
      </w:r>
      <w:r w:rsidR="00DE4346" w:rsidRPr="0073442C">
        <w:rPr>
          <w:lang w:val="en"/>
        </w:rPr>
        <w:t xml:space="preserve"> no single assay will show 100% clinical specificity or sensitivity.</w:t>
      </w:r>
    </w:p>
    <w:p w14:paraId="7F60FA88" w14:textId="753DA8B2" w:rsidR="00DE4346" w:rsidRPr="0073442C" w:rsidRDefault="00DE4346" w:rsidP="00B80025">
      <w:pPr>
        <w:rPr>
          <w:lang w:val="en"/>
        </w:rPr>
      </w:pPr>
      <w:r w:rsidRPr="0073442C">
        <w:rPr>
          <w:lang w:val="en"/>
        </w:rPr>
        <w:t>This case highlights the need for good communication with the laboratory when results are surprising or inconsistent with the clinical picture</w:t>
      </w:r>
      <w:r w:rsidR="00B80025" w:rsidRPr="0073442C">
        <w:rPr>
          <w:lang w:val="en"/>
        </w:rPr>
        <w:t xml:space="preserve"> and</w:t>
      </w:r>
      <w:r w:rsidRPr="0073442C">
        <w:rPr>
          <w:lang w:val="en"/>
        </w:rPr>
        <w:t xml:space="preserve"> that </w:t>
      </w:r>
      <w:r w:rsidR="00B80025" w:rsidRPr="0073442C">
        <w:rPr>
          <w:lang w:val="en"/>
        </w:rPr>
        <w:t xml:space="preserve">the </w:t>
      </w:r>
      <w:r w:rsidRPr="0073442C">
        <w:rPr>
          <w:lang w:val="en"/>
        </w:rPr>
        <w:t xml:space="preserve">diagnosis of AAV is a clinical and not a laboratory one. </w:t>
      </w:r>
      <w:r w:rsidR="00B80025" w:rsidRPr="0073442C">
        <w:rPr>
          <w:lang w:val="en"/>
        </w:rPr>
        <w:t xml:space="preserve"> </w:t>
      </w:r>
      <w:r w:rsidR="004538CB" w:rsidRPr="0073442C">
        <w:rPr>
          <w:lang w:val="en"/>
        </w:rPr>
        <w:t xml:space="preserve">This latter point </w:t>
      </w:r>
      <w:r w:rsidRPr="0073442C">
        <w:rPr>
          <w:lang w:val="en"/>
        </w:rPr>
        <w:t>is reflected by the American College of Rheumatology Criteria used to identify GPA patients for clinical trials, which do</w:t>
      </w:r>
      <w:r w:rsidR="004538CB" w:rsidRPr="0073442C">
        <w:rPr>
          <w:lang w:val="en"/>
        </w:rPr>
        <w:t>es</w:t>
      </w:r>
      <w:r w:rsidRPr="0073442C">
        <w:rPr>
          <w:lang w:val="en"/>
        </w:rPr>
        <w:t xml:space="preserve"> not include ANCA results</w:t>
      </w:r>
      <w:r w:rsidR="00B80025" w:rsidRPr="0073442C">
        <w:rPr>
          <w:lang w:val="en"/>
        </w:rPr>
        <w:t xml:space="preserve"> at all</w:t>
      </w:r>
      <w:r w:rsidR="004538CB" w:rsidRPr="0073442C">
        <w:rPr>
          <w:lang w:val="en"/>
        </w:rPr>
        <w:t xml:space="preserve"> (reference</w:t>
      </w:r>
      <w:r w:rsidR="0095327A" w:rsidRPr="0073442C">
        <w:rPr>
          <w:lang w:val="en"/>
        </w:rPr>
        <w:t xml:space="preserve"> 4</w:t>
      </w:r>
      <w:r w:rsidR="004538CB" w:rsidRPr="0073442C">
        <w:rPr>
          <w:lang w:val="en"/>
        </w:rPr>
        <w:t>)</w:t>
      </w:r>
    </w:p>
    <w:p w14:paraId="23CF23A4" w14:textId="77777777" w:rsidR="00CB529A" w:rsidRPr="0073442C" w:rsidRDefault="00CB529A" w:rsidP="00CB529A">
      <w:pPr>
        <w:tabs>
          <w:tab w:val="left" w:pos="5040"/>
        </w:tabs>
        <w:rPr>
          <w:b/>
          <w:u w:val="single"/>
        </w:rPr>
      </w:pPr>
    </w:p>
    <w:p w14:paraId="5C9715F4" w14:textId="77777777" w:rsidR="00CB529A" w:rsidRPr="0073442C" w:rsidRDefault="00CB529A" w:rsidP="00CB529A">
      <w:pPr>
        <w:tabs>
          <w:tab w:val="left" w:pos="5040"/>
        </w:tabs>
        <w:rPr>
          <w:b/>
          <w:u w:val="single"/>
        </w:rPr>
      </w:pPr>
    </w:p>
    <w:p w14:paraId="2B322781" w14:textId="77777777" w:rsidR="00CB529A" w:rsidRPr="0073442C" w:rsidRDefault="00CB529A" w:rsidP="00CB529A">
      <w:pPr>
        <w:tabs>
          <w:tab w:val="left" w:pos="5040"/>
        </w:tabs>
        <w:rPr>
          <w:b/>
          <w:u w:val="single"/>
        </w:rPr>
      </w:pPr>
    </w:p>
    <w:p w14:paraId="3E224EFD" w14:textId="77777777" w:rsidR="00CB529A" w:rsidRPr="0073442C" w:rsidRDefault="00CB529A" w:rsidP="00CB529A">
      <w:pPr>
        <w:tabs>
          <w:tab w:val="left" w:pos="5040"/>
        </w:tabs>
        <w:rPr>
          <w:b/>
          <w:u w:val="single"/>
        </w:rPr>
      </w:pPr>
    </w:p>
    <w:p w14:paraId="453D128E" w14:textId="77777777" w:rsidR="00CB529A" w:rsidRPr="0073442C" w:rsidRDefault="00CB529A" w:rsidP="00CB529A">
      <w:pPr>
        <w:tabs>
          <w:tab w:val="left" w:pos="5040"/>
        </w:tabs>
        <w:rPr>
          <w:b/>
          <w:u w:val="single"/>
        </w:rPr>
      </w:pPr>
    </w:p>
    <w:p w14:paraId="08601561" w14:textId="77777777" w:rsidR="004D64CA" w:rsidRPr="0073442C" w:rsidRDefault="004D64CA">
      <w:pPr>
        <w:spacing w:after="0" w:line="240" w:lineRule="auto"/>
        <w:rPr>
          <w:b/>
          <w:u w:val="single"/>
        </w:rPr>
      </w:pPr>
      <w:r w:rsidRPr="0073442C">
        <w:rPr>
          <w:b/>
          <w:u w:val="single"/>
        </w:rPr>
        <w:br w:type="page"/>
      </w:r>
    </w:p>
    <w:p w14:paraId="45376353" w14:textId="0C71E4B8" w:rsidR="00CB529A" w:rsidRPr="0073442C" w:rsidRDefault="00CB529A" w:rsidP="00CB529A">
      <w:pPr>
        <w:tabs>
          <w:tab w:val="left" w:pos="5040"/>
        </w:tabs>
        <w:rPr>
          <w:b/>
        </w:rPr>
      </w:pPr>
      <w:r w:rsidRPr="0073442C">
        <w:rPr>
          <w:b/>
          <w:u w:val="single"/>
        </w:rPr>
        <w:lastRenderedPageBreak/>
        <w:t>Referenc</w:t>
      </w:r>
      <w:r w:rsidRPr="0073442C">
        <w:rPr>
          <w:b/>
        </w:rPr>
        <w:t>es</w:t>
      </w:r>
    </w:p>
    <w:p w14:paraId="78EA49FB" w14:textId="42F00418" w:rsidR="00CB529A" w:rsidRPr="0073442C" w:rsidRDefault="002F79D8" w:rsidP="00CB52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hyperlink r:id="rId5" w:tgtFrame="_blank" w:history="1">
        <w:r w:rsidR="00CB529A" w:rsidRPr="0073442C">
          <w:rPr>
            <w:rStyle w:val="Hyperlink"/>
            <w:color w:val="auto"/>
            <w:u w:val="none"/>
            <w:lang w:val="en"/>
          </w:rPr>
          <w:t>Watts RA</w:t>
        </w:r>
        <w:r w:rsidR="00275FCE" w:rsidRPr="0073442C">
          <w:rPr>
            <w:rStyle w:val="Hyperlink"/>
            <w:color w:val="auto"/>
            <w:u w:val="none"/>
            <w:lang w:val="en"/>
          </w:rPr>
          <w:t xml:space="preserve"> </w:t>
        </w:r>
        <w:r w:rsidR="00CB529A" w:rsidRPr="0073442C">
          <w:rPr>
            <w:rStyle w:val="Hyperlink"/>
            <w:color w:val="auto"/>
            <w:u w:val="none"/>
            <w:lang w:val="en"/>
          </w:rPr>
          <w:t>et al</w:t>
        </w:r>
      </w:hyperlink>
      <w:r w:rsidR="00CB529A" w:rsidRPr="0073442C">
        <w:rPr>
          <w:lang w:val="en"/>
        </w:rPr>
        <w:t xml:space="preserve">; Renal vasculitis in Japan and the UK - are there differences in epidemiology and clinical phenotype? </w:t>
      </w:r>
      <w:proofErr w:type="spellStart"/>
      <w:r w:rsidR="00CB529A" w:rsidRPr="0073442C">
        <w:rPr>
          <w:i/>
          <w:lang w:val="en"/>
        </w:rPr>
        <w:t>Nephrol</w:t>
      </w:r>
      <w:proofErr w:type="spellEnd"/>
      <w:r w:rsidR="00CB529A" w:rsidRPr="0073442C">
        <w:rPr>
          <w:i/>
          <w:lang w:val="en"/>
        </w:rPr>
        <w:t xml:space="preserve"> Dial Transplant</w:t>
      </w:r>
      <w:r w:rsidR="00CB529A" w:rsidRPr="0073442C">
        <w:rPr>
          <w:lang w:val="en"/>
        </w:rPr>
        <w:t>. 2008 Dec</w:t>
      </w:r>
      <w:proofErr w:type="gramStart"/>
      <w:r w:rsidR="00CB529A" w:rsidRPr="0073442C">
        <w:rPr>
          <w:lang w:val="en"/>
        </w:rPr>
        <w:t>;23</w:t>
      </w:r>
      <w:proofErr w:type="gramEnd"/>
      <w:r w:rsidR="00CB529A" w:rsidRPr="0073442C">
        <w:rPr>
          <w:lang w:val="en"/>
        </w:rPr>
        <w:t xml:space="preserve">(12):3928-31. </w:t>
      </w:r>
    </w:p>
    <w:p w14:paraId="4F25126D" w14:textId="77777777" w:rsidR="00CB529A" w:rsidRPr="0073442C" w:rsidRDefault="00CB529A" w:rsidP="00CB529A">
      <w:pPr>
        <w:pStyle w:val="ListParagraph"/>
        <w:spacing w:after="0" w:line="240" w:lineRule="auto"/>
        <w:rPr>
          <w:rFonts w:eastAsia="Times New Roman" w:cs="Times New Roman"/>
        </w:rPr>
      </w:pPr>
    </w:p>
    <w:p w14:paraId="5C40BD2F" w14:textId="77777777" w:rsidR="00CB529A" w:rsidRPr="0073442C" w:rsidRDefault="002F79D8" w:rsidP="00CB52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hyperlink r:id="rId6" w:tgtFrame="_blank" w:history="1">
        <w:r w:rsidR="00CB529A" w:rsidRPr="0073442C">
          <w:rPr>
            <w:rStyle w:val="Hyperlink"/>
            <w:color w:val="auto"/>
            <w:u w:val="none"/>
            <w:lang w:val="en"/>
          </w:rPr>
          <w:t>Watts RA, Al-</w:t>
        </w:r>
        <w:proofErr w:type="spellStart"/>
        <w:r w:rsidR="00CB529A" w:rsidRPr="0073442C">
          <w:rPr>
            <w:rStyle w:val="Hyperlink"/>
            <w:color w:val="auto"/>
            <w:u w:val="none"/>
            <w:lang w:val="en"/>
          </w:rPr>
          <w:t>Taiar</w:t>
        </w:r>
        <w:proofErr w:type="spellEnd"/>
        <w:r w:rsidR="00CB529A" w:rsidRPr="0073442C">
          <w:rPr>
            <w:rStyle w:val="Hyperlink"/>
            <w:color w:val="auto"/>
            <w:u w:val="none"/>
            <w:lang w:val="en"/>
          </w:rPr>
          <w:t xml:space="preserve"> A, Scott DG, et al</w:t>
        </w:r>
      </w:hyperlink>
      <w:r w:rsidR="00CB529A" w:rsidRPr="0073442C">
        <w:rPr>
          <w:lang w:val="en"/>
        </w:rPr>
        <w:t xml:space="preserve">; Prevalence and incidence of Wegener's granulomatosis in the UK general practice research database. </w:t>
      </w:r>
      <w:r w:rsidR="00CB529A" w:rsidRPr="0073442C">
        <w:rPr>
          <w:i/>
          <w:lang w:val="en"/>
        </w:rPr>
        <w:t>Arthritis Rheum</w:t>
      </w:r>
      <w:r w:rsidR="00CB529A" w:rsidRPr="0073442C">
        <w:rPr>
          <w:lang w:val="en"/>
        </w:rPr>
        <w:t>. 2009 Oct 15</w:t>
      </w:r>
      <w:proofErr w:type="gramStart"/>
      <w:r w:rsidR="00CB529A" w:rsidRPr="0073442C">
        <w:rPr>
          <w:lang w:val="en"/>
        </w:rPr>
        <w:t>;61</w:t>
      </w:r>
      <w:proofErr w:type="gramEnd"/>
      <w:r w:rsidR="00CB529A" w:rsidRPr="0073442C">
        <w:rPr>
          <w:lang w:val="en"/>
        </w:rPr>
        <w:t>(10):1412-6.</w:t>
      </w:r>
    </w:p>
    <w:p w14:paraId="3AA688E5" w14:textId="77777777" w:rsidR="00CB529A" w:rsidRPr="0073442C" w:rsidRDefault="00CB529A" w:rsidP="00CB529A">
      <w:pPr>
        <w:pStyle w:val="ListParagraph"/>
        <w:rPr>
          <w:rFonts w:eastAsia="Times New Roman" w:cs="Times New Roman"/>
        </w:rPr>
      </w:pPr>
    </w:p>
    <w:p w14:paraId="21DE8459" w14:textId="1CA00272" w:rsidR="00CB529A" w:rsidRPr="0073442C" w:rsidRDefault="002F79D8" w:rsidP="00CB52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hyperlink r:id="rId7" w:history="1">
        <w:proofErr w:type="spellStart"/>
        <w:r w:rsidR="00CB529A" w:rsidRPr="0073442C">
          <w:rPr>
            <w:rStyle w:val="Hyperlink"/>
            <w:color w:val="auto"/>
            <w:u w:val="none"/>
            <w:lang w:val="en"/>
          </w:rPr>
          <w:t>Csernok</w:t>
        </w:r>
        <w:proofErr w:type="spellEnd"/>
        <w:r w:rsidR="00CB529A" w:rsidRPr="0073442C">
          <w:rPr>
            <w:rStyle w:val="Hyperlink"/>
            <w:color w:val="auto"/>
            <w:u w:val="none"/>
            <w:lang w:val="en"/>
          </w:rPr>
          <w:t xml:space="preserve"> E</w:t>
        </w:r>
      </w:hyperlink>
      <w:r w:rsidR="00CB529A" w:rsidRPr="0073442C">
        <w:rPr>
          <w:lang w:val="en"/>
        </w:rPr>
        <w:t xml:space="preserve"> , </w:t>
      </w:r>
      <w:r w:rsidR="00CB529A" w:rsidRPr="0073442C">
        <w:rPr>
          <w:vanish/>
          <w:lang w:val="en"/>
        </w:rPr>
        <w:t xml:space="preserve">Find all citations by this </w:t>
      </w:r>
      <w:r w:rsidR="00CB529A" w:rsidRPr="0073442C">
        <w:rPr>
          <w:bCs/>
          <w:vanish/>
          <w:lang w:val="en"/>
        </w:rPr>
        <w:t>author</w:t>
      </w:r>
      <w:r w:rsidR="00CB529A" w:rsidRPr="0073442C">
        <w:rPr>
          <w:vanish/>
          <w:lang w:val="en"/>
        </w:rPr>
        <w:t xml:space="preserve"> (default). Or </w:t>
      </w:r>
      <w:hyperlink r:id="rId8" w:history="1">
        <w:r w:rsidR="00CB529A" w:rsidRPr="0073442C">
          <w:rPr>
            <w:rStyle w:val="Hyperlink"/>
            <w:vanish/>
            <w:color w:val="auto"/>
            <w:u w:val="none"/>
            <w:lang w:val="en"/>
          </w:rPr>
          <w:t xml:space="preserve">filter your current search </w:t>
        </w:r>
      </w:hyperlink>
      <w:hyperlink r:id="rId9" w:history="1">
        <w:proofErr w:type="spellStart"/>
        <w:r w:rsidR="00CB529A" w:rsidRPr="0073442C">
          <w:rPr>
            <w:rStyle w:val="Hyperlink"/>
            <w:color w:val="auto"/>
            <w:u w:val="none"/>
            <w:lang w:val="en"/>
          </w:rPr>
          <w:t>Moosig</w:t>
        </w:r>
        <w:proofErr w:type="spellEnd"/>
        <w:r w:rsidR="00CB529A" w:rsidRPr="0073442C">
          <w:rPr>
            <w:rStyle w:val="Hyperlink"/>
            <w:color w:val="auto"/>
            <w:u w:val="none"/>
            <w:lang w:val="en"/>
          </w:rPr>
          <w:t xml:space="preserve"> F</w:t>
        </w:r>
      </w:hyperlink>
      <w:r w:rsidR="00CB529A" w:rsidRPr="0073442C">
        <w:rPr>
          <w:lang w:val="en"/>
        </w:rPr>
        <w:t xml:space="preserve">. </w:t>
      </w:r>
      <w:r w:rsidR="00CB529A" w:rsidRPr="0073442C">
        <w:rPr>
          <w:rStyle w:val="abscitationtitle"/>
          <w:bCs/>
          <w:lang w:val="en"/>
        </w:rPr>
        <w:t>Current and emerging techniques for ANCA detection in vasculitis</w:t>
      </w:r>
      <w:r w:rsidR="00CB529A" w:rsidRPr="0073442C">
        <w:rPr>
          <w:rStyle w:val="abscitationtitle"/>
          <w:bCs/>
          <w:i/>
          <w:lang w:val="en"/>
        </w:rPr>
        <w:t xml:space="preserve">. </w:t>
      </w:r>
      <w:hyperlink r:id="rId10" w:history="1">
        <w:r w:rsidR="00CB529A" w:rsidRPr="0073442C">
          <w:rPr>
            <w:rStyle w:val="Hyperlink"/>
            <w:i/>
            <w:color w:val="auto"/>
            <w:u w:val="none"/>
            <w:lang w:val="en"/>
          </w:rPr>
          <w:t>Nature Reviews. Rheumatology</w:t>
        </w:r>
      </w:hyperlink>
      <w:r w:rsidR="00CB529A" w:rsidRPr="0073442C">
        <w:rPr>
          <w:lang w:val="en"/>
        </w:rPr>
        <w:t xml:space="preserve"> 2014, 10(8):494-501</w:t>
      </w:r>
    </w:p>
    <w:p w14:paraId="708804EC" w14:textId="77777777" w:rsidR="00CB529A" w:rsidRPr="0073442C" w:rsidRDefault="00CB529A" w:rsidP="00CB529A">
      <w:pPr>
        <w:pStyle w:val="ListParagraph"/>
        <w:rPr>
          <w:rFonts w:eastAsia="Times New Roman" w:cs="Times New Roman"/>
        </w:rPr>
      </w:pPr>
    </w:p>
    <w:p w14:paraId="2D31D396" w14:textId="77777777" w:rsidR="00CB529A" w:rsidRPr="0073442C" w:rsidRDefault="00CB529A" w:rsidP="00CB52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3442C">
        <w:rPr>
          <w:rFonts w:eastAsia="Times New Roman" w:cs="Times New Roman"/>
        </w:rPr>
        <w:t xml:space="preserve">Leavitt RY, </w:t>
      </w:r>
      <w:proofErr w:type="spellStart"/>
      <w:r w:rsidRPr="0073442C">
        <w:rPr>
          <w:rFonts w:eastAsia="Times New Roman" w:cs="Times New Roman"/>
        </w:rPr>
        <w:t>Fauci</w:t>
      </w:r>
      <w:proofErr w:type="spellEnd"/>
      <w:r w:rsidRPr="0073442C">
        <w:rPr>
          <w:rFonts w:eastAsia="Times New Roman" w:cs="Times New Roman"/>
        </w:rPr>
        <w:t xml:space="preserve"> AS, Bloch DA et al. The American College of Rheumatology 1990 criteria for the classification of Wegener’s granulomatosis. </w:t>
      </w:r>
      <w:r w:rsidRPr="0073442C">
        <w:rPr>
          <w:rFonts w:eastAsia="Times New Roman" w:cs="Times New Roman"/>
          <w:i/>
        </w:rPr>
        <w:t>Arthritis Rheum</w:t>
      </w:r>
      <w:r w:rsidRPr="0073442C">
        <w:rPr>
          <w:rFonts w:eastAsia="Times New Roman" w:cs="Times New Roman"/>
        </w:rPr>
        <w:t xml:space="preserve"> 1990; 33:11017</w:t>
      </w:r>
    </w:p>
    <w:p w14:paraId="6B8EF316" w14:textId="77777777" w:rsidR="00CB529A" w:rsidRPr="0073442C" w:rsidRDefault="00CB529A" w:rsidP="00CB529A">
      <w:pPr>
        <w:pStyle w:val="ListParagraph"/>
        <w:rPr>
          <w:rFonts w:eastAsia="Times New Roman" w:cs="Times New Roman"/>
        </w:rPr>
      </w:pPr>
    </w:p>
    <w:p w14:paraId="66108BC6" w14:textId="77777777" w:rsidR="00CB529A" w:rsidRPr="0073442C" w:rsidRDefault="00CB529A" w:rsidP="00CB529A">
      <w:pPr>
        <w:pStyle w:val="ListParagraph"/>
        <w:numPr>
          <w:ilvl w:val="0"/>
          <w:numId w:val="1"/>
        </w:numPr>
        <w:spacing w:after="0" w:line="240" w:lineRule="auto"/>
        <w:rPr>
          <w:rStyle w:val="element-citation"/>
          <w:rFonts w:eastAsia="Times New Roman" w:cs="Times New Roman"/>
        </w:rPr>
      </w:pPr>
      <w:proofErr w:type="spellStart"/>
      <w:r w:rsidRPr="0073442C">
        <w:rPr>
          <w:rStyle w:val="element-citation"/>
          <w:lang w:val="en"/>
        </w:rPr>
        <w:t>Hellmich</w:t>
      </w:r>
      <w:proofErr w:type="spellEnd"/>
      <w:r w:rsidRPr="0073442C">
        <w:rPr>
          <w:rStyle w:val="element-citation"/>
          <w:lang w:val="en"/>
        </w:rPr>
        <w:t xml:space="preserve"> B, </w:t>
      </w:r>
      <w:proofErr w:type="spellStart"/>
      <w:r w:rsidRPr="0073442C">
        <w:rPr>
          <w:rStyle w:val="element-citation"/>
          <w:lang w:val="en"/>
        </w:rPr>
        <w:t>Csernok</w:t>
      </w:r>
      <w:proofErr w:type="spellEnd"/>
      <w:r w:rsidRPr="0073442C">
        <w:rPr>
          <w:rStyle w:val="element-citation"/>
          <w:lang w:val="en"/>
        </w:rPr>
        <w:t xml:space="preserve"> E, </w:t>
      </w:r>
      <w:proofErr w:type="spellStart"/>
      <w:r w:rsidRPr="0073442C">
        <w:rPr>
          <w:rStyle w:val="element-citation"/>
          <w:lang w:val="en"/>
        </w:rPr>
        <w:t>Fredenhagen</w:t>
      </w:r>
      <w:proofErr w:type="spellEnd"/>
      <w:r w:rsidRPr="0073442C">
        <w:rPr>
          <w:rStyle w:val="element-citation"/>
          <w:lang w:val="en"/>
        </w:rPr>
        <w:t xml:space="preserve"> G, Gross WL. A novel high sensitivity ELISA for detection of </w:t>
      </w:r>
      <w:proofErr w:type="spellStart"/>
      <w:r w:rsidRPr="0073442C">
        <w:rPr>
          <w:rStyle w:val="element-citation"/>
          <w:lang w:val="en"/>
        </w:rPr>
        <w:t>antineutrophil</w:t>
      </w:r>
      <w:proofErr w:type="spellEnd"/>
      <w:r w:rsidRPr="0073442C">
        <w:rPr>
          <w:rStyle w:val="element-citation"/>
          <w:lang w:val="en"/>
        </w:rPr>
        <w:t xml:space="preserve"> cytoplasm antibodies against proteinase-3. </w:t>
      </w:r>
      <w:r w:rsidRPr="0073442C">
        <w:rPr>
          <w:rStyle w:val="Emphasis"/>
          <w:lang w:val="en"/>
        </w:rPr>
        <w:t>Clinical and Experimental Rheumatology</w:t>
      </w:r>
      <w:r w:rsidRPr="0073442C">
        <w:rPr>
          <w:rStyle w:val="ref-journal"/>
          <w:lang w:val="en"/>
        </w:rPr>
        <w:t xml:space="preserve">. </w:t>
      </w:r>
      <w:r w:rsidRPr="0073442C">
        <w:rPr>
          <w:rStyle w:val="element-citation"/>
          <w:lang w:val="en"/>
        </w:rPr>
        <w:t>2007</w:t>
      </w:r>
      <w:proofErr w:type="gramStart"/>
      <w:r w:rsidRPr="0073442C">
        <w:rPr>
          <w:rStyle w:val="element-citation"/>
          <w:lang w:val="en"/>
        </w:rPr>
        <w:t>;</w:t>
      </w:r>
      <w:r w:rsidRPr="0073442C">
        <w:rPr>
          <w:rStyle w:val="ref-vol"/>
          <w:lang w:val="en"/>
        </w:rPr>
        <w:t>25</w:t>
      </w:r>
      <w:proofErr w:type="gramEnd"/>
      <w:r w:rsidRPr="0073442C">
        <w:rPr>
          <w:rStyle w:val="element-citation"/>
          <w:lang w:val="en"/>
        </w:rPr>
        <w:t>(1):S1–S5.</w:t>
      </w:r>
    </w:p>
    <w:p w14:paraId="316D6123" w14:textId="77777777" w:rsidR="00275FCE" w:rsidRPr="0073442C" w:rsidRDefault="00275FCE" w:rsidP="006F5D9A">
      <w:pPr>
        <w:spacing w:after="0" w:line="240" w:lineRule="auto"/>
        <w:rPr>
          <w:rStyle w:val="element-citation"/>
          <w:rFonts w:eastAsia="Times New Roman" w:cs="Times New Roman"/>
        </w:rPr>
      </w:pPr>
    </w:p>
    <w:p w14:paraId="5BAF8128" w14:textId="36073A13" w:rsidR="00860F29" w:rsidRPr="0073442C" w:rsidRDefault="00860F29" w:rsidP="00860F29">
      <w:pPr>
        <w:pStyle w:val="ListParagraph"/>
        <w:numPr>
          <w:ilvl w:val="0"/>
          <w:numId w:val="1"/>
        </w:numPr>
        <w:shd w:val="clear" w:color="auto" w:fill="FFFFFF"/>
        <w:spacing w:before="120" w:after="360" w:line="240" w:lineRule="auto"/>
        <w:ind w:right="2"/>
        <w:rPr>
          <w:rFonts w:eastAsia="Times New Roman" w:cs="Arial"/>
        </w:rPr>
      </w:pPr>
      <w:r w:rsidRPr="0073442C">
        <w:rPr>
          <w:rFonts w:eastAsia="Times New Roman" w:cs="Arial"/>
        </w:rPr>
        <w:t xml:space="preserve">Yates et al. </w:t>
      </w:r>
      <w:r w:rsidR="00275FCE" w:rsidRPr="0073442C">
        <w:rPr>
          <w:rFonts w:eastAsia="Times New Roman" w:cs="Arial"/>
          <w:bCs/>
          <w:kern w:val="36"/>
        </w:rPr>
        <w:t>EULAR/ERA-EDTA recommendations for the management of ANCA-associated vasculitis</w:t>
      </w:r>
      <w:r w:rsidR="00275FCE" w:rsidRPr="0073442C">
        <w:rPr>
          <w:rFonts w:eastAsia="Times New Roman" w:cs="Arial"/>
          <w:i/>
        </w:rPr>
        <w:t xml:space="preserve">. </w:t>
      </w:r>
      <w:hyperlink r:id="rId11" w:tooltip="Annals of the rheumatic diseases." w:history="1">
        <w:r w:rsidRPr="0073442C">
          <w:rPr>
            <w:rFonts w:eastAsia="Times New Roman" w:cs="Arial"/>
            <w:i/>
          </w:rPr>
          <w:t>Ann Rheum Dis.</w:t>
        </w:r>
      </w:hyperlink>
      <w:r w:rsidRPr="0073442C">
        <w:rPr>
          <w:rFonts w:eastAsia="Times New Roman" w:cs="Arial"/>
        </w:rPr>
        <w:t xml:space="preserve"> 2016 Sep</w:t>
      </w:r>
      <w:proofErr w:type="gramStart"/>
      <w:r w:rsidRPr="0073442C">
        <w:rPr>
          <w:rFonts w:eastAsia="Times New Roman" w:cs="Arial"/>
        </w:rPr>
        <w:t>;75</w:t>
      </w:r>
      <w:proofErr w:type="gramEnd"/>
      <w:r w:rsidRPr="0073442C">
        <w:rPr>
          <w:rFonts w:eastAsia="Times New Roman" w:cs="Arial"/>
        </w:rPr>
        <w:t xml:space="preserve">(9):1583-94. </w:t>
      </w:r>
    </w:p>
    <w:p w14:paraId="22E70F36" w14:textId="02E2067E" w:rsidR="00860F29" w:rsidRPr="0073442C" w:rsidRDefault="00860F29" w:rsidP="006F5D9A">
      <w:pPr>
        <w:shd w:val="clear" w:color="auto" w:fill="FFFFFF"/>
        <w:spacing w:before="240" w:after="360" w:line="240" w:lineRule="auto"/>
        <w:ind w:left="360" w:right="2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46782226" w14:textId="77777777" w:rsidR="00B22916" w:rsidRPr="0073442C" w:rsidRDefault="00B22916"/>
    <w:sectPr w:rsidR="00B22916" w:rsidRPr="0073442C" w:rsidSect="00B229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4A0D"/>
    <w:multiLevelType w:val="hybridMultilevel"/>
    <w:tmpl w:val="A9BE6588"/>
    <w:lvl w:ilvl="0" w:tplc="EBFE1584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6"/>
    <w:rsid w:val="00017744"/>
    <w:rsid w:val="00064D4C"/>
    <w:rsid w:val="000A67E1"/>
    <w:rsid w:val="00122E1E"/>
    <w:rsid w:val="001412F8"/>
    <w:rsid w:val="001B763A"/>
    <w:rsid w:val="001F7136"/>
    <w:rsid w:val="002715E7"/>
    <w:rsid w:val="00275FCE"/>
    <w:rsid w:val="00294924"/>
    <w:rsid w:val="002A38F2"/>
    <w:rsid w:val="002C61AD"/>
    <w:rsid w:val="002F79D8"/>
    <w:rsid w:val="00306D1B"/>
    <w:rsid w:val="003338D4"/>
    <w:rsid w:val="00363BB7"/>
    <w:rsid w:val="003A0CD3"/>
    <w:rsid w:val="003C321E"/>
    <w:rsid w:val="003C4882"/>
    <w:rsid w:val="003C4F10"/>
    <w:rsid w:val="003D7432"/>
    <w:rsid w:val="003E5B5F"/>
    <w:rsid w:val="003E6A1B"/>
    <w:rsid w:val="003F06EF"/>
    <w:rsid w:val="0042472E"/>
    <w:rsid w:val="00426F87"/>
    <w:rsid w:val="00440EFE"/>
    <w:rsid w:val="004538CB"/>
    <w:rsid w:val="004541F5"/>
    <w:rsid w:val="004846FE"/>
    <w:rsid w:val="00497054"/>
    <w:rsid w:val="004D64CA"/>
    <w:rsid w:val="00545CA0"/>
    <w:rsid w:val="00550578"/>
    <w:rsid w:val="00557469"/>
    <w:rsid w:val="00586EFD"/>
    <w:rsid w:val="00596043"/>
    <w:rsid w:val="005A2D81"/>
    <w:rsid w:val="005C0CF8"/>
    <w:rsid w:val="00627B24"/>
    <w:rsid w:val="00656D70"/>
    <w:rsid w:val="00674069"/>
    <w:rsid w:val="006F5D9A"/>
    <w:rsid w:val="0073442C"/>
    <w:rsid w:val="00764A56"/>
    <w:rsid w:val="0076767C"/>
    <w:rsid w:val="00795B1F"/>
    <w:rsid w:val="007C3FC0"/>
    <w:rsid w:val="0080075F"/>
    <w:rsid w:val="00802FE1"/>
    <w:rsid w:val="00825C1D"/>
    <w:rsid w:val="00830752"/>
    <w:rsid w:val="00860F29"/>
    <w:rsid w:val="008957A2"/>
    <w:rsid w:val="00901809"/>
    <w:rsid w:val="009256CE"/>
    <w:rsid w:val="0095327A"/>
    <w:rsid w:val="0095400D"/>
    <w:rsid w:val="00983294"/>
    <w:rsid w:val="00A34DB0"/>
    <w:rsid w:val="00A42FD0"/>
    <w:rsid w:val="00A93262"/>
    <w:rsid w:val="00AA375F"/>
    <w:rsid w:val="00B22916"/>
    <w:rsid w:val="00B25E4C"/>
    <w:rsid w:val="00B72EF0"/>
    <w:rsid w:val="00B80025"/>
    <w:rsid w:val="00B92A2E"/>
    <w:rsid w:val="00BB7AD4"/>
    <w:rsid w:val="00BD2302"/>
    <w:rsid w:val="00BD650F"/>
    <w:rsid w:val="00C5064A"/>
    <w:rsid w:val="00CB09D5"/>
    <w:rsid w:val="00CB529A"/>
    <w:rsid w:val="00CC290B"/>
    <w:rsid w:val="00CC69FD"/>
    <w:rsid w:val="00CC7CA1"/>
    <w:rsid w:val="00CE3C7C"/>
    <w:rsid w:val="00CF1341"/>
    <w:rsid w:val="00D318E8"/>
    <w:rsid w:val="00D5394C"/>
    <w:rsid w:val="00DE4346"/>
    <w:rsid w:val="00DE5D78"/>
    <w:rsid w:val="00E436B5"/>
    <w:rsid w:val="00E51598"/>
    <w:rsid w:val="00E54DC3"/>
    <w:rsid w:val="00E630FE"/>
    <w:rsid w:val="00ED2586"/>
    <w:rsid w:val="00EE1AAF"/>
    <w:rsid w:val="00F32EF6"/>
    <w:rsid w:val="00F60D84"/>
    <w:rsid w:val="00F87CE2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92058"/>
  <w15:docId w15:val="{6C70066A-56DE-4FC5-B064-63D14CC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46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60F2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4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46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46"/>
    <w:rPr>
      <w:rFonts w:ascii="Lucida Grande" w:hAnsi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5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29A"/>
    <w:pPr>
      <w:ind w:left="720"/>
      <w:contextualSpacing/>
    </w:pPr>
  </w:style>
  <w:style w:type="character" w:customStyle="1" w:styleId="abscitationtitle">
    <w:name w:val="abs_citation_title"/>
    <w:basedOn w:val="DefaultParagraphFont"/>
    <w:rsid w:val="00CB529A"/>
  </w:style>
  <w:style w:type="character" w:customStyle="1" w:styleId="element-citation">
    <w:name w:val="element-citation"/>
    <w:basedOn w:val="DefaultParagraphFont"/>
    <w:rsid w:val="00CB529A"/>
  </w:style>
  <w:style w:type="character" w:customStyle="1" w:styleId="ref-journal">
    <w:name w:val="ref-journal"/>
    <w:basedOn w:val="DefaultParagraphFont"/>
    <w:rsid w:val="00CB529A"/>
  </w:style>
  <w:style w:type="character" w:customStyle="1" w:styleId="ref-vol">
    <w:name w:val="ref-vol"/>
    <w:basedOn w:val="DefaultParagraphFont"/>
    <w:rsid w:val="00CB529A"/>
  </w:style>
  <w:style w:type="character" w:styleId="Emphasis">
    <w:name w:val="Emphasis"/>
    <w:basedOn w:val="DefaultParagraphFont"/>
    <w:uiPriority w:val="20"/>
    <w:qFormat/>
    <w:rsid w:val="00CB529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0F2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86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3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4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pmc.org/search?query=AUTH:%22Moosig+F%22&amp;page=1&amp;refineauth=Moosig+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pepmc.org/search?page=1&amp;query=AUTH:%22Csernok+E%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cmd=Retrieve&amp;db=PubMed&amp;dopt=Abstract&amp;list_uids=19790134" TargetMode="External"/><Relationship Id="rId11" Type="http://schemas.openxmlformats.org/officeDocument/2006/relationships/hyperlink" Target="http://www.ncbi.nlm.nih.gov/pubmed/27338776" TargetMode="External"/><Relationship Id="rId5" Type="http://schemas.openxmlformats.org/officeDocument/2006/relationships/hyperlink" Target="http://www.ncbi.nlm.nih.gov/entrez/query.fcgi?cmd=Retrieve&amp;db=PubMed&amp;dopt=Abstract&amp;list_uids=18565978" TargetMode="External"/><Relationship Id="rId10" Type="http://schemas.openxmlformats.org/officeDocument/2006/relationships/hyperlink" Target="http://europepmc.org/search?page=1&amp;query=JOURNAL:%22Nat+Rev+Rheumatol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epmc.org/search?page=1&amp;query=AUTH:%22Moosig+F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 Office 2011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jia-hui wang</dc:creator>
  <cp:lastModifiedBy>Jennifer Hughes</cp:lastModifiedBy>
  <cp:revision>2</cp:revision>
  <cp:lastPrinted>2016-09-19T09:08:00Z</cp:lastPrinted>
  <dcterms:created xsi:type="dcterms:W3CDTF">2017-04-03T14:11:00Z</dcterms:created>
  <dcterms:modified xsi:type="dcterms:W3CDTF">2017-04-03T14:11:00Z</dcterms:modified>
</cp:coreProperties>
</file>