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AD1F" w14:textId="77777777" w:rsidR="00EA6A84" w:rsidRPr="00B3704D" w:rsidRDefault="00EA6A84" w:rsidP="00EA6A84">
      <w:pPr>
        <w:spacing w:after="0" w:line="480" w:lineRule="auto"/>
        <w:rPr>
          <w:rFonts w:ascii="Times New Roman" w:hAnsi="Times New Roman" w:cs="Times New Roman"/>
          <w:b/>
          <w:sz w:val="28"/>
          <w:szCs w:val="28"/>
        </w:rPr>
      </w:pPr>
      <w:bookmarkStart w:id="0" w:name="_GoBack"/>
      <w:bookmarkEnd w:id="0"/>
      <w:r w:rsidRPr="00B3704D">
        <w:rPr>
          <w:rFonts w:ascii="Times New Roman" w:hAnsi="Times New Roman" w:cs="Times New Roman"/>
          <w:b/>
          <w:sz w:val="28"/>
          <w:szCs w:val="28"/>
        </w:rPr>
        <w:t>Introduction</w:t>
      </w:r>
    </w:p>
    <w:p w14:paraId="17D05D80" w14:textId="2ACF8A05" w:rsidR="00EA6A84" w:rsidRPr="00B3704D"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 xml:space="preserve">Enterovirus and </w:t>
      </w:r>
      <w:r w:rsidR="00490DD1">
        <w:rPr>
          <w:rFonts w:ascii="Times New Roman" w:hAnsi="Times New Roman" w:cs="Times New Roman"/>
          <w:sz w:val="24"/>
          <w:szCs w:val="24"/>
        </w:rPr>
        <w:t>h</w:t>
      </w:r>
      <w:r w:rsidRPr="00B3704D">
        <w:rPr>
          <w:rFonts w:ascii="Times New Roman" w:hAnsi="Times New Roman" w:cs="Times New Roman"/>
          <w:sz w:val="24"/>
          <w:szCs w:val="24"/>
        </w:rPr>
        <w:t xml:space="preserve">uman </w:t>
      </w:r>
      <w:r w:rsidR="00490DD1">
        <w:rPr>
          <w:rFonts w:ascii="Times New Roman" w:hAnsi="Times New Roman" w:cs="Times New Roman"/>
          <w:sz w:val="24"/>
          <w:szCs w:val="24"/>
        </w:rPr>
        <w:t>p</w:t>
      </w:r>
      <w:r w:rsidRPr="00B3704D">
        <w:rPr>
          <w:rFonts w:ascii="Times New Roman" w:hAnsi="Times New Roman" w:cs="Times New Roman"/>
          <w:sz w:val="24"/>
          <w:szCs w:val="24"/>
        </w:rPr>
        <w:t>arechovirus (EV/HPeV) are two viruses belonging to the same family of Picornaviridae. The clinical manifestations of HPeV</w:t>
      </w:r>
      <w:r>
        <w:rPr>
          <w:rFonts w:ascii="Times New Roman" w:hAnsi="Times New Roman" w:cs="Times New Roman"/>
          <w:sz w:val="24"/>
          <w:szCs w:val="24"/>
        </w:rPr>
        <w:t xml:space="preserve"> infection</w:t>
      </w:r>
      <w:r w:rsidRPr="00B3704D">
        <w:rPr>
          <w:rFonts w:ascii="Times New Roman" w:hAnsi="Times New Roman" w:cs="Times New Roman"/>
          <w:sz w:val="24"/>
          <w:szCs w:val="24"/>
        </w:rPr>
        <w:t xml:space="preserve"> are often indistinguishable from those caused by EV. Infections with these viruses are prevalent in children and generally cause mild upper respiratory and gastrointestinal illnesses.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"Non-polio enteroviruses are currently the most common agents of the central nervous system viral infection, and are the major causes especially in patients with aseptic meningitis. The practical problems with enterovirus meningitis revealed from the investigation of our patients are as follows. (1) The triad of symptoms of meningitis (fever, headache, vomiting) were seen only in 50% of the older children affected. The only manifestation of neonates with aseptic meningitis was fever. (2) In more than half of the patients, the cerebrospinal fluid showed polymorphonuclear predominance within 3 days from the onset. (3) The causal viruses were isolated frequently (70%) from the cerebrospinal fluid of the children with aseptic meningitis. (4) The patients more than 1 year of age had no sequela clinically. Among neonates and early infants, transient abnormalities of brain CT findings were seen in 40% and delayed speech in 30%. Their prognosis should be investigated more precisely.", "author" : [ { "dropping-particle" : "", "family" : "Zaoutis", "given" : "Theoklis", "non-dropping-particle" : "", "parse-names" : false, "suffix" : "" }, { "dropping-particle" : "", "family" : "Klein", "given" : "Joel D.", "non-dropping-particle" : "", "parse-names" : false, "suffix" : "" } ], "container-title" : "Pediatrics in Review", "id" : "ITEM-1", "issue" : "6", "issued" : { "date-parts" : [ [ "1998" ] ] }, "page" : "183-91", "title" : "Enterovirus infections", "type" : "article-journal", "volume" : "19" }, "uris" : [ "http://www.mendeley.com/documents/?uuid=018a7aa3-246a-4752-b484-8d842a7bf284" ] } ], "mendeley" : { "formattedCitation" : "&lt;sup&gt;1&lt;/sup&gt;", "plainTextFormattedCitation" : "1" }, "properties" : { "noteIndex" : 0 }, "schema" : "https://github.com/citation-style-language/schema/raw/master/csl-citation.json" }</w:instrText>
      </w:r>
      <w:r>
        <w:rPr>
          <w:rFonts w:ascii="Times New Roman" w:hAnsi="Times New Roman" w:cs="Times New Roman"/>
          <w:sz w:val="24"/>
          <w:szCs w:val="24"/>
        </w:rPr>
        <w:fldChar w:fldCharType="separate"/>
      </w:r>
      <w:r w:rsidRPr="00EC3653">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B3704D">
        <w:rPr>
          <w:rFonts w:ascii="Times New Roman" w:hAnsi="Times New Roman" w:cs="Times New Roman"/>
          <w:sz w:val="24"/>
          <w:szCs w:val="24"/>
        </w:rPr>
        <w:t xml:space="preserve"> Over the past decades, large outbreaks of EV/HPeV had been documented worldwide.</w:t>
      </w:r>
      <w:r w:rsidRPr="00B370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"10.1097/MOP.0000000000000303.Enteroviruses", "ISBN" : "0000000000000", "author" : [ { "dropping-particle" : "", "family" : "Lugo", "given" : "D", "non-dropping-particle" : "", "parse-names" : false, "suffix" : "" }, { "dropping-particle" : "", "family" : "Krogstad", "given" : "P", "non-dropping-particle" : "", "parse-names" : false, "suffix" : "" } ], "id" : "ITEM-1", "issue" : "1", "issued" : { "date-parts" : [ [ "2016" ] ] }, "page" : "2016", "title" : "Enteroviruses in the early 21st century : new manifestations and challenges .", "type" : "article-journal", "volume" : "28" }, "uris" : [ "http://www.mendeley.com/documents/?uuid=a42ababe-91dc-4dbe-96fc-5524bda23db0" ] } ], "mendeley" : { "formattedCitation" : "&lt;sup&gt;2&lt;/sup&gt;", "plainTextFormattedCitation" : "2", "previouslyFormattedCitation" : "&lt;sup&gt;2&lt;/sup&gt;" }, "properties" : { "noteIndex" : 0 }, "schema" : "https://github.com/citation-style-language/schema/raw/master/csl-citation.json" }</w:instrText>
      </w:r>
      <w:r w:rsidRPr="00B3704D">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2</w:t>
      </w:r>
      <w:r w:rsidRPr="00B3704D">
        <w:rPr>
          <w:rFonts w:ascii="Times New Roman" w:hAnsi="Times New Roman" w:cs="Times New Roman"/>
          <w:sz w:val="24"/>
          <w:szCs w:val="24"/>
        </w:rPr>
        <w:fldChar w:fldCharType="end"/>
      </w:r>
      <w:r w:rsidRPr="00B3704D">
        <w:rPr>
          <w:rFonts w:ascii="Times New Roman" w:hAnsi="Times New Roman" w:cs="Times New Roman"/>
          <w:sz w:val="24"/>
          <w:szCs w:val="24"/>
        </w:rPr>
        <w:t xml:space="preserve"> During these outbreaks, an increase </w:t>
      </w:r>
      <w:r>
        <w:rPr>
          <w:rFonts w:ascii="Times New Roman" w:hAnsi="Times New Roman" w:cs="Times New Roman"/>
          <w:sz w:val="24"/>
          <w:szCs w:val="24"/>
        </w:rPr>
        <w:t xml:space="preserve">in </w:t>
      </w:r>
      <w:r w:rsidRPr="00B3704D">
        <w:rPr>
          <w:rFonts w:ascii="Times New Roman" w:hAnsi="Times New Roman" w:cs="Times New Roman"/>
          <w:sz w:val="24"/>
          <w:szCs w:val="24"/>
        </w:rPr>
        <w:t xml:space="preserve">more severe illnesses, </w:t>
      </w:r>
      <w:r>
        <w:rPr>
          <w:rFonts w:ascii="Times New Roman" w:hAnsi="Times New Roman" w:cs="Times New Roman"/>
          <w:sz w:val="24"/>
          <w:szCs w:val="24"/>
        </w:rPr>
        <w:t>including</w:t>
      </w:r>
      <w:r w:rsidRPr="00B3704D">
        <w:rPr>
          <w:rFonts w:ascii="Times New Roman" w:hAnsi="Times New Roman" w:cs="Times New Roman"/>
          <w:sz w:val="24"/>
          <w:szCs w:val="24"/>
        </w:rPr>
        <w:t xml:space="preserve"> sepsis</w:t>
      </w:r>
      <w:r w:rsidR="00851684">
        <w:rPr>
          <w:rFonts w:ascii="Times New Roman" w:hAnsi="Times New Roman" w:cs="Times New Roman"/>
          <w:sz w:val="24"/>
          <w:szCs w:val="24"/>
        </w:rPr>
        <w:t xml:space="preserve"> like illness</w:t>
      </w:r>
      <w:r w:rsidRPr="00B3704D">
        <w:rPr>
          <w:rFonts w:ascii="Times New Roman" w:hAnsi="Times New Roman" w:cs="Times New Roman"/>
          <w:sz w:val="24"/>
          <w:szCs w:val="24"/>
        </w:rPr>
        <w:t>, myocarditis, pneumonia, myelitis and meningo-encephalitis h</w:t>
      </w:r>
      <w:r>
        <w:rPr>
          <w:rFonts w:ascii="Times New Roman" w:hAnsi="Times New Roman" w:cs="Times New Roman"/>
          <w:sz w:val="24"/>
          <w:szCs w:val="24"/>
        </w:rPr>
        <w:t>as</w:t>
      </w:r>
      <w:r w:rsidRPr="00B3704D">
        <w:rPr>
          <w:rFonts w:ascii="Times New Roman" w:hAnsi="Times New Roman" w:cs="Times New Roman"/>
          <w:sz w:val="24"/>
          <w:szCs w:val="24"/>
        </w:rPr>
        <w:t xml:space="preserve"> been reported.</w:t>
      </w:r>
      <w:r w:rsidRPr="00B3704D">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 "citationItems" : [ { "id" : "ITEM-1", "itemData" : { "DOI" : "10.1016/S1473-3099(15)70093-9", "ISSN" : "1474-4457", "PMID" : "25837569", "abstract" : "BACKGROUND: Enterovirus D68 was implicated in a widespread outbreak of severe respiratory illness across the USA in 2014 and has also been reported sporadically in patients with acute flaccid myelitis. We aimed to investigate the association between enterovirus D68 infection and acute flaccid myelitis during the 2014 enterovirus D68 respiratory outbreak in the USA.\\n\\nMETHODS: Patients with acute flaccid myelitis who presented to two hospitals in Colorado and California, USA, between Nov 24, 2013, and Oct 11, 2014, were included in the study. Additional cases identified from Jan 1, 2012, to Oct 4, 2014, via statewide surveillance were provided by the California Department of Public Health. We investigated the cause of these cases by metagenomic next-generation sequencing, viral genome recovery, and enterovirus D68 phylogenetic analysis. We compared patients with acute flaccid myelitis who were positive for enterovirus D68 with those with acute flaccid myelitis but negative for enterovirus D68 using the two-tailed Fisher's exact test, two-sample unpaired t test, and Mann-Whitney U test.\\n\\nFINDINGS: 48 patients were included: 25 with acute flaccid myelitis, two with enterovirus-associated encephalitis, five with enterovirus-D68-associated upper respiratory illness, and 16 with aseptic meningitis or encephalitis who tested positive for enterovirus. Enterovirus D68 was detected in respiratory secretions from seven (64%) of 11 patients comprising two temporally and geographically linked acute flaccid myelitis clusters at the height of the 2014 outbreak, and from 12 (48%) of 25 patients with acute flaccid myelitis overall. Phylogenetic analysis revealed that all enterovirus D68 sequences associated with acute flaccid myelitis grouped into a clade B1 strain that emerged in 2010. Of six coding polymorphisms in the clade B1 enterovirus D68 polyprotein, five were present in neuropathogenic poliovirus or enterovirus D70, or both. One child with acute flaccid myelitis and a sibling with only upper respiratory illness were both infected by identical enterovirus D68 strains. Enterovirus D68 viraemia was identified in a child experiencing acute neurological progression of his paralytic illness. Deep metagenomic sequencing of cerebrospinal fluid from 14 patients with acute flaccid myelitis did not reveal evidence of an alternative infectious cause to enterovirus D68.\\n\\nINTERPRETATION: These findings strengthen the putative association between enterovirus D68 and acut\u2026", "author" : [ { "dropping-particle" : "", "family" : "Greninger", "given" : "Alexander L", "non-dropping-particle" : "", "parse-names" : false, "suffix" : "" }, { "dropping-particle" : "", "family" : "Naccache", "given" : "Samia N", "non-dropping-particle" : "", "parse-names" : false, "suffix" : "" }, { "dropping-particle" : "", "family" : "Messacar", "given" : "Kevin", "non-dropping-particle" : "", "parse-names" : false, "suffix" : "" }, { "dropping-particle" : "", "family" : "Clayton", "given" : "Anna", "non-dropping-particle" : "", "parse-names" : false, "suffix" : "" }, { "dropping-particle" : "", "family" : "Yu", "given" : "Guixia", "non-dropping-particle" : "", "parse-names" : false, "suffix" : "" }, { "dropping-particle" : "", "family" : "Somasekar", "given" : "Sneha", "non-dropping-particle" : "", "parse-names" : false, "suffix" : "" }, { "dropping-particle" : "", "family" : "Federman", "given" : "Scot", "non-dropping-particle" : "", "parse-names" : false, "suffix" : "" }, { "dropping-particle" : "", "family" : "Stryke", "given" : "Doug", "non-dropping-particle" : "", "parse-names" : false, "suffix" : "" }, { "dropping-particle" : "", "family" : "Anderson", "given" : "Christopher", "non-dropping-particle" : "", "parse-names" : false, "suffix" : "" }, { "dropping-particle" : "", "family" : "Yagi", "given" : "Shigeo", "non-dropping-particle" : "", "parse-names" : false, "suffix" : "" }, { "dropping-particle" : "", "family" : "Messenger", "given" : "Sharon", "non-dropping-particle" : "", "parse-names" : false, "suffix" : "" }, { "dropping-particle" : "", "family" : "Wadford", "given" : "Debra", "non-dropping-particle" : "", "parse-names" : false, "suffix" : "" }, { "dropping-particle" : "", "family" : "Xia", "given" : "Dongxiang", "non-dropping-particle" : "", "parse-names" : false, "suffix" : "" }, { "dropping-particle" : "", "family" : "Watt", "given" : "James P", "non-dropping-particle" : "", "parse-names" : false, "suffix" : "" }, { "dropping-particle" : "", "family" : "Haren", "given" : "Keith", "non-dropping-particle" : "Van", "parse-names" : false, "suffix" : "" }, { "dropping-particle" : "", "family" : "Dominguez", "given" : "Samuel R", "non-dropping-particle" : "", "parse-names" : false, "suffix" : "" }, { "dropping-particle" : "", "family" : "Glaser", "given" : "Carol", "non-dropping-particle" : "", "parse-names" : false, "suffix" : "" }, { "dropping-particle" : "", "family" : "Aldrovandi", "given" : "Grace", "non-dropping-particle" : "", "parse-names" : false, "suffix" : "" }, { "dropping-particle" : "", "family" : "Chiu", "given" : "Charles Y", "non-dropping-particle" : "", "parse-names" : false, "suffix" : "" } ], "container-title" : "The Lancet. Infectious diseases", "id" : "ITEM-1", "issue" : "6", "issued" : { "date-parts" : [ [ "2015" ] ] }, "page" : "671-682", "publisher" : "Elsevier Ltd", "title" : "A novel outbreak enterovirus D68 strain associated with acute flaccid myelitis cases in the USA (2012-14): a retrospective cohort study.", "type" : "article-journal", "volume" : "15" }, "uris" : [ "http://www.mendeley.com/documents/?uuid=0fd0a03d-eb91-44d1-b6ad-f6d478b4dba1" ] } ], "mendeley" : { "formattedCitation" : "&lt;sup&gt;3&lt;/sup&gt;", "plainTextFormattedCitation" : "3", "previouslyFormattedCitation" : "&lt;sup&gt;3&lt;/sup&gt;" }, "properties" : { "noteIndex" : 0 }, "schema" : "https://github.com/citation-style-language/schema/raw/master/csl-citation.json" }</w:instrText>
      </w:r>
      <w:r w:rsidRPr="00B3704D">
        <w:rPr>
          <w:rFonts w:ascii="Times New Roman" w:hAnsi="Times New Roman" w:cs="Times New Roman"/>
          <w:sz w:val="24"/>
          <w:szCs w:val="24"/>
          <w:vertAlign w:val="superscript"/>
        </w:rPr>
        <w:fldChar w:fldCharType="separate"/>
      </w:r>
      <w:r w:rsidRPr="000078FB">
        <w:rPr>
          <w:rFonts w:ascii="Times New Roman" w:hAnsi="Times New Roman" w:cs="Times New Roman"/>
          <w:noProof/>
          <w:sz w:val="24"/>
          <w:szCs w:val="24"/>
          <w:vertAlign w:val="superscript"/>
        </w:rPr>
        <w:t>3</w:t>
      </w:r>
      <w:r w:rsidRPr="00B3704D">
        <w:rPr>
          <w:rFonts w:ascii="Times New Roman" w:hAnsi="Times New Roman" w:cs="Times New Roman"/>
          <w:sz w:val="24"/>
          <w:szCs w:val="24"/>
          <w:vertAlign w:val="superscript"/>
        </w:rPr>
        <w:fldChar w:fldCharType="end"/>
      </w:r>
      <w:r w:rsidRPr="00B3704D">
        <w:rPr>
          <w:rFonts w:ascii="Times New Roman" w:hAnsi="Times New Roman" w:cs="Times New Roman"/>
          <w:sz w:val="24"/>
          <w:szCs w:val="24"/>
          <w:vertAlign w:val="superscript"/>
        </w:rPr>
        <w:t>,</w:t>
      </w:r>
      <w:r w:rsidRPr="00B3704D">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 "citationItems" : [ { "id" : "ITEM-1", "itemData" : { "DOI" : "10.1093/cid/ciu784", "ISSN" : "1058-4838", "author" : [ { "dropping-particle" : "", "family" : "Khatami", "given" : "a.", "non-dropping-particle" : "", "parse-names" : false, "suffix" : "" }, { "dropping-particle" : "", "family" : "McMullan", "given" : "B. J.", "non-dropping-particle" : "", "parse-names" : false, "suffix" : "" }, { "dropping-particle" : "", "family" : "Webber", "given" : "M.", "non-dropping-particle" : "", "parse-names" : false, "suffix" : "" }, { "dropping-particle" : "", "family" : "Stewart", "given" : "P.", "non-dropping-particle" : "", "parse-names" : false, "suffix" : "" }, { "dropping-particle" : "", "family" : "Francis", "given" : "S.", "non-dropping-particle" : "", "parse-names" : false, "suffix" : "" }, { "dropping-particle" : "", "family" : "Timmers", "given" : "K. J.", "non-dropping-particle" : "", "parse-names" : false, "suffix" : "" }, { "dropping-particle" : "", "family" : "Rodas", "given" : "E.", "non-dropping-particle" : "", "parse-names" : false, "suffix" : "" }, { "dropping-particle" : "", "family" : "Druce", "given" : "J.", "non-dropping-particle" : "", "parse-names" : false, "suffix" : "" }, { "dropping-particle" : "", "family" : "Mehta", "given" : "B.", "non-dropping-particle" : "", "parse-names" : false, "suffix" : "" }, { "dropping-particle" : "", "family" : "Sloggett", "given" : "N. a.", "non-dropping-particle" : "", "parse-names" : false, "suffix" : "" }, { "dropping-particle" : "", "family" : "Cumming", "given" : "G.", "non-dropping-particle" : "", "parse-names" : false, "suffix" : "" }, { "dropping-particle" : "", "family" : "Papadakis", "given" : "G.", "non-dropping-particle" : "", "parse-names" : false, "suffix" : "" }, { "dropping-particle" : "", "family" : "Kesson", "given" : "a. M.", "non-dropping-particle" : "", "parse-names" : false, "suffix" : "" } ], "container-title" : "Clinical Infectious Diseases", "id" : "ITEM-1", "issue" : "2", "issued" : { "date-parts" : [ [ "2014" ] ] }, "page" : "228-236", "title" : "Sepsis-like Disease in Infants Due to Human Parechovirus Type 3 During an Outbreak in Australia", "type" : "article-journal", "volume" : "60" }, "uris" : [ "http://www.mendeley.com/documents/?uuid=53c04349-6a1c-4d33-aef0-2b604053b54a", "http://www.mendeley.com/documents/?uuid=711ac05e-c990-4b72-bbeb-c2595173f6c2" ] } ], "mendeley" : { "formattedCitation" : "&lt;sup&gt;4&lt;/sup&gt;", "plainTextFormattedCitation" : "4", "previouslyFormattedCitation" : "&lt;sup&gt;4&lt;/sup&gt;" }, "properties" : { "noteIndex" : 0 }, "schema" : "https://github.com/citation-style-language/schema/raw/master/csl-citation.json" }</w:instrText>
      </w:r>
      <w:r w:rsidRPr="00B3704D">
        <w:rPr>
          <w:rFonts w:ascii="Times New Roman" w:hAnsi="Times New Roman" w:cs="Times New Roman"/>
          <w:sz w:val="24"/>
          <w:szCs w:val="24"/>
          <w:vertAlign w:val="superscript"/>
        </w:rPr>
        <w:fldChar w:fldCharType="separate"/>
      </w:r>
      <w:r w:rsidRPr="000078FB">
        <w:rPr>
          <w:rFonts w:ascii="Times New Roman" w:hAnsi="Times New Roman" w:cs="Times New Roman"/>
          <w:noProof/>
          <w:sz w:val="24"/>
          <w:szCs w:val="24"/>
          <w:vertAlign w:val="superscript"/>
        </w:rPr>
        <w:t>4</w:t>
      </w:r>
      <w:r w:rsidRPr="00B3704D">
        <w:rPr>
          <w:rFonts w:ascii="Times New Roman" w:hAnsi="Times New Roman" w:cs="Times New Roman"/>
          <w:sz w:val="24"/>
          <w:szCs w:val="24"/>
          <w:vertAlign w:val="superscript"/>
        </w:rPr>
        <w:fldChar w:fldCharType="end"/>
      </w:r>
      <w:r w:rsidRPr="00B3704D">
        <w:rPr>
          <w:rFonts w:ascii="Times New Roman" w:hAnsi="Times New Roman" w:cs="Times New Roman"/>
          <w:sz w:val="24"/>
          <w:szCs w:val="24"/>
          <w:vertAlign w:val="superscript"/>
        </w:rPr>
        <w:t>,</w:t>
      </w:r>
      <w:r w:rsidRPr="00B3704D">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 "citationItems" : [ { "id" : "ITEM-1", "itemData" : { "DOI" : "10.5694/mja14.00014", "ISSN" : "0025729X", "author" : [ { "dropping-particle" : "", "family" : "Zander", "given" : "Alexis", "non-dropping-particle" : "", "parse-names" : false, "suffix" : "" }, { "dropping-particle" : "", "family" : "Britton", "given" : "Philip N", "non-dropping-particle" : "", "parse-names" : false, "suffix" : "" }, { "dropping-particle" : "", "family" : "Navin", "given" : "Tina", "non-dropping-particle" : "", "parse-names" : false, "suffix" : "" }, { "dropping-particle" : "", "family" : "Horsley", "given" : "Emily", "non-dropping-particle" : "", "parse-names" : false, "suffix" : "" }, { "dropping-particle" : "", "family" : "Tobin", "given" : "Sean", "non-dropping-particle" : "", "parse-names" : false, "suffix" : "" }, { "dropping-particle" : "", "family" : "McAnulty", "given" : "Jeremy M", "non-dropping-particle" : "", "parse-names" : false, "suffix" : "" } ], "container-title" : "The Medical Journal of Australia", "id" : "ITEM-1", "issue" : "11", "issued" : { "date-parts" : [ [ "2014" ] ] }, "page" : "663-666", "title" : "An outbreak of enterovirus 71 in metropolitan Sydney: enhanced surveillance and lessons learnt", "type" : "article-journal", "volume" : "201" }, "uris" : [ "http://www.mendeley.com/documents/?uuid=734b79b9-e405-4ce6-810c-acb9efa085d2" ] } ], "mendeley" : { "formattedCitation" : "&lt;sup&gt;5&lt;/sup&gt;", "plainTextFormattedCitation" : "5", "previouslyFormattedCitation" : "&lt;sup&gt;5&lt;/sup&gt;" }, "properties" : { "noteIndex" : 0 }, "schema" : "https://github.com/citation-style-language/schema/raw/master/csl-citation.json" }</w:instrText>
      </w:r>
      <w:r w:rsidRPr="00B3704D">
        <w:rPr>
          <w:rFonts w:ascii="Times New Roman" w:hAnsi="Times New Roman" w:cs="Times New Roman"/>
          <w:sz w:val="24"/>
          <w:szCs w:val="24"/>
          <w:vertAlign w:val="superscript"/>
        </w:rPr>
        <w:fldChar w:fldCharType="separate"/>
      </w:r>
      <w:r w:rsidRPr="000078FB">
        <w:rPr>
          <w:rFonts w:ascii="Times New Roman" w:hAnsi="Times New Roman" w:cs="Times New Roman"/>
          <w:noProof/>
          <w:sz w:val="24"/>
          <w:szCs w:val="24"/>
          <w:vertAlign w:val="superscript"/>
        </w:rPr>
        <w:t>5</w:t>
      </w:r>
      <w:r w:rsidRPr="00B3704D">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U</w:t>
      </w:r>
      <w:r w:rsidRPr="00B3704D">
        <w:rPr>
          <w:rFonts w:ascii="Times New Roman" w:hAnsi="Times New Roman" w:cs="Times New Roman"/>
          <w:sz w:val="24"/>
          <w:szCs w:val="24"/>
        </w:rPr>
        <w:t xml:space="preserve">nfortunately, there are no antivirals approved of the treatment of EV/HPeV and management remains mainly supportive. </w:t>
      </w:r>
    </w:p>
    <w:p w14:paraId="2F9FA5CF" w14:textId="77777777" w:rsidR="00EA6A84"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 xml:space="preserve">In England and Wales, where the last EV/HPeV outbreak was due to echovirus 13 during 2000-01, we recently </w:t>
      </w:r>
      <w:r>
        <w:rPr>
          <w:rFonts w:ascii="Times New Roman" w:hAnsi="Times New Roman" w:cs="Times New Roman"/>
          <w:sz w:val="24"/>
          <w:szCs w:val="24"/>
        </w:rPr>
        <w:t xml:space="preserve">identified </w:t>
      </w:r>
      <w:r w:rsidRPr="00B3704D">
        <w:rPr>
          <w:rFonts w:ascii="Times New Roman" w:hAnsi="Times New Roman" w:cs="Times New Roman"/>
          <w:sz w:val="24"/>
          <w:szCs w:val="24"/>
        </w:rPr>
        <w:t xml:space="preserve">a year-on-year increase in </w:t>
      </w:r>
      <w:r>
        <w:rPr>
          <w:rFonts w:ascii="Times New Roman" w:hAnsi="Times New Roman" w:cs="Times New Roman"/>
          <w:sz w:val="24"/>
          <w:szCs w:val="24"/>
        </w:rPr>
        <w:t xml:space="preserve">reports of laboratory-confirmed </w:t>
      </w:r>
      <w:r w:rsidRPr="00B3704D">
        <w:rPr>
          <w:rFonts w:ascii="Times New Roman" w:hAnsi="Times New Roman" w:cs="Times New Roman"/>
          <w:sz w:val="24"/>
          <w:szCs w:val="24"/>
        </w:rPr>
        <w:t xml:space="preserve">EV </w:t>
      </w:r>
      <w:r>
        <w:rPr>
          <w:rFonts w:ascii="Times New Roman" w:hAnsi="Times New Roman" w:cs="Times New Roman"/>
          <w:sz w:val="24"/>
          <w:szCs w:val="24"/>
        </w:rPr>
        <w:t xml:space="preserve">cases </w:t>
      </w:r>
      <w:r w:rsidRPr="00B3704D">
        <w:rPr>
          <w:rFonts w:ascii="Times New Roman" w:hAnsi="Times New Roman" w:cs="Times New Roman"/>
          <w:sz w:val="24"/>
          <w:szCs w:val="24"/>
        </w:rPr>
        <w:t>across all age</w:t>
      </w:r>
      <w:r>
        <w:rPr>
          <w:rFonts w:ascii="Times New Roman" w:hAnsi="Times New Roman" w:cs="Times New Roman"/>
          <w:sz w:val="24"/>
          <w:szCs w:val="24"/>
        </w:rPr>
        <w:t>-</w:t>
      </w:r>
      <w:r w:rsidRPr="00B3704D">
        <w:rPr>
          <w:rFonts w:ascii="Times New Roman" w:hAnsi="Times New Roman" w:cs="Times New Roman"/>
          <w:sz w:val="24"/>
          <w:szCs w:val="24"/>
        </w:rPr>
        <w:t>groups, most likely because of increasing use of routine PCR-testing by hospital laboratories.</w:t>
      </w:r>
      <w:r w:rsidRPr="00B370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"10.1111/1469-0691.12753", "ISSN" : "1198-743X", "PMID" : "25039903", "abstract" : "There have recently been significant changes in diagnostic practices for\\ndetecting enterovirus (EV) infections across England and Wales. Reports\\nof laboratory-confirmed EV infections submitted by National Health\\nService (NHS) hospital laboratories to Public Health England (PHE) over\\na 12-year period (2000-2011) were analysed. Additionally, the PHE Virus\\nReference Department (VRD) electronic database containing molecular\\ntyping data from 2004 onwards was interrogated. Of the 13901 reports,\\nthere was a decline from a peak of 2254 in 2001 to 589 in 2006, and then\\nan increase year-on-year to 1634 in 2011. This increase coincided with\\nincreasing PCR-based laboratory diagnosis, which accounted for 36% of\\nreported cases in 2000 and 92% in 2011. The estimated annual incidence\\nin 2011 was 3.9/100000 overall and 238/100000 in those aged &lt;3months,\\nwho accounted for almost one-quarter of reported cases (n=2993, 23%).\\nDuring 2004-2011, 2770 strains were submitted for molecular typing to\\nthe VRD, who found no evidence for a predominance of any particular\\nstrain. Thus, the recent increase in reported cases closely reflects the\\nincrease in PCR testing by NHS hospitals, but is associated with a lower\\nproportion of samples being submitted for molecular typing. The high EV\\nrate in young infants merits further investigation to inform\\nevidence-based management guidance.", "author" : [ { "dropping-particle" : "", "family" : "Kadambari", "given" : "S", "non-dropping-particle" : "", "parse-names" : false, "suffix" : "" }, { "dropping-particle" : "", "family" : "Bukasa", "given" : "A", "non-dropping-particle" : "", "parse-names" : false, "suffix" : "" }, { "dropping-particle" : "", "family" : "Okike", "given" : "I O", "non-dropping-particle" : "", "parse-names" : false, "suffix" : "" }, { "dropping-particle" : "", "family" : "Pebody", "given" : "R", "non-dropping-particle" : "", "parse-names" : false, "suffix" : "" }, { "dropping-particle" : "", "family" : "Brown", "given" : "D", "non-dropping-particle" : "", "parse-names" : false, "suffix" : "" }, { "dropping-particle" : "", "family" : "Gallimore", "given" : "C", "non-dropping-particle" : "", "parse-names" : false, "suffix" : "" }, { "dropping-particle" : "", "family" : "Xerry", "given" : "J", "non-dropping-particle" : "", "parse-names" : false, "suffix" : "" }, { "dropping-particle" : "", "family" : "Sharland", "given" : "M", "non-dropping-particle" : "", "parse-names" : false, "suffix" : "" }, { "dropping-particle" : "", "family" : "Ladhani", "given" : "S N", "non-dropping-particle" : "", "parse-names" : false, "suffix" : "" } ], "container-title" : "Clinical Microbiology and Infection", "id" : "ITEM-1", "issue" : "12", "issued" : { "date-parts" : [ [ "2014" ] ] }, "page" : "1289-1296", "title" : "Enterovirus infections in England and Wales, 2000-2011: the impact of increased molecular diagnostics", "type" : "article-journal", "volume" : "20" }, "uris" : [ "http://www.mendeley.com/documents/?uuid=069ef1fa-6765-4788-90cb-dc873466aa51" ] } ], "mendeley" : { "formattedCitation" : "&lt;sup&gt;6&lt;/sup&gt;", "plainTextFormattedCitation" : "6", "previouslyFormattedCitation" : "&lt;sup&gt;6&lt;/sup&gt;" }, "properties" : { "noteIndex" : 0 }, "schema" : "https://github.com/citation-style-language/schema/raw/master/csl-citation.json" }</w:instrText>
      </w:r>
      <w:r w:rsidRPr="00B3704D">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6</w:t>
      </w:r>
      <w:r w:rsidRPr="00B3704D">
        <w:rPr>
          <w:rFonts w:ascii="Times New Roman" w:hAnsi="Times New Roman" w:cs="Times New Roman"/>
          <w:sz w:val="24"/>
          <w:szCs w:val="24"/>
        </w:rPr>
        <w:fldChar w:fldCharType="end"/>
      </w:r>
      <w:r w:rsidRPr="00B3704D">
        <w:rPr>
          <w:rFonts w:ascii="Times New Roman" w:hAnsi="Times New Roman" w:cs="Times New Roman"/>
          <w:sz w:val="24"/>
          <w:szCs w:val="24"/>
        </w:rPr>
        <w:t xml:space="preserve"> At the same time, we also identified rare but severe cases of childhood EV/HPeV through our national surveillance of EV/HPeV meningo-encephalitis in young infants</w:t>
      </w:r>
      <w:r>
        <w:rPr>
          <w:rFonts w:ascii="Times New Roman" w:hAnsi="Times New Roman" w:cs="Times New Roman"/>
          <w:sz w:val="24"/>
          <w:szCs w:val="24"/>
        </w:rPr>
        <w:t xml:space="preserve"> (</w:t>
      </w:r>
      <w:hyperlink r:id="rId6" w:history="1">
        <w:r w:rsidRPr="00453129">
          <w:rPr>
            <w:rStyle w:val="Hyperlink"/>
            <w:rFonts w:ascii="Times New Roman" w:hAnsi="Times New Roman" w:cs="Times New Roman"/>
            <w:sz w:val="24"/>
            <w:szCs w:val="24"/>
          </w:rPr>
          <w:t>http://www.rcpch.ac.uk/bpsu/neoentero</w:t>
        </w:r>
      </w:hyperlink>
      <w:r>
        <w:rPr>
          <w:rFonts w:ascii="Times New Roman" w:hAnsi="Times New Roman" w:cs="Times New Roman"/>
          <w:sz w:val="24"/>
          <w:szCs w:val="24"/>
        </w:rPr>
        <w:t>)</w:t>
      </w:r>
      <w:r w:rsidRPr="00B3704D">
        <w:rPr>
          <w:rFonts w:ascii="Times New Roman" w:hAnsi="Times New Roman" w:cs="Times New Roman"/>
          <w:sz w:val="24"/>
          <w:szCs w:val="24"/>
        </w:rPr>
        <w:t>, retrospective case-note review</w:t>
      </w:r>
      <w:r>
        <w:rPr>
          <w:rFonts w:ascii="Times New Roman" w:hAnsi="Times New Roman" w:cs="Times New Roman"/>
          <w:sz w:val="24"/>
          <w:szCs w:val="24"/>
        </w:rPr>
        <w:t>,</w:t>
      </w:r>
      <w:r w:rsidRPr="00B370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"10.1007/s00431-014-2483-3", "ISSN" : "1432-1076", "PMID" : "25573462", "abstract" : "UNLABELLED: Human parechoviruses (HPeVs) cause a spectrum of disease ranging from self-limiting illness to severe disease and, sometimes, death. We describe the clinical characteristics and outcomes of HPeV infection in infants. The study describes the clinical and laboratory characteristics and outcomes of infants with HPeV infection during 2008-2012, from three paediatric hospitals in London each with a paediatric intensive care unit. The infants were retrospectively identified through laboratory and patient discharge databases and diagnosed through HPeV PCR. Fifty infants were identified. Half required admission to PICU. Infants less than 3\u00a0months were more likely to require PICU (16/25: p &lt; 0.01). Clinical signs at presentation were often indistinguishable from those of bacterial sepsis and meningitis, but inflammatory markers were nearly always (95\u00a0% of cases) within normal ranges. Brain MRI showed white matter changes in 10/12 infants. Three of 19 infants with follow-up data (16\u00a0%) had significant neurological sequelae.\\n\\nCONCLUSION: HPeV may cause severe disease and long-term neurological sequelae in young infants. HPeV should be considered in infants with clinical features of sepsis/meningitis with normal CSF microscopy. Prospective observational studies are warranted to better define the epidemiology of infection and thus inform future treatment trials.", "author" : [ { "dropping-particle" : "", "family" : "Vergnano", "given" : "Stefania", "non-dropping-particle" : "", "parse-names" : false, "suffix" : "" }, { "dropping-particle" : "", "family" : "Kadambari", "given" : "Seilesh", "non-dropping-particle" : "", "parse-names" : false, "suffix" : "" }, { "dropping-particle" : "", "family" : "Whalley", "given" : "Katrina", "non-dropping-particle" : "", "parse-names" : false, "suffix" : "" }, { "dropping-particle" : "", "family" : "Menson", "given" : "Esse N", "non-dropping-particle" : "", "parse-names" : false, "suffix" : "" }, { "dropping-particle" : "", "family" : "Martinez-Alier", "given" : "Nuria", "non-dropping-particle" : "", "parse-names" : false, "suffix" : "" }, { "dropping-particle" : "", "family" : "Cooper", "given" : "Mehrengise", "non-dropping-particle" : "", "parse-names" : false, "suffix" : "" }, { "dropping-particle" : "", "family" : "Sanchez", "given" : "Emile", "non-dropping-particle" : "", "parse-names" : false, "suffix" : "" }, { "dropping-particle" : "", "family" : "Heath", "given" : "Paul T", "non-dropping-particle" : "", "parse-names" : false, "suffix" : "" }, { "dropping-particle" : "", "family" : "Lyall", "given" : "Hermione", "non-dropping-particle" : "", "parse-names" : false, "suffix" : "" } ], "container-title" : "European journal of pediatrics", "id" : "ITEM-1", "issue" : "7", "issued" : { "date-parts" : [ [ "2015" ] ] }, "page" : "919-24", "title" : "Characteristics and outcomes of human parechovirus infection in infants (2008-2012).", "type" : "article-journal", "volume" : "174" }, "uris" : [ "http://www.mendeley.com/documents/?uuid=1c68ac20-ecd2-46de-95bd-6e7f7bfab1ca" ] } ], "mendeley" : { "formattedCitation" : "&lt;sup&gt;7&lt;/sup&gt;", "plainTextFormattedCitation" : "7", "previouslyFormattedCitation" : "&lt;sup&gt;7&lt;/sup&gt;" }, "properties" : { "noteIndex" : 0 }, "schema" : "https://github.com/citation-style-language/schema/raw/master/csl-citation.json" }</w:instrText>
      </w:r>
      <w:r w:rsidRPr="00B3704D">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7</w:t>
      </w:r>
      <w:r w:rsidRPr="00B3704D">
        <w:rPr>
          <w:rFonts w:ascii="Times New Roman" w:hAnsi="Times New Roman" w:cs="Times New Roman"/>
          <w:sz w:val="24"/>
          <w:szCs w:val="24"/>
        </w:rPr>
        <w:fldChar w:fldCharType="end"/>
      </w:r>
      <w:r w:rsidRPr="00B3704D">
        <w:rPr>
          <w:rFonts w:ascii="Times New Roman" w:hAnsi="Times New Roman" w:cs="Times New Roman"/>
          <w:sz w:val="24"/>
          <w:szCs w:val="24"/>
        </w:rPr>
        <w:t xml:space="preserve"> and individual cases.</w:t>
      </w:r>
      <w:r w:rsidRPr="00B3704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"10.1136/archdischild-2014-307372", "ISSN" : "0003-9888", "author" : [ { "dropping-particle" : "", "family" : "Oades", "given" : "P. J.", "non-dropping-particle" : "", "parse-names" : false, "suffix" : "" }, { "dropping-particle" : "", "family" : "Ladhani", "given" : "S.", "non-dropping-particle" : "", "parse-names" : false, "suffix" : "" } ], "container-title" : "Archives of Disease in Childhood", "id" : "ITEM-1", "issued" : { "date-parts" : [ [ "2014" ] ] }, "page" : "307372", "title" : "Enteroviral meningoencephalitis in an infant: an increasingly recognised infection", "type" : "article-journal" }, "uris" : [ "http://www.mendeley.com/documents/?uuid=e76a2a45-c06a-408e-8192-8019175cbd68" ] } ], "mendeley" : { "formattedCitation" : "&lt;sup&gt;8&lt;/sup&gt;", "plainTextFormattedCitation" : "8", "previouslyFormattedCitation" : "&lt;sup&gt;8&lt;/sup&gt;" }, "properties" : { "noteIndex" : 0 }, "schema" : "https://github.com/citation-style-language/schema/raw/master/csl-citation.json" }</w:instrText>
      </w:r>
      <w:r w:rsidRPr="00B3704D">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8</w:t>
      </w:r>
      <w:r w:rsidRPr="00B3704D">
        <w:rPr>
          <w:rFonts w:ascii="Times New Roman" w:hAnsi="Times New Roman" w:cs="Times New Roman"/>
          <w:sz w:val="24"/>
          <w:szCs w:val="24"/>
        </w:rPr>
        <w:fldChar w:fldCharType="end"/>
      </w:r>
      <w:r w:rsidRPr="00B3704D">
        <w:rPr>
          <w:rFonts w:ascii="Times New Roman" w:hAnsi="Times New Roman" w:cs="Times New Roman"/>
          <w:sz w:val="24"/>
          <w:szCs w:val="24"/>
        </w:rPr>
        <w:t xml:space="preserve"> In order to better define the burden of severe childhood EV/HPeV infections, we analysed data for all pediatric intensive care admissions in the United Kingdom and the Republic of Ireland during the five most recent calendar years.</w:t>
      </w:r>
    </w:p>
    <w:p w14:paraId="1AA8B36B" w14:textId="77777777" w:rsidR="00EA6A84" w:rsidRPr="00B3704D" w:rsidRDefault="00EA6A84" w:rsidP="00EA6A84">
      <w:pPr>
        <w:spacing w:after="0" w:line="480" w:lineRule="auto"/>
        <w:rPr>
          <w:rFonts w:ascii="Times New Roman" w:hAnsi="Times New Roman" w:cs="Times New Roman"/>
          <w:sz w:val="24"/>
          <w:szCs w:val="24"/>
        </w:rPr>
      </w:pPr>
    </w:p>
    <w:p w14:paraId="54F7D2B5" w14:textId="77777777" w:rsidR="00EA6A84" w:rsidRPr="00B3704D" w:rsidRDefault="00EA6A84" w:rsidP="00EA6A84">
      <w:pPr>
        <w:spacing w:after="0" w:line="480" w:lineRule="auto"/>
        <w:rPr>
          <w:rFonts w:ascii="Times New Roman" w:hAnsi="Times New Roman" w:cs="Times New Roman"/>
          <w:b/>
          <w:sz w:val="28"/>
          <w:szCs w:val="28"/>
        </w:rPr>
      </w:pPr>
      <w:r w:rsidRPr="00B3704D">
        <w:rPr>
          <w:rFonts w:ascii="Times New Roman" w:hAnsi="Times New Roman" w:cs="Times New Roman"/>
          <w:b/>
          <w:sz w:val="28"/>
          <w:szCs w:val="28"/>
        </w:rPr>
        <w:t>Methods</w:t>
      </w:r>
    </w:p>
    <w:p w14:paraId="425B447E" w14:textId="77777777" w:rsidR="00EA6A84" w:rsidRPr="00B3704D"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 xml:space="preserve">The Paediatric Intensive Care Audit Network (PICANet) records core demographic and clinical details of the management of all critically ill children in </w:t>
      </w:r>
      <w:r>
        <w:rPr>
          <w:rFonts w:ascii="Times New Roman" w:hAnsi="Times New Roman" w:cs="Times New Roman"/>
          <w:sz w:val="24"/>
          <w:szCs w:val="24"/>
        </w:rPr>
        <w:t xml:space="preserve">pediatric intensive care units (PICUs) across </w:t>
      </w:r>
      <w:r w:rsidRPr="00E3208F">
        <w:rPr>
          <w:rFonts w:ascii="Times New Roman" w:hAnsi="Times New Roman" w:cs="Times New Roman"/>
          <w:sz w:val="24"/>
          <w:szCs w:val="24"/>
        </w:rPr>
        <w:t>the U</w:t>
      </w:r>
      <w:r>
        <w:rPr>
          <w:rFonts w:ascii="Times New Roman" w:hAnsi="Times New Roman" w:cs="Times New Roman"/>
          <w:sz w:val="24"/>
          <w:szCs w:val="24"/>
        </w:rPr>
        <w:t xml:space="preserve">nited </w:t>
      </w:r>
      <w:r w:rsidRPr="00E3208F">
        <w:rPr>
          <w:rFonts w:ascii="Times New Roman" w:hAnsi="Times New Roman" w:cs="Times New Roman"/>
          <w:sz w:val="24"/>
          <w:szCs w:val="24"/>
        </w:rPr>
        <w:t>K</w:t>
      </w:r>
      <w:r>
        <w:rPr>
          <w:rFonts w:ascii="Times New Roman" w:hAnsi="Times New Roman" w:cs="Times New Roman"/>
          <w:sz w:val="24"/>
          <w:szCs w:val="24"/>
        </w:rPr>
        <w:t>ingdom</w:t>
      </w:r>
      <w:r w:rsidRPr="00E3208F">
        <w:rPr>
          <w:rFonts w:ascii="Times New Roman" w:hAnsi="Times New Roman" w:cs="Times New Roman"/>
          <w:sz w:val="24"/>
          <w:szCs w:val="24"/>
        </w:rPr>
        <w:t xml:space="preserve"> and the Republic of Ireland</w:t>
      </w:r>
      <w:r>
        <w:rPr>
          <w:rFonts w:ascii="Times New Roman" w:hAnsi="Times New Roman" w:cs="Times New Roman"/>
          <w:sz w:val="24"/>
          <w:szCs w:val="24"/>
        </w:rPr>
        <w:t>,</w:t>
      </w:r>
      <w:r w:rsidRPr="00B3704D" w:rsidDel="00926160">
        <w:rPr>
          <w:rFonts w:ascii="Times New Roman" w:hAnsi="Times New Roman" w:cs="Times New Roman"/>
          <w:sz w:val="24"/>
          <w:szCs w:val="24"/>
        </w:rPr>
        <w:t xml:space="preserve"> </w:t>
      </w:r>
      <w:r w:rsidRPr="00B3704D">
        <w:rPr>
          <w:rFonts w:ascii="Times New Roman" w:hAnsi="Times New Roman" w:cs="Times New Roman"/>
          <w:sz w:val="24"/>
          <w:szCs w:val="24"/>
        </w:rPr>
        <w:t>using standardised data collection forms (</w:t>
      </w:r>
      <w:hyperlink r:id="rId7" w:history="1">
        <w:r w:rsidRPr="00453129">
          <w:rPr>
            <w:rStyle w:val="Hyperlink"/>
            <w:rFonts w:ascii="Times New Roman" w:hAnsi="Times New Roman" w:cs="Times New Roman"/>
            <w:sz w:val="24"/>
            <w:szCs w:val="24"/>
          </w:rPr>
          <w:t>www.picanet.org</w:t>
        </w:r>
      </w:hyperlink>
      <w:r w:rsidRPr="00B3704D">
        <w:rPr>
          <w:rFonts w:ascii="Times New Roman" w:hAnsi="Times New Roman" w:cs="Times New Roman"/>
          <w:sz w:val="24"/>
          <w:szCs w:val="24"/>
        </w:rPr>
        <w:t xml:space="preserve">). </w:t>
      </w:r>
    </w:p>
    <w:p w14:paraId="425F6E57" w14:textId="76EEABB1" w:rsidR="00EA6A84" w:rsidRDefault="00EA6A84" w:rsidP="00EA6A84">
      <w:pPr>
        <w:spacing w:after="0" w:line="480" w:lineRule="auto"/>
        <w:rPr>
          <w:rFonts w:ascii="Times New Roman" w:hAnsi="Times New Roman" w:cs="Times New Roman"/>
          <w:b/>
          <w:sz w:val="28"/>
          <w:szCs w:val="28"/>
        </w:rPr>
      </w:pPr>
      <w:r w:rsidRPr="00B3704D">
        <w:rPr>
          <w:rFonts w:ascii="Times New Roman" w:hAnsi="Times New Roman" w:cs="Times New Roman"/>
          <w:sz w:val="24"/>
          <w:szCs w:val="24"/>
        </w:rPr>
        <w:lastRenderedPageBreak/>
        <w:t>We requested anonymi</w:t>
      </w:r>
      <w:r w:rsidR="004A5CFD">
        <w:rPr>
          <w:rFonts w:ascii="Times New Roman" w:hAnsi="Times New Roman" w:cs="Times New Roman"/>
          <w:sz w:val="24"/>
          <w:szCs w:val="24"/>
        </w:rPr>
        <w:t>z</w:t>
      </w:r>
      <w:r w:rsidRPr="00B3704D">
        <w:rPr>
          <w:rFonts w:ascii="Times New Roman" w:hAnsi="Times New Roman" w:cs="Times New Roman"/>
          <w:sz w:val="24"/>
          <w:szCs w:val="24"/>
        </w:rPr>
        <w:t>ed data on all children aged 0-</w:t>
      </w:r>
      <w:r>
        <w:rPr>
          <w:rFonts w:ascii="Times New Roman" w:hAnsi="Times New Roman" w:cs="Times New Roman"/>
          <w:sz w:val="24"/>
          <w:szCs w:val="24"/>
        </w:rPr>
        <w:t>15</w:t>
      </w:r>
      <w:r w:rsidRPr="00B3704D">
        <w:rPr>
          <w:rFonts w:ascii="Times New Roman" w:hAnsi="Times New Roman" w:cs="Times New Roman"/>
          <w:sz w:val="24"/>
          <w:szCs w:val="24"/>
        </w:rPr>
        <w:t xml:space="preserve"> years, admitted </w:t>
      </w:r>
      <w:r>
        <w:rPr>
          <w:rFonts w:ascii="Times New Roman" w:hAnsi="Times New Roman" w:cs="Times New Roman"/>
          <w:sz w:val="24"/>
          <w:szCs w:val="24"/>
        </w:rPr>
        <w:t xml:space="preserve">to PICU </w:t>
      </w:r>
      <w:r w:rsidRPr="00B3704D">
        <w:rPr>
          <w:rFonts w:ascii="Times New Roman" w:hAnsi="Times New Roman" w:cs="Times New Roman"/>
          <w:sz w:val="24"/>
          <w:szCs w:val="24"/>
        </w:rPr>
        <w:t xml:space="preserve">in the UK and </w:t>
      </w:r>
      <w:r>
        <w:rPr>
          <w:rFonts w:ascii="Times New Roman" w:hAnsi="Times New Roman" w:cs="Times New Roman"/>
          <w:sz w:val="24"/>
          <w:szCs w:val="24"/>
        </w:rPr>
        <w:t xml:space="preserve">the Republic of </w:t>
      </w:r>
      <w:r w:rsidRPr="00B3704D">
        <w:rPr>
          <w:rFonts w:ascii="Times New Roman" w:hAnsi="Times New Roman" w:cs="Times New Roman"/>
          <w:sz w:val="24"/>
          <w:szCs w:val="24"/>
        </w:rPr>
        <w:t>Ireland between 01 January 2010 and 31 December 2014 with any one of the following recorded at any time during their admission: "enterovirus", "echovirus", "parechovirus", "picornavirus", "coxsackievirus" or "enteroviral". The final dataset had information on the month and year of admission, age (in days for neonates, in months for infants and in years for older children), gender, outcome (alive/dead), primary, secondary and subsequent diagnoses (code</w:t>
      </w:r>
      <w:r>
        <w:rPr>
          <w:rFonts w:ascii="Times New Roman" w:hAnsi="Times New Roman" w:cs="Times New Roman"/>
          <w:sz w:val="24"/>
          <w:szCs w:val="24"/>
        </w:rPr>
        <w:t>s</w:t>
      </w:r>
      <w:r w:rsidRPr="00B3704D">
        <w:rPr>
          <w:rFonts w:ascii="Times New Roman" w:hAnsi="Times New Roman" w:cs="Times New Roman"/>
          <w:sz w:val="24"/>
          <w:szCs w:val="24"/>
        </w:rPr>
        <w:t xml:space="preserve"> and description), need for invasive ventilation (yes/no and duration), inotropes (yes/no and duration), renal hemofiltration (yes/no and duration) and </w:t>
      </w:r>
      <w:r w:rsidRPr="00B3704D">
        <w:rPr>
          <w:rFonts w:ascii="Times New Roman" w:hAnsi="Times New Roman" w:cs="Times New Roman"/>
          <w:bCs/>
          <w:sz w:val="24"/>
          <w:szCs w:val="24"/>
        </w:rPr>
        <w:t>extracorporeal membrane oxygenation</w:t>
      </w:r>
      <w:r w:rsidRPr="00B3704D">
        <w:rPr>
          <w:rFonts w:ascii="Times New Roman" w:hAnsi="Times New Roman" w:cs="Times New Roman"/>
          <w:sz w:val="24"/>
          <w:szCs w:val="24"/>
        </w:rPr>
        <w:t> (</w:t>
      </w:r>
      <w:r w:rsidRPr="00B3704D">
        <w:rPr>
          <w:rFonts w:ascii="Times New Roman" w:hAnsi="Times New Roman" w:cs="Times New Roman"/>
          <w:bCs/>
          <w:sz w:val="24"/>
          <w:szCs w:val="24"/>
        </w:rPr>
        <w:t>ECMO</w:t>
      </w:r>
      <w:r w:rsidRPr="00B3704D">
        <w:rPr>
          <w:rFonts w:ascii="Times New Roman" w:hAnsi="Times New Roman" w:cs="Times New Roman"/>
          <w:sz w:val="24"/>
          <w:szCs w:val="24"/>
        </w:rPr>
        <w:t>) (yes/no and duration). Data on clinical symptoms and signs, laboratory and microbiology test results, EV/HPeV genotype, medications (antiviral</w:t>
      </w:r>
      <w:r>
        <w:rPr>
          <w:rFonts w:ascii="Times New Roman" w:hAnsi="Times New Roman" w:cs="Times New Roman"/>
          <w:sz w:val="24"/>
          <w:szCs w:val="24"/>
        </w:rPr>
        <w:t>s</w:t>
      </w:r>
      <w:r w:rsidRPr="00B3704D">
        <w:rPr>
          <w:rFonts w:ascii="Times New Roman" w:hAnsi="Times New Roman" w:cs="Times New Roman"/>
          <w:sz w:val="24"/>
          <w:szCs w:val="24"/>
        </w:rPr>
        <w:t>/steroids/</w:t>
      </w:r>
      <w:r>
        <w:rPr>
          <w:rFonts w:ascii="Times New Roman" w:hAnsi="Times New Roman" w:cs="Times New Roman"/>
          <w:sz w:val="24"/>
          <w:szCs w:val="24"/>
        </w:rPr>
        <w:t>immunoglobulin</w:t>
      </w:r>
      <w:r w:rsidRPr="00B3704D">
        <w:rPr>
          <w:rFonts w:ascii="Times New Roman" w:hAnsi="Times New Roman" w:cs="Times New Roman"/>
          <w:sz w:val="24"/>
          <w:szCs w:val="24"/>
        </w:rPr>
        <w:t xml:space="preserve">), radiological investigations or surgical procedures are not routinely recorded in </w:t>
      </w:r>
      <w:r>
        <w:rPr>
          <w:rFonts w:ascii="Times New Roman" w:hAnsi="Times New Roman" w:cs="Times New Roman"/>
          <w:sz w:val="24"/>
          <w:szCs w:val="24"/>
        </w:rPr>
        <w:t xml:space="preserve">the </w:t>
      </w:r>
      <w:r w:rsidRPr="00B3704D">
        <w:rPr>
          <w:rFonts w:ascii="Times New Roman" w:hAnsi="Times New Roman" w:cs="Times New Roman"/>
          <w:sz w:val="24"/>
          <w:szCs w:val="24"/>
        </w:rPr>
        <w:t>PICANet</w:t>
      </w:r>
      <w:r>
        <w:rPr>
          <w:rFonts w:ascii="Times New Roman" w:hAnsi="Times New Roman" w:cs="Times New Roman"/>
          <w:sz w:val="24"/>
          <w:szCs w:val="24"/>
        </w:rPr>
        <w:t xml:space="preserve"> dataset</w:t>
      </w:r>
      <w:r w:rsidRPr="00B3704D">
        <w:rPr>
          <w:rFonts w:ascii="Times New Roman" w:hAnsi="Times New Roman" w:cs="Times New Roman"/>
          <w:sz w:val="24"/>
          <w:szCs w:val="24"/>
        </w:rPr>
        <w:t>.</w:t>
      </w:r>
      <w:r w:rsidRPr="00B3704D">
        <w:rPr>
          <w:rFonts w:ascii="Times New Roman" w:hAnsi="Times New Roman" w:cs="Times New Roman"/>
          <w:b/>
          <w:sz w:val="28"/>
          <w:szCs w:val="28"/>
        </w:rPr>
        <w:t xml:space="preserve"> </w:t>
      </w:r>
    </w:p>
    <w:p w14:paraId="6218CDE7" w14:textId="77777777" w:rsidR="00EA6A84" w:rsidRPr="00B3704D" w:rsidRDefault="00EA6A84" w:rsidP="00EA6A84">
      <w:pPr>
        <w:spacing w:after="0" w:line="480" w:lineRule="auto"/>
        <w:rPr>
          <w:rFonts w:ascii="Times New Roman" w:hAnsi="Times New Roman" w:cs="Times New Roman"/>
          <w:b/>
          <w:sz w:val="28"/>
          <w:szCs w:val="28"/>
        </w:rPr>
      </w:pPr>
    </w:p>
    <w:p w14:paraId="6CA01000" w14:textId="77777777" w:rsidR="00EA6A84" w:rsidRPr="00B3704D" w:rsidRDefault="00EA6A84" w:rsidP="00EA6A84">
      <w:pPr>
        <w:spacing w:after="0" w:line="480" w:lineRule="auto"/>
        <w:rPr>
          <w:rFonts w:ascii="Times New Roman" w:hAnsi="Times New Roman" w:cs="Times New Roman"/>
          <w:b/>
          <w:sz w:val="28"/>
          <w:szCs w:val="28"/>
        </w:rPr>
      </w:pPr>
      <w:r w:rsidRPr="00B3704D">
        <w:rPr>
          <w:rFonts w:ascii="Times New Roman" w:hAnsi="Times New Roman" w:cs="Times New Roman"/>
          <w:b/>
          <w:sz w:val="28"/>
          <w:szCs w:val="28"/>
        </w:rPr>
        <w:t>Results</w:t>
      </w:r>
    </w:p>
    <w:p w14:paraId="5392BE38" w14:textId="786E4A8F" w:rsidR="00EA6A84" w:rsidRPr="00B3704D"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During 2010-14, there were 104 PICU admissions in &lt;16 year-olds related to EV/HPeV in the UK and</w:t>
      </w:r>
      <w:r>
        <w:rPr>
          <w:rFonts w:ascii="Times New Roman" w:hAnsi="Times New Roman" w:cs="Times New Roman"/>
          <w:sz w:val="24"/>
          <w:szCs w:val="24"/>
        </w:rPr>
        <w:t xml:space="preserve"> the Republic</w:t>
      </w:r>
      <w:r w:rsidRPr="00B3704D">
        <w:rPr>
          <w:rFonts w:ascii="Times New Roman" w:hAnsi="Times New Roman" w:cs="Times New Roman"/>
          <w:sz w:val="24"/>
          <w:szCs w:val="24"/>
        </w:rPr>
        <w:t xml:space="preserve"> Ireland. The number of admissions increased three-fold over the five-year period, from 0.62/1,000 (n=12) to 1.8/1,000 (n=36) PICU admissions in 2010 and 2014, respectively.</w:t>
      </w:r>
      <w:r>
        <w:rPr>
          <w:rFonts w:ascii="Times New Roman" w:hAnsi="Times New Roman" w:cs="Times New Roman"/>
          <w:sz w:val="24"/>
          <w:szCs w:val="24"/>
        </w:rPr>
        <w:t xml:space="preserve"> </w:t>
      </w:r>
      <w:r w:rsidRPr="00B3704D">
        <w:rPr>
          <w:rFonts w:ascii="Times New Roman" w:hAnsi="Times New Roman" w:cs="Times New Roman"/>
          <w:sz w:val="24"/>
          <w:szCs w:val="24"/>
        </w:rPr>
        <w:t>The male</w:t>
      </w:r>
      <w:r>
        <w:rPr>
          <w:rFonts w:ascii="Times New Roman" w:hAnsi="Times New Roman" w:cs="Times New Roman"/>
          <w:sz w:val="24"/>
          <w:szCs w:val="24"/>
        </w:rPr>
        <w:t>-</w:t>
      </w:r>
      <w:r w:rsidRPr="00B3704D">
        <w:rPr>
          <w:rFonts w:ascii="Times New Roman" w:hAnsi="Times New Roman" w:cs="Times New Roman"/>
          <w:sz w:val="24"/>
          <w:szCs w:val="24"/>
        </w:rPr>
        <w:t>to</w:t>
      </w:r>
      <w:r>
        <w:rPr>
          <w:rFonts w:ascii="Times New Roman" w:hAnsi="Times New Roman" w:cs="Times New Roman"/>
          <w:sz w:val="24"/>
          <w:szCs w:val="24"/>
        </w:rPr>
        <w:t>-</w:t>
      </w:r>
      <w:r w:rsidRPr="00B3704D">
        <w:rPr>
          <w:rFonts w:ascii="Times New Roman" w:hAnsi="Times New Roman" w:cs="Times New Roman"/>
          <w:sz w:val="24"/>
          <w:szCs w:val="24"/>
        </w:rPr>
        <w:t>female ratio was 1.</w:t>
      </w:r>
      <w:r>
        <w:rPr>
          <w:rFonts w:ascii="Times New Roman" w:hAnsi="Times New Roman" w:cs="Times New Roman"/>
          <w:sz w:val="24"/>
          <w:szCs w:val="24"/>
        </w:rPr>
        <w:t>6</w:t>
      </w:r>
      <w:r w:rsidRPr="00B3704D">
        <w:rPr>
          <w:rFonts w:ascii="Times New Roman" w:hAnsi="Times New Roman" w:cs="Times New Roman"/>
          <w:sz w:val="24"/>
          <w:szCs w:val="24"/>
        </w:rPr>
        <w:t xml:space="preserve">:1. Analysis of cases by month of year revealed a bimodal distribution, with peaks in June-July and October-November. The majority of cases were </w:t>
      </w:r>
      <w:r w:rsidR="004A5CFD">
        <w:rPr>
          <w:rFonts w:ascii="Times New Roman" w:hAnsi="Times New Roman" w:cs="Times New Roman"/>
          <w:sz w:val="24"/>
          <w:szCs w:val="24"/>
        </w:rPr>
        <w:t xml:space="preserve">younger than </w:t>
      </w:r>
      <w:r w:rsidRPr="00B3704D">
        <w:rPr>
          <w:rFonts w:ascii="Times New Roman" w:hAnsi="Times New Roman" w:cs="Times New Roman"/>
          <w:sz w:val="24"/>
          <w:szCs w:val="24"/>
        </w:rPr>
        <w:t>1 year (86/104, 8</w:t>
      </w:r>
      <w:r>
        <w:rPr>
          <w:rFonts w:ascii="Times New Roman" w:hAnsi="Times New Roman" w:cs="Times New Roman"/>
          <w:sz w:val="24"/>
          <w:szCs w:val="24"/>
        </w:rPr>
        <w:t>3</w:t>
      </w:r>
      <w:r w:rsidRPr="00B3704D">
        <w:rPr>
          <w:rFonts w:ascii="Times New Roman" w:hAnsi="Times New Roman" w:cs="Times New Roman"/>
          <w:sz w:val="24"/>
          <w:szCs w:val="24"/>
        </w:rPr>
        <w:t xml:space="preserve">%), </w:t>
      </w:r>
      <w:r>
        <w:rPr>
          <w:rFonts w:ascii="Times New Roman" w:hAnsi="Times New Roman" w:cs="Times New Roman"/>
          <w:sz w:val="24"/>
          <w:szCs w:val="24"/>
        </w:rPr>
        <w:t>nine</w:t>
      </w:r>
      <w:r w:rsidRPr="00B3704D">
        <w:rPr>
          <w:rFonts w:ascii="Times New Roman" w:hAnsi="Times New Roman" w:cs="Times New Roman"/>
          <w:sz w:val="24"/>
          <w:szCs w:val="24"/>
        </w:rPr>
        <w:t xml:space="preserve"> (</w:t>
      </w:r>
      <w:r>
        <w:rPr>
          <w:rFonts w:ascii="Times New Roman" w:hAnsi="Times New Roman" w:cs="Times New Roman"/>
          <w:sz w:val="24"/>
          <w:szCs w:val="24"/>
        </w:rPr>
        <w:t>9</w:t>
      </w:r>
      <w:r w:rsidRPr="00B3704D">
        <w:rPr>
          <w:rFonts w:ascii="Times New Roman" w:hAnsi="Times New Roman" w:cs="Times New Roman"/>
          <w:sz w:val="24"/>
          <w:szCs w:val="24"/>
        </w:rPr>
        <w:t xml:space="preserve">%) were one year-old and </w:t>
      </w:r>
      <w:r>
        <w:rPr>
          <w:rFonts w:ascii="Times New Roman" w:hAnsi="Times New Roman" w:cs="Times New Roman"/>
          <w:sz w:val="24"/>
          <w:szCs w:val="24"/>
        </w:rPr>
        <w:t>nine</w:t>
      </w:r>
      <w:r w:rsidRPr="00B3704D">
        <w:rPr>
          <w:rFonts w:ascii="Times New Roman" w:hAnsi="Times New Roman" w:cs="Times New Roman"/>
          <w:sz w:val="24"/>
          <w:szCs w:val="24"/>
        </w:rPr>
        <w:t xml:space="preserve"> (</w:t>
      </w:r>
      <w:r>
        <w:rPr>
          <w:rFonts w:ascii="Times New Roman" w:hAnsi="Times New Roman" w:cs="Times New Roman"/>
          <w:sz w:val="24"/>
          <w:szCs w:val="24"/>
        </w:rPr>
        <w:t>9</w:t>
      </w:r>
      <w:r w:rsidRPr="00B3704D">
        <w:rPr>
          <w:rFonts w:ascii="Times New Roman" w:hAnsi="Times New Roman" w:cs="Times New Roman"/>
          <w:sz w:val="24"/>
          <w:szCs w:val="24"/>
        </w:rPr>
        <w:t>%) were two (n=</w:t>
      </w:r>
      <w:r>
        <w:rPr>
          <w:rFonts w:ascii="Times New Roman" w:hAnsi="Times New Roman" w:cs="Times New Roman"/>
          <w:sz w:val="24"/>
          <w:szCs w:val="24"/>
        </w:rPr>
        <w:t>5</w:t>
      </w:r>
      <w:r w:rsidRPr="00B3704D">
        <w:rPr>
          <w:rFonts w:ascii="Times New Roman" w:hAnsi="Times New Roman" w:cs="Times New Roman"/>
          <w:sz w:val="24"/>
          <w:szCs w:val="24"/>
        </w:rPr>
        <w:t xml:space="preserve">) years or older (n=4). Neurological presentations were most common (42/104, 40%), followed by respiratory (n=21, 20%), cardiac (n=17, 16%) and </w:t>
      </w:r>
      <w:r w:rsidR="00851684">
        <w:rPr>
          <w:rFonts w:ascii="Times New Roman" w:hAnsi="Times New Roman" w:cs="Times New Roman"/>
          <w:sz w:val="24"/>
          <w:szCs w:val="24"/>
        </w:rPr>
        <w:t>sepsis like illness</w:t>
      </w:r>
      <w:r w:rsidRPr="00B3704D">
        <w:rPr>
          <w:rFonts w:ascii="Times New Roman" w:hAnsi="Times New Roman" w:cs="Times New Roman"/>
          <w:sz w:val="24"/>
          <w:szCs w:val="24"/>
        </w:rPr>
        <w:t xml:space="preserve"> (n=11, 11%). The remaining 13 children (13%) had non-specific clinical presentations (fever, collapse, etc.) [</w:t>
      </w:r>
      <w:hyperlink w:anchor="Table1" w:history="1">
        <w:r w:rsidRPr="004964F2">
          <w:rPr>
            <w:rStyle w:val="Hyperlink"/>
            <w:rFonts w:ascii="Times New Roman" w:hAnsi="Times New Roman" w:cs="Times New Roman"/>
            <w:b/>
            <w:sz w:val="24"/>
            <w:szCs w:val="24"/>
          </w:rPr>
          <w:t>Table 1</w:t>
        </w:r>
      </w:hyperlink>
      <w:r w:rsidRPr="00B3704D">
        <w:rPr>
          <w:rFonts w:ascii="Times New Roman" w:hAnsi="Times New Roman" w:cs="Times New Roman"/>
          <w:sz w:val="24"/>
          <w:szCs w:val="24"/>
        </w:rPr>
        <w:t>]</w:t>
      </w:r>
      <w:r>
        <w:rPr>
          <w:rFonts w:ascii="Times New Roman" w:hAnsi="Times New Roman" w:cs="Times New Roman"/>
          <w:sz w:val="24"/>
          <w:szCs w:val="24"/>
        </w:rPr>
        <w:t>.</w:t>
      </w:r>
      <w:r w:rsidRPr="00B3704D">
        <w:rPr>
          <w:rFonts w:ascii="Times New Roman" w:hAnsi="Times New Roman" w:cs="Times New Roman"/>
          <w:sz w:val="24"/>
          <w:szCs w:val="24"/>
        </w:rPr>
        <w:t xml:space="preserve"> </w:t>
      </w:r>
      <w:r>
        <w:rPr>
          <w:rFonts w:ascii="Times New Roman" w:hAnsi="Times New Roman" w:cs="Times New Roman"/>
          <w:sz w:val="24"/>
          <w:szCs w:val="24"/>
        </w:rPr>
        <w:t>Neurological</w:t>
      </w:r>
      <w:r w:rsidRPr="00B3704D">
        <w:rPr>
          <w:rFonts w:ascii="Times New Roman" w:hAnsi="Times New Roman" w:cs="Times New Roman"/>
          <w:sz w:val="24"/>
          <w:szCs w:val="24"/>
        </w:rPr>
        <w:t xml:space="preserve"> presentation were more common </w:t>
      </w:r>
      <w:r w:rsidRPr="00B3704D">
        <w:rPr>
          <w:rFonts w:ascii="Times New Roman" w:hAnsi="Times New Roman" w:cs="Times New Roman"/>
          <w:sz w:val="24"/>
          <w:szCs w:val="24"/>
        </w:rPr>
        <w:lastRenderedPageBreak/>
        <w:t>in &lt;3 month-olds (34/74, 46%) compared to older children (8/30, 27%), but the difference was not significant (P=0.069)</w:t>
      </w:r>
      <w:r>
        <w:rPr>
          <w:rFonts w:ascii="Times New Roman" w:hAnsi="Times New Roman" w:cs="Times New Roman"/>
          <w:sz w:val="24"/>
          <w:szCs w:val="24"/>
        </w:rPr>
        <w:t xml:space="preserve"> [</w:t>
      </w:r>
      <w:hyperlink w:anchor="Figure1" w:history="1">
        <w:r w:rsidRPr="00E3208F">
          <w:rPr>
            <w:rStyle w:val="Hyperlink"/>
            <w:rFonts w:ascii="Times New Roman" w:hAnsi="Times New Roman" w:cs="Times New Roman"/>
            <w:b/>
            <w:sz w:val="24"/>
            <w:szCs w:val="24"/>
          </w:rPr>
          <w:t>Figure 1</w:t>
        </w:r>
      </w:hyperlink>
      <w:r>
        <w:rPr>
          <w:rFonts w:ascii="Times New Roman" w:hAnsi="Times New Roman" w:cs="Times New Roman"/>
          <w:sz w:val="24"/>
          <w:szCs w:val="24"/>
        </w:rPr>
        <w:t>]</w:t>
      </w:r>
      <w:r w:rsidRPr="00B3704D">
        <w:rPr>
          <w:rFonts w:ascii="Times New Roman" w:hAnsi="Times New Roman" w:cs="Times New Roman"/>
          <w:sz w:val="24"/>
          <w:szCs w:val="24"/>
        </w:rPr>
        <w:t>.</w:t>
      </w:r>
    </w:p>
    <w:p w14:paraId="3F984BAD" w14:textId="2CEF96A4" w:rsidR="00EA6A84"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The majority of children required invasive ventilation (80/104, 77%; median 5 days, range 1-49 days) and 40% (42/104) required inotrop</w:t>
      </w:r>
      <w:r>
        <w:rPr>
          <w:rFonts w:ascii="Times New Roman" w:hAnsi="Times New Roman" w:cs="Times New Roman"/>
          <w:sz w:val="24"/>
          <w:szCs w:val="24"/>
        </w:rPr>
        <w:t>ic support</w:t>
      </w:r>
      <w:r w:rsidRPr="00B3704D">
        <w:rPr>
          <w:rFonts w:ascii="Times New Roman" w:hAnsi="Times New Roman" w:cs="Times New Roman"/>
          <w:sz w:val="24"/>
          <w:szCs w:val="24"/>
        </w:rPr>
        <w:t xml:space="preserve"> (median 5 days, range 1-48 days), while </w:t>
      </w:r>
      <w:r>
        <w:rPr>
          <w:rFonts w:ascii="Times New Roman" w:hAnsi="Times New Roman" w:cs="Times New Roman"/>
          <w:sz w:val="24"/>
          <w:szCs w:val="24"/>
        </w:rPr>
        <w:t xml:space="preserve">4/98 </w:t>
      </w:r>
      <w:r w:rsidRPr="00B3704D">
        <w:rPr>
          <w:rFonts w:ascii="Times New Roman" w:hAnsi="Times New Roman" w:cs="Times New Roman"/>
          <w:sz w:val="24"/>
          <w:szCs w:val="24"/>
        </w:rPr>
        <w:t xml:space="preserve">children </w:t>
      </w:r>
      <w:r>
        <w:rPr>
          <w:rFonts w:ascii="Times New Roman" w:hAnsi="Times New Roman" w:cs="Times New Roman"/>
          <w:sz w:val="24"/>
          <w:szCs w:val="24"/>
        </w:rPr>
        <w:t xml:space="preserve">with available information </w:t>
      </w:r>
      <w:r w:rsidRPr="00B3704D">
        <w:rPr>
          <w:rFonts w:ascii="Times New Roman" w:hAnsi="Times New Roman" w:cs="Times New Roman"/>
          <w:sz w:val="24"/>
          <w:szCs w:val="24"/>
        </w:rPr>
        <w:t>(4%) needed renal hemofiltration (median 3 days, range 1-8 days) and three (3%) were severe enough to require ECMO (median 8 days, range 2 to 12 days). Eight children (</w:t>
      </w:r>
      <w:r>
        <w:rPr>
          <w:rFonts w:ascii="Times New Roman" w:hAnsi="Times New Roman" w:cs="Times New Roman"/>
          <w:sz w:val="24"/>
          <w:szCs w:val="24"/>
        </w:rPr>
        <w:t>8</w:t>
      </w:r>
      <w:r w:rsidRPr="00B3704D">
        <w:rPr>
          <w:rFonts w:ascii="Times New Roman" w:hAnsi="Times New Roman" w:cs="Times New Roman"/>
          <w:sz w:val="24"/>
          <w:szCs w:val="24"/>
        </w:rPr>
        <w:t>%) died during their stay in PICU</w:t>
      </w:r>
      <w:r w:rsidR="00FA1548">
        <w:rPr>
          <w:rFonts w:ascii="Times New Roman" w:hAnsi="Times New Roman" w:cs="Times New Roman"/>
          <w:sz w:val="24"/>
          <w:szCs w:val="24"/>
        </w:rPr>
        <w:t>, including two (1 cardiac presentation, 1 respiratory presentation) who had severe underlying neuro-developmental co-morbidities</w:t>
      </w:r>
      <w:r w:rsidRPr="00B3704D">
        <w:rPr>
          <w:rFonts w:ascii="Times New Roman" w:hAnsi="Times New Roman" w:cs="Times New Roman"/>
          <w:sz w:val="24"/>
          <w:szCs w:val="24"/>
        </w:rPr>
        <w:t xml:space="preserve">. Although there were only a few </w:t>
      </w:r>
      <w:r>
        <w:rPr>
          <w:rFonts w:ascii="Times New Roman" w:hAnsi="Times New Roman" w:cs="Times New Roman"/>
          <w:sz w:val="24"/>
          <w:szCs w:val="24"/>
        </w:rPr>
        <w:t xml:space="preserve">such </w:t>
      </w:r>
      <w:r w:rsidRPr="00B3704D">
        <w:rPr>
          <w:rFonts w:ascii="Times New Roman" w:hAnsi="Times New Roman" w:cs="Times New Roman"/>
          <w:sz w:val="24"/>
          <w:szCs w:val="24"/>
        </w:rPr>
        <w:t>cases, children with cardiac manifestation</w:t>
      </w:r>
      <w:r>
        <w:rPr>
          <w:rFonts w:ascii="Times New Roman" w:hAnsi="Times New Roman" w:cs="Times New Roman"/>
          <w:sz w:val="24"/>
          <w:szCs w:val="24"/>
        </w:rPr>
        <w:t>s</w:t>
      </w:r>
      <w:r w:rsidRPr="00B3704D">
        <w:rPr>
          <w:rFonts w:ascii="Times New Roman" w:hAnsi="Times New Roman" w:cs="Times New Roman"/>
          <w:sz w:val="24"/>
          <w:szCs w:val="24"/>
        </w:rPr>
        <w:t xml:space="preserve"> appeared to require more intensive care support and also more likely to die in PICU</w:t>
      </w:r>
      <w:r>
        <w:rPr>
          <w:rFonts w:ascii="Times New Roman" w:hAnsi="Times New Roman" w:cs="Times New Roman"/>
          <w:sz w:val="24"/>
          <w:szCs w:val="24"/>
        </w:rPr>
        <w:t xml:space="preserve"> [</w:t>
      </w:r>
      <w:hyperlink w:anchor="Table1" w:history="1">
        <w:r w:rsidRPr="00E3208F">
          <w:rPr>
            <w:rStyle w:val="Hyperlink"/>
            <w:b/>
          </w:rPr>
          <w:t>Table 1</w:t>
        </w:r>
      </w:hyperlink>
      <w:r>
        <w:rPr>
          <w:rFonts w:ascii="Times New Roman" w:hAnsi="Times New Roman" w:cs="Times New Roman"/>
          <w:sz w:val="24"/>
          <w:szCs w:val="24"/>
        </w:rPr>
        <w:t>]</w:t>
      </w:r>
      <w:r w:rsidRPr="00B3704D">
        <w:rPr>
          <w:rFonts w:ascii="Times New Roman" w:hAnsi="Times New Roman" w:cs="Times New Roman"/>
          <w:sz w:val="24"/>
          <w:szCs w:val="24"/>
        </w:rPr>
        <w:t>.</w:t>
      </w:r>
    </w:p>
    <w:p w14:paraId="509C03D0" w14:textId="77777777" w:rsidR="00EA6A84" w:rsidRPr="00B3704D" w:rsidRDefault="00EA6A84" w:rsidP="00EA6A84">
      <w:pPr>
        <w:spacing w:after="0" w:line="480" w:lineRule="auto"/>
        <w:rPr>
          <w:rFonts w:ascii="Times New Roman" w:hAnsi="Times New Roman" w:cs="Times New Roman"/>
          <w:sz w:val="24"/>
          <w:szCs w:val="24"/>
        </w:rPr>
      </w:pPr>
    </w:p>
    <w:p w14:paraId="0C4B25D9" w14:textId="77777777" w:rsidR="00EA6A84" w:rsidRPr="00B3704D" w:rsidRDefault="00EA6A84" w:rsidP="00EA6A84">
      <w:pPr>
        <w:spacing w:after="0" w:line="480" w:lineRule="auto"/>
        <w:rPr>
          <w:rFonts w:ascii="Times New Roman" w:hAnsi="Times New Roman" w:cs="Times New Roman"/>
          <w:b/>
          <w:sz w:val="28"/>
          <w:szCs w:val="28"/>
        </w:rPr>
      </w:pPr>
      <w:r w:rsidRPr="00B3704D">
        <w:rPr>
          <w:rFonts w:ascii="Times New Roman" w:hAnsi="Times New Roman" w:cs="Times New Roman"/>
          <w:b/>
          <w:sz w:val="28"/>
          <w:szCs w:val="28"/>
        </w:rPr>
        <w:t>Discussion</w:t>
      </w:r>
    </w:p>
    <w:p w14:paraId="39F79CCC" w14:textId="77777777" w:rsidR="00EA6A84" w:rsidRPr="00B3704D"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We have attempted to define the burden of severe childhood EV/HPeV infections in the UK and</w:t>
      </w:r>
      <w:r>
        <w:rPr>
          <w:rFonts w:ascii="Times New Roman" w:hAnsi="Times New Roman" w:cs="Times New Roman"/>
          <w:sz w:val="24"/>
          <w:szCs w:val="24"/>
        </w:rPr>
        <w:t xml:space="preserve"> the Republic of</w:t>
      </w:r>
      <w:r w:rsidRPr="00B3704D">
        <w:rPr>
          <w:rFonts w:ascii="Times New Roman" w:hAnsi="Times New Roman" w:cs="Times New Roman"/>
          <w:sz w:val="24"/>
          <w:szCs w:val="24"/>
        </w:rPr>
        <w:t xml:space="preserve"> Ireland during a stable period when no outbreaks are known to have occurred. Over the five years of observation, </w:t>
      </w:r>
      <w:r>
        <w:rPr>
          <w:rFonts w:ascii="Times New Roman" w:hAnsi="Times New Roman" w:cs="Times New Roman"/>
          <w:sz w:val="24"/>
          <w:szCs w:val="24"/>
        </w:rPr>
        <w:t>there</w:t>
      </w:r>
      <w:r w:rsidRPr="00B3704D">
        <w:rPr>
          <w:rFonts w:ascii="Times New Roman" w:hAnsi="Times New Roman" w:cs="Times New Roman"/>
          <w:sz w:val="24"/>
          <w:szCs w:val="24"/>
        </w:rPr>
        <w:t xml:space="preserve"> was a three-fold increase in EV/HPeV-associated PICU admissions, consistent with national trends</w:t>
      </w:r>
      <w:r>
        <w:rPr>
          <w:rFonts w:ascii="Times New Roman" w:hAnsi="Times New Roman" w:cs="Times New Roman"/>
          <w:sz w:val="24"/>
          <w:szCs w:val="24"/>
        </w:rPr>
        <w:t>, most likely</w:t>
      </w:r>
      <w:r w:rsidRPr="00B3704D">
        <w:rPr>
          <w:rFonts w:ascii="Times New Roman" w:hAnsi="Times New Roman" w:cs="Times New Roman"/>
          <w:sz w:val="24"/>
          <w:szCs w:val="24"/>
        </w:rPr>
        <w:t xml:space="preserve"> because of increasing use of PCR-testing for these viruses in local hospitals.</w:t>
      </w:r>
      <w:r w:rsidRPr="006E0FB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"10.1111/1469-0691.12753", "ISSN" : "1198-743X", "PMID" : "25039903", "abstract" : "There have recently been significant changes in diagnostic practices for\\ndetecting enterovirus (EV) infections across England and Wales. Reports\\nof laboratory-confirmed EV infections submitted by National Health\\nService (NHS) hospital laboratories to Public Health England (PHE) over\\na 12-year period (2000-2011) were analysed. Additionally, the PHE Virus\\nReference Department (VRD) electronic database containing molecular\\ntyping data from 2004 onwards was interrogated. Of the 13901 reports,\\nthere was a decline from a peak of 2254 in 2001 to 589 in 2006, and then\\nan increase year-on-year to 1634 in 2011. This increase coincided with\\nincreasing PCR-based laboratory diagnosis, which accounted for 36% of\\nreported cases in 2000 and 92% in 2011. The estimated annual incidence\\nin 2011 was 3.9/100000 overall and 238/100000 in those aged &lt;3months,\\nwho accounted for almost one-quarter of reported cases (n=2993, 23%).\\nDuring 2004-2011, 2770 strains were submitted for molecular typing to\\nthe VRD, who found no evidence for a predominance of any particular\\nstrain. Thus, the recent increase in reported cases closely reflects the\\nincrease in PCR testing by NHS hospitals, but is associated with a lower\\nproportion of samples being submitted for molecular typing. The high EV\\nrate in young infants merits further investigation to inform\\nevidence-based management guidance.", "author" : [ { "dropping-particle" : "", "family" : "Kadambari", "given" : "S", "non-dropping-particle" : "", "parse-names" : false, "suffix" : "" }, { "dropping-particle" : "", "family" : "Bukasa", "given" : "A", "non-dropping-particle" : "", "parse-names" : false, "suffix" : "" }, { "dropping-particle" : "", "family" : "Okike", "given" : "I O", "non-dropping-particle" : "", "parse-names" : false, "suffix" : "" }, { "dropping-particle" : "", "family" : "Pebody", "given" : "R", "non-dropping-particle" : "", "parse-names" : false, "suffix" : "" }, { "dropping-particle" : "", "family" : "Brown", "given" : "D", "non-dropping-particle" : "", "parse-names" : false, "suffix" : "" }, { "dropping-particle" : "", "family" : "Gallimore", "given" : "C", "non-dropping-particle" : "", "parse-names" : false, "suffix" : "" }, { "dropping-particle" : "", "family" : "Xerry", "given" : "J", "non-dropping-particle" : "", "parse-names" : false, "suffix" : "" }, { "dropping-particle" : "", "family" : "Sharland", "given" : "M", "non-dropping-particle" : "", "parse-names" : false, "suffix" : "" }, { "dropping-particle" : "", "family" : "Ladhani", "given" : "S N", "non-dropping-particle" : "", "parse-names" : false, "suffix" : "" } ], "container-title" : "Clinical Microbiology and Infection", "id" : "ITEM-1", "issue" : "12", "issued" : { "date-parts" : [ [ "2014" ] ] }, "page" : "1289-1296", "title" : "Enterovirus infections in England and Wales, 2000-2011: the impact of increased molecular diagnostics", "type" : "article-journal", "volume" : "20" }, "uris" : [ "http://www.mendeley.com/documents/?uuid=069ef1fa-6765-4788-90cb-dc873466aa51" ] } ], "mendeley" : { "formattedCitation" : "&lt;sup&gt;6&lt;/sup&gt;", "plainTextFormattedCitation" : "6", "previouslyFormattedCitation" : "&lt;sup&gt;6&lt;/sup&gt;" }, "properties" : { "noteIndex" : 0 }, "schema" : "https://github.com/citation-style-language/schema/raw/master/csl-citation.json" }</w:instrText>
      </w:r>
      <w:r w:rsidRPr="006E0FB0">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6</w:t>
      </w:r>
      <w:r w:rsidRPr="006E0FB0">
        <w:rPr>
          <w:rFonts w:ascii="Times New Roman" w:hAnsi="Times New Roman" w:cs="Times New Roman"/>
          <w:sz w:val="24"/>
          <w:szCs w:val="24"/>
        </w:rPr>
        <w:fldChar w:fldCharType="end"/>
      </w:r>
      <w:r w:rsidRPr="00B3704D">
        <w:rPr>
          <w:rFonts w:ascii="Times New Roman" w:hAnsi="Times New Roman" w:cs="Times New Roman"/>
          <w:sz w:val="24"/>
          <w:szCs w:val="24"/>
        </w:rPr>
        <w:t xml:space="preserve"> In 2014, EV/HPeV infections were associated with 1.8 per 1,000 PICU admissions, but this is likely to be a significant underestimate because it requires the diagnosis to be made whi</w:t>
      </w:r>
      <w:r>
        <w:rPr>
          <w:rFonts w:ascii="Times New Roman" w:hAnsi="Times New Roman" w:cs="Times New Roman"/>
          <w:sz w:val="24"/>
          <w:szCs w:val="24"/>
        </w:rPr>
        <w:t>l</w:t>
      </w:r>
      <w:r w:rsidRPr="00B3704D">
        <w:rPr>
          <w:rFonts w:ascii="Times New Roman" w:hAnsi="Times New Roman" w:cs="Times New Roman"/>
          <w:sz w:val="24"/>
          <w:szCs w:val="24"/>
        </w:rPr>
        <w:t xml:space="preserve">st the child is still an inpatient in the PICU. PCR-testing for EV/HPeV is usually only performed in large hospitals and there, too, such tests are not performed on a daily basis. Hence, in a significant proportion of cases, the diagnosis would only be confirmed after PICU discharge. </w:t>
      </w:r>
      <w:r>
        <w:rPr>
          <w:rFonts w:ascii="Times New Roman" w:hAnsi="Times New Roman" w:cs="Times New Roman"/>
          <w:sz w:val="24"/>
          <w:szCs w:val="24"/>
        </w:rPr>
        <w:t>It is likely that</w:t>
      </w:r>
      <w:r w:rsidRPr="00B3704D">
        <w:rPr>
          <w:rFonts w:ascii="Times New Roman" w:hAnsi="Times New Roman" w:cs="Times New Roman"/>
          <w:sz w:val="24"/>
          <w:szCs w:val="24"/>
        </w:rPr>
        <w:t xml:space="preserve"> case ascertainment will continue to increase as PCR-testing becomes more widely available and incorporated into routine clinical practice.</w:t>
      </w:r>
    </w:p>
    <w:p w14:paraId="6B4702F7" w14:textId="3A2F5327" w:rsidR="00EA6A84" w:rsidRDefault="00EA6A84" w:rsidP="00B80421">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lastRenderedPageBreak/>
        <w:t xml:space="preserve">Our series of cases is unique in that it captures all clinical presentations </w:t>
      </w:r>
      <w:r w:rsidR="00EC5A5A">
        <w:rPr>
          <w:rFonts w:ascii="Times New Roman" w:hAnsi="Times New Roman" w:cs="Times New Roman"/>
          <w:sz w:val="24"/>
          <w:szCs w:val="24"/>
        </w:rPr>
        <w:t xml:space="preserve">to PICU </w:t>
      </w:r>
      <w:r w:rsidRPr="00B3704D">
        <w:rPr>
          <w:rFonts w:ascii="Times New Roman" w:hAnsi="Times New Roman" w:cs="Times New Roman"/>
          <w:sz w:val="24"/>
          <w:szCs w:val="24"/>
        </w:rPr>
        <w:t xml:space="preserve">caused by all different EV/HPeV types in a national setting over a 5-year period. Moreover, unlike much of the published literature, the cases were </w:t>
      </w:r>
      <w:r>
        <w:rPr>
          <w:rFonts w:ascii="Times New Roman" w:hAnsi="Times New Roman" w:cs="Times New Roman"/>
          <w:sz w:val="24"/>
          <w:szCs w:val="24"/>
        </w:rPr>
        <w:t>identified</w:t>
      </w:r>
      <w:r w:rsidRPr="00B3704D">
        <w:rPr>
          <w:rFonts w:ascii="Times New Roman" w:hAnsi="Times New Roman" w:cs="Times New Roman"/>
          <w:sz w:val="24"/>
          <w:szCs w:val="24"/>
        </w:rPr>
        <w:t xml:space="preserve"> when there was no outbreak and, therefore, no particular EV/HPeV type dominated. Our </w:t>
      </w:r>
      <w:r w:rsidR="00326B80">
        <w:rPr>
          <w:rFonts w:ascii="Times New Roman" w:hAnsi="Times New Roman" w:cs="Times New Roman"/>
          <w:sz w:val="24"/>
          <w:szCs w:val="24"/>
        </w:rPr>
        <w:t xml:space="preserve">findings </w:t>
      </w:r>
      <w:r w:rsidRPr="00B3704D">
        <w:rPr>
          <w:rFonts w:ascii="Times New Roman" w:hAnsi="Times New Roman" w:cs="Times New Roman"/>
          <w:sz w:val="24"/>
          <w:szCs w:val="24"/>
        </w:rPr>
        <w:t xml:space="preserve">indicate that infants account for the majority of children with EV/HPeV infections who require PICU admission. Most </w:t>
      </w:r>
      <w:r>
        <w:rPr>
          <w:rFonts w:ascii="Times New Roman" w:hAnsi="Times New Roman" w:cs="Times New Roman"/>
          <w:sz w:val="24"/>
          <w:szCs w:val="24"/>
        </w:rPr>
        <w:t>we</w:t>
      </w:r>
      <w:r w:rsidRPr="00B3704D">
        <w:rPr>
          <w:rFonts w:ascii="Times New Roman" w:hAnsi="Times New Roman" w:cs="Times New Roman"/>
          <w:sz w:val="24"/>
          <w:szCs w:val="24"/>
        </w:rPr>
        <w:t xml:space="preserve">re extremely ill, often requiring multi-organ support. In particular, although there were only 17 children with cardiac presentations, nearly all required inotropic support. Moreover, two of the four children requiring dialysis, two of the three children requiring ECMO support and half </w:t>
      </w:r>
      <w:r w:rsidR="008707F6">
        <w:rPr>
          <w:rFonts w:ascii="Times New Roman" w:hAnsi="Times New Roman" w:cs="Times New Roman"/>
          <w:sz w:val="24"/>
          <w:szCs w:val="24"/>
        </w:rPr>
        <w:t xml:space="preserve">the </w:t>
      </w:r>
      <w:r w:rsidRPr="00B3704D">
        <w:rPr>
          <w:rFonts w:ascii="Times New Roman" w:hAnsi="Times New Roman" w:cs="Times New Roman"/>
          <w:sz w:val="24"/>
          <w:szCs w:val="24"/>
        </w:rPr>
        <w:t>fatalities occurr</w:t>
      </w:r>
      <w:r>
        <w:rPr>
          <w:rFonts w:ascii="Times New Roman" w:hAnsi="Times New Roman" w:cs="Times New Roman"/>
          <w:sz w:val="24"/>
          <w:szCs w:val="24"/>
        </w:rPr>
        <w:t>ed</w:t>
      </w:r>
      <w:r w:rsidRPr="00B3704D">
        <w:rPr>
          <w:rFonts w:ascii="Times New Roman" w:hAnsi="Times New Roman" w:cs="Times New Roman"/>
          <w:sz w:val="24"/>
          <w:szCs w:val="24"/>
        </w:rPr>
        <w:t xml:space="preserve"> in this group. </w:t>
      </w:r>
    </w:p>
    <w:p w14:paraId="1E49BB2A" w14:textId="15F384C4" w:rsidR="00EA6A84" w:rsidRPr="00B3704D"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Rare but severe cases of HV/HPeV myocarditis are well-reported. In a recent case series from London</w:t>
      </w:r>
      <w:r>
        <w:rPr>
          <w:rFonts w:ascii="Times New Roman" w:hAnsi="Times New Roman" w:cs="Times New Roman"/>
          <w:sz w:val="24"/>
          <w:szCs w:val="24"/>
        </w:rPr>
        <w:t>,</w:t>
      </w:r>
      <w:r w:rsidRPr="00B3704D">
        <w:rPr>
          <w:rFonts w:ascii="Times New Roman" w:hAnsi="Times New Roman" w:cs="Times New Roman"/>
          <w:sz w:val="24"/>
          <w:szCs w:val="24"/>
        </w:rPr>
        <w:t xml:space="preserve"> UK, five young infants with acute fulminant myocarditis presented with non-specific symptoms such as vomiting, cough and poor feeding to their local hospital, but rapid deterioration then prompted referral for intensive care.</w:t>
      </w:r>
      <w:r w:rsidRPr="006909E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"10.1111/j.1440-1754.2010.01799.x", "ISBN" : "1034-4810", "ISSN" : "10344810", "PMID" : "20626579", "abstract" : "To describe the clinical presentation, triage, resuscitation and outcome of acute fulminant myocarditis in children presenting to district hospitals and referred for cardiac intensive care.", "author" : [ { "dropping-particle" : "", "family" : "Ramachandra", "given" : "Geethanjali", "non-dropping-particle" : "", "parse-names" : false, "suffix" : "" }, { "dropping-particle" : "", "family" : "Shields", "given" : "Lynn", "non-dropping-particle" : "", "parse-names" : false, "suffix" : "" }, { "dropping-particle" : "", "family" : "Brown", "given" : "Katherine", "non-dropping-particle" : "", "parse-names" : false, "suffix" : "" }, { "dropping-particle" : "", "family" : "Ramnarayan", "given" : "Padmanabhan", "non-dropping-particle" : "", "parse-names" : false, "suffix" : "" } ], "container-title" : "Journal of Paediatrics and Child Health", "id" : "ITEM-1", "issue" : "10", "issued" : { "date-parts" : [ [ "2010" ] ] }, "page" : "579-582", "title" : "The challenges of prompt identification and resuscitation in children with acute fulminant myocarditis: Case series and review of the literature", "type" : "article-journal", "volume" : "46" }, "uris" : [ "http://www.mendeley.com/documents/?uuid=61447a71-9903-4b1a-bd01-11461663a0b3" ] } ], "mendeley" : { "formattedCitation" : "&lt;sup&gt;9&lt;/sup&gt;", "plainTextFormattedCitation" : "9", "previouslyFormattedCitation" : "&lt;sup&gt;9&lt;/sup&gt;" }, "properties" : { "noteIndex" : 0 }, "schema" : "https://github.com/citation-style-language/schema/raw/master/csl-citation.json" }</w:instrText>
      </w:r>
      <w:r w:rsidRPr="006909E4">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9</w:t>
      </w:r>
      <w:r w:rsidRPr="006909E4">
        <w:rPr>
          <w:rFonts w:ascii="Times New Roman" w:hAnsi="Times New Roman" w:cs="Times New Roman"/>
          <w:sz w:val="24"/>
          <w:szCs w:val="24"/>
        </w:rPr>
        <w:fldChar w:fldCharType="end"/>
      </w:r>
      <w:r w:rsidRPr="00B3704D">
        <w:rPr>
          <w:rFonts w:ascii="Times New Roman" w:hAnsi="Times New Roman" w:cs="Times New Roman"/>
          <w:sz w:val="24"/>
          <w:szCs w:val="24"/>
        </w:rPr>
        <w:t xml:space="preserve"> Two children died before </w:t>
      </w:r>
      <w:r>
        <w:rPr>
          <w:rFonts w:ascii="Times New Roman" w:hAnsi="Times New Roman" w:cs="Times New Roman"/>
          <w:sz w:val="24"/>
          <w:szCs w:val="24"/>
        </w:rPr>
        <w:t xml:space="preserve">the </w:t>
      </w:r>
      <w:r w:rsidRPr="00B3704D">
        <w:rPr>
          <w:rFonts w:ascii="Times New Roman" w:hAnsi="Times New Roman" w:cs="Times New Roman"/>
          <w:sz w:val="24"/>
          <w:szCs w:val="24"/>
        </w:rPr>
        <w:t>retrieval team arrived</w:t>
      </w:r>
      <w:r>
        <w:rPr>
          <w:rFonts w:ascii="Times New Roman" w:hAnsi="Times New Roman" w:cs="Times New Roman"/>
          <w:sz w:val="24"/>
          <w:szCs w:val="24"/>
        </w:rPr>
        <w:t xml:space="preserve">, while </w:t>
      </w:r>
      <w:r w:rsidRPr="00B3704D">
        <w:rPr>
          <w:rFonts w:ascii="Times New Roman" w:hAnsi="Times New Roman" w:cs="Times New Roman"/>
          <w:sz w:val="24"/>
          <w:szCs w:val="24"/>
        </w:rPr>
        <w:t>one of the three survivors needed urgent orthotopic heart transplantation. The authors recommended that myocarditis should be considered in any previously well child presenting with a viral prodrome and non-specific organ dysfunction associated with dysrhythmias, shock or acute heart failure, even without cardiomegaly. In another study, only 8/24 (33%) with enteroviral myocarditis requiring ECMO survived.</w:t>
      </w:r>
      <w:r w:rsidRPr="006909E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"10.1097/PCC.0b013e3181e8b44b", "ISBN" : "1529-7535 (Print)\\n1529-7535 (Linking)", "ISSN" : "1529-7535", "PMID" : "20625340", "abstract" : "Neonates infected with enteroviruses may present with severe myocarditis and medically refractory cardiopulmonary collapse. Extracorporeal membrane oxygenation (ECMO) has been used to support patients in this setting, but its efficacy has not been systematically studied. We sought to review the Extracorporeal Life Support Organization registry to determine survival rates and identify predictors of in hospital mortality for these neonates.", "author" : [ { "dropping-particle" : "", "family" : "Madden", "given" : "Kate", "non-dropping-particle" : "", "parse-names" : false, "suffix" : "" }, { "dropping-particle" : "", "family" : "Thiagarajan", "given" : "Ravi R", "non-dropping-particle" : "", "parse-names" : false, "suffix" : "" }, { "dropping-particle" : "", "family" : "Rycus", "given" : "Peter T", "non-dropping-particle" : "", "parse-names" : false, "suffix" : "" }, { "dropping-particle" : "", "family" : "Rajagopal", "given" : "Satish K", "non-dropping-particle" : "", "parse-names" : false, "suffix" : "" } ], "container-title" : "Pediatric critical care medicine : a journal of the Society of Critical Care Medicine and the World Federation of Pediatric Intensive and Critical Care Societies", "id" : "ITEM-1", "issue" : "3", "issued" : { "date-parts" : [ [ "2011" ] ] }, "page" : "314-318", "title" : "Survival of neonates with enteroviral myocarditis requiring extracorporeal membrane oxygenation.", "type" : "article-journal", "volume" : "12" }, "uris" : [ "http://www.mendeley.com/documents/?uuid=e04c0c13-3407-492f-bf1d-d045355a2906" ] } ], "mendeley" : { "formattedCitation" : "&lt;sup&gt;10&lt;/sup&gt;", "plainTextFormattedCitation" : "10", "previouslyFormattedCitation" : "&lt;sup&gt;10&lt;/sup&gt;" }, "properties" : { "noteIndex" : 0 }, "schema" : "https://github.com/citation-style-language/schema/raw/master/csl-citation.json" }</w:instrText>
      </w:r>
      <w:r w:rsidRPr="006909E4">
        <w:rPr>
          <w:rFonts w:ascii="Times New Roman" w:hAnsi="Times New Roman" w:cs="Times New Roman"/>
          <w:sz w:val="24"/>
          <w:szCs w:val="24"/>
        </w:rPr>
        <w:fldChar w:fldCharType="separate"/>
      </w:r>
      <w:r w:rsidRPr="000078FB">
        <w:rPr>
          <w:rFonts w:ascii="Times New Roman" w:hAnsi="Times New Roman" w:cs="Times New Roman"/>
          <w:noProof/>
          <w:sz w:val="24"/>
          <w:szCs w:val="24"/>
          <w:vertAlign w:val="superscript"/>
        </w:rPr>
        <w:t>10</w:t>
      </w:r>
      <w:r w:rsidRPr="006909E4">
        <w:rPr>
          <w:rFonts w:ascii="Times New Roman" w:hAnsi="Times New Roman" w:cs="Times New Roman"/>
          <w:sz w:val="24"/>
          <w:szCs w:val="24"/>
        </w:rPr>
        <w:fldChar w:fldCharType="end"/>
      </w:r>
      <w:r w:rsidRPr="00B3704D">
        <w:rPr>
          <w:rFonts w:ascii="Times New Roman" w:hAnsi="Times New Roman" w:cs="Times New Roman"/>
          <w:sz w:val="24"/>
          <w:szCs w:val="24"/>
        </w:rPr>
        <w:t xml:space="preserve"> Multisystem organ dysfunction, particularly with renal involvement, may portend a poor prognosis</w:t>
      </w:r>
      <w:r w:rsidR="0040243F">
        <w:rPr>
          <w:rFonts w:ascii="Times New Roman" w:hAnsi="Times New Roman" w:cs="Times New Roman"/>
          <w:sz w:val="24"/>
          <w:szCs w:val="24"/>
        </w:rPr>
        <w:t>, highlights the importance rapid diagnosis to ensure early and appropriate supportive care</w:t>
      </w:r>
      <w:r w:rsidRPr="00B3704D">
        <w:rPr>
          <w:rFonts w:ascii="Times New Roman" w:hAnsi="Times New Roman" w:cs="Times New Roman"/>
          <w:sz w:val="24"/>
          <w:szCs w:val="24"/>
        </w:rPr>
        <w:t>.</w:t>
      </w:r>
      <w:r w:rsidR="0040243F" w:rsidRPr="0040243F">
        <w:rPr>
          <w:rFonts w:ascii="Times New Roman" w:hAnsi="Times New Roman" w:cs="Times New Roman"/>
          <w:color w:val="FF0000"/>
          <w:sz w:val="24"/>
          <w:szCs w:val="24"/>
          <w:vertAlign w:val="superscript"/>
        </w:rPr>
        <w:t>11</w:t>
      </w:r>
    </w:p>
    <w:p w14:paraId="0D9DF06F" w14:textId="4FA17DA9" w:rsidR="00EA6A84" w:rsidRPr="00E620D0" w:rsidRDefault="00EA6A84" w:rsidP="00EA6A84">
      <w:pPr>
        <w:spacing w:after="0" w:line="480" w:lineRule="auto"/>
        <w:rPr>
          <w:rFonts w:ascii="Times New Roman" w:hAnsi="Times New Roman" w:cs="Times New Roman"/>
          <w:sz w:val="24"/>
          <w:szCs w:val="24"/>
        </w:rPr>
      </w:pPr>
      <w:r w:rsidRPr="00080B9C">
        <w:rPr>
          <w:rFonts w:ascii="Times New Roman" w:hAnsi="Times New Roman" w:cs="Times New Roman"/>
          <w:sz w:val="24"/>
          <w:szCs w:val="24"/>
        </w:rPr>
        <w:t xml:space="preserve">A limitation of our study is that PICANet does not collect extensive data on presenting symptoms or interventions other than those specified in the </w:t>
      </w:r>
      <w:r>
        <w:rPr>
          <w:rFonts w:ascii="Times New Roman" w:hAnsi="Times New Roman" w:cs="Times New Roman"/>
          <w:sz w:val="24"/>
          <w:szCs w:val="24"/>
        </w:rPr>
        <w:t>PICANET dataset.</w:t>
      </w:r>
      <w:r w:rsidRPr="00080B9C">
        <w:rPr>
          <w:rFonts w:ascii="Times New Roman" w:hAnsi="Times New Roman" w:cs="Times New Roman"/>
          <w:sz w:val="24"/>
          <w:szCs w:val="24"/>
        </w:rPr>
        <w:t xml:space="preserve"> </w:t>
      </w:r>
      <w:r>
        <w:rPr>
          <w:rFonts w:ascii="Times New Roman" w:hAnsi="Times New Roman" w:cs="Times New Roman"/>
          <w:sz w:val="24"/>
          <w:szCs w:val="24"/>
        </w:rPr>
        <w:t xml:space="preserve">Another limitation to our study is that diagnosis may not be confirmed until after the children are discharged from PICU and that may </w:t>
      </w:r>
      <w:r w:rsidR="0040243F">
        <w:rPr>
          <w:rFonts w:ascii="Times New Roman" w:hAnsi="Times New Roman" w:cs="Times New Roman"/>
          <w:sz w:val="24"/>
          <w:szCs w:val="24"/>
        </w:rPr>
        <w:t xml:space="preserve">substantially </w:t>
      </w:r>
      <w:r>
        <w:rPr>
          <w:rFonts w:ascii="Times New Roman" w:hAnsi="Times New Roman" w:cs="Times New Roman"/>
          <w:sz w:val="24"/>
          <w:szCs w:val="24"/>
        </w:rPr>
        <w:t>underestimate the true burden of EV/HPeV infections in children admitted to PICU.</w:t>
      </w:r>
    </w:p>
    <w:p w14:paraId="6196EE93" w14:textId="77777777" w:rsidR="00EA6A84" w:rsidRPr="0006461D" w:rsidRDefault="00EA6A84" w:rsidP="00EA6A84">
      <w:pPr>
        <w:spacing w:after="0" w:line="480" w:lineRule="auto"/>
        <w:rPr>
          <w:rFonts w:ascii="Times New Roman" w:hAnsi="Times New Roman" w:cs="Times New Roman"/>
          <w:b/>
          <w:sz w:val="28"/>
          <w:szCs w:val="24"/>
        </w:rPr>
      </w:pPr>
      <w:r w:rsidRPr="0006461D">
        <w:rPr>
          <w:rFonts w:ascii="Times New Roman" w:hAnsi="Times New Roman" w:cs="Times New Roman"/>
          <w:b/>
          <w:sz w:val="28"/>
          <w:szCs w:val="24"/>
        </w:rPr>
        <w:lastRenderedPageBreak/>
        <w:t xml:space="preserve">Acknowledgments </w:t>
      </w:r>
    </w:p>
    <w:p w14:paraId="764B5571" w14:textId="77777777" w:rsidR="00EA6A84" w:rsidRDefault="00EA6A84" w:rsidP="00EA6A84">
      <w:pPr>
        <w:spacing w:after="0" w:line="480" w:lineRule="auto"/>
        <w:rPr>
          <w:rFonts w:ascii="Times New Roman" w:hAnsi="Times New Roman" w:cs="Times New Roman"/>
          <w:sz w:val="24"/>
          <w:szCs w:val="24"/>
        </w:rPr>
      </w:pPr>
      <w:r w:rsidRPr="00B3704D">
        <w:rPr>
          <w:rFonts w:ascii="Times New Roman" w:hAnsi="Times New Roman" w:cs="Times New Roman"/>
          <w:sz w:val="24"/>
          <w:szCs w:val="24"/>
        </w:rPr>
        <w:t>The authors thank PICANet for providing anonymized data on intensive care admissions for children with EV/HPeV infections</w:t>
      </w:r>
      <w:r>
        <w:rPr>
          <w:rFonts w:ascii="Times New Roman" w:hAnsi="Times New Roman" w:cs="Times New Roman"/>
          <w:sz w:val="24"/>
          <w:szCs w:val="24"/>
        </w:rPr>
        <w:t xml:space="preserve">. </w:t>
      </w:r>
    </w:p>
    <w:p w14:paraId="4319BA4D" w14:textId="77777777" w:rsidR="00EA6A84" w:rsidRDefault="00EA6A84" w:rsidP="00EA6A84">
      <w:pPr>
        <w:rPr>
          <w:rFonts w:ascii="Times New Roman" w:hAnsi="Times New Roman" w:cs="Times New Roman"/>
          <w:sz w:val="24"/>
          <w:szCs w:val="24"/>
        </w:rPr>
      </w:pPr>
      <w:r>
        <w:rPr>
          <w:rFonts w:ascii="Times New Roman" w:hAnsi="Times New Roman" w:cs="Times New Roman"/>
          <w:sz w:val="24"/>
          <w:szCs w:val="24"/>
        </w:rPr>
        <w:br w:type="page"/>
      </w:r>
    </w:p>
    <w:p w14:paraId="4D0CE554" w14:textId="77777777" w:rsidR="00EA6A84" w:rsidRPr="00540859" w:rsidRDefault="00EA6A84" w:rsidP="00EA6A84">
      <w:pPr>
        <w:spacing w:after="0" w:line="480" w:lineRule="auto"/>
        <w:rPr>
          <w:rFonts w:ascii="Times New Roman" w:hAnsi="Times New Roman" w:cs="Times New Roman"/>
          <w:b/>
          <w:sz w:val="28"/>
          <w:szCs w:val="28"/>
        </w:rPr>
      </w:pPr>
      <w:r w:rsidRPr="00540859">
        <w:rPr>
          <w:rFonts w:ascii="Times New Roman" w:hAnsi="Times New Roman" w:cs="Times New Roman"/>
          <w:b/>
          <w:sz w:val="28"/>
          <w:szCs w:val="28"/>
        </w:rPr>
        <w:lastRenderedPageBreak/>
        <w:t>References</w:t>
      </w:r>
    </w:p>
    <w:p w14:paraId="02C69AB1"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CF5E04">
        <w:rPr>
          <w:rFonts w:ascii="Times New Roman" w:eastAsiaTheme="minorEastAsia" w:hAnsi="Times New Roman" w:cs="Times New Roman"/>
          <w:sz w:val="24"/>
          <w:szCs w:val="24"/>
          <w:lang w:eastAsia="en-GB"/>
        </w:rPr>
        <w:fldChar w:fldCharType="begin" w:fldLock="1"/>
      </w:r>
      <w:r w:rsidRPr="00540859">
        <w:rPr>
          <w:rFonts w:ascii="Times New Roman" w:hAnsi="Times New Roman" w:cs="Times New Roman"/>
        </w:rPr>
        <w:instrText xml:space="preserve">ADDIN Mendeley Bibliography CSL_BIBLIOGRAPHY </w:instrText>
      </w:r>
      <w:r w:rsidRPr="00CF5E04">
        <w:rPr>
          <w:rFonts w:ascii="Times New Roman" w:eastAsiaTheme="minorEastAsia" w:hAnsi="Times New Roman" w:cs="Times New Roman"/>
          <w:sz w:val="24"/>
          <w:szCs w:val="24"/>
          <w:lang w:eastAsia="en-GB"/>
        </w:rPr>
        <w:fldChar w:fldCharType="separate"/>
      </w:r>
      <w:r w:rsidRPr="00EC3653">
        <w:rPr>
          <w:rFonts w:ascii="Times New Roman" w:hAnsi="Times New Roman" w:cs="Times New Roman"/>
          <w:noProof/>
          <w:sz w:val="24"/>
          <w:szCs w:val="24"/>
          <w:lang w:val="en-US"/>
        </w:rPr>
        <w:t xml:space="preserve">1. </w:t>
      </w:r>
      <w:r w:rsidRPr="00EC3653">
        <w:rPr>
          <w:rFonts w:ascii="Times New Roman" w:hAnsi="Times New Roman" w:cs="Times New Roman"/>
          <w:noProof/>
          <w:sz w:val="24"/>
          <w:szCs w:val="24"/>
          <w:lang w:val="en-US"/>
        </w:rPr>
        <w:tab/>
        <w:t xml:space="preserve">Zaoutis T, Klein JD. Enterovirus infections. </w:t>
      </w:r>
      <w:r w:rsidRPr="00EC3653">
        <w:rPr>
          <w:rFonts w:ascii="Times New Roman" w:hAnsi="Times New Roman" w:cs="Times New Roman"/>
          <w:i/>
          <w:iCs/>
          <w:noProof/>
          <w:sz w:val="24"/>
          <w:szCs w:val="24"/>
          <w:lang w:val="en-US"/>
        </w:rPr>
        <w:t>Pediatr Rev</w:t>
      </w:r>
      <w:r w:rsidRPr="00EC3653">
        <w:rPr>
          <w:rFonts w:ascii="Times New Roman" w:hAnsi="Times New Roman" w:cs="Times New Roman"/>
          <w:noProof/>
          <w:sz w:val="24"/>
          <w:szCs w:val="24"/>
          <w:lang w:val="en-US"/>
        </w:rPr>
        <w:t>. 1998;19(6):183-191.</w:t>
      </w:r>
    </w:p>
    <w:p w14:paraId="18291D3E"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2. </w:t>
      </w:r>
      <w:r w:rsidRPr="00EC3653">
        <w:rPr>
          <w:rFonts w:ascii="Times New Roman" w:hAnsi="Times New Roman" w:cs="Times New Roman"/>
          <w:noProof/>
          <w:sz w:val="24"/>
          <w:szCs w:val="24"/>
          <w:lang w:val="en-US"/>
        </w:rPr>
        <w:tab/>
        <w:t>Lugo D, Krogstad P. Enteroviruses in the early 21st century : new manifestations and challenges . 2016;28(1):2016. doi:10.1097/MOP.0000000000000303.Enteroviruses.</w:t>
      </w:r>
    </w:p>
    <w:p w14:paraId="7C539C0E"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3. </w:t>
      </w:r>
      <w:r w:rsidRPr="00EC3653">
        <w:rPr>
          <w:rFonts w:ascii="Times New Roman" w:hAnsi="Times New Roman" w:cs="Times New Roman"/>
          <w:noProof/>
          <w:sz w:val="24"/>
          <w:szCs w:val="24"/>
          <w:lang w:val="en-US"/>
        </w:rPr>
        <w:tab/>
        <w:t xml:space="preserve">Greninger AL, Naccache SN, Messacar K, et al. A novel outbreak enterovirus D68 strain associated with acute flaccid myelitis cases in the USA (2012-14): a retrospective cohort study. </w:t>
      </w:r>
      <w:r w:rsidRPr="00EC3653">
        <w:rPr>
          <w:rFonts w:ascii="Times New Roman" w:hAnsi="Times New Roman" w:cs="Times New Roman"/>
          <w:i/>
          <w:iCs/>
          <w:noProof/>
          <w:sz w:val="24"/>
          <w:szCs w:val="24"/>
          <w:lang w:val="en-US"/>
        </w:rPr>
        <w:t>Lancet Infect Dis</w:t>
      </w:r>
      <w:r w:rsidRPr="00EC3653">
        <w:rPr>
          <w:rFonts w:ascii="Times New Roman" w:hAnsi="Times New Roman" w:cs="Times New Roman"/>
          <w:noProof/>
          <w:sz w:val="24"/>
          <w:szCs w:val="24"/>
          <w:lang w:val="en-US"/>
        </w:rPr>
        <w:t>. 2015;15(6):671-682. doi:10.1016/S1473-3099(15)70093-9.</w:t>
      </w:r>
    </w:p>
    <w:p w14:paraId="2E96AF56"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4. </w:t>
      </w:r>
      <w:r w:rsidRPr="00EC3653">
        <w:rPr>
          <w:rFonts w:ascii="Times New Roman" w:hAnsi="Times New Roman" w:cs="Times New Roman"/>
          <w:noProof/>
          <w:sz w:val="24"/>
          <w:szCs w:val="24"/>
          <w:lang w:val="en-US"/>
        </w:rPr>
        <w:tab/>
        <w:t xml:space="preserve">Khatami  a., McMullan BJ, Webber M, et al. Sepsis-like Disease in Infants Due to Human Parechovirus Type 3 During an Outbreak in Australia. </w:t>
      </w:r>
      <w:r w:rsidRPr="00EC3653">
        <w:rPr>
          <w:rFonts w:ascii="Times New Roman" w:hAnsi="Times New Roman" w:cs="Times New Roman"/>
          <w:i/>
          <w:iCs/>
          <w:noProof/>
          <w:sz w:val="24"/>
          <w:szCs w:val="24"/>
          <w:lang w:val="en-US"/>
        </w:rPr>
        <w:t>Clin Infect Dis</w:t>
      </w:r>
      <w:r w:rsidRPr="00EC3653">
        <w:rPr>
          <w:rFonts w:ascii="Times New Roman" w:hAnsi="Times New Roman" w:cs="Times New Roman"/>
          <w:noProof/>
          <w:sz w:val="24"/>
          <w:szCs w:val="24"/>
          <w:lang w:val="en-US"/>
        </w:rPr>
        <w:t>. 2014;60(2):228-236. doi:10.1093/cid/ciu784.</w:t>
      </w:r>
    </w:p>
    <w:p w14:paraId="65D13F98"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5. </w:t>
      </w:r>
      <w:r w:rsidRPr="00EC3653">
        <w:rPr>
          <w:rFonts w:ascii="Times New Roman" w:hAnsi="Times New Roman" w:cs="Times New Roman"/>
          <w:noProof/>
          <w:sz w:val="24"/>
          <w:szCs w:val="24"/>
          <w:lang w:val="en-US"/>
        </w:rPr>
        <w:tab/>
        <w:t xml:space="preserve">Zander A, Britton PN, Navin T, Horsley E, Tobin S, McAnulty JM. An outbreak of enterovirus 71 in metropolitan Sydney: enhanced surveillance and lessons learnt. </w:t>
      </w:r>
      <w:r w:rsidRPr="00EC3653">
        <w:rPr>
          <w:rFonts w:ascii="Times New Roman" w:hAnsi="Times New Roman" w:cs="Times New Roman"/>
          <w:i/>
          <w:iCs/>
          <w:noProof/>
          <w:sz w:val="24"/>
          <w:szCs w:val="24"/>
          <w:lang w:val="en-US"/>
        </w:rPr>
        <w:t>Med J Aust</w:t>
      </w:r>
      <w:r w:rsidRPr="00EC3653">
        <w:rPr>
          <w:rFonts w:ascii="Times New Roman" w:hAnsi="Times New Roman" w:cs="Times New Roman"/>
          <w:noProof/>
          <w:sz w:val="24"/>
          <w:szCs w:val="24"/>
          <w:lang w:val="en-US"/>
        </w:rPr>
        <w:t>. 2014;201(11):663-666. doi:10.5694/mja14.00014.</w:t>
      </w:r>
    </w:p>
    <w:p w14:paraId="2781A3C1"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6. </w:t>
      </w:r>
      <w:r w:rsidRPr="00EC3653">
        <w:rPr>
          <w:rFonts w:ascii="Times New Roman" w:hAnsi="Times New Roman" w:cs="Times New Roman"/>
          <w:noProof/>
          <w:sz w:val="24"/>
          <w:szCs w:val="24"/>
          <w:lang w:val="en-US"/>
        </w:rPr>
        <w:tab/>
        <w:t xml:space="preserve">Kadambari S, Bukasa A, Okike IO, et al. Enterovirus infections in England and Wales, 2000-2011: the impact of increased molecular diagnostics. </w:t>
      </w:r>
      <w:r w:rsidRPr="00EC3653">
        <w:rPr>
          <w:rFonts w:ascii="Times New Roman" w:hAnsi="Times New Roman" w:cs="Times New Roman"/>
          <w:i/>
          <w:iCs/>
          <w:noProof/>
          <w:sz w:val="24"/>
          <w:szCs w:val="24"/>
          <w:lang w:val="en-US"/>
        </w:rPr>
        <w:t>Clin Microbiol Infect</w:t>
      </w:r>
      <w:r w:rsidRPr="00EC3653">
        <w:rPr>
          <w:rFonts w:ascii="Times New Roman" w:hAnsi="Times New Roman" w:cs="Times New Roman"/>
          <w:noProof/>
          <w:sz w:val="24"/>
          <w:szCs w:val="24"/>
          <w:lang w:val="en-US"/>
        </w:rPr>
        <w:t>. 2014;20(12):1289-1296. doi:10.1111/1469-0691.12753.</w:t>
      </w:r>
    </w:p>
    <w:p w14:paraId="3373EE6B"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7. </w:t>
      </w:r>
      <w:r w:rsidRPr="00EC3653">
        <w:rPr>
          <w:rFonts w:ascii="Times New Roman" w:hAnsi="Times New Roman" w:cs="Times New Roman"/>
          <w:noProof/>
          <w:sz w:val="24"/>
          <w:szCs w:val="24"/>
          <w:lang w:val="en-US"/>
        </w:rPr>
        <w:tab/>
        <w:t xml:space="preserve">Vergnano S, Kadambari S, Whalley K, et al. Characteristics and outcomes of human parechovirus infection in infants (2008-2012). </w:t>
      </w:r>
      <w:r w:rsidRPr="00EC3653">
        <w:rPr>
          <w:rFonts w:ascii="Times New Roman" w:hAnsi="Times New Roman" w:cs="Times New Roman"/>
          <w:i/>
          <w:iCs/>
          <w:noProof/>
          <w:sz w:val="24"/>
          <w:szCs w:val="24"/>
          <w:lang w:val="en-US"/>
        </w:rPr>
        <w:t>Eur J Pediatr</w:t>
      </w:r>
      <w:r w:rsidRPr="00EC3653">
        <w:rPr>
          <w:rFonts w:ascii="Times New Roman" w:hAnsi="Times New Roman" w:cs="Times New Roman"/>
          <w:noProof/>
          <w:sz w:val="24"/>
          <w:szCs w:val="24"/>
          <w:lang w:val="en-US"/>
        </w:rPr>
        <w:t>. 2015;174(7):919-924. doi:10.1007/s00431-014-2483-3.</w:t>
      </w:r>
    </w:p>
    <w:p w14:paraId="018E4768"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8. </w:t>
      </w:r>
      <w:r w:rsidRPr="00EC3653">
        <w:rPr>
          <w:rFonts w:ascii="Times New Roman" w:hAnsi="Times New Roman" w:cs="Times New Roman"/>
          <w:noProof/>
          <w:sz w:val="24"/>
          <w:szCs w:val="24"/>
          <w:lang w:val="en-US"/>
        </w:rPr>
        <w:tab/>
        <w:t xml:space="preserve">Oades PJ, Ladhani S. Enteroviral meningoencephalitis in an infant: an increasingly recognised infection. </w:t>
      </w:r>
      <w:r w:rsidRPr="00EC3653">
        <w:rPr>
          <w:rFonts w:ascii="Times New Roman" w:hAnsi="Times New Roman" w:cs="Times New Roman"/>
          <w:i/>
          <w:iCs/>
          <w:noProof/>
          <w:sz w:val="24"/>
          <w:szCs w:val="24"/>
          <w:lang w:val="en-US"/>
        </w:rPr>
        <w:t>Arch Dis Child</w:t>
      </w:r>
      <w:r w:rsidRPr="00EC3653">
        <w:rPr>
          <w:rFonts w:ascii="Times New Roman" w:hAnsi="Times New Roman" w:cs="Times New Roman"/>
          <w:noProof/>
          <w:sz w:val="24"/>
          <w:szCs w:val="24"/>
          <w:lang w:val="en-US"/>
        </w:rPr>
        <w:t>. 2014:307372. doi:10.1136/archdischild-2014-307372.</w:t>
      </w:r>
    </w:p>
    <w:p w14:paraId="4A560DAA" w14:textId="77777777" w:rsidR="00EA6A84" w:rsidRPr="00EC3653"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9. </w:t>
      </w:r>
      <w:r w:rsidRPr="00EC3653">
        <w:rPr>
          <w:rFonts w:ascii="Times New Roman" w:hAnsi="Times New Roman" w:cs="Times New Roman"/>
          <w:noProof/>
          <w:sz w:val="24"/>
          <w:szCs w:val="24"/>
          <w:lang w:val="en-US"/>
        </w:rPr>
        <w:tab/>
        <w:t xml:space="preserve">Ramachandra G, Shields L, Brown K, Ramnarayan P. The challenges of prompt identification and resuscitation in children with acute fulminant myocarditis: Case series and review of the literature. </w:t>
      </w:r>
      <w:r w:rsidRPr="00EC3653">
        <w:rPr>
          <w:rFonts w:ascii="Times New Roman" w:hAnsi="Times New Roman" w:cs="Times New Roman"/>
          <w:i/>
          <w:iCs/>
          <w:noProof/>
          <w:sz w:val="24"/>
          <w:szCs w:val="24"/>
          <w:lang w:val="en-US"/>
        </w:rPr>
        <w:t>J Paediatr Child Health</w:t>
      </w:r>
      <w:r w:rsidRPr="00EC3653">
        <w:rPr>
          <w:rFonts w:ascii="Times New Roman" w:hAnsi="Times New Roman" w:cs="Times New Roman"/>
          <w:noProof/>
          <w:sz w:val="24"/>
          <w:szCs w:val="24"/>
          <w:lang w:val="en-US"/>
        </w:rPr>
        <w:t>. 2010;46(10):579-582. doi:10.1111/j.1440-1754.2010.01799.x.</w:t>
      </w:r>
    </w:p>
    <w:p w14:paraId="62570507" w14:textId="77777777" w:rsidR="00EA6A84" w:rsidRDefault="00EA6A84"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EC3653">
        <w:rPr>
          <w:rFonts w:ascii="Times New Roman" w:hAnsi="Times New Roman" w:cs="Times New Roman"/>
          <w:noProof/>
          <w:sz w:val="24"/>
          <w:szCs w:val="24"/>
          <w:lang w:val="en-US"/>
        </w:rPr>
        <w:t xml:space="preserve">10. </w:t>
      </w:r>
      <w:r w:rsidRPr="00EC3653">
        <w:rPr>
          <w:rFonts w:ascii="Times New Roman" w:hAnsi="Times New Roman" w:cs="Times New Roman"/>
          <w:noProof/>
          <w:sz w:val="24"/>
          <w:szCs w:val="24"/>
          <w:lang w:val="en-US"/>
        </w:rPr>
        <w:tab/>
        <w:t xml:space="preserve">Madden K, Thiagarajan RR, Rycus PT, Rajagopal SK. Survival of neonates with enteroviral myocarditis requiring extracorporeal membrane oxygenation. </w:t>
      </w:r>
      <w:r w:rsidRPr="00EC3653">
        <w:rPr>
          <w:rFonts w:ascii="Times New Roman" w:hAnsi="Times New Roman" w:cs="Times New Roman"/>
          <w:i/>
          <w:iCs/>
          <w:noProof/>
          <w:sz w:val="24"/>
          <w:szCs w:val="24"/>
          <w:lang w:val="en-US"/>
        </w:rPr>
        <w:t>Pediatr Crit Care Med</w:t>
      </w:r>
      <w:r w:rsidRPr="00EC3653">
        <w:rPr>
          <w:rFonts w:ascii="Times New Roman" w:hAnsi="Times New Roman" w:cs="Times New Roman"/>
          <w:noProof/>
          <w:sz w:val="24"/>
          <w:szCs w:val="24"/>
          <w:lang w:val="en-US"/>
        </w:rPr>
        <w:t>. 2011;12(3):314-318. doi:10.1097/PCC.0b013e3181e8b44b.</w:t>
      </w:r>
    </w:p>
    <w:p w14:paraId="3D116183" w14:textId="04B04DD9" w:rsidR="00743930" w:rsidRPr="00743930" w:rsidRDefault="00743930" w:rsidP="0074393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11. </w:t>
      </w:r>
      <w:r w:rsidR="00A522AB">
        <w:rPr>
          <w:rFonts w:ascii="Times New Roman" w:hAnsi="Times New Roman" w:cs="Times New Roman"/>
          <w:noProof/>
          <w:sz w:val="24"/>
          <w:szCs w:val="24"/>
          <w:lang w:val="en-US"/>
        </w:rPr>
        <w:tab/>
      </w:r>
      <w:r w:rsidRPr="00743930">
        <w:rPr>
          <w:rFonts w:ascii="Times New Roman" w:hAnsi="Times New Roman" w:cs="Times New Roman"/>
          <w:noProof/>
          <w:sz w:val="24"/>
          <w:szCs w:val="24"/>
          <w:lang w:val="en-US"/>
        </w:rPr>
        <w:t>de Crom SC, Rossen JW, van Furth AM, Obihara CC</w:t>
      </w:r>
      <w:r>
        <w:rPr>
          <w:rFonts w:ascii="Times New Roman" w:hAnsi="Times New Roman" w:cs="Times New Roman"/>
          <w:noProof/>
          <w:sz w:val="24"/>
          <w:szCs w:val="24"/>
          <w:lang w:val="en-US"/>
        </w:rPr>
        <w:t xml:space="preserve">. Enterovirus and parechovirus </w:t>
      </w:r>
      <w:r w:rsidRPr="00743930">
        <w:rPr>
          <w:rFonts w:ascii="Times New Roman" w:hAnsi="Times New Roman" w:cs="Times New Roman"/>
          <w:noProof/>
          <w:sz w:val="24"/>
          <w:szCs w:val="24"/>
          <w:lang w:val="en-US"/>
        </w:rPr>
        <w:t>infection in children: a brief overview. Eur J Pediatr. 2016 Aug;175(8):1023-9.</w:t>
      </w:r>
    </w:p>
    <w:p w14:paraId="28B47B78" w14:textId="36375B24" w:rsidR="00743930" w:rsidRDefault="00743930" w:rsidP="00A522AB">
      <w:pPr>
        <w:widowControl w:val="0"/>
        <w:autoSpaceDE w:val="0"/>
        <w:autoSpaceDN w:val="0"/>
        <w:adjustRightInd w:val="0"/>
        <w:spacing w:after="0" w:line="480" w:lineRule="auto"/>
        <w:rPr>
          <w:rFonts w:ascii="Times New Roman" w:hAnsi="Times New Roman" w:cs="Times New Roman"/>
          <w:noProof/>
          <w:sz w:val="24"/>
          <w:szCs w:val="24"/>
          <w:lang w:val="en-US"/>
        </w:rPr>
      </w:pPr>
    </w:p>
    <w:p w14:paraId="2EF18376" w14:textId="77777777" w:rsidR="00743930" w:rsidRPr="00EA6A84" w:rsidRDefault="00743930" w:rsidP="00EA6A84">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p>
    <w:p w14:paraId="3F68D3C8" w14:textId="77777777" w:rsidR="0098169C" w:rsidRDefault="00EA6A84" w:rsidP="00EA6A84">
      <w:r w:rsidRPr="00CF5E04">
        <w:rPr>
          <w:rFonts w:ascii="Times New Roman" w:hAnsi="Times New Roman" w:cs="Times New Roman"/>
        </w:rPr>
        <w:fldChar w:fldCharType="end"/>
      </w:r>
    </w:p>
    <w:sectPr w:rsidR="0098169C" w:rsidSect="004D065D">
      <w:footerReference w:type="even" r:id="rId8"/>
      <w:footerReference w:type="default" r:id="rId9"/>
      <w:pgSz w:w="11900" w:h="16840"/>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DE6F9" w14:textId="77777777" w:rsidR="00CE2195" w:rsidRDefault="00CE2195" w:rsidP="004D065D">
      <w:pPr>
        <w:spacing w:after="0" w:line="240" w:lineRule="auto"/>
      </w:pPr>
      <w:r>
        <w:separator/>
      </w:r>
    </w:p>
  </w:endnote>
  <w:endnote w:type="continuationSeparator" w:id="0">
    <w:p w14:paraId="0C1ECCEA" w14:textId="77777777" w:rsidR="00CE2195" w:rsidRDefault="00CE2195" w:rsidP="004D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FB5F6" w14:textId="77777777" w:rsidR="004D065D" w:rsidRDefault="004D065D" w:rsidP="00D00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CC85F" w14:textId="77777777" w:rsidR="004D065D" w:rsidRDefault="004D065D" w:rsidP="004D0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2CA7" w14:textId="77777777" w:rsidR="004D065D" w:rsidRDefault="004D065D" w:rsidP="00D00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1F8">
      <w:rPr>
        <w:rStyle w:val="PageNumber"/>
        <w:noProof/>
      </w:rPr>
      <w:t>7</w:t>
    </w:r>
    <w:r>
      <w:rPr>
        <w:rStyle w:val="PageNumber"/>
      </w:rPr>
      <w:fldChar w:fldCharType="end"/>
    </w:r>
  </w:p>
  <w:p w14:paraId="50C11FC8" w14:textId="77777777" w:rsidR="004D065D" w:rsidRDefault="004D065D" w:rsidP="004D06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4C8F" w14:textId="77777777" w:rsidR="00CE2195" w:rsidRDefault="00CE2195" w:rsidP="004D065D">
      <w:pPr>
        <w:spacing w:after="0" w:line="240" w:lineRule="auto"/>
      </w:pPr>
      <w:r>
        <w:separator/>
      </w:r>
    </w:p>
  </w:footnote>
  <w:footnote w:type="continuationSeparator" w:id="0">
    <w:p w14:paraId="73A3DBB4" w14:textId="77777777" w:rsidR="00CE2195" w:rsidRDefault="00CE2195" w:rsidP="004D0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84"/>
    <w:rsid w:val="002D1CA0"/>
    <w:rsid w:val="002F55F9"/>
    <w:rsid w:val="00326B80"/>
    <w:rsid w:val="0040243F"/>
    <w:rsid w:val="00421AEC"/>
    <w:rsid w:val="00490DD1"/>
    <w:rsid w:val="004A5CFD"/>
    <w:rsid w:val="004D065D"/>
    <w:rsid w:val="00655459"/>
    <w:rsid w:val="00743930"/>
    <w:rsid w:val="00851684"/>
    <w:rsid w:val="008707F6"/>
    <w:rsid w:val="00A522AB"/>
    <w:rsid w:val="00B80421"/>
    <w:rsid w:val="00BB7376"/>
    <w:rsid w:val="00BF61F8"/>
    <w:rsid w:val="00CB2507"/>
    <w:rsid w:val="00CE2195"/>
    <w:rsid w:val="00E217DC"/>
    <w:rsid w:val="00E31FC3"/>
    <w:rsid w:val="00EA6A84"/>
    <w:rsid w:val="00EC5A5A"/>
    <w:rsid w:val="00F16B56"/>
    <w:rsid w:val="00FA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6E9D"/>
  <w15:docId w15:val="{5BDC195F-B3B2-4C46-B3B6-25D46501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8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84"/>
    <w:rPr>
      <w:color w:val="0563C1" w:themeColor="hyperlink"/>
      <w:u w:val="single"/>
    </w:rPr>
  </w:style>
  <w:style w:type="paragraph" w:styleId="Footer">
    <w:name w:val="footer"/>
    <w:basedOn w:val="Normal"/>
    <w:link w:val="FooterChar"/>
    <w:uiPriority w:val="99"/>
    <w:unhideWhenUsed/>
    <w:rsid w:val="004D0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5D"/>
    <w:rPr>
      <w:sz w:val="22"/>
      <w:szCs w:val="22"/>
      <w:lang w:val="en-GB"/>
    </w:rPr>
  </w:style>
  <w:style w:type="character" w:styleId="PageNumber">
    <w:name w:val="page number"/>
    <w:basedOn w:val="DefaultParagraphFont"/>
    <w:uiPriority w:val="99"/>
    <w:semiHidden/>
    <w:unhideWhenUsed/>
    <w:rsid w:val="004D065D"/>
  </w:style>
  <w:style w:type="paragraph" w:styleId="BalloonText">
    <w:name w:val="Balloon Text"/>
    <w:basedOn w:val="Normal"/>
    <w:link w:val="BalloonTextChar"/>
    <w:uiPriority w:val="99"/>
    <w:semiHidden/>
    <w:unhideWhenUsed/>
    <w:rsid w:val="00490D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DD1"/>
    <w:rPr>
      <w:rFonts w:ascii="Times New Roman" w:hAnsi="Times New Roman" w:cs="Times New Roman"/>
      <w:sz w:val="18"/>
      <w:szCs w:val="18"/>
      <w:lang w:val="en-GB"/>
    </w:rPr>
  </w:style>
  <w:style w:type="paragraph" w:styleId="ListParagraph">
    <w:name w:val="List Paragraph"/>
    <w:basedOn w:val="Normal"/>
    <w:uiPriority w:val="34"/>
    <w:qFormat/>
    <w:rsid w:val="0074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ic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pch.ac.uk/bpsu/neoente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5848</Words>
  <Characters>33336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Braccio</dc:creator>
  <cp:lastModifiedBy>Isabelle Hubbard</cp:lastModifiedBy>
  <cp:revision>2</cp:revision>
  <dcterms:created xsi:type="dcterms:W3CDTF">2016-12-22T12:05:00Z</dcterms:created>
  <dcterms:modified xsi:type="dcterms:W3CDTF">2016-12-22T12:05:00Z</dcterms:modified>
</cp:coreProperties>
</file>