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95" w:rsidRPr="00120D6A" w:rsidRDefault="007017FF" w:rsidP="004D70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Myocardial infarction, </w:t>
      </w:r>
      <w:r w:rsidR="00907DDD">
        <w:rPr>
          <w:rFonts w:ascii="Times New Roman" w:hAnsi="Times New Roman" w:cs="Times New Roman"/>
          <w:b/>
          <w:sz w:val="28"/>
          <w:szCs w:val="28"/>
        </w:rPr>
        <w:t>ST-elevation and non-</w:t>
      </w:r>
      <w:r w:rsidR="00013A08" w:rsidRPr="00120D6A">
        <w:rPr>
          <w:rFonts w:ascii="Times New Roman" w:hAnsi="Times New Roman" w:cs="Times New Roman"/>
          <w:b/>
          <w:sz w:val="28"/>
          <w:szCs w:val="28"/>
        </w:rPr>
        <w:t>ST-elevation myocardial</w:t>
      </w:r>
      <w:r w:rsidR="00D10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A08" w:rsidRPr="00120D6A">
        <w:rPr>
          <w:rFonts w:ascii="Times New Roman" w:hAnsi="Times New Roman" w:cs="Times New Roman"/>
          <w:b/>
          <w:sz w:val="28"/>
          <w:szCs w:val="28"/>
        </w:rPr>
        <w:t>infa</w:t>
      </w:r>
      <w:r w:rsidR="00AB1196">
        <w:rPr>
          <w:rFonts w:ascii="Times New Roman" w:hAnsi="Times New Roman" w:cs="Times New Roman"/>
          <w:b/>
          <w:sz w:val="28"/>
          <w:szCs w:val="28"/>
        </w:rPr>
        <w:t>r</w:t>
      </w:r>
      <w:r w:rsidR="00013A08" w:rsidRPr="00120D6A">
        <w:rPr>
          <w:rFonts w:ascii="Times New Roman" w:hAnsi="Times New Roman" w:cs="Times New Roman"/>
          <w:b/>
          <w:sz w:val="28"/>
          <w:szCs w:val="28"/>
        </w:rPr>
        <w:t>ction and modelled daily pollution concentrations</w:t>
      </w:r>
      <w:r w:rsidR="003C1479" w:rsidRPr="00120D6A">
        <w:rPr>
          <w:rFonts w:ascii="Times New Roman" w:hAnsi="Times New Roman" w:cs="Times New Roman"/>
          <w:b/>
          <w:sz w:val="28"/>
          <w:szCs w:val="28"/>
        </w:rPr>
        <w:t>; a case-crossover analysis</w:t>
      </w:r>
      <w:r w:rsidR="00132B60">
        <w:rPr>
          <w:rFonts w:ascii="Times New Roman" w:hAnsi="Times New Roman" w:cs="Times New Roman"/>
          <w:b/>
          <w:sz w:val="28"/>
          <w:szCs w:val="28"/>
        </w:rPr>
        <w:t xml:space="preserve"> of MINAP data</w:t>
      </w:r>
    </w:p>
    <w:p w:rsidR="00466406" w:rsidRPr="00676770" w:rsidRDefault="00466406" w:rsidP="004D7081">
      <w:pPr>
        <w:rPr>
          <w:rFonts w:ascii="Times New Roman" w:hAnsi="Times New Roman" w:cs="Times New Roman"/>
          <w:b/>
          <w:sz w:val="24"/>
          <w:szCs w:val="24"/>
        </w:rPr>
      </w:pPr>
    </w:p>
    <w:p w:rsidR="00120D6A" w:rsidRPr="00676770" w:rsidRDefault="0056303F" w:rsidP="00120D6A">
      <w:pPr>
        <w:rPr>
          <w:rFonts w:ascii="Times New Roman" w:hAnsi="Times New Roman" w:cs="Times New Roman"/>
          <w:sz w:val="24"/>
          <w:szCs w:val="24"/>
        </w:rPr>
      </w:pPr>
      <w:r w:rsidRPr="00120D6A">
        <w:rPr>
          <w:rFonts w:ascii="Times New Roman" w:hAnsi="Times New Roman" w:cs="Times New Roman"/>
          <w:sz w:val="24"/>
          <w:szCs w:val="24"/>
        </w:rPr>
        <w:t>Barbara K Butland</w:t>
      </w:r>
      <w:r w:rsidRPr="00120D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66406" w:rsidRPr="00676770">
        <w:rPr>
          <w:rFonts w:ascii="Times New Roman" w:hAnsi="Times New Roman" w:cs="Times New Roman"/>
          <w:sz w:val="24"/>
          <w:szCs w:val="24"/>
        </w:rPr>
        <w:t>, Richard W Atkinson</w:t>
      </w:r>
      <w:r w:rsidR="00466406" w:rsidRPr="006767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66406" w:rsidRPr="00676770">
        <w:rPr>
          <w:rFonts w:ascii="Times New Roman" w:hAnsi="Times New Roman" w:cs="Times New Roman"/>
          <w:sz w:val="24"/>
          <w:szCs w:val="24"/>
        </w:rPr>
        <w:t>, Ai Milojevic</w:t>
      </w:r>
      <w:r w:rsidR="00F53D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66406" w:rsidRPr="00676770">
        <w:rPr>
          <w:rFonts w:ascii="Times New Roman" w:hAnsi="Times New Roman" w:cs="Times New Roman"/>
          <w:sz w:val="24"/>
          <w:szCs w:val="24"/>
        </w:rPr>
        <w:t>, Mathew R Heal</w:t>
      </w:r>
      <w:r w:rsidR="00F53D8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66406" w:rsidRPr="00676770">
        <w:rPr>
          <w:rFonts w:ascii="Times New Roman" w:hAnsi="Times New Roman" w:cs="Times New Roman"/>
          <w:sz w:val="24"/>
          <w:szCs w:val="24"/>
        </w:rPr>
        <w:t>, Ruth M Doherty</w:t>
      </w:r>
      <w:r w:rsidR="00F53D8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66406" w:rsidRPr="00676770">
        <w:rPr>
          <w:rFonts w:ascii="Times New Roman" w:hAnsi="Times New Roman" w:cs="Times New Roman"/>
          <w:sz w:val="24"/>
          <w:szCs w:val="24"/>
        </w:rPr>
        <w:t>,</w:t>
      </w:r>
      <w:r w:rsidR="00120D6A" w:rsidRPr="00676770">
        <w:rPr>
          <w:rFonts w:ascii="Times New Roman" w:hAnsi="Times New Roman" w:cs="Times New Roman"/>
          <w:sz w:val="24"/>
          <w:szCs w:val="24"/>
        </w:rPr>
        <w:t xml:space="preserve"> Ben </w:t>
      </w:r>
      <w:r w:rsidR="002D3269">
        <w:rPr>
          <w:rFonts w:ascii="Times New Roman" w:hAnsi="Times New Roman" w:cs="Times New Roman"/>
          <w:sz w:val="24"/>
          <w:szCs w:val="24"/>
        </w:rPr>
        <w:t>G</w:t>
      </w:r>
      <w:r w:rsidR="002262B8">
        <w:rPr>
          <w:rFonts w:ascii="Times New Roman" w:hAnsi="Times New Roman" w:cs="Times New Roman"/>
          <w:sz w:val="24"/>
          <w:szCs w:val="24"/>
        </w:rPr>
        <w:t xml:space="preserve"> </w:t>
      </w:r>
      <w:r w:rsidR="00120D6A" w:rsidRPr="00676770">
        <w:rPr>
          <w:rFonts w:ascii="Times New Roman" w:hAnsi="Times New Roman" w:cs="Times New Roman"/>
          <w:sz w:val="24"/>
          <w:szCs w:val="24"/>
        </w:rPr>
        <w:t>Armstrong</w:t>
      </w:r>
      <w:r w:rsidR="00F53D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0D6A" w:rsidRPr="00676770">
        <w:rPr>
          <w:rFonts w:ascii="Times New Roman" w:hAnsi="Times New Roman" w:cs="Times New Roman"/>
          <w:sz w:val="24"/>
          <w:szCs w:val="24"/>
        </w:rPr>
        <w:t xml:space="preserve">, Ian </w:t>
      </w:r>
      <w:r w:rsidR="00AB1196">
        <w:rPr>
          <w:rFonts w:ascii="Times New Roman" w:hAnsi="Times New Roman" w:cs="Times New Roman"/>
          <w:sz w:val="24"/>
          <w:szCs w:val="24"/>
        </w:rPr>
        <w:t xml:space="preserve">A </w:t>
      </w:r>
      <w:r w:rsidR="00120D6A" w:rsidRPr="00676770">
        <w:rPr>
          <w:rFonts w:ascii="Times New Roman" w:hAnsi="Times New Roman" w:cs="Times New Roman"/>
          <w:sz w:val="24"/>
          <w:szCs w:val="24"/>
        </w:rPr>
        <w:t>MacKenzie</w:t>
      </w:r>
      <w:r w:rsidR="00F53D8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120D6A" w:rsidRPr="00676770">
        <w:rPr>
          <w:rFonts w:ascii="Times New Roman" w:hAnsi="Times New Roman" w:cs="Times New Roman"/>
          <w:sz w:val="24"/>
          <w:szCs w:val="24"/>
        </w:rPr>
        <w:t>, Massimo Vieno</w:t>
      </w:r>
      <w:r w:rsidR="00120D6A" w:rsidRPr="0067677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017FF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F53D8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120D6A" w:rsidRPr="00676770">
        <w:rPr>
          <w:rFonts w:ascii="Times New Roman" w:hAnsi="Times New Roman" w:cs="Times New Roman"/>
          <w:sz w:val="24"/>
          <w:szCs w:val="24"/>
        </w:rPr>
        <w:t>, Chun Lin</w:t>
      </w:r>
      <w:r w:rsidR="00F53D8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20D6A" w:rsidRPr="00676770">
        <w:rPr>
          <w:rFonts w:ascii="Times New Roman" w:hAnsi="Times New Roman" w:cs="Times New Roman"/>
          <w:sz w:val="24"/>
          <w:szCs w:val="24"/>
        </w:rPr>
        <w:t>, Paul Wilkinson</w:t>
      </w:r>
      <w:r w:rsidR="00F53D8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E1D74" w:rsidRPr="00120D6A" w:rsidRDefault="008E1D74">
      <w:pPr>
        <w:rPr>
          <w:rFonts w:ascii="Times New Roman" w:hAnsi="Times New Roman" w:cs="Times New Roman"/>
          <w:sz w:val="24"/>
          <w:szCs w:val="24"/>
        </w:rPr>
      </w:pPr>
    </w:p>
    <w:p w:rsidR="007A3F95" w:rsidRDefault="00120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="007A3F95" w:rsidRPr="00120D6A">
        <w:rPr>
          <w:rFonts w:ascii="Times New Roman" w:hAnsi="Times New Roman" w:cs="Times New Roman"/>
          <w:sz w:val="24"/>
          <w:szCs w:val="24"/>
        </w:rPr>
        <w:t>Population Hea</w:t>
      </w:r>
      <w:r w:rsidR="00EF6B3E">
        <w:rPr>
          <w:rFonts w:ascii="Times New Roman" w:hAnsi="Times New Roman" w:cs="Times New Roman"/>
          <w:sz w:val="24"/>
          <w:szCs w:val="24"/>
        </w:rPr>
        <w:t>l</w:t>
      </w:r>
      <w:r w:rsidR="007A3F95" w:rsidRPr="00120D6A">
        <w:rPr>
          <w:rFonts w:ascii="Times New Roman" w:hAnsi="Times New Roman" w:cs="Times New Roman"/>
          <w:sz w:val="24"/>
          <w:szCs w:val="24"/>
        </w:rPr>
        <w:t>th Research Institute and MRC-PHE Centre for Environment and Health, St George’s, University of London, London, UK</w:t>
      </w:r>
    </w:p>
    <w:p w:rsidR="002A646C" w:rsidRDefault="00F53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120D6A">
        <w:rPr>
          <w:rFonts w:ascii="Times New Roman" w:hAnsi="Times New Roman" w:cs="Times New Roman"/>
          <w:sz w:val="24"/>
          <w:szCs w:val="24"/>
        </w:rPr>
        <w:t>Department of Social and Environmental Health Research, London School of Hygiene and Tropical Medicine, London, UK</w:t>
      </w:r>
    </w:p>
    <w:p w:rsidR="007A3F95" w:rsidRPr="00120D6A" w:rsidRDefault="00F53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0D6A">
        <w:rPr>
          <w:rFonts w:ascii="Times New Roman" w:hAnsi="Times New Roman" w:cs="Times New Roman"/>
          <w:sz w:val="24"/>
          <w:szCs w:val="24"/>
        </w:rPr>
        <w:t xml:space="preserve"> - </w:t>
      </w:r>
      <w:r w:rsidR="007A3F95" w:rsidRPr="00120D6A">
        <w:rPr>
          <w:rFonts w:ascii="Times New Roman" w:hAnsi="Times New Roman" w:cs="Times New Roman"/>
          <w:sz w:val="24"/>
          <w:szCs w:val="24"/>
        </w:rPr>
        <w:t>School of Chemistry, University of Edinburgh, Edinburgh, UK</w:t>
      </w:r>
    </w:p>
    <w:p w:rsidR="007A3F95" w:rsidRPr="00120D6A" w:rsidRDefault="00F53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0D6A" w:rsidRPr="00676770">
        <w:rPr>
          <w:rFonts w:ascii="Times New Roman" w:hAnsi="Times New Roman" w:cs="Times New Roman"/>
          <w:sz w:val="24"/>
          <w:szCs w:val="24"/>
        </w:rPr>
        <w:t xml:space="preserve"> -</w:t>
      </w:r>
      <w:r w:rsidR="00120D6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A3F95" w:rsidRPr="00120D6A">
        <w:rPr>
          <w:rFonts w:ascii="Times New Roman" w:hAnsi="Times New Roman" w:cs="Times New Roman"/>
          <w:sz w:val="24"/>
          <w:szCs w:val="24"/>
        </w:rPr>
        <w:t>School of GeoSciences, University of Edinburgh</w:t>
      </w:r>
      <w:r w:rsidR="00E778D6" w:rsidRPr="00120D6A">
        <w:rPr>
          <w:rFonts w:ascii="Times New Roman" w:hAnsi="Times New Roman" w:cs="Times New Roman"/>
          <w:sz w:val="24"/>
          <w:szCs w:val="24"/>
        </w:rPr>
        <w:t>,</w:t>
      </w:r>
      <w:r w:rsidR="007A3F95" w:rsidRPr="00120D6A">
        <w:rPr>
          <w:rFonts w:ascii="Times New Roman" w:hAnsi="Times New Roman" w:cs="Times New Roman"/>
          <w:sz w:val="24"/>
          <w:szCs w:val="24"/>
        </w:rPr>
        <w:t xml:space="preserve"> Edinburgh</w:t>
      </w:r>
      <w:r w:rsidR="003C1479" w:rsidRPr="00120D6A">
        <w:rPr>
          <w:rFonts w:ascii="Times New Roman" w:hAnsi="Times New Roman" w:cs="Times New Roman"/>
          <w:sz w:val="24"/>
          <w:szCs w:val="24"/>
        </w:rPr>
        <w:t>, UK</w:t>
      </w:r>
    </w:p>
    <w:p w:rsidR="00466406" w:rsidRPr="00676770" w:rsidRDefault="00120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="00E778D6" w:rsidRPr="00120D6A">
        <w:rPr>
          <w:rFonts w:ascii="Times New Roman" w:hAnsi="Times New Roman" w:cs="Times New Roman"/>
          <w:sz w:val="24"/>
          <w:szCs w:val="24"/>
        </w:rPr>
        <w:t>NERC, Centre for Ecology &amp; Hydrology, Penicuik, UK</w:t>
      </w:r>
    </w:p>
    <w:p w:rsidR="00120D6A" w:rsidRPr="00120D6A" w:rsidRDefault="00120D6A">
      <w:pPr>
        <w:rPr>
          <w:rFonts w:ascii="Times New Roman" w:hAnsi="Times New Roman" w:cs="Times New Roman"/>
          <w:sz w:val="24"/>
          <w:szCs w:val="24"/>
        </w:rPr>
      </w:pPr>
    </w:p>
    <w:p w:rsidR="00466406" w:rsidRPr="00120D6A" w:rsidRDefault="00466406">
      <w:pPr>
        <w:rPr>
          <w:rFonts w:ascii="Times New Roman" w:hAnsi="Times New Roman" w:cs="Times New Roman"/>
          <w:sz w:val="24"/>
          <w:szCs w:val="24"/>
        </w:rPr>
      </w:pPr>
      <w:r w:rsidRPr="00676770">
        <w:rPr>
          <w:rFonts w:ascii="Times New Roman" w:hAnsi="Times New Roman" w:cs="Times New Roman"/>
          <w:sz w:val="24"/>
          <w:szCs w:val="24"/>
        </w:rPr>
        <w:t>Corresponding author:</w:t>
      </w:r>
    </w:p>
    <w:p w:rsidR="00466406" w:rsidRPr="00676770" w:rsidRDefault="00466406" w:rsidP="00466406">
      <w:pPr>
        <w:rPr>
          <w:rFonts w:ascii="Times New Roman" w:hAnsi="Times New Roman" w:cs="Times New Roman"/>
          <w:sz w:val="24"/>
          <w:szCs w:val="24"/>
        </w:rPr>
      </w:pPr>
      <w:r w:rsidRPr="00120D6A">
        <w:rPr>
          <w:rFonts w:ascii="Times New Roman" w:hAnsi="Times New Roman" w:cs="Times New Roman"/>
          <w:sz w:val="24"/>
          <w:szCs w:val="24"/>
        </w:rPr>
        <w:t>Ms Barbara Karen Butland</w:t>
      </w:r>
    </w:p>
    <w:p w:rsidR="00120D6A" w:rsidRDefault="00466406" w:rsidP="00466406">
      <w:pPr>
        <w:rPr>
          <w:rFonts w:ascii="Times New Roman" w:hAnsi="Times New Roman" w:cs="Times New Roman"/>
          <w:sz w:val="24"/>
          <w:szCs w:val="24"/>
        </w:rPr>
      </w:pPr>
      <w:r w:rsidRPr="00120D6A">
        <w:rPr>
          <w:rFonts w:ascii="Times New Roman" w:hAnsi="Times New Roman" w:cs="Times New Roman"/>
          <w:sz w:val="24"/>
          <w:szCs w:val="24"/>
        </w:rPr>
        <w:t>Population Heath Research Institute and MRC-PHE Centre for Environment and Health</w:t>
      </w:r>
      <w:r w:rsidRPr="006767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0D6A" w:rsidRDefault="00466406" w:rsidP="00466406">
      <w:pPr>
        <w:rPr>
          <w:rFonts w:ascii="Times New Roman" w:hAnsi="Times New Roman" w:cs="Times New Roman"/>
          <w:sz w:val="24"/>
          <w:szCs w:val="24"/>
        </w:rPr>
      </w:pPr>
      <w:r w:rsidRPr="00120D6A">
        <w:rPr>
          <w:rFonts w:ascii="Times New Roman" w:hAnsi="Times New Roman" w:cs="Times New Roman"/>
          <w:sz w:val="24"/>
          <w:szCs w:val="24"/>
        </w:rPr>
        <w:t xml:space="preserve">St George’s, University of London, </w:t>
      </w:r>
    </w:p>
    <w:p w:rsidR="00120D6A" w:rsidRDefault="00466406" w:rsidP="00466406">
      <w:pPr>
        <w:rPr>
          <w:rFonts w:ascii="Times New Roman" w:hAnsi="Times New Roman" w:cs="Times New Roman"/>
          <w:sz w:val="24"/>
          <w:szCs w:val="24"/>
        </w:rPr>
      </w:pPr>
      <w:r w:rsidRPr="00120D6A">
        <w:rPr>
          <w:rFonts w:ascii="Times New Roman" w:hAnsi="Times New Roman" w:cs="Times New Roman"/>
          <w:sz w:val="24"/>
          <w:szCs w:val="24"/>
        </w:rPr>
        <w:t xml:space="preserve">Cranmer Terrace, Tooting, </w:t>
      </w:r>
    </w:p>
    <w:p w:rsidR="00466406" w:rsidRPr="00120D6A" w:rsidRDefault="00466406" w:rsidP="00466406">
      <w:pPr>
        <w:rPr>
          <w:rFonts w:ascii="Times New Roman" w:hAnsi="Times New Roman" w:cs="Times New Roman"/>
          <w:sz w:val="24"/>
          <w:szCs w:val="24"/>
        </w:rPr>
      </w:pPr>
      <w:r w:rsidRPr="00120D6A">
        <w:rPr>
          <w:rFonts w:ascii="Times New Roman" w:hAnsi="Times New Roman" w:cs="Times New Roman"/>
          <w:sz w:val="24"/>
          <w:szCs w:val="24"/>
        </w:rPr>
        <w:t>London SW17 0RE, UK</w:t>
      </w:r>
    </w:p>
    <w:p w:rsidR="00120D6A" w:rsidRDefault="00120D6A" w:rsidP="00676770">
      <w:pPr>
        <w:rPr>
          <w:rFonts w:ascii="Times New Roman" w:hAnsi="Times New Roman" w:cs="Times New Roman"/>
          <w:sz w:val="24"/>
          <w:szCs w:val="24"/>
        </w:rPr>
      </w:pPr>
    </w:p>
    <w:p w:rsidR="00466406" w:rsidRPr="00120D6A" w:rsidRDefault="00466406" w:rsidP="00676770">
      <w:pPr>
        <w:rPr>
          <w:rFonts w:ascii="Times New Roman" w:hAnsi="Times New Roman" w:cs="Times New Roman"/>
          <w:sz w:val="24"/>
          <w:szCs w:val="24"/>
        </w:rPr>
      </w:pPr>
      <w:r w:rsidRPr="00120D6A">
        <w:rPr>
          <w:rFonts w:ascii="Times New Roman" w:hAnsi="Times New Roman" w:cs="Times New Roman"/>
          <w:sz w:val="24"/>
          <w:szCs w:val="24"/>
        </w:rPr>
        <w:t xml:space="preserve">E-mail address: </w:t>
      </w:r>
      <w:hyperlink r:id="rId8" w:history="1">
        <w:r w:rsidRPr="00120D6A">
          <w:rPr>
            <w:rStyle w:val="Hyperlink"/>
            <w:rFonts w:ascii="Times New Roman" w:hAnsi="Times New Roman" w:cs="Times New Roman"/>
            <w:sz w:val="24"/>
            <w:szCs w:val="24"/>
          </w:rPr>
          <w:t>b.butland@sgul.ac.uk</w:t>
        </w:r>
      </w:hyperlink>
    </w:p>
    <w:p w:rsidR="00466406" w:rsidRPr="00676770" w:rsidRDefault="002A646C" w:rsidP="0067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+44 (0)20</w:t>
      </w:r>
      <w:r w:rsidR="00466406" w:rsidRPr="00120D6A">
        <w:rPr>
          <w:rFonts w:ascii="Times New Roman" w:hAnsi="Times New Roman" w:cs="Times New Roman"/>
          <w:sz w:val="24"/>
          <w:szCs w:val="24"/>
        </w:rPr>
        <w:t xml:space="preserve"> 8725 5493</w:t>
      </w:r>
    </w:p>
    <w:p w:rsidR="00466406" w:rsidRPr="00120D6A" w:rsidRDefault="00466406">
      <w:pPr>
        <w:rPr>
          <w:rFonts w:ascii="Times New Roman" w:hAnsi="Times New Roman" w:cs="Times New Roman"/>
          <w:sz w:val="24"/>
          <w:szCs w:val="24"/>
        </w:rPr>
      </w:pPr>
    </w:p>
    <w:p w:rsidR="00120D6A" w:rsidRDefault="008E1D74" w:rsidP="008E1D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0D6A">
        <w:rPr>
          <w:rFonts w:ascii="Times New Roman" w:hAnsi="Times New Roman" w:cs="Times New Roman"/>
          <w:sz w:val="24"/>
          <w:szCs w:val="24"/>
        </w:rPr>
        <w:t>Key words: A</w:t>
      </w:r>
      <w:r w:rsidR="00AB1196">
        <w:rPr>
          <w:rFonts w:ascii="Times New Roman" w:hAnsi="Times New Roman" w:cs="Times New Roman"/>
          <w:sz w:val="24"/>
          <w:szCs w:val="24"/>
        </w:rPr>
        <w:t>ir pollution,</w:t>
      </w:r>
      <w:r w:rsidR="007017FF">
        <w:rPr>
          <w:rFonts w:ascii="Times New Roman" w:hAnsi="Times New Roman" w:cs="Times New Roman"/>
          <w:sz w:val="24"/>
          <w:szCs w:val="24"/>
        </w:rPr>
        <w:t xml:space="preserve"> </w:t>
      </w:r>
      <w:r w:rsidRPr="00120D6A">
        <w:rPr>
          <w:rFonts w:ascii="Times New Roman" w:hAnsi="Times New Roman" w:cs="Times New Roman"/>
          <w:sz w:val="24"/>
          <w:szCs w:val="24"/>
        </w:rPr>
        <w:t>NO</w:t>
      </w:r>
      <w:r w:rsidRPr="00326C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20D6A">
        <w:rPr>
          <w:rFonts w:ascii="Times New Roman" w:hAnsi="Times New Roman" w:cs="Times New Roman"/>
          <w:sz w:val="24"/>
          <w:szCs w:val="24"/>
        </w:rPr>
        <w:t>, PM, STEMI, NSTEMI</w:t>
      </w:r>
    </w:p>
    <w:p w:rsidR="00BB47B6" w:rsidRPr="00676770" w:rsidRDefault="00120D6A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Count: 3,</w:t>
      </w:r>
      <w:r w:rsidR="00B50F16">
        <w:rPr>
          <w:rFonts w:ascii="Times New Roman" w:hAnsi="Times New Roman" w:cs="Times New Roman"/>
          <w:sz w:val="24"/>
          <w:szCs w:val="24"/>
        </w:rPr>
        <w:t>745</w:t>
      </w:r>
      <w:r w:rsidR="00013A08" w:rsidRPr="00BB47B6">
        <w:rPr>
          <w:rFonts w:ascii="Times New Roman" w:hAnsi="Times New Roman" w:cs="Times New Roman"/>
          <w:sz w:val="24"/>
          <w:szCs w:val="24"/>
        </w:rPr>
        <w:br w:type="page"/>
      </w:r>
      <w:r w:rsidR="00013A08" w:rsidRPr="00676770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36457F" w:rsidRPr="00BB47B6" w:rsidRDefault="00120D6A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76770">
        <w:rPr>
          <w:rFonts w:ascii="Times New Roman" w:hAnsi="Times New Roman" w:cs="Times New Roman"/>
          <w:b/>
          <w:sz w:val="24"/>
          <w:szCs w:val="24"/>
        </w:rPr>
        <w:t>bjective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845B1F" w:rsidRPr="00BB47B6">
        <w:rPr>
          <w:rFonts w:ascii="Times New Roman" w:hAnsi="Times New Roman" w:cs="Times New Roman"/>
          <w:sz w:val="24"/>
          <w:szCs w:val="24"/>
        </w:rPr>
        <w:t xml:space="preserve">: </w:t>
      </w:r>
      <w:r w:rsidR="0021646F" w:rsidRPr="00BB47B6">
        <w:rPr>
          <w:rFonts w:ascii="Times New Roman" w:hAnsi="Times New Roman" w:cs="Times New Roman"/>
          <w:sz w:val="24"/>
          <w:szCs w:val="24"/>
        </w:rPr>
        <w:t xml:space="preserve">To </w:t>
      </w:r>
      <w:r w:rsidR="0036457F" w:rsidRPr="00BB47B6">
        <w:rPr>
          <w:rFonts w:ascii="Times New Roman" w:hAnsi="Times New Roman" w:cs="Times New Roman"/>
          <w:sz w:val="24"/>
          <w:szCs w:val="24"/>
        </w:rPr>
        <w:t>investigate</w:t>
      </w:r>
      <w:r w:rsidR="0084539B" w:rsidRPr="0084539B">
        <w:rPr>
          <w:rFonts w:ascii="Times New Roman" w:hAnsi="Times New Roman" w:cs="Times New Roman"/>
        </w:rPr>
        <w:t xml:space="preserve"> </w:t>
      </w:r>
      <w:r w:rsidR="007017FF">
        <w:rPr>
          <w:rFonts w:ascii="Times New Roman" w:hAnsi="Times New Roman" w:cs="Times New Roman"/>
        </w:rPr>
        <w:t xml:space="preserve">associations between daily concentrations </w:t>
      </w:r>
      <w:r w:rsidR="0084539B" w:rsidRPr="009306EC">
        <w:rPr>
          <w:rFonts w:ascii="Times New Roman" w:hAnsi="Times New Roman" w:cs="Times New Roman"/>
        </w:rPr>
        <w:t xml:space="preserve">of air pollution </w:t>
      </w:r>
      <w:r w:rsidR="007017FF">
        <w:rPr>
          <w:rFonts w:ascii="Times New Roman" w:hAnsi="Times New Roman" w:cs="Times New Roman"/>
        </w:rPr>
        <w:t xml:space="preserve">and myocardial infarction (MI), </w:t>
      </w:r>
      <w:r w:rsidR="0084539B" w:rsidRPr="009306EC">
        <w:rPr>
          <w:rFonts w:ascii="Times New Roman" w:hAnsi="Times New Roman" w:cs="Times New Roman"/>
        </w:rPr>
        <w:t xml:space="preserve"> ST-elevation myocardial infarction (STEMI) and non-ST-elevation myocardial infarction (NSTEMI).</w:t>
      </w:r>
      <w:r w:rsidR="0036457F" w:rsidRPr="00BB4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BD7" w:rsidRPr="00BB47B6" w:rsidRDefault="00E71B7B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sz w:val="24"/>
          <w:szCs w:val="24"/>
        </w:rPr>
      </w:pPr>
      <w:r w:rsidRPr="00676770">
        <w:rPr>
          <w:rFonts w:ascii="Times New Roman" w:hAnsi="Times New Roman" w:cs="Times New Roman"/>
          <w:b/>
          <w:sz w:val="24"/>
          <w:szCs w:val="24"/>
        </w:rPr>
        <w:t>Methods</w:t>
      </w:r>
      <w:r w:rsidR="00094FB1" w:rsidRPr="00BB47B6">
        <w:rPr>
          <w:rFonts w:ascii="Times New Roman" w:hAnsi="Times New Roman" w:cs="Times New Roman"/>
          <w:sz w:val="24"/>
          <w:szCs w:val="24"/>
        </w:rPr>
        <w:t xml:space="preserve">: </w:t>
      </w:r>
      <w:r w:rsidR="00AB1196">
        <w:rPr>
          <w:rFonts w:ascii="Times New Roman" w:hAnsi="Times New Roman" w:cs="Times New Roman"/>
          <w:sz w:val="24"/>
          <w:szCs w:val="24"/>
        </w:rPr>
        <w:t xml:space="preserve">Modelled </w:t>
      </w:r>
      <w:r w:rsidR="00AB1196">
        <w:rPr>
          <w:rFonts w:ascii="Times New Roman" w:hAnsi="Times New Roman" w:cs="Times New Roman"/>
        </w:rPr>
        <w:t>d</w:t>
      </w:r>
      <w:r w:rsidR="0084539B" w:rsidRPr="005C788D">
        <w:rPr>
          <w:rFonts w:ascii="Times New Roman" w:hAnsi="Times New Roman" w:cs="Times New Roman"/>
          <w:sz w:val="24"/>
          <w:szCs w:val="24"/>
        </w:rPr>
        <w:t xml:space="preserve">aily </w:t>
      </w:r>
      <w:r w:rsidR="0084539B">
        <w:rPr>
          <w:rFonts w:ascii="Times New Roman" w:hAnsi="Times New Roman" w:cs="Times New Roman"/>
          <w:sz w:val="24"/>
          <w:szCs w:val="24"/>
        </w:rPr>
        <w:t xml:space="preserve">ground-level </w:t>
      </w:r>
      <w:r w:rsidR="0084539B" w:rsidRPr="00BB47B6">
        <w:rPr>
          <w:rFonts w:ascii="Times New Roman" w:hAnsi="Times New Roman" w:cs="Times New Roman"/>
          <w:sz w:val="24"/>
          <w:szCs w:val="24"/>
        </w:rPr>
        <w:t xml:space="preserve">gaseous, </w:t>
      </w:r>
      <w:r w:rsidR="0084539B">
        <w:rPr>
          <w:rFonts w:ascii="Times New Roman" w:hAnsi="Times New Roman" w:cs="Times New Roman"/>
          <w:sz w:val="24"/>
          <w:szCs w:val="24"/>
        </w:rPr>
        <w:t xml:space="preserve">total and speciated </w:t>
      </w:r>
      <w:r w:rsidR="0084539B" w:rsidRPr="00BB47B6">
        <w:rPr>
          <w:rFonts w:ascii="Times New Roman" w:hAnsi="Times New Roman" w:cs="Times New Roman"/>
          <w:sz w:val="24"/>
          <w:szCs w:val="24"/>
        </w:rPr>
        <w:t xml:space="preserve">particulate </w:t>
      </w:r>
      <w:r w:rsidR="0084539B">
        <w:rPr>
          <w:rFonts w:ascii="Times New Roman" w:hAnsi="Times New Roman" w:cs="Times New Roman"/>
          <w:sz w:val="24"/>
          <w:szCs w:val="24"/>
        </w:rPr>
        <w:t>pollutant concentrations and ground-level daily mean temperature</w:t>
      </w:r>
      <w:r w:rsidR="00355832">
        <w:rPr>
          <w:rFonts w:ascii="Times New Roman" w:hAnsi="Times New Roman" w:cs="Times New Roman"/>
          <w:sz w:val="24"/>
          <w:szCs w:val="24"/>
        </w:rPr>
        <w:t>, all</w:t>
      </w:r>
      <w:r w:rsidR="0084539B">
        <w:rPr>
          <w:rFonts w:ascii="Times New Roman" w:hAnsi="Times New Roman" w:cs="Times New Roman"/>
          <w:sz w:val="24"/>
          <w:szCs w:val="24"/>
        </w:rPr>
        <w:t xml:space="preserve"> at 5 km x 5 km horizontal resolution</w:t>
      </w:r>
      <w:r w:rsidR="00355832">
        <w:rPr>
          <w:rFonts w:ascii="Times New Roman" w:hAnsi="Times New Roman" w:cs="Times New Roman"/>
          <w:sz w:val="24"/>
          <w:szCs w:val="24"/>
        </w:rPr>
        <w:t>,</w:t>
      </w:r>
      <w:r w:rsidR="00AB1196">
        <w:rPr>
          <w:rFonts w:ascii="Times New Roman" w:hAnsi="Times New Roman" w:cs="Times New Roman"/>
          <w:sz w:val="24"/>
          <w:szCs w:val="24"/>
        </w:rPr>
        <w:t xml:space="preserve"> were</w:t>
      </w:r>
      <w:r w:rsidR="003F3A78">
        <w:rPr>
          <w:rFonts w:ascii="Times New Roman" w:hAnsi="Times New Roman" w:cs="Times New Roman"/>
          <w:sz w:val="24"/>
          <w:szCs w:val="24"/>
        </w:rPr>
        <w:t xml:space="preserve"> linked to 202,550 STEMI and 322,198</w:t>
      </w:r>
      <w:r w:rsidR="0084539B">
        <w:rPr>
          <w:rFonts w:ascii="Times New Roman" w:hAnsi="Times New Roman" w:cs="Times New Roman"/>
          <w:sz w:val="24"/>
          <w:szCs w:val="24"/>
        </w:rPr>
        <w:t xml:space="preserve"> NSTEMI events recorded on</w:t>
      </w:r>
      <w:r w:rsidR="0084539B" w:rsidRPr="00BB47B6">
        <w:rPr>
          <w:rFonts w:ascii="Times New Roman" w:hAnsi="Times New Roman" w:cs="Times New Roman"/>
          <w:sz w:val="24"/>
          <w:szCs w:val="24"/>
        </w:rPr>
        <w:t xml:space="preserve"> the England and Wales Myocardial Ischaemia National Audit Project (MINAP)</w:t>
      </w:r>
      <w:r w:rsidR="0084539B">
        <w:rPr>
          <w:rFonts w:ascii="Times New Roman" w:hAnsi="Times New Roman" w:cs="Times New Roman"/>
          <w:sz w:val="24"/>
          <w:szCs w:val="24"/>
        </w:rPr>
        <w:t xml:space="preserve"> database. The study period was 2003-2010. </w:t>
      </w:r>
      <w:r w:rsidR="00F43D53" w:rsidRPr="00BB47B6">
        <w:rPr>
          <w:rFonts w:ascii="Times New Roman" w:hAnsi="Times New Roman" w:cs="Times New Roman"/>
          <w:sz w:val="24"/>
          <w:szCs w:val="24"/>
        </w:rPr>
        <w:t>A</w:t>
      </w:r>
      <w:r w:rsidR="00F25DA9" w:rsidRPr="00BB47B6">
        <w:rPr>
          <w:rFonts w:ascii="Times New Roman" w:hAnsi="Times New Roman" w:cs="Times New Roman"/>
          <w:sz w:val="24"/>
          <w:szCs w:val="24"/>
        </w:rPr>
        <w:t xml:space="preserve"> case-crossover design</w:t>
      </w:r>
      <w:r w:rsidR="00F43D53" w:rsidRPr="00BB47B6">
        <w:rPr>
          <w:rFonts w:ascii="Times New Roman" w:hAnsi="Times New Roman" w:cs="Times New Roman"/>
          <w:sz w:val="24"/>
          <w:szCs w:val="24"/>
        </w:rPr>
        <w:t xml:space="preserve"> was used</w:t>
      </w:r>
      <w:r w:rsidR="00F25DA9" w:rsidRPr="00BB47B6">
        <w:rPr>
          <w:rFonts w:ascii="Times New Roman" w:hAnsi="Times New Roman" w:cs="Times New Roman"/>
          <w:sz w:val="24"/>
          <w:szCs w:val="24"/>
        </w:rPr>
        <w:t>,</w:t>
      </w:r>
      <w:r w:rsidR="00F43D53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F25DA9" w:rsidRPr="00BB47B6">
        <w:rPr>
          <w:rFonts w:ascii="Times New Roman" w:hAnsi="Times New Roman" w:cs="Times New Roman"/>
          <w:sz w:val="24"/>
          <w:szCs w:val="24"/>
        </w:rPr>
        <w:t xml:space="preserve">stratified by </w:t>
      </w:r>
      <w:r w:rsidR="00AB1196">
        <w:rPr>
          <w:rFonts w:ascii="Times New Roman" w:hAnsi="Times New Roman" w:cs="Times New Roman"/>
          <w:sz w:val="24"/>
          <w:szCs w:val="24"/>
        </w:rPr>
        <w:t xml:space="preserve">year, </w:t>
      </w:r>
      <w:r w:rsidR="00280F2C" w:rsidRPr="00BB47B6">
        <w:rPr>
          <w:rFonts w:ascii="Times New Roman" w:hAnsi="Times New Roman" w:cs="Times New Roman"/>
          <w:sz w:val="24"/>
          <w:szCs w:val="24"/>
        </w:rPr>
        <w:t xml:space="preserve">month, and day of the week. </w:t>
      </w:r>
      <w:r w:rsidR="00A559FF" w:rsidRPr="00BB47B6">
        <w:rPr>
          <w:rFonts w:ascii="Times New Roman" w:hAnsi="Times New Roman" w:cs="Times New Roman"/>
          <w:sz w:val="24"/>
          <w:szCs w:val="24"/>
        </w:rPr>
        <w:t>Data were analysed</w:t>
      </w:r>
      <w:r w:rsidR="00E0530D" w:rsidRPr="00BB47B6">
        <w:rPr>
          <w:rFonts w:ascii="Times New Roman" w:hAnsi="Times New Roman" w:cs="Times New Roman"/>
          <w:sz w:val="24"/>
          <w:szCs w:val="24"/>
        </w:rPr>
        <w:t xml:space="preserve"> using</w:t>
      </w:r>
      <w:r w:rsidR="00280F2C" w:rsidRPr="00BB47B6">
        <w:rPr>
          <w:rFonts w:ascii="Times New Roman" w:hAnsi="Times New Roman" w:cs="Times New Roman"/>
          <w:sz w:val="24"/>
          <w:szCs w:val="24"/>
        </w:rPr>
        <w:t xml:space="preserve"> conditional logistic regression</w:t>
      </w:r>
      <w:r w:rsidR="00661DEB" w:rsidRPr="00BB47B6">
        <w:rPr>
          <w:rFonts w:ascii="Times New Roman" w:hAnsi="Times New Roman" w:cs="Times New Roman"/>
          <w:sz w:val="24"/>
          <w:szCs w:val="24"/>
        </w:rPr>
        <w:t>, with pollutants modelled as unconstrained distribut</w:t>
      </w:r>
      <w:r w:rsidR="00C24F4F">
        <w:rPr>
          <w:rFonts w:ascii="Times New Roman" w:hAnsi="Times New Roman" w:cs="Times New Roman"/>
          <w:sz w:val="24"/>
          <w:szCs w:val="24"/>
        </w:rPr>
        <w:t>ed</w:t>
      </w:r>
      <w:r w:rsidR="00661DEB" w:rsidRPr="00BB47B6">
        <w:rPr>
          <w:rFonts w:ascii="Times New Roman" w:hAnsi="Times New Roman" w:cs="Times New Roman"/>
          <w:sz w:val="24"/>
          <w:szCs w:val="24"/>
        </w:rPr>
        <w:t xml:space="preserve"> lags 0-2</w:t>
      </w:r>
      <w:r w:rsidR="002B3493">
        <w:rPr>
          <w:rFonts w:ascii="Times New Roman" w:hAnsi="Times New Roman" w:cs="Times New Roman"/>
          <w:sz w:val="24"/>
          <w:szCs w:val="24"/>
        </w:rPr>
        <w:t xml:space="preserve"> days</w:t>
      </w:r>
      <w:r w:rsidR="00661DEB" w:rsidRPr="00BB47B6">
        <w:rPr>
          <w:rFonts w:ascii="Times New Roman" w:hAnsi="Times New Roman" w:cs="Times New Roman"/>
          <w:sz w:val="24"/>
          <w:szCs w:val="24"/>
        </w:rPr>
        <w:t>.</w:t>
      </w:r>
      <w:r w:rsidR="00E0530D" w:rsidRPr="00BB47B6">
        <w:rPr>
          <w:rFonts w:ascii="Times New Roman" w:hAnsi="Times New Roman" w:cs="Times New Roman"/>
          <w:sz w:val="24"/>
          <w:szCs w:val="24"/>
        </w:rPr>
        <w:t xml:space="preserve"> Results </w:t>
      </w:r>
      <w:r w:rsidR="00D55AB1" w:rsidRPr="00BB47B6">
        <w:rPr>
          <w:rFonts w:ascii="Times New Roman" w:hAnsi="Times New Roman" w:cs="Times New Roman"/>
          <w:sz w:val="24"/>
          <w:szCs w:val="24"/>
        </w:rPr>
        <w:t>are presented as percentage change in risk per 10</w:t>
      </w:r>
      <w:r w:rsidR="0084539B">
        <w:rPr>
          <w:rFonts w:ascii="Times New Roman" w:hAnsi="Times New Roman" w:cs="Times New Roman"/>
          <w:sz w:val="24"/>
          <w:szCs w:val="24"/>
        </w:rPr>
        <w:t xml:space="preserve"> </w:t>
      </w:r>
      <w:r w:rsidR="00D55AB1" w:rsidRPr="00BB47B6">
        <w:rPr>
          <w:rFonts w:ascii="Times New Roman" w:hAnsi="Times New Roman" w:cs="Times New Roman"/>
          <w:sz w:val="24"/>
          <w:szCs w:val="24"/>
        </w:rPr>
        <w:t>µg/m</w:t>
      </w:r>
      <w:r w:rsidR="00D55AB1" w:rsidRPr="00BB47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55AB1" w:rsidRPr="00BB47B6">
        <w:rPr>
          <w:rFonts w:ascii="Times New Roman" w:hAnsi="Times New Roman" w:cs="Times New Roman"/>
          <w:sz w:val="24"/>
          <w:szCs w:val="24"/>
        </w:rPr>
        <w:t xml:space="preserve"> increase in </w:t>
      </w:r>
      <w:r w:rsidR="00842C7E">
        <w:rPr>
          <w:rFonts w:ascii="Times New Roman" w:hAnsi="Times New Roman" w:cs="Times New Roman"/>
          <w:sz w:val="24"/>
          <w:szCs w:val="24"/>
        </w:rPr>
        <w:t xml:space="preserve">the </w:t>
      </w:r>
      <w:r w:rsidR="00D55AB1" w:rsidRPr="00BB47B6">
        <w:rPr>
          <w:rFonts w:ascii="Times New Roman" w:hAnsi="Times New Roman" w:cs="Times New Roman"/>
          <w:sz w:val="24"/>
          <w:szCs w:val="24"/>
        </w:rPr>
        <w:t xml:space="preserve">pollutant </w:t>
      </w:r>
      <w:r w:rsidR="00842C7E">
        <w:rPr>
          <w:rFonts w:ascii="Times New Roman" w:hAnsi="Times New Roman" w:cs="Times New Roman"/>
          <w:sz w:val="24"/>
          <w:szCs w:val="24"/>
        </w:rPr>
        <w:t>relevant metric</w:t>
      </w:r>
      <w:r w:rsidR="00AB1196">
        <w:rPr>
          <w:rFonts w:ascii="Times New Roman" w:hAnsi="Times New Roman" w:cs="Times New Roman"/>
          <w:sz w:val="24"/>
          <w:szCs w:val="24"/>
        </w:rPr>
        <w:t>,</w:t>
      </w:r>
      <w:r w:rsidR="00842C7E">
        <w:rPr>
          <w:rFonts w:ascii="Times New Roman" w:hAnsi="Times New Roman" w:cs="Times New Roman"/>
          <w:sz w:val="24"/>
          <w:szCs w:val="24"/>
        </w:rPr>
        <w:t xml:space="preserve"> </w:t>
      </w:r>
      <w:r w:rsidR="00D55AB1" w:rsidRPr="00BB47B6">
        <w:rPr>
          <w:rFonts w:ascii="Times New Roman" w:hAnsi="Times New Roman" w:cs="Times New Roman"/>
          <w:sz w:val="24"/>
          <w:szCs w:val="24"/>
        </w:rPr>
        <w:t xml:space="preserve">having </w:t>
      </w:r>
      <w:r w:rsidR="00E0530D" w:rsidRPr="00BB47B6">
        <w:rPr>
          <w:rFonts w:ascii="Times New Roman" w:hAnsi="Times New Roman" w:cs="Times New Roman"/>
          <w:sz w:val="24"/>
          <w:szCs w:val="24"/>
        </w:rPr>
        <w:t xml:space="preserve">adjusted </w:t>
      </w:r>
      <w:r w:rsidR="00280F2C" w:rsidRPr="00BB47B6">
        <w:rPr>
          <w:rFonts w:ascii="Times New Roman" w:hAnsi="Times New Roman" w:cs="Times New Roman"/>
          <w:sz w:val="24"/>
          <w:szCs w:val="24"/>
        </w:rPr>
        <w:t xml:space="preserve">for daily </w:t>
      </w:r>
      <w:r w:rsidR="00842C7E">
        <w:rPr>
          <w:rFonts w:ascii="Times New Roman" w:hAnsi="Times New Roman" w:cs="Times New Roman"/>
          <w:sz w:val="24"/>
          <w:szCs w:val="24"/>
        </w:rPr>
        <w:t xml:space="preserve">mean </w:t>
      </w:r>
      <w:r w:rsidR="00280F2C" w:rsidRPr="00BB47B6">
        <w:rPr>
          <w:rFonts w:ascii="Times New Roman" w:hAnsi="Times New Roman" w:cs="Times New Roman"/>
          <w:sz w:val="24"/>
          <w:szCs w:val="24"/>
        </w:rPr>
        <w:t>temperature, public holidays, weekly flu consultation</w:t>
      </w:r>
      <w:r w:rsidR="00F20BD7" w:rsidRPr="00BB47B6">
        <w:rPr>
          <w:rFonts w:ascii="Times New Roman" w:hAnsi="Times New Roman" w:cs="Times New Roman"/>
          <w:sz w:val="24"/>
          <w:szCs w:val="24"/>
        </w:rPr>
        <w:t xml:space="preserve"> rates, and </w:t>
      </w:r>
      <w:r w:rsidR="00D55AB1" w:rsidRPr="00BB47B6">
        <w:rPr>
          <w:rFonts w:ascii="Times New Roman" w:hAnsi="Times New Roman" w:cs="Times New Roman"/>
          <w:sz w:val="24"/>
          <w:szCs w:val="24"/>
        </w:rPr>
        <w:t xml:space="preserve">a </w:t>
      </w:r>
      <w:r w:rsidR="00F20BD7" w:rsidRPr="00BB47B6">
        <w:rPr>
          <w:rFonts w:ascii="Times New Roman" w:hAnsi="Times New Roman" w:cs="Times New Roman"/>
          <w:sz w:val="24"/>
          <w:szCs w:val="24"/>
        </w:rPr>
        <w:t>sine-</w:t>
      </w:r>
      <w:r w:rsidR="00280F2C" w:rsidRPr="00BB47B6">
        <w:rPr>
          <w:rFonts w:ascii="Times New Roman" w:hAnsi="Times New Roman" w:cs="Times New Roman"/>
          <w:sz w:val="24"/>
          <w:szCs w:val="24"/>
        </w:rPr>
        <w:t>cosine annual cycle</w:t>
      </w:r>
      <w:r w:rsidR="00F20BD7" w:rsidRPr="00BB47B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3A08" w:rsidRPr="00BB47B6" w:rsidRDefault="00470376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sz w:val="24"/>
          <w:szCs w:val="24"/>
        </w:rPr>
      </w:pPr>
      <w:r w:rsidRPr="00676770">
        <w:rPr>
          <w:rFonts w:ascii="Times New Roman" w:hAnsi="Times New Roman" w:cs="Times New Roman"/>
          <w:b/>
          <w:sz w:val="24"/>
          <w:szCs w:val="24"/>
        </w:rPr>
        <w:t>R</w:t>
      </w:r>
      <w:r w:rsidR="00E71B7B" w:rsidRPr="00676770">
        <w:rPr>
          <w:rFonts w:ascii="Times New Roman" w:hAnsi="Times New Roman" w:cs="Times New Roman"/>
          <w:b/>
          <w:sz w:val="24"/>
          <w:szCs w:val="24"/>
        </w:rPr>
        <w:t>esults</w:t>
      </w:r>
      <w:r w:rsidR="00F20BD7" w:rsidRPr="00BB47B6">
        <w:rPr>
          <w:rFonts w:ascii="Times New Roman" w:hAnsi="Times New Roman" w:cs="Times New Roman"/>
          <w:sz w:val="24"/>
          <w:szCs w:val="24"/>
        </w:rPr>
        <w:t xml:space="preserve">: </w:t>
      </w:r>
      <w:r w:rsidR="0021646F" w:rsidRPr="00BB47B6">
        <w:rPr>
          <w:rFonts w:ascii="Times New Roman" w:hAnsi="Times New Roman" w:cs="Times New Roman"/>
          <w:sz w:val="24"/>
          <w:szCs w:val="24"/>
        </w:rPr>
        <w:t>There was</w:t>
      </w:r>
      <w:r w:rsidR="00D55AB1" w:rsidRPr="00BB47B6">
        <w:rPr>
          <w:rFonts w:ascii="Times New Roman" w:hAnsi="Times New Roman" w:cs="Times New Roman"/>
          <w:sz w:val="24"/>
          <w:szCs w:val="24"/>
        </w:rPr>
        <w:t xml:space="preserve"> no evidence of </w:t>
      </w:r>
      <w:r w:rsidR="00CD75F7" w:rsidRPr="00BB47B6">
        <w:rPr>
          <w:rFonts w:ascii="Times New Roman" w:hAnsi="Times New Roman" w:cs="Times New Roman"/>
          <w:sz w:val="24"/>
          <w:szCs w:val="24"/>
        </w:rPr>
        <w:t xml:space="preserve">an association between </w:t>
      </w:r>
      <w:r w:rsidR="007017FF">
        <w:rPr>
          <w:rFonts w:ascii="Times New Roman" w:hAnsi="Times New Roman" w:cs="Times New Roman"/>
          <w:sz w:val="24"/>
          <w:szCs w:val="24"/>
        </w:rPr>
        <w:t xml:space="preserve">MI or </w:t>
      </w:r>
      <w:r w:rsidR="00CD75F7" w:rsidRPr="00BB47B6">
        <w:rPr>
          <w:rFonts w:ascii="Times New Roman" w:hAnsi="Times New Roman" w:cs="Times New Roman"/>
          <w:sz w:val="24"/>
          <w:szCs w:val="24"/>
        </w:rPr>
        <w:t>STEMI</w:t>
      </w:r>
      <w:r w:rsidR="00D55AB1" w:rsidRPr="00BB47B6">
        <w:rPr>
          <w:rFonts w:ascii="Times New Roman" w:hAnsi="Times New Roman" w:cs="Times New Roman"/>
          <w:sz w:val="24"/>
          <w:szCs w:val="24"/>
        </w:rPr>
        <w:t xml:space="preserve"> and any of </w:t>
      </w:r>
      <w:r w:rsidR="00F934E3" w:rsidRPr="00BB47B6">
        <w:rPr>
          <w:rFonts w:ascii="Times New Roman" w:hAnsi="Times New Roman" w:cs="Times New Roman"/>
          <w:sz w:val="24"/>
          <w:szCs w:val="24"/>
        </w:rPr>
        <w:t>O</w:t>
      </w:r>
      <w:r w:rsidR="00F934E3" w:rsidRPr="00BB47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934E3" w:rsidRPr="00BB47B6">
        <w:rPr>
          <w:rFonts w:ascii="Times New Roman" w:hAnsi="Times New Roman" w:cs="Times New Roman"/>
          <w:sz w:val="24"/>
          <w:szCs w:val="24"/>
        </w:rPr>
        <w:t>, NO</w:t>
      </w:r>
      <w:r w:rsidR="00F934E3" w:rsidRPr="00BB47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934E3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0953D2" w:rsidRPr="00BB47B6">
        <w:rPr>
          <w:rFonts w:ascii="Times New Roman" w:hAnsi="Times New Roman" w:cs="Times New Roman"/>
          <w:sz w:val="24"/>
          <w:szCs w:val="24"/>
        </w:rPr>
        <w:t>PM</w:t>
      </w:r>
      <w:r w:rsidR="000953D2" w:rsidRPr="00BB47B6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F16B78">
        <w:rPr>
          <w:rFonts w:ascii="Times New Roman" w:hAnsi="Times New Roman" w:cs="Times New Roman"/>
          <w:sz w:val="24"/>
          <w:szCs w:val="24"/>
        </w:rPr>
        <w:t>, PM</w:t>
      </w:r>
      <w:r w:rsidR="00F16B78" w:rsidRPr="0067677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784E21">
        <w:rPr>
          <w:rFonts w:ascii="Times New Roman" w:hAnsi="Times New Roman" w:cs="Times New Roman"/>
          <w:sz w:val="24"/>
          <w:szCs w:val="24"/>
        </w:rPr>
        <w:t xml:space="preserve"> or selected PM</w:t>
      </w:r>
      <w:r w:rsidR="00784E21" w:rsidRPr="00676770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784E21">
        <w:rPr>
          <w:rFonts w:ascii="Times New Roman" w:hAnsi="Times New Roman" w:cs="Times New Roman"/>
          <w:sz w:val="24"/>
          <w:szCs w:val="24"/>
        </w:rPr>
        <w:t xml:space="preserve"> components (</w:t>
      </w:r>
      <w:r w:rsidR="00D55AB1" w:rsidRPr="00BB47B6">
        <w:rPr>
          <w:rFonts w:ascii="Times New Roman" w:hAnsi="Times New Roman" w:cs="Times New Roman"/>
          <w:sz w:val="24"/>
          <w:szCs w:val="24"/>
        </w:rPr>
        <w:t xml:space="preserve">sulphate </w:t>
      </w:r>
      <w:r w:rsidR="00784E21">
        <w:rPr>
          <w:rFonts w:ascii="Times New Roman" w:hAnsi="Times New Roman" w:cs="Times New Roman"/>
          <w:sz w:val="24"/>
          <w:szCs w:val="24"/>
        </w:rPr>
        <w:t>and</w:t>
      </w:r>
      <w:r w:rsidR="004230F3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0953D2" w:rsidRPr="00BB47B6">
        <w:rPr>
          <w:rFonts w:ascii="Times New Roman" w:hAnsi="Times New Roman" w:cs="Times New Roman"/>
          <w:sz w:val="24"/>
          <w:szCs w:val="24"/>
        </w:rPr>
        <w:t>elemental carbon</w:t>
      </w:r>
      <w:r w:rsidR="00784E21">
        <w:rPr>
          <w:rFonts w:ascii="Times New Roman" w:hAnsi="Times New Roman" w:cs="Times New Roman"/>
          <w:sz w:val="24"/>
          <w:szCs w:val="24"/>
        </w:rPr>
        <w:t>)</w:t>
      </w:r>
      <w:r w:rsidR="000953D2" w:rsidRPr="00BB47B6">
        <w:rPr>
          <w:rFonts w:ascii="Times New Roman" w:hAnsi="Times New Roman" w:cs="Times New Roman"/>
          <w:sz w:val="24"/>
          <w:szCs w:val="24"/>
        </w:rPr>
        <w:t>.</w:t>
      </w:r>
      <w:r w:rsidR="00CD75F7" w:rsidRPr="00BB47B6">
        <w:rPr>
          <w:rFonts w:ascii="Times New Roman" w:hAnsi="Times New Roman" w:cs="Times New Roman"/>
          <w:sz w:val="24"/>
          <w:szCs w:val="24"/>
        </w:rPr>
        <w:t xml:space="preserve"> For NSTEMI</w:t>
      </w:r>
      <w:r w:rsidR="000953D2" w:rsidRPr="00BB47B6">
        <w:rPr>
          <w:rFonts w:ascii="Times New Roman" w:hAnsi="Times New Roman" w:cs="Times New Roman"/>
          <w:sz w:val="24"/>
          <w:szCs w:val="24"/>
        </w:rPr>
        <w:t xml:space="preserve"> there was a positive association with </w:t>
      </w:r>
      <w:r w:rsidR="0021646F" w:rsidRPr="00BB47B6">
        <w:rPr>
          <w:rFonts w:ascii="Times New Roman" w:hAnsi="Times New Roman" w:cs="Times New Roman"/>
          <w:sz w:val="24"/>
          <w:szCs w:val="24"/>
        </w:rPr>
        <w:t xml:space="preserve">daily </w:t>
      </w:r>
      <w:r w:rsidR="006E3E10">
        <w:rPr>
          <w:rFonts w:ascii="Times New Roman" w:hAnsi="Times New Roman" w:cs="Times New Roman"/>
          <w:sz w:val="24"/>
          <w:szCs w:val="24"/>
        </w:rPr>
        <w:t>maximum</w:t>
      </w:r>
      <w:r w:rsidR="00E56DE6">
        <w:rPr>
          <w:rFonts w:ascii="Times New Roman" w:hAnsi="Times New Roman" w:cs="Times New Roman"/>
          <w:sz w:val="24"/>
          <w:szCs w:val="24"/>
        </w:rPr>
        <w:t xml:space="preserve"> </w:t>
      </w:r>
      <w:r w:rsidR="000953D2" w:rsidRPr="00BB47B6">
        <w:rPr>
          <w:rFonts w:ascii="Times New Roman" w:hAnsi="Times New Roman" w:cs="Times New Roman"/>
          <w:sz w:val="24"/>
          <w:szCs w:val="24"/>
        </w:rPr>
        <w:t>1</w:t>
      </w:r>
      <w:r w:rsidR="006E3E10">
        <w:rPr>
          <w:rFonts w:ascii="Times New Roman" w:hAnsi="Times New Roman" w:cs="Times New Roman"/>
          <w:sz w:val="24"/>
          <w:szCs w:val="24"/>
        </w:rPr>
        <w:t>-</w:t>
      </w:r>
      <w:r w:rsidR="000953D2" w:rsidRPr="00BB47B6">
        <w:rPr>
          <w:rFonts w:ascii="Times New Roman" w:hAnsi="Times New Roman" w:cs="Times New Roman"/>
          <w:sz w:val="24"/>
          <w:szCs w:val="24"/>
        </w:rPr>
        <w:t>hour</w:t>
      </w:r>
      <w:r w:rsidR="0021646F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0953D2" w:rsidRPr="00BB47B6">
        <w:rPr>
          <w:rFonts w:ascii="Times New Roman" w:hAnsi="Times New Roman" w:cs="Times New Roman"/>
          <w:sz w:val="24"/>
          <w:szCs w:val="24"/>
        </w:rPr>
        <w:t>NO</w:t>
      </w:r>
      <w:r w:rsidR="000953D2" w:rsidRPr="00BB47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20BD7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9B1A42" w:rsidRPr="00BB47B6">
        <w:rPr>
          <w:rFonts w:ascii="Times New Roman" w:hAnsi="Times New Roman" w:cs="Times New Roman"/>
          <w:sz w:val="24"/>
          <w:szCs w:val="24"/>
        </w:rPr>
        <w:t>(0.27% (95% CI: 0.01</w:t>
      </w:r>
      <w:r w:rsidR="000953D2" w:rsidRPr="00BB47B6">
        <w:rPr>
          <w:rFonts w:ascii="Times New Roman" w:hAnsi="Times New Roman" w:cs="Times New Roman"/>
          <w:sz w:val="24"/>
          <w:szCs w:val="24"/>
        </w:rPr>
        <w:t xml:space="preserve"> to 0.54)),</w:t>
      </w:r>
      <w:r w:rsidR="0084539B">
        <w:rPr>
          <w:rFonts w:ascii="Times New Roman" w:hAnsi="Times New Roman" w:cs="Times New Roman"/>
          <w:sz w:val="24"/>
          <w:szCs w:val="24"/>
        </w:rPr>
        <w:t xml:space="preserve"> which persisted following adjustment for O</w:t>
      </w:r>
      <w:r w:rsidR="0084539B" w:rsidRPr="00B3473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4539B">
        <w:rPr>
          <w:rFonts w:ascii="Times New Roman" w:hAnsi="Times New Roman" w:cs="Times New Roman"/>
          <w:sz w:val="24"/>
          <w:szCs w:val="24"/>
        </w:rPr>
        <w:t xml:space="preserve"> and adjustment for PM</w:t>
      </w:r>
      <w:r w:rsidR="0084539B" w:rsidRPr="00B34730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84539B">
        <w:rPr>
          <w:rFonts w:ascii="Times New Roman" w:hAnsi="Times New Roman" w:cs="Times New Roman"/>
          <w:sz w:val="24"/>
          <w:szCs w:val="24"/>
        </w:rPr>
        <w:t>. The</w:t>
      </w:r>
      <w:r w:rsidR="000953D2" w:rsidRPr="00BB47B6">
        <w:rPr>
          <w:rFonts w:ascii="Times New Roman" w:hAnsi="Times New Roman" w:cs="Times New Roman"/>
          <w:sz w:val="24"/>
          <w:szCs w:val="24"/>
        </w:rPr>
        <w:t xml:space="preserve"> association</w:t>
      </w:r>
      <w:r w:rsidR="0084539B">
        <w:rPr>
          <w:rFonts w:ascii="Times New Roman" w:hAnsi="Times New Roman" w:cs="Times New Roman"/>
          <w:sz w:val="24"/>
          <w:szCs w:val="24"/>
        </w:rPr>
        <w:t xml:space="preserve"> </w:t>
      </w:r>
      <w:r w:rsidR="000953D2" w:rsidRPr="00BB47B6">
        <w:rPr>
          <w:rFonts w:ascii="Times New Roman" w:hAnsi="Times New Roman" w:cs="Times New Roman"/>
          <w:sz w:val="24"/>
          <w:szCs w:val="24"/>
        </w:rPr>
        <w:t>appeared to be confined to the midland and southern regions of England and Wales.</w:t>
      </w:r>
      <w:r w:rsidR="00982780" w:rsidRPr="00BB4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B7B" w:rsidRDefault="00E71B7B" w:rsidP="00676770">
      <w:pPr>
        <w:spacing w:beforeLines="120" w:before="288" w:afterLines="120" w:after="288" w:line="480" w:lineRule="auto"/>
        <w:rPr>
          <w:rFonts w:ascii="Times New Roman" w:hAnsi="Times New Roman" w:cs="Times New Roman"/>
        </w:rPr>
      </w:pPr>
      <w:r w:rsidRPr="00676770">
        <w:rPr>
          <w:rFonts w:ascii="Times New Roman" w:hAnsi="Times New Roman" w:cs="Times New Roman"/>
          <w:b/>
          <w:sz w:val="24"/>
          <w:szCs w:val="24"/>
        </w:rPr>
        <w:t>Conclusions</w:t>
      </w:r>
      <w:r w:rsidR="00470376" w:rsidRPr="00BB47B6">
        <w:rPr>
          <w:rFonts w:ascii="Times New Roman" w:hAnsi="Times New Roman" w:cs="Times New Roman"/>
          <w:sz w:val="24"/>
          <w:szCs w:val="24"/>
        </w:rPr>
        <w:t>:</w:t>
      </w:r>
      <w:r w:rsidR="008150D1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F43D53" w:rsidRPr="00BB47B6">
        <w:rPr>
          <w:rFonts w:ascii="Times New Roman" w:hAnsi="Times New Roman" w:cs="Times New Roman"/>
          <w:sz w:val="24"/>
          <w:szCs w:val="24"/>
        </w:rPr>
        <w:t>The</w:t>
      </w:r>
      <w:r w:rsidR="0021646F" w:rsidRPr="00BB47B6">
        <w:rPr>
          <w:rFonts w:ascii="Times New Roman" w:hAnsi="Times New Roman" w:cs="Times New Roman"/>
          <w:sz w:val="24"/>
          <w:szCs w:val="24"/>
        </w:rPr>
        <w:t xml:space="preserve"> study found </w:t>
      </w:r>
      <w:r w:rsidR="00753652" w:rsidRPr="00BB47B6">
        <w:rPr>
          <w:rFonts w:ascii="Times New Roman" w:hAnsi="Times New Roman" w:cs="Times New Roman"/>
          <w:sz w:val="24"/>
          <w:szCs w:val="24"/>
        </w:rPr>
        <w:t xml:space="preserve">no evidence of an association between </w:t>
      </w:r>
      <w:r w:rsidR="00753652">
        <w:rPr>
          <w:rFonts w:ascii="Times New Roman" w:hAnsi="Times New Roman" w:cs="Times New Roman"/>
          <w:sz w:val="24"/>
          <w:szCs w:val="24"/>
        </w:rPr>
        <w:t xml:space="preserve">the </w:t>
      </w:r>
      <w:r w:rsidR="00355832">
        <w:rPr>
          <w:rFonts w:ascii="Times New Roman" w:hAnsi="Times New Roman" w:cs="Times New Roman"/>
          <w:sz w:val="24"/>
          <w:szCs w:val="24"/>
        </w:rPr>
        <w:t xml:space="preserve">modelled </w:t>
      </w:r>
      <w:r w:rsidR="00753652">
        <w:rPr>
          <w:rFonts w:ascii="Times New Roman" w:hAnsi="Times New Roman" w:cs="Times New Roman"/>
          <w:sz w:val="24"/>
          <w:szCs w:val="24"/>
        </w:rPr>
        <w:t xml:space="preserve">pollutants </w:t>
      </w:r>
      <w:r w:rsidR="00355832">
        <w:rPr>
          <w:rFonts w:ascii="Times New Roman" w:hAnsi="Times New Roman" w:cs="Times New Roman"/>
          <w:sz w:val="24"/>
          <w:szCs w:val="24"/>
        </w:rPr>
        <w:t xml:space="preserve">(including components) </w:t>
      </w:r>
      <w:r w:rsidR="00753652">
        <w:rPr>
          <w:rFonts w:ascii="Times New Roman" w:hAnsi="Times New Roman" w:cs="Times New Roman"/>
          <w:sz w:val="24"/>
          <w:szCs w:val="24"/>
        </w:rPr>
        <w:t xml:space="preserve">investigated and </w:t>
      </w:r>
      <w:r w:rsidR="00753652" w:rsidRPr="00BB47B6">
        <w:rPr>
          <w:rFonts w:ascii="Times New Roman" w:hAnsi="Times New Roman" w:cs="Times New Roman"/>
          <w:sz w:val="24"/>
          <w:szCs w:val="24"/>
        </w:rPr>
        <w:t xml:space="preserve">STEMI </w:t>
      </w:r>
      <w:r w:rsidR="00753652">
        <w:rPr>
          <w:rFonts w:ascii="Times New Roman" w:hAnsi="Times New Roman" w:cs="Times New Roman"/>
          <w:sz w:val="24"/>
          <w:szCs w:val="24"/>
        </w:rPr>
        <w:t xml:space="preserve">but </w:t>
      </w:r>
      <w:r w:rsidR="00355832">
        <w:rPr>
          <w:rFonts w:ascii="Times New Roman" w:hAnsi="Times New Roman" w:cs="Times New Roman"/>
          <w:sz w:val="24"/>
          <w:szCs w:val="24"/>
        </w:rPr>
        <w:t xml:space="preserve">did find </w:t>
      </w:r>
      <w:r w:rsidR="00AF2C90">
        <w:rPr>
          <w:rFonts w:ascii="Times New Roman" w:hAnsi="Times New Roman" w:cs="Times New Roman"/>
          <w:sz w:val="24"/>
          <w:szCs w:val="24"/>
        </w:rPr>
        <w:t xml:space="preserve">some </w:t>
      </w:r>
      <w:r w:rsidR="0021646F" w:rsidRPr="00BB47B6">
        <w:rPr>
          <w:rFonts w:ascii="Times New Roman" w:hAnsi="Times New Roman" w:cs="Times New Roman"/>
          <w:sz w:val="24"/>
          <w:szCs w:val="24"/>
        </w:rPr>
        <w:t xml:space="preserve">evidence of a positive </w:t>
      </w:r>
      <w:r w:rsidR="0021646F" w:rsidRPr="00BB47B6">
        <w:rPr>
          <w:rFonts w:ascii="Times New Roman" w:hAnsi="Times New Roman" w:cs="Times New Roman"/>
          <w:sz w:val="24"/>
          <w:szCs w:val="24"/>
        </w:rPr>
        <w:lastRenderedPageBreak/>
        <w:t>association between NO</w:t>
      </w:r>
      <w:r w:rsidR="0021646F" w:rsidRPr="00BB47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1646F" w:rsidRPr="00BB47B6">
        <w:rPr>
          <w:rFonts w:ascii="Times New Roman" w:hAnsi="Times New Roman" w:cs="Times New Roman"/>
          <w:sz w:val="24"/>
          <w:szCs w:val="24"/>
        </w:rPr>
        <w:t xml:space="preserve"> and NSTEMI.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53652">
        <w:rPr>
          <w:rFonts w:ascii="Times New Roman" w:hAnsi="Times New Roman" w:cs="Times New Roman"/>
        </w:rPr>
        <w:t>Confirmation of this association in other studies is required.</w:t>
      </w:r>
    </w:p>
    <w:p w:rsidR="00982780" w:rsidRDefault="00FC164C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Fonts w:ascii="Times New Roman" w:hAnsi="Times New Roman" w:cs="Times New Roman"/>
          <w:sz w:val="24"/>
          <w:szCs w:val="24"/>
        </w:rPr>
        <w:t>Word count: 2</w:t>
      </w:r>
      <w:r w:rsidR="0084539B">
        <w:rPr>
          <w:rFonts w:ascii="Times New Roman" w:hAnsi="Times New Roman" w:cs="Times New Roman"/>
          <w:sz w:val="24"/>
          <w:szCs w:val="24"/>
        </w:rPr>
        <w:t>5</w:t>
      </w:r>
      <w:r w:rsidR="009D365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BC1534" w:rsidRDefault="00BC1534" w:rsidP="00BC1534">
      <w:pPr>
        <w:spacing w:beforeLines="120" w:before="288" w:afterLines="120" w:after="288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0EBE">
        <w:rPr>
          <w:rFonts w:ascii="Times New Roman" w:hAnsi="Times New Roman" w:cs="Times New Roman"/>
          <w:b/>
          <w:sz w:val="24"/>
          <w:szCs w:val="24"/>
        </w:rPr>
        <w:t>KEY QUESTIONS</w:t>
      </w:r>
    </w:p>
    <w:p w:rsidR="00BC1534" w:rsidRPr="00A50EBE" w:rsidRDefault="00BC1534" w:rsidP="00A50EBE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50EBE">
        <w:rPr>
          <w:rFonts w:ascii="Times New Roman" w:hAnsi="Times New Roman"/>
          <w:b/>
          <w:sz w:val="24"/>
          <w:szCs w:val="24"/>
        </w:rPr>
        <w:t>What is already known about this subject?</w:t>
      </w:r>
    </w:p>
    <w:p w:rsidR="00BC1534" w:rsidRDefault="00BC1534" w:rsidP="00A50EB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13661">
        <w:rPr>
          <w:rFonts w:ascii="Times New Roman" w:hAnsi="Times New Roman"/>
          <w:sz w:val="24"/>
          <w:szCs w:val="24"/>
        </w:rPr>
        <w:t>Evidence from</w:t>
      </w:r>
      <w:r>
        <w:rPr>
          <w:rFonts w:ascii="Times New Roman" w:hAnsi="Times New Roman"/>
          <w:color w:val="1F497D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pidemiological studies examining associations between short-term variations in concentrations of ambient air pollution and acute myocardial infarction </w:t>
      </w:r>
      <w:r w:rsidRPr="00C13661">
        <w:rPr>
          <w:rFonts w:ascii="Times New Roman" w:hAnsi="Times New Roman"/>
          <w:sz w:val="24"/>
          <w:szCs w:val="24"/>
        </w:rPr>
        <w:t>is mixed.</w:t>
      </w:r>
    </w:p>
    <w:p w:rsidR="00BC1534" w:rsidRDefault="00BC1534" w:rsidP="00A50EB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13661">
        <w:rPr>
          <w:rFonts w:ascii="Times New Roman" w:hAnsi="Times New Roman"/>
          <w:sz w:val="24"/>
          <w:szCs w:val="24"/>
        </w:rPr>
        <w:t>Most studies have focused on urban populations</w:t>
      </w:r>
      <w:r>
        <w:rPr>
          <w:rFonts w:ascii="Times New Roman" w:hAnsi="Times New Roman"/>
          <w:color w:val="1F497D"/>
          <w:sz w:val="24"/>
          <w:szCs w:val="24"/>
        </w:rPr>
        <w:t xml:space="preserve"> - f</w:t>
      </w:r>
      <w:r>
        <w:rPr>
          <w:rFonts w:ascii="Times New Roman" w:hAnsi="Times New Roman"/>
          <w:sz w:val="24"/>
          <w:szCs w:val="24"/>
        </w:rPr>
        <w:t>ew have explored the wider geographical coverage (especially for exposure to PM</w:t>
      </w:r>
      <w:r>
        <w:rPr>
          <w:rFonts w:ascii="Times New Roman" w:hAnsi="Times New Roman"/>
          <w:sz w:val="24"/>
          <w:szCs w:val="24"/>
          <w:vertAlign w:val="subscript"/>
        </w:rPr>
        <w:t>2.5</w:t>
      </w:r>
      <w:r>
        <w:rPr>
          <w:rFonts w:ascii="Times New Roman" w:hAnsi="Times New Roman"/>
          <w:sz w:val="24"/>
          <w:szCs w:val="24"/>
        </w:rPr>
        <w:t xml:space="preserve"> and its components) offered by the use of atmospheric chemistry transport models (ACTM).</w:t>
      </w:r>
    </w:p>
    <w:p w:rsidR="00BC1534" w:rsidRPr="00A50EBE" w:rsidRDefault="00BC1534" w:rsidP="00A50EBE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50EBE">
        <w:rPr>
          <w:rFonts w:ascii="Times New Roman" w:hAnsi="Times New Roman"/>
          <w:b/>
          <w:sz w:val="24"/>
          <w:szCs w:val="24"/>
        </w:rPr>
        <w:t>What does this study add?</w:t>
      </w:r>
    </w:p>
    <w:p w:rsidR="00BC1534" w:rsidRDefault="00BC1534" w:rsidP="00A50EB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ACTM data, this study found no evidence of an association between the pollutants investigated (O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NO</w:t>
      </w:r>
      <w:r>
        <w:rPr>
          <w:rFonts w:ascii="Times New Roman" w:hAnsi="Times New Roman"/>
          <w:sz w:val="24"/>
          <w:szCs w:val="24"/>
          <w:vertAlign w:val="subscript"/>
        </w:rPr>
        <w:t xml:space="preserve">2, </w:t>
      </w:r>
      <w:r>
        <w:rPr>
          <w:rFonts w:ascii="Times New Roman" w:hAnsi="Times New Roman"/>
          <w:sz w:val="24"/>
          <w:szCs w:val="24"/>
        </w:rPr>
        <w:t>PM</w:t>
      </w:r>
      <w:r>
        <w:rPr>
          <w:rFonts w:ascii="Times New Roman" w:hAnsi="Times New Roman"/>
          <w:sz w:val="24"/>
          <w:szCs w:val="24"/>
          <w:vertAlign w:val="subscript"/>
        </w:rPr>
        <w:t>2.5</w:t>
      </w:r>
      <w:r>
        <w:rPr>
          <w:rFonts w:ascii="Times New Roman" w:hAnsi="Times New Roman"/>
          <w:sz w:val="24"/>
          <w:szCs w:val="24"/>
        </w:rPr>
        <w:t>, PM</w:t>
      </w:r>
      <w:r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</w:rPr>
        <w:t xml:space="preserve"> and the PM</w:t>
      </w:r>
      <w:r>
        <w:rPr>
          <w:rFonts w:ascii="Times New Roman" w:hAnsi="Times New Roman"/>
          <w:sz w:val="24"/>
          <w:szCs w:val="24"/>
          <w:vertAlign w:val="subscript"/>
        </w:rPr>
        <w:t>2.5</w:t>
      </w:r>
      <w:r>
        <w:rPr>
          <w:rFonts w:ascii="Times New Roman" w:hAnsi="Times New Roman"/>
          <w:sz w:val="24"/>
          <w:szCs w:val="24"/>
        </w:rPr>
        <w:t xml:space="preserve"> components sulphate and elemental carbon) and MI or STEMI. </w:t>
      </w:r>
    </w:p>
    <w:p w:rsidR="00BC1534" w:rsidRDefault="00BC1534" w:rsidP="00A50EB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13661">
        <w:rPr>
          <w:rFonts w:ascii="Times New Roman" w:hAnsi="Times New Roman"/>
          <w:sz w:val="24"/>
          <w:szCs w:val="24"/>
        </w:rPr>
        <w:t>However, there was evidence of a positive association between NO</w:t>
      </w:r>
      <w:r w:rsidRPr="00C13661">
        <w:rPr>
          <w:rFonts w:ascii="Times New Roman" w:hAnsi="Times New Roman"/>
          <w:sz w:val="24"/>
          <w:szCs w:val="24"/>
          <w:vertAlign w:val="subscript"/>
        </w:rPr>
        <w:t>2</w:t>
      </w:r>
      <w:r w:rsidRPr="00C13661">
        <w:rPr>
          <w:rFonts w:ascii="Times New Roman" w:hAnsi="Times New Roman"/>
          <w:sz w:val="24"/>
          <w:szCs w:val="24"/>
        </w:rPr>
        <w:t xml:space="preserve"> (a traffic related pollutant) and NSTEMI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which appeared to be independent of PM</w:t>
      </w:r>
      <w:r>
        <w:rPr>
          <w:rFonts w:ascii="Times New Roman" w:hAnsi="Times New Roman"/>
          <w:sz w:val="24"/>
          <w:szCs w:val="24"/>
          <w:vertAlign w:val="subscript"/>
        </w:rPr>
        <w:t>2.5</w:t>
      </w:r>
      <w:r>
        <w:rPr>
          <w:rFonts w:ascii="Times New Roman" w:hAnsi="Times New Roman"/>
          <w:sz w:val="24"/>
          <w:szCs w:val="24"/>
        </w:rPr>
        <w:t xml:space="preserve"> and 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BC1534" w:rsidRPr="00A50EBE" w:rsidRDefault="00BC1534" w:rsidP="00A50EBE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50EBE">
        <w:rPr>
          <w:rFonts w:ascii="Times New Roman" w:hAnsi="Times New Roman"/>
          <w:b/>
          <w:sz w:val="24"/>
          <w:szCs w:val="24"/>
        </w:rPr>
        <w:t>How might this impact on clinical practice?</w:t>
      </w:r>
    </w:p>
    <w:p w:rsidR="00BC1534" w:rsidRDefault="00BC1534" w:rsidP="00A50EB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13661">
        <w:rPr>
          <w:rFonts w:ascii="Times New Roman" w:hAnsi="Times New Roman"/>
          <w:sz w:val="24"/>
          <w:szCs w:val="24"/>
        </w:rPr>
        <w:t>Our findings add to the growing epidemiological literature investigating the acute effects of air pollution on cardiovascular health.</w:t>
      </w:r>
    </w:p>
    <w:p w:rsidR="00BC1534" w:rsidRPr="00A50EBE" w:rsidRDefault="00BC1534" w:rsidP="00A50EBE">
      <w:pPr>
        <w:pStyle w:val="ListParagraph"/>
        <w:numPr>
          <w:ilvl w:val="0"/>
          <w:numId w:val="5"/>
        </w:numPr>
        <w:spacing w:beforeLines="120" w:before="288" w:afterLines="120" w:after="288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0EBE">
        <w:rPr>
          <w:rFonts w:ascii="Times New Roman" w:hAnsi="Times New Roman"/>
          <w:sz w:val="24"/>
          <w:szCs w:val="24"/>
        </w:rPr>
        <w:lastRenderedPageBreak/>
        <w:t>The identification of susceptible population sub-groups most at risk on high pollution days would enable appropriate advice to be formulated and communicated in a timely manner to reduce the risk to health.</w:t>
      </w:r>
    </w:p>
    <w:p w:rsidR="00DF2789" w:rsidRDefault="008A287F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47B6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CF08D3" w:rsidRPr="00BB47B6" w:rsidRDefault="00951D6A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Fonts w:ascii="Times New Roman" w:hAnsi="Times New Roman" w:cs="Times New Roman"/>
          <w:sz w:val="24"/>
          <w:szCs w:val="24"/>
        </w:rPr>
        <w:t>Air pollution has been associated with adverse cardiovascular heath events in long-term exposure (cohort) st</w:t>
      </w:r>
      <w:r w:rsidR="00114009" w:rsidRPr="00BB47B6">
        <w:rPr>
          <w:rFonts w:ascii="Times New Roman" w:hAnsi="Times New Roman" w:cs="Times New Roman"/>
          <w:sz w:val="24"/>
          <w:szCs w:val="24"/>
        </w:rPr>
        <w:t xml:space="preserve">udies and in short-term </w:t>
      </w:r>
      <w:r w:rsidR="00CF08D3" w:rsidRPr="00BB47B6">
        <w:rPr>
          <w:rFonts w:ascii="Times New Roman" w:hAnsi="Times New Roman" w:cs="Times New Roman"/>
          <w:sz w:val="24"/>
          <w:szCs w:val="24"/>
        </w:rPr>
        <w:t>(time-series or case-</w:t>
      </w:r>
      <w:r w:rsidRPr="00BB47B6">
        <w:rPr>
          <w:rFonts w:ascii="Times New Roman" w:hAnsi="Times New Roman" w:cs="Times New Roman"/>
          <w:sz w:val="24"/>
          <w:szCs w:val="24"/>
        </w:rPr>
        <w:t>crossover)</w:t>
      </w:r>
      <w:r w:rsidR="00114009" w:rsidRPr="00BB47B6">
        <w:rPr>
          <w:rFonts w:ascii="Times New Roman" w:hAnsi="Times New Roman" w:cs="Times New Roman"/>
          <w:sz w:val="24"/>
          <w:szCs w:val="24"/>
        </w:rPr>
        <w:t xml:space="preserve"> studies</w:t>
      </w:r>
      <w:r w:rsidR="001035DC" w:rsidRPr="00BB47B6">
        <w:rPr>
          <w:rFonts w:ascii="Times New Roman" w:hAnsi="Times New Roman" w:cs="Times New Roman"/>
          <w:sz w:val="24"/>
          <w:szCs w:val="24"/>
        </w:rPr>
        <w:t>, and there is</w:t>
      </w:r>
      <w:r w:rsidR="008F3938" w:rsidRPr="00BB47B6">
        <w:rPr>
          <w:rFonts w:ascii="Times New Roman" w:hAnsi="Times New Roman" w:cs="Times New Roman"/>
          <w:sz w:val="24"/>
          <w:szCs w:val="24"/>
        </w:rPr>
        <w:t xml:space="preserve"> mountin</w:t>
      </w:r>
      <w:r w:rsidR="00114009" w:rsidRPr="00BB47B6">
        <w:rPr>
          <w:rFonts w:ascii="Times New Roman" w:hAnsi="Times New Roman" w:cs="Times New Roman"/>
          <w:sz w:val="24"/>
          <w:szCs w:val="24"/>
        </w:rPr>
        <w:t>g evidence from clinical investigations</w:t>
      </w:r>
      <w:r w:rsidR="008F3938" w:rsidRPr="00BB47B6">
        <w:rPr>
          <w:rFonts w:ascii="Times New Roman" w:hAnsi="Times New Roman" w:cs="Times New Roman"/>
          <w:sz w:val="24"/>
          <w:szCs w:val="24"/>
        </w:rPr>
        <w:t xml:space="preserve"> as to potential mechanisms.</w:t>
      </w:r>
      <w:r w:rsidR="00DD0145" w:rsidRPr="00BB47B6">
        <w:rPr>
          <w:rFonts w:ascii="Times New Roman" w:hAnsi="Times New Roman" w:cs="Times New Roman"/>
          <w:sz w:val="24"/>
          <w:szCs w:val="24"/>
        </w:rPr>
        <w:t>[1-4]</w:t>
      </w:r>
      <w:r w:rsidR="00032320" w:rsidRPr="00BB4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87F" w:rsidRPr="00BB47B6" w:rsidRDefault="00CF08D3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Fonts w:ascii="Times New Roman" w:hAnsi="Times New Roman" w:cs="Times New Roman"/>
          <w:sz w:val="24"/>
          <w:szCs w:val="24"/>
        </w:rPr>
        <w:t xml:space="preserve">In terms of </w:t>
      </w:r>
      <w:r w:rsidR="00114009" w:rsidRPr="00BB47B6">
        <w:rPr>
          <w:rFonts w:ascii="Times New Roman" w:hAnsi="Times New Roman" w:cs="Times New Roman"/>
          <w:sz w:val="24"/>
          <w:szCs w:val="24"/>
        </w:rPr>
        <w:t>the more specific outcome of acute myocardial infarction (MI)</w:t>
      </w:r>
      <w:r w:rsidR="00032320" w:rsidRPr="00BB47B6">
        <w:rPr>
          <w:rFonts w:ascii="Times New Roman" w:hAnsi="Times New Roman" w:cs="Times New Roman"/>
          <w:sz w:val="24"/>
          <w:szCs w:val="24"/>
        </w:rPr>
        <w:t>,</w:t>
      </w:r>
      <w:r w:rsidR="00114009" w:rsidRPr="00BB4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320" w:rsidRPr="00BB47B6">
        <w:rPr>
          <w:rFonts w:ascii="Times New Roman" w:hAnsi="Times New Roman" w:cs="Times New Roman"/>
          <w:sz w:val="24"/>
          <w:szCs w:val="24"/>
        </w:rPr>
        <w:t>e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pidemiological </w:t>
      </w:r>
      <w:r w:rsidRPr="00BB47B6">
        <w:rPr>
          <w:rFonts w:ascii="Times New Roman" w:hAnsi="Times New Roman" w:cs="Times New Roman"/>
          <w:sz w:val="24"/>
          <w:szCs w:val="24"/>
        </w:rPr>
        <w:t>studies</w:t>
      </w:r>
      <w:r w:rsidR="00032320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examining the short-term </w:t>
      </w:r>
      <w:r w:rsidR="00114009" w:rsidRPr="00BB47B6">
        <w:rPr>
          <w:rFonts w:ascii="Times New Roman" w:hAnsi="Times New Roman" w:cs="Times New Roman"/>
          <w:sz w:val="24"/>
          <w:szCs w:val="24"/>
        </w:rPr>
        <w:t>effects of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E5413A" w:rsidRPr="00BB47B6">
        <w:rPr>
          <w:rFonts w:ascii="Times New Roman" w:hAnsi="Times New Roman" w:cs="Times New Roman"/>
          <w:sz w:val="24"/>
          <w:szCs w:val="24"/>
        </w:rPr>
        <w:t xml:space="preserve">outdoor ambient </w:t>
      </w:r>
      <w:r w:rsidR="008A287F" w:rsidRPr="00BB47B6">
        <w:rPr>
          <w:rFonts w:ascii="Times New Roman" w:hAnsi="Times New Roman" w:cs="Times New Roman"/>
          <w:sz w:val="24"/>
          <w:szCs w:val="24"/>
        </w:rPr>
        <w:t>air pollution</w:t>
      </w:r>
      <w:r w:rsidR="00114009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8A287F" w:rsidRPr="00BB47B6">
        <w:rPr>
          <w:rFonts w:ascii="Times New Roman" w:hAnsi="Times New Roman" w:cs="Times New Roman"/>
          <w:sz w:val="24"/>
          <w:szCs w:val="24"/>
        </w:rPr>
        <w:t>have varied in their findings.</w:t>
      </w:r>
      <w:r w:rsidR="00176AF4" w:rsidRPr="00BB47B6">
        <w:rPr>
          <w:rFonts w:ascii="Times New Roman" w:hAnsi="Times New Roman" w:cs="Times New Roman"/>
          <w:sz w:val="24"/>
          <w:szCs w:val="24"/>
        </w:rPr>
        <w:t>[</w:t>
      </w:r>
      <w:r w:rsidR="00DD0145" w:rsidRPr="00BB47B6">
        <w:rPr>
          <w:rFonts w:ascii="Times New Roman" w:hAnsi="Times New Roman" w:cs="Times New Roman"/>
          <w:sz w:val="24"/>
          <w:szCs w:val="24"/>
        </w:rPr>
        <w:t>5-10</w:t>
      </w:r>
      <w:r w:rsidR="00176AF4" w:rsidRPr="00BB47B6">
        <w:rPr>
          <w:rFonts w:ascii="Times New Roman" w:hAnsi="Times New Roman" w:cs="Times New Roman"/>
          <w:sz w:val="24"/>
          <w:szCs w:val="24"/>
        </w:rPr>
        <w:t>]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333B1A" w:rsidRPr="00BB47B6">
        <w:rPr>
          <w:rFonts w:ascii="Times New Roman" w:hAnsi="Times New Roman" w:cs="Times New Roman"/>
          <w:sz w:val="24"/>
          <w:szCs w:val="24"/>
        </w:rPr>
        <w:t xml:space="preserve">While </w:t>
      </w:r>
      <w:r w:rsidR="000C0A9E">
        <w:rPr>
          <w:rFonts w:ascii="Times New Roman" w:hAnsi="Times New Roman" w:cs="Times New Roman"/>
          <w:sz w:val="24"/>
          <w:szCs w:val="24"/>
        </w:rPr>
        <w:t>a minority of</w:t>
      </w:r>
      <w:r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8A287F" w:rsidRPr="00BB47B6">
        <w:rPr>
          <w:rFonts w:ascii="Times New Roman" w:hAnsi="Times New Roman" w:cs="Times New Roman"/>
          <w:sz w:val="24"/>
          <w:szCs w:val="24"/>
        </w:rPr>
        <w:t>studies suggest an increase</w:t>
      </w:r>
      <w:r w:rsidR="00F22BA4" w:rsidRPr="00BB47B6">
        <w:rPr>
          <w:rFonts w:ascii="Times New Roman" w:hAnsi="Times New Roman" w:cs="Times New Roman"/>
          <w:sz w:val="24"/>
          <w:szCs w:val="24"/>
        </w:rPr>
        <w:t xml:space="preserve"> in the 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 risk of</w:t>
      </w:r>
      <w:r w:rsidR="00F22BA4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913477" w:rsidRPr="00BB47B6">
        <w:rPr>
          <w:rFonts w:ascii="Times New Roman" w:hAnsi="Times New Roman" w:cs="Times New Roman"/>
          <w:sz w:val="24"/>
          <w:szCs w:val="24"/>
        </w:rPr>
        <w:t>an MI</w:t>
      </w:r>
      <w:r w:rsidR="00A36FC8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following exposure to higher concentrations of </w:t>
      </w:r>
      <w:r w:rsidR="00333B1A" w:rsidRPr="00BB47B6">
        <w:rPr>
          <w:rFonts w:ascii="Times New Roman" w:hAnsi="Times New Roman" w:cs="Times New Roman"/>
          <w:sz w:val="24"/>
          <w:szCs w:val="24"/>
        </w:rPr>
        <w:t>ozone</w:t>
      </w:r>
      <w:r w:rsidR="00FA49D7">
        <w:rPr>
          <w:rFonts w:ascii="Times New Roman" w:hAnsi="Times New Roman" w:cs="Times New Roman"/>
          <w:sz w:val="24"/>
          <w:szCs w:val="24"/>
        </w:rPr>
        <w:t xml:space="preserve"> (O</w:t>
      </w:r>
      <w:r w:rsidR="00FA49D7" w:rsidRPr="006767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A49D7">
        <w:rPr>
          <w:rFonts w:ascii="Times New Roman" w:hAnsi="Times New Roman" w:cs="Times New Roman"/>
          <w:sz w:val="24"/>
          <w:szCs w:val="24"/>
        </w:rPr>
        <w:t>)</w:t>
      </w:r>
      <w:r w:rsidR="00333B1A" w:rsidRPr="00BB47B6">
        <w:rPr>
          <w:rFonts w:ascii="Times New Roman" w:hAnsi="Times New Roman" w:cs="Times New Roman"/>
          <w:sz w:val="24"/>
          <w:szCs w:val="24"/>
        </w:rPr>
        <w:t>, e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vidence </w:t>
      </w:r>
      <w:r w:rsidR="00333B1A" w:rsidRPr="00BB47B6">
        <w:rPr>
          <w:rFonts w:ascii="Times New Roman" w:hAnsi="Times New Roman" w:cs="Times New Roman"/>
          <w:sz w:val="24"/>
          <w:szCs w:val="24"/>
        </w:rPr>
        <w:t xml:space="preserve">from the literature </w:t>
      </w:r>
      <w:r w:rsidR="00176AF4" w:rsidRPr="00BB47B6">
        <w:rPr>
          <w:rFonts w:ascii="Times New Roman" w:hAnsi="Times New Roman" w:cs="Times New Roman"/>
          <w:sz w:val="24"/>
          <w:szCs w:val="24"/>
        </w:rPr>
        <w:t>of an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 increase in risk</w:t>
      </w:r>
      <w:r w:rsidR="00E5413A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following </w:t>
      </w:r>
      <w:r w:rsidR="00032320" w:rsidRPr="00BB47B6">
        <w:rPr>
          <w:rFonts w:ascii="Times New Roman" w:hAnsi="Times New Roman" w:cs="Times New Roman"/>
          <w:sz w:val="24"/>
          <w:szCs w:val="24"/>
        </w:rPr>
        <w:t>a rise in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 exposure to </w:t>
      </w:r>
      <w:r w:rsidR="00FC5B1F">
        <w:rPr>
          <w:rFonts w:ascii="Times New Roman" w:hAnsi="Times New Roman" w:cs="Times New Roman"/>
          <w:sz w:val="24"/>
          <w:szCs w:val="24"/>
        </w:rPr>
        <w:t xml:space="preserve">the mass of </w:t>
      </w:r>
      <w:r w:rsidR="00FA49D7">
        <w:rPr>
          <w:rFonts w:ascii="Times New Roman" w:hAnsi="Times New Roman" w:cs="Times New Roman"/>
          <w:sz w:val="24"/>
          <w:szCs w:val="24"/>
        </w:rPr>
        <w:t>particulate</w:t>
      </w:r>
      <w:r w:rsidR="00FC5B1F">
        <w:rPr>
          <w:rFonts w:ascii="Times New Roman" w:hAnsi="Times New Roman" w:cs="Times New Roman"/>
          <w:sz w:val="24"/>
          <w:szCs w:val="24"/>
        </w:rPr>
        <w:t>s</w:t>
      </w:r>
      <w:r w:rsidR="00FA49D7">
        <w:rPr>
          <w:rFonts w:ascii="Times New Roman" w:hAnsi="Times New Roman" w:cs="Times New Roman"/>
          <w:sz w:val="24"/>
          <w:szCs w:val="24"/>
        </w:rPr>
        <w:t xml:space="preserve"> </w:t>
      </w:r>
      <w:r w:rsidR="00FC5B1F">
        <w:rPr>
          <w:rFonts w:ascii="Times New Roman" w:hAnsi="Times New Roman" w:cs="Times New Roman"/>
          <w:sz w:val="24"/>
          <w:szCs w:val="24"/>
        </w:rPr>
        <w:t xml:space="preserve">with an aerodynamic diameter </w:t>
      </w:r>
      <w:r w:rsidR="00DB6C43">
        <w:rPr>
          <w:rFonts w:ascii="Times New Roman" w:hAnsi="Times New Roman" w:cs="Times New Roman"/>
          <w:sz w:val="24"/>
          <w:szCs w:val="24"/>
        </w:rPr>
        <w:t>less than 10</w:t>
      </w:r>
      <w:r w:rsidR="00B901C9">
        <w:rPr>
          <w:rFonts w:ascii="Times New Roman" w:hAnsi="Times New Roman" w:cs="Times New Roman"/>
          <w:sz w:val="24"/>
          <w:szCs w:val="24"/>
        </w:rPr>
        <w:t xml:space="preserve"> </w:t>
      </w:r>
      <w:r w:rsidR="00DB6C43">
        <w:rPr>
          <w:rFonts w:ascii="Times New Roman" w:hAnsi="Times New Roman" w:cs="Times New Roman"/>
          <w:sz w:val="24"/>
          <w:szCs w:val="24"/>
        </w:rPr>
        <w:t>µm (</w:t>
      </w:r>
      <w:r w:rsidR="008A287F" w:rsidRPr="00BB47B6">
        <w:rPr>
          <w:rFonts w:ascii="Times New Roman" w:hAnsi="Times New Roman" w:cs="Times New Roman"/>
          <w:sz w:val="24"/>
          <w:szCs w:val="24"/>
        </w:rPr>
        <w:t>PM</w:t>
      </w:r>
      <w:r w:rsidR="008A287F" w:rsidRPr="00BB47B6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DB6C43">
        <w:rPr>
          <w:rFonts w:ascii="Times New Roman" w:hAnsi="Times New Roman" w:cs="Times New Roman"/>
          <w:sz w:val="24"/>
          <w:szCs w:val="24"/>
        </w:rPr>
        <w:t>)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, </w:t>
      </w:r>
      <w:r w:rsidR="00541F32">
        <w:rPr>
          <w:rFonts w:ascii="Times New Roman" w:hAnsi="Times New Roman" w:cs="Times New Roman"/>
          <w:sz w:val="24"/>
          <w:szCs w:val="24"/>
        </w:rPr>
        <w:t xml:space="preserve">or </w:t>
      </w:r>
      <w:r w:rsidR="00DB6C43">
        <w:rPr>
          <w:rFonts w:ascii="Times New Roman" w:hAnsi="Times New Roman" w:cs="Times New Roman"/>
          <w:sz w:val="24"/>
          <w:szCs w:val="24"/>
        </w:rPr>
        <w:t xml:space="preserve"> 2.5</w:t>
      </w:r>
      <w:r w:rsidR="00B901C9">
        <w:rPr>
          <w:rFonts w:ascii="Times New Roman" w:hAnsi="Times New Roman" w:cs="Times New Roman"/>
          <w:sz w:val="24"/>
          <w:szCs w:val="24"/>
        </w:rPr>
        <w:t xml:space="preserve"> </w:t>
      </w:r>
      <w:r w:rsidR="00DB6C43">
        <w:rPr>
          <w:rFonts w:ascii="Times New Roman" w:hAnsi="Times New Roman" w:cs="Times New Roman"/>
          <w:sz w:val="24"/>
          <w:szCs w:val="24"/>
        </w:rPr>
        <w:t>µm (</w:t>
      </w:r>
      <w:r w:rsidR="008A287F" w:rsidRPr="00BB47B6">
        <w:rPr>
          <w:rFonts w:ascii="Times New Roman" w:hAnsi="Times New Roman" w:cs="Times New Roman"/>
          <w:sz w:val="24"/>
          <w:szCs w:val="24"/>
        </w:rPr>
        <w:t>PM</w:t>
      </w:r>
      <w:r w:rsidR="008A287F" w:rsidRPr="00BB47B6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DB6C43">
        <w:rPr>
          <w:rFonts w:ascii="Times New Roman" w:hAnsi="Times New Roman" w:cs="Times New Roman"/>
          <w:sz w:val="24"/>
          <w:szCs w:val="24"/>
        </w:rPr>
        <w:t>)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, </w:t>
      </w:r>
      <w:r w:rsidR="00DB6C43">
        <w:rPr>
          <w:rFonts w:ascii="Times New Roman" w:hAnsi="Times New Roman" w:cs="Times New Roman"/>
          <w:sz w:val="24"/>
          <w:szCs w:val="24"/>
        </w:rPr>
        <w:t>nitrogen dioxide (</w:t>
      </w:r>
      <w:r w:rsidR="008A287F" w:rsidRPr="00BB47B6">
        <w:rPr>
          <w:rFonts w:ascii="Times New Roman" w:hAnsi="Times New Roman" w:cs="Times New Roman"/>
          <w:sz w:val="24"/>
          <w:szCs w:val="24"/>
        </w:rPr>
        <w:t>NO</w:t>
      </w:r>
      <w:r w:rsidR="008A287F" w:rsidRPr="00BB47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B6C43">
        <w:rPr>
          <w:rFonts w:ascii="Times New Roman" w:hAnsi="Times New Roman" w:cs="Times New Roman"/>
          <w:sz w:val="24"/>
          <w:szCs w:val="24"/>
        </w:rPr>
        <w:t>)</w:t>
      </w:r>
      <w:r w:rsidR="008A287F" w:rsidRPr="00BB47B6">
        <w:rPr>
          <w:rFonts w:ascii="Times New Roman" w:hAnsi="Times New Roman" w:cs="Times New Roman"/>
          <w:sz w:val="24"/>
          <w:szCs w:val="24"/>
        </w:rPr>
        <w:t>,</w:t>
      </w:r>
      <w:r w:rsidR="00DB6C43">
        <w:rPr>
          <w:rFonts w:ascii="Times New Roman" w:hAnsi="Times New Roman" w:cs="Times New Roman"/>
          <w:sz w:val="24"/>
          <w:szCs w:val="24"/>
        </w:rPr>
        <w:t xml:space="preserve"> carbon monoxide (</w:t>
      </w:r>
      <w:r w:rsidR="008A287F" w:rsidRPr="00BB47B6">
        <w:rPr>
          <w:rFonts w:ascii="Times New Roman" w:hAnsi="Times New Roman" w:cs="Times New Roman"/>
          <w:sz w:val="24"/>
          <w:szCs w:val="24"/>
        </w:rPr>
        <w:t>CO</w:t>
      </w:r>
      <w:r w:rsidR="00DB6C43">
        <w:rPr>
          <w:rFonts w:ascii="Times New Roman" w:hAnsi="Times New Roman" w:cs="Times New Roman"/>
          <w:sz w:val="24"/>
          <w:szCs w:val="24"/>
        </w:rPr>
        <w:t>)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 and </w:t>
      </w:r>
      <w:r w:rsidR="00DB6C43">
        <w:rPr>
          <w:rFonts w:ascii="Times New Roman" w:hAnsi="Times New Roman" w:cs="Times New Roman"/>
          <w:sz w:val="24"/>
          <w:szCs w:val="24"/>
        </w:rPr>
        <w:t>su</w:t>
      </w:r>
      <w:r w:rsidR="00827D42">
        <w:rPr>
          <w:rFonts w:ascii="Times New Roman" w:hAnsi="Times New Roman" w:cs="Times New Roman"/>
          <w:sz w:val="24"/>
          <w:szCs w:val="24"/>
        </w:rPr>
        <w:t>l</w:t>
      </w:r>
      <w:r w:rsidR="00DB6C43">
        <w:rPr>
          <w:rFonts w:ascii="Times New Roman" w:hAnsi="Times New Roman" w:cs="Times New Roman"/>
          <w:sz w:val="24"/>
          <w:szCs w:val="24"/>
        </w:rPr>
        <w:t>phur dioxide (</w:t>
      </w:r>
      <w:r w:rsidR="008A287F" w:rsidRPr="00BB47B6">
        <w:rPr>
          <w:rFonts w:ascii="Times New Roman" w:hAnsi="Times New Roman" w:cs="Times New Roman"/>
          <w:sz w:val="24"/>
          <w:szCs w:val="24"/>
        </w:rPr>
        <w:t>SO</w:t>
      </w:r>
      <w:r w:rsidR="008A287F" w:rsidRPr="00BB47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B6C43">
        <w:rPr>
          <w:rFonts w:ascii="Times New Roman" w:hAnsi="Times New Roman" w:cs="Times New Roman"/>
          <w:sz w:val="24"/>
          <w:szCs w:val="24"/>
        </w:rPr>
        <w:t>)</w:t>
      </w:r>
      <w:r w:rsidR="0090053F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5F3A3F" w:rsidRPr="00BB47B6">
        <w:rPr>
          <w:rFonts w:ascii="Times New Roman" w:hAnsi="Times New Roman" w:cs="Times New Roman"/>
          <w:sz w:val="24"/>
          <w:szCs w:val="24"/>
        </w:rPr>
        <w:t>is more consistent</w:t>
      </w:r>
      <w:r w:rsidR="008A287F" w:rsidRPr="00BB47B6">
        <w:rPr>
          <w:rFonts w:ascii="Times New Roman" w:hAnsi="Times New Roman" w:cs="Times New Roman"/>
          <w:sz w:val="24"/>
          <w:szCs w:val="24"/>
        </w:rPr>
        <w:t>.</w:t>
      </w:r>
      <w:r w:rsidR="00390407" w:rsidRPr="00BB47B6">
        <w:rPr>
          <w:rFonts w:ascii="Times New Roman" w:hAnsi="Times New Roman" w:cs="Times New Roman"/>
          <w:sz w:val="24"/>
          <w:szCs w:val="24"/>
        </w:rPr>
        <w:t>[</w:t>
      </w:r>
      <w:r w:rsidR="00DD0145" w:rsidRPr="00BB47B6">
        <w:rPr>
          <w:rFonts w:ascii="Times New Roman" w:hAnsi="Times New Roman" w:cs="Times New Roman"/>
          <w:sz w:val="24"/>
          <w:szCs w:val="24"/>
        </w:rPr>
        <w:t>5-10]</w:t>
      </w:r>
      <w:r w:rsidR="00390407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Part of the reason for inconsistencies between studies may be due to the different outcome measures used (from </w:t>
      </w:r>
      <w:r w:rsidR="00CC6EE4">
        <w:rPr>
          <w:rFonts w:ascii="Times New Roman" w:hAnsi="Times New Roman" w:cs="Times New Roman"/>
          <w:sz w:val="24"/>
          <w:szCs w:val="24"/>
        </w:rPr>
        <w:t>Emergency Department (</w:t>
      </w:r>
      <w:r w:rsidR="008A287F" w:rsidRPr="00BB47B6">
        <w:rPr>
          <w:rFonts w:ascii="Times New Roman" w:hAnsi="Times New Roman" w:cs="Times New Roman"/>
          <w:sz w:val="24"/>
          <w:szCs w:val="24"/>
        </w:rPr>
        <w:t>ED</w:t>
      </w:r>
      <w:r w:rsidR="00CC6EE4">
        <w:rPr>
          <w:rFonts w:ascii="Times New Roman" w:hAnsi="Times New Roman" w:cs="Times New Roman"/>
          <w:sz w:val="24"/>
          <w:szCs w:val="24"/>
        </w:rPr>
        <w:t>)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 visits and hospital admissions to mortality), the accuracy of diagnosis</w:t>
      </w:r>
      <w:r w:rsidR="00541F32">
        <w:rPr>
          <w:rFonts w:ascii="Times New Roman" w:hAnsi="Times New Roman" w:cs="Times New Roman"/>
          <w:sz w:val="24"/>
          <w:szCs w:val="24"/>
        </w:rPr>
        <w:t xml:space="preserve"> or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 different assumptions about the nature of any association (linear or non-linear in the log relative risk</w:t>
      </w:r>
      <w:r w:rsidR="000F7F85">
        <w:rPr>
          <w:rFonts w:ascii="Times New Roman" w:hAnsi="Times New Roman" w:cs="Times New Roman"/>
          <w:sz w:val="24"/>
          <w:szCs w:val="24"/>
        </w:rPr>
        <w:t>)</w:t>
      </w:r>
      <w:r w:rsidR="00541F32">
        <w:rPr>
          <w:rFonts w:ascii="Times New Roman" w:hAnsi="Times New Roman" w:cs="Times New Roman"/>
          <w:sz w:val="24"/>
          <w:szCs w:val="24"/>
        </w:rPr>
        <w:t>.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  Results may also be influenced by the relative proportion of </w:t>
      </w:r>
      <w:r w:rsidR="008D454D" w:rsidRPr="00BB47B6">
        <w:rPr>
          <w:rFonts w:ascii="Times New Roman" w:hAnsi="Times New Roman" w:cs="Times New Roman"/>
          <w:sz w:val="24"/>
          <w:szCs w:val="24"/>
        </w:rPr>
        <w:t xml:space="preserve">MI 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sub-types in the study population, as well as the </w:t>
      </w:r>
      <w:r w:rsidR="00182AE3">
        <w:rPr>
          <w:rFonts w:ascii="Times New Roman" w:hAnsi="Times New Roman" w:cs="Times New Roman"/>
          <w:sz w:val="24"/>
          <w:szCs w:val="24"/>
        </w:rPr>
        <w:t xml:space="preserve">source of gasses and the </w:t>
      </w:r>
      <w:r w:rsidR="008A287F" w:rsidRPr="00BB47B6">
        <w:rPr>
          <w:rFonts w:ascii="Times New Roman" w:hAnsi="Times New Roman" w:cs="Times New Roman"/>
          <w:sz w:val="24"/>
          <w:szCs w:val="24"/>
        </w:rPr>
        <w:t>type and source of</w:t>
      </w:r>
      <w:r w:rsidR="00182AE3">
        <w:rPr>
          <w:rFonts w:ascii="Times New Roman" w:hAnsi="Times New Roman" w:cs="Times New Roman"/>
          <w:sz w:val="24"/>
          <w:szCs w:val="24"/>
        </w:rPr>
        <w:t xml:space="preserve"> </w:t>
      </w:r>
      <w:r w:rsidR="008A287F" w:rsidRPr="00BB47B6">
        <w:rPr>
          <w:rFonts w:ascii="Times New Roman" w:hAnsi="Times New Roman" w:cs="Times New Roman"/>
          <w:sz w:val="24"/>
          <w:szCs w:val="24"/>
        </w:rPr>
        <w:t>partic</w:t>
      </w:r>
      <w:r w:rsidR="00040869">
        <w:rPr>
          <w:rFonts w:ascii="Times New Roman" w:hAnsi="Times New Roman" w:cs="Times New Roman"/>
          <w:sz w:val="24"/>
          <w:szCs w:val="24"/>
        </w:rPr>
        <w:t>l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e species. The few studies that have presented results for ST-elevation myocardial infarction (STEMI) and </w:t>
      </w:r>
      <w:r w:rsidR="00CC6EE4">
        <w:rPr>
          <w:rFonts w:ascii="Times New Roman" w:hAnsi="Times New Roman" w:cs="Times New Roman"/>
          <w:sz w:val="24"/>
          <w:szCs w:val="24"/>
        </w:rPr>
        <w:t>n</w:t>
      </w:r>
      <w:r w:rsidR="008A287F" w:rsidRPr="00BB47B6">
        <w:rPr>
          <w:rFonts w:ascii="Times New Roman" w:hAnsi="Times New Roman" w:cs="Times New Roman"/>
          <w:sz w:val="24"/>
          <w:szCs w:val="24"/>
        </w:rPr>
        <w:t>on-ST</w:t>
      </w:r>
      <w:r w:rsidR="00F34A2C">
        <w:rPr>
          <w:rFonts w:ascii="Times New Roman" w:hAnsi="Times New Roman" w:cs="Times New Roman"/>
          <w:sz w:val="24"/>
          <w:szCs w:val="24"/>
        </w:rPr>
        <w:t>-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elevation myocardial infarction </w:t>
      </w:r>
      <w:r w:rsidR="008D454D" w:rsidRPr="00BB47B6">
        <w:rPr>
          <w:rFonts w:ascii="Times New Roman" w:hAnsi="Times New Roman" w:cs="Times New Roman"/>
          <w:sz w:val="24"/>
          <w:szCs w:val="24"/>
        </w:rPr>
        <w:t xml:space="preserve">(NSTEMI) </w:t>
      </w:r>
      <w:r w:rsidR="008A287F" w:rsidRPr="00BB47B6">
        <w:rPr>
          <w:rFonts w:ascii="Times New Roman" w:hAnsi="Times New Roman" w:cs="Times New Roman"/>
          <w:sz w:val="24"/>
          <w:szCs w:val="24"/>
        </w:rPr>
        <w:t>separately hav</w:t>
      </w:r>
      <w:r w:rsidR="00AC1F5F">
        <w:rPr>
          <w:rFonts w:ascii="Times New Roman" w:hAnsi="Times New Roman" w:cs="Times New Roman"/>
          <w:sz w:val="24"/>
          <w:szCs w:val="24"/>
        </w:rPr>
        <w:t>e produced conflicting results.</w:t>
      </w:r>
      <w:r w:rsidR="00390407" w:rsidRPr="00BB47B6">
        <w:rPr>
          <w:rFonts w:ascii="Times New Roman" w:hAnsi="Times New Roman" w:cs="Times New Roman"/>
          <w:sz w:val="24"/>
          <w:szCs w:val="24"/>
        </w:rPr>
        <w:t>[</w:t>
      </w:r>
      <w:r w:rsidR="00DD0145" w:rsidRPr="00BB47B6">
        <w:rPr>
          <w:rFonts w:ascii="Times New Roman" w:hAnsi="Times New Roman" w:cs="Times New Roman"/>
          <w:sz w:val="24"/>
          <w:szCs w:val="24"/>
        </w:rPr>
        <w:t>11-1</w:t>
      </w:r>
      <w:r w:rsidR="007109A3">
        <w:rPr>
          <w:rFonts w:ascii="Times New Roman" w:hAnsi="Times New Roman" w:cs="Times New Roman"/>
          <w:sz w:val="24"/>
          <w:szCs w:val="24"/>
        </w:rPr>
        <w:t>3</w:t>
      </w:r>
      <w:r w:rsidR="00390407" w:rsidRPr="00BB47B6">
        <w:rPr>
          <w:rFonts w:ascii="Times New Roman" w:hAnsi="Times New Roman" w:cs="Times New Roman"/>
          <w:sz w:val="24"/>
          <w:szCs w:val="24"/>
        </w:rPr>
        <w:t xml:space="preserve">] </w:t>
      </w:r>
      <w:r w:rsidR="008A287F" w:rsidRPr="00BB47B6">
        <w:rPr>
          <w:rFonts w:ascii="Times New Roman" w:hAnsi="Times New Roman" w:cs="Times New Roman"/>
          <w:sz w:val="24"/>
          <w:szCs w:val="24"/>
        </w:rPr>
        <w:t>An analysis of data (</w:t>
      </w:r>
      <w:r w:rsidR="000D0E80">
        <w:rPr>
          <w:rFonts w:ascii="Times New Roman" w:hAnsi="Times New Roman" w:cs="Times New Roman"/>
          <w:sz w:val="24"/>
          <w:szCs w:val="24"/>
        </w:rPr>
        <w:t xml:space="preserve">based on 452,343 MI events between </w:t>
      </w:r>
      <w:r w:rsidR="008A287F" w:rsidRPr="00BB47B6">
        <w:rPr>
          <w:rFonts w:ascii="Times New Roman" w:hAnsi="Times New Roman" w:cs="Times New Roman"/>
          <w:sz w:val="24"/>
          <w:szCs w:val="24"/>
        </w:rPr>
        <w:t>2003-2009) from the England and Wales Myocardial Ischaemia National Audit Project</w:t>
      </w:r>
      <w:r w:rsidR="00AC1F5F">
        <w:rPr>
          <w:rFonts w:ascii="Times New Roman" w:hAnsi="Times New Roman" w:cs="Times New Roman"/>
          <w:sz w:val="24"/>
          <w:szCs w:val="24"/>
        </w:rPr>
        <w:t xml:space="preserve"> </w:t>
      </w:r>
      <w:r w:rsidR="008A287F" w:rsidRPr="00BB47B6">
        <w:rPr>
          <w:rFonts w:ascii="Times New Roman" w:hAnsi="Times New Roman" w:cs="Times New Roman"/>
          <w:sz w:val="24"/>
          <w:szCs w:val="24"/>
        </w:rPr>
        <w:t>(MINAP)</w:t>
      </w:r>
      <w:r w:rsidR="00AC1F5F">
        <w:rPr>
          <w:rFonts w:ascii="Times New Roman" w:hAnsi="Times New Roman" w:cs="Times New Roman"/>
          <w:sz w:val="24"/>
          <w:szCs w:val="24"/>
        </w:rPr>
        <w:t>,</w:t>
      </w:r>
      <w:r w:rsidR="00390407" w:rsidRPr="00BB47B6">
        <w:rPr>
          <w:rFonts w:ascii="Times New Roman" w:hAnsi="Times New Roman" w:cs="Times New Roman"/>
          <w:sz w:val="24"/>
          <w:szCs w:val="24"/>
        </w:rPr>
        <w:t>[</w:t>
      </w:r>
      <w:r w:rsidR="00DD0145" w:rsidRPr="00BB47B6">
        <w:rPr>
          <w:rFonts w:ascii="Times New Roman" w:hAnsi="Times New Roman" w:cs="Times New Roman"/>
          <w:sz w:val="24"/>
          <w:szCs w:val="24"/>
        </w:rPr>
        <w:t>1</w:t>
      </w:r>
      <w:r w:rsidR="007109A3">
        <w:rPr>
          <w:rFonts w:ascii="Times New Roman" w:hAnsi="Times New Roman" w:cs="Times New Roman"/>
          <w:sz w:val="24"/>
          <w:szCs w:val="24"/>
        </w:rPr>
        <w:t>4</w:t>
      </w:r>
      <w:r w:rsidR="00390407" w:rsidRPr="00BB47B6">
        <w:rPr>
          <w:rFonts w:ascii="Times New Roman" w:hAnsi="Times New Roman" w:cs="Times New Roman"/>
          <w:sz w:val="24"/>
          <w:szCs w:val="24"/>
        </w:rPr>
        <w:t xml:space="preserve">] reported </w:t>
      </w:r>
      <w:r w:rsidR="008A287F" w:rsidRPr="00BB47B6">
        <w:rPr>
          <w:rFonts w:ascii="Times New Roman" w:hAnsi="Times New Roman" w:cs="Times New Roman"/>
          <w:sz w:val="24"/>
          <w:szCs w:val="24"/>
        </w:rPr>
        <w:t>small positive association</w:t>
      </w:r>
      <w:r w:rsidR="004423BB" w:rsidRPr="00BB47B6">
        <w:rPr>
          <w:rFonts w:ascii="Times New Roman" w:hAnsi="Times New Roman" w:cs="Times New Roman"/>
          <w:sz w:val="24"/>
          <w:szCs w:val="24"/>
        </w:rPr>
        <w:t>s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 of NO</w:t>
      </w:r>
      <w:r w:rsidR="008A287F" w:rsidRPr="00BB47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 (</w:t>
      </w:r>
      <w:r w:rsidR="0013766F">
        <w:rPr>
          <w:rFonts w:ascii="Times New Roman" w:hAnsi="Times New Roman" w:cs="Times New Roman"/>
          <w:sz w:val="24"/>
          <w:szCs w:val="24"/>
        </w:rPr>
        <w:t>unconstrained distribut</w:t>
      </w:r>
      <w:r w:rsidR="00E14621">
        <w:rPr>
          <w:rFonts w:ascii="Times New Roman" w:hAnsi="Times New Roman" w:cs="Times New Roman"/>
          <w:sz w:val="24"/>
          <w:szCs w:val="24"/>
        </w:rPr>
        <w:t>ed</w:t>
      </w:r>
      <w:r w:rsidR="0013766F">
        <w:rPr>
          <w:rFonts w:ascii="Times New Roman" w:hAnsi="Times New Roman" w:cs="Times New Roman"/>
          <w:sz w:val="24"/>
          <w:szCs w:val="24"/>
        </w:rPr>
        <w:t xml:space="preserve"> lag </w:t>
      </w:r>
      <w:r w:rsidR="0013766F">
        <w:rPr>
          <w:rFonts w:ascii="Times New Roman" w:hAnsi="Times New Roman" w:cs="Times New Roman"/>
          <w:sz w:val="24"/>
          <w:szCs w:val="24"/>
        </w:rPr>
        <w:lastRenderedPageBreak/>
        <w:t xml:space="preserve">model (UDLM) lags 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0-4) with </w:t>
      </w:r>
      <w:r w:rsidR="004423BB" w:rsidRPr="00BB47B6">
        <w:rPr>
          <w:rFonts w:ascii="Times New Roman" w:hAnsi="Times New Roman" w:cs="Times New Roman"/>
          <w:sz w:val="24"/>
          <w:szCs w:val="24"/>
        </w:rPr>
        <w:t xml:space="preserve">all </w:t>
      </w:r>
      <w:r w:rsidR="002C24A2">
        <w:rPr>
          <w:rFonts w:ascii="Times New Roman" w:hAnsi="Times New Roman" w:cs="Times New Roman"/>
          <w:sz w:val="24"/>
          <w:szCs w:val="24"/>
        </w:rPr>
        <w:t>MI</w:t>
      </w:r>
      <w:r w:rsidR="004423BB" w:rsidRPr="00BB47B6">
        <w:rPr>
          <w:rFonts w:ascii="Times New Roman" w:hAnsi="Times New Roman" w:cs="Times New Roman"/>
          <w:sz w:val="24"/>
          <w:szCs w:val="24"/>
        </w:rPr>
        <w:t xml:space="preserve"> and </w:t>
      </w:r>
      <w:r w:rsidR="00AC1F5F">
        <w:rPr>
          <w:rFonts w:ascii="Times New Roman" w:hAnsi="Times New Roman" w:cs="Times New Roman"/>
          <w:sz w:val="24"/>
          <w:szCs w:val="24"/>
        </w:rPr>
        <w:t>NSTEMI,</w:t>
      </w:r>
      <w:r w:rsidR="00390407" w:rsidRPr="00BB47B6">
        <w:rPr>
          <w:rFonts w:ascii="Times New Roman" w:hAnsi="Times New Roman" w:cs="Times New Roman"/>
          <w:sz w:val="24"/>
          <w:szCs w:val="24"/>
        </w:rPr>
        <w:t>[</w:t>
      </w:r>
      <w:r w:rsidR="00DD0145" w:rsidRPr="00BB47B6">
        <w:rPr>
          <w:rFonts w:ascii="Times New Roman" w:hAnsi="Times New Roman" w:cs="Times New Roman"/>
          <w:sz w:val="24"/>
          <w:szCs w:val="24"/>
        </w:rPr>
        <w:t>11</w:t>
      </w:r>
      <w:r w:rsidR="008A287F" w:rsidRPr="00BB47B6">
        <w:rPr>
          <w:rFonts w:ascii="Times New Roman" w:hAnsi="Times New Roman" w:cs="Times New Roman"/>
          <w:sz w:val="24"/>
          <w:szCs w:val="24"/>
        </w:rPr>
        <w:t>] while a much smaller study in the US reported a positive association of PM</w:t>
      </w:r>
      <w:r w:rsidR="008A287F" w:rsidRPr="00BB47B6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 (lag 1 hour) with STE</w:t>
      </w:r>
      <w:r w:rsidR="00390407" w:rsidRPr="00BB47B6">
        <w:rPr>
          <w:rFonts w:ascii="Times New Roman" w:hAnsi="Times New Roman" w:cs="Times New Roman"/>
          <w:sz w:val="24"/>
          <w:szCs w:val="24"/>
        </w:rPr>
        <w:t>MI.[</w:t>
      </w:r>
      <w:r w:rsidR="00DD0145" w:rsidRPr="00BB47B6">
        <w:rPr>
          <w:rFonts w:ascii="Times New Roman" w:hAnsi="Times New Roman" w:cs="Times New Roman"/>
          <w:sz w:val="24"/>
          <w:szCs w:val="24"/>
        </w:rPr>
        <w:t>12</w:t>
      </w:r>
      <w:r w:rsidR="008A287F" w:rsidRPr="00BB47B6">
        <w:rPr>
          <w:rFonts w:ascii="Times New Roman" w:hAnsi="Times New Roman" w:cs="Times New Roman"/>
          <w:sz w:val="24"/>
          <w:szCs w:val="24"/>
        </w:rPr>
        <w:t>]</w:t>
      </w:r>
    </w:p>
    <w:p w:rsidR="0060545C" w:rsidRDefault="00541F32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studies have also varied in the accuracy, completeness and representativeness of the pollution data, the choice of pollution metric and exposure period/lag, as well as to the choice and modelling of potential covariates.</w:t>
      </w:r>
      <w:r w:rsidR="000F7F85">
        <w:rPr>
          <w:rFonts w:ascii="Times New Roman" w:hAnsi="Times New Roman" w:cs="Times New Roman"/>
          <w:sz w:val="24"/>
          <w:szCs w:val="24"/>
        </w:rPr>
        <w:t xml:space="preserve"> </w:t>
      </w:r>
      <w:r w:rsidR="000D0E80">
        <w:rPr>
          <w:rFonts w:ascii="Times New Roman" w:hAnsi="Times New Roman" w:cs="Times New Roman"/>
          <w:sz w:val="24"/>
          <w:szCs w:val="24"/>
        </w:rPr>
        <w:t>M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ost </w:t>
      </w:r>
      <w:r w:rsidR="00806A2A">
        <w:rPr>
          <w:rFonts w:ascii="Times New Roman" w:hAnsi="Times New Roman" w:cs="Times New Roman"/>
          <w:sz w:val="24"/>
          <w:szCs w:val="24"/>
        </w:rPr>
        <w:t xml:space="preserve">short-term 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studies to date, including those based on MINAP </w:t>
      </w:r>
      <w:r w:rsidR="00D413C7" w:rsidRPr="00BB47B6">
        <w:rPr>
          <w:rFonts w:ascii="Times New Roman" w:hAnsi="Times New Roman" w:cs="Times New Roman"/>
          <w:sz w:val="24"/>
          <w:szCs w:val="24"/>
        </w:rPr>
        <w:t>data</w:t>
      </w:r>
      <w:r w:rsidR="00035B1E">
        <w:rPr>
          <w:rFonts w:ascii="Times New Roman" w:hAnsi="Times New Roman" w:cs="Times New Roman"/>
          <w:sz w:val="24"/>
          <w:szCs w:val="24"/>
        </w:rPr>
        <w:t>,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 have used pollution monitoring networks to provide their </w:t>
      </w:r>
      <w:r w:rsidR="001731AC" w:rsidRPr="00BB47B6">
        <w:rPr>
          <w:rFonts w:ascii="Times New Roman" w:hAnsi="Times New Roman" w:cs="Times New Roman"/>
          <w:sz w:val="24"/>
          <w:szCs w:val="24"/>
        </w:rPr>
        <w:t xml:space="preserve">daily </w:t>
      </w:r>
      <w:r w:rsidR="008A287F" w:rsidRPr="00BB47B6">
        <w:rPr>
          <w:rFonts w:ascii="Times New Roman" w:hAnsi="Times New Roman" w:cs="Times New Roman"/>
          <w:sz w:val="24"/>
          <w:szCs w:val="24"/>
        </w:rPr>
        <w:t>exposure assessments</w:t>
      </w:r>
      <w:r w:rsidR="000D0E80">
        <w:rPr>
          <w:rFonts w:ascii="Times New Roman" w:hAnsi="Times New Roman" w:cs="Times New Roman"/>
          <w:sz w:val="24"/>
          <w:szCs w:val="24"/>
        </w:rPr>
        <w:t>.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0D0E80">
        <w:rPr>
          <w:rFonts w:ascii="Times New Roman" w:hAnsi="Times New Roman" w:cs="Times New Roman"/>
          <w:sz w:val="24"/>
          <w:szCs w:val="24"/>
        </w:rPr>
        <w:t>F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ew have so far explored the potential advantages </w:t>
      </w:r>
      <w:r w:rsidR="00D413C7">
        <w:rPr>
          <w:rFonts w:ascii="Times New Roman" w:hAnsi="Times New Roman" w:cs="Times New Roman"/>
          <w:sz w:val="24"/>
          <w:szCs w:val="24"/>
        </w:rPr>
        <w:t>of</w:t>
      </w:r>
      <w:r w:rsidR="00035B1E">
        <w:rPr>
          <w:rFonts w:ascii="Times New Roman" w:hAnsi="Times New Roman" w:cs="Times New Roman"/>
          <w:sz w:val="24"/>
          <w:szCs w:val="24"/>
        </w:rPr>
        <w:t xml:space="preserve"> using modelled data which have</w:t>
      </w:r>
      <w:r w:rsidR="00D413C7">
        <w:rPr>
          <w:rFonts w:ascii="Times New Roman" w:hAnsi="Times New Roman" w:cs="Times New Roman"/>
          <w:sz w:val="24"/>
          <w:szCs w:val="24"/>
        </w:rPr>
        <w:t xml:space="preserve"> complete coverage over </w:t>
      </w:r>
      <w:r w:rsidR="003F38D7">
        <w:rPr>
          <w:rFonts w:ascii="Times New Roman" w:hAnsi="Times New Roman" w:cs="Times New Roman"/>
          <w:sz w:val="24"/>
          <w:szCs w:val="24"/>
        </w:rPr>
        <w:t xml:space="preserve">urban and rural </w:t>
      </w:r>
      <w:r w:rsidR="00D413C7">
        <w:rPr>
          <w:rFonts w:ascii="Times New Roman" w:hAnsi="Times New Roman" w:cs="Times New Roman"/>
          <w:sz w:val="24"/>
          <w:szCs w:val="24"/>
        </w:rPr>
        <w:t>areas</w:t>
      </w:r>
      <w:r w:rsidR="008A287F" w:rsidRPr="00BB47B6">
        <w:rPr>
          <w:rFonts w:ascii="Times New Roman" w:hAnsi="Times New Roman" w:cs="Times New Roman"/>
          <w:sz w:val="24"/>
          <w:szCs w:val="24"/>
        </w:rPr>
        <w:t>, diversity (in terms of particle species</w:t>
      </w:r>
      <w:r w:rsidR="003F38D7">
        <w:rPr>
          <w:rFonts w:ascii="Times New Roman" w:hAnsi="Times New Roman" w:cs="Times New Roman"/>
          <w:sz w:val="24"/>
          <w:szCs w:val="24"/>
        </w:rPr>
        <w:t xml:space="preserve"> components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) </w:t>
      </w:r>
      <w:r w:rsidR="00CC6EE4">
        <w:rPr>
          <w:rFonts w:ascii="Times New Roman" w:hAnsi="Times New Roman" w:cs="Times New Roman"/>
          <w:sz w:val="24"/>
          <w:szCs w:val="24"/>
        </w:rPr>
        <w:t xml:space="preserve">and </w:t>
      </w:r>
      <w:r w:rsidR="00035B1E">
        <w:rPr>
          <w:rFonts w:ascii="Times New Roman" w:hAnsi="Times New Roman" w:cs="Times New Roman"/>
          <w:sz w:val="24"/>
          <w:szCs w:val="24"/>
        </w:rPr>
        <w:t>enable</w:t>
      </w:r>
      <w:r w:rsidR="00D413C7">
        <w:rPr>
          <w:rFonts w:ascii="Times New Roman" w:hAnsi="Times New Roman" w:cs="Times New Roman"/>
          <w:sz w:val="24"/>
          <w:szCs w:val="24"/>
        </w:rPr>
        <w:t xml:space="preserve"> air quality related</w:t>
      </w:r>
      <w:r w:rsidR="00CC6EE4">
        <w:rPr>
          <w:rFonts w:ascii="Times New Roman" w:hAnsi="Times New Roman" w:cs="Times New Roman"/>
          <w:sz w:val="24"/>
          <w:szCs w:val="24"/>
        </w:rPr>
        <w:t xml:space="preserve"> policy </w:t>
      </w:r>
      <w:r w:rsidR="00D413C7">
        <w:rPr>
          <w:rFonts w:ascii="Times New Roman" w:hAnsi="Times New Roman" w:cs="Times New Roman"/>
          <w:sz w:val="24"/>
          <w:szCs w:val="24"/>
        </w:rPr>
        <w:t>scenarios to be investigated.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274CB4" w:rsidRPr="00A50EBE">
        <w:rPr>
          <w:rFonts w:ascii="Times New Roman" w:hAnsi="Times New Roman" w:cs="Times New Roman"/>
          <w:sz w:val="24"/>
          <w:szCs w:val="24"/>
        </w:rPr>
        <w:t>T</w:t>
      </w:r>
      <w:r w:rsidR="007222F5" w:rsidRPr="00A50EBE">
        <w:rPr>
          <w:rFonts w:ascii="Times New Roman" w:hAnsi="Times New Roman" w:cs="Times New Roman"/>
          <w:sz w:val="24"/>
          <w:szCs w:val="24"/>
        </w:rPr>
        <w:t xml:space="preserve">he EMEP4UK atmospheric chemistry transport model (ACTM) </w:t>
      </w:r>
      <w:r w:rsidR="00B56377">
        <w:rPr>
          <w:rFonts w:ascii="Times New Roman" w:hAnsi="Times New Roman" w:cs="Times New Roman"/>
          <w:sz w:val="24"/>
          <w:szCs w:val="24"/>
        </w:rPr>
        <w:t>[15-16] is a high</w:t>
      </w:r>
      <w:r w:rsidR="000340F4">
        <w:rPr>
          <w:rFonts w:ascii="Times New Roman" w:hAnsi="Times New Roman" w:cs="Times New Roman"/>
          <w:sz w:val="24"/>
          <w:szCs w:val="24"/>
        </w:rPr>
        <w:t xml:space="preserve"> resolution regional application of the well-established European Monitoring and Evaluation P</w:t>
      </w:r>
      <w:r w:rsidR="00175127">
        <w:rPr>
          <w:rFonts w:ascii="Times New Roman" w:hAnsi="Times New Roman" w:cs="Times New Roman"/>
          <w:sz w:val="24"/>
          <w:szCs w:val="24"/>
        </w:rPr>
        <w:t>rogramme (EMEP) MSC-W model [17</w:t>
      </w:r>
      <w:r w:rsidR="000340F4">
        <w:rPr>
          <w:rFonts w:ascii="Times New Roman" w:hAnsi="Times New Roman" w:cs="Times New Roman"/>
          <w:sz w:val="24"/>
          <w:szCs w:val="24"/>
        </w:rPr>
        <w:t>]. It simulates the evolution of ambient pollution concentrations using official pollutant emission inventories, rele</w:t>
      </w:r>
      <w:r w:rsidR="00B56377">
        <w:rPr>
          <w:rFonts w:ascii="Times New Roman" w:hAnsi="Times New Roman" w:cs="Times New Roman"/>
          <w:sz w:val="24"/>
          <w:szCs w:val="24"/>
        </w:rPr>
        <w:t>vant natural emissions and driving</w:t>
      </w:r>
      <w:r w:rsidR="000340F4">
        <w:rPr>
          <w:rFonts w:ascii="Times New Roman" w:hAnsi="Times New Roman" w:cs="Times New Roman"/>
          <w:sz w:val="24"/>
          <w:szCs w:val="24"/>
        </w:rPr>
        <w:t xml:space="preserve"> meteorology</w:t>
      </w:r>
      <w:r w:rsidR="00B56377">
        <w:rPr>
          <w:rFonts w:ascii="Times New Roman" w:hAnsi="Times New Roman" w:cs="Times New Roman"/>
          <w:sz w:val="24"/>
          <w:szCs w:val="24"/>
        </w:rPr>
        <w:t xml:space="preserve">, through </w:t>
      </w:r>
      <w:r w:rsidR="000340F4">
        <w:rPr>
          <w:rFonts w:ascii="Times New Roman" w:hAnsi="Times New Roman" w:cs="Times New Roman"/>
          <w:sz w:val="24"/>
          <w:szCs w:val="24"/>
        </w:rPr>
        <w:t xml:space="preserve">a detailed treatment of atmospheric chemistry and physics. </w:t>
      </w:r>
      <w:r w:rsidR="008A287F" w:rsidRPr="00BB47B6">
        <w:rPr>
          <w:rFonts w:ascii="Times New Roman" w:hAnsi="Times New Roman" w:cs="Times New Roman"/>
          <w:sz w:val="24"/>
          <w:szCs w:val="24"/>
        </w:rPr>
        <w:t>In this paper</w:t>
      </w:r>
      <w:r w:rsidR="00F1335D">
        <w:rPr>
          <w:rFonts w:ascii="Times New Roman" w:hAnsi="Times New Roman" w:cs="Times New Roman"/>
          <w:sz w:val="24"/>
          <w:szCs w:val="24"/>
        </w:rPr>
        <w:t>,</w:t>
      </w:r>
      <w:r w:rsidR="008A287F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F1335D">
        <w:rPr>
          <w:rFonts w:ascii="Times New Roman" w:hAnsi="Times New Roman" w:cs="Times New Roman"/>
          <w:sz w:val="24"/>
          <w:szCs w:val="24"/>
        </w:rPr>
        <w:t xml:space="preserve">we use ACTM data </w:t>
      </w:r>
      <w:r w:rsidR="00D413C7">
        <w:rPr>
          <w:rFonts w:ascii="Times New Roman" w:hAnsi="Times New Roman" w:cs="Times New Roman"/>
          <w:sz w:val="24"/>
          <w:szCs w:val="24"/>
        </w:rPr>
        <w:t>at 5</w:t>
      </w:r>
      <w:r w:rsidR="001C4769">
        <w:rPr>
          <w:rFonts w:ascii="Times New Roman" w:hAnsi="Times New Roman" w:cs="Times New Roman"/>
          <w:sz w:val="24"/>
          <w:szCs w:val="24"/>
        </w:rPr>
        <w:t xml:space="preserve"> </w:t>
      </w:r>
      <w:r w:rsidR="00D413C7">
        <w:rPr>
          <w:rFonts w:ascii="Times New Roman" w:hAnsi="Times New Roman" w:cs="Times New Roman"/>
          <w:sz w:val="24"/>
          <w:szCs w:val="24"/>
        </w:rPr>
        <w:t>km by 5</w:t>
      </w:r>
      <w:r w:rsidR="001C4769">
        <w:rPr>
          <w:rFonts w:ascii="Times New Roman" w:hAnsi="Times New Roman" w:cs="Times New Roman"/>
          <w:sz w:val="24"/>
          <w:szCs w:val="24"/>
        </w:rPr>
        <w:t xml:space="preserve"> </w:t>
      </w:r>
      <w:r w:rsidR="00D413C7">
        <w:rPr>
          <w:rFonts w:ascii="Times New Roman" w:hAnsi="Times New Roman" w:cs="Times New Roman"/>
          <w:sz w:val="24"/>
          <w:szCs w:val="24"/>
        </w:rPr>
        <w:t xml:space="preserve">km </w:t>
      </w:r>
      <w:r w:rsidR="00035B1E">
        <w:rPr>
          <w:rFonts w:ascii="Times New Roman" w:hAnsi="Times New Roman" w:cs="Times New Roman"/>
          <w:sz w:val="24"/>
          <w:szCs w:val="24"/>
        </w:rPr>
        <w:t xml:space="preserve">spatial </w:t>
      </w:r>
      <w:r w:rsidR="00D413C7">
        <w:rPr>
          <w:rFonts w:ascii="Times New Roman" w:hAnsi="Times New Roman" w:cs="Times New Roman"/>
          <w:sz w:val="24"/>
          <w:szCs w:val="24"/>
        </w:rPr>
        <w:t xml:space="preserve">resolution </w:t>
      </w:r>
      <w:r w:rsidR="00F1335D">
        <w:rPr>
          <w:rFonts w:ascii="Times New Roman" w:hAnsi="Times New Roman" w:cs="Times New Roman"/>
          <w:sz w:val="24"/>
          <w:szCs w:val="24"/>
        </w:rPr>
        <w:t xml:space="preserve">to explore </w:t>
      </w:r>
      <w:r w:rsidR="00A15387">
        <w:rPr>
          <w:rFonts w:ascii="Times New Roman" w:hAnsi="Times New Roman" w:cs="Times New Roman"/>
          <w:sz w:val="24"/>
          <w:szCs w:val="24"/>
        </w:rPr>
        <w:t xml:space="preserve">associations between </w:t>
      </w:r>
      <w:r w:rsidR="000E5D90">
        <w:rPr>
          <w:rFonts w:ascii="Times New Roman" w:hAnsi="Times New Roman" w:cs="Times New Roman"/>
          <w:sz w:val="24"/>
          <w:szCs w:val="24"/>
        </w:rPr>
        <w:t xml:space="preserve">modelled </w:t>
      </w:r>
      <w:r w:rsidR="00A15387">
        <w:rPr>
          <w:rFonts w:ascii="Times New Roman" w:hAnsi="Times New Roman" w:cs="Times New Roman"/>
          <w:sz w:val="24"/>
          <w:szCs w:val="24"/>
        </w:rPr>
        <w:t xml:space="preserve">ground-level gaseous, total and speciated particulate pollutant concentrations </w:t>
      </w:r>
      <w:r w:rsidR="000E5D90">
        <w:rPr>
          <w:rFonts w:ascii="Times New Roman" w:hAnsi="Times New Roman" w:cs="Times New Roman"/>
          <w:sz w:val="24"/>
          <w:szCs w:val="24"/>
        </w:rPr>
        <w:t xml:space="preserve">linked </w:t>
      </w:r>
      <w:r w:rsidR="000A3F37">
        <w:rPr>
          <w:rFonts w:ascii="Times New Roman" w:hAnsi="Times New Roman" w:cs="Times New Roman"/>
          <w:sz w:val="24"/>
          <w:szCs w:val="24"/>
        </w:rPr>
        <w:t xml:space="preserve">to </w:t>
      </w:r>
      <w:r w:rsidR="00A15387">
        <w:rPr>
          <w:rFonts w:ascii="Times New Roman" w:hAnsi="Times New Roman" w:cs="Times New Roman"/>
          <w:sz w:val="24"/>
          <w:szCs w:val="24"/>
        </w:rPr>
        <w:t xml:space="preserve">MI, STEMI and NSTEMI events recorded on the </w:t>
      </w:r>
      <w:r w:rsidR="000A3F37">
        <w:rPr>
          <w:rFonts w:ascii="Times New Roman" w:hAnsi="Times New Roman" w:cs="Times New Roman"/>
          <w:sz w:val="24"/>
          <w:szCs w:val="24"/>
        </w:rPr>
        <w:t xml:space="preserve">England and Wales </w:t>
      </w:r>
      <w:r w:rsidR="00A15387">
        <w:rPr>
          <w:rFonts w:ascii="Times New Roman" w:hAnsi="Times New Roman" w:cs="Times New Roman"/>
          <w:sz w:val="24"/>
          <w:szCs w:val="24"/>
        </w:rPr>
        <w:t xml:space="preserve">MINAP database between 2003 and 2010. </w:t>
      </w:r>
    </w:p>
    <w:p w:rsidR="00DF2789" w:rsidRPr="00BB47B6" w:rsidRDefault="007613A7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47B6">
        <w:rPr>
          <w:rFonts w:ascii="Times New Roman" w:hAnsi="Times New Roman" w:cs="Times New Roman"/>
          <w:b/>
          <w:sz w:val="24"/>
          <w:szCs w:val="24"/>
        </w:rPr>
        <w:t>METHODS</w:t>
      </w:r>
    </w:p>
    <w:p w:rsidR="007171F7" w:rsidRPr="00676770" w:rsidRDefault="007171F7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6770">
        <w:rPr>
          <w:rFonts w:ascii="Times New Roman" w:hAnsi="Times New Roman" w:cs="Times New Roman"/>
          <w:b/>
          <w:sz w:val="24"/>
          <w:szCs w:val="24"/>
        </w:rPr>
        <w:t>Outcome data</w:t>
      </w:r>
    </w:p>
    <w:p w:rsidR="003B239B" w:rsidRDefault="00C91418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426A2D" w:rsidRPr="00BB47B6">
        <w:rPr>
          <w:rFonts w:ascii="Times New Roman" w:hAnsi="Times New Roman" w:cs="Times New Roman"/>
          <w:sz w:val="24"/>
          <w:szCs w:val="24"/>
        </w:rPr>
        <w:t xml:space="preserve"> outcome data </w:t>
      </w:r>
      <w:r w:rsidR="00CC6EE4">
        <w:rPr>
          <w:rFonts w:ascii="Times New Roman" w:hAnsi="Times New Roman" w:cs="Times New Roman"/>
          <w:sz w:val="24"/>
          <w:szCs w:val="24"/>
        </w:rPr>
        <w:t xml:space="preserve">for the </w:t>
      </w:r>
      <w:r w:rsidR="00483E24">
        <w:rPr>
          <w:rFonts w:ascii="Times New Roman" w:hAnsi="Times New Roman" w:cs="Times New Roman"/>
          <w:sz w:val="24"/>
          <w:szCs w:val="24"/>
        </w:rPr>
        <w:t xml:space="preserve">study </w:t>
      </w:r>
      <w:r w:rsidR="00CC6EE4">
        <w:rPr>
          <w:rFonts w:ascii="Times New Roman" w:hAnsi="Times New Roman" w:cs="Times New Roman"/>
          <w:sz w:val="24"/>
          <w:szCs w:val="24"/>
        </w:rPr>
        <w:t xml:space="preserve">period </w:t>
      </w:r>
      <w:r w:rsidR="00483E24">
        <w:rPr>
          <w:rFonts w:ascii="Times New Roman" w:hAnsi="Times New Roman" w:cs="Times New Roman"/>
          <w:sz w:val="24"/>
          <w:szCs w:val="24"/>
        </w:rPr>
        <w:t xml:space="preserve">of </w:t>
      </w:r>
      <w:r w:rsidR="00CC6EE4">
        <w:rPr>
          <w:rFonts w:ascii="Times New Roman" w:hAnsi="Times New Roman" w:cs="Times New Roman"/>
          <w:sz w:val="24"/>
          <w:szCs w:val="24"/>
        </w:rPr>
        <w:t>2003-2010</w:t>
      </w:r>
      <w:r w:rsidR="007C13E4">
        <w:rPr>
          <w:rFonts w:ascii="Times New Roman" w:hAnsi="Times New Roman" w:cs="Times New Roman"/>
          <w:sz w:val="24"/>
          <w:szCs w:val="24"/>
        </w:rPr>
        <w:t xml:space="preserve"> </w:t>
      </w:r>
      <w:r w:rsidR="00426A2D" w:rsidRPr="00BB47B6">
        <w:rPr>
          <w:rFonts w:ascii="Times New Roman" w:hAnsi="Times New Roman" w:cs="Times New Roman"/>
          <w:sz w:val="24"/>
          <w:szCs w:val="24"/>
        </w:rPr>
        <w:t>come from MINAP</w:t>
      </w:r>
      <w:r w:rsidR="00C502B7" w:rsidRPr="00BB47B6">
        <w:rPr>
          <w:rFonts w:ascii="Times New Roman" w:hAnsi="Times New Roman" w:cs="Times New Roman"/>
          <w:sz w:val="24"/>
          <w:szCs w:val="24"/>
        </w:rPr>
        <w:t xml:space="preserve">. This is a register of hospital admissions for acute coronary syndromes </w:t>
      </w:r>
      <w:r w:rsidR="00A0340D">
        <w:rPr>
          <w:rFonts w:ascii="Times New Roman" w:hAnsi="Times New Roman" w:cs="Times New Roman"/>
          <w:sz w:val="24"/>
          <w:szCs w:val="24"/>
        </w:rPr>
        <w:t xml:space="preserve">(ACS) </w:t>
      </w:r>
      <w:r w:rsidR="00C502B7" w:rsidRPr="00BB47B6">
        <w:rPr>
          <w:rFonts w:ascii="Times New Roman" w:hAnsi="Times New Roman" w:cs="Times New Roman"/>
          <w:sz w:val="24"/>
          <w:szCs w:val="24"/>
        </w:rPr>
        <w:t xml:space="preserve">covering all acute National Health Service </w:t>
      </w:r>
      <w:r w:rsidR="007C13E4">
        <w:rPr>
          <w:rFonts w:ascii="Times New Roman" w:hAnsi="Times New Roman" w:cs="Times New Roman"/>
          <w:sz w:val="24"/>
          <w:szCs w:val="24"/>
        </w:rPr>
        <w:t>(NHS) h</w:t>
      </w:r>
      <w:r w:rsidR="00C502B7" w:rsidRPr="00BB47B6">
        <w:rPr>
          <w:rFonts w:ascii="Times New Roman" w:hAnsi="Times New Roman" w:cs="Times New Roman"/>
          <w:sz w:val="24"/>
          <w:szCs w:val="24"/>
        </w:rPr>
        <w:t>ospitals in England and Wales</w:t>
      </w:r>
      <w:r w:rsidR="008753A5" w:rsidRPr="00BB47B6">
        <w:rPr>
          <w:rFonts w:ascii="Times New Roman" w:hAnsi="Times New Roman" w:cs="Times New Roman"/>
          <w:sz w:val="24"/>
          <w:szCs w:val="24"/>
        </w:rPr>
        <w:t>. In addition to discharge diagnosis</w:t>
      </w:r>
      <w:r w:rsidR="005E0749" w:rsidRPr="00BB47B6">
        <w:rPr>
          <w:rFonts w:ascii="Times New Roman" w:hAnsi="Times New Roman" w:cs="Times New Roman"/>
          <w:sz w:val="24"/>
          <w:szCs w:val="24"/>
        </w:rPr>
        <w:t>,</w:t>
      </w:r>
      <w:r w:rsidR="008753A5" w:rsidRPr="00BB47B6">
        <w:rPr>
          <w:rFonts w:ascii="Times New Roman" w:hAnsi="Times New Roman" w:cs="Times New Roman"/>
          <w:sz w:val="24"/>
          <w:szCs w:val="24"/>
        </w:rPr>
        <w:t xml:space="preserve"> the </w:t>
      </w:r>
      <w:r w:rsidR="008753A5" w:rsidRPr="00BB47B6">
        <w:rPr>
          <w:rFonts w:ascii="Times New Roman" w:hAnsi="Times New Roman" w:cs="Times New Roman"/>
          <w:sz w:val="24"/>
          <w:szCs w:val="24"/>
        </w:rPr>
        <w:lastRenderedPageBreak/>
        <w:t xml:space="preserve">register contains </w:t>
      </w:r>
      <w:r w:rsidR="00B3041F" w:rsidRPr="00BB47B6">
        <w:rPr>
          <w:rFonts w:ascii="Times New Roman" w:hAnsi="Times New Roman" w:cs="Times New Roman"/>
          <w:sz w:val="24"/>
          <w:szCs w:val="24"/>
        </w:rPr>
        <w:t>over 100 separate fields of</w:t>
      </w:r>
      <w:r w:rsidR="005D16F4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8753A5" w:rsidRPr="00BB47B6">
        <w:rPr>
          <w:rFonts w:ascii="Times New Roman" w:hAnsi="Times New Roman" w:cs="Times New Roman"/>
          <w:sz w:val="24"/>
          <w:szCs w:val="24"/>
        </w:rPr>
        <w:t xml:space="preserve">patient-level data including </w:t>
      </w:r>
      <w:r w:rsidR="00F43D53" w:rsidRPr="00BB47B6">
        <w:rPr>
          <w:rFonts w:ascii="Times New Roman" w:hAnsi="Times New Roman" w:cs="Times New Roman"/>
          <w:sz w:val="24"/>
          <w:szCs w:val="24"/>
        </w:rPr>
        <w:t>demographic information</w:t>
      </w:r>
      <w:r w:rsidR="00EF6A21" w:rsidRPr="00BB47B6">
        <w:rPr>
          <w:rFonts w:ascii="Times New Roman" w:hAnsi="Times New Roman" w:cs="Times New Roman"/>
          <w:sz w:val="24"/>
          <w:szCs w:val="24"/>
        </w:rPr>
        <w:t xml:space="preserve"> (e.g. sex, </w:t>
      </w:r>
      <w:r w:rsidR="005D16F4" w:rsidRPr="00BB47B6">
        <w:rPr>
          <w:rFonts w:ascii="Times New Roman" w:hAnsi="Times New Roman" w:cs="Times New Roman"/>
          <w:sz w:val="24"/>
          <w:szCs w:val="24"/>
        </w:rPr>
        <w:t>age</w:t>
      </w:r>
      <w:r w:rsidR="00EF6A21" w:rsidRPr="00BB47B6">
        <w:rPr>
          <w:rFonts w:ascii="Times New Roman" w:hAnsi="Times New Roman" w:cs="Times New Roman"/>
          <w:sz w:val="24"/>
          <w:szCs w:val="24"/>
        </w:rPr>
        <w:t>, smoking status, ethnicity</w:t>
      </w:r>
      <w:r w:rsidR="005D16F4" w:rsidRPr="00BB47B6">
        <w:rPr>
          <w:rFonts w:ascii="Times New Roman" w:hAnsi="Times New Roman" w:cs="Times New Roman"/>
          <w:sz w:val="24"/>
          <w:szCs w:val="24"/>
        </w:rPr>
        <w:t>), medical history</w:t>
      </w:r>
      <w:r w:rsidR="00B3041F" w:rsidRPr="00BB47B6">
        <w:rPr>
          <w:rFonts w:ascii="Times New Roman" w:hAnsi="Times New Roman" w:cs="Times New Roman"/>
          <w:sz w:val="24"/>
          <w:szCs w:val="24"/>
        </w:rPr>
        <w:t xml:space="preserve"> (e.g. history of MI, cerebrovascular disease, peripheral vascular disease, COPD</w:t>
      </w:r>
      <w:r w:rsidR="00EF6A21" w:rsidRPr="00BB47B6">
        <w:rPr>
          <w:rFonts w:ascii="Times New Roman" w:hAnsi="Times New Roman" w:cs="Times New Roman"/>
          <w:sz w:val="24"/>
          <w:szCs w:val="24"/>
        </w:rPr>
        <w:t>)</w:t>
      </w:r>
      <w:r w:rsidR="005D16F4" w:rsidRPr="00BB47B6">
        <w:rPr>
          <w:rFonts w:ascii="Times New Roman" w:hAnsi="Times New Roman" w:cs="Times New Roman"/>
          <w:sz w:val="24"/>
          <w:szCs w:val="24"/>
        </w:rPr>
        <w:t>, drug treatment</w:t>
      </w:r>
      <w:r w:rsidR="00B3041F" w:rsidRPr="00BB47B6">
        <w:rPr>
          <w:rFonts w:ascii="Times New Roman" w:hAnsi="Times New Roman" w:cs="Times New Roman"/>
          <w:sz w:val="24"/>
          <w:szCs w:val="24"/>
        </w:rPr>
        <w:t xml:space="preserve"> prior to and during the admission</w:t>
      </w:r>
      <w:r w:rsidR="00EF6A21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5D16F4" w:rsidRPr="00BB47B6">
        <w:rPr>
          <w:rFonts w:ascii="Times New Roman" w:hAnsi="Times New Roman" w:cs="Times New Roman"/>
          <w:sz w:val="24"/>
          <w:szCs w:val="24"/>
        </w:rPr>
        <w:t>and clinical findings</w:t>
      </w:r>
      <w:r w:rsidR="00AC1F5F">
        <w:rPr>
          <w:rFonts w:ascii="Times New Roman" w:hAnsi="Times New Roman" w:cs="Times New Roman"/>
          <w:sz w:val="24"/>
          <w:szCs w:val="24"/>
        </w:rPr>
        <w:t xml:space="preserve"> (e.g. ECG results, symptoms).</w:t>
      </w:r>
      <w:r w:rsidR="00EF6A21" w:rsidRPr="00BB47B6">
        <w:rPr>
          <w:rFonts w:ascii="Times New Roman" w:hAnsi="Times New Roman" w:cs="Times New Roman"/>
          <w:sz w:val="24"/>
          <w:szCs w:val="24"/>
        </w:rPr>
        <w:t>[</w:t>
      </w:r>
      <w:r w:rsidR="00DD0145" w:rsidRPr="00BB47B6">
        <w:rPr>
          <w:rFonts w:ascii="Times New Roman" w:hAnsi="Times New Roman" w:cs="Times New Roman"/>
          <w:sz w:val="24"/>
          <w:szCs w:val="24"/>
        </w:rPr>
        <w:t>1</w:t>
      </w:r>
      <w:r w:rsidR="007109A3">
        <w:rPr>
          <w:rFonts w:ascii="Times New Roman" w:hAnsi="Times New Roman" w:cs="Times New Roman"/>
          <w:sz w:val="24"/>
          <w:szCs w:val="24"/>
        </w:rPr>
        <w:t>4</w:t>
      </w:r>
      <w:r w:rsidR="00EF6A21" w:rsidRPr="00BB47B6">
        <w:rPr>
          <w:rFonts w:ascii="Times New Roman" w:hAnsi="Times New Roman" w:cs="Times New Roman"/>
          <w:sz w:val="24"/>
          <w:szCs w:val="24"/>
        </w:rPr>
        <w:t>]</w:t>
      </w:r>
      <w:r w:rsidR="006C1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E0E" w:rsidRDefault="007C71BC" w:rsidP="00171EBF">
      <w:pPr>
        <w:spacing w:beforeLines="120" w:before="288" w:afterLines="120" w:after="288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purpose of this study, we excluded patients with missing geocodes, insufficient information on date of event</w:t>
      </w:r>
      <w:r w:rsidR="000A4D5F">
        <w:rPr>
          <w:rFonts w:ascii="Times New Roman" w:hAnsi="Times New Roman" w:cs="Times New Roman"/>
          <w:sz w:val="24"/>
          <w:szCs w:val="24"/>
        </w:rPr>
        <w:t>, missing information on discharge diagnosis</w:t>
      </w:r>
      <w:r>
        <w:rPr>
          <w:rFonts w:ascii="Times New Roman" w:hAnsi="Times New Roman" w:cs="Times New Roman"/>
          <w:sz w:val="24"/>
          <w:szCs w:val="24"/>
        </w:rPr>
        <w:t xml:space="preserve"> or linked to areas outside England and Wales. This left 6</w:t>
      </w:r>
      <w:r w:rsidR="000A4D5F">
        <w:rPr>
          <w:rFonts w:ascii="Times New Roman" w:hAnsi="Times New Roman" w:cs="Times New Roman"/>
          <w:sz w:val="24"/>
          <w:szCs w:val="24"/>
        </w:rPr>
        <w:t>30,116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C8D">
        <w:rPr>
          <w:rFonts w:ascii="Times New Roman" w:hAnsi="Times New Roman" w:cs="Times New Roman"/>
          <w:sz w:val="24"/>
          <w:szCs w:val="24"/>
        </w:rPr>
        <w:t xml:space="preserve">events </w:t>
      </w:r>
      <w:r w:rsidR="00015E0E">
        <w:rPr>
          <w:rFonts w:ascii="Times New Roman" w:hAnsi="Times New Roman" w:cs="Times New Roman"/>
          <w:sz w:val="24"/>
          <w:szCs w:val="24"/>
        </w:rPr>
        <w:t>occurring during 2003-2010 and recorded on the MINAP databa</w:t>
      </w:r>
      <w:r w:rsidR="003B239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, of which </w:t>
      </w:r>
      <w:r w:rsidR="002B0F94">
        <w:rPr>
          <w:rFonts w:ascii="Times New Roman" w:hAnsi="Times New Roman" w:cs="Times New Roman"/>
          <w:sz w:val="24"/>
          <w:szCs w:val="24"/>
        </w:rPr>
        <w:t>203,804</w:t>
      </w:r>
      <w:r>
        <w:rPr>
          <w:rFonts w:ascii="Times New Roman" w:hAnsi="Times New Roman" w:cs="Times New Roman"/>
          <w:sz w:val="24"/>
          <w:szCs w:val="24"/>
        </w:rPr>
        <w:t xml:space="preserve"> had </w:t>
      </w:r>
      <w:r w:rsidR="00B26E93">
        <w:rPr>
          <w:rFonts w:ascii="Times New Roman" w:hAnsi="Times New Roman" w:cs="Times New Roman"/>
          <w:sz w:val="24"/>
          <w:szCs w:val="24"/>
        </w:rPr>
        <w:t>a discharge diagnosis of ST-elevation myocardial inf</w:t>
      </w:r>
      <w:r>
        <w:rPr>
          <w:rFonts w:ascii="Times New Roman" w:hAnsi="Times New Roman" w:cs="Times New Roman"/>
          <w:sz w:val="24"/>
          <w:szCs w:val="24"/>
        </w:rPr>
        <w:t>a</w:t>
      </w:r>
      <w:r w:rsidR="002576C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ction (STEMI) and </w:t>
      </w:r>
      <w:r w:rsidR="002B0F94">
        <w:rPr>
          <w:rFonts w:ascii="Times New Roman" w:hAnsi="Times New Roman" w:cs="Times New Roman"/>
          <w:sz w:val="24"/>
          <w:szCs w:val="24"/>
        </w:rPr>
        <w:t>323,999</w:t>
      </w:r>
      <w:r>
        <w:rPr>
          <w:rFonts w:ascii="Times New Roman" w:hAnsi="Times New Roman" w:cs="Times New Roman"/>
          <w:sz w:val="24"/>
          <w:szCs w:val="24"/>
        </w:rPr>
        <w:t xml:space="preserve"> had</w:t>
      </w:r>
      <w:r w:rsidR="00B26E93">
        <w:rPr>
          <w:rFonts w:ascii="Times New Roman" w:hAnsi="Times New Roman" w:cs="Times New Roman"/>
          <w:sz w:val="24"/>
          <w:szCs w:val="24"/>
        </w:rPr>
        <w:t xml:space="preserve"> a discharge diagnosis of non-ST-elevation myocardial infa</w:t>
      </w:r>
      <w:r w:rsidR="002576C7">
        <w:rPr>
          <w:rFonts w:ascii="Times New Roman" w:hAnsi="Times New Roman" w:cs="Times New Roman"/>
          <w:sz w:val="24"/>
          <w:szCs w:val="24"/>
        </w:rPr>
        <w:t>r</w:t>
      </w:r>
      <w:r w:rsidR="00B26E93">
        <w:rPr>
          <w:rFonts w:ascii="Times New Roman" w:hAnsi="Times New Roman" w:cs="Times New Roman"/>
          <w:sz w:val="24"/>
          <w:szCs w:val="24"/>
        </w:rPr>
        <w:t>ction or troponin positive acute coronary syndrome (NSTEMI).</w:t>
      </w:r>
      <w:r w:rsidR="003E72C8">
        <w:rPr>
          <w:rFonts w:ascii="Times New Roman" w:hAnsi="Times New Roman" w:cs="Times New Roman"/>
          <w:sz w:val="24"/>
          <w:szCs w:val="24"/>
        </w:rPr>
        <w:t xml:space="preserve"> New left bundle branch block (LBBB) </w:t>
      </w:r>
      <w:r w:rsidR="00466B6D">
        <w:rPr>
          <w:rFonts w:ascii="Times New Roman" w:hAnsi="Times New Roman" w:cs="Times New Roman"/>
          <w:sz w:val="24"/>
          <w:szCs w:val="24"/>
        </w:rPr>
        <w:t>was treated as synonymous with ST-elevation</w:t>
      </w:r>
      <w:r w:rsidR="003E72C8">
        <w:rPr>
          <w:rFonts w:ascii="Times New Roman" w:hAnsi="Times New Roman" w:cs="Times New Roman"/>
          <w:sz w:val="24"/>
          <w:szCs w:val="24"/>
        </w:rPr>
        <w:t xml:space="preserve"> in the diagnosis of STEMI</w:t>
      </w:r>
      <w:r w:rsidR="00466B6D">
        <w:rPr>
          <w:rFonts w:ascii="Times New Roman" w:hAnsi="Times New Roman" w:cs="Times New Roman"/>
          <w:sz w:val="24"/>
          <w:szCs w:val="24"/>
        </w:rPr>
        <w:t>.</w:t>
      </w:r>
      <w:r w:rsidR="00175127">
        <w:rPr>
          <w:rFonts w:ascii="Times New Roman" w:hAnsi="Times New Roman" w:cs="Times New Roman"/>
          <w:sz w:val="24"/>
          <w:szCs w:val="24"/>
        </w:rPr>
        <w:t>[18</w:t>
      </w:r>
      <w:r w:rsidR="00466B6D">
        <w:rPr>
          <w:rFonts w:ascii="Times New Roman" w:hAnsi="Times New Roman" w:cs="Times New Roman"/>
          <w:sz w:val="24"/>
          <w:szCs w:val="24"/>
        </w:rPr>
        <w:t>]</w:t>
      </w:r>
      <w:r w:rsidR="00417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F02" w:rsidRPr="00676770" w:rsidRDefault="00035B1E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</w:t>
      </w:r>
      <w:r w:rsidR="00E57C00" w:rsidRPr="00676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679" w:rsidRPr="00676770">
        <w:rPr>
          <w:rFonts w:ascii="Times New Roman" w:hAnsi="Times New Roman" w:cs="Times New Roman"/>
          <w:b/>
          <w:sz w:val="24"/>
          <w:szCs w:val="24"/>
        </w:rPr>
        <w:t>p</w:t>
      </w:r>
      <w:r w:rsidR="00425F02" w:rsidRPr="00676770">
        <w:rPr>
          <w:rFonts w:ascii="Times New Roman" w:hAnsi="Times New Roman" w:cs="Times New Roman"/>
          <w:b/>
          <w:sz w:val="24"/>
          <w:szCs w:val="24"/>
        </w:rPr>
        <w:t xml:space="preserve">ollution </w:t>
      </w:r>
      <w:r>
        <w:rPr>
          <w:rFonts w:ascii="Times New Roman" w:hAnsi="Times New Roman" w:cs="Times New Roman"/>
          <w:b/>
          <w:sz w:val="24"/>
          <w:szCs w:val="24"/>
        </w:rPr>
        <w:t xml:space="preserve">and weather </w:t>
      </w:r>
      <w:r w:rsidR="00425F02" w:rsidRPr="00676770">
        <w:rPr>
          <w:rFonts w:ascii="Times New Roman" w:hAnsi="Times New Roman" w:cs="Times New Roman"/>
          <w:b/>
          <w:sz w:val="24"/>
          <w:szCs w:val="24"/>
        </w:rPr>
        <w:t>data</w:t>
      </w:r>
    </w:p>
    <w:p w:rsidR="00C84CBE" w:rsidRDefault="00E57C00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425F02" w:rsidRPr="00BB47B6">
        <w:rPr>
          <w:rFonts w:ascii="Times New Roman" w:hAnsi="Times New Roman" w:cs="Times New Roman"/>
          <w:sz w:val="24"/>
          <w:szCs w:val="24"/>
        </w:rPr>
        <w:t xml:space="preserve"> pollution data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425F02" w:rsidRPr="00BB4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surface</w:t>
      </w:r>
      <w:r w:rsidR="00B67C8C">
        <w:rPr>
          <w:rFonts w:ascii="Times New Roman" w:hAnsi="Times New Roman" w:cs="Times New Roman"/>
          <w:sz w:val="24"/>
          <w:szCs w:val="24"/>
        </w:rPr>
        <w:t xml:space="preserve"> </w:t>
      </w:r>
      <w:r w:rsidR="00425F02" w:rsidRPr="00BB47B6">
        <w:rPr>
          <w:rFonts w:ascii="Times New Roman" w:hAnsi="Times New Roman" w:cs="Times New Roman"/>
          <w:sz w:val="24"/>
          <w:szCs w:val="24"/>
        </w:rPr>
        <w:t xml:space="preserve">daily outputs </w:t>
      </w:r>
      <w:r w:rsidR="007C13E4">
        <w:rPr>
          <w:rFonts w:ascii="Times New Roman" w:hAnsi="Times New Roman" w:cs="Times New Roman"/>
          <w:sz w:val="24"/>
          <w:szCs w:val="24"/>
        </w:rPr>
        <w:t xml:space="preserve">(derived from hourly outputs) </w:t>
      </w:r>
      <w:r w:rsidR="00414D65" w:rsidRPr="00BB47B6">
        <w:rPr>
          <w:rFonts w:ascii="Times New Roman" w:hAnsi="Times New Roman" w:cs="Times New Roman"/>
          <w:sz w:val="24"/>
          <w:szCs w:val="24"/>
        </w:rPr>
        <w:t xml:space="preserve">at </w:t>
      </w:r>
      <w:r w:rsidR="00035B1E">
        <w:rPr>
          <w:rFonts w:ascii="Times New Roman" w:hAnsi="Times New Roman" w:cs="Times New Roman"/>
          <w:sz w:val="24"/>
          <w:szCs w:val="24"/>
        </w:rPr>
        <w:t>5 km x 5 km</w:t>
      </w:r>
      <w:r w:rsidR="00414D65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B67C8C">
        <w:rPr>
          <w:rFonts w:ascii="Times New Roman" w:hAnsi="Times New Roman" w:cs="Times New Roman"/>
          <w:sz w:val="24"/>
          <w:szCs w:val="24"/>
        </w:rPr>
        <w:t xml:space="preserve">spatial </w:t>
      </w:r>
      <w:r w:rsidR="00414D65" w:rsidRPr="00BB47B6">
        <w:rPr>
          <w:rFonts w:ascii="Times New Roman" w:hAnsi="Times New Roman" w:cs="Times New Roman"/>
          <w:sz w:val="24"/>
          <w:szCs w:val="24"/>
        </w:rPr>
        <w:t xml:space="preserve">resolution </w:t>
      </w:r>
      <w:r w:rsidR="00425F02" w:rsidRPr="00BB47B6">
        <w:rPr>
          <w:rFonts w:ascii="Times New Roman" w:hAnsi="Times New Roman" w:cs="Times New Roman"/>
          <w:sz w:val="24"/>
          <w:szCs w:val="24"/>
        </w:rPr>
        <w:t>from</w:t>
      </w:r>
      <w:r w:rsidR="00035B1E">
        <w:rPr>
          <w:rFonts w:ascii="Times New Roman" w:hAnsi="Times New Roman" w:cs="Times New Roman"/>
          <w:sz w:val="24"/>
          <w:szCs w:val="24"/>
        </w:rPr>
        <w:t xml:space="preserve"> an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B240A" w:rsidRPr="00BB47B6">
        <w:rPr>
          <w:rFonts w:ascii="Times New Roman" w:hAnsi="Times New Roman" w:cs="Times New Roman"/>
          <w:sz w:val="24"/>
          <w:szCs w:val="24"/>
        </w:rPr>
        <w:t>CTM</w:t>
      </w:r>
      <w:r w:rsidR="00035B1E">
        <w:rPr>
          <w:rFonts w:ascii="Times New Roman" w:hAnsi="Times New Roman" w:cs="Times New Roman"/>
          <w:sz w:val="24"/>
          <w:szCs w:val="24"/>
        </w:rPr>
        <w:t>:</w:t>
      </w:r>
      <w:r w:rsidR="006B240A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414D65" w:rsidRPr="00BB47B6">
        <w:rPr>
          <w:rFonts w:ascii="Times New Roman" w:hAnsi="Times New Roman" w:cs="Times New Roman"/>
          <w:sz w:val="24"/>
          <w:szCs w:val="24"/>
        </w:rPr>
        <w:t xml:space="preserve">EMEP4UK </w:t>
      </w:r>
      <w:r w:rsidR="00425F02" w:rsidRPr="00BB47B6">
        <w:rPr>
          <w:rFonts w:ascii="Times New Roman" w:hAnsi="Times New Roman" w:cs="Times New Roman"/>
          <w:sz w:val="24"/>
          <w:szCs w:val="24"/>
        </w:rPr>
        <w:t xml:space="preserve">version </w:t>
      </w:r>
      <w:r>
        <w:rPr>
          <w:rFonts w:ascii="Times New Roman" w:hAnsi="Times New Roman" w:cs="Times New Roman"/>
          <w:sz w:val="24"/>
          <w:szCs w:val="24"/>
        </w:rPr>
        <w:t>rv</w:t>
      </w:r>
      <w:r w:rsidR="00425F02" w:rsidRPr="00BB47B6">
        <w:rPr>
          <w:rFonts w:ascii="Times New Roman" w:hAnsi="Times New Roman" w:cs="Times New Roman"/>
          <w:sz w:val="24"/>
          <w:szCs w:val="24"/>
        </w:rPr>
        <w:t>4.3.</w:t>
      </w:r>
      <w:r w:rsidR="00F34A2C">
        <w:rPr>
          <w:rFonts w:ascii="Times New Roman" w:hAnsi="Times New Roman" w:cs="Times New Roman"/>
          <w:sz w:val="24"/>
          <w:szCs w:val="24"/>
        </w:rPr>
        <w:t>[1</w:t>
      </w:r>
      <w:r w:rsidR="007109A3">
        <w:rPr>
          <w:rFonts w:ascii="Times New Roman" w:hAnsi="Times New Roman" w:cs="Times New Roman"/>
          <w:sz w:val="24"/>
          <w:szCs w:val="24"/>
        </w:rPr>
        <w:t>5</w:t>
      </w:r>
      <w:r w:rsidR="00311525">
        <w:rPr>
          <w:rFonts w:ascii="Times New Roman" w:hAnsi="Times New Roman" w:cs="Times New Roman"/>
          <w:sz w:val="24"/>
          <w:szCs w:val="24"/>
        </w:rPr>
        <w:t>-</w:t>
      </w:r>
      <w:r w:rsidR="00F34A2C">
        <w:rPr>
          <w:rFonts w:ascii="Times New Roman" w:hAnsi="Times New Roman" w:cs="Times New Roman"/>
          <w:sz w:val="24"/>
          <w:szCs w:val="24"/>
        </w:rPr>
        <w:t>1</w:t>
      </w:r>
      <w:r w:rsidR="007109A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]</w:t>
      </w:r>
      <w:r w:rsidR="006B240A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C84CBE">
        <w:rPr>
          <w:rFonts w:ascii="Times New Roman" w:hAnsi="Times New Roman" w:cs="Times New Roman"/>
          <w:sz w:val="24"/>
          <w:szCs w:val="24"/>
        </w:rPr>
        <w:t>The high resolution is achieved through a nested approach whereby a 5</w:t>
      </w:r>
      <w:r w:rsidR="00FD0E6F">
        <w:rPr>
          <w:rFonts w:ascii="Times New Roman" w:hAnsi="Times New Roman" w:cs="Times New Roman"/>
          <w:sz w:val="24"/>
          <w:szCs w:val="24"/>
        </w:rPr>
        <w:t xml:space="preserve"> </w:t>
      </w:r>
      <w:r w:rsidR="00C84CBE">
        <w:rPr>
          <w:rFonts w:ascii="Times New Roman" w:hAnsi="Times New Roman" w:cs="Times New Roman"/>
          <w:sz w:val="24"/>
          <w:szCs w:val="24"/>
        </w:rPr>
        <w:t>km x 5</w:t>
      </w:r>
      <w:r w:rsidR="00FD0E6F">
        <w:rPr>
          <w:rFonts w:ascii="Times New Roman" w:hAnsi="Times New Roman" w:cs="Times New Roman"/>
          <w:sz w:val="24"/>
          <w:szCs w:val="24"/>
        </w:rPr>
        <w:t xml:space="preserve"> </w:t>
      </w:r>
      <w:r w:rsidR="00C84CBE">
        <w:rPr>
          <w:rFonts w:ascii="Times New Roman" w:hAnsi="Times New Roman" w:cs="Times New Roman"/>
          <w:sz w:val="24"/>
          <w:szCs w:val="24"/>
        </w:rPr>
        <w:t xml:space="preserve">km (inner) domain over </w:t>
      </w:r>
      <w:r w:rsidR="00FD0E6F">
        <w:rPr>
          <w:rFonts w:ascii="Times New Roman" w:hAnsi="Times New Roman" w:cs="Times New Roman"/>
          <w:sz w:val="24"/>
          <w:szCs w:val="24"/>
        </w:rPr>
        <w:t xml:space="preserve">the </w:t>
      </w:r>
      <w:r w:rsidR="007C13E4">
        <w:rPr>
          <w:rFonts w:ascii="Times New Roman" w:hAnsi="Times New Roman" w:cs="Times New Roman"/>
          <w:sz w:val="24"/>
          <w:szCs w:val="24"/>
        </w:rPr>
        <w:t>British Isles</w:t>
      </w:r>
      <w:r w:rsidR="00FD0E6F">
        <w:rPr>
          <w:rFonts w:ascii="Times New Roman" w:hAnsi="Times New Roman" w:cs="Times New Roman"/>
          <w:sz w:val="24"/>
          <w:szCs w:val="24"/>
        </w:rPr>
        <w:t xml:space="preserve"> is nested within, and tak</w:t>
      </w:r>
      <w:r w:rsidR="00C84CBE">
        <w:rPr>
          <w:rFonts w:ascii="Times New Roman" w:hAnsi="Times New Roman" w:cs="Times New Roman"/>
          <w:sz w:val="24"/>
          <w:szCs w:val="24"/>
        </w:rPr>
        <w:t>es boundary and initial conditions from, a larger 50</w:t>
      </w:r>
      <w:r w:rsidR="00FD0E6F">
        <w:rPr>
          <w:rFonts w:ascii="Times New Roman" w:hAnsi="Times New Roman" w:cs="Times New Roman"/>
          <w:sz w:val="24"/>
          <w:szCs w:val="24"/>
        </w:rPr>
        <w:t xml:space="preserve"> </w:t>
      </w:r>
      <w:r w:rsidR="00C84CBE">
        <w:rPr>
          <w:rFonts w:ascii="Times New Roman" w:hAnsi="Times New Roman" w:cs="Times New Roman"/>
          <w:sz w:val="24"/>
          <w:szCs w:val="24"/>
        </w:rPr>
        <w:t>km x 50</w:t>
      </w:r>
      <w:r w:rsidR="00FD0E6F">
        <w:rPr>
          <w:rFonts w:ascii="Times New Roman" w:hAnsi="Times New Roman" w:cs="Times New Roman"/>
          <w:sz w:val="24"/>
          <w:szCs w:val="24"/>
        </w:rPr>
        <w:t xml:space="preserve"> </w:t>
      </w:r>
      <w:r w:rsidR="00C84CBE">
        <w:rPr>
          <w:rFonts w:ascii="Times New Roman" w:hAnsi="Times New Roman" w:cs="Times New Roman"/>
          <w:sz w:val="24"/>
          <w:szCs w:val="24"/>
        </w:rPr>
        <w:t>km (outer</w:t>
      </w:r>
      <w:r w:rsidR="00FD0E6F">
        <w:rPr>
          <w:rFonts w:ascii="Times New Roman" w:hAnsi="Times New Roman" w:cs="Times New Roman"/>
          <w:sz w:val="24"/>
          <w:szCs w:val="24"/>
        </w:rPr>
        <w:t>)</w:t>
      </w:r>
      <w:r w:rsidR="00C84CBE">
        <w:rPr>
          <w:rFonts w:ascii="Times New Roman" w:hAnsi="Times New Roman" w:cs="Times New Roman"/>
          <w:sz w:val="24"/>
          <w:szCs w:val="24"/>
        </w:rPr>
        <w:t xml:space="preserve"> domain over Europe. The mete</w:t>
      </w:r>
      <w:r w:rsidR="00FD0E6F">
        <w:rPr>
          <w:rFonts w:ascii="Times New Roman" w:hAnsi="Times New Roman" w:cs="Times New Roman"/>
          <w:sz w:val="24"/>
          <w:szCs w:val="24"/>
        </w:rPr>
        <w:t>o</w:t>
      </w:r>
      <w:r w:rsidR="00C84CBE">
        <w:rPr>
          <w:rFonts w:ascii="Times New Roman" w:hAnsi="Times New Roman" w:cs="Times New Roman"/>
          <w:sz w:val="24"/>
          <w:szCs w:val="24"/>
        </w:rPr>
        <w:t xml:space="preserve">rology driving the </w:t>
      </w:r>
      <w:r w:rsidR="007C13E4">
        <w:rPr>
          <w:rFonts w:ascii="Times New Roman" w:hAnsi="Times New Roman" w:cs="Times New Roman"/>
          <w:sz w:val="24"/>
          <w:szCs w:val="24"/>
        </w:rPr>
        <w:t xml:space="preserve">ACTM </w:t>
      </w:r>
      <w:r w:rsidR="00C84CBE">
        <w:rPr>
          <w:rFonts w:ascii="Times New Roman" w:hAnsi="Times New Roman" w:cs="Times New Roman"/>
          <w:sz w:val="24"/>
          <w:szCs w:val="24"/>
        </w:rPr>
        <w:t>comes</w:t>
      </w:r>
      <w:r w:rsidR="001F6B09">
        <w:rPr>
          <w:rFonts w:ascii="Times New Roman" w:hAnsi="Times New Roman" w:cs="Times New Roman"/>
          <w:sz w:val="24"/>
          <w:szCs w:val="24"/>
        </w:rPr>
        <w:t xml:space="preserve"> from the Weather</w:t>
      </w:r>
      <w:r w:rsidR="007C13E4">
        <w:rPr>
          <w:rFonts w:ascii="Times New Roman" w:hAnsi="Times New Roman" w:cs="Times New Roman"/>
          <w:sz w:val="24"/>
          <w:szCs w:val="24"/>
        </w:rPr>
        <w:t xml:space="preserve"> </w:t>
      </w:r>
      <w:r w:rsidR="001F6B09">
        <w:rPr>
          <w:rFonts w:ascii="Times New Roman" w:hAnsi="Times New Roman" w:cs="Times New Roman"/>
          <w:sz w:val="24"/>
          <w:szCs w:val="24"/>
        </w:rPr>
        <w:t xml:space="preserve">Research </w:t>
      </w:r>
      <w:r w:rsidR="007C13E4">
        <w:rPr>
          <w:rFonts w:ascii="Times New Roman" w:hAnsi="Times New Roman" w:cs="Times New Roman"/>
          <w:sz w:val="24"/>
          <w:szCs w:val="24"/>
        </w:rPr>
        <w:t xml:space="preserve">and </w:t>
      </w:r>
      <w:r w:rsidR="001F6B09">
        <w:rPr>
          <w:rFonts w:ascii="Times New Roman" w:hAnsi="Times New Roman" w:cs="Times New Roman"/>
          <w:sz w:val="24"/>
          <w:szCs w:val="24"/>
        </w:rPr>
        <w:t>F</w:t>
      </w:r>
      <w:r w:rsidR="00C84CBE">
        <w:rPr>
          <w:rFonts w:ascii="Times New Roman" w:hAnsi="Times New Roman" w:cs="Times New Roman"/>
          <w:sz w:val="24"/>
          <w:szCs w:val="24"/>
        </w:rPr>
        <w:t xml:space="preserve">orecasting </w:t>
      </w:r>
      <w:r w:rsidR="007C13E4">
        <w:rPr>
          <w:rFonts w:ascii="Times New Roman" w:hAnsi="Times New Roman" w:cs="Times New Roman"/>
          <w:sz w:val="24"/>
          <w:szCs w:val="24"/>
        </w:rPr>
        <w:t xml:space="preserve">(WRF) </w:t>
      </w:r>
      <w:r w:rsidR="00C84CBE">
        <w:rPr>
          <w:rFonts w:ascii="Times New Roman" w:hAnsi="Times New Roman" w:cs="Times New Roman"/>
          <w:sz w:val="24"/>
          <w:szCs w:val="24"/>
        </w:rPr>
        <w:t xml:space="preserve">model version 3.1.1 </w:t>
      </w:r>
      <w:r w:rsidR="00175127">
        <w:rPr>
          <w:rFonts w:ascii="Times New Roman" w:hAnsi="Times New Roman" w:cs="Times New Roman"/>
          <w:sz w:val="24"/>
          <w:szCs w:val="24"/>
        </w:rPr>
        <w:t>[19</w:t>
      </w:r>
      <w:r w:rsidR="007D142F">
        <w:rPr>
          <w:rFonts w:ascii="Times New Roman" w:hAnsi="Times New Roman" w:cs="Times New Roman"/>
          <w:sz w:val="24"/>
          <w:szCs w:val="24"/>
        </w:rPr>
        <w:t>]</w:t>
      </w:r>
      <w:r w:rsidR="00C84CBE">
        <w:rPr>
          <w:rFonts w:ascii="Times New Roman" w:hAnsi="Times New Roman" w:cs="Times New Roman"/>
          <w:sz w:val="24"/>
          <w:szCs w:val="24"/>
        </w:rPr>
        <w:t xml:space="preserve"> which is </w:t>
      </w:r>
      <w:r w:rsidR="000340F4">
        <w:rPr>
          <w:rFonts w:ascii="Times New Roman" w:hAnsi="Times New Roman" w:cs="Times New Roman"/>
          <w:sz w:val="24"/>
          <w:szCs w:val="24"/>
        </w:rPr>
        <w:t>constrained to contemporary meteorological observations, ensuring that the applied mete</w:t>
      </w:r>
      <w:r w:rsidR="00D74900">
        <w:rPr>
          <w:rFonts w:ascii="Times New Roman" w:hAnsi="Times New Roman" w:cs="Times New Roman"/>
          <w:sz w:val="24"/>
          <w:szCs w:val="24"/>
        </w:rPr>
        <w:t>or</w:t>
      </w:r>
      <w:r w:rsidR="000340F4">
        <w:rPr>
          <w:rFonts w:ascii="Times New Roman" w:hAnsi="Times New Roman" w:cs="Times New Roman"/>
          <w:sz w:val="24"/>
          <w:szCs w:val="24"/>
        </w:rPr>
        <w:t xml:space="preserve">ology is representative of the real weather conditions prevailing throughout the simulated period. </w:t>
      </w:r>
      <w:r w:rsidR="00C84CBE">
        <w:rPr>
          <w:rFonts w:ascii="Times New Roman" w:hAnsi="Times New Roman" w:cs="Times New Roman"/>
          <w:sz w:val="24"/>
          <w:szCs w:val="24"/>
        </w:rPr>
        <w:t xml:space="preserve"> P</w:t>
      </w:r>
      <w:r w:rsidR="00FD0E6F">
        <w:rPr>
          <w:rFonts w:ascii="Times New Roman" w:hAnsi="Times New Roman" w:cs="Times New Roman"/>
          <w:sz w:val="24"/>
          <w:szCs w:val="24"/>
        </w:rPr>
        <w:t>ollutant and pollutant-precursor</w:t>
      </w:r>
      <w:r w:rsidR="00C84CBE">
        <w:rPr>
          <w:rFonts w:ascii="Times New Roman" w:hAnsi="Times New Roman" w:cs="Times New Roman"/>
          <w:sz w:val="24"/>
          <w:szCs w:val="24"/>
        </w:rPr>
        <w:t xml:space="preserve"> emissions over t</w:t>
      </w:r>
      <w:r w:rsidR="00FD0E6F">
        <w:rPr>
          <w:rFonts w:ascii="Times New Roman" w:hAnsi="Times New Roman" w:cs="Times New Roman"/>
          <w:sz w:val="24"/>
          <w:szCs w:val="24"/>
        </w:rPr>
        <w:t>he UK were taken from the UK Nat</w:t>
      </w:r>
      <w:r w:rsidR="00C84CBE">
        <w:rPr>
          <w:rFonts w:ascii="Times New Roman" w:hAnsi="Times New Roman" w:cs="Times New Roman"/>
          <w:sz w:val="24"/>
          <w:szCs w:val="24"/>
        </w:rPr>
        <w:t xml:space="preserve">ional Atmospheric Emissions Inventory </w:t>
      </w:r>
      <w:r w:rsidR="00175127">
        <w:rPr>
          <w:rFonts w:ascii="Times New Roman" w:hAnsi="Times New Roman" w:cs="Times New Roman"/>
          <w:sz w:val="24"/>
          <w:szCs w:val="24"/>
        </w:rPr>
        <w:t>[20</w:t>
      </w:r>
      <w:r w:rsidR="007D142F">
        <w:rPr>
          <w:rFonts w:ascii="Times New Roman" w:hAnsi="Times New Roman" w:cs="Times New Roman"/>
          <w:sz w:val="24"/>
          <w:szCs w:val="24"/>
        </w:rPr>
        <w:t>]</w:t>
      </w:r>
      <w:r w:rsidR="003429B7">
        <w:rPr>
          <w:rFonts w:ascii="Times New Roman" w:hAnsi="Times New Roman" w:cs="Times New Roman"/>
          <w:sz w:val="24"/>
          <w:szCs w:val="24"/>
        </w:rPr>
        <w:t xml:space="preserve"> </w:t>
      </w:r>
      <w:r w:rsidR="007C13E4">
        <w:rPr>
          <w:rFonts w:ascii="Times New Roman" w:hAnsi="Times New Roman" w:cs="Times New Roman"/>
          <w:sz w:val="24"/>
          <w:szCs w:val="24"/>
        </w:rPr>
        <w:t xml:space="preserve">and for the outer domain from EMEP estimates provided by the Centre for Emission Inventories and </w:t>
      </w:r>
      <w:r w:rsidR="00B619ED">
        <w:rPr>
          <w:rFonts w:ascii="Times New Roman" w:hAnsi="Times New Roman" w:cs="Times New Roman"/>
          <w:sz w:val="24"/>
          <w:szCs w:val="24"/>
        </w:rPr>
        <w:t>Projections</w:t>
      </w:r>
      <w:r w:rsidR="00022461">
        <w:rPr>
          <w:rFonts w:ascii="Times New Roman" w:hAnsi="Times New Roman" w:cs="Times New Roman"/>
          <w:sz w:val="24"/>
          <w:szCs w:val="24"/>
        </w:rPr>
        <w:t>.</w:t>
      </w:r>
      <w:r w:rsidR="00175127">
        <w:rPr>
          <w:rFonts w:ascii="Times New Roman" w:hAnsi="Times New Roman" w:cs="Times New Roman"/>
          <w:sz w:val="24"/>
          <w:szCs w:val="24"/>
        </w:rPr>
        <w:t>[21</w:t>
      </w:r>
      <w:r w:rsidR="007D142F">
        <w:rPr>
          <w:rFonts w:ascii="Times New Roman" w:hAnsi="Times New Roman" w:cs="Times New Roman"/>
          <w:sz w:val="24"/>
          <w:szCs w:val="24"/>
        </w:rPr>
        <w:t>]</w:t>
      </w:r>
    </w:p>
    <w:p w:rsidR="00317F8B" w:rsidRPr="00BB47B6" w:rsidRDefault="009C3950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pollutant metrics </w:t>
      </w:r>
      <w:r w:rsidR="00F074C1">
        <w:rPr>
          <w:rFonts w:ascii="Times New Roman" w:hAnsi="Times New Roman" w:cs="Times New Roman"/>
          <w:sz w:val="24"/>
          <w:szCs w:val="24"/>
        </w:rPr>
        <w:t>investigated</w:t>
      </w:r>
      <w:r>
        <w:rPr>
          <w:rFonts w:ascii="Times New Roman" w:hAnsi="Times New Roman" w:cs="Times New Roman"/>
          <w:sz w:val="24"/>
          <w:szCs w:val="24"/>
        </w:rPr>
        <w:t xml:space="preserve"> in this study were daily means </w:t>
      </w:r>
      <w:r w:rsidR="00F074C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5645A3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>
        <w:rPr>
          <w:rFonts w:ascii="Times New Roman" w:hAnsi="Times New Roman" w:cs="Times New Roman"/>
          <w:sz w:val="24"/>
          <w:szCs w:val="24"/>
        </w:rPr>
        <w:t>, PM</w:t>
      </w:r>
      <w:r w:rsidRPr="005645A3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483E24">
        <w:rPr>
          <w:rFonts w:ascii="Times New Roman" w:hAnsi="Times New Roman" w:cs="Times New Roman"/>
          <w:sz w:val="24"/>
          <w:szCs w:val="24"/>
        </w:rPr>
        <w:t>, su</w:t>
      </w:r>
      <w:r w:rsidR="00FD0E6F">
        <w:rPr>
          <w:rFonts w:ascii="Times New Roman" w:hAnsi="Times New Roman" w:cs="Times New Roman"/>
          <w:sz w:val="24"/>
          <w:szCs w:val="24"/>
        </w:rPr>
        <w:t>l</w:t>
      </w:r>
      <w:r w:rsidR="00483E24">
        <w:rPr>
          <w:rFonts w:ascii="Times New Roman" w:hAnsi="Times New Roman" w:cs="Times New Roman"/>
          <w:sz w:val="24"/>
          <w:szCs w:val="24"/>
        </w:rPr>
        <w:t>phate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F37">
        <w:rPr>
          <w:rFonts w:ascii="Times New Roman" w:hAnsi="Times New Roman" w:cs="Times New Roman"/>
          <w:sz w:val="24"/>
          <w:szCs w:val="24"/>
        </w:rPr>
        <w:t>(SO</w:t>
      </w:r>
      <w:r w:rsidR="000A3F37" w:rsidRPr="00326C7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A3F37" w:rsidRPr="00326C7F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0A3F3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and elemental carbon</w:t>
      </w:r>
      <w:r w:rsidR="000A3F37">
        <w:rPr>
          <w:rFonts w:ascii="Times New Roman" w:hAnsi="Times New Roman" w:cs="Times New Roman"/>
          <w:sz w:val="24"/>
          <w:szCs w:val="24"/>
        </w:rPr>
        <w:t xml:space="preserve"> (EC)</w:t>
      </w:r>
      <w:r w:rsidR="00F074C1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daily maximum 8-</w:t>
      </w:r>
      <w:r w:rsidR="009979F7">
        <w:rPr>
          <w:rFonts w:ascii="Times New Roman" w:hAnsi="Times New Roman" w:cs="Times New Roman"/>
          <w:sz w:val="24"/>
          <w:szCs w:val="24"/>
        </w:rPr>
        <w:t>hour-</w:t>
      </w:r>
      <w:r>
        <w:rPr>
          <w:rFonts w:ascii="Times New Roman" w:hAnsi="Times New Roman" w:cs="Times New Roman"/>
          <w:sz w:val="24"/>
          <w:szCs w:val="24"/>
        </w:rPr>
        <w:t>running mean for O</w:t>
      </w:r>
      <w:r w:rsidRPr="005645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979F7">
        <w:rPr>
          <w:rFonts w:ascii="Times New Roman" w:hAnsi="Times New Roman" w:cs="Times New Roman"/>
          <w:sz w:val="24"/>
          <w:szCs w:val="24"/>
        </w:rPr>
        <w:t xml:space="preserve">daily maximum </w:t>
      </w:r>
      <w:r>
        <w:rPr>
          <w:rFonts w:ascii="Times New Roman" w:hAnsi="Times New Roman" w:cs="Times New Roman"/>
          <w:sz w:val="24"/>
          <w:szCs w:val="24"/>
        </w:rPr>
        <w:t>1-hour</w:t>
      </w:r>
      <w:r w:rsidR="009979F7">
        <w:rPr>
          <w:rFonts w:ascii="Times New Roman" w:hAnsi="Times New Roman" w:cs="Times New Roman"/>
          <w:sz w:val="24"/>
          <w:szCs w:val="24"/>
        </w:rPr>
        <w:t xml:space="preserve"> mean for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5645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4769">
        <w:rPr>
          <w:rFonts w:ascii="Times New Roman" w:hAnsi="Times New Roman" w:cs="Times New Roman"/>
          <w:sz w:val="24"/>
          <w:szCs w:val="24"/>
        </w:rPr>
        <w:t xml:space="preserve"> The weather metric was daily mean temperature (see below).</w:t>
      </w:r>
    </w:p>
    <w:p w:rsidR="00C02A8D" w:rsidRPr="00676770" w:rsidRDefault="00C02A8D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6770">
        <w:rPr>
          <w:rFonts w:ascii="Times New Roman" w:hAnsi="Times New Roman" w:cs="Times New Roman"/>
          <w:b/>
          <w:sz w:val="24"/>
          <w:szCs w:val="24"/>
        </w:rPr>
        <w:t>Monitor pollution data</w:t>
      </w:r>
    </w:p>
    <w:p w:rsidR="00931F01" w:rsidRDefault="00DE32F6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 data were </w:t>
      </w:r>
      <w:r w:rsidR="001C4769">
        <w:rPr>
          <w:rFonts w:ascii="Times New Roman" w:hAnsi="Times New Roman" w:cs="Times New Roman"/>
          <w:sz w:val="24"/>
          <w:szCs w:val="24"/>
        </w:rPr>
        <w:t xml:space="preserve">used </w:t>
      </w:r>
      <w:r>
        <w:rPr>
          <w:rFonts w:ascii="Times New Roman" w:hAnsi="Times New Roman" w:cs="Times New Roman"/>
          <w:sz w:val="24"/>
          <w:szCs w:val="24"/>
        </w:rPr>
        <w:t>only in the assessment of model performance (see</w:t>
      </w:r>
      <w:r w:rsidR="00311525">
        <w:rPr>
          <w:rFonts w:ascii="Times New Roman" w:hAnsi="Times New Roman" w:cs="Times New Roman"/>
          <w:sz w:val="24"/>
          <w:szCs w:val="24"/>
        </w:rPr>
        <w:t xml:space="preserve"> </w:t>
      </w:r>
      <w:r w:rsidR="00226E70">
        <w:rPr>
          <w:rFonts w:ascii="Times New Roman" w:hAnsi="Times New Roman" w:cs="Times New Roman"/>
          <w:sz w:val="24"/>
          <w:szCs w:val="24"/>
        </w:rPr>
        <w:t xml:space="preserve">below and </w:t>
      </w:r>
      <w:r w:rsidR="00311525">
        <w:rPr>
          <w:rFonts w:ascii="Times New Roman" w:hAnsi="Times New Roman" w:cs="Times New Roman"/>
          <w:sz w:val="24"/>
          <w:szCs w:val="24"/>
        </w:rPr>
        <w:t>Supplementary T</w:t>
      </w:r>
      <w:r>
        <w:rPr>
          <w:rFonts w:ascii="Times New Roman" w:hAnsi="Times New Roman" w:cs="Times New Roman"/>
          <w:sz w:val="24"/>
          <w:szCs w:val="24"/>
        </w:rPr>
        <w:t>able 1). For this purpose, d</w:t>
      </w:r>
      <w:r w:rsidR="00321E01">
        <w:rPr>
          <w:rFonts w:ascii="Times New Roman" w:hAnsi="Times New Roman" w:cs="Times New Roman"/>
          <w:sz w:val="24"/>
          <w:szCs w:val="24"/>
        </w:rPr>
        <w:t>aily maximum 8-hour</w:t>
      </w:r>
      <w:r w:rsidR="00753EF2">
        <w:rPr>
          <w:rFonts w:ascii="Times New Roman" w:hAnsi="Times New Roman" w:cs="Times New Roman"/>
          <w:sz w:val="24"/>
          <w:szCs w:val="24"/>
        </w:rPr>
        <w:t xml:space="preserve"> </w:t>
      </w:r>
      <w:r w:rsidR="007C00BF">
        <w:rPr>
          <w:rFonts w:ascii="Times New Roman" w:hAnsi="Times New Roman" w:cs="Times New Roman"/>
          <w:sz w:val="24"/>
          <w:szCs w:val="24"/>
        </w:rPr>
        <w:t xml:space="preserve">running </w:t>
      </w:r>
      <w:r w:rsidR="00753EF2">
        <w:rPr>
          <w:rFonts w:ascii="Times New Roman" w:hAnsi="Times New Roman" w:cs="Times New Roman"/>
          <w:sz w:val="24"/>
          <w:szCs w:val="24"/>
        </w:rPr>
        <w:t>mean</w:t>
      </w:r>
      <w:r w:rsidR="00953116">
        <w:rPr>
          <w:rFonts w:ascii="Times New Roman" w:hAnsi="Times New Roman" w:cs="Times New Roman"/>
          <w:sz w:val="24"/>
          <w:szCs w:val="24"/>
        </w:rPr>
        <w:t xml:space="preserve"> </w:t>
      </w:r>
      <w:r w:rsidR="00321E01">
        <w:rPr>
          <w:rFonts w:ascii="Times New Roman" w:hAnsi="Times New Roman" w:cs="Times New Roman"/>
          <w:sz w:val="24"/>
          <w:szCs w:val="24"/>
        </w:rPr>
        <w:t>O</w:t>
      </w:r>
      <w:r w:rsidR="00321E01" w:rsidRPr="005645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21E01">
        <w:rPr>
          <w:rFonts w:ascii="Times New Roman" w:hAnsi="Times New Roman" w:cs="Times New Roman"/>
          <w:sz w:val="24"/>
          <w:szCs w:val="24"/>
        </w:rPr>
        <w:t>, daily maximum1-hour NO</w:t>
      </w:r>
      <w:r w:rsidR="00321E01" w:rsidRPr="005645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3116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321E01">
        <w:rPr>
          <w:rFonts w:ascii="Times New Roman" w:hAnsi="Times New Roman" w:cs="Times New Roman"/>
          <w:sz w:val="24"/>
          <w:szCs w:val="24"/>
        </w:rPr>
        <w:t>daily mean PM</w:t>
      </w:r>
      <w:r w:rsidR="00321E01" w:rsidRPr="005645A3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321E01">
        <w:rPr>
          <w:rFonts w:ascii="Times New Roman" w:hAnsi="Times New Roman" w:cs="Times New Roman"/>
          <w:sz w:val="24"/>
          <w:szCs w:val="24"/>
        </w:rPr>
        <w:t xml:space="preserve"> and daily mean PM</w:t>
      </w:r>
      <w:r w:rsidR="00321E01" w:rsidRPr="0067677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321E01">
        <w:rPr>
          <w:rFonts w:ascii="Times New Roman" w:hAnsi="Times New Roman" w:cs="Times New Roman"/>
          <w:sz w:val="24"/>
          <w:szCs w:val="24"/>
        </w:rPr>
        <w:t xml:space="preserve"> were</w:t>
      </w:r>
      <w:r w:rsidR="00753EF2">
        <w:rPr>
          <w:rFonts w:ascii="Times New Roman" w:hAnsi="Times New Roman" w:cs="Times New Roman"/>
          <w:sz w:val="24"/>
          <w:szCs w:val="24"/>
        </w:rPr>
        <w:t xml:space="preserve"> </w:t>
      </w:r>
      <w:r w:rsidR="007C00BF">
        <w:rPr>
          <w:rFonts w:ascii="Times New Roman" w:hAnsi="Times New Roman" w:cs="Times New Roman"/>
          <w:sz w:val="24"/>
          <w:szCs w:val="24"/>
        </w:rPr>
        <w:t>calculated</w:t>
      </w:r>
      <w:r w:rsidR="00753EF2">
        <w:rPr>
          <w:rFonts w:ascii="Times New Roman" w:hAnsi="Times New Roman" w:cs="Times New Roman"/>
          <w:sz w:val="24"/>
          <w:szCs w:val="24"/>
        </w:rPr>
        <w:t xml:space="preserve"> </w:t>
      </w:r>
      <w:r w:rsidR="00C15B5F">
        <w:rPr>
          <w:rFonts w:ascii="Times New Roman" w:hAnsi="Times New Roman" w:cs="Times New Roman"/>
          <w:sz w:val="24"/>
          <w:szCs w:val="24"/>
        </w:rPr>
        <w:t xml:space="preserve">for 2001-2010 using a 75% data capture threshold on hourly data from </w:t>
      </w:r>
      <w:r w:rsidR="00C02A8D">
        <w:rPr>
          <w:rFonts w:ascii="Times New Roman" w:hAnsi="Times New Roman" w:cs="Times New Roman"/>
          <w:sz w:val="24"/>
          <w:szCs w:val="24"/>
        </w:rPr>
        <w:t xml:space="preserve">urban background </w:t>
      </w:r>
      <w:r w:rsidR="00953116">
        <w:rPr>
          <w:rFonts w:ascii="Times New Roman" w:hAnsi="Times New Roman" w:cs="Times New Roman"/>
          <w:sz w:val="24"/>
          <w:szCs w:val="24"/>
        </w:rPr>
        <w:t xml:space="preserve">and rural </w:t>
      </w:r>
      <w:r w:rsidR="00C02A8D">
        <w:rPr>
          <w:rFonts w:ascii="Times New Roman" w:hAnsi="Times New Roman" w:cs="Times New Roman"/>
          <w:sz w:val="24"/>
          <w:szCs w:val="24"/>
        </w:rPr>
        <w:t xml:space="preserve">monitoring sites </w:t>
      </w:r>
      <w:r w:rsidR="005F17A6">
        <w:rPr>
          <w:rFonts w:ascii="Times New Roman" w:hAnsi="Times New Roman" w:cs="Times New Roman"/>
          <w:sz w:val="24"/>
          <w:szCs w:val="24"/>
        </w:rPr>
        <w:t>of</w:t>
      </w:r>
      <w:r w:rsidR="00C02A8D">
        <w:rPr>
          <w:rFonts w:ascii="Times New Roman" w:hAnsi="Times New Roman" w:cs="Times New Roman"/>
          <w:sz w:val="24"/>
          <w:szCs w:val="24"/>
        </w:rPr>
        <w:t xml:space="preserve"> the Automatic Urban and Rural Network (AURN) of the UK Department for Environ</w:t>
      </w:r>
      <w:r w:rsidR="00311525">
        <w:rPr>
          <w:rFonts w:ascii="Times New Roman" w:hAnsi="Times New Roman" w:cs="Times New Roman"/>
          <w:sz w:val="24"/>
          <w:szCs w:val="24"/>
        </w:rPr>
        <w:t>ment, Food and Rural Affairs.[</w:t>
      </w:r>
      <w:r w:rsidR="00175127">
        <w:rPr>
          <w:rFonts w:ascii="Times New Roman" w:hAnsi="Times New Roman" w:cs="Times New Roman"/>
          <w:sz w:val="24"/>
          <w:szCs w:val="24"/>
        </w:rPr>
        <w:t>22</w:t>
      </w:r>
      <w:r w:rsidR="00C02A8D">
        <w:rPr>
          <w:rFonts w:ascii="Times New Roman" w:hAnsi="Times New Roman" w:cs="Times New Roman"/>
          <w:sz w:val="24"/>
          <w:szCs w:val="24"/>
        </w:rPr>
        <w:t>]</w:t>
      </w:r>
      <w:r w:rsidR="00FC1F6E">
        <w:rPr>
          <w:rFonts w:ascii="Times New Roman" w:hAnsi="Times New Roman" w:cs="Times New Roman"/>
          <w:sz w:val="24"/>
          <w:szCs w:val="24"/>
        </w:rPr>
        <w:t xml:space="preserve"> PM</w:t>
      </w:r>
      <w:r w:rsidR="00FC1F6E" w:rsidRPr="00676770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FC1F6E">
        <w:rPr>
          <w:rFonts w:ascii="Times New Roman" w:hAnsi="Times New Roman" w:cs="Times New Roman"/>
          <w:sz w:val="24"/>
          <w:szCs w:val="24"/>
        </w:rPr>
        <w:t xml:space="preserve"> data were not available for the full period of interest, as the monitoring of this pollutant </w:t>
      </w:r>
      <w:r w:rsidR="002B3493">
        <w:rPr>
          <w:rFonts w:ascii="Times New Roman" w:hAnsi="Times New Roman" w:cs="Times New Roman"/>
          <w:sz w:val="24"/>
          <w:szCs w:val="24"/>
        </w:rPr>
        <w:t>only began</w:t>
      </w:r>
      <w:r w:rsidR="00FC1F6E">
        <w:rPr>
          <w:rFonts w:ascii="Times New Roman" w:hAnsi="Times New Roman" w:cs="Times New Roman"/>
          <w:sz w:val="24"/>
          <w:szCs w:val="24"/>
        </w:rPr>
        <w:t xml:space="preserve"> </w:t>
      </w:r>
      <w:r w:rsidR="00B9522D">
        <w:rPr>
          <w:rFonts w:ascii="Times New Roman" w:hAnsi="Times New Roman" w:cs="Times New Roman"/>
          <w:sz w:val="24"/>
          <w:szCs w:val="24"/>
        </w:rPr>
        <w:t>in the latter part of</w:t>
      </w:r>
      <w:r w:rsidR="00FC1F6E">
        <w:rPr>
          <w:rFonts w:ascii="Times New Roman" w:hAnsi="Times New Roman" w:cs="Times New Roman"/>
          <w:sz w:val="24"/>
          <w:szCs w:val="24"/>
        </w:rPr>
        <w:t xml:space="preserve"> the </w:t>
      </w:r>
      <w:r w:rsidR="00F34A2C">
        <w:rPr>
          <w:rFonts w:ascii="Times New Roman" w:hAnsi="Times New Roman" w:cs="Times New Roman"/>
          <w:sz w:val="24"/>
          <w:szCs w:val="24"/>
        </w:rPr>
        <w:t xml:space="preserve">decade. </w:t>
      </w:r>
      <w:r w:rsidR="001C4769">
        <w:rPr>
          <w:rFonts w:ascii="Times New Roman" w:hAnsi="Times New Roman" w:cs="Times New Roman"/>
          <w:sz w:val="24"/>
          <w:szCs w:val="24"/>
        </w:rPr>
        <w:t>B</w:t>
      </w:r>
      <w:r w:rsidR="00F34A2C">
        <w:rPr>
          <w:rFonts w:ascii="Times New Roman" w:hAnsi="Times New Roman" w:cs="Times New Roman"/>
          <w:sz w:val="24"/>
          <w:szCs w:val="24"/>
        </w:rPr>
        <w:t xml:space="preserve">etween 2001 and 2010 there were changes in the </w:t>
      </w:r>
      <w:r w:rsidR="00B9522D">
        <w:rPr>
          <w:rFonts w:ascii="Times New Roman" w:hAnsi="Times New Roman" w:cs="Times New Roman"/>
          <w:sz w:val="24"/>
          <w:szCs w:val="24"/>
        </w:rPr>
        <w:t xml:space="preserve">instrumentation used to </w:t>
      </w:r>
      <w:r w:rsidR="00F34A2C">
        <w:rPr>
          <w:rFonts w:ascii="Times New Roman" w:hAnsi="Times New Roman" w:cs="Times New Roman"/>
          <w:sz w:val="24"/>
          <w:szCs w:val="24"/>
        </w:rPr>
        <w:t>monitor</w:t>
      </w:r>
      <w:r w:rsidR="00FC1F6E">
        <w:rPr>
          <w:rFonts w:ascii="Times New Roman" w:hAnsi="Times New Roman" w:cs="Times New Roman"/>
          <w:sz w:val="24"/>
          <w:szCs w:val="24"/>
        </w:rPr>
        <w:t xml:space="preserve"> PM</w:t>
      </w:r>
      <w:r w:rsidR="00FC1F6E" w:rsidRPr="00A9507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311525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C02A8D" w:rsidRPr="00676770" w:rsidRDefault="00953116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6770">
        <w:rPr>
          <w:rFonts w:ascii="Times New Roman" w:hAnsi="Times New Roman" w:cs="Times New Roman"/>
          <w:b/>
          <w:sz w:val="24"/>
          <w:szCs w:val="24"/>
        </w:rPr>
        <w:t xml:space="preserve">Validation of the pollution </w:t>
      </w:r>
      <w:r w:rsidR="001C4769">
        <w:rPr>
          <w:rFonts w:ascii="Times New Roman" w:hAnsi="Times New Roman" w:cs="Times New Roman"/>
          <w:b/>
          <w:sz w:val="24"/>
          <w:szCs w:val="24"/>
        </w:rPr>
        <w:t xml:space="preserve">and weather </w:t>
      </w:r>
      <w:r w:rsidRPr="00676770">
        <w:rPr>
          <w:rFonts w:ascii="Times New Roman" w:hAnsi="Times New Roman" w:cs="Times New Roman"/>
          <w:b/>
          <w:sz w:val="24"/>
          <w:szCs w:val="24"/>
        </w:rPr>
        <w:t>model</w:t>
      </w:r>
      <w:r w:rsidR="001C4769">
        <w:rPr>
          <w:rFonts w:ascii="Times New Roman" w:hAnsi="Times New Roman" w:cs="Times New Roman"/>
          <w:b/>
          <w:sz w:val="24"/>
          <w:szCs w:val="24"/>
        </w:rPr>
        <w:t>s</w:t>
      </w:r>
    </w:p>
    <w:p w:rsidR="009B5BDC" w:rsidRDefault="00390407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Fonts w:ascii="Times New Roman" w:hAnsi="Times New Roman" w:cs="Times New Roman"/>
          <w:sz w:val="24"/>
          <w:szCs w:val="24"/>
        </w:rPr>
        <w:t>The EMEP</w:t>
      </w:r>
      <w:r w:rsidR="00E07261">
        <w:rPr>
          <w:rFonts w:ascii="Times New Roman" w:hAnsi="Times New Roman" w:cs="Times New Roman"/>
          <w:sz w:val="24"/>
          <w:szCs w:val="24"/>
        </w:rPr>
        <w:t>4UK</w:t>
      </w:r>
      <w:r w:rsidR="00414D65" w:rsidRPr="00BB47B6">
        <w:rPr>
          <w:rFonts w:ascii="Times New Roman" w:hAnsi="Times New Roman" w:cs="Times New Roman"/>
          <w:sz w:val="24"/>
          <w:szCs w:val="24"/>
        </w:rPr>
        <w:t xml:space="preserve"> model</w:t>
      </w:r>
      <w:r w:rsidR="00131A2A" w:rsidRPr="00BB47B6">
        <w:rPr>
          <w:rFonts w:ascii="Times New Roman" w:hAnsi="Times New Roman" w:cs="Times New Roman"/>
          <w:sz w:val="24"/>
          <w:szCs w:val="24"/>
        </w:rPr>
        <w:t xml:space="preserve"> ha</w:t>
      </w:r>
      <w:r w:rsidR="001C4769">
        <w:rPr>
          <w:rFonts w:ascii="Times New Roman" w:hAnsi="Times New Roman" w:cs="Times New Roman"/>
          <w:sz w:val="24"/>
          <w:szCs w:val="24"/>
        </w:rPr>
        <w:t>s</w:t>
      </w:r>
      <w:r w:rsidR="00414D65" w:rsidRPr="00BB47B6">
        <w:rPr>
          <w:rFonts w:ascii="Times New Roman" w:hAnsi="Times New Roman" w:cs="Times New Roman"/>
          <w:sz w:val="24"/>
          <w:szCs w:val="24"/>
        </w:rPr>
        <w:t xml:space="preserve"> undergone extensive valid</w:t>
      </w:r>
      <w:r w:rsidR="00B1129A" w:rsidRPr="00BB47B6">
        <w:rPr>
          <w:rFonts w:ascii="Times New Roman" w:hAnsi="Times New Roman" w:cs="Times New Roman"/>
          <w:sz w:val="24"/>
          <w:szCs w:val="24"/>
        </w:rPr>
        <w:t>ation</w:t>
      </w:r>
      <w:r w:rsidR="00AC1F5F">
        <w:rPr>
          <w:rFonts w:ascii="Times New Roman" w:hAnsi="Times New Roman" w:cs="Times New Roman"/>
          <w:sz w:val="24"/>
          <w:szCs w:val="24"/>
        </w:rPr>
        <w:t>,</w:t>
      </w:r>
      <w:r w:rsidRPr="00BB47B6">
        <w:rPr>
          <w:rFonts w:ascii="Times New Roman" w:hAnsi="Times New Roman" w:cs="Times New Roman"/>
          <w:sz w:val="24"/>
          <w:szCs w:val="24"/>
        </w:rPr>
        <w:t>[</w:t>
      </w:r>
      <w:r w:rsidR="001C4769">
        <w:rPr>
          <w:rFonts w:ascii="Times New Roman" w:hAnsi="Times New Roman" w:cs="Times New Roman"/>
          <w:sz w:val="24"/>
          <w:szCs w:val="24"/>
        </w:rPr>
        <w:t>1</w:t>
      </w:r>
      <w:r w:rsidR="00606DF3">
        <w:rPr>
          <w:rFonts w:ascii="Times New Roman" w:hAnsi="Times New Roman" w:cs="Times New Roman"/>
          <w:sz w:val="24"/>
          <w:szCs w:val="24"/>
        </w:rPr>
        <w:t>5</w:t>
      </w:r>
      <w:r w:rsidR="001C4769">
        <w:rPr>
          <w:rFonts w:ascii="Times New Roman" w:hAnsi="Times New Roman" w:cs="Times New Roman"/>
          <w:sz w:val="24"/>
          <w:szCs w:val="24"/>
        </w:rPr>
        <w:t>-1</w:t>
      </w:r>
      <w:r w:rsidR="007109A3">
        <w:rPr>
          <w:rFonts w:ascii="Times New Roman" w:hAnsi="Times New Roman" w:cs="Times New Roman"/>
          <w:sz w:val="24"/>
          <w:szCs w:val="24"/>
        </w:rPr>
        <w:t>6</w:t>
      </w:r>
      <w:r w:rsidR="001C4769">
        <w:rPr>
          <w:rFonts w:ascii="Times New Roman" w:hAnsi="Times New Roman" w:cs="Times New Roman"/>
          <w:sz w:val="24"/>
          <w:szCs w:val="24"/>
        </w:rPr>
        <w:t>,</w:t>
      </w:r>
      <w:r w:rsidR="00175127">
        <w:rPr>
          <w:rFonts w:ascii="Times New Roman" w:hAnsi="Times New Roman" w:cs="Times New Roman"/>
          <w:sz w:val="24"/>
          <w:szCs w:val="24"/>
        </w:rPr>
        <w:t>23</w:t>
      </w:r>
      <w:r w:rsidR="00131A2A" w:rsidRPr="00BB47B6">
        <w:rPr>
          <w:rFonts w:ascii="Times New Roman" w:hAnsi="Times New Roman" w:cs="Times New Roman"/>
          <w:sz w:val="24"/>
          <w:szCs w:val="24"/>
        </w:rPr>
        <w:t>] and their</w:t>
      </w:r>
      <w:r w:rsidR="006E3FB0" w:rsidRPr="00BB47B6">
        <w:rPr>
          <w:rFonts w:ascii="Times New Roman" w:hAnsi="Times New Roman" w:cs="Times New Roman"/>
          <w:sz w:val="24"/>
          <w:szCs w:val="24"/>
        </w:rPr>
        <w:t xml:space="preserve"> potential for use in epidemiological analyses i</w:t>
      </w:r>
      <w:r w:rsidR="00AC1F5F">
        <w:rPr>
          <w:rFonts w:ascii="Times New Roman" w:hAnsi="Times New Roman" w:cs="Times New Roman"/>
          <w:sz w:val="24"/>
          <w:szCs w:val="24"/>
        </w:rPr>
        <w:t>s beginning to be explored.</w:t>
      </w:r>
      <w:r w:rsidR="00226E70">
        <w:rPr>
          <w:rFonts w:ascii="Times New Roman" w:hAnsi="Times New Roman" w:cs="Times New Roman"/>
          <w:sz w:val="24"/>
          <w:szCs w:val="24"/>
        </w:rPr>
        <w:t>[</w:t>
      </w:r>
      <w:r w:rsidR="00175127">
        <w:rPr>
          <w:rFonts w:ascii="Times New Roman" w:hAnsi="Times New Roman" w:cs="Times New Roman"/>
          <w:sz w:val="24"/>
          <w:szCs w:val="24"/>
        </w:rPr>
        <w:t>24</w:t>
      </w:r>
      <w:r w:rsidR="00226E70">
        <w:rPr>
          <w:rFonts w:ascii="Times New Roman" w:hAnsi="Times New Roman" w:cs="Times New Roman"/>
          <w:sz w:val="24"/>
          <w:szCs w:val="24"/>
        </w:rPr>
        <w:t>]</w:t>
      </w:r>
      <w:r w:rsidR="00400A6C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1C4769">
        <w:rPr>
          <w:rFonts w:ascii="Times New Roman" w:hAnsi="Times New Roman" w:cs="Times New Roman"/>
          <w:sz w:val="24"/>
          <w:szCs w:val="24"/>
        </w:rPr>
        <w:t>F</w:t>
      </w:r>
      <w:r w:rsidR="009979F7">
        <w:rPr>
          <w:rFonts w:ascii="Times New Roman" w:hAnsi="Times New Roman" w:cs="Times New Roman"/>
          <w:sz w:val="24"/>
          <w:szCs w:val="24"/>
        </w:rPr>
        <w:t>or 2001-2</w:t>
      </w:r>
      <w:r w:rsidR="001C4769">
        <w:rPr>
          <w:rFonts w:ascii="Times New Roman" w:hAnsi="Times New Roman" w:cs="Times New Roman"/>
          <w:sz w:val="24"/>
          <w:szCs w:val="24"/>
        </w:rPr>
        <w:t xml:space="preserve">010 </w:t>
      </w:r>
      <w:r w:rsidR="00A271DB" w:rsidRPr="00BB47B6">
        <w:rPr>
          <w:rFonts w:ascii="Times New Roman" w:hAnsi="Times New Roman" w:cs="Times New Roman"/>
          <w:sz w:val="24"/>
          <w:szCs w:val="24"/>
        </w:rPr>
        <w:t>the average Pearson correlation</w:t>
      </w:r>
      <w:r w:rsidR="00D21BDE">
        <w:rPr>
          <w:rFonts w:ascii="Times New Roman" w:hAnsi="Times New Roman" w:cs="Times New Roman"/>
          <w:sz w:val="24"/>
          <w:szCs w:val="24"/>
        </w:rPr>
        <w:t xml:space="preserve"> </w:t>
      </w:r>
      <w:r w:rsidR="00A271DB" w:rsidRPr="00BB47B6">
        <w:rPr>
          <w:rFonts w:ascii="Times New Roman" w:hAnsi="Times New Roman" w:cs="Times New Roman"/>
          <w:sz w:val="24"/>
          <w:szCs w:val="24"/>
        </w:rPr>
        <w:t>over time</w:t>
      </w:r>
      <w:r w:rsidR="008C3D0C">
        <w:rPr>
          <w:rFonts w:ascii="Times New Roman" w:hAnsi="Times New Roman" w:cs="Times New Roman"/>
          <w:sz w:val="24"/>
          <w:szCs w:val="24"/>
        </w:rPr>
        <w:t xml:space="preserve"> 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acc>
      </m:oMath>
      <w:r w:rsidR="008C3D0C">
        <w:rPr>
          <w:rFonts w:ascii="Times New Roman" w:hAnsi="Times New Roman" w:cs="Times New Roman"/>
          <w:sz w:val="24"/>
          <w:szCs w:val="24"/>
        </w:rPr>
        <w:t>)</w:t>
      </w:r>
      <w:r w:rsidR="00A271DB" w:rsidRPr="00BB47B6">
        <w:rPr>
          <w:rFonts w:ascii="Times New Roman" w:hAnsi="Times New Roman" w:cs="Times New Roman"/>
          <w:sz w:val="24"/>
          <w:szCs w:val="24"/>
        </w:rPr>
        <w:t xml:space="preserve"> between urban background mo</w:t>
      </w:r>
      <w:r w:rsidR="00760E3A" w:rsidRPr="00BB47B6">
        <w:rPr>
          <w:rFonts w:ascii="Times New Roman" w:hAnsi="Times New Roman" w:cs="Times New Roman"/>
          <w:sz w:val="24"/>
          <w:szCs w:val="24"/>
        </w:rPr>
        <w:t xml:space="preserve">nitored pollution concentrations </w:t>
      </w:r>
      <w:r w:rsidR="006235B3" w:rsidRPr="00BB47B6">
        <w:rPr>
          <w:rFonts w:ascii="Times New Roman" w:hAnsi="Times New Roman" w:cs="Times New Roman"/>
          <w:sz w:val="24"/>
          <w:szCs w:val="24"/>
        </w:rPr>
        <w:t>at AURN monit</w:t>
      </w:r>
      <w:r w:rsidR="00AB31DF" w:rsidRPr="00BB47B6">
        <w:rPr>
          <w:rFonts w:ascii="Times New Roman" w:hAnsi="Times New Roman" w:cs="Times New Roman"/>
          <w:sz w:val="24"/>
          <w:szCs w:val="24"/>
        </w:rPr>
        <w:t>oring site</w:t>
      </w:r>
      <w:r w:rsidR="009B60B2">
        <w:rPr>
          <w:rFonts w:ascii="Times New Roman" w:hAnsi="Times New Roman" w:cs="Times New Roman"/>
          <w:sz w:val="24"/>
          <w:szCs w:val="24"/>
        </w:rPr>
        <w:t>s</w:t>
      </w:r>
      <w:r w:rsidR="00AC1F5F">
        <w:rPr>
          <w:rFonts w:ascii="Times New Roman" w:hAnsi="Times New Roman" w:cs="Times New Roman"/>
          <w:sz w:val="24"/>
          <w:szCs w:val="24"/>
        </w:rPr>
        <w:t>,</w:t>
      </w:r>
      <w:r w:rsidR="00AB31DF" w:rsidRPr="00BB47B6">
        <w:rPr>
          <w:rFonts w:ascii="Times New Roman" w:hAnsi="Times New Roman" w:cs="Times New Roman"/>
          <w:sz w:val="24"/>
          <w:szCs w:val="24"/>
        </w:rPr>
        <w:t>[</w:t>
      </w:r>
      <w:r w:rsidR="00175127">
        <w:rPr>
          <w:rFonts w:ascii="Times New Roman" w:hAnsi="Times New Roman" w:cs="Times New Roman"/>
          <w:sz w:val="24"/>
          <w:szCs w:val="24"/>
        </w:rPr>
        <w:t>22</w:t>
      </w:r>
      <w:r w:rsidR="00661DEB" w:rsidRPr="00BB47B6">
        <w:rPr>
          <w:rFonts w:ascii="Times New Roman" w:hAnsi="Times New Roman" w:cs="Times New Roman"/>
          <w:sz w:val="24"/>
          <w:szCs w:val="24"/>
        </w:rPr>
        <w:t>]</w:t>
      </w:r>
      <w:r w:rsidR="006235B3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A271DB" w:rsidRPr="00BB47B6">
        <w:rPr>
          <w:rFonts w:ascii="Times New Roman" w:hAnsi="Times New Roman" w:cs="Times New Roman"/>
          <w:sz w:val="24"/>
          <w:szCs w:val="24"/>
        </w:rPr>
        <w:t xml:space="preserve">and their equivalents </w:t>
      </w:r>
      <w:r w:rsidR="009979F7">
        <w:rPr>
          <w:rFonts w:ascii="Times New Roman" w:hAnsi="Times New Roman" w:cs="Times New Roman"/>
          <w:sz w:val="24"/>
          <w:szCs w:val="24"/>
        </w:rPr>
        <w:t xml:space="preserve">for the </w:t>
      </w:r>
      <w:r w:rsidR="001C4769">
        <w:rPr>
          <w:rFonts w:ascii="Times New Roman" w:hAnsi="Times New Roman" w:cs="Times New Roman"/>
          <w:sz w:val="24"/>
          <w:szCs w:val="24"/>
        </w:rPr>
        <w:t xml:space="preserve">EMEP4UK </w:t>
      </w:r>
      <w:r w:rsidR="009979F7">
        <w:rPr>
          <w:rFonts w:ascii="Times New Roman" w:hAnsi="Times New Roman" w:cs="Times New Roman"/>
          <w:sz w:val="24"/>
          <w:szCs w:val="24"/>
        </w:rPr>
        <w:t>model grid incorporating the monitor</w:t>
      </w:r>
      <w:r w:rsidR="00893505">
        <w:rPr>
          <w:rFonts w:ascii="Times New Roman" w:hAnsi="Times New Roman" w:cs="Times New Roman"/>
          <w:sz w:val="24"/>
          <w:szCs w:val="24"/>
        </w:rPr>
        <w:t xml:space="preserve"> </w:t>
      </w:r>
      <w:r w:rsidR="00A20D58" w:rsidRPr="00BB47B6">
        <w:rPr>
          <w:rFonts w:ascii="Times New Roman" w:hAnsi="Times New Roman" w:cs="Times New Roman"/>
          <w:sz w:val="24"/>
          <w:szCs w:val="24"/>
        </w:rPr>
        <w:t>w</w:t>
      </w:r>
      <w:r w:rsidR="007E62CB">
        <w:rPr>
          <w:rFonts w:ascii="Times New Roman" w:hAnsi="Times New Roman" w:cs="Times New Roman"/>
          <w:sz w:val="24"/>
          <w:szCs w:val="24"/>
        </w:rPr>
        <w:t>as</w:t>
      </w:r>
      <w:r w:rsidR="00A271DB" w:rsidRPr="00BB47B6">
        <w:rPr>
          <w:rFonts w:ascii="Times New Roman" w:hAnsi="Times New Roman" w:cs="Times New Roman"/>
          <w:sz w:val="24"/>
          <w:szCs w:val="24"/>
        </w:rPr>
        <w:t xml:space="preserve"> relatively high for </w:t>
      </w:r>
      <w:r w:rsidR="009979F7">
        <w:rPr>
          <w:rFonts w:ascii="Times New Roman" w:hAnsi="Times New Roman" w:cs="Times New Roman"/>
          <w:sz w:val="24"/>
          <w:szCs w:val="24"/>
        </w:rPr>
        <w:t xml:space="preserve">daily maximum 8-hour </w:t>
      </w:r>
      <w:r w:rsidR="00A271DB" w:rsidRPr="00BB47B6">
        <w:rPr>
          <w:rFonts w:ascii="Times New Roman" w:hAnsi="Times New Roman" w:cs="Times New Roman"/>
          <w:sz w:val="24"/>
          <w:szCs w:val="24"/>
        </w:rPr>
        <w:t>O</w:t>
      </w:r>
      <w:r w:rsidR="00A271DB" w:rsidRPr="00BB47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271DB" w:rsidRPr="00BB47B6">
        <w:rPr>
          <w:rFonts w:ascii="Times New Roman" w:hAnsi="Times New Roman" w:cs="Times New Roman"/>
          <w:sz w:val="24"/>
          <w:szCs w:val="24"/>
        </w:rPr>
        <w:t xml:space="preserve"> (</w:t>
      </w:r>
      <w:r w:rsidR="00D21BDE">
        <w:rPr>
          <w:rFonts w:ascii="Times New Roman" w:hAnsi="Times New Roman" w:cs="Times New Roman"/>
          <w:sz w:val="24"/>
          <w:szCs w:val="24"/>
        </w:rPr>
        <w:t>No. of sites(</w:t>
      </w:r>
      <w:r w:rsidR="00082ECE">
        <w:rPr>
          <w:rFonts w:ascii="Times New Roman" w:hAnsi="Times New Roman" w:cs="Times New Roman"/>
          <w:sz w:val="24"/>
          <w:szCs w:val="24"/>
        </w:rPr>
        <w:t>n</w:t>
      </w:r>
      <w:r w:rsidR="00D21BDE">
        <w:rPr>
          <w:rFonts w:ascii="Times New Roman" w:hAnsi="Times New Roman" w:cs="Times New Roman"/>
          <w:sz w:val="24"/>
          <w:szCs w:val="24"/>
        </w:rPr>
        <w:t>)</w:t>
      </w:r>
      <w:r w:rsidR="00082ECE">
        <w:rPr>
          <w:rFonts w:ascii="Times New Roman" w:hAnsi="Times New Roman" w:cs="Times New Roman"/>
          <w:sz w:val="24"/>
          <w:szCs w:val="24"/>
        </w:rPr>
        <w:t xml:space="preserve">=63;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acc>
      </m:oMath>
      <w:r w:rsidR="00A271DB" w:rsidRPr="00BB47B6">
        <w:rPr>
          <w:rFonts w:ascii="Times New Roman" w:hAnsi="Times New Roman" w:cs="Times New Roman"/>
          <w:sz w:val="24"/>
          <w:szCs w:val="24"/>
        </w:rPr>
        <w:t>=0.76</w:t>
      </w:r>
      <w:r w:rsidR="00D21BDE">
        <w:rPr>
          <w:rFonts w:ascii="Times New Roman" w:hAnsi="Times New Roman" w:cs="Times New Roman"/>
          <w:sz w:val="24"/>
          <w:szCs w:val="24"/>
        </w:rPr>
        <w:t>; SD</w:t>
      </w:r>
      <w:r w:rsidR="00082ECE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082ECE">
        <w:rPr>
          <w:rFonts w:ascii="Times New Roman" w:hAnsi="Times New Roman" w:cs="Times New Roman"/>
          <w:sz w:val="24"/>
          <w:szCs w:val="24"/>
        </w:rPr>
        <w:t>)=</w:t>
      </w:r>
      <w:r w:rsidR="00D21BDE">
        <w:rPr>
          <w:rFonts w:ascii="Times New Roman" w:hAnsi="Times New Roman" w:cs="Times New Roman"/>
          <w:sz w:val="24"/>
          <w:szCs w:val="24"/>
        </w:rPr>
        <w:t>0.04</w:t>
      </w:r>
      <w:r w:rsidR="00A271DB" w:rsidRPr="00BB47B6">
        <w:rPr>
          <w:rFonts w:ascii="Times New Roman" w:hAnsi="Times New Roman" w:cs="Times New Roman"/>
          <w:sz w:val="24"/>
          <w:szCs w:val="24"/>
        </w:rPr>
        <w:t xml:space="preserve">) and </w:t>
      </w:r>
      <w:r w:rsidR="009979F7">
        <w:rPr>
          <w:rFonts w:ascii="Times New Roman" w:hAnsi="Times New Roman" w:cs="Times New Roman"/>
          <w:sz w:val="24"/>
          <w:szCs w:val="24"/>
        </w:rPr>
        <w:t xml:space="preserve">daily mean </w:t>
      </w:r>
      <w:r w:rsidR="00A271DB" w:rsidRPr="00BB47B6">
        <w:rPr>
          <w:rFonts w:ascii="Times New Roman" w:hAnsi="Times New Roman" w:cs="Times New Roman"/>
          <w:sz w:val="24"/>
          <w:szCs w:val="24"/>
        </w:rPr>
        <w:t>PM</w:t>
      </w:r>
      <w:r w:rsidR="00A271DB" w:rsidRPr="00BB47B6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A271DB" w:rsidRPr="00BB47B6">
        <w:rPr>
          <w:rFonts w:ascii="Times New Roman" w:hAnsi="Times New Roman" w:cs="Times New Roman"/>
          <w:sz w:val="24"/>
          <w:szCs w:val="24"/>
        </w:rPr>
        <w:t xml:space="preserve"> (</w:t>
      </w:r>
      <w:r w:rsidR="00D21BDE">
        <w:rPr>
          <w:rFonts w:ascii="Times New Roman" w:hAnsi="Times New Roman" w:cs="Times New Roman"/>
          <w:sz w:val="24"/>
          <w:szCs w:val="24"/>
        </w:rPr>
        <w:t xml:space="preserve">n=39;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acc>
      </m:oMath>
      <w:r w:rsidR="00A271DB" w:rsidRPr="00BB47B6">
        <w:rPr>
          <w:rFonts w:ascii="Times New Roman" w:hAnsi="Times New Roman" w:cs="Times New Roman"/>
          <w:sz w:val="24"/>
          <w:szCs w:val="24"/>
        </w:rPr>
        <w:t>=0.69</w:t>
      </w:r>
      <w:r w:rsidR="00D21BDE">
        <w:rPr>
          <w:rFonts w:ascii="Times New Roman" w:hAnsi="Times New Roman" w:cs="Times New Roman"/>
          <w:sz w:val="24"/>
          <w:szCs w:val="24"/>
        </w:rPr>
        <w:t>; SD(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D21BDE">
        <w:rPr>
          <w:rFonts w:ascii="Times New Roman" w:hAnsi="Times New Roman" w:cs="Times New Roman"/>
          <w:sz w:val="24"/>
          <w:szCs w:val="24"/>
        </w:rPr>
        <w:t>)=0.09</w:t>
      </w:r>
      <w:r w:rsidR="00A271DB" w:rsidRPr="00BB47B6">
        <w:rPr>
          <w:rFonts w:ascii="Times New Roman" w:hAnsi="Times New Roman" w:cs="Times New Roman"/>
          <w:sz w:val="24"/>
          <w:szCs w:val="24"/>
        </w:rPr>
        <w:t xml:space="preserve">) </w:t>
      </w:r>
      <w:r w:rsidR="00C13FA2">
        <w:rPr>
          <w:rFonts w:ascii="Times New Roman" w:hAnsi="Times New Roman" w:cs="Times New Roman"/>
          <w:sz w:val="24"/>
          <w:szCs w:val="24"/>
        </w:rPr>
        <w:t>and</w:t>
      </w:r>
      <w:r w:rsidR="00A271DB" w:rsidRPr="00BB47B6">
        <w:rPr>
          <w:rFonts w:ascii="Times New Roman" w:hAnsi="Times New Roman" w:cs="Times New Roman"/>
          <w:sz w:val="24"/>
          <w:szCs w:val="24"/>
        </w:rPr>
        <w:t xml:space="preserve"> lower for </w:t>
      </w:r>
      <w:r w:rsidR="009979F7">
        <w:rPr>
          <w:rFonts w:ascii="Times New Roman" w:hAnsi="Times New Roman" w:cs="Times New Roman"/>
          <w:sz w:val="24"/>
          <w:szCs w:val="24"/>
        </w:rPr>
        <w:t xml:space="preserve">daily mean </w:t>
      </w:r>
      <w:r w:rsidR="00A271DB" w:rsidRPr="00BB47B6">
        <w:rPr>
          <w:rFonts w:ascii="Times New Roman" w:hAnsi="Times New Roman" w:cs="Times New Roman"/>
          <w:sz w:val="24"/>
          <w:szCs w:val="24"/>
        </w:rPr>
        <w:t>PM</w:t>
      </w:r>
      <w:r w:rsidR="00A271DB" w:rsidRPr="00BB47B6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CF1FF5" w:rsidRPr="00BB47B6">
        <w:rPr>
          <w:rFonts w:ascii="Times New Roman" w:hAnsi="Times New Roman" w:cs="Times New Roman"/>
          <w:sz w:val="24"/>
          <w:szCs w:val="24"/>
        </w:rPr>
        <w:t xml:space="preserve"> (</w:t>
      </w:r>
      <w:r w:rsidR="00D21BDE">
        <w:rPr>
          <w:rFonts w:ascii="Times New Roman" w:hAnsi="Times New Roman" w:cs="Times New Roman"/>
          <w:sz w:val="24"/>
          <w:szCs w:val="24"/>
        </w:rPr>
        <w:t>n=57;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acc>
      </m:oMath>
      <w:r w:rsidR="006B02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F1FF5" w:rsidRPr="00BB47B6">
        <w:rPr>
          <w:rFonts w:ascii="Times New Roman" w:hAnsi="Times New Roman" w:cs="Times New Roman"/>
          <w:sz w:val="24"/>
          <w:szCs w:val="24"/>
        </w:rPr>
        <w:t>=0.50</w:t>
      </w:r>
      <w:r w:rsidR="00D21BDE">
        <w:rPr>
          <w:rFonts w:ascii="Times New Roman" w:hAnsi="Times New Roman" w:cs="Times New Roman"/>
          <w:sz w:val="24"/>
          <w:szCs w:val="24"/>
        </w:rPr>
        <w:t>; SD(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D21BDE">
        <w:rPr>
          <w:rFonts w:ascii="Times New Roman" w:hAnsi="Times New Roman" w:cs="Times New Roman"/>
          <w:sz w:val="24"/>
          <w:szCs w:val="24"/>
        </w:rPr>
        <w:t>)=0.07</w:t>
      </w:r>
      <w:r w:rsidR="00A271DB" w:rsidRPr="00BB47B6">
        <w:rPr>
          <w:rFonts w:ascii="Times New Roman" w:hAnsi="Times New Roman" w:cs="Times New Roman"/>
          <w:sz w:val="24"/>
          <w:szCs w:val="24"/>
        </w:rPr>
        <w:t xml:space="preserve">) and </w:t>
      </w:r>
      <w:r w:rsidR="00082ECE">
        <w:rPr>
          <w:rFonts w:ascii="Times New Roman" w:hAnsi="Times New Roman" w:cs="Times New Roman"/>
          <w:sz w:val="24"/>
          <w:szCs w:val="24"/>
        </w:rPr>
        <w:t xml:space="preserve">maximum 1-hour </w:t>
      </w:r>
      <w:r w:rsidR="00A271DB" w:rsidRPr="00BB47B6">
        <w:rPr>
          <w:rFonts w:ascii="Times New Roman" w:hAnsi="Times New Roman" w:cs="Times New Roman"/>
          <w:sz w:val="24"/>
          <w:szCs w:val="24"/>
        </w:rPr>
        <w:t>NO</w:t>
      </w:r>
      <w:r w:rsidR="00A271DB" w:rsidRPr="00BB47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271DB" w:rsidRPr="00BB47B6">
        <w:rPr>
          <w:rFonts w:ascii="Times New Roman" w:hAnsi="Times New Roman" w:cs="Times New Roman"/>
          <w:sz w:val="24"/>
          <w:szCs w:val="24"/>
        </w:rPr>
        <w:t xml:space="preserve"> (</w:t>
      </w:r>
      <w:r w:rsidR="00D21BDE">
        <w:rPr>
          <w:rFonts w:ascii="Times New Roman" w:hAnsi="Times New Roman" w:cs="Times New Roman"/>
          <w:sz w:val="24"/>
          <w:szCs w:val="24"/>
        </w:rPr>
        <w:t xml:space="preserve">n=75;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acc>
      </m:oMath>
      <w:r w:rsidR="00A271DB" w:rsidRPr="00BB47B6">
        <w:rPr>
          <w:rFonts w:ascii="Times New Roman" w:hAnsi="Times New Roman" w:cs="Times New Roman"/>
          <w:sz w:val="24"/>
          <w:szCs w:val="24"/>
        </w:rPr>
        <w:t>=0.54</w:t>
      </w:r>
      <w:r w:rsidR="00D21BDE">
        <w:rPr>
          <w:rFonts w:ascii="Times New Roman" w:hAnsi="Times New Roman" w:cs="Times New Roman"/>
          <w:sz w:val="24"/>
          <w:szCs w:val="24"/>
        </w:rPr>
        <w:t>; SD(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D21BDE">
        <w:rPr>
          <w:rFonts w:ascii="Times New Roman" w:hAnsi="Times New Roman" w:cs="Times New Roman"/>
          <w:sz w:val="24"/>
          <w:szCs w:val="24"/>
        </w:rPr>
        <w:t>)=0.10</w:t>
      </w:r>
      <w:r w:rsidR="00A271DB" w:rsidRPr="00BB47B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4130" w:rsidRPr="00BB47B6" w:rsidRDefault="009B5BDC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Imprecision in the estimation of daily pollution concentrations whether modelled or measured, may</w:t>
      </w:r>
      <w:r w:rsidR="00EA6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average </w:t>
      </w:r>
      <w:r w:rsidR="00EA6064">
        <w:rPr>
          <w:rFonts w:ascii="Times New Roman" w:hAnsi="Times New Roman" w:cs="Times New Roman"/>
          <w:sz w:val="24"/>
          <w:szCs w:val="24"/>
        </w:rPr>
        <w:t>lead to some attenuation (i.e. bias towards the null)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EA6064">
        <w:rPr>
          <w:rFonts w:ascii="Times New Roman" w:hAnsi="Times New Roman" w:cs="Times New Roman"/>
          <w:sz w:val="24"/>
          <w:szCs w:val="24"/>
        </w:rPr>
        <w:t>estimates of the log relative risk</w:t>
      </w:r>
      <w:r>
        <w:rPr>
          <w:rFonts w:ascii="Times New Roman" w:hAnsi="Times New Roman" w:cs="Times New Roman"/>
          <w:sz w:val="24"/>
          <w:szCs w:val="24"/>
        </w:rPr>
        <w:t xml:space="preserve"> obtained from epidemiological analyses</w:t>
      </w:r>
      <w:r w:rsidR="00EA6064">
        <w:rPr>
          <w:rFonts w:ascii="Times New Roman" w:hAnsi="Times New Roman" w:cs="Times New Roman"/>
          <w:sz w:val="24"/>
          <w:szCs w:val="24"/>
        </w:rPr>
        <w:t xml:space="preserve">. </w:t>
      </w:r>
      <w:r w:rsidR="00A20D58" w:rsidRPr="00BB47B6">
        <w:rPr>
          <w:rFonts w:ascii="Times New Roman" w:hAnsi="Times New Roman" w:cs="Times New Roman"/>
          <w:sz w:val="24"/>
          <w:szCs w:val="24"/>
        </w:rPr>
        <w:t xml:space="preserve">Simple predictions as to the level of attenuation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31455">
        <w:rPr>
          <w:rFonts w:ascii="Times New Roman" w:hAnsi="Times New Roman" w:cs="Times New Roman"/>
          <w:sz w:val="24"/>
          <w:szCs w:val="24"/>
        </w:rPr>
        <w:t xml:space="preserve">i.e. </w:t>
      </w:r>
      <w:r w:rsidR="006E64B6">
        <w:rPr>
          <w:rFonts w:ascii="Times New Roman" w:hAnsi="Times New Roman" w:cs="Times New Roman"/>
          <w:sz w:val="24"/>
          <w:szCs w:val="24"/>
        </w:rPr>
        <w:t>% bias towards the null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20D58" w:rsidRPr="00BB47B6">
        <w:rPr>
          <w:rFonts w:ascii="Times New Roman" w:hAnsi="Times New Roman" w:cs="Times New Roman"/>
          <w:sz w:val="24"/>
          <w:szCs w:val="24"/>
        </w:rPr>
        <w:t xml:space="preserve">that might be expected </w:t>
      </w:r>
      <w:r>
        <w:rPr>
          <w:rFonts w:ascii="Times New Roman" w:hAnsi="Times New Roman" w:cs="Times New Roman"/>
          <w:sz w:val="24"/>
          <w:szCs w:val="24"/>
        </w:rPr>
        <w:t xml:space="preserve">due to the use </w:t>
      </w:r>
      <w:r w:rsidR="00A20D58" w:rsidRPr="00BB47B6">
        <w:rPr>
          <w:rFonts w:ascii="Times New Roman" w:hAnsi="Times New Roman" w:cs="Times New Roman"/>
          <w:sz w:val="24"/>
          <w:szCs w:val="24"/>
        </w:rPr>
        <w:t xml:space="preserve">of </w:t>
      </w:r>
      <w:r w:rsidR="009619BE">
        <w:rPr>
          <w:rFonts w:ascii="Times New Roman" w:hAnsi="Times New Roman" w:cs="Times New Roman"/>
          <w:sz w:val="24"/>
          <w:szCs w:val="24"/>
        </w:rPr>
        <w:t>A</w:t>
      </w:r>
      <w:r w:rsidR="00A20D58" w:rsidRPr="00BB47B6">
        <w:rPr>
          <w:rFonts w:ascii="Times New Roman" w:hAnsi="Times New Roman" w:cs="Times New Roman"/>
          <w:sz w:val="24"/>
          <w:szCs w:val="24"/>
        </w:rPr>
        <w:t>CTM data are explor</w:t>
      </w:r>
      <w:r w:rsidR="00BC4B86" w:rsidRPr="00BB47B6">
        <w:rPr>
          <w:rFonts w:ascii="Times New Roman" w:hAnsi="Times New Roman" w:cs="Times New Roman"/>
          <w:sz w:val="24"/>
          <w:szCs w:val="24"/>
        </w:rPr>
        <w:t>ed in Supplementary Table 1</w:t>
      </w:r>
      <w:r w:rsidR="00BE4130">
        <w:rPr>
          <w:rFonts w:ascii="Times New Roman" w:hAnsi="Times New Roman" w:cs="Times New Roman"/>
          <w:sz w:val="24"/>
          <w:szCs w:val="24"/>
        </w:rPr>
        <w:t>.</w:t>
      </w:r>
      <w:r w:rsidR="00DA63E6" w:rsidRPr="00BB4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D97" w:rsidRDefault="00C13FA2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m</w:t>
      </w:r>
      <w:r w:rsidR="00226E70" w:rsidRPr="00BB47B6">
        <w:rPr>
          <w:rFonts w:ascii="Times New Roman" w:hAnsi="Times New Roman" w:cs="Times New Roman"/>
          <w:sz w:val="24"/>
          <w:szCs w:val="24"/>
        </w:rPr>
        <w:t>onitored</w:t>
      </w:r>
      <w:r w:rsidR="00226E70">
        <w:rPr>
          <w:rFonts w:ascii="Times New Roman" w:hAnsi="Times New Roman" w:cs="Times New Roman"/>
          <w:sz w:val="24"/>
          <w:szCs w:val="24"/>
        </w:rPr>
        <w:t xml:space="preserve"> </w:t>
      </w:r>
      <w:r w:rsidR="00226E70" w:rsidRPr="00BB47B6">
        <w:rPr>
          <w:rFonts w:ascii="Times New Roman" w:hAnsi="Times New Roman" w:cs="Times New Roman"/>
          <w:sz w:val="24"/>
          <w:szCs w:val="24"/>
        </w:rPr>
        <w:t>temperature</w:t>
      </w:r>
      <w:r w:rsidR="00226E70">
        <w:rPr>
          <w:rFonts w:ascii="Times New Roman" w:hAnsi="Times New Roman" w:cs="Times New Roman"/>
          <w:sz w:val="24"/>
          <w:szCs w:val="24"/>
        </w:rPr>
        <w:t xml:space="preserve"> data are available for only a small subset of the model grid boxes</w:t>
      </w:r>
      <w:r>
        <w:rPr>
          <w:rFonts w:ascii="Times New Roman" w:hAnsi="Times New Roman" w:cs="Times New Roman"/>
          <w:sz w:val="24"/>
          <w:szCs w:val="24"/>
        </w:rPr>
        <w:t xml:space="preserve"> we </w:t>
      </w:r>
      <w:r w:rsidR="00A271DB" w:rsidRPr="00BB47B6">
        <w:rPr>
          <w:rFonts w:ascii="Times New Roman" w:hAnsi="Times New Roman" w:cs="Times New Roman"/>
          <w:sz w:val="24"/>
          <w:szCs w:val="24"/>
        </w:rPr>
        <w:t xml:space="preserve">used </w:t>
      </w:r>
      <w:r>
        <w:rPr>
          <w:rFonts w:ascii="Times New Roman" w:hAnsi="Times New Roman" w:cs="Times New Roman"/>
          <w:sz w:val="24"/>
          <w:szCs w:val="24"/>
        </w:rPr>
        <w:t xml:space="preserve">the WRF </w:t>
      </w:r>
      <w:r w:rsidR="00A271DB" w:rsidRPr="00BB47B6">
        <w:rPr>
          <w:rFonts w:ascii="Times New Roman" w:hAnsi="Times New Roman" w:cs="Times New Roman"/>
          <w:sz w:val="24"/>
          <w:szCs w:val="24"/>
        </w:rPr>
        <w:t xml:space="preserve">model </w:t>
      </w:r>
      <w:r w:rsidR="009619BE">
        <w:rPr>
          <w:rFonts w:ascii="Times New Roman" w:hAnsi="Times New Roman" w:cs="Times New Roman"/>
          <w:sz w:val="24"/>
          <w:szCs w:val="24"/>
        </w:rPr>
        <w:t>2</w:t>
      </w:r>
      <w:r w:rsidR="00B9522D">
        <w:rPr>
          <w:rFonts w:ascii="Times New Roman" w:hAnsi="Times New Roman" w:cs="Times New Roman"/>
          <w:sz w:val="24"/>
          <w:szCs w:val="24"/>
        </w:rPr>
        <w:t>-</w:t>
      </w:r>
      <w:r w:rsidR="009619BE">
        <w:rPr>
          <w:rFonts w:ascii="Times New Roman" w:hAnsi="Times New Roman" w:cs="Times New Roman"/>
          <w:sz w:val="24"/>
          <w:szCs w:val="24"/>
        </w:rPr>
        <w:t>metr</w:t>
      </w:r>
      <w:r>
        <w:rPr>
          <w:rFonts w:ascii="Times New Roman" w:hAnsi="Times New Roman" w:cs="Times New Roman"/>
          <w:sz w:val="24"/>
          <w:szCs w:val="24"/>
        </w:rPr>
        <w:t>e</w:t>
      </w:r>
      <w:r w:rsidR="009619BE">
        <w:rPr>
          <w:rFonts w:ascii="Times New Roman" w:hAnsi="Times New Roman" w:cs="Times New Roman"/>
          <w:sz w:val="24"/>
          <w:szCs w:val="24"/>
        </w:rPr>
        <w:t xml:space="preserve"> temperatur</w:t>
      </w:r>
      <w:r>
        <w:rPr>
          <w:rFonts w:ascii="Times New Roman" w:hAnsi="Times New Roman" w:cs="Times New Roman"/>
          <w:sz w:val="24"/>
          <w:szCs w:val="24"/>
        </w:rPr>
        <w:t>e</w:t>
      </w:r>
      <w:r w:rsidR="009619BE">
        <w:rPr>
          <w:rFonts w:ascii="Times New Roman" w:hAnsi="Times New Roman" w:cs="Times New Roman"/>
          <w:sz w:val="24"/>
          <w:szCs w:val="24"/>
        </w:rPr>
        <w:t xml:space="preserve"> </w:t>
      </w:r>
      <w:r w:rsidR="00A271DB" w:rsidRPr="00BB47B6">
        <w:rPr>
          <w:rFonts w:ascii="Times New Roman" w:hAnsi="Times New Roman" w:cs="Times New Roman"/>
          <w:sz w:val="24"/>
          <w:szCs w:val="24"/>
        </w:rPr>
        <w:t xml:space="preserve">for covariate adjustment. </w:t>
      </w:r>
      <w:r>
        <w:rPr>
          <w:rFonts w:ascii="Times New Roman" w:hAnsi="Times New Roman" w:cs="Times New Roman"/>
          <w:sz w:val="24"/>
          <w:szCs w:val="24"/>
        </w:rPr>
        <w:t>As discussed above, t</w:t>
      </w:r>
      <w:r w:rsidR="009619BE">
        <w:rPr>
          <w:rFonts w:ascii="Times New Roman" w:hAnsi="Times New Roman" w:cs="Times New Roman"/>
          <w:sz w:val="24"/>
          <w:szCs w:val="24"/>
        </w:rPr>
        <w:t>he WRF model was nudged with reanalysis data ever</w:t>
      </w:r>
      <w:r w:rsidR="00257D97">
        <w:rPr>
          <w:rFonts w:ascii="Times New Roman" w:hAnsi="Times New Roman" w:cs="Times New Roman"/>
          <w:sz w:val="24"/>
          <w:szCs w:val="24"/>
        </w:rPr>
        <w:t>y</w:t>
      </w:r>
      <w:r w:rsidR="009619BE">
        <w:rPr>
          <w:rFonts w:ascii="Times New Roman" w:hAnsi="Times New Roman" w:cs="Times New Roman"/>
          <w:sz w:val="24"/>
          <w:szCs w:val="24"/>
        </w:rPr>
        <w:t xml:space="preserve"> 6 hours</w:t>
      </w:r>
      <w:r w:rsidR="00257D97">
        <w:rPr>
          <w:rFonts w:ascii="Times New Roman" w:hAnsi="Times New Roman" w:cs="Times New Roman"/>
          <w:sz w:val="24"/>
          <w:szCs w:val="24"/>
        </w:rPr>
        <w:t xml:space="preserve"> to closely represent </w:t>
      </w:r>
      <w:r>
        <w:rPr>
          <w:rFonts w:ascii="Times New Roman" w:hAnsi="Times New Roman" w:cs="Times New Roman"/>
          <w:sz w:val="24"/>
          <w:szCs w:val="24"/>
        </w:rPr>
        <w:t>observations</w:t>
      </w:r>
      <w:r w:rsidR="00257D97">
        <w:rPr>
          <w:rFonts w:ascii="Times New Roman" w:hAnsi="Times New Roman" w:cs="Times New Roman"/>
          <w:sz w:val="24"/>
          <w:szCs w:val="24"/>
        </w:rPr>
        <w:t xml:space="preserve"> such as the surface temperature. </w:t>
      </w:r>
    </w:p>
    <w:p w:rsidR="00BB47B6" w:rsidRDefault="00A271DB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Fonts w:ascii="Times New Roman" w:hAnsi="Times New Roman" w:cs="Times New Roman"/>
          <w:sz w:val="24"/>
          <w:szCs w:val="24"/>
        </w:rPr>
        <w:t xml:space="preserve">For </w:t>
      </w:r>
      <w:r w:rsidR="000E7964">
        <w:rPr>
          <w:rFonts w:ascii="Times New Roman" w:hAnsi="Times New Roman" w:cs="Times New Roman"/>
          <w:sz w:val="24"/>
          <w:szCs w:val="24"/>
        </w:rPr>
        <w:t xml:space="preserve">daily mean </w:t>
      </w:r>
      <w:r w:rsidRPr="00BB47B6">
        <w:rPr>
          <w:rFonts w:ascii="Times New Roman" w:hAnsi="Times New Roman" w:cs="Times New Roman"/>
          <w:sz w:val="24"/>
          <w:szCs w:val="24"/>
        </w:rPr>
        <w:t xml:space="preserve">temperature, the average model-monitor correlation over time was </w:t>
      </w:r>
      <w:r w:rsidR="00B9522D">
        <w:rPr>
          <w:rFonts w:ascii="Times New Roman" w:hAnsi="Times New Roman" w:cs="Times New Roman"/>
          <w:sz w:val="24"/>
          <w:szCs w:val="24"/>
        </w:rPr>
        <w:t xml:space="preserve">very </w:t>
      </w:r>
      <w:r w:rsidRPr="00BB47B6">
        <w:rPr>
          <w:rFonts w:ascii="Times New Roman" w:hAnsi="Times New Roman" w:cs="Times New Roman"/>
          <w:sz w:val="24"/>
          <w:szCs w:val="24"/>
        </w:rPr>
        <w:t xml:space="preserve">high </w:t>
      </w:r>
      <w:r w:rsidR="007A5344" w:rsidRPr="00C16A33">
        <w:rPr>
          <w:rFonts w:ascii="Times New Roman" w:hAnsi="Times New Roman" w:cs="Times New Roman"/>
          <w:sz w:val="24"/>
          <w:szCs w:val="24"/>
        </w:rPr>
        <w:t>(</w:t>
      </w:r>
      <w:r w:rsidR="00257D97" w:rsidRPr="00C16A33">
        <w:rPr>
          <w:rFonts w:ascii="Times New Roman" w:hAnsi="Times New Roman" w:cs="Times New Roman"/>
          <w:sz w:val="24"/>
          <w:szCs w:val="24"/>
        </w:rPr>
        <w:t>n=</w:t>
      </w:r>
      <w:r w:rsidR="00C16A33" w:rsidRPr="00676770">
        <w:rPr>
          <w:rFonts w:ascii="Times New Roman" w:hAnsi="Times New Roman" w:cs="Times New Roman"/>
          <w:sz w:val="24"/>
          <w:szCs w:val="24"/>
        </w:rPr>
        <w:t>93</w:t>
      </w:r>
      <w:r w:rsidR="00257D97" w:rsidRPr="00C16A33">
        <w:rPr>
          <w:rFonts w:ascii="Times New Roman" w:hAnsi="Times New Roman" w:cs="Times New Roman"/>
          <w:sz w:val="24"/>
          <w:szCs w:val="24"/>
        </w:rPr>
        <w:t xml:space="preserve">;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acc>
      </m:oMath>
      <w:r w:rsidR="00257D97" w:rsidRPr="00C16A33">
        <w:rPr>
          <w:rFonts w:ascii="Times New Roman" w:hAnsi="Times New Roman" w:cs="Times New Roman"/>
          <w:sz w:val="24"/>
          <w:szCs w:val="24"/>
        </w:rPr>
        <w:t>=</w:t>
      </w:r>
      <w:r w:rsidR="00C16A33" w:rsidRPr="00676770">
        <w:rPr>
          <w:rFonts w:ascii="Times New Roman" w:hAnsi="Times New Roman" w:cs="Times New Roman"/>
          <w:sz w:val="24"/>
          <w:szCs w:val="24"/>
        </w:rPr>
        <w:t>0.98</w:t>
      </w:r>
      <w:r w:rsidR="00257D97" w:rsidRPr="00C16A33">
        <w:rPr>
          <w:rFonts w:ascii="Times New Roman" w:hAnsi="Times New Roman" w:cs="Times New Roman"/>
          <w:sz w:val="24"/>
          <w:szCs w:val="24"/>
        </w:rPr>
        <w:t xml:space="preserve"> ; SD(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257D97" w:rsidRPr="00C16A33">
        <w:rPr>
          <w:rFonts w:ascii="Times New Roman" w:hAnsi="Times New Roman" w:cs="Times New Roman"/>
          <w:sz w:val="24"/>
          <w:szCs w:val="24"/>
        </w:rPr>
        <w:t>)=</w:t>
      </w:r>
      <w:r w:rsidR="00C16A33" w:rsidRPr="00676770">
        <w:rPr>
          <w:rFonts w:ascii="Times New Roman" w:hAnsi="Times New Roman" w:cs="Times New Roman"/>
          <w:sz w:val="24"/>
          <w:szCs w:val="24"/>
        </w:rPr>
        <w:t>0.01</w:t>
      </w:r>
      <w:r w:rsidR="00257D97" w:rsidRPr="00C16A33">
        <w:rPr>
          <w:rFonts w:ascii="Times New Roman" w:hAnsi="Times New Roman" w:cs="Times New Roman"/>
          <w:sz w:val="24"/>
          <w:szCs w:val="24"/>
        </w:rPr>
        <w:t xml:space="preserve"> </w:t>
      </w:r>
      <w:r w:rsidR="007A5344" w:rsidRPr="00C16A33">
        <w:rPr>
          <w:rFonts w:ascii="Times New Roman" w:hAnsi="Times New Roman" w:cs="Times New Roman"/>
          <w:sz w:val="24"/>
          <w:szCs w:val="24"/>
        </w:rPr>
        <w:t>)</w:t>
      </w:r>
      <w:r w:rsidR="007A5344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Pr="00BB47B6">
        <w:rPr>
          <w:rFonts w:ascii="Times New Roman" w:hAnsi="Times New Roman" w:cs="Times New Roman"/>
          <w:sz w:val="24"/>
          <w:szCs w:val="24"/>
        </w:rPr>
        <w:t xml:space="preserve">and plots of the relationship between myocardial infarction and modelled temperature </w:t>
      </w:r>
      <w:r w:rsidR="002D44E7" w:rsidRPr="00BB47B6">
        <w:rPr>
          <w:rFonts w:ascii="Times New Roman" w:hAnsi="Times New Roman" w:cs="Times New Roman"/>
          <w:sz w:val="24"/>
          <w:szCs w:val="24"/>
        </w:rPr>
        <w:t>(Supplementa</w:t>
      </w:r>
      <w:r w:rsidR="000E7964">
        <w:rPr>
          <w:rFonts w:ascii="Times New Roman" w:hAnsi="Times New Roman" w:cs="Times New Roman"/>
          <w:sz w:val="24"/>
          <w:szCs w:val="24"/>
        </w:rPr>
        <w:t>ry</w:t>
      </w:r>
      <w:r w:rsidR="00E03747" w:rsidRPr="00BB47B6">
        <w:rPr>
          <w:rFonts w:ascii="Times New Roman" w:hAnsi="Times New Roman" w:cs="Times New Roman"/>
          <w:sz w:val="24"/>
          <w:szCs w:val="24"/>
        </w:rPr>
        <w:t xml:space="preserve"> Figure 1</w:t>
      </w:r>
      <w:r w:rsidR="00FD7FD4" w:rsidRPr="00BB47B6">
        <w:rPr>
          <w:rFonts w:ascii="Times New Roman" w:hAnsi="Times New Roman" w:cs="Times New Roman"/>
          <w:sz w:val="24"/>
          <w:szCs w:val="24"/>
        </w:rPr>
        <w:t xml:space="preserve">) </w:t>
      </w:r>
      <w:r w:rsidRPr="00BB47B6">
        <w:rPr>
          <w:rFonts w:ascii="Times New Roman" w:hAnsi="Times New Roman" w:cs="Times New Roman"/>
          <w:sz w:val="24"/>
          <w:szCs w:val="24"/>
        </w:rPr>
        <w:t>are similar to those previously pu</w:t>
      </w:r>
      <w:r w:rsidR="00AC1F5F">
        <w:rPr>
          <w:rFonts w:ascii="Times New Roman" w:hAnsi="Times New Roman" w:cs="Times New Roman"/>
          <w:sz w:val="24"/>
          <w:szCs w:val="24"/>
        </w:rPr>
        <w:t>blished by Bhaskaran et al.,</w:t>
      </w:r>
      <w:r w:rsidR="00AB31DF" w:rsidRPr="00BB47B6">
        <w:rPr>
          <w:rFonts w:ascii="Times New Roman" w:hAnsi="Times New Roman" w:cs="Times New Roman"/>
          <w:sz w:val="24"/>
          <w:szCs w:val="24"/>
        </w:rPr>
        <w:t>[</w:t>
      </w:r>
      <w:r w:rsidR="00175127">
        <w:rPr>
          <w:rFonts w:ascii="Times New Roman" w:hAnsi="Times New Roman" w:cs="Times New Roman"/>
          <w:sz w:val="24"/>
          <w:szCs w:val="24"/>
        </w:rPr>
        <w:t>25</w:t>
      </w:r>
      <w:r w:rsidRPr="00BB47B6">
        <w:rPr>
          <w:rFonts w:ascii="Times New Roman" w:hAnsi="Times New Roman" w:cs="Times New Roman"/>
          <w:sz w:val="24"/>
          <w:szCs w:val="24"/>
        </w:rPr>
        <w:t xml:space="preserve">] using the MINAP database and monitored temperature. </w:t>
      </w:r>
    </w:p>
    <w:p w:rsidR="001A36AB" w:rsidRPr="00676770" w:rsidRDefault="001A36AB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6770">
        <w:rPr>
          <w:rFonts w:ascii="Times New Roman" w:hAnsi="Times New Roman" w:cs="Times New Roman"/>
          <w:b/>
          <w:sz w:val="24"/>
          <w:szCs w:val="24"/>
        </w:rPr>
        <w:t>Data linkage</w:t>
      </w:r>
    </w:p>
    <w:p w:rsidR="001A36AB" w:rsidRPr="001A36AB" w:rsidRDefault="001A36AB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sz w:val="24"/>
          <w:szCs w:val="24"/>
        </w:rPr>
      </w:pPr>
      <w:r w:rsidRPr="001A36AB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>MI event was linked to the modelled weather and pollutant</w:t>
      </w:r>
      <w:r w:rsidRPr="001A36AB">
        <w:rPr>
          <w:rFonts w:ascii="Times New Roman" w:hAnsi="Times New Roman" w:cs="Times New Roman"/>
          <w:sz w:val="24"/>
          <w:szCs w:val="24"/>
        </w:rPr>
        <w:t xml:space="preserve"> exposure data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A36AB">
        <w:rPr>
          <w:rFonts w:ascii="Times New Roman" w:hAnsi="Times New Roman" w:cs="Times New Roman"/>
          <w:sz w:val="24"/>
          <w:szCs w:val="24"/>
        </w:rPr>
        <w:t>5</w:t>
      </w:r>
      <w:r w:rsidR="00B9522D">
        <w:rPr>
          <w:rFonts w:ascii="Times New Roman" w:hAnsi="Times New Roman" w:cs="Times New Roman"/>
          <w:sz w:val="24"/>
          <w:szCs w:val="24"/>
        </w:rPr>
        <w:t xml:space="preserve"> </w:t>
      </w:r>
      <w:r w:rsidRPr="001A36AB">
        <w:rPr>
          <w:rFonts w:ascii="Times New Roman" w:hAnsi="Times New Roman" w:cs="Times New Roman"/>
          <w:sz w:val="24"/>
          <w:szCs w:val="24"/>
        </w:rPr>
        <w:t>km grid</w:t>
      </w:r>
      <w:r>
        <w:rPr>
          <w:rFonts w:ascii="Times New Roman" w:hAnsi="Times New Roman" w:cs="Times New Roman"/>
          <w:sz w:val="24"/>
          <w:szCs w:val="24"/>
        </w:rPr>
        <w:t xml:space="preserve"> closest to </w:t>
      </w:r>
      <w:r w:rsidRPr="001A36AB">
        <w:rPr>
          <w:rFonts w:ascii="Times New Roman" w:hAnsi="Times New Roman" w:cs="Times New Roman"/>
          <w:sz w:val="24"/>
          <w:szCs w:val="24"/>
        </w:rPr>
        <w:t>the Output Area</w:t>
      </w:r>
      <w:r>
        <w:rPr>
          <w:rFonts w:ascii="Times New Roman" w:hAnsi="Times New Roman" w:cs="Times New Roman"/>
          <w:sz w:val="24"/>
          <w:szCs w:val="24"/>
        </w:rPr>
        <w:t xml:space="preserve"> (OA</w:t>
      </w:r>
      <w:r w:rsidRPr="001A36AB">
        <w:rPr>
          <w:rFonts w:ascii="Times New Roman" w:hAnsi="Times New Roman" w:cs="Times New Roman"/>
          <w:sz w:val="24"/>
          <w:szCs w:val="24"/>
        </w:rPr>
        <w:t xml:space="preserve">)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A36AB">
        <w:rPr>
          <w:rFonts w:ascii="Times New Roman" w:hAnsi="Times New Roman" w:cs="Times New Roman"/>
          <w:sz w:val="24"/>
          <w:szCs w:val="24"/>
        </w:rPr>
        <w:t xml:space="preserve">patient's residence (using </w:t>
      </w:r>
      <w:r>
        <w:rPr>
          <w:rFonts w:ascii="Times New Roman" w:hAnsi="Times New Roman" w:cs="Times New Roman"/>
          <w:sz w:val="24"/>
          <w:szCs w:val="24"/>
        </w:rPr>
        <w:t xml:space="preserve">OA </w:t>
      </w:r>
      <w:r w:rsidRPr="001A36AB">
        <w:rPr>
          <w:rFonts w:ascii="Times New Roman" w:hAnsi="Times New Roman" w:cs="Times New Roman"/>
          <w:sz w:val="24"/>
          <w:szCs w:val="24"/>
        </w:rPr>
        <w:t>centroids rounded to 1000</w:t>
      </w:r>
      <w:r w:rsidR="00C13FA2">
        <w:rPr>
          <w:rFonts w:ascii="Times New Roman" w:hAnsi="Times New Roman" w:cs="Times New Roman"/>
          <w:sz w:val="24"/>
          <w:szCs w:val="24"/>
        </w:rPr>
        <w:t xml:space="preserve"> </w:t>
      </w:r>
      <w:r w:rsidRPr="001A36AB">
        <w:rPr>
          <w:rFonts w:ascii="Times New Roman" w:hAnsi="Times New Roman" w:cs="Times New Roman"/>
          <w:sz w:val="24"/>
          <w:szCs w:val="24"/>
        </w:rPr>
        <w:t xml:space="preserve">m to </w:t>
      </w:r>
      <w:r>
        <w:rPr>
          <w:rFonts w:ascii="Times New Roman" w:hAnsi="Times New Roman" w:cs="Times New Roman"/>
          <w:sz w:val="24"/>
          <w:szCs w:val="24"/>
        </w:rPr>
        <w:t>avoid personal identification).</w:t>
      </w:r>
    </w:p>
    <w:p w:rsidR="007613A7" w:rsidRPr="00676770" w:rsidRDefault="007613A7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6770">
        <w:rPr>
          <w:rFonts w:ascii="Times New Roman" w:hAnsi="Times New Roman" w:cs="Times New Roman"/>
          <w:b/>
          <w:sz w:val="24"/>
          <w:szCs w:val="24"/>
        </w:rPr>
        <w:t xml:space="preserve">Statistical </w:t>
      </w:r>
      <w:r w:rsidR="00D959CC">
        <w:rPr>
          <w:rFonts w:ascii="Times New Roman" w:hAnsi="Times New Roman" w:cs="Times New Roman"/>
          <w:b/>
          <w:sz w:val="24"/>
          <w:szCs w:val="24"/>
        </w:rPr>
        <w:t>methods</w:t>
      </w:r>
    </w:p>
    <w:p w:rsidR="00F67593" w:rsidRPr="00BB47B6" w:rsidRDefault="00365973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Fonts w:ascii="Times New Roman" w:hAnsi="Times New Roman" w:cs="Times New Roman"/>
          <w:sz w:val="24"/>
          <w:szCs w:val="24"/>
        </w:rPr>
        <w:t>The analysis was</w:t>
      </w:r>
      <w:r w:rsidR="0050793C" w:rsidRPr="00BB47B6">
        <w:rPr>
          <w:rFonts w:ascii="Times New Roman" w:hAnsi="Times New Roman" w:cs="Times New Roman"/>
          <w:sz w:val="24"/>
          <w:szCs w:val="24"/>
        </w:rPr>
        <w:t xml:space="preserve"> conducted at the level of the individual using a time-str</w:t>
      </w:r>
      <w:r w:rsidRPr="00BB47B6">
        <w:rPr>
          <w:rFonts w:ascii="Times New Roman" w:hAnsi="Times New Roman" w:cs="Times New Roman"/>
          <w:sz w:val="24"/>
          <w:szCs w:val="24"/>
        </w:rPr>
        <w:t>atified case-crossover analysis.</w:t>
      </w:r>
      <w:r w:rsidR="0050793C" w:rsidRPr="00BB47B6">
        <w:rPr>
          <w:rFonts w:ascii="Times New Roman" w:hAnsi="Times New Roman" w:cs="Times New Roman"/>
          <w:sz w:val="24"/>
          <w:szCs w:val="24"/>
        </w:rPr>
        <w:t>[</w:t>
      </w:r>
      <w:r w:rsidR="00311525">
        <w:rPr>
          <w:rFonts w:ascii="Times New Roman" w:hAnsi="Times New Roman" w:cs="Times New Roman"/>
          <w:sz w:val="24"/>
          <w:szCs w:val="24"/>
        </w:rPr>
        <w:t>2</w:t>
      </w:r>
      <w:r w:rsidR="00175127">
        <w:rPr>
          <w:rFonts w:ascii="Times New Roman" w:hAnsi="Times New Roman" w:cs="Times New Roman"/>
          <w:sz w:val="24"/>
          <w:szCs w:val="24"/>
        </w:rPr>
        <w:t>6</w:t>
      </w:r>
      <w:r w:rsidR="0050793C" w:rsidRPr="00BB47B6">
        <w:rPr>
          <w:rFonts w:ascii="Times New Roman" w:hAnsi="Times New Roman" w:cs="Times New Roman"/>
          <w:sz w:val="24"/>
          <w:szCs w:val="24"/>
        </w:rPr>
        <w:t xml:space="preserve">] </w:t>
      </w:r>
      <w:r w:rsidR="00176176" w:rsidRPr="00BB47B6">
        <w:rPr>
          <w:rFonts w:ascii="Times New Roman" w:hAnsi="Times New Roman" w:cs="Times New Roman"/>
          <w:sz w:val="24"/>
          <w:szCs w:val="24"/>
        </w:rPr>
        <w:t>F</w:t>
      </w:r>
      <w:r w:rsidR="0050793C" w:rsidRPr="00BB47B6">
        <w:rPr>
          <w:rFonts w:ascii="Times New Roman" w:hAnsi="Times New Roman" w:cs="Times New Roman"/>
          <w:sz w:val="24"/>
          <w:szCs w:val="24"/>
        </w:rPr>
        <w:t>or each case we define</w:t>
      </w:r>
      <w:r w:rsidRPr="00BB47B6">
        <w:rPr>
          <w:rFonts w:ascii="Times New Roman" w:hAnsi="Times New Roman" w:cs="Times New Roman"/>
          <w:sz w:val="24"/>
          <w:szCs w:val="24"/>
        </w:rPr>
        <w:t>d</w:t>
      </w:r>
      <w:r w:rsidR="0050793C" w:rsidRPr="00BB47B6">
        <w:rPr>
          <w:rFonts w:ascii="Times New Roman" w:hAnsi="Times New Roman" w:cs="Times New Roman"/>
          <w:sz w:val="24"/>
          <w:szCs w:val="24"/>
        </w:rPr>
        <w:t xml:space="preserve"> the index </w:t>
      </w:r>
      <w:r w:rsidR="00497143" w:rsidRPr="00BB47B6">
        <w:rPr>
          <w:rFonts w:ascii="Times New Roman" w:hAnsi="Times New Roman" w:cs="Times New Roman"/>
          <w:sz w:val="24"/>
          <w:szCs w:val="24"/>
        </w:rPr>
        <w:t xml:space="preserve">day as the day of the </w:t>
      </w:r>
      <w:r w:rsidR="00A8331E">
        <w:rPr>
          <w:rFonts w:ascii="Times New Roman" w:hAnsi="Times New Roman" w:cs="Times New Roman"/>
          <w:sz w:val="24"/>
          <w:szCs w:val="24"/>
        </w:rPr>
        <w:t>MI</w:t>
      </w:r>
      <w:r w:rsidR="00497143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50793C" w:rsidRPr="00BB47B6">
        <w:rPr>
          <w:rFonts w:ascii="Times New Roman" w:hAnsi="Times New Roman" w:cs="Times New Roman"/>
          <w:sz w:val="24"/>
          <w:szCs w:val="24"/>
        </w:rPr>
        <w:t>and the referent or control days as those days within the same month and on the same day of the week as the event day.</w:t>
      </w:r>
      <w:r w:rsidR="00F5146D" w:rsidRPr="00BB47B6">
        <w:rPr>
          <w:rFonts w:ascii="Times New Roman" w:hAnsi="Times New Roman" w:cs="Times New Roman"/>
          <w:sz w:val="24"/>
          <w:szCs w:val="24"/>
        </w:rPr>
        <w:t>[</w:t>
      </w:r>
      <w:r w:rsidR="00311525">
        <w:rPr>
          <w:rFonts w:ascii="Times New Roman" w:hAnsi="Times New Roman" w:cs="Times New Roman"/>
          <w:sz w:val="24"/>
          <w:szCs w:val="24"/>
        </w:rPr>
        <w:t>2</w:t>
      </w:r>
      <w:r w:rsidR="00175127">
        <w:rPr>
          <w:rFonts w:ascii="Times New Roman" w:hAnsi="Times New Roman" w:cs="Times New Roman"/>
          <w:sz w:val="24"/>
          <w:szCs w:val="24"/>
        </w:rPr>
        <w:t>6</w:t>
      </w:r>
      <w:r w:rsidR="00F5146D" w:rsidRPr="00BB47B6">
        <w:rPr>
          <w:rFonts w:ascii="Times New Roman" w:hAnsi="Times New Roman" w:cs="Times New Roman"/>
          <w:sz w:val="24"/>
          <w:szCs w:val="24"/>
        </w:rPr>
        <w:t>]</w:t>
      </w:r>
      <w:r w:rsidR="0050793C" w:rsidRPr="00BB47B6">
        <w:rPr>
          <w:rFonts w:ascii="Times New Roman" w:hAnsi="Times New Roman" w:cs="Times New Roman"/>
          <w:sz w:val="24"/>
          <w:szCs w:val="24"/>
        </w:rPr>
        <w:t xml:space="preserve"> Within each individual we then compare</w:t>
      </w:r>
      <w:r w:rsidRPr="00BB47B6">
        <w:rPr>
          <w:rFonts w:ascii="Times New Roman" w:hAnsi="Times New Roman" w:cs="Times New Roman"/>
          <w:sz w:val="24"/>
          <w:szCs w:val="24"/>
        </w:rPr>
        <w:t>d</w:t>
      </w:r>
      <w:r w:rsidR="0050793C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257D97">
        <w:rPr>
          <w:rFonts w:ascii="Times New Roman" w:hAnsi="Times New Roman" w:cs="Times New Roman"/>
          <w:sz w:val="24"/>
          <w:szCs w:val="24"/>
        </w:rPr>
        <w:t xml:space="preserve">the modelled </w:t>
      </w:r>
      <w:r w:rsidR="00403423" w:rsidRPr="00BB47B6">
        <w:rPr>
          <w:rFonts w:ascii="Times New Roman" w:hAnsi="Times New Roman" w:cs="Times New Roman"/>
          <w:sz w:val="24"/>
          <w:szCs w:val="24"/>
        </w:rPr>
        <w:t xml:space="preserve">pollutant </w:t>
      </w:r>
      <w:r w:rsidR="0050793C" w:rsidRPr="00BB47B6">
        <w:rPr>
          <w:rFonts w:ascii="Times New Roman" w:hAnsi="Times New Roman" w:cs="Times New Roman"/>
          <w:sz w:val="24"/>
          <w:szCs w:val="24"/>
        </w:rPr>
        <w:lastRenderedPageBreak/>
        <w:t xml:space="preserve">exposures between the index and referent days as in a </w:t>
      </w:r>
      <w:r w:rsidR="005947F2" w:rsidRPr="00BB47B6">
        <w:rPr>
          <w:rFonts w:ascii="Times New Roman" w:hAnsi="Times New Roman" w:cs="Times New Roman"/>
          <w:sz w:val="24"/>
          <w:szCs w:val="24"/>
        </w:rPr>
        <w:t xml:space="preserve">1:M </w:t>
      </w:r>
      <w:r w:rsidR="0050793C" w:rsidRPr="00BB47B6">
        <w:rPr>
          <w:rFonts w:ascii="Times New Roman" w:hAnsi="Times New Roman" w:cs="Times New Roman"/>
          <w:sz w:val="24"/>
          <w:szCs w:val="24"/>
        </w:rPr>
        <w:t xml:space="preserve">matched case-control study. </w:t>
      </w:r>
      <w:r w:rsidR="00431831" w:rsidRPr="00BB47B6">
        <w:rPr>
          <w:rFonts w:ascii="Times New Roman" w:hAnsi="Times New Roman" w:cs="Times New Roman"/>
          <w:sz w:val="24"/>
          <w:szCs w:val="24"/>
        </w:rPr>
        <w:t>The analysis was conducted in STATA12</w:t>
      </w:r>
      <w:r w:rsidR="00AC1F5F">
        <w:rPr>
          <w:rFonts w:ascii="Times New Roman" w:hAnsi="Times New Roman" w:cs="Times New Roman"/>
          <w:sz w:val="24"/>
          <w:szCs w:val="24"/>
        </w:rPr>
        <w:t>,</w:t>
      </w:r>
      <w:r w:rsidR="002D44E7" w:rsidRPr="00BB47B6">
        <w:rPr>
          <w:rFonts w:ascii="Times New Roman" w:hAnsi="Times New Roman" w:cs="Times New Roman"/>
          <w:sz w:val="24"/>
          <w:szCs w:val="24"/>
        </w:rPr>
        <w:t>[</w:t>
      </w:r>
      <w:r w:rsidR="00DD0145" w:rsidRPr="00BB47B6">
        <w:rPr>
          <w:rFonts w:ascii="Times New Roman" w:hAnsi="Times New Roman" w:cs="Times New Roman"/>
          <w:sz w:val="24"/>
          <w:szCs w:val="24"/>
        </w:rPr>
        <w:t>2</w:t>
      </w:r>
      <w:r w:rsidR="00175127">
        <w:rPr>
          <w:rFonts w:ascii="Times New Roman" w:hAnsi="Times New Roman" w:cs="Times New Roman"/>
          <w:sz w:val="24"/>
          <w:szCs w:val="24"/>
        </w:rPr>
        <w:t>7</w:t>
      </w:r>
      <w:r w:rsidR="002D44E7" w:rsidRPr="00BB47B6">
        <w:rPr>
          <w:rFonts w:ascii="Times New Roman" w:hAnsi="Times New Roman" w:cs="Times New Roman"/>
          <w:sz w:val="24"/>
          <w:szCs w:val="24"/>
        </w:rPr>
        <w:t xml:space="preserve">] </w:t>
      </w:r>
      <w:r w:rsidR="00431831" w:rsidRPr="00BB47B6">
        <w:rPr>
          <w:rFonts w:ascii="Times New Roman" w:hAnsi="Times New Roman" w:cs="Times New Roman"/>
          <w:sz w:val="24"/>
          <w:szCs w:val="24"/>
        </w:rPr>
        <w:t>using conditional logistic regression</w:t>
      </w:r>
      <w:r w:rsidR="00176176" w:rsidRPr="00BB47B6">
        <w:rPr>
          <w:rFonts w:ascii="Times New Roman" w:hAnsi="Times New Roman" w:cs="Times New Roman"/>
          <w:sz w:val="24"/>
          <w:szCs w:val="24"/>
        </w:rPr>
        <w:t>.</w:t>
      </w:r>
      <w:r w:rsidR="006923B5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Pr="00BB47B6">
        <w:rPr>
          <w:rFonts w:ascii="Times New Roman" w:hAnsi="Times New Roman" w:cs="Times New Roman"/>
          <w:sz w:val="24"/>
          <w:szCs w:val="24"/>
        </w:rPr>
        <w:t>In this way each subject acted</w:t>
      </w:r>
      <w:r w:rsidR="00176176" w:rsidRPr="00BB47B6">
        <w:rPr>
          <w:rFonts w:ascii="Times New Roman" w:hAnsi="Times New Roman" w:cs="Times New Roman"/>
          <w:sz w:val="24"/>
          <w:szCs w:val="24"/>
        </w:rPr>
        <w:t xml:space="preserve"> as their own control, automatically adjusting for potential non-time varying/time-insensitive confounders such as sex, age, smoking status, diet, socioeconomic status</w:t>
      </w:r>
      <w:r w:rsidR="00B9522D">
        <w:rPr>
          <w:rFonts w:ascii="Times New Roman" w:hAnsi="Times New Roman" w:cs="Times New Roman"/>
          <w:sz w:val="24"/>
          <w:szCs w:val="24"/>
        </w:rPr>
        <w:t>,</w:t>
      </w:r>
      <w:r w:rsidR="00176176" w:rsidRPr="00BB47B6">
        <w:rPr>
          <w:rFonts w:ascii="Times New Roman" w:hAnsi="Times New Roman" w:cs="Times New Roman"/>
          <w:sz w:val="24"/>
          <w:szCs w:val="24"/>
        </w:rPr>
        <w:t xml:space="preserve"> etc. The matched sets or st</w:t>
      </w:r>
      <w:r w:rsidRPr="00BB47B6">
        <w:rPr>
          <w:rFonts w:ascii="Times New Roman" w:hAnsi="Times New Roman" w:cs="Times New Roman"/>
          <w:sz w:val="24"/>
          <w:szCs w:val="24"/>
        </w:rPr>
        <w:t>rata were</w:t>
      </w:r>
      <w:r w:rsidR="00176176" w:rsidRPr="00BB47B6">
        <w:rPr>
          <w:rFonts w:ascii="Times New Roman" w:hAnsi="Times New Roman" w:cs="Times New Roman"/>
          <w:sz w:val="24"/>
          <w:szCs w:val="24"/>
        </w:rPr>
        <w:t xml:space="preserve"> defined in time (i.e. year</w:t>
      </w:r>
      <w:r w:rsidR="00F5146D" w:rsidRPr="00BB47B6">
        <w:rPr>
          <w:rFonts w:ascii="Times New Roman" w:hAnsi="Times New Roman" w:cs="Times New Roman"/>
          <w:sz w:val="24"/>
          <w:szCs w:val="24"/>
        </w:rPr>
        <w:t xml:space="preserve">, </w:t>
      </w:r>
      <w:r w:rsidR="00176176" w:rsidRPr="00BB47B6">
        <w:rPr>
          <w:rFonts w:ascii="Times New Roman" w:hAnsi="Times New Roman" w:cs="Times New Roman"/>
          <w:sz w:val="24"/>
          <w:szCs w:val="24"/>
        </w:rPr>
        <w:t>month</w:t>
      </w:r>
      <w:r w:rsidR="00F5146D" w:rsidRPr="00BB47B6">
        <w:rPr>
          <w:rFonts w:ascii="Times New Roman" w:hAnsi="Times New Roman" w:cs="Times New Roman"/>
          <w:sz w:val="24"/>
          <w:szCs w:val="24"/>
        </w:rPr>
        <w:t>,</w:t>
      </w:r>
      <w:r w:rsidR="00176176" w:rsidRPr="00BB47B6">
        <w:rPr>
          <w:rFonts w:ascii="Times New Roman" w:hAnsi="Times New Roman" w:cs="Times New Roman"/>
          <w:sz w:val="24"/>
          <w:szCs w:val="24"/>
        </w:rPr>
        <w:t xml:space="preserve"> day of the week) to remove trend and seasonal pattern</w:t>
      </w:r>
      <w:r w:rsidR="00C13518" w:rsidRPr="00BB47B6">
        <w:rPr>
          <w:rFonts w:ascii="Times New Roman" w:hAnsi="Times New Roman" w:cs="Times New Roman"/>
          <w:sz w:val="24"/>
          <w:szCs w:val="24"/>
        </w:rPr>
        <w:t xml:space="preserve"> and additional</w:t>
      </w:r>
      <w:r w:rsidRPr="00BB47B6">
        <w:rPr>
          <w:rFonts w:ascii="Times New Roman" w:hAnsi="Times New Roman" w:cs="Times New Roman"/>
          <w:sz w:val="24"/>
          <w:szCs w:val="24"/>
        </w:rPr>
        <w:t xml:space="preserve"> covariates were added to</w:t>
      </w:r>
      <w:r w:rsidR="00C13518" w:rsidRPr="00BB47B6">
        <w:rPr>
          <w:rFonts w:ascii="Times New Roman" w:hAnsi="Times New Roman" w:cs="Times New Roman"/>
          <w:sz w:val="24"/>
          <w:szCs w:val="24"/>
        </w:rPr>
        <w:t xml:space="preserve"> the </w:t>
      </w:r>
      <w:r w:rsidR="00493D86" w:rsidRPr="00BB47B6">
        <w:rPr>
          <w:rFonts w:ascii="Times New Roman" w:hAnsi="Times New Roman" w:cs="Times New Roman"/>
          <w:sz w:val="24"/>
          <w:szCs w:val="24"/>
        </w:rPr>
        <w:t xml:space="preserve">regression </w:t>
      </w:r>
      <w:r w:rsidR="00C13518" w:rsidRPr="00BB47B6">
        <w:rPr>
          <w:rFonts w:ascii="Times New Roman" w:hAnsi="Times New Roman" w:cs="Times New Roman"/>
          <w:sz w:val="24"/>
          <w:szCs w:val="24"/>
        </w:rPr>
        <w:t>m</w:t>
      </w:r>
      <w:r w:rsidRPr="00BB47B6">
        <w:rPr>
          <w:rFonts w:ascii="Times New Roman" w:hAnsi="Times New Roman" w:cs="Times New Roman"/>
          <w:sz w:val="24"/>
          <w:szCs w:val="24"/>
        </w:rPr>
        <w:t>odel</w:t>
      </w:r>
      <w:r w:rsidR="0030262F" w:rsidRPr="00BB47B6">
        <w:rPr>
          <w:rFonts w:ascii="Times New Roman" w:hAnsi="Times New Roman" w:cs="Times New Roman"/>
          <w:sz w:val="24"/>
          <w:szCs w:val="24"/>
        </w:rPr>
        <w:t xml:space="preserve">s </w:t>
      </w:r>
      <w:r w:rsidRPr="00BB47B6">
        <w:rPr>
          <w:rFonts w:ascii="Times New Roman" w:hAnsi="Times New Roman" w:cs="Times New Roman"/>
          <w:sz w:val="24"/>
          <w:szCs w:val="24"/>
        </w:rPr>
        <w:t xml:space="preserve">to </w:t>
      </w:r>
      <w:r w:rsidR="00C13518" w:rsidRPr="00BB47B6">
        <w:rPr>
          <w:rFonts w:ascii="Times New Roman" w:hAnsi="Times New Roman" w:cs="Times New Roman"/>
          <w:sz w:val="24"/>
          <w:szCs w:val="24"/>
        </w:rPr>
        <w:t>adjust for temperature, public holidays</w:t>
      </w:r>
      <w:r w:rsidRPr="00BB47B6">
        <w:rPr>
          <w:rFonts w:ascii="Times New Roman" w:hAnsi="Times New Roman" w:cs="Times New Roman"/>
          <w:sz w:val="24"/>
          <w:szCs w:val="24"/>
        </w:rPr>
        <w:t>, flu epidemics</w:t>
      </w:r>
      <w:r w:rsidR="00F5146D" w:rsidRPr="00BB47B6">
        <w:rPr>
          <w:rFonts w:ascii="Times New Roman" w:hAnsi="Times New Roman" w:cs="Times New Roman"/>
          <w:sz w:val="24"/>
          <w:szCs w:val="24"/>
        </w:rPr>
        <w:t xml:space="preserve"> and </w:t>
      </w:r>
      <w:r w:rsidR="00C13518" w:rsidRPr="00BB47B6">
        <w:rPr>
          <w:rFonts w:ascii="Times New Roman" w:hAnsi="Times New Roman" w:cs="Times New Roman"/>
          <w:sz w:val="24"/>
          <w:szCs w:val="24"/>
        </w:rPr>
        <w:t>residual seasonality.</w:t>
      </w:r>
      <w:r w:rsidR="00F11176" w:rsidRPr="00BB47B6">
        <w:rPr>
          <w:rFonts w:ascii="Times New Roman" w:hAnsi="Times New Roman" w:cs="Times New Roman"/>
          <w:sz w:val="24"/>
          <w:szCs w:val="24"/>
        </w:rPr>
        <w:t xml:space="preserve"> The primary </w:t>
      </w:r>
      <w:r w:rsidR="00493D86" w:rsidRPr="00BB47B6">
        <w:rPr>
          <w:rFonts w:ascii="Times New Roman" w:hAnsi="Times New Roman" w:cs="Times New Roman"/>
          <w:sz w:val="24"/>
          <w:szCs w:val="24"/>
        </w:rPr>
        <w:t xml:space="preserve">regression </w:t>
      </w:r>
      <w:r w:rsidR="00F11176" w:rsidRPr="00BB47B6">
        <w:rPr>
          <w:rFonts w:ascii="Times New Roman" w:hAnsi="Times New Roman" w:cs="Times New Roman"/>
          <w:sz w:val="24"/>
          <w:szCs w:val="24"/>
        </w:rPr>
        <w:t>model</w:t>
      </w:r>
      <w:r w:rsidR="00D603F5" w:rsidRPr="00BB47B6">
        <w:rPr>
          <w:rFonts w:ascii="Times New Roman" w:hAnsi="Times New Roman" w:cs="Times New Roman"/>
          <w:sz w:val="24"/>
          <w:szCs w:val="24"/>
        </w:rPr>
        <w:t xml:space="preserve"> included</w:t>
      </w:r>
      <w:r w:rsidR="00F5146D" w:rsidRPr="00BB47B6">
        <w:rPr>
          <w:rFonts w:ascii="Times New Roman" w:hAnsi="Times New Roman" w:cs="Times New Roman"/>
          <w:sz w:val="24"/>
          <w:szCs w:val="24"/>
        </w:rPr>
        <w:t>:</w:t>
      </w:r>
      <w:r w:rsidR="00D603F5" w:rsidRPr="00BB47B6">
        <w:rPr>
          <w:rFonts w:ascii="Times New Roman" w:hAnsi="Times New Roman" w:cs="Times New Roman"/>
          <w:sz w:val="24"/>
          <w:szCs w:val="24"/>
        </w:rPr>
        <w:t xml:space="preserve"> two </w:t>
      </w:r>
      <w:r w:rsidR="000C2760">
        <w:rPr>
          <w:rFonts w:ascii="Times New Roman" w:hAnsi="Times New Roman" w:cs="Times New Roman"/>
          <w:sz w:val="24"/>
          <w:szCs w:val="24"/>
        </w:rPr>
        <w:t>natural</w:t>
      </w:r>
      <w:r w:rsidR="00465C15">
        <w:rPr>
          <w:rFonts w:ascii="Times New Roman" w:hAnsi="Times New Roman" w:cs="Times New Roman"/>
          <w:sz w:val="24"/>
          <w:szCs w:val="24"/>
        </w:rPr>
        <w:t xml:space="preserve"> cubic </w:t>
      </w:r>
      <w:r w:rsidR="00D603F5" w:rsidRPr="00BB47B6">
        <w:rPr>
          <w:rFonts w:ascii="Times New Roman" w:hAnsi="Times New Roman" w:cs="Times New Roman"/>
          <w:sz w:val="24"/>
          <w:szCs w:val="24"/>
        </w:rPr>
        <w:t xml:space="preserve">splines </w:t>
      </w:r>
      <w:r w:rsidR="00465C15">
        <w:rPr>
          <w:rFonts w:ascii="Times New Roman" w:hAnsi="Times New Roman" w:cs="Times New Roman"/>
          <w:sz w:val="24"/>
          <w:szCs w:val="24"/>
        </w:rPr>
        <w:t>(each with 5 degrees of freedom</w:t>
      </w:r>
      <w:r w:rsidR="0021307B">
        <w:rPr>
          <w:rFonts w:ascii="Times New Roman" w:hAnsi="Times New Roman" w:cs="Times New Roman"/>
          <w:sz w:val="24"/>
          <w:szCs w:val="24"/>
        </w:rPr>
        <w:t xml:space="preserve"> (df)</w:t>
      </w:r>
      <w:r w:rsidR="00465C15">
        <w:rPr>
          <w:rFonts w:ascii="Times New Roman" w:hAnsi="Times New Roman" w:cs="Times New Roman"/>
          <w:sz w:val="24"/>
          <w:szCs w:val="24"/>
        </w:rPr>
        <w:t xml:space="preserve">) </w:t>
      </w:r>
      <w:r w:rsidR="00D603F5" w:rsidRPr="00BB47B6">
        <w:rPr>
          <w:rFonts w:ascii="Times New Roman" w:hAnsi="Times New Roman" w:cs="Times New Roman"/>
          <w:sz w:val="24"/>
          <w:szCs w:val="24"/>
        </w:rPr>
        <w:t>representing mean daily t</w:t>
      </w:r>
      <w:r w:rsidRPr="00BB47B6">
        <w:rPr>
          <w:rFonts w:ascii="Times New Roman" w:hAnsi="Times New Roman" w:cs="Times New Roman"/>
          <w:sz w:val="24"/>
          <w:szCs w:val="24"/>
        </w:rPr>
        <w:t xml:space="preserve">emperature averaged </w:t>
      </w:r>
      <w:r w:rsidR="00390F6C">
        <w:rPr>
          <w:rFonts w:ascii="Times New Roman" w:hAnsi="Times New Roman" w:cs="Times New Roman"/>
          <w:sz w:val="24"/>
          <w:szCs w:val="24"/>
        </w:rPr>
        <w:t>across</w:t>
      </w:r>
      <w:r w:rsidRPr="00BB47B6">
        <w:rPr>
          <w:rFonts w:ascii="Times New Roman" w:hAnsi="Times New Roman" w:cs="Times New Roman"/>
          <w:sz w:val="24"/>
          <w:szCs w:val="24"/>
        </w:rPr>
        <w:t xml:space="preserve"> the day and the day before</w:t>
      </w:r>
      <w:r w:rsidR="00390F6C">
        <w:rPr>
          <w:rFonts w:ascii="Times New Roman" w:hAnsi="Times New Roman" w:cs="Times New Roman"/>
          <w:sz w:val="24"/>
          <w:szCs w:val="24"/>
        </w:rPr>
        <w:t xml:space="preserve"> </w:t>
      </w:r>
      <w:r w:rsidRPr="00BB47B6">
        <w:rPr>
          <w:rFonts w:ascii="Times New Roman" w:hAnsi="Times New Roman" w:cs="Times New Roman"/>
          <w:sz w:val="24"/>
          <w:szCs w:val="24"/>
        </w:rPr>
        <w:t>(mean lag</w:t>
      </w:r>
      <w:r w:rsidR="005600E3">
        <w:rPr>
          <w:rFonts w:ascii="Times New Roman" w:hAnsi="Times New Roman" w:cs="Times New Roman"/>
          <w:sz w:val="24"/>
          <w:szCs w:val="24"/>
        </w:rPr>
        <w:t xml:space="preserve"> </w:t>
      </w:r>
      <w:r w:rsidRPr="00BB47B6">
        <w:rPr>
          <w:rFonts w:ascii="Times New Roman" w:hAnsi="Times New Roman" w:cs="Times New Roman"/>
          <w:sz w:val="24"/>
          <w:szCs w:val="24"/>
        </w:rPr>
        <w:t>0-1) and mean daily temperature averaged across days 2-6 before</w:t>
      </w:r>
      <w:r w:rsidR="00390F6C">
        <w:rPr>
          <w:rFonts w:ascii="Times New Roman" w:hAnsi="Times New Roman" w:cs="Times New Roman"/>
          <w:sz w:val="24"/>
          <w:szCs w:val="24"/>
        </w:rPr>
        <w:t xml:space="preserve"> </w:t>
      </w:r>
      <w:r w:rsidRPr="00BB47B6">
        <w:rPr>
          <w:rFonts w:ascii="Times New Roman" w:hAnsi="Times New Roman" w:cs="Times New Roman"/>
          <w:sz w:val="24"/>
          <w:szCs w:val="24"/>
        </w:rPr>
        <w:t>(mean lag 2-6)</w:t>
      </w:r>
      <w:r w:rsidR="00F5146D" w:rsidRPr="00BB47B6">
        <w:rPr>
          <w:rFonts w:ascii="Times New Roman" w:hAnsi="Times New Roman" w:cs="Times New Roman"/>
          <w:sz w:val="24"/>
          <w:szCs w:val="24"/>
        </w:rPr>
        <w:t>;</w:t>
      </w:r>
      <w:r w:rsidR="00D603F5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F5146D" w:rsidRPr="00BB47B6">
        <w:rPr>
          <w:rFonts w:ascii="Times New Roman" w:hAnsi="Times New Roman" w:cs="Times New Roman"/>
          <w:sz w:val="24"/>
          <w:szCs w:val="24"/>
        </w:rPr>
        <w:t xml:space="preserve">a </w:t>
      </w:r>
      <w:r w:rsidR="00D603F5" w:rsidRPr="00BB47B6">
        <w:rPr>
          <w:rFonts w:ascii="Times New Roman" w:hAnsi="Times New Roman" w:cs="Times New Roman"/>
          <w:sz w:val="24"/>
          <w:szCs w:val="24"/>
        </w:rPr>
        <w:t>binary indicator variable for</w:t>
      </w:r>
      <w:r w:rsidRPr="00BB47B6">
        <w:rPr>
          <w:rFonts w:ascii="Times New Roman" w:hAnsi="Times New Roman" w:cs="Times New Roman"/>
          <w:sz w:val="24"/>
          <w:szCs w:val="24"/>
        </w:rPr>
        <w:t xml:space="preserve"> public holidays</w:t>
      </w:r>
      <w:r w:rsidR="00F5146D" w:rsidRPr="00BB47B6">
        <w:rPr>
          <w:rFonts w:ascii="Times New Roman" w:hAnsi="Times New Roman" w:cs="Times New Roman"/>
          <w:sz w:val="24"/>
          <w:szCs w:val="24"/>
        </w:rPr>
        <w:t>;</w:t>
      </w:r>
      <w:r w:rsidR="00D603F5" w:rsidRPr="00BB47B6">
        <w:rPr>
          <w:rFonts w:ascii="Times New Roman" w:hAnsi="Times New Roman" w:cs="Times New Roman"/>
          <w:sz w:val="24"/>
          <w:szCs w:val="24"/>
        </w:rPr>
        <w:t xml:space="preserve"> the </w:t>
      </w:r>
      <w:r w:rsidR="000E7964">
        <w:rPr>
          <w:rFonts w:ascii="Times New Roman" w:hAnsi="Times New Roman" w:cs="Times New Roman"/>
          <w:sz w:val="24"/>
          <w:szCs w:val="24"/>
        </w:rPr>
        <w:t>Royal College of General Practitioners (</w:t>
      </w:r>
      <w:r w:rsidR="00F5146D" w:rsidRPr="00BB47B6">
        <w:rPr>
          <w:rFonts w:ascii="Times New Roman" w:hAnsi="Times New Roman" w:cs="Times New Roman"/>
          <w:sz w:val="24"/>
          <w:szCs w:val="24"/>
        </w:rPr>
        <w:t>RCGP</w:t>
      </w:r>
      <w:r w:rsidR="000E7964">
        <w:rPr>
          <w:rFonts w:ascii="Times New Roman" w:hAnsi="Times New Roman" w:cs="Times New Roman"/>
          <w:sz w:val="24"/>
          <w:szCs w:val="24"/>
        </w:rPr>
        <w:t>)</w:t>
      </w:r>
      <w:r w:rsidR="00F5146D" w:rsidRPr="00BB47B6">
        <w:rPr>
          <w:rFonts w:ascii="Times New Roman" w:hAnsi="Times New Roman" w:cs="Times New Roman"/>
          <w:sz w:val="24"/>
          <w:szCs w:val="24"/>
        </w:rPr>
        <w:t xml:space="preserve"> England and W</w:t>
      </w:r>
      <w:r w:rsidR="00D603F5" w:rsidRPr="00BB47B6">
        <w:rPr>
          <w:rFonts w:ascii="Times New Roman" w:hAnsi="Times New Roman" w:cs="Times New Roman"/>
          <w:sz w:val="24"/>
          <w:szCs w:val="24"/>
        </w:rPr>
        <w:t xml:space="preserve">ales weekly consultation </w:t>
      </w:r>
      <w:r w:rsidR="00F5146D" w:rsidRPr="00BB47B6">
        <w:rPr>
          <w:rFonts w:ascii="Times New Roman" w:hAnsi="Times New Roman" w:cs="Times New Roman"/>
          <w:sz w:val="24"/>
          <w:szCs w:val="24"/>
        </w:rPr>
        <w:t>rate for influenza-like illness</w:t>
      </w:r>
      <w:r w:rsidR="00C96C0E">
        <w:rPr>
          <w:rFonts w:ascii="Times New Roman" w:hAnsi="Times New Roman" w:cs="Times New Roman"/>
          <w:sz w:val="24"/>
          <w:szCs w:val="24"/>
        </w:rPr>
        <w:t xml:space="preserve"> for the week of the event</w:t>
      </w:r>
      <w:r w:rsidR="00F5146D" w:rsidRPr="00BB47B6">
        <w:rPr>
          <w:rFonts w:ascii="Times New Roman" w:hAnsi="Times New Roman" w:cs="Times New Roman"/>
          <w:sz w:val="24"/>
          <w:szCs w:val="24"/>
        </w:rPr>
        <w:t>;</w:t>
      </w:r>
      <w:r w:rsidR="00AB31DF" w:rsidRPr="00BB47B6">
        <w:rPr>
          <w:rFonts w:ascii="Times New Roman" w:hAnsi="Times New Roman" w:cs="Times New Roman"/>
          <w:sz w:val="24"/>
          <w:szCs w:val="24"/>
        </w:rPr>
        <w:t>[</w:t>
      </w:r>
      <w:r w:rsidR="00DD0145" w:rsidRPr="00BB47B6">
        <w:rPr>
          <w:rFonts w:ascii="Times New Roman" w:hAnsi="Times New Roman" w:cs="Times New Roman"/>
          <w:sz w:val="24"/>
          <w:szCs w:val="24"/>
        </w:rPr>
        <w:t>2</w:t>
      </w:r>
      <w:r w:rsidR="00175127">
        <w:rPr>
          <w:rFonts w:ascii="Times New Roman" w:hAnsi="Times New Roman" w:cs="Times New Roman"/>
          <w:sz w:val="24"/>
          <w:szCs w:val="24"/>
        </w:rPr>
        <w:t>8</w:t>
      </w:r>
      <w:r w:rsidR="00497143" w:rsidRPr="00BB47B6">
        <w:rPr>
          <w:rFonts w:ascii="Times New Roman" w:hAnsi="Times New Roman" w:cs="Times New Roman"/>
          <w:sz w:val="24"/>
          <w:szCs w:val="24"/>
        </w:rPr>
        <w:t>]</w:t>
      </w:r>
      <w:r w:rsidR="00D603F5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Pr="00BB47B6">
        <w:rPr>
          <w:rFonts w:ascii="Times New Roman" w:hAnsi="Times New Roman" w:cs="Times New Roman"/>
          <w:sz w:val="24"/>
          <w:szCs w:val="24"/>
        </w:rPr>
        <w:t xml:space="preserve">and </w:t>
      </w:r>
      <w:r w:rsidR="00F5146D" w:rsidRPr="00BB47B6">
        <w:rPr>
          <w:rFonts w:ascii="Times New Roman" w:hAnsi="Times New Roman" w:cs="Times New Roman"/>
          <w:sz w:val="24"/>
          <w:szCs w:val="24"/>
        </w:rPr>
        <w:t>sine and cosine terms</w:t>
      </w:r>
      <w:r w:rsidR="00021FDE">
        <w:rPr>
          <w:rFonts w:ascii="Times New Roman" w:hAnsi="Times New Roman" w:cs="Times New Roman"/>
          <w:sz w:val="24"/>
          <w:szCs w:val="24"/>
        </w:rPr>
        <w:t xml:space="preserve"> </w:t>
      </w:r>
      <w:r w:rsidR="00F5146D" w:rsidRPr="00BB47B6">
        <w:rPr>
          <w:rFonts w:ascii="Times New Roman" w:hAnsi="Times New Roman" w:cs="Times New Roman"/>
          <w:sz w:val="24"/>
          <w:szCs w:val="24"/>
        </w:rPr>
        <w:t>representing a simple</w:t>
      </w:r>
      <w:r w:rsidR="00D603F5" w:rsidRPr="00BB47B6">
        <w:rPr>
          <w:rFonts w:ascii="Times New Roman" w:hAnsi="Times New Roman" w:cs="Times New Roman"/>
          <w:sz w:val="24"/>
          <w:szCs w:val="24"/>
        </w:rPr>
        <w:t xml:space="preserve"> annual cycle.</w:t>
      </w:r>
      <w:r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FB4C28" w:rsidRPr="00BB47B6">
        <w:rPr>
          <w:rFonts w:ascii="Times New Roman" w:hAnsi="Times New Roman" w:cs="Times New Roman"/>
          <w:sz w:val="24"/>
          <w:szCs w:val="24"/>
        </w:rPr>
        <w:t>A priori</w:t>
      </w:r>
      <w:r w:rsidR="00403423" w:rsidRPr="00BB47B6">
        <w:rPr>
          <w:rFonts w:ascii="Times New Roman" w:hAnsi="Times New Roman" w:cs="Times New Roman"/>
          <w:sz w:val="24"/>
          <w:szCs w:val="24"/>
        </w:rPr>
        <w:t>,</w:t>
      </w:r>
      <w:r w:rsidR="00FB4C28" w:rsidRPr="00BB47B6">
        <w:rPr>
          <w:rFonts w:ascii="Times New Roman" w:hAnsi="Times New Roman" w:cs="Times New Roman"/>
          <w:sz w:val="24"/>
          <w:szCs w:val="24"/>
        </w:rPr>
        <w:t xml:space="preserve"> pollutants were included in analyses as unconstrained distribut</w:t>
      </w:r>
      <w:r w:rsidR="00A8331E">
        <w:rPr>
          <w:rFonts w:ascii="Times New Roman" w:hAnsi="Times New Roman" w:cs="Times New Roman"/>
          <w:sz w:val="24"/>
          <w:szCs w:val="24"/>
        </w:rPr>
        <w:t>ed</w:t>
      </w:r>
      <w:r w:rsidR="00FB4C28" w:rsidRPr="00BB47B6">
        <w:rPr>
          <w:rFonts w:ascii="Times New Roman" w:hAnsi="Times New Roman" w:cs="Times New Roman"/>
          <w:sz w:val="24"/>
          <w:szCs w:val="24"/>
        </w:rPr>
        <w:t xml:space="preserve"> lags 0-2</w:t>
      </w:r>
      <w:r w:rsidR="00F970DA">
        <w:rPr>
          <w:rFonts w:ascii="Times New Roman" w:hAnsi="Times New Roman" w:cs="Times New Roman"/>
          <w:sz w:val="24"/>
          <w:szCs w:val="24"/>
        </w:rPr>
        <w:t xml:space="preserve"> days</w:t>
      </w:r>
      <w:r w:rsidR="00FB4C28" w:rsidRPr="00BB47B6">
        <w:rPr>
          <w:rFonts w:ascii="Times New Roman" w:hAnsi="Times New Roman" w:cs="Times New Roman"/>
          <w:sz w:val="24"/>
          <w:szCs w:val="24"/>
        </w:rPr>
        <w:t xml:space="preserve"> (UDLM</w:t>
      </w:r>
      <w:r w:rsidR="00F84034">
        <w:rPr>
          <w:rFonts w:ascii="Times New Roman" w:hAnsi="Times New Roman" w:cs="Times New Roman"/>
          <w:sz w:val="24"/>
          <w:szCs w:val="24"/>
        </w:rPr>
        <w:t xml:space="preserve"> </w:t>
      </w:r>
      <w:r w:rsidR="00FB4C28" w:rsidRPr="00BB47B6">
        <w:rPr>
          <w:rFonts w:ascii="Times New Roman" w:hAnsi="Times New Roman" w:cs="Times New Roman"/>
          <w:sz w:val="24"/>
          <w:szCs w:val="24"/>
        </w:rPr>
        <w:t>0-2).</w:t>
      </w:r>
      <w:r w:rsidR="00F67593" w:rsidRPr="00BB47B6">
        <w:rPr>
          <w:rFonts w:ascii="Times New Roman" w:hAnsi="Times New Roman" w:cs="Times New Roman"/>
          <w:sz w:val="24"/>
          <w:szCs w:val="24"/>
        </w:rPr>
        <w:t xml:space="preserve"> Under the rare disease assumption, odds ratios from conditional logistic regression were interpreted as relative risks and are presented as such in tables and plots with their 95% confidence intervals.</w:t>
      </w:r>
    </w:p>
    <w:p w:rsidR="00F11176" w:rsidRPr="00BB47B6" w:rsidRDefault="003D11B0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Fonts w:ascii="Times New Roman" w:hAnsi="Times New Roman" w:cs="Times New Roman"/>
          <w:sz w:val="24"/>
          <w:szCs w:val="24"/>
        </w:rPr>
        <w:t xml:space="preserve">Possible effect modification by </w:t>
      </w:r>
      <w:r w:rsidR="00F11176" w:rsidRPr="00BB47B6">
        <w:rPr>
          <w:rFonts w:ascii="Times New Roman" w:hAnsi="Times New Roman" w:cs="Times New Roman"/>
          <w:sz w:val="24"/>
          <w:szCs w:val="24"/>
        </w:rPr>
        <w:t>season (</w:t>
      </w:r>
      <w:r w:rsidR="008E0B9B">
        <w:rPr>
          <w:rFonts w:ascii="Times New Roman" w:hAnsi="Times New Roman" w:cs="Times New Roman"/>
          <w:sz w:val="24"/>
          <w:szCs w:val="24"/>
        </w:rPr>
        <w:t>autumn=</w:t>
      </w:r>
      <w:r w:rsidR="00B47705">
        <w:rPr>
          <w:rFonts w:ascii="Times New Roman" w:hAnsi="Times New Roman" w:cs="Times New Roman"/>
          <w:sz w:val="24"/>
          <w:szCs w:val="24"/>
        </w:rPr>
        <w:t>S</w:t>
      </w:r>
      <w:r w:rsidR="000E7964">
        <w:rPr>
          <w:rFonts w:ascii="Times New Roman" w:hAnsi="Times New Roman" w:cs="Times New Roman"/>
          <w:sz w:val="24"/>
          <w:szCs w:val="24"/>
        </w:rPr>
        <w:t>ept</w:t>
      </w:r>
      <w:r w:rsidR="00FB597D">
        <w:rPr>
          <w:rFonts w:ascii="Times New Roman" w:hAnsi="Times New Roman" w:cs="Times New Roman"/>
          <w:sz w:val="24"/>
          <w:szCs w:val="24"/>
        </w:rPr>
        <w:t>ember</w:t>
      </w:r>
      <w:r w:rsidR="00B47705">
        <w:rPr>
          <w:rFonts w:ascii="Times New Roman" w:hAnsi="Times New Roman" w:cs="Times New Roman"/>
          <w:sz w:val="24"/>
          <w:szCs w:val="24"/>
        </w:rPr>
        <w:t>-</w:t>
      </w:r>
      <w:r w:rsidR="00FB597D">
        <w:rPr>
          <w:rFonts w:ascii="Times New Roman" w:hAnsi="Times New Roman" w:cs="Times New Roman"/>
          <w:sz w:val="24"/>
          <w:szCs w:val="24"/>
        </w:rPr>
        <w:t>November</w:t>
      </w:r>
      <w:r w:rsidR="008E0B9B">
        <w:rPr>
          <w:rFonts w:ascii="Times New Roman" w:hAnsi="Times New Roman" w:cs="Times New Roman"/>
          <w:sz w:val="24"/>
          <w:szCs w:val="24"/>
        </w:rPr>
        <w:t>, winter=</w:t>
      </w:r>
      <w:r w:rsidR="00FB597D">
        <w:rPr>
          <w:rFonts w:ascii="Times New Roman" w:hAnsi="Times New Roman" w:cs="Times New Roman"/>
          <w:sz w:val="24"/>
          <w:szCs w:val="24"/>
        </w:rPr>
        <w:t>December-Feb</w:t>
      </w:r>
      <w:r w:rsidR="008E0B9B">
        <w:rPr>
          <w:rFonts w:ascii="Times New Roman" w:hAnsi="Times New Roman" w:cs="Times New Roman"/>
          <w:sz w:val="24"/>
          <w:szCs w:val="24"/>
        </w:rPr>
        <w:t>ruary, spring=</w:t>
      </w:r>
      <w:r w:rsidR="000E7964">
        <w:rPr>
          <w:rFonts w:ascii="Times New Roman" w:hAnsi="Times New Roman" w:cs="Times New Roman"/>
          <w:sz w:val="24"/>
          <w:szCs w:val="24"/>
        </w:rPr>
        <w:t>March-May</w:t>
      </w:r>
      <w:r w:rsidR="00B47705">
        <w:rPr>
          <w:rFonts w:ascii="Times New Roman" w:hAnsi="Times New Roman" w:cs="Times New Roman"/>
          <w:sz w:val="24"/>
          <w:szCs w:val="24"/>
        </w:rPr>
        <w:t>;</w:t>
      </w:r>
      <w:r w:rsidR="00F11176" w:rsidRPr="00BB47B6">
        <w:rPr>
          <w:rFonts w:ascii="Times New Roman" w:hAnsi="Times New Roman" w:cs="Times New Roman"/>
          <w:sz w:val="24"/>
          <w:szCs w:val="24"/>
        </w:rPr>
        <w:t xml:space="preserve"> and </w:t>
      </w:r>
      <w:r w:rsidR="008E0B9B">
        <w:rPr>
          <w:rFonts w:ascii="Times New Roman" w:hAnsi="Times New Roman" w:cs="Times New Roman"/>
          <w:sz w:val="24"/>
          <w:szCs w:val="24"/>
        </w:rPr>
        <w:t>summer=</w:t>
      </w:r>
      <w:r w:rsidR="000E7964">
        <w:rPr>
          <w:rFonts w:ascii="Times New Roman" w:hAnsi="Times New Roman" w:cs="Times New Roman"/>
          <w:sz w:val="24"/>
          <w:szCs w:val="24"/>
        </w:rPr>
        <w:t>June-August</w:t>
      </w:r>
      <w:r w:rsidR="00F11176" w:rsidRPr="00BB47B6">
        <w:rPr>
          <w:rFonts w:ascii="Times New Roman" w:hAnsi="Times New Roman" w:cs="Times New Roman"/>
          <w:sz w:val="24"/>
          <w:szCs w:val="24"/>
        </w:rPr>
        <w:t xml:space="preserve">) </w:t>
      </w:r>
      <w:r w:rsidR="00403423" w:rsidRPr="00BB47B6">
        <w:rPr>
          <w:rFonts w:ascii="Times New Roman" w:hAnsi="Times New Roman" w:cs="Times New Roman"/>
          <w:sz w:val="24"/>
          <w:szCs w:val="24"/>
        </w:rPr>
        <w:t xml:space="preserve">and, where applicable, by </w:t>
      </w:r>
      <w:r w:rsidR="00235B45" w:rsidRPr="00BB47B6">
        <w:rPr>
          <w:rFonts w:ascii="Times New Roman" w:hAnsi="Times New Roman" w:cs="Times New Roman"/>
          <w:sz w:val="24"/>
          <w:szCs w:val="24"/>
        </w:rPr>
        <w:t>sex and age group (&lt;=64, 65-74, 75-84, &gt;=85), we</w:t>
      </w:r>
      <w:r w:rsidR="00493D86" w:rsidRPr="00BB47B6">
        <w:rPr>
          <w:rFonts w:ascii="Times New Roman" w:hAnsi="Times New Roman" w:cs="Times New Roman"/>
          <w:sz w:val="24"/>
          <w:szCs w:val="24"/>
        </w:rPr>
        <w:t>re</w:t>
      </w:r>
      <w:r w:rsidRPr="00BB47B6">
        <w:rPr>
          <w:rFonts w:ascii="Times New Roman" w:hAnsi="Times New Roman" w:cs="Times New Roman"/>
          <w:sz w:val="24"/>
          <w:szCs w:val="24"/>
        </w:rPr>
        <w:t xml:space="preserve"> investigated</w:t>
      </w:r>
      <w:r w:rsidR="00F11176" w:rsidRPr="00BB47B6">
        <w:rPr>
          <w:rFonts w:ascii="Times New Roman" w:hAnsi="Times New Roman" w:cs="Times New Roman"/>
          <w:sz w:val="24"/>
          <w:szCs w:val="24"/>
        </w:rPr>
        <w:t xml:space="preserve"> by including appropriate interaction terms in the </w:t>
      </w:r>
      <w:r w:rsidR="0030262F" w:rsidRPr="00BB47B6">
        <w:rPr>
          <w:rFonts w:ascii="Times New Roman" w:hAnsi="Times New Roman" w:cs="Times New Roman"/>
          <w:sz w:val="24"/>
          <w:szCs w:val="24"/>
        </w:rPr>
        <w:t xml:space="preserve">regression </w:t>
      </w:r>
      <w:r w:rsidR="00F11176" w:rsidRPr="00BB47B6">
        <w:rPr>
          <w:rFonts w:ascii="Times New Roman" w:hAnsi="Times New Roman" w:cs="Times New Roman"/>
          <w:sz w:val="24"/>
          <w:szCs w:val="24"/>
        </w:rPr>
        <w:t>model</w:t>
      </w:r>
      <w:r w:rsidR="0030262F" w:rsidRPr="00BB47B6">
        <w:rPr>
          <w:rFonts w:ascii="Times New Roman" w:hAnsi="Times New Roman" w:cs="Times New Roman"/>
          <w:sz w:val="24"/>
          <w:szCs w:val="24"/>
        </w:rPr>
        <w:t>s</w:t>
      </w:r>
      <w:r w:rsidR="00F11176" w:rsidRPr="00BB47B6">
        <w:rPr>
          <w:rFonts w:ascii="Times New Roman" w:hAnsi="Times New Roman" w:cs="Times New Roman"/>
          <w:sz w:val="24"/>
          <w:szCs w:val="24"/>
        </w:rPr>
        <w:t>, and testing for an improvement in fit using likelihood ratio tests.</w:t>
      </w:r>
      <w:r w:rsidRPr="00BB47B6">
        <w:rPr>
          <w:rFonts w:ascii="Times New Roman" w:hAnsi="Times New Roman" w:cs="Times New Roman"/>
          <w:sz w:val="24"/>
          <w:szCs w:val="24"/>
        </w:rPr>
        <w:t xml:space="preserve"> However</w:t>
      </w:r>
      <w:r w:rsidR="00C13FA2">
        <w:rPr>
          <w:rFonts w:ascii="Times New Roman" w:hAnsi="Times New Roman" w:cs="Times New Roman"/>
          <w:sz w:val="24"/>
          <w:szCs w:val="24"/>
        </w:rPr>
        <w:t>,</w:t>
      </w:r>
      <w:r w:rsidRPr="00BB47B6">
        <w:rPr>
          <w:rFonts w:ascii="Times New Roman" w:hAnsi="Times New Roman" w:cs="Times New Roman"/>
          <w:sz w:val="24"/>
          <w:szCs w:val="24"/>
        </w:rPr>
        <w:t xml:space="preserve"> when investigating effect modification by Government Office Region </w:t>
      </w:r>
      <w:r w:rsidR="008733F5" w:rsidRPr="00BB47B6">
        <w:rPr>
          <w:rFonts w:ascii="Times New Roman" w:hAnsi="Times New Roman" w:cs="Times New Roman"/>
          <w:sz w:val="24"/>
          <w:szCs w:val="24"/>
        </w:rPr>
        <w:t>(</w:t>
      </w:r>
      <w:r w:rsidR="00B9522D">
        <w:rPr>
          <w:rFonts w:ascii="Times New Roman" w:hAnsi="Times New Roman" w:cs="Times New Roman"/>
          <w:sz w:val="24"/>
          <w:szCs w:val="24"/>
        </w:rPr>
        <w:t>10 in England and Wales</w:t>
      </w:r>
      <w:r w:rsidR="008733F5" w:rsidRPr="00BB47B6">
        <w:rPr>
          <w:rFonts w:ascii="Times New Roman" w:hAnsi="Times New Roman" w:cs="Times New Roman"/>
          <w:sz w:val="24"/>
          <w:szCs w:val="24"/>
        </w:rPr>
        <w:t xml:space="preserve">) </w:t>
      </w:r>
      <w:r w:rsidRPr="00BB47B6">
        <w:rPr>
          <w:rFonts w:ascii="Times New Roman" w:hAnsi="Times New Roman" w:cs="Times New Roman"/>
          <w:sz w:val="24"/>
          <w:szCs w:val="24"/>
        </w:rPr>
        <w:t>a two</w:t>
      </w:r>
      <w:r w:rsidR="00B47705">
        <w:rPr>
          <w:rFonts w:ascii="Times New Roman" w:hAnsi="Times New Roman" w:cs="Times New Roman"/>
          <w:sz w:val="24"/>
          <w:szCs w:val="24"/>
        </w:rPr>
        <w:t>-</w:t>
      </w:r>
      <w:r w:rsidRPr="00BB47B6">
        <w:rPr>
          <w:rFonts w:ascii="Times New Roman" w:hAnsi="Times New Roman" w:cs="Times New Roman"/>
          <w:sz w:val="24"/>
          <w:szCs w:val="24"/>
        </w:rPr>
        <w:t xml:space="preserve">stage analysis was employed whereby odds ratios from </w:t>
      </w:r>
      <w:r w:rsidR="00B9295D">
        <w:rPr>
          <w:rFonts w:ascii="Times New Roman" w:hAnsi="Times New Roman" w:cs="Times New Roman"/>
          <w:sz w:val="24"/>
          <w:szCs w:val="24"/>
        </w:rPr>
        <w:t>region</w:t>
      </w:r>
      <w:r w:rsidR="00B9522D">
        <w:rPr>
          <w:rFonts w:ascii="Times New Roman" w:hAnsi="Times New Roman" w:cs="Times New Roman"/>
          <w:sz w:val="24"/>
          <w:szCs w:val="24"/>
        </w:rPr>
        <w:t>-</w:t>
      </w:r>
      <w:r w:rsidRPr="00BB47B6">
        <w:rPr>
          <w:rFonts w:ascii="Times New Roman" w:hAnsi="Times New Roman" w:cs="Times New Roman"/>
          <w:sz w:val="24"/>
          <w:szCs w:val="24"/>
        </w:rPr>
        <w:t>specific co</w:t>
      </w:r>
      <w:r w:rsidR="00E03747" w:rsidRPr="00BB47B6">
        <w:rPr>
          <w:rFonts w:ascii="Times New Roman" w:hAnsi="Times New Roman" w:cs="Times New Roman"/>
          <w:sz w:val="24"/>
          <w:szCs w:val="24"/>
        </w:rPr>
        <w:t xml:space="preserve">nditional logistic regressions </w:t>
      </w:r>
      <w:r w:rsidRPr="00BB47B6">
        <w:rPr>
          <w:rFonts w:ascii="Times New Roman" w:hAnsi="Times New Roman" w:cs="Times New Roman"/>
          <w:sz w:val="24"/>
          <w:szCs w:val="24"/>
        </w:rPr>
        <w:t>were meta-</w:t>
      </w:r>
      <w:r w:rsidR="00E03747" w:rsidRPr="00BB47B6">
        <w:rPr>
          <w:rFonts w:ascii="Times New Roman" w:hAnsi="Times New Roman" w:cs="Times New Roman"/>
          <w:sz w:val="24"/>
          <w:szCs w:val="24"/>
        </w:rPr>
        <w:t>analysed using METAN in STATA12</w:t>
      </w:r>
      <w:r w:rsidR="00893505">
        <w:rPr>
          <w:rFonts w:ascii="Times New Roman" w:hAnsi="Times New Roman" w:cs="Times New Roman"/>
          <w:sz w:val="24"/>
          <w:szCs w:val="24"/>
        </w:rPr>
        <w:t>,</w:t>
      </w:r>
      <w:r w:rsidR="002D44E7" w:rsidRPr="00BB47B6">
        <w:rPr>
          <w:rFonts w:ascii="Times New Roman" w:hAnsi="Times New Roman" w:cs="Times New Roman"/>
          <w:sz w:val="24"/>
          <w:szCs w:val="24"/>
        </w:rPr>
        <w:t>[</w:t>
      </w:r>
      <w:r w:rsidR="00DD0145" w:rsidRPr="00BB47B6">
        <w:rPr>
          <w:rFonts w:ascii="Times New Roman" w:hAnsi="Times New Roman" w:cs="Times New Roman"/>
          <w:sz w:val="24"/>
          <w:szCs w:val="24"/>
        </w:rPr>
        <w:t>2</w:t>
      </w:r>
      <w:r w:rsidR="00175127">
        <w:rPr>
          <w:rFonts w:ascii="Times New Roman" w:hAnsi="Times New Roman" w:cs="Times New Roman"/>
          <w:sz w:val="24"/>
          <w:szCs w:val="24"/>
        </w:rPr>
        <w:t>7</w:t>
      </w:r>
      <w:r w:rsidR="002D44E7" w:rsidRPr="00BB47B6">
        <w:rPr>
          <w:rFonts w:ascii="Times New Roman" w:hAnsi="Times New Roman" w:cs="Times New Roman"/>
          <w:sz w:val="24"/>
          <w:szCs w:val="24"/>
        </w:rPr>
        <w:t xml:space="preserve">] </w:t>
      </w:r>
      <w:r w:rsidR="00E03747" w:rsidRPr="00BB47B6">
        <w:rPr>
          <w:rFonts w:ascii="Times New Roman" w:hAnsi="Times New Roman" w:cs="Times New Roman"/>
          <w:sz w:val="24"/>
          <w:szCs w:val="24"/>
        </w:rPr>
        <w:t xml:space="preserve">to obtain </w:t>
      </w:r>
      <w:r w:rsidR="00235B45" w:rsidRPr="00BB47B6">
        <w:rPr>
          <w:rFonts w:ascii="Times New Roman" w:hAnsi="Times New Roman" w:cs="Times New Roman"/>
          <w:sz w:val="24"/>
          <w:szCs w:val="24"/>
        </w:rPr>
        <w:t xml:space="preserve">overall relative risks (across all regions), sub-total relative risks for </w:t>
      </w:r>
      <w:r w:rsidR="00235B45" w:rsidRPr="00BB47B6">
        <w:rPr>
          <w:rFonts w:ascii="Times New Roman" w:hAnsi="Times New Roman" w:cs="Times New Roman"/>
          <w:sz w:val="24"/>
          <w:szCs w:val="24"/>
        </w:rPr>
        <w:lastRenderedPageBreak/>
        <w:t xml:space="preserve">each of </w:t>
      </w:r>
      <w:r w:rsidR="00C13FA2">
        <w:rPr>
          <w:rFonts w:ascii="Times New Roman" w:hAnsi="Times New Roman" w:cs="Times New Roman"/>
          <w:sz w:val="24"/>
          <w:szCs w:val="24"/>
        </w:rPr>
        <w:t>three</w:t>
      </w:r>
      <w:r w:rsidR="00FB597D">
        <w:rPr>
          <w:rFonts w:ascii="Times New Roman" w:hAnsi="Times New Roman" w:cs="Times New Roman"/>
          <w:sz w:val="24"/>
          <w:szCs w:val="24"/>
        </w:rPr>
        <w:t xml:space="preserve"> broad</w:t>
      </w:r>
      <w:r w:rsidR="0038489A">
        <w:rPr>
          <w:rFonts w:ascii="Times New Roman" w:hAnsi="Times New Roman" w:cs="Times New Roman"/>
          <w:sz w:val="24"/>
          <w:szCs w:val="24"/>
        </w:rPr>
        <w:t>er</w:t>
      </w:r>
      <w:r w:rsidR="00235B45" w:rsidRPr="00BB47B6">
        <w:rPr>
          <w:rFonts w:ascii="Times New Roman" w:hAnsi="Times New Roman" w:cs="Times New Roman"/>
          <w:sz w:val="24"/>
          <w:szCs w:val="24"/>
        </w:rPr>
        <w:t xml:space="preserve"> areas </w:t>
      </w:r>
      <w:r w:rsidR="00D76438">
        <w:rPr>
          <w:rFonts w:ascii="Times New Roman" w:hAnsi="Times New Roman" w:cs="Times New Roman"/>
          <w:sz w:val="24"/>
          <w:szCs w:val="24"/>
        </w:rPr>
        <w:t xml:space="preserve">or “super regions” </w:t>
      </w:r>
      <w:r w:rsidR="00235B45" w:rsidRPr="00BB47B6">
        <w:rPr>
          <w:rFonts w:ascii="Times New Roman" w:hAnsi="Times New Roman" w:cs="Times New Roman"/>
          <w:sz w:val="24"/>
          <w:szCs w:val="24"/>
        </w:rPr>
        <w:t xml:space="preserve">(i.e. the North, Midlands and the South) and tests of heterogeneity both between regions and between </w:t>
      </w:r>
      <w:r w:rsidR="00D76438">
        <w:rPr>
          <w:rFonts w:ascii="Times New Roman" w:hAnsi="Times New Roman" w:cs="Times New Roman"/>
          <w:sz w:val="24"/>
          <w:szCs w:val="24"/>
        </w:rPr>
        <w:t>“super regions”</w:t>
      </w:r>
      <w:r w:rsidR="00235B45" w:rsidRPr="00BB47B6">
        <w:rPr>
          <w:rFonts w:ascii="Times New Roman" w:hAnsi="Times New Roman" w:cs="Times New Roman"/>
          <w:sz w:val="24"/>
          <w:szCs w:val="24"/>
        </w:rPr>
        <w:t>.</w:t>
      </w:r>
      <w:r w:rsidR="00FB597D">
        <w:rPr>
          <w:rFonts w:ascii="Times New Roman" w:hAnsi="Times New Roman" w:cs="Times New Roman"/>
          <w:sz w:val="24"/>
          <w:szCs w:val="24"/>
        </w:rPr>
        <w:t xml:space="preserve"> This approach facilitated region-specific covariate adjustment.</w:t>
      </w:r>
    </w:p>
    <w:p w:rsidR="0060545C" w:rsidRPr="00BB47B6" w:rsidRDefault="00DD69D9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47B6">
        <w:rPr>
          <w:rFonts w:ascii="Times New Roman" w:hAnsi="Times New Roman" w:cs="Times New Roman"/>
          <w:sz w:val="24"/>
          <w:szCs w:val="24"/>
        </w:rPr>
        <w:t xml:space="preserve">Underlying our analyses is the assumption that any association between </w:t>
      </w:r>
      <w:r w:rsidR="00A8331E">
        <w:rPr>
          <w:rFonts w:ascii="Times New Roman" w:hAnsi="Times New Roman" w:cs="Times New Roman"/>
          <w:sz w:val="24"/>
          <w:szCs w:val="24"/>
        </w:rPr>
        <w:t>MI</w:t>
      </w:r>
      <w:r w:rsidRPr="00BB47B6">
        <w:rPr>
          <w:rFonts w:ascii="Times New Roman" w:hAnsi="Times New Roman" w:cs="Times New Roman"/>
          <w:sz w:val="24"/>
          <w:szCs w:val="24"/>
        </w:rPr>
        <w:t xml:space="preserve"> and pollution is </w:t>
      </w:r>
      <w:r w:rsidR="00F67593" w:rsidRPr="00BB47B6">
        <w:rPr>
          <w:rFonts w:ascii="Times New Roman" w:hAnsi="Times New Roman" w:cs="Times New Roman"/>
          <w:sz w:val="24"/>
          <w:szCs w:val="24"/>
        </w:rPr>
        <w:t xml:space="preserve">approximately </w:t>
      </w:r>
      <w:r w:rsidRPr="00BB47B6">
        <w:rPr>
          <w:rFonts w:ascii="Times New Roman" w:hAnsi="Times New Roman" w:cs="Times New Roman"/>
          <w:sz w:val="24"/>
          <w:szCs w:val="24"/>
        </w:rPr>
        <w:t xml:space="preserve">log-linear. This assumption was investigated in sensitivity analysis by fitting </w:t>
      </w:r>
      <w:r w:rsidR="000C2760">
        <w:rPr>
          <w:rFonts w:ascii="Times New Roman" w:hAnsi="Times New Roman" w:cs="Times New Roman"/>
          <w:sz w:val="24"/>
          <w:szCs w:val="24"/>
        </w:rPr>
        <w:t>natural</w:t>
      </w:r>
      <w:r w:rsidRPr="00BB47B6">
        <w:rPr>
          <w:rFonts w:ascii="Times New Roman" w:hAnsi="Times New Roman" w:cs="Times New Roman"/>
          <w:sz w:val="24"/>
          <w:szCs w:val="24"/>
        </w:rPr>
        <w:t xml:space="preserve"> cubic splines </w:t>
      </w:r>
      <w:r w:rsidR="00DA0227">
        <w:rPr>
          <w:rFonts w:ascii="Times New Roman" w:hAnsi="Times New Roman" w:cs="Times New Roman"/>
          <w:sz w:val="24"/>
          <w:szCs w:val="24"/>
        </w:rPr>
        <w:t>(each with 2 df)</w:t>
      </w:r>
      <w:r w:rsidRPr="00BB47B6">
        <w:rPr>
          <w:rFonts w:ascii="Times New Roman" w:hAnsi="Times New Roman" w:cs="Times New Roman"/>
          <w:sz w:val="24"/>
          <w:szCs w:val="24"/>
        </w:rPr>
        <w:t xml:space="preserve"> to simple pollutant averages (averaged over lags</w:t>
      </w:r>
      <w:r w:rsidR="00E03747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Pr="00BB47B6">
        <w:rPr>
          <w:rFonts w:ascii="Times New Roman" w:hAnsi="Times New Roman" w:cs="Times New Roman"/>
          <w:sz w:val="24"/>
          <w:szCs w:val="24"/>
        </w:rPr>
        <w:t xml:space="preserve">0-2) and testing for non-linearity using the Wald </w:t>
      </w:r>
      <w:r w:rsidR="00B47705">
        <w:rPr>
          <w:rFonts w:ascii="Times New Roman" w:hAnsi="Times New Roman" w:cs="Times New Roman"/>
          <w:sz w:val="24"/>
          <w:szCs w:val="24"/>
        </w:rPr>
        <w:t>c</w:t>
      </w:r>
      <w:r w:rsidRPr="00BB47B6">
        <w:rPr>
          <w:rFonts w:ascii="Times New Roman" w:hAnsi="Times New Roman" w:cs="Times New Roman"/>
          <w:sz w:val="24"/>
          <w:szCs w:val="24"/>
        </w:rPr>
        <w:t>hi-square tests</w:t>
      </w:r>
      <w:r w:rsidR="00DA0227">
        <w:rPr>
          <w:rFonts w:ascii="Times New Roman" w:hAnsi="Times New Roman" w:cs="Times New Roman"/>
          <w:sz w:val="24"/>
          <w:szCs w:val="24"/>
        </w:rPr>
        <w:t xml:space="preserve"> (df =1)</w:t>
      </w:r>
      <w:r w:rsidRPr="00BB47B6">
        <w:rPr>
          <w:rFonts w:ascii="Times New Roman" w:hAnsi="Times New Roman" w:cs="Times New Roman"/>
          <w:sz w:val="24"/>
          <w:szCs w:val="24"/>
        </w:rPr>
        <w:t>.</w:t>
      </w:r>
    </w:p>
    <w:p w:rsidR="00C757AF" w:rsidRDefault="00CC0CAE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E94217" w:rsidRDefault="00F80ED5" w:rsidP="00676770">
      <w:pPr>
        <w:spacing w:beforeLines="120" w:before="288" w:afterLines="120" w:after="288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excluded records</w:t>
      </w:r>
      <w:r w:rsidR="00EC609F">
        <w:rPr>
          <w:rFonts w:ascii="Times New Roman" w:hAnsi="Times New Roman" w:cs="Times New Roman"/>
          <w:sz w:val="24"/>
          <w:szCs w:val="24"/>
        </w:rPr>
        <w:t xml:space="preserve"> with missing data on exposures or covariates, our main analysis was</w:t>
      </w:r>
      <w:r w:rsidR="00262CB9">
        <w:rPr>
          <w:rFonts w:ascii="Times New Roman" w:hAnsi="Times New Roman" w:cs="Times New Roman"/>
          <w:sz w:val="24"/>
          <w:szCs w:val="24"/>
        </w:rPr>
        <w:t xml:space="preserve"> </w:t>
      </w:r>
      <w:r w:rsidR="008733F5" w:rsidRPr="00BB47B6">
        <w:rPr>
          <w:rFonts w:ascii="Times New Roman" w:hAnsi="Times New Roman" w:cs="Times New Roman"/>
          <w:sz w:val="24"/>
          <w:szCs w:val="24"/>
        </w:rPr>
        <w:t xml:space="preserve">based on 626,239 </w:t>
      </w:r>
      <w:r w:rsidR="00C33F48">
        <w:rPr>
          <w:rFonts w:ascii="Times New Roman" w:hAnsi="Times New Roman" w:cs="Times New Roman"/>
          <w:sz w:val="24"/>
          <w:szCs w:val="24"/>
        </w:rPr>
        <w:t>events occurring during the study period (i.e. 2003-2010) and recorded on the MINAP database</w:t>
      </w:r>
      <w:r w:rsidR="00E2377C">
        <w:rPr>
          <w:rFonts w:ascii="Times New Roman" w:hAnsi="Times New Roman" w:cs="Times New Roman"/>
          <w:sz w:val="24"/>
          <w:szCs w:val="24"/>
        </w:rPr>
        <w:t xml:space="preserve">. The number of control days ranged from 1-4 per case but with less than 1% of cases matched to only 1 or 2 controls. </w:t>
      </w:r>
      <w:r w:rsidR="00A1760F">
        <w:rPr>
          <w:rFonts w:ascii="Times New Roman" w:hAnsi="Times New Roman" w:cs="Times New Roman"/>
          <w:sz w:val="24"/>
          <w:szCs w:val="24"/>
        </w:rPr>
        <w:t xml:space="preserve"> O</w:t>
      </w:r>
      <w:r w:rsidR="008733F5" w:rsidRPr="00BB47B6">
        <w:rPr>
          <w:rFonts w:ascii="Times New Roman" w:hAnsi="Times New Roman" w:cs="Times New Roman"/>
          <w:sz w:val="24"/>
          <w:szCs w:val="24"/>
        </w:rPr>
        <w:t>f</w:t>
      </w:r>
      <w:r w:rsidR="008753A5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A1760F">
        <w:rPr>
          <w:rFonts w:ascii="Times New Roman" w:hAnsi="Times New Roman" w:cs="Times New Roman"/>
          <w:sz w:val="24"/>
          <w:szCs w:val="24"/>
        </w:rPr>
        <w:t>the</w:t>
      </w:r>
      <w:r w:rsidR="008A0445">
        <w:rPr>
          <w:rFonts w:ascii="Times New Roman" w:hAnsi="Times New Roman" w:cs="Times New Roman"/>
          <w:sz w:val="24"/>
          <w:szCs w:val="24"/>
        </w:rPr>
        <w:t>se</w:t>
      </w:r>
      <w:r w:rsidR="00E2377C">
        <w:rPr>
          <w:rFonts w:ascii="Times New Roman" w:hAnsi="Times New Roman" w:cs="Times New Roman"/>
          <w:sz w:val="24"/>
          <w:szCs w:val="24"/>
        </w:rPr>
        <w:t xml:space="preserve"> 626,239</w:t>
      </w:r>
      <w:r w:rsidR="008A0445">
        <w:rPr>
          <w:rFonts w:ascii="Times New Roman" w:hAnsi="Times New Roman" w:cs="Times New Roman"/>
          <w:sz w:val="24"/>
          <w:szCs w:val="24"/>
        </w:rPr>
        <w:t xml:space="preserve"> events</w:t>
      </w:r>
      <w:r w:rsidR="008753A5" w:rsidRPr="00BB47B6">
        <w:rPr>
          <w:rFonts w:ascii="Times New Roman" w:hAnsi="Times New Roman" w:cs="Times New Roman"/>
          <w:sz w:val="24"/>
          <w:szCs w:val="24"/>
        </w:rPr>
        <w:t>: 202,</w:t>
      </w:r>
      <w:r w:rsidR="00580A41">
        <w:rPr>
          <w:rFonts w:ascii="Times New Roman" w:hAnsi="Times New Roman" w:cs="Times New Roman"/>
          <w:sz w:val="24"/>
          <w:szCs w:val="24"/>
        </w:rPr>
        <w:t>550</w:t>
      </w:r>
      <w:r w:rsidR="008753A5" w:rsidRPr="00BB47B6">
        <w:rPr>
          <w:rFonts w:ascii="Times New Roman" w:hAnsi="Times New Roman" w:cs="Times New Roman"/>
          <w:sz w:val="24"/>
          <w:szCs w:val="24"/>
        </w:rPr>
        <w:t xml:space="preserve"> were diagnosed on discharge</w:t>
      </w:r>
      <w:r w:rsidR="008733F5" w:rsidRPr="00BB47B6">
        <w:rPr>
          <w:rFonts w:ascii="Times New Roman" w:hAnsi="Times New Roman" w:cs="Times New Roman"/>
          <w:sz w:val="24"/>
          <w:szCs w:val="24"/>
        </w:rPr>
        <w:t xml:space="preserve"> as STEMI; 322,</w:t>
      </w:r>
      <w:r>
        <w:rPr>
          <w:rFonts w:ascii="Times New Roman" w:hAnsi="Times New Roman" w:cs="Times New Roman"/>
          <w:sz w:val="24"/>
          <w:szCs w:val="24"/>
        </w:rPr>
        <w:t>198</w:t>
      </w:r>
      <w:r w:rsidR="00830C68">
        <w:rPr>
          <w:rFonts w:ascii="Times New Roman" w:hAnsi="Times New Roman" w:cs="Times New Roman"/>
          <w:sz w:val="24"/>
          <w:szCs w:val="24"/>
        </w:rPr>
        <w:t xml:space="preserve"> as </w:t>
      </w:r>
      <w:r w:rsidR="008733F5" w:rsidRPr="00BB47B6">
        <w:rPr>
          <w:rFonts w:ascii="Times New Roman" w:hAnsi="Times New Roman" w:cs="Times New Roman"/>
          <w:sz w:val="24"/>
          <w:szCs w:val="24"/>
        </w:rPr>
        <w:t>NSTEMI</w:t>
      </w:r>
      <w:r w:rsidR="008A0445">
        <w:rPr>
          <w:rFonts w:ascii="Times New Roman" w:hAnsi="Times New Roman" w:cs="Times New Roman"/>
          <w:sz w:val="24"/>
          <w:szCs w:val="24"/>
        </w:rPr>
        <w:t xml:space="preserve"> and </w:t>
      </w:r>
      <w:r w:rsidR="00A0340D">
        <w:rPr>
          <w:rFonts w:ascii="Times New Roman" w:hAnsi="Times New Roman" w:cs="Times New Roman"/>
          <w:sz w:val="24"/>
          <w:szCs w:val="24"/>
        </w:rPr>
        <w:t>37,579 as ACS (troponin negative)</w:t>
      </w:r>
      <w:r w:rsidR="008A0445">
        <w:rPr>
          <w:rFonts w:ascii="Times New Roman" w:hAnsi="Times New Roman" w:cs="Times New Roman"/>
          <w:sz w:val="24"/>
          <w:szCs w:val="24"/>
        </w:rPr>
        <w:t>. T</w:t>
      </w:r>
      <w:r w:rsidR="00890497">
        <w:rPr>
          <w:rFonts w:ascii="Times New Roman" w:hAnsi="Times New Roman" w:cs="Times New Roman"/>
          <w:sz w:val="24"/>
          <w:szCs w:val="24"/>
        </w:rPr>
        <w:t xml:space="preserve">he remaining </w:t>
      </w:r>
      <w:r w:rsidR="00DD6A0D">
        <w:rPr>
          <w:rFonts w:ascii="Times New Roman" w:hAnsi="Times New Roman" w:cs="Times New Roman"/>
          <w:sz w:val="24"/>
          <w:szCs w:val="24"/>
        </w:rPr>
        <w:t xml:space="preserve">63,912 had discharge diagnoses including </w:t>
      </w:r>
      <w:r w:rsidR="00A0340D">
        <w:rPr>
          <w:rFonts w:ascii="Times New Roman" w:hAnsi="Times New Roman" w:cs="Times New Roman"/>
          <w:sz w:val="24"/>
          <w:szCs w:val="24"/>
        </w:rPr>
        <w:t>threatened MI, chest pain of uncertain ca</w:t>
      </w:r>
      <w:r w:rsidR="00DD6A0D">
        <w:rPr>
          <w:rFonts w:ascii="Times New Roman" w:hAnsi="Times New Roman" w:cs="Times New Roman"/>
          <w:sz w:val="24"/>
          <w:szCs w:val="24"/>
        </w:rPr>
        <w:t>use, unconfirmed MI</w:t>
      </w:r>
      <w:r w:rsidR="00A0340D">
        <w:rPr>
          <w:rFonts w:ascii="Times New Roman" w:hAnsi="Times New Roman" w:cs="Times New Roman"/>
          <w:sz w:val="24"/>
          <w:szCs w:val="24"/>
        </w:rPr>
        <w:t>, Takotsubo Cardiomyopathy</w:t>
      </w:r>
      <w:r w:rsidR="00DD6A0D">
        <w:rPr>
          <w:rFonts w:ascii="Times New Roman" w:hAnsi="Times New Roman" w:cs="Times New Roman"/>
          <w:sz w:val="24"/>
          <w:szCs w:val="24"/>
        </w:rPr>
        <w:t>, ACS</w:t>
      </w:r>
      <w:r w:rsidR="003F7904">
        <w:rPr>
          <w:rFonts w:ascii="Times New Roman" w:hAnsi="Times New Roman" w:cs="Times New Roman"/>
          <w:sz w:val="24"/>
          <w:szCs w:val="24"/>
        </w:rPr>
        <w:t xml:space="preserve"> </w:t>
      </w:r>
      <w:r w:rsidR="00DD6A0D">
        <w:rPr>
          <w:rFonts w:ascii="Times New Roman" w:hAnsi="Times New Roman" w:cs="Times New Roman"/>
          <w:sz w:val="24"/>
          <w:szCs w:val="24"/>
        </w:rPr>
        <w:t xml:space="preserve">(troponin unspecified), </w:t>
      </w:r>
      <w:r w:rsidR="00A0340D">
        <w:rPr>
          <w:rFonts w:ascii="Times New Roman" w:hAnsi="Times New Roman" w:cs="Times New Roman"/>
          <w:sz w:val="24"/>
          <w:szCs w:val="24"/>
        </w:rPr>
        <w:t>PCI related MI</w:t>
      </w:r>
      <w:r w:rsidR="00DD6A0D">
        <w:rPr>
          <w:rFonts w:ascii="Times New Roman" w:hAnsi="Times New Roman" w:cs="Times New Roman"/>
          <w:sz w:val="24"/>
          <w:szCs w:val="24"/>
        </w:rPr>
        <w:t xml:space="preserve"> and o</w:t>
      </w:r>
      <w:r w:rsidR="0072348D">
        <w:rPr>
          <w:rFonts w:ascii="Times New Roman" w:hAnsi="Times New Roman" w:cs="Times New Roman"/>
          <w:sz w:val="24"/>
          <w:szCs w:val="24"/>
        </w:rPr>
        <w:t xml:space="preserve">ther </w:t>
      </w:r>
      <w:r w:rsidR="00B63A1E">
        <w:rPr>
          <w:rFonts w:ascii="Times New Roman" w:hAnsi="Times New Roman" w:cs="Times New Roman"/>
          <w:sz w:val="24"/>
          <w:szCs w:val="24"/>
        </w:rPr>
        <w:t>(i.e. admitted with clinical suspicion of cardiac pain but diagnosis other than cardiac ischaemia confirmed)</w:t>
      </w:r>
      <w:r w:rsidR="008733F5" w:rsidRPr="00BB47B6">
        <w:rPr>
          <w:rFonts w:ascii="Times New Roman" w:hAnsi="Times New Roman" w:cs="Times New Roman"/>
          <w:sz w:val="24"/>
          <w:szCs w:val="24"/>
        </w:rPr>
        <w:t>. Our definition of ALL MI</w:t>
      </w:r>
      <w:r w:rsidR="008A0445">
        <w:rPr>
          <w:rFonts w:ascii="Times New Roman" w:hAnsi="Times New Roman" w:cs="Times New Roman"/>
          <w:sz w:val="24"/>
          <w:szCs w:val="24"/>
        </w:rPr>
        <w:t xml:space="preserve"> includes all 626,239 events and</w:t>
      </w:r>
      <w:r w:rsidR="008733F5" w:rsidRPr="00BB47B6">
        <w:rPr>
          <w:rFonts w:ascii="Times New Roman" w:hAnsi="Times New Roman" w:cs="Times New Roman"/>
          <w:sz w:val="24"/>
          <w:szCs w:val="24"/>
        </w:rPr>
        <w:t xml:space="preserve"> is </w:t>
      </w:r>
      <w:r w:rsidR="00AF1C6A" w:rsidRPr="00BB47B6">
        <w:rPr>
          <w:rFonts w:ascii="Times New Roman" w:hAnsi="Times New Roman" w:cs="Times New Roman"/>
          <w:sz w:val="24"/>
          <w:szCs w:val="24"/>
        </w:rPr>
        <w:t>therefore broad and</w:t>
      </w:r>
      <w:r w:rsidR="00403423" w:rsidRPr="00BB47B6">
        <w:rPr>
          <w:rFonts w:ascii="Times New Roman" w:hAnsi="Times New Roman" w:cs="Times New Roman"/>
          <w:sz w:val="24"/>
          <w:szCs w:val="24"/>
        </w:rPr>
        <w:t xml:space="preserve"> inclusive</w:t>
      </w:r>
      <w:r w:rsidR="00E735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median (interquartile range) age in years of cases was 70.6 (59.1-80</w:t>
      </w:r>
      <w:r w:rsidR="00E735A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) for ALL MI, 66.2 (56</w:t>
      </w:r>
      <w:r w:rsidR="00E735A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-76.5) for STEMI and 74.2 (63.2-82.4) for NSTEMI and the percentage (n/N) male was 65% (404,374/624,926)</w:t>
      </w:r>
      <w:r w:rsidR="002F007A">
        <w:rPr>
          <w:rFonts w:ascii="Times New Roman" w:hAnsi="Times New Roman" w:cs="Times New Roman"/>
          <w:sz w:val="24"/>
          <w:szCs w:val="24"/>
        </w:rPr>
        <w:t>, 70% (141,971</w:t>
      </w:r>
      <w:r w:rsidR="005C5176">
        <w:rPr>
          <w:rFonts w:ascii="Times New Roman" w:hAnsi="Times New Roman" w:cs="Times New Roman"/>
          <w:sz w:val="24"/>
          <w:szCs w:val="24"/>
        </w:rPr>
        <w:t>/202,024) and 62% (199,216/321,633) respectively.</w:t>
      </w:r>
    </w:p>
    <w:tbl>
      <w:tblPr>
        <w:tblStyle w:val="TableGrid2"/>
        <w:tblW w:w="9288" w:type="dxa"/>
        <w:tblInd w:w="0" w:type="dxa"/>
        <w:tblLook w:val="04A0" w:firstRow="1" w:lastRow="0" w:firstColumn="1" w:lastColumn="0" w:noHBand="0" w:noVBand="1"/>
      </w:tblPr>
      <w:tblGrid>
        <w:gridCol w:w="2538"/>
        <w:gridCol w:w="2160"/>
        <w:gridCol w:w="2340"/>
        <w:gridCol w:w="2250"/>
      </w:tblGrid>
      <w:tr w:rsidR="00745E06" w:rsidRPr="006926CE" w:rsidTr="00676770">
        <w:tc>
          <w:tcPr>
            <w:tcW w:w="9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E06" w:rsidRPr="00E84C1E" w:rsidRDefault="00745E06" w:rsidP="00492893">
            <w:pPr>
              <w:rPr>
                <w:rFonts w:ascii="Times New Roman" w:hAnsi="Times New Roman"/>
                <w:b/>
              </w:rPr>
            </w:pPr>
          </w:p>
          <w:p w:rsidR="00745E06" w:rsidRPr="00676770" w:rsidRDefault="00745E06" w:rsidP="00492893">
            <w:pPr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  <w:b/>
              </w:rPr>
              <w:t xml:space="preserve">Table 1 </w:t>
            </w:r>
            <w:r w:rsidRPr="00E84C1E">
              <w:rPr>
                <w:rFonts w:ascii="Times New Roman" w:hAnsi="Times New Roman"/>
              </w:rPr>
              <w:t>Estimat</w:t>
            </w:r>
            <w:r w:rsidR="00B9522D">
              <w:rPr>
                <w:rFonts w:ascii="Times New Roman" w:hAnsi="Times New Roman"/>
              </w:rPr>
              <w:t>es for</w:t>
            </w:r>
            <w:r w:rsidRPr="00E84C1E">
              <w:rPr>
                <w:rFonts w:ascii="Times New Roman" w:hAnsi="Times New Roman"/>
              </w:rPr>
              <w:t xml:space="preserve"> the percentage change in risk [95% CI] per 10 µg/m</w:t>
            </w:r>
            <w:r w:rsidRPr="00E84C1E">
              <w:rPr>
                <w:rFonts w:ascii="Times New Roman" w:hAnsi="Times New Roman"/>
                <w:vertAlign w:val="superscript"/>
              </w:rPr>
              <w:t>3</w:t>
            </w:r>
            <w:r w:rsidRPr="00E84C1E">
              <w:rPr>
                <w:rFonts w:ascii="Times New Roman" w:hAnsi="Times New Roman"/>
              </w:rPr>
              <w:t xml:space="preserve"> increase in pollutant: S</w:t>
            </w:r>
            <w:r>
              <w:rPr>
                <w:rFonts w:ascii="Times New Roman" w:hAnsi="Times New Roman"/>
              </w:rPr>
              <w:t>ingle and two pollutant models*</w:t>
            </w:r>
          </w:p>
        </w:tc>
      </w:tr>
      <w:tr w:rsidR="00745E06" w:rsidRPr="006926CE" w:rsidTr="00676770"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5E06" w:rsidRPr="00E84C1E" w:rsidRDefault="00745E06" w:rsidP="00492893">
            <w:pPr>
              <w:rPr>
                <w:rFonts w:ascii="Times New Roman" w:hAnsi="Times New Roman"/>
                <w:b/>
              </w:rPr>
            </w:pPr>
          </w:p>
          <w:p w:rsidR="00745E06" w:rsidRDefault="00745E06" w:rsidP="00492893">
            <w:pPr>
              <w:rPr>
                <w:rFonts w:ascii="Times New Roman" w:hAnsi="Times New Roman"/>
                <w:b/>
              </w:rPr>
            </w:pPr>
          </w:p>
          <w:p w:rsidR="00745E06" w:rsidRPr="00E84C1E" w:rsidRDefault="00745E06" w:rsidP="00492893">
            <w:pPr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  <w:b/>
              </w:rPr>
              <w:t>Pollutant</w:t>
            </w:r>
            <w:r w:rsidR="00970045">
              <w:rPr>
                <w:rFonts w:ascii="Times New Roman" w:hAnsi="Times New Roman"/>
                <w:b/>
              </w:rPr>
              <w:t>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E06" w:rsidRPr="00E84C1E" w:rsidRDefault="00745E06" w:rsidP="00492893">
            <w:pPr>
              <w:jc w:val="right"/>
              <w:rPr>
                <w:rFonts w:ascii="Times New Roman" w:hAnsi="Times New Roman"/>
                <w:b/>
              </w:rPr>
            </w:pPr>
          </w:p>
          <w:p w:rsidR="00745E06" w:rsidRDefault="00745E06" w:rsidP="00492893">
            <w:pPr>
              <w:jc w:val="right"/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  <w:b/>
              </w:rPr>
              <w:lastRenderedPageBreak/>
              <w:t>All MI</w:t>
            </w:r>
          </w:p>
          <w:p w:rsidR="00745E06" w:rsidRDefault="00745E06" w:rsidP="00492893">
            <w:pPr>
              <w:jc w:val="right"/>
              <w:rPr>
                <w:rFonts w:ascii="Times New Roman" w:hAnsi="Times New Roman"/>
                <w:b/>
              </w:rPr>
            </w:pPr>
          </w:p>
          <w:p w:rsidR="00745E06" w:rsidRPr="00E84C1E" w:rsidRDefault="00745E06" w:rsidP="0049289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change [95% CI]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5E06" w:rsidRPr="00E84C1E" w:rsidRDefault="00745E06" w:rsidP="00492893">
            <w:pPr>
              <w:jc w:val="right"/>
              <w:rPr>
                <w:rFonts w:ascii="Times New Roman" w:hAnsi="Times New Roman"/>
                <w:b/>
              </w:rPr>
            </w:pPr>
          </w:p>
          <w:p w:rsidR="00745E06" w:rsidRDefault="00745E06" w:rsidP="00492893">
            <w:pPr>
              <w:jc w:val="right"/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  <w:b/>
              </w:rPr>
              <w:lastRenderedPageBreak/>
              <w:t>STEMI</w:t>
            </w:r>
          </w:p>
          <w:p w:rsidR="00745E06" w:rsidRDefault="00745E06" w:rsidP="00492893">
            <w:pPr>
              <w:jc w:val="right"/>
              <w:rPr>
                <w:rFonts w:ascii="Times New Roman" w:hAnsi="Times New Roman"/>
                <w:b/>
              </w:rPr>
            </w:pPr>
          </w:p>
          <w:p w:rsidR="00745E06" w:rsidRPr="00E84C1E" w:rsidRDefault="00745E06" w:rsidP="0049289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change [95% CI]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5E06" w:rsidRPr="00E84C1E" w:rsidRDefault="00745E06" w:rsidP="00492893">
            <w:pPr>
              <w:jc w:val="right"/>
              <w:rPr>
                <w:rFonts w:ascii="Times New Roman" w:hAnsi="Times New Roman"/>
                <w:b/>
              </w:rPr>
            </w:pPr>
          </w:p>
          <w:p w:rsidR="00745E06" w:rsidRDefault="00745E06" w:rsidP="00492893">
            <w:pPr>
              <w:jc w:val="right"/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  <w:b/>
              </w:rPr>
              <w:lastRenderedPageBreak/>
              <w:t>NSTEMI</w:t>
            </w:r>
          </w:p>
          <w:p w:rsidR="00745E06" w:rsidRDefault="00745E06" w:rsidP="00492893">
            <w:pPr>
              <w:jc w:val="right"/>
              <w:rPr>
                <w:rFonts w:ascii="Times New Roman" w:hAnsi="Times New Roman"/>
                <w:b/>
              </w:rPr>
            </w:pPr>
          </w:p>
          <w:p w:rsidR="00745E06" w:rsidRPr="00E84C1E" w:rsidRDefault="00745E06" w:rsidP="0049289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change [95% CI]</w:t>
            </w:r>
          </w:p>
        </w:tc>
      </w:tr>
      <w:tr w:rsidR="00745E06" w:rsidRPr="006926CE" w:rsidTr="00676770">
        <w:tc>
          <w:tcPr>
            <w:tcW w:w="92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5E06" w:rsidRPr="00E84C1E" w:rsidRDefault="00745E06" w:rsidP="00492893">
            <w:pPr>
              <w:jc w:val="center"/>
              <w:rPr>
                <w:rFonts w:ascii="Times New Roman" w:hAnsi="Times New Roman"/>
                <w:b/>
              </w:rPr>
            </w:pPr>
          </w:p>
          <w:p w:rsidR="00745E06" w:rsidRPr="00E84C1E" w:rsidRDefault="00745E06" w:rsidP="00492893">
            <w:pPr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  <w:b/>
              </w:rPr>
              <w:t>Single pollutant regression model</w:t>
            </w:r>
          </w:p>
          <w:p w:rsidR="00745E06" w:rsidRPr="00E84C1E" w:rsidRDefault="00745E06" w:rsidP="004928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E06" w:rsidRPr="006926CE" w:rsidTr="00676770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745E06" w:rsidRPr="00E84C1E" w:rsidRDefault="00745E06" w:rsidP="00492893">
            <w:pPr>
              <w:rPr>
                <w:rFonts w:ascii="Times New Roman" w:hAnsi="Times New Roman"/>
                <w:vertAlign w:val="subscript"/>
              </w:rPr>
            </w:pPr>
            <w:r w:rsidRPr="00E84C1E">
              <w:rPr>
                <w:rFonts w:ascii="Times New Roman" w:hAnsi="Times New Roman"/>
              </w:rPr>
              <w:t>O</w:t>
            </w:r>
            <w:r w:rsidRPr="00E84C1E">
              <w:rPr>
                <w:rFonts w:ascii="Times New Roman" w:hAnsi="Times New Roman"/>
                <w:vertAlign w:val="subscript"/>
              </w:rPr>
              <w:t>3</w:t>
            </w:r>
          </w:p>
          <w:p w:rsidR="00745E06" w:rsidRPr="00E84C1E" w:rsidRDefault="00745E06" w:rsidP="00492893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45E06" w:rsidRPr="00E84C1E" w:rsidRDefault="00745E06" w:rsidP="00492893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-0.06 [-0.29, 0.17]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5E06" w:rsidRPr="00E84C1E" w:rsidRDefault="00745E06" w:rsidP="00492893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-0.16 [-0.57,0.2</w:t>
            </w:r>
            <w:r w:rsidR="00B47845">
              <w:rPr>
                <w:rFonts w:ascii="Times New Roman" w:hAnsi="Times New Roman"/>
              </w:rPr>
              <w:t>5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45E06" w:rsidRPr="00E84C1E" w:rsidRDefault="00745E06" w:rsidP="00492893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-0.05 [-0.37, 0.2</w:t>
            </w:r>
            <w:r w:rsidR="008102D6">
              <w:rPr>
                <w:rFonts w:ascii="Times New Roman" w:hAnsi="Times New Roman"/>
              </w:rPr>
              <w:t>8</w:t>
            </w:r>
            <w:r w:rsidRPr="00E84C1E">
              <w:rPr>
                <w:rFonts w:ascii="Times New Roman" w:hAnsi="Times New Roman"/>
              </w:rPr>
              <w:t>]</w:t>
            </w:r>
          </w:p>
        </w:tc>
      </w:tr>
      <w:tr w:rsidR="00745E06" w:rsidRPr="006926CE" w:rsidTr="00676770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745E06" w:rsidRPr="00E84C1E" w:rsidRDefault="00745E06" w:rsidP="00492893">
            <w:pPr>
              <w:rPr>
                <w:rFonts w:ascii="Times New Roman" w:hAnsi="Times New Roman"/>
                <w:vertAlign w:val="subscript"/>
              </w:rPr>
            </w:pPr>
            <w:r w:rsidRPr="00E84C1E">
              <w:rPr>
                <w:rFonts w:ascii="Times New Roman" w:hAnsi="Times New Roman"/>
              </w:rPr>
              <w:t>NO</w:t>
            </w:r>
            <w:r w:rsidRPr="00E84C1E">
              <w:rPr>
                <w:rFonts w:ascii="Times New Roman" w:hAnsi="Times New Roman"/>
                <w:vertAlign w:val="subscript"/>
              </w:rPr>
              <w:t>2</w:t>
            </w:r>
          </w:p>
          <w:p w:rsidR="00745E06" w:rsidRPr="00E84C1E" w:rsidRDefault="00745E06" w:rsidP="00492893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45E06" w:rsidRPr="00E84C1E" w:rsidRDefault="00745E06" w:rsidP="00492893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 xml:space="preserve"> 0.09 [-0.10, 0.28]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5E06" w:rsidRPr="00E84C1E" w:rsidRDefault="00745E06" w:rsidP="00492893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-0.16 [-0.49, 0.18]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45E06" w:rsidRPr="00E84C1E" w:rsidRDefault="00745E06" w:rsidP="00492893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0.27 [0.01, 0.54]</w:t>
            </w:r>
          </w:p>
        </w:tc>
      </w:tr>
      <w:tr w:rsidR="00745E06" w:rsidRPr="006926CE" w:rsidTr="00676770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E06" w:rsidRPr="00E84C1E" w:rsidRDefault="00745E06" w:rsidP="00492893">
            <w:pPr>
              <w:rPr>
                <w:rFonts w:ascii="Times New Roman" w:hAnsi="Times New Roman"/>
                <w:vertAlign w:val="subscript"/>
              </w:rPr>
            </w:pPr>
            <w:r w:rsidRPr="00E84C1E">
              <w:rPr>
                <w:rFonts w:ascii="Times New Roman" w:hAnsi="Times New Roman"/>
              </w:rPr>
              <w:t>PM</w:t>
            </w:r>
            <w:r w:rsidRPr="00E84C1E">
              <w:rPr>
                <w:rFonts w:ascii="Times New Roman" w:hAnsi="Times New Roman"/>
                <w:vertAlign w:val="subscript"/>
              </w:rPr>
              <w:t>2.5</w:t>
            </w:r>
          </w:p>
          <w:p w:rsidR="00745E06" w:rsidRPr="00E84C1E" w:rsidRDefault="00745E06" w:rsidP="00492893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E06" w:rsidRPr="00E84C1E" w:rsidRDefault="00745E06" w:rsidP="00492893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-0.0</w:t>
            </w:r>
            <w:r w:rsidR="00B47845">
              <w:rPr>
                <w:rFonts w:ascii="Times New Roman" w:hAnsi="Times New Roman"/>
              </w:rPr>
              <w:t>4</w:t>
            </w:r>
            <w:r w:rsidRPr="00E84C1E">
              <w:rPr>
                <w:rFonts w:ascii="Times New Roman" w:hAnsi="Times New Roman"/>
              </w:rPr>
              <w:t xml:space="preserve"> [-0.4</w:t>
            </w:r>
            <w:r w:rsidR="00A8308C">
              <w:rPr>
                <w:rFonts w:ascii="Times New Roman" w:hAnsi="Times New Roman"/>
              </w:rPr>
              <w:t>5</w:t>
            </w:r>
            <w:r w:rsidRPr="00E84C1E">
              <w:rPr>
                <w:rFonts w:ascii="Times New Roman" w:hAnsi="Times New Roman"/>
              </w:rPr>
              <w:t>, 0.3</w:t>
            </w:r>
            <w:r w:rsidR="002C1DA8">
              <w:rPr>
                <w:rFonts w:ascii="Times New Roman" w:hAnsi="Times New Roman"/>
              </w:rPr>
              <w:t>8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E06" w:rsidRPr="00E84C1E" w:rsidRDefault="00745E06" w:rsidP="00492893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-0.34 [-1.06, 0.39]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E06" w:rsidRPr="00E84C1E" w:rsidRDefault="00745E06" w:rsidP="00492893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-0.15 [-0.7</w:t>
            </w:r>
            <w:r w:rsidR="008102D6">
              <w:rPr>
                <w:rFonts w:ascii="Times New Roman" w:hAnsi="Times New Roman"/>
              </w:rPr>
              <w:t>2</w:t>
            </w:r>
            <w:r w:rsidRPr="00E84C1E">
              <w:rPr>
                <w:rFonts w:ascii="Times New Roman" w:hAnsi="Times New Roman"/>
              </w:rPr>
              <w:t>, 0.43]</w:t>
            </w:r>
          </w:p>
        </w:tc>
      </w:tr>
      <w:tr w:rsidR="00745E06" w:rsidRPr="006926CE" w:rsidTr="00676770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E06" w:rsidRPr="00E84C1E" w:rsidRDefault="00745E06" w:rsidP="00492893">
            <w:pPr>
              <w:rPr>
                <w:rFonts w:ascii="Times New Roman" w:hAnsi="Times New Roman"/>
                <w:vertAlign w:val="subscript"/>
              </w:rPr>
            </w:pPr>
            <w:r w:rsidRPr="00E84C1E">
              <w:rPr>
                <w:rFonts w:ascii="Times New Roman" w:hAnsi="Times New Roman"/>
              </w:rPr>
              <w:t>PM</w:t>
            </w:r>
            <w:r w:rsidRPr="00E84C1E">
              <w:rPr>
                <w:rFonts w:ascii="Times New Roman" w:hAnsi="Times New Roman"/>
                <w:vertAlign w:val="subscript"/>
              </w:rPr>
              <w:t>10</w:t>
            </w:r>
          </w:p>
          <w:p w:rsidR="00745E06" w:rsidRPr="00E84C1E" w:rsidRDefault="00745E06" w:rsidP="00492893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E06" w:rsidRPr="00E84C1E" w:rsidRDefault="00745E06" w:rsidP="00492893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-0.20 [-0.53, 0.13]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E06" w:rsidRPr="00E84C1E" w:rsidRDefault="00745E06" w:rsidP="00492893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-0.3</w:t>
            </w:r>
            <w:r w:rsidR="00A8308C">
              <w:rPr>
                <w:rFonts w:ascii="Times New Roman" w:hAnsi="Times New Roman"/>
              </w:rPr>
              <w:t>7</w:t>
            </w:r>
            <w:r w:rsidRPr="00E84C1E">
              <w:rPr>
                <w:rFonts w:ascii="Times New Roman" w:hAnsi="Times New Roman"/>
              </w:rPr>
              <w:t xml:space="preserve"> [-0.9</w:t>
            </w:r>
            <w:r w:rsidR="00A8308C">
              <w:rPr>
                <w:rFonts w:ascii="Times New Roman" w:hAnsi="Times New Roman"/>
              </w:rPr>
              <w:t>5</w:t>
            </w:r>
            <w:r w:rsidRPr="00E84C1E">
              <w:rPr>
                <w:rFonts w:ascii="Times New Roman" w:hAnsi="Times New Roman"/>
              </w:rPr>
              <w:t>, 0.21]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E06" w:rsidRPr="00E84C1E" w:rsidRDefault="00745E06" w:rsidP="00492893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-0.34 [-0.80, 0.12]</w:t>
            </w:r>
          </w:p>
        </w:tc>
      </w:tr>
      <w:tr w:rsidR="00745E06" w:rsidRPr="006926CE" w:rsidTr="00676770"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E06" w:rsidRPr="00E84C1E" w:rsidRDefault="00745E06" w:rsidP="00492893">
            <w:pPr>
              <w:jc w:val="center"/>
              <w:rPr>
                <w:rFonts w:ascii="Times New Roman" w:hAnsi="Times New Roman"/>
                <w:b/>
              </w:rPr>
            </w:pPr>
          </w:p>
          <w:p w:rsidR="00745E06" w:rsidRPr="00E84C1E" w:rsidRDefault="00745E06" w:rsidP="00492893">
            <w:pPr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  <w:b/>
              </w:rPr>
              <w:t>Two pollutant regression model</w:t>
            </w:r>
          </w:p>
          <w:p w:rsidR="00745E06" w:rsidRPr="00E84C1E" w:rsidRDefault="00745E06" w:rsidP="004928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E06" w:rsidRPr="006926CE" w:rsidTr="00676770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745E06" w:rsidRPr="00E84C1E" w:rsidRDefault="00745E06" w:rsidP="00492893">
            <w:pPr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NO</w:t>
            </w:r>
            <w:r w:rsidRPr="00E84C1E">
              <w:rPr>
                <w:rFonts w:ascii="Times New Roman" w:hAnsi="Times New Roman"/>
                <w:vertAlign w:val="subscript"/>
              </w:rPr>
              <w:t xml:space="preserve">2 </w:t>
            </w:r>
            <w:r w:rsidRPr="00E84C1E">
              <w:rPr>
                <w:rFonts w:ascii="Times New Roman" w:hAnsi="Times New Roman"/>
              </w:rPr>
              <w:t>(adjusted for O</w:t>
            </w:r>
            <w:r w:rsidRPr="00E84C1E">
              <w:rPr>
                <w:rFonts w:ascii="Times New Roman" w:hAnsi="Times New Roman"/>
                <w:vertAlign w:val="subscript"/>
              </w:rPr>
              <w:t>3</w:t>
            </w:r>
            <w:r w:rsidRPr="00E84C1E">
              <w:rPr>
                <w:rFonts w:ascii="Times New Roman" w:hAnsi="Times New Roman"/>
              </w:rPr>
              <w:t>)</w:t>
            </w:r>
          </w:p>
          <w:p w:rsidR="00745E06" w:rsidRPr="00E84C1E" w:rsidRDefault="00745E06" w:rsidP="00492893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45E06" w:rsidRPr="00E84C1E" w:rsidRDefault="00745E06" w:rsidP="00492893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0.07 [-0.13, 0.27]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5E06" w:rsidRPr="00E84C1E" w:rsidRDefault="00745E06" w:rsidP="00492893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-0.23 [-0.5</w:t>
            </w:r>
            <w:r w:rsidR="008102D6">
              <w:rPr>
                <w:rFonts w:ascii="Times New Roman" w:hAnsi="Times New Roman"/>
              </w:rPr>
              <w:t>7</w:t>
            </w:r>
            <w:r w:rsidRPr="00E84C1E">
              <w:rPr>
                <w:rFonts w:ascii="Times New Roman" w:hAnsi="Times New Roman"/>
              </w:rPr>
              <w:t>, 0.12]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45E06" w:rsidRPr="00E84C1E" w:rsidRDefault="00745E06" w:rsidP="00492893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0.28 [0.00, 0.5</w:t>
            </w:r>
            <w:r w:rsidR="008102D6">
              <w:rPr>
                <w:rFonts w:ascii="Times New Roman" w:hAnsi="Times New Roman"/>
              </w:rPr>
              <w:t>7</w:t>
            </w:r>
            <w:r w:rsidRPr="00E84C1E">
              <w:rPr>
                <w:rFonts w:ascii="Times New Roman" w:hAnsi="Times New Roman"/>
              </w:rPr>
              <w:t>]</w:t>
            </w:r>
          </w:p>
        </w:tc>
      </w:tr>
      <w:tr w:rsidR="00745E06" w:rsidRPr="006926CE" w:rsidTr="00676770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745E06" w:rsidRPr="00E84C1E" w:rsidRDefault="00745E06" w:rsidP="00492893">
            <w:pPr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NO</w:t>
            </w:r>
            <w:r w:rsidRPr="00E84C1E">
              <w:rPr>
                <w:rFonts w:ascii="Times New Roman" w:hAnsi="Times New Roman"/>
                <w:vertAlign w:val="subscript"/>
              </w:rPr>
              <w:t>2</w:t>
            </w:r>
            <w:r w:rsidRPr="00E84C1E">
              <w:rPr>
                <w:rFonts w:ascii="Times New Roman" w:hAnsi="Times New Roman"/>
              </w:rPr>
              <w:t xml:space="preserve"> (adjusted for PM</w:t>
            </w:r>
            <w:r w:rsidRPr="00E84C1E">
              <w:rPr>
                <w:rFonts w:ascii="Times New Roman" w:hAnsi="Times New Roman"/>
                <w:vertAlign w:val="subscript"/>
              </w:rPr>
              <w:t>2.5</w:t>
            </w:r>
            <w:r w:rsidRPr="00E84C1E">
              <w:rPr>
                <w:rFonts w:ascii="Times New Roman" w:hAnsi="Times New Roman"/>
              </w:rPr>
              <w:t>)</w:t>
            </w:r>
          </w:p>
          <w:p w:rsidR="00745E06" w:rsidRPr="00E84C1E" w:rsidRDefault="00745E06" w:rsidP="00492893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45E06" w:rsidRPr="00E84C1E" w:rsidRDefault="00745E06" w:rsidP="00492893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0.1</w:t>
            </w:r>
            <w:r w:rsidR="008102D6">
              <w:rPr>
                <w:rFonts w:ascii="Times New Roman" w:hAnsi="Times New Roman"/>
              </w:rPr>
              <w:t>4</w:t>
            </w:r>
            <w:r w:rsidRPr="00E84C1E">
              <w:rPr>
                <w:rFonts w:ascii="Times New Roman" w:hAnsi="Times New Roman"/>
              </w:rPr>
              <w:t xml:space="preserve"> [-0.08, 0.37]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5E06" w:rsidRPr="00E84C1E" w:rsidRDefault="00745E06" w:rsidP="00492893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-0.07 [-0.46, 0.3</w:t>
            </w:r>
            <w:r w:rsidR="008102D6">
              <w:rPr>
                <w:rFonts w:ascii="Times New Roman" w:hAnsi="Times New Roman"/>
              </w:rPr>
              <w:t>2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45E06" w:rsidRPr="00E84C1E" w:rsidRDefault="00745E06" w:rsidP="00492893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0.43 [0.11, 0.74]</w:t>
            </w:r>
          </w:p>
        </w:tc>
      </w:tr>
      <w:tr w:rsidR="00745E06" w:rsidRPr="006926CE" w:rsidTr="00676770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745E06" w:rsidRPr="00E84C1E" w:rsidRDefault="00745E06" w:rsidP="00492893">
            <w:pPr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PM</w:t>
            </w:r>
            <w:r w:rsidRPr="00E84C1E">
              <w:rPr>
                <w:rFonts w:ascii="Times New Roman" w:hAnsi="Times New Roman"/>
                <w:vertAlign w:val="subscript"/>
              </w:rPr>
              <w:t xml:space="preserve">2.5 </w:t>
            </w:r>
            <w:r w:rsidRPr="00E84C1E">
              <w:rPr>
                <w:rFonts w:ascii="Times New Roman" w:hAnsi="Times New Roman"/>
              </w:rPr>
              <w:t xml:space="preserve"> (adjusted for O</w:t>
            </w:r>
            <w:r w:rsidRPr="00E84C1E">
              <w:rPr>
                <w:rFonts w:ascii="Times New Roman" w:hAnsi="Times New Roman"/>
                <w:vertAlign w:val="subscript"/>
              </w:rPr>
              <w:t>3</w:t>
            </w:r>
            <w:r w:rsidRPr="00E84C1E">
              <w:rPr>
                <w:rFonts w:ascii="Times New Roman" w:hAnsi="Times New Roman"/>
              </w:rPr>
              <w:t>)</w:t>
            </w:r>
          </w:p>
          <w:p w:rsidR="00745E06" w:rsidRPr="00E84C1E" w:rsidRDefault="00745E06" w:rsidP="00492893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45E06" w:rsidRPr="00E84C1E" w:rsidRDefault="00745E06" w:rsidP="00492893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-0.0</w:t>
            </w:r>
            <w:r w:rsidR="008102D6">
              <w:rPr>
                <w:rFonts w:ascii="Times New Roman" w:hAnsi="Times New Roman"/>
              </w:rPr>
              <w:t>4</w:t>
            </w:r>
            <w:r w:rsidRPr="00E84C1E">
              <w:rPr>
                <w:rFonts w:ascii="Times New Roman" w:hAnsi="Times New Roman"/>
              </w:rPr>
              <w:t xml:space="preserve"> [-0.46, 0.3</w:t>
            </w:r>
            <w:r w:rsidR="00B47845">
              <w:rPr>
                <w:rFonts w:ascii="Times New Roman" w:hAnsi="Times New Roman"/>
              </w:rPr>
              <w:t>7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5E06" w:rsidRPr="00E84C1E" w:rsidRDefault="00F95788" w:rsidP="0049289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-0.3</w:t>
            </w:r>
            <w:r w:rsidR="008102D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[-1.</w:t>
            </w:r>
            <w:r w:rsidR="008102D6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, 0.37</w:t>
            </w:r>
            <w:r w:rsidR="00745E06"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45E06" w:rsidRPr="00E84C1E" w:rsidRDefault="00745E06" w:rsidP="00492893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-0.1</w:t>
            </w:r>
            <w:r w:rsidR="008102D6">
              <w:rPr>
                <w:rFonts w:ascii="Times New Roman" w:hAnsi="Times New Roman"/>
              </w:rPr>
              <w:t>5</w:t>
            </w:r>
            <w:r w:rsidRPr="00E84C1E">
              <w:rPr>
                <w:rFonts w:ascii="Times New Roman" w:hAnsi="Times New Roman"/>
              </w:rPr>
              <w:t xml:space="preserve"> [-0.7</w:t>
            </w:r>
            <w:r w:rsidR="008102D6">
              <w:rPr>
                <w:rFonts w:ascii="Times New Roman" w:hAnsi="Times New Roman"/>
              </w:rPr>
              <w:t>3</w:t>
            </w:r>
            <w:r w:rsidRPr="00E84C1E">
              <w:rPr>
                <w:rFonts w:ascii="Times New Roman" w:hAnsi="Times New Roman"/>
              </w:rPr>
              <w:t>, 0.4</w:t>
            </w:r>
            <w:r w:rsidR="008102D6">
              <w:rPr>
                <w:rFonts w:ascii="Times New Roman" w:hAnsi="Times New Roman"/>
              </w:rPr>
              <w:t>3</w:t>
            </w:r>
            <w:r w:rsidRPr="00E84C1E">
              <w:rPr>
                <w:rFonts w:ascii="Times New Roman" w:hAnsi="Times New Roman"/>
              </w:rPr>
              <w:t>]</w:t>
            </w:r>
          </w:p>
        </w:tc>
      </w:tr>
      <w:tr w:rsidR="00745E06" w:rsidRPr="006926CE" w:rsidTr="00676770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745E06" w:rsidRPr="00E84C1E" w:rsidRDefault="00745E06" w:rsidP="00492893">
            <w:pPr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PM</w:t>
            </w:r>
            <w:r w:rsidRPr="00676770">
              <w:rPr>
                <w:rFonts w:ascii="Times New Roman" w:hAnsi="Times New Roman"/>
                <w:vertAlign w:val="subscript"/>
              </w:rPr>
              <w:t>2.5</w:t>
            </w:r>
            <w:r w:rsidRPr="00E84C1E">
              <w:rPr>
                <w:rFonts w:ascii="Times New Roman" w:hAnsi="Times New Roman"/>
              </w:rPr>
              <w:t xml:space="preserve"> (adjusted for NO</w:t>
            </w:r>
            <w:r w:rsidRPr="00E84C1E">
              <w:rPr>
                <w:rFonts w:ascii="Times New Roman" w:hAnsi="Times New Roman"/>
                <w:vertAlign w:val="subscript"/>
              </w:rPr>
              <w:t>2</w:t>
            </w:r>
            <w:r w:rsidRPr="00E84C1E">
              <w:rPr>
                <w:rFonts w:ascii="Times New Roman" w:hAnsi="Times New Roman"/>
              </w:rPr>
              <w:t>)</w:t>
            </w:r>
          </w:p>
          <w:p w:rsidR="00745E06" w:rsidRPr="00E84C1E" w:rsidRDefault="00745E06" w:rsidP="00492893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45E06" w:rsidRPr="00E84C1E" w:rsidRDefault="00745E06" w:rsidP="00492893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-0.17 [-0.6</w:t>
            </w:r>
            <w:r w:rsidR="008102D6">
              <w:rPr>
                <w:rFonts w:ascii="Times New Roman" w:hAnsi="Times New Roman"/>
              </w:rPr>
              <w:t>5</w:t>
            </w:r>
            <w:r w:rsidRPr="00E84C1E">
              <w:rPr>
                <w:rFonts w:ascii="Times New Roman" w:hAnsi="Times New Roman"/>
              </w:rPr>
              <w:t>, 0.3</w:t>
            </w:r>
            <w:r w:rsidR="008102D6">
              <w:rPr>
                <w:rFonts w:ascii="Times New Roman" w:hAnsi="Times New Roman"/>
              </w:rPr>
              <w:t>2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5E06" w:rsidRPr="00E84C1E" w:rsidRDefault="00745E06" w:rsidP="00492893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-0.20 [-1.06, 0.66]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45E06" w:rsidRPr="00E84C1E" w:rsidRDefault="0053116A" w:rsidP="0049289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-0.59 [-</w:t>
            </w:r>
            <w:r w:rsidR="00745E06" w:rsidRPr="00E84C1E">
              <w:rPr>
                <w:rFonts w:ascii="Times New Roman" w:hAnsi="Times New Roman"/>
              </w:rPr>
              <w:t>1.2</w:t>
            </w:r>
            <w:r w:rsidR="008102D6">
              <w:rPr>
                <w:rFonts w:ascii="Times New Roman" w:hAnsi="Times New Roman"/>
              </w:rPr>
              <w:t>6</w:t>
            </w:r>
            <w:r w:rsidR="00745E06" w:rsidRPr="00E84C1E">
              <w:rPr>
                <w:rFonts w:ascii="Times New Roman" w:hAnsi="Times New Roman"/>
              </w:rPr>
              <w:t>, 0.</w:t>
            </w:r>
            <w:r w:rsidR="008102D6">
              <w:rPr>
                <w:rFonts w:ascii="Times New Roman" w:hAnsi="Times New Roman"/>
              </w:rPr>
              <w:t>10</w:t>
            </w:r>
            <w:r w:rsidR="00745E06" w:rsidRPr="00E84C1E">
              <w:rPr>
                <w:rFonts w:ascii="Times New Roman" w:hAnsi="Times New Roman"/>
              </w:rPr>
              <w:t>]</w:t>
            </w:r>
          </w:p>
        </w:tc>
      </w:tr>
      <w:tr w:rsidR="00745E06" w:rsidRPr="006926CE" w:rsidTr="00676770"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E06" w:rsidRPr="00E84C1E" w:rsidRDefault="00745E06" w:rsidP="00492893">
            <w:pPr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PM</w:t>
            </w:r>
            <w:r w:rsidRPr="00E84C1E">
              <w:rPr>
                <w:rFonts w:ascii="Times New Roman" w:hAnsi="Times New Roman"/>
                <w:vertAlign w:val="subscript"/>
              </w:rPr>
              <w:t xml:space="preserve">10 </w:t>
            </w:r>
            <w:r w:rsidRPr="00E84C1E">
              <w:rPr>
                <w:rFonts w:ascii="Times New Roman" w:hAnsi="Times New Roman"/>
              </w:rPr>
              <w:t>(adjusted for O</w:t>
            </w:r>
            <w:r w:rsidRPr="00E84C1E">
              <w:rPr>
                <w:rFonts w:ascii="Times New Roman" w:hAnsi="Times New Roman"/>
                <w:vertAlign w:val="subscript"/>
              </w:rPr>
              <w:t>3</w:t>
            </w:r>
            <w:r w:rsidRPr="00E84C1E">
              <w:rPr>
                <w:rFonts w:ascii="Times New Roman" w:hAnsi="Times New Roman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E06" w:rsidRPr="00E84C1E" w:rsidRDefault="00745E06" w:rsidP="00492893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-0.20 [-0.53, 0.13]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E06" w:rsidRPr="00E84C1E" w:rsidRDefault="00745E06" w:rsidP="00492893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-0.38 [-0.96, 0.2</w:t>
            </w:r>
            <w:r w:rsidR="008102D6">
              <w:rPr>
                <w:rFonts w:ascii="Times New Roman" w:hAnsi="Times New Roman"/>
              </w:rPr>
              <w:t>1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E06" w:rsidRDefault="00745E06" w:rsidP="00492893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-0.34 [-0.80, 0.12]</w:t>
            </w:r>
          </w:p>
          <w:p w:rsidR="00853ECC" w:rsidRPr="00E84C1E" w:rsidRDefault="00853ECC" w:rsidP="00492893">
            <w:pPr>
              <w:jc w:val="right"/>
              <w:rPr>
                <w:rFonts w:ascii="Times New Roman" w:hAnsi="Times New Roman"/>
              </w:rPr>
            </w:pPr>
          </w:p>
        </w:tc>
      </w:tr>
      <w:tr w:rsidR="00745E06" w:rsidRPr="006926CE" w:rsidTr="00676770">
        <w:tc>
          <w:tcPr>
            <w:tcW w:w="9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E06" w:rsidRPr="00E84C1E" w:rsidRDefault="00745E06" w:rsidP="00492893">
            <w:pPr>
              <w:rPr>
                <w:rFonts w:ascii="Times New Roman" w:hAnsi="Times New Roman"/>
              </w:rPr>
            </w:pPr>
          </w:p>
          <w:p w:rsidR="00745E06" w:rsidRDefault="00745E06" w:rsidP="00492893">
            <w:pPr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*The conditional logistic regression model fits the pollutant(s) as unconstrained distribut</w:t>
            </w:r>
            <w:r w:rsidR="0022439D">
              <w:rPr>
                <w:rFonts w:ascii="Times New Roman" w:hAnsi="Times New Roman"/>
              </w:rPr>
              <w:t>ed</w:t>
            </w:r>
            <w:r w:rsidRPr="00E84C1E">
              <w:rPr>
                <w:rFonts w:ascii="Times New Roman" w:hAnsi="Times New Roman"/>
              </w:rPr>
              <w:t xml:space="preserve"> lags 0-2 and adjusts for, the weekly RCGP influenza-like illness consultation rates per 100,000 England and Wales population, two natural cubic splines (df=5) for temperature (mean lag 0-1 and mean lag 2-6), public holidays and a sine/cosine annual cycle.</w:t>
            </w:r>
          </w:p>
          <w:p w:rsidR="00745E06" w:rsidRDefault="00745E06" w:rsidP="00492893">
            <w:pPr>
              <w:rPr>
                <w:rFonts w:ascii="Times New Roman" w:hAnsi="Times New Roman"/>
              </w:rPr>
            </w:pPr>
          </w:p>
          <w:p w:rsidR="00745E06" w:rsidRPr="00E84C1E" w:rsidRDefault="00970045" w:rsidP="004928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†</w:t>
            </w:r>
            <w:r w:rsidR="00745E06" w:rsidRPr="00E84C1E">
              <w:rPr>
                <w:rFonts w:ascii="Times New Roman" w:hAnsi="Times New Roman"/>
              </w:rPr>
              <w:t>Pollutant metrics: daily mean PM</w:t>
            </w:r>
            <w:r w:rsidR="00745E06" w:rsidRPr="00E84C1E">
              <w:rPr>
                <w:rFonts w:ascii="Times New Roman" w:hAnsi="Times New Roman"/>
                <w:vertAlign w:val="subscript"/>
              </w:rPr>
              <w:t>2.5</w:t>
            </w:r>
            <w:r w:rsidR="00745E06" w:rsidRPr="00E84C1E">
              <w:rPr>
                <w:rFonts w:ascii="Times New Roman" w:hAnsi="Times New Roman"/>
              </w:rPr>
              <w:t>, daily mean PM</w:t>
            </w:r>
            <w:r w:rsidR="00745E06" w:rsidRPr="00E84C1E">
              <w:rPr>
                <w:rFonts w:ascii="Times New Roman" w:hAnsi="Times New Roman"/>
                <w:vertAlign w:val="subscript"/>
              </w:rPr>
              <w:t>10</w:t>
            </w:r>
            <w:r w:rsidR="00745E06" w:rsidRPr="00E84C1E">
              <w:rPr>
                <w:rFonts w:ascii="Times New Roman" w:hAnsi="Times New Roman"/>
              </w:rPr>
              <w:t>, daily maximum1-hour NO</w:t>
            </w:r>
            <w:r w:rsidR="00745E06" w:rsidRPr="00E84C1E">
              <w:rPr>
                <w:rFonts w:ascii="Times New Roman" w:hAnsi="Times New Roman"/>
                <w:vertAlign w:val="subscript"/>
              </w:rPr>
              <w:t>2</w:t>
            </w:r>
            <w:r w:rsidR="00745E06" w:rsidRPr="00E84C1E">
              <w:rPr>
                <w:rFonts w:ascii="Times New Roman" w:hAnsi="Times New Roman"/>
              </w:rPr>
              <w:t>, daily maximum 8-hour mean O</w:t>
            </w:r>
            <w:r w:rsidR="00745E06" w:rsidRPr="00E84C1E">
              <w:rPr>
                <w:rFonts w:ascii="Times New Roman" w:hAnsi="Times New Roman"/>
                <w:vertAlign w:val="subscript"/>
              </w:rPr>
              <w:t>3</w:t>
            </w:r>
          </w:p>
        </w:tc>
      </w:tr>
    </w:tbl>
    <w:p w:rsidR="00745E06" w:rsidRPr="00676770" w:rsidRDefault="00745E06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CC0CAE" w:rsidRPr="00676770" w:rsidRDefault="00C13FA2" w:rsidP="00676770">
      <w:p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Association with p</w:t>
      </w:r>
      <w:r w:rsidR="00CC0CAE" w:rsidRPr="00676770">
        <w:rPr>
          <w:rFonts w:ascii="Times New Roman" w:hAnsi="Times New Roman" w:cs="Times New Roman"/>
          <w:b/>
          <w:sz w:val="24"/>
          <w:szCs w:val="24"/>
        </w:rPr>
        <w:t>ollution</w:t>
      </w:r>
    </w:p>
    <w:p w:rsidR="00F74181" w:rsidRDefault="008733F5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Fonts w:ascii="Times New Roman" w:hAnsi="Times New Roman" w:cs="Times New Roman"/>
          <w:sz w:val="24"/>
          <w:szCs w:val="24"/>
        </w:rPr>
        <w:t xml:space="preserve">In our primary </w:t>
      </w:r>
      <w:r w:rsidR="00FC08A2" w:rsidRPr="00BB47B6">
        <w:rPr>
          <w:rFonts w:ascii="Times New Roman" w:hAnsi="Times New Roman" w:cs="Times New Roman"/>
          <w:sz w:val="24"/>
          <w:szCs w:val="24"/>
        </w:rPr>
        <w:t xml:space="preserve">logistic regression </w:t>
      </w:r>
      <w:r w:rsidR="00E03747" w:rsidRPr="00BB47B6">
        <w:rPr>
          <w:rFonts w:ascii="Times New Roman" w:hAnsi="Times New Roman" w:cs="Times New Roman"/>
          <w:sz w:val="24"/>
          <w:szCs w:val="24"/>
        </w:rPr>
        <w:t xml:space="preserve">models adjusted for temperature </w:t>
      </w:r>
      <w:r w:rsidRPr="00BB47B6">
        <w:rPr>
          <w:rFonts w:ascii="Times New Roman" w:hAnsi="Times New Roman" w:cs="Times New Roman"/>
          <w:sz w:val="24"/>
          <w:szCs w:val="24"/>
        </w:rPr>
        <w:t>lags</w:t>
      </w:r>
      <w:r w:rsidR="00E03747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Pr="00BB47B6">
        <w:rPr>
          <w:rFonts w:ascii="Times New Roman" w:hAnsi="Times New Roman" w:cs="Times New Roman"/>
          <w:sz w:val="24"/>
          <w:szCs w:val="24"/>
        </w:rPr>
        <w:t>0-1 and 2-6</w:t>
      </w:r>
      <w:r w:rsidR="002B3493">
        <w:rPr>
          <w:rFonts w:ascii="Times New Roman" w:hAnsi="Times New Roman" w:cs="Times New Roman"/>
          <w:sz w:val="24"/>
          <w:szCs w:val="24"/>
        </w:rPr>
        <w:t xml:space="preserve"> days</w:t>
      </w:r>
      <w:r w:rsidRPr="00BB47B6">
        <w:rPr>
          <w:rFonts w:ascii="Times New Roman" w:hAnsi="Times New Roman" w:cs="Times New Roman"/>
          <w:sz w:val="24"/>
          <w:szCs w:val="24"/>
        </w:rPr>
        <w:t>, flu, public holidays and residual seasonality</w:t>
      </w:r>
      <w:r w:rsidR="00A1760F">
        <w:rPr>
          <w:rFonts w:ascii="Times New Roman" w:hAnsi="Times New Roman" w:cs="Times New Roman"/>
          <w:sz w:val="24"/>
          <w:szCs w:val="24"/>
        </w:rPr>
        <w:t xml:space="preserve"> </w:t>
      </w:r>
      <w:r w:rsidR="00E03747" w:rsidRPr="00BB47B6">
        <w:rPr>
          <w:rFonts w:ascii="Times New Roman" w:hAnsi="Times New Roman" w:cs="Times New Roman"/>
          <w:sz w:val="24"/>
          <w:szCs w:val="24"/>
        </w:rPr>
        <w:t>(Table 1</w:t>
      </w:r>
      <w:r w:rsidR="00AF1C6A" w:rsidRPr="00BB47B6">
        <w:rPr>
          <w:rFonts w:ascii="Times New Roman" w:hAnsi="Times New Roman" w:cs="Times New Roman"/>
          <w:sz w:val="24"/>
          <w:szCs w:val="24"/>
        </w:rPr>
        <w:t xml:space="preserve">) </w:t>
      </w:r>
      <w:r w:rsidRPr="00BB47B6">
        <w:rPr>
          <w:rFonts w:ascii="Times New Roman" w:hAnsi="Times New Roman" w:cs="Times New Roman"/>
          <w:sz w:val="24"/>
          <w:szCs w:val="24"/>
        </w:rPr>
        <w:t xml:space="preserve">there was no evidence of an association of ALL MI or STEMI with any of </w:t>
      </w:r>
      <w:r w:rsidR="002B3493">
        <w:rPr>
          <w:rFonts w:ascii="Times New Roman" w:hAnsi="Times New Roman" w:cs="Times New Roman"/>
          <w:sz w:val="24"/>
          <w:szCs w:val="24"/>
        </w:rPr>
        <w:t>O</w:t>
      </w:r>
      <w:r w:rsidR="002B3493" w:rsidRPr="006767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B3493">
        <w:rPr>
          <w:rFonts w:ascii="Times New Roman" w:hAnsi="Times New Roman" w:cs="Times New Roman"/>
          <w:sz w:val="24"/>
          <w:szCs w:val="24"/>
        </w:rPr>
        <w:t>, NO</w:t>
      </w:r>
      <w:r w:rsidR="002B3493" w:rsidRPr="006767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B3493">
        <w:rPr>
          <w:rFonts w:ascii="Times New Roman" w:hAnsi="Times New Roman" w:cs="Times New Roman"/>
          <w:sz w:val="24"/>
          <w:szCs w:val="24"/>
        </w:rPr>
        <w:t xml:space="preserve">, </w:t>
      </w:r>
      <w:r w:rsidRPr="00BB47B6">
        <w:rPr>
          <w:rFonts w:ascii="Times New Roman" w:hAnsi="Times New Roman" w:cs="Times New Roman"/>
          <w:sz w:val="24"/>
          <w:szCs w:val="24"/>
        </w:rPr>
        <w:t>PM</w:t>
      </w:r>
      <w:r w:rsidR="002B3493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2B3493">
        <w:rPr>
          <w:rFonts w:ascii="Times New Roman" w:hAnsi="Times New Roman" w:cs="Times New Roman"/>
          <w:sz w:val="24"/>
          <w:szCs w:val="24"/>
        </w:rPr>
        <w:t xml:space="preserve"> or</w:t>
      </w:r>
      <w:r w:rsidRPr="00BB47B6">
        <w:rPr>
          <w:rFonts w:ascii="Times New Roman" w:hAnsi="Times New Roman" w:cs="Times New Roman"/>
          <w:sz w:val="24"/>
          <w:szCs w:val="24"/>
        </w:rPr>
        <w:t xml:space="preserve"> PM</w:t>
      </w:r>
      <w:r w:rsidR="002B3493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AF1C6A" w:rsidRPr="00BB47B6">
        <w:rPr>
          <w:rFonts w:ascii="Times New Roman" w:hAnsi="Times New Roman" w:cs="Times New Roman"/>
          <w:sz w:val="24"/>
          <w:szCs w:val="24"/>
        </w:rPr>
        <w:t>. For N</w:t>
      </w:r>
      <w:r w:rsidRPr="00BB47B6">
        <w:rPr>
          <w:rFonts w:ascii="Times New Roman" w:hAnsi="Times New Roman" w:cs="Times New Roman"/>
          <w:sz w:val="24"/>
          <w:szCs w:val="24"/>
        </w:rPr>
        <w:t xml:space="preserve">STEMI there was a </w:t>
      </w:r>
      <w:r w:rsidR="00844E81" w:rsidRPr="00BB47B6">
        <w:rPr>
          <w:rFonts w:ascii="Times New Roman" w:hAnsi="Times New Roman" w:cs="Times New Roman"/>
          <w:sz w:val="24"/>
          <w:szCs w:val="24"/>
        </w:rPr>
        <w:t xml:space="preserve">statistically </w:t>
      </w:r>
      <w:r w:rsidRPr="00BB47B6">
        <w:rPr>
          <w:rFonts w:ascii="Times New Roman" w:hAnsi="Times New Roman" w:cs="Times New Roman"/>
          <w:sz w:val="24"/>
          <w:szCs w:val="24"/>
        </w:rPr>
        <w:t>significant (p=</w:t>
      </w:r>
      <w:r w:rsidR="00FC08A2" w:rsidRPr="00BB47B6">
        <w:rPr>
          <w:rFonts w:ascii="Times New Roman" w:hAnsi="Times New Roman" w:cs="Times New Roman"/>
          <w:sz w:val="24"/>
          <w:szCs w:val="24"/>
        </w:rPr>
        <w:t>0.04</w:t>
      </w:r>
      <w:r w:rsidR="003E1405">
        <w:rPr>
          <w:rFonts w:ascii="Times New Roman" w:hAnsi="Times New Roman" w:cs="Times New Roman"/>
          <w:sz w:val="24"/>
          <w:szCs w:val="24"/>
        </w:rPr>
        <w:t>3</w:t>
      </w:r>
      <w:r w:rsidRPr="00BB47B6">
        <w:rPr>
          <w:rFonts w:ascii="Times New Roman" w:hAnsi="Times New Roman" w:cs="Times New Roman"/>
          <w:sz w:val="24"/>
          <w:szCs w:val="24"/>
        </w:rPr>
        <w:t>) positive association with NO</w:t>
      </w:r>
      <w:r w:rsidRPr="00BB47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B47B6">
        <w:rPr>
          <w:rFonts w:ascii="Times New Roman" w:hAnsi="Times New Roman" w:cs="Times New Roman"/>
          <w:sz w:val="24"/>
          <w:szCs w:val="24"/>
        </w:rPr>
        <w:t xml:space="preserve"> suggestive of a 0.27% </w:t>
      </w:r>
      <w:r w:rsidR="008D4612" w:rsidRPr="00BB47B6">
        <w:rPr>
          <w:rFonts w:ascii="Times New Roman" w:hAnsi="Times New Roman" w:cs="Times New Roman"/>
          <w:sz w:val="24"/>
          <w:szCs w:val="24"/>
        </w:rPr>
        <w:t xml:space="preserve">(95% CI: 0.01% to 0.54%) </w:t>
      </w:r>
      <w:r w:rsidRPr="00BB47B6">
        <w:rPr>
          <w:rFonts w:ascii="Times New Roman" w:hAnsi="Times New Roman" w:cs="Times New Roman"/>
          <w:sz w:val="24"/>
          <w:szCs w:val="24"/>
        </w:rPr>
        <w:t>increase in risk per 10 µg/m</w:t>
      </w:r>
      <w:r w:rsidRPr="00BB47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B47B6">
        <w:rPr>
          <w:rFonts w:ascii="Times New Roman" w:hAnsi="Times New Roman" w:cs="Times New Roman"/>
          <w:sz w:val="24"/>
          <w:szCs w:val="24"/>
        </w:rPr>
        <w:t xml:space="preserve"> increase in </w:t>
      </w:r>
      <w:r w:rsidR="00AF1C6A" w:rsidRPr="00BB47B6">
        <w:rPr>
          <w:rFonts w:ascii="Times New Roman" w:hAnsi="Times New Roman" w:cs="Times New Roman"/>
          <w:sz w:val="24"/>
          <w:szCs w:val="24"/>
        </w:rPr>
        <w:t>the daily 1-hour maximum concentration</w:t>
      </w:r>
      <w:r w:rsidRPr="00BB47B6">
        <w:rPr>
          <w:rFonts w:ascii="Times New Roman" w:hAnsi="Times New Roman" w:cs="Times New Roman"/>
          <w:sz w:val="24"/>
          <w:szCs w:val="24"/>
        </w:rPr>
        <w:t>. This association did not differ significantly by seas</w:t>
      </w:r>
      <w:r w:rsidR="00FC08A2" w:rsidRPr="00BB47B6">
        <w:rPr>
          <w:rFonts w:ascii="Times New Roman" w:hAnsi="Times New Roman" w:cs="Times New Roman"/>
          <w:sz w:val="24"/>
          <w:szCs w:val="24"/>
        </w:rPr>
        <w:t>on (p=0.57</w:t>
      </w:r>
      <w:r w:rsidR="003E1405">
        <w:rPr>
          <w:rFonts w:ascii="Times New Roman" w:hAnsi="Times New Roman" w:cs="Times New Roman"/>
          <w:sz w:val="24"/>
          <w:szCs w:val="24"/>
        </w:rPr>
        <w:t>1</w:t>
      </w:r>
      <w:r w:rsidR="00AF1C6A" w:rsidRPr="00BB47B6">
        <w:rPr>
          <w:rFonts w:ascii="Times New Roman" w:hAnsi="Times New Roman" w:cs="Times New Roman"/>
          <w:sz w:val="24"/>
          <w:szCs w:val="24"/>
        </w:rPr>
        <w:t xml:space="preserve">), age-group </w:t>
      </w:r>
      <w:r w:rsidR="00AF1C6A" w:rsidRPr="00BB47B6">
        <w:rPr>
          <w:rFonts w:ascii="Times New Roman" w:hAnsi="Times New Roman" w:cs="Times New Roman"/>
          <w:sz w:val="24"/>
          <w:szCs w:val="24"/>
        </w:rPr>
        <w:lastRenderedPageBreak/>
        <w:t>(p=0.986) or sex (p=0.85</w:t>
      </w:r>
      <w:r w:rsidR="00B47845">
        <w:rPr>
          <w:rFonts w:ascii="Times New Roman" w:hAnsi="Times New Roman" w:cs="Times New Roman"/>
          <w:sz w:val="24"/>
          <w:szCs w:val="24"/>
        </w:rPr>
        <w:t>9</w:t>
      </w:r>
      <w:r w:rsidR="00FC08A2" w:rsidRPr="00BB47B6">
        <w:rPr>
          <w:rFonts w:ascii="Times New Roman" w:hAnsi="Times New Roman" w:cs="Times New Roman"/>
          <w:sz w:val="24"/>
          <w:szCs w:val="24"/>
        </w:rPr>
        <w:t>)</w:t>
      </w:r>
      <w:r w:rsidR="00424E20">
        <w:rPr>
          <w:rFonts w:ascii="Times New Roman" w:hAnsi="Times New Roman" w:cs="Times New Roman"/>
          <w:sz w:val="24"/>
          <w:szCs w:val="24"/>
        </w:rPr>
        <w:t>.</w:t>
      </w:r>
      <w:r w:rsidR="000F7F85">
        <w:rPr>
          <w:rFonts w:ascii="Times New Roman" w:hAnsi="Times New Roman" w:cs="Times New Roman"/>
          <w:sz w:val="24"/>
          <w:szCs w:val="24"/>
        </w:rPr>
        <w:t xml:space="preserve"> I</w:t>
      </w:r>
      <w:r w:rsidR="00424EA3">
        <w:rPr>
          <w:rFonts w:ascii="Times New Roman" w:hAnsi="Times New Roman" w:cs="Times New Roman"/>
          <w:sz w:val="24"/>
          <w:szCs w:val="24"/>
        </w:rPr>
        <w:t xml:space="preserve">t </w:t>
      </w:r>
      <w:r w:rsidR="000F7F85">
        <w:rPr>
          <w:rFonts w:ascii="Times New Roman" w:hAnsi="Times New Roman" w:cs="Times New Roman"/>
          <w:sz w:val="24"/>
          <w:szCs w:val="24"/>
        </w:rPr>
        <w:t xml:space="preserve">also </w:t>
      </w:r>
      <w:r w:rsidR="00424EA3">
        <w:rPr>
          <w:rFonts w:ascii="Times New Roman" w:hAnsi="Times New Roman" w:cs="Times New Roman"/>
          <w:sz w:val="24"/>
          <w:szCs w:val="24"/>
        </w:rPr>
        <w:t>persisted following adjustment for O</w:t>
      </w:r>
      <w:r w:rsidR="00424EA3" w:rsidRPr="006767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24EA3">
        <w:rPr>
          <w:rFonts w:ascii="Times New Roman" w:hAnsi="Times New Roman" w:cs="Times New Roman"/>
          <w:sz w:val="24"/>
          <w:szCs w:val="24"/>
        </w:rPr>
        <w:t>, and increased in magnitude following adjustment for PM</w:t>
      </w:r>
      <w:r w:rsidR="00424EA3" w:rsidRPr="00676770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7D4A56">
        <w:rPr>
          <w:rFonts w:ascii="Times New Roman" w:hAnsi="Times New Roman" w:cs="Times New Roman"/>
          <w:sz w:val="24"/>
          <w:szCs w:val="24"/>
        </w:rPr>
        <w:t xml:space="preserve"> (p</w:t>
      </w:r>
      <w:r w:rsidR="00424EA3">
        <w:rPr>
          <w:rFonts w:ascii="Times New Roman" w:hAnsi="Times New Roman" w:cs="Times New Roman"/>
          <w:sz w:val="24"/>
          <w:szCs w:val="24"/>
        </w:rPr>
        <w:t>=0.008)</w:t>
      </w:r>
      <w:r w:rsidR="007D4A56">
        <w:rPr>
          <w:rFonts w:ascii="Times New Roman" w:hAnsi="Times New Roman" w:cs="Times New Roman"/>
          <w:sz w:val="24"/>
          <w:szCs w:val="24"/>
        </w:rPr>
        <w:t xml:space="preserve"> (Table 1: two pollutant models)</w:t>
      </w:r>
      <w:r w:rsidR="00424E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BFC" w:rsidRDefault="00CC0CAE" w:rsidP="00676770">
      <w:pPr>
        <w:spacing w:before="120" w:after="12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76770">
        <w:rPr>
          <w:rFonts w:ascii="Times New Roman" w:hAnsi="Times New Roman" w:cs="Times New Roman"/>
          <w:b/>
          <w:sz w:val="24"/>
          <w:szCs w:val="24"/>
        </w:rPr>
        <w:t>Effect modification by season</w:t>
      </w:r>
    </w:p>
    <w:p w:rsidR="008733F5" w:rsidRDefault="00F16B78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Returning to single pollutant models, e</w:t>
      </w:r>
      <w:r w:rsidR="008733F5" w:rsidRPr="00BB47B6">
        <w:rPr>
          <w:rFonts w:ascii="Times New Roman" w:hAnsi="Times New Roman" w:cs="Times New Roman"/>
          <w:sz w:val="24"/>
          <w:szCs w:val="24"/>
        </w:rPr>
        <w:t xml:space="preserve">vidence of modification by season </w:t>
      </w:r>
      <w:r w:rsidR="00FC08A2" w:rsidRPr="00BB47B6">
        <w:rPr>
          <w:rFonts w:ascii="Times New Roman" w:hAnsi="Times New Roman" w:cs="Times New Roman"/>
          <w:sz w:val="24"/>
          <w:szCs w:val="24"/>
        </w:rPr>
        <w:t>(Table 2</w:t>
      </w:r>
      <w:r w:rsidR="00AF1C6A" w:rsidRPr="00BB47B6">
        <w:rPr>
          <w:rFonts w:ascii="Times New Roman" w:hAnsi="Times New Roman" w:cs="Times New Roman"/>
          <w:sz w:val="24"/>
          <w:szCs w:val="24"/>
        </w:rPr>
        <w:t xml:space="preserve">) </w:t>
      </w:r>
      <w:r w:rsidR="008733F5" w:rsidRPr="00BB47B6">
        <w:rPr>
          <w:rFonts w:ascii="Times New Roman" w:hAnsi="Times New Roman" w:cs="Times New Roman"/>
          <w:sz w:val="24"/>
          <w:szCs w:val="24"/>
        </w:rPr>
        <w:t>was observed for PM</w:t>
      </w:r>
      <w:r w:rsidR="008733F5" w:rsidRPr="00BB47B6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AF1C6A" w:rsidRPr="00BB47B6">
        <w:rPr>
          <w:rFonts w:ascii="Times New Roman" w:hAnsi="Times New Roman" w:cs="Times New Roman"/>
          <w:sz w:val="24"/>
          <w:szCs w:val="24"/>
        </w:rPr>
        <w:t xml:space="preserve"> in relation to ALL</w:t>
      </w:r>
      <w:r w:rsidR="008733F5" w:rsidRPr="00BB47B6">
        <w:rPr>
          <w:rFonts w:ascii="Times New Roman" w:hAnsi="Times New Roman" w:cs="Times New Roman"/>
          <w:sz w:val="24"/>
          <w:szCs w:val="24"/>
        </w:rPr>
        <w:t xml:space="preserve"> MI and for </w:t>
      </w:r>
      <w:r w:rsidR="00A1760F">
        <w:rPr>
          <w:rFonts w:ascii="Times New Roman" w:hAnsi="Times New Roman" w:cs="Times New Roman"/>
          <w:sz w:val="24"/>
          <w:szCs w:val="24"/>
        </w:rPr>
        <w:t>O</w:t>
      </w:r>
      <w:r w:rsidR="00A1760F" w:rsidRPr="006767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C08A2" w:rsidRPr="00BB47B6">
        <w:rPr>
          <w:rFonts w:ascii="Times New Roman" w:hAnsi="Times New Roman" w:cs="Times New Roman"/>
          <w:sz w:val="24"/>
          <w:szCs w:val="24"/>
        </w:rPr>
        <w:t xml:space="preserve"> in relation to STEMI. F</w:t>
      </w:r>
      <w:r w:rsidR="008733F5" w:rsidRPr="00BB47B6">
        <w:rPr>
          <w:rFonts w:ascii="Times New Roman" w:hAnsi="Times New Roman" w:cs="Times New Roman"/>
          <w:sz w:val="24"/>
          <w:szCs w:val="24"/>
        </w:rPr>
        <w:t xml:space="preserve">or </w:t>
      </w:r>
      <w:r w:rsidR="00A1760F">
        <w:rPr>
          <w:rFonts w:ascii="Times New Roman" w:hAnsi="Times New Roman" w:cs="Times New Roman"/>
          <w:sz w:val="24"/>
          <w:szCs w:val="24"/>
        </w:rPr>
        <w:t>O</w:t>
      </w:r>
      <w:r w:rsidR="00A1760F" w:rsidRPr="006767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733F5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FC08A2" w:rsidRPr="00BB47B6">
        <w:rPr>
          <w:rFonts w:ascii="Times New Roman" w:hAnsi="Times New Roman" w:cs="Times New Roman"/>
          <w:sz w:val="24"/>
          <w:szCs w:val="24"/>
        </w:rPr>
        <w:t>there was evidence of a negative association</w:t>
      </w:r>
      <w:r w:rsidR="008733F5" w:rsidRPr="00BB47B6">
        <w:rPr>
          <w:rFonts w:ascii="Times New Roman" w:hAnsi="Times New Roman" w:cs="Times New Roman"/>
          <w:sz w:val="24"/>
          <w:szCs w:val="24"/>
        </w:rPr>
        <w:t xml:space="preserve"> with STEMI </w:t>
      </w:r>
      <w:r w:rsidR="00FC08A2" w:rsidRPr="00BB47B6">
        <w:rPr>
          <w:rFonts w:ascii="Times New Roman" w:hAnsi="Times New Roman" w:cs="Times New Roman"/>
          <w:sz w:val="24"/>
          <w:szCs w:val="24"/>
        </w:rPr>
        <w:t xml:space="preserve">in the autumn and </w:t>
      </w:r>
      <w:r w:rsidR="008733F5" w:rsidRPr="00BB47B6">
        <w:rPr>
          <w:rFonts w:ascii="Times New Roman" w:hAnsi="Times New Roman" w:cs="Times New Roman"/>
          <w:sz w:val="24"/>
          <w:szCs w:val="24"/>
        </w:rPr>
        <w:t>for PM</w:t>
      </w:r>
      <w:r w:rsidR="008733F5" w:rsidRPr="00BB47B6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8733F5" w:rsidRPr="00BB47B6">
        <w:rPr>
          <w:rFonts w:ascii="Times New Roman" w:hAnsi="Times New Roman" w:cs="Times New Roman"/>
          <w:sz w:val="24"/>
          <w:szCs w:val="24"/>
        </w:rPr>
        <w:t xml:space="preserve"> there was evidence of a positive associ</w:t>
      </w:r>
      <w:r w:rsidR="00FC08A2" w:rsidRPr="00BB47B6">
        <w:rPr>
          <w:rFonts w:ascii="Times New Roman" w:hAnsi="Times New Roman" w:cs="Times New Roman"/>
          <w:sz w:val="24"/>
          <w:szCs w:val="24"/>
        </w:rPr>
        <w:t xml:space="preserve">ation with ALL MI in the autumn. </w:t>
      </w:r>
      <w:r w:rsidR="00807198" w:rsidRPr="00BB47B6">
        <w:rPr>
          <w:rFonts w:ascii="Times New Roman" w:hAnsi="Times New Roman" w:cs="Times New Roman"/>
          <w:sz w:val="24"/>
          <w:szCs w:val="24"/>
        </w:rPr>
        <w:t>However in both cases there was no consistency in the direction of relative risk estimates across the 4 seasons.</w:t>
      </w:r>
    </w:p>
    <w:tbl>
      <w:tblPr>
        <w:tblStyle w:val="TableGrid2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4"/>
        <w:gridCol w:w="983"/>
        <w:gridCol w:w="1935"/>
        <w:gridCol w:w="851"/>
        <w:gridCol w:w="1984"/>
        <w:gridCol w:w="851"/>
        <w:gridCol w:w="1842"/>
        <w:gridCol w:w="851"/>
      </w:tblGrid>
      <w:tr w:rsidR="00F74181" w:rsidRPr="006926CE" w:rsidTr="00676770">
        <w:trPr>
          <w:trHeight w:val="144"/>
        </w:trPr>
        <w:tc>
          <w:tcPr>
            <w:tcW w:w="100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181" w:rsidRDefault="00F74181" w:rsidP="00A50EBE">
            <w:pPr>
              <w:rPr>
                <w:rFonts w:ascii="Times New Roman" w:hAnsi="Times New Roman"/>
                <w:b/>
              </w:rPr>
            </w:pPr>
          </w:p>
          <w:p w:rsidR="00F74181" w:rsidRPr="00E84C1E" w:rsidRDefault="00F74181" w:rsidP="00A50EBE">
            <w:pPr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  <w:b/>
              </w:rPr>
              <w:t>Table 2</w:t>
            </w:r>
            <w:r w:rsidRPr="00E84C1E">
              <w:rPr>
                <w:rFonts w:ascii="Times New Roman" w:hAnsi="Times New Roman"/>
              </w:rPr>
              <w:t xml:space="preserve"> Estimat</w:t>
            </w:r>
            <w:r w:rsidR="00B9522D">
              <w:rPr>
                <w:rFonts w:ascii="Times New Roman" w:hAnsi="Times New Roman"/>
              </w:rPr>
              <w:t>es for</w:t>
            </w:r>
            <w:r w:rsidRPr="00E84C1E">
              <w:rPr>
                <w:rFonts w:ascii="Times New Roman" w:hAnsi="Times New Roman"/>
              </w:rPr>
              <w:t xml:space="preserve"> the season-specific percentage change in risk [95% CI] per 10 µg/m</w:t>
            </w:r>
            <w:r w:rsidRPr="00E84C1E">
              <w:rPr>
                <w:rFonts w:ascii="Times New Roman" w:hAnsi="Times New Roman"/>
                <w:vertAlign w:val="superscript"/>
              </w:rPr>
              <w:t>3</w:t>
            </w:r>
            <w:r w:rsidRPr="00E84C1E">
              <w:rPr>
                <w:rFonts w:ascii="Times New Roman" w:hAnsi="Times New Roman"/>
              </w:rPr>
              <w:t xml:space="preserve"> increase in pollutant and test</w:t>
            </w:r>
            <w:r w:rsidR="00422EA8">
              <w:rPr>
                <w:rFonts w:ascii="Times New Roman" w:hAnsi="Times New Roman"/>
              </w:rPr>
              <w:t>s</w:t>
            </w:r>
            <w:r w:rsidRPr="00E84C1E">
              <w:rPr>
                <w:rFonts w:ascii="Times New Roman" w:hAnsi="Times New Roman"/>
                <w:vertAlign w:val="superscript"/>
              </w:rPr>
              <w:t xml:space="preserve"> </w:t>
            </w:r>
            <w:r w:rsidRPr="00E84C1E">
              <w:rPr>
                <w:rFonts w:ascii="Times New Roman" w:hAnsi="Times New Roman"/>
              </w:rPr>
              <w:t>for modification by season</w:t>
            </w:r>
            <w:r w:rsidRPr="00E84C1E">
              <w:rPr>
                <w:rFonts w:ascii="Times New Roman" w:hAnsi="Times New Roman"/>
                <w:vertAlign w:val="superscript"/>
              </w:rPr>
              <w:t>*</w:t>
            </w:r>
            <w:r w:rsidRPr="00E84C1E">
              <w:rPr>
                <w:rFonts w:ascii="Times New Roman" w:hAnsi="Times New Roman"/>
              </w:rPr>
              <w:t>: Single pollutant models†</w:t>
            </w:r>
          </w:p>
        </w:tc>
      </w:tr>
      <w:tr w:rsidR="00F74181" w:rsidRPr="006926CE" w:rsidTr="00676770">
        <w:trPr>
          <w:trHeight w:val="454"/>
        </w:trPr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:rsidR="00F74181" w:rsidRPr="00E84C1E" w:rsidRDefault="00F74181" w:rsidP="007630DD">
            <w:pPr>
              <w:rPr>
                <w:rFonts w:ascii="Times New Roman" w:hAnsi="Times New Roman"/>
                <w:b/>
              </w:rPr>
            </w:pPr>
          </w:p>
          <w:p w:rsidR="00F74181" w:rsidRPr="00E84C1E" w:rsidRDefault="00F74181" w:rsidP="007630DD">
            <w:pPr>
              <w:rPr>
                <w:rFonts w:ascii="Times New Roman" w:hAnsi="Times New Roman"/>
                <w:b/>
              </w:rPr>
            </w:pPr>
          </w:p>
          <w:p w:rsidR="00F74181" w:rsidRPr="00E84C1E" w:rsidRDefault="00F74181" w:rsidP="007630DD">
            <w:pPr>
              <w:rPr>
                <w:rFonts w:ascii="Times New Roman" w:hAnsi="Times New Roman"/>
                <w:vertAlign w:val="superscript"/>
              </w:rPr>
            </w:pPr>
            <w:r w:rsidRPr="00E84C1E">
              <w:rPr>
                <w:rFonts w:ascii="Times New Roman" w:hAnsi="Times New Roman"/>
                <w:b/>
              </w:rPr>
              <w:t>Pollutant</w:t>
            </w:r>
            <w:r w:rsidRPr="00E84C1E">
              <w:rPr>
                <w:rFonts w:ascii="Times New Roman" w:hAnsi="Times New Roman"/>
                <w:vertAlign w:val="superscript"/>
              </w:rPr>
              <w:t>‡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181" w:rsidRPr="00E84C1E" w:rsidRDefault="00F74181" w:rsidP="007630DD">
            <w:pPr>
              <w:jc w:val="center"/>
              <w:rPr>
                <w:rFonts w:ascii="Times New Roman" w:hAnsi="Times New Roman"/>
                <w:b/>
              </w:rPr>
            </w:pPr>
          </w:p>
          <w:p w:rsidR="00F74181" w:rsidRPr="00E84C1E" w:rsidRDefault="00F74181" w:rsidP="007630DD">
            <w:pPr>
              <w:jc w:val="center"/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  <w:b/>
              </w:rPr>
              <w:t>All MI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181" w:rsidRPr="00E84C1E" w:rsidRDefault="00F74181" w:rsidP="007630DD">
            <w:pPr>
              <w:jc w:val="center"/>
              <w:rPr>
                <w:rFonts w:ascii="Times New Roman" w:hAnsi="Times New Roman"/>
                <w:b/>
              </w:rPr>
            </w:pPr>
          </w:p>
          <w:p w:rsidR="00F74181" w:rsidRPr="00E84C1E" w:rsidRDefault="00F74181" w:rsidP="007630DD">
            <w:pPr>
              <w:jc w:val="center"/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  <w:b/>
              </w:rPr>
              <w:t>STEMI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181" w:rsidRPr="00E84C1E" w:rsidRDefault="00F74181" w:rsidP="007630DD">
            <w:pPr>
              <w:jc w:val="center"/>
              <w:rPr>
                <w:rFonts w:ascii="Times New Roman" w:hAnsi="Times New Roman"/>
                <w:b/>
              </w:rPr>
            </w:pPr>
          </w:p>
          <w:p w:rsidR="00F74181" w:rsidRPr="00E84C1E" w:rsidRDefault="00F74181" w:rsidP="007630DD">
            <w:pPr>
              <w:jc w:val="center"/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  <w:b/>
              </w:rPr>
              <w:t>NSTEMI</w:t>
            </w:r>
          </w:p>
        </w:tc>
      </w:tr>
      <w:tr w:rsidR="00F74181" w:rsidRPr="006926CE" w:rsidTr="00676770">
        <w:trPr>
          <w:trHeight w:val="397"/>
        </w:trPr>
        <w:tc>
          <w:tcPr>
            <w:tcW w:w="171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F74181" w:rsidRPr="00E84C1E" w:rsidRDefault="00F74181" w:rsidP="007630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4181" w:rsidRDefault="00F74181" w:rsidP="00676770">
            <w:pPr>
              <w:jc w:val="right"/>
              <w:rPr>
                <w:rFonts w:ascii="Times New Roman" w:hAnsi="Times New Roman"/>
                <w:b/>
              </w:rPr>
            </w:pPr>
          </w:p>
          <w:p w:rsidR="00F74181" w:rsidRPr="00E84C1E" w:rsidRDefault="00F74181" w:rsidP="00676770">
            <w:pPr>
              <w:jc w:val="right"/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  <w:b/>
              </w:rPr>
              <w:t>% change</w:t>
            </w:r>
          </w:p>
          <w:p w:rsidR="00F74181" w:rsidRPr="00E84C1E" w:rsidRDefault="00F74181" w:rsidP="00676770">
            <w:pPr>
              <w:jc w:val="right"/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  <w:b/>
              </w:rPr>
              <w:t>[95% CI]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4181" w:rsidRPr="00E84C1E" w:rsidRDefault="007630DD" w:rsidP="0067677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4181" w:rsidRPr="00E84C1E" w:rsidRDefault="00F74181" w:rsidP="00676770">
            <w:pPr>
              <w:jc w:val="right"/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  <w:b/>
              </w:rPr>
              <w:t>% change</w:t>
            </w:r>
          </w:p>
          <w:p w:rsidR="00F74181" w:rsidRPr="00E84C1E" w:rsidRDefault="00F74181" w:rsidP="00676770">
            <w:pPr>
              <w:jc w:val="right"/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  <w:b/>
              </w:rPr>
              <w:t>[95% CI]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4181" w:rsidRPr="00E84C1E" w:rsidRDefault="007630DD" w:rsidP="0067677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4181" w:rsidRDefault="00F74181" w:rsidP="00676770">
            <w:pPr>
              <w:jc w:val="right"/>
              <w:rPr>
                <w:rFonts w:ascii="Times New Roman" w:hAnsi="Times New Roman"/>
                <w:b/>
              </w:rPr>
            </w:pPr>
          </w:p>
          <w:p w:rsidR="00F74181" w:rsidRPr="00E84C1E" w:rsidRDefault="00F74181" w:rsidP="00676770">
            <w:pPr>
              <w:jc w:val="right"/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  <w:b/>
              </w:rPr>
              <w:t>% change</w:t>
            </w:r>
          </w:p>
          <w:p w:rsidR="00F74181" w:rsidRPr="00E84C1E" w:rsidRDefault="00F74181" w:rsidP="00676770">
            <w:pPr>
              <w:jc w:val="right"/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  <w:b/>
              </w:rPr>
              <w:t>[95% CI]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4181" w:rsidRDefault="00F74181" w:rsidP="00676770">
            <w:pPr>
              <w:jc w:val="right"/>
              <w:rPr>
                <w:rFonts w:ascii="Times New Roman" w:hAnsi="Times New Roman"/>
                <w:b/>
              </w:rPr>
            </w:pPr>
          </w:p>
          <w:p w:rsidR="00F74181" w:rsidRPr="00E84C1E" w:rsidRDefault="007630DD" w:rsidP="0067677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p*</w:t>
            </w:r>
          </w:p>
        </w:tc>
      </w:tr>
      <w:tr w:rsidR="00F74181" w:rsidRPr="006926CE" w:rsidTr="00676770">
        <w:tc>
          <w:tcPr>
            <w:tcW w:w="7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rPr>
                <w:rFonts w:ascii="Times New Roman" w:hAnsi="Times New Roman"/>
                <w:b/>
              </w:rPr>
            </w:pPr>
          </w:p>
          <w:p w:rsidR="00F74181" w:rsidRPr="00E84C1E" w:rsidRDefault="00F74181" w:rsidP="007630DD">
            <w:pPr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  <w:b/>
              </w:rPr>
              <w:t>O</w:t>
            </w:r>
            <w:r w:rsidRPr="00E84C1E">
              <w:rPr>
                <w:rFonts w:ascii="Times New Roman" w:hAnsi="Times New Roman"/>
                <w:b/>
                <w:vertAlign w:val="subscript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Autumn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</w:rPr>
              <w:t>-0.38 [-0.85, 0.10]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</w:rPr>
              <w:t>0.4</w:t>
            </w:r>
            <w:r w:rsidR="00A8308C">
              <w:rPr>
                <w:rFonts w:ascii="Times New Roman" w:hAnsi="Times New Roman"/>
              </w:rPr>
              <w:t>4</w:t>
            </w:r>
            <w:r w:rsidR="00B47845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  <w:b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-1.15 [-1.98, -0.31]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0.040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</w:rPr>
              <w:t>-0.10 [-0.76, 0.57]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0.7</w:t>
            </w:r>
            <w:r w:rsidR="00B23491">
              <w:rPr>
                <w:rFonts w:ascii="Times New Roman" w:hAnsi="Times New Roman"/>
              </w:rPr>
              <w:t>85</w:t>
            </w:r>
          </w:p>
        </w:tc>
      </w:tr>
      <w:tr w:rsidR="00F74181" w:rsidRPr="006926CE" w:rsidTr="00676770"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Winter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</w:rPr>
              <w:t>0.0</w:t>
            </w:r>
            <w:r w:rsidR="00B47845">
              <w:rPr>
                <w:rFonts w:ascii="Times New Roman" w:hAnsi="Times New Roman"/>
              </w:rPr>
              <w:t>0</w:t>
            </w:r>
            <w:r w:rsidRPr="00E84C1E">
              <w:rPr>
                <w:rFonts w:ascii="Times New Roman" w:hAnsi="Times New Roman"/>
              </w:rPr>
              <w:t xml:space="preserve"> [-0.37, 0.3</w:t>
            </w:r>
            <w:r w:rsidR="00B47845">
              <w:rPr>
                <w:rFonts w:ascii="Times New Roman" w:hAnsi="Times New Roman"/>
              </w:rPr>
              <w:t>8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0.1</w:t>
            </w:r>
            <w:r w:rsidR="00B47845">
              <w:rPr>
                <w:rFonts w:ascii="Times New Roman" w:hAnsi="Times New Roman"/>
              </w:rPr>
              <w:t>8</w:t>
            </w:r>
            <w:r w:rsidRPr="00E84C1E">
              <w:rPr>
                <w:rFonts w:ascii="Times New Roman" w:hAnsi="Times New Roman"/>
              </w:rPr>
              <w:t xml:space="preserve"> [-0.4</w:t>
            </w:r>
            <w:r w:rsidR="00B47845">
              <w:rPr>
                <w:rFonts w:ascii="Times New Roman" w:hAnsi="Times New Roman"/>
              </w:rPr>
              <w:t>8</w:t>
            </w:r>
            <w:r w:rsidRPr="00E84C1E">
              <w:rPr>
                <w:rFonts w:ascii="Times New Roman" w:hAnsi="Times New Roman"/>
              </w:rPr>
              <w:t>, 0.8</w:t>
            </w:r>
            <w:r w:rsidR="00A8308C">
              <w:rPr>
                <w:rFonts w:ascii="Times New Roman" w:hAnsi="Times New Roman"/>
              </w:rPr>
              <w:t>5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</w:rPr>
              <w:t>0.04 [-0.4</w:t>
            </w:r>
            <w:r w:rsidR="00F17D2B">
              <w:rPr>
                <w:rFonts w:ascii="Times New Roman" w:hAnsi="Times New Roman"/>
              </w:rPr>
              <w:t>9</w:t>
            </w:r>
            <w:r w:rsidRPr="00E84C1E">
              <w:rPr>
                <w:rFonts w:ascii="Times New Roman" w:hAnsi="Times New Roman"/>
              </w:rPr>
              <w:t>, 0.5</w:t>
            </w:r>
            <w:r w:rsidR="00B23491">
              <w:rPr>
                <w:rFonts w:ascii="Times New Roman" w:hAnsi="Times New Roman"/>
              </w:rPr>
              <w:t>6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</w:tc>
      </w:tr>
      <w:tr w:rsidR="00F74181" w:rsidRPr="006926CE" w:rsidTr="00676770"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Spring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</w:rPr>
              <w:t>0.1</w:t>
            </w:r>
            <w:r w:rsidR="00A8308C">
              <w:rPr>
                <w:rFonts w:ascii="Times New Roman" w:hAnsi="Times New Roman"/>
              </w:rPr>
              <w:t>9</w:t>
            </w:r>
            <w:r w:rsidRPr="00E84C1E">
              <w:rPr>
                <w:rFonts w:ascii="Times New Roman" w:hAnsi="Times New Roman"/>
              </w:rPr>
              <w:t xml:space="preserve"> [-0.</w:t>
            </w:r>
            <w:r w:rsidR="00A8308C">
              <w:rPr>
                <w:rFonts w:ascii="Times New Roman" w:hAnsi="Times New Roman"/>
              </w:rPr>
              <w:t>29</w:t>
            </w:r>
            <w:r w:rsidRPr="00E84C1E">
              <w:rPr>
                <w:rFonts w:ascii="Times New Roman" w:hAnsi="Times New Roman"/>
              </w:rPr>
              <w:t>, 0.6</w:t>
            </w:r>
            <w:r w:rsidR="00A8308C">
              <w:rPr>
                <w:rFonts w:ascii="Times New Roman" w:hAnsi="Times New Roman"/>
              </w:rPr>
              <w:t>7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0.3</w:t>
            </w:r>
            <w:r w:rsidR="00A8308C">
              <w:rPr>
                <w:rFonts w:ascii="Times New Roman" w:hAnsi="Times New Roman"/>
              </w:rPr>
              <w:t>9</w:t>
            </w:r>
            <w:r w:rsidRPr="00E84C1E">
              <w:rPr>
                <w:rFonts w:ascii="Times New Roman" w:hAnsi="Times New Roman"/>
              </w:rPr>
              <w:t xml:space="preserve"> [-0.4</w:t>
            </w:r>
            <w:r w:rsidR="00A8308C">
              <w:rPr>
                <w:rFonts w:ascii="Times New Roman" w:hAnsi="Times New Roman"/>
              </w:rPr>
              <w:t>6</w:t>
            </w:r>
            <w:r w:rsidRPr="00E84C1E">
              <w:rPr>
                <w:rFonts w:ascii="Times New Roman" w:hAnsi="Times New Roman"/>
              </w:rPr>
              <w:t>, 1.2</w:t>
            </w:r>
            <w:r w:rsidR="00A8308C">
              <w:rPr>
                <w:rFonts w:ascii="Times New Roman" w:hAnsi="Times New Roman"/>
              </w:rPr>
              <w:t>4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</w:rPr>
              <w:t>-0.0</w:t>
            </w:r>
            <w:r w:rsidR="00B23491">
              <w:rPr>
                <w:rFonts w:ascii="Times New Roman" w:hAnsi="Times New Roman"/>
              </w:rPr>
              <w:t>3</w:t>
            </w:r>
            <w:r w:rsidRPr="00E84C1E">
              <w:rPr>
                <w:rFonts w:ascii="Times New Roman" w:hAnsi="Times New Roman"/>
              </w:rPr>
              <w:t xml:space="preserve"> [-0.7</w:t>
            </w:r>
            <w:r w:rsidR="00B23491">
              <w:rPr>
                <w:rFonts w:ascii="Times New Roman" w:hAnsi="Times New Roman"/>
              </w:rPr>
              <w:t>1</w:t>
            </w:r>
            <w:r w:rsidRPr="00E84C1E">
              <w:rPr>
                <w:rFonts w:ascii="Times New Roman" w:hAnsi="Times New Roman"/>
              </w:rPr>
              <w:t>, 0.6</w:t>
            </w:r>
            <w:r w:rsidR="00B23491">
              <w:rPr>
                <w:rFonts w:ascii="Times New Roman" w:hAnsi="Times New Roman"/>
              </w:rPr>
              <w:t>5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</w:tc>
      </w:tr>
      <w:tr w:rsidR="00F74181" w:rsidRPr="006926CE" w:rsidTr="00676770"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Summer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</w:rPr>
              <w:t>-0.0</w:t>
            </w:r>
            <w:r w:rsidR="00B47845">
              <w:rPr>
                <w:rFonts w:ascii="Times New Roman" w:hAnsi="Times New Roman"/>
              </w:rPr>
              <w:t>7</w:t>
            </w:r>
            <w:r w:rsidRPr="00E84C1E">
              <w:rPr>
                <w:rFonts w:ascii="Times New Roman" w:hAnsi="Times New Roman"/>
              </w:rPr>
              <w:t xml:space="preserve"> [-0.5</w:t>
            </w:r>
            <w:r w:rsidR="00B47845">
              <w:rPr>
                <w:rFonts w:ascii="Times New Roman" w:hAnsi="Times New Roman"/>
              </w:rPr>
              <w:t>2</w:t>
            </w:r>
            <w:r w:rsidRPr="00E84C1E">
              <w:rPr>
                <w:rFonts w:ascii="Times New Roman" w:hAnsi="Times New Roman"/>
              </w:rPr>
              <w:t>, 0.3</w:t>
            </w:r>
            <w:r w:rsidR="00B47845">
              <w:rPr>
                <w:rFonts w:ascii="Times New Roman" w:hAnsi="Times New Roman"/>
              </w:rPr>
              <w:t>8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-0.2</w:t>
            </w:r>
            <w:r w:rsidR="00A8308C">
              <w:rPr>
                <w:rFonts w:ascii="Times New Roman" w:hAnsi="Times New Roman"/>
              </w:rPr>
              <w:t>4</w:t>
            </w:r>
            <w:r w:rsidRPr="00E84C1E">
              <w:rPr>
                <w:rFonts w:ascii="Times New Roman" w:hAnsi="Times New Roman"/>
              </w:rPr>
              <w:t>[-1.04, 0.56]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</w:rPr>
              <w:t>-0.1</w:t>
            </w:r>
            <w:r w:rsidR="00F17D2B">
              <w:rPr>
                <w:rFonts w:ascii="Times New Roman" w:hAnsi="Times New Roman"/>
              </w:rPr>
              <w:t>4</w:t>
            </w:r>
            <w:r w:rsidRPr="00E84C1E">
              <w:rPr>
                <w:rFonts w:ascii="Times New Roman" w:hAnsi="Times New Roman"/>
              </w:rPr>
              <w:t xml:space="preserve"> [-0.7</w:t>
            </w:r>
            <w:r w:rsidR="00F17D2B">
              <w:rPr>
                <w:rFonts w:ascii="Times New Roman" w:hAnsi="Times New Roman"/>
              </w:rPr>
              <w:t>7</w:t>
            </w:r>
            <w:r w:rsidRPr="00E84C1E">
              <w:rPr>
                <w:rFonts w:ascii="Times New Roman" w:hAnsi="Times New Roman"/>
              </w:rPr>
              <w:t>, 0.5</w:t>
            </w:r>
            <w:r w:rsidR="00F17D2B">
              <w:rPr>
                <w:rFonts w:ascii="Times New Roman" w:hAnsi="Times New Roman"/>
              </w:rPr>
              <w:t>0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</w:tc>
      </w:tr>
      <w:tr w:rsidR="00F74181" w:rsidRPr="006926CE" w:rsidTr="00676770"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rPr>
                <w:rFonts w:ascii="Times New Roman" w:hAnsi="Times New Roman"/>
                <w:b/>
              </w:rPr>
            </w:pPr>
          </w:p>
          <w:p w:rsidR="00F74181" w:rsidRPr="00E84C1E" w:rsidRDefault="00F74181" w:rsidP="007630DD">
            <w:pPr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  <w:b/>
              </w:rPr>
              <w:t>NO</w:t>
            </w:r>
            <w:r w:rsidRPr="00E84C1E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Autumn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</w:rPr>
              <w:t>0.11 [-0.2</w:t>
            </w:r>
            <w:r w:rsidR="00B47845">
              <w:rPr>
                <w:rFonts w:ascii="Times New Roman" w:hAnsi="Times New Roman"/>
              </w:rPr>
              <w:t>6</w:t>
            </w:r>
            <w:r w:rsidRPr="00E84C1E">
              <w:rPr>
                <w:rFonts w:ascii="Times New Roman" w:hAnsi="Times New Roman"/>
              </w:rPr>
              <w:t>, 0.47]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</w:rPr>
              <w:t>0.4</w:t>
            </w:r>
            <w:r w:rsidR="00A8308C">
              <w:rPr>
                <w:rFonts w:ascii="Times New Roman" w:hAnsi="Times New Roman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-0.07 [-0.71, 0.58]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0.0</w:t>
            </w:r>
            <w:r w:rsidR="00B47845">
              <w:rPr>
                <w:rFonts w:ascii="Times New Roman" w:hAnsi="Times New Roman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</w:rPr>
              <w:t>0.13 [-0.38, 0.64]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0.5</w:t>
            </w:r>
            <w:r w:rsidR="00B23491">
              <w:rPr>
                <w:rFonts w:ascii="Times New Roman" w:hAnsi="Times New Roman"/>
              </w:rPr>
              <w:t>71</w:t>
            </w:r>
          </w:p>
        </w:tc>
      </w:tr>
      <w:tr w:rsidR="00F74181" w:rsidRPr="006926CE" w:rsidTr="00676770"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Winter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</w:rPr>
              <w:t>0.16 [-0.18, 0.51]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0.26 [-0.34, 0.8</w:t>
            </w:r>
            <w:r w:rsidR="00A8308C">
              <w:rPr>
                <w:rFonts w:ascii="Times New Roman" w:hAnsi="Times New Roman"/>
              </w:rPr>
              <w:t>6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</w:rPr>
              <w:t>0.12 [-0.36, 0.60]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</w:tc>
      </w:tr>
      <w:tr w:rsidR="00F74181" w:rsidRPr="006926CE" w:rsidTr="00676770"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Spring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</w:rPr>
              <w:t>-0.0</w:t>
            </w:r>
            <w:r w:rsidR="00A8308C">
              <w:rPr>
                <w:rFonts w:ascii="Times New Roman" w:hAnsi="Times New Roman"/>
              </w:rPr>
              <w:t>5</w:t>
            </w:r>
            <w:r w:rsidRPr="00E84C1E">
              <w:rPr>
                <w:rFonts w:ascii="Times New Roman" w:hAnsi="Times New Roman"/>
              </w:rPr>
              <w:t xml:space="preserve"> [-0.39, 0.2</w:t>
            </w:r>
            <w:r w:rsidR="00B47845">
              <w:rPr>
                <w:rFonts w:ascii="Times New Roman" w:hAnsi="Times New Roman"/>
              </w:rPr>
              <w:t>8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-0.5</w:t>
            </w:r>
            <w:r w:rsidR="00B47845">
              <w:rPr>
                <w:rFonts w:ascii="Times New Roman" w:hAnsi="Times New Roman"/>
              </w:rPr>
              <w:t>5</w:t>
            </w:r>
            <w:r w:rsidRPr="00E84C1E">
              <w:rPr>
                <w:rFonts w:ascii="Times New Roman" w:hAnsi="Times New Roman"/>
              </w:rPr>
              <w:t xml:space="preserve"> [-1.1</w:t>
            </w:r>
            <w:r w:rsidR="00B47845">
              <w:rPr>
                <w:rFonts w:ascii="Times New Roman" w:hAnsi="Times New Roman"/>
              </w:rPr>
              <w:t>3</w:t>
            </w:r>
            <w:r w:rsidRPr="00E84C1E">
              <w:rPr>
                <w:rFonts w:ascii="Times New Roman" w:hAnsi="Times New Roman"/>
              </w:rPr>
              <w:t>, 0.03]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</w:rPr>
              <w:t>0.38 [-0.09, 0.8</w:t>
            </w:r>
            <w:r w:rsidR="00B23491">
              <w:rPr>
                <w:rFonts w:ascii="Times New Roman" w:hAnsi="Times New Roman"/>
              </w:rPr>
              <w:t>6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</w:tc>
      </w:tr>
      <w:tr w:rsidR="00F74181" w:rsidRPr="006926CE" w:rsidTr="00676770"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Summer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0.23 [-0.27, 0.73]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-0.21 [-1.09,0.68]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0.64 [-0.07, 1.36]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</w:tc>
      </w:tr>
      <w:tr w:rsidR="00F74181" w:rsidRPr="006926CE" w:rsidTr="00676770"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rPr>
                <w:rFonts w:ascii="Times New Roman" w:hAnsi="Times New Roman"/>
                <w:b/>
              </w:rPr>
            </w:pPr>
          </w:p>
          <w:p w:rsidR="00F74181" w:rsidRPr="00E84C1E" w:rsidRDefault="00F74181" w:rsidP="007630DD">
            <w:pPr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  <w:b/>
              </w:rPr>
              <w:t>PM</w:t>
            </w:r>
            <w:r w:rsidRPr="00E84C1E">
              <w:rPr>
                <w:rFonts w:ascii="Times New Roman" w:hAnsi="Times New Roman"/>
                <w:b/>
                <w:vertAlign w:val="subscript"/>
              </w:rPr>
              <w:t>2.5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Autumn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  <w:b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0.98 [0.20,1.76]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  <w:b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0.03</w:t>
            </w:r>
            <w:r w:rsidR="00A8308C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0.76 [-0.62, 2.16]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0.6</w:t>
            </w:r>
            <w:r w:rsidR="00B47845">
              <w:rPr>
                <w:rFonts w:ascii="Times New Roman" w:hAnsi="Times New Roman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  <w:b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1.13 [0.05, 2.23]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0.1</w:t>
            </w:r>
            <w:r w:rsidR="00B23491">
              <w:rPr>
                <w:rFonts w:ascii="Times New Roman" w:hAnsi="Times New Roman"/>
              </w:rPr>
              <w:t>19</w:t>
            </w:r>
          </w:p>
        </w:tc>
      </w:tr>
      <w:tr w:rsidR="00F74181" w:rsidRPr="006926CE" w:rsidTr="00676770"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Winter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-0.70 [-1.52, 0.13]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-0.9</w:t>
            </w:r>
            <w:r w:rsidR="00B47845">
              <w:rPr>
                <w:rFonts w:ascii="Times New Roman" w:hAnsi="Times New Roman"/>
              </w:rPr>
              <w:t>2</w:t>
            </w:r>
            <w:r w:rsidRPr="00E84C1E">
              <w:rPr>
                <w:rFonts w:ascii="Times New Roman" w:hAnsi="Times New Roman"/>
              </w:rPr>
              <w:t xml:space="preserve"> [-2.3</w:t>
            </w:r>
            <w:r w:rsidR="00B47845">
              <w:rPr>
                <w:rFonts w:ascii="Times New Roman" w:hAnsi="Times New Roman"/>
              </w:rPr>
              <w:t>5</w:t>
            </w:r>
            <w:r w:rsidRPr="00E84C1E">
              <w:rPr>
                <w:rFonts w:ascii="Times New Roman" w:hAnsi="Times New Roman"/>
              </w:rPr>
              <w:t>, 0.5</w:t>
            </w:r>
            <w:r w:rsidR="00B47845">
              <w:rPr>
                <w:rFonts w:ascii="Times New Roman" w:hAnsi="Times New Roman"/>
              </w:rPr>
              <w:t>4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-1.13 [-2.27, 0.02]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</w:tc>
      </w:tr>
      <w:tr w:rsidR="00F74181" w:rsidRPr="006926CE" w:rsidTr="00676770"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Spring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</w:t>
            </w:r>
            <w:r w:rsidR="00A8308C">
              <w:rPr>
                <w:rFonts w:ascii="Times New Roman" w:hAnsi="Times New Roman"/>
              </w:rPr>
              <w:t>39</w:t>
            </w:r>
            <w:r w:rsidRPr="00E84C1E">
              <w:rPr>
                <w:rFonts w:ascii="Times New Roman" w:hAnsi="Times New Roman"/>
              </w:rPr>
              <w:t xml:space="preserve"> [-1.</w:t>
            </w:r>
            <w:r w:rsidR="00A8308C">
              <w:rPr>
                <w:rFonts w:ascii="Times New Roman" w:hAnsi="Times New Roman"/>
              </w:rPr>
              <w:t>09</w:t>
            </w:r>
            <w:r w:rsidRPr="00E84C1E">
              <w:rPr>
                <w:rFonts w:ascii="Times New Roman" w:hAnsi="Times New Roman"/>
              </w:rPr>
              <w:t>, 0.</w:t>
            </w:r>
            <w:r w:rsidR="00A8308C">
              <w:rPr>
                <w:rFonts w:ascii="Times New Roman" w:hAnsi="Times New Roman"/>
              </w:rPr>
              <w:t>31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-0.4</w:t>
            </w:r>
            <w:r w:rsidR="00B47845">
              <w:rPr>
                <w:rFonts w:ascii="Times New Roman" w:hAnsi="Times New Roman"/>
              </w:rPr>
              <w:t>1</w:t>
            </w:r>
            <w:r w:rsidRPr="00E84C1E">
              <w:rPr>
                <w:rFonts w:ascii="Times New Roman" w:hAnsi="Times New Roman"/>
              </w:rPr>
              <w:t xml:space="preserve"> [-1.6</w:t>
            </w:r>
            <w:r w:rsidR="00B47845">
              <w:rPr>
                <w:rFonts w:ascii="Times New Roman" w:hAnsi="Times New Roman"/>
              </w:rPr>
              <w:t>4</w:t>
            </w:r>
            <w:r w:rsidRPr="00E84C1E">
              <w:rPr>
                <w:rFonts w:ascii="Times New Roman" w:hAnsi="Times New Roman"/>
              </w:rPr>
              <w:t>, 0.8</w:t>
            </w:r>
            <w:r w:rsidR="00A8308C">
              <w:rPr>
                <w:rFonts w:ascii="Times New Roman" w:hAnsi="Times New Roman"/>
              </w:rPr>
              <w:t>4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-0.4</w:t>
            </w:r>
            <w:r w:rsidR="00B23491">
              <w:rPr>
                <w:rFonts w:ascii="Times New Roman" w:hAnsi="Times New Roman"/>
              </w:rPr>
              <w:t>6</w:t>
            </w:r>
            <w:r w:rsidRPr="00E84C1E">
              <w:rPr>
                <w:rFonts w:ascii="Times New Roman" w:hAnsi="Times New Roman"/>
              </w:rPr>
              <w:t xml:space="preserve"> [-1.4</w:t>
            </w:r>
            <w:r w:rsidR="00B23491">
              <w:rPr>
                <w:rFonts w:ascii="Times New Roman" w:hAnsi="Times New Roman"/>
              </w:rPr>
              <w:t>5</w:t>
            </w:r>
            <w:r w:rsidRPr="00E84C1E">
              <w:rPr>
                <w:rFonts w:ascii="Times New Roman" w:hAnsi="Times New Roman"/>
              </w:rPr>
              <w:t>, 0.5</w:t>
            </w:r>
            <w:r w:rsidR="00B23491">
              <w:rPr>
                <w:rFonts w:ascii="Times New Roman" w:hAnsi="Times New Roman"/>
              </w:rPr>
              <w:t>4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</w:tc>
      </w:tr>
      <w:tr w:rsidR="00F74181" w:rsidRPr="006926CE" w:rsidTr="00A50EBE"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Summer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0.01 [-1.12, 1.15]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-1.28 [-3.26, 0.7</w:t>
            </w:r>
            <w:r w:rsidR="00A8308C">
              <w:rPr>
                <w:rFonts w:ascii="Times New Roman" w:hAnsi="Times New Roman"/>
              </w:rPr>
              <w:t>5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-0.19 [-1.7</w:t>
            </w:r>
            <w:r w:rsidR="00F17D2B">
              <w:rPr>
                <w:rFonts w:ascii="Times New Roman" w:hAnsi="Times New Roman"/>
              </w:rPr>
              <w:t>8</w:t>
            </w:r>
            <w:r w:rsidRPr="00E84C1E">
              <w:rPr>
                <w:rFonts w:ascii="Times New Roman" w:hAnsi="Times New Roman"/>
              </w:rPr>
              <w:t>, 1.4</w:t>
            </w:r>
            <w:r w:rsidR="00F17D2B">
              <w:rPr>
                <w:rFonts w:ascii="Times New Roman" w:hAnsi="Times New Roman"/>
              </w:rPr>
              <w:t>2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</w:tc>
      </w:tr>
      <w:tr w:rsidR="00F74181" w:rsidRPr="006926CE" w:rsidTr="00A50EBE"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rPr>
                <w:rFonts w:ascii="Times New Roman" w:hAnsi="Times New Roman"/>
                <w:b/>
              </w:rPr>
            </w:pPr>
          </w:p>
          <w:p w:rsidR="00F74181" w:rsidRPr="00E84C1E" w:rsidRDefault="00F74181" w:rsidP="007630DD">
            <w:pPr>
              <w:rPr>
                <w:rFonts w:ascii="Times New Roman" w:hAnsi="Times New Roman"/>
                <w:b/>
              </w:rPr>
            </w:pPr>
            <w:r w:rsidRPr="00E84C1E">
              <w:rPr>
                <w:rFonts w:ascii="Times New Roman" w:hAnsi="Times New Roman"/>
                <w:b/>
              </w:rPr>
              <w:t>PM</w:t>
            </w:r>
            <w:r w:rsidRPr="00E84C1E">
              <w:rPr>
                <w:rFonts w:ascii="Times New Roman" w:hAnsi="Times New Roman"/>
                <w:b/>
                <w:vertAlign w:val="subscript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Autumn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0.51 [-0.1</w:t>
            </w:r>
            <w:r w:rsidR="00B47845">
              <w:rPr>
                <w:rFonts w:ascii="Times New Roman" w:hAnsi="Times New Roman"/>
              </w:rPr>
              <w:t>4</w:t>
            </w:r>
            <w:r w:rsidRPr="00E84C1E">
              <w:rPr>
                <w:rFonts w:ascii="Times New Roman" w:hAnsi="Times New Roman"/>
              </w:rPr>
              <w:t>, 1.16]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0.1</w:t>
            </w:r>
            <w:r w:rsidR="00A8308C">
              <w:rPr>
                <w:rFonts w:ascii="Times New Roman" w:hAnsi="Times New Roman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0.53 [-0.62, 1.70]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0.28</w:t>
            </w:r>
            <w:r w:rsidR="00A8308C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0.47 [-0.44, 1.39]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0.5</w:t>
            </w:r>
            <w:r w:rsidR="00B23491">
              <w:rPr>
                <w:rFonts w:ascii="Times New Roman" w:hAnsi="Times New Roman"/>
              </w:rPr>
              <w:t>1</w:t>
            </w:r>
            <w:r w:rsidR="00F17D2B">
              <w:rPr>
                <w:rFonts w:ascii="Times New Roman" w:hAnsi="Times New Roman"/>
              </w:rPr>
              <w:t>0</w:t>
            </w:r>
          </w:p>
        </w:tc>
      </w:tr>
      <w:tr w:rsidR="00FD426C" w:rsidRPr="006926CE" w:rsidTr="00A50EBE"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81" w:rsidRPr="00E84C1E" w:rsidRDefault="00F74181" w:rsidP="007630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Winter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-0.4</w:t>
            </w:r>
            <w:r w:rsidR="00B47845">
              <w:rPr>
                <w:rFonts w:ascii="Times New Roman" w:hAnsi="Times New Roman"/>
              </w:rPr>
              <w:t>3</w:t>
            </w:r>
            <w:r w:rsidRPr="00E84C1E">
              <w:rPr>
                <w:rFonts w:ascii="Times New Roman" w:hAnsi="Times New Roman"/>
              </w:rPr>
              <w:t xml:space="preserve"> [-0.9</w:t>
            </w:r>
            <w:r w:rsidR="00B47845">
              <w:rPr>
                <w:rFonts w:ascii="Times New Roman" w:hAnsi="Times New Roman"/>
              </w:rPr>
              <w:t>9</w:t>
            </w:r>
            <w:r w:rsidRPr="00E84C1E">
              <w:rPr>
                <w:rFonts w:ascii="Times New Roman" w:hAnsi="Times New Roman"/>
              </w:rPr>
              <w:t>, 0.1</w:t>
            </w:r>
            <w:r w:rsidR="00A8308C">
              <w:rPr>
                <w:rFonts w:ascii="Times New Roman" w:hAnsi="Times New Roman"/>
              </w:rPr>
              <w:t>5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-0.7</w:t>
            </w:r>
            <w:r w:rsidR="00B47845">
              <w:rPr>
                <w:rFonts w:ascii="Times New Roman" w:hAnsi="Times New Roman"/>
              </w:rPr>
              <w:t>5</w:t>
            </w:r>
            <w:r w:rsidRPr="00E84C1E">
              <w:rPr>
                <w:rFonts w:ascii="Times New Roman" w:hAnsi="Times New Roman"/>
              </w:rPr>
              <w:t xml:space="preserve"> [-1.7</w:t>
            </w:r>
            <w:r w:rsidR="00B47845">
              <w:rPr>
                <w:rFonts w:ascii="Times New Roman" w:hAnsi="Times New Roman"/>
              </w:rPr>
              <w:t>5</w:t>
            </w:r>
            <w:r w:rsidRPr="00E84C1E">
              <w:rPr>
                <w:rFonts w:ascii="Times New Roman" w:hAnsi="Times New Roman"/>
              </w:rPr>
              <w:t>, 0.2</w:t>
            </w:r>
            <w:r w:rsidR="00B47845">
              <w:rPr>
                <w:rFonts w:ascii="Times New Roman" w:hAnsi="Times New Roman"/>
              </w:rPr>
              <w:t>6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-0.64 [-1.4</w:t>
            </w:r>
            <w:r w:rsidR="00F17D2B">
              <w:rPr>
                <w:rFonts w:ascii="Times New Roman" w:hAnsi="Times New Roman"/>
              </w:rPr>
              <w:t>3</w:t>
            </w:r>
            <w:r w:rsidRPr="00E84C1E">
              <w:rPr>
                <w:rFonts w:ascii="Times New Roman" w:hAnsi="Times New Roman"/>
              </w:rPr>
              <w:t>, 0.1</w:t>
            </w:r>
            <w:r w:rsidR="00F17D2B">
              <w:rPr>
                <w:rFonts w:ascii="Times New Roman" w:hAnsi="Times New Roman"/>
              </w:rPr>
              <w:t>5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center"/>
              <w:rPr>
                <w:rFonts w:ascii="Times New Roman" w:hAnsi="Times New Roman"/>
              </w:rPr>
            </w:pPr>
          </w:p>
        </w:tc>
      </w:tr>
      <w:tr w:rsidR="00FD426C" w:rsidRPr="006926CE" w:rsidTr="00A50EBE"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81" w:rsidRPr="00E84C1E" w:rsidRDefault="00F74181" w:rsidP="007630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Spring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  <w:b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-0.61 [-1.20, -0.0</w:t>
            </w:r>
            <w:r w:rsidR="00B47845">
              <w:rPr>
                <w:rFonts w:ascii="Times New Roman" w:hAnsi="Times New Roman"/>
              </w:rPr>
              <w:t>1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-0.26 [-1.3</w:t>
            </w:r>
            <w:r w:rsidR="00B47845">
              <w:rPr>
                <w:rFonts w:ascii="Times New Roman" w:hAnsi="Times New Roman"/>
              </w:rPr>
              <w:t>0</w:t>
            </w:r>
            <w:r w:rsidRPr="00E84C1E">
              <w:rPr>
                <w:rFonts w:ascii="Times New Roman" w:hAnsi="Times New Roman"/>
              </w:rPr>
              <w:t>,0.80]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-0.79 [-1.62, 0.04]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center"/>
              <w:rPr>
                <w:rFonts w:ascii="Times New Roman" w:hAnsi="Times New Roman"/>
              </w:rPr>
            </w:pPr>
          </w:p>
        </w:tc>
      </w:tr>
      <w:tr w:rsidR="00F74181" w:rsidRPr="006926CE" w:rsidTr="00A50EBE"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81" w:rsidRPr="00E84C1E" w:rsidRDefault="00F74181" w:rsidP="007630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4181" w:rsidRPr="00E84C1E" w:rsidRDefault="00F74181" w:rsidP="007630DD">
            <w:pPr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Summer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-0.13 [-0.87, 0.6</w:t>
            </w:r>
            <w:r w:rsidR="00A8308C">
              <w:rPr>
                <w:rFonts w:ascii="Times New Roman" w:hAnsi="Times New Roman"/>
              </w:rPr>
              <w:t>1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-1.0</w:t>
            </w:r>
            <w:r w:rsidR="00A8308C">
              <w:rPr>
                <w:rFonts w:ascii="Times New Roman" w:hAnsi="Times New Roman"/>
              </w:rPr>
              <w:t>6</w:t>
            </w:r>
            <w:r w:rsidRPr="00E84C1E">
              <w:rPr>
                <w:rFonts w:ascii="Times New Roman" w:hAnsi="Times New Roman"/>
              </w:rPr>
              <w:t xml:space="preserve"> [-2.37, 0.2</w:t>
            </w:r>
            <w:r w:rsidR="00A8308C">
              <w:rPr>
                <w:rFonts w:ascii="Times New Roman" w:hAnsi="Times New Roman"/>
              </w:rPr>
              <w:t>6</w:t>
            </w:r>
            <w:r w:rsidRPr="00E84C1E">
              <w:rPr>
                <w:rFonts w:ascii="Times New Roman" w:hAnsi="Times New Roman"/>
              </w:rPr>
              <w:t>]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4181" w:rsidRPr="00E84C1E" w:rsidRDefault="00F74181" w:rsidP="007630DD">
            <w:pPr>
              <w:jc w:val="right"/>
              <w:rPr>
                <w:rFonts w:ascii="Times New Roman" w:hAnsi="Times New Roman"/>
              </w:rPr>
            </w:pPr>
          </w:p>
          <w:p w:rsidR="007630DD" w:rsidRDefault="00F74181" w:rsidP="003D5C85">
            <w:pPr>
              <w:jc w:val="right"/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-0.20 [-1.2</w:t>
            </w:r>
            <w:r w:rsidR="00F17D2B">
              <w:rPr>
                <w:rFonts w:ascii="Times New Roman" w:hAnsi="Times New Roman"/>
              </w:rPr>
              <w:t>4</w:t>
            </w:r>
            <w:r w:rsidRPr="00E84C1E">
              <w:rPr>
                <w:rFonts w:ascii="Times New Roman" w:hAnsi="Times New Roman"/>
              </w:rPr>
              <w:t>,0.8</w:t>
            </w:r>
            <w:r w:rsidR="00F17D2B">
              <w:rPr>
                <w:rFonts w:ascii="Times New Roman" w:hAnsi="Times New Roman"/>
              </w:rPr>
              <w:t>6</w:t>
            </w:r>
            <w:r w:rsidRPr="00E84C1E">
              <w:rPr>
                <w:rFonts w:ascii="Times New Roman" w:hAnsi="Times New Roman"/>
              </w:rPr>
              <w:t>]</w:t>
            </w:r>
          </w:p>
          <w:p w:rsidR="00853ECC" w:rsidRPr="00E84C1E" w:rsidRDefault="00853ECC" w:rsidP="003D5C8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181" w:rsidRPr="00E84C1E" w:rsidRDefault="00F74181" w:rsidP="007630DD">
            <w:pPr>
              <w:jc w:val="center"/>
              <w:rPr>
                <w:rFonts w:ascii="Times New Roman" w:hAnsi="Times New Roman"/>
              </w:rPr>
            </w:pPr>
          </w:p>
        </w:tc>
      </w:tr>
      <w:tr w:rsidR="00F74181" w:rsidRPr="006926CE" w:rsidTr="00676770">
        <w:trPr>
          <w:trHeight w:val="700"/>
        </w:trPr>
        <w:tc>
          <w:tcPr>
            <w:tcW w:w="1003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F74181" w:rsidRPr="00E84C1E" w:rsidRDefault="00F74181" w:rsidP="007630DD">
            <w:pPr>
              <w:rPr>
                <w:rFonts w:ascii="Times New Roman" w:hAnsi="Times New Roman"/>
              </w:rPr>
            </w:pPr>
          </w:p>
          <w:p w:rsidR="00F74181" w:rsidRPr="00E84C1E" w:rsidRDefault="007630DD" w:rsidP="00763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The p</w:t>
            </w:r>
            <w:r w:rsidR="00F74181" w:rsidRPr="00E84C1E">
              <w:rPr>
                <w:rFonts w:ascii="Times New Roman" w:hAnsi="Times New Roman"/>
              </w:rPr>
              <w:t xml:space="preserve"> values in the table relate to likelihood ratio tests for a season interaction. Seasons defined as: Autumn (Sept-Nov); winter (Dec-Feb); spring (March-May); and summer (June-Aug).</w:t>
            </w:r>
          </w:p>
          <w:p w:rsidR="00F74181" w:rsidRPr="00E84C1E" w:rsidRDefault="00F74181" w:rsidP="007630DD">
            <w:pPr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†The conditional logistic regression model fits the pollutant as unconstrained distribut</w:t>
            </w:r>
            <w:r w:rsidR="0022439D">
              <w:rPr>
                <w:rFonts w:ascii="Times New Roman" w:hAnsi="Times New Roman"/>
              </w:rPr>
              <w:t>ed</w:t>
            </w:r>
            <w:r w:rsidRPr="00E84C1E">
              <w:rPr>
                <w:rFonts w:ascii="Times New Roman" w:hAnsi="Times New Roman"/>
              </w:rPr>
              <w:t xml:space="preserve"> lags 0-2 and adjusts for, the weekly RCGP influenza-like illness consultation rates per 100,000 England and Wales population, two natural cubic splines (df=5) for temperature (mean lag 0-1 and mean lag 2-6) , public holidays and a sine /cosine annual cycle.</w:t>
            </w:r>
          </w:p>
          <w:p w:rsidR="00F74181" w:rsidRPr="00E84C1E" w:rsidRDefault="00F74181" w:rsidP="007630DD">
            <w:pPr>
              <w:rPr>
                <w:rFonts w:ascii="Times New Roman" w:hAnsi="Times New Roman"/>
              </w:rPr>
            </w:pPr>
          </w:p>
          <w:p w:rsidR="00F74181" w:rsidRPr="00E84C1E" w:rsidRDefault="00F74181" w:rsidP="007630DD">
            <w:pPr>
              <w:rPr>
                <w:rFonts w:ascii="Times New Roman" w:hAnsi="Times New Roman"/>
              </w:rPr>
            </w:pPr>
            <w:r w:rsidRPr="00E84C1E">
              <w:rPr>
                <w:rFonts w:ascii="Times New Roman" w:hAnsi="Times New Roman"/>
              </w:rPr>
              <w:t>‡Pollutant metrics: daily mean PM</w:t>
            </w:r>
            <w:r w:rsidRPr="00E84C1E">
              <w:rPr>
                <w:rFonts w:ascii="Times New Roman" w:hAnsi="Times New Roman"/>
                <w:vertAlign w:val="subscript"/>
              </w:rPr>
              <w:t>2.5</w:t>
            </w:r>
            <w:r w:rsidRPr="00E84C1E">
              <w:rPr>
                <w:rFonts w:ascii="Times New Roman" w:hAnsi="Times New Roman"/>
              </w:rPr>
              <w:t>, daily mean PM</w:t>
            </w:r>
            <w:r w:rsidRPr="00E84C1E">
              <w:rPr>
                <w:rFonts w:ascii="Times New Roman" w:hAnsi="Times New Roman"/>
                <w:vertAlign w:val="subscript"/>
              </w:rPr>
              <w:t>10</w:t>
            </w:r>
            <w:r w:rsidRPr="00E84C1E">
              <w:rPr>
                <w:rFonts w:ascii="Times New Roman" w:hAnsi="Times New Roman"/>
              </w:rPr>
              <w:t>, daily maximum1-hour NO</w:t>
            </w:r>
            <w:r w:rsidRPr="00E84C1E">
              <w:rPr>
                <w:rFonts w:ascii="Times New Roman" w:hAnsi="Times New Roman"/>
                <w:vertAlign w:val="subscript"/>
              </w:rPr>
              <w:t>2</w:t>
            </w:r>
            <w:r w:rsidRPr="00E84C1E">
              <w:rPr>
                <w:rFonts w:ascii="Times New Roman" w:hAnsi="Times New Roman"/>
              </w:rPr>
              <w:t>, daily maximum 8-hour mean O</w:t>
            </w:r>
            <w:r w:rsidRPr="00E84C1E">
              <w:rPr>
                <w:rFonts w:ascii="Times New Roman" w:hAnsi="Times New Roman"/>
                <w:vertAlign w:val="subscript"/>
              </w:rPr>
              <w:t>3</w:t>
            </w:r>
          </w:p>
        </w:tc>
      </w:tr>
    </w:tbl>
    <w:p w:rsidR="00F74181" w:rsidRPr="00BB47B6" w:rsidRDefault="00F74181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CC0CAE" w:rsidRPr="00676770" w:rsidRDefault="0047171B" w:rsidP="00676770">
      <w:p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6770">
        <w:rPr>
          <w:rFonts w:ascii="Times New Roman" w:hAnsi="Times New Roman" w:cs="Times New Roman"/>
          <w:b/>
          <w:sz w:val="24"/>
          <w:szCs w:val="24"/>
        </w:rPr>
        <w:t>Effect modification by r</w:t>
      </w:r>
      <w:r w:rsidR="00CC0CAE" w:rsidRPr="00676770">
        <w:rPr>
          <w:rFonts w:ascii="Times New Roman" w:hAnsi="Times New Roman" w:cs="Times New Roman"/>
          <w:b/>
          <w:sz w:val="24"/>
          <w:szCs w:val="24"/>
        </w:rPr>
        <w:t>egion</w:t>
      </w:r>
    </w:p>
    <w:p w:rsidR="00745E06" w:rsidRDefault="008733F5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  <w:sectPr w:rsidR="00745E06" w:rsidSect="001F6A44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B47B6">
        <w:rPr>
          <w:rFonts w:ascii="Times New Roman" w:hAnsi="Times New Roman" w:cs="Times New Roman"/>
          <w:sz w:val="24"/>
          <w:szCs w:val="24"/>
        </w:rPr>
        <w:t xml:space="preserve">We next investigated differences in association between </w:t>
      </w:r>
      <w:r w:rsidR="00AF1C6A" w:rsidRPr="00BB47B6">
        <w:rPr>
          <w:rFonts w:ascii="Times New Roman" w:hAnsi="Times New Roman" w:cs="Times New Roman"/>
          <w:sz w:val="24"/>
          <w:szCs w:val="24"/>
        </w:rPr>
        <w:t>Government Office R</w:t>
      </w:r>
      <w:r w:rsidRPr="00BB47B6">
        <w:rPr>
          <w:rFonts w:ascii="Times New Roman" w:hAnsi="Times New Roman" w:cs="Times New Roman"/>
          <w:sz w:val="24"/>
          <w:szCs w:val="24"/>
        </w:rPr>
        <w:t>egion</w:t>
      </w:r>
      <w:r w:rsidR="00422EA8">
        <w:rPr>
          <w:rFonts w:ascii="Times New Roman" w:hAnsi="Times New Roman" w:cs="Times New Roman"/>
          <w:sz w:val="24"/>
          <w:szCs w:val="24"/>
        </w:rPr>
        <w:t>s</w:t>
      </w:r>
      <w:r w:rsidRPr="00BB47B6">
        <w:rPr>
          <w:rFonts w:ascii="Times New Roman" w:hAnsi="Times New Roman" w:cs="Times New Roman"/>
          <w:sz w:val="24"/>
          <w:szCs w:val="24"/>
        </w:rPr>
        <w:t>, having adjusted for covariates</w:t>
      </w:r>
      <w:r w:rsidR="007D4A56">
        <w:rPr>
          <w:rFonts w:ascii="Times New Roman" w:hAnsi="Times New Roman" w:cs="Times New Roman"/>
          <w:sz w:val="24"/>
          <w:szCs w:val="24"/>
        </w:rPr>
        <w:t xml:space="preserve"> </w:t>
      </w:r>
      <w:r w:rsidRPr="00BB47B6">
        <w:rPr>
          <w:rFonts w:ascii="Times New Roman" w:hAnsi="Times New Roman" w:cs="Times New Roman"/>
          <w:sz w:val="24"/>
          <w:szCs w:val="24"/>
        </w:rPr>
        <w:t>at the regional level</w:t>
      </w:r>
      <w:r w:rsidR="003D22DB" w:rsidRPr="00BB47B6">
        <w:rPr>
          <w:rFonts w:ascii="Times New Roman" w:hAnsi="Times New Roman" w:cs="Times New Roman"/>
          <w:sz w:val="24"/>
          <w:szCs w:val="24"/>
        </w:rPr>
        <w:t xml:space="preserve"> (Table 3)</w:t>
      </w:r>
      <w:r w:rsidRPr="00BB47B6">
        <w:rPr>
          <w:rFonts w:ascii="Times New Roman" w:hAnsi="Times New Roman" w:cs="Times New Roman"/>
          <w:sz w:val="24"/>
          <w:szCs w:val="24"/>
        </w:rPr>
        <w:t xml:space="preserve">. </w:t>
      </w:r>
      <w:r w:rsidR="00424E20">
        <w:rPr>
          <w:rFonts w:ascii="Times New Roman" w:hAnsi="Times New Roman" w:cs="Times New Roman"/>
          <w:sz w:val="24"/>
          <w:szCs w:val="24"/>
        </w:rPr>
        <w:t>With respect to</w:t>
      </w:r>
      <w:r w:rsidR="007D4A56">
        <w:rPr>
          <w:rFonts w:ascii="Times New Roman" w:hAnsi="Times New Roman" w:cs="Times New Roman"/>
          <w:sz w:val="24"/>
          <w:szCs w:val="24"/>
        </w:rPr>
        <w:t xml:space="preserve"> NO</w:t>
      </w:r>
      <w:r w:rsidR="007D4A56" w:rsidRPr="006767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D4A56">
        <w:rPr>
          <w:rFonts w:ascii="Times New Roman" w:hAnsi="Times New Roman" w:cs="Times New Roman"/>
          <w:sz w:val="24"/>
          <w:szCs w:val="24"/>
        </w:rPr>
        <w:t>,</w:t>
      </w:r>
      <w:r w:rsidR="00C13FA2">
        <w:rPr>
          <w:rFonts w:ascii="Times New Roman" w:hAnsi="Times New Roman" w:cs="Times New Roman"/>
          <w:sz w:val="24"/>
          <w:szCs w:val="24"/>
        </w:rPr>
        <w:t xml:space="preserve"> PM</w:t>
      </w:r>
      <w:r w:rsidR="00C13FA2" w:rsidRPr="00326C7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C13FA2">
        <w:rPr>
          <w:rFonts w:ascii="Times New Roman" w:hAnsi="Times New Roman" w:cs="Times New Roman"/>
          <w:sz w:val="24"/>
          <w:szCs w:val="24"/>
        </w:rPr>
        <w:t>, and PM</w:t>
      </w:r>
      <w:r w:rsidR="00C13FA2" w:rsidRPr="00326C7F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C13FA2">
        <w:rPr>
          <w:rFonts w:ascii="Times New Roman" w:hAnsi="Times New Roman" w:cs="Times New Roman"/>
          <w:sz w:val="24"/>
          <w:szCs w:val="24"/>
        </w:rPr>
        <w:t>,</w:t>
      </w:r>
      <w:r w:rsidR="007D4A56">
        <w:rPr>
          <w:rFonts w:ascii="Times New Roman" w:hAnsi="Times New Roman" w:cs="Times New Roman"/>
          <w:sz w:val="24"/>
          <w:szCs w:val="24"/>
        </w:rPr>
        <w:t xml:space="preserve"> </w:t>
      </w:r>
      <w:r w:rsidR="00424E20">
        <w:rPr>
          <w:rFonts w:ascii="Times New Roman" w:hAnsi="Times New Roman" w:cs="Times New Roman"/>
          <w:sz w:val="24"/>
          <w:szCs w:val="24"/>
        </w:rPr>
        <w:t xml:space="preserve">regression </w:t>
      </w:r>
      <w:r w:rsidR="007D4A56">
        <w:rPr>
          <w:rFonts w:ascii="Times New Roman" w:hAnsi="Times New Roman" w:cs="Times New Roman"/>
          <w:sz w:val="24"/>
          <w:szCs w:val="24"/>
        </w:rPr>
        <w:t>models</w:t>
      </w:r>
      <w:r w:rsidR="007D4A56" w:rsidRPr="007D4A56">
        <w:rPr>
          <w:rFonts w:ascii="Times New Roman" w:hAnsi="Times New Roman" w:cs="Times New Roman"/>
          <w:sz w:val="24"/>
          <w:szCs w:val="24"/>
        </w:rPr>
        <w:t xml:space="preserve"> </w:t>
      </w:r>
      <w:r w:rsidR="007D4A56">
        <w:rPr>
          <w:rFonts w:ascii="Times New Roman" w:hAnsi="Times New Roman" w:cs="Times New Roman"/>
          <w:sz w:val="24"/>
          <w:szCs w:val="24"/>
        </w:rPr>
        <w:t>included</w:t>
      </w:r>
      <w:r w:rsidR="007D4A56" w:rsidRPr="00BB47B6">
        <w:rPr>
          <w:rFonts w:ascii="Times New Roman" w:hAnsi="Times New Roman" w:cs="Times New Roman"/>
          <w:sz w:val="24"/>
          <w:szCs w:val="24"/>
        </w:rPr>
        <w:t xml:space="preserve"> additional </w:t>
      </w:r>
      <w:r w:rsidR="0026582C">
        <w:rPr>
          <w:rFonts w:ascii="Times New Roman" w:hAnsi="Times New Roman" w:cs="Times New Roman"/>
          <w:sz w:val="24"/>
          <w:szCs w:val="24"/>
        </w:rPr>
        <w:t xml:space="preserve">regional-level </w:t>
      </w:r>
      <w:r w:rsidR="007D4A56" w:rsidRPr="00BB47B6">
        <w:rPr>
          <w:rFonts w:ascii="Times New Roman" w:hAnsi="Times New Roman" w:cs="Times New Roman"/>
          <w:sz w:val="24"/>
          <w:szCs w:val="24"/>
        </w:rPr>
        <w:t>adjustment for ozone (lags 0, 1 and 2)</w:t>
      </w:r>
      <w:r w:rsidR="00424E2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1084"/>
        <w:gridCol w:w="1422"/>
        <w:gridCol w:w="1965"/>
        <w:gridCol w:w="1890"/>
        <w:gridCol w:w="2144"/>
        <w:gridCol w:w="1985"/>
        <w:gridCol w:w="1701"/>
        <w:gridCol w:w="1460"/>
      </w:tblGrid>
      <w:tr w:rsidR="00B260BD" w:rsidRPr="006926CE" w:rsidTr="00676770">
        <w:trPr>
          <w:trHeight w:val="144"/>
        </w:trPr>
        <w:tc>
          <w:tcPr>
            <w:tcW w:w="1365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B260BD" w:rsidRDefault="00B260BD" w:rsidP="004928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0BD" w:rsidRPr="00676770" w:rsidRDefault="00B260BD" w:rsidP="00492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Table 3 </w:t>
            </w:r>
            <w:r w:rsidRPr="00BB47B6">
              <w:rPr>
                <w:rFonts w:ascii="Times New Roman" w:hAnsi="Times New Roman"/>
                <w:sz w:val="24"/>
                <w:szCs w:val="24"/>
              </w:rPr>
              <w:t xml:space="preserve">A meta-analysis, combining </w:t>
            </w:r>
            <w:r>
              <w:rPr>
                <w:rFonts w:ascii="Times New Roman" w:hAnsi="Times New Roman"/>
                <w:sz w:val="24"/>
                <w:szCs w:val="24"/>
              </w:rPr>
              <w:t>Government Office Region</w:t>
            </w:r>
            <w:r w:rsidRPr="00BB47B6">
              <w:rPr>
                <w:rFonts w:ascii="Times New Roman" w:hAnsi="Times New Roman"/>
                <w:sz w:val="24"/>
                <w:szCs w:val="24"/>
              </w:rPr>
              <w:t>-specific relative risk estimates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BB47B6">
              <w:rPr>
                <w:rFonts w:ascii="Times New Roman" w:hAnsi="Times New Roman"/>
                <w:sz w:val="24"/>
                <w:szCs w:val="24"/>
              </w:rPr>
              <w:t xml:space="preserve"> by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“super region” (North, Midlands, South)†</w:t>
            </w:r>
          </w:p>
        </w:tc>
      </w:tr>
      <w:tr w:rsidR="00B260BD" w:rsidRPr="006926CE" w:rsidTr="00676770">
        <w:trPr>
          <w:trHeight w:val="144"/>
        </w:trPr>
        <w:tc>
          <w:tcPr>
            <w:tcW w:w="1084" w:type="dxa"/>
            <w:vMerge w:val="restart"/>
            <w:tcBorders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0BD" w:rsidRPr="00592AF6" w:rsidRDefault="00B260BD" w:rsidP="004928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2AF6">
              <w:rPr>
                <w:rFonts w:ascii="Times New Roman" w:hAnsi="Times New Roman"/>
                <w:b/>
                <w:sz w:val="20"/>
                <w:szCs w:val="20"/>
              </w:rPr>
              <w:t>Disease</w:t>
            </w:r>
          </w:p>
        </w:tc>
        <w:tc>
          <w:tcPr>
            <w:tcW w:w="1422" w:type="dxa"/>
            <w:vMerge w:val="restart"/>
            <w:tcBorders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0BD" w:rsidRPr="00592AF6" w:rsidRDefault="00B260BD" w:rsidP="004928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2AF6">
              <w:rPr>
                <w:rFonts w:ascii="Times New Roman" w:hAnsi="Times New Roman"/>
                <w:b/>
                <w:sz w:val="20"/>
                <w:szCs w:val="20"/>
              </w:rPr>
              <w:t>Pollutant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‡</w:t>
            </w:r>
          </w:p>
          <w:p w:rsidR="00B260BD" w:rsidRPr="00592AF6" w:rsidRDefault="00B260BD" w:rsidP="004928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2AF6">
              <w:rPr>
                <w:rFonts w:ascii="Times New Roman" w:hAnsi="Times New Roman"/>
                <w:b/>
                <w:sz w:val="20"/>
                <w:szCs w:val="20"/>
              </w:rPr>
              <w:t>(UDLM 0-2)</w:t>
            </w:r>
          </w:p>
        </w:tc>
        <w:tc>
          <w:tcPr>
            <w:tcW w:w="7984" w:type="dxa"/>
            <w:gridSpan w:val="4"/>
            <w:tcBorders>
              <w:left w:val="nil"/>
              <w:bottom w:val="nil"/>
              <w:right w:val="nil"/>
            </w:tcBorders>
          </w:tcPr>
          <w:p w:rsidR="00B260BD" w:rsidRDefault="00B260BD" w:rsidP="004928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92AF6">
              <w:rPr>
                <w:rFonts w:ascii="Times New Roman" w:hAnsi="Times New Roman"/>
                <w:b/>
                <w:sz w:val="20"/>
                <w:szCs w:val="20"/>
              </w:rPr>
              <w:t>Estimated percentage change in risk [95% CI] per 10 µg/m</w:t>
            </w:r>
            <w:r w:rsidRPr="00592AF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Pr="00592AF6">
              <w:rPr>
                <w:rFonts w:ascii="Times New Roman" w:hAnsi="Times New Roman"/>
                <w:b/>
                <w:sz w:val="20"/>
                <w:szCs w:val="20"/>
              </w:rPr>
              <w:t xml:space="preserve"> increase in pollutant</w:t>
            </w:r>
            <w:r>
              <w:rPr>
                <w:rFonts w:ascii="Times New Roman" w:hAnsi="Times New Roman"/>
                <w:sz w:val="20"/>
                <w:szCs w:val="20"/>
              </w:rPr>
              <w:t>‡</w:t>
            </w:r>
          </w:p>
        </w:tc>
        <w:tc>
          <w:tcPr>
            <w:tcW w:w="3161" w:type="dxa"/>
            <w:gridSpan w:val="2"/>
            <w:tcBorders>
              <w:left w:val="nil"/>
              <w:bottom w:val="nil"/>
              <w:right w:val="nil"/>
            </w:tcBorders>
          </w:tcPr>
          <w:p w:rsidR="00B260BD" w:rsidRDefault="00B260BD" w:rsidP="004928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AF6">
              <w:rPr>
                <w:rFonts w:ascii="Times New Roman" w:hAnsi="Times New Roman"/>
                <w:b/>
                <w:sz w:val="20"/>
                <w:szCs w:val="20"/>
              </w:rPr>
              <w:t>Test of Heterogeneity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between:-</w:t>
            </w:r>
          </w:p>
        </w:tc>
      </w:tr>
      <w:tr w:rsidR="00745E06" w:rsidRPr="006926CE" w:rsidTr="00676770">
        <w:trPr>
          <w:trHeight w:val="144"/>
        </w:trPr>
        <w:tc>
          <w:tcPr>
            <w:tcW w:w="10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BD" w:rsidRPr="00592AF6" w:rsidRDefault="00B260BD" w:rsidP="0049289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BD" w:rsidRPr="00592AF6" w:rsidRDefault="00B260BD" w:rsidP="0049289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AF6">
              <w:rPr>
                <w:rFonts w:ascii="Times New Roman" w:hAnsi="Times New Roman"/>
                <w:b/>
                <w:sz w:val="20"/>
                <w:szCs w:val="20"/>
              </w:rPr>
              <w:t>North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AF6">
              <w:rPr>
                <w:rFonts w:ascii="Times New Roman" w:hAnsi="Times New Roman"/>
                <w:b/>
                <w:sz w:val="20"/>
                <w:szCs w:val="20"/>
              </w:rPr>
              <w:t>Midlands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AF6">
              <w:rPr>
                <w:rFonts w:ascii="Times New Roman" w:hAnsi="Times New Roman"/>
                <w:b/>
                <w:sz w:val="20"/>
                <w:szCs w:val="20"/>
              </w:rPr>
              <w:t>South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AF6">
              <w:rPr>
                <w:rFonts w:ascii="Times New Roman" w:hAnsi="Times New Roman"/>
                <w:b/>
                <w:sz w:val="20"/>
                <w:szCs w:val="20"/>
              </w:rPr>
              <w:t>Overall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0BD" w:rsidRDefault="00B260BD" w:rsidP="0049289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0BD" w:rsidRDefault="00B260BD" w:rsidP="00492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“super regions”</w:t>
            </w: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AF6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0BD" w:rsidRDefault="00B260BD" w:rsidP="004928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AF6">
              <w:rPr>
                <w:rFonts w:ascii="Times New Roman" w:hAnsi="Times New Roman"/>
                <w:b/>
                <w:sz w:val="20"/>
                <w:szCs w:val="20"/>
              </w:rPr>
              <w:t>regio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ns</w:t>
            </w: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745E06" w:rsidRPr="006926CE" w:rsidTr="00676770">
        <w:tc>
          <w:tcPr>
            <w:tcW w:w="1084" w:type="dxa"/>
            <w:vMerge w:val="restart"/>
            <w:tcBorders>
              <w:left w:val="nil"/>
              <w:right w:val="nil"/>
            </w:tcBorders>
          </w:tcPr>
          <w:p w:rsidR="00B260BD" w:rsidRPr="00592AF6" w:rsidRDefault="00B260BD" w:rsidP="0049289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0BD" w:rsidRPr="00592AF6" w:rsidRDefault="00B260BD" w:rsidP="004928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2AF6">
              <w:rPr>
                <w:rFonts w:ascii="Times New Roman" w:hAnsi="Times New Roman"/>
                <w:b/>
                <w:sz w:val="20"/>
                <w:szCs w:val="20"/>
              </w:rPr>
              <w:t>MI</w:t>
            </w: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O</w:t>
            </w:r>
            <w:r w:rsidRPr="00592AF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965" w:type="dxa"/>
            <w:tcBorders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0.05 [-0.3</w:t>
            </w:r>
            <w:r w:rsidR="00D81B82">
              <w:rPr>
                <w:rFonts w:ascii="Times New Roman" w:hAnsi="Times New Roman"/>
                <w:sz w:val="20"/>
                <w:szCs w:val="20"/>
              </w:rPr>
              <w:t>3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, 0.4</w:t>
            </w:r>
            <w:r w:rsidR="00D81B82">
              <w:rPr>
                <w:rFonts w:ascii="Times New Roman" w:hAnsi="Times New Roman"/>
                <w:sz w:val="20"/>
                <w:szCs w:val="20"/>
              </w:rPr>
              <w:t>4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</w:t>
            </w:r>
            <w:r w:rsidR="0001727B">
              <w:rPr>
                <w:rFonts w:ascii="Times New Roman" w:hAnsi="Times New Roman"/>
                <w:sz w:val="20"/>
                <w:szCs w:val="20"/>
              </w:rPr>
              <w:t>29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 xml:space="preserve"> [-0.7</w:t>
            </w:r>
            <w:r w:rsidR="00D81B82">
              <w:rPr>
                <w:rFonts w:ascii="Times New Roman" w:hAnsi="Times New Roman"/>
                <w:sz w:val="20"/>
                <w:szCs w:val="20"/>
              </w:rPr>
              <w:t>9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, 0.2</w:t>
            </w:r>
            <w:r w:rsidR="0001727B">
              <w:rPr>
                <w:rFonts w:ascii="Times New Roman" w:hAnsi="Times New Roman"/>
                <w:sz w:val="20"/>
                <w:szCs w:val="20"/>
              </w:rPr>
              <w:t>1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-0.04 [-0.</w:t>
            </w:r>
            <w:r w:rsidR="00D81B82">
              <w:rPr>
                <w:rFonts w:ascii="Times New Roman" w:hAnsi="Times New Roman"/>
                <w:sz w:val="20"/>
                <w:szCs w:val="20"/>
              </w:rPr>
              <w:t>40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, 0.32]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-0.06 [-0.</w:t>
            </w:r>
            <w:r w:rsidR="0001727B">
              <w:rPr>
                <w:rFonts w:ascii="Times New Roman" w:hAnsi="Times New Roman"/>
                <w:sz w:val="20"/>
                <w:szCs w:val="20"/>
              </w:rPr>
              <w:t>29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, 0.17]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0.5</w:t>
            </w:r>
            <w:r w:rsidR="00D81B8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</w:t>
            </w:r>
            <w:r w:rsidR="0001727B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</w:tr>
      <w:tr w:rsidR="00745E06" w:rsidRPr="006926CE" w:rsidTr="00676770">
        <w:tc>
          <w:tcPr>
            <w:tcW w:w="1084" w:type="dxa"/>
            <w:vMerge/>
            <w:tcBorders>
              <w:left w:val="nil"/>
              <w:right w:val="nil"/>
            </w:tcBorders>
          </w:tcPr>
          <w:p w:rsidR="00B260BD" w:rsidRPr="00592AF6" w:rsidRDefault="00B260BD" w:rsidP="0049289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NO</w:t>
            </w:r>
            <w:r w:rsidRPr="00592AF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-0.17 [-0.50, 0.16]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0.25 [-0.21, 0.7</w:t>
            </w:r>
            <w:r w:rsidR="0001727B">
              <w:rPr>
                <w:rFonts w:ascii="Times New Roman" w:hAnsi="Times New Roman"/>
                <w:sz w:val="20"/>
                <w:szCs w:val="20"/>
              </w:rPr>
              <w:t>1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0.2</w:t>
            </w:r>
            <w:r w:rsidR="0001727B">
              <w:rPr>
                <w:rFonts w:ascii="Times New Roman" w:hAnsi="Times New Roman"/>
                <w:sz w:val="20"/>
                <w:szCs w:val="20"/>
              </w:rPr>
              <w:t>1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 xml:space="preserve"> [-0.</w:t>
            </w:r>
            <w:r w:rsidR="0001727B">
              <w:rPr>
                <w:rFonts w:ascii="Times New Roman" w:hAnsi="Times New Roman"/>
                <w:sz w:val="20"/>
                <w:szCs w:val="20"/>
              </w:rPr>
              <w:t>09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, 0.5</w:t>
            </w:r>
            <w:r w:rsidR="0001727B">
              <w:rPr>
                <w:rFonts w:ascii="Times New Roman" w:hAnsi="Times New Roman"/>
                <w:sz w:val="20"/>
                <w:szCs w:val="20"/>
              </w:rPr>
              <w:t>1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0.08 [-0.12, 0.28]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0.1</w:t>
            </w:r>
            <w:r w:rsidR="0001727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</w:t>
            </w:r>
            <w:r w:rsidR="0001727B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</w:tr>
      <w:tr w:rsidR="00745E06" w:rsidRPr="006926CE" w:rsidTr="00676770">
        <w:tc>
          <w:tcPr>
            <w:tcW w:w="1084" w:type="dxa"/>
            <w:vMerge/>
            <w:tcBorders>
              <w:left w:val="nil"/>
              <w:right w:val="nil"/>
            </w:tcBorders>
          </w:tcPr>
          <w:p w:rsidR="00B260BD" w:rsidRPr="00592AF6" w:rsidRDefault="00B260BD" w:rsidP="0049289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PM</w:t>
            </w:r>
            <w:r w:rsidRPr="00592AF6">
              <w:rPr>
                <w:rFonts w:ascii="Times New Roman" w:hAnsi="Times New Roman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-0.5</w:t>
            </w:r>
            <w:r w:rsidR="0001727B">
              <w:rPr>
                <w:rFonts w:ascii="Times New Roman" w:hAnsi="Times New Roman"/>
                <w:sz w:val="20"/>
                <w:szCs w:val="20"/>
              </w:rPr>
              <w:t>1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 xml:space="preserve"> [-1.24, 0.2</w:t>
            </w:r>
            <w:r w:rsidR="0001727B">
              <w:rPr>
                <w:rFonts w:ascii="Times New Roman" w:hAnsi="Times New Roman"/>
                <w:sz w:val="20"/>
                <w:szCs w:val="20"/>
              </w:rPr>
              <w:t>2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0.4</w:t>
            </w:r>
            <w:r w:rsidR="00D81B82">
              <w:rPr>
                <w:rFonts w:ascii="Times New Roman" w:hAnsi="Times New Roman"/>
                <w:sz w:val="20"/>
                <w:szCs w:val="20"/>
              </w:rPr>
              <w:t>7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 xml:space="preserve"> [-0.4</w:t>
            </w:r>
            <w:r w:rsidR="00D81B82">
              <w:rPr>
                <w:rFonts w:ascii="Times New Roman" w:hAnsi="Times New Roman"/>
                <w:sz w:val="20"/>
                <w:szCs w:val="20"/>
              </w:rPr>
              <w:t>2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, 1.3</w:t>
            </w:r>
            <w:r w:rsidR="00D81B82">
              <w:rPr>
                <w:rFonts w:ascii="Times New Roman" w:hAnsi="Times New Roman"/>
                <w:sz w:val="20"/>
                <w:szCs w:val="20"/>
              </w:rPr>
              <w:t>6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915966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260BD" w:rsidRPr="00592AF6">
              <w:rPr>
                <w:rFonts w:ascii="Times New Roman" w:hAnsi="Times New Roman"/>
                <w:sz w:val="20"/>
                <w:szCs w:val="20"/>
              </w:rPr>
              <w:t>.0</w:t>
            </w:r>
            <w:r w:rsidR="0001727B">
              <w:rPr>
                <w:rFonts w:ascii="Times New Roman" w:hAnsi="Times New Roman"/>
                <w:sz w:val="20"/>
                <w:szCs w:val="20"/>
              </w:rPr>
              <w:t>1</w:t>
            </w:r>
            <w:r w:rsidR="00B260BD" w:rsidRPr="00592AF6">
              <w:rPr>
                <w:rFonts w:ascii="Times New Roman" w:hAnsi="Times New Roman"/>
                <w:sz w:val="20"/>
                <w:szCs w:val="20"/>
              </w:rPr>
              <w:t xml:space="preserve"> [-0.6</w:t>
            </w:r>
            <w:r w:rsidR="0001727B">
              <w:rPr>
                <w:rFonts w:ascii="Times New Roman" w:hAnsi="Times New Roman"/>
                <w:sz w:val="20"/>
                <w:szCs w:val="20"/>
              </w:rPr>
              <w:t>1</w:t>
            </w:r>
            <w:r w:rsidR="00B260BD" w:rsidRPr="00592AF6">
              <w:rPr>
                <w:rFonts w:ascii="Times New Roman" w:hAnsi="Times New Roman"/>
                <w:sz w:val="20"/>
                <w:szCs w:val="20"/>
              </w:rPr>
              <w:t>, 0.6</w:t>
            </w:r>
            <w:r w:rsidR="0001727B">
              <w:rPr>
                <w:rFonts w:ascii="Times New Roman" w:hAnsi="Times New Roman"/>
                <w:sz w:val="20"/>
                <w:szCs w:val="20"/>
              </w:rPr>
              <w:t>3</w:t>
            </w:r>
            <w:r w:rsidR="00B260BD" w:rsidRPr="00592AF6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-0.0</w:t>
            </w:r>
            <w:r w:rsidR="0001727B">
              <w:rPr>
                <w:rFonts w:ascii="Times New Roman" w:hAnsi="Times New Roman"/>
                <w:sz w:val="20"/>
                <w:szCs w:val="20"/>
              </w:rPr>
              <w:t>6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 xml:space="preserve"> [-0.48, 0.3</w:t>
            </w:r>
            <w:r w:rsidR="0001727B">
              <w:rPr>
                <w:rFonts w:ascii="Times New Roman" w:hAnsi="Times New Roman"/>
                <w:sz w:val="20"/>
                <w:szCs w:val="20"/>
              </w:rPr>
              <w:t>6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0.2</w:t>
            </w:r>
            <w:r w:rsidR="0001727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0.42</w:t>
            </w:r>
            <w:r w:rsidR="000172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45E06" w:rsidRPr="006926CE" w:rsidTr="00676770">
        <w:tc>
          <w:tcPr>
            <w:tcW w:w="1084" w:type="dxa"/>
            <w:vMerge/>
            <w:tcBorders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PM</w:t>
            </w:r>
            <w:r w:rsidRPr="00592AF6">
              <w:rPr>
                <w:rFonts w:ascii="Times New Roman" w:hAnsi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-0.4</w:t>
            </w:r>
            <w:r w:rsidR="00D81B82">
              <w:rPr>
                <w:rFonts w:ascii="Times New Roman" w:hAnsi="Times New Roman"/>
                <w:sz w:val="20"/>
                <w:szCs w:val="20"/>
              </w:rPr>
              <w:t>7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 xml:space="preserve"> [-1.05, 0.12]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0.1</w:t>
            </w:r>
            <w:r w:rsidR="00D81B82">
              <w:rPr>
                <w:rFonts w:ascii="Times New Roman" w:hAnsi="Times New Roman"/>
                <w:sz w:val="20"/>
                <w:szCs w:val="20"/>
              </w:rPr>
              <w:t>4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 xml:space="preserve"> [-0.5</w:t>
            </w:r>
            <w:r w:rsidR="00D81B82">
              <w:rPr>
                <w:rFonts w:ascii="Times New Roman" w:hAnsi="Times New Roman"/>
                <w:sz w:val="20"/>
                <w:szCs w:val="20"/>
              </w:rPr>
              <w:t>6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, 0.8</w:t>
            </w:r>
            <w:r w:rsidR="00D81B82">
              <w:rPr>
                <w:rFonts w:ascii="Times New Roman" w:hAnsi="Times New Roman"/>
                <w:sz w:val="20"/>
                <w:szCs w:val="20"/>
              </w:rPr>
              <w:t>5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-0.18 [-0.67, 0.31]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-0.20 [-0.53, 0.13]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0.4</w:t>
            </w:r>
            <w:r w:rsidR="0010777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0.7</w:t>
            </w:r>
            <w:r w:rsidR="0010777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745E06" w:rsidRPr="006926CE" w:rsidTr="00676770">
        <w:tc>
          <w:tcPr>
            <w:tcW w:w="1084" w:type="dxa"/>
            <w:vMerge w:val="restart"/>
            <w:tcBorders>
              <w:top w:val="nil"/>
              <w:left w:val="nil"/>
              <w:right w:val="nil"/>
            </w:tcBorders>
          </w:tcPr>
          <w:p w:rsidR="00B260BD" w:rsidRPr="00592AF6" w:rsidRDefault="00B260BD" w:rsidP="0049289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0BD" w:rsidRPr="00592AF6" w:rsidRDefault="00B260BD" w:rsidP="004928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2AF6">
              <w:rPr>
                <w:rFonts w:ascii="Times New Roman" w:hAnsi="Times New Roman"/>
                <w:b/>
                <w:sz w:val="20"/>
                <w:szCs w:val="20"/>
              </w:rPr>
              <w:t>STEMI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O</w:t>
            </w:r>
            <w:r w:rsidRPr="00592AF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-0.16 [-0.8</w:t>
            </w:r>
            <w:r w:rsidR="00D81B82">
              <w:rPr>
                <w:rFonts w:ascii="Times New Roman" w:hAnsi="Times New Roman"/>
                <w:sz w:val="20"/>
                <w:szCs w:val="20"/>
              </w:rPr>
              <w:t>5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, 0.5</w:t>
            </w:r>
            <w:r w:rsidR="00D81B82">
              <w:rPr>
                <w:rFonts w:ascii="Times New Roman" w:hAnsi="Times New Roman"/>
                <w:sz w:val="20"/>
                <w:szCs w:val="20"/>
              </w:rPr>
              <w:t>4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-0.3</w:t>
            </w:r>
            <w:r w:rsidR="00D81B82">
              <w:rPr>
                <w:rFonts w:ascii="Times New Roman" w:hAnsi="Times New Roman"/>
                <w:sz w:val="20"/>
                <w:szCs w:val="20"/>
              </w:rPr>
              <w:t>6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 xml:space="preserve"> [-1.1</w:t>
            </w:r>
            <w:r w:rsidR="00D81B82">
              <w:rPr>
                <w:rFonts w:ascii="Times New Roman" w:hAnsi="Times New Roman"/>
                <w:sz w:val="20"/>
                <w:szCs w:val="20"/>
              </w:rPr>
              <w:t>7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, 0.4</w:t>
            </w:r>
            <w:r w:rsidR="00D81B82">
              <w:rPr>
                <w:rFonts w:ascii="Times New Roman" w:hAnsi="Times New Roman"/>
                <w:sz w:val="20"/>
                <w:szCs w:val="20"/>
              </w:rPr>
              <w:t>7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-0.0</w:t>
            </w:r>
            <w:r w:rsidR="00107775">
              <w:rPr>
                <w:rFonts w:ascii="Times New Roman" w:hAnsi="Times New Roman"/>
                <w:sz w:val="20"/>
                <w:szCs w:val="20"/>
              </w:rPr>
              <w:t>2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 xml:space="preserve"> [-0.6</w:t>
            </w:r>
            <w:r w:rsidR="00107775">
              <w:rPr>
                <w:rFonts w:ascii="Times New Roman" w:hAnsi="Times New Roman"/>
                <w:sz w:val="20"/>
                <w:szCs w:val="20"/>
              </w:rPr>
              <w:t>6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, 0.6</w:t>
            </w:r>
            <w:r w:rsidR="00D81B82">
              <w:rPr>
                <w:rFonts w:ascii="Times New Roman" w:hAnsi="Times New Roman"/>
                <w:sz w:val="20"/>
                <w:szCs w:val="20"/>
              </w:rPr>
              <w:t>2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-0.1</w:t>
            </w:r>
            <w:r w:rsidR="00107775">
              <w:rPr>
                <w:rFonts w:ascii="Times New Roman" w:hAnsi="Times New Roman"/>
                <w:sz w:val="20"/>
                <w:szCs w:val="20"/>
              </w:rPr>
              <w:t>5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 xml:space="preserve"> [-0.56, 0.2</w:t>
            </w:r>
            <w:r w:rsidR="00107775">
              <w:rPr>
                <w:rFonts w:ascii="Times New Roman" w:hAnsi="Times New Roman"/>
                <w:sz w:val="20"/>
                <w:szCs w:val="20"/>
              </w:rPr>
              <w:t>6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</w:t>
            </w:r>
            <w:r w:rsidR="00107775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0.96</w:t>
            </w:r>
            <w:r w:rsidR="001077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5E06" w:rsidRPr="006926CE" w:rsidTr="00676770">
        <w:tc>
          <w:tcPr>
            <w:tcW w:w="1084" w:type="dxa"/>
            <w:vMerge/>
            <w:tcBorders>
              <w:left w:val="nil"/>
              <w:right w:val="nil"/>
            </w:tcBorders>
          </w:tcPr>
          <w:p w:rsidR="00B260BD" w:rsidRPr="00592AF6" w:rsidRDefault="00B260BD" w:rsidP="0049289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NO</w:t>
            </w:r>
            <w:r w:rsidRPr="00592AF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-0.21 [-0.81, 0.39]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-0.07 [-0.82, 0.68]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-0.35 [-0.88, 0.19]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-0.24 [-0.59, 0.11]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0.83</w:t>
            </w:r>
            <w:r w:rsidR="001077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0.994</w:t>
            </w:r>
          </w:p>
        </w:tc>
      </w:tr>
      <w:tr w:rsidR="00745E06" w:rsidRPr="006926CE" w:rsidTr="00676770">
        <w:tc>
          <w:tcPr>
            <w:tcW w:w="1084" w:type="dxa"/>
            <w:vMerge/>
            <w:tcBorders>
              <w:left w:val="nil"/>
              <w:right w:val="nil"/>
            </w:tcBorders>
          </w:tcPr>
          <w:p w:rsidR="00B260BD" w:rsidRPr="00592AF6" w:rsidRDefault="00B260BD" w:rsidP="0049289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PM</w:t>
            </w:r>
            <w:r w:rsidRPr="00592AF6">
              <w:rPr>
                <w:rFonts w:ascii="Times New Roman" w:hAnsi="Times New Roman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-1.0</w:t>
            </w:r>
            <w:r w:rsidR="00107775">
              <w:rPr>
                <w:rFonts w:ascii="Times New Roman" w:hAnsi="Times New Roman"/>
                <w:sz w:val="20"/>
                <w:szCs w:val="20"/>
              </w:rPr>
              <w:t>8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 xml:space="preserve"> [-2.</w:t>
            </w:r>
            <w:r w:rsidR="00107775">
              <w:rPr>
                <w:rFonts w:ascii="Times New Roman" w:hAnsi="Times New Roman"/>
                <w:sz w:val="20"/>
                <w:szCs w:val="20"/>
              </w:rPr>
              <w:t>39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, 0.24]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-0.07 [-1.53, 1.41]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-0.17 [-1.27, 0.95]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-0.4</w:t>
            </w:r>
            <w:r w:rsidR="00107775">
              <w:rPr>
                <w:rFonts w:ascii="Times New Roman" w:hAnsi="Times New Roman"/>
                <w:sz w:val="20"/>
                <w:szCs w:val="20"/>
              </w:rPr>
              <w:t>2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 xml:space="preserve"> [-1.16, 0.31]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</w:t>
            </w:r>
            <w:r w:rsidR="0010777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0.6</w:t>
            </w:r>
            <w:r w:rsidR="0010777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745E06" w:rsidRPr="006926CE" w:rsidTr="00676770">
        <w:tc>
          <w:tcPr>
            <w:tcW w:w="1084" w:type="dxa"/>
            <w:vMerge/>
            <w:tcBorders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PM</w:t>
            </w:r>
            <w:r w:rsidRPr="00592AF6">
              <w:rPr>
                <w:rFonts w:ascii="Times New Roman" w:hAnsi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-1.05 [-2.10, 0.01]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-0.19 [-1.34, 0.9</w:t>
            </w:r>
            <w:r w:rsidR="00107775">
              <w:rPr>
                <w:rFonts w:ascii="Times New Roman" w:hAnsi="Times New Roman"/>
                <w:sz w:val="20"/>
                <w:szCs w:val="20"/>
              </w:rPr>
              <w:t>7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F369F9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260BD" w:rsidRPr="00592AF6">
              <w:rPr>
                <w:rFonts w:ascii="Times New Roman" w:hAnsi="Times New Roman"/>
                <w:sz w:val="20"/>
                <w:szCs w:val="20"/>
              </w:rPr>
              <w:t>.0</w:t>
            </w:r>
            <w:r w:rsidR="00107775">
              <w:rPr>
                <w:rFonts w:ascii="Times New Roman" w:hAnsi="Times New Roman"/>
                <w:sz w:val="20"/>
                <w:szCs w:val="20"/>
              </w:rPr>
              <w:t>1</w:t>
            </w:r>
            <w:r w:rsidR="00B260BD" w:rsidRPr="00592AF6">
              <w:rPr>
                <w:rFonts w:ascii="Times New Roman" w:hAnsi="Times New Roman"/>
                <w:sz w:val="20"/>
                <w:szCs w:val="20"/>
              </w:rPr>
              <w:t xml:space="preserve"> [-0.88, 0.89]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-0.3</w:t>
            </w:r>
            <w:r w:rsidR="00107775">
              <w:rPr>
                <w:rFonts w:ascii="Times New Roman" w:hAnsi="Times New Roman"/>
                <w:sz w:val="20"/>
                <w:szCs w:val="20"/>
              </w:rPr>
              <w:t>6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 xml:space="preserve"> [-0.95, 0.22]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0.30</w:t>
            </w:r>
            <w:r w:rsidR="001077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0.10</w:t>
            </w:r>
            <w:r w:rsidR="00D81B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5E06" w:rsidRPr="006926CE" w:rsidTr="00676770">
        <w:tc>
          <w:tcPr>
            <w:tcW w:w="1084" w:type="dxa"/>
            <w:vMerge w:val="restart"/>
            <w:tcBorders>
              <w:top w:val="nil"/>
              <w:left w:val="nil"/>
              <w:right w:val="nil"/>
            </w:tcBorders>
          </w:tcPr>
          <w:p w:rsidR="00B260BD" w:rsidRPr="00592AF6" w:rsidRDefault="00B260BD" w:rsidP="0049289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0BD" w:rsidRPr="00592AF6" w:rsidRDefault="00B260BD" w:rsidP="004928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2AF6">
              <w:rPr>
                <w:rFonts w:ascii="Times New Roman" w:hAnsi="Times New Roman"/>
                <w:b/>
                <w:sz w:val="20"/>
                <w:szCs w:val="20"/>
              </w:rPr>
              <w:t>NSTEMI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O</w:t>
            </w:r>
            <w:r w:rsidRPr="00592AF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0.27 [-0.2</w:t>
            </w:r>
            <w:r w:rsidR="00107775">
              <w:rPr>
                <w:rFonts w:ascii="Times New Roman" w:hAnsi="Times New Roman"/>
                <w:sz w:val="20"/>
                <w:szCs w:val="20"/>
              </w:rPr>
              <w:t>6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, 0.80]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-0.2</w:t>
            </w:r>
            <w:r w:rsidR="00D81B82">
              <w:rPr>
                <w:rFonts w:ascii="Times New Roman" w:hAnsi="Times New Roman"/>
                <w:sz w:val="20"/>
                <w:szCs w:val="20"/>
              </w:rPr>
              <w:t>2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 xml:space="preserve"> [-0.9</w:t>
            </w:r>
            <w:r w:rsidR="00D81B82">
              <w:rPr>
                <w:rFonts w:ascii="Times New Roman" w:hAnsi="Times New Roman"/>
                <w:sz w:val="20"/>
                <w:szCs w:val="20"/>
              </w:rPr>
              <w:t>2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, 0.</w:t>
            </w:r>
            <w:r w:rsidR="00107775">
              <w:rPr>
                <w:rFonts w:ascii="Times New Roman" w:hAnsi="Times New Roman"/>
                <w:sz w:val="20"/>
                <w:szCs w:val="20"/>
              </w:rPr>
              <w:t>49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-0.2</w:t>
            </w:r>
            <w:r w:rsidR="00107775">
              <w:rPr>
                <w:rFonts w:ascii="Times New Roman" w:hAnsi="Times New Roman"/>
                <w:sz w:val="20"/>
                <w:szCs w:val="20"/>
              </w:rPr>
              <w:t>7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 xml:space="preserve"> [-0.78, 0.2</w:t>
            </w:r>
            <w:r w:rsidR="00107775">
              <w:rPr>
                <w:rFonts w:ascii="Times New Roman" w:hAnsi="Times New Roman"/>
                <w:sz w:val="20"/>
                <w:szCs w:val="20"/>
              </w:rPr>
              <w:t>3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-0.06 [-0.3</w:t>
            </w:r>
            <w:r w:rsidR="00107775">
              <w:rPr>
                <w:rFonts w:ascii="Times New Roman" w:hAnsi="Times New Roman"/>
                <w:sz w:val="20"/>
                <w:szCs w:val="20"/>
              </w:rPr>
              <w:t>8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, 0.26]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0.30</w:t>
            </w:r>
            <w:r w:rsidR="001077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0.00</w:t>
            </w:r>
            <w:r w:rsidR="00D81B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45E06" w:rsidRPr="006926CE" w:rsidTr="00676770">
        <w:tc>
          <w:tcPr>
            <w:tcW w:w="1084" w:type="dxa"/>
            <w:vMerge/>
            <w:tcBorders>
              <w:left w:val="nil"/>
              <w:right w:val="nil"/>
            </w:tcBorders>
          </w:tcPr>
          <w:p w:rsidR="00B260BD" w:rsidRPr="00592AF6" w:rsidRDefault="00B260BD" w:rsidP="0049289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NO</w:t>
            </w:r>
            <w:r w:rsidRPr="00592AF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-0.2</w:t>
            </w:r>
            <w:r w:rsidR="00D81B82">
              <w:rPr>
                <w:rFonts w:ascii="Times New Roman" w:hAnsi="Times New Roman"/>
                <w:sz w:val="20"/>
                <w:szCs w:val="20"/>
              </w:rPr>
              <w:t>0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 xml:space="preserve"> [-0.67, 0.2</w:t>
            </w:r>
            <w:r w:rsidR="00D81B82">
              <w:rPr>
                <w:rFonts w:ascii="Times New Roman" w:hAnsi="Times New Roman"/>
                <w:sz w:val="20"/>
                <w:szCs w:val="20"/>
              </w:rPr>
              <w:t>6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0.7</w:t>
            </w:r>
            <w:r w:rsidR="00D81B82">
              <w:rPr>
                <w:rFonts w:ascii="Times New Roman" w:hAnsi="Times New Roman"/>
                <w:sz w:val="20"/>
                <w:szCs w:val="20"/>
              </w:rPr>
              <w:t>9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 xml:space="preserve"> [0.13, 1.45]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0.51 [0.0</w:t>
            </w:r>
            <w:r w:rsidR="00107775">
              <w:rPr>
                <w:rFonts w:ascii="Times New Roman" w:hAnsi="Times New Roman"/>
                <w:sz w:val="20"/>
                <w:szCs w:val="20"/>
              </w:rPr>
              <w:t>9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, 0.9</w:t>
            </w:r>
            <w:r w:rsidR="00107775">
              <w:rPr>
                <w:rFonts w:ascii="Times New Roman" w:hAnsi="Times New Roman"/>
                <w:sz w:val="20"/>
                <w:szCs w:val="20"/>
              </w:rPr>
              <w:t>4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</w:t>
            </w:r>
            <w:r w:rsidR="00107775">
              <w:rPr>
                <w:rFonts w:ascii="Times New Roman" w:hAnsi="Times New Roman"/>
                <w:sz w:val="20"/>
                <w:szCs w:val="20"/>
              </w:rPr>
              <w:t>30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 xml:space="preserve"> [0.01, 0.58]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0.02</w:t>
            </w:r>
            <w:r w:rsidR="008C35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0.3</w:t>
            </w:r>
            <w:r w:rsidR="0010777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745E06" w:rsidRPr="006926CE" w:rsidTr="00676770">
        <w:tc>
          <w:tcPr>
            <w:tcW w:w="1084" w:type="dxa"/>
            <w:vMerge/>
            <w:tcBorders>
              <w:left w:val="nil"/>
              <w:right w:val="nil"/>
            </w:tcBorders>
          </w:tcPr>
          <w:p w:rsidR="00B260BD" w:rsidRPr="00592AF6" w:rsidRDefault="00B260BD" w:rsidP="0049289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PM</w:t>
            </w:r>
            <w:r w:rsidRPr="00592AF6">
              <w:rPr>
                <w:rFonts w:ascii="Times New Roman" w:hAnsi="Times New Roman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-0.36 [-1.38, 0.66]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0.6</w:t>
            </w:r>
            <w:r w:rsidR="008C3563">
              <w:rPr>
                <w:rFonts w:ascii="Times New Roman" w:hAnsi="Times New Roman"/>
                <w:sz w:val="20"/>
                <w:szCs w:val="20"/>
              </w:rPr>
              <w:t>8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 xml:space="preserve"> [-0.5</w:t>
            </w:r>
            <w:r w:rsidR="008C3563">
              <w:rPr>
                <w:rFonts w:ascii="Times New Roman" w:hAnsi="Times New Roman"/>
                <w:sz w:val="20"/>
                <w:szCs w:val="20"/>
              </w:rPr>
              <w:t>8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, 1.9</w:t>
            </w:r>
            <w:r w:rsidR="008C3563">
              <w:rPr>
                <w:rFonts w:ascii="Times New Roman" w:hAnsi="Times New Roman"/>
                <w:sz w:val="20"/>
                <w:szCs w:val="20"/>
              </w:rPr>
              <w:t>5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-0.4</w:t>
            </w:r>
            <w:r w:rsidR="00107775">
              <w:rPr>
                <w:rFonts w:ascii="Times New Roman" w:hAnsi="Times New Roman"/>
                <w:sz w:val="20"/>
                <w:szCs w:val="20"/>
              </w:rPr>
              <w:t>2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 xml:space="preserve"> [-1.2</w:t>
            </w:r>
            <w:r w:rsidR="008C3563">
              <w:rPr>
                <w:rFonts w:ascii="Times New Roman" w:hAnsi="Times New Roman"/>
                <w:sz w:val="20"/>
                <w:szCs w:val="20"/>
              </w:rPr>
              <w:t>9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, 0.4</w:t>
            </w:r>
            <w:r w:rsidR="00107775">
              <w:rPr>
                <w:rFonts w:ascii="Times New Roman" w:hAnsi="Times New Roman"/>
                <w:sz w:val="20"/>
                <w:szCs w:val="20"/>
              </w:rPr>
              <w:t>5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-0.1</w:t>
            </w:r>
            <w:r w:rsidR="00107775">
              <w:rPr>
                <w:rFonts w:ascii="Times New Roman" w:hAnsi="Times New Roman"/>
                <w:sz w:val="20"/>
                <w:szCs w:val="20"/>
              </w:rPr>
              <w:t>6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 xml:space="preserve"> [-0.75, 0.42]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0.33</w:t>
            </w:r>
            <w:r w:rsidR="001077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0.8</w:t>
            </w:r>
            <w:r w:rsidR="0010777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745E06" w:rsidRPr="006926CE" w:rsidTr="00676770">
        <w:tc>
          <w:tcPr>
            <w:tcW w:w="108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260BD" w:rsidRPr="00592AF6" w:rsidRDefault="00B260BD" w:rsidP="004928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BD" w:rsidRPr="00592AF6" w:rsidRDefault="00B260BD" w:rsidP="004928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PM</w:t>
            </w:r>
            <w:r w:rsidRPr="00592AF6">
              <w:rPr>
                <w:rFonts w:ascii="Times New Roman" w:hAnsi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-0.2</w:t>
            </w:r>
            <w:r w:rsidR="008C3563">
              <w:rPr>
                <w:rFonts w:ascii="Times New Roman" w:hAnsi="Times New Roman"/>
                <w:sz w:val="20"/>
                <w:szCs w:val="20"/>
              </w:rPr>
              <w:t>2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 xml:space="preserve"> [-1.03, 0.60]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0.3</w:t>
            </w:r>
            <w:r w:rsidR="008C3563">
              <w:rPr>
                <w:rFonts w:ascii="Times New Roman" w:hAnsi="Times New Roman"/>
                <w:sz w:val="20"/>
                <w:szCs w:val="20"/>
              </w:rPr>
              <w:t>8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 xml:space="preserve"> [-0.6</w:t>
            </w:r>
            <w:r w:rsidR="008C3563">
              <w:rPr>
                <w:rFonts w:ascii="Times New Roman" w:hAnsi="Times New Roman"/>
                <w:sz w:val="20"/>
                <w:szCs w:val="20"/>
              </w:rPr>
              <w:t>2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, 1.3</w:t>
            </w:r>
            <w:r w:rsidR="008C3563">
              <w:rPr>
                <w:rFonts w:ascii="Times New Roman" w:hAnsi="Times New Roman"/>
                <w:sz w:val="20"/>
                <w:szCs w:val="20"/>
              </w:rPr>
              <w:t>9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-0.79 [-1.4</w:t>
            </w:r>
            <w:r w:rsidR="008C3563">
              <w:rPr>
                <w:rFonts w:ascii="Times New Roman" w:hAnsi="Times New Roman"/>
                <w:sz w:val="20"/>
                <w:szCs w:val="20"/>
              </w:rPr>
              <w:t>8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, -0.1</w:t>
            </w:r>
            <w:r w:rsidR="008C3563">
              <w:rPr>
                <w:rFonts w:ascii="Times New Roman" w:hAnsi="Times New Roman"/>
                <w:sz w:val="20"/>
                <w:szCs w:val="20"/>
              </w:rPr>
              <w:t>1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-0.3</w:t>
            </w:r>
            <w:r w:rsidR="00107775">
              <w:rPr>
                <w:rFonts w:ascii="Times New Roman" w:hAnsi="Times New Roman"/>
                <w:sz w:val="20"/>
                <w:szCs w:val="20"/>
              </w:rPr>
              <w:t>6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 xml:space="preserve"> [-0.8</w:t>
            </w:r>
            <w:r w:rsidR="008C3563">
              <w:rPr>
                <w:rFonts w:ascii="Times New Roman" w:hAnsi="Times New Roman"/>
                <w:sz w:val="20"/>
                <w:szCs w:val="20"/>
              </w:rPr>
              <w:t>2</w:t>
            </w:r>
            <w:r w:rsidRPr="00592AF6">
              <w:rPr>
                <w:rFonts w:ascii="Times New Roman" w:hAnsi="Times New Roman"/>
                <w:sz w:val="20"/>
                <w:szCs w:val="20"/>
              </w:rPr>
              <w:t>, 0.11]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0.1</w:t>
            </w:r>
            <w:r w:rsidR="008C356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BD" w:rsidRPr="00592AF6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BD" w:rsidRDefault="00B260BD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AF6">
              <w:rPr>
                <w:rFonts w:ascii="Times New Roman" w:hAnsi="Times New Roman"/>
                <w:sz w:val="20"/>
                <w:szCs w:val="20"/>
              </w:rPr>
              <w:t>0.7</w:t>
            </w:r>
            <w:r w:rsidR="00107775"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853ECC" w:rsidRPr="00592AF6" w:rsidRDefault="00853ECC" w:rsidP="00492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0BD" w:rsidRPr="006926CE" w:rsidTr="00676770">
        <w:tc>
          <w:tcPr>
            <w:tcW w:w="1365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B260BD" w:rsidRDefault="00B260BD" w:rsidP="00492893">
            <w:pPr>
              <w:rPr>
                <w:rFonts w:ascii="Times New Roman" w:hAnsi="Times New Roman"/>
              </w:rPr>
            </w:pPr>
          </w:p>
          <w:p w:rsidR="00B260BD" w:rsidRDefault="00B260BD" w:rsidP="004928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592AF6">
              <w:rPr>
                <w:rFonts w:ascii="Times New Roman" w:hAnsi="Times New Roman"/>
              </w:rPr>
              <w:t xml:space="preserve">Adjusted for a sine/cosine annual cycle, the weekly RCGP influenza-like illness consultation rates per 100,000 England and Wales population, region-specific </w:t>
            </w:r>
            <w:r>
              <w:rPr>
                <w:rFonts w:ascii="Times New Roman" w:hAnsi="Times New Roman"/>
              </w:rPr>
              <w:t xml:space="preserve">natural </w:t>
            </w:r>
            <w:r w:rsidRPr="00592AF6">
              <w:rPr>
                <w:rFonts w:ascii="Times New Roman" w:hAnsi="Times New Roman"/>
              </w:rPr>
              <w:t xml:space="preserve">cubic splines </w:t>
            </w:r>
            <w:r>
              <w:rPr>
                <w:rFonts w:ascii="Times New Roman" w:hAnsi="Times New Roman"/>
              </w:rPr>
              <w:t xml:space="preserve">for temperature </w:t>
            </w:r>
            <w:r w:rsidRPr="00592AF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mean lag</w:t>
            </w:r>
            <w:r w:rsidRPr="00592AF6">
              <w:rPr>
                <w:rFonts w:ascii="Times New Roman" w:hAnsi="Times New Roman"/>
              </w:rPr>
              <w:t xml:space="preserve"> 0-1 and </w:t>
            </w:r>
            <w:r>
              <w:rPr>
                <w:rFonts w:ascii="Times New Roman" w:hAnsi="Times New Roman"/>
              </w:rPr>
              <w:t>mean lag</w:t>
            </w:r>
            <w:r w:rsidRPr="00592AF6">
              <w:rPr>
                <w:rFonts w:ascii="Times New Roman" w:hAnsi="Times New Roman"/>
              </w:rPr>
              <w:t xml:space="preserve"> 2-6) and public holidays. Relative risk estimates for NO</w:t>
            </w:r>
            <w:r w:rsidRPr="00592AF6">
              <w:rPr>
                <w:rFonts w:ascii="Times New Roman" w:hAnsi="Times New Roman"/>
                <w:vertAlign w:val="subscript"/>
              </w:rPr>
              <w:t>2</w:t>
            </w:r>
            <w:r w:rsidRPr="00592AF6">
              <w:rPr>
                <w:rFonts w:ascii="Times New Roman" w:hAnsi="Times New Roman"/>
              </w:rPr>
              <w:t>, PM</w:t>
            </w:r>
            <w:r w:rsidRPr="00592AF6">
              <w:rPr>
                <w:rFonts w:ascii="Times New Roman" w:hAnsi="Times New Roman"/>
                <w:vertAlign w:val="subscript"/>
              </w:rPr>
              <w:t>2.5</w:t>
            </w:r>
            <w:r w:rsidRPr="00592AF6">
              <w:rPr>
                <w:rFonts w:ascii="Times New Roman" w:hAnsi="Times New Roman"/>
              </w:rPr>
              <w:t xml:space="preserve"> and PM</w:t>
            </w:r>
            <w:r w:rsidRPr="00592AF6">
              <w:rPr>
                <w:rFonts w:ascii="Times New Roman" w:hAnsi="Times New Roman"/>
                <w:vertAlign w:val="subscript"/>
              </w:rPr>
              <w:t>10</w:t>
            </w:r>
            <w:r w:rsidRPr="00592AF6">
              <w:rPr>
                <w:rFonts w:ascii="Times New Roman" w:hAnsi="Times New Roman"/>
              </w:rPr>
              <w:t xml:space="preserve"> additionally adjusted for O</w:t>
            </w:r>
            <w:r w:rsidRPr="00592AF6">
              <w:rPr>
                <w:rFonts w:ascii="Times New Roman" w:hAnsi="Times New Roman"/>
                <w:vertAlign w:val="subscript"/>
              </w:rPr>
              <w:t>3</w:t>
            </w:r>
            <w:r w:rsidRPr="00592AF6">
              <w:rPr>
                <w:rFonts w:ascii="Times New Roman" w:hAnsi="Times New Roman"/>
              </w:rPr>
              <w:t xml:space="preserve"> (UDLM 0-2) </w:t>
            </w:r>
          </w:p>
          <w:p w:rsidR="00B260BD" w:rsidRDefault="00B260BD" w:rsidP="00492893">
            <w:pPr>
              <w:rPr>
                <w:rFonts w:ascii="Times New Roman" w:hAnsi="Times New Roman"/>
                <w:b/>
                <w:vertAlign w:val="superscript"/>
              </w:rPr>
            </w:pPr>
          </w:p>
          <w:p w:rsidR="00B260BD" w:rsidRDefault="00B260BD" w:rsidP="004928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†</w:t>
            </w:r>
            <w:r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”super regions”</w:t>
            </w:r>
            <w:r w:rsidRPr="00592AF6">
              <w:rPr>
                <w:rFonts w:ascii="Times New Roman" w:hAnsi="Times New Roman"/>
              </w:rPr>
              <w:t xml:space="preserve"> were defined here by grouping three Government Office Regions </w:t>
            </w:r>
            <w:r>
              <w:rPr>
                <w:rFonts w:ascii="Times New Roman" w:hAnsi="Times New Roman"/>
              </w:rPr>
              <w:t xml:space="preserve">to </w:t>
            </w:r>
            <w:r w:rsidRPr="00592AF6"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</w:rPr>
              <w:t>m</w:t>
            </w:r>
            <w:r w:rsidRPr="00592AF6">
              <w:rPr>
                <w:rFonts w:ascii="Times New Roman" w:hAnsi="Times New Roman"/>
              </w:rPr>
              <w:t xml:space="preserve"> the North (i.e. North East; North West; Yorkshire and Humberside); three </w:t>
            </w:r>
            <w:r>
              <w:rPr>
                <w:rFonts w:ascii="Times New Roman" w:hAnsi="Times New Roman"/>
              </w:rPr>
              <w:t xml:space="preserve">to </w:t>
            </w:r>
            <w:r w:rsidRPr="00592AF6"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</w:rPr>
              <w:t>m</w:t>
            </w:r>
            <w:r w:rsidRPr="00592AF6">
              <w:rPr>
                <w:rFonts w:ascii="Times New Roman" w:hAnsi="Times New Roman"/>
              </w:rPr>
              <w:t xml:space="preserve"> the Midlands (i.e. West Midlands; East Midlands; Wales); and four </w:t>
            </w:r>
            <w:r>
              <w:rPr>
                <w:rFonts w:ascii="Times New Roman" w:hAnsi="Times New Roman"/>
              </w:rPr>
              <w:t xml:space="preserve">to </w:t>
            </w:r>
            <w:r w:rsidRPr="00592AF6"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</w:rPr>
              <w:t>m</w:t>
            </w:r>
            <w:r w:rsidRPr="00592AF6">
              <w:rPr>
                <w:rFonts w:ascii="Times New Roman" w:hAnsi="Times New Roman"/>
              </w:rPr>
              <w:t xml:space="preserve"> the South (i.e. South West; East; South East; London)</w:t>
            </w:r>
          </w:p>
          <w:p w:rsidR="00B260BD" w:rsidRDefault="00B260BD" w:rsidP="00492893">
            <w:pPr>
              <w:rPr>
                <w:rFonts w:ascii="Times New Roman" w:hAnsi="Times New Roman"/>
              </w:rPr>
            </w:pPr>
          </w:p>
          <w:p w:rsidR="00B260BD" w:rsidRPr="00592AF6" w:rsidRDefault="00B260BD" w:rsidP="004928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‡</w:t>
            </w:r>
            <w:r w:rsidRPr="00592AF6">
              <w:rPr>
                <w:rFonts w:ascii="Times New Roman" w:hAnsi="Times New Roman"/>
              </w:rPr>
              <w:t>Pollutant metrics: daily mean PM</w:t>
            </w:r>
            <w:r w:rsidRPr="00592AF6">
              <w:rPr>
                <w:rFonts w:ascii="Times New Roman" w:hAnsi="Times New Roman"/>
                <w:vertAlign w:val="subscript"/>
              </w:rPr>
              <w:t>2.5</w:t>
            </w:r>
            <w:r w:rsidRPr="00592AF6">
              <w:rPr>
                <w:rFonts w:ascii="Times New Roman" w:hAnsi="Times New Roman"/>
              </w:rPr>
              <w:t>, daily mean PM</w:t>
            </w:r>
            <w:r w:rsidRPr="00592AF6">
              <w:rPr>
                <w:rFonts w:ascii="Times New Roman" w:hAnsi="Times New Roman"/>
                <w:vertAlign w:val="subscript"/>
              </w:rPr>
              <w:t>10</w:t>
            </w:r>
            <w:r w:rsidRPr="00592AF6">
              <w:rPr>
                <w:rFonts w:ascii="Times New Roman" w:hAnsi="Times New Roman"/>
              </w:rPr>
              <w:t>, daily maximum1-hour NO</w:t>
            </w:r>
            <w:r w:rsidRPr="00592AF6">
              <w:rPr>
                <w:rFonts w:ascii="Times New Roman" w:hAnsi="Times New Roman"/>
                <w:vertAlign w:val="subscript"/>
              </w:rPr>
              <w:t>2</w:t>
            </w:r>
            <w:r w:rsidRPr="00592AF6">
              <w:rPr>
                <w:rFonts w:ascii="Times New Roman" w:hAnsi="Times New Roman"/>
              </w:rPr>
              <w:t>, daily maximum 8-hour mean O</w:t>
            </w:r>
            <w:r w:rsidRPr="00592AF6">
              <w:rPr>
                <w:rFonts w:ascii="Times New Roman" w:hAnsi="Times New Roman"/>
                <w:vertAlign w:val="subscript"/>
              </w:rPr>
              <w:t>3</w:t>
            </w:r>
          </w:p>
        </w:tc>
      </w:tr>
    </w:tbl>
    <w:p w:rsidR="00745E06" w:rsidRDefault="00745E06" w:rsidP="00BB47B6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745E06" w:rsidSect="0067677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5E56BC" w:rsidRPr="00BB47B6" w:rsidRDefault="008733F5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Fonts w:ascii="Times New Roman" w:hAnsi="Times New Roman" w:cs="Times New Roman"/>
          <w:sz w:val="24"/>
          <w:szCs w:val="24"/>
        </w:rPr>
        <w:lastRenderedPageBreak/>
        <w:t xml:space="preserve">For ALL MI </w:t>
      </w:r>
      <w:r w:rsidR="003E2600" w:rsidRPr="00BB47B6">
        <w:rPr>
          <w:rFonts w:ascii="Times New Roman" w:hAnsi="Times New Roman" w:cs="Times New Roman"/>
          <w:sz w:val="24"/>
          <w:szCs w:val="24"/>
        </w:rPr>
        <w:t xml:space="preserve">and for STEMI </w:t>
      </w:r>
      <w:r w:rsidRPr="00BB47B6">
        <w:rPr>
          <w:rFonts w:ascii="Times New Roman" w:hAnsi="Times New Roman" w:cs="Times New Roman"/>
          <w:sz w:val="24"/>
          <w:szCs w:val="24"/>
        </w:rPr>
        <w:t xml:space="preserve">there was no evidence of heterogeneity in association between </w:t>
      </w:r>
      <w:r w:rsidR="009A4D9B" w:rsidRPr="00BB47B6">
        <w:rPr>
          <w:rFonts w:ascii="Times New Roman" w:hAnsi="Times New Roman" w:cs="Times New Roman"/>
          <w:sz w:val="24"/>
          <w:szCs w:val="24"/>
        </w:rPr>
        <w:t xml:space="preserve">regions or between </w:t>
      </w:r>
      <w:r w:rsidR="00612114">
        <w:rPr>
          <w:rFonts w:ascii="Times New Roman" w:hAnsi="Times New Roman" w:cs="Times New Roman"/>
          <w:sz w:val="24"/>
          <w:szCs w:val="24"/>
        </w:rPr>
        <w:t>“super regions”</w:t>
      </w:r>
      <w:r w:rsidRPr="00BB47B6">
        <w:rPr>
          <w:rFonts w:ascii="Times New Roman" w:hAnsi="Times New Roman" w:cs="Times New Roman"/>
          <w:sz w:val="24"/>
          <w:szCs w:val="24"/>
        </w:rPr>
        <w:t xml:space="preserve"> (North, Midlands, South) whether in relation to </w:t>
      </w:r>
      <w:r w:rsidR="00424E20">
        <w:rPr>
          <w:rFonts w:ascii="Times New Roman" w:hAnsi="Times New Roman" w:cs="Times New Roman"/>
          <w:sz w:val="24"/>
          <w:szCs w:val="24"/>
        </w:rPr>
        <w:t>O</w:t>
      </w:r>
      <w:r w:rsidR="00424E20" w:rsidRPr="006767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24E20">
        <w:rPr>
          <w:rFonts w:ascii="Times New Roman" w:hAnsi="Times New Roman" w:cs="Times New Roman"/>
          <w:sz w:val="24"/>
          <w:szCs w:val="24"/>
        </w:rPr>
        <w:t>, NO</w:t>
      </w:r>
      <w:r w:rsidR="00424E20" w:rsidRPr="006767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24E20">
        <w:rPr>
          <w:rFonts w:ascii="Times New Roman" w:hAnsi="Times New Roman" w:cs="Times New Roman"/>
          <w:sz w:val="24"/>
          <w:szCs w:val="24"/>
        </w:rPr>
        <w:t xml:space="preserve">, </w:t>
      </w:r>
      <w:r w:rsidRPr="00BB47B6">
        <w:rPr>
          <w:rFonts w:ascii="Times New Roman" w:hAnsi="Times New Roman" w:cs="Times New Roman"/>
          <w:sz w:val="24"/>
          <w:szCs w:val="24"/>
        </w:rPr>
        <w:t>PM</w:t>
      </w:r>
      <w:r w:rsidRPr="00BB47B6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F16B78">
        <w:rPr>
          <w:rFonts w:ascii="Times New Roman" w:hAnsi="Times New Roman" w:cs="Times New Roman"/>
          <w:sz w:val="24"/>
          <w:szCs w:val="24"/>
        </w:rPr>
        <w:t xml:space="preserve"> or</w:t>
      </w:r>
      <w:r w:rsidRPr="00BB47B6">
        <w:rPr>
          <w:rFonts w:ascii="Times New Roman" w:hAnsi="Times New Roman" w:cs="Times New Roman"/>
          <w:sz w:val="24"/>
          <w:szCs w:val="24"/>
        </w:rPr>
        <w:t xml:space="preserve"> PM</w:t>
      </w:r>
      <w:r w:rsidRPr="00BB47B6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9A4D9B" w:rsidRPr="00BB47B6">
        <w:rPr>
          <w:rFonts w:ascii="Times New Roman" w:hAnsi="Times New Roman" w:cs="Times New Roman"/>
          <w:sz w:val="24"/>
          <w:szCs w:val="24"/>
        </w:rPr>
        <w:t xml:space="preserve">. </w:t>
      </w:r>
      <w:r w:rsidRPr="00BB47B6">
        <w:rPr>
          <w:rFonts w:ascii="Times New Roman" w:hAnsi="Times New Roman" w:cs="Times New Roman"/>
          <w:sz w:val="24"/>
          <w:szCs w:val="24"/>
        </w:rPr>
        <w:t>By contrast for NO</w:t>
      </w:r>
      <w:r w:rsidRPr="00BB47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74469" w:rsidRPr="00BB47B6">
        <w:rPr>
          <w:rFonts w:ascii="Times New Roman" w:hAnsi="Times New Roman" w:cs="Times New Roman"/>
          <w:sz w:val="24"/>
          <w:szCs w:val="24"/>
        </w:rPr>
        <w:t xml:space="preserve"> and NSTEMI, sub-total relative risks for</w:t>
      </w:r>
      <w:r w:rsidRPr="00BB47B6">
        <w:rPr>
          <w:rFonts w:ascii="Times New Roman" w:hAnsi="Times New Roman" w:cs="Times New Roman"/>
          <w:sz w:val="24"/>
          <w:szCs w:val="24"/>
        </w:rPr>
        <w:t xml:space="preserve"> the Midlands and the South were </w:t>
      </w:r>
      <w:r w:rsidR="00074469" w:rsidRPr="00BB47B6">
        <w:rPr>
          <w:rFonts w:ascii="Times New Roman" w:hAnsi="Times New Roman" w:cs="Times New Roman"/>
          <w:sz w:val="24"/>
          <w:szCs w:val="24"/>
        </w:rPr>
        <w:t>significant and greater than 1</w:t>
      </w:r>
      <w:r w:rsidR="00917AF9" w:rsidRPr="00BB47B6">
        <w:rPr>
          <w:rFonts w:ascii="Times New Roman" w:hAnsi="Times New Roman" w:cs="Times New Roman"/>
          <w:sz w:val="24"/>
          <w:szCs w:val="24"/>
        </w:rPr>
        <w:t>,</w:t>
      </w:r>
      <w:r w:rsidRPr="00BB47B6">
        <w:rPr>
          <w:rFonts w:ascii="Times New Roman" w:hAnsi="Times New Roman" w:cs="Times New Roman"/>
          <w:sz w:val="24"/>
          <w:szCs w:val="24"/>
        </w:rPr>
        <w:t xml:space="preserve"> suggestive of increases of 0.7</w:t>
      </w:r>
      <w:r w:rsidR="00C80344">
        <w:rPr>
          <w:rFonts w:ascii="Times New Roman" w:hAnsi="Times New Roman" w:cs="Times New Roman"/>
          <w:sz w:val="24"/>
          <w:szCs w:val="24"/>
        </w:rPr>
        <w:t>9</w:t>
      </w:r>
      <w:r w:rsidRPr="00BB47B6">
        <w:rPr>
          <w:rFonts w:ascii="Times New Roman" w:hAnsi="Times New Roman" w:cs="Times New Roman"/>
          <w:sz w:val="24"/>
          <w:szCs w:val="24"/>
        </w:rPr>
        <w:t>% (0</w:t>
      </w:r>
      <w:r w:rsidR="00917AF9" w:rsidRPr="00BB47B6">
        <w:rPr>
          <w:rFonts w:ascii="Times New Roman" w:hAnsi="Times New Roman" w:cs="Times New Roman"/>
          <w:sz w:val="24"/>
          <w:szCs w:val="24"/>
        </w:rPr>
        <w:t>.</w:t>
      </w:r>
      <w:r w:rsidR="003D22DB" w:rsidRPr="00BB47B6">
        <w:rPr>
          <w:rFonts w:ascii="Times New Roman" w:hAnsi="Times New Roman" w:cs="Times New Roman"/>
          <w:sz w:val="24"/>
          <w:szCs w:val="24"/>
        </w:rPr>
        <w:t>13% to 1.45</w:t>
      </w:r>
      <w:r w:rsidRPr="00BB47B6">
        <w:rPr>
          <w:rFonts w:ascii="Times New Roman" w:hAnsi="Times New Roman" w:cs="Times New Roman"/>
          <w:sz w:val="24"/>
          <w:szCs w:val="24"/>
        </w:rPr>
        <w:t>%) and 0.51% (0.0</w:t>
      </w:r>
      <w:r w:rsidR="00EB2767">
        <w:rPr>
          <w:rFonts w:ascii="Times New Roman" w:hAnsi="Times New Roman" w:cs="Times New Roman"/>
          <w:sz w:val="24"/>
          <w:szCs w:val="24"/>
        </w:rPr>
        <w:t>9</w:t>
      </w:r>
      <w:r w:rsidRPr="00BB47B6">
        <w:rPr>
          <w:rFonts w:ascii="Times New Roman" w:hAnsi="Times New Roman" w:cs="Times New Roman"/>
          <w:sz w:val="24"/>
          <w:szCs w:val="24"/>
        </w:rPr>
        <w:t>% to 0.9</w:t>
      </w:r>
      <w:r w:rsidR="00EB2767">
        <w:rPr>
          <w:rFonts w:ascii="Times New Roman" w:hAnsi="Times New Roman" w:cs="Times New Roman"/>
          <w:sz w:val="24"/>
          <w:szCs w:val="24"/>
        </w:rPr>
        <w:t>4</w:t>
      </w:r>
      <w:r w:rsidRPr="00BB47B6">
        <w:rPr>
          <w:rFonts w:ascii="Times New Roman" w:hAnsi="Times New Roman" w:cs="Times New Roman"/>
          <w:sz w:val="24"/>
          <w:szCs w:val="24"/>
        </w:rPr>
        <w:t>%) per 10</w:t>
      </w:r>
      <w:r w:rsidR="001C74FC">
        <w:rPr>
          <w:rFonts w:ascii="Times New Roman" w:hAnsi="Times New Roman" w:cs="Times New Roman"/>
          <w:sz w:val="24"/>
          <w:szCs w:val="24"/>
        </w:rPr>
        <w:t xml:space="preserve"> </w:t>
      </w:r>
      <w:r w:rsidRPr="00BB47B6">
        <w:rPr>
          <w:rFonts w:ascii="Times New Roman" w:hAnsi="Times New Roman" w:cs="Times New Roman"/>
          <w:sz w:val="24"/>
          <w:szCs w:val="24"/>
        </w:rPr>
        <w:t>µ</w:t>
      </w:r>
      <w:r w:rsidR="00A1760F">
        <w:rPr>
          <w:rFonts w:ascii="Times New Roman" w:hAnsi="Times New Roman" w:cs="Times New Roman"/>
          <w:sz w:val="24"/>
          <w:szCs w:val="24"/>
        </w:rPr>
        <w:t>g</w:t>
      </w:r>
      <w:r w:rsidRPr="00BB47B6">
        <w:rPr>
          <w:rFonts w:ascii="Times New Roman" w:hAnsi="Times New Roman" w:cs="Times New Roman"/>
          <w:sz w:val="24"/>
          <w:szCs w:val="24"/>
        </w:rPr>
        <w:t>/m</w:t>
      </w:r>
      <w:r w:rsidRPr="00BB47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9531E">
        <w:rPr>
          <w:rFonts w:ascii="Times New Roman" w:hAnsi="Times New Roman" w:cs="Times New Roman"/>
          <w:sz w:val="24"/>
          <w:szCs w:val="24"/>
        </w:rPr>
        <w:t xml:space="preserve"> r</w:t>
      </w:r>
      <w:r w:rsidRPr="00BB47B6">
        <w:rPr>
          <w:rFonts w:ascii="Times New Roman" w:hAnsi="Times New Roman" w:cs="Times New Roman"/>
          <w:sz w:val="24"/>
          <w:szCs w:val="24"/>
        </w:rPr>
        <w:t>espectively, where</w:t>
      </w:r>
      <w:r w:rsidR="00074469" w:rsidRPr="00BB47B6">
        <w:rPr>
          <w:rFonts w:ascii="Times New Roman" w:hAnsi="Times New Roman" w:cs="Times New Roman"/>
          <w:sz w:val="24"/>
          <w:szCs w:val="24"/>
        </w:rPr>
        <w:t>a</w:t>
      </w:r>
      <w:r w:rsidR="00235B45" w:rsidRPr="00BB47B6">
        <w:rPr>
          <w:rFonts w:ascii="Times New Roman" w:hAnsi="Times New Roman" w:cs="Times New Roman"/>
          <w:sz w:val="24"/>
          <w:szCs w:val="24"/>
        </w:rPr>
        <w:t>s in the North the sub-total</w:t>
      </w:r>
      <w:r w:rsidR="00074469" w:rsidRPr="00BB47B6">
        <w:rPr>
          <w:rFonts w:ascii="Times New Roman" w:hAnsi="Times New Roman" w:cs="Times New Roman"/>
          <w:sz w:val="24"/>
          <w:szCs w:val="24"/>
        </w:rPr>
        <w:t xml:space="preserve"> relative risk was less than 1</w:t>
      </w:r>
      <w:r w:rsidRPr="00BB47B6">
        <w:rPr>
          <w:rFonts w:ascii="Times New Roman" w:hAnsi="Times New Roman" w:cs="Times New Roman"/>
          <w:sz w:val="24"/>
          <w:szCs w:val="24"/>
        </w:rPr>
        <w:t xml:space="preserve"> and non-significant (test for heterogeneity betwe</w:t>
      </w:r>
      <w:r w:rsidR="003D22DB" w:rsidRPr="00BB47B6">
        <w:rPr>
          <w:rFonts w:ascii="Times New Roman" w:hAnsi="Times New Roman" w:cs="Times New Roman"/>
          <w:sz w:val="24"/>
          <w:szCs w:val="24"/>
        </w:rPr>
        <w:t xml:space="preserve">en </w:t>
      </w:r>
      <w:r w:rsidR="00612114">
        <w:rPr>
          <w:rFonts w:ascii="Times New Roman" w:hAnsi="Times New Roman" w:cs="Times New Roman"/>
          <w:sz w:val="24"/>
          <w:szCs w:val="24"/>
        </w:rPr>
        <w:t>“super regions”</w:t>
      </w:r>
      <w:r w:rsidR="003D22DB" w:rsidRPr="00BB47B6">
        <w:rPr>
          <w:rFonts w:ascii="Times New Roman" w:hAnsi="Times New Roman" w:cs="Times New Roman"/>
          <w:sz w:val="24"/>
          <w:szCs w:val="24"/>
        </w:rPr>
        <w:t>, p=0.02</w:t>
      </w:r>
      <w:r w:rsidR="00C80344">
        <w:rPr>
          <w:rFonts w:ascii="Times New Roman" w:hAnsi="Times New Roman" w:cs="Times New Roman"/>
          <w:sz w:val="24"/>
          <w:szCs w:val="24"/>
        </w:rPr>
        <w:t>2</w:t>
      </w:r>
      <w:r w:rsidRPr="00BB47B6">
        <w:rPr>
          <w:rFonts w:ascii="Times New Roman" w:hAnsi="Times New Roman" w:cs="Times New Roman"/>
          <w:sz w:val="24"/>
          <w:szCs w:val="24"/>
        </w:rPr>
        <w:t xml:space="preserve">). </w:t>
      </w:r>
      <w:r w:rsidR="005E56BC">
        <w:rPr>
          <w:rFonts w:ascii="Times New Roman" w:hAnsi="Times New Roman" w:cs="Times New Roman"/>
          <w:sz w:val="24"/>
          <w:szCs w:val="24"/>
        </w:rPr>
        <w:t>For O</w:t>
      </w:r>
      <w:r w:rsidR="005E56BC" w:rsidRPr="00ED71C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E56BC">
        <w:rPr>
          <w:rFonts w:ascii="Times New Roman" w:hAnsi="Times New Roman" w:cs="Times New Roman"/>
          <w:sz w:val="24"/>
          <w:szCs w:val="24"/>
        </w:rPr>
        <w:t xml:space="preserve"> and NSTEMI, associations differed significantly between regions (p=0.00</w:t>
      </w:r>
      <w:r w:rsidR="00C80344">
        <w:rPr>
          <w:rFonts w:ascii="Times New Roman" w:hAnsi="Times New Roman" w:cs="Times New Roman"/>
          <w:sz w:val="24"/>
          <w:szCs w:val="24"/>
        </w:rPr>
        <w:t>6</w:t>
      </w:r>
      <w:r w:rsidR="005E56BC">
        <w:rPr>
          <w:rFonts w:ascii="Times New Roman" w:hAnsi="Times New Roman" w:cs="Times New Roman"/>
          <w:sz w:val="24"/>
          <w:szCs w:val="24"/>
        </w:rPr>
        <w:t>) but not between “super regions”.</w:t>
      </w:r>
    </w:p>
    <w:p w:rsidR="0079712C" w:rsidRDefault="005E56BC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compared</w:t>
      </w:r>
      <w:r w:rsidR="00B3530D">
        <w:rPr>
          <w:rFonts w:ascii="Times New Roman" w:hAnsi="Times New Roman" w:cs="Times New Roman"/>
          <w:sz w:val="24"/>
          <w:szCs w:val="24"/>
        </w:rPr>
        <w:t xml:space="preserve"> the </w:t>
      </w:r>
      <w:r w:rsidR="00B3530D" w:rsidRPr="00BB47B6">
        <w:rPr>
          <w:rFonts w:ascii="Times New Roman" w:hAnsi="Times New Roman" w:cs="Times New Roman"/>
          <w:sz w:val="24"/>
          <w:szCs w:val="24"/>
        </w:rPr>
        <w:t xml:space="preserve">overall </w:t>
      </w:r>
      <w:r w:rsidR="00B3530D">
        <w:rPr>
          <w:rFonts w:ascii="Times New Roman" w:hAnsi="Times New Roman" w:cs="Times New Roman"/>
          <w:sz w:val="24"/>
          <w:szCs w:val="24"/>
        </w:rPr>
        <w:t xml:space="preserve">estimates </w:t>
      </w:r>
      <w:r w:rsidR="00B3530D" w:rsidRPr="00BB47B6">
        <w:rPr>
          <w:rFonts w:ascii="Times New Roman" w:hAnsi="Times New Roman" w:cs="Times New Roman"/>
          <w:sz w:val="24"/>
          <w:szCs w:val="24"/>
        </w:rPr>
        <w:t xml:space="preserve">(i.e. over all regions) </w:t>
      </w:r>
      <w:r w:rsidR="00B3530D">
        <w:rPr>
          <w:rFonts w:ascii="Times New Roman" w:hAnsi="Times New Roman" w:cs="Times New Roman"/>
          <w:sz w:val="24"/>
          <w:szCs w:val="24"/>
        </w:rPr>
        <w:t xml:space="preserve">in Table 3 with their corresponding </w:t>
      </w:r>
      <w:r w:rsidR="00422EA8">
        <w:rPr>
          <w:rFonts w:ascii="Times New Roman" w:hAnsi="Times New Roman" w:cs="Times New Roman"/>
          <w:sz w:val="24"/>
          <w:szCs w:val="24"/>
        </w:rPr>
        <w:t>values</w:t>
      </w:r>
      <w:r w:rsidR="00B3530D" w:rsidRPr="00BB47B6">
        <w:rPr>
          <w:rFonts w:ascii="Times New Roman" w:hAnsi="Times New Roman" w:cs="Times New Roman"/>
          <w:sz w:val="24"/>
          <w:szCs w:val="24"/>
        </w:rPr>
        <w:t xml:space="preserve"> in Table 1, </w:t>
      </w:r>
      <w:r>
        <w:rPr>
          <w:rFonts w:ascii="Times New Roman" w:hAnsi="Times New Roman" w:cs="Times New Roman"/>
          <w:sz w:val="24"/>
          <w:szCs w:val="24"/>
        </w:rPr>
        <w:t>it appeared that adjustment for region had little effect.</w:t>
      </w:r>
    </w:p>
    <w:tbl>
      <w:tblPr>
        <w:tblStyle w:val="TableGrid2"/>
        <w:tblW w:w="8897" w:type="dxa"/>
        <w:tblInd w:w="0" w:type="dxa"/>
        <w:tblLook w:val="04A0" w:firstRow="1" w:lastRow="0" w:firstColumn="1" w:lastColumn="0" w:noHBand="0" w:noVBand="1"/>
      </w:tblPr>
      <w:tblGrid>
        <w:gridCol w:w="2376"/>
        <w:gridCol w:w="2232"/>
        <w:gridCol w:w="2163"/>
        <w:gridCol w:w="2126"/>
      </w:tblGrid>
      <w:tr w:rsidR="0079712C" w:rsidRPr="006926CE" w:rsidTr="00676770"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12C" w:rsidRDefault="0079712C" w:rsidP="004928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2C" w:rsidRDefault="0079712C" w:rsidP="00492893">
            <w:pPr>
              <w:rPr>
                <w:rFonts w:ascii="Times New Roman" w:hAnsi="Times New Roman"/>
                <w:b/>
              </w:rPr>
            </w:pPr>
            <w:r w:rsidRPr="00BB47B6">
              <w:rPr>
                <w:rFonts w:ascii="Times New Roman" w:hAnsi="Times New Roman"/>
                <w:b/>
                <w:sz w:val="24"/>
                <w:szCs w:val="24"/>
              </w:rPr>
              <w:t>Table 4:</w:t>
            </w:r>
            <w:r w:rsidRPr="00BB47B6">
              <w:rPr>
                <w:rFonts w:ascii="Times New Roman" w:hAnsi="Times New Roman"/>
                <w:sz w:val="24"/>
                <w:szCs w:val="24"/>
              </w:rPr>
              <w:t xml:space="preserve"> Estimat</w:t>
            </w:r>
            <w:r w:rsidR="00422EA8">
              <w:rPr>
                <w:rFonts w:ascii="Times New Roman" w:hAnsi="Times New Roman"/>
                <w:sz w:val="24"/>
                <w:szCs w:val="24"/>
              </w:rPr>
              <w:t>es for</w:t>
            </w:r>
            <w:r w:rsidRPr="00BB47B6">
              <w:rPr>
                <w:rFonts w:ascii="Times New Roman" w:hAnsi="Times New Roman"/>
                <w:sz w:val="24"/>
                <w:szCs w:val="24"/>
              </w:rPr>
              <w:t xml:space="preserve"> the percentage change in risk [95% CI] per one IQR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BB47B6">
              <w:rPr>
                <w:rFonts w:ascii="Times New Roman" w:hAnsi="Times New Roman"/>
                <w:sz w:val="24"/>
                <w:szCs w:val="24"/>
              </w:rPr>
              <w:t xml:space="preserve"> increase in pollutant: Single and two pollutant models</w:t>
            </w:r>
            <w:r>
              <w:rPr>
                <w:rFonts w:ascii="Times New Roman" w:hAnsi="Times New Roman"/>
                <w:sz w:val="24"/>
                <w:szCs w:val="24"/>
              </w:rPr>
              <w:t>†</w:t>
            </w:r>
          </w:p>
        </w:tc>
      </w:tr>
      <w:tr w:rsidR="0079712C" w:rsidRPr="006926CE" w:rsidTr="00676770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712C" w:rsidRDefault="0079712C" w:rsidP="00492893">
            <w:pPr>
              <w:rPr>
                <w:rFonts w:ascii="Times New Roman" w:hAnsi="Times New Roman"/>
                <w:b/>
              </w:rPr>
            </w:pPr>
          </w:p>
          <w:p w:rsidR="0079712C" w:rsidRDefault="0079712C" w:rsidP="00492893">
            <w:pPr>
              <w:rPr>
                <w:rFonts w:ascii="Times New Roman" w:hAnsi="Times New Roman"/>
                <w:b/>
              </w:rPr>
            </w:pPr>
            <w:r w:rsidRPr="00BB47B6">
              <w:rPr>
                <w:rFonts w:ascii="Times New Roman" w:hAnsi="Times New Roman"/>
                <w:b/>
              </w:rPr>
              <w:t>PM</w:t>
            </w:r>
            <w:r w:rsidRPr="00BB47B6">
              <w:rPr>
                <w:rFonts w:ascii="Times New Roman" w:hAnsi="Times New Roman"/>
                <w:b/>
                <w:vertAlign w:val="subscript"/>
              </w:rPr>
              <w:t>2.5</w:t>
            </w:r>
            <w:r w:rsidRPr="00BB47B6">
              <w:rPr>
                <w:rFonts w:ascii="Times New Roman" w:hAnsi="Times New Roman"/>
                <w:b/>
              </w:rPr>
              <w:t xml:space="preserve"> components</w:t>
            </w:r>
          </w:p>
          <w:p w:rsidR="0079712C" w:rsidRPr="00BB47B6" w:rsidRDefault="0079712C" w:rsidP="0049289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712C" w:rsidRDefault="0079712C" w:rsidP="00676770">
            <w:pPr>
              <w:jc w:val="right"/>
              <w:rPr>
                <w:rFonts w:ascii="Times New Roman" w:hAnsi="Times New Roman"/>
                <w:b/>
              </w:rPr>
            </w:pPr>
          </w:p>
          <w:p w:rsidR="0079712C" w:rsidRDefault="0079712C" w:rsidP="00676770">
            <w:pPr>
              <w:jc w:val="right"/>
              <w:rPr>
                <w:rFonts w:ascii="Times New Roman" w:hAnsi="Times New Roman"/>
                <w:b/>
              </w:rPr>
            </w:pPr>
            <w:r w:rsidRPr="00BB47B6">
              <w:rPr>
                <w:rFonts w:ascii="Times New Roman" w:hAnsi="Times New Roman"/>
                <w:b/>
              </w:rPr>
              <w:t>All MI</w:t>
            </w:r>
          </w:p>
          <w:p w:rsidR="0079712C" w:rsidRPr="00BB47B6" w:rsidRDefault="0079712C" w:rsidP="0067677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change [95% CI]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712C" w:rsidRDefault="0079712C" w:rsidP="00676770">
            <w:pPr>
              <w:jc w:val="right"/>
              <w:rPr>
                <w:rFonts w:ascii="Times New Roman" w:hAnsi="Times New Roman"/>
                <w:b/>
              </w:rPr>
            </w:pPr>
          </w:p>
          <w:p w:rsidR="0079712C" w:rsidRDefault="0079712C" w:rsidP="00676770">
            <w:pPr>
              <w:jc w:val="right"/>
              <w:rPr>
                <w:rFonts w:ascii="Times New Roman" w:hAnsi="Times New Roman"/>
                <w:b/>
              </w:rPr>
            </w:pPr>
            <w:r w:rsidRPr="00BB47B6">
              <w:rPr>
                <w:rFonts w:ascii="Times New Roman" w:hAnsi="Times New Roman"/>
                <w:b/>
              </w:rPr>
              <w:t>STEMI</w:t>
            </w:r>
          </w:p>
          <w:p w:rsidR="0079712C" w:rsidRPr="00BB47B6" w:rsidRDefault="0079712C" w:rsidP="0067677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change [95% CI]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712C" w:rsidRDefault="0079712C" w:rsidP="00676770">
            <w:pPr>
              <w:jc w:val="right"/>
              <w:rPr>
                <w:rFonts w:ascii="Times New Roman" w:hAnsi="Times New Roman"/>
                <w:b/>
              </w:rPr>
            </w:pPr>
          </w:p>
          <w:p w:rsidR="0079712C" w:rsidRDefault="0079712C" w:rsidP="00676770">
            <w:pPr>
              <w:jc w:val="right"/>
              <w:rPr>
                <w:rFonts w:ascii="Times New Roman" w:hAnsi="Times New Roman"/>
                <w:b/>
              </w:rPr>
            </w:pPr>
            <w:r w:rsidRPr="00BB47B6">
              <w:rPr>
                <w:rFonts w:ascii="Times New Roman" w:hAnsi="Times New Roman"/>
                <w:b/>
              </w:rPr>
              <w:t>NSTEMI</w:t>
            </w:r>
          </w:p>
          <w:p w:rsidR="0079712C" w:rsidRPr="00BB47B6" w:rsidRDefault="0079712C" w:rsidP="0067677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change [95% CI]</w:t>
            </w:r>
          </w:p>
        </w:tc>
      </w:tr>
      <w:tr w:rsidR="0079712C" w:rsidRPr="006926CE" w:rsidTr="00676770"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2C" w:rsidRPr="00BB47B6" w:rsidRDefault="0079712C" w:rsidP="00492893">
            <w:pPr>
              <w:jc w:val="center"/>
              <w:rPr>
                <w:rFonts w:ascii="Times New Roman" w:hAnsi="Times New Roman"/>
                <w:b/>
              </w:rPr>
            </w:pPr>
          </w:p>
          <w:p w:rsidR="0079712C" w:rsidRPr="00BB47B6" w:rsidRDefault="0079712C" w:rsidP="00492893">
            <w:pPr>
              <w:rPr>
                <w:rFonts w:ascii="Times New Roman" w:hAnsi="Times New Roman"/>
                <w:b/>
              </w:rPr>
            </w:pPr>
            <w:r w:rsidRPr="00BB47B6">
              <w:rPr>
                <w:rFonts w:ascii="Times New Roman" w:hAnsi="Times New Roman"/>
                <w:b/>
              </w:rPr>
              <w:t>Single pollutant regression model</w:t>
            </w:r>
          </w:p>
          <w:p w:rsidR="0079712C" w:rsidRPr="00BB47B6" w:rsidRDefault="0079712C" w:rsidP="004928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712C" w:rsidRPr="006926CE" w:rsidTr="0067677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712C" w:rsidRPr="00BB47B6" w:rsidRDefault="0079712C" w:rsidP="00492893">
            <w:pPr>
              <w:rPr>
                <w:rFonts w:ascii="Times New Roman" w:hAnsi="Times New Roman"/>
              </w:rPr>
            </w:pPr>
            <w:r w:rsidRPr="00BB47B6">
              <w:rPr>
                <w:rFonts w:ascii="Times New Roman" w:hAnsi="Times New Roman"/>
              </w:rPr>
              <w:t>EC</w:t>
            </w:r>
          </w:p>
          <w:p w:rsidR="0079712C" w:rsidRPr="00BB47B6" w:rsidRDefault="0079712C" w:rsidP="00492893">
            <w:pPr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79712C" w:rsidRPr="00BB47B6" w:rsidRDefault="0079712C" w:rsidP="00676770">
            <w:pPr>
              <w:jc w:val="right"/>
              <w:rPr>
                <w:rFonts w:ascii="Times New Roman" w:hAnsi="Times New Roman"/>
              </w:rPr>
            </w:pPr>
            <w:r w:rsidRPr="00BB47B6">
              <w:rPr>
                <w:rFonts w:ascii="Times New Roman" w:hAnsi="Times New Roman"/>
              </w:rPr>
              <w:t>0.</w:t>
            </w:r>
            <w:r w:rsidR="00213488">
              <w:rPr>
                <w:rFonts w:ascii="Times New Roman" w:hAnsi="Times New Roman"/>
              </w:rPr>
              <w:t>10</w:t>
            </w:r>
            <w:r w:rsidRPr="00BB47B6">
              <w:rPr>
                <w:rFonts w:ascii="Times New Roman" w:hAnsi="Times New Roman"/>
              </w:rPr>
              <w:t xml:space="preserve"> [-0.18, 0.3</w:t>
            </w:r>
            <w:r w:rsidR="00C903B1">
              <w:rPr>
                <w:rFonts w:ascii="Times New Roman" w:hAnsi="Times New Roman"/>
              </w:rPr>
              <w:t>7</w:t>
            </w:r>
            <w:r w:rsidRPr="00BB47B6">
              <w:rPr>
                <w:rFonts w:ascii="Times New Roman" w:hAnsi="Times New Roman"/>
              </w:rPr>
              <w:t>]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79712C" w:rsidRPr="00BB47B6" w:rsidRDefault="0079712C" w:rsidP="00676770">
            <w:pPr>
              <w:jc w:val="right"/>
              <w:rPr>
                <w:rFonts w:ascii="Times New Roman" w:hAnsi="Times New Roman"/>
              </w:rPr>
            </w:pPr>
            <w:r w:rsidRPr="00BB47B6">
              <w:rPr>
                <w:rFonts w:ascii="Times New Roman" w:hAnsi="Times New Roman"/>
              </w:rPr>
              <w:t>-0.1</w:t>
            </w:r>
            <w:r w:rsidR="00213488">
              <w:rPr>
                <w:rFonts w:ascii="Times New Roman" w:hAnsi="Times New Roman"/>
              </w:rPr>
              <w:t>5</w:t>
            </w:r>
            <w:r w:rsidRPr="00BB47B6">
              <w:rPr>
                <w:rFonts w:ascii="Times New Roman" w:hAnsi="Times New Roman"/>
              </w:rPr>
              <w:t xml:space="preserve"> [-0.64, 0.33]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9712C" w:rsidRPr="00BB47B6" w:rsidRDefault="0079712C" w:rsidP="00676770">
            <w:pPr>
              <w:jc w:val="right"/>
              <w:rPr>
                <w:rFonts w:ascii="Times New Roman" w:hAnsi="Times New Roman"/>
              </w:rPr>
            </w:pPr>
            <w:r w:rsidRPr="00BB47B6">
              <w:rPr>
                <w:rFonts w:ascii="Times New Roman" w:hAnsi="Times New Roman"/>
              </w:rPr>
              <w:t>0.1</w:t>
            </w:r>
            <w:r w:rsidR="00C903B1">
              <w:rPr>
                <w:rFonts w:ascii="Times New Roman" w:hAnsi="Times New Roman"/>
              </w:rPr>
              <w:t>3</w:t>
            </w:r>
            <w:r w:rsidRPr="00BB47B6">
              <w:rPr>
                <w:rFonts w:ascii="Times New Roman" w:hAnsi="Times New Roman"/>
              </w:rPr>
              <w:t xml:space="preserve"> [-0.26, 0.5</w:t>
            </w:r>
            <w:r w:rsidR="00213488">
              <w:rPr>
                <w:rFonts w:ascii="Times New Roman" w:hAnsi="Times New Roman"/>
              </w:rPr>
              <w:t>2</w:t>
            </w:r>
            <w:r w:rsidRPr="00BB47B6">
              <w:rPr>
                <w:rFonts w:ascii="Times New Roman" w:hAnsi="Times New Roman"/>
              </w:rPr>
              <w:t>]</w:t>
            </w:r>
          </w:p>
        </w:tc>
      </w:tr>
      <w:tr w:rsidR="0079712C" w:rsidRPr="006926CE" w:rsidTr="0067677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712C" w:rsidRPr="00BB47B6" w:rsidRDefault="0079712C" w:rsidP="00492893">
            <w:pPr>
              <w:rPr>
                <w:rFonts w:ascii="Times New Roman" w:hAnsi="Times New Roman"/>
                <w:vertAlign w:val="superscript"/>
              </w:rPr>
            </w:pPr>
            <w:r w:rsidRPr="00BB47B6">
              <w:rPr>
                <w:rFonts w:ascii="Times New Roman" w:hAnsi="Times New Roman"/>
              </w:rPr>
              <w:t>SO</w:t>
            </w:r>
            <w:r w:rsidRPr="00BB47B6">
              <w:rPr>
                <w:rFonts w:ascii="Times New Roman" w:hAnsi="Times New Roman"/>
                <w:vertAlign w:val="subscript"/>
              </w:rPr>
              <w:t>4</w:t>
            </w:r>
            <w:r w:rsidRPr="00BB47B6">
              <w:rPr>
                <w:rFonts w:ascii="Times New Roman" w:hAnsi="Times New Roman"/>
                <w:vertAlign w:val="superscript"/>
              </w:rPr>
              <w:t>2-</w:t>
            </w:r>
          </w:p>
          <w:p w:rsidR="0079712C" w:rsidRPr="00BB47B6" w:rsidRDefault="0079712C" w:rsidP="00492893">
            <w:pPr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79712C" w:rsidRPr="00BB47B6" w:rsidRDefault="0079712C" w:rsidP="00676770">
            <w:pPr>
              <w:jc w:val="right"/>
              <w:rPr>
                <w:rFonts w:ascii="Times New Roman" w:hAnsi="Times New Roman"/>
              </w:rPr>
            </w:pPr>
            <w:r w:rsidRPr="00BB47B6">
              <w:rPr>
                <w:rFonts w:ascii="Times New Roman" w:hAnsi="Times New Roman"/>
              </w:rPr>
              <w:t>-0.02 [-0.3</w:t>
            </w:r>
            <w:r w:rsidR="00213488">
              <w:rPr>
                <w:rFonts w:ascii="Times New Roman" w:hAnsi="Times New Roman"/>
              </w:rPr>
              <w:t>0</w:t>
            </w:r>
            <w:r w:rsidRPr="00BB47B6">
              <w:rPr>
                <w:rFonts w:ascii="Times New Roman" w:hAnsi="Times New Roman"/>
              </w:rPr>
              <w:t>, 0.2</w:t>
            </w:r>
            <w:r w:rsidR="00213488">
              <w:rPr>
                <w:rFonts w:ascii="Times New Roman" w:hAnsi="Times New Roman"/>
              </w:rPr>
              <w:t>7</w:t>
            </w:r>
            <w:r w:rsidRPr="00BB47B6">
              <w:rPr>
                <w:rFonts w:ascii="Times New Roman" w:hAnsi="Times New Roman"/>
              </w:rPr>
              <w:t>]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79712C" w:rsidRPr="00BB47B6" w:rsidRDefault="0079712C" w:rsidP="00676770">
            <w:pPr>
              <w:jc w:val="right"/>
              <w:rPr>
                <w:rFonts w:ascii="Times New Roman" w:hAnsi="Times New Roman"/>
              </w:rPr>
            </w:pPr>
            <w:r w:rsidRPr="00BB47B6">
              <w:rPr>
                <w:rFonts w:ascii="Times New Roman" w:hAnsi="Times New Roman"/>
              </w:rPr>
              <w:t>-0.29 [-0.79, 0.21]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9712C" w:rsidRPr="00BB47B6" w:rsidRDefault="0079712C" w:rsidP="00676770">
            <w:pPr>
              <w:jc w:val="right"/>
              <w:rPr>
                <w:rFonts w:ascii="Times New Roman" w:hAnsi="Times New Roman"/>
              </w:rPr>
            </w:pPr>
            <w:r w:rsidRPr="00BB47B6">
              <w:rPr>
                <w:rFonts w:ascii="Times New Roman" w:hAnsi="Times New Roman"/>
              </w:rPr>
              <w:t>-0.0</w:t>
            </w:r>
            <w:r w:rsidR="00213488">
              <w:rPr>
                <w:rFonts w:ascii="Times New Roman" w:hAnsi="Times New Roman"/>
              </w:rPr>
              <w:t>8</w:t>
            </w:r>
            <w:r w:rsidRPr="00BB47B6">
              <w:rPr>
                <w:rFonts w:ascii="Times New Roman" w:hAnsi="Times New Roman"/>
              </w:rPr>
              <w:t xml:space="preserve"> [-0.48, 0.3</w:t>
            </w:r>
            <w:r w:rsidR="00213488">
              <w:rPr>
                <w:rFonts w:ascii="Times New Roman" w:hAnsi="Times New Roman"/>
              </w:rPr>
              <w:t>2</w:t>
            </w:r>
            <w:r w:rsidRPr="00BB47B6">
              <w:rPr>
                <w:rFonts w:ascii="Times New Roman" w:hAnsi="Times New Roman"/>
              </w:rPr>
              <w:t>]</w:t>
            </w:r>
          </w:p>
        </w:tc>
      </w:tr>
      <w:tr w:rsidR="0079712C" w:rsidRPr="006926CE" w:rsidTr="00676770">
        <w:tc>
          <w:tcPr>
            <w:tcW w:w="88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2C" w:rsidRPr="00BB47B6" w:rsidRDefault="0079712C" w:rsidP="00492893">
            <w:pPr>
              <w:jc w:val="center"/>
              <w:rPr>
                <w:rFonts w:ascii="Times New Roman" w:hAnsi="Times New Roman"/>
                <w:b/>
              </w:rPr>
            </w:pPr>
          </w:p>
          <w:p w:rsidR="0079712C" w:rsidRPr="00BB47B6" w:rsidRDefault="0079712C" w:rsidP="00492893">
            <w:pPr>
              <w:rPr>
                <w:rFonts w:ascii="Times New Roman" w:hAnsi="Times New Roman"/>
                <w:b/>
              </w:rPr>
            </w:pPr>
            <w:r w:rsidRPr="00BB47B6">
              <w:rPr>
                <w:rFonts w:ascii="Times New Roman" w:hAnsi="Times New Roman"/>
                <w:b/>
              </w:rPr>
              <w:t>Two pollutant regression model</w:t>
            </w:r>
          </w:p>
          <w:p w:rsidR="0079712C" w:rsidRPr="00BB47B6" w:rsidRDefault="0079712C" w:rsidP="004928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712C" w:rsidRPr="006926CE" w:rsidTr="0067677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9712C" w:rsidRPr="00BB47B6" w:rsidRDefault="0079712C" w:rsidP="00492893">
            <w:pPr>
              <w:rPr>
                <w:rFonts w:ascii="Times New Roman" w:hAnsi="Times New Roman"/>
              </w:rPr>
            </w:pPr>
            <w:r w:rsidRPr="00BB47B6">
              <w:rPr>
                <w:rFonts w:ascii="Times New Roman" w:hAnsi="Times New Roman"/>
              </w:rPr>
              <w:t>EC (adjusted for O</w:t>
            </w:r>
            <w:r w:rsidRPr="00BB47B6">
              <w:rPr>
                <w:rFonts w:ascii="Times New Roman" w:hAnsi="Times New Roman"/>
                <w:vertAlign w:val="subscript"/>
              </w:rPr>
              <w:t>3</w:t>
            </w:r>
            <w:r w:rsidRPr="00BB47B6">
              <w:rPr>
                <w:rFonts w:ascii="Times New Roman" w:hAnsi="Times New Roman"/>
              </w:rPr>
              <w:t>)</w:t>
            </w:r>
          </w:p>
          <w:p w:rsidR="0079712C" w:rsidRPr="00BB47B6" w:rsidRDefault="0079712C" w:rsidP="00492893">
            <w:pPr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79712C" w:rsidRPr="00BB47B6" w:rsidRDefault="0079712C" w:rsidP="00676770">
            <w:pPr>
              <w:jc w:val="right"/>
              <w:rPr>
                <w:rFonts w:ascii="Times New Roman" w:hAnsi="Times New Roman"/>
              </w:rPr>
            </w:pPr>
            <w:r w:rsidRPr="00BB47B6">
              <w:rPr>
                <w:rFonts w:ascii="Times New Roman" w:hAnsi="Times New Roman"/>
              </w:rPr>
              <w:t>0.0</w:t>
            </w:r>
            <w:r w:rsidR="00213488">
              <w:rPr>
                <w:rFonts w:ascii="Times New Roman" w:hAnsi="Times New Roman"/>
              </w:rPr>
              <w:t>6</w:t>
            </w:r>
            <w:r w:rsidRPr="00BB47B6">
              <w:rPr>
                <w:rFonts w:ascii="Times New Roman" w:hAnsi="Times New Roman"/>
              </w:rPr>
              <w:t xml:space="preserve"> [-0.24, 0.3</w:t>
            </w:r>
            <w:r w:rsidR="00213488">
              <w:rPr>
                <w:rFonts w:ascii="Times New Roman" w:hAnsi="Times New Roman"/>
              </w:rPr>
              <w:t>5</w:t>
            </w:r>
            <w:r w:rsidRPr="00BB47B6">
              <w:rPr>
                <w:rFonts w:ascii="Times New Roman" w:hAnsi="Times New Roman"/>
              </w:rPr>
              <w:t>]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79712C" w:rsidRPr="00BB47B6" w:rsidRDefault="0079712C" w:rsidP="00676770">
            <w:pPr>
              <w:jc w:val="right"/>
              <w:rPr>
                <w:rFonts w:ascii="Times New Roman" w:hAnsi="Times New Roman"/>
              </w:rPr>
            </w:pPr>
            <w:r w:rsidRPr="00BB47B6">
              <w:rPr>
                <w:rFonts w:ascii="Times New Roman" w:hAnsi="Times New Roman"/>
              </w:rPr>
              <w:t>-0.28 [-0.79, 0.24]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9712C" w:rsidRPr="00BB47B6" w:rsidRDefault="0079712C" w:rsidP="00676770">
            <w:pPr>
              <w:jc w:val="right"/>
              <w:rPr>
                <w:rFonts w:ascii="Times New Roman" w:hAnsi="Times New Roman"/>
              </w:rPr>
            </w:pPr>
            <w:r w:rsidRPr="00BB47B6">
              <w:rPr>
                <w:rFonts w:ascii="Times New Roman" w:hAnsi="Times New Roman"/>
              </w:rPr>
              <w:t>0.1</w:t>
            </w:r>
            <w:r w:rsidR="00213488">
              <w:rPr>
                <w:rFonts w:ascii="Times New Roman" w:hAnsi="Times New Roman"/>
              </w:rPr>
              <w:t>1</w:t>
            </w:r>
            <w:r w:rsidRPr="00BB47B6">
              <w:rPr>
                <w:rFonts w:ascii="Times New Roman" w:hAnsi="Times New Roman"/>
              </w:rPr>
              <w:t xml:space="preserve"> [-0.3</w:t>
            </w:r>
            <w:r w:rsidR="00213488">
              <w:rPr>
                <w:rFonts w:ascii="Times New Roman" w:hAnsi="Times New Roman"/>
              </w:rPr>
              <w:t>0</w:t>
            </w:r>
            <w:r w:rsidRPr="00BB47B6">
              <w:rPr>
                <w:rFonts w:ascii="Times New Roman" w:hAnsi="Times New Roman"/>
              </w:rPr>
              <w:t>, 0.52]</w:t>
            </w:r>
          </w:p>
        </w:tc>
      </w:tr>
      <w:tr w:rsidR="0079712C" w:rsidRPr="006926CE" w:rsidTr="0067677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12C" w:rsidRPr="00BB47B6" w:rsidRDefault="0079712C" w:rsidP="00492893">
            <w:pPr>
              <w:rPr>
                <w:rFonts w:ascii="Times New Roman" w:hAnsi="Times New Roman"/>
              </w:rPr>
            </w:pPr>
            <w:r w:rsidRPr="00BB47B6">
              <w:rPr>
                <w:rFonts w:ascii="Times New Roman" w:hAnsi="Times New Roman"/>
              </w:rPr>
              <w:t>SO</w:t>
            </w:r>
            <w:r w:rsidRPr="00BB47B6">
              <w:rPr>
                <w:rFonts w:ascii="Times New Roman" w:hAnsi="Times New Roman"/>
                <w:vertAlign w:val="subscript"/>
              </w:rPr>
              <w:t>4</w:t>
            </w:r>
            <w:r w:rsidRPr="00BB47B6">
              <w:rPr>
                <w:rFonts w:ascii="Times New Roman" w:hAnsi="Times New Roman"/>
                <w:vertAlign w:val="superscript"/>
              </w:rPr>
              <w:t>2-</w:t>
            </w:r>
            <w:r w:rsidRPr="00BB47B6">
              <w:rPr>
                <w:rFonts w:ascii="Times New Roman" w:hAnsi="Times New Roman"/>
              </w:rPr>
              <w:t xml:space="preserve">  (adjusted for O</w:t>
            </w:r>
            <w:r w:rsidRPr="00BB47B6">
              <w:rPr>
                <w:rFonts w:ascii="Times New Roman" w:hAnsi="Times New Roman"/>
                <w:vertAlign w:val="subscript"/>
              </w:rPr>
              <w:t>3</w:t>
            </w:r>
            <w:r w:rsidRPr="00BB47B6">
              <w:rPr>
                <w:rFonts w:ascii="Times New Roman" w:hAnsi="Times New Roman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12C" w:rsidRPr="00BB47B6" w:rsidRDefault="0079712C" w:rsidP="00676770">
            <w:pPr>
              <w:jc w:val="right"/>
              <w:rPr>
                <w:rFonts w:ascii="Times New Roman" w:hAnsi="Times New Roman"/>
              </w:rPr>
            </w:pPr>
            <w:r w:rsidRPr="00BB47B6">
              <w:rPr>
                <w:rFonts w:ascii="Times New Roman" w:hAnsi="Times New Roman"/>
              </w:rPr>
              <w:t>-0.0</w:t>
            </w:r>
            <w:r w:rsidR="00213488">
              <w:rPr>
                <w:rFonts w:ascii="Times New Roman" w:hAnsi="Times New Roman"/>
              </w:rPr>
              <w:t>2</w:t>
            </w:r>
            <w:r w:rsidRPr="00BB47B6">
              <w:rPr>
                <w:rFonts w:ascii="Times New Roman" w:hAnsi="Times New Roman"/>
              </w:rPr>
              <w:t xml:space="preserve"> [-0.3</w:t>
            </w:r>
            <w:r w:rsidR="00213488">
              <w:rPr>
                <w:rFonts w:ascii="Times New Roman" w:hAnsi="Times New Roman"/>
              </w:rPr>
              <w:t>1</w:t>
            </w:r>
            <w:r w:rsidRPr="00BB47B6">
              <w:rPr>
                <w:rFonts w:ascii="Times New Roman" w:hAnsi="Times New Roman"/>
              </w:rPr>
              <w:t>, 0.2</w:t>
            </w:r>
            <w:r w:rsidR="00213488">
              <w:rPr>
                <w:rFonts w:ascii="Times New Roman" w:hAnsi="Times New Roman"/>
              </w:rPr>
              <w:t>6</w:t>
            </w:r>
            <w:r w:rsidRPr="00BB47B6">
              <w:rPr>
                <w:rFonts w:ascii="Times New Roman" w:hAnsi="Times New Roman"/>
              </w:rPr>
              <w:t>]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12C" w:rsidRPr="00BB47B6" w:rsidRDefault="0079712C" w:rsidP="00676770">
            <w:pPr>
              <w:jc w:val="right"/>
              <w:rPr>
                <w:rFonts w:ascii="Times New Roman" w:hAnsi="Times New Roman"/>
              </w:rPr>
            </w:pPr>
            <w:r w:rsidRPr="00BB47B6">
              <w:rPr>
                <w:rFonts w:ascii="Times New Roman" w:hAnsi="Times New Roman"/>
              </w:rPr>
              <w:t>-0.31 [-0.82, 0.19]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12C" w:rsidRDefault="0079712C" w:rsidP="00676770">
            <w:pPr>
              <w:jc w:val="right"/>
              <w:rPr>
                <w:rFonts w:ascii="Times New Roman" w:hAnsi="Times New Roman"/>
              </w:rPr>
            </w:pPr>
            <w:r w:rsidRPr="00BB47B6">
              <w:rPr>
                <w:rFonts w:ascii="Times New Roman" w:hAnsi="Times New Roman"/>
              </w:rPr>
              <w:t>-0.09 [-0.49, 0.31]</w:t>
            </w:r>
          </w:p>
          <w:p w:rsidR="00853ECC" w:rsidRPr="00BB47B6" w:rsidRDefault="00853ECC" w:rsidP="00676770">
            <w:pPr>
              <w:jc w:val="right"/>
              <w:rPr>
                <w:rFonts w:ascii="Times New Roman" w:hAnsi="Times New Roman"/>
              </w:rPr>
            </w:pPr>
          </w:p>
        </w:tc>
      </w:tr>
      <w:tr w:rsidR="0079712C" w:rsidRPr="006926CE" w:rsidTr="00676770"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12C" w:rsidRDefault="0079712C" w:rsidP="004928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12C" w:rsidRDefault="0079712C" w:rsidP="00492893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BB47B6">
              <w:rPr>
                <w:rFonts w:ascii="Times New Roman" w:hAnsi="Times New Roman"/>
                <w:sz w:val="24"/>
                <w:szCs w:val="24"/>
              </w:rPr>
              <w:t xml:space="preserve">IQR for </w:t>
            </w:r>
            <w:r>
              <w:rPr>
                <w:rFonts w:ascii="Times New Roman" w:hAnsi="Times New Roman"/>
                <w:sz w:val="24"/>
                <w:szCs w:val="24"/>
              </w:rPr>
              <w:t>daily mean EC=0.213</w:t>
            </w:r>
            <w:r w:rsidRPr="00BB47B6">
              <w:rPr>
                <w:rFonts w:ascii="Times New Roman" w:hAnsi="Times New Roman"/>
                <w:sz w:val="24"/>
                <w:szCs w:val="24"/>
              </w:rPr>
              <w:t xml:space="preserve"> µg/m</w:t>
            </w:r>
            <w:r w:rsidRPr="00BB47B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B47B6">
              <w:rPr>
                <w:rFonts w:ascii="Times New Roman" w:hAnsi="Times New Roman"/>
                <w:sz w:val="24"/>
                <w:szCs w:val="24"/>
              </w:rPr>
              <w:t xml:space="preserve"> and IQR for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daily mean </w:t>
            </w:r>
            <w:r w:rsidRPr="00BB47B6">
              <w:rPr>
                <w:rFonts w:ascii="Times New Roman" w:hAnsi="Times New Roman"/>
                <w:sz w:val="24"/>
                <w:szCs w:val="24"/>
              </w:rPr>
              <w:t>SO</w:t>
            </w:r>
            <w:r w:rsidRPr="00BB47B6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=1.710</w:t>
            </w:r>
            <w:r w:rsidRPr="00BB47B6">
              <w:rPr>
                <w:rFonts w:ascii="Times New Roman" w:hAnsi="Times New Roman"/>
                <w:sz w:val="24"/>
                <w:szCs w:val="24"/>
              </w:rPr>
              <w:t xml:space="preserve"> µg/m</w:t>
            </w:r>
            <w:r w:rsidRPr="00BB47B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79712C" w:rsidRDefault="0079712C" w:rsidP="004928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12C" w:rsidRDefault="0079712C" w:rsidP="00492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†</w:t>
            </w:r>
            <w:r w:rsidRPr="00BB47B6">
              <w:rPr>
                <w:rFonts w:ascii="Times New Roman" w:hAnsi="Times New Roman"/>
                <w:sz w:val="24"/>
                <w:szCs w:val="24"/>
              </w:rPr>
              <w:t>The conditional logistic regression model fits the pollutant(s) as unconstrained distribut</w:t>
            </w:r>
            <w:r w:rsidR="0022439D">
              <w:rPr>
                <w:rFonts w:ascii="Times New Roman" w:hAnsi="Times New Roman"/>
                <w:sz w:val="24"/>
                <w:szCs w:val="24"/>
              </w:rPr>
              <w:t>ed</w:t>
            </w:r>
            <w:r w:rsidRPr="00BB47B6">
              <w:rPr>
                <w:rFonts w:ascii="Times New Roman" w:hAnsi="Times New Roman"/>
                <w:sz w:val="24"/>
                <w:szCs w:val="24"/>
              </w:rPr>
              <w:t xml:space="preserve"> lags 0-2 and adjusts for, the weekly RCGP influenza-like illness consultation rates per 100,000 England and Wales population,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two natural </w:t>
            </w:r>
            <w:r w:rsidRPr="00BB47B6">
              <w:rPr>
                <w:rFonts w:ascii="Times New Roman" w:hAnsi="Times New Roman"/>
                <w:sz w:val="24"/>
                <w:szCs w:val="24"/>
              </w:rPr>
              <w:t>cubic splines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(df=5) for temperature (mean </w:t>
            </w:r>
            <w:r w:rsidRPr="00BB47B6">
              <w:rPr>
                <w:rFonts w:ascii="Times New Roman" w:hAnsi="Times New Roman"/>
                <w:sz w:val="24"/>
                <w:szCs w:val="24"/>
              </w:rPr>
              <w:t xml:space="preserve">lag 0-1and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mean </w:t>
            </w:r>
            <w:r w:rsidRPr="00BB47B6">
              <w:rPr>
                <w:rFonts w:ascii="Times New Roman" w:hAnsi="Times New Roman"/>
                <w:sz w:val="24"/>
                <w:szCs w:val="24"/>
              </w:rPr>
              <w:t xml:space="preserve">lag 2-6), public holidays and a sine/cosine annual cycle. </w:t>
            </w:r>
          </w:p>
          <w:p w:rsidR="0079712C" w:rsidRDefault="0079712C" w:rsidP="004928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12C" w:rsidRPr="00592AF6" w:rsidRDefault="0079712C" w:rsidP="00492893">
            <w:pPr>
              <w:rPr>
                <w:rFonts w:ascii="Times New Roman" w:hAnsi="Times New Roman"/>
                <w:sz w:val="24"/>
                <w:szCs w:val="24"/>
              </w:rPr>
            </w:pPr>
            <w:r w:rsidRPr="00592AF6">
              <w:rPr>
                <w:rFonts w:ascii="Times New Roman" w:hAnsi="Times New Roman"/>
              </w:rPr>
              <w:t>‡Pollutant metrics: daily mean PM</w:t>
            </w:r>
            <w:r w:rsidRPr="00592AF6">
              <w:rPr>
                <w:rFonts w:ascii="Times New Roman" w:hAnsi="Times New Roman"/>
                <w:vertAlign w:val="subscript"/>
              </w:rPr>
              <w:t>2.5</w:t>
            </w:r>
            <w:r w:rsidRPr="00592AF6">
              <w:rPr>
                <w:rFonts w:ascii="Times New Roman" w:hAnsi="Times New Roman"/>
              </w:rPr>
              <w:t>, daily mean PM</w:t>
            </w:r>
            <w:r w:rsidRPr="00592AF6">
              <w:rPr>
                <w:rFonts w:ascii="Times New Roman" w:hAnsi="Times New Roman"/>
                <w:vertAlign w:val="subscript"/>
              </w:rPr>
              <w:t>10</w:t>
            </w:r>
            <w:r w:rsidRPr="00592AF6">
              <w:rPr>
                <w:rFonts w:ascii="Times New Roman" w:hAnsi="Times New Roman"/>
              </w:rPr>
              <w:t>, daily maximum1-hour NO</w:t>
            </w:r>
            <w:r w:rsidRPr="00592AF6">
              <w:rPr>
                <w:rFonts w:ascii="Times New Roman" w:hAnsi="Times New Roman"/>
                <w:vertAlign w:val="subscript"/>
              </w:rPr>
              <w:t>2</w:t>
            </w:r>
            <w:r w:rsidRPr="00592AF6">
              <w:rPr>
                <w:rFonts w:ascii="Times New Roman" w:hAnsi="Times New Roman"/>
              </w:rPr>
              <w:t>, daily maximum 8-hour mean O</w:t>
            </w:r>
            <w:r w:rsidRPr="00592AF6">
              <w:rPr>
                <w:rFonts w:ascii="Times New Roman" w:hAnsi="Times New Roman"/>
                <w:vertAlign w:val="subscript"/>
              </w:rPr>
              <w:t>3</w:t>
            </w:r>
          </w:p>
        </w:tc>
      </w:tr>
    </w:tbl>
    <w:p w:rsidR="00917AF9" w:rsidRPr="00BB47B6" w:rsidRDefault="00917AF9" w:rsidP="00676770">
      <w:pPr>
        <w:spacing w:before="120" w:after="12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76770">
        <w:rPr>
          <w:rFonts w:ascii="Times New Roman" w:hAnsi="Times New Roman" w:cs="Times New Roman"/>
          <w:b/>
          <w:sz w:val="24"/>
          <w:szCs w:val="24"/>
        </w:rPr>
        <w:lastRenderedPageBreak/>
        <w:t>PM</w:t>
      </w:r>
      <w:r w:rsidRPr="00676770">
        <w:rPr>
          <w:rFonts w:ascii="Times New Roman" w:hAnsi="Times New Roman" w:cs="Times New Roman"/>
          <w:b/>
          <w:sz w:val="24"/>
          <w:szCs w:val="24"/>
          <w:vertAlign w:val="subscript"/>
        </w:rPr>
        <w:t>2.5</w:t>
      </w:r>
      <w:r w:rsidRPr="00676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4B0" w:rsidRPr="00676770">
        <w:rPr>
          <w:rFonts w:ascii="Times New Roman" w:hAnsi="Times New Roman" w:cs="Times New Roman"/>
          <w:b/>
          <w:sz w:val="24"/>
          <w:szCs w:val="24"/>
        </w:rPr>
        <w:t>c</w:t>
      </w:r>
      <w:r w:rsidRPr="00676770">
        <w:rPr>
          <w:rFonts w:ascii="Times New Roman" w:hAnsi="Times New Roman" w:cs="Times New Roman"/>
          <w:b/>
          <w:sz w:val="24"/>
          <w:szCs w:val="24"/>
        </w:rPr>
        <w:t>omponents</w:t>
      </w:r>
    </w:p>
    <w:p w:rsidR="00917AF9" w:rsidRPr="00BB47B6" w:rsidRDefault="003D22DB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Fonts w:ascii="Times New Roman" w:hAnsi="Times New Roman" w:cs="Times New Roman"/>
          <w:sz w:val="24"/>
          <w:szCs w:val="24"/>
        </w:rPr>
        <w:t>Table 4</w:t>
      </w:r>
      <w:r w:rsidR="00552D76" w:rsidRPr="00BB47B6">
        <w:rPr>
          <w:rFonts w:ascii="Times New Roman" w:hAnsi="Times New Roman" w:cs="Times New Roman"/>
          <w:sz w:val="24"/>
          <w:szCs w:val="24"/>
        </w:rPr>
        <w:t xml:space="preserve"> displays the results from investigating the associations between </w:t>
      </w:r>
      <w:r w:rsidR="005711EE">
        <w:rPr>
          <w:rFonts w:ascii="Times New Roman" w:hAnsi="Times New Roman" w:cs="Times New Roman"/>
          <w:sz w:val="24"/>
          <w:szCs w:val="24"/>
        </w:rPr>
        <w:t xml:space="preserve">our three outcomes and </w:t>
      </w:r>
      <w:r w:rsidR="007C0229">
        <w:rPr>
          <w:rFonts w:ascii="Times New Roman" w:hAnsi="Times New Roman" w:cs="Times New Roman"/>
          <w:sz w:val="24"/>
          <w:szCs w:val="24"/>
        </w:rPr>
        <w:t xml:space="preserve">two selected </w:t>
      </w:r>
      <w:r w:rsidR="00552D76" w:rsidRPr="00BB47B6">
        <w:rPr>
          <w:rFonts w:ascii="Times New Roman" w:hAnsi="Times New Roman" w:cs="Times New Roman"/>
          <w:sz w:val="24"/>
          <w:szCs w:val="24"/>
        </w:rPr>
        <w:t>PM</w:t>
      </w:r>
      <w:r w:rsidR="00552D76" w:rsidRPr="00BB47B6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552D76" w:rsidRPr="00BB47B6">
        <w:rPr>
          <w:rFonts w:ascii="Times New Roman" w:hAnsi="Times New Roman" w:cs="Times New Roman"/>
          <w:sz w:val="24"/>
          <w:szCs w:val="24"/>
        </w:rPr>
        <w:t xml:space="preserve"> components. The two components tabulate</w:t>
      </w:r>
      <w:r w:rsidR="00941C55" w:rsidRPr="00BB47B6">
        <w:rPr>
          <w:rFonts w:ascii="Times New Roman" w:hAnsi="Times New Roman" w:cs="Times New Roman"/>
          <w:sz w:val="24"/>
          <w:szCs w:val="24"/>
        </w:rPr>
        <w:t xml:space="preserve">d are </w:t>
      </w:r>
      <w:r w:rsidR="001D38BA" w:rsidRPr="00BB47B6">
        <w:rPr>
          <w:rFonts w:ascii="Times New Roman" w:hAnsi="Times New Roman" w:cs="Times New Roman"/>
          <w:sz w:val="24"/>
          <w:szCs w:val="24"/>
        </w:rPr>
        <w:t>elemental carbon (</w:t>
      </w:r>
      <w:r w:rsidR="008D24B0">
        <w:rPr>
          <w:rFonts w:ascii="Times New Roman" w:hAnsi="Times New Roman" w:cs="Times New Roman"/>
          <w:sz w:val="24"/>
          <w:szCs w:val="24"/>
        </w:rPr>
        <w:t xml:space="preserve">EC, </w:t>
      </w:r>
      <w:r w:rsidR="007C0229">
        <w:rPr>
          <w:rFonts w:ascii="Times New Roman" w:hAnsi="Times New Roman" w:cs="Times New Roman"/>
          <w:sz w:val="24"/>
          <w:szCs w:val="24"/>
        </w:rPr>
        <w:t>emitted</w:t>
      </w:r>
      <w:r w:rsidR="001D38BA" w:rsidRPr="00BB47B6">
        <w:rPr>
          <w:rFonts w:ascii="Times New Roman" w:hAnsi="Times New Roman" w:cs="Times New Roman"/>
          <w:sz w:val="24"/>
          <w:szCs w:val="24"/>
        </w:rPr>
        <w:t xml:space="preserve"> from </w:t>
      </w:r>
      <w:r w:rsidR="003D4D9C" w:rsidRPr="00BB47B6">
        <w:rPr>
          <w:rFonts w:ascii="Times New Roman" w:hAnsi="Times New Roman" w:cs="Times New Roman"/>
          <w:sz w:val="24"/>
          <w:szCs w:val="24"/>
        </w:rPr>
        <w:t>combustion</w:t>
      </w:r>
      <w:r w:rsidR="001D38BA" w:rsidRPr="00BB47B6">
        <w:rPr>
          <w:rFonts w:ascii="Times New Roman" w:hAnsi="Times New Roman" w:cs="Times New Roman"/>
          <w:sz w:val="24"/>
          <w:szCs w:val="24"/>
        </w:rPr>
        <w:t xml:space="preserve">) </w:t>
      </w:r>
      <w:r w:rsidR="00552D76" w:rsidRPr="00BB47B6">
        <w:rPr>
          <w:rFonts w:ascii="Times New Roman" w:hAnsi="Times New Roman" w:cs="Times New Roman"/>
          <w:sz w:val="24"/>
          <w:szCs w:val="24"/>
        </w:rPr>
        <w:t>and sulphate</w:t>
      </w:r>
      <w:r w:rsidR="008D24B0">
        <w:rPr>
          <w:rFonts w:ascii="Times New Roman" w:hAnsi="Times New Roman" w:cs="Times New Roman"/>
          <w:sz w:val="24"/>
          <w:szCs w:val="24"/>
        </w:rPr>
        <w:t xml:space="preserve"> </w:t>
      </w:r>
      <w:r w:rsidR="008D24B0" w:rsidRPr="00BB47B6">
        <w:rPr>
          <w:rFonts w:ascii="Times New Roman" w:hAnsi="Times New Roman" w:cs="Times New Roman"/>
          <w:sz w:val="24"/>
          <w:szCs w:val="24"/>
        </w:rPr>
        <w:t>(SO</w:t>
      </w:r>
      <w:r w:rsidR="008D24B0" w:rsidRPr="00BB47B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D24B0" w:rsidRPr="00BB47B6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7C0229">
        <w:rPr>
          <w:rFonts w:ascii="Times New Roman" w:hAnsi="Times New Roman" w:cs="Times New Roman"/>
          <w:sz w:val="24"/>
          <w:szCs w:val="24"/>
        </w:rPr>
        <w:t>, formed within the atmosphere from SO</w:t>
      </w:r>
      <w:r w:rsidR="007C0229" w:rsidRPr="00326C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24B0">
        <w:rPr>
          <w:rFonts w:ascii="Times New Roman" w:hAnsi="Times New Roman" w:cs="Times New Roman"/>
          <w:sz w:val="24"/>
          <w:szCs w:val="24"/>
        </w:rPr>
        <w:t>)</w:t>
      </w:r>
      <w:r w:rsidR="00552D76" w:rsidRPr="00BB47B6">
        <w:rPr>
          <w:rFonts w:ascii="Times New Roman" w:hAnsi="Times New Roman" w:cs="Times New Roman"/>
          <w:sz w:val="24"/>
          <w:szCs w:val="24"/>
        </w:rPr>
        <w:t xml:space="preserve">. The </w:t>
      </w:r>
      <w:r w:rsidR="00403423" w:rsidRPr="00BB47B6">
        <w:rPr>
          <w:rFonts w:ascii="Times New Roman" w:hAnsi="Times New Roman" w:cs="Times New Roman"/>
          <w:sz w:val="24"/>
          <w:szCs w:val="24"/>
        </w:rPr>
        <w:t xml:space="preserve">conditional logistic regression </w:t>
      </w:r>
      <w:r w:rsidR="00552D76" w:rsidRPr="00BB47B6">
        <w:rPr>
          <w:rFonts w:ascii="Times New Roman" w:hAnsi="Times New Roman" w:cs="Times New Roman"/>
          <w:sz w:val="24"/>
          <w:szCs w:val="24"/>
        </w:rPr>
        <w:t>mod</w:t>
      </w:r>
      <w:r w:rsidR="0047171B" w:rsidRPr="00BB47B6">
        <w:rPr>
          <w:rFonts w:ascii="Times New Roman" w:hAnsi="Times New Roman" w:cs="Times New Roman"/>
          <w:sz w:val="24"/>
          <w:szCs w:val="24"/>
        </w:rPr>
        <w:t xml:space="preserve">els </w:t>
      </w:r>
      <w:r w:rsidR="00552D76" w:rsidRPr="00BB47B6">
        <w:rPr>
          <w:rFonts w:ascii="Times New Roman" w:hAnsi="Times New Roman" w:cs="Times New Roman"/>
          <w:sz w:val="24"/>
          <w:szCs w:val="24"/>
        </w:rPr>
        <w:t xml:space="preserve">adjust for temperature </w:t>
      </w:r>
      <w:r w:rsidR="001D38BA" w:rsidRPr="00BB47B6">
        <w:rPr>
          <w:rFonts w:ascii="Times New Roman" w:hAnsi="Times New Roman" w:cs="Times New Roman"/>
          <w:sz w:val="24"/>
          <w:szCs w:val="24"/>
        </w:rPr>
        <w:t xml:space="preserve">at </w:t>
      </w:r>
      <w:r w:rsidR="00552D76" w:rsidRPr="00BB47B6">
        <w:rPr>
          <w:rFonts w:ascii="Times New Roman" w:hAnsi="Times New Roman" w:cs="Times New Roman"/>
          <w:sz w:val="24"/>
          <w:szCs w:val="24"/>
        </w:rPr>
        <w:t>lags</w:t>
      </w:r>
      <w:r w:rsidR="001D38BA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552D76" w:rsidRPr="00BB47B6">
        <w:rPr>
          <w:rFonts w:ascii="Times New Roman" w:hAnsi="Times New Roman" w:cs="Times New Roman"/>
          <w:sz w:val="24"/>
          <w:szCs w:val="24"/>
        </w:rPr>
        <w:t>0-1 and 2-6</w:t>
      </w:r>
      <w:r w:rsidR="001D38BA" w:rsidRPr="00BB47B6">
        <w:rPr>
          <w:rFonts w:ascii="Times New Roman" w:hAnsi="Times New Roman" w:cs="Times New Roman"/>
          <w:sz w:val="24"/>
          <w:szCs w:val="24"/>
        </w:rPr>
        <w:t xml:space="preserve"> days</w:t>
      </w:r>
      <w:r w:rsidR="00552D76" w:rsidRPr="00BB47B6">
        <w:rPr>
          <w:rFonts w:ascii="Times New Roman" w:hAnsi="Times New Roman" w:cs="Times New Roman"/>
          <w:sz w:val="24"/>
          <w:szCs w:val="24"/>
        </w:rPr>
        <w:t>, public holidays, flu and residual sea</w:t>
      </w:r>
      <w:r w:rsidR="001D38BA" w:rsidRPr="00BB47B6">
        <w:rPr>
          <w:rFonts w:ascii="Times New Roman" w:hAnsi="Times New Roman" w:cs="Times New Roman"/>
          <w:sz w:val="24"/>
          <w:szCs w:val="24"/>
        </w:rPr>
        <w:t xml:space="preserve">sonality. Neither EC </w:t>
      </w:r>
      <w:r w:rsidR="008D24B0">
        <w:rPr>
          <w:rFonts w:ascii="Times New Roman" w:hAnsi="Times New Roman" w:cs="Times New Roman"/>
          <w:sz w:val="24"/>
          <w:szCs w:val="24"/>
        </w:rPr>
        <w:t>n</w:t>
      </w:r>
      <w:r w:rsidR="00552D76" w:rsidRPr="00BB47B6">
        <w:rPr>
          <w:rFonts w:ascii="Times New Roman" w:hAnsi="Times New Roman" w:cs="Times New Roman"/>
          <w:sz w:val="24"/>
          <w:szCs w:val="24"/>
        </w:rPr>
        <w:t xml:space="preserve">or </w:t>
      </w:r>
      <w:r w:rsidR="001D38BA" w:rsidRPr="00BB47B6">
        <w:rPr>
          <w:rFonts w:ascii="Times New Roman" w:hAnsi="Times New Roman" w:cs="Times New Roman"/>
          <w:sz w:val="24"/>
          <w:szCs w:val="24"/>
        </w:rPr>
        <w:t>SO</w:t>
      </w:r>
      <w:r w:rsidR="001D38BA" w:rsidRPr="00BB47B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D38BA" w:rsidRPr="00BB47B6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8D24B0">
        <w:rPr>
          <w:rFonts w:ascii="Times New Roman" w:hAnsi="Times New Roman" w:cs="Times New Roman"/>
          <w:sz w:val="24"/>
          <w:szCs w:val="24"/>
        </w:rPr>
        <w:t xml:space="preserve"> </w:t>
      </w:r>
      <w:r w:rsidR="001C74FC">
        <w:rPr>
          <w:rFonts w:ascii="Times New Roman" w:hAnsi="Times New Roman" w:cs="Times New Roman"/>
          <w:sz w:val="24"/>
          <w:szCs w:val="24"/>
        </w:rPr>
        <w:t>was</w:t>
      </w:r>
      <w:r w:rsidR="00552D76" w:rsidRPr="00BB47B6">
        <w:rPr>
          <w:rFonts w:ascii="Times New Roman" w:hAnsi="Times New Roman" w:cs="Times New Roman"/>
          <w:sz w:val="24"/>
          <w:szCs w:val="24"/>
        </w:rPr>
        <w:t xml:space="preserve"> associated with ALL MI, STEMI o</w:t>
      </w:r>
      <w:r w:rsidR="00311525">
        <w:rPr>
          <w:rFonts w:ascii="Times New Roman" w:hAnsi="Times New Roman" w:cs="Times New Roman"/>
          <w:sz w:val="24"/>
          <w:szCs w:val="24"/>
        </w:rPr>
        <w:t>r</w:t>
      </w:r>
      <w:r w:rsidR="00552D76" w:rsidRPr="00BB47B6">
        <w:rPr>
          <w:rFonts w:ascii="Times New Roman" w:hAnsi="Times New Roman" w:cs="Times New Roman"/>
          <w:sz w:val="24"/>
          <w:szCs w:val="24"/>
        </w:rPr>
        <w:t xml:space="preserve"> NSTEMI either before or after additional adjustment for </w:t>
      </w:r>
      <w:r w:rsidR="008D24B0">
        <w:rPr>
          <w:rFonts w:ascii="Times New Roman" w:hAnsi="Times New Roman" w:cs="Times New Roman"/>
          <w:sz w:val="24"/>
          <w:szCs w:val="24"/>
        </w:rPr>
        <w:t>O</w:t>
      </w:r>
      <w:r w:rsidR="008D24B0" w:rsidRPr="006767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52D76" w:rsidRPr="00BB47B6">
        <w:rPr>
          <w:rFonts w:ascii="Times New Roman" w:hAnsi="Times New Roman" w:cs="Times New Roman"/>
          <w:sz w:val="24"/>
          <w:szCs w:val="24"/>
        </w:rPr>
        <w:t xml:space="preserve"> at lags 0, 1 and 2.</w:t>
      </w:r>
      <w:r w:rsidR="00941C55" w:rsidRPr="00BB4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2DB" w:rsidRPr="00676770" w:rsidRDefault="003D22DB" w:rsidP="00676770">
      <w:p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6770">
        <w:rPr>
          <w:rFonts w:ascii="Times New Roman" w:hAnsi="Times New Roman" w:cs="Times New Roman"/>
          <w:b/>
          <w:sz w:val="24"/>
          <w:szCs w:val="24"/>
        </w:rPr>
        <w:t>Sensitivity analysis</w:t>
      </w:r>
    </w:p>
    <w:p w:rsidR="003D22DB" w:rsidRPr="00BB47B6" w:rsidRDefault="003D22DB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Fonts w:ascii="Times New Roman" w:hAnsi="Times New Roman" w:cs="Times New Roman"/>
          <w:sz w:val="24"/>
          <w:szCs w:val="24"/>
        </w:rPr>
        <w:t xml:space="preserve">As part of our sensitivity analyses we returned </w:t>
      </w:r>
      <w:r w:rsidR="00C02EA9" w:rsidRPr="00BB47B6">
        <w:rPr>
          <w:rFonts w:ascii="Times New Roman" w:hAnsi="Times New Roman" w:cs="Times New Roman"/>
          <w:sz w:val="24"/>
          <w:szCs w:val="24"/>
        </w:rPr>
        <w:t>to our single pollutant regressions</w:t>
      </w:r>
      <w:r w:rsidRPr="00BB47B6">
        <w:rPr>
          <w:rFonts w:ascii="Times New Roman" w:hAnsi="Times New Roman" w:cs="Times New Roman"/>
          <w:sz w:val="24"/>
          <w:szCs w:val="24"/>
        </w:rPr>
        <w:t xml:space="preserve"> (Table 1) and plotted the individual componen</w:t>
      </w:r>
      <w:r w:rsidR="00C02EA9" w:rsidRPr="00BB47B6">
        <w:rPr>
          <w:rFonts w:ascii="Times New Roman" w:hAnsi="Times New Roman" w:cs="Times New Roman"/>
          <w:sz w:val="24"/>
          <w:szCs w:val="24"/>
        </w:rPr>
        <w:t>ts of each</w:t>
      </w:r>
      <w:r w:rsidRPr="00BB47B6">
        <w:rPr>
          <w:rFonts w:ascii="Times New Roman" w:hAnsi="Times New Roman" w:cs="Times New Roman"/>
          <w:sz w:val="24"/>
          <w:szCs w:val="24"/>
        </w:rPr>
        <w:t xml:space="preserve"> UDLM as the percentage change in risk per</w:t>
      </w:r>
      <w:r w:rsidR="0090761A">
        <w:rPr>
          <w:rFonts w:ascii="Times New Roman" w:hAnsi="Times New Roman" w:cs="Times New Roman"/>
          <w:sz w:val="24"/>
          <w:szCs w:val="24"/>
        </w:rPr>
        <w:t xml:space="preserve"> </w:t>
      </w:r>
      <w:r w:rsidRPr="00BB47B6">
        <w:rPr>
          <w:rFonts w:ascii="Times New Roman" w:hAnsi="Times New Roman" w:cs="Times New Roman"/>
          <w:sz w:val="24"/>
          <w:szCs w:val="24"/>
        </w:rPr>
        <w:t>10</w:t>
      </w:r>
      <w:r w:rsidR="00741BFC">
        <w:rPr>
          <w:rFonts w:ascii="Times New Roman" w:hAnsi="Times New Roman" w:cs="Times New Roman"/>
          <w:sz w:val="24"/>
          <w:szCs w:val="24"/>
        </w:rPr>
        <w:t xml:space="preserve"> </w:t>
      </w:r>
      <w:r w:rsidRPr="00BB47B6">
        <w:rPr>
          <w:rFonts w:ascii="Times New Roman" w:hAnsi="Times New Roman" w:cs="Times New Roman"/>
          <w:sz w:val="24"/>
          <w:szCs w:val="24"/>
        </w:rPr>
        <w:t>µg/m</w:t>
      </w:r>
      <w:r w:rsidRPr="00BB47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B47B6">
        <w:rPr>
          <w:rFonts w:ascii="Times New Roman" w:hAnsi="Times New Roman" w:cs="Times New Roman"/>
          <w:sz w:val="24"/>
          <w:szCs w:val="24"/>
        </w:rPr>
        <w:t>. From Figure 1, it appeared</w:t>
      </w:r>
      <w:r w:rsidR="00C02EA9" w:rsidRPr="00BB47B6">
        <w:rPr>
          <w:rFonts w:ascii="Times New Roman" w:hAnsi="Times New Roman" w:cs="Times New Roman"/>
          <w:sz w:val="24"/>
          <w:szCs w:val="24"/>
        </w:rPr>
        <w:t xml:space="preserve"> that the association between NO</w:t>
      </w:r>
      <w:r w:rsidR="00C02EA9" w:rsidRPr="00BB47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02EA9" w:rsidRPr="00BB47B6">
        <w:rPr>
          <w:rFonts w:ascii="Times New Roman" w:hAnsi="Times New Roman" w:cs="Times New Roman"/>
          <w:sz w:val="24"/>
          <w:szCs w:val="24"/>
        </w:rPr>
        <w:t xml:space="preserve"> and NSTEMI was primarily due to concentrations on the day (lag 0) rather than on the one day (lag 1) or 2 days prior (lag 2). </w:t>
      </w:r>
    </w:p>
    <w:p w:rsidR="00BB47B6" w:rsidRPr="00BB47B6" w:rsidRDefault="00C24B0C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</w:t>
      </w:r>
      <w:r w:rsidR="00C06B8C" w:rsidRPr="00BB47B6">
        <w:rPr>
          <w:rFonts w:ascii="Times New Roman" w:hAnsi="Times New Roman" w:cs="Times New Roman"/>
          <w:sz w:val="24"/>
          <w:szCs w:val="24"/>
        </w:rPr>
        <w:t xml:space="preserve"> we looked for evidence of non-linearity in the associations between </w:t>
      </w:r>
      <w:r w:rsidR="00D171F1" w:rsidRPr="00BB47B6">
        <w:rPr>
          <w:rFonts w:ascii="Times New Roman" w:hAnsi="Times New Roman" w:cs="Times New Roman"/>
          <w:sz w:val="24"/>
          <w:szCs w:val="24"/>
        </w:rPr>
        <w:t xml:space="preserve">simple pollution averages (across lags 0, 1 and 2) </w:t>
      </w:r>
      <w:r w:rsidR="00C06B8C" w:rsidRPr="00BB47B6">
        <w:rPr>
          <w:rFonts w:ascii="Times New Roman" w:hAnsi="Times New Roman" w:cs="Times New Roman"/>
          <w:sz w:val="24"/>
          <w:szCs w:val="24"/>
        </w:rPr>
        <w:t xml:space="preserve">and the log relative risks of ALL MI, STEMI and NSTEMI. </w:t>
      </w:r>
      <w:r w:rsidR="00D171F1" w:rsidRPr="00BB47B6">
        <w:rPr>
          <w:rFonts w:ascii="Times New Roman" w:hAnsi="Times New Roman" w:cs="Times New Roman"/>
          <w:sz w:val="24"/>
          <w:szCs w:val="24"/>
        </w:rPr>
        <w:t>Having adjusted for covariates, we found no evidence of non-line</w:t>
      </w:r>
      <w:r w:rsidR="00F24023" w:rsidRPr="00BB47B6">
        <w:rPr>
          <w:rFonts w:ascii="Times New Roman" w:hAnsi="Times New Roman" w:cs="Times New Roman"/>
          <w:sz w:val="24"/>
          <w:szCs w:val="24"/>
        </w:rPr>
        <w:t xml:space="preserve">arity based on Wald tests with </w:t>
      </w:r>
      <w:r w:rsidR="00DA0227">
        <w:rPr>
          <w:rFonts w:ascii="Times New Roman" w:hAnsi="Times New Roman" w:cs="Times New Roman"/>
          <w:sz w:val="24"/>
          <w:szCs w:val="24"/>
        </w:rPr>
        <w:t>1</w:t>
      </w:r>
      <w:r w:rsidR="00D171F1" w:rsidRPr="00BB47B6">
        <w:rPr>
          <w:rFonts w:ascii="Times New Roman" w:hAnsi="Times New Roman" w:cs="Times New Roman"/>
          <w:sz w:val="24"/>
          <w:szCs w:val="24"/>
        </w:rPr>
        <w:t xml:space="preserve"> degree of freedom</w:t>
      </w:r>
      <w:r w:rsidR="00D72425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F24023" w:rsidRPr="00BB47B6">
        <w:rPr>
          <w:rFonts w:ascii="Times New Roman" w:hAnsi="Times New Roman" w:cs="Times New Roman"/>
          <w:sz w:val="24"/>
          <w:szCs w:val="24"/>
        </w:rPr>
        <w:t>(all p&gt;0.</w:t>
      </w:r>
      <w:r w:rsidR="00F72717">
        <w:rPr>
          <w:rFonts w:ascii="Times New Roman" w:hAnsi="Times New Roman" w:cs="Times New Roman"/>
          <w:sz w:val="24"/>
          <w:szCs w:val="24"/>
        </w:rPr>
        <w:t>19</w:t>
      </w:r>
      <w:r w:rsidR="001D38BA" w:rsidRPr="00BB47B6">
        <w:rPr>
          <w:rFonts w:ascii="Times New Roman" w:hAnsi="Times New Roman" w:cs="Times New Roman"/>
          <w:sz w:val="24"/>
          <w:szCs w:val="24"/>
        </w:rPr>
        <w:t>)</w:t>
      </w:r>
      <w:r w:rsidR="00D171F1" w:rsidRPr="00BB47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45C" w:rsidRDefault="00C24B0C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676770">
        <w:rPr>
          <w:rFonts w:ascii="Times New Roman" w:hAnsi="Times New Roman" w:cs="Times New Roman"/>
          <w:sz w:val="24"/>
          <w:szCs w:val="24"/>
        </w:rPr>
        <w:t xml:space="preserve">Finally, to investigate </w:t>
      </w:r>
      <w:r w:rsidR="00A8331E">
        <w:rPr>
          <w:rFonts w:ascii="Times New Roman" w:hAnsi="Times New Roman" w:cs="Times New Roman"/>
          <w:sz w:val="24"/>
          <w:szCs w:val="24"/>
        </w:rPr>
        <w:t>the sensitivity of our findings to the level of control for seasonality</w:t>
      </w:r>
      <w:r w:rsidRPr="00676770">
        <w:rPr>
          <w:rFonts w:ascii="Times New Roman" w:hAnsi="Times New Roman" w:cs="Times New Roman"/>
          <w:sz w:val="24"/>
          <w:szCs w:val="24"/>
        </w:rPr>
        <w:t>, we re-ran our single pollutant regression models without the sine and cosine term</w:t>
      </w:r>
      <w:r w:rsidR="00065840">
        <w:rPr>
          <w:rFonts w:ascii="Times New Roman" w:hAnsi="Times New Roman" w:cs="Times New Roman"/>
          <w:sz w:val="24"/>
          <w:szCs w:val="24"/>
        </w:rPr>
        <w:t>s and observed little change in risk estimates and confidence intervals</w:t>
      </w:r>
      <w:r w:rsidR="008974DD">
        <w:rPr>
          <w:rFonts w:ascii="Times New Roman" w:hAnsi="Times New Roman" w:cs="Times New Roman"/>
          <w:sz w:val="24"/>
          <w:szCs w:val="24"/>
        </w:rPr>
        <w:t xml:space="preserve"> (see Supplementary</w:t>
      </w:r>
      <w:r w:rsidRPr="00676770">
        <w:rPr>
          <w:rFonts w:ascii="Times New Roman" w:hAnsi="Times New Roman" w:cs="Times New Roman"/>
          <w:sz w:val="24"/>
          <w:szCs w:val="24"/>
        </w:rPr>
        <w:t xml:space="preserve"> Table 2).</w:t>
      </w:r>
    </w:p>
    <w:p w:rsidR="00BB47B6" w:rsidRPr="00BB47B6" w:rsidRDefault="00DA7902" w:rsidP="00676770">
      <w:p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47B6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480E0A" w:rsidRPr="00676770" w:rsidRDefault="00480E0A" w:rsidP="00676770">
      <w:p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6770">
        <w:rPr>
          <w:rFonts w:ascii="Times New Roman" w:hAnsi="Times New Roman" w:cs="Times New Roman"/>
          <w:b/>
          <w:sz w:val="24"/>
          <w:szCs w:val="24"/>
        </w:rPr>
        <w:t xml:space="preserve">Main </w:t>
      </w:r>
      <w:r w:rsidR="00C85E64">
        <w:rPr>
          <w:rFonts w:ascii="Times New Roman" w:hAnsi="Times New Roman" w:cs="Times New Roman"/>
          <w:b/>
          <w:sz w:val="24"/>
          <w:szCs w:val="24"/>
        </w:rPr>
        <w:t>f</w:t>
      </w:r>
      <w:r w:rsidRPr="00676770">
        <w:rPr>
          <w:rFonts w:ascii="Times New Roman" w:hAnsi="Times New Roman" w:cs="Times New Roman"/>
          <w:b/>
          <w:sz w:val="24"/>
          <w:szCs w:val="24"/>
        </w:rPr>
        <w:t>indings</w:t>
      </w:r>
    </w:p>
    <w:p w:rsidR="00B524F1" w:rsidRPr="000F7F85" w:rsidRDefault="00065840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 investigated associations between gaseous and particulate </w:t>
      </w:r>
      <w:r w:rsidR="00EF7BC2">
        <w:rPr>
          <w:rFonts w:ascii="Times New Roman" w:hAnsi="Times New Roman" w:cs="Times New Roman"/>
          <w:sz w:val="24"/>
          <w:szCs w:val="24"/>
        </w:rPr>
        <w:t xml:space="preserve">air </w:t>
      </w:r>
      <w:r>
        <w:rPr>
          <w:rFonts w:ascii="Times New Roman" w:hAnsi="Times New Roman" w:cs="Times New Roman"/>
          <w:sz w:val="24"/>
          <w:szCs w:val="24"/>
        </w:rPr>
        <w:t>pollution and three outcomes and found no evidence of associations except</w:t>
      </w:r>
      <w:r w:rsidR="00EF7BC2">
        <w:rPr>
          <w:rFonts w:ascii="Times New Roman" w:hAnsi="Times New Roman" w:cs="Times New Roman"/>
          <w:sz w:val="24"/>
          <w:szCs w:val="24"/>
        </w:rPr>
        <w:t xml:space="preserve"> for </w:t>
      </w:r>
      <w:r w:rsidR="00DA7902" w:rsidRPr="00BB47B6">
        <w:rPr>
          <w:rFonts w:ascii="Times New Roman" w:hAnsi="Times New Roman" w:cs="Times New Roman"/>
          <w:sz w:val="24"/>
          <w:szCs w:val="24"/>
        </w:rPr>
        <w:t>one</w:t>
      </w:r>
      <w:r w:rsidR="00D307C3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DA7902" w:rsidRPr="00BB47B6">
        <w:rPr>
          <w:rFonts w:ascii="Times New Roman" w:hAnsi="Times New Roman" w:cs="Times New Roman"/>
          <w:sz w:val="24"/>
          <w:szCs w:val="24"/>
        </w:rPr>
        <w:t>positive</w:t>
      </w:r>
      <w:r w:rsidR="005A64AF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DA7902" w:rsidRPr="00BB47B6">
        <w:rPr>
          <w:rFonts w:ascii="Times New Roman" w:hAnsi="Times New Roman" w:cs="Times New Roman"/>
          <w:sz w:val="24"/>
          <w:szCs w:val="24"/>
        </w:rPr>
        <w:t xml:space="preserve">association between </w:t>
      </w:r>
      <w:r w:rsidR="001C74FC">
        <w:rPr>
          <w:rFonts w:ascii="Times New Roman" w:hAnsi="Times New Roman" w:cs="Times New Roman"/>
          <w:sz w:val="24"/>
          <w:szCs w:val="24"/>
        </w:rPr>
        <w:t xml:space="preserve">modelled </w:t>
      </w:r>
      <w:r w:rsidR="00DA7902" w:rsidRPr="00BB47B6">
        <w:rPr>
          <w:rFonts w:ascii="Times New Roman" w:hAnsi="Times New Roman" w:cs="Times New Roman"/>
          <w:sz w:val="24"/>
          <w:szCs w:val="24"/>
        </w:rPr>
        <w:t>NO</w:t>
      </w:r>
      <w:r w:rsidR="00DA7902" w:rsidRPr="00BB47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7902" w:rsidRPr="00BB47B6">
        <w:rPr>
          <w:rFonts w:ascii="Times New Roman" w:hAnsi="Times New Roman" w:cs="Times New Roman"/>
          <w:sz w:val="24"/>
          <w:szCs w:val="24"/>
        </w:rPr>
        <w:t xml:space="preserve"> and </w:t>
      </w:r>
      <w:r w:rsidR="00EF7BC2">
        <w:rPr>
          <w:rFonts w:ascii="Times New Roman" w:hAnsi="Times New Roman" w:cs="Times New Roman"/>
          <w:sz w:val="24"/>
          <w:szCs w:val="24"/>
        </w:rPr>
        <w:t xml:space="preserve">NSTEMI </w:t>
      </w:r>
      <w:r w:rsidR="00C25C50" w:rsidRPr="00BB47B6">
        <w:rPr>
          <w:rFonts w:ascii="Times New Roman" w:hAnsi="Times New Roman" w:cs="Times New Roman"/>
          <w:sz w:val="24"/>
          <w:szCs w:val="24"/>
        </w:rPr>
        <w:t xml:space="preserve">suggestive of a </w:t>
      </w:r>
      <w:r w:rsidR="00DA7902" w:rsidRPr="00BB47B6">
        <w:rPr>
          <w:rFonts w:ascii="Times New Roman" w:hAnsi="Times New Roman" w:cs="Times New Roman"/>
          <w:sz w:val="24"/>
          <w:szCs w:val="24"/>
        </w:rPr>
        <w:t>0.27% increase in NSTEMI per 10</w:t>
      </w:r>
      <w:r w:rsidR="001C74FC">
        <w:rPr>
          <w:rFonts w:ascii="Times New Roman" w:hAnsi="Times New Roman" w:cs="Times New Roman"/>
          <w:sz w:val="24"/>
          <w:szCs w:val="24"/>
        </w:rPr>
        <w:t xml:space="preserve"> </w:t>
      </w:r>
      <w:r w:rsidR="00DA7902" w:rsidRPr="00BB47B6">
        <w:rPr>
          <w:rFonts w:ascii="Times New Roman" w:hAnsi="Times New Roman" w:cs="Times New Roman"/>
          <w:sz w:val="24"/>
          <w:szCs w:val="24"/>
        </w:rPr>
        <w:t>µ</w:t>
      </w:r>
      <w:r w:rsidR="00C25C50" w:rsidRPr="00BB47B6">
        <w:rPr>
          <w:rFonts w:ascii="Times New Roman" w:hAnsi="Times New Roman" w:cs="Times New Roman"/>
          <w:sz w:val="24"/>
          <w:szCs w:val="24"/>
        </w:rPr>
        <w:t>g/m</w:t>
      </w:r>
      <w:r w:rsidR="00C25C50" w:rsidRPr="00BB47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25C50" w:rsidRPr="00BB47B6">
        <w:rPr>
          <w:rFonts w:ascii="Times New Roman" w:hAnsi="Times New Roman" w:cs="Times New Roman"/>
          <w:sz w:val="24"/>
          <w:szCs w:val="24"/>
        </w:rPr>
        <w:t xml:space="preserve"> increase in </w:t>
      </w:r>
      <w:r w:rsidR="008D24B0">
        <w:rPr>
          <w:rFonts w:ascii="Times New Roman" w:hAnsi="Times New Roman" w:cs="Times New Roman"/>
          <w:sz w:val="24"/>
          <w:szCs w:val="24"/>
        </w:rPr>
        <w:t xml:space="preserve">daily maximum </w:t>
      </w:r>
      <w:r w:rsidR="00387E83" w:rsidRPr="00BB47B6">
        <w:rPr>
          <w:rFonts w:ascii="Times New Roman" w:hAnsi="Times New Roman" w:cs="Times New Roman"/>
          <w:sz w:val="24"/>
          <w:szCs w:val="24"/>
        </w:rPr>
        <w:t>1</w:t>
      </w:r>
      <w:r w:rsidR="008D24B0">
        <w:rPr>
          <w:rFonts w:ascii="Times New Roman" w:hAnsi="Times New Roman" w:cs="Times New Roman"/>
          <w:sz w:val="24"/>
          <w:szCs w:val="24"/>
        </w:rPr>
        <w:t>-</w:t>
      </w:r>
      <w:r w:rsidR="00387E83" w:rsidRPr="00BB47B6">
        <w:rPr>
          <w:rFonts w:ascii="Times New Roman" w:hAnsi="Times New Roman" w:cs="Times New Roman"/>
          <w:sz w:val="24"/>
          <w:szCs w:val="24"/>
        </w:rPr>
        <w:t xml:space="preserve">hour </w:t>
      </w:r>
      <w:r w:rsidR="00C25C50" w:rsidRPr="00BB47B6">
        <w:rPr>
          <w:rFonts w:ascii="Times New Roman" w:hAnsi="Times New Roman" w:cs="Times New Roman"/>
          <w:sz w:val="24"/>
          <w:szCs w:val="24"/>
        </w:rPr>
        <w:t>NO</w:t>
      </w:r>
      <w:r w:rsidR="00C25C50" w:rsidRPr="00BB47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1098C" w:rsidRPr="00BB47B6">
        <w:rPr>
          <w:rFonts w:ascii="Times New Roman" w:hAnsi="Times New Roman" w:cs="Times New Roman"/>
          <w:sz w:val="24"/>
          <w:szCs w:val="24"/>
        </w:rPr>
        <w:t xml:space="preserve"> (UDLM 0-2)</w:t>
      </w:r>
      <w:r w:rsidR="00EF7BC2">
        <w:rPr>
          <w:rFonts w:ascii="Times New Roman" w:hAnsi="Times New Roman" w:cs="Times New Roman"/>
          <w:sz w:val="24"/>
          <w:szCs w:val="24"/>
        </w:rPr>
        <w:t xml:space="preserve">. This association </w:t>
      </w:r>
      <w:r w:rsidR="00601A50">
        <w:rPr>
          <w:rFonts w:ascii="Times New Roman" w:hAnsi="Times New Roman" w:cs="Times New Roman"/>
          <w:sz w:val="24"/>
          <w:szCs w:val="24"/>
        </w:rPr>
        <w:t>increased in magnitude and statistical significance following adjustment for PM</w:t>
      </w:r>
      <w:r w:rsidR="00601A50" w:rsidRPr="00676770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601A50">
        <w:rPr>
          <w:rFonts w:ascii="Times New Roman" w:hAnsi="Times New Roman" w:cs="Times New Roman"/>
          <w:sz w:val="24"/>
          <w:szCs w:val="24"/>
        </w:rPr>
        <w:t>.</w:t>
      </w:r>
      <w:r w:rsidR="0011098C" w:rsidRPr="00BB47B6">
        <w:rPr>
          <w:rFonts w:ascii="Times New Roman" w:hAnsi="Times New Roman" w:cs="Times New Roman"/>
          <w:sz w:val="24"/>
          <w:szCs w:val="24"/>
        </w:rPr>
        <w:t xml:space="preserve"> W</w:t>
      </w:r>
      <w:r w:rsidR="003E1676" w:rsidRPr="00BB47B6">
        <w:rPr>
          <w:rFonts w:ascii="Times New Roman" w:hAnsi="Times New Roman" w:cs="Times New Roman"/>
          <w:sz w:val="24"/>
          <w:szCs w:val="24"/>
        </w:rPr>
        <w:t>hile not significant in any one season, the relative risk for NO</w:t>
      </w:r>
      <w:r w:rsidR="003E1676" w:rsidRPr="00BB47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E1676" w:rsidRPr="00BB47B6">
        <w:rPr>
          <w:rFonts w:ascii="Times New Roman" w:hAnsi="Times New Roman" w:cs="Times New Roman"/>
          <w:sz w:val="24"/>
          <w:szCs w:val="24"/>
        </w:rPr>
        <w:t xml:space="preserve"> and NSTEMI </w:t>
      </w:r>
      <w:r w:rsidR="00632973">
        <w:rPr>
          <w:rFonts w:ascii="Times New Roman" w:hAnsi="Times New Roman" w:cs="Times New Roman"/>
          <w:sz w:val="24"/>
          <w:szCs w:val="24"/>
        </w:rPr>
        <w:t xml:space="preserve">in our single pollutant model </w:t>
      </w:r>
      <w:r w:rsidR="003E1676" w:rsidRPr="00BB47B6">
        <w:rPr>
          <w:rFonts w:ascii="Times New Roman" w:hAnsi="Times New Roman" w:cs="Times New Roman"/>
          <w:sz w:val="24"/>
          <w:szCs w:val="24"/>
        </w:rPr>
        <w:t>was consistently greater than 1 in the autumn, winter, s</w:t>
      </w:r>
      <w:r w:rsidR="006E0E15" w:rsidRPr="00BB47B6">
        <w:rPr>
          <w:rFonts w:ascii="Times New Roman" w:hAnsi="Times New Roman" w:cs="Times New Roman"/>
          <w:sz w:val="24"/>
          <w:szCs w:val="24"/>
        </w:rPr>
        <w:t>pring and s</w:t>
      </w:r>
      <w:r w:rsidR="003E1676" w:rsidRPr="00BB47B6">
        <w:rPr>
          <w:rFonts w:ascii="Times New Roman" w:hAnsi="Times New Roman" w:cs="Times New Roman"/>
          <w:sz w:val="24"/>
          <w:szCs w:val="24"/>
        </w:rPr>
        <w:t>ummer months</w:t>
      </w:r>
      <w:r w:rsidR="001C74FC">
        <w:rPr>
          <w:rFonts w:ascii="Times New Roman" w:hAnsi="Times New Roman" w:cs="Times New Roman"/>
          <w:sz w:val="24"/>
          <w:szCs w:val="24"/>
        </w:rPr>
        <w:t xml:space="preserve"> </w:t>
      </w:r>
      <w:r w:rsidR="00C02EA9" w:rsidRPr="00BB47B6">
        <w:rPr>
          <w:rFonts w:ascii="Times New Roman" w:hAnsi="Times New Roman" w:cs="Times New Roman"/>
          <w:sz w:val="24"/>
          <w:szCs w:val="24"/>
        </w:rPr>
        <w:t>(Table 2).</w:t>
      </w:r>
      <w:r w:rsidR="003E1676" w:rsidRPr="00BB47B6">
        <w:rPr>
          <w:rFonts w:ascii="Times New Roman" w:hAnsi="Times New Roman" w:cs="Times New Roman"/>
          <w:sz w:val="24"/>
          <w:szCs w:val="24"/>
        </w:rPr>
        <w:t xml:space="preserve"> However </w:t>
      </w:r>
      <w:r w:rsidR="006E0E15" w:rsidRPr="00BB47B6">
        <w:rPr>
          <w:rFonts w:ascii="Times New Roman" w:hAnsi="Times New Roman" w:cs="Times New Roman"/>
          <w:sz w:val="24"/>
          <w:szCs w:val="24"/>
        </w:rPr>
        <w:t xml:space="preserve">this consistency was not replicated in </w:t>
      </w:r>
      <w:r w:rsidR="003E1676" w:rsidRPr="00BB47B6">
        <w:rPr>
          <w:rFonts w:ascii="Times New Roman" w:hAnsi="Times New Roman" w:cs="Times New Roman"/>
          <w:sz w:val="24"/>
          <w:szCs w:val="24"/>
        </w:rPr>
        <w:t xml:space="preserve">our regional analysis, </w:t>
      </w:r>
      <w:r w:rsidR="006E0E15" w:rsidRPr="00BB47B6">
        <w:rPr>
          <w:rFonts w:ascii="Times New Roman" w:hAnsi="Times New Roman" w:cs="Times New Roman"/>
          <w:sz w:val="24"/>
          <w:szCs w:val="24"/>
        </w:rPr>
        <w:t>which suggest</w:t>
      </w:r>
      <w:r w:rsidR="007C0229">
        <w:rPr>
          <w:rFonts w:ascii="Times New Roman" w:hAnsi="Times New Roman" w:cs="Times New Roman"/>
          <w:sz w:val="24"/>
          <w:szCs w:val="24"/>
        </w:rPr>
        <w:t>ed</w:t>
      </w:r>
      <w:r w:rsidR="006E0E15" w:rsidRPr="00BB47B6">
        <w:rPr>
          <w:rFonts w:ascii="Times New Roman" w:hAnsi="Times New Roman" w:cs="Times New Roman"/>
          <w:sz w:val="24"/>
          <w:szCs w:val="24"/>
        </w:rPr>
        <w:t xml:space="preserve"> that any positive association </w:t>
      </w:r>
      <w:r w:rsidR="009630EF" w:rsidRPr="00BB47B6">
        <w:rPr>
          <w:rFonts w:ascii="Times New Roman" w:hAnsi="Times New Roman" w:cs="Times New Roman"/>
          <w:sz w:val="24"/>
          <w:szCs w:val="24"/>
        </w:rPr>
        <w:t>between NO</w:t>
      </w:r>
      <w:r w:rsidR="009D6615" w:rsidRPr="00BB47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054D8" w:rsidRPr="00BB47B6">
        <w:rPr>
          <w:rFonts w:ascii="Times New Roman" w:hAnsi="Times New Roman" w:cs="Times New Roman"/>
          <w:sz w:val="24"/>
          <w:szCs w:val="24"/>
        </w:rPr>
        <w:t xml:space="preserve"> and NSTEMI </w:t>
      </w:r>
      <w:r w:rsidR="006E0E15" w:rsidRPr="00BB47B6">
        <w:rPr>
          <w:rFonts w:ascii="Times New Roman" w:hAnsi="Times New Roman" w:cs="Times New Roman"/>
          <w:sz w:val="24"/>
          <w:szCs w:val="24"/>
        </w:rPr>
        <w:t xml:space="preserve">was </w:t>
      </w:r>
      <w:r w:rsidR="003E1676" w:rsidRPr="00BB47B6">
        <w:rPr>
          <w:rFonts w:ascii="Times New Roman" w:hAnsi="Times New Roman" w:cs="Times New Roman"/>
          <w:sz w:val="24"/>
          <w:szCs w:val="24"/>
        </w:rPr>
        <w:t>confined to the Midlands and the South</w:t>
      </w:r>
      <w:r w:rsidR="00563201">
        <w:rPr>
          <w:rFonts w:ascii="Times New Roman" w:hAnsi="Times New Roman" w:cs="Times New Roman"/>
          <w:sz w:val="24"/>
          <w:szCs w:val="24"/>
        </w:rPr>
        <w:t xml:space="preserve"> </w:t>
      </w:r>
      <w:r w:rsidR="00601A50">
        <w:rPr>
          <w:rFonts w:ascii="Times New Roman" w:hAnsi="Times New Roman" w:cs="Times New Roman"/>
          <w:sz w:val="24"/>
          <w:szCs w:val="24"/>
        </w:rPr>
        <w:t>(Table 3)</w:t>
      </w:r>
      <w:r w:rsidR="00B524F1">
        <w:rPr>
          <w:rFonts w:ascii="Times New Roman" w:hAnsi="Times New Roman" w:cs="Times New Roman"/>
          <w:sz w:val="24"/>
          <w:szCs w:val="24"/>
        </w:rPr>
        <w:t>.</w:t>
      </w:r>
      <w:r w:rsidR="00895443">
        <w:rPr>
          <w:rFonts w:ascii="Times New Roman" w:hAnsi="Times New Roman" w:cs="Times New Roman"/>
          <w:sz w:val="24"/>
          <w:szCs w:val="24"/>
        </w:rPr>
        <w:t xml:space="preserve"> </w:t>
      </w:r>
      <w:r w:rsidR="000F7F85">
        <w:rPr>
          <w:rFonts w:ascii="Times New Roman" w:hAnsi="Times New Roman" w:cs="Times New Roman"/>
          <w:sz w:val="24"/>
          <w:szCs w:val="24"/>
        </w:rPr>
        <w:t>The lack of association with EC and SO</w:t>
      </w:r>
      <w:r w:rsidR="000F7F85" w:rsidRPr="00E047A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F7F85" w:rsidRPr="00E047A3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0F7F85">
        <w:rPr>
          <w:rFonts w:ascii="Times New Roman" w:hAnsi="Times New Roman" w:cs="Times New Roman"/>
          <w:sz w:val="24"/>
          <w:szCs w:val="24"/>
        </w:rPr>
        <w:t xml:space="preserve"> is noteworthy given their novelty and what they represent.</w:t>
      </w:r>
    </w:p>
    <w:p w:rsidR="00480E0A" w:rsidRPr="00676770" w:rsidRDefault="00480E0A" w:rsidP="00676770">
      <w:p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6770">
        <w:rPr>
          <w:rFonts w:ascii="Times New Roman" w:hAnsi="Times New Roman" w:cs="Times New Roman"/>
          <w:b/>
          <w:sz w:val="24"/>
          <w:szCs w:val="24"/>
        </w:rPr>
        <w:t>Comparison with other studies</w:t>
      </w:r>
    </w:p>
    <w:p w:rsidR="008C3B1D" w:rsidRDefault="004A0729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87E83" w:rsidRPr="00BB47B6">
        <w:rPr>
          <w:rFonts w:ascii="Times New Roman" w:hAnsi="Times New Roman" w:cs="Times New Roman"/>
          <w:sz w:val="24"/>
          <w:szCs w:val="24"/>
        </w:rPr>
        <w:t xml:space="preserve"> recent systematic review</w:t>
      </w:r>
      <w:r w:rsidR="00E51833">
        <w:rPr>
          <w:rFonts w:ascii="Times New Roman" w:hAnsi="Times New Roman" w:cs="Times New Roman"/>
          <w:sz w:val="24"/>
          <w:szCs w:val="24"/>
        </w:rPr>
        <w:t xml:space="preserve"> of air pollution</w:t>
      </w:r>
      <w:r w:rsidR="000538C7">
        <w:rPr>
          <w:rFonts w:ascii="Times New Roman" w:hAnsi="Times New Roman" w:cs="Times New Roman"/>
          <w:sz w:val="24"/>
          <w:szCs w:val="24"/>
        </w:rPr>
        <w:t xml:space="preserve"> and myocardial infa</w:t>
      </w:r>
      <w:r w:rsidR="002576C7">
        <w:rPr>
          <w:rFonts w:ascii="Times New Roman" w:hAnsi="Times New Roman" w:cs="Times New Roman"/>
          <w:sz w:val="24"/>
          <w:szCs w:val="24"/>
        </w:rPr>
        <w:t>r</w:t>
      </w:r>
      <w:r w:rsidR="000538C7">
        <w:rPr>
          <w:rFonts w:ascii="Times New Roman" w:hAnsi="Times New Roman" w:cs="Times New Roman"/>
          <w:sz w:val="24"/>
          <w:szCs w:val="24"/>
        </w:rPr>
        <w:t>ction</w:t>
      </w:r>
      <w:r w:rsidR="0010468C" w:rsidRPr="00BB47B6">
        <w:rPr>
          <w:rFonts w:ascii="Times New Roman" w:hAnsi="Times New Roman" w:cs="Times New Roman"/>
          <w:sz w:val="24"/>
          <w:szCs w:val="24"/>
        </w:rPr>
        <w:t>,</w:t>
      </w:r>
      <w:r w:rsidR="00DD0145" w:rsidRPr="00BB47B6">
        <w:rPr>
          <w:rFonts w:ascii="Times New Roman" w:hAnsi="Times New Roman" w:cs="Times New Roman"/>
          <w:sz w:val="24"/>
          <w:szCs w:val="24"/>
        </w:rPr>
        <w:t>[10</w:t>
      </w:r>
      <w:r w:rsidR="0010468C" w:rsidRPr="00BB47B6">
        <w:rPr>
          <w:rFonts w:ascii="Times New Roman" w:hAnsi="Times New Roman" w:cs="Times New Roman"/>
          <w:sz w:val="24"/>
          <w:szCs w:val="24"/>
        </w:rPr>
        <w:t>] identified</w:t>
      </w:r>
      <w:r w:rsidR="00D32620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345219" w:rsidRPr="00BB47B6">
        <w:rPr>
          <w:rFonts w:ascii="Times New Roman" w:hAnsi="Times New Roman" w:cs="Times New Roman"/>
          <w:sz w:val="24"/>
          <w:szCs w:val="24"/>
        </w:rPr>
        <w:t xml:space="preserve">34 </w:t>
      </w:r>
      <w:r w:rsidR="00D32620" w:rsidRPr="00BB47B6">
        <w:rPr>
          <w:rFonts w:ascii="Times New Roman" w:hAnsi="Times New Roman" w:cs="Times New Roman"/>
          <w:sz w:val="24"/>
          <w:szCs w:val="24"/>
        </w:rPr>
        <w:t>time-series/case-crossover</w:t>
      </w:r>
      <w:r w:rsidR="000538C7">
        <w:rPr>
          <w:rFonts w:ascii="Times New Roman" w:hAnsi="Times New Roman" w:cs="Times New Roman"/>
          <w:sz w:val="24"/>
          <w:szCs w:val="24"/>
        </w:rPr>
        <w:t xml:space="preserve"> </w:t>
      </w:r>
      <w:r w:rsidR="00345219" w:rsidRPr="00BB47B6">
        <w:rPr>
          <w:rFonts w:ascii="Times New Roman" w:hAnsi="Times New Roman" w:cs="Times New Roman"/>
          <w:sz w:val="24"/>
          <w:szCs w:val="24"/>
        </w:rPr>
        <w:t xml:space="preserve">studies </w:t>
      </w:r>
      <w:r w:rsidR="00D32620" w:rsidRPr="00BB47B6">
        <w:rPr>
          <w:rFonts w:ascii="Times New Roman" w:hAnsi="Times New Roman" w:cs="Times New Roman"/>
          <w:sz w:val="24"/>
          <w:szCs w:val="24"/>
        </w:rPr>
        <w:t>published between 1997 and 2011</w:t>
      </w:r>
      <w:r w:rsidR="0010468C" w:rsidRPr="00BB47B6">
        <w:rPr>
          <w:rFonts w:ascii="Times New Roman" w:hAnsi="Times New Roman" w:cs="Times New Roman"/>
          <w:sz w:val="24"/>
          <w:szCs w:val="24"/>
        </w:rPr>
        <w:t xml:space="preserve"> for inclusion in meta-analyses</w:t>
      </w:r>
      <w:r w:rsidR="00904C1A">
        <w:rPr>
          <w:rFonts w:ascii="Times New Roman" w:hAnsi="Times New Roman" w:cs="Times New Roman"/>
          <w:sz w:val="24"/>
          <w:szCs w:val="24"/>
        </w:rPr>
        <w:t>. The studies were mainly from the US and Europe (</w:t>
      </w:r>
      <w:r w:rsidR="001A64DA">
        <w:rPr>
          <w:rFonts w:ascii="Times New Roman" w:hAnsi="Times New Roman" w:cs="Times New Roman"/>
          <w:sz w:val="24"/>
          <w:szCs w:val="24"/>
        </w:rPr>
        <w:t xml:space="preserve">including </w:t>
      </w:r>
      <w:r w:rsidR="00904C1A">
        <w:rPr>
          <w:rFonts w:ascii="Times New Roman" w:hAnsi="Times New Roman" w:cs="Times New Roman"/>
          <w:sz w:val="24"/>
          <w:szCs w:val="24"/>
        </w:rPr>
        <w:t>two from the UK)</w:t>
      </w:r>
      <w:r>
        <w:rPr>
          <w:rFonts w:ascii="Times New Roman" w:hAnsi="Times New Roman" w:cs="Times New Roman"/>
          <w:sz w:val="24"/>
          <w:szCs w:val="24"/>
        </w:rPr>
        <w:t xml:space="preserve"> and varied in their source of outcome data (e.g. hospital admissions, death registries, MI registries)</w:t>
      </w:r>
      <w:r w:rsidR="00AB7290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n common with our results, the review found no evidence of an association between MI and O</w:t>
      </w:r>
      <w:r w:rsidRPr="00326C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(lag 0)</w:t>
      </w:r>
      <w:r w:rsidR="00AB7290">
        <w:rPr>
          <w:rFonts w:ascii="Times New Roman" w:hAnsi="Times New Roman" w:cs="Times New Roman"/>
          <w:sz w:val="24"/>
          <w:szCs w:val="24"/>
        </w:rPr>
        <w:t>. However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10468C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4F54C9" w:rsidRPr="00BB47B6">
        <w:rPr>
          <w:rFonts w:ascii="Times New Roman" w:hAnsi="Times New Roman" w:cs="Times New Roman"/>
          <w:sz w:val="24"/>
          <w:szCs w:val="24"/>
        </w:rPr>
        <w:t xml:space="preserve">reported </w:t>
      </w:r>
      <w:r w:rsidR="007B6640" w:rsidRPr="00BB47B6">
        <w:rPr>
          <w:rFonts w:ascii="Times New Roman" w:hAnsi="Times New Roman" w:cs="Times New Roman"/>
          <w:sz w:val="24"/>
          <w:szCs w:val="24"/>
        </w:rPr>
        <w:t xml:space="preserve">statistically </w:t>
      </w:r>
      <w:r w:rsidR="004F54C9" w:rsidRPr="00BB47B6">
        <w:rPr>
          <w:rFonts w:ascii="Times New Roman" w:hAnsi="Times New Roman" w:cs="Times New Roman"/>
          <w:sz w:val="24"/>
          <w:szCs w:val="24"/>
        </w:rPr>
        <w:t xml:space="preserve">significant increases in </w:t>
      </w:r>
      <w:r w:rsidR="00226FB2" w:rsidRPr="00BB47B6">
        <w:rPr>
          <w:rFonts w:ascii="Times New Roman" w:hAnsi="Times New Roman" w:cs="Times New Roman"/>
          <w:sz w:val="24"/>
          <w:szCs w:val="24"/>
        </w:rPr>
        <w:t xml:space="preserve">the risk </w:t>
      </w:r>
      <w:r w:rsidR="004F54C9" w:rsidRPr="00BB47B6">
        <w:rPr>
          <w:rFonts w:ascii="Times New Roman" w:hAnsi="Times New Roman" w:cs="Times New Roman"/>
          <w:sz w:val="24"/>
          <w:szCs w:val="24"/>
        </w:rPr>
        <w:t>of</w:t>
      </w:r>
      <w:r w:rsidR="00981CD5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D32620" w:rsidRPr="00BB47B6">
        <w:rPr>
          <w:rFonts w:ascii="Times New Roman" w:hAnsi="Times New Roman" w:cs="Times New Roman"/>
          <w:sz w:val="24"/>
          <w:szCs w:val="24"/>
        </w:rPr>
        <w:t>MI</w:t>
      </w:r>
      <w:r w:rsidR="00226FB2" w:rsidRPr="00BB47B6">
        <w:rPr>
          <w:rFonts w:ascii="Times New Roman" w:hAnsi="Times New Roman" w:cs="Times New Roman"/>
          <w:sz w:val="24"/>
          <w:szCs w:val="24"/>
        </w:rPr>
        <w:t xml:space="preserve"> of </w:t>
      </w:r>
      <w:r w:rsidR="004F54C9" w:rsidRPr="00BB47B6">
        <w:rPr>
          <w:rFonts w:ascii="Times New Roman" w:hAnsi="Times New Roman" w:cs="Times New Roman"/>
          <w:sz w:val="24"/>
          <w:szCs w:val="24"/>
        </w:rPr>
        <w:t>1.1%, 0.6% and 2.5% per 10</w:t>
      </w:r>
      <w:r w:rsidR="006F761A">
        <w:rPr>
          <w:rFonts w:ascii="Times New Roman" w:hAnsi="Times New Roman" w:cs="Times New Roman"/>
          <w:sz w:val="24"/>
          <w:szCs w:val="24"/>
        </w:rPr>
        <w:t xml:space="preserve"> </w:t>
      </w:r>
      <w:r w:rsidR="004F54C9" w:rsidRPr="00BB47B6">
        <w:rPr>
          <w:rFonts w:ascii="Times New Roman" w:hAnsi="Times New Roman" w:cs="Times New Roman"/>
          <w:sz w:val="24"/>
          <w:szCs w:val="24"/>
        </w:rPr>
        <w:t>µg/m</w:t>
      </w:r>
      <w:r w:rsidR="004F54C9" w:rsidRPr="00BB47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26FB2" w:rsidRPr="00BB47B6">
        <w:rPr>
          <w:rFonts w:ascii="Times New Roman" w:hAnsi="Times New Roman" w:cs="Times New Roman"/>
          <w:sz w:val="24"/>
          <w:szCs w:val="24"/>
        </w:rPr>
        <w:t>increases in NO</w:t>
      </w:r>
      <w:r w:rsidR="00226FB2" w:rsidRPr="00BB47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26FB2" w:rsidRPr="00BB47B6">
        <w:rPr>
          <w:rFonts w:ascii="Times New Roman" w:hAnsi="Times New Roman" w:cs="Times New Roman"/>
          <w:sz w:val="24"/>
          <w:szCs w:val="24"/>
        </w:rPr>
        <w:t xml:space="preserve"> (lag 1), PM</w:t>
      </w:r>
      <w:r w:rsidR="00226FB2" w:rsidRPr="00BB47B6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226FB2" w:rsidRPr="00BB47B6">
        <w:rPr>
          <w:rFonts w:ascii="Times New Roman" w:hAnsi="Times New Roman" w:cs="Times New Roman"/>
          <w:sz w:val="24"/>
          <w:szCs w:val="24"/>
        </w:rPr>
        <w:t xml:space="preserve"> (lag 0) and PM</w:t>
      </w:r>
      <w:r w:rsidR="00226FB2" w:rsidRPr="00BB47B6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226FB2" w:rsidRPr="00BB47B6">
        <w:rPr>
          <w:rFonts w:ascii="Times New Roman" w:hAnsi="Times New Roman" w:cs="Times New Roman"/>
          <w:sz w:val="24"/>
          <w:szCs w:val="24"/>
        </w:rPr>
        <w:t xml:space="preserve"> (lag 1), respectively.</w:t>
      </w:r>
      <w:r w:rsidR="000C60DF" w:rsidRPr="00BB47B6">
        <w:rPr>
          <w:rFonts w:ascii="Times New Roman" w:hAnsi="Times New Roman" w:cs="Times New Roman"/>
          <w:sz w:val="24"/>
          <w:szCs w:val="24"/>
        </w:rPr>
        <w:t xml:space="preserve"> These </w:t>
      </w:r>
      <w:r w:rsidR="00545D2B" w:rsidRPr="00BB47B6">
        <w:rPr>
          <w:rFonts w:ascii="Times New Roman" w:hAnsi="Times New Roman" w:cs="Times New Roman"/>
          <w:sz w:val="24"/>
          <w:szCs w:val="24"/>
        </w:rPr>
        <w:t>represe</w:t>
      </w:r>
      <w:r w:rsidR="00462450">
        <w:rPr>
          <w:rFonts w:ascii="Times New Roman" w:hAnsi="Times New Roman" w:cs="Times New Roman"/>
          <w:sz w:val="24"/>
          <w:szCs w:val="24"/>
        </w:rPr>
        <w:t>nt very different relative</w:t>
      </w:r>
      <w:r w:rsidR="00545D2B" w:rsidRPr="00BB47B6">
        <w:rPr>
          <w:rFonts w:ascii="Times New Roman" w:hAnsi="Times New Roman" w:cs="Times New Roman"/>
          <w:sz w:val="24"/>
          <w:szCs w:val="24"/>
        </w:rPr>
        <w:t xml:space="preserve"> risks to those</w:t>
      </w:r>
      <w:r w:rsidR="00542BD2">
        <w:rPr>
          <w:rFonts w:ascii="Times New Roman" w:hAnsi="Times New Roman" w:cs="Times New Roman"/>
          <w:sz w:val="24"/>
          <w:szCs w:val="24"/>
        </w:rPr>
        <w:t xml:space="preserve"> observed </w:t>
      </w:r>
      <w:r w:rsidR="00462450">
        <w:rPr>
          <w:rFonts w:ascii="Times New Roman" w:hAnsi="Times New Roman" w:cs="Times New Roman"/>
          <w:sz w:val="24"/>
          <w:szCs w:val="24"/>
        </w:rPr>
        <w:t xml:space="preserve">(UDLM 0-2) </w:t>
      </w:r>
      <w:r w:rsidR="00D93C95">
        <w:rPr>
          <w:rFonts w:ascii="Times New Roman" w:hAnsi="Times New Roman" w:cs="Times New Roman"/>
          <w:sz w:val="24"/>
          <w:szCs w:val="24"/>
        </w:rPr>
        <w:t>in our study</w:t>
      </w:r>
      <w:r w:rsidR="00D542DF">
        <w:rPr>
          <w:rFonts w:ascii="Times New Roman" w:hAnsi="Times New Roman" w:cs="Times New Roman"/>
          <w:sz w:val="24"/>
          <w:szCs w:val="24"/>
        </w:rPr>
        <w:t xml:space="preserve"> (0.09%, -0.20%, -0.0</w:t>
      </w:r>
      <w:r w:rsidR="00213488">
        <w:rPr>
          <w:rFonts w:ascii="Times New Roman" w:hAnsi="Times New Roman" w:cs="Times New Roman"/>
          <w:sz w:val="24"/>
          <w:szCs w:val="24"/>
        </w:rPr>
        <w:t>4</w:t>
      </w:r>
      <w:r w:rsidR="00D542DF">
        <w:rPr>
          <w:rFonts w:ascii="Times New Roman" w:hAnsi="Times New Roman" w:cs="Times New Roman"/>
          <w:sz w:val="24"/>
          <w:szCs w:val="24"/>
        </w:rPr>
        <w:t>%</w:t>
      </w:r>
      <w:r w:rsidR="006F761A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D542DF">
        <w:rPr>
          <w:rFonts w:ascii="Times New Roman" w:hAnsi="Times New Roman" w:cs="Times New Roman"/>
          <w:sz w:val="24"/>
          <w:szCs w:val="24"/>
        </w:rPr>
        <w:t>)</w:t>
      </w:r>
      <w:r w:rsidR="004054D8" w:rsidRPr="00BB47B6">
        <w:rPr>
          <w:rFonts w:ascii="Times New Roman" w:hAnsi="Times New Roman" w:cs="Times New Roman"/>
          <w:sz w:val="24"/>
          <w:szCs w:val="24"/>
        </w:rPr>
        <w:t>.</w:t>
      </w:r>
      <w:r w:rsidR="00D542DF">
        <w:rPr>
          <w:rFonts w:ascii="Times New Roman" w:hAnsi="Times New Roman" w:cs="Times New Roman"/>
          <w:sz w:val="24"/>
          <w:szCs w:val="24"/>
        </w:rPr>
        <w:t xml:space="preserve"> In particular, the increase in risk for PM</w:t>
      </w:r>
      <w:r w:rsidR="00D542DF" w:rsidRPr="00676770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D542DF">
        <w:rPr>
          <w:rFonts w:ascii="Times New Roman" w:hAnsi="Times New Roman" w:cs="Times New Roman"/>
          <w:sz w:val="24"/>
          <w:szCs w:val="24"/>
        </w:rPr>
        <w:t xml:space="preserve"> is not apparent in our study.</w:t>
      </w:r>
      <w:r w:rsidR="004054D8" w:rsidRPr="00BB47B6">
        <w:rPr>
          <w:rFonts w:ascii="Times New Roman" w:hAnsi="Times New Roman" w:cs="Times New Roman"/>
          <w:sz w:val="24"/>
          <w:szCs w:val="24"/>
        </w:rPr>
        <w:t xml:space="preserve"> O</w:t>
      </w:r>
      <w:r w:rsidR="000C60DF" w:rsidRPr="00BB47B6">
        <w:rPr>
          <w:rFonts w:ascii="Times New Roman" w:hAnsi="Times New Roman" w:cs="Times New Roman"/>
          <w:sz w:val="24"/>
          <w:szCs w:val="24"/>
        </w:rPr>
        <w:t>ne possible explanation</w:t>
      </w:r>
      <w:r w:rsidR="004054D8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7B6640" w:rsidRPr="00BB47B6">
        <w:rPr>
          <w:rFonts w:ascii="Times New Roman" w:hAnsi="Times New Roman" w:cs="Times New Roman"/>
          <w:sz w:val="24"/>
          <w:szCs w:val="24"/>
        </w:rPr>
        <w:t xml:space="preserve">for the difference between our finding and those from the review </w:t>
      </w:r>
      <w:r w:rsidR="00D542DF">
        <w:rPr>
          <w:rFonts w:ascii="Times New Roman" w:hAnsi="Times New Roman" w:cs="Times New Roman"/>
          <w:sz w:val="24"/>
          <w:szCs w:val="24"/>
        </w:rPr>
        <w:t>(besides obvious differences of time-period</w:t>
      </w:r>
      <w:r w:rsidR="00904C1A">
        <w:rPr>
          <w:rFonts w:ascii="Times New Roman" w:hAnsi="Times New Roman" w:cs="Times New Roman"/>
          <w:sz w:val="24"/>
          <w:szCs w:val="24"/>
        </w:rPr>
        <w:t>,</w:t>
      </w:r>
      <w:r w:rsidR="000538C7">
        <w:rPr>
          <w:rFonts w:ascii="Times New Roman" w:hAnsi="Times New Roman" w:cs="Times New Roman"/>
          <w:sz w:val="24"/>
          <w:szCs w:val="24"/>
        </w:rPr>
        <w:t xml:space="preserve"> </w:t>
      </w:r>
      <w:r w:rsidR="00D542DF">
        <w:rPr>
          <w:rFonts w:ascii="Times New Roman" w:hAnsi="Times New Roman" w:cs="Times New Roman"/>
          <w:sz w:val="24"/>
          <w:szCs w:val="24"/>
        </w:rPr>
        <w:t>geography</w:t>
      </w:r>
      <w:r>
        <w:rPr>
          <w:rFonts w:ascii="Times New Roman" w:hAnsi="Times New Roman" w:cs="Times New Roman"/>
          <w:sz w:val="24"/>
          <w:szCs w:val="24"/>
        </w:rPr>
        <w:t xml:space="preserve"> and outcome measure</w:t>
      </w:r>
      <w:r w:rsidR="00D542DF">
        <w:rPr>
          <w:rFonts w:ascii="Times New Roman" w:hAnsi="Times New Roman" w:cs="Times New Roman"/>
          <w:sz w:val="24"/>
          <w:szCs w:val="24"/>
        </w:rPr>
        <w:t xml:space="preserve">) </w:t>
      </w:r>
      <w:r w:rsidR="004054D8" w:rsidRPr="00BB47B6">
        <w:rPr>
          <w:rFonts w:ascii="Times New Roman" w:hAnsi="Times New Roman" w:cs="Times New Roman"/>
          <w:sz w:val="24"/>
          <w:szCs w:val="24"/>
        </w:rPr>
        <w:t>is our use of modelled rather than monitored pollut</w:t>
      </w:r>
      <w:r w:rsidR="008D24B0">
        <w:rPr>
          <w:rFonts w:ascii="Times New Roman" w:hAnsi="Times New Roman" w:cs="Times New Roman"/>
          <w:sz w:val="24"/>
          <w:szCs w:val="24"/>
        </w:rPr>
        <w:t>ant</w:t>
      </w:r>
      <w:r w:rsidR="004054D8" w:rsidRPr="00BB47B6">
        <w:rPr>
          <w:rFonts w:ascii="Times New Roman" w:hAnsi="Times New Roman" w:cs="Times New Roman"/>
          <w:sz w:val="24"/>
          <w:szCs w:val="24"/>
        </w:rPr>
        <w:t xml:space="preserve"> data</w:t>
      </w:r>
      <w:r w:rsidR="000C60DF" w:rsidRPr="00BB47B6">
        <w:rPr>
          <w:rFonts w:ascii="Times New Roman" w:hAnsi="Times New Roman" w:cs="Times New Roman"/>
          <w:sz w:val="24"/>
          <w:szCs w:val="24"/>
        </w:rPr>
        <w:t xml:space="preserve">. </w:t>
      </w:r>
      <w:r w:rsidR="00123749" w:rsidRPr="00BB47B6">
        <w:rPr>
          <w:rFonts w:ascii="Times New Roman" w:hAnsi="Times New Roman" w:cs="Times New Roman"/>
          <w:sz w:val="24"/>
          <w:szCs w:val="24"/>
        </w:rPr>
        <w:t xml:space="preserve">We </w:t>
      </w:r>
      <w:r w:rsidR="003F4A72" w:rsidRPr="00BB47B6">
        <w:rPr>
          <w:rFonts w:ascii="Times New Roman" w:hAnsi="Times New Roman" w:cs="Times New Roman"/>
          <w:sz w:val="24"/>
          <w:szCs w:val="24"/>
        </w:rPr>
        <w:t>therefore compared</w:t>
      </w:r>
      <w:r w:rsidR="00123749" w:rsidRPr="00BB47B6">
        <w:rPr>
          <w:rFonts w:ascii="Times New Roman" w:hAnsi="Times New Roman" w:cs="Times New Roman"/>
          <w:sz w:val="24"/>
          <w:szCs w:val="24"/>
        </w:rPr>
        <w:t xml:space="preserve"> our findings with those of a previously</w:t>
      </w:r>
      <w:r w:rsidR="001D2256" w:rsidRPr="00BB47B6">
        <w:rPr>
          <w:rFonts w:ascii="Times New Roman" w:hAnsi="Times New Roman" w:cs="Times New Roman"/>
          <w:sz w:val="24"/>
          <w:szCs w:val="24"/>
        </w:rPr>
        <w:t xml:space="preserve"> published</w:t>
      </w:r>
      <w:r w:rsidR="00A26A2F" w:rsidRPr="00BB47B6">
        <w:rPr>
          <w:rFonts w:ascii="Times New Roman" w:hAnsi="Times New Roman" w:cs="Times New Roman"/>
          <w:sz w:val="24"/>
          <w:szCs w:val="24"/>
        </w:rPr>
        <w:t xml:space="preserve"> analysis of the M</w:t>
      </w:r>
      <w:r w:rsidR="002B63CC" w:rsidRPr="00BB47B6">
        <w:rPr>
          <w:rFonts w:ascii="Times New Roman" w:hAnsi="Times New Roman" w:cs="Times New Roman"/>
          <w:sz w:val="24"/>
          <w:szCs w:val="24"/>
        </w:rPr>
        <w:t xml:space="preserve">INAP </w:t>
      </w:r>
      <w:r w:rsidR="002B63CC" w:rsidRPr="00BB47B6">
        <w:rPr>
          <w:rFonts w:ascii="Times New Roman" w:hAnsi="Times New Roman" w:cs="Times New Roman"/>
          <w:sz w:val="24"/>
          <w:szCs w:val="24"/>
        </w:rPr>
        <w:lastRenderedPageBreak/>
        <w:t>datab</w:t>
      </w:r>
      <w:r w:rsidR="001D2256" w:rsidRPr="00BB47B6">
        <w:rPr>
          <w:rFonts w:ascii="Times New Roman" w:hAnsi="Times New Roman" w:cs="Times New Roman"/>
          <w:sz w:val="24"/>
          <w:szCs w:val="24"/>
        </w:rPr>
        <w:t>ase (2003-2009) by</w:t>
      </w:r>
      <w:r w:rsidR="002B63CC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4054D8" w:rsidRPr="00BB47B6">
        <w:rPr>
          <w:rFonts w:ascii="Times New Roman" w:hAnsi="Times New Roman" w:cs="Times New Roman"/>
          <w:sz w:val="24"/>
          <w:szCs w:val="24"/>
        </w:rPr>
        <w:t>Mil</w:t>
      </w:r>
      <w:r w:rsidR="00A26A2F" w:rsidRPr="00BB47B6">
        <w:rPr>
          <w:rFonts w:ascii="Times New Roman" w:hAnsi="Times New Roman" w:cs="Times New Roman"/>
          <w:sz w:val="24"/>
          <w:szCs w:val="24"/>
        </w:rPr>
        <w:t>ojevic et al</w:t>
      </w:r>
      <w:r w:rsidR="002D44E7" w:rsidRPr="00BB47B6">
        <w:rPr>
          <w:rFonts w:ascii="Times New Roman" w:hAnsi="Times New Roman" w:cs="Times New Roman"/>
          <w:sz w:val="24"/>
          <w:szCs w:val="24"/>
        </w:rPr>
        <w:t>.,[</w:t>
      </w:r>
      <w:r w:rsidR="00EF1181" w:rsidRPr="00BB47B6">
        <w:rPr>
          <w:rFonts w:ascii="Times New Roman" w:hAnsi="Times New Roman" w:cs="Times New Roman"/>
          <w:sz w:val="24"/>
          <w:szCs w:val="24"/>
        </w:rPr>
        <w:t>11</w:t>
      </w:r>
      <w:r w:rsidR="007030F3" w:rsidRPr="00BB47B6">
        <w:rPr>
          <w:rFonts w:ascii="Times New Roman" w:hAnsi="Times New Roman" w:cs="Times New Roman"/>
          <w:sz w:val="24"/>
          <w:szCs w:val="24"/>
        </w:rPr>
        <w:t>]</w:t>
      </w:r>
      <w:r w:rsidR="00A26A2F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1D2256" w:rsidRPr="00BB47B6">
        <w:rPr>
          <w:rFonts w:ascii="Times New Roman" w:hAnsi="Times New Roman" w:cs="Times New Roman"/>
          <w:sz w:val="24"/>
          <w:szCs w:val="24"/>
        </w:rPr>
        <w:t xml:space="preserve">which </w:t>
      </w:r>
      <w:r w:rsidR="00A26A2F" w:rsidRPr="00BB47B6">
        <w:rPr>
          <w:rFonts w:ascii="Times New Roman" w:hAnsi="Times New Roman" w:cs="Times New Roman"/>
          <w:sz w:val="24"/>
          <w:szCs w:val="24"/>
        </w:rPr>
        <w:t>investigated</w:t>
      </w:r>
      <w:r w:rsidR="00545D2B" w:rsidRPr="00BB47B6">
        <w:rPr>
          <w:rFonts w:ascii="Times New Roman" w:hAnsi="Times New Roman" w:cs="Times New Roman"/>
          <w:sz w:val="24"/>
          <w:szCs w:val="24"/>
        </w:rPr>
        <w:t xml:space="preserve"> associations between </w:t>
      </w:r>
      <w:r w:rsidR="002B63CC" w:rsidRPr="00BB47B6">
        <w:rPr>
          <w:rFonts w:ascii="Times New Roman" w:hAnsi="Times New Roman" w:cs="Times New Roman"/>
          <w:sz w:val="24"/>
          <w:szCs w:val="24"/>
        </w:rPr>
        <w:t xml:space="preserve">myocardial infarction and </w:t>
      </w:r>
      <w:r w:rsidR="00545D2B" w:rsidRPr="00BB47B6">
        <w:rPr>
          <w:rFonts w:ascii="Times New Roman" w:hAnsi="Times New Roman" w:cs="Times New Roman"/>
          <w:sz w:val="24"/>
          <w:szCs w:val="24"/>
        </w:rPr>
        <w:t>nearest monitor pollution concentrations (up to 50</w:t>
      </w:r>
      <w:r w:rsidR="009F652B">
        <w:rPr>
          <w:rFonts w:ascii="Times New Roman" w:hAnsi="Times New Roman" w:cs="Times New Roman"/>
          <w:sz w:val="24"/>
          <w:szCs w:val="24"/>
        </w:rPr>
        <w:t xml:space="preserve"> </w:t>
      </w:r>
      <w:r w:rsidR="00545D2B" w:rsidRPr="00BB47B6">
        <w:rPr>
          <w:rFonts w:ascii="Times New Roman" w:hAnsi="Times New Roman" w:cs="Times New Roman"/>
          <w:sz w:val="24"/>
          <w:szCs w:val="24"/>
        </w:rPr>
        <w:t>km di</w:t>
      </w:r>
      <w:r w:rsidR="002B63CC" w:rsidRPr="00BB47B6">
        <w:rPr>
          <w:rFonts w:ascii="Times New Roman" w:hAnsi="Times New Roman" w:cs="Times New Roman"/>
          <w:sz w:val="24"/>
          <w:szCs w:val="24"/>
        </w:rPr>
        <w:t>stant</w:t>
      </w:r>
      <w:r w:rsidR="002137B5" w:rsidRPr="00BB47B6">
        <w:rPr>
          <w:rFonts w:ascii="Times New Roman" w:hAnsi="Times New Roman" w:cs="Times New Roman"/>
          <w:sz w:val="24"/>
          <w:szCs w:val="24"/>
        </w:rPr>
        <w:t xml:space="preserve"> from residential address</w:t>
      </w:r>
      <w:r w:rsidR="002B63CC" w:rsidRPr="00BB47B6">
        <w:rPr>
          <w:rFonts w:ascii="Times New Roman" w:hAnsi="Times New Roman" w:cs="Times New Roman"/>
          <w:sz w:val="24"/>
          <w:szCs w:val="24"/>
        </w:rPr>
        <w:t>)</w:t>
      </w:r>
      <w:r w:rsidR="00A26A2F" w:rsidRPr="00BB47B6">
        <w:rPr>
          <w:rFonts w:ascii="Times New Roman" w:hAnsi="Times New Roman" w:cs="Times New Roman"/>
          <w:sz w:val="24"/>
          <w:szCs w:val="24"/>
        </w:rPr>
        <w:t>. I</w:t>
      </w:r>
      <w:r w:rsidR="004054D8" w:rsidRPr="00BB47B6">
        <w:rPr>
          <w:rFonts w:ascii="Times New Roman" w:hAnsi="Times New Roman" w:cs="Times New Roman"/>
          <w:sz w:val="24"/>
          <w:szCs w:val="24"/>
        </w:rPr>
        <w:t xml:space="preserve">n common with our own results, </w:t>
      </w:r>
      <w:r w:rsidR="00A26A2F" w:rsidRPr="00BB47B6">
        <w:rPr>
          <w:rFonts w:ascii="Times New Roman" w:hAnsi="Times New Roman" w:cs="Times New Roman"/>
          <w:sz w:val="24"/>
          <w:szCs w:val="24"/>
        </w:rPr>
        <w:t xml:space="preserve">they </w:t>
      </w:r>
      <w:r w:rsidR="004054D8" w:rsidRPr="00BB47B6">
        <w:rPr>
          <w:rFonts w:ascii="Times New Roman" w:hAnsi="Times New Roman" w:cs="Times New Roman"/>
          <w:sz w:val="24"/>
          <w:szCs w:val="24"/>
        </w:rPr>
        <w:t>found</w:t>
      </w:r>
      <w:r w:rsidR="00545D2B" w:rsidRPr="00BB47B6">
        <w:rPr>
          <w:rFonts w:ascii="Times New Roman" w:hAnsi="Times New Roman" w:cs="Times New Roman"/>
          <w:sz w:val="24"/>
          <w:szCs w:val="24"/>
        </w:rPr>
        <w:t xml:space="preserve"> no evidence of </w:t>
      </w:r>
      <w:r w:rsidR="00B50F16">
        <w:rPr>
          <w:rFonts w:ascii="Times New Roman" w:hAnsi="Times New Roman" w:cs="Times New Roman"/>
          <w:sz w:val="24"/>
          <w:szCs w:val="24"/>
        </w:rPr>
        <w:t xml:space="preserve">positive </w:t>
      </w:r>
      <w:r w:rsidR="00545D2B" w:rsidRPr="00BB47B6">
        <w:rPr>
          <w:rFonts w:ascii="Times New Roman" w:hAnsi="Times New Roman" w:cs="Times New Roman"/>
          <w:sz w:val="24"/>
          <w:szCs w:val="24"/>
        </w:rPr>
        <w:t>associa</w:t>
      </w:r>
      <w:r w:rsidR="002B63CC" w:rsidRPr="00BB47B6">
        <w:rPr>
          <w:rFonts w:ascii="Times New Roman" w:hAnsi="Times New Roman" w:cs="Times New Roman"/>
          <w:sz w:val="24"/>
          <w:szCs w:val="24"/>
        </w:rPr>
        <w:t>tions with O</w:t>
      </w:r>
      <w:r w:rsidR="002B63CC" w:rsidRPr="00BB47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B63CC" w:rsidRPr="00BB47B6">
        <w:rPr>
          <w:rFonts w:ascii="Times New Roman" w:hAnsi="Times New Roman" w:cs="Times New Roman"/>
          <w:sz w:val="24"/>
          <w:szCs w:val="24"/>
        </w:rPr>
        <w:t>, PM</w:t>
      </w:r>
      <w:r w:rsidR="002B63CC" w:rsidRPr="00BB47B6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2B63CC" w:rsidRPr="00BB47B6">
        <w:rPr>
          <w:rFonts w:ascii="Times New Roman" w:hAnsi="Times New Roman" w:cs="Times New Roman"/>
          <w:sz w:val="24"/>
          <w:szCs w:val="24"/>
        </w:rPr>
        <w:t xml:space="preserve"> or</w:t>
      </w:r>
      <w:r w:rsidR="00545D2B" w:rsidRPr="00BB47B6">
        <w:rPr>
          <w:rFonts w:ascii="Times New Roman" w:hAnsi="Times New Roman" w:cs="Times New Roman"/>
          <w:sz w:val="24"/>
          <w:szCs w:val="24"/>
        </w:rPr>
        <w:t xml:space="preserve"> PM</w:t>
      </w:r>
      <w:r w:rsidR="00545D2B" w:rsidRPr="00BB47B6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AA7B9A" w:rsidRPr="00BB47B6">
        <w:rPr>
          <w:rFonts w:ascii="Times New Roman" w:hAnsi="Times New Roman" w:cs="Times New Roman"/>
          <w:sz w:val="24"/>
          <w:szCs w:val="24"/>
        </w:rPr>
        <w:t xml:space="preserve"> but</w:t>
      </w:r>
      <w:r w:rsidR="005A22F7" w:rsidRPr="00BB47B6">
        <w:rPr>
          <w:rFonts w:ascii="Times New Roman" w:hAnsi="Times New Roman" w:cs="Times New Roman"/>
          <w:sz w:val="24"/>
          <w:szCs w:val="24"/>
        </w:rPr>
        <w:t xml:space="preserve"> a </w:t>
      </w:r>
      <w:r w:rsidR="00545D2B" w:rsidRPr="00BB47B6">
        <w:rPr>
          <w:rFonts w:ascii="Times New Roman" w:hAnsi="Times New Roman" w:cs="Times New Roman"/>
          <w:sz w:val="24"/>
          <w:szCs w:val="24"/>
        </w:rPr>
        <w:t>significant</w:t>
      </w:r>
      <w:r w:rsidR="009D6615" w:rsidRPr="00BB47B6">
        <w:rPr>
          <w:rFonts w:ascii="Times New Roman" w:hAnsi="Times New Roman" w:cs="Times New Roman"/>
          <w:sz w:val="24"/>
          <w:szCs w:val="24"/>
        </w:rPr>
        <w:t xml:space="preserve"> positive association</w:t>
      </w:r>
      <w:r w:rsidR="00545D2B" w:rsidRPr="00BB47B6">
        <w:rPr>
          <w:rFonts w:ascii="Times New Roman" w:hAnsi="Times New Roman" w:cs="Times New Roman"/>
          <w:sz w:val="24"/>
          <w:szCs w:val="24"/>
        </w:rPr>
        <w:t xml:space="preserve"> of </w:t>
      </w:r>
      <w:r w:rsidR="00E70577" w:rsidRPr="00BB47B6">
        <w:rPr>
          <w:rFonts w:ascii="Times New Roman" w:hAnsi="Times New Roman" w:cs="Times New Roman"/>
          <w:sz w:val="24"/>
          <w:szCs w:val="24"/>
        </w:rPr>
        <w:t xml:space="preserve">daily </w:t>
      </w:r>
      <w:r w:rsidR="008D24B0">
        <w:rPr>
          <w:rFonts w:ascii="Times New Roman" w:hAnsi="Times New Roman" w:cs="Times New Roman"/>
          <w:sz w:val="24"/>
          <w:szCs w:val="24"/>
        </w:rPr>
        <w:t xml:space="preserve">mean </w:t>
      </w:r>
      <w:r w:rsidR="00545D2B" w:rsidRPr="00BB47B6">
        <w:rPr>
          <w:rFonts w:ascii="Times New Roman" w:hAnsi="Times New Roman" w:cs="Times New Roman"/>
          <w:sz w:val="24"/>
          <w:szCs w:val="24"/>
        </w:rPr>
        <w:t>NO</w:t>
      </w:r>
      <w:r w:rsidR="00545D2B" w:rsidRPr="00BB47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45D2B" w:rsidRPr="00BB47B6">
        <w:rPr>
          <w:rFonts w:ascii="Times New Roman" w:hAnsi="Times New Roman" w:cs="Times New Roman"/>
          <w:sz w:val="24"/>
          <w:szCs w:val="24"/>
        </w:rPr>
        <w:t xml:space="preserve"> (lag</w:t>
      </w:r>
      <w:r w:rsidR="002D44E7" w:rsidRPr="00BB47B6">
        <w:rPr>
          <w:rFonts w:ascii="Times New Roman" w:hAnsi="Times New Roman" w:cs="Times New Roman"/>
          <w:sz w:val="24"/>
          <w:szCs w:val="24"/>
        </w:rPr>
        <w:t>s</w:t>
      </w:r>
      <w:r w:rsidR="00E51833">
        <w:rPr>
          <w:rFonts w:ascii="Times New Roman" w:hAnsi="Times New Roman" w:cs="Times New Roman"/>
          <w:sz w:val="24"/>
          <w:szCs w:val="24"/>
        </w:rPr>
        <w:t xml:space="preserve"> </w:t>
      </w:r>
      <w:r w:rsidR="00545D2B" w:rsidRPr="00BB47B6">
        <w:rPr>
          <w:rFonts w:ascii="Times New Roman" w:hAnsi="Times New Roman" w:cs="Times New Roman"/>
          <w:sz w:val="24"/>
          <w:szCs w:val="24"/>
        </w:rPr>
        <w:t xml:space="preserve">0-4) </w:t>
      </w:r>
      <w:r w:rsidR="009D6615" w:rsidRPr="00BB47B6">
        <w:rPr>
          <w:rFonts w:ascii="Times New Roman" w:hAnsi="Times New Roman" w:cs="Times New Roman"/>
          <w:sz w:val="24"/>
          <w:szCs w:val="24"/>
        </w:rPr>
        <w:t>with NSTEMI, although the</w:t>
      </w:r>
      <w:r w:rsidR="007030F3" w:rsidRPr="00BB47B6">
        <w:rPr>
          <w:rFonts w:ascii="Times New Roman" w:hAnsi="Times New Roman" w:cs="Times New Roman"/>
          <w:sz w:val="24"/>
          <w:szCs w:val="24"/>
        </w:rPr>
        <w:t>ir</w:t>
      </w:r>
      <w:r w:rsidR="009D6615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471614" w:rsidRPr="00BB47B6">
        <w:rPr>
          <w:rFonts w:ascii="Times New Roman" w:hAnsi="Times New Roman" w:cs="Times New Roman"/>
          <w:sz w:val="24"/>
          <w:szCs w:val="24"/>
        </w:rPr>
        <w:t xml:space="preserve">estimated increase in risk </w:t>
      </w:r>
      <w:r w:rsidR="00545D2B" w:rsidRPr="00BB47B6">
        <w:rPr>
          <w:rFonts w:ascii="Times New Roman" w:hAnsi="Times New Roman" w:cs="Times New Roman"/>
          <w:sz w:val="24"/>
          <w:szCs w:val="24"/>
        </w:rPr>
        <w:t>was more m</w:t>
      </w:r>
      <w:r w:rsidR="00471614" w:rsidRPr="00BB47B6">
        <w:rPr>
          <w:rFonts w:ascii="Times New Roman" w:hAnsi="Times New Roman" w:cs="Times New Roman"/>
          <w:sz w:val="24"/>
          <w:szCs w:val="24"/>
        </w:rPr>
        <w:t>arked (0.68% per</w:t>
      </w:r>
      <w:r w:rsidR="008D24B0">
        <w:rPr>
          <w:rFonts w:ascii="Times New Roman" w:hAnsi="Times New Roman" w:cs="Times New Roman"/>
          <w:sz w:val="24"/>
          <w:szCs w:val="24"/>
        </w:rPr>
        <w:t xml:space="preserve"> </w:t>
      </w:r>
      <w:r w:rsidR="00471614" w:rsidRPr="00BB47B6">
        <w:rPr>
          <w:rFonts w:ascii="Times New Roman" w:hAnsi="Times New Roman" w:cs="Times New Roman"/>
          <w:sz w:val="24"/>
          <w:szCs w:val="24"/>
        </w:rPr>
        <w:t>10</w:t>
      </w:r>
      <w:r w:rsidR="006F761A">
        <w:rPr>
          <w:rFonts w:ascii="Times New Roman" w:hAnsi="Times New Roman" w:cs="Times New Roman"/>
          <w:sz w:val="24"/>
          <w:szCs w:val="24"/>
        </w:rPr>
        <w:t xml:space="preserve"> </w:t>
      </w:r>
      <w:r w:rsidR="00471614" w:rsidRPr="00BB47B6">
        <w:rPr>
          <w:rFonts w:ascii="Times New Roman" w:hAnsi="Times New Roman" w:cs="Times New Roman"/>
          <w:sz w:val="24"/>
          <w:szCs w:val="24"/>
        </w:rPr>
        <w:t>µg/m</w:t>
      </w:r>
      <w:r w:rsidR="00471614" w:rsidRPr="00BB47B6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0E0B35">
        <w:rPr>
          <w:rFonts w:ascii="Times New Roman" w:hAnsi="Times New Roman" w:cs="Times New Roman"/>
          <w:sz w:val="24"/>
          <w:szCs w:val="24"/>
        </w:rPr>
        <w:t xml:space="preserve">increase in </w:t>
      </w:r>
      <w:r w:rsidR="00600DDE">
        <w:rPr>
          <w:rFonts w:ascii="Times New Roman" w:hAnsi="Times New Roman" w:cs="Times New Roman"/>
          <w:sz w:val="24"/>
          <w:szCs w:val="24"/>
        </w:rPr>
        <w:t>NO</w:t>
      </w:r>
      <w:r w:rsidR="00600DDE" w:rsidRPr="006767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00DDE">
        <w:rPr>
          <w:rFonts w:ascii="Times New Roman" w:hAnsi="Times New Roman" w:cs="Times New Roman"/>
          <w:sz w:val="24"/>
          <w:szCs w:val="24"/>
        </w:rPr>
        <w:t xml:space="preserve"> </w:t>
      </w:r>
      <w:r w:rsidR="00471614" w:rsidRPr="00BB47B6">
        <w:rPr>
          <w:rFonts w:ascii="Times New Roman" w:hAnsi="Times New Roman" w:cs="Times New Roman"/>
          <w:sz w:val="24"/>
          <w:szCs w:val="24"/>
        </w:rPr>
        <w:t>(95% CI: 0.07%, 1.3%))</w:t>
      </w:r>
      <w:r w:rsidR="00E51833">
        <w:rPr>
          <w:rFonts w:ascii="Times New Roman" w:hAnsi="Times New Roman" w:cs="Times New Roman"/>
          <w:sz w:val="24"/>
          <w:szCs w:val="24"/>
        </w:rPr>
        <w:t xml:space="preserve">. </w:t>
      </w:r>
      <w:r w:rsidR="00F824A9" w:rsidRPr="00BB47B6">
        <w:rPr>
          <w:rFonts w:ascii="Times New Roman" w:hAnsi="Times New Roman" w:cs="Times New Roman"/>
          <w:sz w:val="24"/>
          <w:szCs w:val="24"/>
        </w:rPr>
        <w:t xml:space="preserve">One possible explanation </w:t>
      </w:r>
      <w:r w:rsidR="007C0229">
        <w:rPr>
          <w:rFonts w:ascii="Times New Roman" w:hAnsi="Times New Roman" w:cs="Times New Roman"/>
          <w:sz w:val="24"/>
          <w:szCs w:val="24"/>
        </w:rPr>
        <w:t>for this difference</w:t>
      </w:r>
      <w:r w:rsidR="005F1250">
        <w:rPr>
          <w:rFonts w:ascii="Times New Roman" w:hAnsi="Times New Roman" w:cs="Times New Roman"/>
          <w:sz w:val="24"/>
          <w:szCs w:val="24"/>
        </w:rPr>
        <w:t xml:space="preserve"> </w:t>
      </w:r>
      <w:r w:rsidR="00F824A9" w:rsidRPr="00BB47B6">
        <w:rPr>
          <w:rFonts w:ascii="Times New Roman" w:hAnsi="Times New Roman" w:cs="Times New Roman"/>
          <w:sz w:val="24"/>
          <w:szCs w:val="24"/>
        </w:rPr>
        <w:t>is the differ</w:t>
      </w:r>
      <w:r w:rsidR="005F1250">
        <w:rPr>
          <w:rFonts w:ascii="Times New Roman" w:hAnsi="Times New Roman" w:cs="Times New Roman"/>
          <w:sz w:val="24"/>
          <w:szCs w:val="24"/>
        </w:rPr>
        <w:t>ent uncertainties</w:t>
      </w:r>
      <w:r w:rsidR="00F824A9" w:rsidRPr="00BB47B6">
        <w:rPr>
          <w:rFonts w:ascii="Times New Roman" w:hAnsi="Times New Roman" w:cs="Times New Roman"/>
          <w:sz w:val="24"/>
          <w:szCs w:val="24"/>
        </w:rPr>
        <w:t xml:space="preserve"> in </w:t>
      </w:r>
      <w:r w:rsidR="00884EE9" w:rsidRPr="00BB47B6">
        <w:rPr>
          <w:rFonts w:ascii="Times New Roman" w:hAnsi="Times New Roman" w:cs="Times New Roman"/>
          <w:sz w:val="24"/>
          <w:szCs w:val="24"/>
        </w:rPr>
        <w:t>the monitor</w:t>
      </w:r>
      <w:r w:rsidR="005F1250">
        <w:rPr>
          <w:rFonts w:ascii="Times New Roman" w:hAnsi="Times New Roman" w:cs="Times New Roman"/>
          <w:sz w:val="24"/>
          <w:szCs w:val="24"/>
        </w:rPr>
        <w:t>-</w:t>
      </w:r>
      <w:r w:rsidR="00884EE9" w:rsidRPr="00BB47B6">
        <w:rPr>
          <w:rFonts w:ascii="Times New Roman" w:hAnsi="Times New Roman" w:cs="Times New Roman"/>
          <w:sz w:val="24"/>
          <w:szCs w:val="24"/>
        </w:rPr>
        <w:t>based</w:t>
      </w:r>
      <w:r w:rsidR="00524CC0">
        <w:rPr>
          <w:rFonts w:ascii="Times New Roman" w:hAnsi="Times New Roman" w:cs="Times New Roman"/>
          <w:sz w:val="24"/>
          <w:szCs w:val="24"/>
        </w:rPr>
        <w:t xml:space="preserve"> </w:t>
      </w:r>
      <w:r w:rsidR="005F1250">
        <w:rPr>
          <w:rFonts w:ascii="Times New Roman" w:hAnsi="Times New Roman" w:cs="Times New Roman"/>
          <w:sz w:val="24"/>
          <w:szCs w:val="24"/>
        </w:rPr>
        <w:t xml:space="preserve">pollution data used by Milojevic et al </w:t>
      </w:r>
      <w:r w:rsidR="00524CC0">
        <w:rPr>
          <w:rFonts w:ascii="Times New Roman" w:hAnsi="Times New Roman" w:cs="Times New Roman"/>
          <w:sz w:val="24"/>
          <w:szCs w:val="24"/>
        </w:rPr>
        <w:t>(measurements made up to 50</w:t>
      </w:r>
      <w:r w:rsidR="00246120">
        <w:rPr>
          <w:rFonts w:ascii="Times New Roman" w:hAnsi="Times New Roman" w:cs="Times New Roman"/>
          <w:sz w:val="24"/>
          <w:szCs w:val="24"/>
        </w:rPr>
        <w:t xml:space="preserve"> </w:t>
      </w:r>
      <w:r w:rsidR="00524CC0">
        <w:rPr>
          <w:rFonts w:ascii="Times New Roman" w:hAnsi="Times New Roman" w:cs="Times New Roman"/>
          <w:sz w:val="24"/>
          <w:szCs w:val="24"/>
        </w:rPr>
        <w:t>km from residential address)</w:t>
      </w:r>
      <w:r w:rsidR="00D542DF">
        <w:rPr>
          <w:rFonts w:ascii="Times New Roman" w:hAnsi="Times New Roman" w:cs="Times New Roman"/>
          <w:sz w:val="24"/>
          <w:szCs w:val="24"/>
        </w:rPr>
        <w:t xml:space="preserve"> </w:t>
      </w:r>
      <w:r w:rsidR="005F1250">
        <w:rPr>
          <w:rFonts w:ascii="Times New Roman" w:hAnsi="Times New Roman" w:cs="Times New Roman"/>
          <w:sz w:val="24"/>
          <w:szCs w:val="24"/>
        </w:rPr>
        <w:t>and the model-based</w:t>
      </w:r>
      <w:r w:rsidR="00884EE9" w:rsidRPr="00BB47B6">
        <w:rPr>
          <w:rFonts w:ascii="Times New Roman" w:hAnsi="Times New Roman" w:cs="Times New Roman"/>
          <w:sz w:val="24"/>
          <w:szCs w:val="24"/>
        </w:rPr>
        <w:t xml:space="preserve"> exposure assessment</w:t>
      </w:r>
      <w:r w:rsidR="005F1250">
        <w:rPr>
          <w:rFonts w:ascii="Times New Roman" w:hAnsi="Times New Roman" w:cs="Times New Roman"/>
          <w:sz w:val="24"/>
          <w:szCs w:val="24"/>
        </w:rPr>
        <w:t xml:space="preserve"> used here</w:t>
      </w:r>
      <w:r w:rsidR="008974DD">
        <w:rPr>
          <w:rFonts w:ascii="Times New Roman" w:hAnsi="Times New Roman" w:cs="Times New Roman"/>
          <w:sz w:val="24"/>
          <w:szCs w:val="24"/>
        </w:rPr>
        <w:t xml:space="preserve"> (see Supplementary</w:t>
      </w:r>
      <w:r w:rsidR="004707D0" w:rsidRPr="00BB47B6">
        <w:rPr>
          <w:rFonts w:ascii="Times New Roman" w:hAnsi="Times New Roman" w:cs="Times New Roman"/>
          <w:sz w:val="24"/>
          <w:szCs w:val="24"/>
        </w:rPr>
        <w:t xml:space="preserve"> Tables 1</w:t>
      </w:r>
      <w:r w:rsidR="001A158E" w:rsidRPr="00BB47B6">
        <w:rPr>
          <w:rFonts w:ascii="Times New Roman" w:hAnsi="Times New Roman" w:cs="Times New Roman"/>
          <w:sz w:val="24"/>
          <w:szCs w:val="24"/>
        </w:rPr>
        <w:t>)</w:t>
      </w:r>
      <w:r w:rsidR="00884EE9" w:rsidRPr="00BB47B6">
        <w:rPr>
          <w:rFonts w:ascii="Times New Roman" w:hAnsi="Times New Roman" w:cs="Times New Roman"/>
          <w:sz w:val="24"/>
          <w:szCs w:val="24"/>
        </w:rPr>
        <w:t>.</w:t>
      </w:r>
    </w:p>
    <w:p w:rsidR="00CB7B86" w:rsidRDefault="00E173C4" w:rsidP="00676770">
      <w:p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6770">
        <w:rPr>
          <w:rFonts w:ascii="Times New Roman" w:hAnsi="Times New Roman" w:cs="Times New Roman"/>
          <w:b/>
          <w:sz w:val="24"/>
          <w:szCs w:val="24"/>
        </w:rPr>
        <w:t>Strengths and limitations</w:t>
      </w:r>
    </w:p>
    <w:p w:rsidR="009F7ED0" w:rsidRPr="00E047A3" w:rsidRDefault="00CB7B86" w:rsidP="00E047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47A3">
        <w:rPr>
          <w:rFonts w:ascii="Times New Roman" w:hAnsi="Times New Roman" w:cs="Times New Roman"/>
          <w:sz w:val="24"/>
          <w:szCs w:val="24"/>
        </w:rPr>
        <w:t>One of the strengths of using MINAP data is that it provides us with a large number of events a</w:t>
      </w:r>
      <w:r>
        <w:rPr>
          <w:rFonts w:ascii="Times New Roman" w:hAnsi="Times New Roman" w:cs="Times New Roman"/>
          <w:sz w:val="24"/>
          <w:szCs w:val="24"/>
        </w:rPr>
        <w:t>nd hence good statistical power</w:t>
      </w:r>
      <w:r w:rsidRPr="00E047A3">
        <w:rPr>
          <w:rFonts w:ascii="Times New Roman" w:hAnsi="Times New Roman" w:cs="Times New Roman"/>
          <w:sz w:val="24"/>
          <w:szCs w:val="24"/>
        </w:rPr>
        <w:t xml:space="preserve"> </w:t>
      </w:r>
      <w:r w:rsidR="0043392F">
        <w:rPr>
          <w:rFonts w:ascii="Times New Roman" w:hAnsi="Times New Roman" w:cs="Times New Roman"/>
          <w:sz w:val="24"/>
          <w:szCs w:val="24"/>
        </w:rPr>
        <w:t>for detecting associations with ALL MI but also with</w:t>
      </w:r>
      <w:r w:rsidRPr="00E047A3">
        <w:rPr>
          <w:rFonts w:ascii="Times New Roman" w:hAnsi="Times New Roman" w:cs="Times New Roman"/>
          <w:sz w:val="24"/>
          <w:szCs w:val="24"/>
        </w:rPr>
        <w:t xml:space="preserve"> the MI sub-types of STEMI and NSTEMI.</w:t>
      </w:r>
      <w:r w:rsidR="0043392F">
        <w:rPr>
          <w:rFonts w:ascii="Times New Roman" w:hAnsi="Times New Roman" w:cs="Times New Roman"/>
          <w:sz w:val="24"/>
          <w:szCs w:val="24"/>
        </w:rPr>
        <w:t xml:space="preserve"> However</w:t>
      </w:r>
      <w:r w:rsidR="004641A6">
        <w:rPr>
          <w:rFonts w:ascii="Times New Roman" w:hAnsi="Times New Roman" w:cs="Times New Roman"/>
          <w:sz w:val="24"/>
          <w:szCs w:val="24"/>
        </w:rPr>
        <w:t xml:space="preserve"> given t</w:t>
      </w:r>
      <w:r>
        <w:rPr>
          <w:rFonts w:ascii="Times New Roman" w:hAnsi="Times New Roman" w:cs="Times New Roman"/>
          <w:sz w:val="24"/>
          <w:szCs w:val="24"/>
        </w:rPr>
        <w:t xml:space="preserve">he consideration of 3 outcomes and 6 pollutants in our analyses the </w:t>
      </w:r>
      <w:r w:rsidR="004641A6">
        <w:rPr>
          <w:rFonts w:ascii="Times New Roman" w:hAnsi="Times New Roman" w:cs="Times New Roman"/>
          <w:sz w:val="24"/>
          <w:szCs w:val="24"/>
        </w:rPr>
        <w:t xml:space="preserve">possibility of obtaining </w:t>
      </w:r>
      <w:r w:rsidR="0043392F">
        <w:rPr>
          <w:rFonts w:ascii="Times New Roman" w:hAnsi="Times New Roman" w:cs="Times New Roman"/>
          <w:sz w:val="24"/>
          <w:szCs w:val="24"/>
        </w:rPr>
        <w:t xml:space="preserve">a spurious significant </w:t>
      </w:r>
      <w:r w:rsidR="004641A6">
        <w:rPr>
          <w:rFonts w:ascii="Times New Roman" w:hAnsi="Times New Roman" w:cs="Times New Roman"/>
          <w:sz w:val="24"/>
          <w:szCs w:val="24"/>
        </w:rPr>
        <w:t xml:space="preserve">association </w:t>
      </w:r>
      <w:r>
        <w:rPr>
          <w:rFonts w:ascii="Times New Roman" w:hAnsi="Times New Roman" w:cs="Times New Roman"/>
          <w:sz w:val="24"/>
          <w:szCs w:val="24"/>
        </w:rPr>
        <w:t>cannot be discounted</w:t>
      </w:r>
      <w:r w:rsidR="00114CF5">
        <w:rPr>
          <w:rFonts w:ascii="Times New Roman" w:hAnsi="Times New Roman" w:cs="Times New Roman"/>
          <w:sz w:val="24"/>
          <w:szCs w:val="24"/>
        </w:rPr>
        <w:t>.</w:t>
      </w:r>
    </w:p>
    <w:p w:rsidR="001C5328" w:rsidRPr="00BB47B6" w:rsidRDefault="004A629C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Fonts w:ascii="Times New Roman" w:hAnsi="Times New Roman" w:cs="Times New Roman"/>
          <w:sz w:val="24"/>
          <w:szCs w:val="24"/>
        </w:rPr>
        <w:t>W</w:t>
      </w:r>
      <w:r w:rsidR="001A158E" w:rsidRPr="00BB47B6">
        <w:rPr>
          <w:rFonts w:ascii="Times New Roman" w:hAnsi="Times New Roman" w:cs="Times New Roman"/>
          <w:sz w:val="24"/>
          <w:szCs w:val="24"/>
        </w:rPr>
        <w:t>e acknowledge the potential for modelled pollution concentrations based on</w:t>
      </w:r>
      <w:r w:rsidR="00524CC0">
        <w:rPr>
          <w:rFonts w:ascii="Times New Roman" w:hAnsi="Times New Roman" w:cs="Times New Roman"/>
          <w:sz w:val="24"/>
          <w:szCs w:val="24"/>
        </w:rPr>
        <w:t xml:space="preserve"> any</w:t>
      </w:r>
      <w:r w:rsidR="001A158E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524CC0">
        <w:rPr>
          <w:rFonts w:ascii="Times New Roman" w:hAnsi="Times New Roman" w:cs="Times New Roman"/>
          <w:sz w:val="24"/>
          <w:szCs w:val="24"/>
        </w:rPr>
        <w:t>A</w:t>
      </w:r>
      <w:r w:rsidR="001A158E" w:rsidRPr="00BB47B6">
        <w:rPr>
          <w:rFonts w:ascii="Times New Roman" w:hAnsi="Times New Roman" w:cs="Times New Roman"/>
          <w:sz w:val="24"/>
          <w:szCs w:val="24"/>
        </w:rPr>
        <w:t xml:space="preserve">CTM to introduce more classical </w:t>
      </w:r>
      <w:r w:rsidR="005F1250">
        <w:rPr>
          <w:rFonts w:ascii="Times New Roman" w:hAnsi="Times New Roman" w:cs="Times New Roman"/>
          <w:sz w:val="24"/>
          <w:szCs w:val="24"/>
        </w:rPr>
        <w:t xml:space="preserve">measurement </w:t>
      </w:r>
      <w:r w:rsidR="001A158E" w:rsidRPr="00BB47B6">
        <w:rPr>
          <w:rFonts w:ascii="Times New Roman" w:hAnsi="Times New Roman" w:cs="Times New Roman"/>
          <w:sz w:val="24"/>
          <w:szCs w:val="24"/>
        </w:rPr>
        <w:t>error into a time series analysis than monitor data and</w:t>
      </w:r>
      <w:r w:rsidR="00524CC0">
        <w:rPr>
          <w:rFonts w:ascii="Times New Roman" w:hAnsi="Times New Roman" w:cs="Times New Roman"/>
          <w:sz w:val="24"/>
          <w:szCs w:val="24"/>
        </w:rPr>
        <w:t xml:space="preserve"> hence </w:t>
      </w:r>
      <w:r w:rsidR="001A158E" w:rsidRPr="00BB47B6">
        <w:rPr>
          <w:rFonts w:ascii="Times New Roman" w:hAnsi="Times New Roman" w:cs="Times New Roman"/>
          <w:sz w:val="24"/>
          <w:szCs w:val="24"/>
        </w:rPr>
        <w:t xml:space="preserve">lead to greater </w:t>
      </w:r>
      <w:r w:rsidR="0001091F" w:rsidRPr="00BB47B6">
        <w:rPr>
          <w:rFonts w:ascii="Times New Roman" w:hAnsi="Times New Roman" w:cs="Times New Roman"/>
          <w:sz w:val="24"/>
          <w:szCs w:val="24"/>
        </w:rPr>
        <w:t>attenuation in relative risk estimates</w:t>
      </w:r>
      <w:r w:rsidR="00552DF3" w:rsidRPr="00BB47B6">
        <w:rPr>
          <w:rFonts w:ascii="Times New Roman" w:hAnsi="Times New Roman" w:cs="Times New Roman"/>
          <w:sz w:val="24"/>
          <w:szCs w:val="24"/>
        </w:rPr>
        <w:t>.</w:t>
      </w:r>
      <w:r w:rsidR="003E4C6E" w:rsidRPr="00BB47B6">
        <w:rPr>
          <w:rFonts w:ascii="Times New Roman" w:hAnsi="Times New Roman" w:cs="Times New Roman"/>
          <w:sz w:val="24"/>
          <w:szCs w:val="24"/>
        </w:rPr>
        <w:t xml:space="preserve"> However b</w:t>
      </w:r>
      <w:r w:rsidR="000B5E76" w:rsidRPr="00BB47B6">
        <w:rPr>
          <w:rFonts w:ascii="Times New Roman" w:hAnsi="Times New Roman" w:cs="Times New Roman"/>
          <w:sz w:val="24"/>
          <w:szCs w:val="24"/>
        </w:rPr>
        <w:t>ased on our comparison of model and monitor data in Supplementa</w:t>
      </w:r>
      <w:r w:rsidR="008D24B0">
        <w:rPr>
          <w:rFonts w:ascii="Times New Roman" w:hAnsi="Times New Roman" w:cs="Times New Roman"/>
          <w:sz w:val="24"/>
          <w:szCs w:val="24"/>
        </w:rPr>
        <w:t>ry</w:t>
      </w:r>
      <w:r w:rsidR="000B5E76" w:rsidRPr="00BB47B6">
        <w:rPr>
          <w:rFonts w:ascii="Times New Roman" w:hAnsi="Times New Roman" w:cs="Times New Roman"/>
          <w:sz w:val="24"/>
          <w:szCs w:val="24"/>
        </w:rPr>
        <w:t xml:space="preserve"> Table 1 and our previous </w:t>
      </w:r>
      <w:r w:rsidR="00524CC0">
        <w:rPr>
          <w:rFonts w:ascii="Times New Roman" w:hAnsi="Times New Roman" w:cs="Times New Roman"/>
          <w:sz w:val="24"/>
          <w:szCs w:val="24"/>
        </w:rPr>
        <w:t xml:space="preserve">statistical </w:t>
      </w:r>
      <w:r w:rsidR="000B5E76" w:rsidRPr="00BB47B6">
        <w:rPr>
          <w:rFonts w:ascii="Times New Roman" w:hAnsi="Times New Roman" w:cs="Times New Roman"/>
          <w:sz w:val="24"/>
          <w:szCs w:val="24"/>
        </w:rPr>
        <w:t>simulation study</w:t>
      </w:r>
      <w:r w:rsidR="00893505">
        <w:rPr>
          <w:rFonts w:ascii="Times New Roman" w:hAnsi="Times New Roman" w:cs="Times New Roman"/>
          <w:sz w:val="24"/>
          <w:szCs w:val="24"/>
        </w:rPr>
        <w:t>,</w:t>
      </w:r>
      <w:r w:rsidR="000B5E76" w:rsidRPr="00BB47B6">
        <w:rPr>
          <w:rFonts w:ascii="Times New Roman" w:hAnsi="Times New Roman" w:cs="Times New Roman"/>
          <w:sz w:val="24"/>
          <w:szCs w:val="24"/>
        </w:rPr>
        <w:t>[</w:t>
      </w:r>
      <w:r w:rsidR="00175127">
        <w:rPr>
          <w:rFonts w:ascii="Times New Roman" w:hAnsi="Times New Roman" w:cs="Times New Roman"/>
          <w:sz w:val="24"/>
          <w:szCs w:val="24"/>
        </w:rPr>
        <w:t>24</w:t>
      </w:r>
      <w:r w:rsidR="000B5E76" w:rsidRPr="00BB47B6">
        <w:rPr>
          <w:rFonts w:ascii="Times New Roman" w:hAnsi="Times New Roman" w:cs="Times New Roman"/>
          <w:sz w:val="24"/>
          <w:szCs w:val="24"/>
        </w:rPr>
        <w:t xml:space="preserve">] we expect this to be less of an issue for </w:t>
      </w:r>
      <w:r w:rsidR="008D24B0">
        <w:rPr>
          <w:rFonts w:ascii="Times New Roman" w:hAnsi="Times New Roman" w:cs="Times New Roman"/>
          <w:sz w:val="24"/>
          <w:szCs w:val="24"/>
        </w:rPr>
        <w:t>O</w:t>
      </w:r>
      <w:r w:rsidR="008D24B0" w:rsidRPr="006767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B5E76" w:rsidRPr="00BB47B6">
        <w:rPr>
          <w:rFonts w:ascii="Times New Roman" w:hAnsi="Times New Roman" w:cs="Times New Roman"/>
          <w:sz w:val="24"/>
          <w:szCs w:val="24"/>
        </w:rPr>
        <w:t xml:space="preserve"> and for urban PM</w:t>
      </w:r>
      <w:r w:rsidR="000B5E76" w:rsidRPr="00BB47B6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0B5E76" w:rsidRPr="00BB47B6">
        <w:rPr>
          <w:rFonts w:ascii="Times New Roman" w:hAnsi="Times New Roman" w:cs="Times New Roman"/>
          <w:sz w:val="24"/>
          <w:szCs w:val="24"/>
        </w:rPr>
        <w:t xml:space="preserve">. </w:t>
      </w:r>
      <w:r w:rsidR="00552DF3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3E7A46" w:rsidRPr="00BB47B6">
        <w:rPr>
          <w:rFonts w:ascii="Times New Roman" w:hAnsi="Times New Roman" w:cs="Times New Roman"/>
          <w:sz w:val="24"/>
          <w:szCs w:val="24"/>
        </w:rPr>
        <w:t>Measurement error (both classical and Berkson) may also lead to a reduction in sta</w:t>
      </w:r>
      <w:r w:rsidR="000C150F" w:rsidRPr="00BB47B6">
        <w:rPr>
          <w:rFonts w:ascii="Times New Roman" w:hAnsi="Times New Roman" w:cs="Times New Roman"/>
          <w:sz w:val="24"/>
          <w:szCs w:val="24"/>
        </w:rPr>
        <w:t>tistical power</w:t>
      </w:r>
      <w:r w:rsidR="00A6410B">
        <w:rPr>
          <w:rFonts w:ascii="Times New Roman" w:hAnsi="Times New Roman" w:cs="Times New Roman"/>
          <w:sz w:val="24"/>
          <w:szCs w:val="24"/>
        </w:rPr>
        <w:t xml:space="preserve">, although </w:t>
      </w:r>
      <w:r w:rsidR="003E4C6E" w:rsidRPr="00BB47B6">
        <w:rPr>
          <w:rFonts w:ascii="Times New Roman" w:hAnsi="Times New Roman" w:cs="Times New Roman"/>
          <w:sz w:val="24"/>
          <w:szCs w:val="24"/>
        </w:rPr>
        <w:t>for</w:t>
      </w:r>
      <w:r w:rsidR="00AA7B9A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524CC0">
        <w:rPr>
          <w:rFonts w:ascii="Times New Roman" w:hAnsi="Times New Roman" w:cs="Times New Roman"/>
          <w:sz w:val="24"/>
          <w:szCs w:val="24"/>
        </w:rPr>
        <w:t>A</w:t>
      </w:r>
      <w:r w:rsidR="00AA7B9A" w:rsidRPr="00BB47B6">
        <w:rPr>
          <w:rFonts w:ascii="Times New Roman" w:hAnsi="Times New Roman" w:cs="Times New Roman"/>
          <w:sz w:val="24"/>
          <w:szCs w:val="24"/>
        </w:rPr>
        <w:t>CTMs</w:t>
      </w:r>
      <w:r w:rsidR="003E4C6E" w:rsidRPr="00BB47B6">
        <w:rPr>
          <w:rFonts w:ascii="Times New Roman" w:hAnsi="Times New Roman" w:cs="Times New Roman"/>
          <w:sz w:val="24"/>
          <w:szCs w:val="24"/>
        </w:rPr>
        <w:t xml:space="preserve">, the </w:t>
      </w:r>
      <w:r w:rsidR="00AA7B9A" w:rsidRPr="00BB47B6">
        <w:rPr>
          <w:rFonts w:ascii="Times New Roman" w:hAnsi="Times New Roman" w:cs="Times New Roman"/>
          <w:sz w:val="24"/>
          <w:szCs w:val="24"/>
        </w:rPr>
        <w:t>ability to provide</w:t>
      </w:r>
      <w:r w:rsidR="003E4C6E" w:rsidRPr="00BB47B6">
        <w:rPr>
          <w:rFonts w:ascii="Times New Roman" w:hAnsi="Times New Roman" w:cs="Times New Roman"/>
          <w:sz w:val="24"/>
          <w:szCs w:val="24"/>
        </w:rPr>
        <w:t xml:space="preserve"> more complete pollutant time-series </w:t>
      </w:r>
      <w:r w:rsidR="00524CC0">
        <w:rPr>
          <w:rFonts w:ascii="Times New Roman" w:hAnsi="Times New Roman" w:cs="Times New Roman"/>
          <w:sz w:val="24"/>
          <w:szCs w:val="24"/>
        </w:rPr>
        <w:t xml:space="preserve"> </w:t>
      </w:r>
      <w:r w:rsidR="003E4C6E" w:rsidRPr="00BB47B6">
        <w:rPr>
          <w:rFonts w:ascii="Times New Roman" w:hAnsi="Times New Roman" w:cs="Times New Roman"/>
          <w:sz w:val="24"/>
          <w:szCs w:val="24"/>
        </w:rPr>
        <w:t xml:space="preserve">may partly compensate by </w:t>
      </w:r>
      <w:r w:rsidR="00A6410B">
        <w:rPr>
          <w:rFonts w:ascii="Times New Roman" w:hAnsi="Times New Roman" w:cs="Times New Roman"/>
          <w:sz w:val="24"/>
          <w:szCs w:val="24"/>
        </w:rPr>
        <w:t>limiting any reduction in sample size due to missing data.</w:t>
      </w:r>
    </w:p>
    <w:p w:rsidR="00E51833" w:rsidRDefault="005D70BD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Fonts w:ascii="Times New Roman" w:hAnsi="Times New Roman" w:cs="Times New Roman"/>
          <w:sz w:val="24"/>
          <w:szCs w:val="24"/>
        </w:rPr>
        <w:lastRenderedPageBreak/>
        <w:t xml:space="preserve">One advantage of using modelled pollution data is that we can obtain </w:t>
      </w:r>
      <w:r w:rsidR="00C0172A">
        <w:rPr>
          <w:rFonts w:ascii="Times New Roman" w:hAnsi="Times New Roman" w:cs="Times New Roman"/>
          <w:sz w:val="24"/>
          <w:szCs w:val="24"/>
        </w:rPr>
        <w:t xml:space="preserve">geographically complete </w:t>
      </w:r>
      <w:r w:rsidRPr="00BB47B6">
        <w:rPr>
          <w:rFonts w:ascii="Times New Roman" w:hAnsi="Times New Roman" w:cs="Times New Roman"/>
          <w:sz w:val="24"/>
          <w:szCs w:val="24"/>
        </w:rPr>
        <w:t>data</w:t>
      </w:r>
      <w:r w:rsidR="00DB31FC">
        <w:rPr>
          <w:rFonts w:ascii="Times New Roman" w:hAnsi="Times New Roman" w:cs="Times New Roman"/>
          <w:sz w:val="24"/>
          <w:szCs w:val="24"/>
        </w:rPr>
        <w:t>, as measurem</w:t>
      </w:r>
      <w:r w:rsidR="00C0172A">
        <w:rPr>
          <w:rFonts w:ascii="Times New Roman" w:hAnsi="Times New Roman" w:cs="Times New Roman"/>
          <w:sz w:val="24"/>
          <w:szCs w:val="24"/>
        </w:rPr>
        <w:t>ents of PM</w:t>
      </w:r>
      <w:r w:rsidR="00C0172A" w:rsidRPr="00326C7F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C0172A">
        <w:rPr>
          <w:rFonts w:ascii="Times New Roman" w:hAnsi="Times New Roman" w:cs="Times New Roman"/>
          <w:sz w:val="24"/>
          <w:szCs w:val="24"/>
        </w:rPr>
        <w:t xml:space="preserve"> and other species are limited (both in space and time) over the UK. In addition, models can provide</w:t>
      </w:r>
      <w:r w:rsidRPr="00BB47B6">
        <w:rPr>
          <w:rFonts w:ascii="Times New Roman" w:hAnsi="Times New Roman" w:cs="Times New Roman"/>
          <w:sz w:val="24"/>
          <w:szCs w:val="24"/>
        </w:rPr>
        <w:t xml:space="preserve"> particulate </w:t>
      </w:r>
      <w:r w:rsidR="008D24B0">
        <w:rPr>
          <w:rFonts w:ascii="Times New Roman" w:hAnsi="Times New Roman" w:cs="Times New Roman"/>
          <w:sz w:val="24"/>
          <w:szCs w:val="24"/>
        </w:rPr>
        <w:t>matter component</w:t>
      </w:r>
      <w:r w:rsidR="00C0172A">
        <w:rPr>
          <w:rFonts w:ascii="Times New Roman" w:hAnsi="Times New Roman" w:cs="Times New Roman"/>
          <w:sz w:val="24"/>
          <w:szCs w:val="24"/>
        </w:rPr>
        <w:t xml:space="preserve"> data</w:t>
      </w:r>
      <w:r w:rsidRPr="00BB47B6">
        <w:rPr>
          <w:rFonts w:ascii="Times New Roman" w:hAnsi="Times New Roman" w:cs="Times New Roman"/>
          <w:sz w:val="24"/>
          <w:szCs w:val="24"/>
        </w:rPr>
        <w:t xml:space="preserve">, which </w:t>
      </w:r>
      <w:r w:rsidR="00BD388C">
        <w:rPr>
          <w:rFonts w:ascii="Times New Roman" w:hAnsi="Times New Roman" w:cs="Times New Roman"/>
          <w:sz w:val="24"/>
          <w:szCs w:val="24"/>
        </w:rPr>
        <w:t xml:space="preserve">in England and Wales </w:t>
      </w:r>
      <w:r w:rsidRPr="00BB47B6">
        <w:rPr>
          <w:rFonts w:ascii="Times New Roman" w:hAnsi="Times New Roman" w:cs="Times New Roman"/>
          <w:sz w:val="24"/>
          <w:szCs w:val="24"/>
        </w:rPr>
        <w:t xml:space="preserve">are sparsely monitored, </w:t>
      </w:r>
      <w:r w:rsidR="00C0172A">
        <w:rPr>
          <w:rFonts w:ascii="Times New Roman" w:hAnsi="Times New Roman" w:cs="Times New Roman"/>
          <w:sz w:val="24"/>
          <w:szCs w:val="24"/>
        </w:rPr>
        <w:t>or restricted to intensive field campaigns</w:t>
      </w:r>
      <w:r w:rsidRPr="00BB47B6">
        <w:rPr>
          <w:rFonts w:ascii="Times New Roman" w:hAnsi="Times New Roman" w:cs="Times New Roman"/>
          <w:sz w:val="24"/>
          <w:szCs w:val="24"/>
        </w:rPr>
        <w:t xml:space="preserve">, and </w:t>
      </w:r>
      <w:r w:rsidR="00C0172A">
        <w:rPr>
          <w:rFonts w:ascii="Times New Roman" w:hAnsi="Times New Roman" w:cs="Times New Roman"/>
          <w:sz w:val="24"/>
          <w:szCs w:val="24"/>
        </w:rPr>
        <w:t xml:space="preserve">hence </w:t>
      </w:r>
      <w:r w:rsidRPr="00BB47B6">
        <w:rPr>
          <w:rFonts w:ascii="Times New Roman" w:hAnsi="Times New Roman" w:cs="Times New Roman"/>
          <w:sz w:val="24"/>
          <w:szCs w:val="24"/>
        </w:rPr>
        <w:t xml:space="preserve">for which little historical data </w:t>
      </w:r>
      <w:r w:rsidR="00BD388C">
        <w:rPr>
          <w:rFonts w:ascii="Times New Roman" w:hAnsi="Times New Roman" w:cs="Times New Roman"/>
          <w:sz w:val="24"/>
          <w:szCs w:val="24"/>
        </w:rPr>
        <w:t>are</w:t>
      </w:r>
      <w:r w:rsidRPr="00BB47B6">
        <w:rPr>
          <w:rFonts w:ascii="Times New Roman" w:hAnsi="Times New Roman" w:cs="Times New Roman"/>
          <w:sz w:val="24"/>
          <w:szCs w:val="24"/>
        </w:rPr>
        <w:t xml:space="preserve"> available. </w:t>
      </w:r>
      <w:r w:rsidR="003E7A46" w:rsidRPr="00BB47B6">
        <w:rPr>
          <w:rFonts w:ascii="Times New Roman" w:hAnsi="Times New Roman" w:cs="Times New Roman"/>
          <w:sz w:val="24"/>
          <w:szCs w:val="24"/>
        </w:rPr>
        <w:t>While</w:t>
      </w:r>
      <w:r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3E7A46" w:rsidRPr="00BB47B6">
        <w:rPr>
          <w:rFonts w:ascii="Times New Roman" w:hAnsi="Times New Roman" w:cs="Times New Roman"/>
          <w:sz w:val="24"/>
          <w:szCs w:val="24"/>
        </w:rPr>
        <w:t xml:space="preserve">in this study </w:t>
      </w:r>
      <w:r w:rsidRPr="00BB47B6">
        <w:rPr>
          <w:rFonts w:ascii="Times New Roman" w:hAnsi="Times New Roman" w:cs="Times New Roman"/>
          <w:sz w:val="24"/>
          <w:szCs w:val="24"/>
        </w:rPr>
        <w:t>we found no evidence of</w:t>
      </w:r>
      <w:r w:rsidR="003E7A46" w:rsidRPr="00BB47B6">
        <w:rPr>
          <w:rFonts w:ascii="Times New Roman" w:hAnsi="Times New Roman" w:cs="Times New Roman"/>
          <w:sz w:val="24"/>
          <w:szCs w:val="24"/>
        </w:rPr>
        <w:t xml:space="preserve"> associations with </w:t>
      </w:r>
      <w:r w:rsidR="00C0172A">
        <w:rPr>
          <w:rFonts w:ascii="Times New Roman" w:hAnsi="Times New Roman" w:cs="Times New Roman"/>
          <w:sz w:val="24"/>
          <w:szCs w:val="24"/>
        </w:rPr>
        <w:t xml:space="preserve">the </w:t>
      </w:r>
      <w:r w:rsidRPr="00BB47B6">
        <w:rPr>
          <w:rFonts w:ascii="Times New Roman" w:hAnsi="Times New Roman" w:cs="Times New Roman"/>
          <w:sz w:val="24"/>
          <w:szCs w:val="24"/>
        </w:rPr>
        <w:t>EC</w:t>
      </w:r>
      <w:r w:rsidR="00BD388C">
        <w:rPr>
          <w:rFonts w:ascii="Times New Roman" w:hAnsi="Times New Roman" w:cs="Times New Roman"/>
          <w:sz w:val="24"/>
          <w:szCs w:val="24"/>
        </w:rPr>
        <w:t xml:space="preserve"> </w:t>
      </w:r>
      <w:r w:rsidRPr="00BB47B6">
        <w:rPr>
          <w:rFonts w:ascii="Times New Roman" w:hAnsi="Times New Roman" w:cs="Times New Roman"/>
          <w:sz w:val="24"/>
          <w:szCs w:val="24"/>
        </w:rPr>
        <w:t>or sulphate</w:t>
      </w:r>
      <w:r w:rsidR="00C0172A">
        <w:rPr>
          <w:rFonts w:ascii="Times New Roman" w:hAnsi="Times New Roman" w:cs="Times New Roman"/>
          <w:sz w:val="24"/>
          <w:szCs w:val="24"/>
        </w:rPr>
        <w:t xml:space="preserve"> components of PM</w:t>
      </w:r>
      <w:r w:rsidR="00C0172A" w:rsidRPr="00326C7F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C0172A">
        <w:rPr>
          <w:rFonts w:ascii="Times New Roman" w:hAnsi="Times New Roman" w:cs="Times New Roman"/>
          <w:sz w:val="24"/>
          <w:szCs w:val="24"/>
        </w:rPr>
        <w:t xml:space="preserve">, there may be associations with other particle </w:t>
      </w:r>
      <w:r w:rsidR="00BA1F48">
        <w:rPr>
          <w:rFonts w:ascii="Times New Roman" w:hAnsi="Times New Roman" w:cs="Times New Roman"/>
          <w:sz w:val="24"/>
          <w:szCs w:val="24"/>
        </w:rPr>
        <w:t xml:space="preserve">component matter </w:t>
      </w:r>
      <w:r w:rsidR="00C0172A">
        <w:rPr>
          <w:rFonts w:ascii="Times New Roman" w:hAnsi="Times New Roman" w:cs="Times New Roman"/>
          <w:sz w:val="24"/>
          <w:szCs w:val="24"/>
        </w:rPr>
        <w:t xml:space="preserve">not yet investigated. </w:t>
      </w:r>
    </w:p>
    <w:p w:rsidR="00E173C4" w:rsidRPr="00676770" w:rsidRDefault="00E173C4" w:rsidP="00676770">
      <w:p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6770">
        <w:rPr>
          <w:rFonts w:ascii="Times New Roman" w:hAnsi="Times New Roman" w:cs="Times New Roman"/>
          <w:b/>
          <w:sz w:val="24"/>
          <w:szCs w:val="24"/>
        </w:rPr>
        <w:t>Critical exposure period</w:t>
      </w:r>
    </w:p>
    <w:p w:rsidR="003419D1" w:rsidRDefault="00226FB2" w:rsidP="003419D1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Fonts w:ascii="Times New Roman" w:hAnsi="Times New Roman" w:cs="Times New Roman"/>
          <w:sz w:val="24"/>
          <w:szCs w:val="24"/>
        </w:rPr>
        <w:t xml:space="preserve">If there is a detrimental effect </w:t>
      </w:r>
      <w:r w:rsidR="00C4034D" w:rsidRPr="00BB47B6">
        <w:rPr>
          <w:rFonts w:ascii="Times New Roman" w:hAnsi="Times New Roman" w:cs="Times New Roman"/>
          <w:sz w:val="24"/>
          <w:szCs w:val="24"/>
        </w:rPr>
        <w:t xml:space="preserve">of some pollutants, it is </w:t>
      </w:r>
      <w:r w:rsidRPr="00BB47B6">
        <w:rPr>
          <w:rFonts w:ascii="Times New Roman" w:hAnsi="Times New Roman" w:cs="Times New Roman"/>
          <w:sz w:val="24"/>
          <w:szCs w:val="24"/>
        </w:rPr>
        <w:t xml:space="preserve">not clear whether these effects are immediate (in the </w:t>
      </w:r>
      <w:r w:rsidR="00AE115D" w:rsidRPr="00BB47B6">
        <w:rPr>
          <w:rFonts w:ascii="Times New Roman" w:hAnsi="Times New Roman" w:cs="Times New Roman"/>
          <w:sz w:val="24"/>
          <w:szCs w:val="24"/>
        </w:rPr>
        <w:t xml:space="preserve">few hours prior to the event), </w:t>
      </w:r>
      <w:r w:rsidR="00C4034D" w:rsidRPr="00BB47B6">
        <w:rPr>
          <w:rFonts w:ascii="Times New Roman" w:hAnsi="Times New Roman" w:cs="Times New Roman"/>
          <w:sz w:val="24"/>
          <w:szCs w:val="24"/>
        </w:rPr>
        <w:t>delayed</w:t>
      </w:r>
      <w:r w:rsidR="00AE115D" w:rsidRPr="00BB47B6">
        <w:rPr>
          <w:rFonts w:ascii="Times New Roman" w:hAnsi="Times New Roman" w:cs="Times New Roman"/>
          <w:sz w:val="24"/>
          <w:szCs w:val="24"/>
        </w:rPr>
        <w:t xml:space="preserve"> or cumulative</w:t>
      </w:r>
      <w:r w:rsidR="00C4034D" w:rsidRPr="00BB47B6">
        <w:rPr>
          <w:rFonts w:ascii="Times New Roman" w:hAnsi="Times New Roman" w:cs="Times New Roman"/>
          <w:sz w:val="24"/>
          <w:szCs w:val="24"/>
        </w:rPr>
        <w:t>.</w:t>
      </w:r>
      <w:r w:rsidR="004054D8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9E79CF" w:rsidRPr="00BB47B6">
        <w:rPr>
          <w:rFonts w:ascii="Times New Roman" w:hAnsi="Times New Roman" w:cs="Times New Roman"/>
          <w:sz w:val="24"/>
          <w:szCs w:val="24"/>
        </w:rPr>
        <w:t>A small study of</w:t>
      </w:r>
      <w:r w:rsidR="002C24A2">
        <w:rPr>
          <w:rFonts w:ascii="Times New Roman" w:hAnsi="Times New Roman" w:cs="Times New Roman"/>
          <w:sz w:val="24"/>
          <w:szCs w:val="24"/>
        </w:rPr>
        <w:t xml:space="preserve"> MI</w:t>
      </w:r>
      <w:r w:rsidR="009E79CF" w:rsidRPr="00BB47B6">
        <w:rPr>
          <w:rFonts w:ascii="Times New Roman" w:hAnsi="Times New Roman" w:cs="Times New Roman"/>
          <w:sz w:val="24"/>
          <w:szCs w:val="24"/>
        </w:rPr>
        <w:t xml:space="preserve"> and particulate </w:t>
      </w:r>
      <w:r w:rsidR="00715360" w:rsidRPr="00BB47B6">
        <w:rPr>
          <w:rFonts w:ascii="Times New Roman" w:hAnsi="Times New Roman" w:cs="Times New Roman"/>
          <w:sz w:val="24"/>
          <w:szCs w:val="24"/>
        </w:rPr>
        <w:t xml:space="preserve">air </w:t>
      </w:r>
      <w:r w:rsidR="009E79CF" w:rsidRPr="00BB47B6">
        <w:rPr>
          <w:rFonts w:ascii="Times New Roman" w:hAnsi="Times New Roman" w:cs="Times New Roman"/>
          <w:sz w:val="24"/>
          <w:szCs w:val="24"/>
        </w:rPr>
        <w:t xml:space="preserve">pollution </w:t>
      </w:r>
      <w:r w:rsidR="00715360" w:rsidRPr="00BB47B6">
        <w:rPr>
          <w:rFonts w:ascii="Times New Roman" w:hAnsi="Times New Roman" w:cs="Times New Roman"/>
          <w:sz w:val="24"/>
          <w:szCs w:val="24"/>
        </w:rPr>
        <w:t xml:space="preserve">in New York, reported a positive association </w:t>
      </w:r>
      <w:r w:rsidR="00AE115D" w:rsidRPr="00BB47B6">
        <w:rPr>
          <w:rFonts w:ascii="Times New Roman" w:hAnsi="Times New Roman" w:cs="Times New Roman"/>
          <w:sz w:val="24"/>
          <w:szCs w:val="24"/>
        </w:rPr>
        <w:t>of ST</w:t>
      </w:r>
      <w:r w:rsidR="002C24A2">
        <w:rPr>
          <w:rFonts w:ascii="Times New Roman" w:hAnsi="Times New Roman" w:cs="Times New Roman"/>
          <w:sz w:val="24"/>
          <w:szCs w:val="24"/>
        </w:rPr>
        <w:t>EMI</w:t>
      </w:r>
      <w:r w:rsidR="00AE115D" w:rsidRPr="00BB47B6">
        <w:rPr>
          <w:rFonts w:ascii="Times New Roman" w:hAnsi="Times New Roman" w:cs="Times New Roman"/>
          <w:sz w:val="24"/>
          <w:szCs w:val="24"/>
        </w:rPr>
        <w:t xml:space="preserve"> with </w:t>
      </w:r>
      <w:r w:rsidR="00715360" w:rsidRPr="00BB47B6">
        <w:rPr>
          <w:rFonts w:ascii="Times New Roman" w:hAnsi="Times New Roman" w:cs="Times New Roman"/>
          <w:sz w:val="24"/>
          <w:szCs w:val="24"/>
        </w:rPr>
        <w:t>PM</w:t>
      </w:r>
      <w:r w:rsidR="00715360" w:rsidRPr="00BB47B6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715360" w:rsidRPr="00BB47B6">
        <w:rPr>
          <w:rFonts w:ascii="Times New Roman" w:hAnsi="Times New Roman" w:cs="Times New Roman"/>
          <w:sz w:val="24"/>
          <w:szCs w:val="24"/>
        </w:rPr>
        <w:t xml:space="preserve"> exposure in </w:t>
      </w:r>
      <w:r w:rsidR="007466AB" w:rsidRPr="00BB47B6">
        <w:rPr>
          <w:rFonts w:ascii="Times New Roman" w:hAnsi="Times New Roman" w:cs="Times New Roman"/>
          <w:sz w:val="24"/>
          <w:szCs w:val="24"/>
        </w:rPr>
        <w:t>the 1 hour prior to event</w:t>
      </w:r>
      <w:r w:rsidR="001D2256" w:rsidRPr="00BB47B6">
        <w:rPr>
          <w:rFonts w:ascii="Times New Roman" w:hAnsi="Times New Roman" w:cs="Times New Roman"/>
          <w:sz w:val="24"/>
          <w:szCs w:val="24"/>
        </w:rPr>
        <w:t>, with o</w:t>
      </w:r>
      <w:r w:rsidR="007466AB" w:rsidRPr="00BB47B6">
        <w:rPr>
          <w:rFonts w:ascii="Times New Roman" w:hAnsi="Times New Roman" w:cs="Times New Roman"/>
          <w:sz w:val="24"/>
          <w:szCs w:val="24"/>
        </w:rPr>
        <w:t>dds rat</w:t>
      </w:r>
      <w:r w:rsidR="00AE115D" w:rsidRPr="00BB47B6">
        <w:rPr>
          <w:rFonts w:ascii="Times New Roman" w:hAnsi="Times New Roman" w:cs="Times New Roman"/>
          <w:sz w:val="24"/>
          <w:szCs w:val="24"/>
        </w:rPr>
        <w:t xml:space="preserve">ios for the 3, 12 and 24 hours prior </w:t>
      </w:r>
      <w:r w:rsidR="001D2256" w:rsidRPr="00BB47B6">
        <w:rPr>
          <w:rFonts w:ascii="Times New Roman" w:hAnsi="Times New Roman" w:cs="Times New Roman"/>
          <w:sz w:val="24"/>
          <w:szCs w:val="24"/>
        </w:rPr>
        <w:t>to event, greater than 1 but</w:t>
      </w:r>
      <w:r w:rsidR="00AE115D" w:rsidRPr="00BB47B6">
        <w:rPr>
          <w:rFonts w:ascii="Times New Roman" w:hAnsi="Times New Roman" w:cs="Times New Roman"/>
          <w:sz w:val="24"/>
          <w:szCs w:val="24"/>
        </w:rPr>
        <w:t xml:space="preserve"> non-significant</w:t>
      </w:r>
      <w:r w:rsidR="00715360" w:rsidRPr="00BB47B6">
        <w:rPr>
          <w:rFonts w:ascii="Times New Roman" w:hAnsi="Times New Roman" w:cs="Times New Roman"/>
          <w:sz w:val="24"/>
          <w:szCs w:val="24"/>
        </w:rPr>
        <w:t>.</w:t>
      </w:r>
      <w:r w:rsidR="002D44E7" w:rsidRPr="00BB47B6">
        <w:rPr>
          <w:rFonts w:ascii="Times New Roman" w:hAnsi="Times New Roman" w:cs="Times New Roman"/>
          <w:sz w:val="24"/>
          <w:szCs w:val="24"/>
        </w:rPr>
        <w:t>[</w:t>
      </w:r>
      <w:r w:rsidR="00EF1181" w:rsidRPr="00BB47B6">
        <w:rPr>
          <w:rFonts w:ascii="Times New Roman" w:hAnsi="Times New Roman" w:cs="Times New Roman"/>
          <w:sz w:val="24"/>
          <w:szCs w:val="24"/>
        </w:rPr>
        <w:t>12</w:t>
      </w:r>
      <w:r w:rsidR="009F2CA0" w:rsidRPr="00BB47B6">
        <w:rPr>
          <w:rFonts w:ascii="Times New Roman" w:hAnsi="Times New Roman" w:cs="Times New Roman"/>
          <w:sz w:val="24"/>
          <w:szCs w:val="24"/>
        </w:rPr>
        <w:t>]</w:t>
      </w:r>
      <w:r w:rsidR="00715360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C20143">
        <w:rPr>
          <w:rFonts w:ascii="Times New Roman" w:hAnsi="Times New Roman" w:cs="Times New Roman"/>
          <w:sz w:val="24"/>
          <w:szCs w:val="24"/>
        </w:rPr>
        <w:t>Similarly, a</w:t>
      </w:r>
      <w:r w:rsidR="003419D1">
        <w:rPr>
          <w:rFonts w:ascii="Times New Roman" w:hAnsi="Times New Roman" w:cs="Times New Roman"/>
          <w:sz w:val="24"/>
          <w:szCs w:val="24"/>
        </w:rPr>
        <w:t xml:space="preserve"> large, though exploratory study of air pollution</w:t>
      </w:r>
      <w:r w:rsidR="002C24A2">
        <w:rPr>
          <w:rFonts w:ascii="Times New Roman" w:hAnsi="Times New Roman" w:cs="Times New Roman"/>
          <w:sz w:val="24"/>
          <w:szCs w:val="24"/>
        </w:rPr>
        <w:t xml:space="preserve"> and acute MI</w:t>
      </w:r>
      <w:r w:rsidR="003419D1">
        <w:rPr>
          <w:rFonts w:ascii="Times New Roman" w:hAnsi="Times New Roman" w:cs="Times New Roman"/>
          <w:sz w:val="24"/>
          <w:szCs w:val="24"/>
        </w:rPr>
        <w:t xml:space="preserve"> in Alberta, Canada, reported positive associations</w:t>
      </w:r>
      <w:r w:rsidR="00C20143">
        <w:rPr>
          <w:rFonts w:ascii="Times New Roman" w:hAnsi="Times New Roman" w:cs="Times New Roman"/>
          <w:sz w:val="24"/>
          <w:szCs w:val="24"/>
        </w:rPr>
        <w:t xml:space="preserve"> of NSTEMI</w:t>
      </w:r>
      <w:r w:rsidR="00B50F16">
        <w:rPr>
          <w:rFonts w:ascii="Times New Roman" w:hAnsi="Times New Roman" w:cs="Times New Roman"/>
          <w:sz w:val="24"/>
          <w:szCs w:val="24"/>
        </w:rPr>
        <w:t xml:space="preserve"> in the </w:t>
      </w:r>
      <w:r w:rsidR="003419D1">
        <w:rPr>
          <w:rFonts w:ascii="Times New Roman" w:hAnsi="Times New Roman" w:cs="Times New Roman"/>
          <w:sz w:val="24"/>
          <w:szCs w:val="24"/>
        </w:rPr>
        <w:t xml:space="preserve">65 </w:t>
      </w:r>
      <w:r w:rsidR="00B50F16">
        <w:rPr>
          <w:rFonts w:ascii="Times New Roman" w:hAnsi="Times New Roman" w:cs="Times New Roman"/>
          <w:sz w:val="24"/>
          <w:szCs w:val="24"/>
        </w:rPr>
        <w:t xml:space="preserve">and over </w:t>
      </w:r>
      <w:r w:rsidR="003419D1">
        <w:rPr>
          <w:rFonts w:ascii="Times New Roman" w:hAnsi="Times New Roman" w:cs="Times New Roman"/>
          <w:sz w:val="24"/>
          <w:szCs w:val="24"/>
        </w:rPr>
        <w:t>age group with average NO</w:t>
      </w:r>
      <w:r w:rsidR="003419D1" w:rsidRPr="00974E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419D1">
        <w:rPr>
          <w:rFonts w:ascii="Times New Roman" w:hAnsi="Times New Roman" w:cs="Times New Roman"/>
          <w:sz w:val="24"/>
          <w:szCs w:val="24"/>
        </w:rPr>
        <w:t xml:space="preserve"> exposures in the 6, 12 and 24 hours prior to event (sugg</w:t>
      </w:r>
      <w:r w:rsidR="00711B2A">
        <w:rPr>
          <w:rFonts w:ascii="Times New Roman" w:hAnsi="Times New Roman" w:cs="Times New Roman"/>
          <w:sz w:val="24"/>
          <w:szCs w:val="24"/>
        </w:rPr>
        <w:t>esting elevations in risk of 3.7%, 3.8</w:t>
      </w:r>
      <w:r w:rsidR="003419D1">
        <w:rPr>
          <w:rFonts w:ascii="Times New Roman" w:hAnsi="Times New Roman" w:cs="Times New Roman"/>
          <w:sz w:val="24"/>
          <w:szCs w:val="24"/>
        </w:rPr>
        <w:t xml:space="preserve">% and 3.7% </w:t>
      </w:r>
      <w:r w:rsidR="003419D1" w:rsidRPr="00BB47B6">
        <w:rPr>
          <w:rFonts w:ascii="Times New Roman" w:hAnsi="Times New Roman" w:cs="Times New Roman"/>
          <w:sz w:val="24"/>
          <w:szCs w:val="24"/>
        </w:rPr>
        <w:t>per 10</w:t>
      </w:r>
      <w:r w:rsidR="003419D1">
        <w:rPr>
          <w:rFonts w:ascii="Times New Roman" w:hAnsi="Times New Roman" w:cs="Times New Roman"/>
          <w:sz w:val="24"/>
          <w:szCs w:val="24"/>
        </w:rPr>
        <w:t xml:space="preserve"> </w:t>
      </w:r>
      <w:r w:rsidR="003419D1" w:rsidRPr="00BB47B6">
        <w:rPr>
          <w:rFonts w:ascii="Times New Roman" w:hAnsi="Times New Roman" w:cs="Times New Roman"/>
          <w:sz w:val="24"/>
          <w:szCs w:val="24"/>
        </w:rPr>
        <w:t>µg/m</w:t>
      </w:r>
      <w:r w:rsidR="003419D1" w:rsidRPr="00BB47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419D1">
        <w:rPr>
          <w:rFonts w:ascii="Times New Roman" w:hAnsi="Times New Roman" w:cs="Times New Roman"/>
          <w:sz w:val="24"/>
          <w:szCs w:val="24"/>
        </w:rPr>
        <w:t xml:space="preserve"> r</w:t>
      </w:r>
      <w:r w:rsidR="003419D1" w:rsidRPr="00BB47B6">
        <w:rPr>
          <w:rFonts w:ascii="Times New Roman" w:hAnsi="Times New Roman" w:cs="Times New Roman"/>
          <w:sz w:val="24"/>
          <w:szCs w:val="24"/>
        </w:rPr>
        <w:t>espectively</w:t>
      </w:r>
      <w:r w:rsidR="003419D1">
        <w:rPr>
          <w:rFonts w:ascii="Times New Roman" w:hAnsi="Times New Roman" w:cs="Times New Roman"/>
          <w:sz w:val="24"/>
          <w:szCs w:val="24"/>
        </w:rPr>
        <w:t>).</w:t>
      </w:r>
      <w:r w:rsidR="00664BC1">
        <w:rPr>
          <w:rFonts w:ascii="Times New Roman" w:hAnsi="Times New Roman" w:cs="Times New Roman"/>
          <w:sz w:val="24"/>
          <w:szCs w:val="24"/>
        </w:rPr>
        <w:t>[13</w:t>
      </w:r>
      <w:r w:rsidR="00130F63">
        <w:rPr>
          <w:rFonts w:ascii="Times New Roman" w:hAnsi="Times New Roman" w:cs="Times New Roman"/>
          <w:sz w:val="24"/>
          <w:szCs w:val="24"/>
        </w:rPr>
        <w:t>]</w:t>
      </w:r>
    </w:p>
    <w:p w:rsidR="00790E73" w:rsidRPr="00A50EBE" w:rsidRDefault="00C20143" w:rsidP="00D424CD">
      <w:pPr>
        <w:spacing w:before="120" w:after="12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terms of </w:t>
      </w:r>
      <w:r w:rsidR="003419D1">
        <w:rPr>
          <w:rFonts w:ascii="Times New Roman" w:hAnsi="Times New Roman" w:cs="Times New Roman"/>
          <w:sz w:val="24"/>
          <w:szCs w:val="24"/>
        </w:rPr>
        <w:t>MINAP,</w:t>
      </w:r>
      <w:r w:rsidR="001D2256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C961A3">
        <w:rPr>
          <w:rFonts w:ascii="Times New Roman" w:hAnsi="Times New Roman" w:cs="Times New Roman"/>
          <w:sz w:val="24"/>
          <w:szCs w:val="24"/>
        </w:rPr>
        <w:t xml:space="preserve">a </w:t>
      </w:r>
      <w:r w:rsidR="001D2256" w:rsidRPr="00BB47B6">
        <w:rPr>
          <w:rFonts w:ascii="Times New Roman" w:hAnsi="Times New Roman" w:cs="Times New Roman"/>
          <w:sz w:val="24"/>
          <w:szCs w:val="24"/>
        </w:rPr>
        <w:t xml:space="preserve">previous </w:t>
      </w:r>
      <w:r w:rsidR="00CB3FFE" w:rsidRPr="00BB47B6">
        <w:rPr>
          <w:rFonts w:ascii="Times New Roman" w:hAnsi="Times New Roman" w:cs="Times New Roman"/>
          <w:sz w:val="24"/>
          <w:szCs w:val="24"/>
        </w:rPr>
        <w:t xml:space="preserve">study of </w:t>
      </w:r>
      <w:r w:rsidR="002B63CC" w:rsidRPr="00BB47B6">
        <w:rPr>
          <w:rFonts w:ascii="Times New Roman" w:hAnsi="Times New Roman" w:cs="Times New Roman"/>
          <w:sz w:val="24"/>
          <w:szCs w:val="24"/>
        </w:rPr>
        <w:t xml:space="preserve">the </w:t>
      </w:r>
      <w:r w:rsidR="00CB3FFE" w:rsidRPr="00BB47B6">
        <w:rPr>
          <w:rFonts w:ascii="Times New Roman" w:hAnsi="Times New Roman" w:cs="Times New Roman"/>
          <w:sz w:val="24"/>
          <w:szCs w:val="24"/>
        </w:rPr>
        <w:t>data</w:t>
      </w:r>
      <w:r w:rsidR="002B63CC" w:rsidRPr="00BB47B6">
        <w:rPr>
          <w:rFonts w:ascii="Times New Roman" w:hAnsi="Times New Roman" w:cs="Times New Roman"/>
          <w:sz w:val="24"/>
          <w:szCs w:val="24"/>
        </w:rPr>
        <w:t>base</w:t>
      </w:r>
      <w:r w:rsidR="00CB3FFE" w:rsidRPr="00BB47B6">
        <w:rPr>
          <w:rFonts w:ascii="Times New Roman" w:hAnsi="Times New Roman" w:cs="Times New Roman"/>
          <w:sz w:val="24"/>
          <w:szCs w:val="24"/>
        </w:rPr>
        <w:t xml:space="preserve"> (2003-2006) </w:t>
      </w:r>
      <w:r w:rsidR="002B63CC" w:rsidRPr="00BB47B6">
        <w:rPr>
          <w:rFonts w:ascii="Times New Roman" w:hAnsi="Times New Roman" w:cs="Times New Roman"/>
          <w:sz w:val="24"/>
          <w:szCs w:val="24"/>
        </w:rPr>
        <w:t>by Bhask</w:t>
      </w:r>
      <w:r w:rsidR="009E79CF" w:rsidRPr="00BB47B6">
        <w:rPr>
          <w:rFonts w:ascii="Times New Roman" w:hAnsi="Times New Roman" w:cs="Times New Roman"/>
          <w:sz w:val="24"/>
          <w:szCs w:val="24"/>
        </w:rPr>
        <w:t>aran et</w:t>
      </w:r>
      <w:r w:rsidR="002B63CC" w:rsidRPr="00BB47B6">
        <w:rPr>
          <w:rFonts w:ascii="Times New Roman" w:hAnsi="Times New Roman" w:cs="Times New Roman"/>
          <w:sz w:val="24"/>
          <w:szCs w:val="24"/>
        </w:rPr>
        <w:t xml:space="preserve"> al.</w:t>
      </w:r>
      <w:r w:rsidR="00893505">
        <w:rPr>
          <w:rFonts w:ascii="Times New Roman" w:hAnsi="Times New Roman" w:cs="Times New Roman"/>
          <w:sz w:val="24"/>
          <w:szCs w:val="24"/>
        </w:rPr>
        <w:t>,</w:t>
      </w:r>
      <w:r w:rsidR="005E540A" w:rsidRPr="00BB47B6">
        <w:rPr>
          <w:rFonts w:ascii="Times New Roman" w:hAnsi="Times New Roman" w:cs="Times New Roman"/>
          <w:sz w:val="24"/>
          <w:szCs w:val="24"/>
        </w:rPr>
        <w:t>[</w:t>
      </w:r>
      <w:r w:rsidR="00EF1181" w:rsidRPr="00BB47B6">
        <w:rPr>
          <w:rFonts w:ascii="Times New Roman" w:hAnsi="Times New Roman" w:cs="Times New Roman"/>
          <w:sz w:val="24"/>
          <w:szCs w:val="24"/>
        </w:rPr>
        <w:t>2</w:t>
      </w:r>
      <w:r w:rsidR="00175127">
        <w:rPr>
          <w:rFonts w:ascii="Times New Roman" w:hAnsi="Times New Roman" w:cs="Times New Roman"/>
          <w:sz w:val="24"/>
          <w:szCs w:val="24"/>
        </w:rPr>
        <w:t>9</w:t>
      </w:r>
      <w:r w:rsidR="009F2CA0" w:rsidRPr="00BB47B6">
        <w:rPr>
          <w:rFonts w:ascii="Times New Roman" w:hAnsi="Times New Roman" w:cs="Times New Roman"/>
          <w:sz w:val="24"/>
          <w:szCs w:val="24"/>
        </w:rPr>
        <w:t>]</w:t>
      </w:r>
      <w:r w:rsidR="002B63CC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CB3FFE" w:rsidRPr="00BB47B6">
        <w:rPr>
          <w:rFonts w:ascii="Times New Roman" w:hAnsi="Times New Roman" w:cs="Times New Roman"/>
          <w:sz w:val="24"/>
          <w:szCs w:val="24"/>
        </w:rPr>
        <w:t>found evidence of positive associations between MI and both NO</w:t>
      </w:r>
      <w:r w:rsidR="00CB3FFE" w:rsidRPr="00BB47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3FFE" w:rsidRPr="00BB47B6">
        <w:rPr>
          <w:rFonts w:ascii="Times New Roman" w:hAnsi="Times New Roman" w:cs="Times New Roman"/>
          <w:sz w:val="24"/>
          <w:szCs w:val="24"/>
        </w:rPr>
        <w:t xml:space="preserve"> and PM</w:t>
      </w:r>
      <w:r w:rsidR="00CB3FFE" w:rsidRPr="00BB47B6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CB3FFE" w:rsidRPr="00BB47B6">
        <w:rPr>
          <w:rFonts w:ascii="Times New Roman" w:hAnsi="Times New Roman" w:cs="Times New Roman"/>
          <w:sz w:val="24"/>
          <w:szCs w:val="24"/>
        </w:rPr>
        <w:t xml:space="preserve"> exposure in the 1-6 hours prior to event (suggesting elevations in risk of 1.1% and 1.2% per 10</w:t>
      </w:r>
      <w:r w:rsidR="006F761A">
        <w:rPr>
          <w:rFonts w:ascii="Times New Roman" w:hAnsi="Times New Roman" w:cs="Times New Roman"/>
          <w:sz w:val="24"/>
          <w:szCs w:val="24"/>
        </w:rPr>
        <w:t xml:space="preserve"> </w:t>
      </w:r>
      <w:r w:rsidR="00CB3FFE" w:rsidRPr="00BB47B6">
        <w:rPr>
          <w:rFonts w:ascii="Times New Roman" w:hAnsi="Times New Roman" w:cs="Times New Roman"/>
          <w:sz w:val="24"/>
          <w:szCs w:val="24"/>
        </w:rPr>
        <w:t>µg/m</w:t>
      </w:r>
      <w:r w:rsidR="00CB3FFE" w:rsidRPr="00BB47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E0B35">
        <w:rPr>
          <w:rFonts w:ascii="Times New Roman" w:hAnsi="Times New Roman" w:cs="Times New Roman"/>
          <w:sz w:val="24"/>
          <w:szCs w:val="24"/>
        </w:rPr>
        <w:t xml:space="preserve"> r</w:t>
      </w:r>
      <w:r w:rsidR="00CB3FFE" w:rsidRPr="00BB47B6">
        <w:rPr>
          <w:rFonts w:ascii="Times New Roman" w:hAnsi="Times New Roman" w:cs="Times New Roman"/>
          <w:sz w:val="24"/>
          <w:szCs w:val="24"/>
        </w:rPr>
        <w:t xml:space="preserve">espectively) but no evidence of associations with exposures in the 7-12, 13-18, 19-24 or 25-72 hours prior. </w:t>
      </w:r>
      <w:r w:rsidR="009E79CF" w:rsidRPr="00BB47B6">
        <w:rPr>
          <w:rFonts w:ascii="Times New Roman" w:hAnsi="Times New Roman" w:cs="Times New Roman"/>
          <w:sz w:val="24"/>
          <w:szCs w:val="24"/>
        </w:rPr>
        <w:t>While</w:t>
      </w:r>
      <w:r w:rsidR="001D2256" w:rsidRPr="00BB47B6">
        <w:rPr>
          <w:rFonts w:ascii="Times New Roman" w:hAnsi="Times New Roman" w:cs="Times New Roman"/>
          <w:sz w:val="24"/>
          <w:szCs w:val="24"/>
        </w:rPr>
        <w:t>, by contrast,</w:t>
      </w:r>
      <w:r w:rsidR="009E79CF" w:rsidRPr="00BB47B6">
        <w:rPr>
          <w:rFonts w:ascii="Times New Roman" w:hAnsi="Times New Roman" w:cs="Times New Roman"/>
          <w:sz w:val="24"/>
          <w:szCs w:val="24"/>
        </w:rPr>
        <w:t xml:space="preserve"> the Milojevic et al.</w:t>
      </w:r>
      <w:r w:rsidR="00893505">
        <w:rPr>
          <w:rFonts w:ascii="Times New Roman" w:hAnsi="Times New Roman" w:cs="Times New Roman"/>
          <w:sz w:val="24"/>
          <w:szCs w:val="24"/>
        </w:rPr>
        <w:t>,</w:t>
      </w:r>
      <w:r w:rsidR="002D44E7" w:rsidRPr="00BB47B6">
        <w:rPr>
          <w:rFonts w:ascii="Times New Roman" w:hAnsi="Times New Roman" w:cs="Times New Roman"/>
          <w:sz w:val="24"/>
          <w:szCs w:val="24"/>
        </w:rPr>
        <w:t>[</w:t>
      </w:r>
      <w:r w:rsidR="00EF1181" w:rsidRPr="00BB47B6">
        <w:rPr>
          <w:rFonts w:ascii="Times New Roman" w:hAnsi="Times New Roman" w:cs="Times New Roman"/>
          <w:sz w:val="24"/>
          <w:szCs w:val="24"/>
        </w:rPr>
        <w:t>11</w:t>
      </w:r>
      <w:r w:rsidR="009F2CA0" w:rsidRPr="00BB47B6">
        <w:rPr>
          <w:rFonts w:ascii="Times New Roman" w:hAnsi="Times New Roman" w:cs="Times New Roman"/>
          <w:sz w:val="24"/>
          <w:szCs w:val="24"/>
        </w:rPr>
        <w:t>]</w:t>
      </w:r>
      <w:r w:rsidR="009E79CF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4F12C8" w:rsidRPr="00BB47B6">
        <w:rPr>
          <w:rFonts w:ascii="Times New Roman" w:hAnsi="Times New Roman" w:cs="Times New Roman"/>
          <w:sz w:val="24"/>
          <w:szCs w:val="24"/>
        </w:rPr>
        <w:t>study</w:t>
      </w:r>
      <w:r w:rsidR="006E0E15" w:rsidRPr="00BB47B6">
        <w:rPr>
          <w:rFonts w:ascii="Times New Roman" w:hAnsi="Times New Roman" w:cs="Times New Roman"/>
          <w:sz w:val="24"/>
          <w:szCs w:val="24"/>
        </w:rPr>
        <w:t xml:space="preserve"> found stronger association</w:t>
      </w:r>
      <w:r w:rsidR="004F12C8" w:rsidRPr="00BB47B6">
        <w:rPr>
          <w:rFonts w:ascii="Times New Roman" w:hAnsi="Times New Roman" w:cs="Times New Roman"/>
          <w:sz w:val="24"/>
          <w:szCs w:val="24"/>
        </w:rPr>
        <w:t>s</w:t>
      </w:r>
      <w:r w:rsidR="007466AB" w:rsidRPr="00BB47B6">
        <w:rPr>
          <w:rFonts w:ascii="Times New Roman" w:hAnsi="Times New Roman" w:cs="Times New Roman"/>
          <w:sz w:val="24"/>
          <w:szCs w:val="24"/>
        </w:rPr>
        <w:t xml:space="preserve"> of both </w:t>
      </w:r>
      <w:r w:rsidR="0089445D">
        <w:rPr>
          <w:rFonts w:ascii="Times New Roman" w:hAnsi="Times New Roman" w:cs="Times New Roman"/>
          <w:sz w:val="24"/>
          <w:szCs w:val="24"/>
        </w:rPr>
        <w:t xml:space="preserve">all </w:t>
      </w:r>
      <w:r w:rsidR="007466AB" w:rsidRPr="00BB47B6">
        <w:rPr>
          <w:rFonts w:ascii="Times New Roman" w:hAnsi="Times New Roman" w:cs="Times New Roman"/>
          <w:sz w:val="24"/>
          <w:szCs w:val="24"/>
        </w:rPr>
        <w:t>MI and NSTEMI with</w:t>
      </w:r>
      <w:r w:rsidR="006E0E15" w:rsidRPr="00BB47B6">
        <w:rPr>
          <w:rFonts w:ascii="Times New Roman" w:hAnsi="Times New Roman" w:cs="Times New Roman"/>
          <w:sz w:val="24"/>
          <w:szCs w:val="24"/>
        </w:rPr>
        <w:t xml:space="preserve"> NO</w:t>
      </w:r>
      <w:r w:rsidR="006E0E15" w:rsidRPr="00BB47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E0E15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9C162E">
        <w:rPr>
          <w:rFonts w:ascii="Times New Roman" w:hAnsi="Times New Roman" w:cs="Times New Roman"/>
          <w:sz w:val="24"/>
          <w:szCs w:val="24"/>
        </w:rPr>
        <w:t xml:space="preserve">at </w:t>
      </w:r>
      <w:r w:rsidR="006E0E15" w:rsidRPr="00BB47B6">
        <w:rPr>
          <w:rFonts w:ascii="Times New Roman" w:hAnsi="Times New Roman" w:cs="Times New Roman"/>
          <w:sz w:val="24"/>
          <w:szCs w:val="24"/>
        </w:rPr>
        <w:t>lags</w:t>
      </w:r>
      <w:r w:rsidR="00E51833">
        <w:rPr>
          <w:rFonts w:ascii="Times New Roman" w:hAnsi="Times New Roman" w:cs="Times New Roman"/>
          <w:sz w:val="24"/>
          <w:szCs w:val="24"/>
        </w:rPr>
        <w:t xml:space="preserve"> </w:t>
      </w:r>
      <w:r w:rsidR="006E0E15" w:rsidRPr="00BB47B6">
        <w:rPr>
          <w:rFonts w:ascii="Times New Roman" w:hAnsi="Times New Roman" w:cs="Times New Roman"/>
          <w:sz w:val="24"/>
          <w:szCs w:val="24"/>
        </w:rPr>
        <w:t xml:space="preserve">0-4 </w:t>
      </w:r>
      <w:r w:rsidR="00600DDE">
        <w:rPr>
          <w:rFonts w:ascii="Times New Roman" w:hAnsi="Times New Roman" w:cs="Times New Roman"/>
          <w:sz w:val="24"/>
          <w:szCs w:val="24"/>
        </w:rPr>
        <w:t xml:space="preserve">days </w:t>
      </w:r>
      <w:r w:rsidR="007466AB" w:rsidRPr="00BB47B6">
        <w:rPr>
          <w:rFonts w:ascii="Times New Roman" w:hAnsi="Times New Roman" w:cs="Times New Roman"/>
          <w:sz w:val="24"/>
          <w:szCs w:val="24"/>
        </w:rPr>
        <w:t xml:space="preserve">rather </w:t>
      </w:r>
      <w:r w:rsidR="006E0E15" w:rsidRPr="00BB47B6">
        <w:rPr>
          <w:rFonts w:ascii="Times New Roman" w:hAnsi="Times New Roman" w:cs="Times New Roman"/>
          <w:sz w:val="24"/>
          <w:szCs w:val="24"/>
        </w:rPr>
        <w:t xml:space="preserve">than </w:t>
      </w:r>
      <w:r w:rsidR="007466AB" w:rsidRPr="00BB47B6">
        <w:rPr>
          <w:rFonts w:ascii="Times New Roman" w:hAnsi="Times New Roman" w:cs="Times New Roman"/>
          <w:sz w:val="24"/>
          <w:szCs w:val="24"/>
        </w:rPr>
        <w:t>NO</w:t>
      </w:r>
      <w:r w:rsidR="007466AB" w:rsidRPr="006767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466AB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9C162E">
        <w:rPr>
          <w:rFonts w:ascii="Times New Roman" w:hAnsi="Times New Roman" w:cs="Times New Roman"/>
          <w:sz w:val="24"/>
          <w:szCs w:val="24"/>
        </w:rPr>
        <w:t xml:space="preserve">at </w:t>
      </w:r>
      <w:r w:rsidR="006E0E15" w:rsidRPr="00BB47B6">
        <w:rPr>
          <w:rFonts w:ascii="Times New Roman" w:hAnsi="Times New Roman" w:cs="Times New Roman"/>
          <w:sz w:val="24"/>
          <w:szCs w:val="24"/>
        </w:rPr>
        <w:t>lags</w:t>
      </w:r>
      <w:r w:rsidR="00C25709">
        <w:rPr>
          <w:rFonts w:ascii="Times New Roman" w:hAnsi="Times New Roman" w:cs="Times New Roman"/>
          <w:sz w:val="24"/>
          <w:szCs w:val="24"/>
        </w:rPr>
        <w:t xml:space="preserve"> </w:t>
      </w:r>
      <w:r w:rsidR="006E0E15" w:rsidRPr="00BB47B6">
        <w:rPr>
          <w:rFonts w:ascii="Times New Roman" w:hAnsi="Times New Roman" w:cs="Times New Roman"/>
          <w:sz w:val="24"/>
          <w:szCs w:val="24"/>
        </w:rPr>
        <w:t>0-1</w:t>
      </w:r>
      <w:r w:rsidR="00600DDE">
        <w:rPr>
          <w:rFonts w:ascii="Times New Roman" w:hAnsi="Times New Roman" w:cs="Times New Roman"/>
          <w:sz w:val="24"/>
          <w:szCs w:val="24"/>
        </w:rPr>
        <w:t xml:space="preserve"> days</w:t>
      </w:r>
      <w:r w:rsidR="006E0E15" w:rsidRPr="00BB47B6">
        <w:rPr>
          <w:rFonts w:ascii="Times New Roman" w:hAnsi="Times New Roman" w:cs="Times New Roman"/>
          <w:sz w:val="24"/>
          <w:szCs w:val="24"/>
        </w:rPr>
        <w:t>, our sensitivity analyses</w:t>
      </w:r>
      <w:r w:rsidR="00600DDE">
        <w:rPr>
          <w:rFonts w:ascii="Times New Roman" w:hAnsi="Times New Roman" w:cs="Times New Roman"/>
          <w:sz w:val="24"/>
          <w:szCs w:val="24"/>
        </w:rPr>
        <w:t xml:space="preserve"> with modelled pollutant data</w:t>
      </w:r>
      <w:r w:rsidR="006E0E15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2D44E7" w:rsidRPr="00BB47B6">
        <w:rPr>
          <w:rFonts w:ascii="Times New Roman" w:hAnsi="Times New Roman" w:cs="Times New Roman"/>
          <w:sz w:val="24"/>
          <w:szCs w:val="24"/>
        </w:rPr>
        <w:t xml:space="preserve">(Figure 1) </w:t>
      </w:r>
      <w:r w:rsidR="006E0E15" w:rsidRPr="00BB47B6">
        <w:rPr>
          <w:rFonts w:ascii="Times New Roman" w:hAnsi="Times New Roman" w:cs="Times New Roman"/>
          <w:sz w:val="24"/>
          <w:szCs w:val="24"/>
        </w:rPr>
        <w:t>suggested stronger associations with the more recent exposur</w:t>
      </w:r>
      <w:r w:rsidR="00712CDA" w:rsidRPr="00BB47B6">
        <w:rPr>
          <w:rFonts w:ascii="Times New Roman" w:hAnsi="Times New Roman" w:cs="Times New Roman"/>
          <w:sz w:val="24"/>
          <w:szCs w:val="24"/>
        </w:rPr>
        <w:t>e (i.e. lag 0</w:t>
      </w:r>
      <w:r w:rsidR="00600DDE">
        <w:rPr>
          <w:rFonts w:ascii="Times New Roman" w:hAnsi="Times New Roman" w:cs="Times New Roman"/>
          <w:sz w:val="24"/>
          <w:szCs w:val="24"/>
        </w:rPr>
        <w:t xml:space="preserve"> days</w:t>
      </w:r>
      <w:r w:rsidR="00712CDA" w:rsidRPr="00BB47B6">
        <w:rPr>
          <w:rFonts w:ascii="Times New Roman" w:hAnsi="Times New Roman" w:cs="Times New Roman"/>
          <w:sz w:val="24"/>
          <w:szCs w:val="24"/>
        </w:rPr>
        <w:t>) than lags 1 or 2</w:t>
      </w:r>
      <w:r w:rsidR="00600DDE">
        <w:rPr>
          <w:rFonts w:ascii="Times New Roman" w:hAnsi="Times New Roman" w:cs="Times New Roman"/>
          <w:sz w:val="24"/>
          <w:szCs w:val="24"/>
        </w:rPr>
        <w:t xml:space="preserve"> days</w:t>
      </w:r>
      <w:r w:rsidR="00712CDA" w:rsidRPr="00BB47B6">
        <w:rPr>
          <w:rFonts w:ascii="Times New Roman" w:hAnsi="Times New Roman" w:cs="Times New Roman"/>
          <w:sz w:val="24"/>
          <w:szCs w:val="24"/>
        </w:rPr>
        <w:t>.</w:t>
      </w:r>
      <w:r w:rsidR="00790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2C8" w:rsidRPr="00BB47B6" w:rsidRDefault="004F12C8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7030F3" w:rsidRPr="00676770" w:rsidRDefault="007030F3" w:rsidP="00676770">
      <w:p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6770">
        <w:rPr>
          <w:rFonts w:ascii="Times New Roman" w:hAnsi="Times New Roman" w:cs="Times New Roman"/>
          <w:b/>
          <w:sz w:val="24"/>
          <w:szCs w:val="24"/>
        </w:rPr>
        <w:t>Mechanisms</w:t>
      </w:r>
    </w:p>
    <w:p w:rsidR="00FD7FD4" w:rsidRPr="00BB47B6" w:rsidRDefault="007030F3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Fonts w:ascii="Times New Roman" w:hAnsi="Times New Roman" w:cs="Times New Roman"/>
          <w:sz w:val="24"/>
          <w:szCs w:val="24"/>
        </w:rPr>
        <w:t xml:space="preserve">Much has been written and hypothesised as to the various possible mechanisms by which an increase in the level of exposure to certain pollutants may increase the </w:t>
      </w:r>
      <w:r w:rsidR="009E1BFD" w:rsidRPr="00BB47B6">
        <w:rPr>
          <w:rFonts w:ascii="Times New Roman" w:hAnsi="Times New Roman" w:cs="Times New Roman"/>
          <w:sz w:val="24"/>
          <w:szCs w:val="24"/>
        </w:rPr>
        <w:t>risk of an acute coronary event, including by increasing blood pressure, blood viscosity, promoting an inflammatory response, interfering with heart rhythm or promoting vasoconstriction.</w:t>
      </w:r>
      <w:r w:rsidR="005E540A" w:rsidRPr="00BB47B6">
        <w:rPr>
          <w:rFonts w:ascii="Times New Roman" w:hAnsi="Times New Roman" w:cs="Times New Roman"/>
          <w:sz w:val="24"/>
          <w:szCs w:val="24"/>
        </w:rPr>
        <w:t>[</w:t>
      </w:r>
      <w:r w:rsidR="00EF1181" w:rsidRPr="00BB47B6">
        <w:rPr>
          <w:rFonts w:ascii="Times New Roman" w:hAnsi="Times New Roman" w:cs="Times New Roman"/>
          <w:sz w:val="24"/>
          <w:szCs w:val="24"/>
        </w:rPr>
        <w:t>3-4</w:t>
      </w:r>
      <w:r w:rsidR="006F5003" w:rsidRPr="00BB47B6">
        <w:rPr>
          <w:rFonts w:ascii="Times New Roman" w:hAnsi="Times New Roman" w:cs="Times New Roman"/>
          <w:sz w:val="24"/>
          <w:szCs w:val="24"/>
        </w:rPr>
        <w:t>]</w:t>
      </w:r>
      <w:r w:rsidR="0063252B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A94B10" w:rsidRPr="00BB47B6">
        <w:rPr>
          <w:rFonts w:ascii="Times New Roman" w:hAnsi="Times New Roman" w:cs="Times New Roman"/>
          <w:sz w:val="24"/>
          <w:szCs w:val="24"/>
        </w:rPr>
        <w:t>Of</w:t>
      </w:r>
      <w:r w:rsidR="000E0B35">
        <w:rPr>
          <w:rFonts w:ascii="Times New Roman" w:hAnsi="Times New Roman" w:cs="Times New Roman"/>
          <w:sz w:val="24"/>
          <w:szCs w:val="24"/>
        </w:rPr>
        <w:t xml:space="preserve"> </w:t>
      </w:r>
      <w:r w:rsidR="00A94B10" w:rsidRPr="00BB47B6">
        <w:rPr>
          <w:rFonts w:ascii="Times New Roman" w:hAnsi="Times New Roman" w:cs="Times New Roman"/>
          <w:sz w:val="24"/>
          <w:szCs w:val="24"/>
        </w:rPr>
        <w:t>interest here is how these mechanisms may differ</w:t>
      </w:r>
      <w:r w:rsidR="00527333" w:rsidRPr="00BB47B6">
        <w:rPr>
          <w:rFonts w:ascii="Times New Roman" w:hAnsi="Times New Roman" w:cs="Times New Roman"/>
          <w:sz w:val="24"/>
          <w:szCs w:val="24"/>
        </w:rPr>
        <w:t xml:space="preserve">entially impact on STEMI and NSTEMI. </w:t>
      </w:r>
      <w:r w:rsidR="00A94B10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D55232" w:rsidRPr="00BB47B6">
        <w:rPr>
          <w:rFonts w:ascii="Times New Roman" w:hAnsi="Times New Roman" w:cs="Times New Roman"/>
          <w:sz w:val="24"/>
          <w:szCs w:val="24"/>
        </w:rPr>
        <w:t>The total occlusion of a coronary</w:t>
      </w:r>
      <w:r w:rsidR="00410A99" w:rsidRPr="00BB47B6">
        <w:rPr>
          <w:rFonts w:ascii="Times New Roman" w:hAnsi="Times New Roman" w:cs="Times New Roman"/>
          <w:sz w:val="24"/>
          <w:szCs w:val="24"/>
        </w:rPr>
        <w:t xml:space="preserve"> artery characteristic of ST</w:t>
      </w:r>
      <w:r w:rsidR="002C24A2">
        <w:rPr>
          <w:rFonts w:ascii="Times New Roman" w:hAnsi="Times New Roman" w:cs="Times New Roman"/>
          <w:sz w:val="24"/>
          <w:szCs w:val="24"/>
        </w:rPr>
        <w:t>EMI</w:t>
      </w:r>
      <w:r w:rsidR="00410A99" w:rsidRPr="00BB47B6">
        <w:rPr>
          <w:rFonts w:ascii="Times New Roman" w:hAnsi="Times New Roman" w:cs="Times New Roman"/>
          <w:sz w:val="24"/>
          <w:szCs w:val="24"/>
        </w:rPr>
        <w:t xml:space="preserve"> is more like</w:t>
      </w:r>
      <w:r w:rsidR="0011171B" w:rsidRPr="00BB47B6">
        <w:rPr>
          <w:rFonts w:ascii="Times New Roman" w:hAnsi="Times New Roman" w:cs="Times New Roman"/>
          <w:sz w:val="24"/>
          <w:szCs w:val="24"/>
        </w:rPr>
        <w:t>ly</w:t>
      </w:r>
      <w:r w:rsidR="00410A99" w:rsidRPr="00BB47B6">
        <w:rPr>
          <w:rFonts w:ascii="Times New Roman" w:hAnsi="Times New Roman" w:cs="Times New Roman"/>
          <w:sz w:val="24"/>
          <w:szCs w:val="24"/>
        </w:rPr>
        <w:t xml:space="preserve"> to result from plaque rupture and thrombus formation than the partial occlusion characteristic of </w:t>
      </w:r>
      <w:r w:rsidR="002C24A2">
        <w:rPr>
          <w:rFonts w:ascii="Times New Roman" w:hAnsi="Times New Roman" w:cs="Times New Roman"/>
          <w:sz w:val="24"/>
          <w:szCs w:val="24"/>
        </w:rPr>
        <w:t>NSTEMI</w:t>
      </w:r>
      <w:r w:rsidR="001E5B30">
        <w:rPr>
          <w:rFonts w:ascii="Times New Roman" w:hAnsi="Times New Roman" w:cs="Times New Roman"/>
          <w:sz w:val="24"/>
          <w:szCs w:val="24"/>
        </w:rPr>
        <w:t>.</w:t>
      </w:r>
      <w:r w:rsidR="005E540A" w:rsidRPr="00BB47B6">
        <w:rPr>
          <w:rFonts w:ascii="Times New Roman" w:hAnsi="Times New Roman" w:cs="Times New Roman"/>
          <w:sz w:val="24"/>
          <w:szCs w:val="24"/>
        </w:rPr>
        <w:t>[</w:t>
      </w:r>
      <w:r w:rsidR="00EF1181" w:rsidRPr="00BB47B6">
        <w:rPr>
          <w:rFonts w:ascii="Times New Roman" w:hAnsi="Times New Roman" w:cs="Times New Roman"/>
          <w:sz w:val="24"/>
          <w:szCs w:val="24"/>
        </w:rPr>
        <w:t>12,</w:t>
      </w:r>
      <w:r w:rsidR="00175127">
        <w:rPr>
          <w:rFonts w:ascii="Times New Roman" w:hAnsi="Times New Roman" w:cs="Times New Roman"/>
          <w:sz w:val="24"/>
          <w:szCs w:val="24"/>
        </w:rPr>
        <w:t>30</w:t>
      </w:r>
      <w:r w:rsidR="006F5003" w:rsidRPr="00BB47B6">
        <w:rPr>
          <w:rFonts w:ascii="Times New Roman" w:hAnsi="Times New Roman" w:cs="Times New Roman"/>
          <w:sz w:val="24"/>
          <w:szCs w:val="24"/>
        </w:rPr>
        <w:t>]</w:t>
      </w:r>
      <w:r w:rsidR="00A5176A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BC014E" w:rsidRPr="00BB47B6">
        <w:rPr>
          <w:rFonts w:ascii="Times New Roman" w:hAnsi="Times New Roman" w:cs="Times New Roman"/>
          <w:sz w:val="24"/>
          <w:szCs w:val="24"/>
        </w:rPr>
        <w:t>Gardener et al</w:t>
      </w:r>
      <w:r w:rsidR="005E540A" w:rsidRPr="00BB47B6">
        <w:rPr>
          <w:rFonts w:ascii="Times New Roman" w:hAnsi="Times New Roman" w:cs="Times New Roman"/>
          <w:sz w:val="24"/>
          <w:szCs w:val="24"/>
        </w:rPr>
        <w:t>.</w:t>
      </w:r>
      <w:r w:rsidR="00893505">
        <w:rPr>
          <w:rFonts w:ascii="Times New Roman" w:hAnsi="Times New Roman" w:cs="Times New Roman"/>
          <w:sz w:val="24"/>
          <w:szCs w:val="24"/>
        </w:rPr>
        <w:t>,</w:t>
      </w:r>
      <w:r w:rsidR="005E540A" w:rsidRPr="00BB47B6">
        <w:rPr>
          <w:rFonts w:ascii="Times New Roman" w:hAnsi="Times New Roman" w:cs="Times New Roman"/>
          <w:sz w:val="24"/>
          <w:szCs w:val="24"/>
        </w:rPr>
        <w:t>[</w:t>
      </w:r>
      <w:r w:rsidR="00EF1181" w:rsidRPr="00BB47B6">
        <w:rPr>
          <w:rFonts w:ascii="Times New Roman" w:hAnsi="Times New Roman" w:cs="Times New Roman"/>
          <w:sz w:val="24"/>
          <w:szCs w:val="24"/>
        </w:rPr>
        <w:t>12</w:t>
      </w:r>
      <w:r w:rsidR="00514D51" w:rsidRPr="00BB47B6">
        <w:rPr>
          <w:rFonts w:ascii="Times New Roman" w:hAnsi="Times New Roman" w:cs="Times New Roman"/>
          <w:sz w:val="24"/>
          <w:szCs w:val="24"/>
        </w:rPr>
        <w:t>]</w:t>
      </w:r>
      <w:r w:rsidR="00BC014E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72475E" w:rsidRPr="00BB47B6">
        <w:rPr>
          <w:rFonts w:ascii="Times New Roman" w:hAnsi="Times New Roman" w:cs="Times New Roman"/>
          <w:sz w:val="24"/>
          <w:szCs w:val="24"/>
        </w:rPr>
        <w:t xml:space="preserve">therefore </w:t>
      </w:r>
      <w:r w:rsidR="00BC014E" w:rsidRPr="00BB47B6">
        <w:rPr>
          <w:rFonts w:ascii="Times New Roman" w:hAnsi="Times New Roman" w:cs="Times New Roman"/>
          <w:sz w:val="24"/>
          <w:szCs w:val="24"/>
        </w:rPr>
        <w:t>suggested that whether exposure to a given pollutant</w:t>
      </w:r>
      <w:r w:rsidR="00670187" w:rsidRPr="00BB47B6">
        <w:rPr>
          <w:rFonts w:ascii="Times New Roman" w:hAnsi="Times New Roman" w:cs="Times New Roman"/>
          <w:sz w:val="24"/>
          <w:szCs w:val="24"/>
        </w:rPr>
        <w:t xml:space="preserve"> (in their case</w:t>
      </w:r>
      <w:r w:rsidR="00AB7290">
        <w:rPr>
          <w:rFonts w:ascii="Times New Roman" w:hAnsi="Times New Roman" w:cs="Times New Roman"/>
          <w:sz w:val="24"/>
          <w:szCs w:val="24"/>
        </w:rPr>
        <w:t xml:space="preserve"> </w:t>
      </w:r>
      <w:r w:rsidR="00C757AF">
        <w:rPr>
          <w:rFonts w:ascii="Times New Roman" w:hAnsi="Times New Roman" w:cs="Times New Roman"/>
          <w:sz w:val="24"/>
          <w:szCs w:val="24"/>
        </w:rPr>
        <w:t>PM</w:t>
      </w:r>
      <w:r w:rsidR="00C757AF" w:rsidRPr="00676770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670187" w:rsidRPr="00BB47B6">
        <w:rPr>
          <w:rFonts w:ascii="Times New Roman" w:hAnsi="Times New Roman" w:cs="Times New Roman"/>
          <w:sz w:val="24"/>
          <w:szCs w:val="24"/>
        </w:rPr>
        <w:t>)</w:t>
      </w:r>
      <w:r w:rsidR="000D3888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BC014E" w:rsidRPr="00BB47B6">
        <w:rPr>
          <w:rFonts w:ascii="Times New Roman" w:hAnsi="Times New Roman" w:cs="Times New Roman"/>
          <w:sz w:val="24"/>
          <w:szCs w:val="24"/>
        </w:rPr>
        <w:t>was</w:t>
      </w:r>
      <w:r w:rsidR="00514D51" w:rsidRPr="00BB47B6">
        <w:rPr>
          <w:rFonts w:ascii="Times New Roman" w:hAnsi="Times New Roman" w:cs="Times New Roman"/>
          <w:sz w:val="24"/>
          <w:szCs w:val="24"/>
        </w:rPr>
        <w:t xml:space="preserve"> more</w:t>
      </w:r>
      <w:r w:rsidR="00BC014E" w:rsidRPr="00BB47B6">
        <w:rPr>
          <w:rFonts w:ascii="Times New Roman" w:hAnsi="Times New Roman" w:cs="Times New Roman"/>
          <w:sz w:val="24"/>
          <w:szCs w:val="24"/>
        </w:rPr>
        <w:t xml:space="preserve"> important </w:t>
      </w:r>
      <w:r w:rsidR="00A94B10" w:rsidRPr="00BB47B6">
        <w:rPr>
          <w:rFonts w:ascii="Times New Roman" w:hAnsi="Times New Roman" w:cs="Times New Roman"/>
          <w:sz w:val="24"/>
          <w:szCs w:val="24"/>
        </w:rPr>
        <w:t>in the aetiology</w:t>
      </w:r>
      <w:r w:rsidR="00514D51" w:rsidRPr="00BB47B6">
        <w:rPr>
          <w:rFonts w:ascii="Times New Roman" w:hAnsi="Times New Roman" w:cs="Times New Roman"/>
          <w:sz w:val="24"/>
          <w:szCs w:val="24"/>
        </w:rPr>
        <w:t xml:space="preserve"> of STEMI than</w:t>
      </w:r>
      <w:r w:rsidR="00BC014E" w:rsidRPr="00BB47B6">
        <w:rPr>
          <w:rFonts w:ascii="Times New Roman" w:hAnsi="Times New Roman" w:cs="Times New Roman"/>
          <w:sz w:val="24"/>
          <w:szCs w:val="24"/>
        </w:rPr>
        <w:t xml:space="preserve"> NSTEMI may </w:t>
      </w:r>
      <w:r w:rsidR="00A94B10" w:rsidRPr="00BB47B6">
        <w:rPr>
          <w:rFonts w:ascii="Times New Roman" w:hAnsi="Times New Roman" w:cs="Times New Roman"/>
          <w:sz w:val="24"/>
          <w:szCs w:val="24"/>
        </w:rPr>
        <w:t>depend on whether or how that pollutant influences the processes leading to thrombus forma</w:t>
      </w:r>
      <w:r w:rsidR="00670187" w:rsidRPr="00BB47B6">
        <w:rPr>
          <w:rFonts w:ascii="Times New Roman" w:hAnsi="Times New Roman" w:cs="Times New Roman"/>
          <w:sz w:val="24"/>
          <w:szCs w:val="24"/>
        </w:rPr>
        <w:t>tion and</w:t>
      </w:r>
      <w:r w:rsidR="00C757AF">
        <w:rPr>
          <w:rFonts w:ascii="Times New Roman" w:hAnsi="Times New Roman" w:cs="Times New Roman"/>
          <w:sz w:val="24"/>
          <w:szCs w:val="24"/>
        </w:rPr>
        <w:t>/</w:t>
      </w:r>
      <w:r w:rsidR="00670187" w:rsidRPr="00BB47B6">
        <w:rPr>
          <w:rFonts w:ascii="Times New Roman" w:hAnsi="Times New Roman" w:cs="Times New Roman"/>
          <w:sz w:val="24"/>
          <w:szCs w:val="24"/>
        </w:rPr>
        <w:t>or thrombus dissolution</w:t>
      </w:r>
      <w:r w:rsidR="00A94B10" w:rsidRPr="00BB47B6">
        <w:rPr>
          <w:rFonts w:ascii="Times New Roman" w:hAnsi="Times New Roman" w:cs="Times New Roman"/>
          <w:sz w:val="24"/>
          <w:szCs w:val="24"/>
        </w:rPr>
        <w:t>.</w:t>
      </w:r>
      <w:r w:rsidR="00410A99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670187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A5176A" w:rsidRPr="00BB4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3C4" w:rsidRPr="00676770" w:rsidRDefault="00E173C4" w:rsidP="00676770">
      <w:p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6770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4C4D06" w:rsidRPr="00BB47B6" w:rsidRDefault="009F2CA0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Fonts w:ascii="Times New Roman" w:hAnsi="Times New Roman" w:cs="Times New Roman"/>
          <w:sz w:val="24"/>
          <w:szCs w:val="24"/>
        </w:rPr>
        <w:t xml:space="preserve">In common with a previous </w:t>
      </w:r>
      <w:r w:rsidR="00893505">
        <w:rPr>
          <w:rFonts w:ascii="Times New Roman" w:hAnsi="Times New Roman" w:cs="Times New Roman"/>
          <w:sz w:val="24"/>
          <w:szCs w:val="24"/>
        </w:rPr>
        <w:t>study of the MINAP database,</w:t>
      </w:r>
      <w:r w:rsidR="0072475E" w:rsidRPr="00BB47B6">
        <w:rPr>
          <w:rFonts w:ascii="Times New Roman" w:hAnsi="Times New Roman" w:cs="Times New Roman"/>
          <w:sz w:val="24"/>
          <w:szCs w:val="24"/>
        </w:rPr>
        <w:t>[</w:t>
      </w:r>
      <w:r w:rsidR="00EF1181" w:rsidRPr="00BB47B6">
        <w:rPr>
          <w:rFonts w:ascii="Times New Roman" w:hAnsi="Times New Roman" w:cs="Times New Roman"/>
          <w:sz w:val="24"/>
          <w:szCs w:val="24"/>
        </w:rPr>
        <w:t>11</w:t>
      </w:r>
      <w:r w:rsidRPr="00BB47B6">
        <w:rPr>
          <w:rFonts w:ascii="Times New Roman" w:hAnsi="Times New Roman" w:cs="Times New Roman"/>
          <w:sz w:val="24"/>
          <w:szCs w:val="24"/>
        </w:rPr>
        <w:t>] but</w:t>
      </w:r>
      <w:r w:rsidR="005A22F7" w:rsidRPr="00BB47B6">
        <w:rPr>
          <w:rFonts w:ascii="Times New Roman" w:hAnsi="Times New Roman" w:cs="Times New Roman"/>
          <w:sz w:val="24"/>
          <w:szCs w:val="24"/>
        </w:rPr>
        <w:t xml:space="preserve"> using a</w:t>
      </w:r>
      <w:r w:rsidR="00174626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5A22F7" w:rsidRPr="00BB47B6">
        <w:rPr>
          <w:rFonts w:ascii="Times New Roman" w:hAnsi="Times New Roman" w:cs="Times New Roman"/>
          <w:sz w:val="24"/>
          <w:szCs w:val="24"/>
        </w:rPr>
        <w:t>data</w:t>
      </w:r>
      <w:r w:rsidR="006F761A">
        <w:rPr>
          <w:rFonts w:ascii="Times New Roman" w:hAnsi="Times New Roman" w:cs="Times New Roman"/>
          <w:sz w:val="24"/>
          <w:szCs w:val="24"/>
        </w:rPr>
        <w:t>-</w:t>
      </w:r>
      <w:r w:rsidR="00F34A2C">
        <w:rPr>
          <w:rFonts w:ascii="Times New Roman" w:hAnsi="Times New Roman" w:cs="Times New Roman"/>
          <w:sz w:val="24"/>
          <w:szCs w:val="24"/>
        </w:rPr>
        <w:t>s</w:t>
      </w:r>
      <w:r w:rsidR="005A22F7" w:rsidRPr="00BB47B6">
        <w:rPr>
          <w:rFonts w:ascii="Times New Roman" w:hAnsi="Times New Roman" w:cs="Times New Roman"/>
          <w:sz w:val="24"/>
          <w:szCs w:val="24"/>
        </w:rPr>
        <w:t>et</w:t>
      </w:r>
      <w:r w:rsidR="006F761A">
        <w:rPr>
          <w:rFonts w:ascii="Times New Roman" w:hAnsi="Times New Roman" w:cs="Times New Roman"/>
          <w:sz w:val="24"/>
          <w:szCs w:val="24"/>
        </w:rPr>
        <w:t xml:space="preserve"> </w:t>
      </w:r>
      <w:r w:rsidR="00707B82">
        <w:rPr>
          <w:rFonts w:ascii="Times New Roman" w:hAnsi="Times New Roman" w:cs="Times New Roman"/>
          <w:sz w:val="24"/>
          <w:szCs w:val="24"/>
        </w:rPr>
        <w:t xml:space="preserve">with </w:t>
      </w:r>
      <w:r w:rsidR="00174626">
        <w:rPr>
          <w:rFonts w:ascii="Times New Roman" w:hAnsi="Times New Roman" w:cs="Times New Roman"/>
          <w:sz w:val="24"/>
          <w:szCs w:val="24"/>
        </w:rPr>
        <w:t>notably wider geographical coverage</w:t>
      </w:r>
      <w:r w:rsidR="007501A1">
        <w:rPr>
          <w:rFonts w:ascii="Times New Roman" w:hAnsi="Times New Roman" w:cs="Times New Roman"/>
          <w:sz w:val="24"/>
          <w:szCs w:val="24"/>
        </w:rPr>
        <w:t>, modelled temperature</w:t>
      </w:r>
      <w:r w:rsidR="00174626">
        <w:rPr>
          <w:rFonts w:ascii="Times New Roman" w:hAnsi="Times New Roman" w:cs="Times New Roman"/>
          <w:sz w:val="24"/>
          <w:szCs w:val="24"/>
        </w:rPr>
        <w:t xml:space="preserve"> and </w:t>
      </w:r>
      <w:r w:rsidR="00753652">
        <w:rPr>
          <w:rFonts w:ascii="Times New Roman" w:hAnsi="Times New Roman" w:cs="Times New Roman"/>
          <w:sz w:val="24"/>
          <w:szCs w:val="24"/>
        </w:rPr>
        <w:t>pollution data modelled by an atmospheric chemistry transport model</w:t>
      </w:r>
      <w:r w:rsidR="00707B82">
        <w:rPr>
          <w:rFonts w:ascii="Times New Roman" w:hAnsi="Times New Roman" w:cs="Times New Roman"/>
          <w:sz w:val="24"/>
          <w:szCs w:val="24"/>
        </w:rPr>
        <w:t>,</w:t>
      </w:r>
      <w:r w:rsidR="00174626">
        <w:rPr>
          <w:rFonts w:ascii="Times New Roman" w:hAnsi="Times New Roman" w:cs="Times New Roman"/>
          <w:sz w:val="24"/>
          <w:szCs w:val="24"/>
        </w:rPr>
        <w:t xml:space="preserve"> </w:t>
      </w:r>
      <w:r w:rsidRPr="00BB47B6">
        <w:rPr>
          <w:rFonts w:ascii="Times New Roman" w:hAnsi="Times New Roman" w:cs="Times New Roman"/>
          <w:sz w:val="24"/>
          <w:szCs w:val="24"/>
        </w:rPr>
        <w:t xml:space="preserve">we </w:t>
      </w:r>
      <w:r w:rsidR="006728D1" w:rsidRPr="00BB47B6">
        <w:rPr>
          <w:rFonts w:ascii="Times New Roman" w:hAnsi="Times New Roman" w:cs="Times New Roman"/>
          <w:sz w:val="24"/>
          <w:szCs w:val="24"/>
        </w:rPr>
        <w:t xml:space="preserve">found </w:t>
      </w:r>
      <w:r w:rsidR="0090761A">
        <w:rPr>
          <w:rFonts w:ascii="Times New Roman" w:hAnsi="Times New Roman" w:cs="Times New Roman"/>
          <w:sz w:val="24"/>
          <w:szCs w:val="24"/>
        </w:rPr>
        <w:t xml:space="preserve">some </w:t>
      </w:r>
      <w:r w:rsidR="006728D1" w:rsidRPr="00BB47B6">
        <w:rPr>
          <w:rFonts w:ascii="Times New Roman" w:hAnsi="Times New Roman" w:cs="Times New Roman"/>
          <w:sz w:val="24"/>
          <w:szCs w:val="24"/>
        </w:rPr>
        <w:t xml:space="preserve">evidence of a positive association between exposure to </w:t>
      </w:r>
      <w:r w:rsidR="005A22F7" w:rsidRPr="00BB47B6">
        <w:rPr>
          <w:rFonts w:ascii="Times New Roman" w:hAnsi="Times New Roman" w:cs="Times New Roman"/>
          <w:sz w:val="24"/>
          <w:szCs w:val="24"/>
        </w:rPr>
        <w:t>NO</w:t>
      </w:r>
      <w:r w:rsidR="005A22F7" w:rsidRPr="00BB47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728D1" w:rsidRPr="00BB47B6">
        <w:rPr>
          <w:rFonts w:ascii="Times New Roman" w:hAnsi="Times New Roman" w:cs="Times New Roman"/>
          <w:sz w:val="24"/>
          <w:szCs w:val="24"/>
        </w:rPr>
        <w:t xml:space="preserve"> and</w:t>
      </w:r>
      <w:r w:rsidR="005A22F7" w:rsidRPr="00BB47B6">
        <w:rPr>
          <w:rFonts w:ascii="Times New Roman" w:hAnsi="Times New Roman" w:cs="Times New Roman"/>
          <w:sz w:val="24"/>
          <w:szCs w:val="24"/>
        </w:rPr>
        <w:t xml:space="preserve"> the risk of </w:t>
      </w:r>
      <w:r w:rsidR="00AB2340">
        <w:rPr>
          <w:rFonts w:ascii="Times New Roman" w:hAnsi="Times New Roman" w:cs="Times New Roman"/>
          <w:sz w:val="24"/>
          <w:szCs w:val="24"/>
        </w:rPr>
        <w:t>N</w:t>
      </w:r>
      <w:r w:rsidR="00C6672B">
        <w:rPr>
          <w:rFonts w:ascii="Times New Roman" w:hAnsi="Times New Roman" w:cs="Times New Roman"/>
          <w:sz w:val="24"/>
          <w:szCs w:val="24"/>
        </w:rPr>
        <w:t>STEMI</w:t>
      </w:r>
      <w:r w:rsidR="009E79CF" w:rsidRPr="00BB47B6">
        <w:rPr>
          <w:rFonts w:ascii="Times New Roman" w:hAnsi="Times New Roman" w:cs="Times New Roman"/>
          <w:sz w:val="24"/>
          <w:szCs w:val="24"/>
        </w:rPr>
        <w:t xml:space="preserve">. </w:t>
      </w:r>
      <w:r w:rsidR="00243239">
        <w:rPr>
          <w:rFonts w:ascii="Times New Roman" w:hAnsi="Times New Roman" w:cs="Times New Roman"/>
          <w:sz w:val="24"/>
          <w:szCs w:val="24"/>
        </w:rPr>
        <w:t>T</w:t>
      </w:r>
      <w:r w:rsidR="00480E0A" w:rsidRPr="00BB47B6">
        <w:rPr>
          <w:rFonts w:ascii="Times New Roman" w:hAnsi="Times New Roman" w:cs="Times New Roman"/>
          <w:sz w:val="24"/>
          <w:szCs w:val="24"/>
        </w:rPr>
        <w:t>he ap</w:t>
      </w:r>
      <w:r w:rsidR="00F34A2C">
        <w:rPr>
          <w:rFonts w:ascii="Times New Roman" w:hAnsi="Times New Roman" w:cs="Times New Roman"/>
          <w:sz w:val="24"/>
          <w:szCs w:val="24"/>
        </w:rPr>
        <w:t>p</w:t>
      </w:r>
      <w:r w:rsidR="00480E0A" w:rsidRPr="00BB47B6">
        <w:rPr>
          <w:rFonts w:ascii="Times New Roman" w:hAnsi="Times New Roman" w:cs="Times New Roman"/>
          <w:sz w:val="24"/>
          <w:szCs w:val="24"/>
        </w:rPr>
        <w:t>ropriate exposure period</w:t>
      </w:r>
      <w:r w:rsidR="00016EC0">
        <w:rPr>
          <w:rFonts w:ascii="Times New Roman" w:hAnsi="Times New Roman" w:cs="Times New Roman"/>
          <w:sz w:val="24"/>
          <w:szCs w:val="24"/>
        </w:rPr>
        <w:t xml:space="preserve"> </w:t>
      </w:r>
      <w:r w:rsidR="00174626">
        <w:rPr>
          <w:rFonts w:ascii="Times New Roman" w:hAnsi="Times New Roman" w:cs="Times New Roman"/>
          <w:sz w:val="24"/>
          <w:szCs w:val="24"/>
        </w:rPr>
        <w:t xml:space="preserve">or lag </w:t>
      </w:r>
      <w:r w:rsidRPr="00BB47B6">
        <w:rPr>
          <w:rFonts w:ascii="Times New Roman" w:hAnsi="Times New Roman" w:cs="Times New Roman"/>
          <w:sz w:val="24"/>
          <w:szCs w:val="24"/>
        </w:rPr>
        <w:t>to consider is still unclear</w:t>
      </w:r>
      <w:r w:rsidR="00AA79D7">
        <w:rPr>
          <w:rFonts w:ascii="Times New Roman" w:hAnsi="Times New Roman" w:cs="Times New Roman"/>
          <w:sz w:val="24"/>
          <w:szCs w:val="24"/>
        </w:rPr>
        <w:t xml:space="preserve"> and more immediate effects of other pollutants in the hours rather than the day of and or days prior to event may have been missed</w:t>
      </w:r>
      <w:r w:rsidR="00174626">
        <w:rPr>
          <w:rFonts w:ascii="Times New Roman" w:hAnsi="Times New Roman" w:cs="Times New Roman"/>
          <w:sz w:val="24"/>
          <w:szCs w:val="24"/>
        </w:rPr>
        <w:t>.</w:t>
      </w:r>
      <w:r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FD5EA1">
        <w:rPr>
          <w:rFonts w:ascii="Times New Roman" w:hAnsi="Times New Roman" w:cs="Times New Roman"/>
          <w:sz w:val="24"/>
          <w:szCs w:val="24"/>
        </w:rPr>
        <w:t xml:space="preserve">Given our study detected only one positive association, it is possible that this finding is simply an artefact. Confirmation of any such </w:t>
      </w:r>
      <w:r w:rsidR="00174626">
        <w:rPr>
          <w:rFonts w:ascii="Times New Roman" w:hAnsi="Times New Roman" w:cs="Times New Roman"/>
          <w:sz w:val="24"/>
          <w:szCs w:val="24"/>
        </w:rPr>
        <w:t xml:space="preserve">association </w:t>
      </w:r>
      <w:r w:rsidRPr="00BB47B6">
        <w:rPr>
          <w:rFonts w:ascii="Times New Roman" w:hAnsi="Times New Roman" w:cs="Times New Roman"/>
          <w:sz w:val="24"/>
          <w:szCs w:val="24"/>
        </w:rPr>
        <w:t xml:space="preserve">in databases other than MINAP is </w:t>
      </w:r>
      <w:r w:rsidR="00342ED2">
        <w:rPr>
          <w:rFonts w:ascii="Times New Roman" w:hAnsi="Times New Roman" w:cs="Times New Roman"/>
          <w:sz w:val="24"/>
          <w:szCs w:val="24"/>
        </w:rPr>
        <w:t xml:space="preserve">therefore </w:t>
      </w:r>
      <w:r w:rsidRPr="00BB47B6">
        <w:rPr>
          <w:rFonts w:ascii="Times New Roman" w:hAnsi="Times New Roman" w:cs="Times New Roman"/>
          <w:sz w:val="24"/>
          <w:szCs w:val="24"/>
        </w:rPr>
        <w:t xml:space="preserve">required. </w:t>
      </w:r>
    </w:p>
    <w:p w:rsidR="00F83F24" w:rsidRPr="005645A3" w:rsidRDefault="00F83F24" w:rsidP="00676770">
      <w:p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45A3">
        <w:rPr>
          <w:rFonts w:ascii="Times New Roman" w:hAnsi="Times New Roman" w:cs="Times New Roman"/>
          <w:b/>
          <w:sz w:val="24"/>
          <w:szCs w:val="24"/>
        </w:rPr>
        <w:t>Acknowledgements</w:t>
      </w:r>
    </w:p>
    <w:p w:rsidR="000B2307" w:rsidRDefault="00BA05FA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study includes data collected on behalf of the British Cardiovascular Society under the auspices of the National Institute for Cardiovascular Outcomes Research (NICOR). </w:t>
      </w:r>
      <w:r w:rsidR="00F83F24">
        <w:rPr>
          <w:rFonts w:ascii="Times New Roman" w:hAnsi="Times New Roman" w:cs="Times New Roman"/>
          <w:sz w:val="24"/>
          <w:szCs w:val="24"/>
        </w:rPr>
        <w:t xml:space="preserve">Use of </w:t>
      </w:r>
      <w:r w:rsidR="001E5B30">
        <w:rPr>
          <w:rFonts w:ascii="Times New Roman" w:hAnsi="Times New Roman" w:cs="Times New Roman"/>
          <w:sz w:val="24"/>
          <w:szCs w:val="24"/>
        </w:rPr>
        <w:t xml:space="preserve">monitoring </w:t>
      </w:r>
      <w:r w:rsidR="00F83F24">
        <w:rPr>
          <w:rFonts w:ascii="Times New Roman" w:hAnsi="Times New Roman" w:cs="Times New Roman"/>
          <w:sz w:val="24"/>
          <w:szCs w:val="24"/>
        </w:rPr>
        <w:t xml:space="preserve">data from the UK Department for Environment, Food and Rural Affairs Automated Urban and Rural Network </w:t>
      </w:r>
      <w:r w:rsidR="00052465">
        <w:rPr>
          <w:rFonts w:ascii="Times New Roman" w:hAnsi="Times New Roman" w:cs="Times New Roman"/>
          <w:sz w:val="24"/>
          <w:szCs w:val="24"/>
        </w:rPr>
        <w:t xml:space="preserve">(AURN) </w:t>
      </w:r>
      <w:r w:rsidR="00F83F24">
        <w:rPr>
          <w:rFonts w:ascii="Times New Roman" w:hAnsi="Times New Roman" w:cs="Times New Roman"/>
          <w:sz w:val="24"/>
          <w:szCs w:val="24"/>
        </w:rPr>
        <w:t xml:space="preserve">for air pollutant monitoring </w:t>
      </w:r>
      <w:r w:rsidR="00052465">
        <w:rPr>
          <w:rFonts w:ascii="Times New Roman" w:hAnsi="Times New Roman" w:cs="Times New Roman"/>
          <w:sz w:val="24"/>
          <w:szCs w:val="24"/>
        </w:rPr>
        <w:t>(</w:t>
      </w:r>
      <w:r w:rsidR="00052465" w:rsidRPr="0077734A">
        <w:rPr>
          <w:rFonts w:ascii="Times New Roman" w:hAnsi="Times New Roman" w:cs="Times New Roman"/>
          <w:sz w:val="24"/>
          <w:szCs w:val="24"/>
        </w:rPr>
        <w:t>©</w:t>
      </w:r>
      <w:r w:rsidR="00052465">
        <w:rPr>
          <w:rFonts w:ascii="Times New Roman" w:hAnsi="Times New Roman" w:cs="Times New Roman"/>
          <w:sz w:val="24"/>
          <w:szCs w:val="24"/>
        </w:rPr>
        <w:t xml:space="preserve"> Crown 2015 copyright Defra via </w:t>
      </w:r>
      <w:r w:rsidR="00052465" w:rsidRPr="0077734A">
        <w:rPr>
          <w:rFonts w:ascii="Times New Roman" w:hAnsi="Times New Roman" w:cs="Times New Roman"/>
          <w:sz w:val="24"/>
          <w:szCs w:val="24"/>
        </w:rPr>
        <w:t xml:space="preserve">uk-air.defra.gov.uk, licenced under the </w:t>
      </w:r>
      <w:hyperlink r:id="rId10" w:history="1">
        <w:r w:rsidR="00052465" w:rsidRPr="00777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Open Government Licence</w:t>
        </w:r>
      </w:hyperlink>
      <w:r w:rsidR="00052465" w:rsidRPr="0077734A">
        <w:rPr>
          <w:rFonts w:ascii="Times New Roman" w:hAnsi="Times New Roman" w:cs="Times New Roman"/>
          <w:sz w:val="24"/>
          <w:szCs w:val="24"/>
        </w:rPr>
        <w:t xml:space="preserve"> (OGL</w:t>
      </w:r>
      <w:r w:rsidR="00052465">
        <w:rPr>
          <w:rFonts w:ascii="Times New Roman" w:hAnsi="Times New Roman" w:cs="Times New Roman"/>
          <w:sz w:val="24"/>
          <w:szCs w:val="24"/>
        </w:rPr>
        <w:t xml:space="preserve">)) </w:t>
      </w:r>
      <w:r w:rsidR="00F83F24">
        <w:rPr>
          <w:rFonts w:ascii="Times New Roman" w:hAnsi="Times New Roman" w:cs="Times New Roman"/>
          <w:sz w:val="24"/>
          <w:szCs w:val="24"/>
        </w:rPr>
        <w:t>is acknowledged.</w:t>
      </w:r>
      <w:r w:rsidR="00423C9A">
        <w:rPr>
          <w:rFonts w:ascii="Times New Roman" w:hAnsi="Times New Roman" w:cs="Times New Roman"/>
          <w:sz w:val="24"/>
          <w:szCs w:val="24"/>
        </w:rPr>
        <w:t xml:space="preserve"> Use of emissions data from the National Atmosp</w:t>
      </w:r>
      <w:r w:rsidR="00052465">
        <w:rPr>
          <w:rFonts w:ascii="Times New Roman" w:hAnsi="Times New Roman" w:cs="Times New Roman"/>
          <w:sz w:val="24"/>
          <w:szCs w:val="24"/>
        </w:rPr>
        <w:t>heric Emissions Inventory</w:t>
      </w:r>
      <w:r w:rsidR="00423C9A">
        <w:rPr>
          <w:rFonts w:ascii="Times New Roman" w:hAnsi="Times New Roman" w:cs="Times New Roman"/>
          <w:sz w:val="24"/>
          <w:szCs w:val="24"/>
        </w:rPr>
        <w:t xml:space="preserve"> </w:t>
      </w:r>
      <w:r w:rsidR="00052465">
        <w:rPr>
          <w:rFonts w:ascii="Times New Roman" w:hAnsi="Times New Roman" w:cs="Times New Roman"/>
          <w:sz w:val="24"/>
          <w:szCs w:val="24"/>
        </w:rPr>
        <w:t>(</w:t>
      </w:r>
      <w:r w:rsidR="00052465" w:rsidRPr="0077734A">
        <w:rPr>
          <w:rFonts w:ascii="Times New Roman" w:hAnsi="Times New Roman" w:cs="Times New Roman"/>
          <w:sz w:val="24"/>
          <w:szCs w:val="24"/>
        </w:rPr>
        <w:t>©</w:t>
      </w:r>
      <w:r w:rsidR="00052465">
        <w:rPr>
          <w:rFonts w:ascii="Times New Roman" w:hAnsi="Times New Roman" w:cs="Times New Roman"/>
          <w:sz w:val="24"/>
          <w:szCs w:val="24"/>
        </w:rPr>
        <w:t xml:space="preserve"> Crown 2015 copyright Defra &amp; DECC via naei.defra.gov.uk,</w:t>
      </w:r>
      <w:r w:rsidR="00052465" w:rsidRPr="0077734A">
        <w:rPr>
          <w:rFonts w:ascii="Times New Roman" w:hAnsi="Times New Roman" w:cs="Times New Roman"/>
          <w:sz w:val="24"/>
          <w:szCs w:val="24"/>
        </w:rPr>
        <w:t xml:space="preserve"> licenced under the </w:t>
      </w:r>
      <w:hyperlink r:id="rId11" w:history="1">
        <w:r w:rsidR="00052465" w:rsidRPr="00777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Open Government Licence</w:t>
        </w:r>
      </w:hyperlink>
      <w:r w:rsidR="00052465" w:rsidRPr="0077734A">
        <w:rPr>
          <w:rFonts w:ascii="Times New Roman" w:hAnsi="Times New Roman" w:cs="Times New Roman"/>
          <w:sz w:val="24"/>
          <w:szCs w:val="24"/>
        </w:rPr>
        <w:t xml:space="preserve"> (OGL</w:t>
      </w:r>
      <w:r w:rsidR="00052465">
        <w:rPr>
          <w:rFonts w:ascii="Times New Roman" w:hAnsi="Times New Roman" w:cs="Times New Roman"/>
          <w:sz w:val="24"/>
          <w:szCs w:val="24"/>
        </w:rPr>
        <w:t xml:space="preserve">)) </w:t>
      </w:r>
      <w:r w:rsidR="00423C9A">
        <w:rPr>
          <w:rFonts w:ascii="Times New Roman" w:hAnsi="Times New Roman" w:cs="Times New Roman"/>
          <w:sz w:val="24"/>
          <w:szCs w:val="24"/>
        </w:rPr>
        <w:t xml:space="preserve">is acknowledged. Also </w:t>
      </w:r>
      <w:r w:rsidR="00423C9A" w:rsidRPr="0077734A">
        <w:rPr>
          <w:rFonts w:ascii="Times New Roman" w:hAnsi="Times New Roman" w:cs="Times New Roman"/>
          <w:sz w:val="24"/>
          <w:szCs w:val="24"/>
        </w:rPr>
        <w:t xml:space="preserve">licenced under the </w:t>
      </w:r>
      <w:hyperlink r:id="rId12" w:history="1">
        <w:r w:rsidR="00423C9A" w:rsidRPr="00777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Open Government Licence</w:t>
        </w:r>
      </w:hyperlink>
      <w:r w:rsidR="00423C9A" w:rsidRPr="0077734A">
        <w:rPr>
          <w:rFonts w:ascii="Times New Roman" w:hAnsi="Times New Roman" w:cs="Times New Roman"/>
          <w:sz w:val="24"/>
          <w:szCs w:val="24"/>
        </w:rPr>
        <w:t xml:space="preserve"> (OGL</w:t>
      </w:r>
      <w:r w:rsidR="00423C9A">
        <w:rPr>
          <w:rFonts w:ascii="Times New Roman" w:hAnsi="Times New Roman" w:cs="Times New Roman"/>
          <w:sz w:val="24"/>
          <w:szCs w:val="24"/>
        </w:rPr>
        <w:t>), w</w:t>
      </w:r>
      <w:r w:rsidR="00BE4B05">
        <w:rPr>
          <w:rFonts w:ascii="Times New Roman" w:hAnsi="Times New Roman" w:cs="Times New Roman"/>
          <w:sz w:val="24"/>
          <w:szCs w:val="24"/>
        </w:rPr>
        <w:t>e acknowledge use</w:t>
      </w:r>
      <w:r w:rsidR="00BD498F">
        <w:rPr>
          <w:rFonts w:ascii="Times New Roman" w:hAnsi="Times New Roman" w:cs="Times New Roman"/>
          <w:sz w:val="24"/>
          <w:szCs w:val="24"/>
        </w:rPr>
        <w:t xml:space="preserve"> </w:t>
      </w:r>
      <w:r w:rsidR="00BE4B05">
        <w:rPr>
          <w:rFonts w:ascii="Times New Roman" w:hAnsi="Times New Roman" w:cs="Times New Roman"/>
          <w:sz w:val="24"/>
          <w:szCs w:val="24"/>
        </w:rPr>
        <w:t>of</w:t>
      </w:r>
      <w:r w:rsidR="00F83F24">
        <w:rPr>
          <w:rFonts w:ascii="Times New Roman" w:hAnsi="Times New Roman" w:cs="Times New Roman"/>
          <w:sz w:val="24"/>
          <w:szCs w:val="24"/>
        </w:rPr>
        <w:t xml:space="preserve"> </w:t>
      </w:r>
      <w:r w:rsidR="00BE4B05">
        <w:rPr>
          <w:rFonts w:ascii="Times New Roman" w:hAnsi="Times New Roman" w:cs="Times New Roman"/>
          <w:sz w:val="24"/>
          <w:szCs w:val="24"/>
        </w:rPr>
        <w:t xml:space="preserve">data on RCGP </w:t>
      </w:r>
      <w:r w:rsidR="00BE4B05" w:rsidRPr="00BB47B6">
        <w:rPr>
          <w:rFonts w:ascii="Times New Roman" w:hAnsi="Times New Roman" w:cs="Times New Roman"/>
          <w:sz w:val="24"/>
          <w:szCs w:val="24"/>
        </w:rPr>
        <w:t>influenza-like illness (ILI) consultatio</w:t>
      </w:r>
      <w:r w:rsidR="00BE4B05">
        <w:rPr>
          <w:rFonts w:ascii="Times New Roman" w:hAnsi="Times New Roman" w:cs="Times New Roman"/>
          <w:sz w:val="24"/>
          <w:szCs w:val="24"/>
        </w:rPr>
        <w:t xml:space="preserve">n rates per 100,000 population, </w:t>
      </w:r>
      <w:r w:rsidR="00BE4B05" w:rsidRPr="00BB47B6">
        <w:rPr>
          <w:rFonts w:ascii="Times New Roman" w:hAnsi="Times New Roman" w:cs="Times New Roman"/>
          <w:sz w:val="24"/>
          <w:szCs w:val="24"/>
        </w:rPr>
        <w:t>England and Wales</w:t>
      </w:r>
      <w:r w:rsidR="00BE4B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C115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(S</w:t>
      </w:r>
      <w:r w:rsidR="00BE4B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ource: </w:t>
      </w:r>
      <w:r w:rsidR="00BE4B05">
        <w:rPr>
          <w:rFonts w:ascii="Times New Roman" w:hAnsi="Times New Roman" w:cs="Times New Roman"/>
          <w:sz w:val="24"/>
          <w:szCs w:val="24"/>
        </w:rPr>
        <w:t xml:space="preserve">the </w:t>
      </w:r>
      <w:r w:rsidR="00BE4B05" w:rsidRPr="00BB47B6">
        <w:rPr>
          <w:rFonts w:ascii="Times New Roman" w:hAnsi="Times New Roman" w:cs="Times New Roman"/>
          <w:sz w:val="24"/>
          <w:szCs w:val="24"/>
        </w:rPr>
        <w:t>Office for National Statistics and the Royal College of General Practitioners Research and Surveillance Centre</w:t>
      </w:r>
      <w:r w:rsidR="00BE4B05">
        <w:rPr>
          <w:rFonts w:ascii="Times New Roman" w:hAnsi="Times New Roman" w:cs="Times New Roman"/>
          <w:sz w:val="24"/>
          <w:szCs w:val="24"/>
        </w:rPr>
        <w:t>).</w:t>
      </w:r>
      <w:r w:rsidR="00A40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307" w:rsidRDefault="000B2307" w:rsidP="000B2307">
      <w:p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92AF6">
        <w:rPr>
          <w:rFonts w:ascii="Times New Roman" w:hAnsi="Times New Roman" w:cs="Times New Roman"/>
          <w:b/>
          <w:sz w:val="24"/>
          <w:szCs w:val="24"/>
        </w:rPr>
        <w:t>Competing Interests</w:t>
      </w:r>
    </w:p>
    <w:p w:rsidR="0060545C" w:rsidRDefault="00BC252B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Butland</w:t>
      </w:r>
      <w:r w:rsidR="0060545C" w:rsidRPr="00676770">
        <w:rPr>
          <w:rFonts w:ascii="Times New Roman" w:hAnsi="Times New Roman" w:cs="Times New Roman"/>
          <w:sz w:val="24"/>
          <w:szCs w:val="24"/>
        </w:rPr>
        <w:t xml:space="preserve"> owns shares in Royal Dutch Shell and Scottish and Southern Energy and her spouse has a deferred Shell pension.</w:t>
      </w:r>
      <w:r w:rsidR="001F7E10">
        <w:rPr>
          <w:rFonts w:ascii="Times New Roman" w:hAnsi="Times New Roman" w:cs="Times New Roman"/>
          <w:sz w:val="24"/>
          <w:szCs w:val="24"/>
        </w:rPr>
        <w:t xml:space="preserve"> Her</w:t>
      </w:r>
      <w:r>
        <w:rPr>
          <w:rFonts w:ascii="Times New Roman" w:hAnsi="Times New Roman" w:cs="Times New Roman"/>
          <w:sz w:val="24"/>
          <w:szCs w:val="24"/>
        </w:rPr>
        <w:t xml:space="preserve"> work on this project was funded</w:t>
      </w:r>
      <w:r w:rsidR="001F7E10">
        <w:rPr>
          <w:rFonts w:ascii="Times New Roman" w:hAnsi="Times New Roman" w:cs="Times New Roman"/>
          <w:sz w:val="24"/>
          <w:szCs w:val="24"/>
        </w:rPr>
        <w:t xml:space="preserve"> by a grant from </w:t>
      </w:r>
      <w:r w:rsidR="004F4D1A">
        <w:rPr>
          <w:rFonts w:ascii="Times New Roman" w:hAnsi="Times New Roman" w:cs="Times New Roman"/>
          <w:sz w:val="24"/>
          <w:szCs w:val="24"/>
        </w:rPr>
        <w:t xml:space="preserve">the UK-research councils Environmental Exposure and Human Health Initiative (EEHI). </w:t>
      </w:r>
      <w:r>
        <w:rPr>
          <w:rFonts w:ascii="Times New Roman" w:hAnsi="Times New Roman" w:cs="Times New Roman"/>
          <w:sz w:val="24"/>
          <w:szCs w:val="24"/>
        </w:rPr>
        <w:t>Dr Atkinson</w:t>
      </w:r>
      <w:r w:rsidR="00CA69F2">
        <w:rPr>
          <w:rFonts w:ascii="Times New Roman" w:hAnsi="Times New Roman" w:cs="Times New Roman"/>
          <w:sz w:val="24"/>
          <w:szCs w:val="24"/>
        </w:rPr>
        <w:t xml:space="preserve"> and Dr Doherty</w:t>
      </w:r>
      <w:r w:rsidR="004F4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report grants from </w:t>
      </w:r>
      <w:r w:rsidR="004F4D1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UK-research councils EEHI, during the conduct of the study. Dr Heal</w:t>
      </w:r>
      <w:r w:rsidR="00CF3AAD">
        <w:rPr>
          <w:rFonts w:ascii="Times New Roman" w:hAnsi="Times New Roman" w:cs="Times New Roman"/>
          <w:sz w:val="24"/>
          <w:szCs w:val="24"/>
        </w:rPr>
        <w:t>, Dr MacKenzie</w:t>
      </w:r>
      <w:r w:rsidR="00451A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 Lin</w:t>
      </w:r>
      <w:r w:rsidR="00451A58">
        <w:rPr>
          <w:rFonts w:ascii="Times New Roman" w:hAnsi="Times New Roman" w:cs="Times New Roman"/>
          <w:sz w:val="24"/>
          <w:szCs w:val="24"/>
        </w:rPr>
        <w:t xml:space="preserve"> and Prof Wilkinson</w:t>
      </w:r>
      <w:r>
        <w:rPr>
          <w:rFonts w:ascii="Times New Roman" w:hAnsi="Times New Roman" w:cs="Times New Roman"/>
          <w:sz w:val="24"/>
          <w:szCs w:val="24"/>
        </w:rPr>
        <w:t xml:space="preserve"> report grants from the Natural Environment Research Council, during the conduct of the study.</w:t>
      </w:r>
    </w:p>
    <w:p w:rsidR="000B2307" w:rsidRDefault="000B2307" w:rsidP="00676770">
      <w:p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6770">
        <w:rPr>
          <w:rFonts w:ascii="Times New Roman" w:hAnsi="Times New Roman" w:cs="Times New Roman"/>
          <w:b/>
          <w:sz w:val="24"/>
          <w:szCs w:val="24"/>
        </w:rPr>
        <w:t>Contributors</w:t>
      </w:r>
    </w:p>
    <w:p w:rsidR="000B2307" w:rsidRDefault="00212C0A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DF30B0">
        <w:rPr>
          <w:rFonts w:ascii="Times New Roman" w:hAnsi="Times New Roman" w:cs="Times New Roman"/>
          <w:sz w:val="24"/>
          <w:szCs w:val="24"/>
        </w:rPr>
        <w:t xml:space="preserve">BKB </w:t>
      </w:r>
      <w:r>
        <w:rPr>
          <w:rFonts w:ascii="Times New Roman" w:hAnsi="Times New Roman" w:cs="Times New Roman"/>
          <w:sz w:val="24"/>
          <w:szCs w:val="24"/>
        </w:rPr>
        <w:t>conducted the main statistical analysis</w:t>
      </w:r>
      <w:r w:rsidR="000B2307" w:rsidRPr="00676770">
        <w:rPr>
          <w:rFonts w:ascii="Times New Roman" w:hAnsi="Times New Roman" w:cs="Times New Roman"/>
          <w:sz w:val="24"/>
          <w:szCs w:val="24"/>
        </w:rPr>
        <w:t xml:space="preserve"> and took the lead in drafting the paper.</w:t>
      </w:r>
      <w:r w:rsidR="00CB58CE" w:rsidRPr="00676770">
        <w:rPr>
          <w:rFonts w:ascii="Times New Roman" w:hAnsi="Times New Roman" w:cs="Times New Roman"/>
          <w:sz w:val="24"/>
          <w:szCs w:val="24"/>
        </w:rPr>
        <w:t xml:space="preserve"> RWA,</w:t>
      </w:r>
      <w:r w:rsidRPr="00676770">
        <w:rPr>
          <w:rFonts w:ascii="Times New Roman" w:hAnsi="Times New Roman" w:cs="Times New Roman"/>
          <w:sz w:val="24"/>
          <w:szCs w:val="24"/>
        </w:rPr>
        <w:t xml:space="preserve"> </w:t>
      </w:r>
      <w:r w:rsidR="00CB58CE" w:rsidRPr="00676770">
        <w:rPr>
          <w:rFonts w:ascii="Times New Roman" w:hAnsi="Times New Roman" w:cs="Times New Roman"/>
          <w:sz w:val="24"/>
          <w:szCs w:val="24"/>
        </w:rPr>
        <w:t>MRH,</w:t>
      </w:r>
      <w:r w:rsidRPr="00676770">
        <w:rPr>
          <w:rFonts w:ascii="Times New Roman" w:hAnsi="Times New Roman" w:cs="Times New Roman"/>
          <w:sz w:val="24"/>
          <w:szCs w:val="24"/>
        </w:rPr>
        <w:t xml:space="preserve"> </w:t>
      </w:r>
      <w:r w:rsidR="00CB58CE" w:rsidRPr="00676770">
        <w:rPr>
          <w:rFonts w:ascii="Times New Roman" w:hAnsi="Times New Roman" w:cs="Times New Roman"/>
          <w:sz w:val="24"/>
          <w:szCs w:val="24"/>
        </w:rPr>
        <w:t>RMD,</w:t>
      </w:r>
      <w:r w:rsidRPr="00676770">
        <w:rPr>
          <w:rFonts w:ascii="Times New Roman" w:hAnsi="Times New Roman" w:cs="Times New Roman"/>
          <w:sz w:val="24"/>
          <w:szCs w:val="24"/>
        </w:rPr>
        <w:t xml:space="preserve"> </w:t>
      </w:r>
      <w:r w:rsidR="00CB58CE" w:rsidRPr="00676770">
        <w:rPr>
          <w:rFonts w:ascii="Times New Roman" w:hAnsi="Times New Roman" w:cs="Times New Roman"/>
          <w:sz w:val="24"/>
          <w:szCs w:val="24"/>
        </w:rPr>
        <w:t xml:space="preserve">BA and PW contributed to the design and concept of the study. AM </w:t>
      </w:r>
      <w:r w:rsidRPr="00676770">
        <w:rPr>
          <w:rFonts w:ascii="Times New Roman" w:hAnsi="Times New Roman" w:cs="Times New Roman"/>
          <w:sz w:val="24"/>
          <w:szCs w:val="24"/>
        </w:rPr>
        <w:t>pre-analysed the MINAP data and constructed the linked database</w:t>
      </w:r>
      <w:r w:rsidRPr="00DF30B0">
        <w:rPr>
          <w:rFonts w:ascii="Times New Roman" w:hAnsi="Times New Roman" w:cs="Times New Roman"/>
          <w:sz w:val="24"/>
          <w:szCs w:val="24"/>
        </w:rPr>
        <w:t xml:space="preserve">. </w:t>
      </w:r>
      <w:r w:rsidRPr="00592AF6">
        <w:rPr>
          <w:rFonts w:ascii="Times New Roman" w:hAnsi="Times New Roman" w:cs="Times New Roman"/>
          <w:sz w:val="24"/>
          <w:szCs w:val="24"/>
        </w:rPr>
        <w:t xml:space="preserve">CL </w:t>
      </w:r>
      <w:r w:rsidR="007A2B2C">
        <w:rPr>
          <w:rFonts w:ascii="Times New Roman" w:hAnsi="Times New Roman" w:cs="Times New Roman"/>
          <w:sz w:val="24"/>
          <w:szCs w:val="24"/>
        </w:rPr>
        <w:t xml:space="preserve">and MRH </w:t>
      </w:r>
      <w:r w:rsidRPr="00592AF6">
        <w:rPr>
          <w:rFonts w:ascii="Times New Roman" w:hAnsi="Times New Roman" w:cs="Times New Roman"/>
          <w:sz w:val="24"/>
          <w:szCs w:val="24"/>
        </w:rPr>
        <w:t>assembled the monitor-model comparison data sets and along with BA and BKB w</w:t>
      </w:r>
      <w:r w:rsidR="007A2B2C">
        <w:rPr>
          <w:rFonts w:ascii="Times New Roman" w:hAnsi="Times New Roman" w:cs="Times New Roman"/>
          <w:sz w:val="24"/>
          <w:szCs w:val="24"/>
        </w:rPr>
        <w:t>ere</w:t>
      </w:r>
      <w:r w:rsidRPr="00592AF6">
        <w:rPr>
          <w:rFonts w:ascii="Times New Roman" w:hAnsi="Times New Roman" w:cs="Times New Roman"/>
          <w:sz w:val="24"/>
          <w:szCs w:val="24"/>
        </w:rPr>
        <w:t xml:space="preserve"> involved in </w:t>
      </w:r>
      <w:r w:rsidRPr="00592AF6">
        <w:rPr>
          <w:rFonts w:ascii="Times New Roman" w:hAnsi="Times New Roman" w:cs="Times New Roman"/>
          <w:sz w:val="24"/>
          <w:szCs w:val="24"/>
        </w:rPr>
        <w:lastRenderedPageBreak/>
        <w:t>producing the model performance statistics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2B2C">
        <w:rPr>
          <w:rFonts w:ascii="Times New Roman" w:hAnsi="Times New Roman" w:cs="Times New Roman"/>
          <w:sz w:val="24"/>
          <w:szCs w:val="24"/>
        </w:rPr>
        <w:t>IAM</w:t>
      </w:r>
      <w:r w:rsidR="0098293A">
        <w:rPr>
          <w:rFonts w:ascii="Times New Roman" w:hAnsi="Times New Roman" w:cs="Times New Roman"/>
          <w:sz w:val="24"/>
          <w:szCs w:val="24"/>
        </w:rPr>
        <w:t>,</w:t>
      </w:r>
      <w:r w:rsidR="007A2B2C">
        <w:rPr>
          <w:rFonts w:ascii="Times New Roman" w:hAnsi="Times New Roman" w:cs="Times New Roman"/>
          <w:sz w:val="24"/>
          <w:szCs w:val="24"/>
        </w:rPr>
        <w:t xml:space="preserve"> </w:t>
      </w:r>
      <w:r w:rsidR="009D69AB">
        <w:rPr>
          <w:rFonts w:ascii="Times New Roman" w:hAnsi="Times New Roman" w:cs="Times New Roman"/>
          <w:sz w:val="24"/>
          <w:szCs w:val="24"/>
        </w:rPr>
        <w:t xml:space="preserve">MV </w:t>
      </w:r>
      <w:r w:rsidR="007A2B2C">
        <w:rPr>
          <w:rFonts w:ascii="Times New Roman" w:hAnsi="Times New Roman" w:cs="Times New Roman"/>
          <w:sz w:val="24"/>
          <w:szCs w:val="24"/>
        </w:rPr>
        <w:t xml:space="preserve">and </w:t>
      </w:r>
      <w:r w:rsidRPr="00DF30B0">
        <w:rPr>
          <w:rFonts w:ascii="Times New Roman" w:hAnsi="Times New Roman" w:cs="Times New Roman"/>
          <w:sz w:val="24"/>
          <w:szCs w:val="24"/>
        </w:rPr>
        <w:t>RMD</w:t>
      </w:r>
      <w:r w:rsidR="007A2B2C">
        <w:rPr>
          <w:rFonts w:ascii="Times New Roman" w:hAnsi="Times New Roman" w:cs="Times New Roman"/>
          <w:sz w:val="24"/>
          <w:szCs w:val="24"/>
        </w:rPr>
        <w:t xml:space="preserve"> generated </w:t>
      </w:r>
      <w:r w:rsidR="00CB58CE" w:rsidRPr="00676770">
        <w:rPr>
          <w:rFonts w:ascii="Times New Roman" w:hAnsi="Times New Roman" w:cs="Times New Roman"/>
          <w:sz w:val="24"/>
          <w:szCs w:val="24"/>
        </w:rPr>
        <w:t>the ACTM data</w:t>
      </w:r>
      <w:r w:rsidR="007A2B2C">
        <w:rPr>
          <w:rFonts w:ascii="Times New Roman" w:hAnsi="Times New Roman" w:cs="Times New Roman"/>
          <w:sz w:val="24"/>
          <w:szCs w:val="24"/>
        </w:rPr>
        <w:t xml:space="preserve"> and processed it for use in this study</w:t>
      </w:r>
      <w:r w:rsidR="00CB58CE" w:rsidRPr="00676770">
        <w:rPr>
          <w:rFonts w:ascii="Times New Roman" w:hAnsi="Times New Roman" w:cs="Times New Roman"/>
          <w:sz w:val="24"/>
          <w:szCs w:val="24"/>
        </w:rPr>
        <w:t xml:space="preserve">. MV is the main developer of the </w:t>
      </w:r>
      <w:r w:rsidR="007A2B2C">
        <w:rPr>
          <w:rFonts w:ascii="Times New Roman" w:hAnsi="Times New Roman" w:cs="Times New Roman"/>
          <w:sz w:val="24"/>
          <w:szCs w:val="24"/>
        </w:rPr>
        <w:t xml:space="preserve">regional </w:t>
      </w:r>
      <w:r w:rsidR="00CB58CE" w:rsidRPr="00676770">
        <w:rPr>
          <w:rFonts w:ascii="Times New Roman" w:hAnsi="Times New Roman" w:cs="Times New Roman"/>
          <w:sz w:val="24"/>
          <w:szCs w:val="24"/>
        </w:rPr>
        <w:t>EMEP</w:t>
      </w:r>
      <w:r w:rsidR="007A2B2C">
        <w:rPr>
          <w:rFonts w:ascii="Times New Roman" w:hAnsi="Times New Roman" w:cs="Times New Roman"/>
          <w:sz w:val="24"/>
          <w:szCs w:val="24"/>
        </w:rPr>
        <w:t xml:space="preserve">4UK </w:t>
      </w:r>
      <w:r>
        <w:rPr>
          <w:rFonts w:ascii="Times New Roman" w:hAnsi="Times New Roman" w:cs="Times New Roman"/>
          <w:sz w:val="24"/>
          <w:szCs w:val="24"/>
        </w:rPr>
        <w:t xml:space="preserve">atmospheric </w:t>
      </w:r>
      <w:r w:rsidR="00CB58CE" w:rsidRPr="00676770">
        <w:rPr>
          <w:rFonts w:ascii="Times New Roman" w:hAnsi="Times New Roman" w:cs="Times New Roman"/>
          <w:sz w:val="24"/>
          <w:szCs w:val="24"/>
        </w:rPr>
        <w:t>chemistry-transport mod</w:t>
      </w:r>
      <w:r w:rsidRPr="00676770">
        <w:rPr>
          <w:rFonts w:ascii="Times New Roman" w:hAnsi="Times New Roman" w:cs="Times New Roman"/>
          <w:sz w:val="24"/>
          <w:szCs w:val="24"/>
        </w:rPr>
        <w:t>el</w:t>
      </w:r>
      <w:r w:rsidR="007A2B2C">
        <w:rPr>
          <w:rFonts w:ascii="Times New Roman" w:hAnsi="Times New Roman" w:cs="Times New Roman"/>
          <w:sz w:val="24"/>
          <w:szCs w:val="24"/>
        </w:rPr>
        <w:t xml:space="preserve"> based on the widely used EMEP European regional model</w:t>
      </w:r>
      <w:r w:rsidR="00CB58CE" w:rsidRPr="00676770">
        <w:rPr>
          <w:rFonts w:ascii="Times New Roman" w:hAnsi="Times New Roman" w:cs="Times New Roman"/>
          <w:sz w:val="24"/>
          <w:szCs w:val="24"/>
        </w:rPr>
        <w:t>. All authors contributed to the drafting of the paper</w:t>
      </w:r>
      <w:r w:rsidR="00DE5C28">
        <w:rPr>
          <w:rFonts w:ascii="Times New Roman" w:hAnsi="Times New Roman" w:cs="Times New Roman"/>
          <w:sz w:val="24"/>
          <w:szCs w:val="24"/>
        </w:rPr>
        <w:t xml:space="preserve"> and</w:t>
      </w:r>
      <w:r w:rsidR="00CB58CE" w:rsidRPr="00676770">
        <w:rPr>
          <w:rFonts w:ascii="Times New Roman" w:hAnsi="Times New Roman" w:cs="Times New Roman"/>
          <w:sz w:val="24"/>
          <w:szCs w:val="24"/>
        </w:rPr>
        <w:t xml:space="preserve"> the interpretation of results</w:t>
      </w:r>
      <w:r w:rsidR="00DE5C28">
        <w:rPr>
          <w:rFonts w:ascii="Times New Roman" w:hAnsi="Times New Roman" w:cs="Times New Roman"/>
          <w:sz w:val="24"/>
          <w:szCs w:val="24"/>
        </w:rPr>
        <w:t>.</w:t>
      </w:r>
      <w:r w:rsidR="00CB58CE" w:rsidRPr="00676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2E1" w:rsidRDefault="00AB12E1" w:rsidP="00676770">
      <w:p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6770">
        <w:rPr>
          <w:rFonts w:ascii="Times New Roman" w:hAnsi="Times New Roman" w:cs="Times New Roman"/>
          <w:b/>
          <w:sz w:val="24"/>
          <w:szCs w:val="24"/>
        </w:rPr>
        <w:t>Funding</w:t>
      </w:r>
    </w:p>
    <w:p w:rsidR="00AB12E1" w:rsidRDefault="00AB12E1" w:rsidP="00AB12E1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work was performed under the cross UK-research councils Environmental Exposure and Human Health Initiative (EEHI) grants: NE/I007865/1, NE/I007938/1 and NE/I008063/1. </w:t>
      </w:r>
      <w:r w:rsidR="00C3400B" w:rsidRPr="00CA47A2">
        <w:rPr>
          <w:rFonts w:ascii="Times New Roman" w:hAnsi="Times New Roman" w:cs="Times New Roman"/>
          <w:sz w:val="24"/>
          <w:szCs w:val="24"/>
        </w:rPr>
        <w:t xml:space="preserve">Other than to review the study design as part of the grant giving process, the funders did </w:t>
      </w:r>
      <w:r w:rsidR="00C3400B">
        <w:rPr>
          <w:rFonts w:ascii="Times New Roman" w:hAnsi="Times New Roman" w:cs="Times New Roman"/>
          <w:sz w:val="24"/>
          <w:szCs w:val="24"/>
        </w:rPr>
        <w:t xml:space="preserve">not </w:t>
      </w:r>
      <w:r w:rsidR="00C3400B" w:rsidRPr="00CA47A2">
        <w:rPr>
          <w:rFonts w:ascii="Times New Roman" w:hAnsi="Times New Roman" w:cs="Times New Roman"/>
          <w:sz w:val="24"/>
          <w:szCs w:val="24"/>
        </w:rPr>
        <w:t>have any involvement in the collection, analysis and interpretation of data, in the writing of the report or in the decision to submit the article for publication.</w:t>
      </w:r>
      <w:r w:rsidR="00C34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EMEP4UK ACTM is also supported by the UK Department for the Environment, Food and Rural Affairs (Defra) and, the NERC Centre for Ecology and Hydrology (CEH).</w:t>
      </w:r>
    </w:p>
    <w:p w:rsidR="00AB12E1" w:rsidRDefault="00AB12E1" w:rsidP="00AB12E1">
      <w:p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6770">
        <w:rPr>
          <w:rFonts w:ascii="Times New Roman" w:hAnsi="Times New Roman" w:cs="Times New Roman"/>
          <w:b/>
          <w:sz w:val="24"/>
          <w:szCs w:val="24"/>
        </w:rPr>
        <w:t>Ethical Approval</w:t>
      </w:r>
    </w:p>
    <w:p w:rsidR="005225AC" w:rsidRPr="005225AC" w:rsidRDefault="005225AC" w:rsidP="005225AC">
      <w:pPr>
        <w:spacing w:before="120" w:after="12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225AC">
        <w:rPr>
          <w:rFonts w:ascii="Times New Roman" w:eastAsia="Calibri" w:hAnsi="Times New Roman" w:cs="Times New Roman"/>
          <w:sz w:val="24"/>
          <w:szCs w:val="24"/>
        </w:rPr>
        <w:t>Ethics approval was obtained from the National Research Ethics Service (15/SC/0494).</w:t>
      </w:r>
    </w:p>
    <w:p w:rsidR="001973F9" w:rsidRDefault="001973F9" w:rsidP="00676770">
      <w:p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B47B6" w:rsidRPr="00BB47B6" w:rsidRDefault="00B67785" w:rsidP="00676770">
      <w:p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47B6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F22F86" w:rsidRPr="00BB47B6" w:rsidRDefault="00F22F86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Fonts w:ascii="Times New Roman" w:hAnsi="Times New Roman" w:cs="Times New Roman"/>
          <w:sz w:val="24"/>
          <w:szCs w:val="24"/>
        </w:rPr>
        <w:t>1</w:t>
      </w:r>
      <w:r w:rsidR="00D04575">
        <w:rPr>
          <w:rFonts w:ascii="Times New Roman" w:hAnsi="Times New Roman" w:cs="Times New Roman"/>
          <w:sz w:val="24"/>
          <w:szCs w:val="24"/>
        </w:rPr>
        <w:t xml:space="preserve"> </w:t>
      </w:r>
      <w:r w:rsidRPr="00BB47B6">
        <w:rPr>
          <w:rFonts w:ascii="Times New Roman" w:hAnsi="Times New Roman" w:cs="Times New Roman"/>
          <w:sz w:val="24"/>
          <w:szCs w:val="24"/>
        </w:rPr>
        <w:t>World Health Organisation. Review of evidence on health aspects of air pollution –REVIHAAP project: Technical report. W</w:t>
      </w:r>
      <w:r w:rsidR="00F53D83">
        <w:rPr>
          <w:rFonts w:ascii="Times New Roman" w:hAnsi="Times New Roman" w:cs="Times New Roman"/>
          <w:sz w:val="24"/>
          <w:szCs w:val="24"/>
        </w:rPr>
        <w:t>HO</w:t>
      </w:r>
      <w:r w:rsidRPr="00BB47B6">
        <w:rPr>
          <w:rFonts w:ascii="Times New Roman" w:hAnsi="Times New Roman" w:cs="Times New Roman"/>
          <w:sz w:val="24"/>
          <w:szCs w:val="24"/>
        </w:rPr>
        <w:t xml:space="preserve"> Regional Office for Europe 2013</w:t>
      </w:r>
      <w:r w:rsidR="00D04575">
        <w:rPr>
          <w:rFonts w:ascii="Times New Roman" w:hAnsi="Times New Roman" w:cs="Times New Roman"/>
          <w:sz w:val="24"/>
          <w:szCs w:val="24"/>
        </w:rPr>
        <w:t>.</w:t>
      </w:r>
      <w:r w:rsidRPr="00BB47B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BB47B6">
          <w:rPr>
            <w:rStyle w:val="Hyperlink"/>
            <w:rFonts w:ascii="Times New Roman" w:hAnsi="Times New Roman" w:cs="Times New Roman"/>
            <w:sz w:val="24"/>
            <w:szCs w:val="24"/>
          </w:rPr>
          <w:t>http://euro.who.int/en/health-topics</w:t>
        </w:r>
      </w:hyperlink>
      <w:r w:rsidR="00D04575">
        <w:rPr>
          <w:rFonts w:ascii="Times New Roman" w:hAnsi="Times New Roman" w:cs="Times New Roman"/>
          <w:sz w:val="24"/>
          <w:szCs w:val="24"/>
        </w:rPr>
        <w:t xml:space="preserve"> (</w:t>
      </w:r>
      <w:r w:rsidR="00176AF4" w:rsidRPr="00BB47B6">
        <w:rPr>
          <w:rFonts w:ascii="Times New Roman" w:hAnsi="Times New Roman" w:cs="Times New Roman"/>
          <w:sz w:val="24"/>
          <w:szCs w:val="24"/>
        </w:rPr>
        <w:t>accessed 9 Ma</w:t>
      </w:r>
      <w:r w:rsidR="00D04575">
        <w:rPr>
          <w:rFonts w:ascii="Times New Roman" w:hAnsi="Times New Roman" w:cs="Times New Roman"/>
          <w:sz w:val="24"/>
          <w:szCs w:val="24"/>
        </w:rPr>
        <w:t>r</w:t>
      </w:r>
      <w:r w:rsidR="00176AF4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Pr="00BB47B6">
        <w:rPr>
          <w:rFonts w:ascii="Times New Roman" w:hAnsi="Times New Roman" w:cs="Times New Roman"/>
          <w:sz w:val="24"/>
          <w:szCs w:val="24"/>
        </w:rPr>
        <w:t>2015)</w:t>
      </w:r>
    </w:p>
    <w:p w:rsidR="00EF1181" w:rsidRPr="00BB47B6" w:rsidRDefault="00EF1181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Fonts w:ascii="Times New Roman" w:hAnsi="Times New Roman" w:cs="Times New Roman"/>
          <w:sz w:val="24"/>
          <w:szCs w:val="24"/>
        </w:rPr>
        <w:t>2 Committee on the Medical Effects of Air Pollutants (COMEAP). Cardiovascular disease and air pollution. Depar</w:t>
      </w:r>
      <w:r w:rsidR="00412A9E">
        <w:rPr>
          <w:rFonts w:ascii="Times New Roman" w:hAnsi="Times New Roman" w:cs="Times New Roman"/>
          <w:sz w:val="24"/>
          <w:szCs w:val="24"/>
        </w:rPr>
        <w:t>t</w:t>
      </w:r>
      <w:r w:rsidRPr="00BB47B6">
        <w:rPr>
          <w:rFonts w:ascii="Times New Roman" w:hAnsi="Times New Roman" w:cs="Times New Roman"/>
          <w:sz w:val="24"/>
          <w:szCs w:val="24"/>
        </w:rPr>
        <w:t xml:space="preserve">ment of Health, London 2006. </w:t>
      </w:r>
      <w:hyperlink r:id="rId14" w:history="1">
        <w:r w:rsidRPr="00BB47B6">
          <w:rPr>
            <w:rStyle w:val="Hyperlink"/>
            <w:rFonts w:ascii="Times New Roman" w:hAnsi="Times New Roman" w:cs="Times New Roman"/>
            <w:sz w:val="24"/>
            <w:szCs w:val="24"/>
          </w:rPr>
          <w:t>http://www.comeap.org.uk/documents</w:t>
        </w:r>
      </w:hyperlink>
      <w:r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D04575">
        <w:rPr>
          <w:rFonts w:ascii="Times New Roman" w:hAnsi="Times New Roman" w:cs="Times New Roman"/>
          <w:sz w:val="24"/>
          <w:szCs w:val="24"/>
        </w:rPr>
        <w:t>(</w:t>
      </w:r>
      <w:r w:rsidRPr="00BB47B6">
        <w:rPr>
          <w:rFonts w:ascii="Times New Roman" w:hAnsi="Times New Roman" w:cs="Times New Roman"/>
          <w:sz w:val="24"/>
          <w:szCs w:val="24"/>
        </w:rPr>
        <w:t>accessed 9 Mar 2015)</w:t>
      </w:r>
    </w:p>
    <w:p w:rsidR="00F22F86" w:rsidRPr="00BB47B6" w:rsidRDefault="00EF1181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22F86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176AF4" w:rsidRPr="00BB47B6">
        <w:rPr>
          <w:rFonts w:ascii="Times New Roman" w:hAnsi="Times New Roman" w:cs="Times New Roman"/>
          <w:sz w:val="24"/>
          <w:szCs w:val="24"/>
        </w:rPr>
        <w:t>Brook RD, Rajagopalan S, Pope III CA, et al. Particulate matter</w:t>
      </w:r>
      <w:r w:rsidR="007A5A4A">
        <w:rPr>
          <w:rFonts w:ascii="Times New Roman" w:hAnsi="Times New Roman" w:cs="Times New Roman"/>
          <w:sz w:val="24"/>
          <w:szCs w:val="24"/>
        </w:rPr>
        <w:t xml:space="preserve"> </w:t>
      </w:r>
      <w:r w:rsidR="00176AF4" w:rsidRPr="00BB47B6">
        <w:rPr>
          <w:rFonts w:ascii="Times New Roman" w:hAnsi="Times New Roman" w:cs="Times New Roman"/>
          <w:sz w:val="24"/>
          <w:szCs w:val="24"/>
        </w:rPr>
        <w:t xml:space="preserve">air pollution and cardiovascular disease: an update to the scientific statement from the American Heart Association. </w:t>
      </w:r>
      <w:r w:rsidR="00176AF4" w:rsidRPr="00A50EBE">
        <w:rPr>
          <w:rFonts w:ascii="Times New Roman" w:hAnsi="Times New Roman" w:cs="Times New Roman"/>
          <w:i/>
          <w:sz w:val="24"/>
          <w:szCs w:val="24"/>
        </w:rPr>
        <w:t>Circulation</w:t>
      </w:r>
      <w:r w:rsidR="00176AF4" w:rsidRPr="00BB47B6">
        <w:rPr>
          <w:rFonts w:ascii="Times New Roman" w:hAnsi="Times New Roman" w:cs="Times New Roman"/>
          <w:sz w:val="24"/>
          <w:szCs w:val="24"/>
        </w:rPr>
        <w:t xml:space="preserve"> 2010;</w:t>
      </w:r>
      <w:r w:rsidR="00176AF4" w:rsidRPr="00676770">
        <w:rPr>
          <w:rFonts w:ascii="Times New Roman" w:hAnsi="Times New Roman" w:cs="Times New Roman"/>
          <w:sz w:val="24"/>
          <w:szCs w:val="24"/>
        </w:rPr>
        <w:t>121</w:t>
      </w:r>
      <w:r w:rsidR="00176AF4" w:rsidRPr="00BB47B6">
        <w:rPr>
          <w:rFonts w:ascii="Times New Roman" w:hAnsi="Times New Roman" w:cs="Times New Roman"/>
          <w:sz w:val="24"/>
          <w:szCs w:val="24"/>
        </w:rPr>
        <w:t>:2331-78</w:t>
      </w:r>
      <w:r w:rsidR="00C12334">
        <w:rPr>
          <w:rFonts w:ascii="Times New Roman" w:hAnsi="Times New Roman" w:cs="Times New Roman"/>
          <w:sz w:val="24"/>
          <w:szCs w:val="24"/>
        </w:rPr>
        <w:t>.</w:t>
      </w:r>
      <w:r w:rsidR="007A5A4A">
        <w:rPr>
          <w:rFonts w:ascii="Times New Roman" w:hAnsi="Times New Roman" w:cs="Times New Roman"/>
          <w:sz w:val="24"/>
          <w:szCs w:val="24"/>
        </w:rPr>
        <w:t xml:space="preserve"> doi:10.1161/CIR.0b013e3181dbece1</w:t>
      </w:r>
    </w:p>
    <w:p w:rsidR="00EF1181" w:rsidRPr="00BB47B6" w:rsidRDefault="00EF1181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4 Bhaskaran K, Wilkinson P, Smeeth L. Cardiovascular consequences of air pollution: what are the mechanisms? </w:t>
      </w:r>
      <w:r w:rsidRPr="00A50EBE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Heart </w:t>
      </w:r>
      <w:r w:rsidRPr="00BB47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2011;</w:t>
      </w:r>
      <w:r w:rsidRPr="006767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97</w:t>
      </w:r>
      <w:r w:rsidRPr="00BB47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:519-20</w:t>
      </w:r>
      <w:r w:rsidR="00C12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7A5A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doi:10.1136/hrt.2010.212183</w:t>
      </w:r>
    </w:p>
    <w:p w:rsidR="005E540A" w:rsidRPr="00BB47B6" w:rsidRDefault="00EF1181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BB47B6" w:rsidDel="00EF1181">
        <w:rPr>
          <w:rFonts w:ascii="Times New Roman" w:hAnsi="Times New Roman" w:cs="Times New Roman"/>
          <w:sz w:val="24"/>
          <w:szCs w:val="24"/>
        </w:rPr>
        <w:t xml:space="preserve"> </w:t>
      </w:r>
      <w:r w:rsidRPr="00BB47B6">
        <w:rPr>
          <w:rFonts w:ascii="Times New Roman" w:hAnsi="Times New Roman" w:cs="Times New Roman"/>
          <w:sz w:val="24"/>
          <w:szCs w:val="24"/>
        </w:rPr>
        <w:t>5</w:t>
      </w:r>
      <w:r w:rsidR="005E540A" w:rsidRPr="00BB47B6">
        <w:rPr>
          <w:rFonts w:ascii="Times New Roman" w:hAnsi="Times New Roman" w:cs="Times New Roman"/>
          <w:sz w:val="24"/>
          <w:szCs w:val="24"/>
        </w:rPr>
        <w:t xml:space="preserve"> Nuvolone D, Balzi D, Pepe P,</w:t>
      </w:r>
      <w:r w:rsidR="00D04575">
        <w:rPr>
          <w:rFonts w:ascii="Times New Roman" w:hAnsi="Times New Roman" w:cs="Times New Roman"/>
          <w:sz w:val="24"/>
          <w:szCs w:val="24"/>
        </w:rPr>
        <w:t xml:space="preserve"> et al</w:t>
      </w:r>
      <w:r w:rsidR="005E540A" w:rsidRPr="00BB47B6">
        <w:rPr>
          <w:rFonts w:ascii="Times New Roman" w:hAnsi="Times New Roman" w:cs="Times New Roman"/>
          <w:sz w:val="24"/>
          <w:szCs w:val="24"/>
        </w:rPr>
        <w:t xml:space="preserve">. Ozone short-term exposure and acute coronary events: </w:t>
      </w:r>
      <w:r w:rsidR="00412A9E">
        <w:rPr>
          <w:rFonts w:ascii="Times New Roman" w:hAnsi="Times New Roman" w:cs="Times New Roman"/>
          <w:sz w:val="24"/>
          <w:szCs w:val="24"/>
        </w:rPr>
        <w:t>a</w:t>
      </w:r>
      <w:r w:rsidR="005E540A" w:rsidRPr="00BB47B6">
        <w:rPr>
          <w:rFonts w:ascii="Times New Roman" w:hAnsi="Times New Roman" w:cs="Times New Roman"/>
          <w:sz w:val="24"/>
          <w:szCs w:val="24"/>
        </w:rPr>
        <w:t xml:space="preserve"> multicities study in Tuscany (Italy). </w:t>
      </w:r>
      <w:r w:rsidR="005E540A" w:rsidRPr="00A50EBE">
        <w:rPr>
          <w:rFonts w:ascii="Times New Roman" w:hAnsi="Times New Roman" w:cs="Times New Roman"/>
          <w:i/>
          <w:sz w:val="24"/>
          <w:szCs w:val="24"/>
        </w:rPr>
        <w:t>Environ Res</w:t>
      </w:r>
      <w:r w:rsidR="005E540A" w:rsidRPr="00BB47B6">
        <w:rPr>
          <w:rFonts w:ascii="Times New Roman" w:hAnsi="Times New Roman" w:cs="Times New Roman"/>
          <w:sz w:val="24"/>
          <w:szCs w:val="24"/>
        </w:rPr>
        <w:t xml:space="preserve"> 2013;</w:t>
      </w:r>
      <w:r w:rsidR="005E540A" w:rsidRPr="00676770">
        <w:rPr>
          <w:rFonts w:ascii="Times New Roman" w:hAnsi="Times New Roman" w:cs="Times New Roman"/>
          <w:sz w:val="24"/>
          <w:szCs w:val="24"/>
        </w:rPr>
        <w:t>126</w:t>
      </w:r>
      <w:r w:rsidR="005E540A" w:rsidRPr="00BB47B6">
        <w:rPr>
          <w:rFonts w:ascii="Times New Roman" w:hAnsi="Times New Roman" w:cs="Times New Roman"/>
          <w:sz w:val="24"/>
          <w:szCs w:val="24"/>
        </w:rPr>
        <w:t>:17-23</w:t>
      </w:r>
      <w:r w:rsidR="00C12334">
        <w:rPr>
          <w:rFonts w:ascii="Times New Roman" w:hAnsi="Times New Roman" w:cs="Times New Roman"/>
          <w:sz w:val="24"/>
          <w:szCs w:val="24"/>
        </w:rPr>
        <w:t xml:space="preserve">. </w:t>
      </w:r>
      <w:r w:rsidR="007A5A4A">
        <w:rPr>
          <w:rFonts w:ascii="Times New Roman" w:hAnsi="Times New Roman" w:cs="Times New Roman"/>
          <w:sz w:val="24"/>
          <w:szCs w:val="24"/>
        </w:rPr>
        <w:t>doi:10.1016/j.envres.2013.08.002</w:t>
      </w:r>
    </w:p>
    <w:p w:rsidR="005E540A" w:rsidRPr="00BB47B6" w:rsidRDefault="00EF1181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Fonts w:ascii="Times New Roman" w:hAnsi="Times New Roman" w:cs="Times New Roman"/>
          <w:sz w:val="24"/>
          <w:szCs w:val="24"/>
        </w:rPr>
        <w:t>6</w:t>
      </w:r>
      <w:r w:rsidR="005E540A" w:rsidRPr="00BB47B6">
        <w:rPr>
          <w:rFonts w:ascii="Times New Roman" w:hAnsi="Times New Roman" w:cs="Times New Roman"/>
          <w:sz w:val="24"/>
          <w:szCs w:val="24"/>
        </w:rPr>
        <w:t xml:space="preserve"> Goggins WB, Chan EYY, Yang C-Y. Weather, pollution, and acute myocardial infarction in Hong Kong and Taiwan. </w:t>
      </w:r>
      <w:r w:rsidR="005E540A" w:rsidRPr="00A50EBE">
        <w:rPr>
          <w:rFonts w:ascii="Times New Roman" w:hAnsi="Times New Roman" w:cs="Times New Roman"/>
          <w:i/>
          <w:sz w:val="24"/>
          <w:szCs w:val="24"/>
        </w:rPr>
        <w:t>Int J Cardiol</w:t>
      </w:r>
      <w:r w:rsidR="005E540A" w:rsidRPr="00BB47B6">
        <w:rPr>
          <w:rFonts w:ascii="Times New Roman" w:hAnsi="Times New Roman" w:cs="Times New Roman"/>
          <w:sz w:val="24"/>
          <w:szCs w:val="24"/>
        </w:rPr>
        <w:t xml:space="preserve"> 2013;</w:t>
      </w:r>
      <w:r w:rsidR="005E540A" w:rsidRPr="00676770">
        <w:rPr>
          <w:rFonts w:ascii="Times New Roman" w:hAnsi="Times New Roman" w:cs="Times New Roman"/>
          <w:sz w:val="24"/>
          <w:szCs w:val="24"/>
        </w:rPr>
        <w:t>168</w:t>
      </w:r>
      <w:r w:rsidR="005E540A" w:rsidRPr="00BB47B6">
        <w:rPr>
          <w:rFonts w:ascii="Times New Roman" w:hAnsi="Times New Roman" w:cs="Times New Roman"/>
          <w:sz w:val="24"/>
          <w:szCs w:val="24"/>
        </w:rPr>
        <w:t>:243-9</w:t>
      </w:r>
      <w:r w:rsidR="00C12334">
        <w:rPr>
          <w:rFonts w:ascii="Times New Roman" w:hAnsi="Times New Roman" w:cs="Times New Roman"/>
          <w:sz w:val="24"/>
          <w:szCs w:val="24"/>
        </w:rPr>
        <w:t>. doi:10.1016/j.ijcard.2012.09.087</w:t>
      </w:r>
    </w:p>
    <w:p w:rsidR="005E540A" w:rsidRPr="00BB47B6" w:rsidRDefault="00EF1181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Fonts w:ascii="Times New Roman" w:hAnsi="Times New Roman" w:cs="Times New Roman"/>
          <w:sz w:val="24"/>
          <w:szCs w:val="24"/>
        </w:rPr>
        <w:t>7</w:t>
      </w:r>
      <w:r w:rsidR="005E540A" w:rsidRPr="00BB47B6">
        <w:rPr>
          <w:rFonts w:ascii="Times New Roman" w:hAnsi="Times New Roman" w:cs="Times New Roman"/>
          <w:sz w:val="24"/>
          <w:szCs w:val="24"/>
        </w:rPr>
        <w:t xml:space="preserve"> Cad</w:t>
      </w:r>
      <w:r w:rsidR="00906336">
        <w:rPr>
          <w:rFonts w:ascii="Times New Roman" w:hAnsi="Times New Roman" w:cs="Times New Roman"/>
          <w:sz w:val="24"/>
          <w:szCs w:val="24"/>
        </w:rPr>
        <w:t>u</w:t>
      </w:r>
      <w:r w:rsidR="005E540A" w:rsidRPr="00BB47B6">
        <w:rPr>
          <w:rFonts w:ascii="Times New Roman" w:hAnsi="Times New Roman" w:cs="Times New Roman"/>
          <w:sz w:val="24"/>
          <w:szCs w:val="24"/>
        </w:rPr>
        <w:t>m E, Berti G, Biggeri A,</w:t>
      </w:r>
      <w:r w:rsidR="00D04575">
        <w:rPr>
          <w:rFonts w:ascii="Times New Roman" w:hAnsi="Times New Roman" w:cs="Times New Roman"/>
          <w:sz w:val="24"/>
          <w:szCs w:val="24"/>
        </w:rPr>
        <w:t xml:space="preserve"> et al</w:t>
      </w:r>
      <w:r w:rsidR="005E540A" w:rsidRPr="00BB47B6">
        <w:rPr>
          <w:rFonts w:ascii="Times New Roman" w:hAnsi="Times New Roman" w:cs="Times New Roman"/>
          <w:sz w:val="24"/>
          <w:szCs w:val="24"/>
        </w:rPr>
        <w:t xml:space="preserve">. The results of EpiAir and the national and international literature. </w:t>
      </w:r>
      <w:r w:rsidR="005E540A" w:rsidRPr="00A50EBE">
        <w:rPr>
          <w:rFonts w:ascii="Times New Roman" w:hAnsi="Times New Roman" w:cs="Times New Roman"/>
          <w:i/>
          <w:sz w:val="24"/>
          <w:szCs w:val="24"/>
        </w:rPr>
        <w:t>Epidemiologia e prevenzione</w:t>
      </w:r>
      <w:r w:rsidR="005E540A" w:rsidRPr="00BB47B6">
        <w:rPr>
          <w:rFonts w:ascii="Times New Roman" w:hAnsi="Times New Roman" w:cs="Times New Roman"/>
          <w:sz w:val="24"/>
          <w:szCs w:val="24"/>
        </w:rPr>
        <w:t xml:space="preserve"> 2009;</w:t>
      </w:r>
      <w:r w:rsidR="005E540A" w:rsidRPr="00676770">
        <w:rPr>
          <w:rFonts w:ascii="Times New Roman" w:hAnsi="Times New Roman" w:cs="Times New Roman"/>
          <w:sz w:val="24"/>
          <w:szCs w:val="24"/>
        </w:rPr>
        <w:t>33</w:t>
      </w:r>
      <w:r w:rsidR="005E540A" w:rsidRPr="00BB47B6">
        <w:rPr>
          <w:rFonts w:ascii="Times New Roman" w:hAnsi="Times New Roman" w:cs="Times New Roman"/>
          <w:sz w:val="24"/>
          <w:szCs w:val="24"/>
        </w:rPr>
        <w:t>(6 Suppl 1):113-9 and 123-43.</w:t>
      </w:r>
    </w:p>
    <w:p w:rsidR="005E540A" w:rsidRPr="00BB47B6" w:rsidRDefault="00EF1181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Fonts w:ascii="Times New Roman" w:hAnsi="Times New Roman" w:cs="Times New Roman"/>
          <w:sz w:val="24"/>
          <w:szCs w:val="24"/>
        </w:rPr>
        <w:t>8</w:t>
      </w:r>
      <w:r w:rsidR="005E540A" w:rsidRPr="00BB47B6">
        <w:rPr>
          <w:rFonts w:ascii="Times New Roman" w:hAnsi="Times New Roman" w:cs="Times New Roman"/>
          <w:sz w:val="24"/>
          <w:szCs w:val="24"/>
        </w:rPr>
        <w:t xml:space="preserve"> Maitre A, Bonneterre V, Huillard L,</w:t>
      </w:r>
      <w:r w:rsidR="00492893">
        <w:rPr>
          <w:rFonts w:ascii="Times New Roman" w:hAnsi="Times New Roman" w:cs="Times New Roman"/>
          <w:sz w:val="24"/>
          <w:szCs w:val="24"/>
        </w:rPr>
        <w:t xml:space="preserve"> et al</w:t>
      </w:r>
      <w:r w:rsidR="005E540A" w:rsidRPr="00BB47B6">
        <w:rPr>
          <w:rFonts w:ascii="Times New Roman" w:hAnsi="Times New Roman" w:cs="Times New Roman"/>
          <w:sz w:val="24"/>
          <w:szCs w:val="24"/>
        </w:rPr>
        <w:t>. Impact of urban atmospheric pollution on coronary disea</w:t>
      </w:r>
      <w:r w:rsidR="0087791D" w:rsidRPr="00BB47B6">
        <w:rPr>
          <w:rFonts w:ascii="Times New Roman" w:hAnsi="Times New Roman" w:cs="Times New Roman"/>
          <w:sz w:val="24"/>
          <w:szCs w:val="24"/>
        </w:rPr>
        <w:t xml:space="preserve">se. </w:t>
      </w:r>
      <w:r w:rsidR="0087791D" w:rsidRPr="00A50EBE">
        <w:rPr>
          <w:rFonts w:ascii="Times New Roman" w:hAnsi="Times New Roman" w:cs="Times New Roman"/>
          <w:i/>
          <w:sz w:val="24"/>
          <w:szCs w:val="24"/>
        </w:rPr>
        <w:t>Eur Heart J</w:t>
      </w:r>
      <w:r w:rsidR="005E540A" w:rsidRPr="00492893">
        <w:rPr>
          <w:rFonts w:ascii="Times New Roman" w:hAnsi="Times New Roman" w:cs="Times New Roman"/>
          <w:sz w:val="24"/>
          <w:szCs w:val="24"/>
        </w:rPr>
        <w:t xml:space="preserve"> </w:t>
      </w:r>
      <w:r w:rsidR="005E540A" w:rsidRPr="00BB47B6">
        <w:rPr>
          <w:rFonts w:ascii="Times New Roman" w:hAnsi="Times New Roman" w:cs="Times New Roman"/>
          <w:sz w:val="24"/>
          <w:szCs w:val="24"/>
        </w:rPr>
        <w:t>2006;</w:t>
      </w:r>
      <w:r w:rsidR="005E540A" w:rsidRPr="00676770">
        <w:rPr>
          <w:rFonts w:ascii="Times New Roman" w:hAnsi="Times New Roman" w:cs="Times New Roman"/>
          <w:sz w:val="24"/>
          <w:szCs w:val="24"/>
        </w:rPr>
        <w:t>27</w:t>
      </w:r>
      <w:r w:rsidR="005E540A" w:rsidRPr="00BB47B6">
        <w:rPr>
          <w:rFonts w:ascii="Times New Roman" w:hAnsi="Times New Roman" w:cs="Times New Roman"/>
          <w:sz w:val="24"/>
          <w:szCs w:val="24"/>
        </w:rPr>
        <w:t>:2275-84.</w:t>
      </w:r>
      <w:r w:rsidR="00C12334">
        <w:rPr>
          <w:rFonts w:ascii="Times New Roman" w:hAnsi="Times New Roman" w:cs="Times New Roman"/>
          <w:sz w:val="24"/>
          <w:szCs w:val="24"/>
        </w:rPr>
        <w:t xml:space="preserve"> doi:10.1093/eurheartj/ehl162</w:t>
      </w:r>
    </w:p>
    <w:p w:rsidR="0087791D" w:rsidRPr="00BB47B6" w:rsidRDefault="00EF1181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Fonts w:ascii="Times New Roman" w:hAnsi="Times New Roman" w:cs="Times New Roman"/>
          <w:sz w:val="24"/>
          <w:szCs w:val="24"/>
        </w:rPr>
        <w:t>9</w:t>
      </w:r>
      <w:r w:rsidR="0087791D" w:rsidRPr="00BB47B6">
        <w:rPr>
          <w:rFonts w:ascii="Times New Roman" w:hAnsi="Times New Roman" w:cs="Times New Roman"/>
          <w:sz w:val="24"/>
          <w:szCs w:val="24"/>
        </w:rPr>
        <w:t xml:space="preserve"> Bhaskaran K, Hajat S, Hains A,</w:t>
      </w:r>
      <w:r w:rsidR="00492893">
        <w:rPr>
          <w:rFonts w:ascii="Times New Roman" w:hAnsi="Times New Roman" w:cs="Times New Roman"/>
          <w:sz w:val="24"/>
          <w:szCs w:val="24"/>
        </w:rPr>
        <w:t xml:space="preserve"> et al</w:t>
      </w:r>
      <w:r w:rsidR="0087791D" w:rsidRPr="00BB47B6">
        <w:rPr>
          <w:rFonts w:ascii="Times New Roman" w:hAnsi="Times New Roman" w:cs="Times New Roman"/>
          <w:sz w:val="24"/>
          <w:szCs w:val="24"/>
        </w:rPr>
        <w:t xml:space="preserve">. Effects of air pollution on the incidence of myocardial infarction. </w:t>
      </w:r>
      <w:r w:rsidR="0087791D" w:rsidRPr="00A50EBE">
        <w:rPr>
          <w:rFonts w:ascii="Times New Roman" w:hAnsi="Times New Roman" w:cs="Times New Roman"/>
          <w:i/>
          <w:sz w:val="24"/>
          <w:szCs w:val="24"/>
        </w:rPr>
        <w:t>Heart</w:t>
      </w:r>
      <w:r w:rsidR="0087791D" w:rsidRPr="00BB47B6">
        <w:rPr>
          <w:rFonts w:ascii="Times New Roman" w:hAnsi="Times New Roman" w:cs="Times New Roman"/>
          <w:sz w:val="24"/>
          <w:szCs w:val="24"/>
        </w:rPr>
        <w:t xml:space="preserve"> 2009;</w:t>
      </w:r>
      <w:r w:rsidR="0087791D" w:rsidRPr="00676770">
        <w:rPr>
          <w:rFonts w:ascii="Times New Roman" w:hAnsi="Times New Roman" w:cs="Times New Roman"/>
          <w:sz w:val="24"/>
          <w:szCs w:val="24"/>
        </w:rPr>
        <w:t>95</w:t>
      </w:r>
      <w:r w:rsidR="0087791D" w:rsidRPr="00BB47B6">
        <w:rPr>
          <w:rFonts w:ascii="Times New Roman" w:hAnsi="Times New Roman" w:cs="Times New Roman"/>
          <w:sz w:val="24"/>
          <w:szCs w:val="24"/>
        </w:rPr>
        <w:t>:1746-59.</w:t>
      </w:r>
      <w:r w:rsidR="00C12334">
        <w:rPr>
          <w:rFonts w:ascii="Times New Roman" w:hAnsi="Times New Roman" w:cs="Times New Roman"/>
          <w:sz w:val="24"/>
          <w:szCs w:val="24"/>
        </w:rPr>
        <w:t xml:space="preserve"> doi:</w:t>
      </w:r>
      <w:r w:rsidR="0043447B">
        <w:rPr>
          <w:rFonts w:ascii="Times New Roman" w:hAnsi="Times New Roman" w:cs="Times New Roman"/>
          <w:sz w:val="24"/>
          <w:szCs w:val="24"/>
        </w:rPr>
        <w:t>10.1136/hrt.2009.175018</w:t>
      </w:r>
    </w:p>
    <w:p w:rsidR="0087791D" w:rsidRPr="00BB47B6" w:rsidRDefault="00EF1181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Fonts w:ascii="Times New Roman" w:hAnsi="Times New Roman" w:cs="Times New Roman"/>
          <w:sz w:val="24"/>
          <w:szCs w:val="24"/>
        </w:rPr>
        <w:t>10</w:t>
      </w:r>
      <w:r w:rsidR="0087791D" w:rsidRPr="00BB47B6">
        <w:rPr>
          <w:rFonts w:ascii="Times New Roman" w:hAnsi="Times New Roman" w:cs="Times New Roman"/>
          <w:sz w:val="24"/>
          <w:szCs w:val="24"/>
        </w:rPr>
        <w:t xml:space="preserve"> Mustafi</w:t>
      </w:r>
      <w:r w:rsidR="00F53D83">
        <w:rPr>
          <w:rFonts w:ascii="Times New Roman" w:hAnsi="Times New Roman" w:cs="Times New Roman"/>
          <w:sz w:val="24"/>
          <w:szCs w:val="24"/>
        </w:rPr>
        <w:t>ć</w:t>
      </w:r>
      <w:r w:rsidR="0087791D" w:rsidRPr="00BB47B6">
        <w:rPr>
          <w:rFonts w:ascii="Times New Roman" w:hAnsi="Times New Roman" w:cs="Times New Roman"/>
          <w:sz w:val="24"/>
          <w:szCs w:val="24"/>
        </w:rPr>
        <w:t xml:space="preserve"> H, Jabre P, Caussin C,</w:t>
      </w:r>
      <w:r w:rsidR="00492893">
        <w:rPr>
          <w:rFonts w:ascii="Times New Roman" w:hAnsi="Times New Roman" w:cs="Times New Roman"/>
          <w:sz w:val="24"/>
          <w:szCs w:val="24"/>
        </w:rPr>
        <w:t xml:space="preserve"> et al</w:t>
      </w:r>
      <w:r w:rsidR="0087791D" w:rsidRPr="00BB47B6">
        <w:rPr>
          <w:rFonts w:ascii="Times New Roman" w:hAnsi="Times New Roman" w:cs="Times New Roman"/>
          <w:sz w:val="24"/>
          <w:szCs w:val="24"/>
        </w:rPr>
        <w:t>. Main air pollutants and myocardial infarction</w:t>
      </w:r>
      <w:r w:rsidR="00412A9E">
        <w:rPr>
          <w:rFonts w:ascii="Times New Roman" w:hAnsi="Times New Roman" w:cs="Times New Roman"/>
          <w:sz w:val="24"/>
          <w:szCs w:val="24"/>
        </w:rPr>
        <w:t>: a</w:t>
      </w:r>
      <w:r w:rsidR="0087791D" w:rsidRPr="00BB47B6">
        <w:rPr>
          <w:rFonts w:ascii="Times New Roman" w:hAnsi="Times New Roman" w:cs="Times New Roman"/>
          <w:sz w:val="24"/>
          <w:szCs w:val="24"/>
        </w:rPr>
        <w:t xml:space="preserve"> systematic review and meta-analysis. </w:t>
      </w:r>
      <w:r w:rsidR="0087791D" w:rsidRPr="00A50EBE">
        <w:rPr>
          <w:rFonts w:ascii="Times New Roman" w:hAnsi="Times New Roman" w:cs="Times New Roman"/>
          <w:i/>
          <w:sz w:val="24"/>
          <w:szCs w:val="24"/>
        </w:rPr>
        <w:t>JAMA</w:t>
      </w:r>
      <w:r w:rsidR="0087791D" w:rsidRPr="00676770">
        <w:rPr>
          <w:rFonts w:ascii="Times New Roman" w:hAnsi="Times New Roman" w:cs="Times New Roman"/>
          <w:sz w:val="24"/>
          <w:szCs w:val="24"/>
        </w:rPr>
        <w:t xml:space="preserve"> </w:t>
      </w:r>
      <w:r w:rsidR="0087791D" w:rsidRPr="00BB47B6">
        <w:rPr>
          <w:rFonts w:ascii="Times New Roman" w:hAnsi="Times New Roman" w:cs="Times New Roman"/>
          <w:sz w:val="24"/>
          <w:szCs w:val="24"/>
        </w:rPr>
        <w:t>2012;</w:t>
      </w:r>
      <w:r w:rsidR="0087791D" w:rsidRPr="00676770">
        <w:rPr>
          <w:rFonts w:ascii="Times New Roman" w:hAnsi="Times New Roman" w:cs="Times New Roman"/>
          <w:sz w:val="24"/>
          <w:szCs w:val="24"/>
        </w:rPr>
        <w:t>307</w:t>
      </w:r>
      <w:r w:rsidR="0087791D" w:rsidRPr="00BB47B6">
        <w:rPr>
          <w:rFonts w:ascii="Times New Roman" w:hAnsi="Times New Roman" w:cs="Times New Roman"/>
          <w:sz w:val="24"/>
          <w:szCs w:val="24"/>
        </w:rPr>
        <w:t>:713-21.</w:t>
      </w:r>
      <w:r w:rsidR="0043447B">
        <w:rPr>
          <w:rFonts w:ascii="Times New Roman" w:hAnsi="Times New Roman" w:cs="Times New Roman"/>
          <w:sz w:val="24"/>
          <w:szCs w:val="24"/>
        </w:rPr>
        <w:t xml:space="preserve"> doi:10.1001/jama.2012.126</w:t>
      </w:r>
    </w:p>
    <w:p w:rsidR="0087791D" w:rsidRPr="00BB47B6" w:rsidRDefault="00EF1181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Fonts w:ascii="Times New Roman" w:hAnsi="Times New Roman" w:cs="Times New Roman"/>
          <w:sz w:val="24"/>
          <w:szCs w:val="24"/>
        </w:rPr>
        <w:t>11</w:t>
      </w:r>
      <w:r w:rsidR="0087791D" w:rsidRPr="00BB47B6">
        <w:rPr>
          <w:rFonts w:ascii="Times New Roman" w:hAnsi="Times New Roman" w:cs="Times New Roman"/>
          <w:sz w:val="24"/>
          <w:szCs w:val="24"/>
        </w:rPr>
        <w:t xml:space="preserve"> Milojevic A, Wilkinson P, Armstrong B,</w:t>
      </w:r>
      <w:r w:rsidR="00492893">
        <w:rPr>
          <w:rFonts w:ascii="Times New Roman" w:hAnsi="Times New Roman" w:cs="Times New Roman"/>
          <w:sz w:val="24"/>
          <w:szCs w:val="24"/>
        </w:rPr>
        <w:t xml:space="preserve"> et al</w:t>
      </w:r>
      <w:r w:rsidR="0087791D" w:rsidRPr="00BB47B6">
        <w:rPr>
          <w:rFonts w:ascii="Times New Roman" w:hAnsi="Times New Roman" w:cs="Times New Roman"/>
          <w:sz w:val="24"/>
          <w:szCs w:val="24"/>
        </w:rPr>
        <w:t xml:space="preserve">. Short-term effects of air pollution on a range of cardiovascular events in England and Wales: </w:t>
      </w:r>
      <w:r w:rsidR="00412A9E">
        <w:rPr>
          <w:rFonts w:ascii="Times New Roman" w:hAnsi="Times New Roman" w:cs="Times New Roman"/>
          <w:sz w:val="24"/>
          <w:szCs w:val="24"/>
        </w:rPr>
        <w:t>c</w:t>
      </w:r>
      <w:r w:rsidR="0087791D" w:rsidRPr="00BB47B6">
        <w:rPr>
          <w:rFonts w:ascii="Times New Roman" w:hAnsi="Times New Roman" w:cs="Times New Roman"/>
          <w:sz w:val="24"/>
          <w:szCs w:val="24"/>
        </w:rPr>
        <w:t xml:space="preserve">ase-crossover analysis of the MINAP database, hospital admissions and mortality. </w:t>
      </w:r>
      <w:r w:rsidR="0087791D" w:rsidRPr="00A50EBE">
        <w:rPr>
          <w:rFonts w:ascii="Times New Roman" w:hAnsi="Times New Roman" w:cs="Times New Roman"/>
          <w:i/>
          <w:sz w:val="24"/>
          <w:szCs w:val="24"/>
        </w:rPr>
        <w:t>Heart</w:t>
      </w:r>
      <w:r w:rsidR="0087791D" w:rsidRPr="00676770">
        <w:rPr>
          <w:rFonts w:ascii="Times New Roman" w:hAnsi="Times New Roman" w:cs="Times New Roman"/>
          <w:sz w:val="24"/>
          <w:szCs w:val="24"/>
        </w:rPr>
        <w:t xml:space="preserve"> </w:t>
      </w:r>
      <w:r w:rsidR="0087791D" w:rsidRPr="00BB47B6">
        <w:rPr>
          <w:rFonts w:ascii="Times New Roman" w:hAnsi="Times New Roman" w:cs="Times New Roman"/>
          <w:sz w:val="24"/>
          <w:szCs w:val="24"/>
        </w:rPr>
        <w:t>2014;</w:t>
      </w:r>
      <w:r w:rsidR="0087791D" w:rsidRPr="00676770">
        <w:rPr>
          <w:rFonts w:ascii="Times New Roman" w:hAnsi="Times New Roman" w:cs="Times New Roman"/>
          <w:sz w:val="24"/>
          <w:szCs w:val="24"/>
        </w:rPr>
        <w:t>100</w:t>
      </w:r>
      <w:r w:rsidR="0087791D" w:rsidRPr="00BB47B6">
        <w:rPr>
          <w:rFonts w:ascii="Times New Roman" w:hAnsi="Times New Roman" w:cs="Times New Roman"/>
          <w:sz w:val="24"/>
          <w:szCs w:val="24"/>
        </w:rPr>
        <w:t>:1093-8.</w:t>
      </w:r>
      <w:r w:rsidR="0043447B">
        <w:rPr>
          <w:rFonts w:ascii="Times New Roman" w:hAnsi="Times New Roman" w:cs="Times New Roman"/>
          <w:sz w:val="24"/>
          <w:szCs w:val="24"/>
        </w:rPr>
        <w:t xml:space="preserve"> doi:10.1136/heartjnl-2013-304963</w:t>
      </w:r>
    </w:p>
    <w:p w:rsidR="0087791D" w:rsidRDefault="00EF1181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87791D" w:rsidRPr="00BB47B6">
        <w:rPr>
          <w:rFonts w:ascii="Times New Roman" w:hAnsi="Times New Roman" w:cs="Times New Roman"/>
          <w:sz w:val="24"/>
          <w:szCs w:val="24"/>
        </w:rPr>
        <w:t xml:space="preserve"> Gardner B, Ling F, Hopke PK,</w:t>
      </w:r>
      <w:r w:rsidR="00492893">
        <w:rPr>
          <w:rFonts w:ascii="Times New Roman" w:hAnsi="Times New Roman" w:cs="Times New Roman"/>
          <w:sz w:val="24"/>
          <w:szCs w:val="24"/>
        </w:rPr>
        <w:t xml:space="preserve"> et al</w:t>
      </w:r>
      <w:r w:rsidR="0087791D" w:rsidRPr="00BB47B6">
        <w:rPr>
          <w:rFonts w:ascii="Times New Roman" w:hAnsi="Times New Roman" w:cs="Times New Roman"/>
          <w:sz w:val="24"/>
          <w:szCs w:val="24"/>
        </w:rPr>
        <w:t xml:space="preserve">. Ambient fine particulate air pollution triggers ST-elevation myocardial infarction, but not non-ST elevation myocardial infarction: a case-crossover study. </w:t>
      </w:r>
      <w:r w:rsidR="0087791D" w:rsidRPr="00A50EBE">
        <w:rPr>
          <w:rFonts w:ascii="Times New Roman" w:hAnsi="Times New Roman" w:cs="Times New Roman"/>
          <w:i/>
          <w:sz w:val="24"/>
          <w:szCs w:val="24"/>
        </w:rPr>
        <w:t>Part Fibre Toxicol</w:t>
      </w:r>
      <w:r w:rsidR="0087791D" w:rsidRPr="00BB47B6">
        <w:rPr>
          <w:rFonts w:ascii="Times New Roman" w:hAnsi="Times New Roman" w:cs="Times New Roman"/>
          <w:sz w:val="24"/>
          <w:szCs w:val="24"/>
        </w:rPr>
        <w:t xml:space="preserve"> 2014;</w:t>
      </w:r>
      <w:r w:rsidR="0087791D" w:rsidRPr="00676770">
        <w:rPr>
          <w:rFonts w:ascii="Times New Roman" w:hAnsi="Times New Roman" w:cs="Times New Roman"/>
          <w:sz w:val="24"/>
          <w:szCs w:val="24"/>
        </w:rPr>
        <w:t>11</w:t>
      </w:r>
      <w:r w:rsidR="0087791D" w:rsidRPr="00BB47B6">
        <w:rPr>
          <w:rFonts w:ascii="Times New Roman" w:hAnsi="Times New Roman" w:cs="Times New Roman"/>
          <w:sz w:val="24"/>
          <w:szCs w:val="24"/>
        </w:rPr>
        <w:t>:1</w:t>
      </w:r>
      <w:r w:rsidR="006F19FA">
        <w:rPr>
          <w:rFonts w:ascii="Times New Roman" w:hAnsi="Times New Roman" w:cs="Times New Roman"/>
          <w:sz w:val="24"/>
          <w:szCs w:val="24"/>
        </w:rPr>
        <w:t>.</w:t>
      </w:r>
      <w:r w:rsidR="00492893" w:rsidRPr="00492893">
        <w:rPr>
          <w:rFonts w:ascii="AdvTTe45e47d2" w:hAnsi="AdvTTe45e47d2" w:cs="AdvTTe45e47d2"/>
          <w:sz w:val="15"/>
          <w:szCs w:val="15"/>
        </w:rPr>
        <w:t xml:space="preserve"> </w:t>
      </w:r>
      <w:r w:rsidR="00C47964">
        <w:rPr>
          <w:rFonts w:ascii="Times New Roman" w:hAnsi="Times New Roman" w:cs="Times New Roman"/>
          <w:sz w:val="24"/>
          <w:szCs w:val="24"/>
        </w:rPr>
        <w:t>doi</w:t>
      </w:r>
      <w:r w:rsidR="00C47964" w:rsidRPr="00C47964">
        <w:rPr>
          <w:rFonts w:ascii="Times New Roman" w:hAnsi="Times New Roman" w:cs="Times New Roman"/>
          <w:sz w:val="24"/>
          <w:szCs w:val="24"/>
        </w:rPr>
        <w:t>:10.1186/1743-8977-11-1</w:t>
      </w:r>
    </w:p>
    <w:p w:rsidR="00130F63" w:rsidRPr="00C47964" w:rsidRDefault="007A1360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30F63">
        <w:rPr>
          <w:rFonts w:ascii="Times New Roman" w:hAnsi="Times New Roman" w:cs="Times New Roman"/>
          <w:sz w:val="24"/>
          <w:szCs w:val="24"/>
        </w:rPr>
        <w:t xml:space="preserve"> Wang X, Kindzierski W, Kaul P. Air pollution and acute myocardial infarction hospital</w:t>
      </w:r>
      <w:r w:rsidR="00412A9E">
        <w:rPr>
          <w:rFonts w:ascii="Times New Roman" w:hAnsi="Times New Roman" w:cs="Times New Roman"/>
          <w:sz w:val="24"/>
          <w:szCs w:val="24"/>
        </w:rPr>
        <w:t xml:space="preserve"> admission in Alberta, Canada: a</w:t>
      </w:r>
      <w:r w:rsidR="00130F63">
        <w:rPr>
          <w:rFonts w:ascii="Times New Roman" w:hAnsi="Times New Roman" w:cs="Times New Roman"/>
          <w:sz w:val="24"/>
          <w:szCs w:val="24"/>
        </w:rPr>
        <w:t xml:space="preserve"> three-step procedure case-crossover study.</w:t>
      </w:r>
      <w:r w:rsidR="00F02DB7">
        <w:rPr>
          <w:rFonts w:ascii="Times New Roman" w:hAnsi="Times New Roman" w:cs="Times New Roman"/>
          <w:sz w:val="24"/>
          <w:szCs w:val="24"/>
        </w:rPr>
        <w:t xml:space="preserve"> </w:t>
      </w:r>
      <w:r w:rsidR="00F02DB7" w:rsidRPr="00A50EBE">
        <w:rPr>
          <w:rFonts w:ascii="Times New Roman" w:hAnsi="Times New Roman" w:cs="Times New Roman"/>
          <w:i/>
          <w:sz w:val="24"/>
          <w:szCs w:val="24"/>
        </w:rPr>
        <w:t>PLoS ONE</w:t>
      </w:r>
      <w:r w:rsidR="00F02DB7">
        <w:rPr>
          <w:rFonts w:ascii="Times New Roman" w:hAnsi="Times New Roman" w:cs="Times New Roman"/>
          <w:sz w:val="24"/>
          <w:szCs w:val="24"/>
        </w:rPr>
        <w:t xml:space="preserve"> 2015;10:e0132769</w:t>
      </w:r>
      <w:r w:rsidR="006F19FA">
        <w:rPr>
          <w:rFonts w:ascii="Times New Roman" w:hAnsi="Times New Roman" w:cs="Times New Roman"/>
          <w:sz w:val="24"/>
          <w:szCs w:val="24"/>
        </w:rPr>
        <w:t>.</w:t>
      </w:r>
      <w:r w:rsidR="00F02DB7">
        <w:rPr>
          <w:rFonts w:ascii="Times New Roman" w:hAnsi="Times New Roman" w:cs="Times New Roman"/>
          <w:sz w:val="24"/>
          <w:szCs w:val="24"/>
        </w:rPr>
        <w:t xml:space="preserve"> doi:10.1371/journal.pone.0132769</w:t>
      </w:r>
    </w:p>
    <w:p w:rsidR="006F19FA" w:rsidRDefault="00EF1181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BB47B6">
        <w:rPr>
          <w:rFonts w:ascii="Times New Roman" w:hAnsi="Times New Roman" w:cs="Times New Roman"/>
          <w:sz w:val="24"/>
          <w:szCs w:val="24"/>
        </w:rPr>
        <w:t>1</w:t>
      </w:r>
      <w:r w:rsidR="007A1360">
        <w:rPr>
          <w:rFonts w:ascii="Times New Roman" w:hAnsi="Times New Roman" w:cs="Times New Roman"/>
          <w:sz w:val="24"/>
          <w:szCs w:val="24"/>
        </w:rPr>
        <w:t>4</w:t>
      </w:r>
      <w:r w:rsidR="0087791D" w:rsidRPr="00BB47B6">
        <w:rPr>
          <w:rFonts w:ascii="Times New Roman" w:hAnsi="Times New Roman" w:cs="Times New Roman"/>
          <w:sz w:val="24"/>
          <w:szCs w:val="24"/>
        </w:rPr>
        <w:t xml:space="preserve"> Herrett E, Smeeth L, Walker L,</w:t>
      </w:r>
      <w:r w:rsidR="00B620FE">
        <w:rPr>
          <w:rFonts w:ascii="Times New Roman" w:hAnsi="Times New Roman" w:cs="Times New Roman"/>
          <w:sz w:val="24"/>
          <w:szCs w:val="24"/>
        </w:rPr>
        <w:t xml:space="preserve"> et al</w:t>
      </w:r>
      <w:r w:rsidR="0087791D" w:rsidRPr="00BB47B6">
        <w:rPr>
          <w:rFonts w:ascii="Times New Roman" w:hAnsi="Times New Roman" w:cs="Times New Roman"/>
          <w:sz w:val="24"/>
          <w:szCs w:val="24"/>
        </w:rPr>
        <w:t xml:space="preserve">. The Myocardial Ischaemia National Audit Project (MINAP). </w:t>
      </w:r>
      <w:r w:rsidR="0087791D" w:rsidRPr="00A50EBE">
        <w:rPr>
          <w:rFonts w:ascii="Times New Roman" w:hAnsi="Times New Roman" w:cs="Times New Roman"/>
          <w:i/>
          <w:sz w:val="24"/>
          <w:szCs w:val="24"/>
        </w:rPr>
        <w:t>Heart</w:t>
      </w:r>
      <w:r w:rsidR="0087791D" w:rsidRPr="00BB47B6">
        <w:rPr>
          <w:rFonts w:ascii="Times New Roman" w:hAnsi="Times New Roman" w:cs="Times New Roman"/>
          <w:sz w:val="24"/>
          <w:szCs w:val="24"/>
        </w:rPr>
        <w:t xml:space="preserve"> 2010;</w:t>
      </w:r>
      <w:r w:rsidR="0087791D" w:rsidRPr="00676770">
        <w:rPr>
          <w:rFonts w:ascii="Times New Roman" w:hAnsi="Times New Roman" w:cs="Times New Roman"/>
          <w:sz w:val="24"/>
          <w:szCs w:val="24"/>
        </w:rPr>
        <w:t>96</w:t>
      </w:r>
      <w:r w:rsidR="0087791D" w:rsidRPr="00BB47B6">
        <w:rPr>
          <w:rFonts w:ascii="Times New Roman" w:hAnsi="Times New Roman" w:cs="Times New Roman"/>
          <w:sz w:val="24"/>
          <w:szCs w:val="24"/>
        </w:rPr>
        <w:t>:1264-7.</w:t>
      </w:r>
      <w:r w:rsidR="006F19FA">
        <w:rPr>
          <w:rFonts w:ascii="Times New Roman" w:hAnsi="Times New Roman" w:cs="Times New Roman"/>
          <w:sz w:val="24"/>
          <w:szCs w:val="24"/>
        </w:rPr>
        <w:t xml:space="preserve"> doi:10.1136/hrt.2009.192328</w:t>
      </w:r>
    </w:p>
    <w:p w:rsidR="00F83F24" w:rsidRPr="00676770" w:rsidRDefault="005A56F2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456E">
        <w:rPr>
          <w:rFonts w:ascii="Times New Roman" w:hAnsi="Times New Roman" w:cs="Times New Roman"/>
          <w:sz w:val="24"/>
          <w:szCs w:val="24"/>
        </w:rPr>
        <w:t>5</w:t>
      </w:r>
      <w:r w:rsidR="00F83F24" w:rsidRPr="00676770">
        <w:rPr>
          <w:rFonts w:ascii="Times New Roman" w:hAnsi="Times New Roman" w:cs="Times New Roman"/>
          <w:sz w:val="24"/>
          <w:szCs w:val="24"/>
        </w:rPr>
        <w:t xml:space="preserve"> </w:t>
      </w:r>
      <w:r w:rsidR="00F83F24">
        <w:rPr>
          <w:rFonts w:ascii="Times New Roman" w:hAnsi="Times New Roman" w:cs="Times New Roman"/>
          <w:sz w:val="24"/>
          <w:szCs w:val="24"/>
        </w:rPr>
        <w:t>Vieno M, Dore AJ, Stevenson DS,</w:t>
      </w:r>
      <w:r w:rsidR="00B620FE">
        <w:rPr>
          <w:rFonts w:ascii="Times New Roman" w:hAnsi="Times New Roman" w:cs="Times New Roman"/>
          <w:sz w:val="24"/>
          <w:szCs w:val="24"/>
        </w:rPr>
        <w:t xml:space="preserve"> et al</w:t>
      </w:r>
      <w:r w:rsidR="00F83F24">
        <w:rPr>
          <w:rFonts w:ascii="Times New Roman" w:hAnsi="Times New Roman" w:cs="Times New Roman"/>
          <w:sz w:val="24"/>
          <w:szCs w:val="24"/>
        </w:rPr>
        <w:t xml:space="preserve">. </w:t>
      </w:r>
      <w:r w:rsidR="00F83F24" w:rsidRPr="00676770">
        <w:rPr>
          <w:rFonts w:ascii="Times New Roman" w:hAnsi="Times New Roman" w:cs="Times New Roman"/>
          <w:sz w:val="24"/>
          <w:szCs w:val="24"/>
        </w:rPr>
        <w:t xml:space="preserve">Modelling surface ozone during the 2003 heat-wave in the UK. </w:t>
      </w:r>
      <w:r w:rsidR="00F83F24" w:rsidRPr="00A50EBE">
        <w:rPr>
          <w:rFonts w:ascii="Times New Roman" w:hAnsi="Times New Roman" w:cs="Times New Roman"/>
          <w:i/>
          <w:sz w:val="24"/>
          <w:szCs w:val="24"/>
        </w:rPr>
        <w:t>Atmos Chem Phys</w:t>
      </w:r>
      <w:r w:rsidR="00F83F24">
        <w:rPr>
          <w:rFonts w:ascii="Times New Roman" w:hAnsi="Times New Roman" w:cs="Times New Roman"/>
          <w:sz w:val="24"/>
          <w:szCs w:val="24"/>
        </w:rPr>
        <w:t xml:space="preserve"> 2010;</w:t>
      </w:r>
      <w:r w:rsidR="00F83F24" w:rsidRPr="00676770">
        <w:rPr>
          <w:rFonts w:ascii="Times New Roman" w:hAnsi="Times New Roman" w:cs="Times New Roman"/>
          <w:sz w:val="24"/>
          <w:szCs w:val="24"/>
        </w:rPr>
        <w:t>10</w:t>
      </w:r>
      <w:r w:rsidR="00F83F24">
        <w:rPr>
          <w:rFonts w:ascii="Times New Roman" w:hAnsi="Times New Roman" w:cs="Times New Roman"/>
          <w:sz w:val="24"/>
          <w:szCs w:val="24"/>
        </w:rPr>
        <w:t>:</w:t>
      </w:r>
      <w:r w:rsidR="00901353">
        <w:rPr>
          <w:rFonts w:ascii="Times New Roman" w:hAnsi="Times New Roman" w:cs="Times New Roman"/>
          <w:sz w:val="24"/>
          <w:szCs w:val="24"/>
        </w:rPr>
        <w:t>7963-78.</w:t>
      </w:r>
      <w:r w:rsidR="006F19FA">
        <w:rPr>
          <w:rFonts w:ascii="Times New Roman" w:hAnsi="Times New Roman" w:cs="Times New Roman"/>
          <w:sz w:val="24"/>
          <w:szCs w:val="24"/>
        </w:rPr>
        <w:t xml:space="preserve"> doi:10.5194/acp-10-7963-2010</w:t>
      </w:r>
    </w:p>
    <w:p w:rsidR="003429B7" w:rsidRDefault="005A56F2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456E">
        <w:rPr>
          <w:rFonts w:ascii="Times New Roman" w:hAnsi="Times New Roman" w:cs="Times New Roman"/>
          <w:sz w:val="24"/>
          <w:szCs w:val="24"/>
        </w:rPr>
        <w:t>6</w:t>
      </w:r>
      <w:r w:rsidR="00F83F24" w:rsidRPr="00676770">
        <w:rPr>
          <w:rFonts w:ascii="Times New Roman" w:hAnsi="Times New Roman" w:cs="Times New Roman"/>
          <w:sz w:val="24"/>
          <w:szCs w:val="24"/>
        </w:rPr>
        <w:t xml:space="preserve"> </w:t>
      </w:r>
      <w:r w:rsidR="00F83F24">
        <w:rPr>
          <w:rFonts w:ascii="Times New Roman" w:hAnsi="Times New Roman" w:cs="Times New Roman"/>
          <w:sz w:val="24"/>
          <w:szCs w:val="24"/>
        </w:rPr>
        <w:t>Vieno M, Heal MR, Hallsworth S,</w:t>
      </w:r>
      <w:r w:rsidR="00B620FE">
        <w:rPr>
          <w:rFonts w:ascii="Times New Roman" w:hAnsi="Times New Roman" w:cs="Times New Roman"/>
          <w:sz w:val="24"/>
          <w:szCs w:val="24"/>
        </w:rPr>
        <w:t xml:space="preserve"> et al</w:t>
      </w:r>
      <w:r w:rsidR="00F83F24">
        <w:rPr>
          <w:rFonts w:ascii="Times New Roman" w:hAnsi="Times New Roman" w:cs="Times New Roman"/>
          <w:sz w:val="24"/>
          <w:szCs w:val="24"/>
        </w:rPr>
        <w:t xml:space="preserve">. </w:t>
      </w:r>
      <w:r w:rsidR="00F83F24" w:rsidRPr="00676770">
        <w:rPr>
          <w:rFonts w:ascii="Times New Roman" w:hAnsi="Times New Roman" w:cs="Times New Roman"/>
          <w:sz w:val="24"/>
          <w:szCs w:val="24"/>
        </w:rPr>
        <w:t>The role of long-range transport and domestic emissions in determining atmospheric secondary inorganic particle concentra</w:t>
      </w:r>
      <w:r w:rsidR="00F83F24">
        <w:rPr>
          <w:rFonts w:ascii="Times New Roman" w:hAnsi="Times New Roman" w:cs="Times New Roman"/>
          <w:sz w:val="24"/>
          <w:szCs w:val="24"/>
        </w:rPr>
        <w:t xml:space="preserve">tions across the UK. </w:t>
      </w:r>
      <w:r w:rsidR="00F83F24" w:rsidRPr="00A50EBE">
        <w:rPr>
          <w:rFonts w:ascii="Times New Roman" w:hAnsi="Times New Roman" w:cs="Times New Roman"/>
          <w:i/>
          <w:sz w:val="24"/>
          <w:szCs w:val="24"/>
        </w:rPr>
        <w:t>Atmos Chem Phys</w:t>
      </w:r>
      <w:r w:rsidR="00F83F24">
        <w:rPr>
          <w:rFonts w:ascii="Times New Roman" w:hAnsi="Times New Roman" w:cs="Times New Roman"/>
          <w:sz w:val="24"/>
          <w:szCs w:val="24"/>
        </w:rPr>
        <w:t xml:space="preserve"> 2014;</w:t>
      </w:r>
      <w:r w:rsidR="00F83F24" w:rsidRPr="00676770">
        <w:rPr>
          <w:rFonts w:ascii="Times New Roman" w:hAnsi="Times New Roman" w:cs="Times New Roman"/>
          <w:sz w:val="24"/>
          <w:szCs w:val="24"/>
        </w:rPr>
        <w:t>14</w:t>
      </w:r>
      <w:r w:rsidR="00F83F24">
        <w:rPr>
          <w:rFonts w:ascii="Times New Roman" w:hAnsi="Times New Roman" w:cs="Times New Roman"/>
          <w:sz w:val="24"/>
          <w:szCs w:val="24"/>
        </w:rPr>
        <w:t>:</w:t>
      </w:r>
      <w:r w:rsidR="00F83F24" w:rsidRPr="00676770">
        <w:rPr>
          <w:rFonts w:ascii="Times New Roman" w:hAnsi="Times New Roman" w:cs="Times New Roman"/>
          <w:sz w:val="24"/>
          <w:szCs w:val="24"/>
        </w:rPr>
        <w:t>8435-47.</w:t>
      </w:r>
      <w:r w:rsidR="006F19FA">
        <w:rPr>
          <w:rFonts w:ascii="Times New Roman" w:hAnsi="Times New Roman" w:cs="Times New Roman"/>
          <w:sz w:val="24"/>
          <w:szCs w:val="24"/>
        </w:rPr>
        <w:t xml:space="preserve"> doi:10.5194/acp-14-8435-2014</w:t>
      </w:r>
    </w:p>
    <w:p w:rsidR="00D3357B" w:rsidRPr="00BB47B6" w:rsidRDefault="00D3357B" w:rsidP="00D3357B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Simpson D, Benedictow A, Berge H, et al. The EMEP MSC-W chemical transport model – technical description, </w:t>
      </w:r>
      <w:r w:rsidRPr="003D3BD1">
        <w:rPr>
          <w:rFonts w:ascii="Times New Roman" w:hAnsi="Times New Roman" w:cs="Times New Roman"/>
          <w:i/>
          <w:sz w:val="24"/>
          <w:szCs w:val="24"/>
        </w:rPr>
        <w:t>Atmos Chem Phys</w:t>
      </w:r>
      <w:r w:rsidR="00D14BB2">
        <w:rPr>
          <w:rFonts w:ascii="Times New Roman" w:hAnsi="Times New Roman" w:cs="Times New Roman"/>
          <w:sz w:val="24"/>
          <w:szCs w:val="24"/>
        </w:rPr>
        <w:t xml:space="preserve"> 2012;12:7825-</w:t>
      </w:r>
      <w:r>
        <w:rPr>
          <w:rFonts w:ascii="Times New Roman" w:hAnsi="Times New Roman" w:cs="Times New Roman"/>
          <w:sz w:val="24"/>
          <w:szCs w:val="24"/>
        </w:rPr>
        <w:t>65. doi:10.5194/acp-12-7825-2012</w:t>
      </w:r>
    </w:p>
    <w:p w:rsidR="0043456E" w:rsidRDefault="00D3357B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3456E">
        <w:rPr>
          <w:rFonts w:ascii="Times New Roman" w:hAnsi="Times New Roman" w:cs="Times New Roman"/>
          <w:sz w:val="24"/>
          <w:szCs w:val="24"/>
        </w:rPr>
        <w:t xml:space="preserve"> NICOR. Datasets and user guides. </w:t>
      </w:r>
      <w:hyperlink r:id="rId15" w:history="1">
        <w:r w:rsidR="0043456E" w:rsidRPr="00D562B5">
          <w:rPr>
            <w:rStyle w:val="Hyperlink"/>
            <w:rFonts w:ascii="Times New Roman" w:hAnsi="Times New Roman" w:cs="Times New Roman"/>
            <w:sz w:val="24"/>
            <w:szCs w:val="24"/>
          </w:rPr>
          <w:t>https://www.ucl.ac.uk/nicor/audits/minap/datasets</w:t>
        </w:r>
      </w:hyperlink>
      <w:r w:rsidR="0043456E">
        <w:rPr>
          <w:rFonts w:ascii="Times New Roman" w:hAnsi="Times New Roman" w:cs="Times New Roman"/>
          <w:sz w:val="24"/>
          <w:szCs w:val="24"/>
        </w:rPr>
        <w:t xml:space="preserve">. (accessed 16 May 2016). </w:t>
      </w:r>
    </w:p>
    <w:p w:rsidR="00E711A9" w:rsidRDefault="00D3357B" w:rsidP="00E711A9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711A9">
        <w:rPr>
          <w:rFonts w:ascii="Times New Roman" w:hAnsi="Times New Roman" w:cs="Times New Roman"/>
          <w:sz w:val="24"/>
          <w:szCs w:val="24"/>
        </w:rPr>
        <w:t xml:space="preserve"> Weather Research and Forecasting (WRF) model version 3.1.1. </w:t>
      </w:r>
      <w:hyperlink r:id="rId16" w:history="1">
        <w:r w:rsidR="00E711A9" w:rsidRPr="006E1FFC">
          <w:rPr>
            <w:rStyle w:val="Hyperlink"/>
            <w:rFonts w:ascii="Times New Roman" w:hAnsi="Times New Roman" w:cs="Times New Roman"/>
            <w:sz w:val="24"/>
            <w:szCs w:val="24"/>
          </w:rPr>
          <w:t>http://www.wrf-model.org</w:t>
        </w:r>
      </w:hyperlink>
      <w:r w:rsidR="007D142F">
        <w:rPr>
          <w:rFonts w:ascii="Times New Roman" w:hAnsi="Times New Roman" w:cs="Times New Roman"/>
          <w:sz w:val="24"/>
          <w:szCs w:val="24"/>
        </w:rPr>
        <w:t>. (a</w:t>
      </w:r>
      <w:r w:rsidR="00E711A9">
        <w:rPr>
          <w:rFonts w:ascii="Times New Roman" w:hAnsi="Times New Roman" w:cs="Times New Roman"/>
          <w:sz w:val="24"/>
          <w:szCs w:val="24"/>
        </w:rPr>
        <w:t>ccessed 26 Jan</w:t>
      </w:r>
      <w:r w:rsidR="007D142F">
        <w:rPr>
          <w:rFonts w:ascii="Times New Roman" w:hAnsi="Times New Roman" w:cs="Times New Roman"/>
          <w:sz w:val="24"/>
          <w:szCs w:val="24"/>
        </w:rPr>
        <w:t xml:space="preserve"> 2016)</w:t>
      </w:r>
    </w:p>
    <w:p w:rsidR="00E711A9" w:rsidRDefault="00D3357B" w:rsidP="00E711A9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711A9">
        <w:rPr>
          <w:rFonts w:ascii="Times New Roman" w:hAnsi="Times New Roman" w:cs="Times New Roman"/>
          <w:sz w:val="24"/>
          <w:szCs w:val="24"/>
        </w:rPr>
        <w:t xml:space="preserve"> UK National Atmospheric Emissions Inventory (NAEI). </w:t>
      </w:r>
      <w:r w:rsidR="00E711A9" w:rsidRPr="0077734A">
        <w:rPr>
          <w:rFonts w:ascii="Times New Roman" w:hAnsi="Times New Roman" w:cs="Times New Roman"/>
          <w:sz w:val="24"/>
          <w:szCs w:val="24"/>
        </w:rPr>
        <w:t>©</w:t>
      </w:r>
      <w:r w:rsidR="00E711A9">
        <w:rPr>
          <w:rFonts w:ascii="Times New Roman" w:hAnsi="Times New Roman" w:cs="Times New Roman"/>
          <w:sz w:val="24"/>
          <w:szCs w:val="24"/>
        </w:rPr>
        <w:t xml:space="preserve"> Crown 2015 copyright Defra &amp; DECC via naei.defra.gov.uk,</w:t>
      </w:r>
      <w:r w:rsidR="00E711A9" w:rsidRPr="0077734A">
        <w:rPr>
          <w:rFonts w:ascii="Times New Roman" w:hAnsi="Times New Roman" w:cs="Times New Roman"/>
          <w:sz w:val="24"/>
          <w:szCs w:val="24"/>
        </w:rPr>
        <w:t xml:space="preserve"> licenced under the </w:t>
      </w:r>
      <w:hyperlink r:id="rId17" w:history="1">
        <w:r w:rsidR="00E711A9" w:rsidRPr="00777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Open Government Licence</w:t>
        </w:r>
      </w:hyperlink>
      <w:r w:rsidR="00E711A9" w:rsidRPr="0077734A">
        <w:rPr>
          <w:rFonts w:ascii="Times New Roman" w:hAnsi="Times New Roman" w:cs="Times New Roman"/>
          <w:sz w:val="24"/>
          <w:szCs w:val="24"/>
        </w:rPr>
        <w:t xml:space="preserve"> (OGL</w:t>
      </w:r>
      <w:r w:rsidR="007D142F">
        <w:rPr>
          <w:rFonts w:ascii="Times New Roman" w:hAnsi="Times New Roman" w:cs="Times New Roman"/>
          <w:sz w:val="24"/>
          <w:szCs w:val="24"/>
        </w:rPr>
        <w:t>). (</w:t>
      </w:r>
      <w:r w:rsidR="00B20794">
        <w:rPr>
          <w:rFonts w:ascii="Times New Roman" w:hAnsi="Times New Roman" w:cs="Times New Roman"/>
          <w:sz w:val="24"/>
          <w:szCs w:val="24"/>
        </w:rPr>
        <w:t>accessed 24 Aug</w:t>
      </w:r>
      <w:r w:rsidR="007D142F">
        <w:rPr>
          <w:rFonts w:ascii="Times New Roman" w:hAnsi="Times New Roman" w:cs="Times New Roman"/>
          <w:sz w:val="24"/>
          <w:szCs w:val="24"/>
        </w:rPr>
        <w:t xml:space="preserve"> 2015)</w:t>
      </w:r>
    </w:p>
    <w:p w:rsidR="00E711A9" w:rsidRDefault="00D3357B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E711A9">
        <w:rPr>
          <w:rFonts w:ascii="Times New Roman" w:hAnsi="Times New Roman" w:cs="Times New Roman"/>
          <w:sz w:val="24"/>
          <w:szCs w:val="24"/>
        </w:rPr>
        <w:t xml:space="preserve"> Centre for Emissions Inventories and Projections (CEIP). </w:t>
      </w:r>
      <w:hyperlink r:id="rId18" w:history="1">
        <w:r w:rsidR="00E711A9" w:rsidRPr="006E1FFC">
          <w:rPr>
            <w:rStyle w:val="Hyperlink"/>
            <w:rFonts w:ascii="Times New Roman" w:hAnsi="Times New Roman" w:cs="Times New Roman"/>
            <w:sz w:val="24"/>
            <w:szCs w:val="24"/>
          </w:rPr>
          <w:t>http://www.ceip.at</w:t>
        </w:r>
      </w:hyperlink>
      <w:r w:rsidR="007D142F">
        <w:rPr>
          <w:rFonts w:ascii="Times New Roman" w:hAnsi="Times New Roman" w:cs="Times New Roman"/>
          <w:sz w:val="24"/>
          <w:szCs w:val="24"/>
        </w:rPr>
        <w:t>. (a</w:t>
      </w:r>
      <w:r w:rsidR="00E711A9">
        <w:rPr>
          <w:rFonts w:ascii="Times New Roman" w:hAnsi="Times New Roman" w:cs="Times New Roman"/>
          <w:sz w:val="24"/>
          <w:szCs w:val="24"/>
        </w:rPr>
        <w:t>ccessed 26 Jan</w:t>
      </w:r>
      <w:r w:rsidR="007D142F">
        <w:rPr>
          <w:rFonts w:ascii="Times New Roman" w:hAnsi="Times New Roman" w:cs="Times New Roman"/>
          <w:sz w:val="24"/>
          <w:szCs w:val="24"/>
        </w:rPr>
        <w:t xml:space="preserve"> 2016)</w:t>
      </w:r>
    </w:p>
    <w:p w:rsidR="005A56F2" w:rsidRPr="00BB47B6" w:rsidRDefault="00D3357B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A56F2" w:rsidRPr="00BB47B6">
        <w:rPr>
          <w:rFonts w:ascii="Times New Roman" w:hAnsi="Times New Roman" w:cs="Times New Roman"/>
          <w:sz w:val="24"/>
          <w:szCs w:val="24"/>
        </w:rPr>
        <w:t xml:space="preserve"> Automatic Urban and Rural Monitoring Network (AURN) Data Archive. </w:t>
      </w:r>
      <w:r w:rsidR="00381F89" w:rsidRPr="0077734A">
        <w:rPr>
          <w:rFonts w:ascii="Times New Roman" w:hAnsi="Times New Roman" w:cs="Times New Roman"/>
          <w:sz w:val="24"/>
          <w:szCs w:val="24"/>
        </w:rPr>
        <w:t xml:space="preserve">© Crown 2015 copyright Defra via uk-air.defra.gov.uk, licenced under the </w:t>
      </w:r>
      <w:hyperlink r:id="rId19" w:history="1">
        <w:r w:rsidR="00381F89" w:rsidRPr="00777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Open Government Licence</w:t>
        </w:r>
      </w:hyperlink>
      <w:r w:rsidR="00381F89" w:rsidRPr="0077734A">
        <w:rPr>
          <w:rFonts w:ascii="Times New Roman" w:hAnsi="Times New Roman" w:cs="Times New Roman"/>
          <w:sz w:val="24"/>
          <w:szCs w:val="24"/>
        </w:rPr>
        <w:t xml:space="preserve"> (OGL)</w:t>
      </w:r>
      <w:r w:rsidR="00B620FE" w:rsidRPr="006767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(accessed 9 Jun 2015)</w:t>
      </w:r>
    </w:p>
    <w:p w:rsidR="0087791D" w:rsidRPr="00BB47B6" w:rsidRDefault="00586679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BB47B6" w:rsidDel="0058667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3357B">
        <w:rPr>
          <w:rFonts w:ascii="Times New Roman" w:hAnsi="Times New Roman" w:cs="Times New Roman"/>
          <w:sz w:val="24"/>
          <w:szCs w:val="24"/>
        </w:rPr>
        <w:t>23</w:t>
      </w:r>
      <w:r w:rsidR="0087791D" w:rsidRPr="00BB47B6">
        <w:rPr>
          <w:rFonts w:ascii="Times New Roman" w:hAnsi="Times New Roman" w:cs="Times New Roman"/>
          <w:sz w:val="24"/>
          <w:szCs w:val="24"/>
        </w:rPr>
        <w:t xml:space="preserve"> Carslaw D</w:t>
      </w:r>
      <w:r w:rsidR="00B620FE">
        <w:rPr>
          <w:rFonts w:ascii="Times New Roman" w:hAnsi="Times New Roman" w:cs="Times New Roman"/>
          <w:sz w:val="24"/>
          <w:szCs w:val="24"/>
        </w:rPr>
        <w:t xml:space="preserve">. </w:t>
      </w:r>
      <w:r w:rsidR="0087791D" w:rsidRPr="00BB47B6">
        <w:rPr>
          <w:rFonts w:ascii="Times New Roman" w:hAnsi="Times New Roman" w:cs="Times New Roman"/>
          <w:sz w:val="24"/>
          <w:szCs w:val="24"/>
        </w:rPr>
        <w:t>Defra regional and transboundary model evaluation analysis – phase 1, a report for Defra and the Devolved Administrations</w:t>
      </w:r>
      <w:r w:rsidR="00B620FE">
        <w:rPr>
          <w:rFonts w:ascii="Times New Roman" w:hAnsi="Times New Roman" w:cs="Times New Roman"/>
          <w:sz w:val="24"/>
          <w:szCs w:val="24"/>
        </w:rPr>
        <w:t xml:space="preserve"> 2011</w:t>
      </w:r>
      <w:r w:rsidR="0087791D" w:rsidRPr="00BB47B6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87791D" w:rsidRPr="00BB47B6">
          <w:rPr>
            <w:rStyle w:val="Hyperlink"/>
            <w:rFonts w:ascii="Times New Roman" w:hAnsi="Times New Roman" w:cs="Times New Roman"/>
            <w:sz w:val="24"/>
            <w:szCs w:val="24"/>
          </w:rPr>
          <w:t>http://uk-air.defra.gov.uk/reports/cat20/1105091514_RegionalFinal.pdf</w:t>
        </w:r>
      </w:hyperlink>
      <w:r w:rsidR="0087791D" w:rsidRPr="00BB47B6">
        <w:rPr>
          <w:rFonts w:ascii="Times New Roman" w:hAnsi="Times New Roman" w:cs="Times New Roman"/>
          <w:sz w:val="24"/>
          <w:szCs w:val="24"/>
        </w:rPr>
        <w:t xml:space="preserve"> </w:t>
      </w:r>
      <w:r w:rsidR="00B620FE">
        <w:rPr>
          <w:rFonts w:ascii="Times New Roman" w:hAnsi="Times New Roman" w:cs="Times New Roman"/>
          <w:sz w:val="24"/>
          <w:szCs w:val="24"/>
        </w:rPr>
        <w:t>(a</w:t>
      </w:r>
      <w:r w:rsidR="0087791D" w:rsidRPr="00BB47B6">
        <w:rPr>
          <w:rFonts w:ascii="Times New Roman" w:hAnsi="Times New Roman" w:cs="Times New Roman"/>
          <w:sz w:val="24"/>
          <w:szCs w:val="24"/>
        </w:rPr>
        <w:t xml:space="preserve">ccessed: </w:t>
      </w:r>
      <w:r w:rsidR="00B620FE">
        <w:rPr>
          <w:rFonts w:ascii="Times New Roman" w:hAnsi="Times New Roman" w:cs="Times New Roman"/>
          <w:sz w:val="24"/>
          <w:szCs w:val="24"/>
        </w:rPr>
        <w:t xml:space="preserve">3 Feb </w:t>
      </w:r>
      <w:r w:rsidR="0087791D" w:rsidRPr="00BB47B6">
        <w:rPr>
          <w:rFonts w:ascii="Times New Roman" w:hAnsi="Times New Roman" w:cs="Times New Roman"/>
          <w:sz w:val="24"/>
          <w:szCs w:val="24"/>
        </w:rPr>
        <w:t>2015</w:t>
      </w:r>
      <w:r w:rsidR="00B620FE">
        <w:rPr>
          <w:rFonts w:ascii="Times New Roman" w:hAnsi="Times New Roman" w:cs="Times New Roman"/>
          <w:sz w:val="24"/>
          <w:szCs w:val="24"/>
        </w:rPr>
        <w:t>)</w:t>
      </w:r>
    </w:p>
    <w:p w:rsidR="00F53D83" w:rsidRDefault="00D3357B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620FE">
        <w:rPr>
          <w:rFonts w:ascii="Times New Roman" w:hAnsi="Times New Roman" w:cs="Times New Roman"/>
          <w:sz w:val="24"/>
          <w:szCs w:val="24"/>
        </w:rPr>
        <w:t xml:space="preserve"> </w:t>
      </w:r>
      <w:r w:rsidR="0087791D" w:rsidRPr="00BB47B6">
        <w:rPr>
          <w:rFonts w:ascii="Times New Roman" w:hAnsi="Times New Roman" w:cs="Times New Roman"/>
          <w:sz w:val="24"/>
          <w:szCs w:val="24"/>
        </w:rPr>
        <w:t>Butland BK, Armstrong B, Atkinson RW,</w:t>
      </w:r>
      <w:r w:rsidR="00B620FE">
        <w:rPr>
          <w:rFonts w:ascii="Times New Roman" w:hAnsi="Times New Roman" w:cs="Times New Roman"/>
          <w:sz w:val="24"/>
          <w:szCs w:val="24"/>
        </w:rPr>
        <w:t xml:space="preserve"> et al</w:t>
      </w:r>
      <w:r w:rsidR="0087791D" w:rsidRPr="00BB47B6">
        <w:rPr>
          <w:rFonts w:ascii="Times New Roman" w:hAnsi="Times New Roman" w:cs="Times New Roman"/>
          <w:sz w:val="24"/>
          <w:szCs w:val="24"/>
        </w:rPr>
        <w:t xml:space="preserve">. Measurement error in time-series analysis: a simulation study comparing modelled and monitored data. </w:t>
      </w:r>
      <w:r w:rsidR="0087791D" w:rsidRPr="00A50EBE">
        <w:rPr>
          <w:rFonts w:ascii="Times New Roman" w:hAnsi="Times New Roman" w:cs="Times New Roman"/>
          <w:i/>
          <w:sz w:val="24"/>
          <w:szCs w:val="24"/>
        </w:rPr>
        <w:t>BMC Med Res Methodol</w:t>
      </w:r>
      <w:r w:rsidR="0087791D" w:rsidRPr="00BB47B6">
        <w:rPr>
          <w:rFonts w:ascii="Times New Roman" w:hAnsi="Times New Roman" w:cs="Times New Roman"/>
          <w:sz w:val="24"/>
          <w:szCs w:val="24"/>
        </w:rPr>
        <w:t xml:space="preserve"> 2013;</w:t>
      </w:r>
      <w:r w:rsidR="0087791D" w:rsidRPr="00676770">
        <w:rPr>
          <w:rFonts w:ascii="Times New Roman" w:hAnsi="Times New Roman" w:cs="Times New Roman"/>
          <w:sz w:val="24"/>
          <w:szCs w:val="24"/>
        </w:rPr>
        <w:t>13</w:t>
      </w:r>
      <w:r w:rsidR="0087791D" w:rsidRPr="00BB47B6">
        <w:rPr>
          <w:rFonts w:ascii="Times New Roman" w:hAnsi="Times New Roman" w:cs="Times New Roman"/>
          <w:sz w:val="24"/>
          <w:szCs w:val="24"/>
        </w:rPr>
        <w:t>:136</w:t>
      </w:r>
      <w:r w:rsidR="00CC746C">
        <w:rPr>
          <w:rFonts w:ascii="Times New Roman" w:hAnsi="Times New Roman" w:cs="Times New Roman"/>
          <w:sz w:val="24"/>
          <w:szCs w:val="24"/>
        </w:rPr>
        <w:t>.</w:t>
      </w:r>
      <w:r w:rsidR="00C47964">
        <w:rPr>
          <w:rFonts w:ascii="Times New Roman" w:hAnsi="Times New Roman" w:cs="Times New Roman"/>
          <w:sz w:val="24"/>
          <w:szCs w:val="24"/>
        </w:rPr>
        <w:t xml:space="preserve"> doi:10.1186/1471-2288-13-136</w:t>
      </w:r>
    </w:p>
    <w:p w:rsidR="0087791D" w:rsidRPr="00676770" w:rsidRDefault="00D3357B" w:rsidP="00676770">
      <w:pPr>
        <w:spacing w:before="120"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7791D" w:rsidRPr="00BB47B6">
        <w:rPr>
          <w:rFonts w:ascii="Times New Roman" w:hAnsi="Times New Roman" w:cs="Times New Roman"/>
          <w:sz w:val="24"/>
          <w:szCs w:val="24"/>
        </w:rPr>
        <w:t xml:space="preserve"> Bhaskaran K, Hajat S, Hains A,</w:t>
      </w:r>
      <w:r w:rsidR="00B620FE">
        <w:rPr>
          <w:rFonts w:ascii="Times New Roman" w:hAnsi="Times New Roman" w:cs="Times New Roman"/>
          <w:sz w:val="24"/>
          <w:szCs w:val="24"/>
        </w:rPr>
        <w:t xml:space="preserve"> et al</w:t>
      </w:r>
      <w:r w:rsidR="0087791D" w:rsidRPr="00BB47B6">
        <w:rPr>
          <w:rFonts w:ascii="Times New Roman" w:hAnsi="Times New Roman" w:cs="Times New Roman"/>
          <w:sz w:val="24"/>
          <w:szCs w:val="24"/>
        </w:rPr>
        <w:t xml:space="preserve">. Short term effects of temperature on risk of myocardial infarction in England and Wales: time series regression analysis of the Myocardial Ischaemia National Audit Project (MINAP) registry. </w:t>
      </w:r>
      <w:r w:rsidR="0087791D" w:rsidRPr="00A50EBE">
        <w:rPr>
          <w:rFonts w:ascii="Times New Roman" w:hAnsi="Times New Roman" w:cs="Times New Roman"/>
          <w:i/>
          <w:sz w:val="24"/>
          <w:szCs w:val="24"/>
        </w:rPr>
        <w:t>BMJ</w:t>
      </w:r>
      <w:r w:rsidR="0087791D" w:rsidRPr="00BB47B6">
        <w:rPr>
          <w:rFonts w:ascii="Times New Roman" w:hAnsi="Times New Roman" w:cs="Times New Roman"/>
          <w:sz w:val="24"/>
          <w:szCs w:val="24"/>
        </w:rPr>
        <w:t xml:space="preserve"> 2010;</w:t>
      </w:r>
      <w:r w:rsidR="0087791D" w:rsidRPr="00676770">
        <w:rPr>
          <w:rFonts w:ascii="Times New Roman" w:hAnsi="Times New Roman" w:cs="Times New Roman"/>
          <w:sz w:val="24"/>
          <w:szCs w:val="24"/>
        </w:rPr>
        <w:t>341</w:t>
      </w:r>
      <w:r w:rsidR="0087791D" w:rsidRPr="00BB47B6">
        <w:rPr>
          <w:rFonts w:ascii="Times New Roman" w:hAnsi="Times New Roman" w:cs="Times New Roman"/>
          <w:sz w:val="24"/>
          <w:szCs w:val="24"/>
        </w:rPr>
        <w:t>:c3823</w:t>
      </w:r>
      <w:r w:rsidR="00CC746C">
        <w:rPr>
          <w:rFonts w:ascii="Times New Roman" w:hAnsi="Times New Roman" w:cs="Times New Roman"/>
          <w:sz w:val="24"/>
          <w:szCs w:val="24"/>
        </w:rPr>
        <w:t>.</w:t>
      </w:r>
      <w:r w:rsidR="00C47964">
        <w:rPr>
          <w:rFonts w:ascii="Times New Roman" w:hAnsi="Times New Roman" w:cs="Times New Roman"/>
          <w:sz w:val="24"/>
          <w:szCs w:val="24"/>
        </w:rPr>
        <w:t xml:space="preserve"> doi:10.1136/bmj.c3823</w:t>
      </w:r>
      <w:r w:rsidR="00822380" w:rsidRPr="00822380">
        <w:rPr>
          <w:rFonts w:ascii="AdvPBEC7B5" w:hAnsi="AdvPBEC7B5" w:cs="AdvPBEC7B5"/>
          <w:sz w:val="14"/>
          <w:szCs w:val="14"/>
        </w:rPr>
        <w:t xml:space="preserve"> </w:t>
      </w:r>
    </w:p>
    <w:p w:rsidR="0087791D" w:rsidRPr="00BB47B6" w:rsidRDefault="005A56F2" w:rsidP="00676770">
      <w:pPr>
        <w:spacing w:before="120" w:after="120" w:line="48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D3357B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 w:rsidR="0087791D" w:rsidRPr="00BB47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Janes H, Sheppard L, Lumley T. Case-crossover analyses of air pollution exposure data: </w:t>
      </w:r>
      <w:r w:rsidR="00412A9E"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 w:rsidR="0087791D" w:rsidRPr="00BB47B6">
        <w:rPr>
          <w:rFonts w:ascii="Times New Roman" w:eastAsia="Times New Roman" w:hAnsi="Times New Roman" w:cs="Times New Roman"/>
          <w:sz w:val="24"/>
          <w:szCs w:val="24"/>
          <w:lang w:eastAsia="en-GB"/>
        </w:rPr>
        <w:t>eferent selection strategies and their implications</w:t>
      </w:r>
      <w:r w:rsidR="00412A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bias</w:t>
      </w:r>
      <w:r w:rsidR="0087791D" w:rsidRPr="00BB47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87791D" w:rsidRPr="00A50EB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Epidemiology</w:t>
      </w:r>
      <w:r w:rsidR="0087791D" w:rsidRPr="00BB47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2005;</w:t>
      </w:r>
      <w:r w:rsidR="0087791D" w:rsidRPr="00676770">
        <w:rPr>
          <w:rFonts w:ascii="Times New Roman" w:eastAsia="Times New Roman" w:hAnsi="Times New Roman" w:cs="Times New Roman"/>
          <w:sz w:val="24"/>
          <w:szCs w:val="24"/>
          <w:lang w:eastAsia="en-GB"/>
        </w:rPr>
        <w:t>16</w:t>
      </w:r>
      <w:r w:rsidR="0087791D" w:rsidRPr="00BB47B6">
        <w:rPr>
          <w:rFonts w:ascii="Times New Roman" w:eastAsia="Times New Roman" w:hAnsi="Times New Roman" w:cs="Times New Roman"/>
          <w:sz w:val="24"/>
          <w:szCs w:val="24"/>
          <w:lang w:eastAsia="en-GB"/>
        </w:rPr>
        <w:t>:717-26.</w:t>
      </w:r>
      <w:r w:rsidR="00CC74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12A9E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CC746C">
        <w:rPr>
          <w:rFonts w:ascii="Times New Roman" w:eastAsia="Times New Roman" w:hAnsi="Times New Roman" w:cs="Times New Roman"/>
          <w:sz w:val="24"/>
          <w:szCs w:val="24"/>
          <w:lang w:eastAsia="en-GB"/>
        </w:rPr>
        <w:t>oi:10.1097/01.ede.0000181315.18836.9d</w:t>
      </w:r>
    </w:p>
    <w:p w:rsidR="0087791D" w:rsidRPr="00BB47B6" w:rsidRDefault="00EF1181" w:rsidP="00676770">
      <w:pPr>
        <w:spacing w:before="120" w:after="120" w:line="48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B47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D3357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7</w:t>
      </w:r>
      <w:r w:rsidR="0087791D" w:rsidRPr="00BB47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StatCorp: Stata Statistical Software: Release 12. College Station, TX: StataCorp LP; 2011</w:t>
      </w:r>
    </w:p>
    <w:p w:rsidR="0087791D" w:rsidRPr="00A50EBE" w:rsidRDefault="00EF1181" w:rsidP="00A50EBE">
      <w:pPr>
        <w:spacing w:line="48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6065C1">
        <w:rPr>
          <w:rFonts w:ascii="Times New Roman" w:hAnsi="Times New Roman" w:cs="Times New Roman"/>
          <w:sz w:val="24"/>
          <w:szCs w:val="24"/>
        </w:rPr>
        <w:t>2</w:t>
      </w:r>
      <w:r w:rsidR="00D3357B">
        <w:rPr>
          <w:rFonts w:ascii="Times New Roman" w:hAnsi="Times New Roman" w:cs="Times New Roman"/>
          <w:sz w:val="24"/>
          <w:szCs w:val="24"/>
        </w:rPr>
        <w:t>8</w:t>
      </w:r>
      <w:r w:rsidR="0087791D" w:rsidRPr="006065C1">
        <w:rPr>
          <w:rFonts w:ascii="Times New Roman" w:hAnsi="Times New Roman" w:cs="Times New Roman"/>
          <w:sz w:val="24"/>
          <w:szCs w:val="24"/>
        </w:rPr>
        <w:t xml:space="preserve"> Office for National Statistics and the Royal College of General Practitioners Research and Surveillance Centre. Weekly deaths from all causes and RCGP influenza-like illness (ILI) consultation rates per 100,000 population, England and Wales, 1999-2013: in Excess Winter Mortality in England and Wales, 2012/13 (Provisional) and 2011/12 (Final) </w:t>
      </w:r>
      <w:hyperlink r:id="rId21" w:history="1">
        <w:r w:rsidR="0087791D" w:rsidRPr="006065C1">
          <w:rPr>
            <w:rStyle w:val="Hyperlink"/>
            <w:rFonts w:ascii="Times New Roman" w:hAnsi="Times New Roman" w:cs="Times New Roman"/>
            <w:sz w:val="24"/>
            <w:szCs w:val="24"/>
          </w:rPr>
          <w:t>http://www.ons.gov.uk/ons/rel/subnational-health2/excess-winter-mortality-in-england-and-</w:t>
        </w:r>
        <w:r w:rsidR="0087791D" w:rsidRPr="006065C1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wales/2012-13--provisional--and-2011-12--final-/index.html</w:t>
        </w:r>
      </w:hyperlink>
      <w:r w:rsidR="0087791D" w:rsidRPr="006065C1"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  <w:r w:rsidR="008B4206" w:rsidRPr="006065C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(a</w:t>
      </w:r>
      <w:r w:rsidR="0087791D" w:rsidRPr="006065C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ccessed: 29</w:t>
      </w:r>
      <w:r w:rsidR="008B4206" w:rsidRPr="006065C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Oct </w:t>
      </w:r>
      <w:r w:rsidR="0087791D" w:rsidRPr="006065C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2014</w:t>
      </w:r>
      <w:r w:rsidR="008B4206" w:rsidRPr="006065C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87791D" w:rsidRPr="006065C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Licenced under the Open Government Licence v3.0 </w:t>
      </w:r>
      <w:r w:rsidR="006065C1" w:rsidRPr="00A50EBE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22" w:history="1">
        <w:r w:rsidR="006065C1" w:rsidRPr="00A50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www.nationalarchives.gov.uk/doc/open-government-licence</w:t>
        </w:r>
      </w:hyperlink>
    </w:p>
    <w:p w:rsidR="001035DC" w:rsidRPr="00BB47B6" w:rsidRDefault="00EF1181" w:rsidP="00676770">
      <w:pPr>
        <w:spacing w:before="120" w:after="120" w:line="48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B47B6">
        <w:rPr>
          <w:rFonts w:ascii="Times New Roman" w:hAnsi="Times New Roman" w:cs="Times New Roman"/>
          <w:sz w:val="24"/>
          <w:szCs w:val="24"/>
        </w:rPr>
        <w:t>2</w:t>
      </w:r>
      <w:r w:rsidR="00D3357B">
        <w:rPr>
          <w:rFonts w:ascii="Times New Roman" w:hAnsi="Times New Roman" w:cs="Times New Roman"/>
          <w:sz w:val="24"/>
          <w:szCs w:val="24"/>
        </w:rPr>
        <w:t>9</w:t>
      </w:r>
      <w:r w:rsidR="009552C7" w:rsidRPr="00BB47B6">
        <w:rPr>
          <w:rFonts w:ascii="Times New Roman" w:hAnsi="Times New Roman" w:cs="Times New Roman"/>
          <w:sz w:val="24"/>
          <w:szCs w:val="24"/>
        </w:rPr>
        <w:t xml:space="preserve"> Bhaskaran K, Hajat S, Armstrong B,</w:t>
      </w:r>
      <w:r w:rsidR="008B4206">
        <w:rPr>
          <w:rFonts w:ascii="Times New Roman" w:hAnsi="Times New Roman" w:cs="Times New Roman"/>
          <w:sz w:val="24"/>
          <w:szCs w:val="24"/>
        </w:rPr>
        <w:t xml:space="preserve"> et al</w:t>
      </w:r>
      <w:r w:rsidR="009552C7" w:rsidRPr="00BB47B6">
        <w:rPr>
          <w:rFonts w:ascii="Times New Roman" w:hAnsi="Times New Roman" w:cs="Times New Roman"/>
          <w:sz w:val="24"/>
          <w:szCs w:val="24"/>
        </w:rPr>
        <w:t xml:space="preserve">. The effects of hourly differences in air pollution on the risk of myocardial infarction: case crossover analysis of the MINAP database. </w:t>
      </w:r>
      <w:r w:rsidR="009552C7" w:rsidRPr="00A50EBE">
        <w:rPr>
          <w:rFonts w:ascii="Times New Roman" w:hAnsi="Times New Roman" w:cs="Times New Roman"/>
          <w:i/>
          <w:sz w:val="24"/>
          <w:szCs w:val="24"/>
        </w:rPr>
        <w:t>BMJ</w:t>
      </w:r>
      <w:r w:rsidR="0087791D" w:rsidRPr="00BB47B6">
        <w:rPr>
          <w:rFonts w:ascii="Times New Roman" w:hAnsi="Times New Roman" w:cs="Times New Roman"/>
          <w:sz w:val="24"/>
          <w:szCs w:val="24"/>
        </w:rPr>
        <w:t xml:space="preserve"> 2011;</w:t>
      </w:r>
      <w:r w:rsidR="009552C7" w:rsidRPr="00676770">
        <w:rPr>
          <w:rFonts w:ascii="Times New Roman" w:hAnsi="Times New Roman" w:cs="Times New Roman"/>
          <w:sz w:val="24"/>
          <w:szCs w:val="24"/>
        </w:rPr>
        <w:t>343</w:t>
      </w:r>
      <w:r w:rsidR="009552C7" w:rsidRPr="00BB47B6">
        <w:rPr>
          <w:rFonts w:ascii="Times New Roman" w:hAnsi="Times New Roman" w:cs="Times New Roman"/>
          <w:sz w:val="24"/>
          <w:szCs w:val="24"/>
        </w:rPr>
        <w:t>:d5531</w:t>
      </w:r>
      <w:r w:rsidR="00C47964">
        <w:rPr>
          <w:rFonts w:ascii="Times New Roman" w:hAnsi="Times New Roman" w:cs="Times New Roman"/>
          <w:sz w:val="24"/>
          <w:szCs w:val="24"/>
        </w:rPr>
        <w:t xml:space="preserve"> doi:10.1136/bmj.d5531</w:t>
      </w:r>
    </w:p>
    <w:p w:rsidR="00FF2A8A" w:rsidRPr="00BB47B6" w:rsidRDefault="00D3357B" w:rsidP="0067677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81AA0" w:rsidRPr="00BB47B6">
        <w:rPr>
          <w:rFonts w:ascii="Times New Roman" w:hAnsi="Times New Roman" w:cs="Times New Roman"/>
          <w:sz w:val="24"/>
          <w:szCs w:val="24"/>
        </w:rPr>
        <w:t xml:space="preserve"> Hong YJ, Jeong MH, Choi YH,</w:t>
      </w:r>
      <w:r w:rsidR="008B4206">
        <w:rPr>
          <w:rFonts w:ascii="Times New Roman" w:hAnsi="Times New Roman" w:cs="Times New Roman"/>
          <w:sz w:val="24"/>
          <w:szCs w:val="24"/>
        </w:rPr>
        <w:t xml:space="preserve"> et al</w:t>
      </w:r>
      <w:r w:rsidR="00B81AA0" w:rsidRPr="00BB47B6">
        <w:rPr>
          <w:rFonts w:ascii="Times New Roman" w:hAnsi="Times New Roman" w:cs="Times New Roman"/>
          <w:sz w:val="24"/>
          <w:szCs w:val="24"/>
        </w:rPr>
        <w:t>. Differences in intravascular ultrasound findings in culprit lesions in infarct-related arteries between ST segment elevation myocardial infarction and non-ST segment elevation myocardial</w:t>
      </w:r>
      <w:r w:rsidR="0087791D" w:rsidRPr="00BB47B6">
        <w:rPr>
          <w:rFonts w:ascii="Times New Roman" w:hAnsi="Times New Roman" w:cs="Times New Roman"/>
          <w:sz w:val="24"/>
          <w:szCs w:val="24"/>
        </w:rPr>
        <w:t xml:space="preserve"> infarction. </w:t>
      </w:r>
      <w:r w:rsidR="0087791D" w:rsidRPr="00A50EBE">
        <w:rPr>
          <w:rFonts w:ascii="Times New Roman" w:hAnsi="Times New Roman" w:cs="Times New Roman"/>
          <w:i/>
          <w:sz w:val="24"/>
          <w:szCs w:val="24"/>
        </w:rPr>
        <w:t>J Cardiol</w:t>
      </w:r>
      <w:r w:rsidR="0087791D" w:rsidRPr="00BB47B6">
        <w:rPr>
          <w:rFonts w:ascii="Times New Roman" w:hAnsi="Times New Roman" w:cs="Times New Roman"/>
          <w:sz w:val="24"/>
          <w:szCs w:val="24"/>
        </w:rPr>
        <w:t xml:space="preserve"> 2010</w:t>
      </w:r>
      <w:r w:rsidR="00B81AA0" w:rsidRPr="00BB47B6">
        <w:rPr>
          <w:rFonts w:ascii="Times New Roman" w:hAnsi="Times New Roman" w:cs="Times New Roman"/>
          <w:sz w:val="24"/>
          <w:szCs w:val="24"/>
        </w:rPr>
        <w:t>;56:15-22.</w:t>
      </w:r>
      <w:r w:rsidR="00412A9E">
        <w:rPr>
          <w:rFonts w:ascii="Times New Roman" w:hAnsi="Times New Roman" w:cs="Times New Roman"/>
          <w:sz w:val="24"/>
          <w:szCs w:val="24"/>
        </w:rPr>
        <w:t xml:space="preserve"> doi:10.1016/j.jjcc.2010.01.010</w:t>
      </w:r>
    </w:p>
    <w:p w:rsidR="00873738" w:rsidRDefault="00873738" w:rsidP="00491C88"/>
    <w:p w:rsidR="0087791D" w:rsidRDefault="0087791D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:rsidR="00A760F6" w:rsidRDefault="00A760F6" w:rsidP="006926CE">
      <w:pPr>
        <w:rPr>
          <w:rFonts w:ascii="Times New Roman" w:eastAsia="Calibri" w:hAnsi="Times New Roman" w:cs="Times New Roman"/>
          <w:sz w:val="24"/>
          <w:szCs w:val="24"/>
        </w:rPr>
      </w:pPr>
    </w:p>
    <w:p w:rsidR="00DF30B0" w:rsidRPr="00BB47B6" w:rsidRDefault="00DF30B0" w:rsidP="00DF30B0">
      <w:pPr>
        <w:rPr>
          <w:rFonts w:ascii="Times New Roman" w:hAnsi="Times New Roman" w:cs="Times New Roman"/>
          <w:sz w:val="24"/>
          <w:szCs w:val="24"/>
        </w:rPr>
      </w:pPr>
      <w:r w:rsidRPr="00DF30B0">
        <w:rPr>
          <w:rFonts w:ascii="Times New Roman" w:hAnsi="Times New Roman" w:cs="Times New Roman"/>
          <w:b/>
          <w:sz w:val="24"/>
          <w:szCs w:val="24"/>
        </w:rPr>
        <w:t>Figure 1</w:t>
      </w:r>
      <w:r w:rsidRPr="00592AF6">
        <w:rPr>
          <w:rFonts w:ascii="Times New Roman" w:hAnsi="Times New Roman" w:cs="Times New Roman"/>
          <w:b/>
          <w:sz w:val="24"/>
          <w:szCs w:val="24"/>
        </w:rPr>
        <w:t xml:space="preserve"> Legend</w:t>
      </w:r>
    </w:p>
    <w:p w:rsidR="006C1151" w:rsidRPr="00676770" w:rsidRDefault="001E5B3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F30B0" w:rsidRPr="00BB47B6">
        <w:rPr>
          <w:rFonts w:ascii="Times New Roman" w:hAnsi="Times New Roman" w:cs="Times New Roman"/>
          <w:sz w:val="24"/>
          <w:szCs w:val="24"/>
        </w:rPr>
        <w:t xml:space="preserve">ssociations between </w:t>
      </w:r>
      <w:r w:rsidR="00DF30B0">
        <w:rPr>
          <w:rFonts w:ascii="Times New Roman" w:hAnsi="Times New Roman" w:cs="Times New Roman"/>
          <w:sz w:val="24"/>
          <w:szCs w:val="24"/>
        </w:rPr>
        <w:t>A</w:t>
      </w:r>
      <w:r w:rsidR="00DF30B0" w:rsidRPr="00BB47B6">
        <w:rPr>
          <w:rFonts w:ascii="Times New Roman" w:hAnsi="Times New Roman" w:cs="Times New Roman"/>
          <w:sz w:val="24"/>
          <w:szCs w:val="24"/>
        </w:rPr>
        <w:t>CTM pollution concentrations at lags 0, 1 and 2 and myocardial infarction (% change in risk per 10</w:t>
      </w:r>
      <w:r w:rsidR="00DF30B0">
        <w:rPr>
          <w:rFonts w:ascii="Times New Roman" w:hAnsi="Times New Roman" w:cs="Times New Roman"/>
          <w:sz w:val="24"/>
          <w:szCs w:val="24"/>
        </w:rPr>
        <w:t xml:space="preserve"> </w:t>
      </w:r>
      <w:r w:rsidR="00DF30B0" w:rsidRPr="00BB47B6">
        <w:rPr>
          <w:rFonts w:ascii="Times New Roman" w:hAnsi="Times New Roman" w:cs="Times New Roman"/>
          <w:sz w:val="24"/>
          <w:szCs w:val="24"/>
        </w:rPr>
        <w:t>µg/m</w:t>
      </w:r>
      <w:r w:rsidR="00DF30B0" w:rsidRPr="00BB47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F30B0" w:rsidRPr="00BB47B6">
        <w:rPr>
          <w:rFonts w:ascii="Times New Roman" w:hAnsi="Times New Roman" w:cs="Times New Roman"/>
          <w:sz w:val="24"/>
          <w:szCs w:val="24"/>
        </w:rPr>
        <w:t xml:space="preserve"> increase in pollutant).</w:t>
      </w:r>
      <w:r w:rsidR="00DF30B0">
        <w:rPr>
          <w:rFonts w:ascii="Times New Roman" w:hAnsi="Times New Roman" w:cs="Times New Roman"/>
          <w:sz w:val="24"/>
          <w:szCs w:val="24"/>
        </w:rPr>
        <w:t xml:space="preserve"> </w:t>
      </w:r>
      <w:r w:rsidR="00DF30B0">
        <w:rPr>
          <w:rFonts w:ascii="Times New Roman" w:eastAsia="Calibri" w:hAnsi="Times New Roman" w:cs="Times New Roman"/>
          <w:sz w:val="24"/>
          <w:szCs w:val="24"/>
        </w:rPr>
        <w:t>Pollutant metrics: daily mean PM</w:t>
      </w:r>
      <w:r w:rsidR="00DF30B0" w:rsidRPr="005645A3">
        <w:rPr>
          <w:rFonts w:ascii="Times New Roman" w:eastAsia="Calibri" w:hAnsi="Times New Roman" w:cs="Times New Roman"/>
          <w:sz w:val="24"/>
          <w:szCs w:val="24"/>
          <w:vertAlign w:val="subscript"/>
        </w:rPr>
        <w:t>2.5</w:t>
      </w:r>
      <w:r w:rsidR="00DF30B0">
        <w:rPr>
          <w:rFonts w:ascii="Times New Roman" w:eastAsia="Calibri" w:hAnsi="Times New Roman" w:cs="Times New Roman"/>
          <w:sz w:val="24"/>
          <w:szCs w:val="24"/>
        </w:rPr>
        <w:t>, daily mean PM</w:t>
      </w:r>
      <w:r w:rsidR="00DF30B0" w:rsidRPr="005645A3">
        <w:rPr>
          <w:rFonts w:ascii="Times New Roman" w:eastAsia="Calibri" w:hAnsi="Times New Roman" w:cs="Times New Roman"/>
          <w:sz w:val="24"/>
          <w:szCs w:val="24"/>
          <w:vertAlign w:val="subscript"/>
        </w:rPr>
        <w:t>10</w:t>
      </w:r>
      <w:r w:rsidR="00DF30B0">
        <w:rPr>
          <w:rFonts w:ascii="Times New Roman" w:eastAsia="Calibri" w:hAnsi="Times New Roman" w:cs="Times New Roman"/>
          <w:sz w:val="24"/>
          <w:szCs w:val="24"/>
        </w:rPr>
        <w:t>, daily maximum</w:t>
      </w:r>
      <w:r w:rsidR="002B6A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0B0">
        <w:rPr>
          <w:rFonts w:ascii="Times New Roman" w:eastAsia="Calibri" w:hAnsi="Times New Roman" w:cs="Times New Roman"/>
          <w:sz w:val="24"/>
          <w:szCs w:val="24"/>
        </w:rPr>
        <w:t>1-hour NO</w:t>
      </w:r>
      <w:r w:rsidR="00DF30B0" w:rsidRPr="005645A3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DF30B0">
        <w:rPr>
          <w:rFonts w:ascii="Times New Roman" w:eastAsia="Calibri" w:hAnsi="Times New Roman" w:cs="Times New Roman"/>
          <w:sz w:val="24"/>
          <w:szCs w:val="24"/>
        </w:rPr>
        <w:t>, daily maximum 8-hour mean O</w:t>
      </w:r>
      <w:r w:rsidR="00DF30B0" w:rsidRPr="005645A3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</w:p>
    <w:sectPr w:rsidR="006C1151" w:rsidRPr="00676770" w:rsidSect="00676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27B" w:rsidRDefault="0001727B" w:rsidP="003346A5">
      <w:pPr>
        <w:spacing w:after="0" w:line="240" w:lineRule="auto"/>
      </w:pPr>
      <w:r>
        <w:separator/>
      </w:r>
    </w:p>
  </w:endnote>
  <w:endnote w:type="continuationSeparator" w:id="0">
    <w:p w:rsidR="0001727B" w:rsidRDefault="0001727B" w:rsidP="0033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TTe45e47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BEC7B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7521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727B" w:rsidRDefault="000172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E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727B" w:rsidRDefault="00017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27B" w:rsidRDefault="0001727B" w:rsidP="003346A5">
      <w:pPr>
        <w:spacing w:after="0" w:line="240" w:lineRule="auto"/>
      </w:pPr>
      <w:r>
        <w:separator/>
      </w:r>
    </w:p>
  </w:footnote>
  <w:footnote w:type="continuationSeparator" w:id="0">
    <w:p w:rsidR="0001727B" w:rsidRDefault="0001727B" w:rsidP="00334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72D81"/>
    <w:multiLevelType w:val="hybridMultilevel"/>
    <w:tmpl w:val="DCAC3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1857"/>
    <w:multiLevelType w:val="hybridMultilevel"/>
    <w:tmpl w:val="D1C65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955CC"/>
    <w:multiLevelType w:val="hybridMultilevel"/>
    <w:tmpl w:val="84DC8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F3"/>
    <w:rsid w:val="00003D46"/>
    <w:rsid w:val="00010586"/>
    <w:rsid w:val="000106D6"/>
    <w:rsid w:val="0001091F"/>
    <w:rsid w:val="00013A08"/>
    <w:rsid w:val="00015E0E"/>
    <w:rsid w:val="00016EC0"/>
    <w:rsid w:val="0001727B"/>
    <w:rsid w:val="000201F1"/>
    <w:rsid w:val="00020543"/>
    <w:rsid w:val="00021FDE"/>
    <w:rsid w:val="00022461"/>
    <w:rsid w:val="00025C21"/>
    <w:rsid w:val="00030A42"/>
    <w:rsid w:val="00031ABE"/>
    <w:rsid w:val="00032320"/>
    <w:rsid w:val="0003408D"/>
    <w:rsid w:val="000340F4"/>
    <w:rsid w:val="00035B1E"/>
    <w:rsid w:val="000369A2"/>
    <w:rsid w:val="000374B6"/>
    <w:rsid w:val="00040869"/>
    <w:rsid w:val="00044112"/>
    <w:rsid w:val="00047913"/>
    <w:rsid w:val="000503DB"/>
    <w:rsid w:val="000519D5"/>
    <w:rsid w:val="00052465"/>
    <w:rsid w:val="000538C7"/>
    <w:rsid w:val="00054C2C"/>
    <w:rsid w:val="00057043"/>
    <w:rsid w:val="00057B58"/>
    <w:rsid w:val="00060F5B"/>
    <w:rsid w:val="00064DB3"/>
    <w:rsid w:val="00065840"/>
    <w:rsid w:val="0006673A"/>
    <w:rsid w:val="00067A67"/>
    <w:rsid w:val="00067D82"/>
    <w:rsid w:val="000711DC"/>
    <w:rsid w:val="00074469"/>
    <w:rsid w:val="00076120"/>
    <w:rsid w:val="00076894"/>
    <w:rsid w:val="000829E6"/>
    <w:rsid w:val="00082ECE"/>
    <w:rsid w:val="00086269"/>
    <w:rsid w:val="00090A72"/>
    <w:rsid w:val="00090BBC"/>
    <w:rsid w:val="00092AEC"/>
    <w:rsid w:val="00092EEC"/>
    <w:rsid w:val="00094FB1"/>
    <w:rsid w:val="000953D2"/>
    <w:rsid w:val="000A2830"/>
    <w:rsid w:val="000A3F37"/>
    <w:rsid w:val="000A4D5F"/>
    <w:rsid w:val="000B04B9"/>
    <w:rsid w:val="000B2307"/>
    <w:rsid w:val="000B5E76"/>
    <w:rsid w:val="000C0A9E"/>
    <w:rsid w:val="000C141E"/>
    <w:rsid w:val="000C150F"/>
    <w:rsid w:val="000C2760"/>
    <w:rsid w:val="000C3625"/>
    <w:rsid w:val="000C60DF"/>
    <w:rsid w:val="000D0E80"/>
    <w:rsid w:val="000D0E8F"/>
    <w:rsid w:val="000D3888"/>
    <w:rsid w:val="000E0B35"/>
    <w:rsid w:val="000E1E61"/>
    <w:rsid w:val="000E5D90"/>
    <w:rsid w:val="000E5FC7"/>
    <w:rsid w:val="000E7964"/>
    <w:rsid w:val="000E7979"/>
    <w:rsid w:val="000F3F00"/>
    <w:rsid w:val="000F476A"/>
    <w:rsid w:val="000F4996"/>
    <w:rsid w:val="000F6633"/>
    <w:rsid w:val="000F6923"/>
    <w:rsid w:val="000F7F85"/>
    <w:rsid w:val="00100A8C"/>
    <w:rsid w:val="0010139B"/>
    <w:rsid w:val="001035DC"/>
    <w:rsid w:val="0010468C"/>
    <w:rsid w:val="0010572E"/>
    <w:rsid w:val="00107775"/>
    <w:rsid w:val="0011015A"/>
    <w:rsid w:val="0011098C"/>
    <w:rsid w:val="00110AF0"/>
    <w:rsid w:val="0011171B"/>
    <w:rsid w:val="00114009"/>
    <w:rsid w:val="001146A6"/>
    <w:rsid w:val="00114CF5"/>
    <w:rsid w:val="0012034D"/>
    <w:rsid w:val="00120D6A"/>
    <w:rsid w:val="00123749"/>
    <w:rsid w:val="00127F6A"/>
    <w:rsid w:val="0013035F"/>
    <w:rsid w:val="00130F63"/>
    <w:rsid w:val="00131455"/>
    <w:rsid w:val="00131A2A"/>
    <w:rsid w:val="00132B60"/>
    <w:rsid w:val="00136870"/>
    <w:rsid w:val="0013766F"/>
    <w:rsid w:val="001420E0"/>
    <w:rsid w:val="001446F7"/>
    <w:rsid w:val="00145B3D"/>
    <w:rsid w:val="00145BAD"/>
    <w:rsid w:val="001460C6"/>
    <w:rsid w:val="0014784F"/>
    <w:rsid w:val="0015036A"/>
    <w:rsid w:val="00151B51"/>
    <w:rsid w:val="00152E98"/>
    <w:rsid w:val="00153771"/>
    <w:rsid w:val="001605BD"/>
    <w:rsid w:val="0016561F"/>
    <w:rsid w:val="0016796A"/>
    <w:rsid w:val="00171EBF"/>
    <w:rsid w:val="001731AC"/>
    <w:rsid w:val="001732A6"/>
    <w:rsid w:val="00174626"/>
    <w:rsid w:val="00175127"/>
    <w:rsid w:val="001756CB"/>
    <w:rsid w:val="00176176"/>
    <w:rsid w:val="00176AF4"/>
    <w:rsid w:val="00177194"/>
    <w:rsid w:val="00182700"/>
    <w:rsid w:val="00182AE3"/>
    <w:rsid w:val="001832CC"/>
    <w:rsid w:val="0018494E"/>
    <w:rsid w:val="001879F3"/>
    <w:rsid w:val="001918D3"/>
    <w:rsid w:val="001936E6"/>
    <w:rsid w:val="001973F9"/>
    <w:rsid w:val="001A158E"/>
    <w:rsid w:val="001A36AB"/>
    <w:rsid w:val="001A64DA"/>
    <w:rsid w:val="001B242B"/>
    <w:rsid w:val="001B39FD"/>
    <w:rsid w:val="001B41A3"/>
    <w:rsid w:val="001B4A7C"/>
    <w:rsid w:val="001B7998"/>
    <w:rsid w:val="001C0E77"/>
    <w:rsid w:val="001C1FD6"/>
    <w:rsid w:val="001C2A1D"/>
    <w:rsid w:val="001C3BD3"/>
    <w:rsid w:val="001C4769"/>
    <w:rsid w:val="001C5328"/>
    <w:rsid w:val="001C74FC"/>
    <w:rsid w:val="001D2256"/>
    <w:rsid w:val="001D379F"/>
    <w:rsid w:val="001D38BA"/>
    <w:rsid w:val="001D4BB6"/>
    <w:rsid w:val="001D602A"/>
    <w:rsid w:val="001D6511"/>
    <w:rsid w:val="001E093F"/>
    <w:rsid w:val="001E4882"/>
    <w:rsid w:val="001E5B30"/>
    <w:rsid w:val="001F6A44"/>
    <w:rsid w:val="001F6B09"/>
    <w:rsid w:val="001F7BBD"/>
    <w:rsid w:val="001F7E10"/>
    <w:rsid w:val="00204017"/>
    <w:rsid w:val="0020645A"/>
    <w:rsid w:val="00212C0A"/>
    <w:rsid w:val="0021307B"/>
    <w:rsid w:val="00213488"/>
    <w:rsid w:val="002137B5"/>
    <w:rsid w:val="0021646F"/>
    <w:rsid w:val="00216F4E"/>
    <w:rsid w:val="00223172"/>
    <w:rsid w:val="0022439D"/>
    <w:rsid w:val="00224768"/>
    <w:rsid w:val="002262B8"/>
    <w:rsid w:val="00226E70"/>
    <w:rsid w:val="00226FB2"/>
    <w:rsid w:val="00231599"/>
    <w:rsid w:val="00235221"/>
    <w:rsid w:val="00235B45"/>
    <w:rsid w:val="00243239"/>
    <w:rsid w:val="00246120"/>
    <w:rsid w:val="0024693D"/>
    <w:rsid w:val="002576C7"/>
    <w:rsid w:val="00257D97"/>
    <w:rsid w:val="00261B69"/>
    <w:rsid w:val="00262CB9"/>
    <w:rsid w:val="00262DBB"/>
    <w:rsid w:val="002631F0"/>
    <w:rsid w:val="0026582C"/>
    <w:rsid w:val="002663F8"/>
    <w:rsid w:val="002723B5"/>
    <w:rsid w:val="00273D57"/>
    <w:rsid w:val="00274CB4"/>
    <w:rsid w:val="00276945"/>
    <w:rsid w:val="00280F2C"/>
    <w:rsid w:val="00281462"/>
    <w:rsid w:val="002822BB"/>
    <w:rsid w:val="002900FB"/>
    <w:rsid w:val="00290E3D"/>
    <w:rsid w:val="00291150"/>
    <w:rsid w:val="002A36EC"/>
    <w:rsid w:val="002A445D"/>
    <w:rsid w:val="002A53C2"/>
    <w:rsid w:val="002A646C"/>
    <w:rsid w:val="002A7BFA"/>
    <w:rsid w:val="002B0F94"/>
    <w:rsid w:val="002B2AD6"/>
    <w:rsid w:val="002B3493"/>
    <w:rsid w:val="002B4333"/>
    <w:rsid w:val="002B5B55"/>
    <w:rsid w:val="002B63CC"/>
    <w:rsid w:val="002B6AAE"/>
    <w:rsid w:val="002B795F"/>
    <w:rsid w:val="002C0048"/>
    <w:rsid w:val="002C1DA8"/>
    <w:rsid w:val="002C24A2"/>
    <w:rsid w:val="002C4DEF"/>
    <w:rsid w:val="002D061C"/>
    <w:rsid w:val="002D2169"/>
    <w:rsid w:val="002D3269"/>
    <w:rsid w:val="002D44E7"/>
    <w:rsid w:val="002D5366"/>
    <w:rsid w:val="002E1200"/>
    <w:rsid w:val="002E5CDA"/>
    <w:rsid w:val="002E76E1"/>
    <w:rsid w:val="002E7D58"/>
    <w:rsid w:val="002F007A"/>
    <w:rsid w:val="002F201E"/>
    <w:rsid w:val="0030262F"/>
    <w:rsid w:val="00306DB6"/>
    <w:rsid w:val="00311525"/>
    <w:rsid w:val="00317F8B"/>
    <w:rsid w:val="0032027F"/>
    <w:rsid w:val="00320E56"/>
    <w:rsid w:val="00321E01"/>
    <w:rsid w:val="00322691"/>
    <w:rsid w:val="0032346C"/>
    <w:rsid w:val="00323FE7"/>
    <w:rsid w:val="0032607E"/>
    <w:rsid w:val="00326C7F"/>
    <w:rsid w:val="00326E6E"/>
    <w:rsid w:val="003272F2"/>
    <w:rsid w:val="0033145F"/>
    <w:rsid w:val="00332511"/>
    <w:rsid w:val="00333B1A"/>
    <w:rsid w:val="003346A5"/>
    <w:rsid w:val="0033580F"/>
    <w:rsid w:val="00336C0D"/>
    <w:rsid w:val="003419D1"/>
    <w:rsid w:val="00341B39"/>
    <w:rsid w:val="003429B7"/>
    <w:rsid w:val="00342ED2"/>
    <w:rsid w:val="00345219"/>
    <w:rsid w:val="00345E65"/>
    <w:rsid w:val="00350FCF"/>
    <w:rsid w:val="0035257F"/>
    <w:rsid w:val="00355738"/>
    <w:rsid w:val="00355832"/>
    <w:rsid w:val="0036096B"/>
    <w:rsid w:val="00363675"/>
    <w:rsid w:val="00364558"/>
    <w:rsid w:val="0036457F"/>
    <w:rsid w:val="00364C84"/>
    <w:rsid w:val="00365973"/>
    <w:rsid w:val="00372971"/>
    <w:rsid w:val="00373093"/>
    <w:rsid w:val="00374E08"/>
    <w:rsid w:val="00374E76"/>
    <w:rsid w:val="00375200"/>
    <w:rsid w:val="0037572E"/>
    <w:rsid w:val="00380071"/>
    <w:rsid w:val="00381F89"/>
    <w:rsid w:val="0038489A"/>
    <w:rsid w:val="00387E83"/>
    <w:rsid w:val="00390083"/>
    <w:rsid w:val="00390407"/>
    <w:rsid w:val="00390F6C"/>
    <w:rsid w:val="00391C50"/>
    <w:rsid w:val="0039531E"/>
    <w:rsid w:val="003970A0"/>
    <w:rsid w:val="003A2FE8"/>
    <w:rsid w:val="003A4151"/>
    <w:rsid w:val="003A6D6F"/>
    <w:rsid w:val="003B239B"/>
    <w:rsid w:val="003B53D2"/>
    <w:rsid w:val="003C0389"/>
    <w:rsid w:val="003C1479"/>
    <w:rsid w:val="003C4803"/>
    <w:rsid w:val="003C5F97"/>
    <w:rsid w:val="003D11B0"/>
    <w:rsid w:val="003D22DB"/>
    <w:rsid w:val="003D2679"/>
    <w:rsid w:val="003D4103"/>
    <w:rsid w:val="003D4AB7"/>
    <w:rsid w:val="003D4D9C"/>
    <w:rsid w:val="003D5C85"/>
    <w:rsid w:val="003D6B1C"/>
    <w:rsid w:val="003E1405"/>
    <w:rsid w:val="003E1676"/>
    <w:rsid w:val="003E2600"/>
    <w:rsid w:val="003E4C6E"/>
    <w:rsid w:val="003E72C8"/>
    <w:rsid w:val="003E7A46"/>
    <w:rsid w:val="003F1F12"/>
    <w:rsid w:val="003F2821"/>
    <w:rsid w:val="003F38D7"/>
    <w:rsid w:val="003F3A78"/>
    <w:rsid w:val="003F4A72"/>
    <w:rsid w:val="003F7904"/>
    <w:rsid w:val="00400A6C"/>
    <w:rsid w:val="00403423"/>
    <w:rsid w:val="004054A9"/>
    <w:rsid w:val="004054D8"/>
    <w:rsid w:val="00410A99"/>
    <w:rsid w:val="00412A9E"/>
    <w:rsid w:val="00414D65"/>
    <w:rsid w:val="00417707"/>
    <w:rsid w:val="0042105C"/>
    <w:rsid w:val="00422EA8"/>
    <w:rsid w:val="004230F3"/>
    <w:rsid w:val="00423C9A"/>
    <w:rsid w:val="00424E20"/>
    <w:rsid w:val="00424EA3"/>
    <w:rsid w:val="00425D46"/>
    <w:rsid w:val="00425F02"/>
    <w:rsid w:val="00426A2D"/>
    <w:rsid w:val="00427771"/>
    <w:rsid w:val="00431831"/>
    <w:rsid w:val="0043392F"/>
    <w:rsid w:val="0043447B"/>
    <w:rsid w:val="0043456E"/>
    <w:rsid w:val="00434EB2"/>
    <w:rsid w:val="004364F8"/>
    <w:rsid w:val="00437C8D"/>
    <w:rsid w:val="00437F2F"/>
    <w:rsid w:val="004423BB"/>
    <w:rsid w:val="00442943"/>
    <w:rsid w:val="00451A58"/>
    <w:rsid w:val="0045496B"/>
    <w:rsid w:val="00456A67"/>
    <w:rsid w:val="00462450"/>
    <w:rsid w:val="00463FF6"/>
    <w:rsid w:val="004641A6"/>
    <w:rsid w:val="00465C15"/>
    <w:rsid w:val="00466406"/>
    <w:rsid w:val="00466B6D"/>
    <w:rsid w:val="00470376"/>
    <w:rsid w:val="004707D0"/>
    <w:rsid w:val="00471614"/>
    <w:rsid w:val="0047171B"/>
    <w:rsid w:val="004732B8"/>
    <w:rsid w:val="004776D2"/>
    <w:rsid w:val="00480E0A"/>
    <w:rsid w:val="00483E24"/>
    <w:rsid w:val="00485843"/>
    <w:rsid w:val="00486DFB"/>
    <w:rsid w:val="00491C88"/>
    <w:rsid w:val="00492893"/>
    <w:rsid w:val="00493D86"/>
    <w:rsid w:val="004953A9"/>
    <w:rsid w:val="00497143"/>
    <w:rsid w:val="004A0729"/>
    <w:rsid w:val="004A3EFD"/>
    <w:rsid w:val="004A629C"/>
    <w:rsid w:val="004B36D7"/>
    <w:rsid w:val="004B5D79"/>
    <w:rsid w:val="004B6E0B"/>
    <w:rsid w:val="004B7D8B"/>
    <w:rsid w:val="004C0563"/>
    <w:rsid w:val="004C0DFB"/>
    <w:rsid w:val="004C4A4C"/>
    <w:rsid w:val="004C4D06"/>
    <w:rsid w:val="004D3539"/>
    <w:rsid w:val="004D55C8"/>
    <w:rsid w:val="004D5A69"/>
    <w:rsid w:val="004D7081"/>
    <w:rsid w:val="004E272A"/>
    <w:rsid w:val="004F12C8"/>
    <w:rsid w:val="004F3124"/>
    <w:rsid w:val="004F36A0"/>
    <w:rsid w:val="004F4D1A"/>
    <w:rsid w:val="004F54C9"/>
    <w:rsid w:val="00503CE9"/>
    <w:rsid w:val="00504782"/>
    <w:rsid w:val="005074D5"/>
    <w:rsid w:val="0050793C"/>
    <w:rsid w:val="00507B86"/>
    <w:rsid w:val="00510C79"/>
    <w:rsid w:val="00510E3C"/>
    <w:rsid w:val="00514D51"/>
    <w:rsid w:val="0051751F"/>
    <w:rsid w:val="005201B7"/>
    <w:rsid w:val="005225AC"/>
    <w:rsid w:val="00524CC0"/>
    <w:rsid w:val="00527333"/>
    <w:rsid w:val="00527E10"/>
    <w:rsid w:val="0053116A"/>
    <w:rsid w:val="00533546"/>
    <w:rsid w:val="00534ACF"/>
    <w:rsid w:val="005364AC"/>
    <w:rsid w:val="005410E6"/>
    <w:rsid w:val="00541F32"/>
    <w:rsid w:val="00542BD2"/>
    <w:rsid w:val="005437F1"/>
    <w:rsid w:val="00543AAE"/>
    <w:rsid w:val="00545D2B"/>
    <w:rsid w:val="00545E5B"/>
    <w:rsid w:val="00551ABB"/>
    <w:rsid w:val="00552D76"/>
    <w:rsid w:val="00552DF3"/>
    <w:rsid w:val="005600E3"/>
    <w:rsid w:val="0056303F"/>
    <w:rsid w:val="00563201"/>
    <w:rsid w:val="00563D58"/>
    <w:rsid w:val="00566027"/>
    <w:rsid w:val="00570EB1"/>
    <w:rsid w:val="005711EE"/>
    <w:rsid w:val="005722E8"/>
    <w:rsid w:val="0057357C"/>
    <w:rsid w:val="00577A0C"/>
    <w:rsid w:val="00580A41"/>
    <w:rsid w:val="00586679"/>
    <w:rsid w:val="005934B0"/>
    <w:rsid w:val="005947F2"/>
    <w:rsid w:val="00596225"/>
    <w:rsid w:val="005A07D2"/>
    <w:rsid w:val="005A1CB5"/>
    <w:rsid w:val="005A22F7"/>
    <w:rsid w:val="005A3422"/>
    <w:rsid w:val="005A56F2"/>
    <w:rsid w:val="005A64AF"/>
    <w:rsid w:val="005A64FC"/>
    <w:rsid w:val="005B2225"/>
    <w:rsid w:val="005B78B5"/>
    <w:rsid w:val="005B7CB3"/>
    <w:rsid w:val="005C0B57"/>
    <w:rsid w:val="005C5176"/>
    <w:rsid w:val="005C6BC2"/>
    <w:rsid w:val="005C788D"/>
    <w:rsid w:val="005D0770"/>
    <w:rsid w:val="005D16F4"/>
    <w:rsid w:val="005D1BDF"/>
    <w:rsid w:val="005D2E5F"/>
    <w:rsid w:val="005D4522"/>
    <w:rsid w:val="005D6FB9"/>
    <w:rsid w:val="005D703D"/>
    <w:rsid w:val="005D70BD"/>
    <w:rsid w:val="005E0749"/>
    <w:rsid w:val="005E4461"/>
    <w:rsid w:val="005E540A"/>
    <w:rsid w:val="005E56BC"/>
    <w:rsid w:val="005F1250"/>
    <w:rsid w:val="005F17A6"/>
    <w:rsid w:val="005F3A3F"/>
    <w:rsid w:val="005F4898"/>
    <w:rsid w:val="005F6CD1"/>
    <w:rsid w:val="00600DDE"/>
    <w:rsid w:val="00601A50"/>
    <w:rsid w:val="00604D61"/>
    <w:rsid w:val="0060545C"/>
    <w:rsid w:val="00605F3A"/>
    <w:rsid w:val="006065C1"/>
    <w:rsid w:val="00606DF3"/>
    <w:rsid w:val="00607A0A"/>
    <w:rsid w:val="00607CA6"/>
    <w:rsid w:val="00612114"/>
    <w:rsid w:val="0061737C"/>
    <w:rsid w:val="006235B3"/>
    <w:rsid w:val="00626198"/>
    <w:rsid w:val="00626D58"/>
    <w:rsid w:val="00626E34"/>
    <w:rsid w:val="00627238"/>
    <w:rsid w:val="0063251C"/>
    <w:rsid w:val="0063252B"/>
    <w:rsid w:val="00632973"/>
    <w:rsid w:val="00632ECD"/>
    <w:rsid w:val="006379EC"/>
    <w:rsid w:val="00643C0D"/>
    <w:rsid w:val="00644AB9"/>
    <w:rsid w:val="00645236"/>
    <w:rsid w:val="00653EAF"/>
    <w:rsid w:val="006548D4"/>
    <w:rsid w:val="00655223"/>
    <w:rsid w:val="00661DEB"/>
    <w:rsid w:val="00662D8C"/>
    <w:rsid w:val="00664BC1"/>
    <w:rsid w:val="0066793F"/>
    <w:rsid w:val="00670187"/>
    <w:rsid w:val="00671B7A"/>
    <w:rsid w:val="006728D1"/>
    <w:rsid w:val="00673C30"/>
    <w:rsid w:val="00674F4F"/>
    <w:rsid w:val="00676770"/>
    <w:rsid w:val="00677477"/>
    <w:rsid w:val="0068095F"/>
    <w:rsid w:val="006905DD"/>
    <w:rsid w:val="006907D5"/>
    <w:rsid w:val="006923B5"/>
    <w:rsid w:val="006926CE"/>
    <w:rsid w:val="00693040"/>
    <w:rsid w:val="00693CB6"/>
    <w:rsid w:val="00695CBC"/>
    <w:rsid w:val="006963D3"/>
    <w:rsid w:val="006A089F"/>
    <w:rsid w:val="006A4809"/>
    <w:rsid w:val="006B002F"/>
    <w:rsid w:val="006B0281"/>
    <w:rsid w:val="006B240A"/>
    <w:rsid w:val="006C1151"/>
    <w:rsid w:val="006C1684"/>
    <w:rsid w:val="006C732A"/>
    <w:rsid w:val="006D150F"/>
    <w:rsid w:val="006D449B"/>
    <w:rsid w:val="006D4E71"/>
    <w:rsid w:val="006E0E15"/>
    <w:rsid w:val="006E3E10"/>
    <w:rsid w:val="006E3FB0"/>
    <w:rsid w:val="006E64B6"/>
    <w:rsid w:val="006E6D19"/>
    <w:rsid w:val="006E7CA3"/>
    <w:rsid w:val="006F19FA"/>
    <w:rsid w:val="006F3C1C"/>
    <w:rsid w:val="006F5003"/>
    <w:rsid w:val="006F761A"/>
    <w:rsid w:val="007017FF"/>
    <w:rsid w:val="007026B6"/>
    <w:rsid w:val="007030F3"/>
    <w:rsid w:val="00705B27"/>
    <w:rsid w:val="00707B82"/>
    <w:rsid w:val="0071080E"/>
    <w:rsid w:val="007109A3"/>
    <w:rsid w:val="00711B2A"/>
    <w:rsid w:val="00712CDA"/>
    <w:rsid w:val="00712F25"/>
    <w:rsid w:val="0071303E"/>
    <w:rsid w:val="00715360"/>
    <w:rsid w:val="00715F11"/>
    <w:rsid w:val="007171F7"/>
    <w:rsid w:val="007206A1"/>
    <w:rsid w:val="007222F5"/>
    <w:rsid w:val="0072348D"/>
    <w:rsid w:val="0072475E"/>
    <w:rsid w:val="00725D81"/>
    <w:rsid w:val="00725DEC"/>
    <w:rsid w:val="00727557"/>
    <w:rsid w:val="00727C7A"/>
    <w:rsid w:val="007305B3"/>
    <w:rsid w:val="00735825"/>
    <w:rsid w:val="00741BFC"/>
    <w:rsid w:val="00741CBC"/>
    <w:rsid w:val="00742A75"/>
    <w:rsid w:val="00743AE6"/>
    <w:rsid w:val="00745E06"/>
    <w:rsid w:val="007466AB"/>
    <w:rsid w:val="007501A1"/>
    <w:rsid w:val="00753652"/>
    <w:rsid w:val="00753EF2"/>
    <w:rsid w:val="00755EF7"/>
    <w:rsid w:val="00757B91"/>
    <w:rsid w:val="00760E3A"/>
    <w:rsid w:val="007613A7"/>
    <w:rsid w:val="007630DD"/>
    <w:rsid w:val="00763543"/>
    <w:rsid w:val="0077159D"/>
    <w:rsid w:val="0078059D"/>
    <w:rsid w:val="00780A2D"/>
    <w:rsid w:val="00782841"/>
    <w:rsid w:val="00784E21"/>
    <w:rsid w:val="00790E73"/>
    <w:rsid w:val="0079384A"/>
    <w:rsid w:val="00795249"/>
    <w:rsid w:val="00796D6C"/>
    <w:rsid w:val="0079712C"/>
    <w:rsid w:val="007A00E7"/>
    <w:rsid w:val="007A1360"/>
    <w:rsid w:val="007A178D"/>
    <w:rsid w:val="007A17BE"/>
    <w:rsid w:val="007A1FA0"/>
    <w:rsid w:val="007A2795"/>
    <w:rsid w:val="007A2B2C"/>
    <w:rsid w:val="007A3D27"/>
    <w:rsid w:val="007A3F95"/>
    <w:rsid w:val="007A5344"/>
    <w:rsid w:val="007A5A4A"/>
    <w:rsid w:val="007B1393"/>
    <w:rsid w:val="007B280A"/>
    <w:rsid w:val="007B42D5"/>
    <w:rsid w:val="007B5985"/>
    <w:rsid w:val="007B6640"/>
    <w:rsid w:val="007C00BF"/>
    <w:rsid w:val="007C0229"/>
    <w:rsid w:val="007C09C1"/>
    <w:rsid w:val="007C13E4"/>
    <w:rsid w:val="007C3E7F"/>
    <w:rsid w:val="007C71BC"/>
    <w:rsid w:val="007D0E6B"/>
    <w:rsid w:val="007D142F"/>
    <w:rsid w:val="007D461A"/>
    <w:rsid w:val="007D4A56"/>
    <w:rsid w:val="007E0593"/>
    <w:rsid w:val="007E1689"/>
    <w:rsid w:val="007E5764"/>
    <w:rsid w:val="007E62CB"/>
    <w:rsid w:val="007E66E0"/>
    <w:rsid w:val="007F0172"/>
    <w:rsid w:val="007F0680"/>
    <w:rsid w:val="007F1388"/>
    <w:rsid w:val="007F14C7"/>
    <w:rsid w:val="007F3A2D"/>
    <w:rsid w:val="00801C31"/>
    <w:rsid w:val="00802523"/>
    <w:rsid w:val="00806894"/>
    <w:rsid w:val="00806A2A"/>
    <w:rsid w:val="00807198"/>
    <w:rsid w:val="008102D6"/>
    <w:rsid w:val="008131C9"/>
    <w:rsid w:val="008150D1"/>
    <w:rsid w:val="008202F5"/>
    <w:rsid w:val="00820F69"/>
    <w:rsid w:val="00822380"/>
    <w:rsid w:val="00824C94"/>
    <w:rsid w:val="00827D42"/>
    <w:rsid w:val="00830C68"/>
    <w:rsid w:val="0083138E"/>
    <w:rsid w:val="008315E9"/>
    <w:rsid w:val="008325D0"/>
    <w:rsid w:val="00842C7E"/>
    <w:rsid w:val="00844E81"/>
    <w:rsid w:val="0084539B"/>
    <w:rsid w:val="00845B1F"/>
    <w:rsid w:val="00853ECC"/>
    <w:rsid w:val="00857F65"/>
    <w:rsid w:val="008614A6"/>
    <w:rsid w:val="00865F3D"/>
    <w:rsid w:val="00866493"/>
    <w:rsid w:val="008727F9"/>
    <w:rsid w:val="00872CED"/>
    <w:rsid w:val="008733F5"/>
    <w:rsid w:val="00873738"/>
    <w:rsid w:val="008753A5"/>
    <w:rsid w:val="0087791D"/>
    <w:rsid w:val="0088073D"/>
    <w:rsid w:val="008810B5"/>
    <w:rsid w:val="00884EE9"/>
    <w:rsid w:val="00885E3A"/>
    <w:rsid w:val="00890497"/>
    <w:rsid w:val="00893505"/>
    <w:rsid w:val="00893B7A"/>
    <w:rsid w:val="0089445D"/>
    <w:rsid w:val="00895443"/>
    <w:rsid w:val="008974DD"/>
    <w:rsid w:val="00897E3A"/>
    <w:rsid w:val="008A0445"/>
    <w:rsid w:val="008A287F"/>
    <w:rsid w:val="008A7AC9"/>
    <w:rsid w:val="008B4206"/>
    <w:rsid w:val="008B53E0"/>
    <w:rsid w:val="008B70C7"/>
    <w:rsid w:val="008C1F25"/>
    <w:rsid w:val="008C2DDF"/>
    <w:rsid w:val="008C3563"/>
    <w:rsid w:val="008C3B1D"/>
    <w:rsid w:val="008C3D0C"/>
    <w:rsid w:val="008C4EDA"/>
    <w:rsid w:val="008C4F84"/>
    <w:rsid w:val="008D0C46"/>
    <w:rsid w:val="008D24B0"/>
    <w:rsid w:val="008D42F0"/>
    <w:rsid w:val="008D454D"/>
    <w:rsid w:val="008D4612"/>
    <w:rsid w:val="008D4EDC"/>
    <w:rsid w:val="008D5ED5"/>
    <w:rsid w:val="008E0B9B"/>
    <w:rsid w:val="008E0FBB"/>
    <w:rsid w:val="008E13B9"/>
    <w:rsid w:val="008E16D6"/>
    <w:rsid w:val="008E1D74"/>
    <w:rsid w:val="008E3E6B"/>
    <w:rsid w:val="008F0876"/>
    <w:rsid w:val="008F22E4"/>
    <w:rsid w:val="008F3938"/>
    <w:rsid w:val="008F721B"/>
    <w:rsid w:val="0090053F"/>
    <w:rsid w:val="00901353"/>
    <w:rsid w:val="00904C1A"/>
    <w:rsid w:val="00906336"/>
    <w:rsid w:val="0090761A"/>
    <w:rsid w:val="00907B5C"/>
    <w:rsid w:val="00907DDD"/>
    <w:rsid w:val="00907F0F"/>
    <w:rsid w:val="00910751"/>
    <w:rsid w:val="009107B5"/>
    <w:rsid w:val="00912C41"/>
    <w:rsid w:val="00913477"/>
    <w:rsid w:val="0091459B"/>
    <w:rsid w:val="00915966"/>
    <w:rsid w:val="00917AF9"/>
    <w:rsid w:val="0092012D"/>
    <w:rsid w:val="00921740"/>
    <w:rsid w:val="00923BCB"/>
    <w:rsid w:val="009254DE"/>
    <w:rsid w:val="00925D62"/>
    <w:rsid w:val="00931F01"/>
    <w:rsid w:val="00936B1D"/>
    <w:rsid w:val="00941C55"/>
    <w:rsid w:val="00951D6A"/>
    <w:rsid w:val="00952D97"/>
    <w:rsid w:val="00953116"/>
    <w:rsid w:val="00954047"/>
    <w:rsid w:val="009552C7"/>
    <w:rsid w:val="00955F8F"/>
    <w:rsid w:val="009619BE"/>
    <w:rsid w:val="009630EF"/>
    <w:rsid w:val="00965174"/>
    <w:rsid w:val="0096606B"/>
    <w:rsid w:val="00970045"/>
    <w:rsid w:val="00976A68"/>
    <w:rsid w:val="00981CD5"/>
    <w:rsid w:val="00982780"/>
    <w:rsid w:val="0098293A"/>
    <w:rsid w:val="00984053"/>
    <w:rsid w:val="00991CC8"/>
    <w:rsid w:val="00992238"/>
    <w:rsid w:val="00996544"/>
    <w:rsid w:val="00997495"/>
    <w:rsid w:val="009979F7"/>
    <w:rsid w:val="009A22CD"/>
    <w:rsid w:val="009A244C"/>
    <w:rsid w:val="009A28F3"/>
    <w:rsid w:val="009A4D9B"/>
    <w:rsid w:val="009A7EF6"/>
    <w:rsid w:val="009B0DBE"/>
    <w:rsid w:val="009B1A42"/>
    <w:rsid w:val="009B591E"/>
    <w:rsid w:val="009B5BDC"/>
    <w:rsid w:val="009B60B2"/>
    <w:rsid w:val="009C0E24"/>
    <w:rsid w:val="009C162E"/>
    <w:rsid w:val="009C3950"/>
    <w:rsid w:val="009C39E4"/>
    <w:rsid w:val="009D10D6"/>
    <w:rsid w:val="009D3659"/>
    <w:rsid w:val="009D6615"/>
    <w:rsid w:val="009D69AB"/>
    <w:rsid w:val="009E1887"/>
    <w:rsid w:val="009E1BFD"/>
    <w:rsid w:val="009E1C8D"/>
    <w:rsid w:val="009E3000"/>
    <w:rsid w:val="009E3DA3"/>
    <w:rsid w:val="009E405F"/>
    <w:rsid w:val="009E66E4"/>
    <w:rsid w:val="009E79CF"/>
    <w:rsid w:val="009F0716"/>
    <w:rsid w:val="009F2CA0"/>
    <w:rsid w:val="009F2DC2"/>
    <w:rsid w:val="009F652B"/>
    <w:rsid w:val="009F7ED0"/>
    <w:rsid w:val="00A01ED8"/>
    <w:rsid w:val="00A0340D"/>
    <w:rsid w:val="00A03864"/>
    <w:rsid w:val="00A04F8E"/>
    <w:rsid w:val="00A06E90"/>
    <w:rsid w:val="00A129B6"/>
    <w:rsid w:val="00A15387"/>
    <w:rsid w:val="00A1760F"/>
    <w:rsid w:val="00A20D58"/>
    <w:rsid w:val="00A220EE"/>
    <w:rsid w:val="00A23630"/>
    <w:rsid w:val="00A260F1"/>
    <w:rsid w:val="00A26A2F"/>
    <w:rsid w:val="00A271DB"/>
    <w:rsid w:val="00A300EC"/>
    <w:rsid w:val="00A30958"/>
    <w:rsid w:val="00A36FC8"/>
    <w:rsid w:val="00A374A7"/>
    <w:rsid w:val="00A40A1F"/>
    <w:rsid w:val="00A40EB4"/>
    <w:rsid w:val="00A411AE"/>
    <w:rsid w:val="00A42BB0"/>
    <w:rsid w:val="00A44D6F"/>
    <w:rsid w:val="00A47075"/>
    <w:rsid w:val="00A50EBE"/>
    <w:rsid w:val="00A5176A"/>
    <w:rsid w:val="00A52320"/>
    <w:rsid w:val="00A559FF"/>
    <w:rsid w:val="00A573C1"/>
    <w:rsid w:val="00A6410B"/>
    <w:rsid w:val="00A720BC"/>
    <w:rsid w:val="00A75414"/>
    <w:rsid w:val="00A760F6"/>
    <w:rsid w:val="00A82367"/>
    <w:rsid w:val="00A8308C"/>
    <w:rsid w:val="00A8331E"/>
    <w:rsid w:val="00A85484"/>
    <w:rsid w:val="00A86A7C"/>
    <w:rsid w:val="00A94B10"/>
    <w:rsid w:val="00AA17D3"/>
    <w:rsid w:val="00AA3998"/>
    <w:rsid w:val="00AA46EE"/>
    <w:rsid w:val="00AA79D7"/>
    <w:rsid w:val="00AA7B9A"/>
    <w:rsid w:val="00AB1196"/>
    <w:rsid w:val="00AB12E1"/>
    <w:rsid w:val="00AB14A7"/>
    <w:rsid w:val="00AB2340"/>
    <w:rsid w:val="00AB31DF"/>
    <w:rsid w:val="00AB3A2C"/>
    <w:rsid w:val="00AB7290"/>
    <w:rsid w:val="00AC19D1"/>
    <w:rsid w:val="00AC1F5F"/>
    <w:rsid w:val="00AC6240"/>
    <w:rsid w:val="00AC74A4"/>
    <w:rsid w:val="00AC7C9E"/>
    <w:rsid w:val="00AC7FD9"/>
    <w:rsid w:val="00AD2263"/>
    <w:rsid w:val="00AD2264"/>
    <w:rsid w:val="00AD52A5"/>
    <w:rsid w:val="00AD5753"/>
    <w:rsid w:val="00AD5B91"/>
    <w:rsid w:val="00AE115D"/>
    <w:rsid w:val="00AE15E5"/>
    <w:rsid w:val="00AE257F"/>
    <w:rsid w:val="00AE7454"/>
    <w:rsid w:val="00AF1C6A"/>
    <w:rsid w:val="00AF2C90"/>
    <w:rsid w:val="00AF5510"/>
    <w:rsid w:val="00AF6685"/>
    <w:rsid w:val="00B011EE"/>
    <w:rsid w:val="00B065C7"/>
    <w:rsid w:val="00B07F78"/>
    <w:rsid w:val="00B1129A"/>
    <w:rsid w:val="00B12AAA"/>
    <w:rsid w:val="00B139B7"/>
    <w:rsid w:val="00B16627"/>
    <w:rsid w:val="00B17975"/>
    <w:rsid w:val="00B20794"/>
    <w:rsid w:val="00B223A8"/>
    <w:rsid w:val="00B23491"/>
    <w:rsid w:val="00B23772"/>
    <w:rsid w:val="00B260BD"/>
    <w:rsid w:val="00B26E93"/>
    <w:rsid w:val="00B30376"/>
    <w:rsid w:val="00B3041F"/>
    <w:rsid w:val="00B3372A"/>
    <w:rsid w:val="00B3530D"/>
    <w:rsid w:val="00B3627D"/>
    <w:rsid w:val="00B45099"/>
    <w:rsid w:val="00B460D5"/>
    <w:rsid w:val="00B47705"/>
    <w:rsid w:val="00B47845"/>
    <w:rsid w:val="00B50F16"/>
    <w:rsid w:val="00B524F1"/>
    <w:rsid w:val="00B5324A"/>
    <w:rsid w:val="00B56377"/>
    <w:rsid w:val="00B619ED"/>
    <w:rsid w:val="00B620FE"/>
    <w:rsid w:val="00B62F5B"/>
    <w:rsid w:val="00B63A1E"/>
    <w:rsid w:val="00B67785"/>
    <w:rsid w:val="00B67C8C"/>
    <w:rsid w:val="00B7010D"/>
    <w:rsid w:val="00B71431"/>
    <w:rsid w:val="00B72087"/>
    <w:rsid w:val="00B81AA0"/>
    <w:rsid w:val="00B901C9"/>
    <w:rsid w:val="00B90244"/>
    <w:rsid w:val="00B90770"/>
    <w:rsid w:val="00B90CF6"/>
    <w:rsid w:val="00B90D9D"/>
    <w:rsid w:val="00B9295D"/>
    <w:rsid w:val="00B9522D"/>
    <w:rsid w:val="00BA05FA"/>
    <w:rsid w:val="00BA1F48"/>
    <w:rsid w:val="00BA4243"/>
    <w:rsid w:val="00BB47B6"/>
    <w:rsid w:val="00BB68F0"/>
    <w:rsid w:val="00BC014E"/>
    <w:rsid w:val="00BC1534"/>
    <w:rsid w:val="00BC24ED"/>
    <w:rsid w:val="00BC252B"/>
    <w:rsid w:val="00BC49BD"/>
    <w:rsid w:val="00BC4B86"/>
    <w:rsid w:val="00BD1728"/>
    <w:rsid w:val="00BD388C"/>
    <w:rsid w:val="00BD498F"/>
    <w:rsid w:val="00BE07BA"/>
    <w:rsid w:val="00BE3259"/>
    <w:rsid w:val="00BE3E7A"/>
    <w:rsid w:val="00BE4130"/>
    <w:rsid w:val="00BE4B05"/>
    <w:rsid w:val="00BF0E46"/>
    <w:rsid w:val="00BF2AA2"/>
    <w:rsid w:val="00BF2D5D"/>
    <w:rsid w:val="00BF4538"/>
    <w:rsid w:val="00C0172A"/>
    <w:rsid w:val="00C02A8D"/>
    <w:rsid w:val="00C02EA9"/>
    <w:rsid w:val="00C04511"/>
    <w:rsid w:val="00C06B8C"/>
    <w:rsid w:val="00C12334"/>
    <w:rsid w:val="00C13518"/>
    <w:rsid w:val="00C13661"/>
    <w:rsid w:val="00C13FA2"/>
    <w:rsid w:val="00C15B5F"/>
    <w:rsid w:val="00C16A33"/>
    <w:rsid w:val="00C20143"/>
    <w:rsid w:val="00C20ECD"/>
    <w:rsid w:val="00C22BD4"/>
    <w:rsid w:val="00C24B0C"/>
    <w:rsid w:val="00C24CE6"/>
    <w:rsid w:val="00C24F4F"/>
    <w:rsid w:val="00C25709"/>
    <w:rsid w:val="00C25C50"/>
    <w:rsid w:val="00C33F48"/>
    <w:rsid w:val="00C3400B"/>
    <w:rsid w:val="00C4034D"/>
    <w:rsid w:val="00C4132E"/>
    <w:rsid w:val="00C43354"/>
    <w:rsid w:val="00C44906"/>
    <w:rsid w:val="00C452C2"/>
    <w:rsid w:val="00C47072"/>
    <w:rsid w:val="00C47130"/>
    <w:rsid w:val="00C4785A"/>
    <w:rsid w:val="00C47964"/>
    <w:rsid w:val="00C502B7"/>
    <w:rsid w:val="00C60D5A"/>
    <w:rsid w:val="00C62D95"/>
    <w:rsid w:val="00C62EF8"/>
    <w:rsid w:val="00C649C7"/>
    <w:rsid w:val="00C6672B"/>
    <w:rsid w:val="00C757AF"/>
    <w:rsid w:val="00C76C72"/>
    <w:rsid w:val="00C80344"/>
    <w:rsid w:val="00C819B8"/>
    <w:rsid w:val="00C84CBE"/>
    <w:rsid w:val="00C85D4B"/>
    <w:rsid w:val="00C85E64"/>
    <w:rsid w:val="00C86A30"/>
    <w:rsid w:val="00C903B1"/>
    <w:rsid w:val="00C90928"/>
    <w:rsid w:val="00C91418"/>
    <w:rsid w:val="00C93605"/>
    <w:rsid w:val="00C95B0C"/>
    <w:rsid w:val="00C961A3"/>
    <w:rsid w:val="00C96C0E"/>
    <w:rsid w:val="00CA2CF4"/>
    <w:rsid w:val="00CA2DE5"/>
    <w:rsid w:val="00CA63AC"/>
    <w:rsid w:val="00CA6913"/>
    <w:rsid w:val="00CA69F2"/>
    <w:rsid w:val="00CA6A3D"/>
    <w:rsid w:val="00CB04C7"/>
    <w:rsid w:val="00CB355D"/>
    <w:rsid w:val="00CB3FFE"/>
    <w:rsid w:val="00CB4D4D"/>
    <w:rsid w:val="00CB58CE"/>
    <w:rsid w:val="00CB7B86"/>
    <w:rsid w:val="00CC0CAE"/>
    <w:rsid w:val="00CC545A"/>
    <w:rsid w:val="00CC6EE4"/>
    <w:rsid w:val="00CC746C"/>
    <w:rsid w:val="00CD3965"/>
    <w:rsid w:val="00CD3E05"/>
    <w:rsid w:val="00CD4A3C"/>
    <w:rsid w:val="00CD75F7"/>
    <w:rsid w:val="00CE02B6"/>
    <w:rsid w:val="00CE202E"/>
    <w:rsid w:val="00CE212A"/>
    <w:rsid w:val="00CE7D9E"/>
    <w:rsid w:val="00CF08D3"/>
    <w:rsid w:val="00CF1BD9"/>
    <w:rsid w:val="00CF1FF5"/>
    <w:rsid w:val="00CF3AAD"/>
    <w:rsid w:val="00CF5F6C"/>
    <w:rsid w:val="00CF7722"/>
    <w:rsid w:val="00CF7DC7"/>
    <w:rsid w:val="00D00FD5"/>
    <w:rsid w:val="00D04575"/>
    <w:rsid w:val="00D05331"/>
    <w:rsid w:val="00D05969"/>
    <w:rsid w:val="00D1063D"/>
    <w:rsid w:val="00D14949"/>
    <w:rsid w:val="00D14BB2"/>
    <w:rsid w:val="00D171F1"/>
    <w:rsid w:val="00D21BDE"/>
    <w:rsid w:val="00D256D8"/>
    <w:rsid w:val="00D26250"/>
    <w:rsid w:val="00D2744F"/>
    <w:rsid w:val="00D27FDA"/>
    <w:rsid w:val="00D307B3"/>
    <w:rsid w:val="00D307C3"/>
    <w:rsid w:val="00D32620"/>
    <w:rsid w:val="00D330FA"/>
    <w:rsid w:val="00D3357B"/>
    <w:rsid w:val="00D33D95"/>
    <w:rsid w:val="00D344CB"/>
    <w:rsid w:val="00D413C7"/>
    <w:rsid w:val="00D424CD"/>
    <w:rsid w:val="00D43202"/>
    <w:rsid w:val="00D45AE3"/>
    <w:rsid w:val="00D464F1"/>
    <w:rsid w:val="00D46D7B"/>
    <w:rsid w:val="00D51B24"/>
    <w:rsid w:val="00D527C6"/>
    <w:rsid w:val="00D542DF"/>
    <w:rsid w:val="00D55232"/>
    <w:rsid w:val="00D55AB1"/>
    <w:rsid w:val="00D603F5"/>
    <w:rsid w:val="00D61F41"/>
    <w:rsid w:val="00D64904"/>
    <w:rsid w:val="00D715A6"/>
    <w:rsid w:val="00D72425"/>
    <w:rsid w:val="00D748EA"/>
    <w:rsid w:val="00D74900"/>
    <w:rsid w:val="00D74BF2"/>
    <w:rsid w:val="00D76438"/>
    <w:rsid w:val="00D801B1"/>
    <w:rsid w:val="00D81B82"/>
    <w:rsid w:val="00D9094B"/>
    <w:rsid w:val="00D90D63"/>
    <w:rsid w:val="00D913CD"/>
    <w:rsid w:val="00D92ECB"/>
    <w:rsid w:val="00D93C95"/>
    <w:rsid w:val="00D959CC"/>
    <w:rsid w:val="00D96A72"/>
    <w:rsid w:val="00DA0227"/>
    <w:rsid w:val="00DA63E6"/>
    <w:rsid w:val="00DA7091"/>
    <w:rsid w:val="00DA7902"/>
    <w:rsid w:val="00DB31FC"/>
    <w:rsid w:val="00DB344E"/>
    <w:rsid w:val="00DB6C43"/>
    <w:rsid w:val="00DD0145"/>
    <w:rsid w:val="00DD69D9"/>
    <w:rsid w:val="00DD6A0D"/>
    <w:rsid w:val="00DE0A98"/>
    <w:rsid w:val="00DE324C"/>
    <w:rsid w:val="00DE32F6"/>
    <w:rsid w:val="00DE5C28"/>
    <w:rsid w:val="00DF2789"/>
    <w:rsid w:val="00DF30B0"/>
    <w:rsid w:val="00DF35D9"/>
    <w:rsid w:val="00DF45EC"/>
    <w:rsid w:val="00DF61FA"/>
    <w:rsid w:val="00E03747"/>
    <w:rsid w:val="00E03CC7"/>
    <w:rsid w:val="00E03D19"/>
    <w:rsid w:val="00E047A3"/>
    <w:rsid w:val="00E0530D"/>
    <w:rsid w:val="00E0649A"/>
    <w:rsid w:val="00E07261"/>
    <w:rsid w:val="00E1358A"/>
    <w:rsid w:val="00E13D83"/>
    <w:rsid w:val="00E14621"/>
    <w:rsid w:val="00E15868"/>
    <w:rsid w:val="00E173C4"/>
    <w:rsid w:val="00E2057F"/>
    <w:rsid w:val="00E23645"/>
    <w:rsid w:val="00E2377C"/>
    <w:rsid w:val="00E269FA"/>
    <w:rsid w:val="00E304CA"/>
    <w:rsid w:val="00E31327"/>
    <w:rsid w:val="00E314E3"/>
    <w:rsid w:val="00E35D75"/>
    <w:rsid w:val="00E376B5"/>
    <w:rsid w:val="00E37F54"/>
    <w:rsid w:val="00E51833"/>
    <w:rsid w:val="00E5413A"/>
    <w:rsid w:val="00E56DE6"/>
    <w:rsid w:val="00E57C00"/>
    <w:rsid w:val="00E6176F"/>
    <w:rsid w:val="00E62B53"/>
    <w:rsid w:val="00E64463"/>
    <w:rsid w:val="00E701CC"/>
    <w:rsid w:val="00E70577"/>
    <w:rsid w:val="00E711A9"/>
    <w:rsid w:val="00E71B7B"/>
    <w:rsid w:val="00E72B2F"/>
    <w:rsid w:val="00E735A0"/>
    <w:rsid w:val="00E73D8B"/>
    <w:rsid w:val="00E74DC2"/>
    <w:rsid w:val="00E778D6"/>
    <w:rsid w:val="00E83EF2"/>
    <w:rsid w:val="00E85AA5"/>
    <w:rsid w:val="00E863AC"/>
    <w:rsid w:val="00E86D72"/>
    <w:rsid w:val="00E8728C"/>
    <w:rsid w:val="00E94217"/>
    <w:rsid w:val="00E97575"/>
    <w:rsid w:val="00E97FE3"/>
    <w:rsid w:val="00EA1817"/>
    <w:rsid w:val="00EA275C"/>
    <w:rsid w:val="00EA28E1"/>
    <w:rsid w:val="00EA4B17"/>
    <w:rsid w:val="00EA6064"/>
    <w:rsid w:val="00EA6CCF"/>
    <w:rsid w:val="00EA6EC6"/>
    <w:rsid w:val="00EB2767"/>
    <w:rsid w:val="00EB34DB"/>
    <w:rsid w:val="00EC1F1B"/>
    <w:rsid w:val="00EC53A8"/>
    <w:rsid w:val="00EC609F"/>
    <w:rsid w:val="00ED1E47"/>
    <w:rsid w:val="00ED2AAD"/>
    <w:rsid w:val="00ED4986"/>
    <w:rsid w:val="00EE747C"/>
    <w:rsid w:val="00EF1181"/>
    <w:rsid w:val="00EF60FF"/>
    <w:rsid w:val="00EF6A21"/>
    <w:rsid w:val="00EF6AAD"/>
    <w:rsid w:val="00EF6B3E"/>
    <w:rsid w:val="00EF7BC2"/>
    <w:rsid w:val="00F006A1"/>
    <w:rsid w:val="00F02DB7"/>
    <w:rsid w:val="00F051CF"/>
    <w:rsid w:val="00F074C1"/>
    <w:rsid w:val="00F11176"/>
    <w:rsid w:val="00F131CD"/>
    <w:rsid w:val="00F1335D"/>
    <w:rsid w:val="00F16B78"/>
    <w:rsid w:val="00F17D2B"/>
    <w:rsid w:val="00F17E33"/>
    <w:rsid w:val="00F20098"/>
    <w:rsid w:val="00F20BD7"/>
    <w:rsid w:val="00F21C4C"/>
    <w:rsid w:val="00F22BA4"/>
    <w:rsid w:val="00F22F86"/>
    <w:rsid w:val="00F22F87"/>
    <w:rsid w:val="00F24023"/>
    <w:rsid w:val="00F25DA9"/>
    <w:rsid w:val="00F2686D"/>
    <w:rsid w:val="00F34A2C"/>
    <w:rsid w:val="00F369F9"/>
    <w:rsid w:val="00F3797A"/>
    <w:rsid w:val="00F40D6D"/>
    <w:rsid w:val="00F426F4"/>
    <w:rsid w:val="00F43D53"/>
    <w:rsid w:val="00F44B52"/>
    <w:rsid w:val="00F47B2E"/>
    <w:rsid w:val="00F5146D"/>
    <w:rsid w:val="00F51B09"/>
    <w:rsid w:val="00F53D83"/>
    <w:rsid w:val="00F6107C"/>
    <w:rsid w:val="00F61DDB"/>
    <w:rsid w:val="00F62530"/>
    <w:rsid w:val="00F6583E"/>
    <w:rsid w:val="00F674B9"/>
    <w:rsid w:val="00F67518"/>
    <w:rsid w:val="00F67593"/>
    <w:rsid w:val="00F72717"/>
    <w:rsid w:val="00F73D76"/>
    <w:rsid w:val="00F74181"/>
    <w:rsid w:val="00F80ED5"/>
    <w:rsid w:val="00F824A9"/>
    <w:rsid w:val="00F82763"/>
    <w:rsid w:val="00F82D86"/>
    <w:rsid w:val="00F83F24"/>
    <w:rsid w:val="00F84034"/>
    <w:rsid w:val="00F85A72"/>
    <w:rsid w:val="00F862BE"/>
    <w:rsid w:val="00F933D9"/>
    <w:rsid w:val="00F934E3"/>
    <w:rsid w:val="00F95788"/>
    <w:rsid w:val="00F966D6"/>
    <w:rsid w:val="00F96E3B"/>
    <w:rsid w:val="00F970DA"/>
    <w:rsid w:val="00F972B6"/>
    <w:rsid w:val="00FA1049"/>
    <w:rsid w:val="00FA14F7"/>
    <w:rsid w:val="00FA265C"/>
    <w:rsid w:val="00FA40E1"/>
    <w:rsid w:val="00FA49D7"/>
    <w:rsid w:val="00FA4CB7"/>
    <w:rsid w:val="00FA644C"/>
    <w:rsid w:val="00FA65A8"/>
    <w:rsid w:val="00FB0421"/>
    <w:rsid w:val="00FB4C28"/>
    <w:rsid w:val="00FB597D"/>
    <w:rsid w:val="00FB7DC4"/>
    <w:rsid w:val="00FC08A2"/>
    <w:rsid w:val="00FC164C"/>
    <w:rsid w:val="00FC1F6E"/>
    <w:rsid w:val="00FC22BF"/>
    <w:rsid w:val="00FC5B1F"/>
    <w:rsid w:val="00FD0E6F"/>
    <w:rsid w:val="00FD1F4F"/>
    <w:rsid w:val="00FD2A69"/>
    <w:rsid w:val="00FD3D0A"/>
    <w:rsid w:val="00FD426C"/>
    <w:rsid w:val="00FD5EA1"/>
    <w:rsid w:val="00FD6441"/>
    <w:rsid w:val="00FD7FD4"/>
    <w:rsid w:val="00FE2CE6"/>
    <w:rsid w:val="00FE336F"/>
    <w:rsid w:val="00FE6E3E"/>
    <w:rsid w:val="00FF2A8A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9FE92-8729-48C1-819E-0648C4DE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8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374A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3C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A1FA0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6926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651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4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1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16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4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6A5"/>
  </w:style>
  <w:style w:type="paragraph" w:styleId="Footer">
    <w:name w:val="footer"/>
    <w:basedOn w:val="Normal"/>
    <w:link w:val="FooterChar"/>
    <w:uiPriority w:val="99"/>
    <w:unhideWhenUsed/>
    <w:rsid w:val="00334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6A5"/>
  </w:style>
  <w:style w:type="paragraph" w:styleId="ListParagraph">
    <w:name w:val="List Paragraph"/>
    <w:basedOn w:val="Normal"/>
    <w:uiPriority w:val="34"/>
    <w:qFormat/>
    <w:rsid w:val="00391C5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71EB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1EB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butland@sgul.ac.uk" TargetMode="External"/><Relationship Id="rId13" Type="http://schemas.openxmlformats.org/officeDocument/2006/relationships/hyperlink" Target="http://euro.who.int/en/health-topics" TargetMode="External"/><Relationship Id="rId18" Type="http://schemas.openxmlformats.org/officeDocument/2006/relationships/hyperlink" Target="http://www.ceip.a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ns.gov.uk/ons/rel/subnational-health2/excess-winter-mortality-in-england-and-wales/2012-13--provisional--and-2011-12--final-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ationalarchives.gov.uk/doc/open-government-licence/version/2/" TargetMode="External"/><Relationship Id="rId17" Type="http://schemas.openxmlformats.org/officeDocument/2006/relationships/hyperlink" Target="http://www.nationalarchives.gov.uk/doc/open-government-licence/version/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rf-model.org" TargetMode="External"/><Relationship Id="rId20" Type="http://schemas.openxmlformats.org/officeDocument/2006/relationships/hyperlink" Target="http://uk-air.defra.gov.uk/reports/cat20/1105091514_RegionalFina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ionalarchives.gov.uk/doc/open-government-licence/version/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cl.ac.uk/nicor/audits/minap/dataset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ationalarchives.gov.uk/doc/open-government-licence/version/2/" TargetMode="External"/><Relationship Id="rId19" Type="http://schemas.openxmlformats.org/officeDocument/2006/relationships/hyperlink" Target="http://www.nationalarchives.gov.uk/doc/open-government-licence/version/2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meap.org.uk/documents" TargetMode="External"/><Relationship Id="rId22" Type="http://schemas.openxmlformats.org/officeDocument/2006/relationships/hyperlink" Target="http://www.nationalarchives.gov.uk/doc/open-government-lic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B7B8-36F2-498C-AAB1-A4561D97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6907</Words>
  <Characters>39372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46187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sgjd650</dc:creator>
  <cp:lastModifiedBy>Barbara Butland</cp:lastModifiedBy>
  <cp:revision>2</cp:revision>
  <cp:lastPrinted>2016-05-16T11:56:00Z</cp:lastPrinted>
  <dcterms:created xsi:type="dcterms:W3CDTF">2016-06-07T13:06:00Z</dcterms:created>
  <dcterms:modified xsi:type="dcterms:W3CDTF">2016-06-07T13:06:00Z</dcterms:modified>
</cp:coreProperties>
</file>