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7C5" w:rsidRPr="00215216" w:rsidRDefault="004647C5" w:rsidP="004647C5">
      <w:pPr>
        <w:rPr>
          <w:rFonts w:ascii="Times New Roman" w:hAnsi="Times New Roman" w:cs="Times New Roman"/>
          <w:sz w:val="24"/>
          <w:szCs w:val="24"/>
        </w:rPr>
      </w:pPr>
      <w:r>
        <w:rPr>
          <w:rFonts w:ascii="Times New Roman" w:hAnsi="Times New Roman" w:cs="Times New Roman"/>
          <w:sz w:val="24"/>
          <w:szCs w:val="24"/>
        </w:rPr>
        <w:t>Table 1. Referral</w:t>
      </w:r>
      <w:r w:rsidRPr="00215216">
        <w:rPr>
          <w:rFonts w:ascii="Times New Roman" w:hAnsi="Times New Roman" w:cs="Times New Roman"/>
          <w:sz w:val="24"/>
          <w:szCs w:val="24"/>
        </w:rPr>
        <w:t xml:space="preserve"> Criteria for Medium Secure Adolescent Forensic Units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4647C5" w:rsidTr="002C2F98">
        <w:tc>
          <w:tcPr>
            <w:tcW w:w="9918" w:type="dxa"/>
            <w:tcBorders>
              <w:bottom w:val="single" w:sz="12" w:space="0" w:color="auto"/>
            </w:tcBorders>
          </w:tcPr>
          <w:p w:rsidR="004647C5" w:rsidRPr="00E328CD" w:rsidRDefault="004647C5" w:rsidP="002C2F98">
            <w:pPr>
              <w:rPr>
                <w:rFonts w:cstheme="minorHAnsi"/>
                <w:b/>
                <w:sz w:val="24"/>
                <w:szCs w:val="24"/>
              </w:rPr>
            </w:pPr>
            <w:bookmarkStart w:id="0" w:name="_Hlk123999057"/>
            <w:r w:rsidRPr="00E328CD">
              <w:rPr>
                <w:rFonts w:cstheme="minorHAnsi"/>
                <w:b/>
                <w:sz w:val="24"/>
                <w:szCs w:val="24"/>
              </w:rPr>
              <w:t>Referral Criteria</w:t>
            </w:r>
          </w:p>
        </w:tc>
      </w:tr>
      <w:tr w:rsidR="004647C5" w:rsidRPr="00977D1E" w:rsidTr="002C2F98">
        <w:tc>
          <w:tcPr>
            <w:tcW w:w="9918" w:type="dxa"/>
            <w:tcBorders>
              <w:top w:val="single" w:sz="12" w:space="0" w:color="auto"/>
            </w:tcBorders>
          </w:tcPr>
          <w:p w:rsidR="004647C5" w:rsidRPr="00977D1E" w:rsidRDefault="004647C5" w:rsidP="002C2F98">
            <w:pPr>
              <w:rPr>
                <w:rFonts w:cstheme="minorHAnsi"/>
                <w:b/>
                <w:bCs/>
                <w:sz w:val="24"/>
                <w:szCs w:val="24"/>
              </w:rPr>
            </w:pPr>
            <w:r w:rsidRPr="00977D1E">
              <w:rPr>
                <w:rFonts w:cstheme="minorHAnsi"/>
                <w:b/>
                <w:bCs/>
                <w:sz w:val="24"/>
                <w:szCs w:val="24"/>
              </w:rPr>
              <w:t>The young person is under 18 years of age at the time of referral</w:t>
            </w:r>
          </w:p>
        </w:tc>
      </w:tr>
      <w:tr w:rsidR="004647C5" w:rsidTr="002C2F98">
        <w:tc>
          <w:tcPr>
            <w:tcW w:w="9918" w:type="dxa"/>
          </w:tcPr>
          <w:p w:rsidR="004647C5" w:rsidRPr="00E328CD" w:rsidRDefault="004647C5" w:rsidP="002C2F98">
            <w:pPr>
              <w:ind w:left="2880"/>
              <w:rPr>
                <w:rFonts w:cstheme="minorHAnsi"/>
                <w:i/>
                <w:iCs/>
              </w:rPr>
            </w:pPr>
            <w:r w:rsidRPr="00E328CD">
              <w:rPr>
                <w:rFonts w:cstheme="minorHAnsi"/>
                <w:i/>
                <w:iCs/>
              </w:rPr>
              <w:t>AND</w:t>
            </w:r>
          </w:p>
        </w:tc>
      </w:tr>
      <w:tr w:rsidR="004647C5" w:rsidRPr="00977D1E" w:rsidTr="002C2F98">
        <w:tc>
          <w:tcPr>
            <w:tcW w:w="9918" w:type="dxa"/>
          </w:tcPr>
          <w:p w:rsidR="004647C5" w:rsidRPr="00977D1E" w:rsidRDefault="004647C5" w:rsidP="002C2F98">
            <w:pPr>
              <w:rPr>
                <w:rFonts w:cstheme="minorHAnsi"/>
                <w:b/>
                <w:bCs/>
                <w:sz w:val="24"/>
                <w:szCs w:val="24"/>
              </w:rPr>
            </w:pPr>
            <w:r w:rsidRPr="00977D1E">
              <w:rPr>
                <w:rFonts w:cstheme="minorHAnsi"/>
                <w:b/>
                <w:bCs/>
                <w:sz w:val="24"/>
                <w:szCs w:val="24"/>
              </w:rPr>
              <w:t>The young person could be detained under Part II or Part III of the MHA (1983)</w:t>
            </w:r>
          </w:p>
        </w:tc>
      </w:tr>
      <w:tr w:rsidR="004647C5" w:rsidTr="002C2F98">
        <w:tc>
          <w:tcPr>
            <w:tcW w:w="9918" w:type="dxa"/>
          </w:tcPr>
          <w:p w:rsidR="004647C5" w:rsidRPr="00E328CD" w:rsidRDefault="004647C5" w:rsidP="002C2F98">
            <w:pPr>
              <w:ind w:left="2880"/>
              <w:rPr>
                <w:rFonts w:cstheme="minorHAnsi"/>
                <w:i/>
                <w:iCs/>
              </w:rPr>
            </w:pPr>
            <w:r w:rsidRPr="00E328CD">
              <w:rPr>
                <w:rFonts w:cstheme="minorHAnsi"/>
                <w:i/>
                <w:iCs/>
              </w:rPr>
              <w:t>AND</w:t>
            </w:r>
          </w:p>
        </w:tc>
      </w:tr>
      <w:tr w:rsidR="004647C5" w:rsidTr="002C2F98">
        <w:tc>
          <w:tcPr>
            <w:tcW w:w="9918" w:type="dxa"/>
          </w:tcPr>
          <w:p w:rsidR="004647C5" w:rsidRPr="00E328CD" w:rsidRDefault="004647C5" w:rsidP="002C2F98">
            <w:pPr>
              <w:ind w:left="2880"/>
              <w:rPr>
                <w:rFonts w:cstheme="minorHAnsi"/>
                <w:i/>
                <w:iCs/>
              </w:rPr>
            </w:pPr>
            <w:r w:rsidRPr="00E328CD">
              <w:rPr>
                <w:rFonts w:cstheme="minorHAnsi"/>
                <w:i/>
                <w:iCs/>
              </w:rPr>
              <w:t>EITHER</w:t>
            </w:r>
          </w:p>
        </w:tc>
      </w:tr>
      <w:tr w:rsidR="004647C5" w:rsidRPr="00977D1E" w:rsidTr="002C2F98">
        <w:tc>
          <w:tcPr>
            <w:tcW w:w="9918" w:type="dxa"/>
          </w:tcPr>
          <w:p w:rsidR="004647C5" w:rsidRPr="00977D1E" w:rsidRDefault="004647C5" w:rsidP="002C2F98">
            <w:pPr>
              <w:rPr>
                <w:rFonts w:cstheme="minorHAnsi"/>
                <w:b/>
                <w:bCs/>
                <w:sz w:val="24"/>
                <w:szCs w:val="24"/>
              </w:rPr>
            </w:pPr>
            <w:r w:rsidRPr="00977D1E">
              <w:rPr>
                <w:rFonts w:cstheme="minorHAnsi"/>
                <w:b/>
                <w:bCs/>
                <w:sz w:val="24"/>
                <w:szCs w:val="24"/>
              </w:rPr>
              <w:t xml:space="preserve">The young person presents a significant risk to others </w:t>
            </w:r>
            <w:r w:rsidRPr="00977D1E">
              <w:rPr>
                <w:rFonts w:cstheme="minorHAnsi"/>
                <w:b/>
                <w:bCs/>
                <w:i/>
                <w:sz w:val="24"/>
                <w:szCs w:val="24"/>
              </w:rPr>
              <w:t>of one or more</w:t>
            </w:r>
            <w:r w:rsidRPr="00977D1E">
              <w:rPr>
                <w:rFonts w:cstheme="minorHAnsi"/>
                <w:b/>
                <w:bCs/>
                <w:sz w:val="24"/>
                <w:szCs w:val="24"/>
              </w:rPr>
              <w:t xml:space="preserve"> of the following:</w:t>
            </w:r>
          </w:p>
        </w:tc>
      </w:tr>
      <w:tr w:rsidR="004647C5" w:rsidTr="002C2F98">
        <w:tc>
          <w:tcPr>
            <w:tcW w:w="9918" w:type="dxa"/>
          </w:tcPr>
          <w:p w:rsidR="004647C5" w:rsidRPr="00977D1E" w:rsidRDefault="004647C5" w:rsidP="004647C5">
            <w:pPr>
              <w:numPr>
                <w:ilvl w:val="0"/>
                <w:numId w:val="1"/>
              </w:numPr>
              <w:ind w:left="1191" w:hanging="340"/>
              <w:rPr>
                <w:rFonts w:cstheme="minorHAnsi"/>
                <w:b/>
                <w:bCs/>
              </w:rPr>
            </w:pPr>
            <w:r w:rsidRPr="00977D1E">
              <w:rPr>
                <w:rFonts w:cstheme="minorHAnsi"/>
                <w:b/>
                <w:bCs/>
              </w:rPr>
              <w:t>Direct serious violence liable to result in injury to people</w:t>
            </w:r>
          </w:p>
        </w:tc>
      </w:tr>
      <w:tr w:rsidR="004647C5" w:rsidTr="002C2F98">
        <w:tc>
          <w:tcPr>
            <w:tcW w:w="9918" w:type="dxa"/>
          </w:tcPr>
          <w:p w:rsidR="004647C5" w:rsidRPr="00977D1E" w:rsidRDefault="004647C5" w:rsidP="004647C5">
            <w:pPr>
              <w:numPr>
                <w:ilvl w:val="0"/>
                <w:numId w:val="1"/>
              </w:numPr>
              <w:ind w:left="1191" w:hanging="340"/>
              <w:rPr>
                <w:rFonts w:cstheme="minorHAnsi"/>
                <w:b/>
                <w:bCs/>
              </w:rPr>
            </w:pPr>
            <w:r w:rsidRPr="00977D1E">
              <w:rPr>
                <w:rFonts w:cstheme="minorHAnsi"/>
                <w:b/>
                <w:bCs/>
              </w:rPr>
              <w:t>Sexually aggressive behaviour</w:t>
            </w:r>
          </w:p>
        </w:tc>
      </w:tr>
      <w:tr w:rsidR="004647C5" w:rsidTr="002C2F98">
        <w:tc>
          <w:tcPr>
            <w:tcW w:w="9918" w:type="dxa"/>
          </w:tcPr>
          <w:p w:rsidR="004647C5" w:rsidRPr="00977D1E" w:rsidRDefault="004647C5" w:rsidP="004647C5">
            <w:pPr>
              <w:numPr>
                <w:ilvl w:val="0"/>
                <w:numId w:val="1"/>
              </w:numPr>
              <w:ind w:left="1191" w:hanging="340"/>
              <w:rPr>
                <w:rFonts w:cstheme="minorHAnsi"/>
                <w:b/>
                <w:bCs/>
                <w:i/>
              </w:rPr>
            </w:pPr>
            <w:r w:rsidRPr="00977D1E">
              <w:rPr>
                <w:rFonts w:cstheme="minorHAnsi"/>
                <w:b/>
                <w:bCs/>
              </w:rPr>
              <w:t>Destructive and potentially life-threatening use of fire</w:t>
            </w:r>
          </w:p>
        </w:tc>
      </w:tr>
      <w:tr w:rsidR="004647C5" w:rsidTr="002C2F98">
        <w:tc>
          <w:tcPr>
            <w:tcW w:w="9918" w:type="dxa"/>
          </w:tcPr>
          <w:p w:rsidR="004647C5" w:rsidRPr="00E328CD" w:rsidRDefault="004647C5" w:rsidP="002C2F98">
            <w:pPr>
              <w:ind w:left="360"/>
              <w:rPr>
                <w:rFonts w:cstheme="minorHAnsi"/>
                <w:i/>
              </w:rPr>
            </w:pPr>
            <w:r w:rsidRPr="00E328CD">
              <w:rPr>
                <w:rFonts w:cstheme="minorHAnsi"/>
                <w:i/>
              </w:rPr>
              <w:t>NB: It is not necessary that the referred young person should be facing criminal charges for these risk behaviours, but it is necessary that there should be reliable accounts of such behaviour)</w:t>
            </w:r>
          </w:p>
        </w:tc>
      </w:tr>
      <w:tr w:rsidR="004647C5" w:rsidTr="002C2F98">
        <w:tc>
          <w:tcPr>
            <w:tcW w:w="9918" w:type="dxa"/>
          </w:tcPr>
          <w:p w:rsidR="004647C5" w:rsidRPr="00E328CD" w:rsidRDefault="004647C5" w:rsidP="002C2F98">
            <w:pPr>
              <w:ind w:left="2880"/>
              <w:rPr>
                <w:rFonts w:cstheme="minorHAnsi"/>
                <w:i/>
              </w:rPr>
            </w:pPr>
            <w:r w:rsidRPr="00E328CD">
              <w:rPr>
                <w:rFonts w:cstheme="minorHAnsi"/>
                <w:i/>
              </w:rPr>
              <w:t>OR</w:t>
            </w:r>
          </w:p>
        </w:tc>
      </w:tr>
      <w:tr w:rsidR="004647C5" w:rsidRPr="00977D1E" w:rsidTr="002C2F98">
        <w:tc>
          <w:tcPr>
            <w:tcW w:w="9918" w:type="dxa"/>
          </w:tcPr>
          <w:p w:rsidR="004647C5" w:rsidRPr="00977D1E" w:rsidRDefault="004647C5" w:rsidP="002C2F98">
            <w:pPr>
              <w:rPr>
                <w:rFonts w:cstheme="minorHAnsi"/>
                <w:b/>
                <w:bCs/>
                <w:iCs/>
                <w:sz w:val="24"/>
                <w:szCs w:val="24"/>
              </w:rPr>
            </w:pPr>
            <w:r w:rsidRPr="00977D1E">
              <w:rPr>
                <w:rFonts w:cstheme="minorHAnsi"/>
                <w:b/>
                <w:bCs/>
                <w:iCs/>
                <w:sz w:val="24"/>
                <w:szCs w:val="24"/>
              </w:rPr>
              <w:t>The young person is in custodial care and presents a serious risk of suicide and/or severe self-harm</w:t>
            </w:r>
          </w:p>
        </w:tc>
      </w:tr>
      <w:tr w:rsidR="004647C5" w:rsidTr="002C2F98">
        <w:tc>
          <w:tcPr>
            <w:tcW w:w="9918" w:type="dxa"/>
          </w:tcPr>
          <w:p w:rsidR="004647C5" w:rsidRPr="00E328CD" w:rsidRDefault="004647C5" w:rsidP="002C2F98">
            <w:pPr>
              <w:ind w:left="2880"/>
              <w:rPr>
                <w:rFonts w:cstheme="minorHAnsi"/>
                <w:i/>
              </w:rPr>
            </w:pPr>
            <w:r w:rsidRPr="00E328CD">
              <w:rPr>
                <w:rFonts w:cstheme="minorHAnsi"/>
                <w:i/>
              </w:rPr>
              <w:t>AND</w:t>
            </w:r>
          </w:p>
        </w:tc>
      </w:tr>
      <w:tr w:rsidR="004647C5" w:rsidRPr="00977D1E" w:rsidTr="002C2F98">
        <w:tc>
          <w:tcPr>
            <w:tcW w:w="9918" w:type="dxa"/>
            <w:tcBorders>
              <w:bottom w:val="single" w:sz="12" w:space="0" w:color="auto"/>
            </w:tcBorders>
          </w:tcPr>
          <w:p w:rsidR="004647C5" w:rsidRPr="00977D1E" w:rsidRDefault="004647C5" w:rsidP="002C2F98">
            <w:pPr>
              <w:rPr>
                <w:rFonts w:cstheme="minorHAnsi"/>
                <w:b/>
                <w:bCs/>
                <w:iCs/>
                <w:sz w:val="24"/>
                <w:szCs w:val="24"/>
              </w:rPr>
            </w:pPr>
            <w:r w:rsidRPr="00977D1E">
              <w:rPr>
                <w:rFonts w:cstheme="minorHAnsi"/>
                <w:b/>
                <w:bCs/>
                <w:iCs/>
                <w:sz w:val="24"/>
                <w:szCs w:val="24"/>
              </w:rPr>
              <w:t>There is clear evidence prior to referral that serious consideration (and testing where appropriate) of less secure provision will exceed the ability of available mental health services to meet the needs of the young person.</w:t>
            </w:r>
          </w:p>
        </w:tc>
      </w:tr>
      <w:tr w:rsidR="004647C5" w:rsidTr="002C2F98">
        <w:trPr>
          <w:trHeight w:val="361"/>
        </w:trPr>
        <w:tc>
          <w:tcPr>
            <w:tcW w:w="9918" w:type="dxa"/>
            <w:tcBorders>
              <w:top w:val="single" w:sz="12" w:space="0" w:color="auto"/>
            </w:tcBorders>
          </w:tcPr>
          <w:p w:rsidR="004647C5" w:rsidRPr="00E328CD" w:rsidRDefault="004647C5" w:rsidP="002C2F98">
            <w:pPr>
              <w:spacing w:before="60"/>
              <w:rPr>
                <w:rFonts w:cstheme="minorHAnsi"/>
                <w:iCs/>
                <w:sz w:val="20"/>
                <w:szCs w:val="20"/>
              </w:rPr>
            </w:pPr>
            <w:r w:rsidRPr="00E328CD">
              <w:rPr>
                <w:rFonts w:cstheme="minorHAnsi"/>
                <w:iCs/>
                <w:sz w:val="20"/>
                <w:szCs w:val="20"/>
              </w:rPr>
              <w:t>Obtained from Hoare, T. and Wilson, J (2010) Directory of services for high risk young people.</w:t>
            </w:r>
          </w:p>
        </w:tc>
      </w:tr>
    </w:tbl>
    <w:p w:rsidR="002F121E" w:rsidRDefault="002F121E">
      <w:bookmarkStart w:id="1" w:name="_GoBack"/>
      <w:bookmarkEnd w:id="0"/>
      <w:bookmarkEnd w:id="1"/>
    </w:p>
    <w:sectPr w:rsidR="002F1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269BC"/>
    <w:multiLevelType w:val="hybridMultilevel"/>
    <w:tmpl w:val="50F0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C5"/>
    <w:rsid w:val="002F121E"/>
    <w:rsid w:val="00464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58F1F-7FBB-49FF-9042-ADE06D39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 London NHS Trust</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Sinthujah Balasubramaniam</dc:creator>
  <cp:keywords/>
  <dc:description/>
  <cp:lastModifiedBy>Sinthujah Balasubramaniam</cp:lastModifiedBy>
  <cp:revision>1</cp:revision>
  <dcterms:created xsi:type="dcterms:W3CDTF">2023-02-22T22:48:00Z</dcterms:created>
  <dcterms:modified xsi:type="dcterms:W3CDTF">2023-02-22T22:48:00Z</dcterms:modified>
</cp:coreProperties>
</file>