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C69B" w14:textId="77777777" w:rsidR="00E617FC" w:rsidRPr="003C3FD4" w:rsidRDefault="00E617FC" w:rsidP="00E617FC">
      <w:pPr>
        <w:spacing w:after="120" w:line="480" w:lineRule="auto"/>
        <w:rPr>
          <w:rFonts w:ascii="Calibri" w:hAnsi="Calibri" w:cs="Calibri"/>
          <w:b/>
        </w:rPr>
      </w:pPr>
      <w:r w:rsidRPr="003C3FD4">
        <w:rPr>
          <w:rFonts w:ascii="Calibri" w:hAnsi="Calibri" w:cs="Calibri"/>
          <w:b/>
        </w:rPr>
        <w:t xml:space="preserve">Management of subcutaneous abscesses: Prospective cross-sectional study (MAGIC) </w:t>
      </w:r>
    </w:p>
    <w:p w14:paraId="0FF20A2B" w14:textId="77777777" w:rsidR="00E617FC" w:rsidRPr="003C3FD4" w:rsidRDefault="00E617FC" w:rsidP="00E617FC">
      <w:pPr>
        <w:spacing w:after="120" w:line="480" w:lineRule="auto"/>
        <w:rPr>
          <w:rFonts w:ascii="Calibri" w:hAnsi="Calibri" w:cs="Calibri"/>
        </w:rPr>
      </w:pPr>
      <w:r w:rsidRPr="003C3FD4">
        <w:rPr>
          <w:rFonts w:ascii="Calibri" w:hAnsi="Calibri" w:cs="Calibri"/>
        </w:rPr>
        <w:t>White Rose Surgical Collaborative and MAGIC Collaborators*</w:t>
      </w:r>
      <w:r w:rsidRPr="003C3FD4">
        <w:rPr>
          <w:rFonts w:ascii="Calibri" w:hAnsi="Calibri" w:cs="Calibri"/>
        </w:rPr>
        <w:br/>
      </w:r>
      <w:r w:rsidRPr="003C3FD4">
        <w:rPr>
          <w:rFonts w:ascii="Calibri" w:hAnsi="Calibri" w:cs="Calibri"/>
          <w:i/>
        </w:rPr>
        <w:t xml:space="preserve">*Collaborating members are shown at the end of the manuscript. </w:t>
      </w:r>
    </w:p>
    <w:p w14:paraId="537CCFA3" w14:textId="77777777" w:rsidR="00E617FC" w:rsidRPr="003C3FD4" w:rsidRDefault="00E617FC" w:rsidP="00E617FC">
      <w:pPr>
        <w:pStyle w:val="Normal1"/>
        <w:spacing w:line="48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6368D02" w14:textId="77777777" w:rsidR="00E617FC" w:rsidRPr="003C3FD4" w:rsidRDefault="00E617FC" w:rsidP="00E617FC">
      <w:pPr>
        <w:pStyle w:val="Normal1"/>
        <w:spacing w:line="48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25CC7C0A" w14:textId="77777777" w:rsidR="00E617FC" w:rsidRPr="003C3FD4" w:rsidRDefault="00E617FC" w:rsidP="00E617FC">
      <w:pPr>
        <w:pStyle w:val="Normal1"/>
        <w:spacing w:line="48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3C3FD4">
        <w:rPr>
          <w:rFonts w:ascii="Calibri" w:hAnsi="Calibri" w:cs="Calibri"/>
          <w:b/>
          <w:color w:val="auto"/>
          <w:sz w:val="22"/>
          <w:szCs w:val="22"/>
        </w:rPr>
        <w:t xml:space="preserve">Correspondence on behalf of the White Rose Surgical Collaborative: </w:t>
      </w:r>
    </w:p>
    <w:p w14:paraId="30BF5E48" w14:textId="77777777" w:rsidR="00E617FC" w:rsidRPr="003C3FD4" w:rsidRDefault="00E617FC" w:rsidP="00E617FC">
      <w:pPr>
        <w:pStyle w:val="Normal1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C3FD4">
        <w:rPr>
          <w:rFonts w:ascii="Calibri" w:hAnsi="Calibri" w:cs="Calibri"/>
          <w:color w:val="auto"/>
          <w:sz w:val="22"/>
          <w:szCs w:val="22"/>
        </w:rPr>
        <w:t>Stephen J Chapman, Room 7.16 Clinical Sciences Building, St. James’s University Hospital, University of Leeds, LS2 9JT, United Kingdom</w:t>
      </w:r>
    </w:p>
    <w:p w14:paraId="3890B10C" w14:textId="77777777" w:rsidR="00E617FC" w:rsidRPr="003C3FD4" w:rsidRDefault="00E617FC" w:rsidP="00E617FC">
      <w:pPr>
        <w:pStyle w:val="Normal1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C3FD4">
        <w:rPr>
          <w:rFonts w:ascii="Calibri" w:hAnsi="Calibri" w:cs="Calibri"/>
          <w:sz w:val="22"/>
          <w:szCs w:val="22"/>
        </w:rPr>
        <w:t xml:space="preserve">Correspondence: </w:t>
      </w:r>
      <w:hyperlink r:id="rId6" w:history="1">
        <w:r w:rsidRPr="003C3FD4">
          <w:rPr>
            <w:rStyle w:val="Hyperlink"/>
            <w:rFonts w:ascii="Calibri" w:eastAsiaTheme="majorEastAsia" w:hAnsi="Calibri" w:cs="Calibri"/>
            <w:sz w:val="22"/>
            <w:szCs w:val="22"/>
          </w:rPr>
          <w:t>s.chapman@leeds.ac.uk</w:t>
        </w:r>
      </w:hyperlink>
      <w:r w:rsidRPr="003C3FD4">
        <w:rPr>
          <w:rFonts w:ascii="Calibri" w:hAnsi="Calibri" w:cs="Calibri"/>
          <w:sz w:val="22"/>
          <w:szCs w:val="22"/>
        </w:rPr>
        <w:t xml:space="preserve"> @SJ_Chapman</w:t>
      </w:r>
    </w:p>
    <w:p w14:paraId="21E4D860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634DAB7F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35B9120F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17F6AB02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6D0B323B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6192FEB6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5F4280EE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15590B1F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140C63E1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3A606A62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1FDDFB8F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22085B24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359D44C7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6D6451D1" w14:textId="77777777" w:rsidR="00E617FC" w:rsidRDefault="00E617FC" w:rsidP="00E617FC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3CA3C2BA" w14:textId="77777777" w:rsidR="00E617FC" w:rsidRPr="00E617FC" w:rsidRDefault="00E617FC" w:rsidP="00E617FC">
      <w:pPr>
        <w:spacing w:line="360" w:lineRule="auto"/>
        <w:jc w:val="both"/>
        <w:rPr>
          <w:rFonts w:ascii="Calibri" w:hAnsi="Calibri" w:cs="Calibri"/>
          <w:b/>
          <w:bCs/>
          <w:lang w:val="en-US"/>
        </w:rPr>
      </w:pPr>
    </w:p>
    <w:p w14:paraId="71722086" w14:textId="77777777" w:rsidR="00E617FC" w:rsidRPr="00E617FC" w:rsidRDefault="00E617FC" w:rsidP="00E617FC">
      <w:pPr>
        <w:spacing w:line="360" w:lineRule="auto"/>
        <w:jc w:val="both"/>
        <w:rPr>
          <w:rFonts w:ascii="Calibri" w:hAnsi="Calibri" w:cs="Calibri"/>
          <w:b/>
          <w:bCs/>
          <w:lang w:val="en-US"/>
        </w:rPr>
      </w:pPr>
    </w:p>
    <w:p w14:paraId="083D9367" w14:textId="77777777" w:rsidR="00E617FC" w:rsidRPr="00E617FC" w:rsidRDefault="00E617FC" w:rsidP="00E617FC">
      <w:pPr>
        <w:spacing w:line="276" w:lineRule="auto"/>
        <w:jc w:val="both"/>
        <w:rPr>
          <w:rFonts w:ascii="Calibri" w:hAnsi="Calibri" w:cs="Calibri"/>
          <w:b/>
          <w:bCs/>
          <w:lang w:val="en-US"/>
        </w:rPr>
      </w:pPr>
      <w:r w:rsidRPr="00E617FC">
        <w:rPr>
          <w:rFonts w:ascii="Calibri" w:hAnsi="Calibri" w:cs="Calibri"/>
          <w:b/>
          <w:bCs/>
          <w:lang w:val="en-US"/>
        </w:rPr>
        <w:lastRenderedPageBreak/>
        <w:t>Supplementary Materials - Index</w:t>
      </w:r>
    </w:p>
    <w:p w14:paraId="3D4C7C68" w14:textId="77777777" w:rsidR="00E617FC" w:rsidRPr="00E617FC" w:rsidRDefault="00E617FC" w:rsidP="00E617FC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3A4D7F24" w14:textId="77777777" w:rsidR="00E617FC" w:rsidRPr="00E617FC" w:rsidRDefault="00E617FC" w:rsidP="00E617FC">
      <w:pPr>
        <w:spacing w:line="276" w:lineRule="auto"/>
        <w:jc w:val="both"/>
        <w:rPr>
          <w:rFonts w:ascii="Calibri" w:hAnsi="Calibri" w:cs="Calibri"/>
          <w:lang w:val="en-US"/>
        </w:rPr>
      </w:pPr>
    </w:p>
    <w:tbl>
      <w:tblPr>
        <w:tblStyle w:val="TableGrid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484"/>
      </w:tblGrid>
      <w:tr w:rsidR="00E617FC" w:rsidRPr="00E617FC" w14:paraId="7554973C" w14:textId="77777777" w:rsidTr="00E617FC">
        <w:tc>
          <w:tcPr>
            <w:tcW w:w="4820" w:type="dxa"/>
          </w:tcPr>
          <w:p w14:paraId="4A136E5B" w14:textId="77777777" w:rsidR="00E617FC" w:rsidRPr="00E617FC" w:rsidRDefault="00E617FC" w:rsidP="0064164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 w:rsidRPr="00E617FC">
              <w:rPr>
                <w:rFonts w:ascii="Calibri" w:hAnsi="Calibri" w:cs="Calibri"/>
                <w:b/>
                <w:bCs/>
                <w:lang w:val="en-US"/>
              </w:rPr>
              <w:t>Supplementary Methods</w:t>
            </w:r>
          </w:p>
        </w:tc>
        <w:tc>
          <w:tcPr>
            <w:tcW w:w="4484" w:type="dxa"/>
          </w:tcPr>
          <w:p w14:paraId="667D7093" w14:textId="77777777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</w:p>
        </w:tc>
      </w:tr>
      <w:tr w:rsidR="00E617FC" w:rsidRPr="00E617FC" w14:paraId="19D221D6" w14:textId="77777777" w:rsidTr="00E617FC">
        <w:tc>
          <w:tcPr>
            <w:tcW w:w="4820" w:type="dxa"/>
          </w:tcPr>
          <w:p w14:paraId="493ABED9" w14:textId="77777777" w:rsidR="00E617FC" w:rsidRPr="00E617FC" w:rsidRDefault="00E617FC" w:rsidP="0064164F">
            <w:pPr>
              <w:spacing w:line="360" w:lineRule="auto"/>
              <w:ind w:left="182"/>
              <w:jc w:val="both"/>
              <w:rPr>
                <w:rFonts w:ascii="Calibri" w:hAnsi="Calibri" w:cs="Calibri"/>
                <w:lang w:val="en-US"/>
              </w:rPr>
            </w:pPr>
            <w:r w:rsidRPr="00E617FC">
              <w:rPr>
                <w:rFonts w:ascii="Calibri" w:hAnsi="Calibri" w:cs="Calibri"/>
                <w:lang w:val="en-US"/>
              </w:rPr>
              <w:t>Assessment of between-unit variation</w:t>
            </w:r>
          </w:p>
          <w:p w14:paraId="6DB873CE" w14:textId="77777777" w:rsidR="00E617FC" w:rsidRPr="00E617FC" w:rsidRDefault="00E617FC" w:rsidP="0064164F">
            <w:pPr>
              <w:spacing w:line="360" w:lineRule="auto"/>
              <w:ind w:left="182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84" w:type="dxa"/>
          </w:tcPr>
          <w:p w14:paraId="583F9208" w14:textId="06586BC4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E617FC">
              <w:rPr>
                <w:rFonts w:ascii="Calibri" w:hAnsi="Calibri" w:cs="Calibri"/>
                <w:i/>
                <w:iCs/>
                <w:lang w:val="en-US"/>
              </w:rPr>
              <w:t>pag</w:t>
            </w:r>
            <w:proofErr w:type="spellEnd"/>
            <w:r w:rsidRPr="00E617FC">
              <w:rPr>
                <w:rFonts w:ascii="Calibri" w:hAnsi="Calibri" w:cs="Calibri"/>
                <w:i/>
                <w:iCs/>
                <w:lang w:val="en-US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lang w:val="en-US"/>
              </w:rPr>
              <w:t>3</w:t>
            </w:r>
          </w:p>
        </w:tc>
      </w:tr>
      <w:tr w:rsidR="00E617FC" w:rsidRPr="00E617FC" w14:paraId="14984358" w14:textId="77777777" w:rsidTr="00E617FC">
        <w:tc>
          <w:tcPr>
            <w:tcW w:w="4820" w:type="dxa"/>
          </w:tcPr>
          <w:p w14:paraId="2D68DBEB" w14:textId="77777777" w:rsidR="00E617FC" w:rsidRPr="00E617FC" w:rsidRDefault="00E617FC" w:rsidP="0064164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 w:rsidRPr="00E617FC">
              <w:rPr>
                <w:rFonts w:ascii="Calibri" w:hAnsi="Calibri" w:cs="Calibri"/>
                <w:b/>
                <w:bCs/>
                <w:lang w:val="en-US"/>
              </w:rPr>
              <w:t>Supplementary Results</w:t>
            </w:r>
          </w:p>
        </w:tc>
        <w:tc>
          <w:tcPr>
            <w:tcW w:w="4484" w:type="dxa"/>
          </w:tcPr>
          <w:p w14:paraId="2AC9A3A9" w14:textId="77777777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</w:p>
        </w:tc>
      </w:tr>
      <w:tr w:rsidR="00E617FC" w:rsidRPr="00E617FC" w14:paraId="110C87C3" w14:textId="77777777" w:rsidTr="00E617FC">
        <w:tc>
          <w:tcPr>
            <w:tcW w:w="4820" w:type="dxa"/>
          </w:tcPr>
          <w:p w14:paraId="305C3C3E" w14:textId="77777777" w:rsidR="00E617FC" w:rsidRPr="00E617FC" w:rsidRDefault="00E617FC" w:rsidP="0064164F">
            <w:pPr>
              <w:spacing w:line="360" w:lineRule="auto"/>
              <w:ind w:left="182"/>
              <w:jc w:val="both"/>
              <w:rPr>
                <w:rFonts w:ascii="Calibri" w:hAnsi="Calibri" w:cs="Calibri"/>
                <w:lang w:val="en-US"/>
              </w:rPr>
            </w:pPr>
            <w:r w:rsidRPr="00E617FC">
              <w:rPr>
                <w:rFonts w:ascii="Calibri" w:hAnsi="Calibri" w:cs="Calibri"/>
                <w:lang w:val="en-US"/>
              </w:rPr>
              <w:t>Choice of anaesthetic type</w:t>
            </w:r>
          </w:p>
        </w:tc>
        <w:tc>
          <w:tcPr>
            <w:tcW w:w="4484" w:type="dxa"/>
          </w:tcPr>
          <w:p w14:paraId="5D7FF5FB" w14:textId="1829D706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E617FC">
              <w:rPr>
                <w:rFonts w:ascii="Calibri" w:hAnsi="Calibri" w:cs="Calibri"/>
                <w:i/>
                <w:iCs/>
                <w:lang w:val="en-US"/>
              </w:rPr>
              <w:t>pag</w:t>
            </w:r>
            <w:proofErr w:type="spellEnd"/>
            <w:r w:rsidRPr="00E617FC">
              <w:rPr>
                <w:rFonts w:ascii="Calibri" w:hAnsi="Calibri" w:cs="Calibri"/>
                <w:i/>
                <w:iCs/>
                <w:lang w:val="en-US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lang w:val="en-US"/>
              </w:rPr>
              <w:t>4</w:t>
            </w:r>
          </w:p>
        </w:tc>
      </w:tr>
      <w:tr w:rsidR="00E617FC" w:rsidRPr="00E617FC" w14:paraId="4C025CE9" w14:textId="77777777" w:rsidTr="00E617FC">
        <w:tc>
          <w:tcPr>
            <w:tcW w:w="4820" w:type="dxa"/>
          </w:tcPr>
          <w:p w14:paraId="28C0F4B2" w14:textId="77777777" w:rsidR="00E617FC" w:rsidRPr="00E617FC" w:rsidRDefault="00E617FC" w:rsidP="0064164F">
            <w:pPr>
              <w:spacing w:line="360" w:lineRule="auto"/>
              <w:ind w:left="182"/>
              <w:jc w:val="both"/>
              <w:rPr>
                <w:rFonts w:ascii="Calibri" w:hAnsi="Calibri" w:cs="Calibri"/>
                <w:lang w:val="en-US"/>
              </w:rPr>
            </w:pPr>
            <w:r w:rsidRPr="00E617FC">
              <w:rPr>
                <w:rFonts w:ascii="Calibri" w:hAnsi="Calibri" w:cs="Calibri"/>
                <w:lang w:val="en-US"/>
              </w:rPr>
              <w:t>Post-operative antibiotics prescribing</w:t>
            </w:r>
          </w:p>
          <w:p w14:paraId="52BC0E4C" w14:textId="44240DC6" w:rsidR="00E617FC" w:rsidRPr="00E617FC" w:rsidRDefault="00E617FC" w:rsidP="00E617FC">
            <w:pPr>
              <w:spacing w:line="360" w:lineRule="auto"/>
              <w:ind w:left="18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Abscess packing</w:t>
            </w:r>
          </w:p>
        </w:tc>
        <w:tc>
          <w:tcPr>
            <w:tcW w:w="4484" w:type="dxa"/>
          </w:tcPr>
          <w:p w14:paraId="1830F509" w14:textId="77777777" w:rsid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E617FC">
              <w:rPr>
                <w:rFonts w:ascii="Calibri" w:hAnsi="Calibri" w:cs="Calibri"/>
                <w:i/>
                <w:iCs/>
                <w:lang w:val="en-US"/>
              </w:rPr>
              <w:t>pag</w:t>
            </w:r>
            <w:proofErr w:type="spellEnd"/>
            <w:r w:rsidRPr="00E617FC">
              <w:rPr>
                <w:rFonts w:ascii="Calibri" w:hAnsi="Calibri" w:cs="Calibri"/>
                <w:i/>
                <w:iCs/>
                <w:lang w:val="en-US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lang w:val="en-US"/>
              </w:rPr>
              <w:t>4</w:t>
            </w:r>
          </w:p>
          <w:p w14:paraId="137D6117" w14:textId="6F3798F6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US"/>
              </w:rPr>
              <w:t>pag</w:t>
            </w:r>
            <w:proofErr w:type="spellEnd"/>
            <w:r>
              <w:rPr>
                <w:rFonts w:ascii="Calibri" w:hAnsi="Calibri" w:cs="Calibri"/>
                <w:i/>
                <w:iCs/>
                <w:lang w:val="en-US"/>
              </w:rPr>
              <w:t>. 4</w:t>
            </w:r>
          </w:p>
        </w:tc>
      </w:tr>
      <w:tr w:rsidR="00E617FC" w:rsidRPr="00E617FC" w14:paraId="772254CF" w14:textId="77777777" w:rsidTr="00E617FC">
        <w:tc>
          <w:tcPr>
            <w:tcW w:w="4820" w:type="dxa"/>
          </w:tcPr>
          <w:p w14:paraId="6E3C1FCA" w14:textId="77777777" w:rsidR="00E617FC" w:rsidRPr="00E617FC" w:rsidRDefault="00E617FC" w:rsidP="0064164F">
            <w:pPr>
              <w:spacing w:line="360" w:lineRule="auto"/>
              <w:ind w:left="182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84" w:type="dxa"/>
          </w:tcPr>
          <w:p w14:paraId="139C8837" w14:textId="77777777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</w:p>
        </w:tc>
      </w:tr>
      <w:tr w:rsidR="00E617FC" w:rsidRPr="00E617FC" w14:paraId="1C71D1BF" w14:textId="77777777" w:rsidTr="00E617FC">
        <w:tc>
          <w:tcPr>
            <w:tcW w:w="4820" w:type="dxa"/>
          </w:tcPr>
          <w:p w14:paraId="11B34145" w14:textId="77777777" w:rsidR="00E617FC" w:rsidRPr="00E617FC" w:rsidRDefault="00E617FC" w:rsidP="0064164F">
            <w:pPr>
              <w:rPr>
                <w:rFonts w:ascii="Calibri" w:hAnsi="Calibri" w:cs="Calibri"/>
                <w:b/>
                <w:lang w:val="en-US"/>
              </w:rPr>
            </w:pPr>
            <w:r w:rsidRPr="00E617FC">
              <w:rPr>
                <w:rFonts w:ascii="Calibri" w:hAnsi="Calibri" w:cs="Calibri"/>
                <w:b/>
                <w:bCs/>
                <w:lang w:val="en-US"/>
              </w:rPr>
              <w:t>Supplementary Figures and Tables</w:t>
            </w:r>
          </w:p>
        </w:tc>
        <w:tc>
          <w:tcPr>
            <w:tcW w:w="4484" w:type="dxa"/>
          </w:tcPr>
          <w:p w14:paraId="24DBB9C0" w14:textId="77777777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</w:p>
        </w:tc>
      </w:tr>
      <w:tr w:rsidR="00E617FC" w:rsidRPr="00E617FC" w14:paraId="219D72D9" w14:textId="77777777" w:rsidTr="00E617FC">
        <w:tc>
          <w:tcPr>
            <w:tcW w:w="4820" w:type="dxa"/>
          </w:tcPr>
          <w:p w14:paraId="55883B71" w14:textId="77777777" w:rsidR="00E617FC" w:rsidRPr="00E617FC" w:rsidRDefault="00E617FC" w:rsidP="0064164F">
            <w:pPr>
              <w:spacing w:line="360" w:lineRule="auto"/>
              <w:ind w:left="182"/>
              <w:jc w:val="both"/>
              <w:rPr>
                <w:rFonts w:ascii="Calibri" w:hAnsi="Calibri" w:cs="Calibri"/>
                <w:lang w:val="en-US"/>
              </w:rPr>
            </w:pPr>
            <w:r w:rsidRPr="00E617FC">
              <w:rPr>
                <w:rFonts w:ascii="Calibri" w:hAnsi="Calibri" w:cs="Calibri"/>
                <w:lang w:val="en-US"/>
              </w:rPr>
              <w:t>Table S1 – Data collection periods</w:t>
            </w:r>
          </w:p>
        </w:tc>
        <w:tc>
          <w:tcPr>
            <w:tcW w:w="4484" w:type="dxa"/>
          </w:tcPr>
          <w:p w14:paraId="665D3A96" w14:textId="754B63AE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E617FC">
              <w:rPr>
                <w:rFonts w:ascii="Calibri" w:hAnsi="Calibri" w:cs="Calibri"/>
                <w:i/>
                <w:iCs/>
                <w:lang w:val="en-US"/>
              </w:rPr>
              <w:t>pag</w:t>
            </w:r>
            <w:proofErr w:type="spellEnd"/>
            <w:r w:rsidRPr="00E617FC">
              <w:rPr>
                <w:rFonts w:ascii="Calibri" w:hAnsi="Calibri" w:cs="Calibri"/>
                <w:i/>
                <w:iCs/>
                <w:lang w:val="en-US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lang w:val="en-US"/>
              </w:rPr>
              <w:t>5</w:t>
            </w:r>
          </w:p>
        </w:tc>
      </w:tr>
      <w:tr w:rsidR="00E617FC" w:rsidRPr="00E617FC" w14:paraId="7109F51F" w14:textId="77777777" w:rsidTr="00E617FC">
        <w:tc>
          <w:tcPr>
            <w:tcW w:w="4820" w:type="dxa"/>
          </w:tcPr>
          <w:p w14:paraId="304BA6F4" w14:textId="77777777" w:rsidR="00E617FC" w:rsidRPr="00E617FC" w:rsidRDefault="00E617FC" w:rsidP="0064164F">
            <w:pPr>
              <w:spacing w:line="360" w:lineRule="auto"/>
              <w:ind w:left="182" w:right="-200"/>
              <w:jc w:val="both"/>
              <w:rPr>
                <w:rFonts w:ascii="Calibri" w:hAnsi="Calibri" w:cs="Calibri"/>
                <w:lang w:val="en-US"/>
              </w:rPr>
            </w:pPr>
            <w:r w:rsidRPr="00E617FC">
              <w:rPr>
                <w:rFonts w:ascii="Calibri" w:hAnsi="Calibri" w:cs="Calibri"/>
                <w:lang w:val="en-US"/>
              </w:rPr>
              <w:t>Table S2 – Models exploring centre-level variation</w:t>
            </w:r>
          </w:p>
        </w:tc>
        <w:tc>
          <w:tcPr>
            <w:tcW w:w="4484" w:type="dxa"/>
          </w:tcPr>
          <w:p w14:paraId="6150BA5A" w14:textId="60856BFB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E617FC">
              <w:rPr>
                <w:rFonts w:ascii="Calibri" w:hAnsi="Calibri" w:cs="Calibri"/>
                <w:i/>
                <w:iCs/>
                <w:lang w:val="en-US"/>
              </w:rPr>
              <w:t>pag</w:t>
            </w:r>
            <w:proofErr w:type="spellEnd"/>
            <w:r w:rsidRPr="00E617FC">
              <w:rPr>
                <w:rFonts w:ascii="Calibri" w:hAnsi="Calibri" w:cs="Calibri"/>
                <w:i/>
                <w:iCs/>
                <w:lang w:val="en-US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lang w:val="en-US"/>
              </w:rPr>
              <w:t>6</w:t>
            </w:r>
          </w:p>
        </w:tc>
      </w:tr>
      <w:tr w:rsidR="00E617FC" w:rsidRPr="00E617FC" w14:paraId="08097058" w14:textId="77777777" w:rsidTr="00E617FC">
        <w:tc>
          <w:tcPr>
            <w:tcW w:w="4820" w:type="dxa"/>
          </w:tcPr>
          <w:p w14:paraId="260D8BB7" w14:textId="77777777" w:rsidR="00E617FC" w:rsidRPr="00E617FC" w:rsidRDefault="00E617FC" w:rsidP="0064164F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84" w:type="dxa"/>
          </w:tcPr>
          <w:p w14:paraId="70B5C312" w14:textId="77777777" w:rsidR="00E617FC" w:rsidRPr="00E617FC" w:rsidRDefault="00E617FC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</w:p>
        </w:tc>
      </w:tr>
      <w:tr w:rsidR="0049257D" w:rsidRPr="00E617FC" w14:paraId="2A049DDD" w14:textId="77777777" w:rsidTr="00E617FC">
        <w:tc>
          <w:tcPr>
            <w:tcW w:w="4820" w:type="dxa"/>
          </w:tcPr>
          <w:p w14:paraId="4777D67A" w14:textId="77777777" w:rsidR="0049257D" w:rsidRDefault="0049257D" w:rsidP="0064164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Supplementary Appendix </w:t>
            </w:r>
          </w:p>
          <w:p w14:paraId="71F72A01" w14:textId="24576CF9" w:rsidR="0049257D" w:rsidRPr="0049257D" w:rsidRDefault="0049257D" w:rsidP="0049257D">
            <w:pPr>
              <w:spacing w:line="360" w:lineRule="auto"/>
              <w:ind w:left="17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Appendix S1 – Collaborative Authorship</w:t>
            </w:r>
          </w:p>
        </w:tc>
        <w:tc>
          <w:tcPr>
            <w:tcW w:w="4484" w:type="dxa"/>
          </w:tcPr>
          <w:p w14:paraId="12D9A6B8" w14:textId="77777777" w:rsidR="0049257D" w:rsidRDefault="0049257D" w:rsidP="0064164F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</w:p>
          <w:p w14:paraId="32135084" w14:textId="7B2A37BE" w:rsidR="0049257D" w:rsidRPr="00E617FC" w:rsidRDefault="0049257D" w:rsidP="0049257D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 xml:space="preserve">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i/>
                <w:iCs/>
                <w:lang w:val="en-US"/>
              </w:rPr>
              <w:t>pag</w:t>
            </w:r>
            <w:proofErr w:type="spellEnd"/>
            <w:r>
              <w:rPr>
                <w:rFonts w:ascii="Calibri" w:hAnsi="Calibri" w:cs="Calibri"/>
                <w:i/>
                <w:iCs/>
                <w:lang w:val="en-US"/>
              </w:rPr>
              <w:t>. 7</w:t>
            </w:r>
          </w:p>
        </w:tc>
      </w:tr>
    </w:tbl>
    <w:p w14:paraId="07901538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65CA027C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2FBAFED7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3462311B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1D33C285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2FC90C6B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24D75E91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260AC3F1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09481A10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3FB6DBDA" w14:textId="323A7465" w:rsidR="00AB76AB" w:rsidRPr="00AB76AB" w:rsidRDefault="00AB76AB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  <w:r w:rsidRPr="00AB76AB">
        <w:rPr>
          <w:rFonts w:ascii="Calibri" w:hAnsi="Calibri" w:cs="Calibri"/>
          <w:b/>
          <w:bCs/>
          <w:lang w:val="en-US"/>
        </w:rPr>
        <w:lastRenderedPageBreak/>
        <w:t>Supplementary Methods</w:t>
      </w:r>
    </w:p>
    <w:p w14:paraId="58C26302" w14:textId="77B6ED34" w:rsidR="003F73E3" w:rsidRPr="00AB76AB" w:rsidRDefault="00930EE7" w:rsidP="00AB76AB">
      <w:pPr>
        <w:spacing w:before="120" w:after="240" w:line="480" w:lineRule="auto"/>
        <w:rPr>
          <w:rFonts w:ascii="Calibri" w:hAnsi="Calibri" w:cs="Calibri"/>
          <w:i/>
          <w:iCs/>
          <w:lang w:val="en-US"/>
        </w:rPr>
      </w:pPr>
      <w:r w:rsidRPr="00AB76AB">
        <w:rPr>
          <w:rFonts w:ascii="Calibri" w:hAnsi="Calibri" w:cs="Calibri"/>
          <w:i/>
          <w:iCs/>
          <w:lang w:val="en-US"/>
        </w:rPr>
        <w:t>Assessment of between-unit variation</w:t>
      </w:r>
    </w:p>
    <w:p w14:paraId="16CD4785" w14:textId="3995B323" w:rsidR="00930EE7" w:rsidRPr="00AB76AB" w:rsidRDefault="008447ED" w:rsidP="00AB76AB">
      <w:pPr>
        <w:spacing w:before="120" w:after="240" w:line="480" w:lineRule="auto"/>
        <w:rPr>
          <w:rFonts w:ascii="Calibri" w:hAnsi="Calibri" w:cs="Calibri"/>
          <w:lang w:val="en-US"/>
        </w:rPr>
      </w:pPr>
      <w:r w:rsidRPr="00AB76AB">
        <w:rPr>
          <w:rFonts w:ascii="Calibri" w:hAnsi="Calibri" w:cs="Calibri"/>
          <w:lang w:val="en-US"/>
        </w:rPr>
        <w:t xml:space="preserve">To assess variation in abscess management between </w:t>
      </w:r>
      <w:r w:rsidR="00AB76AB">
        <w:rPr>
          <w:rFonts w:ascii="Calibri" w:hAnsi="Calibri" w:cs="Calibri"/>
          <w:lang w:val="en-US"/>
        </w:rPr>
        <w:t>centres</w:t>
      </w:r>
      <w:r w:rsidRPr="00AB76AB">
        <w:rPr>
          <w:rFonts w:ascii="Calibri" w:hAnsi="Calibri" w:cs="Calibri"/>
          <w:lang w:val="en-US"/>
        </w:rPr>
        <w:t xml:space="preserve">, patient-level factors associated with post-operative antibiotic prescribing, </w:t>
      </w:r>
      <w:r w:rsidR="00AB76AB">
        <w:rPr>
          <w:rFonts w:ascii="Calibri" w:hAnsi="Calibri" w:cs="Calibri"/>
          <w:lang w:val="en-US"/>
        </w:rPr>
        <w:t>use of local anaesthetic,</w:t>
      </w:r>
      <w:r w:rsidRPr="00AB76AB">
        <w:rPr>
          <w:rFonts w:ascii="Calibri" w:hAnsi="Calibri" w:cs="Calibri"/>
          <w:lang w:val="en-US"/>
        </w:rPr>
        <w:t xml:space="preserve"> and abscess packing were identified using binary logistic regression models. All patient-level factors were considered for entry into multivariable models predicting antibiotic prescribing, anaesthetic type or </w:t>
      </w:r>
      <w:r w:rsidR="002D3F7B" w:rsidRPr="00AB76AB">
        <w:rPr>
          <w:rFonts w:ascii="Calibri" w:hAnsi="Calibri" w:cs="Calibri"/>
          <w:lang w:val="en-US"/>
        </w:rPr>
        <w:t xml:space="preserve">abscess packing. Variables were entered into multivariable models using a stepwise approach to variable selection. After generation of final multivariable models, multilevel models, including the treating centre as a random effect and the original multivariable model of patient-level factors were generated. Residual and </w:t>
      </w:r>
      <w:r w:rsidR="00AB76AB">
        <w:rPr>
          <w:rFonts w:ascii="Calibri" w:hAnsi="Calibri" w:cs="Calibri"/>
          <w:lang w:val="en-US"/>
        </w:rPr>
        <w:t>s</w:t>
      </w:r>
      <w:r w:rsidR="002D3F7B" w:rsidRPr="00AB76AB">
        <w:rPr>
          <w:rFonts w:ascii="Calibri" w:hAnsi="Calibri" w:cs="Calibri"/>
          <w:lang w:val="en-US"/>
        </w:rPr>
        <w:t>tandard deviations of the random effects were examined and likelihood ratio tests were performed to identify differences in the models at the centre level.</w:t>
      </w:r>
    </w:p>
    <w:p w14:paraId="6A600AE0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42D9FA6D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3B65F771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15FA9DE8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720840EA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79C92475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74222944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5E667E65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6B855B49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433EE652" w14:textId="77777777" w:rsidR="00E617FC" w:rsidRDefault="00E617FC" w:rsidP="00AB76AB">
      <w:pPr>
        <w:spacing w:before="120" w:after="240" w:line="480" w:lineRule="auto"/>
        <w:rPr>
          <w:rFonts w:ascii="Calibri" w:hAnsi="Calibri" w:cs="Calibri"/>
          <w:b/>
          <w:bCs/>
          <w:lang w:val="en-US"/>
        </w:rPr>
      </w:pPr>
    </w:p>
    <w:p w14:paraId="01E46EC2" w14:textId="760BF18F" w:rsidR="00AB76AB" w:rsidRPr="00AB76AB" w:rsidRDefault="00AB76AB" w:rsidP="00AB76AB">
      <w:pPr>
        <w:spacing w:before="120" w:after="240" w:line="480" w:lineRule="auto"/>
        <w:rPr>
          <w:rFonts w:ascii="Calibri" w:hAnsi="Calibri" w:cs="Calibri"/>
          <w:i/>
          <w:iCs/>
          <w:lang w:val="en-US"/>
        </w:rPr>
      </w:pPr>
      <w:r w:rsidRPr="00AB76AB">
        <w:rPr>
          <w:rFonts w:ascii="Calibri" w:hAnsi="Calibri" w:cs="Calibri"/>
          <w:b/>
          <w:bCs/>
          <w:lang w:val="en-US"/>
        </w:rPr>
        <w:lastRenderedPageBreak/>
        <w:t>Supplementary Results</w:t>
      </w:r>
    </w:p>
    <w:p w14:paraId="13B234F9" w14:textId="3BF6B0AB" w:rsidR="002D3F7B" w:rsidRPr="00AB76AB" w:rsidRDefault="00F32E78" w:rsidP="00AB76AB">
      <w:pPr>
        <w:spacing w:before="120" w:after="240" w:line="480" w:lineRule="auto"/>
        <w:rPr>
          <w:rFonts w:ascii="Calibri" w:hAnsi="Calibri" w:cs="Calibri"/>
          <w:i/>
          <w:iCs/>
          <w:lang w:val="en-US"/>
        </w:rPr>
      </w:pPr>
      <w:r w:rsidRPr="00AB76AB">
        <w:rPr>
          <w:rFonts w:ascii="Calibri" w:hAnsi="Calibri" w:cs="Calibri"/>
          <w:i/>
          <w:iCs/>
          <w:lang w:val="en-US"/>
        </w:rPr>
        <w:t>Choice of anaesthetic type</w:t>
      </w:r>
    </w:p>
    <w:p w14:paraId="3CD48538" w14:textId="294330FC" w:rsidR="002D3F7B" w:rsidRPr="00AB76AB" w:rsidRDefault="00F32E78" w:rsidP="00AB76AB">
      <w:pPr>
        <w:spacing w:before="120" w:after="240" w:line="480" w:lineRule="auto"/>
        <w:rPr>
          <w:rFonts w:ascii="Calibri" w:hAnsi="Calibri" w:cs="Calibri"/>
          <w:lang w:val="en-US"/>
        </w:rPr>
      </w:pPr>
      <w:r w:rsidRPr="00AB76AB">
        <w:rPr>
          <w:rFonts w:ascii="Calibri" w:hAnsi="Calibri" w:cs="Calibri"/>
          <w:lang w:val="en-US"/>
        </w:rPr>
        <w:t>Patient sex, diagnosis of hidradenitis, immunosuppression, abscess position and diameter, timing of presentation</w:t>
      </w:r>
      <w:r w:rsidR="00AB76AB">
        <w:rPr>
          <w:rFonts w:ascii="Calibri" w:hAnsi="Calibri" w:cs="Calibri"/>
          <w:lang w:val="en-US"/>
        </w:rPr>
        <w:t>,</w:t>
      </w:r>
      <w:r w:rsidRPr="00AB76AB">
        <w:rPr>
          <w:rFonts w:ascii="Calibri" w:hAnsi="Calibri" w:cs="Calibri"/>
          <w:lang w:val="en-US"/>
        </w:rPr>
        <w:t xml:space="preserve"> and primary operator were associated with choice of anaesthetic type. On likelihood ratio testing, multilevel modelling including</w:t>
      </w:r>
      <w:r w:rsidR="00AB76AB">
        <w:rPr>
          <w:rFonts w:ascii="Calibri" w:hAnsi="Calibri" w:cs="Calibri"/>
          <w:lang w:val="en-US"/>
        </w:rPr>
        <w:t xml:space="preserve"> the</w:t>
      </w:r>
      <w:r w:rsidRPr="00AB76AB">
        <w:rPr>
          <w:rFonts w:ascii="Calibri" w:hAnsi="Calibri" w:cs="Calibri"/>
          <w:lang w:val="en-US"/>
        </w:rPr>
        <w:t xml:space="preserve"> treating hospital as the random effect in addition to patient-level variables</w:t>
      </w:r>
      <w:r w:rsidR="00AB76AB">
        <w:rPr>
          <w:rFonts w:ascii="Calibri" w:hAnsi="Calibri" w:cs="Calibri"/>
          <w:lang w:val="en-US"/>
        </w:rPr>
        <w:t>,</w:t>
      </w:r>
      <w:r w:rsidRPr="00AB76AB">
        <w:rPr>
          <w:rFonts w:ascii="Calibri" w:hAnsi="Calibri" w:cs="Calibri"/>
          <w:lang w:val="en-US"/>
        </w:rPr>
        <w:t xml:space="preserve"> was significantly different to the multivariable model p&lt;0.001 suggesting an effect of the centre on anaesthetic choice independent of case mix</w:t>
      </w:r>
      <w:r w:rsidR="0038743F" w:rsidRPr="00AB76AB">
        <w:rPr>
          <w:rFonts w:ascii="Calibri" w:hAnsi="Calibri" w:cs="Calibri"/>
          <w:lang w:val="en-US"/>
        </w:rPr>
        <w:t xml:space="preserve"> (</w:t>
      </w:r>
      <w:r w:rsidR="00AB76AB">
        <w:rPr>
          <w:rFonts w:ascii="Calibri" w:hAnsi="Calibri" w:cs="Calibri"/>
          <w:lang w:val="en-US"/>
        </w:rPr>
        <w:t>Table S2</w:t>
      </w:r>
      <w:r w:rsidR="0038743F" w:rsidRPr="00AB76AB">
        <w:rPr>
          <w:rFonts w:ascii="Calibri" w:hAnsi="Calibri" w:cs="Calibri"/>
          <w:lang w:val="en-US"/>
        </w:rPr>
        <w:t>)</w:t>
      </w:r>
    </w:p>
    <w:p w14:paraId="3567A5E1" w14:textId="2D1442F2" w:rsidR="00F32E78" w:rsidRPr="00AB76AB" w:rsidRDefault="00F32E78" w:rsidP="00AB76AB">
      <w:pPr>
        <w:spacing w:before="120" w:after="240" w:line="480" w:lineRule="auto"/>
        <w:rPr>
          <w:rFonts w:ascii="Calibri" w:hAnsi="Calibri" w:cs="Calibri"/>
          <w:i/>
          <w:iCs/>
          <w:lang w:val="en-US"/>
        </w:rPr>
      </w:pPr>
      <w:r w:rsidRPr="00AB76AB">
        <w:rPr>
          <w:rFonts w:ascii="Calibri" w:hAnsi="Calibri" w:cs="Calibri"/>
          <w:i/>
          <w:iCs/>
          <w:lang w:val="en-US"/>
        </w:rPr>
        <w:t>Post-operative antibiotic prescribing</w:t>
      </w:r>
    </w:p>
    <w:p w14:paraId="4A89477C" w14:textId="0E388D77" w:rsidR="00F32E78" w:rsidRPr="00AB76AB" w:rsidRDefault="00F32E78" w:rsidP="00AB76AB">
      <w:pPr>
        <w:spacing w:before="120" w:after="240" w:line="480" w:lineRule="auto"/>
        <w:rPr>
          <w:rFonts w:ascii="Calibri" w:hAnsi="Calibri" w:cs="Calibri"/>
          <w:lang w:val="en-US"/>
        </w:rPr>
      </w:pPr>
      <w:r w:rsidRPr="00AB76AB">
        <w:rPr>
          <w:rFonts w:ascii="Calibri" w:hAnsi="Calibri" w:cs="Calibri"/>
          <w:lang w:val="en-US"/>
        </w:rPr>
        <w:t xml:space="preserve">Patient sex, smoking status, presence of diabetes, abscess diameter, presence of cellulitis, antibiotics prior to surgery, </w:t>
      </w:r>
      <w:r w:rsidR="00AB76AB" w:rsidRPr="00AB76AB">
        <w:rPr>
          <w:rFonts w:ascii="Calibri" w:hAnsi="Calibri" w:cs="Calibri"/>
          <w:lang w:val="en-US"/>
        </w:rPr>
        <w:t>previous surgical management of abscess</w:t>
      </w:r>
      <w:r w:rsidR="00AB76AB">
        <w:rPr>
          <w:rFonts w:ascii="Calibri" w:hAnsi="Calibri" w:cs="Calibri"/>
          <w:lang w:val="en-US"/>
        </w:rPr>
        <w:t xml:space="preserve">, </w:t>
      </w:r>
      <w:r w:rsidRPr="00AB76AB">
        <w:rPr>
          <w:rFonts w:ascii="Calibri" w:hAnsi="Calibri" w:cs="Calibri"/>
          <w:lang w:val="en-US"/>
        </w:rPr>
        <w:t xml:space="preserve">and timing of surgery were associated with </w:t>
      </w:r>
      <w:r w:rsidR="00AB76AB">
        <w:rPr>
          <w:rFonts w:ascii="Calibri" w:hAnsi="Calibri" w:cs="Calibri"/>
          <w:lang w:val="en-US"/>
        </w:rPr>
        <w:t>the use of antibiotics after surgery</w:t>
      </w:r>
      <w:r w:rsidRPr="00AB76AB">
        <w:rPr>
          <w:rFonts w:ascii="Calibri" w:hAnsi="Calibri" w:cs="Calibri"/>
          <w:lang w:val="en-US"/>
        </w:rPr>
        <w:t xml:space="preserve">. On likelihood ratio testing, multilevel modelling including </w:t>
      </w:r>
      <w:r w:rsidR="00AB76AB">
        <w:rPr>
          <w:rFonts w:ascii="Calibri" w:hAnsi="Calibri" w:cs="Calibri"/>
          <w:lang w:val="en-US"/>
        </w:rPr>
        <w:t xml:space="preserve">the </w:t>
      </w:r>
      <w:r w:rsidRPr="00AB76AB">
        <w:rPr>
          <w:rFonts w:ascii="Calibri" w:hAnsi="Calibri" w:cs="Calibri"/>
          <w:lang w:val="en-US"/>
        </w:rPr>
        <w:t>treating hospital as the random effect in addition to patient-level variables</w:t>
      </w:r>
      <w:r w:rsidR="00AB76AB">
        <w:rPr>
          <w:rFonts w:ascii="Calibri" w:hAnsi="Calibri" w:cs="Calibri"/>
          <w:lang w:val="en-US"/>
        </w:rPr>
        <w:t>,</w:t>
      </w:r>
      <w:r w:rsidRPr="00AB76AB">
        <w:rPr>
          <w:rFonts w:ascii="Calibri" w:hAnsi="Calibri" w:cs="Calibri"/>
          <w:lang w:val="en-US"/>
        </w:rPr>
        <w:t xml:space="preserve"> was significantly different to the multivariable model p&lt;0.001 suggesting an effect of the centre on </w:t>
      </w:r>
      <w:r w:rsidR="004F0B61" w:rsidRPr="00AB76AB">
        <w:rPr>
          <w:rFonts w:ascii="Calibri" w:hAnsi="Calibri" w:cs="Calibri"/>
          <w:lang w:val="en-US"/>
        </w:rPr>
        <w:t>antibiotic prescribing</w:t>
      </w:r>
      <w:r w:rsidRPr="00AB76AB">
        <w:rPr>
          <w:rFonts w:ascii="Calibri" w:hAnsi="Calibri" w:cs="Calibri"/>
          <w:lang w:val="en-US"/>
        </w:rPr>
        <w:t xml:space="preserve"> independent of case mix</w:t>
      </w:r>
      <w:r w:rsidR="0038743F" w:rsidRPr="00AB76AB">
        <w:rPr>
          <w:rFonts w:ascii="Calibri" w:hAnsi="Calibri" w:cs="Calibri"/>
          <w:lang w:val="en-US"/>
        </w:rPr>
        <w:t xml:space="preserve"> (</w:t>
      </w:r>
      <w:r w:rsidR="00AB76AB">
        <w:rPr>
          <w:rFonts w:ascii="Calibri" w:hAnsi="Calibri" w:cs="Calibri"/>
          <w:lang w:val="en-US"/>
        </w:rPr>
        <w:t>Table S2</w:t>
      </w:r>
      <w:r w:rsidR="0038743F" w:rsidRPr="00AB76AB">
        <w:rPr>
          <w:rFonts w:ascii="Calibri" w:hAnsi="Calibri" w:cs="Calibri"/>
          <w:lang w:val="en-US"/>
        </w:rPr>
        <w:t>)</w:t>
      </w:r>
    </w:p>
    <w:p w14:paraId="3CA6C544" w14:textId="51C2B7AD" w:rsidR="00F32E78" w:rsidRPr="00AB76AB" w:rsidRDefault="00F32E78" w:rsidP="00AB76AB">
      <w:pPr>
        <w:spacing w:before="120" w:after="240" w:line="480" w:lineRule="auto"/>
        <w:rPr>
          <w:rFonts w:ascii="Calibri" w:hAnsi="Calibri" w:cs="Calibri"/>
          <w:i/>
          <w:iCs/>
          <w:lang w:val="en-US"/>
        </w:rPr>
      </w:pPr>
      <w:r w:rsidRPr="00AB76AB">
        <w:rPr>
          <w:rFonts w:ascii="Calibri" w:hAnsi="Calibri" w:cs="Calibri"/>
          <w:i/>
          <w:iCs/>
          <w:lang w:val="en-US"/>
        </w:rPr>
        <w:t>Abscess Packing</w:t>
      </w:r>
    </w:p>
    <w:p w14:paraId="4F26A56B" w14:textId="07EDD116" w:rsidR="00AB76AB" w:rsidRDefault="00AB76AB" w:rsidP="00AB76AB">
      <w:pPr>
        <w:spacing w:before="120" w:after="240" w:line="480" w:lineRule="auto"/>
        <w:ind w:right="-330"/>
        <w:rPr>
          <w:rFonts w:ascii="Calibri" w:hAnsi="Calibri" w:cs="Calibri"/>
          <w:lang w:val="en-US"/>
        </w:rPr>
      </w:pPr>
      <w:r w:rsidRPr="00AB76AB">
        <w:rPr>
          <w:rFonts w:ascii="Calibri" w:hAnsi="Calibri" w:cs="Calibri"/>
          <w:lang w:val="en-US"/>
        </w:rPr>
        <w:t>previous surgical management of abscess</w:t>
      </w:r>
      <w:r w:rsidR="00F32E78" w:rsidRPr="00AB76AB">
        <w:rPr>
          <w:rFonts w:ascii="Calibri" w:hAnsi="Calibri" w:cs="Calibri"/>
          <w:lang w:val="en-US"/>
        </w:rPr>
        <w:t>, hidradenitis</w:t>
      </w:r>
      <w:r>
        <w:rPr>
          <w:rFonts w:ascii="Calibri" w:hAnsi="Calibri" w:cs="Calibri"/>
          <w:lang w:val="en-US"/>
        </w:rPr>
        <w:t xml:space="preserve"> suppurative</w:t>
      </w:r>
      <w:r w:rsidR="00F32E78" w:rsidRPr="00AB76AB">
        <w:rPr>
          <w:rFonts w:ascii="Calibri" w:hAnsi="Calibri" w:cs="Calibri"/>
          <w:lang w:val="en-US"/>
        </w:rPr>
        <w:t>, abscess position, presence of cellulitis, setting of operation</w:t>
      </w:r>
      <w:r>
        <w:rPr>
          <w:rFonts w:ascii="Calibri" w:hAnsi="Calibri" w:cs="Calibri"/>
          <w:lang w:val="en-US"/>
        </w:rPr>
        <w:t xml:space="preserve">, </w:t>
      </w:r>
      <w:r w:rsidR="00F32E78" w:rsidRPr="00AB76AB">
        <w:rPr>
          <w:rFonts w:ascii="Calibri" w:hAnsi="Calibri" w:cs="Calibri"/>
          <w:lang w:val="en-US"/>
        </w:rPr>
        <w:t xml:space="preserve">and primary operator were associated with choice of whether to pack the abscess. </w:t>
      </w:r>
      <w:r w:rsidR="00CF67E7" w:rsidRPr="00AB76AB">
        <w:rPr>
          <w:rFonts w:ascii="Calibri" w:hAnsi="Calibri" w:cs="Calibri"/>
          <w:lang w:val="en-US"/>
        </w:rPr>
        <w:t>On likelihood ratio testing, multilevel modelling including</w:t>
      </w:r>
      <w:r>
        <w:rPr>
          <w:rFonts w:ascii="Calibri" w:hAnsi="Calibri" w:cs="Calibri"/>
          <w:lang w:val="en-US"/>
        </w:rPr>
        <w:t xml:space="preserve"> the</w:t>
      </w:r>
      <w:r w:rsidR="00CF67E7" w:rsidRPr="00AB76AB">
        <w:rPr>
          <w:rFonts w:ascii="Calibri" w:hAnsi="Calibri" w:cs="Calibri"/>
          <w:lang w:val="en-US"/>
        </w:rPr>
        <w:t xml:space="preserve"> treating hospital as the random effect in addition to patient-level variables</w:t>
      </w:r>
      <w:r>
        <w:rPr>
          <w:rFonts w:ascii="Calibri" w:hAnsi="Calibri" w:cs="Calibri"/>
          <w:lang w:val="en-US"/>
        </w:rPr>
        <w:t>,</w:t>
      </w:r>
      <w:r w:rsidR="00CF67E7" w:rsidRPr="00AB76AB">
        <w:rPr>
          <w:rFonts w:ascii="Calibri" w:hAnsi="Calibri" w:cs="Calibri"/>
          <w:lang w:val="en-US"/>
        </w:rPr>
        <w:t xml:space="preserve"> was significantly different to the multivariable model p&lt;0.001 suggesting an effect of the centre on abscess packing independent of case mix</w:t>
      </w:r>
      <w:r w:rsidR="0038743F" w:rsidRPr="00AB76AB"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Table S2</w:t>
      </w:r>
      <w:r w:rsidR="0038743F" w:rsidRPr="00AB76AB">
        <w:rPr>
          <w:rFonts w:ascii="Calibri" w:hAnsi="Calibri" w:cs="Calibri"/>
          <w:lang w:val="en-US"/>
        </w:rPr>
        <w:t>)</w:t>
      </w:r>
    </w:p>
    <w:p w14:paraId="05FEC2EE" w14:textId="77777777" w:rsidR="00AB76AB" w:rsidRDefault="00AB76AB" w:rsidP="00AB76AB">
      <w:pPr>
        <w:spacing w:before="120" w:after="240" w:line="480" w:lineRule="auto"/>
        <w:rPr>
          <w:rFonts w:ascii="Calibri" w:hAnsi="Calibri" w:cs="Calibri"/>
          <w:lang w:val="en-US"/>
        </w:rPr>
      </w:pPr>
    </w:p>
    <w:p w14:paraId="344387AB" w14:textId="77777777" w:rsidR="00AB76AB" w:rsidRDefault="00AB76AB" w:rsidP="00AB76AB">
      <w:pPr>
        <w:spacing w:before="120" w:after="240" w:line="480" w:lineRule="auto"/>
        <w:rPr>
          <w:rFonts w:ascii="Calibri" w:hAnsi="Calibri" w:cs="Calibri"/>
          <w:lang w:val="en-US"/>
        </w:rPr>
      </w:pPr>
    </w:p>
    <w:p w14:paraId="56EAD800" w14:textId="77777777" w:rsidR="00AB76AB" w:rsidRPr="004F3240" w:rsidRDefault="00AB76AB" w:rsidP="00AB76AB">
      <w:pPr>
        <w:spacing w:before="120" w:after="240" w:line="480" w:lineRule="auto"/>
        <w:ind w:right="-194"/>
        <w:jc w:val="both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lastRenderedPageBreak/>
        <w:t>Table S1 – Data Collection Periods</w:t>
      </w:r>
    </w:p>
    <w:p w14:paraId="0A6D62DA" w14:textId="77777777" w:rsidR="00AB76AB" w:rsidRDefault="00AB76AB" w:rsidP="00AB76AB">
      <w:pPr>
        <w:pStyle w:val="NoSpacing"/>
        <w:ind w:right="-194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3114"/>
        <w:gridCol w:w="4819"/>
      </w:tblGrid>
      <w:tr w:rsidR="00AB76AB" w:rsidRPr="00794FA0" w14:paraId="671FEAD3" w14:textId="77777777" w:rsidTr="004170CB">
        <w:trPr>
          <w:trHeight w:val="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75F96C" w14:textId="77777777" w:rsidR="00AB76AB" w:rsidRPr="00794FA0" w:rsidRDefault="00AB76AB" w:rsidP="00417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Time Period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EE6EDD" w14:textId="77777777" w:rsidR="00AB76AB" w:rsidRPr="00794FA0" w:rsidRDefault="00AB76AB" w:rsidP="00417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76AB" w:rsidRPr="00794FA0" w14:paraId="7F18194D" w14:textId="77777777" w:rsidTr="004170CB">
        <w:trPr>
          <w:trHeight w:val="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98FD" w14:textId="77777777" w:rsidR="00AB76AB" w:rsidRPr="00794FA0" w:rsidRDefault="00AB76AB" w:rsidP="00417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Collection Period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0D0" w14:textId="77777777" w:rsidR="00AB76AB" w:rsidRPr="004F3240" w:rsidRDefault="00AB76AB" w:rsidP="00417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08:00AM 1</w:t>
            </w:r>
            <w:r w:rsidRPr="004F324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Sept 2022 – 07:59AM 1</w:t>
            </w:r>
            <w:r w:rsidRPr="004F324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Oct 2022</w:t>
            </w:r>
          </w:p>
        </w:tc>
      </w:tr>
      <w:tr w:rsidR="00AB76AB" w:rsidRPr="00794FA0" w14:paraId="3E7D2272" w14:textId="77777777" w:rsidTr="004170CB">
        <w:trPr>
          <w:trHeight w:val="88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9296" w14:textId="77777777" w:rsidR="00AB76AB" w:rsidRPr="00794FA0" w:rsidRDefault="00AB76AB" w:rsidP="00417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Collection Period 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68D2" w14:textId="77777777" w:rsidR="00AB76AB" w:rsidRPr="00794FA0" w:rsidRDefault="00AB76AB" w:rsidP="004170C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08:00AM 1</w:t>
            </w:r>
            <w:r w:rsidRPr="004F324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Oct 2022 – 07:59AM 1</w:t>
            </w:r>
            <w:r w:rsidRPr="004F324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Nov 2022</w:t>
            </w:r>
          </w:p>
        </w:tc>
      </w:tr>
      <w:tr w:rsidR="00AB76AB" w:rsidRPr="00794FA0" w14:paraId="4E524CC0" w14:textId="77777777" w:rsidTr="004170CB">
        <w:trPr>
          <w:trHeight w:val="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F474E" w14:textId="77777777" w:rsidR="00AB76AB" w:rsidRPr="00794FA0" w:rsidRDefault="00AB76AB" w:rsidP="00417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Collection Period 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57A6" w14:textId="77777777" w:rsidR="00AB76AB" w:rsidRPr="00794FA0" w:rsidRDefault="00AB76AB" w:rsidP="004170C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08:00AM 1</w:t>
            </w:r>
            <w:r w:rsidRPr="004F324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Nov 2022 – 07:59AM 1</w:t>
            </w:r>
            <w:r w:rsidRPr="004F324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Dec 2022</w:t>
            </w:r>
          </w:p>
        </w:tc>
      </w:tr>
    </w:tbl>
    <w:p w14:paraId="46574C99" w14:textId="77777777" w:rsidR="00AB76AB" w:rsidRDefault="00AB76AB" w:rsidP="00AB76AB">
      <w:pPr>
        <w:pStyle w:val="NoSpacing"/>
        <w:ind w:right="-194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E22642C" w14:textId="77777777" w:rsidR="00AB76AB" w:rsidRDefault="00AB76AB" w:rsidP="00AB76AB">
      <w:pPr>
        <w:pStyle w:val="NoSpacing"/>
        <w:ind w:right="-194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869B69D" w14:textId="77777777" w:rsidR="00AB76AB" w:rsidRDefault="00AB76AB" w:rsidP="00AB76AB">
      <w:pPr>
        <w:pStyle w:val="NoSpacing"/>
        <w:ind w:right="-194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6D911E7" w14:textId="4960B582" w:rsidR="00AB76AB" w:rsidRPr="00AB76AB" w:rsidRDefault="00AB76AB" w:rsidP="00AB76AB">
      <w:pPr>
        <w:spacing w:before="120" w:after="240" w:line="480" w:lineRule="auto"/>
        <w:rPr>
          <w:rFonts w:ascii="Calibri" w:hAnsi="Calibri" w:cs="Calibri"/>
          <w:lang w:val="en-US"/>
        </w:rPr>
        <w:sectPr w:rsidR="00AB76AB" w:rsidRPr="00AB76AB" w:rsidSect="00D24349">
          <w:footerReference w:type="even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PlainTable4"/>
        <w:tblpPr w:leftFromText="180" w:rightFromText="180" w:horzAnchor="margin" w:tblpY="512"/>
        <w:tblW w:w="14884" w:type="dxa"/>
        <w:tblLayout w:type="fixed"/>
        <w:tblLook w:val="04A0" w:firstRow="1" w:lastRow="0" w:firstColumn="1" w:lastColumn="0" w:noHBand="0" w:noVBand="1"/>
      </w:tblPr>
      <w:tblGrid>
        <w:gridCol w:w="1860"/>
        <w:gridCol w:w="1861"/>
        <w:gridCol w:w="1860"/>
        <w:gridCol w:w="1861"/>
        <w:gridCol w:w="1860"/>
        <w:gridCol w:w="1861"/>
        <w:gridCol w:w="1860"/>
        <w:gridCol w:w="1861"/>
      </w:tblGrid>
      <w:tr w:rsidR="00930EE7" w:rsidRPr="00930EE7" w14:paraId="4DB4E002" w14:textId="77777777" w:rsidTr="00AB7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08D379C" w14:textId="77777777" w:rsidR="00930EE7" w:rsidRPr="00053FD0" w:rsidRDefault="00930EE7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549B4E03" w14:textId="77777777" w:rsidR="00930EE7" w:rsidRPr="00053FD0" w:rsidRDefault="00930EE7" w:rsidP="00AB76A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3721" w:type="dxa"/>
            <w:gridSpan w:val="2"/>
            <w:noWrap/>
            <w:hideMark/>
          </w:tcPr>
          <w:p w14:paraId="31E189FA" w14:textId="7D6B6A5C" w:rsidR="00930EE7" w:rsidRPr="00053FD0" w:rsidRDefault="00930EE7" w:rsidP="00AB76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Anaesthetic Type (GA vs local)</w:t>
            </w:r>
          </w:p>
        </w:tc>
        <w:tc>
          <w:tcPr>
            <w:tcW w:w="3721" w:type="dxa"/>
            <w:gridSpan w:val="2"/>
            <w:noWrap/>
            <w:hideMark/>
          </w:tcPr>
          <w:p w14:paraId="56E5CD4F" w14:textId="0219CCF2" w:rsidR="00930EE7" w:rsidRPr="00053FD0" w:rsidRDefault="00930EE7" w:rsidP="00AB76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Post-op Antibiotics (Yes vs No)</w:t>
            </w:r>
          </w:p>
        </w:tc>
        <w:tc>
          <w:tcPr>
            <w:tcW w:w="3721" w:type="dxa"/>
            <w:gridSpan w:val="2"/>
            <w:noWrap/>
            <w:hideMark/>
          </w:tcPr>
          <w:p w14:paraId="7306248B" w14:textId="287131B5" w:rsidR="00930EE7" w:rsidRPr="00053FD0" w:rsidRDefault="00930EE7" w:rsidP="00AB76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Abscess Packed (Yes vs No)</w:t>
            </w:r>
          </w:p>
        </w:tc>
      </w:tr>
      <w:tr w:rsidR="00D321F7" w:rsidRPr="00930EE7" w14:paraId="1FE04E83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F027BC7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0D534CF9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60" w:type="dxa"/>
            <w:noWrap/>
            <w:hideMark/>
          </w:tcPr>
          <w:p w14:paraId="4FBCB177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2"/>
                <w:szCs w:val="12"/>
              </w:rPr>
            </w:pPr>
            <w:r w:rsidRPr="00053FD0">
              <w:rPr>
                <w:b/>
                <w:bCs/>
                <w:i/>
                <w:iCs/>
                <w:sz w:val="12"/>
                <w:szCs w:val="12"/>
              </w:rPr>
              <w:t>OR(Multivariable)</w:t>
            </w:r>
          </w:p>
        </w:tc>
        <w:tc>
          <w:tcPr>
            <w:tcW w:w="1861" w:type="dxa"/>
            <w:noWrap/>
            <w:hideMark/>
          </w:tcPr>
          <w:p w14:paraId="14F1073D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2"/>
                <w:szCs w:val="12"/>
              </w:rPr>
            </w:pPr>
            <w:r w:rsidRPr="00053FD0">
              <w:rPr>
                <w:b/>
                <w:bCs/>
                <w:i/>
                <w:iCs/>
                <w:sz w:val="12"/>
                <w:szCs w:val="12"/>
              </w:rPr>
              <w:t>OR (multilevel)</w:t>
            </w:r>
          </w:p>
        </w:tc>
        <w:tc>
          <w:tcPr>
            <w:tcW w:w="1860" w:type="dxa"/>
            <w:noWrap/>
            <w:hideMark/>
          </w:tcPr>
          <w:p w14:paraId="7DAF5CF0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2"/>
                <w:szCs w:val="12"/>
              </w:rPr>
            </w:pPr>
            <w:r w:rsidRPr="00053FD0">
              <w:rPr>
                <w:b/>
                <w:bCs/>
                <w:i/>
                <w:iCs/>
                <w:sz w:val="12"/>
                <w:szCs w:val="12"/>
              </w:rPr>
              <w:t>OR(Multivariable)</w:t>
            </w:r>
          </w:p>
        </w:tc>
        <w:tc>
          <w:tcPr>
            <w:tcW w:w="1861" w:type="dxa"/>
            <w:noWrap/>
            <w:hideMark/>
          </w:tcPr>
          <w:p w14:paraId="4B8D62B7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2"/>
                <w:szCs w:val="12"/>
              </w:rPr>
            </w:pPr>
            <w:r w:rsidRPr="00053FD0">
              <w:rPr>
                <w:b/>
                <w:bCs/>
                <w:i/>
                <w:iCs/>
                <w:sz w:val="12"/>
                <w:szCs w:val="12"/>
              </w:rPr>
              <w:t>OR (multilevel)</w:t>
            </w:r>
          </w:p>
        </w:tc>
        <w:tc>
          <w:tcPr>
            <w:tcW w:w="1860" w:type="dxa"/>
            <w:noWrap/>
            <w:hideMark/>
          </w:tcPr>
          <w:p w14:paraId="0A10E651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2"/>
                <w:szCs w:val="12"/>
              </w:rPr>
            </w:pPr>
            <w:r w:rsidRPr="00053FD0">
              <w:rPr>
                <w:b/>
                <w:bCs/>
                <w:i/>
                <w:iCs/>
                <w:sz w:val="12"/>
                <w:szCs w:val="12"/>
              </w:rPr>
              <w:t>OR(Multivariable)</w:t>
            </w:r>
          </w:p>
        </w:tc>
        <w:tc>
          <w:tcPr>
            <w:tcW w:w="1861" w:type="dxa"/>
            <w:noWrap/>
            <w:hideMark/>
          </w:tcPr>
          <w:p w14:paraId="4560711D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2"/>
                <w:szCs w:val="12"/>
              </w:rPr>
            </w:pPr>
            <w:r w:rsidRPr="00053FD0">
              <w:rPr>
                <w:b/>
                <w:bCs/>
                <w:i/>
                <w:iCs/>
                <w:sz w:val="12"/>
                <w:szCs w:val="12"/>
              </w:rPr>
              <w:t>OR (multilevel)</w:t>
            </w:r>
          </w:p>
        </w:tc>
      </w:tr>
      <w:tr w:rsidR="00930EE7" w:rsidRPr="00930EE7" w14:paraId="59240D7A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B30BD6B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Anaesthetic type</w:t>
            </w:r>
          </w:p>
        </w:tc>
        <w:tc>
          <w:tcPr>
            <w:tcW w:w="1861" w:type="dxa"/>
            <w:noWrap/>
            <w:hideMark/>
          </w:tcPr>
          <w:p w14:paraId="17DFBD2A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GA</w:t>
            </w:r>
          </w:p>
        </w:tc>
        <w:tc>
          <w:tcPr>
            <w:tcW w:w="1860" w:type="dxa"/>
            <w:noWrap/>
            <w:hideMark/>
          </w:tcPr>
          <w:p w14:paraId="7D68C18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36D47C7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10B85606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AC8E7C5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58701DE6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037D645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3FA8A85F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725D730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61BD2C6B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Local</w:t>
            </w:r>
          </w:p>
        </w:tc>
        <w:tc>
          <w:tcPr>
            <w:tcW w:w="1860" w:type="dxa"/>
            <w:noWrap/>
            <w:hideMark/>
          </w:tcPr>
          <w:p w14:paraId="315DF8DC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D20F0A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73BD239C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2.78 (1.99-3.91, p&lt;0.001)</w:t>
            </w:r>
          </w:p>
        </w:tc>
        <w:tc>
          <w:tcPr>
            <w:tcW w:w="1861" w:type="dxa"/>
            <w:noWrap/>
            <w:hideMark/>
          </w:tcPr>
          <w:p w14:paraId="3A0C1C1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2.68 (1.84-3.92, p&lt;0.001)</w:t>
            </w:r>
          </w:p>
        </w:tc>
        <w:tc>
          <w:tcPr>
            <w:tcW w:w="1860" w:type="dxa"/>
            <w:noWrap/>
            <w:hideMark/>
          </w:tcPr>
          <w:p w14:paraId="7D9DB6E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67DB58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6049DAF9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450192E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Sex</w:t>
            </w:r>
          </w:p>
        </w:tc>
        <w:tc>
          <w:tcPr>
            <w:tcW w:w="1861" w:type="dxa"/>
            <w:noWrap/>
            <w:hideMark/>
          </w:tcPr>
          <w:p w14:paraId="4FE2DD4A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Male</w:t>
            </w:r>
          </w:p>
        </w:tc>
        <w:tc>
          <w:tcPr>
            <w:tcW w:w="1860" w:type="dxa"/>
            <w:noWrap/>
            <w:hideMark/>
          </w:tcPr>
          <w:p w14:paraId="4D504915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C10855F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40D93FB7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96E1DC7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4079546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9A6D519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7F2C9C90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C6279D2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38E82E54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Female</w:t>
            </w:r>
          </w:p>
        </w:tc>
        <w:tc>
          <w:tcPr>
            <w:tcW w:w="1860" w:type="dxa"/>
            <w:noWrap/>
            <w:hideMark/>
          </w:tcPr>
          <w:p w14:paraId="3E46197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0.66 (0.48-0.91, p=0.011)</w:t>
            </w:r>
          </w:p>
        </w:tc>
        <w:tc>
          <w:tcPr>
            <w:tcW w:w="1861" w:type="dxa"/>
            <w:noWrap/>
            <w:hideMark/>
          </w:tcPr>
          <w:p w14:paraId="224BD8FA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0.56 (0.39-0.82, p=0.003)</w:t>
            </w:r>
          </w:p>
        </w:tc>
        <w:tc>
          <w:tcPr>
            <w:tcW w:w="1860" w:type="dxa"/>
            <w:noWrap/>
            <w:hideMark/>
          </w:tcPr>
          <w:p w14:paraId="52CFB421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53E3081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3DD78886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09D5759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25D9E9D0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D7F3918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Smoking</w:t>
            </w:r>
          </w:p>
        </w:tc>
        <w:tc>
          <w:tcPr>
            <w:tcW w:w="1861" w:type="dxa"/>
            <w:noWrap/>
            <w:hideMark/>
          </w:tcPr>
          <w:p w14:paraId="44BE466E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Current Smoker</w:t>
            </w:r>
          </w:p>
        </w:tc>
        <w:tc>
          <w:tcPr>
            <w:tcW w:w="1860" w:type="dxa"/>
            <w:noWrap/>
            <w:hideMark/>
          </w:tcPr>
          <w:p w14:paraId="52A0B56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A5C79F9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48C036D3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1040FC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63DCFD15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FE601A5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4F457865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3EBA65B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7259CA12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Previous Smoker</w:t>
            </w:r>
          </w:p>
        </w:tc>
        <w:tc>
          <w:tcPr>
            <w:tcW w:w="1860" w:type="dxa"/>
            <w:noWrap/>
            <w:hideMark/>
          </w:tcPr>
          <w:p w14:paraId="79AA0CA5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BB41CBE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17BF4FC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1.49 (0.95-2.35, p=0.086)</w:t>
            </w:r>
          </w:p>
        </w:tc>
        <w:tc>
          <w:tcPr>
            <w:tcW w:w="1861" w:type="dxa"/>
            <w:noWrap/>
            <w:hideMark/>
          </w:tcPr>
          <w:p w14:paraId="2165872D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1.62 (0.99-2.65, p=0.053)</w:t>
            </w:r>
          </w:p>
        </w:tc>
        <w:tc>
          <w:tcPr>
            <w:tcW w:w="1860" w:type="dxa"/>
            <w:noWrap/>
            <w:hideMark/>
          </w:tcPr>
          <w:p w14:paraId="4EFF8E0E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3CF99E94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34A4E5D2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728925C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2A839AD5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Never Smoked</w:t>
            </w:r>
          </w:p>
        </w:tc>
        <w:tc>
          <w:tcPr>
            <w:tcW w:w="1860" w:type="dxa"/>
            <w:noWrap/>
            <w:hideMark/>
          </w:tcPr>
          <w:p w14:paraId="15D794D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A754C6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50FFE407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1.40 (1.02-1.92, p=0.036)</w:t>
            </w:r>
          </w:p>
        </w:tc>
        <w:tc>
          <w:tcPr>
            <w:tcW w:w="1861" w:type="dxa"/>
            <w:noWrap/>
            <w:hideMark/>
          </w:tcPr>
          <w:p w14:paraId="03DBC2A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1.51 (1.07-2.12, p=0.018)</w:t>
            </w:r>
          </w:p>
        </w:tc>
        <w:tc>
          <w:tcPr>
            <w:tcW w:w="1860" w:type="dxa"/>
            <w:noWrap/>
            <w:hideMark/>
          </w:tcPr>
          <w:p w14:paraId="20C6450D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153BDC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6B33E8AF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5117172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Previous abscess surgery</w:t>
            </w:r>
          </w:p>
        </w:tc>
        <w:tc>
          <w:tcPr>
            <w:tcW w:w="1861" w:type="dxa"/>
            <w:noWrap/>
            <w:hideMark/>
          </w:tcPr>
          <w:p w14:paraId="7939F92E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1860" w:type="dxa"/>
            <w:noWrap/>
            <w:hideMark/>
          </w:tcPr>
          <w:p w14:paraId="40194096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3CFA37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6FBEF86D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C4D528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0D63D24C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9876B8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F32E78" w:rsidRPr="00930EE7" w14:paraId="34E70A07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17283F3" w14:textId="77777777" w:rsidR="00F32E78" w:rsidRPr="00053FD0" w:rsidRDefault="00F32E78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613CDD36" w14:textId="77777777" w:rsidR="00F32E78" w:rsidRPr="00053FD0" w:rsidRDefault="00F32E78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Yes</w:t>
            </w:r>
          </w:p>
        </w:tc>
        <w:tc>
          <w:tcPr>
            <w:tcW w:w="1860" w:type="dxa"/>
            <w:noWrap/>
            <w:hideMark/>
          </w:tcPr>
          <w:p w14:paraId="76FF5BF2" w14:textId="77777777" w:rsidR="00F32E78" w:rsidRPr="00930EE7" w:rsidRDefault="00F32E78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3D77525E" w14:textId="77777777" w:rsidR="00F32E78" w:rsidRPr="00930EE7" w:rsidRDefault="00F32E78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259FB8F1" w14:textId="65FE2273" w:rsidR="00F32E78" w:rsidRPr="00930EE7" w:rsidRDefault="00F32E78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6.28 (1.31-46.06, p=0.034)</w:t>
            </w:r>
          </w:p>
        </w:tc>
        <w:tc>
          <w:tcPr>
            <w:tcW w:w="1861" w:type="dxa"/>
            <w:noWrap/>
            <w:hideMark/>
          </w:tcPr>
          <w:p w14:paraId="7B86B264" w14:textId="007EF34C" w:rsidR="00F32E78" w:rsidRPr="00930EE7" w:rsidRDefault="00F32E78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6.86 (1.06-44.28, p=0.043)</w:t>
            </w:r>
          </w:p>
        </w:tc>
        <w:tc>
          <w:tcPr>
            <w:tcW w:w="1860" w:type="dxa"/>
            <w:noWrap/>
            <w:hideMark/>
          </w:tcPr>
          <w:p w14:paraId="7976930C" w14:textId="77777777" w:rsidR="00F32E78" w:rsidRPr="00930EE7" w:rsidRDefault="00F32E78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0.60 (0.41-0.89, p=0.011)</w:t>
            </w:r>
          </w:p>
        </w:tc>
        <w:tc>
          <w:tcPr>
            <w:tcW w:w="1861" w:type="dxa"/>
            <w:noWrap/>
            <w:hideMark/>
          </w:tcPr>
          <w:p w14:paraId="54F422C7" w14:textId="77777777" w:rsidR="00F32E78" w:rsidRPr="00930EE7" w:rsidRDefault="00F32E78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0.53 (0.35-0.83, p=0.005)</w:t>
            </w:r>
          </w:p>
        </w:tc>
      </w:tr>
      <w:tr w:rsidR="00D321F7" w:rsidRPr="00930EE7" w14:paraId="67E3D836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E78914D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Hidradenitis</w:t>
            </w:r>
          </w:p>
        </w:tc>
        <w:tc>
          <w:tcPr>
            <w:tcW w:w="1861" w:type="dxa"/>
            <w:noWrap/>
            <w:hideMark/>
          </w:tcPr>
          <w:p w14:paraId="126AF9E3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1860" w:type="dxa"/>
            <w:noWrap/>
            <w:hideMark/>
          </w:tcPr>
          <w:p w14:paraId="2D0134C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253BDA5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019F319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33F4999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3DF74C33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33308C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4A940AD7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AEA7260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7F328FC8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Yes</w:t>
            </w:r>
          </w:p>
        </w:tc>
        <w:tc>
          <w:tcPr>
            <w:tcW w:w="1860" w:type="dxa"/>
            <w:noWrap/>
            <w:hideMark/>
          </w:tcPr>
          <w:p w14:paraId="51C2F3B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0.56 (0.28-1.05, p=0.080)</w:t>
            </w:r>
          </w:p>
        </w:tc>
        <w:tc>
          <w:tcPr>
            <w:tcW w:w="1861" w:type="dxa"/>
            <w:noWrap/>
            <w:hideMark/>
          </w:tcPr>
          <w:p w14:paraId="3F0CFB0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0.52 (0.25-1.08, p=0.081)</w:t>
            </w:r>
          </w:p>
        </w:tc>
        <w:tc>
          <w:tcPr>
            <w:tcW w:w="1860" w:type="dxa"/>
            <w:noWrap/>
            <w:hideMark/>
          </w:tcPr>
          <w:p w14:paraId="7006972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7E09C3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0ED4B72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1.98 (0.87-5.03, p=0.125)</w:t>
            </w:r>
          </w:p>
        </w:tc>
        <w:tc>
          <w:tcPr>
            <w:tcW w:w="1861" w:type="dxa"/>
            <w:noWrap/>
            <w:hideMark/>
          </w:tcPr>
          <w:p w14:paraId="118230B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2.14 (0.79-5.74, p=0.132)</w:t>
            </w:r>
          </w:p>
        </w:tc>
      </w:tr>
      <w:tr w:rsidR="00D321F7" w:rsidRPr="00930EE7" w14:paraId="220202FB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C70A795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Immunosuppression</w:t>
            </w:r>
          </w:p>
        </w:tc>
        <w:tc>
          <w:tcPr>
            <w:tcW w:w="1861" w:type="dxa"/>
            <w:noWrap/>
            <w:hideMark/>
          </w:tcPr>
          <w:p w14:paraId="78D9D1EC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1860" w:type="dxa"/>
            <w:noWrap/>
            <w:hideMark/>
          </w:tcPr>
          <w:p w14:paraId="57573FEC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93C1DD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2252C563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C6B247B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15636165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09C29F3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1B9C5915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2391766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23437115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Yes</w:t>
            </w:r>
          </w:p>
        </w:tc>
        <w:tc>
          <w:tcPr>
            <w:tcW w:w="1860" w:type="dxa"/>
            <w:noWrap/>
            <w:hideMark/>
          </w:tcPr>
          <w:p w14:paraId="6D5601F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2.03 (0.93-4.42, p=0.074)</w:t>
            </w:r>
          </w:p>
        </w:tc>
        <w:tc>
          <w:tcPr>
            <w:tcW w:w="1861" w:type="dxa"/>
            <w:noWrap/>
            <w:hideMark/>
          </w:tcPr>
          <w:p w14:paraId="1796BB6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3.09 (1.17-8.21, p=0.023)</w:t>
            </w:r>
          </w:p>
        </w:tc>
        <w:tc>
          <w:tcPr>
            <w:tcW w:w="1860" w:type="dxa"/>
            <w:noWrap/>
            <w:hideMark/>
          </w:tcPr>
          <w:p w14:paraId="0C9F068E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BCB1D4C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4A2FD0C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769A99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251C30C2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8122FD4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Diabetes</w:t>
            </w:r>
          </w:p>
        </w:tc>
        <w:tc>
          <w:tcPr>
            <w:tcW w:w="1861" w:type="dxa"/>
            <w:noWrap/>
            <w:hideMark/>
          </w:tcPr>
          <w:p w14:paraId="4CC1B081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1860" w:type="dxa"/>
            <w:noWrap/>
            <w:hideMark/>
          </w:tcPr>
          <w:p w14:paraId="3D9D328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2A96ECA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490C293A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2967AD9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11F3BC7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E90D3DA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7CEF0BB0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5873ECB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7080D40D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Yes</w:t>
            </w:r>
          </w:p>
        </w:tc>
        <w:tc>
          <w:tcPr>
            <w:tcW w:w="1860" w:type="dxa"/>
            <w:noWrap/>
            <w:hideMark/>
          </w:tcPr>
          <w:p w14:paraId="1953DC8E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140E15E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7112AC4F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2.04 (1.38-3.06, p&lt;0.001)</w:t>
            </w:r>
          </w:p>
        </w:tc>
        <w:tc>
          <w:tcPr>
            <w:tcW w:w="1861" w:type="dxa"/>
            <w:noWrap/>
            <w:hideMark/>
          </w:tcPr>
          <w:p w14:paraId="746958BE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2.12 (1.38-3.27, p=0.001)</w:t>
            </w:r>
          </w:p>
        </w:tc>
        <w:tc>
          <w:tcPr>
            <w:tcW w:w="1860" w:type="dxa"/>
            <w:noWrap/>
            <w:hideMark/>
          </w:tcPr>
          <w:p w14:paraId="087E6F95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58B52A9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7DB627FC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9A04729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Abscess Position</w:t>
            </w:r>
          </w:p>
        </w:tc>
        <w:tc>
          <w:tcPr>
            <w:tcW w:w="1861" w:type="dxa"/>
            <w:noWrap/>
            <w:hideMark/>
          </w:tcPr>
          <w:p w14:paraId="14D6E336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Abdominal Wall - Anterior</w:t>
            </w:r>
          </w:p>
        </w:tc>
        <w:tc>
          <w:tcPr>
            <w:tcW w:w="1860" w:type="dxa"/>
            <w:noWrap/>
            <w:hideMark/>
          </w:tcPr>
          <w:p w14:paraId="12D75713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A34402D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718EFB1A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543FED9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6C947B9C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756F30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784EEF08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028E396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4BAFC0D7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Abdominal Wall - Posterior</w:t>
            </w:r>
          </w:p>
        </w:tc>
        <w:tc>
          <w:tcPr>
            <w:tcW w:w="1860" w:type="dxa"/>
            <w:noWrap/>
            <w:hideMark/>
          </w:tcPr>
          <w:p w14:paraId="3085DFA8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0.76 (0.32-1.80, p=0.543)</w:t>
            </w:r>
          </w:p>
        </w:tc>
        <w:tc>
          <w:tcPr>
            <w:tcW w:w="1861" w:type="dxa"/>
            <w:noWrap/>
            <w:hideMark/>
          </w:tcPr>
          <w:p w14:paraId="1AE20AEC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0.72 (0.27-1.93, p=0.518)</w:t>
            </w:r>
          </w:p>
        </w:tc>
        <w:tc>
          <w:tcPr>
            <w:tcW w:w="1860" w:type="dxa"/>
            <w:noWrap/>
            <w:hideMark/>
          </w:tcPr>
          <w:p w14:paraId="6CC9BFDF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2D2BA7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394707DF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1.72 (0.47-8.30, p=0.449)</w:t>
            </w:r>
          </w:p>
        </w:tc>
        <w:tc>
          <w:tcPr>
            <w:tcW w:w="1861" w:type="dxa"/>
            <w:noWrap/>
            <w:hideMark/>
          </w:tcPr>
          <w:p w14:paraId="7505BDC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1.83 (0.42-7.92, p=0.421)</w:t>
            </w:r>
          </w:p>
        </w:tc>
      </w:tr>
      <w:tr w:rsidR="00D321F7" w:rsidRPr="00930EE7" w14:paraId="1BD74192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7350178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1785F9F1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Axilla</w:t>
            </w:r>
          </w:p>
        </w:tc>
        <w:tc>
          <w:tcPr>
            <w:tcW w:w="1860" w:type="dxa"/>
            <w:noWrap/>
            <w:hideMark/>
          </w:tcPr>
          <w:p w14:paraId="09D23F83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0.49 (0.23-1.01, p=0.056)</w:t>
            </w:r>
          </w:p>
        </w:tc>
        <w:tc>
          <w:tcPr>
            <w:tcW w:w="1861" w:type="dxa"/>
            <w:noWrap/>
            <w:hideMark/>
          </w:tcPr>
          <w:p w14:paraId="61DB377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0.38 (0.17-0.87, p=0.023)</w:t>
            </w:r>
          </w:p>
        </w:tc>
        <w:tc>
          <w:tcPr>
            <w:tcW w:w="1860" w:type="dxa"/>
            <w:noWrap/>
            <w:hideMark/>
          </w:tcPr>
          <w:p w14:paraId="31EBB6E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3AD3D019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6AE31A4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2.08 (0.64-8.09, p=0.244)</w:t>
            </w:r>
          </w:p>
        </w:tc>
        <w:tc>
          <w:tcPr>
            <w:tcW w:w="1861" w:type="dxa"/>
            <w:noWrap/>
            <w:hideMark/>
          </w:tcPr>
          <w:p w14:paraId="257530A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2.15 (0.56-8.29, p=0.266)</w:t>
            </w:r>
          </w:p>
        </w:tc>
      </w:tr>
      <w:tr w:rsidR="00930EE7" w:rsidRPr="00930EE7" w14:paraId="7EF89D11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BFB308B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5E82084E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 xml:space="preserve">Buttock  </w:t>
            </w:r>
          </w:p>
        </w:tc>
        <w:tc>
          <w:tcPr>
            <w:tcW w:w="1860" w:type="dxa"/>
            <w:noWrap/>
            <w:hideMark/>
          </w:tcPr>
          <w:p w14:paraId="3D8580F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0.22 (0.11-0.44, p&lt;0.001)</w:t>
            </w:r>
          </w:p>
        </w:tc>
        <w:tc>
          <w:tcPr>
            <w:tcW w:w="1861" w:type="dxa"/>
            <w:noWrap/>
            <w:hideMark/>
          </w:tcPr>
          <w:p w14:paraId="45B0408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0.14 (0.06-0.31, p&lt;0.001)</w:t>
            </w:r>
          </w:p>
        </w:tc>
        <w:tc>
          <w:tcPr>
            <w:tcW w:w="1860" w:type="dxa"/>
            <w:noWrap/>
            <w:hideMark/>
          </w:tcPr>
          <w:p w14:paraId="15A8E7A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BCC566D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391C5C2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0.97 (0.39-2.37, p=0.955)</w:t>
            </w:r>
          </w:p>
        </w:tc>
        <w:tc>
          <w:tcPr>
            <w:tcW w:w="1861" w:type="dxa"/>
            <w:noWrap/>
            <w:hideMark/>
          </w:tcPr>
          <w:p w14:paraId="1007313D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1.21 (0.46-3.17, p=0.699)</w:t>
            </w:r>
          </w:p>
        </w:tc>
      </w:tr>
      <w:tr w:rsidR="00D321F7" w:rsidRPr="00930EE7" w14:paraId="4CE0812C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2AE7FF3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1B6F60FA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Groin</w:t>
            </w:r>
          </w:p>
        </w:tc>
        <w:tc>
          <w:tcPr>
            <w:tcW w:w="1860" w:type="dxa"/>
            <w:noWrap/>
            <w:hideMark/>
          </w:tcPr>
          <w:p w14:paraId="1AE8062D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0.36 (0.18-0.70, p=0.003)</w:t>
            </w:r>
          </w:p>
        </w:tc>
        <w:tc>
          <w:tcPr>
            <w:tcW w:w="1861" w:type="dxa"/>
            <w:noWrap/>
            <w:hideMark/>
          </w:tcPr>
          <w:p w14:paraId="5241BE65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0.29 (0.14-0.60, p=0.001)</w:t>
            </w:r>
          </w:p>
        </w:tc>
        <w:tc>
          <w:tcPr>
            <w:tcW w:w="1860" w:type="dxa"/>
            <w:noWrap/>
            <w:hideMark/>
          </w:tcPr>
          <w:p w14:paraId="3F31FE8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BFF93EE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16DB0574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0.47 (0.20-1.08, p=0.079)</w:t>
            </w:r>
          </w:p>
        </w:tc>
        <w:tc>
          <w:tcPr>
            <w:tcW w:w="1861" w:type="dxa"/>
            <w:noWrap/>
            <w:hideMark/>
          </w:tcPr>
          <w:p w14:paraId="6B6CED8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0.60 (0.24-1.50, p=0.276)</w:t>
            </w:r>
          </w:p>
        </w:tc>
      </w:tr>
      <w:tr w:rsidR="00930EE7" w:rsidRPr="00930EE7" w14:paraId="723683AB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BC85305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2F25BF15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Lower Limb - Proximal</w:t>
            </w:r>
          </w:p>
        </w:tc>
        <w:tc>
          <w:tcPr>
            <w:tcW w:w="1860" w:type="dxa"/>
            <w:noWrap/>
            <w:hideMark/>
          </w:tcPr>
          <w:p w14:paraId="5620616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0.43 (0.16-1.06, p=0.075)</w:t>
            </w:r>
          </w:p>
        </w:tc>
        <w:tc>
          <w:tcPr>
            <w:tcW w:w="1861" w:type="dxa"/>
            <w:noWrap/>
            <w:hideMark/>
          </w:tcPr>
          <w:p w14:paraId="3346291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0.30 (0.11-0.87, p=0.026)</w:t>
            </w:r>
          </w:p>
        </w:tc>
        <w:tc>
          <w:tcPr>
            <w:tcW w:w="1860" w:type="dxa"/>
            <w:noWrap/>
            <w:hideMark/>
          </w:tcPr>
          <w:p w14:paraId="25A2AAA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C78851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6697338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1.52 (0.41-7.34, p=0.559)</w:t>
            </w:r>
          </w:p>
        </w:tc>
        <w:tc>
          <w:tcPr>
            <w:tcW w:w="1861" w:type="dxa"/>
            <w:noWrap/>
            <w:hideMark/>
          </w:tcPr>
          <w:p w14:paraId="519F957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1.76 (0.38-8.15, p=0.468)</w:t>
            </w:r>
          </w:p>
        </w:tc>
      </w:tr>
      <w:tr w:rsidR="00D321F7" w:rsidRPr="00930EE7" w14:paraId="725499AF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0663E38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5D6DB100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Pilonidal</w:t>
            </w:r>
          </w:p>
        </w:tc>
        <w:tc>
          <w:tcPr>
            <w:tcW w:w="1860" w:type="dxa"/>
            <w:noWrap/>
            <w:hideMark/>
          </w:tcPr>
          <w:p w14:paraId="542C31DA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0.11 (0.06-0.22, p&lt;0.001)</w:t>
            </w:r>
          </w:p>
        </w:tc>
        <w:tc>
          <w:tcPr>
            <w:tcW w:w="1861" w:type="dxa"/>
            <w:noWrap/>
            <w:hideMark/>
          </w:tcPr>
          <w:p w14:paraId="3E8164C4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0.07 (0.03-0.15, p&lt;0.001)</w:t>
            </w:r>
          </w:p>
        </w:tc>
        <w:tc>
          <w:tcPr>
            <w:tcW w:w="1860" w:type="dxa"/>
            <w:noWrap/>
            <w:hideMark/>
          </w:tcPr>
          <w:p w14:paraId="0503949D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569039A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58BC307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1.00 (0.43-2.23, p=0.997)</w:t>
            </w:r>
          </w:p>
        </w:tc>
        <w:tc>
          <w:tcPr>
            <w:tcW w:w="1861" w:type="dxa"/>
            <w:noWrap/>
            <w:hideMark/>
          </w:tcPr>
          <w:p w14:paraId="469C397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1.41 (0.58-3.44, p=0.445)</w:t>
            </w:r>
          </w:p>
        </w:tc>
      </w:tr>
      <w:tr w:rsidR="00930EE7" w:rsidRPr="00930EE7" w14:paraId="06842E4F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298D585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2C442E67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Thorax - Anterior</w:t>
            </w:r>
          </w:p>
        </w:tc>
        <w:tc>
          <w:tcPr>
            <w:tcW w:w="1860" w:type="dxa"/>
            <w:noWrap/>
            <w:hideMark/>
          </w:tcPr>
          <w:p w14:paraId="4EB4EC26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1.63 (0.81-3.31, p=0.175)</w:t>
            </w:r>
          </w:p>
        </w:tc>
        <w:tc>
          <w:tcPr>
            <w:tcW w:w="1861" w:type="dxa"/>
            <w:noWrap/>
            <w:hideMark/>
          </w:tcPr>
          <w:p w14:paraId="0DD459A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1.81 (0.79-4.13, p=0.159)</w:t>
            </w:r>
          </w:p>
        </w:tc>
        <w:tc>
          <w:tcPr>
            <w:tcW w:w="1860" w:type="dxa"/>
            <w:noWrap/>
            <w:hideMark/>
          </w:tcPr>
          <w:p w14:paraId="267F379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983E42E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53D5BA7C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0.30 (0.12-0.71, p=0.007)</w:t>
            </w:r>
          </w:p>
        </w:tc>
        <w:tc>
          <w:tcPr>
            <w:tcW w:w="1861" w:type="dxa"/>
            <w:noWrap/>
            <w:hideMark/>
          </w:tcPr>
          <w:p w14:paraId="496017F7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0.37 (0.14-0.96, p=0.042)</w:t>
            </w:r>
          </w:p>
        </w:tc>
      </w:tr>
      <w:tr w:rsidR="00D321F7" w:rsidRPr="00930EE7" w14:paraId="18ABE593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7F13C6E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1CA8167D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Thorax - Posterior</w:t>
            </w:r>
          </w:p>
        </w:tc>
        <w:tc>
          <w:tcPr>
            <w:tcW w:w="1860" w:type="dxa"/>
            <w:noWrap/>
            <w:hideMark/>
          </w:tcPr>
          <w:p w14:paraId="77737AAB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1.27 (0.73-2.21, p=0.401)</w:t>
            </w:r>
          </w:p>
        </w:tc>
        <w:tc>
          <w:tcPr>
            <w:tcW w:w="1861" w:type="dxa"/>
            <w:noWrap/>
            <w:hideMark/>
          </w:tcPr>
          <w:p w14:paraId="2435FA5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1.38 (0.73-2.61, p=0.324)</w:t>
            </w:r>
          </w:p>
        </w:tc>
        <w:tc>
          <w:tcPr>
            <w:tcW w:w="1860" w:type="dxa"/>
            <w:noWrap/>
            <w:hideMark/>
          </w:tcPr>
          <w:p w14:paraId="45D1BE23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A781916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0C6728B4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0.86 (0.38-1.84, p=0.714)</w:t>
            </w:r>
          </w:p>
        </w:tc>
        <w:tc>
          <w:tcPr>
            <w:tcW w:w="1861" w:type="dxa"/>
            <w:noWrap/>
            <w:hideMark/>
          </w:tcPr>
          <w:p w14:paraId="6C912E5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1.18 (0.51-2.75, p=0.700)</w:t>
            </w:r>
          </w:p>
        </w:tc>
      </w:tr>
      <w:tr w:rsidR="00930EE7" w:rsidRPr="00930EE7" w14:paraId="151A5A28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592F8C5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425E522B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Upper Limb - Proximal</w:t>
            </w:r>
          </w:p>
        </w:tc>
        <w:tc>
          <w:tcPr>
            <w:tcW w:w="1860" w:type="dxa"/>
            <w:noWrap/>
            <w:hideMark/>
          </w:tcPr>
          <w:p w14:paraId="378302B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0.78 (0.38-1.56, p=0.477)</w:t>
            </w:r>
          </w:p>
        </w:tc>
        <w:tc>
          <w:tcPr>
            <w:tcW w:w="1861" w:type="dxa"/>
            <w:noWrap/>
            <w:hideMark/>
          </w:tcPr>
          <w:p w14:paraId="380C81DF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0.71 (0.32-1.57, p=0.398)</w:t>
            </w:r>
          </w:p>
        </w:tc>
        <w:tc>
          <w:tcPr>
            <w:tcW w:w="1860" w:type="dxa"/>
            <w:noWrap/>
            <w:hideMark/>
          </w:tcPr>
          <w:p w14:paraId="52DF1BD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43C8436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30A8FBC9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0.42 (0.17-1.01, p=0.054)</w:t>
            </w:r>
          </w:p>
        </w:tc>
        <w:tc>
          <w:tcPr>
            <w:tcW w:w="1861" w:type="dxa"/>
            <w:noWrap/>
            <w:hideMark/>
          </w:tcPr>
          <w:p w14:paraId="5DD024A3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0.59 (0.22-1.58, p=0.292)</w:t>
            </w:r>
          </w:p>
        </w:tc>
      </w:tr>
      <w:tr w:rsidR="00D321F7" w:rsidRPr="00930EE7" w14:paraId="45D984E2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F017B50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Abscess Diameter</w:t>
            </w:r>
          </w:p>
        </w:tc>
        <w:tc>
          <w:tcPr>
            <w:tcW w:w="1861" w:type="dxa"/>
            <w:noWrap/>
            <w:hideMark/>
          </w:tcPr>
          <w:p w14:paraId="66E46A2D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Mean (SD)</w:t>
            </w:r>
          </w:p>
        </w:tc>
        <w:tc>
          <w:tcPr>
            <w:tcW w:w="1860" w:type="dxa"/>
            <w:noWrap/>
            <w:hideMark/>
          </w:tcPr>
          <w:p w14:paraId="63CA307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0.76 (0.70-0.82, p&lt;0.001)</w:t>
            </w:r>
          </w:p>
        </w:tc>
        <w:tc>
          <w:tcPr>
            <w:tcW w:w="1861" w:type="dxa"/>
            <w:noWrap/>
            <w:hideMark/>
          </w:tcPr>
          <w:p w14:paraId="5EB12EB3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0.72 (0.65-0.79, p&lt;0.001)</w:t>
            </w:r>
          </w:p>
        </w:tc>
        <w:tc>
          <w:tcPr>
            <w:tcW w:w="1860" w:type="dxa"/>
            <w:noWrap/>
            <w:hideMark/>
          </w:tcPr>
          <w:p w14:paraId="4E596616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1.09 (1.02-1.16, p=0.009)</w:t>
            </w:r>
          </w:p>
        </w:tc>
        <w:tc>
          <w:tcPr>
            <w:tcW w:w="1861" w:type="dxa"/>
            <w:noWrap/>
            <w:hideMark/>
          </w:tcPr>
          <w:p w14:paraId="56AE4AC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1.12 (1.05-1.21, p=0.001)</w:t>
            </w:r>
          </w:p>
        </w:tc>
        <w:tc>
          <w:tcPr>
            <w:tcW w:w="1860" w:type="dxa"/>
            <w:noWrap/>
            <w:hideMark/>
          </w:tcPr>
          <w:p w14:paraId="7776DC79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5F512A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1FC0D512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4CBA160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Cellulitis</w:t>
            </w:r>
          </w:p>
        </w:tc>
        <w:tc>
          <w:tcPr>
            <w:tcW w:w="1861" w:type="dxa"/>
            <w:noWrap/>
            <w:hideMark/>
          </w:tcPr>
          <w:p w14:paraId="52FAC075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1860" w:type="dxa"/>
            <w:noWrap/>
            <w:hideMark/>
          </w:tcPr>
          <w:p w14:paraId="78B62783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F16B2B7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24D3068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EAD254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637B16C3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425231D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3A2B130E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3BADC98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72AD90E0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Yes</w:t>
            </w:r>
          </w:p>
        </w:tc>
        <w:tc>
          <w:tcPr>
            <w:tcW w:w="1860" w:type="dxa"/>
            <w:noWrap/>
            <w:hideMark/>
          </w:tcPr>
          <w:p w14:paraId="079BE38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274792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49588F1B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2.34 (1.73-3.20, p&lt;0.001)</w:t>
            </w:r>
          </w:p>
        </w:tc>
        <w:tc>
          <w:tcPr>
            <w:tcW w:w="1861" w:type="dxa"/>
            <w:noWrap/>
            <w:hideMark/>
          </w:tcPr>
          <w:p w14:paraId="6576D2A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2.22 (1.58-3.13, p&lt;0.001)</w:t>
            </w:r>
          </w:p>
        </w:tc>
        <w:tc>
          <w:tcPr>
            <w:tcW w:w="1860" w:type="dxa"/>
            <w:noWrap/>
            <w:hideMark/>
          </w:tcPr>
          <w:p w14:paraId="1A7C4B54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1.58 (1.02-2.50, p=0.043)</w:t>
            </w:r>
          </w:p>
        </w:tc>
        <w:tc>
          <w:tcPr>
            <w:tcW w:w="1861" w:type="dxa"/>
            <w:noWrap/>
            <w:hideMark/>
          </w:tcPr>
          <w:p w14:paraId="2D629641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1.39 (0.85-2.28, p=0.194)</w:t>
            </w:r>
          </w:p>
        </w:tc>
      </w:tr>
      <w:tr w:rsidR="00930EE7" w:rsidRPr="00930EE7" w14:paraId="05671F1B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186D8F4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Timing of Presentation</w:t>
            </w:r>
          </w:p>
        </w:tc>
        <w:tc>
          <w:tcPr>
            <w:tcW w:w="1861" w:type="dxa"/>
            <w:noWrap/>
            <w:hideMark/>
          </w:tcPr>
          <w:p w14:paraId="4D3DCC73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Daytime (0800-1659)</w:t>
            </w:r>
          </w:p>
        </w:tc>
        <w:tc>
          <w:tcPr>
            <w:tcW w:w="1860" w:type="dxa"/>
            <w:noWrap/>
            <w:hideMark/>
          </w:tcPr>
          <w:p w14:paraId="56D9406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7879297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570FA463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E225BA2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57221E62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2F468D9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2CF709D6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0211337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6FEB1EF6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Out of hours/evening (1700-2159)</w:t>
            </w:r>
          </w:p>
        </w:tc>
        <w:tc>
          <w:tcPr>
            <w:tcW w:w="1860" w:type="dxa"/>
            <w:noWrap/>
            <w:hideMark/>
          </w:tcPr>
          <w:p w14:paraId="2A0FB87B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0.70 (0.46-1.07, p=0.108)</w:t>
            </w:r>
          </w:p>
        </w:tc>
        <w:tc>
          <w:tcPr>
            <w:tcW w:w="1861" w:type="dxa"/>
            <w:noWrap/>
            <w:hideMark/>
          </w:tcPr>
          <w:p w14:paraId="38251CED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0.70 (0.44-1.12, p=0.141)</w:t>
            </w:r>
          </w:p>
        </w:tc>
        <w:tc>
          <w:tcPr>
            <w:tcW w:w="1860" w:type="dxa"/>
            <w:noWrap/>
            <w:hideMark/>
          </w:tcPr>
          <w:p w14:paraId="02D38C9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8C42956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6872847C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C517B6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36E82C26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C41292A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0AD5029C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Out of hours/night (2200-0759)</w:t>
            </w:r>
          </w:p>
        </w:tc>
        <w:tc>
          <w:tcPr>
            <w:tcW w:w="1860" w:type="dxa"/>
            <w:noWrap/>
            <w:hideMark/>
          </w:tcPr>
          <w:p w14:paraId="28D1BFB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0.55 (0.31-0.94, p=0.033)</w:t>
            </w:r>
          </w:p>
        </w:tc>
        <w:tc>
          <w:tcPr>
            <w:tcW w:w="1861" w:type="dxa"/>
            <w:noWrap/>
            <w:hideMark/>
          </w:tcPr>
          <w:p w14:paraId="11B3927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0.59 (0.31-1.10, p=0.095)</w:t>
            </w:r>
          </w:p>
        </w:tc>
        <w:tc>
          <w:tcPr>
            <w:tcW w:w="1860" w:type="dxa"/>
            <w:noWrap/>
            <w:hideMark/>
          </w:tcPr>
          <w:p w14:paraId="3105A1D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01D7B35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460C878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9B7453D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28535C9D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3F2725E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Antibiotics prior to presentation</w:t>
            </w:r>
          </w:p>
        </w:tc>
        <w:tc>
          <w:tcPr>
            <w:tcW w:w="1861" w:type="dxa"/>
            <w:noWrap/>
            <w:hideMark/>
          </w:tcPr>
          <w:p w14:paraId="071A3B58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1860" w:type="dxa"/>
            <w:noWrap/>
            <w:hideMark/>
          </w:tcPr>
          <w:p w14:paraId="1463657B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438D03D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5299829C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6347B54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066C2B7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ECD62C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1D5247B3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114B14E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31E2AEA4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Yes</w:t>
            </w:r>
          </w:p>
        </w:tc>
        <w:tc>
          <w:tcPr>
            <w:tcW w:w="1860" w:type="dxa"/>
            <w:noWrap/>
            <w:hideMark/>
          </w:tcPr>
          <w:p w14:paraId="605290FC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A90F15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058819C9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0.76 (0.58-1.00, p=0.055)</w:t>
            </w:r>
          </w:p>
        </w:tc>
        <w:tc>
          <w:tcPr>
            <w:tcW w:w="1861" w:type="dxa"/>
            <w:noWrap/>
            <w:hideMark/>
          </w:tcPr>
          <w:p w14:paraId="5151F2CF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0.83 (0.61-1.13, p=0.231)</w:t>
            </w:r>
          </w:p>
        </w:tc>
        <w:tc>
          <w:tcPr>
            <w:tcW w:w="1860" w:type="dxa"/>
            <w:noWrap/>
            <w:hideMark/>
          </w:tcPr>
          <w:p w14:paraId="4FDCD148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555881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065AFB30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B0662B6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Antibiotics between presentation and surgery</w:t>
            </w:r>
          </w:p>
        </w:tc>
        <w:tc>
          <w:tcPr>
            <w:tcW w:w="1861" w:type="dxa"/>
            <w:noWrap/>
            <w:hideMark/>
          </w:tcPr>
          <w:p w14:paraId="5F05AC3E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1860" w:type="dxa"/>
            <w:noWrap/>
            <w:hideMark/>
          </w:tcPr>
          <w:p w14:paraId="77ADB55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E12BD3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0FF2F06F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5FE7DEE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3F3208B9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D85856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4726A1EA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B631A34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53F13ED1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Yes</w:t>
            </w:r>
          </w:p>
        </w:tc>
        <w:tc>
          <w:tcPr>
            <w:tcW w:w="1860" w:type="dxa"/>
            <w:noWrap/>
            <w:hideMark/>
          </w:tcPr>
          <w:p w14:paraId="6903B09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D997FF2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14CE358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3.81 (2.83-5.17, p&lt;0.001)</w:t>
            </w:r>
          </w:p>
        </w:tc>
        <w:tc>
          <w:tcPr>
            <w:tcW w:w="1861" w:type="dxa"/>
            <w:noWrap/>
            <w:hideMark/>
          </w:tcPr>
          <w:p w14:paraId="45E7D12F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4.16 (2.97-5.84, p&lt;0.001)</w:t>
            </w:r>
          </w:p>
        </w:tc>
        <w:tc>
          <w:tcPr>
            <w:tcW w:w="1860" w:type="dxa"/>
            <w:noWrap/>
            <w:hideMark/>
          </w:tcPr>
          <w:p w14:paraId="6950D5CF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D2748F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2CD89AEB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01E6FB7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Timing of Surgery</w:t>
            </w:r>
          </w:p>
        </w:tc>
        <w:tc>
          <w:tcPr>
            <w:tcW w:w="1861" w:type="dxa"/>
            <w:noWrap/>
            <w:hideMark/>
          </w:tcPr>
          <w:p w14:paraId="1AB093ED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Surgery performed at first hospital presentation</w:t>
            </w:r>
          </w:p>
        </w:tc>
        <w:tc>
          <w:tcPr>
            <w:tcW w:w="1860" w:type="dxa"/>
            <w:noWrap/>
            <w:hideMark/>
          </w:tcPr>
          <w:p w14:paraId="0327B9C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60EB021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1C87BB9B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E34FD15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71DDC4F3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3D9929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0F77C450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CBC05D6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24389BC4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Surgery performed at planned return presentation</w:t>
            </w:r>
          </w:p>
        </w:tc>
        <w:tc>
          <w:tcPr>
            <w:tcW w:w="1860" w:type="dxa"/>
            <w:noWrap/>
            <w:hideMark/>
          </w:tcPr>
          <w:p w14:paraId="2ABC6A72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94C72C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24DB19B3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0.59 (0.43-0.80, p=0.001)</w:t>
            </w:r>
          </w:p>
        </w:tc>
        <w:tc>
          <w:tcPr>
            <w:tcW w:w="1861" w:type="dxa"/>
            <w:noWrap/>
            <w:hideMark/>
          </w:tcPr>
          <w:p w14:paraId="0475BBB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0.57 (0.40-0.81, p=0.002)</w:t>
            </w:r>
          </w:p>
        </w:tc>
        <w:tc>
          <w:tcPr>
            <w:tcW w:w="1860" w:type="dxa"/>
            <w:noWrap/>
            <w:hideMark/>
          </w:tcPr>
          <w:p w14:paraId="33AF7DED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E7EBF2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4DC0D8BB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0B2EAD6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>Surgical Setting</w:t>
            </w:r>
          </w:p>
        </w:tc>
        <w:tc>
          <w:tcPr>
            <w:tcW w:w="1861" w:type="dxa"/>
            <w:noWrap/>
            <w:hideMark/>
          </w:tcPr>
          <w:p w14:paraId="6AE7C8F0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Operating Room</w:t>
            </w:r>
          </w:p>
        </w:tc>
        <w:tc>
          <w:tcPr>
            <w:tcW w:w="1860" w:type="dxa"/>
            <w:noWrap/>
            <w:hideMark/>
          </w:tcPr>
          <w:p w14:paraId="59149E0B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6FFDEF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2118A05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48CAF1F5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2CB11620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0AAA677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930EE7" w:rsidRPr="00930EE7" w14:paraId="7B78340A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A474BEE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1C38ED0A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Emergency Department</w:t>
            </w:r>
          </w:p>
        </w:tc>
        <w:tc>
          <w:tcPr>
            <w:tcW w:w="1860" w:type="dxa"/>
            <w:noWrap/>
            <w:hideMark/>
          </w:tcPr>
          <w:p w14:paraId="4EEA4A9C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0D3D226F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7D5EB50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35545418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7F2AE22C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0.24 (0.06-1.11, p=0.054)</w:t>
            </w:r>
          </w:p>
        </w:tc>
        <w:tc>
          <w:tcPr>
            <w:tcW w:w="1861" w:type="dxa"/>
            <w:noWrap/>
            <w:hideMark/>
          </w:tcPr>
          <w:p w14:paraId="2B33C0CD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0.17 (0.03-0.80, p=0.025)</w:t>
            </w:r>
          </w:p>
        </w:tc>
      </w:tr>
      <w:tr w:rsidR="00D321F7" w:rsidRPr="00930EE7" w14:paraId="7D6EAF84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D714CFB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0EA32203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Ward/Treatment Area</w:t>
            </w:r>
          </w:p>
        </w:tc>
        <w:tc>
          <w:tcPr>
            <w:tcW w:w="1860" w:type="dxa"/>
            <w:noWrap/>
            <w:hideMark/>
          </w:tcPr>
          <w:p w14:paraId="235C84FD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2F66A4B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0FC9F346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1868265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30453ED9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0.56 (0.36-0.86, p=0.008)</w:t>
            </w:r>
          </w:p>
        </w:tc>
        <w:tc>
          <w:tcPr>
            <w:tcW w:w="1861" w:type="dxa"/>
            <w:noWrap/>
            <w:hideMark/>
          </w:tcPr>
          <w:p w14:paraId="6B88E2B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0.47 (0.28-0.79, p=0.004)</w:t>
            </w:r>
          </w:p>
        </w:tc>
      </w:tr>
      <w:tr w:rsidR="00930EE7" w:rsidRPr="00930EE7" w14:paraId="72D0FC25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A5052C4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  <w:r w:rsidRPr="00053FD0">
              <w:rPr>
                <w:sz w:val="12"/>
                <w:szCs w:val="12"/>
              </w:rPr>
              <w:t xml:space="preserve">Primary operator </w:t>
            </w:r>
          </w:p>
        </w:tc>
        <w:tc>
          <w:tcPr>
            <w:tcW w:w="1861" w:type="dxa"/>
            <w:noWrap/>
            <w:hideMark/>
          </w:tcPr>
          <w:p w14:paraId="1683EDC4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Consultant</w:t>
            </w:r>
          </w:p>
        </w:tc>
        <w:tc>
          <w:tcPr>
            <w:tcW w:w="1860" w:type="dxa"/>
            <w:noWrap/>
            <w:hideMark/>
          </w:tcPr>
          <w:p w14:paraId="5E453365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1FD19691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4689E93B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33C54AE2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32D6A0C3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6EE2187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</w:tr>
      <w:tr w:rsidR="00D321F7" w:rsidRPr="00930EE7" w14:paraId="3D23B346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66607C2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2344821B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Junior Surgical Trainee (FY1-CT2, Clinical Fellow)</w:t>
            </w:r>
          </w:p>
        </w:tc>
        <w:tc>
          <w:tcPr>
            <w:tcW w:w="1860" w:type="dxa"/>
            <w:noWrap/>
            <w:hideMark/>
          </w:tcPr>
          <w:p w14:paraId="16401D7A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0.41 (0.21-0.78, p=0.007)</w:t>
            </w:r>
          </w:p>
        </w:tc>
        <w:tc>
          <w:tcPr>
            <w:tcW w:w="1861" w:type="dxa"/>
            <w:noWrap/>
            <w:hideMark/>
          </w:tcPr>
          <w:p w14:paraId="34B798BA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0.47 (0.21-1.03, p=0.058)</w:t>
            </w:r>
          </w:p>
        </w:tc>
        <w:tc>
          <w:tcPr>
            <w:tcW w:w="1860" w:type="dxa"/>
            <w:noWrap/>
            <w:hideMark/>
          </w:tcPr>
          <w:p w14:paraId="026AF562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C5473F6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2EF18986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0.39 (0.14-0.92, p=0.047)</w:t>
            </w:r>
          </w:p>
        </w:tc>
        <w:tc>
          <w:tcPr>
            <w:tcW w:w="1861" w:type="dxa"/>
            <w:noWrap/>
            <w:hideMark/>
          </w:tcPr>
          <w:p w14:paraId="0335AC68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0.68 (0.24-1.95, p=0.478)</w:t>
            </w:r>
          </w:p>
        </w:tc>
      </w:tr>
      <w:tr w:rsidR="00930EE7" w:rsidRPr="00930EE7" w14:paraId="4C13D366" w14:textId="77777777" w:rsidTr="00AB76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DA165B1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53C6F8F0" w14:textId="77777777" w:rsidR="003F73E3" w:rsidRPr="00053FD0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Nurse practitioner</w:t>
            </w:r>
          </w:p>
        </w:tc>
        <w:tc>
          <w:tcPr>
            <w:tcW w:w="1860" w:type="dxa"/>
            <w:noWrap/>
            <w:hideMark/>
          </w:tcPr>
          <w:p w14:paraId="1348ED86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26.19 (4.58-502.93, p=0.003)</w:t>
            </w:r>
          </w:p>
        </w:tc>
        <w:tc>
          <w:tcPr>
            <w:tcW w:w="1861" w:type="dxa"/>
            <w:noWrap/>
            <w:hideMark/>
          </w:tcPr>
          <w:p w14:paraId="6FCCFB74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27.68 (2.84-270.28, p=0.004)</w:t>
            </w:r>
          </w:p>
        </w:tc>
        <w:tc>
          <w:tcPr>
            <w:tcW w:w="1860" w:type="dxa"/>
            <w:noWrap/>
            <w:hideMark/>
          </w:tcPr>
          <w:p w14:paraId="25D77FD0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574F0CFA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0EB1B86D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0.43 (0.13-1.30, p=0.145)</w:t>
            </w:r>
          </w:p>
        </w:tc>
        <w:tc>
          <w:tcPr>
            <w:tcW w:w="1861" w:type="dxa"/>
            <w:noWrap/>
            <w:hideMark/>
          </w:tcPr>
          <w:p w14:paraId="52FCECC3" w14:textId="77777777" w:rsidR="003F73E3" w:rsidRPr="00930EE7" w:rsidRDefault="003F73E3" w:rsidP="00AB76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0.70 (0.19-2.60, p=0.590)</w:t>
            </w:r>
          </w:p>
        </w:tc>
      </w:tr>
      <w:tr w:rsidR="00D321F7" w:rsidRPr="00930EE7" w14:paraId="53F9247E" w14:textId="77777777" w:rsidTr="00AB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FA1D2BD" w14:textId="77777777" w:rsidR="003F73E3" w:rsidRPr="00053FD0" w:rsidRDefault="003F73E3" w:rsidP="00AB76A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861" w:type="dxa"/>
            <w:noWrap/>
            <w:hideMark/>
          </w:tcPr>
          <w:p w14:paraId="6E1E589A" w14:textId="77777777" w:rsidR="003F73E3" w:rsidRPr="00053FD0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053FD0">
              <w:rPr>
                <w:i/>
                <w:iCs/>
                <w:sz w:val="12"/>
                <w:szCs w:val="12"/>
              </w:rPr>
              <w:t>Senior Surgical Trainee (ST3-8, Senior Fellow)</w:t>
            </w:r>
          </w:p>
        </w:tc>
        <w:tc>
          <w:tcPr>
            <w:tcW w:w="1860" w:type="dxa"/>
            <w:noWrap/>
            <w:hideMark/>
          </w:tcPr>
          <w:p w14:paraId="1D39F1C6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0.22 (0.11-0.41, p&lt;0.001)</w:t>
            </w:r>
          </w:p>
        </w:tc>
        <w:tc>
          <w:tcPr>
            <w:tcW w:w="1861" w:type="dxa"/>
            <w:noWrap/>
            <w:hideMark/>
          </w:tcPr>
          <w:p w14:paraId="52FD0D13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0.27 (0.12-0.59, p=0.001)</w:t>
            </w:r>
          </w:p>
        </w:tc>
        <w:tc>
          <w:tcPr>
            <w:tcW w:w="1860" w:type="dxa"/>
            <w:noWrap/>
            <w:hideMark/>
          </w:tcPr>
          <w:p w14:paraId="50EB6B11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1" w:type="dxa"/>
            <w:noWrap/>
            <w:hideMark/>
          </w:tcPr>
          <w:p w14:paraId="72774ADB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-</w:t>
            </w:r>
          </w:p>
        </w:tc>
        <w:tc>
          <w:tcPr>
            <w:tcW w:w="1860" w:type="dxa"/>
            <w:noWrap/>
            <w:hideMark/>
          </w:tcPr>
          <w:p w14:paraId="657FB209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0.77 (0.27-1.84, p=0.577)</w:t>
            </w:r>
          </w:p>
        </w:tc>
        <w:tc>
          <w:tcPr>
            <w:tcW w:w="1861" w:type="dxa"/>
            <w:noWrap/>
            <w:hideMark/>
          </w:tcPr>
          <w:p w14:paraId="6EDDF47C" w14:textId="77777777" w:rsidR="003F73E3" w:rsidRPr="00930EE7" w:rsidRDefault="003F73E3" w:rsidP="00AB76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30EE7">
              <w:rPr>
                <w:sz w:val="12"/>
                <w:szCs w:val="12"/>
              </w:rPr>
              <w:t>1.00 (0.35-2.86, p=1.000)</w:t>
            </w:r>
          </w:p>
        </w:tc>
      </w:tr>
    </w:tbl>
    <w:p w14:paraId="40C0A907" w14:textId="47582065" w:rsidR="00AB76AB" w:rsidRPr="00AB76AB" w:rsidRDefault="00AB76AB">
      <w:pPr>
        <w:rPr>
          <w:rFonts w:ascii="Arial" w:hAnsi="Arial" w:cs="Arial"/>
          <w:b/>
          <w:bCs/>
        </w:rPr>
      </w:pPr>
      <w:r w:rsidRPr="00AB76AB">
        <w:rPr>
          <w:rFonts w:ascii="Arial" w:hAnsi="Arial" w:cs="Arial"/>
          <w:b/>
          <w:bCs/>
        </w:rPr>
        <w:t>Table S2 – Models exploring centre-level variation</w:t>
      </w:r>
    </w:p>
    <w:p w14:paraId="7770F893" w14:textId="77777777" w:rsidR="00AB76AB" w:rsidRPr="00AB76AB" w:rsidRDefault="00AB76AB">
      <w:pPr>
        <w:rPr>
          <w:rFonts w:ascii="Arial" w:hAnsi="Arial" w:cs="Arial"/>
          <w:i/>
          <w:iCs/>
          <w:sz w:val="18"/>
          <w:szCs w:val="18"/>
        </w:rPr>
      </w:pPr>
    </w:p>
    <w:p w14:paraId="2D062AA7" w14:textId="77777777" w:rsidR="0049257D" w:rsidRDefault="00930EE7" w:rsidP="00AB76AB">
      <w:pPr>
        <w:ind w:right="-926"/>
        <w:rPr>
          <w:rFonts w:ascii="Arial" w:hAnsi="Arial" w:cs="Arial"/>
          <w:i/>
          <w:iCs/>
          <w:sz w:val="18"/>
          <w:szCs w:val="18"/>
        </w:rPr>
        <w:sectPr w:rsidR="0049257D" w:rsidSect="00D24349">
          <w:pgSz w:w="16838" w:h="11906" w:orient="landscape"/>
          <w:pgMar w:top="1440" w:right="1440" w:bottom="1004" w:left="1440" w:header="709" w:footer="709" w:gutter="0"/>
          <w:cols w:space="708"/>
          <w:docGrid w:linePitch="360"/>
        </w:sectPr>
      </w:pPr>
      <w:r w:rsidRPr="00AB76AB">
        <w:rPr>
          <w:rFonts w:ascii="Arial" w:hAnsi="Arial" w:cs="Arial"/>
          <w:i/>
          <w:iCs/>
          <w:sz w:val="18"/>
          <w:szCs w:val="18"/>
        </w:rPr>
        <w:t xml:space="preserve">Multivariable models were developed to predict anaesthetic type, </w:t>
      </w:r>
      <w:r w:rsidR="00AB76AB" w:rsidRPr="00AB76AB">
        <w:rPr>
          <w:rFonts w:ascii="Arial" w:hAnsi="Arial" w:cs="Arial"/>
          <w:i/>
          <w:iCs/>
          <w:sz w:val="18"/>
          <w:szCs w:val="18"/>
        </w:rPr>
        <w:t xml:space="preserve">the use of </w:t>
      </w:r>
      <w:r w:rsidRPr="00AB76AB">
        <w:rPr>
          <w:rFonts w:ascii="Arial" w:hAnsi="Arial" w:cs="Arial"/>
          <w:i/>
          <w:iCs/>
          <w:sz w:val="18"/>
          <w:szCs w:val="18"/>
        </w:rPr>
        <w:t>post-operative antibiotics</w:t>
      </w:r>
      <w:r w:rsidR="00AB76AB" w:rsidRPr="00AB76AB">
        <w:rPr>
          <w:rFonts w:ascii="Arial" w:hAnsi="Arial" w:cs="Arial"/>
          <w:i/>
          <w:iCs/>
          <w:sz w:val="18"/>
          <w:szCs w:val="18"/>
        </w:rPr>
        <w:t>,</w:t>
      </w:r>
      <w:r w:rsidRPr="00AB76AB">
        <w:rPr>
          <w:rFonts w:ascii="Arial" w:hAnsi="Arial" w:cs="Arial"/>
          <w:i/>
          <w:iCs/>
          <w:sz w:val="18"/>
          <w:szCs w:val="18"/>
        </w:rPr>
        <w:t xml:space="preserve"> and abscess packing, </w:t>
      </w:r>
      <w:r w:rsidR="00AB76AB" w:rsidRPr="00AB76AB">
        <w:rPr>
          <w:rFonts w:ascii="Arial" w:hAnsi="Arial" w:cs="Arial"/>
          <w:i/>
          <w:iCs/>
          <w:sz w:val="18"/>
          <w:szCs w:val="18"/>
        </w:rPr>
        <w:t>according to the Methods</w:t>
      </w:r>
      <w:r w:rsidRPr="00AB76AB">
        <w:rPr>
          <w:rFonts w:ascii="Arial" w:hAnsi="Arial" w:cs="Arial"/>
          <w:i/>
          <w:iCs/>
          <w:sz w:val="18"/>
          <w:szCs w:val="18"/>
        </w:rPr>
        <w:t>. Patient</w:t>
      </w:r>
      <w:r w:rsidR="00AB76AB" w:rsidRPr="00AB76AB">
        <w:rPr>
          <w:rFonts w:ascii="Arial" w:hAnsi="Arial" w:cs="Arial"/>
          <w:i/>
          <w:iCs/>
          <w:sz w:val="18"/>
          <w:szCs w:val="18"/>
        </w:rPr>
        <w:t>-</w:t>
      </w:r>
      <w:r w:rsidRPr="00AB76AB">
        <w:rPr>
          <w:rFonts w:ascii="Arial" w:hAnsi="Arial" w:cs="Arial"/>
          <w:i/>
          <w:iCs/>
          <w:sz w:val="18"/>
          <w:szCs w:val="18"/>
        </w:rPr>
        <w:t xml:space="preserve">level factors were run with and without a centre level variable (multivariable and </w:t>
      </w:r>
      <w:r w:rsidR="00AB76AB" w:rsidRPr="00AB76AB">
        <w:rPr>
          <w:rFonts w:ascii="Arial" w:hAnsi="Arial" w:cs="Arial"/>
          <w:i/>
          <w:iCs/>
          <w:sz w:val="18"/>
          <w:szCs w:val="18"/>
        </w:rPr>
        <w:t>multilevel</w:t>
      </w:r>
      <w:r w:rsidRPr="00AB76AB">
        <w:rPr>
          <w:rFonts w:ascii="Arial" w:hAnsi="Arial" w:cs="Arial"/>
          <w:i/>
          <w:iCs/>
          <w:sz w:val="18"/>
          <w:szCs w:val="18"/>
        </w:rPr>
        <w:t xml:space="preserve"> models). </w:t>
      </w:r>
      <w:r w:rsidR="00AB76AB" w:rsidRPr="00AB76AB">
        <w:rPr>
          <w:rFonts w:ascii="Arial" w:hAnsi="Arial" w:cs="Arial"/>
          <w:i/>
          <w:iCs/>
          <w:sz w:val="18"/>
          <w:szCs w:val="18"/>
        </w:rPr>
        <w:t>P</w:t>
      </w:r>
      <w:r w:rsidRPr="00AB76AB">
        <w:rPr>
          <w:rFonts w:ascii="Arial" w:hAnsi="Arial" w:cs="Arial"/>
          <w:i/>
          <w:iCs/>
          <w:sz w:val="18"/>
          <w:szCs w:val="18"/>
        </w:rPr>
        <w:t>-values from likelihood ratio tests comparing models with and without centre level variables were: Anaesthetic type p&lt;0.0</w:t>
      </w:r>
      <w:r w:rsidR="002D3F7B" w:rsidRPr="00AB76AB">
        <w:rPr>
          <w:rFonts w:ascii="Arial" w:hAnsi="Arial" w:cs="Arial"/>
          <w:i/>
          <w:iCs/>
          <w:sz w:val="18"/>
          <w:szCs w:val="18"/>
        </w:rPr>
        <w:t>01</w:t>
      </w:r>
      <w:r w:rsidRPr="00AB76AB">
        <w:rPr>
          <w:rFonts w:ascii="Arial" w:hAnsi="Arial" w:cs="Arial"/>
          <w:i/>
          <w:iCs/>
          <w:sz w:val="18"/>
          <w:szCs w:val="18"/>
        </w:rPr>
        <w:t>, Post-operative antibiotics p&lt;0.0</w:t>
      </w:r>
      <w:r w:rsidR="002D3F7B" w:rsidRPr="00AB76AB">
        <w:rPr>
          <w:rFonts w:ascii="Arial" w:hAnsi="Arial" w:cs="Arial"/>
          <w:i/>
          <w:iCs/>
          <w:sz w:val="18"/>
          <w:szCs w:val="18"/>
        </w:rPr>
        <w:t>01</w:t>
      </w:r>
      <w:r w:rsidRPr="00AB76AB">
        <w:rPr>
          <w:rFonts w:ascii="Arial" w:hAnsi="Arial" w:cs="Arial"/>
          <w:i/>
          <w:iCs/>
          <w:sz w:val="18"/>
          <w:szCs w:val="18"/>
        </w:rPr>
        <w:t>, abscess packing p&lt;0.0</w:t>
      </w:r>
      <w:r w:rsidR="002D3F7B" w:rsidRPr="00AB76AB">
        <w:rPr>
          <w:rFonts w:ascii="Arial" w:hAnsi="Arial" w:cs="Arial"/>
          <w:i/>
          <w:iCs/>
          <w:sz w:val="18"/>
          <w:szCs w:val="18"/>
        </w:rPr>
        <w:t>01</w:t>
      </w:r>
    </w:p>
    <w:p w14:paraId="609F09EE" w14:textId="77777777" w:rsidR="0049257D" w:rsidRDefault="0049257D" w:rsidP="0049257D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Appendix S1 – Collaborative Authorship</w:t>
      </w:r>
    </w:p>
    <w:p w14:paraId="504CD151" w14:textId="77777777" w:rsidR="0049257D" w:rsidRDefault="0049257D" w:rsidP="0049257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2E06F2CF" w14:textId="77777777" w:rsidR="0049257D" w:rsidRDefault="0049257D" w:rsidP="0049257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5B9DB5A1" w14:textId="77777777" w:rsidR="0049257D" w:rsidRDefault="0049257D" w:rsidP="0049257D">
      <w:pPr>
        <w:jc w:val="both"/>
        <w:rPr>
          <w:rFonts w:ascii="Arial" w:hAnsi="Arial" w:cs="Arial"/>
          <w:color w:val="000000" w:themeColor="text1"/>
        </w:rPr>
      </w:pPr>
      <w:r w:rsidRPr="007C1F54">
        <w:rPr>
          <w:rFonts w:ascii="Arial" w:hAnsi="Arial" w:cs="Arial"/>
          <w:b/>
          <w:bCs/>
          <w:color w:val="000000" w:themeColor="text1"/>
        </w:rPr>
        <w:t>Study Steering Committee:</w:t>
      </w:r>
      <w:r>
        <w:rPr>
          <w:rFonts w:ascii="Arial" w:hAnsi="Arial" w:cs="Arial"/>
          <w:color w:val="000000" w:themeColor="text1"/>
        </w:rPr>
        <w:t xml:space="preserve"> Chapman SJ*, Burke JR,* Helliwell J, Kowal M, </w:t>
      </w:r>
      <w:proofErr w:type="spellStart"/>
      <w:r>
        <w:rPr>
          <w:rFonts w:ascii="Arial" w:hAnsi="Arial" w:cs="Arial"/>
          <w:color w:val="000000" w:themeColor="text1"/>
        </w:rPr>
        <w:t>Boag</w:t>
      </w:r>
      <w:proofErr w:type="spellEnd"/>
      <w:r>
        <w:rPr>
          <w:rFonts w:ascii="Arial" w:hAnsi="Arial" w:cs="Arial"/>
          <w:color w:val="000000" w:themeColor="text1"/>
        </w:rPr>
        <w:t xml:space="preserve"> K, Ayres M, McMenamin L, Ho T, </w:t>
      </w:r>
      <w:proofErr w:type="spellStart"/>
      <w:r>
        <w:rPr>
          <w:rFonts w:ascii="Arial" w:hAnsi="Arial" w:cs="Arial"/>
          <w:color w:val="000000" w:themeColor="text1"/>
        </w:rPr>
        <w:t>Carr</w:t>
      </w:r>
      <w:proofErr w:type="spellEnd"/>
      <w:r>
        <w:rPr>
          <w:rFonts w:ascii="Arial" w:hAnsi="Arial" w:cs="Arial"/>
          <w:color w:val="000000" w:themeColor="text1"/>
        </w:rPr>
        <w:t xml:space="preserve">-Wilkinson J, Peckham-Cooper A (Leeds Teaching Hospitals NHS Trust), Spackman J (Chesterfield Royal Hospital NHS Foundation Trust), Rashid A, </w:t>
      </w:r>
      <w:proofErr w:type="spellStart"/>
      <w:r>
        <w:rPr>
          <w:rFonts w:ascii="Arial" w:hAnsi="Arial" w:cs="Arial"/>
          <w:color w:val="000000" w:themeColor="text1"/>
        </w:rPr>
        <w:t>Eng</w:t>
      </w:r>
      <w:proofErr w:type="spellEnd"/>
      <w:r>
        <w:rPr>
          <w:rFonts w:ascii="Arial" w:hAnsi="Arial" w:cs="Arial"/>
          <w:color w:val="000000" w:themeColor="text1"/>
        </w:rPr>
        <w:t xml:space="preserve"> K, </w:t>
      </w:r>
      <w:proofErr w:type="spellStart"/>
      <w:r>
        <w:rPr>
          <w:rFonts w:ascii="Arial" w:hAnsi="Arial" w:cs="Arial"/>
          <w:color w:val="000000" w:themeColor="text1"/>
        </w:rPr>
        <w:t>Boodhoo</w:t>
      </w:r>
      <w:proofErr w:type="spellEnd"/>
      <w:r>
        <w:rPr>
          <w:rFonts w:ascii="Arial" w:hAnsi="Arial" w:cs="Arial"/>
          <w:color w:val="000000" w:themeColor="text1"/>
        </w:rPr>
        <w:t xml:space="preserve"> V (Sheffield Teaching Hospitals NHS Foundation Trust), Williams T (Hull York Medical School).</w:t>
      </w:r>
    </w:p>
    <w:p w14:paraId="4C4DD7CD" w14:textId="77777777" w:rsidR="0049257D" w:rsidRDefault="0049257D" w:rsidP="0049257D">
      <w:pPr>
        <w:jc w:val="both"/>
        <w:rPr>
          <w:rFonts w:ascii="Arial" w:hAnsi="Arial" w:cs="Arial"/>
          <w:color w:val="000000" w:themeColor="text1"/>
        </w:rPr>
      </w:pPr>
    </w:p>
    <w:p w14:paraId="615CA60B" w14:textId="77777777" w:rsidR="0049257D" w:rsidRDefault="0049257D" w:rsidP="0049257D">
      <w:pPr>
        <w:jc w:val="both"/>
        <w:rPr>
          <w:rFonts w:ascii="Arial" w:hAnsi="Arial" w:cs="Arial"/>
          <w:color w:val="000000" w:themeColor="text1"/>
        </w:rPr>
      </w:pPr>
      <w:r w:rsidRPr="007C1F54">
        <w:rPr>
          <w:rFonts w:ascii="Arial" w:hAnsi="Arial" w:cs="Arial"/>
          <w:b/>
          <w:bCs/>
          <w:color w:val="000000" w:themeColor="text1"/>
        </w:rPr>
        <w:t>Statistical Guarantor</w:t>
      </w:r>
      <w:r>
        <w:rPr>
          <w:rFonts w:ascii="Arial" w:hAnsi="Arial" w:cs="Arial"/>
          <w:color w:val="000000" w:themeColor="text1"/>
        </w:rPr>
        <w:t xml:space="preserve">: </w:t>
      </w:r>
      <w:proofErr w:type="spellStart"/>
      <w:r>
        <w:rPr>
          <w:rFonts w:ascii="Arial" w:hAnsi="Arial" w:cs="Arial"/>
          <w:color w:val="000000" w:themeColor="text1"/>
        </w:rPr>
        <w:t>Bundred</w:t>
      </w:r>
      <w:proofErr w:type="spellEnd"/>
      <w:r>
        <w:rPr>
          <w:rFonts w:ascii="Arial" w:hAnsi="Arial" w:cs="Arial"/>
          <w:color w:val="000000" w:themeColor="text1"/>
        </w:rPr>
        <w:t xml:space="preserve"> J (Leeds Teaching Hospitals NHS Trust)</w:t>
      </w:r>
    </w:p>
    <w:p w14:paraId="3A5AD448" w14:textId="77777777" w:rsidR="0049257D" w:rsidRDefault="0049257D" w:rsidP="0049257D">
      <w:pPr>
        <w:jc w:val="both"/>
        <w:rPr>
          <w:rFonts w:ascii="Arial" w:hAnsi="Arial" w:cs="Arial"/>
          <w:color w:val="000000" w:themeColor="text1"/>
        </w:rPr>
      </w:pPr>
    </w:p>
    <w:p w14:paraId="498E914B" w14:textId="77777777" w:rsidR="0049257D" w:rsidRDefault="0049257D" w:rsidP="0049257D">
      <w:pPr>
        <w:jc w:val="both"/>
        <w:rPr>
          <w:rFonts w:ascii="Arial" w:hAnsi="Arial" w:cs="Arial"/>
          <w:color w:val="000000" w:themeColor="text1"/>
        </w:rPr>
      </w:pPr>
      <w:r w:rsidRPr="005A3B16">
        <w:rPr>
          <w:rFonts w:ascii="Arial" w:hAnsi="Arial" w:cs="Arial"/>
          <w:b/>
          <w:bCs/>
          <w:color w:val="000000" w:themeColor="text1"/>
        </w:rPr>
        <w:t>Local Leads:</w:t>
      </w:r>
      <w:r>
        <w:rPr>
          <w:rFonts w:ascii="Arial" w:hAnsi="Arial" w:cs="Arial"/>
          <w:color w:val="000000" w:themeColor="text1"/>
        </w:rPr>
        <w:t xml:space="preserve"> Nessa A, Ramsay G (Aberdeen Royal Infirmary), </w:t>
      </w:r>
      <w:proofErr w:type="spellStart"/>
      <w:r>
        <w:rPr>
          <w:rFonts w:ascii="Arial" w:hAnsi="Arial" w:cs="Arial"/>
          <w:color w:val="000000" w:themeColor="text1"/>
        </w:rPr>
        <w:t>Greenlees</w:t>
      </w:r>
      <w:proofErr w:type="spellEnd"/>
      <w:r>
        <w:rPr>
          <w:rFonts w:ascii="Arial" w:hAnsi="Arial" w:cs="Arial"/>
          <w:color w:val="000000" w:themeColor="text1"/>
        </w:rPr>
        <w:t xml:space="preserve"> G, Whittaker L (Airedale General Hospital), </w:t>
      </w:r>
      <w:proofErr w:type="spellStart"/>
      <w:r>
        <w:rPr>
          <w:rFonts w:ascii="Arial" w:hAnsi="Arial" w:cs="Arial"/>
          <w:color w:val="000000" w:themeColor="text1"/>
        </w:rPr>
        <w:t>Pinsker</w:t>
      </w:r>
      <w:proofErr w:type="spellEnd"/>
      <w:r>
        <w:rPr>
          <w:rFonts w:ascii="Arial" w:hAnsi="Arial" w:cs="Arial"/>
          <w:color w:val="000000" w:themeColor="text1"/>
        </w:rPr>
        <w:t xml:space="preserve"> N, Phillips J (Barnsley Hospital), Abu Sayed M, </w:t>
      </w:r>
      <w:proofErr w:type="spellStart"/>
      <w:r>
        <w:rPr>
          <w:rFonts w:ascii="Arial" w:hAnsi="Arial" w:cs="Arial"/>
          <w:color w:val="000000" w:themeColor="text1"/>
        </w:rPr>
        <w:t>Kausar</w:t>
      </w:r>
      <w:proofErr w:type="spellEnd"/>
      <w:r>
        <w:rPr>
          <w:rFonts w:ascii="Arial" w:hAnsi="Arial" w:cs="Arial"/>
          <w:color w:val="000000" w:themeColor="text1"/>
        </w:rPr>
        <w:t xml:space="preserve"> A (Royal Blackburn Teaching Hospital), Spackman J, Ardley R (Chesterfield Royal Hospital NHS Foundation Trust), Rees A, </w:t>
      </w:r>
      <w:proofErr w:type="spellStart"/>
      <w:r>
        <w:rPr>
          <w:rFonts w:ascii="Arial" w:hAnsi="Arial" w:cs="Arial"/>
          <w:color w:val="000000" w:themeColor="text1"/>
        </w:rPr>
        <w:t>Vimalachandran</w:t>
      </w:r>
      <w:proofErr w:type="spellEnd"/>
      <w:r>
        <w:rPr>
          <w:rFonts w:ascii="Arial" w:hAnsi="Arial" w:cs="Arial"/>
          <w:color w:val="000000" w:themeColor="text1"/>
        </w:rPr>
        <w:t xml:space="preserve"> D (Countess of Chester Hospital), Henderson L, Watt D (</w:t>
      </w:r>
      <w:proofErr w:type="spellStart"/>
      <w:r>
        <w:rPr>
          <w:rFonts w:ascii="Arial" w:hAnsi="Arial" w:cs="Arial"/>
          <w:color w:val="000000" w:themeColor="text1"/>
        </w:rPr>
        <w:t>Crosshouse</w:t>
      </w:r>
      <w:proofErr w:type="spellEnd"/>
      <w:r>
        <w:rPr>
          <w:rFonts w:ascii="Arial" w:hAnsi="Arial" w:cs="Arial"/>
          <w:color w:val="000000" w:themeColor="text1"/>
        </w:rPr>
        <w:t xml:space="preserve"> Hospital), </w:t>
      </w:r>
      <w:proofErr w:type="spellStart"/>
      <w:r>
        <w:rPr>
          <w:rFonts w:ascii="Arial" w:hAnsi="Arial" w:cs="Arial"/>
          <w:color w:val="000000" w:themeColor="text1"/>
        </w:rPr>
        <w:t>Miu</w:t>
      </w:r>
      <w:proofErr w:type="spellEnd"/>
      <w:r>
        <w:rPr>
          <w:rFonts w:ascii="Arial" w:hAnsi="Arial" w:cs="Arial"/>
          <w:color w:val="000000" w:themeColor="text1"/>
        </w:rPr>
        <w:t xml:space="preserve"> V, George R (Doncaster Royal Infirmary), English C, Stubbs B (Dorset Country Hospital), </w:t>
      </w:r>
      <w:proofErr w:type="spellStart"/>
      <w:r>
        <w:rPr>
          <w:rFonts w:ascii="Arial" w:hAnsi="Arial" w:cs="Arial"/>
          <w:color w:val="000000" w:themeColor="text1"/>
        </w:rPr>
        <w:t>Adepoju</w:t>
      </w:r>
      <w:proofErr w:type="spellEnd"/>
      <w:r>
        <w:rPr>
          <w:rFonts w:ascii="Arial" w:hAnsi="Arial" w:cs="Arial"/>
          <w:color w:val="000000" w:themeColor="text1"/>
        </w:rPr>
        <w:t xml:space="preserve"> O, Nicol L (Dr Gray’s Hospital), </w:t>
      </w:r>
      <w:proofErr w:type="spellStart"/>
      <w:r>
        <w:rPr>
          <w:rFonts w:ascii="Arial" w:hAnsi="Arial" w:cs="Arial"/>
          <w:color w:val="000000" w:themeColor="text1"/>
        </w:rPr>
        <w:t>Rampersad</w:t>
      </w:r>
      <w:proofErr w:type="spellEnd"/>
      <w:r>
        <w:rPr>
          <w:rFonts w:ascii="Arial" w:hAnsi="Arial" w:cs="Arial"/>
          <w:color w:val="000000" w:themeColor="text1"/>
        </w:rPr>
        <w:t xml:space="preserve"> L, Wilson MSJ (Forth Valley Royal Hospital), Chauhan M, </w:t>
      </w:r>
      <w:proofErr w:type="spellStart"/>
      <w:r>
        <w:rPr>
          <w:rFonts w:ascii="Arial" w:hAnsi="Arial" w:cs="Arial"/>
          <w:color w:val="000000" w:themeColor="text1"/>
        </w:rPr>
        <w:t>Shirol</w:t>
      </w:r>
      <w:proofErr w:type="spellEnd"/>
      <w:r>
        <w:rPr>
          <w:rFonts w:ascii="Arial" w:hAnsi="Arial" w:cs="Arial"/>
          <w:color w:val="000000" w:themeColor="text1"/>
        </w:rPr>
        <w:t xml:space="preserve"> S (Frimley Park Hospital), Abdelkarim M, Ochieng V (Glan Clwyd Hospital), Golder A, Mansouri D (Glasgow Royal Infirmary), Liu D, Walker T (Gloucestershire Hospitals NHS Foundation Trust), El </w:t>
      </w:r>
      <w:proofErr w:type="spellStart"/>
      <w:r>
        <w:rPr>
          <w:rFonts w:ascii="Arial" w:hAnsi="Arial" w:cs="Arial"/>
          <w:color w:val="000000" w:themeColor="text1"/>
        </w:rPr>
        <w:t>Boghdady</w:t>
      </w:r>
      <w:proofErr w:type="spellEnd"/>
      <w:r>
        <w:rPr>
          <w:rFonts w:ascii="Arial" w:hAnsi="Arial" w:cs="Arial"/>
          <w:color w:val="000000" w:themeColor="text1"/>
        </w:rPr>
        <w:t xml:space="preserve"> M, Adams K (Guys and St. Thomas Hospital), Standing H, McNaught C (Harrogate District Hospital), Ramadan W, Harris S (The Hillingdon Hospitals NHS Foundation Trust), </w:t>
      </w:r>
      <w:proofErr w:type="spellStart"/>
      <w:r>
        <w:rPr>
          <w:rFonts w:ascii="Arial" w:hAnsi="Arial" w:cs="Arial"/>
          <w:color w:val="000000" w:themeColor="text1"/>
        </w:rPr>
        <w:t>Ghoneima</w:t>
      </w:r>
      <w:proofErr w:type="spellEnd"/>
      <w:r>
        <w:rPr>
          <w:rFonts w:ascii="Arial" w:hAnsi="Arial" w:cs="Arial"/>
          <w:color w:val="000000" w:themeColor="text1"/>
        </w:rPr>
        <w:t xml:space="preserve"> A, </w:t>
      </w:r>
      <w:proofErr w:type="spellStart"/>
      <w:r>
        <w:rPr>
          <w:rFonts w:ascii="Arial" w:hAnsi="Arial" w:cs="Arial"/>
          <w:color w:val="000000" w:themeColor="text1"/>
        </w:rPr>
        <w:t>Saha</w:t>
      </w:r>
      <w:proofErr w:type="spellEnd"/>
      <w:r>
        <w:rPr>
          <w:rFonts w:ascii="Arial" w:hAnsi="Arial" w:cs="Arial"/>
          <w:color w:val="000000" w:themeColor="text1"/>
        </w:rPr>
        <w:t xml:space="preserve"> A (Huddersfield Royal Infirmary), Choo XY, </w:t>
      </w:r>
      <w:proofErr w:type="spellStart"/>
      <w:r>
        <w:rPr>
          <w:rFonts w:ascii="Arial" w:hAnsi="Arial" w:cs="Arial"/>
          <w:color w:val="000000" w:themeColor="text1"/>
        </w:rPr>
        <w:t>Alwahid</w:t>
      </w:r>
      <w:proofErr w:type="spellEnd"/>
      <w:r>
        <w:rPr>
          <w:rFonts w:ascii="Arial" w:hAnsi="Arial" w:cs="Arial"/>
          <w:color w:val="000000" w:themeColor="text1"/>
        </w:rPr>
        <w:t xml:space="preserve"> M (Inverclyde Royal Hospital), </w:t>
      </w:r>
      <w:proofErr w:type="spellStart"/>
      <w:r>
        <w:rPr>
          <w:rFonts w:ascii="Arial" w:hAnsi="Arial" w:cs="Arial"/>
          <w:color w:val="000000" w:themeColor="text1"/>
        </w:rPr>
        <w:t>Karagiannidis</w:t>
      </w:r>
      <w:proofErr w:type="spellEnd"/>
      <w:r>
        <w:rPr>
          <w:rFonts w:ascii="Arial" w:hAnsi="Arial" w:cs="Arial"/>
          <w:color w:val="000000" w:themeColor="text1"/>
        </w:rPr>
        <w:t xml:space="preserve"> G, Pitt J (Ipswich Hospital NHS Trust), James G, </w:t>
      </w:r>
      <w:proofErr w:type="spellStart"/>
      <w:r>
        <w:rPr>
          <w:rFonts w:ascii="Arial" w:hAnsi="Arial" w:cs="Arial"/>
          <w:color w:val="000000" w:themeColor="text1"/>
        </w:rPr>
        <w:t>Kanakala</w:t>
      </w:r>
      <w:proofErr w:type="spellEnd"/>
      <w:r>
        <w:rPr>
          <w:rFonts w:ascii="Arial" w:hAnsi="Arial" w:cs="Arial"/>
          <w:color w:val="000000" w:themeColor="text1"/>
        </w:rPr>
        <w:t xml:space="preserve"> V (James Cook University Hospital), Down B, Bond-Smith G (John Radcliffe Hospital), Lamidi S, </w:t>
      </w:r>
      <w:proofErr w:type="spellStart"/>
      <w:r>
        <w:rPr>
          <w:rFonts w:ascii="Arial" w:hAnsi="Arial" w:cs="Arial"/>
          <w:color w:val="000000" w:themeColor="text1"/>
        </w:rPr>
        <w:t>Raicu</w:t>
      </w:r>
      <w:proofErr w:type="spellEnd"/>
      <w:r>
        <w:rPr>
          <w:rFonts w:ascii="Arial" w:hAnsi="Arial" w:cs="Arial"/>
          <w:color w:val="000000" w:themeColor="text1"/>
        </w:rPr>
        <w:t xml:space="preserve"> A (Kettering General Hospital), </w:t>
      </w:r>
      <w:proofErr w:type="spellStart"/>
      <w:r>
        <w:rPr>
          <w:rFonts w:ascii="Arial" w:hAnsi="Arial" w:cs="Arial"/>
          <w:color w:val="000000" w:themeColor="text1"/>
        </w:rPr>
        <w:t>Hamadalnile</w:t>
      </w:r>
      <w:proofErr w:type="spellEnd"/>
      <w:r>
        <w:rPr>
          <w:rFonts w:ascii="Arial" w:hAnsi="Arial" w:cs="Arial"/>
          <w:color w:val="000000" w:themeColor="text1"/>
        </w:rPr>
        <w:t xml:space="preserve"> A, Shanti H (Kings College Hospital), </w:t>
      </w:r>
      <w:proofErr w:type="spellStart"/>
      <w:r>
        <w:rPr>
          <w:rFonts w:ascii="Arial" w:hAnsi="Arial" w:cs="Arial"/>
          <w:color w:val="000000" w:themeColor="text1"/>
        </w:rPr>
        <w:t>Sapre</w:t>
      </w:r>
      <w:proofErr w:type="spellEnd"/>
      <w:r>
        <w:rPr>
          <w:rFonts w:ascii="Arial" w:hAnsi="Arial" w:cs="Arial"/>
          <w:color w:val="000000" w:themeColor="text1"/>
        </w:rPr>
        <w:t xml:space="preserve"> D, Gemmill E (Kings Mill Hospital), Chung WY, Samarakoon LB (Leicester Royal Infirmary), Ingram-Walpole S, </w:t>
      </w:r>
      <w:proofErr w:type="spellStart"/>
      <w:r w:rsidRPr="00FB58B4">
        <w:rPr>
          <w:rFonts w:ascii="Arial" w:hAnsi="Arial" w:cs="Arial"/>
          <w:color w:val="000000" w:themeColor="text1"/>
        </w:rPr>
        <w:t>Macutkiewicz</w:t>
      </w:r>
      <w:proofErr w:type="spellEnd"/>
      <w:r>
        <w:rPr>
          <w:rFonts w:ascii="Arial" w:hAnsi="Arial" w:cs="Arial"/>
          <w:color w:val="000000" w:themeColor="text1"/>
        </w:rPr>
        <w:t xml:space="preserve"> C (Manchester Royal Infirmary), </w:t>
      </w:r>
      <w:proofErr w:type="spellStart"/>
      <w:r>
        <w:rPr>
          <w:rFonts w:ascii="Arial" w:hAnsi="Arial" w:cs="Arial"/>
          <w:color w:val="000000" w:themeColor="text1"/>
        </w:rPr>
        <w:t>Oo</w:t>
      </w:r>
      <w:proofErr w:type="spellEnd"/>
      <w:r>
        <w:rPr>
          <w:rFonts w:ascii="Arial" w:hAnsi="Arial" w:cs="Arial"/>
          <w:color w:val="000000" w:themeColor="text1"/>
        </w:rPr>
        <w:t xml:space="preserve"> S, Harries R (Morriston Hospital), El-</w:t>
      </w:r>
      <w:proofErr w:type="spellStart"/>
      <w:r>
        <w:rPr>
          <w:rFonts w:ascii="Arial" w:hAnsi="Arial" w:cs="Arial"/>
          <w:color w:val="000000" w:themeColor="text1"/>
        </w:rPr>
        <w:t>Kharbotly</w:t>
      </w:r>
      <w:proofErr w:type="spellEnd"/>
      <w:r>
        <w:rPr>
          <w:rFonts w:ascii="Arial" w:hAnsi="Arial" w:cs="Arial"/>
          <w:color w:val="000000" w:themeColor="text1"/>
        </w:rPr>
        <w:t xml:space="preserve"> I, Bashir G (Newham University Hospital), </w:t>
      </w:r>
      <w:proofErr w:type="spellStart"/>
      <w:r>
        <w:rPr>
          <w:rFonts w:ascii="Arial" w:hAnsi="Arial" w:cs="Arial"/>
          <w:color w:val="000000" w:themeColor="text1"/>
        </w:rPr>
        <w:t>Adesuyi</w:t>
      </w:r>
      <w:proofErr w:type="spellEnd"/>
      <w:r>
        <w:rPr>
          <w:rFonts w:ascii="Arial" w:hAnsi="Arial" w:cs="Arial"/>
          <w:color w:val="000000" w:themeColor="text1"/>
        </w:rPr>
        <w:t xml:space="preserve"> A, Arain A (North Devon District Hospital), </w:t>
      </w:r>
      <w:proofErr w:type="spellStart"/>
      <w:r>
        <w:rPr>
          <w:rFonts w:ascii="Arial" w:hAnsi="Arial" w:cs="Arial"/>
          <w:color w:val="000000" w:themeColor="text1"/>
        </w:rPr>
        <w:t>Abbud</w:t>
      </w:r>
      <w:proofErr w:type="spellEnd"/>
      <w:r>
        <w:rPr>
          <w:rFonts w:ascii="Arial" w:hAnsi="Arial" w:cs="Arial"/>
          <w:color w:val="000000" w:themeColor="text1"/>
        </w:rPr>
        <w:t xml:space="preserve"> N, Shah N (Northern General Hospital), </w:t>
      </w:r>
      <w:proofErr w:type="spellStart"/>
      <w:r>
        <w:rPr>
          <w:rFonts w:ascii="Arial" w:hAnsi="Arial" w:cs="Arial"/>
          <w:color w:val="000000" w:themeColor="text1"/>
        </w:rPr>
        <w:t>Shalaby</w:t>
      </w:r>
      <w:proofErr w:type="spellEnd"/>
      <w:r>
        <w:rPr>
          <w:rFonts w:ascii="Arial" w:hAnsi="Arial" w:cs="Arial"/>
          <w:color w:val="000000" w:themeColor="text1"/>
        </w:rPr>
        <w:t xml:space="preserve"> A, Appleton B (Princess of Wales Hospital), </w:t>
      </w:r>
      <w:proofErr w:type="spellStart"/>
      <w:r>
        <w:rPr>
          <w:rFonts w:ascii="Arial" w:hAnsi="Arial" w:cs="Arial"/>
          <w:color w:val="000000" w:themeColor="text1"/>
        </w:rPr>
        <w:t>Dolaszynska</w:t>
      </w:r>
      <w:proofErr w:type="spellEnd"/>
      <w:r>
        <w:rPr>
          <w:rFonts w:ascii="Arial" w:hAnsi="Arial" w:cs="Arial"/>
          <w:color w:val="000000" w:themeColor="text1"/>
        </w:rPr>
        <w:t xml:space="preserve"> B (Queen Elizabeth Hospital, Gateshead), </w:t>
      </w:r>
      <w:proofErr w:type="spellStart"/>
      <w:r>
        <w:rPr>
          <w:rFonts w:ascii="Arial" w:hAnsi="Arial" w:cs="Arial"/>
          <w:color w:val="000000" w:themeColor="text1"/>
        </w:rPr>
        <w:t>Fazili</w:t>
      </w:r>
      <w:proofErr w:type="spellEnd"/>
      <w:r>
        <w:rPr>
          <w:rFonts w:ascii="Arial" w:hAnsi="Arial" w:cs="Arial"/>
          <w:color w:val="000000" w:themeColor="text1"/>
        </w:rPr>
        <w:t xml:space="preserve"> N, Naumann D (Queen Elizabeth Hospital Birmingham), </w:t>
      </w:r>
      <w:proofErr w:type="spellStart"/>
      <w:r>
        <w:rPr>
          <w:rFonts w:ascii="Arial" w:hAnsi="Arial" w:cs="Arial"/>
          <w:color w:val="000000" w:themeColor="text1"/>
        </w:rPr>
        <w:t>Chillarge</w:t>
      </w:r>
      <w:proofErr w:type="spellEnd"/>
      <w:r>
        <w:rPr>
          <w:rFonts w:ascii="Arial" w:hAnsi="Arial" w:cs="Arial"/>
          <w:color w:val="000000" w:themeColor="text1"/>
        </w:rPr>
        <w:t xml:space="preserve"> G, Smart N (Royal Devon and Exeter Hospital), Barnett R, Mulla M (Royal Glamorgan Hospital), Pelly T, </w:t>
      </w:r>
      <w:proofErr w:type="spellStart"/>
      <w:r>
        <w:rPr>
          <w:rFonts w:ascii="Arial" w:hAnsi="Arial" w:cs="Arial"/>
          <w:color w:val="000000" w:themeColor="text1"/>
        </w:rPr>
        <w:t>Hancorn</w:t>
      </w:r>
      <w:proofErr w:type="spellEnd"/>
      <w:r>
        <w:rPr>
          <w:rFonts w:ascii="Arial" w:hAnsi="Arial" w:cs="Arial"/>
          <w:color w:val="000000" w:themeColor="text1"/>
        </w:rPr>
        <w:t xml:space="preserve"> K (Royal London Hospital), Honey J, </w:t>
      </w:r>
      <w:proofErr w:type="spellStart"/>
      <w:r>
        <w:rPr>
          <w:rFonts w:ascii="Arial" w:hAnsi="Arial" w:cs="Arial"/>
          <w:color w:val="000000" w:themeColor="text1"/>
        </w:rPr>
        <w:t>Branagan</w:t>
      </w:r>
      <w:proofErr w:type="spellEnd"/>
      <w:r>
        <w:rPr>
          <w:rFonts w:ascii="Arial" w:hAnsi="Arial" w:cs="Arial"/>
          <w:color w:val="000000" w:themeColor="text1"/>
        </w:rPr>
        <w:t xml:space="preserve"> G (Salisbury District General Hospital), </w:t>
      </w:r>
      <w:proofErr w:type="spellStart"/>
      <w:r>
        <w:rPr>
          <w:rFonts w:ascii="Arial" w:hAnsi="Arial" w:cs="Arial"/>
          <w:color w:val="000000" w:themeColor="text1"/>
        </w:rPr>
        <w:t>Ezeme</w:t>
      </w:r>
      <w:proofErr w:type="spellEnd"/>
      <w:r>
        <w:rPr>
          <w:rFonts w:ascii="Arial" w:hAnsi="Arial" w:cs="Arial"/>
          <w:color w:val="000000" w:themeColor="text1"/>
        </w:rPr>
        <w:t xml:space="preserve"> C, Newton R (St. Richard’s Hospital), Jones S, Peckham-Cooper A (Leeds Teaching Hospitals NHS Trust), Hodge S, Mehmood S (Stepping Hill Hospital), Bhardwaj M, Liaqat A (Stoke Mandeville Hospital), Wallace-King S, </w:t>
      </w:r>
      <w:proofErr w:type="spellStart"/>
      <w:r>
        <w:rPr>
          <w:rFonts w:ascii="Arial" w:hAnsi="Arial" w:cs="Arial"/>
          <w:color w:val="000000" w:themeColor="text1"/>
        </w:rPr>
        <w:t>Carr</w:t>
      </w:r>
      <w:proofErr w:type="spellEnd"/>
      <w:r>
        <w:rPr>
          <w:rFonts w:ascii="Arial" w:hAnsi="Arial" w:cs="Arial"/>
          <w:color w:val="000000" w:themeColor="text1"/>
        </w:rPr>
        <w:t xml:space="preserve"> W (Sunderland Royal Hospital), Rahman A, Carswell K (Surrey and Sussex Healthcare NHS Trust), </w:t>
      </w:r>
      <w:proofErr w:type="spellStart"/>
      <w:r>
        <w:rPr>
          <w:rFonts w:ascii="Arial" w:hAnsi="Arial" w:cs="Arial"/>
          <w:color w:val="000000" w:themeColor="text1"/>
        </w:rPr>
        <w:t>Opaluwa</w:t>
      </w:r>
      <w:proofErr w:type="spellEnd"/>
      <w:r>
        <w:rPr>
          <w:rFonts w:ascii="Arial" w:hAnsi="Arial" w:cs="Arial"/>
          <w:color w:val="000000" w:themeColor="text1"/>
        </w:rPr>
        <w:t xml:space="preserve"> AS, </w:t>
      </w:r>
      <w:proofErr w:type="spellStart"/>
      <w:r>
        <w:rPr>
          <w:rFonts w:ascii="Arial" w:hAnsi="Arial" w:cs="Arial"/>
          <w:color w:val="000000" w:themeColor="text1"/>
        </w:rPr>
        <w:t>Hyder</w:t>
      </w:r>
      <w:proofErr w:type="spellEnd"/>
      <w:r>
        <w:rPr>
          <w:rFonts w:ascii="Arial" w:hAnsi="Arial" w:cs="Arial"/>
          <w:color w:val="000000" w:themeColor="text1"/>
        </w:rPr>
        <w:t xml:space="preserve"> S (The Queen Elizabeth NHS Foundation Trust, Kings Lynn), </w:t>
      </w:r>
      <w:proofErr w:type="spellStart"/>
      <w:r>
        <w:rPr>
          <w:rFonts w:ascii="Arial" w:hAnsi="Arial" w:cs="Arial"/>
          <w:color w:val="000000" w:themeColor="text1"/>
        </w:rPr>
        <w:t>Akula</w:t>
      </w:r>
      <w:proofErr w:type="spellEnd"/>
      <w:r>
        <w:rPr>
          <w:rFonts w:ascii="Arial" w:hAnsi="Arial" w:cs="Arial"/>
          <w:color w:val="000000" w:themeColor="text1"/>
        </w:rPr>
        <w:t xml:space="preserve"> Y, Robertson S (University Hospitals Coventry and Warwickshire), Fairfield CJ, Maxwell F (University Hospital Wishaw), Abdelrahman S, Abbott S (Walsall Manor Hospital), Fowler H, </w:t>
      </w:r>
      <w:proofErr w:type="spellStart"/>
      <w:r>
        <w:rPr>
          <w:rFonts w:ascii="Arial" w:hAnsi="Arial" w:cs="Arial"/>
          <w:color w:val="000000" w:themeColor="text1"/>
        </w:rPr>
        <w:t>Pranesh</w:t>
      </w:r>
      <w:proofErr w:type="spellEnd"/>
      <w:r>
        <w:rPr>
          <w:rFonts w:ascii="Arial" w:hAnsi="Arial" w:cs="Arial"/>
          <w:color w:val="000000" w:themeColor="text1"/>
        </w:rPr>
        <w:t xml:space="preserve"> N (Warrington and Halton Teaching Hospitals NHS Foundation Trust), </w:t>
      </w:r>
      <w:proofErr w:type="spellStart"/>
      <w:r>
        <w:rPr>
          <w:rFonts w:ascii="Arial" w:hAnsi="Arial" w:cs="Arial"/>
          <w:color w:val="000000" w:themeColor="text1"/>
        </w:rPr>
        <w:t>Manku</w:t>
      </w:r>
      <w:proofErr w:type="spellEnd"/>
      <w:r>
        <w:rPr>
          <w:rFonts w:ascii="Arial" w:hAnsi="Arial" w:cs="Arial"/>
          <w:color w:val="000000" w:themeColor="text1"/>
        </w:rPr>
        <w:t xml:space="preserve"> B, Baker A (Warwick Hospital), Mehta M, </w:t>
      </w:r>
      <w:proofErr w:type="spellStart"/>
      <w:r>
        <w:rPr>
          <w:rFonts w:ascii="Arial" w:hAnsi="Arial" w:cs="Arial"/>
          <w:color w:val="000000" w:themeColor="text1"/>
        </w:rPr>
        <w:t>Shirol</w:t>
      </w:r>
      <w:proofErr w:type="spellEnd"/>
      <w:r>
        <w:rPr>
          <w:rFonts w:ascii="Arial" w:hAnsi="Arial" w:cs="Arial"/>
          <w:color w:val="000000" w:themeColor="text1"/>
        </w:rPr>
        <w:t xml:space="preserve"> S (Wexham Park Hospital), Wates E, Fernandes R (William Harvey Hospital), Malik MIK, Duff S (Wythenshawe Hospital)</w:t>
      </w:r>
    </w:p>
    <w:p w14:paraId="7D68BA7E" w14:textId="77777777" w:rsidR="0049257D" w:rsidRDefault="0049257D" w:rsidP="0049257D">
      <w:pPr>
        <w:jc w:val="both"/>
        <w:rPr>
          <w:rFonts w:ascii="Arial" w:hAnsi="Arial" w:cs="Arial"/>
          <w:color w:val="000000" w:themeColor="text1"/>
        </w:rPr>
      </w:pPr>
    </w:p>
    <w:p w14:paraId="35C76238" w14:textId="77777777" w:rsidR="0049257D" w:rsidRPr="00DD4A71" w:rsidRDefault="0049257D" w:rsidP="0049257D">
      <w:pPr>
        <w:jc w:val="both"/>
        <w:rPr>
          <w:rFonts w:ascii="Arial" w:hAnsi="Arial" w:cs="Arial"/>
          <w:color w:val="000000" w:themeColor="text1"/>
        </w:rPr>
      </w:pPr>
      <w:r w:rsidRPr="00DC50C2">
        <w:rPr>
          <w:rFonts w:ascii="Arial" w:hAnsi="Arial" w:cs="Arial"/>
          <w:b/>
          <w:bCs/>
          <w:color w:val="000000" w:themeColor="text1"/>
        </w:rPr>
        <w:t>Local Collaborators:</w:t>
      </w:r>
      <w:r>
        <w:rPr>
          <w:rFonts w:ascii="Arial" w:hAnsi="Arial" w:cs="Arial"/>
          <w:color w:val="000000" w:themeColor="text1"/>
        </w:rPr>
        <w:t xml:space="preserve"> Lawrie N, </w:t>
      </w:r>
      <w:proofErr w:type="spellStart"/>
      <w:r>
        <w:rPr>
          <w:rFonts w:ascii="Arial" w:hAnsi="Arial" w:cs="Arial"/>
          <w:color w:val="000000" w:themeColor="text1"/>
        </w:rPr>
        <w:t>Neelankavil</w:t>
      </w:r>
      <w:proofErr w:type="spellEnd"/>
      <w:r>
        <w:rPr>
          <w:rFonts w:ascii="Arial" w:hAnsi="Arial" w:cs="Arial"/>
          <w:color w:val="000000" w:themeColor="text1"/>
        </w:rPr>
        <w:t xml:space="preserve"> Davis G, </w:t>
      </w:r>
      <w:proofErr w:type="spellStart"/>
      <w:r>
        <w:rPr>
          <w:rFonts w:ascii="Arial" w:hAnsi="Arial" w:cs="Arial"/>
          <w:color w:val="000000" w:themeColor="text1"/>
        </w:rPr>
        <w:t>Dorkeh</w:t>
      </w:r>
      <w:proofErr w:type="spellEnd"/>
      <w:r>
        <w:rPr>
          <w:rFonts w:ascii="Arial" w:hAnsi="Arial" w:cs="Arial"/>
          <w:color w:val="000000" w:themeColor="text1"/>
        </w:rPr>
        <w:t xml:space="preserve"> D (Aberdeen Royal Infirmary), Moran E (Airedale General Hospital), </w:t>
      </w:r>
      <w:proofErr w:type="spellStart"/>
      <w:r w:rsidRPr="00683F3D">
        <w:rPr>
          <w:rFonts w:ascii="Arial" w:hAnsi="Arial" w:cs="Arial"/>
          <w:color w:val="000000" w:themeColor="text1"/>
        </w:rPr>
        <w:t>Aruparayil</w:t>
      </w:r>
      <w:proofErr w:type="spellEnd"/>
      <w:r w:rsidRPr="00683F3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N, Allott H, Creed J, </w:t>
      </w:r>
      <w:proofErr w:type="spellStart"/>
      <w:r>
        <w:rPr>
          <w:rFonts w:ascii="Arial" w:hAnsi="Arial" w:cs="Arial"/>
          <w:color w:val="000000" w:themeColor="text1"/>
        </w:rPr>
        <w:t>Lehovsky</w:t>
      </w:r>
      <w:proofErr w:type="spellEnd"/>
      <w:r>
        <w:rPr>
          <w:rFonts w:ascii="Arial" w:hAnsi="Arial" w:cs="Arial"/>
          <w:color w:val="000000" w:themeColor="text1"/>
        </w:rPr>
        <w:t xml:space="preserve"> K (Barnsley </w:t>
      </w:r>
      <w:r>
        <w:rPr>
          <w:rFonts w:ascii="Arial" w:hAnsi="Arial" w:cs="Arial"/>
          <w:color w:val="000000" w:themeColor="text1"/>
        </w:rPr>
        <w:lastRenderedPageBreak/>
        <w:t xml:space="preserve">Hospital), </w:t>
      </w:r>
      <w:proofErr w:type="spellStart"/>
      <w:r>
        <w:rPr>
          <w:rFonts w:ascii="Arial" w:hAnsi="Arial" w:cs="Arial"/>
          <w:color w:val="000000" w:themeColor="text1"/>
        </w:rPr>
        <w:t>Sallam</w:t>
      </w:r>
      <w:proofErr w:type="spellEnd"/>
      <w:r>
        <w:rPr>
          <w:rFonts w:ascii="Arial" w:hAnsi="Arial" w:cs="Arial"/>
          <w:color w:val="000000" w:themeColor="text1"/>
        </w:rPr>
        <w:t xml:space="preserve"> A, Abdulrahman C, </w:t>
      </w:r>
      <w:proofErr w:type="spellStart"/>
      <w:r>
        <w:rPr>
          <w:rFonts w:ascii="Arial" w:hAnsi="Arial" w:cs="Arial"/>
          <w:color w:val="000000" w:themeColor="text1"/>
        </w:rPr>
        <w:t>Puranik</w:t>
      </w:r>
      <w:proofErr w:type="spellEnd"/>
      <w:r>
        <w:rPr>
          <w:rFonts w:ascii="Arial" w:hAnsi="Arial" w:cs="Arial"/>
          <w:color w:val="000000" w:themeColor="text1"/>
        </w:rPr>
        <w:t xml:space="preserve"> S, </w:t>
      </w:r>
      <w:proofErr w:type="spellStart"/>
      <w:r w:rsidRPr="00683F3D">
        <w:rPr>
          <w:rFonts w:ascii="Arial" w:hAnsi="Arial" w:cs="Arial"/>
          <w:color w:val="000000" w:themeColor="text1"/>
        </w:rPr>
        <w:t>Suwichacherdchu</w:t>
      </w:r>
      <w:proofErr w:type="spellEnd"/>
      <w:r>
        <w:rPr>
          <w:rFonts w:ascii="Arial" w:hAnsi="Arial" w:cs="Arial"/>
          <w:color w:val="000000" w:themeColor="text1"/>
        </w:rPr>
        <w:t xml:space="preserve"> P (Royal Blackburn Teaching Hospital), O’Connor OM, Kaul S, Ghosh R (Chesterfield Royal Hospital NHS Foundation Trust), Davies B (Countess of Chester Hospital), </w:t>
      </w:r>
      <w:proofErr w:type="spellStart"/>
      <w:r>
        <w:rPr>
          <w:rFonts w:ascii="Arial" w:hAnsi="Arial" w:cs="Arial"/>
          <w:color w:val="000000" w:themeColor="text1"/>
        </w:rPr>
        <w:t>Mamer</w:t>
      </w:r>
      <w:proofErr w:type="spellEnd"/>
      <w:r>
        <w:rPr>
          <w:rFonts w:ascii="Arial" w:hAnsi="Arial" w:cs="Arial"/>
          <w:color w:val="000000" w:themeColor="text1"/>
        </w:rPr>
        <w:t xml:space="preserve"> L, McCarron E (</w:t>
      </w:r>
      <w:proofErr w:type="spellStart"/>
      <w:r>
        <w:rPr>
          <w:rFonts w:ascii="Arial" w:hAnsi="Arial" w:cs="Arial"/>
          <w:color w:val="000000" w:themeColor="text1"/>
        </w:rPr>
        <w:t>Crosshouse</w:t>
      </w:r>
      <w:proofErr w:type="spellEnd"/>
      <w:r>
        <w:rPr>
          <w:rFonts w:ascii="Arial" w:hAnsi="Arial" w:cs="Arial"/>
          <w:color w:val="000000" w:themeColor="text1"/>
        </w:rPr>
        <w:t xml:space="preserve"> Hospital), </w:t>
      </w:r>
      <w:proofErr w:type="spellStart"/>
      <w:r>
        <w:rPr>
          <w:rFonts w:ascii="Arial" w:hAnsi="Arial" w:cs="Arial"/>
          <w:color w:val="000000" w:themeColor="text1"/>
        </w:rPr>
        <w:t>Pendergast</w:t>
      </w:r>
      <w:proofErr w:type="spellEnd"/>
      <w:r>
        <w:rPr>
          <w:rFonts w:ascii="Arial" w:hAnsi="Arial" w:cs="Arial"/>
          <w:color w:val="000000" w:themeColor="text1"/>
        </w:rPr>
        <w:t xml:space="preserve"> H, </w:t>
      </w:r>
      <w:proofErr w:type="spellStart"/>
      <w:r>
        <w:rPr>
          <w:rFonts w:ascii="Arial" w:hAnsi="Arial" w:cs="Arial"/>
          <w:color w:val="000000" w:themeColor="text1"/>
        </w:rPr>
        <w:t>Corkerry</w:t>
      </w:r>
      <w:proofErr w:type="spellEnd"/>
      <w:r>
        <w:rPr>
          <w:rFonts w:ascii="Arial" w:hAnsi="Arial" w:cs="Arial"/>
          <w:color w:val="000000" w:themeColor="text1"/>
        </w:rPr>
        <w:t xml:space="preserve"> J, </w:t>
      </w:r>
      <w:proofErr w:type="spellStart"/>
      <w:r>
        <w:rPr>
          <w:rFonts w:ascii="Arial" w:hAnsi="Arial" w:cs="Arial"/>
          <w:color w:val="000000" w:themeColor="text1"/>
        </w:rPr>
        <w:t>Dowiedar</w:t>
      </w:r>
      <w:proofErr w:type="spellEnd"/>
      <w:r>
        <w:rPr>
          <w:rFonts w:ascii="Arial" w:hAnsi="Arial" w:cs="Arial"/>
          <w:color w:val="000000" w:themeColor="text1"/>
        </w:rPr>
        <w:t xml:space="preserve"> M (Doncaster Royal Infirmary), Knowles T, Tin K, </w:t>
      </w:r>
      <w:proofErr w:type="spellStart"/>
      <w:r>
        <w:rPr>
          <w:rFonts w:ascii="Arial" w:hAnsi="Arial" w:cs="Arial"/>
          <w:color w:val="000000" w:themeColor="text1"/>
        </w:rPr>
        <w:t>Demicoli</w:t>
      </w:r>
      <w:proofErr w:type="spellEnd"/>
      <w:r>
        <w:rPr>
          <w:rFonts w:ascii="Arial" w:hAnsi="Arial" w:cs="Arial"/>
          <w:color w:val="000000" w:themeColor="text1"/>
        </w:rPr>
        <w:t xml:space="preserve"> L (Dorset Country Hospital), Osei-Bonsu P, Balfour J, Varma A (Dr Gray’s Hospital), Sikora J (Forth Valley Royal Hospital), </w:t>
      </w:r>
      <w:proofErr w:type="spellStart"/>
      <w:r>
        <w:rPr>
          <w:rFonts w:ascii="Arial" w:hAnsi="Arial" w:cs="Arial"/>
          <w:color w:val="000000" w:themeColor="text1"/>
        </w:rPr>
        <w:t>Belaguthi</w:t>
      </w:r>
      <w:proofErr w:type="spellEnd"/>
      <w:r>
        <w:rPr>
          <w:rFonts w:ascii="Arial" w:hAnsi="Arial" w:cs="Arial"/>
          <w:color w:val="000000" w:themeColor="text1"/>
        </w:rPr>
        <w:t xml:space="preserve"> P, Lee R, Berger L, Baron T, </w:t>
      </w:r>
      <w:proofErr w:type="spellStart"/>
      <w:r>
        <w:rPr>
          <w:rFonts w:ascii="Arial" w:hAnsi="Arial" w:cs="Arial"/>
          <w:color w:val="000000" w:themeColor="text1"/>
        </w:rPr>
        <w:t>Myat</w:t>
      </w:r>
      <w:proofErr w:type="spellEnd"/>
      <w:r>
        <w:rPr>
          <w:rFonts w:ascii="Arial" w:hAnsi="Arial" w:cs="Arial"/>
          <w:color w:val="000000" w:themeColor="text1"/>
        </w:rPr>
        <w:t xml:space="preserve"> S, Rowlands C, </w:t>
      </w:r>
      <w:proofErr w:type="spellStart"/>
      <w:r>
        <w:rPr>
          <w:rFonts w:ascii="Arial" w:hAnsi="Arial" w:cs="Arial"/>
          <w:color w:val="000000" w:themeColor="text1"/>
        </w:rPr>
        <w:t>Oyekan</w:t>
      </w:r>
      <w:proofErr w:type="spellEnd"/>
      <w:r>
        <w:rPr>
          <w:rFonts w:ascii="Arial" w:hAnsi="Arial" w:cs="Arial"/>
          <w:color w:val="000000" w:themeColor="text1"/>
        </w:rPr>
        <w:t xml:space="preserve"> O, Irabor </w:t>
      </w:r>
      <w:proofErr w:type="spellStart"/>
      <w:r>
        <w:rPr>
          <w:rFonts w:ascii="Arial" w:hAnsi="Arial" w:cs="Arial"/>
          <w:color w:val="000000" w:themeColor="text1"/>
        </w:rPr>
        <w:t>Ezoba</w:t>
      </w:r>
      <w:proofErr w:type="spellEnd"/>
      <w:r>
        <w:rPr>
          <w:rFonts w:ascii="Arial" w:hAnsi="Arial" w:cs="Arial"/>
          <w:color w:val="000000" w:themeColor="text1"/>
        </w:rPr>
        <w:t xml:space="preserve"> L, </w:t>
      </w:r>
      <w:proofErr w:type="spellStart"/>
      <w:r>
        <w:rPr>
          <w:rFonts w:ascii="Arial" w:hAnsi="Arial" w:cs="Arial"/>
          <w:color w:val="000000" w:themeColor="text1"/>
        </w:rPr>
        <w:t>Tontus</w:t>
      </w:r>
      <w:proofErr w:type="spellEnd"/>
      <w:r>
        <w:rPr>
          <w:rFonts w:ascii="Arial" w:hAnsi="Arial" w:cs="Arial"/>
          <w:color w:val="000000" w:themeColor="text1"/>
        </w:rPr>
        <w:t xml:space="preserve"> S (Frimley Park Hospital), </w:t>
      </w:r>
      <w:proofErr w:type="spellStart"/>
      <w:r>
        <w:rPr>
          <w:rFonts w:ascii="Arial" w:hAnsi="Arial" w:cs="Arial"/>
          <w:color w:val="000000" w:themeColor="text1"/>
        </w:rPr>
        <w:t>Panos</w:t>
      </w:r>
      <w:proofErr w:type="spellEnd"/>
      <w:r>
        <w:rPr>
          <w:rFonts w:ascii="Arial" w:hAnsi="Arial" w:cs="Arial"/>
          <w:color w:val="000000" w:themeColor="text1"/>
        </w:rPr>
        <w:t xml:space="preserve"> T, Usmani N, Abdelhamid A, Kamil S, </w:t>
      </w:r>
      <w:proofErr w:type="spellStart"/>
      <w:r>
        <w:rPr>
          <w:rFonts w:ascii="Arial" w:hAnsi="Arial" w:cs="Arial"/>
          <w:color w:val="000000" w:themeColor="text1"/>
        </w:rPr>
        <w:t>Maraqa</w:t>
      </w:r>
      <w:proofErr w:type="spellEnd"/>
      <w:r>
        <w:rPr>
          <w:rFonts w:ascii="Arial" w:hAnsi="Arial" w:cs="Arial"/>
          <w:color w:val="000000" w:themeColor="text1"/>
        </w:rPr>
        <w:t xml:space="preserve"> A, </w:t>
      </w:r>
      <w:proofErr w:type="spellStart"/>
      <w:r>
        <w:rPr>
          <w:rFonts w:ascii="Arial" w:hAnsi="Arial" w:cs="Arial"/>
          <w:color w:val="000000" w:themeColor="text1"/>
        </w:rPr>
        <w:t>Chantima</w:t>
      </w:r>
      <w:proofErr w:type="spellEnd"/>
      <w:r>
        <w:rPr>
          <w:rFonts w:ascii="Arial" w:hAnsi="Arial" w:cs="Arial"/>
          <w:color w:val="000000" w:themeColor="text1"/>
        </w:rPr>
        <w:t xml:space="preserve"> W, Dyer M, Thane K, Yap S (Glan Clwyd Hospital), Tompkins S, </w:t>
      </w:r>
      <w:proofErr w:type="spellStart"/>
      <w:r>
        <w:rPr>
          <w:rFonts w:ascii="Arial" w:hAnsi="Arial" w:cs="Arial"/>
          <w:color w:val="000000" w:themeColor="text1"/>
        </w:rPr>
        <w:t>Asurlekar</w:t>
      </w:r>
      <w:proofErr w:type="spellEnd"/>
      <w:r>
        <w:rPr>
          <w:rFonts w:ascii="Arial" w:hAnsi="Arial" w:cs="Arial"/>
          <w:color w:val="000000" w:themeColor="text1"/>
        </w:rPr>
        <w:t xml:space="preserve"> A, </w:t>
      </w:r>
      <w:proofErr w:type="spellStart"/>
      <w:r>
        <w:rPr>
          <w:rFonts w:ascii="Arial" w:hAnsi="Arial" w:cs="Arial"/>
          <w:color w:val="000000" w:themeColor="text1"/>
        </w:rPr>
        <w:t>Polz</w:t>
      </w:r>
      <w:proofErr w:type="spellEnd"/>
      <w:r>
        <w:rPr>
          <w:rFonts w:ascii="Arial" w:hAnsi="Arial" w:cs="Arial"/>
          <w:color w:val="000000" w:themeColor="text1"/>
        </w:rPr>
        <w:t xml:space="preserve"> P, Clark B, Low D, Robertson K (Glasgow Royal Infirmary), Hamid O (Gloucestershire Hospitals NHS Foundation Trust) Pipe M, </w:t>
      </w:r>
      <w:proofErr w:type="spellStart"/>
      <w:r>
        <w:rPr>
          <w:rFonts w:ascii="Arial" w:hAnsi="Arial" w:cs="Arial"/>
          <w:color w:val="000000" w:themeColor="text1"/>
        </w:rPr>
        <w:t>Gadiyar</w:t>
      </w:r>
      <w:proofErr w:type="spellEnd"/>
      <w:r>
        <w:rPr>
          <w:rFonts w:ascii="Arial" w:hAnsi="Arial" w:cs="Arial"/>
          <w:color w:val="000000" w:themeColor="text1"/>
        </w:rPr>
        <w:t xml:space="preserve"> N (Guys and St. Thomas Hospital), </w:t>
      </w:r>
      <w:proofErr w:type="spellStart"/>
      <w:r>
        <w:rPr>
          <w:rFonts w:ascii="Arial" w:hAnsi="Arial" w:cs="Arial"/>
          <w:color w:val="000000" w:themeColor="text1"/>
        </w:rPr>
        <w:t>Hoo</w:t>
      </w:r>
      <w:proofErr w:type="spellEnd"/>
      <w:r>
        <w:rPr>
          <w:rFonts w:ascii="Arial" w:hAnsi="Arial" w:cs="Arial"/>
          <w:color w:val="000000" w:themeColor="text1"/>
        </w:rPr>
        <w:t xml:space="preserve"> ZL, Wong YW (Harrogate District Hospital), Sheikh F, Satish V (The Hillingdon Hospitals NHS Foundation Trust), </w:t>
      </w:r>
      <w:proofErr w:type="spellStart"/>
      <w:r>
        <w:rPr>
          <w:rFonts w:ascii="Arial" w:hAnsi="Arial" w:cs="Arial"/>
          <w:color w:val="000000" w:themeColor="text1"/>
        </w:rPr>
        <w:t>Kronberga</w:t>
      </w:r>
      <w:proofErr w:type="spellEnd"/>
      <w:r>
        <w:rPr>
          <w:rFonts w:ascii="Arial" w:hAnsi="Arial" w:cs="Arial"/>
          <w:color w:val="000000" w:themeColor="text1"/>
        </w:rPr>
        <w:t xml:space="preserve"> M, </w:t>
      </w:r>
      <w:proofErr w:type="spellStart"/>
      <w:r>
        <w:rPr>
          <w:rFonts w:ascii="Arial" w:hAnsi="Arial" w:cs="Arial"/>
          <w:color w:val="000000" w:themeColor="text1"/>
        </w:rPr>
        <w:t>Suresan</w:t>
      </w:r>
      <w:proofErr w:type="spellEnd"/>
      <w:r>
        <w:rPr>
          <w:rFonts w:ascii="Arial" w:hAnsi="Arial" w:cs="Arial"/>
          <w:color w:val="000000" w:themeColor="text1"/>
        </w:rPr>
        <w:t xml:space="preserve"> S, </w:t>
      </w:r>
      <w:proofErr w:type="spellStart"/>
      <w:r>
        <w:rPr>
          <w:rFonts w:ascii="Arial" w:hAnsi="Arial" w:cs="Arial"/>
          <w:color w:val="000000" w:themeColor="text1"/>
        </w:rPr>
        <w:t>Kattakayam</w:t>
      </w:r>
      <w:proofErr w:type="spellEnd"/>
      <w:r>
        <w:rPr>
          <w:rFonts w:ascii="Arial" w:hAnsi="Arial" w:cs="Arial"/>
          <w:color w:val="000000" w:themeColor="text1"/>
        </w:rPr>
        <w:t xml:space="preserve"> M, Ed Sabbagh A, Saleh D, Akhtar H, Gurung S, Bakare S (Huddersfield Royal Infirmary), Ross E, Shahid M, Tweedie A, Moen CM (Inverclyde Royal Hospital), El-</w:t>
      </w:r>
      <w:proofErr w:type="spellStart"/>
      <w:r>
        <w:rPr>
          <w:rFonts w:ascii="Arial" w:hAnsi="Arial" w:cs="Arial"/>
          <w:color w:val="000000" w:themeColor="text1"/>
        </w:rPr>
        <w:t>Farran</w:t>
      </w:r>
      <w:proofErr w:type="spellEnd"/>
      <w:r>
        <w:rPr>
          <w:rFonts w:ascii="Arial" w:hAnsi="Arial" w:cs="Arial"/>
          <w:color w:val="000000" w:themeColor="text1"/>
        </w:rPr>
        <w:t xml:space="preserve"> M, Khaliq T (Ipswich Hospital NHS Trust), Peter B (James Cook University Hospital), Shams M, Fung J, </w:t>
      </w:r>
      <w:proofErr w:type="spellStart"/>
      <w:r w:rsidRPr="00A10BA6">
        <w:rPr>
          <w:rFonts w:ascii="Arial" w:hAnsi="Arial" w:cs="Arial"/>
          <w:color w:val="000000" w:themeColor="text1"/>
        </w:rPr>
        <w:t>Theivendrampillai</w:t>
      </w:r>
      <w:proofErr w:type="spellEnd"/>
      <w:r>
        <w:rPr>
          <w:rFonts w:ascii="Arial" w:hAnsi="Arial" w:cs="Arial"/>
          <w:color w:val="000000" w:themeColor="text1"/>
        </w:rPr>
        <w:t xml:space="preserve">, T, </w:t>
      </w:r>
      <w:proofErr w:type="spellStart"/>
      <w:r>
        <w:rPr>
          <w:rFonts w:ascii="Arial" w:hAnsi="Arial" w:cs="Arial"/>
          <w:color w:val="000000" w:themeColor="text1"/>
        </w:rPr>
        <w:t>Bundred</w:t>
      </w:r>
      <w:proofErr w:type="spellEnd"/>
      <w:r>
        <w:rPr>
          <w:rFonts w:ascii="Arial" w:hAnsi="Arial" w:cs="Arial"/>
          <w:color w:val="000000" w:themeColor="text1"/>
        </w:rPr>
        <w:t xml:space="preserve"> J, Ang A, Ahmed R (John Radcliffe Hospital), </w:t>
      </w:r>
      <w:proofErr w:type="spellStart"/>
      <w:r>
        <w:rPr>
          <w:rFonts w:ascii="Arial" w:hAnsi="Arial" w:cs="Arial"/>
          <w:color w:val="000000" w:themeColor="text1"/>
        </w:rPr>
        <w:t>Sherafat</w:t>
      </w:r>
      <w:proofErr w:type="spellEnd"/>
      <w:r>
        <w:rPr>
          <w:rFonts w:ascii="Arial" w:hAnsi="Arial" w:cs="Arial"/>
          <w:color w:val="000000" w:themeColor="text1"/>
        </w:rPr>
        <w:t xml:space="preserve"> A, Annamalai K, Ali A (Kettering General Hospital), </w:t>
      </w:r>
      <w:proofErr w:type="spellStart"/>
      <w:r>
        <w:rPr>
          <w:rFonts w:ascii="Arial" w:hAnsi="Arial" w:cs="Arial"/>
          <w:color w:val="000000" w:themeColor="text1"/>
        </w:rPr>
        <w:t>Kalogianni</w:t>
      </w:r>
      <w:proofErr w:type="spellEnd"/>
      <w:r>
        <w:rPr>
          <w:rFonts w:ascii="Arial" w:hAnsi="Arial" w:cs="Arial"/>
          <w:color w:val="000000" w:themeColor="text1"/>
        </w:rPr>
        <w:t xml:space="preserve"> V, Hassan A (Kings College Hospital), Aziz W, </w:t>
      </w:r>
      <w:proofErr w:type="spellStart"/>
      <w:r>
        <w:rPr>
          <w:rFonts w:ascii="Arial" w:hAnsi="Arial" w:cs="Arial"/>
          <w:color w:val="000000" w:themeColor="text1"/>
        </w:rPr>
        <w:t>Srikumar</w:t>
      </w:r>
      <w:proofErr w:type="spellEnd"/>
      <w:r>
        <w:rPr>
          <w:rFonts w:ascii="Arial" w:hAnsi="Arial" w:cs="Arial"/>
          <w:color w:val="000000" w:themeColor="text1"/>
        </w:rPr>
        <w:t xml:space="preserve"> B, Minhas N, Parks R, Hanif S, Farooq A, Salem M, Ali A (Kings Mill Hospital), Davalos G (Leicester Royal Infirmary), Hardy A, Zhang Y (Manchester Royal Infirmary), Ngai K, Baker H, </w:t>
      </w:r>
      <w:r w:rsidRPr="007A07FD">
        <w:rPr>
          <w:rFonts w:ascii="Arial" w:hAnsi="Arial" w:cs="Arial"/>
          <w:color w:val="000000" w:themeColor="text1"/>
        </w:rPr>
        <w:t>Ling-</w:t>
      </w:r>
      <w:proofErr w:type="spellStart"/>
      <w:r w:rsidRPr="007A07FD">
        <w:rPr>
          <w:rFonts w:ascii="Arial" w:hAnsi="Arial" w:cs="Arial"/>
          <w:color w:val="000000" w:themeColor="text1"/>
        </w:rPr>
        <w:t>Soffe</w:t>
      </w:r>
      <w:proofErr w:type="spellEnd"/>
      <w:r>
        <w:rPr>
          <w:rFonts w:ascii="Arial" w:hAnsi="Arial" w:cs="Arial"/>
          <w:color w:val="000000" w:themeColor="text1"/>
        </w:rPr>
        <w:t xml:space="preserve"> J, </w:t>
      </w:r>
      <w:proofErr w:type="spellStart"/>
      <w:r>
        <w:rPr>
          <w:rFonts w:ascii="Arial" w:hAnsi="Arial" w:cs="Arial"/>
          <w:color w:val="000000" w:themeColor="text1"/>
        </w:rPr>
        <w:t>Mcmillan</w:t>
      </w:r>
      <w:proofErr w:type="spellEnd"/>
      <w:r>
        <w:rPr>
          <w:rFonts w:ascii="Arial" w:hAnsi="Arial" w:cs="Arial"/>
          <w:color w:val="000000" w:themeColor="text1"/>
        </w:rPr>
        <w:t xml:space="preserve"> M, Thompson D (Morriston Hospital), </w:t>
      </w:r>
      <w:proofErr w:type="spellStart"/>
      <w:r>
        <w:rPr>
          <w:rFonts w:ascii="Arial" w:hAnsi="Arial" w:cs="Arial"/>
          <w:color w:val="000000" w:themeColor="text1"/>
        </w:rPr>
        <w:t>Dkhakhni</w:t>
      </w:r>
      <w:proofErr w:type="spellEnd"/>
      <w:r>
        <w:rPr>
          <w:rFonts w:ascii="Arial" w:hAnsi="Arial" w:cs="Arial"/>
          <w:color w:val="000000" w:themeColor="text1"/>
        </w:rPr>
        <w:t xml:space="preserve"> A, </w:t>
      </w:r>
      <w:proofErr w:type="spellStart"/>
      <w:r w:rsidRPr="00BA74BE">
        <w:rPr>
          <w:rFonts w:ascii="Arial" w:hAnsi="Arial" w:cs="Arial"/>
          <w:color w:val="000000" w:themeColor="text1"/>
        </w:rPr>
        <w:t>Sapountzis</w:t>
      </w:r>
      <w:proofErr w:type="spellEnd"/>
      <w:r w:rsidRPr="00BA74B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 (Newham University Hospital), Li A, Al-Siraj H (North Devon District Hospital), Khan S, </w:t>
      </w:r>
      <w:proofErr w:type="spellStart"/>
      <w:r w:rsidRPr="00BA74BE">
        <w:rPr>
          <w:rFonts w:ascii="Arial" w:hAnsi="Arial" w:cs="Arial"/>
          <w:color w:val="000000" w:themeColor="text1"/>
        </w:rPr>
        <w:t>Kuligowska</w:t>
      </w:r>
      <w:proofErr w:type="spellEnd"/>
      <w:r w:rsidRPr="00BA74B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A, </w:t>
      </w:r>
      <w:proofErr w:type="spellStart"/>
      <w:r w:rsidRPr="00BA74BE">
        <w:rPr>
          <w:rFonts w:ascii="Arial" w:hAnsi="Arial" w:cs="Arial"/>
          <w:color w:val="000000" w:themeColor="text1"/>
        </w:rPr>
        <w:t>Ogunmwonyi</w:t>
      </w:r>
      <w:proofErr w:type="spellEnd"/>
      <w:r>
        <w:rPr>
          <w:rFonts w:ascii="Arial" w:hAnsi="Arial" w:cs="Arial"/>
          <w:color w:val="000000" w:themeColor="text1"/>
        </w:rPr>
        <w:t xml:space="preserve"> I, Broadbent R, George H, Rashid A (Northern General Hospital), </w:t>
      </w:r>
      <w:proofErr w:type="spellStart"/>
      <w:r>
        <w:rPr>
          <w:rFonts w:ascii="Arial" w:hAnsi="Arial" w:cs="Arial"/>
          <w:color w:val="000000" w:themeColor="text1"/>
        </w:rPr>
        <w:t>Zarad</w:t>
      </w:r>
      <w:proofErr w:type="spellEnd"/>
      <w:r>
        <w:rPr>
          <w:rFonts w:ascii="Arial" w:hAnsi="Arial" w:cs="Arial"/>
          <w:color w:val="000000" w:themeColor="text1"/>
        </w:rPr>
        <w:t xml:space="preserve"> I, Osman M, </w:t>
      </w:r>
      <w:proofErr w:type="spellStart"/>
      <w:r>
        <w:rPr>
          <w:rFonts w:ascii="Arial" w:hAnsi="Arial" w:cs="Arial"/>
          <w:color w:val="000000" w:themeColor="text1"/>
        </w:rPr>
        <w:t>Abdelsalam</w:t>
      </w:r>
      <w:proofErr w:type="spellEnd"/>
      <w:r>
        <w:rPr>
          <w:rFonts w:ascii="Arial" w:hAnsi="Arial" w:cs="Arial"/>
          <w:color w:val="000000" w:themeColor="text1"/>
        </w:rPr>
        <w:t xml:space="preserve"> M (Princess of Wales Hospital), Gupta A (Queen Elizabeth Hospital, Gateshead), </w:t>
      </w:r>
      <w:proofErr w:type="spellStart"/>
      <w:r w:rsidRPr="00BA74BE">
        <w:rPr>
          <w:rFonts w:ascii="Arial" w:hAnsi="Arial" w:cs="Arial"/>
          <w:color w:val="000000" w:themeColor="text1"/>
        </w:rPr>
        <w:t>Moodalbyle</w:t>
      </w:r>
      <w:proofErr w:type="spellEnd"/>
      <w:r>
        <w:rPr>
          <w:rFonts w:ascii="Arial" w:hAnsi="Arial" w:cs="Arial"/>
          <w:color w:val="000000" w:themeColor="text1"/>
        </w:rPr>
        <w:t xml:space="preserve"> S, Lewis C (Queen Elizabeth Hospital Birmingham), Barrington M, Shams O (Royal Devon and Exeter Hospital), </w:t>
      </w:r>
      <w:r w:rsidRPr="00BA74BE">
        <w:rPr>
          <w:rFonts w:ascii="Arial" w:hAnsi="Arial" w:cs="Arial"/>
          <w:color w:val="000000" w:themeColor="text1"/>
        </w:rPr>
        <w:t xml:space="preserve">Jayasekara </w:t>
      </w:r>
      <w:r>
        <w:rPr>
          <w:rFonts w:ascii="Arial" w:hAnsi="Arial" w:cs="Arial"/>
          <w:color w:val="000000" w:themeColor="text1"/>
        </w:rPr>
        <w:t xml:space="preserve">C, Lam K (Royal Glamorgan Hospital), Hwang R, Xu L, Ishak A (Royal London Hospital), </w:t>
      </w:r>
      <w:proofErr w:type="spellStart"/>
      <w:r>
        <w:rPr>
          <w:rFonts w:ascii="Arial" w:hAnsi="Arial" w:cs="Arial"/>
          <w:color w:val="000000" w:themeColor="text1"/>
        </w:rPr>
        <w:t>Protheroe</w:t>
      </w:r>
      <w:proofErr w:type="spellEnd"/>
      <w:r>
        <w:rPr>
          <w:rFonts w:ascii="Arial" w:hAnsi="Arial" w:cs="Arial"/>
          <w:color w:val="000000" w:themeColor="text1"/>
        </w:rPr>
        <w:t xml:space="preserve"> W, </w:t>
      </w:r>
      <w:proofErr w:type="spellStart"/>
      <w:r w:rsidRPr="00BA74BE">
        <w:rPr>
          <w:rFonts w:ascii="Arial" w:hAnsi="Arial" w:cs="Arial"/>
          <w:color w:val="000000" w:themeColor="text1"/>
        </w:rPr>
        <w:t>Stylianou</w:t>
      </w:r>
      <w:proofErr w:type="spellEnd"/>
      <w:r w:rsidRPr="00BA74B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 (Salisbury District General Hospital), </w:t>
      </w:r>
      <w:proofErr w:type="spellStart"/>
      <w:r>
        <w:rPr>
          <w:rFonts w:ascii="Arial" w:hAnsi="Arial" w:cs="Arial"/>
          <w:color w:val="000000" w:themeColor="text1"/>
        </w:rPr>
        <w:t>Oladeji</w:t>
      </w:r>
      <w:proofErr w:type="spellEnd"/>
      <w:r>
        <w:rPr>
          <w:rFonts w:ascii="Arial" w:hAnsi="Arial" w:cs="Arial"/>
          <w:color w:val="000000" w:themeColor="text1"/>
        </w:rPr>
        <w:t xml:space="preserve"> EO, </w:t>
      </w:r>
      <w:proofErr w:type="spellStart"/>
      <w:r>
        <w:rPr>
          <w:rFonts w:ascii="Arial" w:hAnsi="Arial" w:cs="Arial"/>
          <w:color w:val="000000" w:themeColor="text1"/>
        </w:rPr>
        <w:t>Anuff</w:t>
      </w:r>
      <w:proofErr w:type="spellEnd"/>
      <w:r>
        <w:rPr>
          <w:rFonts w:ascii="Arial" w:hAnsi="Arial" w:cs="Arial"/>
          <w:color w:val="000000" w:themeColor="text1"/>
        </w:rPr>
        <w:t xml:space="preserve"> H, Husain E (St. Richard’s Hospital), Helliwell J, Holmes J, </w:t>
      </w:r>
      <w:proofErr w:type="spellStart"/>
      <w:r>
        <w:rPr>
          <w:rFonts w:ascii="Arial" w:hAnsi="Arial" w:cs="Arial"/>
          <w:color w:val="000000" w:themeColor="text1"/>
        </w:rPr>
        <w:t>Shatwell</w:t>
      </w:r>
      <w:proofErr w:type="spellEnd"/>
      <w:r>
        <w:rPr>
          <w:rFonts w:ascii="Arial" w:hAnsi="Arial" w:cs="Arial"/>
          <w:color w:val="000000" w:themeColor="text1"/>
        </w:rPr>
        <w:t xml:space="preserve"> N (Leeds Teaching Hospitals NHS Trust), </w:t>
      </w:r>
      <w:proofErr w:type="spellStart"/>
      <w:r>
        <w:rPr>
          <w:rFonts w:ascii="Arial" w:hAnsi="Arial" w:cs="Arial"/>
          <w:color w:val="000000" w:themeColor="text1"/>
        </w:rPr>
        <w:t>Kishima</w:t>
      </w:r>
      <w:proofErr w:type="spellEnd"/>
      <w:r>
        <w:rPr>
          <w:rFonts w:ascii="Arial" w:hAnsi="Arial" w:cs="Arial"/>
          <w:color w:val="000000" w:themeColor="text1"/>
        </w:rPr>
        <w:t xml:space="preserve"> M (Stepping Hill Hospital), Issa F, </w:t>
      </w:r>
      <w:proofErr w:type="spellStart"/>
      <w:r>
        <w:rPr>
          <w:rFonts w:ascii="Arial" w:hAnsi="Arial" w:cs="Arial"/>
          <w:color w:val="000000" w:themeColor="text1"/>
        </w:rPr>
        <w:t>Vashisht</w:t>
      </w:r>
      <w:proofErr w:type="spellEnd"/>
      <w:r>
        <w:rPr>
          <w:rFonts w:ascii="Arial" w:hAnsi="Arial" w:cs="Arial"/>
          <w:color w:val="000000" w:themeColor="text1"/>
        </w:rPr>
        <w:t xml:space="preserve"> R, </w:t>
      </w:r>
      <w:r w:rsidRPr="00BA74BE">
        <w:rPr>
          <w:rFonts w:ascii="Arial" w:hAnsi="Arial" w:cs="Arial"/>
          <w:color w:val="000000" w:themeColor="text1"/>
        </w:rPr>
        <w:t xml:space="preserve">Bhardwaj </w:t>
      </w:r>
      <w:r>
        <w:rPr>
          <w:rFonts w:ascii="Arial" w:hAnsi="Arial" w:cs="Arial"/>
          <w:color w:val="000000" w:themeColor="text1"/>
        </w:rPr>
        <w:t xml:space="preserve">G (Stoke Mandeville Hospital), </w:t>
      </w:r>
      <w:proofErr w:type="spellStart"/>
      <w:r>
        <w:rPr>
          <w:rFonts w:ascii="Arial" w:hAnsi="Arial" w:cs="Arial"/>
          <w:color w:val="000000" w:themeColor="text1"/>
        </w:rPr>
        <w:t>Thaker</w:t>
      </w:r>
      <w:proofErr w:type="spellEnd"/>
      <w:r>
        <w:rPr>
          <w:rFonts w:ascii="Arial" w:hAnsi="Arial" w:cs="Arial"/>
          <w:color w:val="000000" w:themeColor="text1"/>
        </w:rPr>
        <w:t xml:space="preserve"> A, Bandari F (Sunderland Royal Hospital), Robertson-Jones B, Mostafa M, </w:t>
      </w:r>
      <w:proofErr w:type="spellStart"/>
      <w:r>
        <w:rPr>
          <w:rFonts w:ascii="Arial" w:hAnsi="Arial" w:cs="Arial"/>
          <w:color w:val="000000" w:themeColor="text1"/>
        </w:rPr>
        <w:t>Nahiyan</w:t>
      </w:r>
      <w:proofErr w:type="spellEnd"/>
      <w:r>
        <w:rPr>
          <w:rFonts w:ascii="Arial" w:hAnsi="Arial" w:cs="Arial"/>
          <w:color w:val="000000" w:themeColor="text1"/>
        </w:rPr>
        <w:t xml:space="preserve"> T (Surrey and Sussex Healthcare NHS Trust), </w:t>
      </w:r>
      <w:proofErr w:type="spellStart"/>
      <w:r w:rsidRPr="00EE5B3F">
        <w:rPr>
          <w:rFonts w:ascii="Arial" w:hAnsi="Arial" w:cs="Arial"/>
          <w:color w:val="000000" w:themeColor="text1"/>
        </w:rPr>
        <w:t>VinodKumar</w:t>
      </w:r>
      <w:proofErr w:type="spellEnd"/>
      <w:r w:rsidRPr="00EE5B3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N, Altaf B, Sharma A, Khalil O, Mensah A, </w:t>
      </w:r>
      <w:proofErr w:type="spellStart"/>
      <w:r w:rsidRPr="00EE5B3F">
        <w:rPr>
          <w:rFonts w:ascii="Arial" w:hAnsi="Arial" w:cs="Arial"/>
          <w:color w:val="000000" w:themeColor="text1"/>
        </w:rPr>
        <w:t>Ozekhome</w:t>
      </w:r>
      <w:proofErr w:type="spellEnd"/>
      <w:r w:rsidRPr="00EE5B3F">
        <w:rPr>
          <w:rFonts w:ascii="Arial" w:hAnsi="Arial" w:cs="Arial"/>
          <w:color w:val="000000" w:themeColor="text1"/>
        </w:rPr>
        <w:t>-Mike</w:t>
      </w:r>
      <w:r>
        <w:rPr>
          <w:rFonts w:ascii="Arial" w:hAnsi="Arial" w:cs="Arial"/>
          <w:color w:val="000000" w:themeColor="text1"/>
        </w:rPr>
        <w:t xml:space="preserve">, E (The Queen Elizabeth NHS Foundation Trust, Kings Lynn), </w:t>
      </w:r>
      <w:proofErr w:type="spellStart"/>
      <w:r>
        <w:rPr>
          <w:rFonts w:ascii="Arial" w:hAnsi="Arial" w:cs="Arial"/>
          <w:color w:val="000000" w:themeColor="text1"/>
        </w:rPr>
        <w:t>Ghafur</w:t>
      </w:r>
      <w:proofErr w:type="spellEnd"/>
      <w:r>
        <w:rPr>
          <w:rFonts w:ascii="Arial" w:hAnsi="Arial" w:cs="Arial"/>
          <w:color w:val="000000" w:themeColor="text1"/>
        </w:rPr>
        <w:t xml:space="preserve"> F, Edensor S, Hodges W (University Hospitals Coventry and Warwickshire), </w:t>
      </w:r>
      <w:proofErr w:type="spellStart"/>
      <w:r>
        <w:rPr>
          <w:rFonts w:ascii="Arial" w:hAnsi="Arial" w:cs="Arial"/>
          <w:color w:val="000000" w:themeColor="text1"/>
        </w:rPr>
        <w:t>Omran</w:t>
      </w:r>
      <w:proofErr w:type="spellEnd"/>
      <w:r>
        <w:rPr>
          <w:rFonts w:ascii="Arial" w:hAnsi="Arial" w:cs="Arial"/>
          <w:color w:val="000000" w:themeColor="text1"/>
        </w:rPr>
        <w:t xml:space="preserve"> A, Younas WH, Harris Y (University Hospital Wishaw), Spurring E, </w:t>
      </w:r>
      <w:proofErr w:type="spellStart"/>
      <w:r>
        <w:rPr>
          <w:rFonts w:ascii="Arial" w:hAnsi="Arial" w:cs="Arial"/>
          <w:color w:val="000000" w:themeColor="text1"/>
        </w:rPr>
        <w:t>Osunlusi</w:t>
      </w:r>
      <w:proofErr w:type="spellEnd"/>
      <w:r>
        <w:rPr>
          <w:rFonts w:ascii="Arial" w:hAnsi="Arial" w:cs="Arial"/>
          <w:color w:val="000000" w:themeColor="text1"/>
        </w:rPr>
        <w:t xml:space="preserve"> F, </w:t>
      </w:r>
      <w:proofErr w:type="spellStart"/>
      <w:r>
        <w:rPr>
          <w:rFonts w:ascii="Arial" w:hAnsi="Arial" w:cs="Arial"/>
          <w:color w:val="000000" w:themeColor="text1"/>
        </w:rPr>
        <w:t>Okoronkwo</w:t>
      </w:r>
      <w:proofErr w:type="spellEnd"/>
      <w:r>
        <w:rPr>
          <w:rFonts w:ascii="Arial" w:hAnsi="Arial" w:cs="Arial"/>
          <w:color w:val="000000" w:themeColor="text1"/>
        </w:rPr>
        <w:t xml:space="preserve"> C, Shah S, Yan EL, </w:t>
      </w:r>
      <w:proofErr w:type="spellStart"/>
      <w:r>
        <w:rPr>
          <w:rFonts w:ascii="Arial" w:hAnsi="Arial" w:cs="Arial"/>
          <w:color w:val="000000" w:themeColor="text1"/>
        </w:rPr>
        <w:t>Hajdok</w:t>
      </w:r>
      <w:proofErr w:type="spellEnd"/>
      <w:r>
        <w:rPr>
          <w:rFonts w:ascii="Arial" w:hAnsi="Arial" w:cs="Arial"/>
          <w:color w:val="000000" w:themeColor="text1"/>
        </w:rPr>
        <w:t xml:space="preserve"> R (Walsall Manor Hospital), Anderton C, Costigan F, </w:t>
      </w:r>
      <w:proofErr w:type="spellStart"/>
      <w:r>
        <w:rPr>
          <w:rFonts w:ascii="Arial" w:hAnsi="Arial" w:cs="Arial"/>
          <w:color w:val="000000" w:themeColor="text1"/>
        </w:rPr>
        <w:t>Selvachandran</w:t>
      </w:r>
      <w:proofErr w:type="spellEnd"/>
      <w:r>
        <w:rPr>
          <w:rFonts w:ascii="Arial" w:hAnsi="Arial" w:cs="Arial"/>
          <w:color w:val="000000" w:themeColor="text1"/>
        </w:rPr>
        <w:t xml:space="preserve"> H, David B (Warrington and Halton Teaching Hospitals NHS Foundation Trust), O’Sullivan A, </w:t>
      </w:r>
      <w:proofErr w:type="spellStart"/>
      <w:r>
        <w:rPr>
          <w:rFonts w:ascii="Arial" w:hAnsi="Arial" w:cs="Arial"/>
          <w:color w:val="000000" w:themeColor="text1"/>
        </w:rPr>
        <w:t>Spreafico</w:t>
      </w:r>
      <w:proofErr w:type="spellEnd"/>
      <w:r>
        <w:rPr>
          <w:rFonts w:ascii="Arial" w:hAnsi="Arial" w:cs="Arial"/>
          <w:color w:val="000000" w:themeColor="text1"/>
        </w:rPr>
        <w:t xml:space="preserve"> C, Phillips M (Warwick Hospital), Arora S, Ahmed A, </w:t>
      </w:r>
      <w:proofErr w:type="spellStart"/>
      <w:r>
        <w:rPr>
          <w:rFonts w:ascii="Arial" w:hAnsi="Arial" w:cs="Arial"/>
          <w:color w:val="000000" w:themeColor="text1"/>
        </w:rPr>
        <w:t>Ghotmi</w:t>
      </w:r>
      <w:proofErr w:type="spellEnd"/>
      <w:r>
        <w:rPr>
          <w:rFonts w:ascii="Arial" w:hAnsi="Arial" w:cs="Arial"/>
          <w:color w:val="000000" w:themeColor="text1"/>
        </w:rPr>
        <w:t xml:space="preserve"> M, Mohamed R (Wexham Park Hospital), Kawabata M, Gardner A, </w:t>
      </w:r>
      <w:proofErr w:type="spellStart"/>
      <w:r>
        <w:rPr>
          <w:rFonts w:ascii="Arial" w:hAnsi="Arial" w:cs="Arial"/>
          <w:color w:val="000000" w:themeColor="text1"/>
        </w:rPr>
        <w:t>Atherley</w:t>
      </w:r>
      <w:proofErr w:type="spellEnd"/>
      <w:r>
        <w:rPr>
          <w:rFonts w:ascii="Arial" w:hAnsi="Arial" w:cs="Arial"/>
          <w:color w:val="000000" w:themeColor="text1"/>
        </w:rPr>
        <w:t xml:space="preserve"> I, Chowdhury A, </w:t>
      </w:r>
      <w:proofErr w:type="spellStart"/>
      <w:r>
        <w:rPr>
          <w:rFonts w:ascii="Arial" w:hAnsi="Arial" w:cs="Arial"/>
          <w:color w:val="000000" w:themeColor="text1"/>
        </w:rPr>
        <w:t>Kalliyath</w:t>
      </w:r>
      <w:proofErr w:type="spellEnd"/>
      <w:r>
        <w:rPr>
          <w:rFonts w:ascii="Arial" w:hAnsi="Arial" w:cs="Arial"/>
          <w:color w:val="000000" w:themeColor="text1"/>
        </w:rPr>
        <w:t xml:space="preserve"> J (William Harvey Hospital), Manor K, </w:t>
      </w:r>
      <w:proofErr w:type="spellStart"/>
      <w:r>
        <w:rPr>
          <w:rFonts w:ascii="Arial" w:hAnsi="Arial" w:cs="Arial"/>
          <w:color w:val="000000" w:themeColor="text1"/>
        </w:rPr>
        <w:t>Bamgboye</w:t>
      </w:r>
      <w:proofErr w:type="spellEnd"/>
      <w:r>
        <w:rPr>
          <w:rFonts w:ascii="Arial" w:hAnsi="Arial" w:cs="Arial"/>
          <w:color w:val="000000" w:themeColor="text1"/>
        </w:rPr>
        <w:t xml:space="preserve"> M, Walker L, Law J, Reynolds E, </w:t>
      </w:r>
      <w:proofErr w:type="spellStart"/>
      <w:r>
        <w:rPr>
          <w:rFonts w:ascii="Arial" w:hAnsi="Arial" w:cs="Arial"/>
          <w:color w:val="000000" w:themeColor="text1"/>
        </w:rPr>
        <w:t>Bholah</w:t>
      </w:r>
      <w:proofErr w:type="spellEnd"/>
      <w:r>
        <w:rPr>
          <w:rFonts w:ascii="Arial" w:hAnsi="Arial" w:cs="Arial"/>
          <w:color w:val="000000" w:themeColor="text1"/>
        </w:rPr>
        <w:t xml:space="preserve"> Z, </w:t>
      </w:r>
      <w:proofErr w:type="spellStart"/>
      <w:r>
        <w:rPr>
          <w:rFonts w:ascii="Arial" w:hAnsi="Arial" w:cs="Arial"/>
          <w:color w:val="000000" w:themeColor="text1"/>
        </w:rPr>
        <w:t>Castelhano</w:t>
      </w:r>
      <w:proofErr w:type="spellEnd"/>
      <w:r>
        <w:rPr>
          <w:rFonts w:ascii="Arial" w:hAnsi="Arial" w:cs="Arial"/>
          <w:color w:val="000000" w:themeColor="text1"/>
        </w:rPr>
        <w:t xml:space="preserve"> R (Wythenshawe Hospital)</w:t>
      </w:r>
    </w:p>
    <w:p w14:paraId="05840D5C" w14:textId="504CCAA0" w:rsidR="0049257D" w:rsidRPr="00AB76AB" w:rsidRDefault="0049257D" w:rsidP="00AB76AB">
      <w:pPr>
        <w:ind w:right="-926"/>
        <w:rPr>
          <w:rFonts w:ascii="Arial" w:hAnsi="Arial" w:cs="Arial"/>
          <w:i/>
          <w:iCs/>
          <w:sz w:val="18"/>
          <w:szCs w:val="18"/>
        </w:rPr>
      </w:pPr>
    </w:p>
    <w:sectPr w:rsidR="0049257D" w:rsidRPr="00AB76AB" w:rsidSect="00D24349">
      <w:pgSz w:w="11900" w:h="16840"/>
      <w:pgMar w:top="1440" w:right="1440" w:bottom="114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78A5" w14:textId="77777777" w:rsidR="00D24349" w:rsidRDefault="00D24349" w:rsidP="00E617FC">
      <w:pPr>
        <w:spacing w:after="0" w:line="240" w:lineRule="auto"/>
      </w:pPr>
      <w:r>
        <w:separator/>
      </w:r>
    </w:p>
  </w:endnote>
  <w:endnote w:type="continuationSeparator" w:id="0">
    <w:p w14:paraId="6912BD4C" w14:textId="77777777" w:rsidR="00D24349" w:rsidRDefault="00D24349" w:rsidP="00E6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2286164"/>
      <w:docPartObj>
        <w:docPartGallery w:val="Page Numbers (Bottom of Page)"/>
        <w:docPartUnique/>
      </w:docPartObj>
    </w:sdtPr>
    <w:sdtContent>
      <w:p w14:paraId="4AA6ECF5" w14:textId="46930854" w:rsidR="00E617FC" w:rsidRDefault="00E617FC" w:rsidP="000247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2EC777" w14:textId="77777777" w:rsidR="00E617FC" w:rsidRDefault="00E617FC" w:rsidP="00E617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6288580"/>
      <w:docPartObj>
        <w:docPartGallery w:val="Page Numbers (Bottom of Page)"/>
        <w:docPartUnique/>
      </w:docPartObj>
    </w:sdtPr>
    <w:sdtContent>
      <w:p w14:paraId="486BF6AE" w14:textId="4C65AAE4" w:rsidR="00E617FC" w:rsidRDefault="00E617FC" w:rsidP="000247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93AD4A" w14:textId="77777777" w:rsidR="00E617FC" w:rsidRDefault="00E617FC" w:rsidP="00E61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6667" w14:textId="77777777" w:rsidR="00D24349" w:rsidRDefault="00D24349" w:rsidP="00E617FC">
      <w:pPr>
        <w:spacing w:after="0" w:line="240" w:lineRule="auto"/>
      </w:pPr>
      <w:r>
        <w:separator/>
      </w:r>
    </w:p>
  </w:footnote>
  <w:footnote w:type="continuationSeparator" w:id="0">
    <w:p w14:paraId="0F9D16A8" w14:textId="77777777" w:rsidR="00D24349" w:rsidRDefault="00D24349" w:rsidP="00E61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29"/>
    <w:rsid w:val="00053FD0"/>
    <w:rsid w:val="0018075C"/>
    <w:rsid w:val="00186766"/>
    <w:rsid w:val="002D3F7B"/>
    <w:rsid w:val="0038743F"/>
    <w:rsid w:val="003F73E3"/>
    <w:rsid w:val="00400A09"/>
    <w:rsid w:val="0045592A"/>
    <w:rsid w:val="0049257D"/>
    <w:rsid w:val="004F0B61"/>
    <w:rsid w:val="006606F2"/>
    <w:rsid w:val="006E68A6"/>
    <w:rsid w:val="006F3129"/>
    <w:rsid w:val="007203D2"/>
    <w:rsid w:val="00804A9D"/>
    <w:rsid w:val="008447ED"/>
    <w:rsid w:val="00930EE7"/>
    <w:rsid w:val="00AA0695"/>
    <w:rsid w:val="00AB76AB"/>
    <w:rsid w:val="00B95AD5"/>
    <w:rsid w:val="00CF67E7"/>
    <w:rsid w:val="00D24349"/>
    <w:rsid w:val="00D321F7"/>
    <w:rsid w:val="00E617FC"/>
    <w:rsid w:val="00F3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E2A9"/>
  <w15:chartTrackingRefBased/>
  <w15:docId w15:val="{8250719E-7FAF-4DA0-8C9A-5D2DEAE8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78"/>
  </w:style>
  <w:style w:type="paragraph" w:styleId="Heading1">
    <w:name w:val="heading 1"/>
    <w:basedOn w:val="Normal"/>
    <w:next w:val="Normal"/>
    <w:link w:val="Heading1Char"/>
    <w:uiPriority w:val="9"/>
    <w:qFormat/>
    <w:rsid w:val="006F3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1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73E3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3F73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3F73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617FC"/>
    <w:rPr>
      <w:color w:val="467886" w:themeColor="hyperlink"/>
      <w:u w:val="single"/>
    </w:rPr>
  </w:style>
  <w:style w:type="paragraph" w:customStyle="1" w:styleId="Normal1">
    <w:name w:val="Normal1"/>
    <w:rsid w:val="00E617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FC"/>
  </w:style>
  <w:style w:type="character" w:styleId="PageNumber">
    <w:name w:val="page number"/>
    <w:basedOn w:val="DefaultParagraphFont"/>
    <w:uiPriority w:val="99"/>
    <w:semiHidden/>
    <w:unhideWhenUsed/>
    <w:rsid w:val="00E6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chapman@leeds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Bundred</dc:creator>
  <cp:keywords/>
  <dc:description/>
  <cp:lastModifiedBy>Microsoft Office User</cp:lastModifiedBy>
  <cp:revision>3</cp:revision>
  <dcterms:created xsi:type="dcterms:W3CDTF">2024-05-01T21:14:00Z</dcterms:created>
  <dcterms:modified xsi:type="dcterms:W3CDTF">2024-05-01T21:23:00Z</dcterms:modified>
</cp:coreProperties>
</file>